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B0C" w14:textId="77777777" w:rsidR="00A3071A" w:rsidRPr="00AE2CE3" w:rsidRDefault="00A3071A" w:rsidP="00A3071A">
      <w:pPr>
        <w:pStyle w:val="NormalBold"/>
        <w:jc w:val="center"/>
        <w:rPr>
          <w:rFonts w:ascii="Times New Roman" w:hAnsi="Times New Roman" w:cs="Times New Roman"/>
          <w:sz w:val="28"/>
          <w:szCs w:val="28"/>
        </w:rPr>
      </w:pPr>
      <w:r w:rsidRPr="00AE2CE3">
        <w:rPr>
          <w:rFonts w:ascii="Times New Roman" w:hAnsi="Times New Roman" w:cs="Times New Roman"/>
          <w:sz w:val="28"/>
          <w:szCs w:val="28"/>
        </w:rPr>
        <w:t>Explanatory Statement</w:t>
      </w:r>
    </w:p>
    <w:p w14:paraId="00891979" w14:textId="77777777" w:rsidR="00A3071A" w:rsidRPr="00AE2CE3" w:rsidRDefault="00A3071A" w:rsidP="00A3071A">
      <w:pPr>
        <w:jc w:val="center"/>
        <w:rPr>
          <w:rFonts w:ascii="Times New Roman" w:hAnsi="Times New Roman"/>
        </w:rPr>
      </w:pPr>
      <w:r w:rsidRPr="00AE2CE3">
        <w:rPr>
          <w:rFonts w:ascii="Times New Roman" w:hAnsi="Times New Roman"/>
        </w:rPr>
        <w:t>Issued by the Authority of the Minister for Communications, Cyber Safety and the Arts</w:t>
      </w:r>
    </w:p>
    <w:p w14:paraId="26A2EFD4"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53D76CAF" w14:textId="77777777" w:rsidR="00A3071A" w:rsidRPr="00952A3E" w:rsidRDefault="0017360D" w:rsidP="00A3071A">
      <w:pPr>
        <w:jc w:val="center"/>
        <w:rPr>
          <w:rFonts w:ascii="Times New Roman" w:hAnsi="Times New Roman"/>
          <w:b/>
          <w:sz w:val="28"/>
          <w:szCs w:val="28"/>
          <w:highlight w:val="yellow"/>
        </w:rPr>
      </w:pPr>
      <w:r w:rsidRPr="0017360D">
        <w:rPr>
          <w:rFonts w:ascii="Times New Roman" w:hAnsi="Times New Roman"/>
          <w:b/>
          <w:sz w:val="28"/>
          <w:szCs w:val="28"/>
        </w:rPr>
        <w:t>Telecommunications (Nominated Service Area and Statutory Infrastructure Provider) Declaration 2020</w:t>
      </w:r>
    </w:p>
    <w:p w14:paraId="0A7164A9" w14:textId="77777777" w:rsidR="00A3071A" w:rsidRPr="00AE2CE3" w:rsidRDefault="00A3071A" w:rsidP="00A3071A">
      <w:pPr>
        <w:spacing w:before="100" w:beforeAutospacing="1" w:after="100" w:afterAutospacing="1" w:line="300" w:lineRule="atLeast"/>
        <w:rPr>
          <w:rFonts w:ascii="Times New Roman" w:hAnsi="Times New Roman"/>
          <w:b/>
        </w:rPr>
      </w:pPr>
      <w:r w:rsidRPr="00AE2CE3">
        <w:rPr>
          <w:rFonts w:ascii="Times New Roman" w:hAnsi="Times New Roman"/>
          <w:b/>
        </w:rPr>
        <w:t>Authority</w:t>
      </w:r>
    </w:p>
    <w:p w14:paraId="3B2F528E" w14:textId="1BBF9A94" w:rsidR="0017360D" w:rsidRDefault="00B4053C" w:rsidP="0017360D">
      <w:pPr>
        <w:spacing w:before="100" w:beforeAutospacing="1" w:after="100" w:afterAutospacing="1" w:line="300" w:lineRule="atLeast"/>
        <w:rPr>
          <w:rFonts w:ascii="Times New Roman" w:hAnsi="Times New Roman"/>
        </w:rPr>
      </w:pPr>
      <w:r>
        <w:rPr>
          <w:rFonts w:ascii="Times New Roman" w:hAnsi="Times New Roman"/>
        </w:rPr>
        <w:t xml:space="preserve">Subsection 360K(3) of the </w:t>
      </w:r>
      <w:r w:rsidRPr="00AE2CE3">
        <w:rPr>
          <w:rFonts w:ascii="Times New Roman" w:hAnsi="Times New Roman"/>
          <w:i/>
        </w:rPr>
        <w:t>Telecommunications Act 1997</w:t>
      </w:r>
      <w:r>
        <w:rPr>
          <w:rFonts w:ascii="Times New Roman" w:hAnsi="Times New Roman"/>
        </w:rPr>
        <w:t xml:space="preserve"> (the Act) provides that, for the purposes of the statutory infrastructure provider (SIP) regime in Part 19 of the Act, a </w:t>
      </w:r>
      <w:r w:rsidR="00D9511E">
        <w:rPr>
          <w:rFonts w:ascii="Times New Roman" w:hAnsi="Times New Roman"/>
        </w:rPr>
        <w:t xml:space="preserve">carrier </w:t>
      </w:r>
      <w:r w:rsidR="00D443AC">
        <w:rPr>
          <w:rFonts w:ascii="Times New Roman" w:hAnsi="Times New Roman"/>
        </w:rPr>
        <w:t>which held a</w:t>
      </w:r>
      <w:r w:rsidR="00D9511E">
        <w:rPr>
          <w:rFonts w:ascii="Times New Roman" w:hAnsi="Times New Roman"/>
        </w:rPr>
        <w:t xml:space="preserve"> licence </w:t>
      </w:r>
      <w:r w:rsidR="00D443AC">
        <w:rPr>
          <w:rFonts w:ascii="Times New Roman" w:hAnsi="Times New Roman"/>
        </w:rPr>
        <w:t xml:space="preserve">that was </w:t>
      </w:r>
      <w:r w:rsidR="00D9511E">
        <w:rPr>
          <w:rFonts w:ascii="Times New Roman" w:hAnsi="Times New Roman"/>
        </w:rPr>
        <w:t xml:space="preserve">subject to a particular carrier licence condition declaration immediately before the commencement of the section is the SIP </w:t>
      </w:r>
      <w:r w:rsidR="00D443AC">
        <w:rPr>
          <w:rFonts w:ascii="Times New Roman" w:hAnsi="Times New Roman"/>
        </w:rPr>
        <w:t>for</w:t>
      </w:r>
      <w:r w:rsidR="00D9511E">
        <w:rPr>
          <w:rFonts w:ascii="Times New Roman" w:hAnsi="Times New Roman"/>
        </w:rPr>
        <w:t xml:space="preserve"> the nominated service area ascertained under s 360J by reference to that declaration</w:t>
      </w:r>
      <w:r>
        <w:rPr>
          <w:rFonts w:ascii="Times New Roman" w:hAnsi="Times New Roman"/>
        </w:rPr>
        <w:t xml:space="preserve">. </w:t>
      </w:r>
      <w:r w:rsidR="00C038E3">
        <w:rPr>
          <w:rFonts w:ascii="Times New Roman" w:hAnsi="Times New Roman"/>
        </w:rPr>
        <w:t>S</w:t>
      </w:r>
      <w:r w:rsidR="0003740F">
        <w:rPr>
          <w:rFonts w:ascii="Times New Roman" w:hAnsi="Times New Roman"/>
        </w:rPr>
        <w:t>ubs</w:t>
      </w:r>
      <w:r w:rsidR="00AE2CE3" w:rsidRPr="00AE2CE3">
        <w:rPr>
          <w:rFonts w:ascii="Times New Roman" w:hAnsi="Times New Roman"/>
        </w:rPr>
        <w:t xml:space="preserve">ection </w:t>
      </w:r>
      <w:r w:rsidR="00AE2CE3">
        <w:rPr>
          <w:rFonts w:ascii="Times New Roman" w:hAnsi="Times New Roman"/>
        </w:rPr>
        <w:t>360</w:t>
      </w:r>
      <w:r w:rsidR="0017360D">
        <w:rPr>
          <w:rFonts w:ascii="Times New Roman" w:hAnsi="Times New Roman"/>
        </w:rPr>
        <w:t>K</w:t>
      </w:r>
      <w:r w:rsidR="0003740F">
        <w:rPr>
          <w:rFonts w:ascii="Times New Roman" w:hAnsi="Times New Roman"/>
        </w:rPr>
        <w:t>(4)</w:t>
      </w:r>
      <w:r w:rsidR="00AE2CE3">
        <w:rPr>
          <w:rFonts w:ascii="Times New Roman" w:hAnsi="Times New Roman"/>
        </w:rPr>
        <w:t xml:space="preserve"> of the </w:t>
      </w:r>
      <w:r w:rsidR="0061209F">
        <w:rPr>
          <w:rFonts w:ascii="Times New Roman" w:hAnsi="Times New Roman"/>
        </w:rPr>
        <w:t xml:space="preserve">Act </w:t>
      </w:r>
      <w:r w:rsidR="00AE2CE3">
        <w:rPr>
          <w:rFonts w:ascii="Times New Roman" w:hAnsi="Times New Roman"/>
        </w:rPr>
        <w:t>enables the Minis</w:t>
      </w:r>
      <w:r w:rsidR="00F742E9">
        <w:rPr>
          <w:rFonts w:ascii="Times New Roman" w:hAnsi="Times New Roman"/>
        </w:rPr>
        <w:t xml:space="preserve">ter, by legislative instrument, to </w:t>
      </w:r>
      <w:r w:rsidR="0017360D">
        <w:rPr>
          <w:rFonts w:ascii="Times New Roman" w:hAnsi="Times New Roman"/>
        </w:rPr>
        <w:t xml:space="preserve">declare </w:t>
      </w:r>
      <w:r w:rsidR="0003740F">
        <w:rPr>
          <w:rFonts w:ascii="Times New Roman" w:hAnsi="Times New Roman"/>
        </w:rPr>
        <w:t>that</w:t>
      </w:r>
      <w:r w:rsidR="00975974">
        <w:rPr>
          <w:rFonts w:ascii="Times New Roman" w:hAnsi="Times New Roman"/>
        </w:rPr>
        <w:t xml:space="preserve"> subsection 360K(3)</w:t>
      </w:r>
      <w:r w:rsidR="0056578D">
        <w:rPr>
          <w:rFonts w:ascii="Times New Roman" w:hAnsi="Times New Roman"/>
        </w:rPr>
        <w:t xml:space="preserve"> does not apply to a specified nominated service area and that</w:t>
      </w:r>
      <w:r w:rsidR="0003740F">
        <w:rPr>
          <w:rFonts w:ascii="Times New Roman" w:hAnsi="Times New Roman"/>
        </w:rPr>
        <w:t xml:space="preserve"> </w:t>
      </w:r>
      <w:r w:rsidR="0017360D">
        <w:rPr>
          <w:rFonts w:ascii="Times New Roman" w:hAnsi="Times New Roman"/>
        </w:rPr>
        <w:t>a</w:t>
      </w:r>
      <w:r w:rsidR="00975974">
        <w:rPr>
          <w:rFonts w:ascii="Times New Roman" w:hAnsi="Times New Roman"/>
        </w:rPr>
        <w:t xml:space="preserve"> specified</w:t>
      </w:r>
      <w:r w:rsidR="0017360D">
        <w:rPr>
          <w:rFonts w:ascii="Times New Roman" w:hAnsi="Times New Roman"/>
        </w:rPr>
        <w:t xml:space="preserve"> carrier is the statutory infrastructure provider (SIP) for a</w:t>
      </w:r>
      <w:r w:rsidR="00D14EF2">
        <w:rPr>
          <w:rFonts w:ascii="Times New Roman" w:hAnsi="Times New Roman"/>
        </w:rPr>
        <w:t>n area which section 360J provides is a</w:t>
      </w:r>
      <w:r w:rsidR="0017360D">
        <w:rPr>
          <w:rFonts w:ascii="Times New Roman" w:hAnsi="Times New Roman"/>
        </w:rPr>
        <w:t xml:space="preserve"> nominated service area</w:t>
      </w:r>
      <w:r w:rsidR="0061209F">
        <w:rPr>
          <w:rFonts w:ascii="Times New Roman" w:hAnsi="Times New Roman"/>
        </w:rPr>
        <w:t>.</w:t>
      </w:r>
    </w:p>
    <w:p w14:paraId="217EDD0A" w14:textId="77777777" w:rsidR="00A3071A" w:rsidRPr="00AE2CE3" w:rsidRDefault="00A3071A" w:rsidP="00A3071A">
      <w:pPr>
        <w:shd w:val="clear" w:color="auto" w:fill="FFFFFF"/>
        <w:spacing w:before="100" w:beforeAutospacing="1" w:after="100" w:afterAutospacing="1"/>
        <w:rPr>
          <w:rFonts w:ascii="Times New Roman" w:hAnsi="Times New Roman"/>
          <w:b/>
        </w:rPr>
      </w:pPr>
      <w:r w:rsidRPr="00AE2CE3">
        <w:rPr>
          <w:rFonts w:ascii="Times New Roman" w:hAnsi="Times New Roman"/>
          <w:b/>
        </w:rPr>
        <w:t>Purpose</w:t>
      </w:r>
    </w:p>
    <w:p w14:paraId="1AF29F1A" w14:textId="277755DD" w:rsidR="007B3CED" w:rsidRDefault="0002761C" w:rsidP="00A3071A">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00F742E9" w:rsidRPr="00F742E9">
        <w:rPr>
          <w:rFonts w:ascii="Times New Roman" w:hAnsi="Times New Roman"/>
          <w:i/>
        </w:rPr>
        <w:t>Telecommunications (Nominated Service Area and Statutory Infrastructure Provider) Declaration 2020</w:t>
      </w:r>
      <w:r w:rsidR="00640197" w:rsidRPr="00640197">
        <w:rPr>
          <w:rFonts w:ascii="Times New Roman" w:hAnsi="Times New Roman"/>
          <w:i/>
        </w:rPr>
        <w:t xml:space="preserve"> </w:t>
      </w:r>
      <w:r w:rsidRPr="00AE2CE3">
        <w:rPr>
          <w:rFonts w:ascii="Times New Roman" w:hAnsi="Times New Roman"/>
        </w:rPr>
        <w:t>(the Declaration) is to</w:t>
      </w:r>
      <w:r>
        <w:rPr>
          <w:rFonts w:ascii="Times New Roman" w:hAnsi="Times New Roman"/>
        </w:rPr>
        <w:t xml:space="preserve"> </w:t>
      </w:r>
      <w:r w:rsidR="00D443AC">
        <w:rPr>
          <w:rFonts w:ascii="Times New Roman" w:hAnsi="Times New Roman"/>
        </w:rPr>
        <w:t xml:space="preserve">substitute </w:t>
      </w:r>
      <w:r w:rsidR="0003740F">
        <w:rPr>
          <w:rFonts w:ascii="Times New Roman" w:hAnsi="Times New Roman"/>
        </w:rPr>
        <w:t xml:space="preserve">the SIPs for eight </w:t>
      </w:r>
      <w:r w:rsidR="007D534F">
        <w:rPr>
          <w:rFonts w:ascii="Times New Roman" w:hAnsi="Times New Roman"/>
        </w:rPr>
        <w:t>nominated service areas</w:t>
      </w:r>
      <w:r w:rsidR="00B7486F">
        <w:rPr>
          <w:rFonts w:ascii="Times New Roman" w:hAnsi="Times New Roman"/>
        </w:rPr>
        <w:t xml:space="preserve"> set by</w:t>
      </w:r>
      <w:r w:rsidR="0003740F">
        <w:rPr>
          <w:rFonts w:ascii="Times New Roman" w:hAnsi="Times New Roman"/>
        </w:rPr>
        <w:t xml:space="preserve"> the SIP regime</w:t>
      </w:r>
      <w:r w:rsidR="00800E7C">
        <w:rPr>
          <w:rFonts w:ascii="Times New Roman" w:hAnsi="Times New Roman"/>
        </w:rPr>
        <w:t xml:space="preserve"> </w:t>
      </w:r>
      <w:r w:rsidR="00B7486F">
        <w:rPr>
          <w:rFonts w:ascii="Times New Roman" w:hAnsi="Times New Roman"/>
        </w:rPr>
        <w:t xml:space="preserve">to reflect </w:t>
      </w:r>
      <w:r w:rsidR="00800E7C">
        <w:rPr>
          <w:rFonts w:ascii="Times New Roman" w:hAnsi="Times New Roman"/>
        </w:rPr>
        <w:t>subsequent changes in ownership</w:t>
      </w:r>
      <w:r w:rsidR="0052363C">
        <w:rPr>
          <w:rFonts w:ascii="Times New Roman" w:hAnsi="Times New Roman"/>
        </w:rPr>
        <w:t xml:space="preserve"> or operation</w:t>
      </w:r>
      <w:r w:rsidR="007D534F">
        <w:rPr>
          <w:rFonts w:ascii="Times New Roman" w:hAnsi="Times New Roman"/>
        </w:rPr>
        <w:t>.</w:t>
      </w:r>
    </w:p>
    <w:p w14:paraId="68CE7372" w14:textId="77777777" w:rsidR="00A3071A" w:rsidRPr="00AD12DD" w:rsidRDefault="00A3071A" w:rsidP="00A3071A">
      <w:pPr>
        <w:shd w:val="clear" w:color="auto" w:fill="FFFFFF"/>
        <w:rPr>
          <w:rFonts w:ascii="Times New Roman" w:hAnsi="Times New Roman"/>
          <w:b/>
        </w:rPr>
      </w:pPr>
      <w:r w:rsidRPr="001D0379">
        <w:rPr>
          <w:rFonts w:ascii="Times New Roman" w:hAnsi="Times New Roman"/>
          <w:b/>
        </w:rPr>
        <w:t>Background</w:t>
      </w:r>
    </w:p>
    <w:p w14:paraId="532FD5CC" w14:textId="397CCDD8" w:rsidR="00FE69D5" w:rsidRDefault="003A0CFA" w:rsidP="0025114C">
      <w:pPr>
        <w:shd w:val="clear" w:color="auto" w:fill="FFFFFF"/>
        <w:spacing w:before="100" w:beforeAutospacing="1" w:after="100" w:afterAutospacing="1"/>
        <w:rPr>
          <w:rFonts w:ascii="Times New Roman" w:hAnsi="Times New Roman"/>
        </w:rPr>
      </w:pPr>
      <w:r w:rsidRPr="0028738F">
        <w:rPr>
          <w:rFonts w:ascii="Times New Roman" w:hAnsi="Times New Roman"/>
        </w:rPr>
        <w:t>The SIP regime</w:t>
      </w:r>
      <w:r w:rsidR="000D15DA">
        <w:rPr>
          <w:rFonts w:ascii="Times New Roman" w:hAnsi="Times New Roman"/>
        </w:rPr>
        <w:t xml:space="preserve"> is </w:t>
      </w:r>
      <w:r w:rsidRPr="0028738F">
        <w:rPr>
          <w:rFonts w:ascii="Times New Roman" w:hAnsi="Times New Roman"/>
        </w:rPr>
        <w:t>set out in Part 19 of the Act</w:t>
      </w:r>
      <w:r w:rsidR="00982AE6">
        <w:rPr>
          <w:rFonts w:ascii="Times New Roman" w:hAnsi="Times New Roman"/>
        </w:rPr>
        <w:t xml:space="preserve"> and</w:t>
      </w:r>
      <w:r w:rsidRPr="0028738F">
        <w:rPr>
          <w:rFonts w:ascii="Times New Roman" w:hAnsi="Times New Roman"/>
        </w:rPr>
        <w:t xml:space="preserve"> commence</w:t>
      </w:r>
      <w:r w:rsidR="00E17460">
        <w:rPr>
          <w:rFonts w:ascii="Times New Roman" w:hAnsi="Times New Roman"/>
        </w:rPr>
        <w:t>d</w:t>
      </w:r>
      <w:r w:rsidRPr="0028738F">
        <w:rPr>
          <w:rFonts w:ascii="Times New Roman" w:hAnsi="Times New Roman"/>
        </w:rPr>
        <w:t xml:space="preserve"> on 1 July 2020. </w:t>
      </w:r>
      <w:r w:rsidR="008C4BB8">
        <w:rPr>
          <w:rFonts w:ascii="Times New Roman" w:hAnsi="Times New Roman"/>
        </w:rPr>
        <w:t>It</w:t>
      </w:r>
      <w:r w:rsidR="004671BC" w:rsidRPr="00716FF8">
        <w:rPr>
          <w:rFonts w:ascii="Times New Roman" w:hAnsi="Times New Roman"/>
        </w:rPr>
        <w:t xml:space="preserve"> </w:t>
      </w:r>
      <w:r w:rsidR="00435470">
        <w:rPr>
          <w:rFonts w:ascii="Times New Roman" w:hAnsi="Times New Roman"/>
        </w:rPr>
        <w:t xml:space="preserve">provides </w:t>
      </w:r>
      <w:r w:rsidR="007B3CED">
        <w:rPr>
          <w:rFonts w:ascii="Times New Roman" w:hAnsi="Times New Roman"/>
        </w:rPr>
        <w:t xml:space="preserve">a framework for ensuring that all people in Australia can access high-speed broadband services (and, on fixed-line and fixed wireless networks, voice services). The regime contains </w:t>
      </w:r>
      <w:r w:rsidR="000D15DA">
        <w:rPr>
          <w:rFonts w:ascii="Times New Roman" w:hAnsi="Times New Roman"/>
        </w:rPr>
        <w:t>mechanisms for determining the carriers that must serve different geographic areas of Australia</w:t>
      </w:r>
      <w:r w:rsidR="00C4600F">
        <w:rPr>
          <w:rFonts w:ascii="Times New Roman" w:hAnsi="Times New Roman"/>
        </w:rPr>
        <w:t>, recognising that there is a competitive market in Australia for the provision of telecommunications networks</w:t>
      </w:r>
      <w:r w:rsidR="000D15DA">
        <w:rPr>
          <w:rFonts w:ascii="Times New Roman" w:hAnsi="Times New Roman"/>
        </w:rPr>
        <w:t xml:space="preserve">. </w:t>
      </w:r>
      <w:r w:rsidR="00C4600F">
        <w:rPr>
          <w:rFonts w:ascii="Times New Roman" w:hAnsi="Times New Roman"/>
        </w:rPr>
        <w:t xml:space="preserve">Recognising its position </w:t>
      </w:r>
      <w:r w:rsidR="00890B88">
        <w:rPr>
          <w:rFonts w:ascii="Times New Roman" w:hAnsi="Times New Roman"/>
        </w:rPr>
        <w:t xml:space="preserve">in the market, </w:t>
      </w:r>
      <w:r w:rsidR="000D15DA">
        <w:rPr>
          <w:rFonts w:ascii="Times New Roman" w:hAnsi="Times New Roman"/>
        </w:rPr>
        <w:t xml:space="preserve">NBN Co is the default </w:t>
      </w:r>
      <w:r w:rsidR="00890B88">
        <w:rPr>
          <w:rFonts w:ascii="Times New Roman" w:hAnsi="Times New Roman"/>
        </w:rPr>
        <w:t xml:space="preserve">wholesale broadband </w:t>
      </w:r>
      <w:r w:rsidR="000D15DA">
        <w:rPr>
          <w:rFonts w:ascii="Times New Roman" w:hAnsi="Times New Roman"/>
        </w:rPr>
        <w:t>provider for Australia</w:t>
      </w:r>
      <w:r w:rsidR="00C4600F">
        <w:rPr>
          <w:rFonts w:ascii="Times New Roman" w:hAnsi="Times New Roman"/>
        </w:rPr>
        <w:t>. However</w:t>
      </w:r>
      <w:r w:rsidR="000D15DA">
        <w:rPr>
          <w:rFonts w:ascii="Times New Roman" w:hAnsi="Times New Roman"/>
        </w:rPr>
        <w:t xml:space="preserve">, the SIP regime also provides for </w:t>
      </w:r>
      <w:r w:rsidR="000D15DA" w:rsidRPr="001D0379">
        <w:rPr>
          <w:rFonts w:ascii="Times New Roman" w:hAnsi="Times New Roman"/>
        </w:rPr>
        <w:t xml:space="preserve">alternative carriers to be the SIPs for the geographic areas </w:t>
      </w:r>
      <w:r w:rsidR="00C0422D" w:rsidRPr="001D0379">
        <w:rPr>
          <w:rFonts w:ascii="Times New Roman" w:hAnsi="Times New Roman"/>
        </w:rPr>
        <w:t>where they deploy networks</w:t>
      </w:r>
      <w:r w:rsidR="0061209F">
        <w:rPr>
          <w:rFonts w:ascii="Times New Roman" w:hAnsi="Times New Roman"/>
        </w:rPr>
        <w:t>, particularly where they contract with a developer to service the area</w:t>
      </w:r>
      <w:r w:rsidR="00885297" w:rsidRPr="001D0379">
        <w:rPr>
          <w:rFonts w:ascii="Times New Roman" w:hAnsi="Times New Roman"/>
        </w:rPr>
        <w:t>.</w:t>
      </w:r>
    </w:p>
    <w:p w14:paraId="6D29D6D6" w14:textId="661202FA" w:rsidR="007B3CED" w:rsidRDefault="007B3CED" w:rsidP="0025114C">
      <w:pPr>
        <w:shd w:val="clear" w:color="auto" w:fill="FFFFFF"/>
        <w:spacing w:before="100" w:beforeAutospacing="1" w:after="100" w:afterAutospacing="1"/>
        <w:rPr>
          <w:rFonts w:ascii="Times New Roman" w:hAnsi="Times New Roman"/>
        </w:rPr>
      </w:pPr>
      <w:r>
        <w:rPr>
          <w:rFonts w:ascii="Times New Roman" w:hAnsi="Times New Roman"/>
        </w:rPr>
        <w:t xml:space="preserve">Prior to the SIP regime commencing, some alternative carriers were subject to </w:t>
      </w:r>
      <w:r w:rsidR="00FC1B1D">
        <w:rPr>
          <w:rFonts w:ascii="Times New Roman" w:hAnsi="Times New Roman"/>
        </w:rPr>
        <w:t xml:space="preserve">carrier </w:t>
      </w:r>
      <w:r>
        <w:rPr>
          <w:rFonts w:ascii="Times New Roman" w:hAnsi="Times New Roman"/>
        </w:rPr>
        <w:t xml:space="preserve">licence conditions which required them to supply carriage services, on reasonable request, in development areas specified in the </w:t>
      </w:r>
      <w:r w:rsidR="00FC1B1D">
        <w:rPr>
          <w:rFonts w:ascii="Times New Roman" w:hAnsi="Times New Roman"/>
        </w:rPr>
        <w:t xml:space="preserve">carrier </w:t>
      </w:r>
      <w:r>
        <w:rPr>
          <w:rFonts w:ascii="Times New Roman" w:hAnsi="Times New Roman"/>
        </w:rPr>
        <w:t>licence condition</w:t>
      </w:r>
      <w:r w:rsidR="00FC1B1D">
        <w:rPr>
          <w:rFonts w:ascii="Times New Roman" w:hAnsi="Times New Roman"/>
        </w:rPr>
        <w:t xml:space="preserve"> declarations</w:t>
      </w:r>
      <w:r w:rsidR="0061209F">
        <w:rPr>
          <w:rFonts w:ascii="Times New Roman" w:hAnsi="Times New Roman"/>
        </w:rPr>
        <w:t>. This was</w:t>
      </w:r>
      <w:r w:rsidR="00800E7C">
        <w:rPr>
          <w:rFonts w:ascii="Times New Roman" w:hAnsi="Times New Roman"/>
        </w:rPr>
        <w:t xml:space="preserve"> on the basis</w:t>
      </w:r>
      <w:r>
        <w:rPr>
          <w:rFonts w:ascii="Times New Roman" w:hAnsi="Times New Roman"/>
        </w:rPr>
        <w:t xml:space="preserve"> they had contracted to install telecommunications networks</w:t>
      </w:r>
      <w:r w:rsidR="00800E7C">
        <w:rPr>
          <w:rFonts w:ascii="Times New Roman" w:hAnsi="Times New Roman"/>
        </w:rPr>
        <w:t xml:space="preserve"> in those areas</w:t>
      </w:r>
      <w:r>
        <w:rPr>
          <w:rFonts w:ascii="Times New Roman" w:hAnsi="Times New Roman"/>
        </w:rPr>
        <w:t xml:space="preserve">. </w:t>
      </w:r>
      <w:r w:rsidR="0061209F">
        <w:rPr>
          <w:rFonts w:ascii="Times New Roman" w:hAnsi="Times New Roman"/>
        </w:rPr>
        <w:t xml:space="preserve">The carriers were NT Technology Services, OptiComm and Pivit. </w:t>
      </w:r>
      <w:r>
        <w:rPr>
          <w:rFonts w:ascii="Times New Roman" w:hAnsi="Times New Roman"/>
        </w:rPr>
        <w:t xml:space="preserve">In total 48 such development areas were subject to licence conditions, set out in three </w:t>
      </w:r>
      <w:r w:rsidR="0095290F">
        <w:rPr>
          <w:rFonts w:ascii="Times New Roman" w:hAnsi="Times New Roman"/>
        </w:rPr>
        <w:t>carrier licence condition declarations</w:t>
      </w:r>
      <w:r>
        <w:rPr>
          <w:rFonts w:ascii="Times New Roman" w:hAnsi="Times New Roman"/>
        </w:rPr>
        <w:t>:</w:t>
      </w:r>
    </w:p>
    <w:p w14:paraId="7923C6E0" w14:textId="77777777" w:rsidR="007B3CED" w:rsidRPr="008146AD" w:rsidRDefault="007B3CED" w:rsidP="007B3CED">
      <w:pPr>
        <w:pStyle w:val="ListParagraph"/>
        <w:numPr>
          <w:ilvl w:val="0"/>
          <w:numId w:val="11"/>
        </w:numPr>
        <w:shd w:val="clear" w:color="auto" w:fill="FFFFFF"/>
      </w:pPr>
      <w:r w:rsidRPr="008146AD">
        <w:t xml:space="preserve">the </w:t>
      </w:r>
      <w:r w:rsidRPr="008146AD">
        <w:rPr>
          <w:i/>
        </w:rPr>
        <w:t>Carrier Licence Conditions (OptiComm Co Pty Ltd) Declaration 2013</w:t>
      </w:r>
      <w:r w:rsidRPr="008146AD">
        <w:t>;</w:t>
      </w:r>
    </w:p>
    <w:p w14:paraId="6C917862" w14:textId="77777777" w:rsidR="007B3CED" w:rsidRPr="008146AD" w:rsidRDefault="007B3CED" w:rsidP="007B3CED">
      <w:pPr>
        <w:pStyle w:val="ListParagraph"/>
        <w:numPr>
          <w:ilvl w:val="0"/>
          <w:numId w:val="11"/>
        </w:numPr>
        <w:shd w:val="clear" w:color="auto" w:fill="FFFFFF"/>
      </w:pPr>
      <w:r w:rsidRPr="008146AD">
        <w:lastRenderedPageBreak/>
        <w:t xml:space="preserve">the </w:t>
      </w:r>
      <w:r w:rsidRPr="008146AD">
        <w:rPr>
          <w:i/>
        </w:rPr>
        <w:t>Carrier Licence Conditions (Pivit Pty Ltd) Declaration 2013</w:t>
      </w:r>
      <w:r w:rsidRPr="008146AD">
        <w:t>;</w:t>
      </w:r>
      <w:r>
        <w:t xml:space="preserve"> and</w:t>
      </w:r>
    </w:p>
    <w:p w14:paraId="23C42EEE" w14:textId="77777777" w:rsidR="007B3CED" w:rsidRDefault="007B3CED" w:rsidP="007B3CED">
      <w:pPr>
        <w:pStyle w:val="ListParagraph"/>
        <w:numPr>
          <w:ilvl w:val="0"/>
          <w:numId w:val="11"/>
        </w:numPr>
        <w:shd w:val="clear" w:color="auto" w:fill="FFFFFF"/>
      </w:pPr>
      <w:r w:rsidRPr="008146AD">
        <w:t xml:space="preserve">the </w:t>
      </w:r>
      <w:r w:rsidRPr="008146AD">
        <w:rPr>
          <w:i/>
        </w:rPr>
        <w:t>Carrier Licence Conditions (NT Technology Services Pty Ltd) Declaration 2014</w:t>
      </w:r>
      <w:r>
        <w:t>.</w:t>
      </w:r>
    </w:p>
    <w:p w14:paraId="162C0A30" w14:textId="720951EC" w:rsidR="0061209F" w:rsidRDefault="00652786" w:rsidP="0025114C">
      <w:pPr>
        <w:shd w:val="clear" w:color="auto" w:fill="FFFFFF"/>
        <w:spacing w:before="100" w:beforeAutospacing="1" w:after="100" w:afterAutospacing="1"/>
        <w:rPr>
          <w:rFonts w:ascii="Times New Roman" w:hAnsi="Times New Roman"/>
        </w:rPr>
      </w:pPr>
      <w:r>
        <w:rPr>
          <w:rFonts w:ascii="Times New Roman" w:hAnsi="Times New Roman"/>
        </w:rPr>
        <w:t xml:space="preserve">Under section 360J of the Act, the development areas specified in these </w:t>
      </w:r>
      <w:r w:rsidR="003D3FF7">
        <w:rPr>
          <w:rFonts w:ascii="Times New Roman" w:hAnsi="Times New Roman"/>
        </w:rPr>
        <w:t xml:space="preserve">three </w:t>
      </w:r>
      <w:r w:rsidR="00FC1B1D">
        <w:rPr>
          <w:rFonts w:ascii="Times New Roman" w:hAnsi="Times New Roman"/>
        </w:rPr>
        <w:t>d</w:t>
      </w:r>
      <w:r w:rsidR="003D3FF7">
        <w:rPr>
          <w:rFonts w:ascii="Times New Roman" w:hAnsi="Times New Roman"/>
        </w:rPr>
        <w:t>eclarations</w:t>
      </w:r>
      <w:r>
        <w:rPr>
          <w:rFonts w:ascii="Times New Roman" w:hAnsi="Times New Roman"/>
        </w:rPr>
        <w:t xml:space="preserve"> became ‘nominated service areas’ on the commencement of the SIP regime, and under </w:t>
      </w:r>
      <w:r w:rsidR="007E081C">
        <w:rPr>
          <w:rFonts w:ascii="Times New Roman" w:hAnsi="Times New Roman"/>
        </w:rPr>
        <w:t>sub</w:t>
      </w:r>
      <w:r>
        <w:rPr>
          <w:rFonts w:ascii="Times New Roman" w:hAnsi="Times New Roman"/>
        </w:rPr>
        <w:t>section 360K</w:t>
      </w:r>
      <w:r w:rsidR="007E081C">
        <w:rPr>
          <w:rFonts w:ascii="Times New Roman" w:hAnsi="Times New Roman"/>
        </w:rPr>
        <w:t>(3)</w:t>
      </w:r>
      <w:r>
        <w:rPr>
          <w:rFonts w:ascii="Times New Roman" w:hAnsi="Times New Roman"/>
        </w:rPr>
        <w:t xml:space="preserve"> the carriers subject to the licence conditions</w:t>
      </w:r>
      <w:r w:rsidR="003D3FF7">
        <w:rPr>
          <w:rFonts w:ascii="Times New Roman" w:hAnsi="Times New Roman"/>
        </w:rPr>
        <w:t xml:space="preserve"> under the </w:t>
      </w:r>
      <w:r w:rsidR="00FC1B1D">
        <w:rPr>
          <w:rFonts w:ascii="Times New Roman" w:hAnsi="Times New Roman"/>
        </w:rPr>
        <w:t>d</w:t>
      </w:r>
      <w:r w:rsidR="003D3FF7">
        <w:rPr>
          <w:rFonts w:ascii="Times New Roman" w:hAnsi="Times New Roman"/>
        </w:rPr>
        <w:t>eclarations</w:t>
      </w:r>
      <w:r>
        <w:rPr>
          <w:rFonts w:ascii="Times New Roman" w:hAnsi="Times New Roman"/>
        </w:rPr>
        <w:t xml:space="preserve"> became the SIPs for those nominated service areas.</w:t>
      </w:r>
    </w:p>
    <w:p w14:paraId="38492685" w14:textId="506A397B" w:rsidR="007B3CED" w:rsidRDefault="007B3CED" w:rsidP="0025114C">
      <w:pPr>
        <w:shd w:val="clear" w:color="auto" w:fill="FFFFFF"/>
        <w:spacing w:before="100" w:beforeAutospacing="1" w:after="100" w:afterAutospacing="1"/>
        <w:rPr>
          <w:rFonts w:ascii="Times New Roman" w:hAnsi="Times New Roman"/>
        </w:rPr>
      </w:pPr>
      <w:r>
        <w:rPr>
          <w:rFonts w:ascii="Times New Roman" w:hAnsi="Times New Roman"/>
        </w:rPr>
        <w:t xml:space="preserve">This conferred two main obligations on the carriers. First, they </w:t>
      </w:r>
      <w:r w:rsidR="006B157D">
        <w:rPr>
          <w:rFonts w:ascii="Times New Roman" w:hAnsi="Times New Roman"/>
        </w:rPr>
        <w:t>ar</w:t>
      </w:r>
      <w:r>
        <w:rPr>
          <w:rFonts w:ascii="Times New Roman" w:hAnsi="Times New Roman"/>
        </w:rPr>
        <w:t xml:space="preserve">e required to connect premises to networks in the nominated service areas on reasonable request from a carriage service provider. Second, </w:t>
      </w:r>
      <w:r w:rsidR="006B157D">
        <w:rPr>
          <w:rFonts w:ascii="Times New Roman" w:hAnsi="Times New Roman"/>
        </w:rPr>
        <w:t xml:space="preserve">and also on reasonable request from a carriage service provider, </w:t>
      </w:r>
      <w:r>
        <w:rPr>
          <w:rFonts w:ascii="Times New Roman" w:hAnsi="Times New Roman"/>
        </w:rPr>
        <w:t xml:space="preserve">they </w:t>
      </w:r>
      <w:r w:rsidR="006B157D">
        <w:rPr>
          <w:rFonts w:ascii="Times New Roman" w:hAnsi="Times New Roman"/>
        </w:rPr>
        <w:t>ar</w:t>
      </w:r>
      <w:r>
        <w:rPr>
          <w:rFonts w:ascii="Times New Roman" w:hAnsi="Times New Roman"/>
        </w:rPr>
        <w:t xml:space="preserve">e required to supply wholesale services that are capable of being used by </w:t>
      </w:r>
      <w:r w:rsidR="006B157D">
        <w:rPr>
          <w:rFonts w:ascii="Times New Roman" w:hAnsi="Times New Roman"/>
        </w:rPr>
        <w:t>carriage service</w:t>
      </w:r>
      <w:r>
        <w:rPr>
          <w:rFonts w:ascii="Times New Roman" w:hAnsi="Times New Roman"/>
        </w:rPr>
        <w:t xml:space="preserve"> providers to supply retail broadband services with peak download and upload speeds of at least 25/5 Mbps. On fixed-line and fixed wireless networks, the wholesale services that SIPs supply </w:t>
      </w:r>
      <w:r w:rsidR="006B157D">
        <w:rPr>
          <w:rFonts w:ascii="Times New Roman" w:hAnsi="Times New Roman"/>
        </w:rPr>
        <w:t>must</w:t>
      </w:r>
      <w:r>
        <w:rPr>
          <w:rFonts w:ascii="Times New Roman" w:hAnsi="Times New Roman"/>
        </w:rPr>
        <w:t xml:space="preserve"> also </w:t>
      </w:r>
      <w:r w:rsidR="006B157D">
        <w:rPr>
          <w:rFonts w:ascii="Times New Roman" w:hAnsi="Times New Roman"/>
        </w:rPr>
        <w:t>be capable of being used by carriage service</w:t>
      </w:r>
      <w:r>
        <w:rPr>
          <w:rFonts w:ascii="Times New Roman" w:hAnsi="Times New Roman"/>
        </w:rPr>
        <w:t xml:space="preserve"> providers to supply </w:t>
      </w:r>
      <w:r w:rsidR="006B157D">
        <w:rPr>
          <w:rFonts w:ascii="Times New Roman" w:hAnsi="Times New Roman"/>
        </w:rPr>
        <w:t xml:space="preserve">retail </w:t>
      </w:r>
      <w:r>
        <w:rPr>
          <w:rFonts w:ascii="Times New Roman" w:hAnsi="Times New Roman"/>
        </w:rPr>
        <w:t>voice services.</w:t>
      </w:r>
    </w:p>
    <w:p w14:paraId="69578FC9" w14:textId="77777777" w:rsidR="006B157D" w:rsidRDefault="00800E7C" w:rsidP="0025114C">
      <w:pPr>
        <w:shd w:val="clear" w:color="auto" w:fill="FFFFFF"/>
        <w:spacing w:before="100" w:beforeAutospacing="1" w:after="100" w:afterAutospacing="1"/>
        <w:rPr>
          <w:rFonts w:ascii="Times New Roman" w:hAnsi="Times New Roman"/>
        </w:rPr>
      </w:pPr>
      <w:r>
        <w:rPr>
          <w:rFonts w:ascii="Times New Roman" w:hAnsi="Times New Roman"/>
        </w:rPr>
        <w:t xml:space="preserve"> </w:t>
      </w:r>
      <w:r w:rsidR="007E081C">
        <w:rPr>
          <w:rFonts w:ascii="Times New Roman" w:hAnsi="Times New Roman"/>
        </w:rPr>
        <w:t xml:space="preserve">In </w:t>
      </w:r>
      <w:r w:rsidR="002B0A5B">
        <w:rPr>
          <w:rFonts w:ascii="Times New Roman" w:hAnsi="Times New Roman"/>
        </w:rPr>
        <w:t>light</w:t>
      </w:r>
      <w:r w:rsidR="007E081C">
        <w:rPr>
          <w:rFonts w:ascii="Times New Roman" w:hAnsi="Times New Roman"/>
        </w:rPr>
        <w:t xml:space="preserve"> of these new obligations, t</w:t>
      </w:r>
      <w:r>
        <w:rPr>
          <w:rFonts w:ascii="Times New Roman" w:hAnsi="Times New Roman"/>
        </w:rPr>
        <w:t xml:space="preserve">he </w:t>
      </w:r>
      <w:r w:rsidR="00C1069C">
        <w:rPr>
          <w:rFonts w:ascii="Times New Roman" w:hAnsi="Times New Roman"/>
        </w:rPr>
        <w:t xml:space="preserve">three carrier licence conditions declarations were </w:t>
      </w:r>
      <w:r>
        <w:rPr>
          <w:rFonts w:ascii="Times New Roman" w:hAnsi="Times New Roman"/>
        </w:rPr>
        <w:t xml:space="preserve">therefore </w:t>
      </w:r>
      <w:r w:rsidR="00C1069C">
        <w:rPr>
          <w:rFonts w:ascii="Times New Roman" w:hAnsi="Times New Roman"/>
        </w:rPr>
        <w:t xml:space="preserve">repealed (see Part 2 of Schedule 3 to the </w:t>
      </w:r>
      <w:r w:rsidR="00C1069C">
        <w:rPr>
          <w:rFonts w:ascii="Times New Roman" w:hAnsi="Times New Roman"/>
          <w:i/>
        </w:rPr>
        <w:t>Telecommunications Legislation Amendment (Competition and Consumer) Act 2020</w:t>
      </w:r>
      <w:r w:rsidR="00C1069C">
        <w:rPr>
          <w:rFonts w:ascii="Times New Roman" w:hAnsi="Times New Roman"/>
        </w:rPr>
        <w:t>).</w:t>
      </w:r>
    </w:p>
    <w:p w14:paraId="5F33F932" w14:textId="48D20CCD" w:rsidR="007B3CED" w:rsidRDefault="00232AB6" w:rsidP="0025114C">
      <w:pPr>
        <w:shd w:val="clear" w:color="auto" w:fill="FFFFFF"/>
        <w:spacing w:before="100" w:beforeAutospacing="1" w:after="100" w:afterAutospacing="1"/>
        <w:rPr>
          <w:rFonts w:ascii="Times New Roman" w:hAnsi="Times New Roman"/>
        </w:rPr>
      </w:pPr>
      <w:r>
        <w:rPr>
          <w:rFonts w:ascii="Times New Roman" w:hAnsi="Times New Roman"/>
        </w:rPr>
        <w:t>Over time, a</w:t>
      </w:r>
      <w:r w:rsidR="007B3CED">
        <w:rPr>
          <w:rFonts w:ascii="Times New Roman" w:hAnsi="Times New Roman"/>
        </w:rPr>
        <w:t>lternative carriers may acquire networks from other carriers</w:t>
      </w:r>
      <w:r w:rsidR="0052363C">
        <w:rPr>
          <w:rFonts w:ascii="Times New Roman" w:hAnsi="Times New Roman"/>
        </w:rPr>
        <w:t xml:space="preserve"> or replace them with other networks</w:t>
      </w:r>
      <w:r w:rsidR="007B3CED">
        <w:rPr>
          <w:rFonts w:ascii="Times New Roman" w:hAnsi="Times New Roman"/>
        </w:rPr>
        <w:t xml:space="preserve">, so the Act contains a power for the Minister to </w:t>
      </w:r>
      <w:r w:rsidR="00FC1B1D">
        <w:rPr>
          <w:rFonts w:ascii="Times New Roman" w:hAnsi="Times New Roman"/>
        </w:rPr>
        <w:t>substitute</w:t>
      </w:r>
      <w:r w:rsidR="007B3CED">
        <w:rPr>
          <w:rFonts w:ascii="Times New Roman" w:hAnsi="Times New Roman"/>
        </w:rPr>
        <w:t xml:space="preserve"> the SIP for a nominated service area created </w:t>
      </w:r>
      <w:r w:rsidR="00FC1B1D" w:rsidRPr="00FC1B1D">
        <w:rPr>
          <w:rFonts w:ascii="Times New Roman" w:hAnsi="Times New Roman"/>
        </w:rPr>
        <w:t>by</w:t>
      </w:r>
      <w:r w:rsidR="00FC1B1D">
        <w:rPr>
          <w:rFonts w:ascii="Times New Roman" w:hAnsi="Times New Roman"/>
        </w:rPr>
        <w:t xml:space="preserve"> </w:t>
      </w:r>
      <w:r w:rsidR="007B3CED">
        <w:rPr>
          <w:rFonts w:ascii="Times New Roman" w:hAnsi="Times New Roman"/>
        </w:rPr>
        <w:t>subsection 360</w:t>
      </w:r>
      <w:r>
        <w:rPr>
          <w:rFonts w:ascii="Times New Roman" w:hAnsi="Times New Roman"/>
        </w:rPr>
        <w:t xml:space="preserve">J, by declaring </w:t>
      </w:r>
      <w:r w:rsidR="0061209F">
        <w:rPr>
          <w:rFonts w:ascii="Times New Roman" w:hAnsi="Times New Roman"/>
        </w:rPr>
        <w:t>under subsection 360K(4)</w:t>
      </w:r>
      <w:r w:rsidR="0061209F">
        <w:rPr>
          <w:rFonts w:ascii="Times New Roman" w:hAnsi="Times New Roman"/>
        </w:rPr>
        <w:t xml:space="preserve"> </w:t>
      </w:r>
      <w:r w:rsidRPr="00232AB6">
        <w:rPr>
          <w:rFonts w:ascii="Times New Roman" w:hAnsi="Times New Roman"/>
        </w:rPr>
        <w:t xml:space="preserve">that </w:t>
      </w:r>
      <w:r w:rsidR="00FC1B1D">
        <w:rPr>
          <w:rFonts w:ascii="Times New Roman" w:hAnsi="Times New Roman"/>
        </w:rPr>
        <w:t xml:space="preserve">subsection 360K(3) does not apply to a specified nominated service area, and that </w:t>
      </w:r>
      <w:r w:rsidRPr="00232AB6">
        <w:rPr>
          <w:rFonts w:ascii="Times New Roman" w:hAnsi="Times New Roman"/>
        </w:rPr>
        <w:t xml:space="preserve">a different specified carrier is the </w:t>
      </w:r>
      <w:r w:rsidRPr="00232AB6">
        <w:rPr>
          <w:rFonts w:ascii="Times New Roman" w:hAnsi="Times New Roman"/>
          <w:bCs/>
          <w:iCs/>
        </w:rPr>
        <w:t>statutory infrastructure provider</w:t>
      </w:r>
      <w:r w:rsidRPr="00232AB6">
        <w:rPr>
          <w:rFonts w:ascii="Times New Roman" w:hAnsi="Times New Roman"/>
        </w:rPr>
        <w:t xml:space="preserve"> for the nominated service area</w:t>
      </w:r>
      <w:r>
        <w:rPr>
          <w:rFonts w:ascii="Times New Roman" w:hAnsi="Times New Roman"/>
        </w:rPr>
        <w:t>.</w:t>
      </w:r>
    </w:p>
    <w:p w14:paraId="67EBD192" w14:textId="77777777" w:rsidR="007B3CED" w:rsidRDefault="006B157D" w:rsidP="0025114C">
      <w:pPr>
        <w:shd w:val="clear" w:color="auto" w:fill="FFFFFF"/>
        <w:spacing w:before="100" w:beforeAutospacing="1" w:after="100" w:afterAutospacing="1"/>
        <w:rPr>
          <w:rFonts w:ascii="Times New Roman" w:hAnsi="Times New Roman"/>
        </w:rPr>
      </w:pPr>
      <w:r>
        <w:rPr>
          <w:rFonts w:ascii="Times New Roman" w:hAnsi="Times New Roman"/>
        </w:rPr>
        <w:t xml:space="preserve">After the commencement of the SIP regime, NT Technology Services advised the Department of Infrastructure, Transport, Regional Development and Communications (the Department) that it had sold </w:t>
      </w:r>
      <w:r w:rsidR="00800E7C">
        <w:rPr>
          <w:rFonts w:ascii="Times New Roman" w:hAnsi="Times New Roman"/>
        </w:rPr>
        <w:t>the five</w:t>
      </w:r>
      <w:r>
        <w:rPr>
          <w:rFonts w:ascii="Times New Roman" w:hAnsi="Times New Roman"/>
        </w:rPr>
        <w:t xml:space="preserve"> networks </w:t>
      </w:r>
      <w:r w:rsidR="00800E7C">
        <w:rPr>
          <w:rFonts w:ascii="Times New Roman" w:hAnsi="Times New Roman"/>
        </w:rPr>
        <w:t xml:space="preserve">that were subject to its licence conditions </w:t>
      </w:r>
      <w:r w:rsidR="0052363C">
        <w:rPr>
          <w:rFonts w:ascii="Times New Roman" w:hAnsi="Times New Roman"/>
        </w:rPr>
        <w:t xml:space="preserve">to OptiComm Ltd </w:t>
      </w:r>
      <w:r w:rsidR="00800E7C">
        <w:rPr>
          <w:rFonts w:ascii="Times New Roman" w:hAnsi="Times New Roman"/>
        </w:rPr>
        <w:t>(‘Forte’, ‘EXO’, ‘Serrata’, ‘Convesso’ and ‘Concavo’, all in the Docklands in Melbourne)</w:t>
      </w:r>
      <w:r>
        <w:rPr>
          <w:rFonts w:ascii="Times New Roman" w:hAnsi="Times New Roman"/>
        </w:rPr>
        <w:t xml:space="preserve">. Pivit also advised the Department </w:t>
      </w:r>
      <w:r w:rsidR="00800E7C">
        <w:rPr>
          <w:rFonts w:ascii="Times New Roman" w:hAnsi="Times New Roman"/>
        </w:rPr>
        <w:t>that it had sold two networks to</w:t>
      </w:r>
      <w:r>
        <w:rPr>
          <w:rFonts w:ascii="Times New Roman" w:hAnsi="Times New Roman"/>
        </w:rPr>
        <w:t xml:space="preserve"> LBN Co Pty Ltd</w:t>
      </w:r>
      <w:r w:rsidR="0052363C">
        <w:rPr>
          <w:rFonts w:ascii="Times New Roman" w:hAnsi="Times New Roman"/>
        </w:rPr>
        <w:t xml:space="preserve"> (</w:t>
      </w:r>
      <w:r w:rsidR="00800E7C">
        <w:rPr>
          <w:rFonts w:ascii="Times New Roman" w:hAnsi="Times New Roman"/>
        </w:rPr>
        <w:t>Elements Retirement Living in Springwood, Queensland, and Kelvin Grove Urban Village in Kelvin Grove, Queensland</w:t>
      </w:r>
      <w:r w:rsidR="0052363C">
        <w:rPr>
          <w:rFonts w:ascii="Times New Roman" w:hAnsi="Times New Roman"/>
        </w:rPr>
        <w:t>)</w:t>
      </w:r>
      <w:r w:rsidR="00800E7C">
        <w:rPr>
          <w:rFonts w:ascii="Times New Roman" w:hAnsi="Times New Roman"/>
        </w:rPr>
        <w:t xml:space="preserve">. Pivit also advised </w:t>
      </w:r>
      <w:r>
        <w:rPr>
          <w:rFonts w:ascii="Times New Roman" w:hAnsi="Times New Roman"/>
        </w:rPr>
        <w:t>that it had migrated its customers</w:t>
      </w:r>
      <w:r w:rsidR="00800E7C">
        <w:rPr>
          <w:rFonts w:ascii="Times New Roman" w:hAnsi="Times New Roman"/>
        </w:rPr>
        <w:t xml:space="preserve"> on its network in Little Bay Estate in Sydney</w:t>
      </w:r>
      <w:r>
        <w:rPr>
          <w:rFonts w:ascii="Times New Roman" w:hAnsi="Times New Roman"/>
        </w:rPr>
        <w:t xml:space="preserve"> to LBN Co’s networks in </w:t>
      </w:r>
      <w:r w:rsidR="00046B29">
        <w:rPr>
          <w:rFonts w:ascii="Times New Roman" w:hAnsi="Times New Roman"/>
        </w:rPr>
        <w:t>the same service area,</w:t>
      </w:r>
      <w:r>
        <w:rPr>
          <w:rFonts w:ascii="Times New Roman" w:hAnsi="Times New Roman"/>
        </w:rPr>
        <w:t xml:space="preserve"> and had therefore ceased to operate </w:t>
      </w:r>
      <w:r w:rsidR="00046B29">
        <w:rPr>
          <w:rFonts w:ascii="Times New Roman" w:hAnsi="Times New Roman"/>
        </w:rPr>
        <w:t xml:space="preserve">a </w:t>
      </w:r>
      <w:r>
        <w:rPr>
          <w:rFonts w:ascii="Times New Roman" w:hAnsi="Times New Roman"/>
        </w:rPr>
        <w:t>network in the area.</w:t>
      </w:r>
    </w:p>
    <w:p w14:paraId="5CD3C925" w14:textId="77777777" w:rsidR="006B157D" w:rsidRPr="001D0379" w:rsidRDefault="006B157D" w:rsidP="0025114C">
      <w:pPr>
        <w:shd w:val="clear" w:color="auto" w:fill="FFFFFF"/>
        <w:spacing w:before="100" w:beforeAutospacing="1" w:after="100" w:afterAutospacing="1"/>
        <w:rPr>
          <w:rFonts w:ascii="Times New Roman" w:hAnsi="Times New Roman"/>
        </w:rPr>
      </w:pPr>
      <w:r>
        <w:rPr>
          <w:rFonts w:ascii="Times New Roman" w:hAnsi="Times New Roman"/>
        </w:rPr>
        <w:t xml:space="preserve">This Declaration therefore </w:t>
      </w:r>
      <w:r w:rsidR="0095290F">
        <w:rPr>
          <w:rFonts w:ascii="Times New Roman" w:hAnsi="Times New Roman"/>
        </w:rPr>
        <w:t xml:space="preserve">substitutes </w:t>
      </w:r>
      <w:r>
        <w:rPr>
          <w:rFonts w:ascii="Times New Roman" w:hAnsi="Times New Roman"/>
        </w:rPr>
        <w:t xml:space="preserve">the SIPs </w:t>
      </w:r>
      <w:r w:rsidRPr="00046B29">
        <w:rPr>
          <w:rFonts w:ascii="Times New Roman" w:hAnsi="Times New Roman"/>
        </w:rPr>
        <w:t xml:space="preserve">for the </w:t>
      </w:r>
      <w:r w:rsidRPr="005F28C2">
        <w:rPr>
          <w:rFonts w:ascii="Times New Roman" w:hAnsi="Times New Roman"/>
        </w:rPr>
        <w:t>eight</w:t>
      </w:r>
      <w:r w:rsidRPr="00046B29">
        <w:rPr>
          <w:rFonts w:ascii="Times New Roman" w:hAnsi="Times New Roman"/>
        </w:rPr>
        <w:t xml:space="preserve"> nominated service areas so that OptiComm </w:t>
      </w:r>
      <w:r w:rsidR="0031795D">
        <w:rPr>
          <w:rFonts w:ascii="Times New Roman" w:hAnsi="Times New Roman"/>
        </w:rPr>
        <w:t>will now be the SIP for five nominated service areas</w:t>
      </w:r>
      <w:r>
        <w:rPr>
          <w:rFonts w:ascii="Times New Roman" w:hAnsi="Times New Roman"/>
        </w:rPr>
        <w:t xml:space="preserve"> </w:t>
      </w:r>
      <w:r w:rsidR="0052363C">
        <w:rPr>
          <w:rFonts w:ascii="Times New Roman" w:hAnsi="Times New Roman"/>
        </w:rPr>
        <w:t xml:space="preserve">previously serviced by </w:t>
      </w:r>
      <w:r w:rsidR="0052363C" w:rsidRPr="0052363C">
        <w:rPr>
          <w:rFonts w:ascii="Times New Roman" w:hAnsi="Times New Roman"/>
        </w:rPr>
        <w:t xml:space="preserve">NT Technology Services </w:t>
      </w:r>
      <w:r>
        <w:rPr>
          <w:rFonts w:ascii="Times New Roman" w:hAnsi="Times New Roman"/>
        </w:rPr>
        <w:t xml:space="preserve">and LBN </w:t>
      </w:r>
      <w:r w:rsidR="0031795D">
        <w:rPr>
          <w:rFonts w:ascii="Times New Roman" w:hAnsi="Times New Roman"/>
        </w:rPr>
        <w:t>Co will be the SIP for three nominated service areas</w:t>
      </w:r>
      <w:r w:rsidR="0052363C" w:rsidRPr="0052363C">
        <w:rPr>
          <w:rFonts w:ascii="Times New Roman" w:hAnsi="Times New Roman"/>
        </w:rPr>
        <w:t xml:space="preserve"> </w:t>
      </w:r>
      <w:r w:rsidR="0052363C">
        <w:rPr>
          <w:rFonts w:ascii="Times New Roman" w:hAnsi="Times New Roman"/>
        </w:rPr>
        <w:t>previously serviced by Pivit</w:t>
      </w:r>
      <w:r>
        <w:rPr>
          <w:rFonts w:ascii="Times New Roman" w:hAnsi="Times New Roman"/>
        </w:rPr>
        <w:t>.</w:t>
      </w:r>
    </w:p>
    <w:p w14:paraId="43D87AFD" w14:textId="77777777" w:rsidR="00AA0DC5" w:rsidRDefault="00AA0DC5" w:rsidP="00AA0DC5">
      <w:pPr>
        <w:shd w:val="clear" w:color="auto" w:fill="FFFFFF"/>
        <w:spacing w:before="100" w:beforeAutospacing="1" w:after="100" w:afterAutospacing="1"/>
        <w:rPr>
          <w:rFonts w:ascii="Times New Roman" w:hAnsi="Times New Roman"/>
        </w:rPr>
      </w:pPr>
      <w:r w:rsidRPr="008B3FB3">
        <w:rPr>
          <w:rFonts w:ascii="Times New Roman" w:hAnsi="Times New Roman"/>
        </w:rPr>
        <w:t xml:space="preserve">For </w:t>
      </w:r>
      <w:r>
        <w:rPr>
          <w:rFonts w:ascii="Times New Roman" w:hAnsi="Times New Roman"/>
        </w:rPr>
        <w:t>ease of reference for the reader</w:t>
      </w:r>
      <w:r w:rsidRPr="008B3FB3">
        <w:rPr>
          <w:rFonts w:ascii="Times New Roman" w:hAnsi="Times New Roman"/>
        </w:rPr>
        <w:t xml:space="preserve">, LBN Co Pty Ltd </w:t>
      </w:r>
      <w:r w:rsidR="00A0759B">
        <w:rPr>
          <w:rFonts w:ascii="Times New Roman" w:hAnsi="Times New Roman"/>
        </w:rPr>
        <w:t>is a subsidiary</w:t>
      </w:r>
      <w:r>
        <w:rPr>
          <w:rFonts w:ascii="Times New Roman" w:hAnsi="Times New Roman"/>
        </w:rPr>
        <w:t xml:space="preserve"> of Uniti Group Ltd (formerly Uniti Wireless Pty Ltd)</w:t>
      </w:r>
      <w:r w:rsidRPr="008B3FB3">
        <w:rPr>
          <w:rFonts w:ascii="Times New Roman" w:hAnsi="Times New Roman"/>
        </w:rPr>
        <w:t>.</w:t>
      </w:r>
    </w:p>
    <w:p w14:paraId="62F320FD" w14:textId="77777777" w:rsidR="00232AB6" w:rsidRDefault="00232AB6" w:rsidP="00AA0DC5">
      <w:pPr>
        <w:shd w:val="clear" w:color="auto" w:fill="FFFFFF"/>
        <w:spacing w:before="100" w:beforeAutospacing="1" w:after="100" w:afterAutospacing="1"/>
        <w:rPr>
          <w:rFonts w:ascii="Times New Roman" w:hAnsi="Times New Roman"/>
        </w:rPr>
      </w:pPr>
      <w:r>
        <w:rPr>
          <w:rFonts w:ascii="Times New Roman" w:hAnsi="Times New Roman"/>
        </w:rPr>
        <w:lastRenderedPageBreak/>
        <w:t>Nominated service areas, along with their SIPs, are recorded by the Australian Communications and Media Authority on a SIP register available on its website.</w:t>
      </w:r>
      <w:r>
        <w:rPr>
          <w:rStyle w:val="FootnoteReference"/>
          <w:rFonts w:ascii="Times New Roman" w:hAnsi="Times New Roman"/>
        </w:rPr>
        <w:footnoteReference w:id="1"/>
      </w:r>
    </w:p>
    <w:p w14:paraId="24456506" w14:textId="77777777" w:rsidR="007B3CED" w:rsidRPr="00AD12DD" w:rsidRDefault="007B3CED" w:rsidP="007B3CED">
      <w:pPr>
        <w:shd w:val="clear" w:color="auto" w:fill="FFFFFF"/>
        <w:spacing w:before="100" w:beforeAutospacing="1" w:after="100" w:afterAutospacing="1"/>
        <w:ind w:right="91"/>
        <w:rPr>
          <w:rFonts w:ascii="Times New Roman" w:hAnsi="Times New Roman"/>
        </w:rPr>
      </w:pPr>
      <w:r w:rsidRPr="00AD12DD">
        <w:rPr>
          <w:rFonts w:ascii="Times New Roman" w:hAnsi="Times New Roman"/>
        </w:rPr>
        <w:t xml:space="preserve">The Declaration is a legislative instrument for the purposes of the </w:t>
      </w:r>
      <w:r w:rsidRPr="00AD12DD">
        <w:rPr>
          <w:rFonts w:ascii="Times New Roman" w:hAnsi="Times New Roman"/>
          <w:i/>
          <w:iCs/>
        </w:rPr>
        <w:t>Legislation Act 2003.</w:t>
      </w:r>
      <w:r w:rsidRPr="00AD12DD">
        <w:rPr>
          <w:rFonts w:ascii="Times New Roman" w:hAnsi="Times New Roman"/>
        </w:rPr>
        <w:t xml:space="preserve"> The </w:t>
      </w:r>
      <w:r>
        <w:rPr>
          <w:rFonts w:ascii="Times New Roman" w:hAnsi="Times New Roman"/>
        </w:rPr>
        <w:t>Declaration</w:t>
      </w:r>
      <w:r w:rsidRPr="00AD12DD">
        <w:rPr>
          <w:rFonts w:ascii="Times New Roman" w:hAnsi="Times New Roman"/>
        </w:rPr>
        <w:t xml:space="preserve"> commences the day after it is registered.</w:t>
      </w:r>
    </w:p>
    <w:p w14:paraId="15416C3A" w14:textId="77777777" w:rsidR="007B3CED" w:rsidRPr="00AD12DD" w:rsidRDefault="007B3CED" w:rsidP="007B3CED">
      <w:pPr>
        <w:shd w:val="clear" w:color="auto" w:fill="FFFFFF"/>
        <w:spacing w:before="100" w:beforeAutospacing="1" w:after="100" w:afterAutospacing="1"/>
        <w:ind w:right="91"/>
        <w:rPr>
          <w:rFonts w:ascii="Times New Roman" w:hAnsi="Times New Roman"/>
          <w:u w:val="single"/>
        </w:rPr>
      </w:pPr>
      <w:r w:rsidRPr="00AD12DD">
        <w:rPr>
          <w:rFonts w:ascii="Times New Roman" w:hAnsi="Times New Roman"/>
        </w:rPr>
        <w:t xml:space="preserve">Details of the Declaration are set out in </w:t>
      </w:r>
      <w:r w:rsidRPr="00AD12DD">
        <w:rPr>
          <w:rFonts w:ascii="Times New Roman" w:hAnsi="Times New Roman"/>
          <w:u w:val="single"/>
        </w:rPr>
        <w:t>Attachment A.</w:t>
      </w:r>
    </w:p>
    <w:p w14:paraId="09E1A6C5" w14:textId="77777777" w:rsidR="00A3071A" w:rsidRPr="00C769EC" w:rsidRDefault="00204F36" w:rsidP="00A3071A">
      <w:pPr>
        <w:shd w:val="clear" w:color="auto" w:fill="FFFFFF"/>
        <w:spacing w:before="100" w:beforeAutospacing="1" w:after="100" w:afterAutospacing="1"/>
        <w:rPr>
          <w:rFonts w:ascii="Times New Roman" w:hAnsi="Times New Roman"/>
          <w:u w:val="single"/>
        </w:rPr>
      </w:pPr>
      <w:r w:rsidRPr="00C769EC">
        <w:rPr>
          <w:rFonts w:ascii="Times New Roman" w:hAnsi="Times New Roman"/>
          <w:u w:val="single"/>
        </w:rPr>
        <w:t>Consultation</w:t>
      </w:r>
    </w:p>
    <w:p w14:paraId="30C781CC" w14:textId="77777777" w:rsidR="00075CF5" w:rsidRDefault="00A3071A" w:rsidP="00A3071A">
      <w:pPr>
        <w:rPr>
          <w:rFonts w:ascii="Times New Roman" w:hAnsi="Times New Roman"/>
        </w:rPr>
      </w:pPr>
      <w:r w:rsidRPr="00C769EC">
        <w:rPr>
          <w:rFonts w:ascii="Times New Roman" w:hAnsi="Times New Roman"/>
        </w:rPr>
        <w:t xml:space="preserve">The Department </w:t>
      </w:r>
      <w:r w:rsidR="00105DCC">
        <w:rPr>
          <w:rFonts w:ascii="Times New Roman" w:hAnsi="Times New Roman"/>
        </w:rPr>
        <w:t xml:space="preserve">consulted </w:t>
      </w:r>
      <w:r w:rsidR="00075CF5">
        <w:rPr>
          <w:rFonts w:ascii="Times New Roman" w:hAnsi="Times New Roman"/>
        </w:rPr>
        <w:t xml:space="preserve">LBN Co, NT Technology Services, OptiComm and Pivit on the status of the nominated service areas. After confirming with all carriers that the nominated service areas were now being serviced by LBN Co and OptiComm, the Department provided a draft of the Declaration to LBN Co and OptiComm for comment. Neither </w:t>
      </w:r>
      <w:r w:rsidR="000E4509">
        <w:rPr>
          <w:rFonts w:ascii="Times New Roman" w:hAnsi="Times New Roman"/>
        </w:rPr>
        <w:t xml:space="preserve">raised objections to the draft of the </w:t>
      </w:r>
      <w:r w:rsidR="0050224F">
        <w:rPr>
          <w:rFonts w:ascii="Times New Roman" w:hAnsi="Times New Roman"/>
        </w:rPr>
        <w:t>Declaration</w:t>
      </w:r>
      <w:r w:rsidR="000E4509">
        <w:rPr>
          <w:rFonts w:ascii="Times New Roman" w:hAnsi="Times New Roman"/>
        </w:rPr>
        <w:t>, and supported the Department by providing the geographical boundaries of the networks they operate within the nominated service areas</w:t>
      </w:r>
      <w:r w:rsidR="00075CF5">
        <w:rPr>
          <w:rFonts w:ascii="Times New Roman" w:hAnsi="Times New Roman"/>
        </w:rPr>
        <w:t>.</w:t>
      </w:r>
    </w:p>
    <w:p w14:paraId="70CB4BB8" w14:textId="77777777" w:rsidR="00C65305" w:rsidRDefault="00C769EC" w:rsidP="00C769EC">
      <w:pPr>
        <w:rPr>
          <w:rFonts w:ascii="Times New Roman" w:hAnsi="Times New Roman"/>
        </w:rPr>
      </w:pPr>
      <w:r w:rsidRPr="00C769EC">
        <w:rPr>
          <w:rFonts w:ascii="Times New Roman" w:hAnsi="Times New Roman"/>
        </w:rPr>
        <w:t>The Department</w:t>
      </w:r>
      <w:r w:rsidR="00E918E6">
        <w:rPr>
          <w:rFonts w:ascii="Times New Roman" w:hAnsi="Times New Roman"/>
        </w:rPr>
        <w:t xml:space="preserve"> </w:t>
      </w:r>
      <w:r w:rsidR="00105DCC">
        <w:rPr>
          <w:rFonts w:ascii="Times New Roman" w:hAnsi="Times New Roman"/>
        </w:rPr>
        <w:t xml:space="preserve">also consulted the </w:t>
      </w:r>
      <w:r w:rsidR="00075CF5">
        <w:rPr>
          <w:rFonts w:ascii="Times New Roman" w:hAnsi="Times New Roman"/>
        </w:rPr>
        <w:t>Australian Communications and Media Authority</w:t>
      </w:r>
      <w:r w:rsidR="00A0759B">
        <w:rPr>
          <w:rFonts w:ascii="Times New Roman" w:hAnsi="Times New Roman"/>
        </w:rPr>
        <w:t xml:space="preserve"> </w:t>
      </w:r>
      <w:r w:rsidRPr="00C769EC">
        <w:rPr>
          <w:rFonts w:ascii="Times New Roman" w:hAnsi="Times New Roman"/>
        </w:rPr>
        <w:t xml:space="preserve">on </w:t>
      </w:r>
      <w:r w:rsidR="00A3071A" w:rsidRPr="00C769EC">
        <w:rPr>
          <w:rFonts w:ascii="Times New Roman" w:hAnsi="Times New Roman"/>
        </w:rPr>
        <w:t xml:space="preserve">a draft of the </w:t>
      </w:r>
      <w:r w:rsidR="00847325">
        <w:rPr>
          <w:rFonts w:ascii="Times New Roman" w:hAnsi="Times New Roman"/>
        </w:rPr>
        <w:t>Declaration</w:t>
      </w:r>
      <w:r w:rsidRPr="00C769EC">
        <w:rPr>
          <w:rFonts w:ascii="Times New Roman" w:hAnsi="Times New Roman"/>
        </w:rPr>
        <w:t>.</w:t>
      </w:r>
    </w:p>
    <w:p w14:paraId="4224BF2A" w14:textId="77777777" w:rsidR="00A3071A" w:rsidRPr="00C65305" w:rsidRDefault="00C65305" w:rsidP="00C65305">
      <w:pPr>
        <w:spacing w:before="100" w:beforeAutospacing="1" w:after="100" w:afterAutospacing="1"/>
        <w:rPr>
          <w:rFonts w:ascii="Times New Roman" w:hAnsi="Times New Roman"/>
          <w:bCs/>
          <w:u w:val="single"/>
        </w:rPr>
      </w:pPr>
      <w:r w:rsidRPr="00C65305">
        <w:rPr>
          <w:rFonts w:ascii="Times New Roman" w:hAnsi="Times New Roman"/>
          <w:bCs/>
          <w:u w:val="single"/>
        </w:rPr>
        <w:t>Regulatory Impact Statement</w:t>
      </w:r>
    </w:p>
    <w:p w14:paraId="16C688B3" w14:textId="77777777" w:rsidR="00A3071A" w:rsidRPr="006F6C1E" w:rsidRDefault="00A3071A" w:rsidP="00A3071A">
      <w:pPr>
        <w:spacing w:before="100" w:beforeAutospacing="1" w:after="100" w:afterAutospacing="1"/>
        <w:rPr>
          <w:rFonts w:ascii="Times New Roman" w:hAnsi="Times New Roman"/>
        </w:rPr>
      </w:pPr>
      <w:r w:rsidRPr="006F6C1E">
        <w:rPr>
          <w:rFonts w:ascii="Times New Roman" w:hAnsi="Times New Roman"/>
        </w:rPr>
        <w:t xml:space="preserve">The Office of Best Practice Regulation </w:t>
      </w:r>
      <w:r w:rsidR="002147DF">
        <w:rPr>
          <w:rFonts w:ascii="Times New Roman" w:hAnsi="Times New Roman"/>
        </w:rPr>
        <w:t xml:space="preserve">(OBPR) </w:t>
      </w:r>
      <w:r w:rsidRPr="006F6C1E">
        <w:rPr>
          <w:rFonts w:ascii="Times New Roman" w:hAnsi="Times New Roman"/>
        </w:rPr>
        <w:t xml:space="preserve">has </w:t>
      </w:r>
      <w:r w:rsidR="002147DF">
        <w:rPr>
          <w:rFonts w:ascii="Times New Roman" w:hAnsi="Times New Roman"/>
        </w:rPr>
        <w:t xml:space="preserve">advised the declaration is covered by the </w:t>
      </w:r>
      <w:r w:rsidRPr="006F6C1E">
        <w:rPr>
          <w:rFonts w:ascii="Times New Roman" w:hAnsi="Times New Roman"/>
        </w:rPr>
        <w:t xml:space="preserve">Regulation Impact Statement </w:t>
      </w:r>
      <w:r w:rsidR="002147DF">
        <w:rPr>
          <w:rFonts w:ascii="Times New Roman" w:hAnsi="Times New Roman"/>
        </w:rPr>
        <w:t>prepared</w:t>
      </w:r>
      <w:r w:rsidR="00273A0F">
        <w:rPr>
          <w:rFonts w:ascii="Times New Roman" w:hAnsi="Times New Roman"/>
        </w:rPr>
        <w:t xml:space="preserve"> for the SIP regime as a </w:t>
      </w:r>
      <w:r w:rsidR="00273A0F" w:rsidRPr="00282A56">
        <w:rPr>
          <w:rFonts w:ascii="Times New Roman" w:hAnsi="Times New Roman"/>
        </w:rPr>
        <w:t>whole (OBPR ID: 21886).</w:t>
      </w:r>
    </w:p>
    <w:p w14:paraId="5976F7B8" w14:textId="77777777" w:rsidR="00A3071A" w:rsidRPr="009255A1" w:rsidRDefault="00A3071A" w:rsidP="00A3071A">
      <w:pPr>
        <w:spacing w:before="100" w:beforeAutospacing="1" w:after="100" w:afterAutospacing="1"/>
        <w:rPr>
          <w:rFonts w:ascii="Times New Roman" w:hAnsi="Times New Roman"/>
          <w:bCs/>
          <w:u w:val="single"/>
        </w:rPr>
      </w:pPr>
      <w:r w:rsidRPr="009255A1">
        <w:rPr>
          <w:rFonts w:ascii="Times New Roman" w:hAnsi="Times New Roman"/>
          <w:bCs/>
          <w:u w:val="single"/>
        </w:rPr>
        <w:t>Statement of compatibility with human rights</w:t>
      </w:r>
    </w:p>
    <w:p w14:paraId="440A2CA1" w14:textId="77777777" w:rsidR="00A3071A" w:rsidRPr="0066786D" w:rsidRDefault="00A3071A" w:rsidP="0066786D">
      <w:pPr>
        <w:spacing w:before="100" w:beforeAutospacing="1" w:after="100" w:afterAutospacing="1"/>
        <w:rPr>
          <w:rFonts w:ascii="Times New Roman" w:hAnsi="Times New Roman"/>
          <w:color w:val="000000"/>
        </w:rPr>
      </w:pPr>
      <w:r w:rsidRPr="009255A1">
        <w:rPr>
          <w:rFonts w:ascii="Times New Roman" w:hAnsi="Times New Roman"/>
          <w:color w:val="000000"/>
        </w:rPr>
        <w:t xml:space="preserve">A statement of compatibility with human rights for the purposes of Part 3 of the </w:t>
      </w:r>
      <w:r w:rsidRPr="009255A1">
        <w:rPr>
          <w:rFonts w:ascii="Times New Roman" w:hAnsi="Times New Roman"/>
          <w:i/>
          <w:color w:val="000000"/>
        </w:rPr>
        <w:t xml:space="preserve">Human Rights (Parliamentary Scrutiny) Act 2011 </w:t>
      </w:r>
      <w:r w:rsidRPr="009255A1">
        <w:rPr>
          <w:rFonts w:ascii="Times New Roman" w:hAnsi="Times New Roman"/>
          <w:color w:val="000000"/>
        </w:rPr>
        <w:t xml:space="preserve">is set out at </w:t>
      </w:r>
      <w:r w:rsidRPr="009255A1">
        <w:rPr>
          <w:rFonts w:ascii="Times New Roman" w:hAnsi="Times New Roman"/>
          <w:color w:val="000000"/>
          <w:u w:val="single"/>
        </w:rPr>
        <w:t>Attachment B</w:t>
      </w:r>
      <w:r w:rsidRPr="009255A1">
        <w:rPr>
          <w:rFonts w:ascii="Times New Roman" w:hAnsi="Times New Roman"/>
          <w:color w:val="000000"/>
        </w:rPr>
        <w:t>.</w:t>
      </w:r>
    </w:p>
    <w:p w14:paraId="555EEDB6" w14:textId="77777777" w:rsidR="0095290F" w:rsidRDefault="0095290F">
      <w:pPr>
        <w:spacing w:after="160" w:line="259" w:lineRule="auto"/>
        <w:rPr>
          <w:rFonts w:ascii="Times New Roman" w:hAnsi="Times New Roman"/>
          <w:b/>
          <w:sz w:val="28"/>
          <w:szCs w:val="28"/>
        </w:rPr>
        <w:sectPr w:rsidR="0095290F" w:rsidSect="000A2F7D">
          <w:headerReference w:type="default" r:id="rId11"/>
          <w:headerReference w:type="first" r:id="rId12"/>
          <w:pgSz w:w="11906" w:h="16838" w:code="9"/>
          <w:pgMar w:top="1418" w:right="1418" w:bottom="1418" w:left="1418" w:header="720" w:footer="720" w:gutter="0"/>
          <w:cols w:space="720"/>
          <w:docGrid w:linePitch="360"/>
        </w:sectPr>
      </w:pPr>
    </w:p>
    <w:p w14:paraId="35D23510" w14:textId="77777777" w:rsidR="00A3071A" w:rsidRPr="00BD1C55" w:rsidRDefault="00A3071A" w:rsidP="00A3071A">
      <w:pPr>
        <w:ind w:right="91"/>
        <w:jc w:val="right"/>
        <w:rPr>
          <w:rFonts w:ascii="Times New Roman" w:hAnsi="Times New Roman"/>
          <w:b/>
          <w:sz w:val="28"/>
          <w:szCs w:val="28"/>
        </w:rPr>
      </w:pPr>
      <w:r w:rsidRPr="00BD1C55">
        <w:rPr>
          <w:rFonts w:ascii="Times New Roman" w:hAnsi="Times New Roman"/>
          <w:b/>
          <w:sz w:val="28"/>
          <w:szCs w:val="28"/>
        </w:rPr>
        <w:lastRenderedPageBreak/>
        <w:t>Attachment A</w:t>
      </w:r>
    </w:p>
    <w:p w14:paraId="5C4A6766" w14:textId="77777777" w:rsidR="00BD1C55" w:rsidRPr="00BD1C55" w:rsidRDefault="00A3071A" w:rsidP="00A3071A">
      <w:pPr>
        <w:ind w:right="91"/>
        <w:rPr>
          <w:rFonts w:ascii="Times New Roman" w:hAnsi="Times New Roman"/>
          <w:b/>
          <w:i/>
          <w:sz w:val="28"/>
          <w:szCs w:val="28"/>
        </w:rPr>
      </w:pPr>
      <w:r w:rsidRPr="00BD1C55">
        <w:rPr>
          <w:rFonts w:ascii="Times New Roman" w:hAnsi="Times New Roman"/>
          <w:b/>
          <w:sz w:val="28"/>
          <w:szCs w:val="28"/>
        </w:rPr>
        <w:t>Details of the</w:t>
      </w:r>
      <w:r w:rsidR="00BD1C55" w:rsidRPr="00BD1C55">
        <w:rPr>
          <w:rFonts w:ascii="Times New Roman" w:hAnsi="Times New Roman"/>
          <w:b/>
          <w:sz w:val="28"/>
          <w:szCs w:val="28"/>
        </w:rPr>
        <w:t xml:space="preserve"> </w:t>
      </w:r>
      <w:r w:rsidR="00BA6AF9" w:rsidRPr="00BA6AF9">
        <w:rPr>
          <w:rFonts w:ascii="Times New Roman" w:hAnsi="Times New Roman"/>
          <w:b/>
          <w:i/>
          <w:sz w:val="28"/>
          <w:szCs w:val="28"/>
        </w:rPr>
        <w:t>Telecommunications (Nominated Service Area and Statutory Infrastructure Provider) Declaration 2020</w:t>
      </w:r>
    </w:p>
    <w:p w14:paraId="2D6DA3ED"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1 – Name</w:t>
      </w:r>
    </w:p>
    <w:p w14:paraId="623675D7" w14:textId="77777777" w:rsidR="00A3071A" w:rsidRPr="009B2A3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that the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is the </w:t>
      </w:r>
      <w:r w:rsidR="00C72119" w:rsidRPr="00C72119">
        <w:rPr>
          <w:rFonts w:ascii="Times New Roman" w:eastAsiaTheme="minorHAnsi" w:hAnsi="Times New Roman"/>
          <w:i/>
          <w:kern w:val="24"/>
          <w:lang w:eastAsia="en-US"/>
        </w:rPr>
        <w:t>Telecommunications (Nominated Service Area and Statutory Infrastructure Provider) Declaration 2020</w:t>
      </w:r>
      <w:r w:rsidR="00B93F9F" w:rsidRPr="00EB3030">
        <w:rPr>
          <w:rFonts w:ascii="Times New Roman" w:eastAsiaTheme="minorHAnsi" w:hAnsi="Times New Roman"/>
          <w:kern w:val="24"/>
          <w:lang w:eastAsia="en-US"/>
        </w:rPr>
        <w:t>.</w:t>
      </w:r>
    </w:p>
    <w:p w14:paraId="5E53A287" w14:textId="77777777" w:rsidR="00A3071A" w:rsidRPr="00B93F9F" w:rsidRDefault="00A3071A" w:rsidP="00A3071A">
      <w:pPr>
        <w:widowControl w:val="0"/>
        <w:ind w:right="91"/>
        <w:rPr>
          <w:rFonts w:ascii="Times New Roman" w:eastAsiaTheme="minorHAnsi" w:hAnsi="Times New Roman"/>
          <w:kern w:val="24"/>
          <w:u w:val="single"/>
          <w:lang w:eastAsia="en-US"/>
        </w:rPr>
      </w:pPr>
      <w:r w:rsidRPr="001D0379">
        <w:rPr>
          <w:rFonts w:ascii="Times New Roman" w:eastAsiaTheme="minorHAnsi" w:hAnsi="Times New Roman"/>
          <w:kern w:val="24"/>
          <w:u w:val="single"/>
          <w:lang w:eastAsia="en-US"/>
        </w:rPr>
        <w:t>Section 2 – Commencement</w:t>
      </w:r>
    </w:p>
    <w:p w14:paraId="498F04B0" w14:textId="77777777" w:rsidR="00A3071A" w:rsidRPr="00B93F9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for the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to commence on the day after it is registered on the Federal Register of Legislation.</w:t>
      </w:r>
    </w:p>
    <w:p w14:paraId="0EB3A025"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 xml:space="preserve">Section 3 – Authority </w:t>
      </w:r>
    </w:p>
    <w:p w14:paraId="1C135481" w14:textId="77777777" w:rsidR="00A3071A" w:rsidRPr="00B93F9F" w:rsidRDefault="00A3071A" w:rsidP="00A3071A">
      <w:pPr>
        <w:widowControl w:val="0"/>
        <w:ind w:right="91"/>
        <w:rPr>
          <w:rFonts w:ascii="Times New Roman" w:eastAsiaTheme="minorHAnsi" w:hAnsi="Times New Roman"/>
          <w:kern w:val="24"/>
          <w:lang w:eastAsia="en-US"/>
        </w:rPr>
      </w:pPr>
      <w:r w:rsidRPr="008B2448">
        <w:rPr>
          <w:rFonts w:ascii="Times New Roman" w:eastAsiaTheme="minorHAnsi" w:hAnsi="Times New Roman"/>
          <w:kern w:val="24"/>
          <w:lang w:eastAsia="en-US"/>
        </w:rPr>
        <w:t xml:space="preserve">This section provides that the </w:t>
      </w:r>
      <w:r w:rsidR="00FC1EED" w:rsidRPr="008B2448">
        <w:rPr>
          <w:rFonts w:ascii="Times New Roman" w:eastAsiaTheme="minorHAnsi" w:hAnsi="Times New Roman"/>
          <w:kern w:val="24"/>
          <w:lang w:eastAsia="en-US"/>
        </w:rPr>
        <w:t>Declaration</w:t>
      </w:r>
      <w:r w:rsidRPr="008B2448">
        <w:rPr>
          <w:rFonts w:ascii="Times New Roman" w:eastAsiaTheme="minorHAnsi" w:hAnsi="Times New Roman"/>
          <w:kern w:val="24"/>
          <w:lang w:eastAsia="en-US"/>
        </w:rPr>
        <w:t xml:space="preserve"> is made under </w:t>
      </w:r>
      <w:r w:rsidR="00677AA8">
        <w:rPr>
          <w:rFonts w:ascii="Times New Roman" w:eastAsiaTheme="minorHAnsi" w:hAnsi="Times New Roman"/>
          <w:kern w:val="24"/>
          <w:lang w:eastAsia="en-US"/>
        </w:rPr>
        <w:t>sub</w:t>
      </w:r>
      <w:r w:rsidR="00B93F9F" w:rsidRPr="008B2448">
        <w:rPr>
          <w:rFonts w:ascii="Times New Roman" w:eastAsiaTheme="minorHAnsi" w:hAnsi="Times New Roman"/>
          <w:kern w:val="24"/>
          <w:lang w:eastAsia="en-US"/>
        </w:rPr>
        <w:t>section</w:t>
      </w:r>
      <w:r w:rsidRPr="008B2448">
        <w:rPr>
          <w:rFonts w:ascii="Times New Roman" w:eastAsiaTheme="minorHAnsi" w:hAnsi="Times New Roman"/>
          <w:kern w:val="24"/>
          <w:lang w:eastAsia="en-US"/>
        </w:rPr>
        <w:t xml:space="preserve"> 360</w:t>
      </w:r>
      <w:r w:rsidR="00677AA8">
        <w:rPr>
          <w:rFonts w:ascii="Times New Roman" w:eastAsiaTheme="minorHAnsi" w:hAnsi="Times New Roman"/>
          <w:kern w:val="24"/>
          <w:lang w:eastAsia="en-US"/>
        </w:rPr>
        <w:t>K(4)</w:t>
      </w:r>
      <w:r w:rsidRPr="008B2448">
        <w:rPr>
          <w:rFonts w:ascii="Times New Roman" w:eastAsiaTheme="minorHAnsi" w:hAnsi="Times New Roman"/>
          <w:kern w:val="24"/>
          <w:lang w:eastAsia="en-US"/>
        </w:rPr>
        <w:t xml:space="preserve"> of the </w:t>
      </w:r>
      <w:r w:rsidRPr="008B2448">
        <w:rPr>
          <w:rFonts w:ascii="Times New Roman" w:eastAsiaTheme="minorHAnsi" w:hAnsi="Times New Roman"/>
          <w:i/>
          <w:kern w:val="24"/>
          <w:lang w:eastAsia="en-US"/>
        </w:rPr>
        <w:t xml:space="preserve">Telecommunications Act 1997 </w:t>
      </w:r>
      <w:r w:rsidRPr="008B2448">
        <w:rPr>
          <w:rFonts w:ascii="Times New Roman" w:eastAsiaTheme="minorHAnsi" w:hAnsi="Times New Roman"/>
          <w:kern w:val="24"/>
          <w:lang w:eastAsia="en-US"/>
        </w:rPr>
        <w:t>(the Act).</w:t>
      </w:r>
    </w:p>
    <w:p w14:paraId="2C9DA105" w14:textId="77777777" w:rsidR="00A3071A" w:rsidRPr="00D645BD" w:rsidRDefault="00A3071A" w:rsidP="00A3071A">
      <w:pPr>
        <w:ind w:right="91"/>
        <w:rPr>
          <w:rFonts w:ascii="Times New Roman" w:hAnsi="Times New Roman"/>
          <w:u w:val="single"/>
        </w:rPr>
      </w:pPr>
      <w:r w:rsidRPr="00D645BD">
        <w:rPr>
          <w:rFonts w:ascii="Times New Roman" w:eastAsiaTheme="minorHAnsi" w:hAnsi="Times New Roman"/>
          <w:kern w:val="24"/>
          <w:u w:val="single"/>
          <w:lang w:eastAsia="en-US"/>
        </w:rPr>
        <w:t>Section 4</w:t>
      </w:r>
      <w:r w:rsidR="00D645BD">
        <w:rPr>
          <w:rFonts w:ascii="Times New Roman" w:eastAsiaTheme="minorHAnsi" w:hAnsi="Times New Roman"/>
          <w:kern w:val="24"/>
          <w:u w:val="single"/>
          <w:lang w:eastAsia="en-US"/>
        </w:rPr>
        <w:t xml:space="preserve"> </w:t>
      </w:r>
      <w:r w:rsidR="00D645BD" w:rsidRPr="00B93F9F">
        <w:rPr>
          <w:rFonts w:ascii="Times New Roman" w:eastAsiaTheme="minorHAnsi" w:hAnsi="Times New Roman"/>
          <w:kern w:val="24"/>
          <w:u w:val="single"/>
          <w:lang w:eastAsia="en-US"/>
        </w:rPr>
        <w:t>–</w:t>
      </w:r>
      <w:r w:rsidRPr="00D645BD">
        <w:rPr>
          <w:rFonts w:ascii="Times New Roman" w:eastAsiaTheme="minorHAnsi" w:hAnsi="Times New Roman"/>
          <w:kern w:val="24"/>
          <w:u w:val="single"/>
          <w:lang w:eastAsia="en-US"/>
        </w:rPr>
        <w:t xml:space="preserve"> Definitions</w:t>
      </w:r>
    </w:p>
    <w:p w14:paraId="36371396" w14:textId="77777777" w:rsidR="00A3071A" w:rsidRPr="00D645BD" w:rsidRDefault="00A3071A" w:rsidP="00A3071A">
      <w:pPr>
        <w:widowControl w:val="0"/>
        <w:ind w:right="91"/>
        <w:rPr>
          <w:rFonts w:ascii="Times New Roman" w:eastAsiaTheme="minorHAnsi" w:hAnsi="Times New Roman"/>
          <w:kern w:val="24"/>
          <w:lang w:eastAsia="en-US"/>
        </w:rPr>
      </w:pPr>
      <w:r w:rsidRPr="00D645BD">
        <w:rPr>
          <w:rFonts w:ascii="Times New Roman" w:eastAsiaTheme="minorHAnsi" w:hAnsi="Times New Roman"/>
          <w:kern w:val="24"/>
          <w:lang w:eastAsia="en-US"/>
        </w:rPr>
        <w:t xml:space="preserve">This section provides definitions of terms used in the </w:t>
      </w:r>
      <w:r w:rsidR="00FC1EED">
        <w:rPr>
          <w:rFonts w:ascii="Times New Roman" w:eastAsiaTheme="minorHAnsi" w:hAnsi="Times New Roman"/>
          <w:kern w:val="24"/>
          <w:lang w:eastAsia="en-US"/>
        </w:rPr>
        <w:t>Declaration</w:t>
      </w:r>
      <w:r w:rsidRPr="00D645BD">
        <w:rPr>
          <w:rFonts w:ascii="Times New Roman" w:eastAsiaTheme="minorHAnsi" w:hAnsi="Times New Roman"/>
          <w:kern w:val="24"/>
          <w:lang w:eastAsia="en-US"/>
        </w:rPr>
        <w:t>.</w:t>
      </w:r>
    </w:p>
    <w:p w14:paraId="79F72201" w14:textId="77777777" w:rsidR="00A3071A" w:rsidRPr="00D645BD" w:rsidRDefault="00A3071A" w:rsidP="00D645BD">
      <w:pPr>
        <w:widowControl w:val="0"/>
        <w:ind w:right="91"/>
        <w:rPr>
          <w:rFonts w:ascii="Times New Roman" w:hAnsi="Times New Roman"/>
        </w:rPr>
      </w:pPr>
      <w:r w:rsidRPr="00D645BD">
        <w:rPr>
          <w:rFonts w:ascii="Times New Roman" w:eastAsiaTheme="minorHAnsi" w:hAnsi="Times New Roman"/>
          <w:kern w:val="24"/>
          <w:lang w:eastAsia="en-US"/>
        </w:rPr>
        <w:t xml:space="preserve">The note in the section </w:t>
      </w:r>
      <w:r w:rsidR="00713ECB">
        <w:rPr>
          <w:rFonts w:ascii="Times New Roman" w:eastAsiaTheme="minorHAnsi" w:hAnsi="Times New Roman"/>
          <w:kern w:val="24"/>
          <w:lang w:eastAsia="en-US"/>
        </w:rPr>
        <w:t>indicates</w:t>
      </w:r>
      <w:r w:rsidR="00713ECB" w:rsidRPr="00D645BD">
        <w:rPr>
          <w:rFonts w:ascii="Times New Roman" w:eastAsiaTheme="minorHAnsi" w:hAnsi="Times New Roman"/>
          <w:kern w:val="24"/>
          <w:lang w:eastAsia="en-US"/>
        </w:rPr>
        <w:t xml:space="preserve"> </w:t>
      </w:r>
      <w:r w:rsidRPr="00D645BD">
        <w:rPr>
          <w:rFonts w:ascii="Times New Roman" w:eastAsiaTheme="minorHAnsi" w:hAnsi="Times New Roman"/>
          <w:kern w:val="24"/>
          <w:lang w:eastAsia="en-US"/>
        </w:rPr>
        <w:t>that a number of terms</w:t>
      </w:r>
      <w:r w:rsidRPr="00D645BD">
        <w:rPr>
          <w:rFonts w:ascii="Times New Roman" w:hAnsi="Times New Roman"/>
        </w:rPr>
        <w:t xml:space="preserve"> used in the </w:t>
      </w:r>
      <w:r w:rsidR="00FC1EED">
        <w:rPr>
          <w:rFonts w:ascii="Times New Roman" w:hAnsi="Times New Roman"/>
        </w:rPr>
        <w:t>Declaration</w:t>
      </w:r>
      <w:r w:rsidRPr="00D645BD">
        <w:rPr>
          <w:rFonts w:ascii="Times New Roman" w:hAnsi="Times New Roman"/>
        </w:rPr>
        <w:t xml:space="preserve"> are defined in the Act, including </w:t>
      </w:r>
      <w:r w:rsidR="00677AA8">
        <w:rPr>
          <w:rFonts w:ascii="Times New Roman" w:hAnsi="Times New Roman"/>
        </w:rPr>
        <w:t xml:space="preserve">nominated service area and </w:t>
      </w:r>
      <w:r w:rsidR="00DE7C17" w:rsidRPr="00D645BD">
        <w:rPr>
          <w:rFonts w:ascii="Times New Roman" w:hAnsi="Times New Roman"/>
        </w:rPr>
        <w:t>statutory</w:t>
      </w:r>
      <w:r w:rsidR="00D645BD" w:rsidRPr="00D645BD">
        <w:rPr>
          <w:rFonts w:ascii="Times New Roman" w:hAnsi="Times New Roman"/>
        </w:rPr>
        <w:t xml:space="preserve"> infrastructure provider</w:t>
      </w:r>
      <w:r w:rsidR="00075CF5">
        <w:rPr>
          <w:rFonts w:ascii="Times New Roman" w:hAnsi="Times New Roman"/>
        </w:rPr>
        <w:t xml:space="preserve"> (SIP)</w:t>
      </w:r>
      <w:r w:rsidR="00D645BD" w:rsidRPr="00D645BD">
        <w:rPr>
          <w:rFonts w:ascii="Times New Roman" w:hAnsi="Times New Roman"/>
        </w:rPr>
        <w:t>.</w:t>
      </w:r>
      <w:r w:rsidRPr="00D645BD">
        <w:rPr>
          <w:rFonts w:ascii="Times New Roman" w:hAnsi="Times New Roman"/>
        </w:rPr>
        <w:t xml:space="preserve"> These terms have the same meaning in the </w:t>
      </w:r>
      <w:r w:rsidR="00C65305">
        <w:rPr>
          <w:rFonts w:ascii="Times New Roman" w:hAnsi="Times New Roman"/>
        </w:rPr>
        <w:t>Declaration</w:t>
      </w:r>
      <w:r w:rsidR="00C65305" w:rsidRPr="00D645BD">
        <w:rPr>
          <w:rFonts w:ascii="Times New Roman" w:hAnsi="Times New Roman"/>
        </w:rPr>
        <w:t xml:space="preserve"> </w:t>
      </w:r>
      <w:r w:rsidRPr="00D645BD">
        <w:rPr>
          <w:rFonts w:ascii="Times New Roman" w:hAnsi="Times New Roman"/>
        </w:rPr>
        <w:t>as und</w:t>
      </w:r>
      <w:r w:rsidR="00CE24E6">
        <w:rPr>
          <w:rFonts w:ascii="Times New Roman" w:hAnsi="Times New Roman"/>
        </w:rPr>
        <w:t>er the Act, pursuant to section </w:t>
      </w:r>
      <w:r w:rsidRPr="00D645BD">
        <w:rPr>
          <w:rFonts w:ascii="Times New Roman" w:hAnsi="Times New Roman"/>
        </w:rPr>
        <w:t xml:space="preserve">13 of the </w:t>
      </w:r>
      <w:r w:rsidRPr="00D645BD">
        <w:rPr>
          <w:rFonts w:ascii="Times New Roman" w:hAnsi="Times New Roman"/>
          <w:i/>
        </w:rPr>
        <w:t>Legislation Act 2003</w:t>
      </w:r>
      <w:r w:rsidRPr="00D645BD">
        <w:rPr>
          <w:rFonts w:ascii="Times New Roman" w:hAnsi="Times New Roman"/>
        </w:rPr>
        <w:t>.</w:t>
      </w:r>
    </w:p>
    <w:p w14:paraId="18E06944" w14:textId="77777777" w:rsidR="00A3071A" w:rsidRPr="009B2A3F" w:rsidRDefault="00A3071A" w:rsidP="00A3071A">
      <w:pPr>
        <w:ind w:right="91"/>
        <w:rPr>
          <w:rFonts w:ascii="Times New Roman" w:hAnsi="Times New Roman"/>
        </w:rPr>
      </w:pPr>
      <w:r w:rsidRPr="00D645BD">
        <w:rPr>
          <w:rFonts w:ascii="Times New Roman" w:hAnsi="Times New Roman"/>
          <w:b/>
          <w:i/>
        </w:rPr>
        <w:t>Act</w:t>
      </w:r>
      <w:r w:rsidRPr="00D645BD">
        <w:rPr>
          <w:rFonts w:ascii="Times New Roman" w:hAnsi="Times New Roman"/>
        </w:rPr>
        <w:t xml:space="preserve"> is defined to mean the </w:t>
      </w:r>
      <w:r w:rsidRPr="00D645BD">
        <w:rPr>
          <w:rFonts w:ascii="Times New Roman" w:hAnsi="Times New Roman"/>
          <w:i/>
        </w:rPr>
        <w:t>Telecommunications Act 1997</w:t>
      </w:r>
      <w:r w:rsidRPr="00EB3030">
        <w:rPr>
          <w:rFonts w:ascii="Times New Roman" w:hAnsi="Times New Roman"/>
        </w:rPr>
        <w:t>.</w:t>
      </w:r>
    </w:p>
    <w:p w14:paraId="74331491" w14:textId="236DE546" w:rsidR="00A3071A" w:rsidRPr="005F28C2" w:rsidRDefault="00A3071A" w:rsidP="00A3071A">
      <w:pPr>
        <w:widowControl w:val="0"/>
        <w:ind w:right="91"/>
        <w:rPr>
          <w:rFonts w:ascii="Times New Roman" w:eastAsiaTheme="minorHAnsi" w:hAnsi="Times New Roman"/>
          <w:kern w:val="24"/>
          <w:u w:val="single"/>
          <w:lang w:eastAsia="en-US"/>
        </w:rPr>
      </w:pPr>
      <w:bookmarkStart w:id="0" w:name="_Toc489271484"/>
      <w:bookmarkEnd w:id="0"/>
      <w:r w:rsidRPr="005F28C2">
        <w:rPr>
          <w:rFonts w:ascii="Times New Roman" w:eastAsiaTheme="minorHAnsi" w:hAnsi="Times New Roman"/>
          <w:kern w:val="24"/>
          <w:u w:val="single"/>
          <w:lang w:eastAsia="en-US"/>
        </w:rPr>
        <w:t xml:space="preserve">Section 5 – </w:t>
      </w:r>
      <w:r w:rsidR="00EA46BC">
        <w:rPr>
          <w:rFonts w:ascii="Times New Roman" w:eastAsiaTheme="minorHAnsi" w:hAnsi="Times New Roman"/>
          <w:kern w:val="24"/>
          <w:u w:val="single"/>
          <w:lang w:eastAsia="en-US"/>
        </w:rPr>
        <w:t>N</w:t>
      </w:r>
      <w:r w:rsidR="00C451B2" w:rsidRPr="005F28C2">
        <w:rPr>
          <w:rFonts w:ascii="Times New Roman" w:eastAsiaTheme="minorHAnsi" w:hAnsi="Times New Roman"/>
          <w:kern w:val="24"/>
          <w:u w:val="single"/>
          <w:lang w:eastAsia="en-US"/>
        </w:rPr>
        <w:t>ominated</w:t>
      </w:r>
      <w:r w:rsidR="00270EAD" w:rsidRPr="005F28C2">
        <w:rPr>
          <w:rFonts w:ascii="Times New Roman" w:eastAsiaTheme="minorHAnsi" w:hAnsi="Times New Roman"/>
          <w:kern w:val="24"/>
          <w:u w:val="single"/>
          <w:lang w:eastAsia="en-US"/>
        </w:rPr>
        <w:t xml:space="preserve"> service areas and statutory infrastructure providers</w:t>
      </w:r>
    </w:p>
    <w:p w14:paraId="66A8E7B9" w14:textId="77777777" w:rsidR="00270EAD" w:rsidRPr="005F28C2" w:rsidRDefault="00FC1EED" w:rsidP="00A3071A">
      <w:pPr>
        <w:tabs>
          <w:tab w:val="left" w:pos="3610"/>
        </w:tabs>
        <w:ind w:right="91"/>
        <w:rPr>
          <w:rFonts w:ascii="Times New Roman" w:hAnsi="Times New Roman"/>
        </w:rPr>
      </w:pPr>
      <w:r w:rsidRPr="005F28C2">
        <w:rPr>
          <w:rFonts w:ascii="Times New Roman" w:hAnsi="Times New Roman"/>
        </w:rPr>
        <w:t xml:space="preserve">This section </w:t>
      </w:r>
      <w:r w:rsidR="00232AB6">
        <w:rPr>
          <w:rFonts w:ascii="Times New Roman" w:hAnsi="Times New Roman"/>
        </w:rPr>
        <w:t>declares</w:t>
      </w:r>
      <w:r w:rsidR="00232AB6" w:rsidRPr="005F28C2">
        <w:rPr>
          <w:rFonts w:ascii="Times New Roman" w:hAnsi="Times New Roman"/>
        </w:rPr>
        <w:t xml:space="preserve"> </w:t>
      </w:r>
      <w:r w:rsidRPr="005F28C2">
        <w:rPr>
          <w:rFonts w:ascii="Times New Roman" w:hAnsi="Times New Roman"/>
        </w:rPr>
        <w:t xml:space="preserve">the </w:t>
      </w:r>
      <w:r w:rsidR="00075CF5" w:rsidRPr="005F28C2">
        <w:rPr>
          <w:rFonts w:ascii="Times New Roman" w:hAnsi="Times New Roman"/>
        </w:rPr>
        <w:t>SIPs</w:t>
      </w:r>
      <w:r w:rsidR="003A5D5E" w:rsidRPr="005F28C2">
        <w:rPr>
          <w:rFonts w:ascii="Times New Roman" w:hAnsi="Times New Roman"/>
        </w:rPr>
        <w:t xml:space="preserve"> for the </w:t>
      </w:r>
      <w:r w:rsidR="00075CF5" w:rsidRPr="005F28C2">
        <w:rPr>
          <w:rFonts w:ascii="Times New Roman" w:hAnsi="Times New Roman"/>
        </w:rPr>
        <w:t>nominated service areas</w:t>
      </w:r>
      <w:r w:rsidR="00231869" w:rsidRPr="005F28C2">
        <w:rPr>
          <w:rFonts w:ascii="Times New Roman" w:hAnsi="Times New Roman"/>
        </w:rPr>
        <w:t xml:space="preserve"> for the purposes of Part 19 of the Act</w:t>
      </w:r>
      <w:r w:rsidR="003A5D5E" w:rsidRPr="005F28C2">
        <w:rPr>
          <w:rFonts w:ascii="Times New Roman" w:hAnsi="Times New Roman"/>
        </w:rPr>
        <w:t xml:space="preserve">. </w:t>
      </w:r>
    </w:p>
    <w:p w14:paraId="78CE9785" w14:textId="77777777" w:rsidR="003A634B" w:rsidRDefault="00046B29" w:rsidP="00A3071A">
      <w:pPr>
        <w:tabs>
          <w:tab w:val="left" w:pos="3610"/>
        </w:tabs>
        <w:ind w:right="91"/>
        <w:rPr>
          <w:rFonts w:ascii="Times New Roman" w:hAnsi="Times New Roman"/>
        </w:rPr>
      </w:pPr>
      <w:r>
        <w:rPr>
          <w:rFonts w:ascii="Times New Roman" w:hAnsi="Times New Roman"/>
        </w:rPr>
        <w:t xml:space="preserve">Section 360J of the Act provides that </w:t>
      </w:r>
      <w:r w:rsidR="003A634B">
        <w:rPr>
          <w:rFonts w:ascii="Times New Roman" w:hAnsi="Times New Roman"/>
        </w:rPr>
        <w:t>development areas specified in</w:t>
      </w:r>
      <w:r w:rsidR="00C12949">
        <w:rPr>
          <w:rFonts w:ascii="Times New Roman" w:hAnsi="Times New Roman"/>
        </w:rPr>
        <w:t xml:space="preserve"> three</w:t>
      </w:r>
      <w:r w:rsidR="003A634B">
        <w:rPr>
          <w:rFonts w:ascii="Times New Roman" w:hAnsi="Times New Roman"/>
        </w:rPr>
        <w:t xml:space="preserve"> carrier licence condition declarations became nominated service areas for the purposes of Part 19 of the Act</w:t>
      </w:r>
      <w:r w:rsidR="00C65305">
        <w:rPr>
          <w:rFonts w:ascii="Times New Roman" w:hAnsi="Times New Roman"/>
        </w:rPr>
        <w:t xml:space="preserve"> on commencement of that Part</w:t>
      </w:r>
      <w:r w:rsidR="003A634B">
        <w:rPr>
          <w:rFonts w:ascii="Times New Roman" w:hAnsi="Times New Roman"/>
        </w:rPr>
        <w:t>. Section 360K then sets out the mechanism for determining the SIPs for those nominated service areas created under section 360J. Subsection 360K(3)</w:t>
      </w:r>
      <w:r w:rsidR="003A634B" w:rsidRPr="005F28C2">
        <w:rPr>
          <w:rFonts w:ascii="Times New Roman" w:hAnsi="Times New Roman"/>
        </w:rPr>
        <w:t xml:space="preserve"> </w:t>
      </w:r>
      <w:r w:rsidR="00075CF5" w:rsidRPr="005F28C2">
        <w:rPr>
          <w:rFonts w:ascii="Times New Roman" w:hAnsi="Times New Roman"/>
        </w:rPr>
        <w:t>provides that if a carrier held a carrier licence that was subject to a condition under a declaration mentioned in section 360J</w:t>
      </w:r>
      <w:r w:rsidR="00C65305">
        <w:rPr>
          <w:rFonts w:ascii="Times New Roman" w:hAnsi="Times New Roman"/>
        </w:rPr>
        <w:t xml:space="preserve"> immediately before the commencement of the section</w:t>
      </w:r>
      <w:r w:rsidR="00075CF5" w:rsidRPr="005F28C2">
        <w:rPr>
          <w:rFonts w:ascii="Times New Roman" w:hAnsi="Times New Roman"/>
        </w:rPr>
        <w:t>, and as a result of the application of section 360J to the declaration, an area is a nominated service area</w:t>
      </w:r>
      <w:r w:rsidR="002E462A">
        <w:rPr>
          <w:rFonts w:ascii="Times New Roman" w:hAnsi="Times New Roman"/>
        </w:rPr>
        <w:t>,</w:t>
      </w:r>
      <w:r w:rsidR="00C12949">
        <w:rPr>
          <w:rFonts w:ascii="Times New Roman" w:hAnsi="Times New Roman"/>
        </w:rPr>
        <w:t xml:space="preserve"> </w:t>
      </w:r>
      <w:r w:rsidR="00065374">
        <w:rPr>
          <w:rFonts w:ascii="Times New Roman" w:hAnsi="Times New Roman"/>
        </w:rPr>
        <w:t>then</w:t>
      </w:r>
      <w:r w:rsidR="00065374" w:rsidRPr="005F28C2">
        <w:rPr>
          <w:rFonts w:ascii="Times New Roman" w:hAnsi="Times New Roman"/>
        </w:rPr>
        <w:t xml:space="preserve"> </w:t>
      </w:r>
      <w:r w:rsidR="00075CF5" w:rsidRPr="005F28C2">
        <w:rPr>
          <w:rFonts w:ascii="Times New Roman" w:hAnsi="Times New Roman"/>
        </w:rPr>
        <w:t xml:space="preserve">the carrier is the SIP for the nominated service area. </w:t>
      </w:r>
    </w:p>
    <w:p w14:paraId="2897B810" w14:textId="77777777" w:rsidR="00DD1BEF" w:rsidRDefault="008162A4" w:rsidP="00A3071A">
      <w:pPr>
        <w:tabs>
          <w:tab w:val="left" w:pos="3610"/>
        </w:tabs>
        <w:ind w:right="91"/>
        <w:rPr>
          <w:rFonts w:ascii="Times New Roman" w:hAnsi="Times New Roman"/>
        </w:rPr>
      </w:pPr>
      <w:r>
        <w:rPr>
          <w:rFonts w:ascii="Times New Roman" w:hAnsi="Times New Roman"/>
        </w:rPr>
        <w:t>Subsection 360K(4)</w:t>
      </w:r>
      <w:r w:rsidR="00426EA0">
        <w:rPr>
          <w:rFonts w:ascii="Times New Roman" w:hAnsi="Times New Roman"/>
        </w:rPr>
        <w:t xml:space="preserve"> of the Act</w:t>
      </w:r>
      <w:r>
        <w:rPr>
          <w:rFonts w:ascii="Times New Roman" w:hAnsi="Times New Roman"/>
        </w:rPr>
        <w:t xml:space="preserve"> provides that the Minister may, by legislative instrument, declare that </w:t>
      </w:r>
      <w:r w:rsidR="001D44F8">
        <w:rPr>
          <w:rFonts w:ascii="Times New Roman" w:hAnsi="Times New Roman"/>
        </w:rPr>
        <w:t xml:space="preserve">subsection 360K(3) does not apply to a specified nominated service area, and </w:t>
      </w:r>
      <w:r w:rsidR="002E462A">
        <w:rPr>
          <w:rFonts w:ascii="Times New Roman" w:hAnsi="Times New Roman"/>
        </w:rPr>
        <w:t xml:space="preserve">declare </w:t>
      </w:r>
      <w:r w:rsidR="001D44F8">
        <w:rPr>
          <w:rFonts w:ascii="Times New Roman" w:hAnsi="Times New Roman"/>
        </w:rPr>
        <w:t xml:space="preserve">another carrier as the SIP for the nominated service area. </w:t>
      </w:r>
    </w:p>
    <w:p w14:paraId="5F7D0345" w14:textId="77777777" w:rsidR="00057861" w:rsidRPr="005F28C2" w:rsidRDefault="00C65305" w:rsidP="00A3071A">
      <w:pPr>
        <w:tabs>
          <w:tab w:val="left" w:pos="3610"/>
        </w:tabs>
        <w:ind w:right="91"/>
        <w:rPr>
          <w:rFonts w:ascii="Times New Roman" w:hAnsi="Times New Roman"/>
        </w:rPr>
      </w:pPr>
      <w:r>
        <w:rPr>
          <w:rFonts w:ascii="Times New Roman" w:hAnsi="Times New Roman"/>
        </w:rPr>
        <w:lastRenderedPageBreak/>
        <w:t>For the purposes of paragraph 360K(4)(a) of the Act, p</w:t>
      </w:r>
      <w:r w:rsidR="003A634B">
        <w:rPr>
          <w:rFonts w:ascii="Times New Roman" w:hAnsi="Times New Roman"/>
        </w:rPr>
        <w:t>aragraph</w:t>
      </w:r>
      <w:r w:rsidR="00075CF5" w:rsidRPr="005F28C2">
        <w:rPr>
          <w:rFonts w:ascii="Times New Roman" w:hAnsi="Times New Roman"/>
        </w:rPr>
        <w:t xml:space="preserve"> 5(a) </w:t>
      </w:r>
      <w:r w:rsidR="00231869" w:rsidRPr="005F28C2">
        <w:rPr>
          <w:rFonts w:ascii="Times New Roman" w:hAnsi="Times New Roman"/>
        </w:rPr>
        <w:t xml:space="preserve">of the Declaration </w:t>
      </w:r>
      <w:r w:rsidR="002E462A">
        <w:rPr>
          <w:rFonts w:ascii="Times New Roman" w:hAnsi="Times New Roman"/>
        </w:rPr>
        <w:t xml:space="preserve">provides </w:t>
      </w:r>
      <w:r w:rsidR="003A634B">
        <w:rPr>
          <w:rFonts w:ascii="Times New Roman" w:hAnsi="Times New Roman"/>
        </w:rPr>
        <w:t xml:space="preserve">that subsection 360K(3) does not apply to each nominated service area specified in column 1 of the table in section 5. The effect of this </w:t>
      </w:r>
      <w:r w:rsidR="00075CF5" w:rsidRPr="005F28C2">
        <w:rPr>
          <w:rFonts w:ascii="Times New Roman" w:hAnsi="Times New Roman"/>
        </w:rPr>
        <w:t xml:space="preserve">is that NT Technology Services and </w:t>
      </w:r>
      <w:r w:rsidR="00057861" w:rsidRPr="005F28C2">
        <w:rPr>
          <w:rFonts w:ascii="Times New Roman" w:hAnsi="Times New Roman"/>
        </w:rPr>
        <w:t xml:space="preserve">Pivit </w:t>
      </w:r>
      <w:r>
        <w:rPr>
          <w:rFonts w:ascii="Times New Roman" w:hAnsi="Times New Roman"/>
        </w:rPr>
        <w:t>are</w:t>
      </w:r>
      <w:r w:rsidRPr="005F28C2">
        <w:rPr>
          <w:rFonts w:ascii="Times New Roman" w:hAnsi="Times New Roman"/>
        </w:rPr>
        <w:t xml:space="preserve"> </w:t>
      </w:r>
      <w:r w:rsidR="00057861" w:rsidRPr="005F28C2">
        <w:rPr>
          <w:rFonts w:ascii="Times New Roman" w:hAnsi="Times New Roman"/>
        </w:rPr>
        <w:t>no longer be the SIPs for the nominated service areas specified in the table in section 5.</w:t>
      </w:r>
    </w:p>
    <w:p w14:paraId="59F35684" w14:textId="77777777" w:rsidR="00D3624F" w:rsidRPr="00FC1EED" w:rsidRDefault="00C65305" w:rsidP="003A2C7C">
      <w:pPr>
        <w:tabs>
          <w:tab w:val="left" w:pos="3610"/>
        </w:tabs>
        <w:ind w:right="91"/>
        <w:rPr>
          <w:rFonts w:ascii="Times New Roman" w:hAnsi="Times New Roman"/>
        </w:rPr>
      </w:pPr>
      <w:r>
        <w:rPr>
          <w:rFonts w:ascii="Times New Roman" w:hAnsi="Times New Roman"/>
        </w:rPr>
        <w:t>For the purposes of paragraph 360K(4)(b) of the Act, p</w:t>
      </w:r>
      <w:r w:rsidR="00F6066A" w:rsidRPr="005F28C2">
        <w:rPr>
          <w:rFonts w:ascii="Times New Roman" w:hAnsi="Times New Roman"/>
        </w:rPr>
        <w:t>aragraph 5(b)</w:t>
      </w:r>
      <w:r>
        <w:rPr>
          <w:rFonts w:ascii="Times New Roman" w:hAnsi="Times New Roman"/>
        </w:rPr>
        <w:t xml:space="preserve"> of the Declaration</w:t>
      </w:r>
      <w:r w:rsidR="00F6066A" w:rsidRPr="005F28C2">
        <w:rPr>
          <w:rFonts w:ascii="Times New Roman" w:hAnsi="Times New Roman"/>
        </w:rPr>
        <w:t xml:space="preserve"> </w:t>
      </w:r>
      <w:r w:rsidR="00CB568B" w:rsidRPr="005F28C2">
        <w:rPr>
          <w:rFonts w:ascii="Times New Roman" w:hAnsi="Times New Roman"/>
        </w:rPr>
        <w:t xml:space="preserve">provides that the carriers listed in column 2 of the table </w:t>
      </w:r>
      <w:r w:rsidR="00057861" w:rsidRPr="005F28C2">
        <w:rPr>
          <w:rFonts w:ascii="Times New Roman" w:hAnsi="Times New Roman"/>
        </w:rPr>
        <w:t>in</w:t>
      </w:r>
      <w:r w:rsidR="00CB568B" w:rsidRPr="005F28C2">
        <w:rPr>
          <w:rFonts w:ascii="Times New Roman" w:hAnsi="Times New Roman"/>
        </w:rPr>
        <w:t xml:space="preserve"> section </w:t>
      </w:r>
      <w:r w:rsidR="00057861" w:rsidRPr="005F28C2">
        <w:rPr>
          <w:rFonts w:ascii="Times New Roman" w:hAnsi="Times New Roman"/>
        </w:rPr>
        <w:t xml:space="preserve">5 </w:t>
      </w:r>
      <w:r w:rsidR="00CB568B" w:rsidRPr="005F28C2">
        <w:rPr>
          <w:rFonts w:ascii="Times New Roman" w:hAnsi="Times New Roman"/>
        </w:rPr>
        <w:t>are the SIPs for the respective nominated service areas.</w:t>
      </w:r>
      <w:r w:rsidR="00CB568B" w:rsidRPr="00046B29">
        <w:rPr>
          <w:rFonts w:ascii="Times New Roman" w:hAnsi="Times New Roman"/>
        </w:rPr>
        <w:t xml:space="preserve"> </w:t>
      </w:r>
      <w:r w:rsidR="00057861" w:rsidRPr="00046B29">
        <w:rPr>
          <w:rFonts w:ascii="Times New Roman" w:hAnsi="Times New Roman"/>
        </w:rPr>
        <w:t xml:space="preserve">The effect of this paragraph is that LBN Co Pty Ltd and OptiComm </w:t>
      </w:r>
      <w:r w:rsidR="00C12949">
        <w:rPr>
          <w:rFonts w:ascii="Times New Roman" w:hAnsi="Times New Roman"/>
        </w:rPr>
        <w:t>Ltd</w:t>
      </w:r>
      <w:r w:rsidR="00057861" w:rsidRPr="00046B29">
        <w:rPr>
          <w:rFonts w:ascii="Times New Roman" w:hAnsi="Times New Roman"/>
        </w:rPr>
        <w:t xml:space="preserve"> are the SIPs for the respective nominated service areas.</w:t>
      </w:r>
    </w:p>
    <w:p w14:paraId="674AE7BC" w14:textId="77777777" w:rsidR="00002163" w:rsidRDefault="00002163">
      <w:pPr>
        <w:tabs>
          <w:tab w:val="left" w:pos="3610"/>
        </w:tabs>
        <w:ind w:right="91"/>
        <w:rPr>
          <w:rFonts w:ascii="Times New Roman" w:hAnsi="Times New Roman"/>
        </w:rPr>
      </w:pPr>
      <w:r>
        <w:rPr>
          <w:rFonts w:ascii="Times New Roman" w:hAnsi="Times New Roman"/>
        </w:rPr>
        <w:t>The note following paragraphs 5(a) and (b) is intended to provide context and assist the reader to understand the operation of sections 360J and 360K of the Act.</w:t>
      </w:r>
    </w:p>
    <w:p w14:paraId="3FA8F2B6" w14:textId="77777777" w:rsidR="00683B78" w:rsidRDefault="00002163">
      <w:pPr>
        <w:tabs>
          <w:tab w:val="left" w:pos="3610"/>
        </w:tabs>
        <w:ind w:right="91"/>
        <w:rPr>
          <w:rFonts w:ascii="Times New Roman" w:hAnsi="Times New Roman"/>
        </w:rPr>
      </w:pPr>
      <w:r>
        <w:rPr>
          <w:rFonts w:ascii="Times New Roman" w:hAnsi="Times New Roman"/>
        </w:rPr>
        <w:t xml:space="preserve">Noting that section 360J of the Act provides that a ‘development area’ is a nominated service area where a carrier was subject to a licence condition in relation to that development area under one of the named </w:t>
      </w:r>
      <w:r w:rsidR="0021093D">
        <w:rPr>
          <w:rFonts w:ascii="Times New Roman" w:hAnsi="Times New Roman"/>
        </w:rPr>
        <w:t>declarations, t</w:t>
      </w:r>
      <w:r w:rsidR="00CA1AB6" w:rsidRPr="005F28C2">
        <w:rPr>
          <w:rFonts w:ascii="Times New Roman" w:hAnsi="Times New Roman"/>
        </w:rPr>
        <w:t>he name</w:t>
      </w:r>
      <w:r w:rsidR="00EF2FF3" w:rsidRPr="005F28C2">
        <w:rPr>
          <w:rFonts w:ascii="Times New Roman" w:hAnsi="Times New Roman"/>
        </w:rPr>
        <w:t>s</w:t>
      </w:r>
      <w:r w:rsidR="00CA1AB6" w:rsidRPr="005F28C2">
        <w:rPr>
          <w:rFonts w:ascii="Times New Roman" w:hAnsi="Times New Roman"/>
        </w:rPr>
        <w:t xml:space="preserve"> of the </w:t>
      </w:r>
      <w:r w:rsidR="00057861" w:rsidRPr="005F28C2">
        <w:rPr>
          <w:rFonts w:ascii="Times New Roman" w:hAnsi="Times New Roman"/>
        </w:rPr>
        <w:t xml:space="preserve">nominated </w:t>
      </w:r>
      <w:r w:rsidR="00CA1AB6" w:rsidRPr="005F28C2">
        <w:rPr>
          <w:rFonts w:ascii="Times New Roman" w:hAnsi="Times New Roman"/>
        </w:rPr>
        <w:t>service area</w:t>
      </w:r>
      <w:r w:rsidR="00EF2FF3" w:rsidRPr="005F28C2">
        <w:rPr>
          <w:rFonts w:ascii="Times New Roman" w:hAnsi="Times New Roman"/>
        </w:rPr>
        <w:t>s</w:t>
      </w:r>
      <w:r w:rsidR="00CA1AB6" w:rsidRPr="005F28C2">
        <w:rPr>
          <w:rFonts w:ascii="Times New Roman" w:hAnsi="Times New Roman"/>
        </w:rPr>
        <w:t xml:space="preserve"> </w:t>
      </w:r>
      <w:r w:rsidR="0043622D" w:rsidRPr="005F28C2">
        <w:rPr>
          <w:rFonts w:ascii="Times New Roman" w:hAnsi="Times New Roman"/>
        </w:rPr>
        <w:t xml:space="preserve">provided </w:t>
      </w:r>
      <w:r w:rsidR="00433572" w:rsidRPr="005F28C2">
        <w:rPr>
          <w:rFonts w:ascii="Times New Roman" w:hAnsi="Times New Roman"/>
        </w:rPr>
        <w:t xml:space="preserve">in </w:t>
      </w:r>
      <w:r w:rsidR="00057861" w:rsidRPr="005F28C2">
        <w:rPr>
          <w:rFonts w:ascii="Times New Roman" w:hAnsi="Times New Roman"/>
        </w:rPr>
        <w:t xml:space="preserve">column </w:t>
      </w:r>
      <w:r w:rsidR="00CA1AB6" w:rsidRPr="005F28C2">
        <w:rPr>
          <w:rFonts w:ascii="Times New Roman" w:hAnsi="Times New Roman"/>
        </w:rPr>
        <w:t xml:space="preserve">1 </w:t>
      </w:r>
      <w:r w:rsidR="005B4DAA" w:rsidRPr="005F28C2">
        <w:rPr>
          <w:rFonts w:ascii="Times New Roman" w:hAnsi="Times New Roman"/>
        </w:rPr>
        <w:t xml:space="preserve">of the table </w:t>
      </w:r>
      <w:r w:rsidR="00C937C9">
        <w:rPr>
          <w:rFonts w:ascii="Times New Roman" w:hAnsi="Times New Roman"/>
        </w:rPr>
        <w:t>correspond to the development areas of the same name specified in the</w:t>
      </w:r>
      <w:r w:rsidR="00057861" w:rsidRPr="005F28C2">
        <w:rPr>
          <w:rFonts w:ascii="Times New Roman" w:hAnsi="Times New Roman"/>
        </w:rPr>
        <w:t xml:space="preserve"> original carrier licence condition declarations</w:t>
      </w:r>
      <w:r w:rsidR="00377D8F">
        <w:rPr>
          <w:rFonts w:ascii="Times New Roman" w:hAnsi="Times New Roman"/>
        </w:rPr>
        <w:t>, the</w:t>
      </w:r>
      <w:r w:rsidR="00E40EAB">
        <w:rPr>
          <w:rFonts w:ascii="Times New Roman" w:hAnsi="Times New Roman"/>
        </w:rPr>
        <w:t xml:space="preserve"> </w:t>
      </w:r>
      <w:r w:rsidR="00E40EAB" w:rsidRPr="00E40EAB">
        <w:rPr>
          <w:rFonts w:ascii="Times New Roman" w:hAnsi="Times New Roman"/>
          <w:i/>
        </w:rPr>
        <w:t xml:space="preserve">Carrier Licence Conditions (Pivit Pty Ltd) Declaration 2013 </w:t>
      </w:r>
      <w:r w:rsidR="00E40EAB">
        <w:rPr>
          <w:rFonts w:ascii="Times New Roman" w:hAnsi="Times New Roman"/>
        </w:rPr>
        <w:t xml:space="preserve">and the </w:t>
      </w:r>
      <w:r w:rsidR="00C937C9" w:rsidRPr="00C937C9">
        <w:rPr>
          <w:rFonts w:ascii="Times New Roman" w:hAnsi="Times New Roman"/>
          <w:i/>
        </w:rPr>
        <w:t>Carrier Licence Conditions (</w:t>
      </w:r>
      <w:r w:rsidR="002763F7">
        <w:rPr>
          <w:rFonts w:ascii="Times New Roman" w:hAnsi="Times New Roman"/>
          <w:i/>
        </w:rPr>
        <w:t xml:space="preserve">NT Technology Services </w:t>
      </w:r>
      <w:r w:rsidR="00C937C9" w:rsidRPr="00C937C9">
        <w:rPr>
          <w:rFonts w:ascii="Times New Roman" w:hAnsi="Times New Roman"/>
          <w:i/>
        </w:rPr>
        <w:t>Pty Ltd) Declaration 201</w:t>
      </w:r>
      <w:r w:rsidR="002763F7">
        <w:rPr>
          <w:rFonts w:ascii="Times New Roman" w:hAnsi="Times New Roman"/>
          <w:i/>
        </w:rPr>
        <w:t>4</w:t>
      </w:r>
      <w:r w:rsidR="00C937C9">
        <w:rPr>
          <w:rFonts w:ascii="Times New Roman" w:hAnsi="Times New Roman"/>
          <w:i/>
        </w:rPr>
        <w:t>.</w:t>
      </w:r>
      <w:r>
        <w:rPr>
          <w:rFonts w:ascii="Times New Roman" w:hAnsi="Times New Roman"/>
          <w:i/>
        </w:rPr>
        <w:t xml:space="preserve"> </w:t>
      </w:r>
      <w:r>
        <w:rPr>
          <w:rFonts w:ascii="Times New Roman" w:hAnsi="Times New Roman"/>
        </w:rPr>
        <w:t>The note following the table is intended to assist the reader to understand the relationship between the nominated service areas listed and the development areas referred to in the relevant carrier licence condition declarations.</w:t>
      </w:r>
    </w:p>
    <w:p w14:paraId="4F73FAAC" w14:textId="44281A49" w:rsidR="0021093D" w:rsidRPr="00EA46BC" w:rsidRDefault="00C87E77">
      <w:pPr>
        <w:tabs>
          <w:tab w:val="left" w:pos="3610"/>
        </w:tabs>
        <w:ind w:right="91"/>
        <w:rPr>
          <w:rFonts w:ascii="Times New Roman" w:hAnsi="Times New Roman"/>
        </w:rPr>
      </w:pPr>
      <w:r>
        <w:rPr>
          <w:rFonts w:ascii="Times New Roman" w:hAnsi="Times New Roman"/>
        </w:rPr>
        <w:t>The note also provides that t</w:t>
      </w:r>
      <w:r w:rsidR="003A634B">
        <w:rPr>
          <w:rFonts w:ascii="Times New Roman" w:hAnsi="Times New Roman"/>
        </w:rPr>
        <w:t>he geographical area</w:t>
      </w:r>
      <w:r w:rsidR="00121910">
        <w:rPr>
          <w:rFonts w:ascii="Times New Roman" w:hAnsi="Times New Roman"/>
        </w:rPr>
        <w:t xml:space="preserve"> of each nominated service area</w:t>
      </w:r>
      <w:r w:rsidR="003A634B">
        <w:rPr>
          <w:rFonts w:ascii="Times New Roman" w:hAnsi="Times New Roman"/>
        </w:rPr>
        <w:t xml:space="preserve"> to which the Declaration relates </w:t>
      </w:r>
      <w:r w:rsidR="00121910">
        <w:rPr>
          <w:rFonts w:ascii="Times New Roman" w:hAnsi="Times New Roman"/>
        </w:rPr>
        <w:t>is the area specified for the corresponding development area</w:t>
      </w:r>
      <w:r w:rsidR="003A634B">
        <w:rPr>
          <w:rFonts w:ascii="Times New Roman" w:hAnsi="Times New Roman"/>
        </w:rPr>
        <w:t xml:space="preserve"> in the </w:t>
      </w:r>
      <w:r w:rsidR="00121910">
        <w:rPr>
          <w:rFonts w:ascii="Times New Roman" w:hAnsi="Times New Roman"/>
        </w:rPr>
        <w:t xml:space="preserve">relevant </w:t>
      </w:r>
      <w:r w:rsidR="003A634B">
        <w:rPr>
          <w:rFonts w:ascii="Times New Roman" w:hAnsi="Times New Roman"/>
        </w:rPr>
        <w:t xml:space="preserve">carrier licence conditions declaration. </w:t>
      </w:r>
      <w:r w:rsidR="0021093D">
        <w:rPr>
          <w:rFonts w:ascii="Times New Roman" w:hAnsi="Times New Roman"/>
        </w:rPr>
        <w:t>While the nominated service areas created by section 360J of the Act are fixed by the operation of that section and the carrier licence conditions as in force immediately before the commencement of the SIP regime, g</w:t>
      </w:r>
      <w:r w:rsidR="003A634B">
        <w:rPr>
          <w:rFonts w:ascii="Times New Roman" w:hAnsi="Times New Roman"/>
        </w:rPr>
        <w:t xml:space="preserve">eographical coordinates are given </w:t>
      </w:r>
      <w:r w:rsidR="000A2F7D">
        <w:rPr>
          <w:rFonts w:ascii="Times New Roman" w:hAnsi="Times New Roman"/>
          <w:color w:val="000000"/>
        </w:rPr>
        <w:t>in</w:t>
      </w:r>
      <w:r w:rsidR="000A2F7D" w:rsidRPr="009255A1">
        <w:rPr>
          <w:rFonts w:ascii="Times New Roman" w:hAnsi="Times New Roman"/>
          <w:color w:val="000000"/>
        </w:rPr>
        <w:t xml:space="preserve"> </w:t>
      </w:r>
      <w:r w:rsidR="000A2F7D" w:rsidRPr="009255A1">
        <w:rPr>
          <w:rFonts w:ascii="Times New Roman" w:hAnsi="Times New Roman"/>
          <w:color w:val="000000"/>
          <w:u w:val="single"/>
        </w:rPr>
        <w:t>Attachment</w:t>
      </w:r>
      <w:r w:rsidR="000A2F7D">
        <w:rPr>
          <w:rFonts w:ascii="Times New Roman" w:hAnsi="Times New Roman"/>
          <w:color w:val="000000"/>
          <w:u w:val="single"/>
        </w:rPr>
        <w:t> C</w:t>
      </w:r>
      <w:r w:rsidR="003A634B">
        <w:rPr>
          <w:rFonts w:ascii="Times New Roman" w:hAnsi="Times New Roman"/>
        </w:rPr>
        <w:t xml:space="preserve"> </w:t>
      </w:r>
      <w:r w:rsidR="0021093D">
        <w:rPr>
          <w:rFonts w:ascii="Times New Roman" w:hAnsi="Times New Roman"/>
        </w:rPr>
        <w:t xml:space="preserve">to this Explanatory Statement </w:t>
      </w:r>
      <w:r w:rsidR="003A634B">
        <w:rPr>
          <w:rFonts w:ascii="Times New Roman" w:hAnsi="Times New Roman"/>
        </w:rPr>
        <w:t>for the convenience of the reader.</w:t>
      </w:r>
      <w:r w:rsidR="00EA46BC">
        <w:rPr>
          <w:rFonts w:ascii="Times New Roman" w:hAnsi="Times New Roman"/>
        </w:rPr>
        <w:t xml:space="preserve"> Attachment C used the same format as used in Schedules 1-17 of the </w:t>
      </w:r>
      <w:r w:rsidR="00EA46BC">
        <w:rPr>
          <w:rFonts w:ascii="Times New Roman" w:hAnsi="Times New Roman"/>
          <w:i/>
        </w:rPr>
        <w:t>Telecommunications (Designated Service Area and Statutory Infrastructure Provider) Declaration (No. 1) 2020</w:t>
      </w:r>
      <w:r w:rsidR="00EA46BC">
        <w:rPr>
          <w:rFonts w:ascii="Times New Roman" w:hAnsi="Times New Roman"/>
        </w:rPr>
        <w:t>.</w:t>
      </w:r>
    </w:p>
    <w:p w14:paraId="0EF421E2" w14:textId="77777777" w:rsidR="00EA46BC" w:rsidRDefault="00EA46BC">
      <w:pPr>
        <w:spacing w:after="160" w:line="259" w:lineRule="auto"/>
        <w:rPr>
          <w:rFonts w:ascii="Times New Roman" w:hAnsi="Times New Roman"/>
          <w:b/>
          <w:sz w:val="28"/>
          <w:szCs w:val="28"/>
        </w:rPr>
      </w:pPr>
      <w:r>
        <w:rPr>
          <w:rFonts w:ascii="Times New Roman" w:hAnsi="Times New Roman"/>
          <w:b/>
          <w:sz w:val="28"/>
          <w:szCs w:val="28"/>
        </w:rPr>
        <w:br w:type="page"/>
      </w:r>
    </w:p>
    <w:p w14:paraId="2F64680F" w14:textId="6666C082" w:rsidR="00A3071A" w:rsidRPr="00CB045B" w:rsidRDefault="00A3071A" w:rsidP="00A3071A">
      <w:pPr>
        <w:spacing w:after="160" w:line="259" w:lineRule="auto"/>
        <w:ind w:left="6480" w:firstLine="720"/>
        <w:rPr>
          <w:rFonts w:ascii="Times New Roman" w:hAnsi="Times New Roman"/>
          <w:b/>
          <w:sz w:val="28"/>
          <w:szCs w:val="28"/>
        </w:rPr>
      </w:pPr>
      <w:r w:rsidRPr="00CB045B">
        <w:rPr>
          <w:rFonts w:ascii="Times New Roman" w:hAnsi="Times New Roman"/>
          <w:b/>
          <w:sz w:val="28"/>
          <w:szCs w:val="28"/>
        </w:rPr>
        <w:t>Attachment B</w:t>
      </w:r>
    </w:p>
    <w:p w14:paraId="39F8DD8B" w14:textId="77777777" w:rsidR="00A3071A" w:rsidRPr="00CB045B" w:rsidRDefault="00A3071A" w:rsidP="00A3071A">
      <w:pPr>
        <w:pStyle w:val="Heading2"/>
        <w:rPr>
          <w:rFonts w:eastAsiaTheme="minorHAnsi"/>
        </w:rPr>
      </w:pPr>
      <w:r w:rsidRPr="00CB045B">
        <w:rPr>
          <w:rFonts w:eastAsiaTheme="minorHAnsi"/>
        </w:rPr>
        <w:t>Statement of Compatibility with Human Rights</w:t>
      </w:r>
    </w:p>
    <w:p w14:paraId="1B57EC06" w14:textId="77777777" w:rsidR="00A3071A" w:rsidRPr="00CB045B" w:rsidRDefault="00A3071A" w:rsidP="00A3071A">
      <w:pPr>
        <w:spacing w:before="120" w:after="120"/>
        <w:jc w:val="center"/>
        <w:rPr>
          <w:rFonts w:ascii="Times New Roman" w:hAnsi="Times New Roman"/>
        </w:rPr>
      </w:pPr>
      <w:r w:rsidRPr="00CB045B">
        <w:rPr>
          <w:rFonts w:ascii="Times New Roman" w:hAnsi="Times New Roman"/>
          <w:i/>
        </w:rPr>
        <w:t>Prepared in accordance with Part 3 of the Human Rights (Parliamentary Scrutiny) Act 2011</w:t>
      </w:r>
    </w:p>
    <w:p w14:paraId="17066372" w14:textId="77777777" w:rsidR="00A3071A" w:rsidRPr="00CB045B" w:rsidRDefault="00A3071A" w:rsidP="00A3071A">
      <w:pPr>
        <w:spacing w:before="120" w:after="120"/>
        <w:jc w:val="center"/>
        <w:rPr>
          <w:rFonts w:ascii="Times New Roman" w:hAnsi="Times New Roman"/>
        </w:rPr>
      </w:pPr>
    </w:p>
    <w:p w14:paraId="6B21C7E8" w14:textId="77777777" w:rsidR="00A3071A" w:rsidRPr="00A04C83" w:rsidRDefault="00A04C83" w:rsidP="00A3071A">
      <w:pPr>
        <w:jc w:val="center"/>
        <w:rPr>
          <w:rFonts w:ascii="Times New Roman" w:hAnsi="Times New Roman"/>
          <w:b/>
          <w:sz w:val="28"/>
          <w:szCs w:val="28"/>
        </w:rPr>
      </w:pPr>
      <w:r w:rsidRPr="00A04C83">
        <w:rPr>
          <w:rFonts w:ascii="Times New Roman" w:hAnsi="Times New Roman"/>
          <w:b/>
          <w:sz w:val="28"/>
          <w:szCs w:val="28"/>
        </w:rPr>
        <w:t>Telecommunications (Nominated Service Area and Statutory Infrastructure Provider) Declaration 2020</w:t>
      </w:r>
    </w:p>
    <w:p w14:paraId="09FEF1AA" w14:textId="77777777" w:rsidR="00A3071A" w:rsidRPr="007E1668" w:rsidRDefault="00A3071A" w:rsidP="00A3071A">
      <w:pPr>
        <w:shd w:val="clear" w:color="auto" w:fill="FFFFFF"/>
        <w:spacing w:before="100" w:beforeAutospacing="1" w:after="160"/>
        <w:rPr>
          <w:rFonts w:ascii="Times New Roman" w:hAnsi="Times New Roman"/>
          <w:b/>
          <w:i/>
        </w:rPr>
      </w:pPr>
      <w:r w:rsidRPr="007E1668">
        <w:rPr>
          <w:rFonts w:ascii="Times New Roman" w:hAnsi="Times New Roman"/>
          <w:b/>
          <w:i/>
        </w:rPr>
        <w:t xml:space="preserve">Overview </w:t>
      </w:r>
    </w:p>
    <w:p w14:paraId="1489CD45" w14:textId="77777777" w:rsidR="0032456F" w:rsidRDefault="0032456F" w:rsidP="0032456F">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Pr="00F742E9">
        <w:rPr>
          <w:rFonts w:ascii="Times New Roman" w:hAnsi="Times New Roman"/>
          <w:i/>
        </w:rPr>
        <w:t>Telecommunications (Nominated Service Area and Statutory Infrastructure Provider) Declaration 2020</w:t>
      </w:r>
      <w:r w:rsidRPr="00640197">
        <w:rPr>
          <w:rFonts w:ascii="Times New Roman" w:hAnsi="Times New Roman"/>
          <w:i/>
        </w:rPr>
        <w:t xml:space="preserve"> </w:t>
      </w:r>
      <w:r w:rsidRPr="00AE2CE3">
        <w:rPr>
          <w:rFonts w:ascii="Times New Roman" w:hAnsi="Times New Roman"/>
        </w:rPr>
        <w:t>(the Declaration) is to</w:t>
      </w:r>
      <w:r>
        <w:rPr>
          <w:rFonts w:ascii="Times New Roman" w:hAnsi="Times New Roman"/>
        </w:rPr>
        <w:t xml:space="preserve"> </w:t>
      </w:r>
      <w:r w:rsidR="0021093D">
        <w:rPr>
          <w:rFonts w:ascii="Times New Roman" w:hAnsi="Times New Roman"/>
        </w:rPr>
        <w:t xml:space="preserve">substitute </w:t>
      </w:r>
      <w:r>
        <w:rPr>
          <w:rFonts w:ascii="Times New Roman" w:hAnsi="Times New Roman"/>
        </w:rPr>
        <w:t xml:space="preserve">the </w:t>
      </w:r>
      <w:r w:rsidR="00CF25EC">
        <w:rPr>
          <w:rFonts w:ascii="Times New Roman" w:hAnsi="Times New Roman"/>
        </w:rPr>
        <w:t xml:space="preserve">statutorily deemed </w:t>
      </w:r>
      <w:r w:rsidR="00716740">
        <w:rPr>
          <w:rFonts w:ascii="Times New Roman" w:hAnsi="Times New Roman"/>
        </w:rPr>
        <w:t>statutory infrastructure p</w:t>
      </w:r>
      <w:r w:rsidR="00716740" w:rsidRPr="00716740">
        <w:rPr>
          <w:rFonts w:ascii="Times New Roman" w:hAnsi="Times New Roman"/>
        </w:rPr>
        <w:t>rovider</w:t>
      </w:r>
      <w:r w:rsidR="00716740">
        <w:rPr>
          <w:rFonts w:ascii="Times New Roman" w:hAnsi="Times New Roman"/>
        </w:rPr>
        <w:t>s (</w:t>
      </w:r>
      <w:r>
        <w:rPr>
          <w:rFonts w:ascii="Times New Roman" w:hAnsi="Times New Roman"/>
        </w:rPr>
        <w:t>SIPs</w:t>
      </w:r>
      <w:r w:rsidR="00716740">
        <w:rPr>
          <w:rFonts w:ascii="Times New Roman" w:hAnsi="Times New Roman"/>
        </w:rPr>
        <w:t>)</w:t>
      </w:r>
      <w:r>
        <w:rPr>
          <w:rFonts w:ascii="Times New Roman" w:hAnsi="Times New Roman"/>
        </w:rPr>
        <w:t xml:space="preserve"> for eight ‘nominated service areas’ </w:t>
      </w:r>
      <w:r w:rsidR="009C5A85">
        <w:rPr>
          <w:rFonts w:ascii="Times New Roman" w:hAnsi="Times New Roman"/>
        </w:rPr>
        <w:t>set by the</w:t>
      </w:r>
      <w:r>
        <w:rPr>
          <w:rFonts w:ascii="Times New Roman" w:hAnsi="Times New Roman"/>
        </w:rPr>
        <w:t xml:space="preserve"> SIP regime.</w:t>
      </w:r>
    </w:p>
    <w:p w14:paraId="059480A0" w14:textId="1A78D7DD" w:rsidR="0032456F" w:rsidRDefault="0032456F" w:rsidP="0032456F">
      <w:pPr>
        <w:shd w:val="clear" w:color="auto" w:fill="FFFFFF"/>
        <w:spacing w:before="100" w:beforeAutospacing="1" w:after="100" w:afterAutospacing="1"/>
        <w:rPr>
          <w:rFonts w:ascii="Times New Roman" w:hAnsi="Times New Roman"/>
        </w:rPr>
      </w:pPr>
      <w:r>
        <w:rPr>
          <w:rFonts w:ascii="Times New Roman" w:hAnsi="Times New Roman"/>
        </w:rPr>
        <w:t xml:space="preserve">Prior to the SIP regime commencing, </w:t>
      </w:r>
      <w:r w:rsidR="00EA46BC">
        <w:rPr>
          <w:rFonts w:ascii="Times New Roman" w:hAnsi="Times New Roman"/>
        </w:rPr>
        <w:t>two</w:t>
      </w:r>
      <w:r>
        <w:rPr>
          <w:rFonts w:ascii="Times New Roman" w:hAnsi="Times New Roman"/>
        </w:rPr>
        <w:t xml:space="preserve"> carriers were subject to licence conditions which required them to supply carriage services, on reasonable request, in development areas specified in the licence conditions, on the basis they had contracted to install telecommunications networks in those areas. </w:t>
      </w:r>
    </w:p>
    <w:p w14:paraId="2D172237" w14:textId="3F084FEC" w:rsidR="0032456F" w:rsidRDefault="00716740" w:rsidP="00AE2256">
      <w:pPr>
        <w:shd w:val="clear" w:color="auto" w:fill="FFFFFF"/>
        <w:spacing w:before="100" w:beforeAutospacing="1" w:after="100" w:afterAutospacing="1"/>
        <w:ind w:right="-286"/>
        <w:rPr>
          <w:rFonts w:ascii="Times New Roman" w:hAnsi="Times New Roman"/>
        </w:rPr>
      </w:pPr>
      <w:r>
        <w:rPr>
          <w:rFonts w:ascii="Times New Roman" w:hAnsi="Times New Roman"/>
        </w:rPr>
        <w:t xml:space="preserve">The Declaration </w:t>
      </w:r>
      <w:r w:rsidR="00CF25EC">
        <w:rPr>
          <w:rFonts w:ascii="Times New Roman" w:hAnsi="Times New Roman"/>
        </w:rPr>
        <w:t xml:space="preserve">substitutes </w:t>
      </w:r>
      <w:r>
        <w:rPr>
          <w:rFonts w:ascii="Times New Roman" w:hAnsi="Times New Roman"/>
        </w:rPr>
        <w:t>the</w:t>
      </w:r>
      <w:r w:rsidR="00EA46BC">
        <w:rPr>
          <w:rFonts w:ascii="Times New Roman" w:hAnsi="Times New Roman"/>
        </w:rPr>
        <w:t>se</w:t>
      </w:r>
      <w:r>
        <w:rPr>
          <w:rFonts w:ascii="Times New Roman" w:hAnsi="Times New Roman"/>
        </w:rPr>
        <w:t xml:space="preserve"> SIPs</w:t>
      </w:r>
      <w:r w:rsidRPr="00716740">
        <w:rPr>
          <w:rFonts w:ascii="Times New Roman" w:hAnsi="Times New Roman"/>
        </w:rPr>
        <w:t xml:space="preserve"> in light of subsequent changes in ownership and operation </w:t>
      </w:r>
      <w:r>
        <w:rPr>
          <w:rFonts w:ascii="Times New Roman" w:hAnsi="Times New Roman"/>
        </w:rPr>
        <w:t xml:space="preserve">of the networks concerned. </w:t>
      </w:r>
      <w:r w:rsidR="002166F3">
        <w:rPr>
          <w:rFonts w:ascii="Times New Roman" w:hAnsi="Times New Roman"/>
        </w:rPr>
        <w:t xml:space="preserve">Specifically </w:t>
      </w:r>
      <w:r w:rsidR="002166F3" w:rsidRPr="002166F3">
        <w:rPr>
          <w:rFonts w:ascii="Times New Roman" w:hAnsi="Times New Roman"/>
        </w:rPr>
        <w:t>OptiComm will now be the SIP for five nominated service areas previously serviced by NT Technology Services and LBN Co will be the SIP for three nominated service areas previously serviced by Pivit.</w:t>
      </w:r>
    </w:p>
    <w:p w14:paraId="67C92D68" w14:textId="77777777" w:rsidR="00A3071A" w:rsidRPr="00CB045B" w:rsidRDefault="00A3071A" w:rsidP="00A3071A">
      <w:pPr>
        <w:rPr>
          <w:rFonts w:ascii="Times New Roman" w:hAnsi="Times New Roman"/>
          <w:b/>
          <w:i/>
        </w:rPr>
      </w:pPr>
      <w:r w:rsidRPr="00CB045B">
        <w:rPr>
          <w:rFonts w:ascii="Times New Roman" w:hAnsi="Times New Roman"/>
          <w:b/>
          <w:i/>
        </w:rPr>
        <w:t xml:space="preserve">Human rights implications </w:t>
      </w:r>
    </w:p>
    <w:p w14:paraId="2BDFD0DD" w14:textId="77777777" w:rsidR="00A3071A" w:rsidRPr="00CB045B" w:rsidRDefault="00A3071A" w:rsidP="00A3071A">
      <w:pPr>
        <w:shd w:val="clear" w:color="auto" w:fill="FFFFFF"/>
        <w:spacing w:before="100" w:beforeAutospacing="1" w:after="160"/>
        <w:rPr>
          <w:rFonts w:ascii="Times New Roman" w:hAnsi="Times New Roman"/>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is compatible with the rights and freedoms recognised or declared by the international instruments listed in subsection 3(1) of the </w:t>
      </w:r>
      <w:r w:rsidRPr="00CB045B">
        <w:rPr>
          <w:rFonts w:ascii="Times New Roman" w:hAnsi="Times New Roman"/>
          <w:i/>
          <w:iCs/>
        </w:rPr>
        <w:t>Human Rights (Parliamentary Scrutiny) Act 2011</w:t>
      </w:r>
      <w:r w:rsidRPr="00CB045B">
        <w:rPr>
          <w:rFonts w:ascii="Times New Roman" w:hAnsi="Times New Roman"/>
        </w:rPr>
        <w:t xml:space="preserve"> as they apply to Australia. </w:t>
      </w:r>
    </w:p>
    <w:p w14:paraId="445C7F35" w14:textId="77777777" w:rsidR="00A3071A" w:rsidRPr="00CB045B" w:rsidRDefault="00A3071A" w:rsidP="00A3071A">
      <w:pPr>
        <w:shd w:val="clear" w:color="auto" w:fill="FFFFFF"/>
        <w:spacing w:before="100" w:beforeAutospacing="1" w:after="100" w:afterAutospacing="1"/>
        <w:rPr>
          <w:rFonts w:ascii="Times New Roman" w:hAnsi="Times New Roman"/>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does not engage any of the applicable rights or freedoms.</w:t>
      </w:r>
    </w:p>
    <w:p w14:paraId="2B88F4B0" w14:textId="77777777" w:rsidR="00A3071A" w:rsidRPr="00CB045B" w:rsidRDefault="00A3071A" w:rsidP="00A3071A">
      <w:pPr>
        <w:shd w:val="clear" w:color="auto" w:fill="FFFFFF"/>
        <w:spacing w:before="100" w:beforeAutospacing="1" w:after="100" w:afterAutospacing="1"/>
        <w:rPr>
          <w:rFonts w:ascii="Times New Roman" w:hAnsi="Times New Roman"/>
          <w:b/>
          <w:i/>
          <w:lang w:val="en-US"/>
        </w:rPr>
      </w:pPr>
      <w:r w:rsidRPr="00CB045B">
        <w:rPr>
          <w:rFonts w:ascii="Times New Roman" w:hAnsi="Times New Roman"/>
          <w:b/>
          <w:bCs/>
          <w:i/>
          <w:iCs/>
        </w:rPr>
        <w:t>Conclusion</w:t>
      </w:r>
    </w:p>
    <w:p w14:paraId="203B9C19" w14:textId="0AA597E9" w:rsidR="00EA46BC" w:rsidRDefault="00A3071A" w:rsidP="00EA46BC">
      <w:pPr>
        <w:shd w:val="clear" w:color="auto" w:fill="FFFFFF"/>
        <w:spacing w:before="100" w:beforeAutospacing="1" w:after="100" w:afterAutospacing="1"/>
        <w:rPr>
          <w:rFonts w:ascii="Times New Roman" w:hAnsi="Times New Roman"/>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is compatible with human rights as it does no</w:t>
      </w:r>
      <w:r w:rsidR="00EA46BC">
        <w:rPr>
          <w:rFonts w:ascii="Times New Roman" w:hAnsi="Times New Roman"/>
        </w:rPr>
        <w:t>t raise any human rights i</w:t>
      </w:r>
    </w:p>
    <w:p w14:paraId="5C269971" w14:textId="77777777" w:rsidR="00EA46BC" w:rsidRPr="00EA46BC" w:rsidRDefault="00EA46BC" w:rsidP="00EA46BC">
      <w:pPr>
        <w:rPr>
          <w:rFonts w:ascii="Times New Roman" w:hAnsi="Times New Roman"/>
        </w:rPr>
      </w:pPr>
    </w:p>
    <w:p w14:paraId="61F959BB" w14:textId="31C74289" w:rsidR="00EA46BC" w:rsidRDefault="00EA46BC">
      <w:pPr>
        <w:spacing w:after="160" w:line="259" w:lineRule="auto"/>
        <w:rPr>
          <w:rFonts w:ascii="Times New Roman" w:hAnsi="Times New Roman"/>
        </w:rPr>
      </w:pPr>
      <w:r>
        <w:rPr>
          <w:rFonts w:ascii="Times New Roman" w:hAnsi="Times New Roman"/>
        </w:rPr>
        <w:br w:type="page"/>
      </w:r>
    </w:p>
    <w:p w14:paraId="38DF8BEB" w14:textId="77777777" w:rsidR="00EA46BC" w:rsidRPr="00BD1C55" w:rsidRDefault="00EA46BC" w:rsidP="00EA46BC">
      <w:pPr>
        <w:ind w:right="91"/>
        <w:rPr>
          <w:rFonts w:ascii="Times New Roman" w:hAnsi="Times New Roman"/>
          <w:b/>
          <w:sz w:val="28"/>
          <w:szCs w:val="28"/>
        </w:rPr>
      </w:pPr>
      <w:r>
        <w:rPr>
          <w:rFonts w:ascii="Times New Roman" w:hAnsi="Times New Roman"/>
          <w:b/>
          <w:sz w:val="28"/>
          <w:szCs w:val="28"/>
        </w:rPr>
        <w:t>Attachment C</w:t>
      </w:r>
    </w:p>
    <w:p w14:paraId="73077874" w14:textId="77777777" w:rsidR="00EA46BC" w:rsidRPr="00BD1C55" w:rsidRDefault="00EA46BC" w:rsidP="00EA46BC">
      <w:pPr>
        <w:ind w:right="91"/>
        <w:rPr>
          <w:rFonts w:ascii="Times New Roman" w:hAnsi="Times New Roman"/>
          <w:b/>
          <w:i/>
          <w:sz w:val="28"/>
          <w:szCs w:val="28"/>
        </w:rPr>
      </w:pPr>
      <w:r>
        <w:rPr>
          <w:rFonts w:ascii="Times New Roman" w:hAnsi="Times New Roman"/>
          <w:b/>
          <w:sz w:val="28"/>
          <w:szCs w:val="28"/>
        </w:rPr>
        <w:t>Boundaries of nominated service areas</w:t>
      </w:r>
    </w:p>
    <w:p w14:paraId="00A5024A" w14:textId="77777777" w:rsidR="00EA46BC" w:rsidRPr="004E5A3B" w:rsidRDefault="00EA46BC" w:rsidP="00EA46BC">
      <w:pPr>
        <w:shd w:val="clear" w:color="auto" w:fill="FFFFFF"/>
        <w:spacing w:before="100" w:beforeAutospacing="1" w:after="100" w:afterAutospacing="1"/>
        <w:rPr>
          <w:rFonts w:ascii="Times New Roman" w:hAnsi="Times New Roman"/>
        </w:rPr>
      </w:pPr>
      <w:r>
        <w:rPr>
          <w:rFonts w:ascii="Times New Roman" w:hAnsi="Times New Roman"/>
          <w:lang w:val="en-US"/>
        </w:rPr>
        <w:t xml:space="preserve">To assist readers, the table below provides a description of the geographical boundaries for the </w:t>
      </w:r>
      <w:r>
        <w:rPr>
          <w:rFonts w:ascii="Times New Roman" w:hAnsi="Times New Roman"/>
        </w:rPr>
        <w:t xml:space="preserve">eight nominated service areas in TAB Vector format using the GDA94 coordinate system, and lists the designated SIP for each nominated service area. The geographic area of the relevant nominated service areas is fixed by law by the operation of section 360L of the Act as being the development areas as defined in the </w:t>
      </w:r>
      <w:r w:rsidRPr="009C5A85">
        <w:rPr>
          <w:rFonts w:ascii="Times New Roman" w:hAnsi="Times New Roman"/>
          <w:i/>
        </w:rPr>
        <w:t>Carrier Licence Conditions (Pivit Pty Ltd) Declaration 2013</w:t>
      </w:r>
      <w:r>
        <w:rPr>
          <w:rFonts w:ascii="Times New Roman" w:hAnsi="Times New Roman"/>
          <w:i/>
        </w:rPr>
        <w:t xml:space="preserve"> </w:t>
      </w:r>
      <w:r>
        <w:rPr>
          <w:rFonts w:ascii="Times New Roman" w:hAnsi="Times New Roman"/>
        </w:rPr>
        <w:t>and in</w:t>
      </w:r>
      <w:r w:rsidRPr="009C5A85">
        <w:rPr>
          <w:i/>
        </w:rPr>
        <w:t xml:space="preserve"> </w:t>
      </w:r>
      <w:r w:rsidRPr="009C5A85">
        <w:rPr>
          <w:rFonts w:ascii="Times New Roman" w:hAnsi="Times New Roman"/>
          <w:i/>
        </w:rPr>
        <w:t>Carrier Licence Conditions (NT Technology Services Pty Ltd) Declaration 2014</w:t>
      </w:r>
      <w:r>
        <w:rPr>
          <w:rFonts w:ascii="Times New Roman" w:hAnsi="Times New Roman"/>
        </w:rPr>
        <w:t>.</w:t>
      </w:r>
    </w:p>
    <w:tbl>
      <w:tblPr>
        <w:tblpPr w:leftFromText="180" w:rightFromText="180" w:vertAnchor="text" w:horzAnchor="margin" w:tblpY="290"/>
        <w:tblOverlap w:val="never"/>
        <w:tblW w:w="0" w:type="auto"/>
        <w:tblBorders>
          <w:top w:val="single" w:sz="4" w:space="0" w:color="auto"/>
          <w:bottom w:val="single" w:sz="2" w:space="0" w:color="auto"/>
          <w:insideH w:val="single" w:sz="4" w:space="0" w:color="auto"/>
        </w:tblBorders>
        <w:tblLook w:val="0020" w:firstRow="1" w:lastRow="0" w:firstColumn="0" w:lastColumn="0" w:noHBand="0" w:noVBand="0"/>
      </w:tblPr>
      <w:tblGrid>
        <w:gridCol w:w="616"/>
        <w:gridCol w:w="1490"/>
        <w:gridCol w:w="1476"/>
        <w:gridCol w:w="5488"/>
      </w:tblGrid>
      <w:tr w:rsidR="00EA46BC" w:rsidRPr="00BB6785" w14:paraId="06CE2D46" w14:textId="77777777" w:rsidTr="00371898">
        <w:trPr>
          <w:trHeight w:val="647"/>
          <w:tblHeader/>
        </w:trPr>
        <w:tc>
          <w:tcPr>
            <w:tcW w:w="0" w:type="auto"/>
            <w:tcBorders>
              <w:top w:val="single" w:sz="12" w:space="0" w:color="auto"/>
              <w:left w:val="nil"/>
              <w:bottom w:val="single" w:sz="12" w:space="0" w:color="auto"/>
              <w:right w:val="nil"/>
            </w:tcBorders>
            <w:hideMark/>
          </w:tcPr>
          <w:p w14:paraId="55558602" w14:textId="77777777" w:rsidR="00EA46BC" w:rsidRDefault="00EA46BC" w:rsidP="00371898">
            <w:pPr>
              <w:pStyle w:val="TableHeading"/>
            </w:pPr>
            <w:r>
              <w:t>Item</w:t>
            </w:r>
          </w:p>
        </w:tc>
        <w:tc>
          <w:tcPr>
            <w:tcW w:w="2503" w:type="dxa"/>
            <w:tcBorders>
              <w:top w:val="single" w:sz="12" w:space="0" w:color="auto"/>
              <w:left w:val="nil"/>
              <w:bottom w:val="single" w:sz="12" w:space="0" w:color="auto"/>
              <w:right w:val="nil"/>
            </w:tcBorders>
            <w:hideMark/>
          </w:tcPr>
          <w:p w14:paraId="4D02CC40" w14:textId="77777777" w:rsidR="00EA46BC" w:rsidRPr="00A878FE" w:rsidRDefault="00EA46BC" w:rsidP="00371898">
            <w:pPr>
              <w:pStyle w:val="TableHeading"/>
            </w:pPr>
            <w:r w:rsidRPr="00DA0F58">
              <w:t>Nominated service area</w:t>
            </w:r>
            <w:r>
              <w:t xml:space="preserve"> to which subsection 360K(3) does not apply</w:t>
            </w:r>
          </w:p>
        </w:tc>
        <w:tc>
          <w:tcPr>
            <w:tcW w:w="1643" w:type="dxa"/>
            <w:tcBorders>
              <w:top w:val="single" w:sz="12" w:space="0" w:color="auto"/>
              <w:left w:val="nil"/>
              <w:bottom w:val="single" w:sz="12" w:space="0" w:color="auto"/>
              <w:right w:val="nil"/>
            </w:tcBorders>
          </w:tcPr>
          <w:p w14:paraId="7F628A2A" w14:textId="77777777" w:rsidR="00EA46BC" w:rsidRPr="00BB6785" w:rsidRDefault="00EA46BC" w:rsidP="00371898">
            <w:pPr>
              <w:pStyle w:val="TableHeading"/>
            </w:pPr>
            <w:r>
              <w:t>C</w:t>
            </w:r>
            <w:r w:rsidRPr="00202A6E">
              <w:t xml:space="preserve">arrier that is the </w:t>
            </w:r>
            <w:r w:rsidRPr="00DA0F58">
              <w:t>statutory infrastructure provider</w:t>
            </w:r>
            <w:r w:rsidRPr="00251913">
              <w:t xml:space="preserve"> for the </w:t>
            </w:r>
            <w:r w:rsidRPr="00DA0F58">
              <w:t>nominated service area</w:t>
            </w:r>
          </w:p>
        </w:tc>
        <w:tc>
          <w:tcPr>
            <w:tcW w:w="0" w:type="auto"/>
            <w:tcBorders>
              <w:top w:val="single" w:sz="12" w:space="0" w:color="auto"/>
              <w:left w:val="nil"/>
              <w:bottom w:val="single" w:sz="12" w:space="0" w:color="auto"/>
              <w:right w:val="nil"/>
            </w:tcBorders>
          </w:tcPr>
          <w:p w14:paraId="025B6213" w14:textId="77777777" w:rsidR="00EA46BC" w:rsidRPr="00202A6E" w:rsidRDefault="00EA46BC" w:rsidP="00371898">
            <w:pPr>
              <w:pStyle w:val="TableHeading"/>
            </w:pPr>
            <w:r>
              <w:t xml:space="preserve">Vector boundaries of the nominated service areas </w:t>
            </w:r>
            <w:r w:rsidRPr="00E900C6">
              <w:t>using the GDA94 coordinate system</w:t>
            </w:r>
          </w:p>
        </w:tc>
      </w:tr>
      <w:tr w:rsidR="00EA46BC" w:rsidRPr="00202A6E" w14:paraId="7B602B24" w14:textId="77777777" w:rsidTr="00371898">
        <w:trPr>
          <w:trHeight w:val="323"/>
        </w:trPr>
        <w:tc>
          <w:tcPr>
            <w:tcW w:w="0" w:type="auto"/>
            <w:tcBorders>
              <w:top w:val="single" w:sz="4" w:space="0" w:color="auto"/>
              <w:left w:val="nil"/>
              <w:bottom w:val="single" w:sz="4" w:space="0" w:color="auto"/>
              <w:right w:val="nil"/>
            </w:tcBorders>
            <w:hideMark/>
          </w:tcPr>
          <w:p w14:paraId="2EAB9D04" w14:textId="77777777" w:rsidR="00EA46BC" w:rsidRPr="001F6177" w:rsidRDefault="00EA46BC" w:rsidP="00371898">
            <w:pPr>
              <w:pStyle w:val="Tabletext"/>
            </w:pPr>
            <w:r>
              <w:t>1</w:t>
            </w:r>
          </w:p>
        </w:tc>
        <w:tc>
          <w:tcPr>
            <w:tcW w:w="2503" w:type="dxa"/>
            <w:tcBorders>
              <w:top w:val="single" w:sz="4" w:space="0" w:color="auto"/>
              <w:left w:val="nil"/>
              <w:bottom w:val="single" w:sz="4" w:space="0" w:color="auto"/>
              <w:right w:val="nil"/>
            </w:tcBorders>
          </w:tcPr>
          <w:p w14:paraId="08B370F9" w14:textId="77777777" w:rsidR="00EA46BC" w:rsidRDefault="00EA46BC" w:rsidP="00371898">
            <w:pPr>
              <w:pStyle w:val="Tabletext"/>
            </w:pPr>
            <w:r w:rsidRPr="004E09B1">
              <w:t>Elements Retirement Living</w:t>
            </w:r>
          </w:p>
          <w:p w14:paraId="6701B278" w14:textId="77777777" w:rsidR="00EA46BC" w:rsidRDefault="00EA46BC" w:rsidP="00371898">
            <w:pPr>
              <w:pStyle w:val="Tabletext"/>
            </w:pPr>
            <w:r>
              <w:t>Dennis Road,</w:t>
            </w:r>
          </w:p>
          <w:p w14:paraId="47289C05" w14:textId="77777777" w:rsidR="00EA46BC" w:rsidRPr="001F6177" w:rsidRDefault="00EA46BC" w:rsidP="00371898">
            <w:pPr>
              <w:pStyle w:val="Tabletext"/>
            </w:pPr>
            <w:r>
              <w:t>Springwood  QLD  4127</w:t>
            </w:r>
          </w:p>
        </w:tc>
        <w:tc>
          <w:tcPr>
            <w:tcW w:w="1643" w:type="dxa"/>
            <w:tcBorders>
              <w:top w:val="single" w:sz="4" w:space="0" w:color="auto"/>
              <w:left w:val="nil"/>
              <w:bottom w:val="single" w:sz="4" w:space="0" w:color="auto"/>
              <w:right w:val="nil"/>
            </w:tcBorders>
          </w:tcPr>
          <w:p w14:paraId="7BF635B1" w14:textId="77777777" w:rsidR="00EA46BC" w:rsidRPr="00202A6E" w:rsidRDefault="00EA46BC" w:rsidP="00371898">
            <w:pPr>
              <w:pStyle w:val="Tabletext"/>
            </w:pPr>
            <w:r>
              <w:t>LBN Co Pty Ltd</w:t>
            </w:r>
          </w:p>
        </w:tc>
        <w:tc>
          <w:tcPr>
            <w:tcW w:w="0" w:type="auto"/>
            <w:tcBorders>
              <w:top w:val="single" w:sz="4" w:space="0" w:color="auto"/>
              <w:left w:val="nil"/>
              <w:bottom w:val="single" w:sz="4" w:space="0" w:color="auto"/>
              <w:right w:val="nil"/>
            </w:tcBorders>
          </w:tcPr>
          <w:p w14:paraId="2F76CB40" w14:textId="77777777" w:rsidR="00EA46BC" w:rsidRDefault="00EA46BC" w:rsidP="00371898">
            <w:pPr>
              <w:pStyle w:val="Tabletext"/>
            </w:pPr>
            <w:r w:rsidRPr="00174A72">
              <w:t>POLYGON((153.15123820261411 -27.616213846997994, 153.15186583952359 -27.616560834644517, 153.15151715235166 -27.618853560927935, 153.1496356471184 -27.617281502867169, 153.14973220664294 -27.616630310253662, 153.15009162265093 -27.616307089124412, 153.15045640307696 -27.616425920532812, 153.15123820261411 -27.616213846997994))</w:t>
            </w:r>
          </w:p>
        </w:tc>
      </w:tr>
      <w:tr w:rsidR="00EA46BC" w:rsidRPr="00202A6E" w14:paraId="73E3E04B" w14:textId="77777777" w:rsidTr="00371898">
        <w:trPr>
          <w:trHeight w:val="323"/>
        </w:trPr>
        <w:tc>
          <w:tcPr>
            <w:tcW w:w="0" w:type="auto"/>
            <w:tcBorders>
              <w:top w:val="single" w:sz="4" w:space="0" w:color="auto"/>
              <w:left w:val="nil"/>
              <w:bottom w:val="single" w:sz="4" w:space="0" w:color="auto"/>
              <w:right w:val="nil"/>
            </w:tcBorders>
            <w:hideMark/>
          </w:tcPr>
          <w:p w14:paraId="3363FC90" w14:textId="77777777" w:rsidR="00EA46BC" w:rsidRPr="001F6177" w:rsidRDefault="00EA46BC" w:rsidP="00371898">
            <w:pPr>
              <w:pStyle w:val="Tabletext"/>
            </w:pPr>
            <w:r>
              <w:t>2</w:t>
            </w:r>
          </w:p>
        </w:tc>
        <w:tc>
          <w:tcPr>
            <w:tcW w:w="2503" w:type="dxa"/>
            <w:tcBorders>
              <w:top w:val="single" w:sz="4" w:space="0" w:color="auto"/>
              <w:left w:val="nil"/>
              <w:bottom w:val="single" w:sz="4" w:space="0" w:color="auto"/>
              <w:right w:val="nil"/>
            </w:tcBorders>
          </w:tcPr>
          <w:p w14:paraId="1DDCFD27" w14:textId="77777777" w:rsidR="00EA46BC" w:rsidRDefault="00EA46BC" w:rsidP="00371898">
            <w:pPr>
              <w:pStyle w:val="Tabletext"/>
            </w:pPr>
            <w:r w:rsidRPr="004E09B1">
              <w:t>Kelvin Grove Urban Village</w:t>
            </w:r>
          </w:p>
          <w:p w14:paraId="41E876AB" w14:textId="77777777" w:rsidR="00EA46BC" w:rsidRPr="001F6177" w:rsidRDefault="00EA46BC" w:rsidP="00371898">
            <w:pPr>
              <w:pStyle w:val="Tabletext"/>
            </w:pPr>
            <w:r w:rsidRPr="0007525F">
              <w:t>Kelvin Grove  QLD  4059</w:t>
            </w:r>
          </w:p>
        </w:tc>
        <w:tc>
          <w:tcPr>
            <w:tcW w:w="1643" w:type="dxa"/>
            <w:tcBorders>
              <w:top w:val="single" w:sz="4" w:space="0" w:color="auto"/>
              <w:left w:val="nil"/>
              <w:bottom w:val="single" w:sz="4" w:space="0" w:color="auto"/>
              <w:right w:val="nil"/>
            </w:tcBorders>
          </w:tcPr>
          <w:p w14:paraId="0E1D4C20" w14:textId="77777777" w:rsidR="00EA46BC" w:rsidRPr="00202A6E" w:rsidRDefault="00EA46BC" w:rsidP="00371898">
            <w:pPr>
              <w:pStyle w:val="Tabletext"/>
            </w:pPr>
            <w:r>
              <w:t>LBN Co Pty Ltd</w:t>
            </w:r>
          </w:p>
        </w:tc>
        <w:tc>
          <w:tcPr>
            <w:tcW w:w="0" w:type="auto"/>
            <w:tcBorders>
              <w:top w:val="single" w:sz="4" w:space="0" w:color="auto"/>
              <w:left w:val="nil"/>
              <w:bottom w:val="single" w:sz="4" w:space="0" w:color="auto"/>
              <w:right w:val="nil"/>
            </w:tcBorders>
          </w:tcPr>
          <w:p w14:paraId="14FE1E7A" w14:textId="29AF3838" w:rsidR="00EA46BC" w:rsidRDefault="00B96FEE" w:rsidP="00371898">
            <w:pPr>
              <w:pStyle w:val="Tabletext"/>
            </w:pPr>
            <w:r>
              <w:t>POLYGON((153.01301552391976 -27.45029378434918,153.0124629888627 -27.45114114012905,153.01270975209206 -27.45140296222764,153.0128438625428 -27.45130775426371,153.0131496343705 -27.451612419459043,153.01264001465768 -27.451974208285396,153.01330520249337 -27.452775611101817,153.0134714994523 -27.453142156433653,153.01305307484597 -27.453284965973406,153.01290287114114 -27.454122778215105,153.01391674614877 -27.45426558648501,153.01370216942757 -27.455282561975967,153.01285459137887 -27.455677660248778,153.01296187973946 -27.455910910371802,153.0158798849373 -27.45520170851904,153.01579405424883 -27.45495417616826,153.0162232076912 -27.454863731516866,153.01601935980608 -27.45426379501782,153.01505376456072 -27.45436852096658,153.01538596729324 -27.453243802976292,153.01587949375198 -27.45289153897889,153.01618526557968 -27.452910580304824,153.01628182510422 -27.45233048128629,153.01560590843246 -27.45160214439672,153.01492462734268 -27.45154978012129,153.0132601635805 -27.450563030681902,153.01301552391976 -27.45029378434918))</w:t>
            </w:r>
            <w:bookmarkStart w:id="1" w:name="_GoBack"/>
            <w:bookmarkEnd w:id="1"/>
          </w:p>
        </w:tc>
      </w:tr>
      <w:tr w:rsidR="00EA46BC" w:rsidRPr="001F6177" w14:paraId="732880D0" w14:textId="77777777" w:rsidTr="00371898">
        <w:trPr>
          <w:trHeight w:val="323"/>
        </w:trPr>
        <w:tc>
          <w:tcPr>
            <w:tcW w:w="0" w:type="auto"/>
            <w:tcBorders>
              <w:top w:val="single" w:sz="4" w:space="0" w:color="auto"/>
              <w:left w:val="nil"/>
              <w:bottom w:val="single" w:sz="4" w:space="0" w:color="auto"/>
              <w:right w:val="nil"/>
            </w:tcBorders>
          </w:tcPr>
          <w:p w14:paraId="0820A35F" w14:textId="77777777" w:rsidR="00EA46BC" w:rsidRPr="001F6177" w:rsidRDefault="00EA46BC" w:rsidP="00371898">
            <w:pPr>
              <w:pStyle w:val="Tabletext"/>
            </w:pPr>
            <w:r>
              <w:t>3</w:t>
            </w:r>
          </w:p>
        </w:tc>
        <w:tc>
          <w:tcPr>
            <w:tcW w:w="2503" w:type="dxa"/>
            <w:tcBorders>
              <w:top w:val="single" w:sz="4" w:space="0" w:color="auto"/>
              <w:left w:val="nil"/>
              <w:bottom w:val="single" w:sz="4" w:space="0" w:color="auto"/>
              <w:right w:val="nil"/>
            </w:tcBorders>
          </w:tcPr>
          <w:p w14:paraId="67282C61" w14:textId="77777777" w:rsidR="00EA46BC" w:rsidRDefault="00EA46BC" w:rsidP="00371898">
            <w:pPr>
              <w:pStyle w:val="Tabletext"/>
            </w:pPr>
            <w:r>
              <w:t>Little Bay Estate</w:t>
            </w:r>
          </w:p>
          <w:p w14:paraId="0B3B8046" w14:textId="77777777" w:rsidR="00EA46BC" w:rsidRPr="001F6177" w:rsidRDefault="00EA46BC" w:rsidP="00371898">
            <w:pPr>
              <w:pStyle w:val="Tabletext"/>
            </w:pPr>
            <w:r w:rsidRPr="0007525F">
              <w:t>Little Bay  NSW  2036</w:t>
            </w:r>
          </w:p>
        </w:tc>
        <w:tc>
          <w:tcPr>
            <w:tcW w:w="1643" w:type="dxa"/>
            <w:tcBorders>
              <w:top w:val="single" w:sz="4" w:space="0" w:color="auto"/>
              <w:left w:val="nil"/>
              <w:bottom w:val="single" w:sz="4" w:space="0" w:color="auto"/>
              <w:right w:val="nil"/>
            </w:tcBorders>
          </w:tcPr>
          <w:p w14:paraId="04B4BAA6" w14:textId="77777777" w:rsidR="00EA46BC" w:rsidRPr="001F6177" w:rsidRDefault="00EA46BC" w:rsidP="00371898">
            <w:pPr>
              <w:pStyle w:val="Tabletext"/>
            </w:pPr>
            <w:r>
              <w:t>LBN Co Pty Ltd</w:t>
            </w:r>
          </w:p>
        </w:tc>
        <w:tc>
          <w:tcPr>
            <w:tcW w:w="0" w:type="auto"/>
            <w:tcBorders>
              <w:top w:val="single" w:sz="4" w:space="0" w:color="auto"/>
              <w:left w:val="nil"/>
              <w:bottom w:val="single" w:sz="4" w:space="0" w:color="auto"/>
              <w:right w:val="nil"/>
            </w:tcBorders>
          </w:tcPr>
          <w:p w14:paraId="24693525" w14:textId="02441AAF" w:rsidR="00EA46BC" w:rsidRDefault="00B96FEE" w:rsidP="00371898">
            <w:pPr>
              <w:pStyle w:val="Tabletext"/>
            </w:pPr>
            <w:r>
              <w:t>POLYGON((151.24333215391675 -33.97664837506216,151.24760223066846 -33.97720090809031,151.24805284178296 -33.97762351429348,151.24842835104505 -33.9784509266715,151.2498767439131 -33.97896249481204,151.2505633894209 -33.97945626635848,151.25066531336347 -33.979714271971666,151.25050438082258 -33.980763445917276,151.24998939669172 -33.98142624167063,151.24939931070844 -33.981448483049256,151.24835324919266 -33.98140400028621,151.24669174739628 -33.98386938730225,151.24287602200945 -33.982269793453874,151.24323543801745 -33.98150469407888,151.2443083216234 -33.9807929675474,151.24487694993456 -33.97984547235545,151.24482330575427 -33.97876266673545,151.24465700879534 -33.97842013803761,151.24333215391675 -33.97664837506216))</w:t>
            </w:r>
          </w:p>
        </w:tc>
      </w:tr>
      <w:tr w:rsidR="00EA46BC" w:rsidRPr="001F6177" w14:paraId="0065A8F2" w14:textId="77777777" w:rsidTr="00371898">
        <w:trPr>
          <w:trHeight w:val="323"/>
        </w:trPr>
        <w:tc>
          <w:tcPr>
            <w:tcW w:w="0" w:type="auto"/>
            <w:tcBorders>
              <w:top w:val="single" w:sz="4" w:space="0" w:color="auto"/>
              <w:left w:val="nil"/>
              <w:bottom w:val="single" w:sz="4" w:space="0" w:color="auto"/>
              <w:right w:val="nil"/>
            </w:tcBorders>
          </w:tcPr>
          <w:p w14:paraId="73E2AA7D" w14:textId="77777777" w:rsidR="00EA46BC" w:rsidRPr="001F6177" w:rsidRDefault="00EA46BC" w:rsidP="00371898">
            <w:pPr>
              <w:pStyle w:val="Tabletext"/>
            </w:pPr>
            <w:r>
              <w:t>4</w:t>
            </w:r>
          </w:p>
        </w:tc>
        <w:tc>
          <w:tcPr>
            <w:tcW w:w="2503" w:type="dxa"/>
            <w:tcBorders>
              <w:top w:val="single" w:sz="4" w:space="0" w:color="auto"/>
              <w:left w:val="nil"/>
              <w:bottom w:val="single" w:sz="4" w:space="0" w:color="auto"/>
              <w:right w:val="nil"/>
            </w:tcBorders>
          </w:tcPr>
          <w:p w14:paraId="59B37239" w14:textId="77777777" w:rsidR="00EA46BC" w:rsidRPr="009A27D2" w:rsidRDefault="00EA46BC" w:rsidP="00371898">
            <w:pPr>
              <w:pStyle w:val="Tabletext"/>
            </w:pPr>
            <w:r w:rsidRPr="009A27D2">
              <w:t>‘Forte’ residential apartment complex</w:t>
            </w:r>
          </w:p>
          <w:p w14:paraId="5431D570" w14:textId="77777777" w:rsidR="00EA46BC" w:rsidRPr="009A27D2" w:rsidRDefault="00EA46BC" w:rsidP="00371898">
            <w:pPr>
              <w:pStyle w:val="Tabletext"/>
            </w:pPr>
            <w:r w:rsidRPr="009A27D2">
              <w:t>807 – 811 Bourke Street</w:t>
            </w:r>
          </w:p>
          <w:p w14:paraId="16D616A3" w14:textId="77777777" w:rsidR="00EA46BC" w:rsidRPr="009A27D2" w:rsidRDefault="00EA46BC" w:rsidP="00371898">
            <w:pPr>
              <w:pStyle w:val="Tabletext"/>
            </w:pPr>
            <w:r w:rsidRPr="009A27D2">
              <w:t>Docklands  Victoria  3008</w:t>
            </w:r>
          </w:p>
        </w:tc>
        <w:tc>
          <w:tcPr>
            <w:tcW w:w="1643" w:type="dxa"/>
            <w:tcBorders>
              <w:top w:val="single" w:sz="4" w:space="0" w:color="auto"/>
              <w:left w:val="nil"/>
              <w:bottom w:val="single" w:sz="4" w:space="0" w:color="auto"/>
              <w:right w:val="nil"/>
            </w:tcBorders>
          </w:tcPr>
          <w:p w14:paraId="2E2F22BD" w14:textId="77777777" w:rsidR="00EA46BC" w:rsidRPr="001F6177" w:rsidRDefault="00EA46BC" w:rsidP="00371898">
            <w:pPr>
              <w:pStyle w:val="Tabletext"/>
            </w:pPr>
            <w:r>
              <w:t>OptiComm Ltd</w:t>
            </w:r>
          </w:p>
        </w:tc>
        <w:tc>
          <w:tcPr>
            <w:tcW w:w="0" w:type="auto"/>
            <w:vMerge w:val="restart"/>
            <w:tcBorders>
              <w:top w:val="single" w:sz="4" w:space="0" w:color="auto"/>
              <w:left w:val="nil"/>
              <w:right w:val="nil"/>
            </w:tcBorders>
          </w:tcPr>
          <w:p w14:paraId="615476FD" w14:textId="77777777" w:rsidR="00EA46BC" w:rsidRDefault="00EA46BC" w:rsidP="00371898">
            <w:pPr>
              <w:pStyle w:val="Tabletext"/>
            </w:pPr>
            <w:r w:rsidRPr="00DB29FE">
              <w:t>GEOMETRYCOLLECTION(POLYGON((144.94092233168848 -37.8199351097501</w:t>
            </w:r>
            <w:r w:rsidRPr="00174A72">
              <w:t xml:space="preserve">, </w:t>
            </w:r>
            <w:r w:rsidRPr="00DB29FE">
              <w:t>144.9411530016621 -37.820439379758426</w:t>
            </w:r>
            <w:r w:rsidRPr="00174A72">
              <w:t xml:space="preserve">, </w:t>
            </w:r>
            <w:r w:rsidRPr="00DB29FE">
              <w:t>144.9418718336783 -37.820248689823806</w:t>
            </w:r>
            <w:r w:rsidRPr="00174A72">
              <w:t xml:space="preserve">, </w:t>
            </w:r>
            <w:r w:rsidRPr="00DB29FE">
              <w:t>144.94165189253567 -37.81964695391254</w:t>
            </w:r>
            <w:r w:rsidRPr="00174A72">
              <w:t xml:space="preserve">, </w:t>
            </w:r>
            <w:r w:rsidRPr="00DB29FE">
              <w:t>144.94092233168848 -37.8199351097501))</w:t>
            </w:r>
            <w:r w:rsidRPr="00174A72">
              <w:t xml:space="preserve">, </w:t>
            </w:r>
            <w:r w:rsidRPr="00DB29FE">
              <w:t>POLYGON((144.9417484520593 -37.81961729074765</w:t>
            </w:r>
            <w:r w:rsidRPr="00174A72">
              <w:t xml:space="preserve">, </w:t>
            </w:r>
            <w:r w:rsidRPr="00DB29FE">
              <w:t>144.94235463130542 -37.81937998500018</w:t>
            </w:r>
            <w:r w:rsidRPr="00174A72">
              <w:t xml:space="preserve">, </w:t>
            </w:r>
            <w:r w:rsidRPr="00DB29FE">
              <w:t>144.9426496742918 -37.820053761826486</w:t>
            </w:r>
            <w:r w:rsidRPr="00174A72">
              <w:t xml:space="preserve">, </w:t>
            </w:r>
            <w:r w:rsidRPr="00DB29FE">
              <w:t>144.9420005797128 -37.82021478933995</w:t>
            </w:r>
            <w:r w:rsidRPr="00174A72">
              <w:t xml:space="preserve">, </w:t>
            </w:r>
            <w:r w:rsidRPr="00DB29FE">
              <w:t>144.9417484520593 -37.81961729074765))</w:t>
            </w:r>
            <w:r w:rsidRPr="00174A72">
              <w:t xml:space="preserve">, </w:t>
            </w:r>
            <w:r w:rsidRPr="00DB29FE">
              <w:t>POLYGON((144.94325585353792 -37.82090338987446</w:t>
            </w:r>
            <w:r w:rsidRPr="00174A72">
              <w:t xml:space="preserve">, </w:t>
            </w:r>
            <w:r w:rsidRPr="00DB29FE">
              <w:t>144.9439907788096 -37.82067880086714</w:t>
            </w:r>
            <w:r w:rsidRPr="00174A72">
              <w:t xml:space="preserve">, </w:t>
            </w:r>
            <w:r w:rsidRPr="00DB29FE">
              <w:t>144.9441946266968 -37.821098315627985</w:t>
            </w:r>
            <w:r w:rsidRPr="00174A72">
              <w:t xml:space="preserve">, </w:t>
            </w:r>
            <w:r w:rsidRPr="00DB29FE">
              <w:t>144.9441946266968 -37.82113645321489</w:t>
            </w:r>
            <w:r w:rsidRPr="00174A72">
              <w:t xml:space="preserve">, </w:t>
            </w:r>
            <w:r w:rsidRPr="00DB29FE">
              <w:t>144.94413561809952 -37.82117035327615</w:t>
            </w:r>
            <w:r w:rsidRPr="00174A72">
              <w:t xml:space="preserve">, </w:t>
            </w:r>
            <w:r w:rsidRPr="00DB29FE">
              <w:t>144.94332559097515 -37.820979665230716</w:t>
            </w:r>
            <w:r w:rsidRPr="00174A72">
              <w:t xml:space="preserve">, </w:t>
            </w:r>
            <w:r w:rsidRPr="00DB29FE">
              <w:t>144.94327194679337 -37.82095424012071</w:t>
            </w:r>
            <w:r w:rsidRPr="00174A72">
              <w:t xml:space="preserve">, </w:t>
            </w:r>
            <w:r w:rsidRPr="00DB29FE">
              <w:t>144.94325585353792 -37.82090338987446))</w:t>
            </w:r>
            <w:r w:rsidRPr="00174A72">
              <w:t xml:space="preserve">, </w:t>
            </w:r>
            <w:r w:rsidRPr="00DB29FE">
              <w:t>POLYGON((144.94431264389132 -37.819827051443106</w:t>
            </w:r>
            <w:r w:rsidRPr="00174A72">
              <w:t xml:space="preserve">, </w:t>
            </w:r>
            <w:r w:rsidRPr="00DB29FE">
              <w:t>144.94449503410763 -37.82021267055945</w:t>
            </w:r>
            <w:r w:rsidRPr="00174A72">
              <w:t xml:space="preserve">, </w:t>
            </w:r>
            <w:r w:rsidRPr="00DB29FE">
              <w:t>144.94482762802033 -37.82011520657687</w:t>
            </w:r>
            <w:r w:rsidRPr="00174A72">
              <w:t xml:space="preserve">, </w:t>
            </w:r>
            <w:r w:rsidRPr="00DB29FE">
              <w:t>144.94480080593394 -37.82007283089262</w:t>
            </w:r>
            <w:r w:rsidRPr="00174A72">
              <w:t xml:space="preserve">, </w:t>
            </w:r>
            <w:r w:rsidRPr="00DB29FE">
              <w:t>144.9449671028948 -37.82003893032728</w:t>
            </w:r>
            <w:r w:rsidRPr="00174A72">
              <w:t xml:space="preserve">, </w:t>
            </w:r>
            <w:r w:rsidRPr="00DB29FE">
              <w:t>144.9448437212758 -37.81975077489574</w:t>
            </w:r>
            <w:r w:rsidRPr="00174A72">
              <w:t xml:space="preserve">, </w:t>
            </w:r>
            <w:r w:rsidRPr="00DB29FE">
              <w:t>144.94472033966574 -37.81975077489574</w:t>
            </w:r>
            <w:r w:rsidRPr="00174A72">
              <w:t xml:space="preserve">, </w:t>
            </w:r>
            <w:r w:rsidRPr="00DB29FE">
              <w:t>144.9447042464103 -37.81971687418249</w:t>
            </w:r>
            <w:r w:rsidRPr="00174A72">
              <w:t xml:space="preserve">, </w:t>
            </w:r>
            <w:r w:rsidRPr="00DB29FE">
              <w:t>144.94431264389132 -37.819827051443106))</w:t>
            </w:r>
            <w:r w:rsidRPr="00174A72">
              <w:t xml:space="preserve">, </w:t>
            </w:r>
            <w:r w:rsidRPr="00DB29FE">
              <w:t>POLYGON((144.94490809429752 -37.8196617854905</w:t>
            </w:r>
            <w:r w:rsidRPr="00174A72">
              <w:t xml:space="preserve">, </w:t>
            </w:r>
            <w:r w:rsidRPr="00DB29FE">
              <w:t>144.94498856056572 -37.8198058635213</w:t>
            </w:r>
            <w:r w:rsidRPr="00174A72">
              <w:t xml:space="preserve">, </w:t>
            </w:r>
            <w:r w:rsidRPr="00DB29FE">
              <w:t>144.94520313728387 -37.819746537307346</w:t>
            </w:r>
            <w:r w:rsidRPr="00174A72">
              <w:t xml:space="preserve">, </w:t>
            </w:r>
            <w:r w:rsidRPr="00DB29FE">
              <w:t>144.94517095077302 -37.81957703357707</w:t>
            </w:r>
            <w:r w:rsidRPr="00174A72">
              <w:t xml:space="preserve">, </w:t>
            </w:r>
            <w:r w:rsidRPr="00DB29FE">
              <w:t>144.94490809429752 -37.8196617854905))</w:t>
            </w:r>
            <w:r w:rsidRPr="00174A72">
              <w:t xml:space="preserve">, </w:t>
            </w:r>
            <w:r w:rsidRPr="00DB29FE">
              <w:t>POLYGON((144.94020349968125 -37.82003045518405</w:t>
            </w:r>
            <w:r w:rsidRPr="00174A72">
              <w:t xml:space="preserve">, </w:t>
            </w:r>
            <w:r w:rsidRPr="00DB29FE">
              <w:t>144.94079895007843 -37.81985247694138</w:t>
            </w:r>
            <w:r w:rsidRPr="00174A72">
              <w:t xml:space="preserve">, </w:t>
            </w:r>
            <w:r w:rsidRPr="00DB29FE">
              <w:t>144.9408794163556 -37.82003893032728</w:t>
            </w:r>
            <w:r w:rsidRPr="00174A72">
              <w:t xml:space="preserve">, </w:t>
            </w:r>
            <w:r w:rsidRPr="00DB29FE">
              <w:t>144.9410939930738 -37.820496586643166</w:t>
            </w:r>
            <w:r w:rsidRPr="00174A72">
              <w:t xml:space="preserve">, </w:t>
            </w:r>
            <w:r w:rsidRPr="00DB29FE">
              <w:t>144.94048781383665 -37.820674563332744</w:t>
            </w:r>
            <w:r w:rsidRPr="00174A72">
              <w:t xml:space="preserve">, </w:t>
            </w:r>
            <w:r w:rsidRPr="00DB29FE">
              <w:t>144.94020349968125 -37.82003045518405)))</w:t>
            </w:r>
          </w:p>
        </w:tc>
      </w:tr>
      <w:tr w:rsidR="00EA46BC" w:rsidRPr="001F6177" w14:paraId="7DB8D15C" w14:textId="77777777" w:rsidTr="00371898">
        <w:trPr>
          <w:trHeight w:val="323"/>
        </w:trPr>
        <w:tc>
          <w:tcPr>
            <w:tcW w:w="0" w:type="auto"/>
            <w:tcBorders>
              <w:top w:val="single" w:sz="4" w:space="0" w:color="auto"/>
              <w:left w:val="nil"/>
              <w:bottom w:val="single" w:sz="4" w:space="0" w:color="auto"/>
              <w:right w:val="nil"/>
            </w:tcBorders>
          </w:tcPr>
          <w:p w14:paraId="570F0801" w14:textId="77777777" w:rsidR="00EA46BC" w:rsidRPr="001F6177" w:rsidRDefault="00EA46BC" w:rsidP="00371898">
            <w:pPr>
              <w:pStyle w:val="Tabletext"/>
            </w:pPr>
            <w:r>
              <w:t>5</w:t>
            </w:r>
          </w:p>
        </w:tc>
        <w:tc>
          <w:tcPr>
            <w:tcW w:w="2503" w:type="dxa"/>
            <w:tcBorders>
              <w:top w:val="single" w:sz="4" w:space="0" w:color="auto"/>
              <w:left w:val="nil"/>
              <w:bottom w:val="single" w:sz="4" w:space="0" w:color="auto"/>
              <w:right w:val="nil"/>
            </w:tcBorders>
          </w:tcPr>
          <w:p w14:paraId="76B30220" w14:textId="77777777" w:rsidR="00EA46BC" w:rsidRPr="009A27D2" w:rsidRDefault="00EA46BC" w:rsidP="00371898">
            <w:pPr>
              <w:pStyle w:val="Tabletext"/>
            </w:pPr>
            <w:r w:rsidRPr="009A27D2">
              <w:t>‘EXO’ residential apartment complex</w:t>
            </w:r>
          </w:p>
          <w:p w14:paraId="4C658634" w14:textId="77777777" w:rsidR="00EA46BC" w:rsidRDefault="00EA46BC" w:rsidP="00371898">
            <w:pPr>
              <w:pStyle w:val="Tabletext"/>
            </w:pPr>
            <w:r>
              <w:t>55 Merchant Street</w:t>
            </w:r>
          </w:p>
          <w:p w14:paraId="6DDA470A" w14:textId="77777777" w:rsidR="00EA46BC" w:rsidRPr="001F6177" w:rsidRDefault="00EA46BC" w:rsidP="00371898">
            <w:pPr>
              <w:pStyle w:val="Tabletext"/>
            </w:pPr>
            <w:r>
              <w:t>Docklands  Victoria  3008</w:t>
            </w:r>
          </w:p>
        </w:tc>
        <w:tc>
          <w:tcPr>
            <w:tcW w:w="1643" w:type="dxa"/>
            <w:tcBorders>
              <w:top w:val="single" w:sz="4" w:space="0" w:color="auto"/>
              <w:left w:val="nil"/>
              <w:bottom w:val="single" w:sz="4" w:space="0" w:color="auto"/>
              <w:right w:val="nil"/>
            </w:tcBorders>
          </w:tcPr>
          <w:p w14:paraId="69E435C7" w14:textId="77777777" w:rsidR="00EA46BC" w:rsidRPr="001F6177" w:rsidRDefault="00EA46BC" w:rsidP="00371898">
            <w:pPr>
              <w:pStyle w:val="Tabletext"/>
            </w:pPr>
            <w:r>
              <w:t>OptiComm Ltd</w:t>
            </w:r>
          </w:p>
        </w:tc>
        <w:tc>
          <w:tcPr>
            <w:tcW w:w="0" w:type="auto"/>
            <w:vMerge/>
            <w:tcBorders>
              <w:left w:val="nil"/>
              <w:right w:val="nil"/>
            </w:tcBorders>
          </w:tcPr>
          <w:p w14:paraId="72F009E7" w14:textId="77777777" w:rsidR="00EA46BC" w:rsidRDefault="00EA46BC" w:rsidP="00371898">
            <w:pPr>
              <w:pStyle w:val="Tabletext"/>
            </w:pPr>
          </w:p>
        </w:tc>
      </w:tr>
      <w:tr w:rsidR="00EA46BC" w:rsidRPr="001F6177" w14:paraId="7FBE0C63" w14:textId="77777777" w:rsidTr="00371898">
        <w:trPr>
          <w:trHeight w:val="323"/>
        </w:trPr>
        <w:tc>
          <w:tcPr>
            <w:tcW w:w="0" w:type="auto"/>
            <w:tcBorders>
              <w:top w:val="single" w:sz="4" w:space="0" w:color="auto"/>
              <w:left w:val="nil"/>
              <w:bottom w:val="single" w:sz="4" w:space="0" w:color="auto"/>
              <w:right w:val="nil"/>
            </w:tcBorders>
          </w:tcPr>
          <w:p w14:paraId="3644ACBC" w14:textId="77777777" w:rsidR="00EA46BC" w:rsidRPr="001F6177" w:rsidRDefault="00EA46BC" w:rsidP="00371898">
            <w:pPr>
              <w:pStyle w:val="Tabletext"/>
            </w:pPr>
            <w:r>
              <w:t>6</w:t>
            </w:r>
          </w:p>
        </w:tc>
        <w:tc>
          <w:tcPr>
            <w:tcW w:w="2503" w:type="dxa"/>
            <w:tcBorders>
              <w:top w:val="single" w:sz="4" w:space="0" w:color="auto"/>
              <w:left w:val="nil"/>
              <w:bottom w:val="single" w:sz="4" w:space="0" w:color="auto"/>
              <w:right w:val="nil"/>
            </w:tcBorders>
          </w:tcPr>
          <w:p w14:paraId="03A37AF2" w14:textId="77777777" w:rsidR="00EA46BC" w:rsidRPr="009A27D2" w:rsidRDefault="00EA46BC" w:rsidP="00371898">
            <w:pPr>
              <w:pStyle w:val="Tabletext"/>
            </w:pPr>
            <w:r w:rsidRPr="009A27D2">
              <w:t>‘Serrata’ residential apartment complex</w:t>
            </w:r>
          </w:p>
          <w:p w14:paraId="31B056CE" w14:textId="77777777" w:rsidR="00EA46BC" w:rsidRDefault="00EA46BC" w:rsidP="00371898">
            <w:pPr>
              <w:pStyle w:val="Tabletext"/>
            </w:pPr>
            <w:r>
              <w:t>815 Bourke Street</w:t>
            </w:r>
          </w:p>
          <w:p w14:paraId="54FEDBDA" w14:textId="77777777" w:rsidR="00EA46BC" w:rsidRPr="001F6177" w:rsidRDefault="00EA46BC" w:rsidP="00371898">
            <w:pPr>
              <w:pStyle w:val="Tabletext"/>
            </w:pPr>
            <w:r>
              <w:t>Docklands  Victoria  3008</w:t>
            </w:r>
          </w:p>
        </w:tc>
        <w:tc>
          <w:tcPr>
            <w:tcW w:w="1643" w:type="dxa"/>
            <w:tcBorders>
              <w:top w:val="single" w:sz="4" w:space="0" w:color="auto"/>
              <w:left w:val="nil"/>
              <w:bottom w:val="single" w:sz="4" w:space="0" w:color="auto"/>
              <w:right w:val="nil"/>
            </w:tcBorders>
          </w:tcPr>
          <w:p w14:paraId="50450AD1" w14:textId="77777777" w:rsidR="00EA46BC" w:rsidRPr="001F6177" w:rsidRDefault="00EA46BC" w:rsidP="00371898">
            <w:pPr>
              <w:pStyle w:val="Tabletext"/>
            </w:pPr>
            <w:r>
              <w:t>OptiComm Ltd</w:t>
            </w:r>
          </w:p>
        </w:tc>
        <w:tc>
          <w:tcPr>
            <w:tcW w:w="0" w:type="auto"/>
            <w:vMerge/>
            <w:tcBorders>
              <w:left w:val="nil"/>
              <w:right w:val="nil"/>
            </w:tcBorders>
          </w:tcPr>
          <w:p w14:paraId="03BCDEDA" w14:textId="77777777" w:rsidR="00EA46BC" w:rsidRDefault="00EA46BC" w:rsidP="00371898">
            <w:pPr>
              <w:pStyle w:val="Tabletext"/>
            </w:pPr>
          </w:p>
        </w:tc>
      </w:tr>
      <w:tr w:rsidR="00EA46BC" w:rsidRPr="001F6177" w14:paraId="55AC9081" w14:textId="77777777" w:rsidTr="00371898">
        <w:trPr>
          <w:trHeight w:val="323"/>
        </w:trPr>
        <w:tc>
          <w:tcPr>
            <w:tcW w:w="0" w:type="auto"/>
            <w:tcBorders>
              <w:top w:val="single" w:sz="4" w:space="0" w:color="auto"/>
              <w:left w:val="nil"/>
              <w:bottom w:val="single" w:sz="4" w:space="0" w:color="auto"/>
              <w:right w:val="nil"/>
            </w:tcBorders>
          </w:tcPr>
          <w:p w14:paraId="38EE1ED6" w14:textId="77777777" w:rsidR="00EA46BC" w:rsidRPr="001F6177" w:rsidRDefault="00EA46BC" w:rsidP="00371898">
            <w:pPr>
              <w:pStyle w:val="Tabletext"/>
            </w:pPr>
            <w:r>
              <w:t>7</w:t>
            </w:r>
          </w:p>
        </w:tc>
        <w:tc>
          <w:tcPr>
            <w:tcW w:w="2503" w:type="dxa"/>
            <w:tcBorders>
              <w:top w:val="single" w:sz="4" w:space="0" w:color="auto"/>
              <w:left w:val="nil"/>
              <w:bottom w:val="single" w:sz="4" w:space="0" w:color="auto"/>
              <w:right w:val="nil"/>
            </w:tcBorders>
          </w:tcPr>
          <w:p w14:paraId="2221CEBC" w14:textId="77777777" w:rsidR="00EA46BC" w:rsidRDefault="00EA46BC" w:rsidP="00371898">
            <w:pPr>
              <w:pStyle w:val="Tabletext"/>
            </w:pPr>
            <w:r>
              <w:t>‘Convesso’ residential apartment complex</w:t>
            </w:r>
          </w:p>
          <w:p w14:paraId="0604D7B8" w14:textId="77777777" w:rsidR="00EA46BC" w:rsidRDefault="00EA46BC" w:rsidP="00371898">
            <w:pPr>
              <w:pStyle w:val="Tabletext"/>
            </w:pPr>
            <w:r>
              <w:t>8 Waterside Place</w:t>
            </w:r>
          </w:p>
          <w:p w14:paraId="02D46405" w14:textId="77777777" w:rsidR="00EA46BC" w:rsidRPr="001F6177" w:rsidRDefault="00EA46BC" w:rsidP="00371898">
            <w:pPr>
              <w:pStyle w:val="Tabletext"/>
            </w:pPr>
            <w:r>
              <w:t>Docklands  Victoria  3008</w:t>
            </w:r>
          </w:p>
        </w:tc>
        <w:tc>
          <w:tcPr>
            <w:tcW w:w="1643" w:type="dxa"/>
            <w:tcBorders>
              <w:top w:val="single" w:sz="4" w:space="0" w:color="auto"/>
              <w:left w:val="nil"/>
              <w:bottom w:val="single" w:sz="4" w:space="0" w:color="auto"/>
              <w:right w:val="nil"/>
            </w:tcBorders>
          </w:tcPr>
          <w:p w14:paraId="290DD3CF" w14:textId="77777777" w:rsidR="00EA46BC" w:rsidRPr="001F6177" w:rsidRDefault="00EA46BC" w:rsidP="00371898">
            <w:pPr>
              <w:pStyle w:val="Tabletext"/>
            </w:pPr>
            <w:r>
              <w:t>OptiComm Ltd</w:t>
            </w:r>
          </w:p>
        </w:tc>
        <w:tc>
          <w:tcPr>
            <w:tcW w:w="0" w:type="auto"/>
            <w:vMerge/>
            <w:tcBorders>
              <w:left w:val="nil"/>
              <w:right w:val="nil"/>
            </w:tcBorders>
          </w:tcPr>
          <w:p w14:paraId="12836453" w14:textId="77777777" w:rsidR="00EA46BC" w:rsidRDefault="00EA46BC" w:rsidP="00371898">
            <w:pPr>
              <w:pStyle w:val="Tabletext"/>
            </w:pPr>
          </w:p>
        </w:tc>
      </w:tr>
      <w:tr w:rsidR="00EA46BC" w:rsidRPr="001F6177" w14:paraId="0BDAAEE7" w14:textId="77777777" w:rsidTr="00371898">
        <w:trPr>
          <w:trHeight w:val="323"/>
        </w:trPr>
        <w:tc>
          <w:tcPr>
            <w:tcW w:w="0" w:type="auto"/>
            <w:tcBorders>
              <w:top w:val="single" w:sz="4" w:space="0" w:color="auto"/>
              <w:left w:val="nil"/>
              <w:bottom w:val="single" w:sz="4" w:space="0" w:color="auto"/>
              <w:right w:val="nil"/>
            </w:tcBorders>
          </w:tcPr>
          <w:p w14:paraId="58308239" w14:textId="77777777" w:rsidR="00EA46BC" w:rsidRDefault="00EA46BC" w:rsidP="00371898">
            <w:pPr>
              <w:pStyle w:val="Tabletext"/>
            </w:pPr>
            <w:r>
              <w:t>8</w:t>
            </w:r>
          </w:p>
        </w:tc>
        <w:tc>
          <w:tcPr>
            <w:tcW w:w="2503" w:type="dxa"/>
            <w:tcBorders>
              <w:top w:val="single" w:sz="4" w:space="0" w:color="auto"/>
              <w:left w:val="nil"/>
              <w:bottom w:val="single" w:sz="4" w:space="0" w:color="auto"/>
              <w:right w:val="nil"/>
            </w:tcBorders>
          </w:tcPr>
          <w:p w14:paraId="5800AAFC" w14:textId="77777777" w:rsidR="00EA46BC" w:rsidRPr="004E09B1" w:rsidRDefault="00EA46BC" w:rsidP="00371898">
            <w:pPr>
              <w:pStyle w:val="Tabletext"/>
            </w:pPr>
            <w:r w:rsidRPr="004E09B1">
              <w:t>‘Concavo’ residential apartment complex</w:t>
            </w:r>
          </w:p>
          <w:p w14:paraId="2CAC5D11" w14:textId="77777777" w:rsidR="00EA46BC" w:rsidRDefault="00EA46BC" w:rsidP="00371898">
            <w:pPr>
              <w:pStyle w:val="Tabletext"/>
            </w:pPr>
            <w:r>
              <w:t>9 Waterside Place</w:t>
            </w:r>
          </w:p>
          <w:p w14:paraId="6B7B0EA5" w14:textId="77777777" w:rsidR="00EA46BC" w:rsidRPr="001F6177" w:rsidRDefault="00EA46BC" w:rsidP="00371898">
            <w:pPr>
              <w:pStyle w:val="Tabletext"/>
            </w:pPr>
            <w:r>
              <w:t>Docklands  Victoria  3008</w:t>
            </w:r>
          </w:p>
        </w:tc>
        <w:tc>
          <w:tcPr>
            <w:tcW w:w="1643" w:type="dxa"/>
            <w:tcBorders>
              <w:top w:val="single" w:sz="4" w:space="0" w:color="auto"/>
              <w:left w:val="nil"/>
              <w:bottom w:val="single" w:sz="4" w:space="0" w:color="auto"/>
              <w:right w:val="nil"/>
            </w:tcBorders>
          </w:tcPr>
          <w:p w14:paraId="6AEDB5FE" w14:textId="77777777" w:rsidR="00EA46BC" w:rsidRPr="001F6177" w:rsidRDefault="00EA46BC" w:rsidP="00371898">
            <w:pPr>
              <w:pStyle w:val="Tabletext"/>
            </w:pPr>
            <w:r>
              <w:t>OptiComm Ltd</w:t>
            </w:r>
          </w:p>
        </w:tc>
        <w:tc>
          <w:tcPr>
            <w:tcW w:w="0" w:type="auto"/>
            <w:vMerge/>
            <w:tcBorders>
              <w:left w:val="nil"/>
              <w:bottom w:val="single" w:sz="4" w:space="0" w:color="auto"/>
              <w:right w:val="nil"/>
            </w:tcBorders>
          </w:tcPr>
          <w:p w14:paraId="3C6BBA66" w14:textId="77777777" w:rsidR="00EA46BC" w:rsidRDefault="00EA46BC" w:rsidP="00371898">
            <w:pPr>
              <w:pStyle w:val="Tabletext"/>
            </w:pPr>
          </w:p>
        </w:tc>
      </w:tr>
    </w:tbl>
    <w:p w14:paraId="5F749135" w14:textId="77777777" w:rsidR="00EA46BC" w:rsidRPr="00A3071A" w:rsidRDefault="00EA46BC" w:rsidP="00EA46BC">
      <w:pPr>
        <w:shd w:val="clear" w:color="auto" w:fill="FFFFFF"/>
        <w:spacing w:before="100" w:beforeAutospacing="1" w:after="100" w:afterAutospacing="1"/>
        <w:rPr>
          <w:rFonts w:ascii="Times New Roman" w:hAnsi="Times New Roman"/>
          <w:lang w:val="en-US"/>
        </w:rPr>
      </w:pPr>
    </w:p>
    <w:sectPr w:rsidR="00EA46BC" w:rsidRPr="00A3071A"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2B1F" w14:textId="77777777" w:rsidR="00106A13" w:rsidRDefault="00106A13">
      <w:pPr>
        <w:spacing w:after="0"/>
      </w:pPr>
      <w:r>
        <w:separator/>
      </w:r>
    </w:p>
  </w:endnote>
  <w:endnote w:type="continuationSeparator" w:id="0">
    <w:p w14:paraId="69322D35" w14:textId="77777777" w:rsidR="00106A13" w:rsidRDefault="00106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5B83" w14:textId="77777777" w:rsidR="00106A13" w:rsidRDefault="00106A13">
      <w:pPr>
        <w:spacing w:after="0"/>
      </w:pPr>
      <w:r>
        <w:separator/>
      </w:r>
    </w:p>
  </w:footnote>
  <w:footnote w:type="continuationSeparator" w:id="0">
    <w:p w14:paraId="6F8B7E2C" w14:textId="77777777" w:rsidR="00106A13" w:rsidRDefault="00106A13">
      <w:pPr>
        <w:spacing w:after="0"/>
      </w:pPr>
      <w:r>
        <w:continuationSeparator/>
      </w:r>
    </w:p>
  </w:footnote>
  <w:footnote w:id="1">
    <w:p w14:paraId="55850BE8" w14:textId="77777777" w:rsidR="00232AB6" w:rsidRDefault="00232AB6" w:rsidP="00232AB6">
      <w:pPr>
        <w:pStyle w:val="FootnoteText"/>
      </w:pPr>
      <w:r>
        <w:rPr>
          <w:rStyle w:val="FootnoteReference"/>
        </w:rPr>
        <w:footnoteRef/>
      </w:r>
      <w:r>
        <w:t xml:space="preserve"> </w:t>
      </w:r>
      <w:hyperlink r:id="rId1" w:history="1">
        <w:r w:rsidRPr="002147DF">
          <w:rPr>
            <w:rStyle w:val="Hyperlink"/>
          </w:rPr>
          <w:t>www.acma.gov.au/sip-register</w:t>
        </w:r>
      </w:hyperlink>
      <w:r>
        <w:t xml:space="preserve"> (accessed 14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662A112E" w:rsidR="000A2F7D" w:rsidRPr="000A2F7D" w:rsidRDefault="000A2F7D" w:rsidP="000A2F7D">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510031">
      <w:rPr>
        <w:rStyle w:val="PageNumber"/>
        <w:rFonts w:ascii="Times New Roman" w:hAnsi="Times New Roman"/>
        <w:noProof/>
      </w:rPr>
      <w:t>9</w:t>
    </w:r>
    <w:r w:rsidRPr="009027D6">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356C0339" w:rsidR="00767979" w:rsidRPr="00767979" w:rsidRDefault="00767979" w:rsidP="000A2F7D">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B96FEE">
      <w:rPr>
        <w:rStyle w:val="PageNumber"/>
        <w:rFonts w:ascii="Times New Roman" w:hAnsi="Times New Roman"/>
        <w:noProof/>
      </w:rPr>
      <w:t>4</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2163"/>
    <w:rsid w:val="00017084"/>
    <w:rsid w:val="0002761C"/>
    <w:rsid w:val="0003740F"/>
    <w:rsid w:val="00042326"/>
    <w:rsid w:val="0004396E"/>
    <w:rsid w:val="00046B29"/>
    <w:rsid w:val="0005001E"/>
    <w:rsid w:val="00057861"/>
    <w:rsid w:val="00065374"/>
    <w:rsid w:val="00065AAA"/>
    <w:rsid w:val="00067C99"/>
    <w:rsid w:val="00073851"/>
    <w:rsid w:val="00075CF5"/>
    <w:rsid w:val="000864BF"/>
    <w:rsid w:val="000A1521"/>
    <w:rsid w:val="000A2F7D"/>
    <w:rsid w:val="000B2CE2"/>
    <w:rsid w:val="000C5386"/>
    <w:rsid w:val="000D15DA"/>
    <w:rsid w:val="000E4509"/>
    <w:rsid w:val="000F163C"/>
    <w:rsid w:val="001004B5"/>
    <w:rsid w:val="00105DCC"/>
    <w:rsid w:val="00106A13"/>
    <w:rsid w:val="001133B0"/>
    <w:rsid w:val="00113A31"/>
    <w:rsid w:val="00115CFE"/>
    <w:rsid w:val="00121910"/>
    <w:rsid w:val="0012349C"/>
    <w:rsid w:val="00124826"/>
    <w:rsid w:val="00125ABC"/>
    <w:rsid w:val="00144278"/>
    <w:rsid w:val="001509C1"/>
    <w:rsid w:val="001606AF"/>
    <w:rsid w:val="00164CE9"/>
    <w:rsid w:val="0017360D"/>
    <w:rsid w:val="00174A72"/>
    <w:rsid w:val="0018322A"/>
    <w:rsid w:val="00184E13"/>
    <w:rsid w:val="001907CD"/>
    <w:rsid w:val="00191736"/>
    <w:rsid w:val="00191BAA"/>
    <w:rsid w:val="001A1A92"/>
    <w:rsid w:val="001D0379"/>
    <w:rsid w:val="001D2423"/>
    <w:rsid w:val="001D3DF3"/>
    <w:rsid w:val="001D44F8"/>
    <w:rsid w:val="001E0512"/>
    <w:rsid w:val="001F23CA"/>
    <w:rsid w:val="00200F5F"/>
    <w:rsid w:val="00204F36"/>
    <w:rsid w:val="0021093D"/>
    <w:rsid w:val="002112E8"/>
    <w:rsid w:val="002147DF"/>
    <w:rsid w:val="002166F3"/>
    <w:rsid w:val="002205FC"/>
    <w:rsid w:val="00231869"/>
    <w:rsid w:val="00232AB6"/>
    <w:rsid w:val="0025114C"/>
    <w:rsid w:val="002569B2"/>
    <w:rsid w:val="00256C04"/>
    <w:rsid w:val="00270EAD"/>
    <w:rsid w:val="00273A0F"/>
    <w:rsid w:val="002763F7"/>
    <w:rsid w:val="00282A56"/>
    <w:rsid w:val="00287092"/>
    <w:rsid w:val="0028738F"/>
    <w:rsid w:val="002A33FD"/>
    <w:rsid w:val="002A44BC"/>
    <w:rsid w:val="002A457B"/>
    <w:rsid w:val="002B0212"/>
    <w:rsid w:val="002B0A5B"/>
    <w:rsid w:val="002B772A"/>
    <w:rsid w:val="002D039F"/>
    <w:rsid w:val="002E462A"/>
    <w:rsid w:val="002F2BF6"/>
    <w:rsid w:val="00306CC6"/>
    <w:rsid w:val="00307F03"/>
    <w:rsid w:val="00313CCA"/>
    <w:rsid w:val="0031795D"/>
    <w:rsid w:val="0032423A"/>
    <w:rsid w:val="0032456F"/>
    <w:rsid w:val="00326F10"/>
    <w:rsid w:val="00336274"/>
    <w:rsid w:val="0034077B"/>
    <w:rsid w:val="0035778E"/>
    <w:rsid w:val="00362558"/>
    <w:rsid w:val="00363FBC"/>
    <w:rsid w:val="0037363D"/>
    <w:rsid w:val="00377D8F"/>
    <w:rsid w:val="00384FA7"/>
    <w:rsid w:val="003A0CFA"/>
    <w:rsid w:val="003A2C7C"/>
    <w:rsid w:val="003A5D5E"/>
    <w:rsid w:val="003A634B"/>
    <w:rsid w:val="003B02A8"/>
    <w:rsid w:val="003C1685"/>
    <w:rsid w:val="003C2DA8"/>
    <w:rsid w:val="003D3FF7"/>
    <w:rsid w:val="00403320"/>
    <w:rsid w:val="004038FE"/>
    <w:rsid w:val="00405556"/>
    <w:rsid w:val="00410A4C"/>
    <w:rsid w:val="00410FF2"/>
    <w:rsid w:val="00412946"/>
    <w:rsid w:val="004269FE"/>
    <w:rsid w:val="00426EA0"/>
    <w:rsid w:val="00433572"/>
    <w:rsid w:val="00435470"/>
    <w:rsid w:val="0043622D"/>
    <w:rsid w:val="004671BC"/>
    <w:rsid w:val="0048418F"/>
    <w:rsid w:val="00486222"/>
    <w:rsid w:val="0048710F"/>
    <w:rsid w:val="00487AB1"/>
    <w:rsid w:val="004913DE"/>
    <w:rsid w:val="00491B4F"/>
    <w:rsid w:val="00492D8C"/>
    <w:rsid w:val="004933DB"/>
    <w:rsid w:val="004A69F8"/>
    <w:rsid w:val="004D2628"/>
    <w:rsid w:val="004E5A3B"/>
    <w:rsid w:val="004F69DF"/>
    <w:rsid w:val="004F7BFC"/>
    <w:rsid w:val="0050079C"/>
    <w:rsid w:val="0050224F"/>
    <w:rsid w:val="005046E5"/>
    <w:rsid w:val="00510031"/>
    <w:rsid w:val="0052363C"/>
    <w:rsid w:val="00526C1F"/>
    <w:rsid w:val="0053270C"/>
    <w:rsid w:val="0054288A"/>
    <w:rsid w:val="00543F61"/>
    <w:rsid w:val="00552A6F"/>
    <w:rsid w:val="0056578D"/>
    <w:rsid w:val="0057181F"/>
    <w:rsid w:val="0057508E"/>
    <w:rsid w:val="00575F52"/>
    <w:rsid w:val="005955C1"/>
    <w:rsid w:val="005A1F48"/>
    <w:rsid w:val="005A4FA6"/>
    <w:rsid w:val="005B4DAA"/>
    <w:rsid w:val="005D1A0B"/>
    <w:rsid w:val="005D2652"/>
    <w:rsid w:val="005E0CC4"/>
    <w:rsid w:val="005E4DCF"/>
    <w:rsid w:val="005F28C2"/>
    <w:rsid w:val="00610FA6"/>
    <w:rsid w:val="00611BD0"/>
    <w:rsid w:val="0061209F"/>
    <w:rsid w:val="00620B7C"/>
    <w:rsid w:val="00633C2F"/>
    <w:rsid w:val="006340CC"/>
    <w:rsid w:val="00640197"/>
    <w:rsid w:val="00643572"/>
    <w:rsid w:val="006516A4"/>
    <w:rsid w:val="00651EED"/>
    <w:rsid w:val="00652786"/>
    <w:rsid w:val="00664A18"/>
    <w:rsid w:val="0066786D"/>
    <w:rsid w:val="00677AA8"/>
    <w:rsid w:val="00680B8C"/>
    <w:rsid w:val="00683B78"/>
    <w:rsid w:val="006850C4"/>
    <w:rsid w:val="006930A4"/>
    <w:rsid w:val="006B157D"/>
    <w:rsid w:val="006B1763"/>
    <w:rsid w:val="006B2FA5"/>
    <w:rsid w:val="006B3F93"/>
    <w:rsid w:val="006B49AC"/>
    <w:rsid w:val="006C4964"/>
    <w:rsid w:val="006D355D"/>
    <w:rsid w:val="006F63CD"/>
    <w:rsid w:val="006F6C1E"/>
    <w:rsid w:val="007063F3"/>
    <w:rsid w:val="00710042"/>
    <w:rsid w:val="00713ECB"/>
    <w:rsid w:val="00716740"/>
    <w:rsid w:val="00716FF8"/>
    <w:rsid w:val="00722416"/>
    <w:rsid w:val="007305A9"/>
    <w:rsid w:val="00732A2B"/>
    <w:rsid w:val="0075284B"/>
    <w:rsid w:val="00755237"/>
    <w:rsid w:val="007552EB"/>
    <w:rsid w:val="00761663"/>
    <w:rsid w:val="00763BF6"/>
    <w:rsid w:val="00767979"/>
    <w:rsid w:val="00792D98"/>
    <w:rsid w:val="00793387"/>
    <w:rsid w:val="007B3CED"/>
    <w:rsid w:val="007C1DD1"/>
    <w:rsid w:val="007D0821"/>
    <w:rsid w:val="007D0A6F"/>
    <w:rsid w:val="007D534F"/>
    <w:rsid w:val="007E081C"/>
    <w:rsid w:val="007E1668"/>
    <w:rsid w:val="007E6EB5"/>
    <w:rsid w:val="007F2E2F"/>
    <w:rsid w:val="00800E7C"/>
    <w:rsid w:val="0080261E"/>
    <w:rsid w:val="008146AD"/>
    <w:rsid w:val="008162A4"/>
    <w:rsid w:val="00817FAC"/>
    <w:rsid w:val="008253F5"/>
    <w:rsid w:val="0083383A"/>
    <w:rsid w:val="00833EB7"/>
    <w:rsid w:val="00847325"/>
    <w:rsid w:val="00847F94"/>
    <w:rsid w:val="00885297"/>
    <w:rsid w:val="00890B88"/>
    <w:rsid w:val="00894CA6"/>
    <w:rsid w:val="008B2448"/>
    <w:rsid w:val="008B3FB3"/>
    <w:rsid w:val="008C4BB8"/>
    <w:rsid w:val="008C51D2"/>
    <w:rsid w:val="008D4FCE"/>
    <w:rsid w:val="008D7957"/>
    <w:rsid w:val="009255A1"/>
    <w:rsid w:val="00926488"/>
    <w:rsid w:val="00933C05"/>
    <w:rsid w:val="00940E93"/>
    <w:rsid w:val="00941734"/>
    <w:rsid w:val="0095290F"/>
    <w:rsid w:val="00952A3E"/>
    <w:rsid w:val="00955E2B"/>
    <w:rsid w:val="0097376E"/>
    <w:rsid w:val="009746FE"/>
    <w:rsid w:val="00975974"/>
    <w:rsid w:val="00981EE7"/>
    <w:rsid w:val="00982AE6"/>
    <w:rsid w:val="009938CC"/>
    <w:rsid w:val="0099586F"/>
    <w:rsid w:val="00995E29"/>
    <w:rsid w:val="009A15E4"/>
    <w:rsid w:val="009A27D2"/>
    <w:rsid w:val="009B2A3F"/>
    <w:rsid w:val="009B5C08"/>
    <w:rsid w:val="009B6400"/>
    <w:rsid w:val="009C5A85"/>
    <w:rsid w:val="009C724E"/>
    <w:rsid w:val="009D0FF9"/>
    <w:rsid w:val="009E4FC1"/>
    <w:rsid w:val="009F0B25"/>
    <w:rsid w:val="00A04C83"/>
    <w:rsid w:val="00A0759B"/>
    <w:rsid w:val="00A11086"/>
    <w:rsid w:val="00A24F29"/>
    <w:rsid w:val="00A3071A"/>
    <w:rsid w:val="00A311CB"/>
    <w:rsid w:val="00A34A98"/>
    <w:rsid w:val="00A4515D"/>
    <w:rsid w:val="00A50FFA"/>
    <w:rsid w:val="00A67611"/>
    <w:rsid w:val="00A7768A"/>
    <w:rsid w:val="00A947A7"/>
    <w:rsid w:val="00AA0DC5"/>
    <w:rsid w:val="00AB5694"/>
    <w:rsid w:val="00AC561C"/>
    <w:rsid w:val="00AD12DD"/>
    <w:rsid w:val="00AD1A19"/>
    <w:rsid w:val="00AE2256"/>
    <w:rsid w:val="00AE2CE3"/>
    <w:rsid w:val="00AF5C83"/>
    <w:rsid w:val="00AF7DF1"/>
    <w:rsid w:val="00B00977"/>
    <w:rsid w:val="00B00CCE"/>
    <w:rsid w:val="00B12653"/>
    <w:rsid w:val="00B24CA1"/>
    <w:rsid w:val="00B30359"/>
    <w:rsid w:val="00B34FC5"/>
    <w:rsid w:val="00B4053C"/>
    <w:rsid w:val="00B503C2"/>
    <w:rsid w:val="00B707F4"/>
    <w:rsid w:val="00B7486F"/>
    <w:rsid w:val="00B858CA"/>
    <w:rsid w:val="00B93EBB"/>
    <w:rsid w:val="00B93F9F"/>
    <w:rsid w:val="00B96FEE"/>
    <w:rsid w:val="00BA54DC"/>
    <w:rsid w:val="00BA6AF9"/>
    <w:rsid w:val="00BA7D71"/>
    <w:rsid w:val="00BC285B"/>
    <w:rsid w:val="00BC5D70"/>
    <w:rsid w:val="00BD1C55"/>
    <w:rsid w:val="00BD2104"/>
    <w:rsid w:val="00BD2BB8"/>
    <w:rsid w:val="00BD3694"/>
    <w:rsid w:val="00BD7D59"/>
    <w:rsid w:val="00BF17FB"/>
    <w:rsid w:val="00C0343F"/>
    <w:rsid w:val="00C038E3"/>
    <w:rsid w:val="00C0422D"/>
    <w:rsid w:val="00C1069C"/>
    <w:rsid w:val="00C12949"/>
    <w:rsid w:val="00C32C8F"/>
    <w:rsid w:val="00C451B2"/>
    <w:rsid w:val="00C4600F"/>
    <w:rsid w:val="00C502B4"/>
    <w:rsid w:val="00C65305"/>
    <w:rsid w:val="00C70313"/>
    <w:rsid w:val="00C72119"/>
    <w:rsid w:val="00C769EC"/>
    <w:rsid w:val="00C8592C"/>
    <w:rsid w:val="00C87E77"/>
    <w:rsid w:val="00C937C9"/>
    <w:rsid w:val="00CA1AB6"/>
    <w:rsid w:val="00CB045B"/>
    <w:rsid w:val="00CB4814"/>
    <w:rsid w:val="00CB568B"/>
    <w:rsid w:val="00CB5AF3"/>
    <w:rsid w:val="00CE24E6"/>
    <w:rsid w:val="00CE7E89"/>
    <w:rsid w:val="00CF19E3"/>
    <w:rsid w:val="00CF25EC"/>
    <w:rsid w:val="00CF30CE"/>
    <w:rsid w:val="00D1356C"/>
    <w:rsid w:val="00D14EF2"/>
    <w:rsid w:val="00D1521B"/>
    <w:rsid w:val="00D219E1"/>
    <w:rsid w:val="00D248F6"/>
    <w:rsid w:val="00D3624F"/>
    <w:rsid w:val="00D443AC"/>
    <w:rsid w:val="00D4563A"/>
    <w:rsid w:val="00D47F6B"/>
    <w:rsid w:val="00D538AA"/>
    <w:rsid w:val="00D609C6"/>
    <w:rsid w:val="00D645BD"/>
    <w:rsid w:val="00D869B0"/>
    <w:rsid w:val="00D86C41"/>
    <w:rsid w:val="00D9511E"/>
    <w:rsid w:val="00DB1B01"/>
    <w:rsid w:val="00DB3D08"/>
    <w:rsid w:val="00DB7B3A"/>
    <w:rsid w:val="00DB7B8E"/>
    <w:rsid w:val="00DD1BEF"/>
    <w:rsid w:val="00DD3437"/>
    <w:rsid w:val="00DE1950"/>
    <w:rsid w:val="00DE7C17"/>
    <w:rsid w:val="00DF148E"/>
    <w:rsid w:val="00DF235B"/>
    <w:rsid w:val="00E040CF"/>
    <w:rsid w:val="00E17460"/>
    <w:rsid w:val="00E36450"/>
    <w:rsid w:val="00E40EAB"/>
    <w:rsid w:val="00E4353F"/>
    <w:rsid w:val="00E458A1"/>
    <w:rsid w:val="00E4721F"/>
    <w:rsid w:val="00E53BD7"/>
    <w:rsid w:val="00E846BF"/>
    <w:rsid w:val="00E900C6"/>
    <w:rsid w:val="00E918E6"/>
    <w:rsid w:val="00E92FE8"/>
    <w:rsid w:val="00EA46BC"/>
    <w:rsid w:val="00EB3030"/>
    <w:rsid w:val="00EC05A9"/>
    <w:rsid w:val="00EC5F6C"/>
    <w:rsid w:val="00EC6833"/>
    <w:rsid w:val="00ED3CEC"/>
    <w:rsid w:val="00EF0483"/>
    <w:rsid w:val="00EF2A91"/>
    <w:rsid w:val="00EF2FF3"/>
    <w:rsid w:val="00EF3F08"/>
    <w:rsid w:val="00F007EB"/>
    <w:rsid w:val="00F016A6"/>
    <w:rsid w:val="00F12AF9"/>
    <w:rsid w:val="00F158CB"/>
    <w:rsid w:val="00F20871"/>
    <w:rsid w:val="00F21919"/>
    <w:rsid w:val="00F27681"/>
    <w:rsid w:val="00F47C09"/>
    <w:rsid w:val="00F53EE4"/>
    <w:rsid w:val="00F6066A"/>
    <w:rsid w:val="00F60AE2"/>
    <w:rsid w:val="00F64EED"/>
    <w:rsid w:val="00F66D18"/>
    <w:rsid w:val="00F66FBA"/>
    <w:rsid w:val="00F742E9"/>
    <w:rsid w:val="00F82291"/>
    <w:rsid w:val="00F828DB"/>
    <w:rsid w:val="00FA7B69"/>
    <w:rsid w:val="00FB408F"/>
    <w:rsid w:val="00FC1B1D"/>
    <w:rsid w:val="00FC1EED"/>
    <w:rsid w:val="00FC7B84"/>
    <w:rsid w:val="00FD21C4"/>
    <w:rsid w:val="00FD4553"/>
    <w:rsid w:val="00FE5891"/>
    <w:rsid w:val="00FE69D5"/>
    <w:rsid w:val="00FF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9DFD1"/>
  <w15:chartTrackingRefBased/>
  <w15:docId w15:val="{3583CC6E-5F36-40DC-937B-C9ADCD9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1A"/>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semiHidden/>
    <w:unhideWhenUsed/>
    <w:rsid w:val="009746FE"/>
    <w:rPr>
      <w:sz w:val="20"/>
      <w:szCs w:val="20"/>
    </w:rPr>
  </w:style>
  <w:style w:type="character" w:customStyle="1" w:styleId="CommentTextChar">
    <w:name w:val="Comment Text Char"/>
    <w:basedOn w:val="DefaultParagraphFont"/>
    <w:link w:val="CommentText"/>
    <w:uiPriority w:val="99"/>
    <w:semiHidden/>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sip-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A644-7A36-4BB7-BE3B-5B4003BC73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FD67254-C878-4200-9991-F0031FF6A39E}">
  <ds:schemaRefs>
    <ds:schemaRef ds:uri="http://schemas.microsoft.com/sharepoint/v3/contenttype/forms"/>
  </ds:schemaRefs>
</ds:datastoreItem>
</file>

<file path=customXml/itemProps3.xml><?xml version="1.0" encoding="utf-8"?>
<ds:datastoreItem xmlns:ds="http://schemas.openxmlformats.org/officeDocument/2006/customXml" ds:itemID="{96ADA591-946D-40BF-9022-36023E6D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EBEDBD-5680-4E98-9FAC-6EE43C7B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16035</Characters>
  <Application>Microsoft Office Word</Application>
  <DocSecurity>0</DocSecurity>
  <Lines>380</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nomination explanatory statement 8 September 2020</dc:title>
  <dc:subject/>
  <dc:creator>Reid, Jay</dc:creator>
  <cp:keywords/>
  <dc:description/>
  <cp:lastModifiedBy>Tangri, Daniel</cp:lastModifiedBy>
  <cp:revision>2</cp:revision>
  <dcterms:created xsi:type="dcterms:W3CDTF">2020-09-08T05:05:00Z</dcterms:created>
  <dcterms:modified xsi:type="dcterms:W3CDTF">2020-09-08T05:05:00Z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1</vt:i4>
  </property>
</Properties>
</file>