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C7342" w14:textId="77777777" w:rsidR="00CC63E1" w:rsidRPr="00A24240" w:rsidRDefault="00CC63E1" w:rsidP="00CC63E1">
      <w:pPr>
        <w:pStyle w:val="Default"/>
        <w:spacing w:after="240" w:line="276" w:lineRule="auto"/>
        <w:jc w:val="center"/>
        <w:rPr>
          <w:sz w:val="28"/>
          <w:szCs w:val="28"/>
          <w:u w:val="single"/>
        </w:rPr>
      </w:pPr>
      <w:r w:rsidRPr="00A24240">
        <w:rPr>
          <w:b/>
          <w:bCs/>
          <w:sz w:val="28"/>
          <w:szCs w:val="28"/>
          <w:u w:val="single"/>
        </w:rPr>
        <w:t xml:space="preserve">EXPLANATORY </w:t>
      </w:r>
      <w:r>
        <w:rPr>
          <w:b/>
          <w:bCs/>
          <w:sz w:val="28"/>
          <w:szCs w:val="28"/>
          <w:u w:val="single"/>
        </w:rPr>
        <w:t>STATEMENT</w:t>
      </w:r>
    </w:p>
    <w:p w14:paraId="25DE850B" w14:textId="77777777" w:rsidR="00CC63E1" w:rsidRPr="00A04EBE" w:rsidRDefault="00CC63E1" w:rsidP="00393BE2">
      <w:pPr>
        <w:spacing w:after="240" w:line="276" w:lineRule="auto"/>
        <w:ind w:left="993" w:hanging="993"/>
        <w:jc w:val="center"/>
        <w:rPr>
          <w:rFonts w:ascii="Times New Roman" w:hAnsi="Times New Roman"/>
          <w:i/>
          <w:sz w:val="24"/>
          <w:szCs w:val="24"/>
        </w:rPr>
      </w:pPr>
      <w:r w:rsidRPr="00A04EBE">
        <w:rPr>
          <w:rFonts w:ascii="Times New Roman" w:hAnsi="Times New Roman"/>
          <w:i/>
          <w:sz w:val="24"/>
          <w:szCs w:val="24"/>
        </w:rPr>
        <w:t>Ozone Protection and Synthetic Greenhouse Gas Management Act 1989</w:t>
      </w:r>
    </w:p>
    <w:p w14:paraId="4A46D155" w14:textId="4FF8E65C" w:rsidR="00393BE2" w:rsidRDefault="00393BE2" w:rsidP="00CC63E1">
      <w:pPr>
        <w:shd w:val="clear" w:color="auto" w:fill="FFFFFF"/>
        <w:spacing w:after="240" w:line="276" w:lineRule="auto"/>
        <w:jc w:val="center"/>
        <w:rPr>
          <w:rFonts w:ascii="Times New Roman" w:hAnsi="Times New Roman"/>
          <w:i/>
          <w:sz w:val="24"/>
          <w:szCs w:val="24"/>
        </w:rPr>
      </w:pPr>
      <w:r w:rsidRPr="00393BE2">
        <w:rPr>
          <w:rFonts w:ascii="Times New Roman" w:hAnsi="Times New Roman"/>
          <w:i/>
          <w:sz w:val="24"/>
          <w:szCs w:val="24"/>
        </w:rPr>
        <w:t>Ozone Protection and Synthetic Greenhouse Gas Management Amendment (HFC Quota Allocation—Grandfathered Quota) Regulations 2020</w:t>
      </w:r>
    </w:p>
    <w:p w14:paraId="515B5FA5" w14:textId="599F2B23" w:rsidR="00CC63E1" w:rsidRDefault="00CC63E1" w:rsidP="00CC63E1">
      <w:pPr>
        <w:shd w:val="clear" w:color="auto" w:fill="FFFFFF"/>
        <w:spacing w:after="240" w:line="276" w:lineRule="auto"/>
        <w:jc w:val="center"/>
        <w:rPr>
          <w:rFonts w:ascii="Times New Roman" w:eastAsia="Times New Roman" w:hAnsi="Times New Roman"/>
          <w:sz w:val="24"/>
          <w:szCs w:val="24"/>
        </w:rPr>
      </w:pPr>
      <w:r>
        <w:rPr>
          <w:rFonts w:ascii="Times New Roman" w:eastAsia="Times New Roman" w:hAnsi="Times New Roman"/>
          <w:sz w:val="24"/>
          <w:szCs w:val="24"/>
        </w:rPr>
        <w:t xml:space="preserve">Issued by authority of the </w:t>
      </w:r>
      <w:r w:rsidR="00273F8F">
        <w:rPr>
          <w:rFonts w:ascii="Times New Roman" w:eastAsia="Times New Roman" w:hAnsi="Times New Roman"/>
          <w:sz w:val="24"/>
          <w:szCs w:val="24"/>
        </w:rPr>
        <w:t xml:space="preserve">Assistant </w:t>
      </w:r>
      <w:r>
        <w:rPr>
          <w:rFonts w:ascii="Times New Roman" w:eastAsia="Times New Roman" w:hAnsi="Times New Roman"/>
          <w:sz w:val="24"/>
          <w:szCs w:val="24"/>
        </w:rPr>
        <w:t xml:space="preserve">Minister for </w:t>
      </w:r>
      <w:r w:rsidR="00273F8F">
        <w:rPr>
          <w:rFonts w:ascii="Times New Roman" w:eastAsia="Times New Roman" w:hAnsi="Times New Roman"/>
          <w:sz w:val="24"/>
          <w:szCs w:val="24"/>
        </w:rPr>
        <w:t>Waste Reduction and</w:t>
      </w:r>
      <w:r>
        <w:rPr>
          <w:rFonts w:ascii="Times New Roman" w:eastAsia="Times New Roman" w:hAnsi="Times New Roman"/>
          <w:sz w:val="24"/>
          <w:szCs w:val="24"/>
        </w:rPr>
        <w:t xml:space="preserve"> Environment</w:t>
      </w:r>
      <w:r w:rsidR="00273F8F">
        <w:rPr>
          <w:rFonts w:ascii="Times New Roman" w:eastAsia="Times New Roman" w:hAnsi="Times New Roman"/>
          <w:sz w:val="24"/>
          <w:szCs w:val="24"/>
        </w:rPr>
        <w:t>al Management</w:t>
      </w:r>
    </w:p>
    <w:p w14:paraId="39710C4B" w14:textId="77777777" w:rsidR="00CC63E1" w:rsidRPr="00BF560B" w:rsidRDefault="00CC63E1" w:rsidP="00CC63E1">
      <w:pPr>
        <w:shd w:val="clear" w:color="auto" w:fill="FFFFFF"/>
        <w:spacing w:after="240" w:line="276" w:lineRule="auto"/>
        <w:rPr>
          <w:rFonts w:ascii="Times New Roman" w:eastAsia="Times New Roman" w:hAnsi="Times New Roman"/>
          <w:b/>
          <w:sz w:val="24"/>
          <w:szCs w:val="24"/>
        </w:rPr>
      </w:pPr>
      <w:r w:rsidRPr="00BF560B">
        <w:rPr>
          <w:rFonts w:ascii="Times New Roman" w:eastAsia="Times New Roman" w:hAnsi="Times New Roman"/>
          <w:b/>
          <w:sz w:val="24"/>
          <w:szCs w:val="24"/>
        </w:rPr>
        <w:t>Purpose and operation</w:t>
      </w:r>
    </w:p>
    <w:p w14:paraId="1D741301" w14:textId="77777777" w:rsidR="00393BE2" w:rsidRPr="00A04EBE" w:rsidRDefault="00393BE2" w:rsidP="00393BE2">
      <w:pPr>
        <w:shd w:val="clear" w:color="auto" w:fill="FFFFFF"/>
        <w:spacing w:after="240" w:line="276" w:lineRule="auto"/>
        <w:rPr>
          <w:rFonts w:ascii="Times New Roman" w:eastAsia="Times New Roman" w:hAnsi="Times New Roman"/>
          <w:sz w:val="24"/>
          <w:szCs w:val="24"/>
        </w:rPr>
      </w:pPr>
      <w:r w:rsidRPr="00A04EBE">
        <w:rPr>
          <w:rFonts w:ascii="Times New Roman" w:eastAsia="Times New Roman" w:hAnsi="Times New Roman"/>
          <w:sz w:val="24"/>
          <w:szCs w:val="24"/>
        </w:rPr>
        <w:t xml:space="preserve">The </w:t>
      </w:r>
      <w:r w:rsidRPr="00A04EBE">
        <w:rPr>
          <w:rFonts w:ascii="Times New Roman" w:hAnsi="Times New Roman"/>
          <w:i/>
          <w:sz w:val="24"/>
          <w:szCs w:val="24"/>
        </w:rPr>
        <w:t>Ozone Protection and Synthetic Greenhouse Gas Management Act 1989</w:t>
      </w:r>
      <w:r w:rsidRPr="00A04EBE">
        <w:rPr>
          <w:rFonts w:ascii="Times New Roman" w:eastAsia="Times New Roman" w:hAnsi="Times New Roman"/>
          <w:sz w:val="24"/>
          <w:szCs w:val="24"/>
        </w:rPr>
        <w:t xml:space="preserve"> (the Act) implements Australia’s obligations under the </w:t>
      </w:r>
      <w:r w:rsidRPr="00C411C0">
        <w:rPr>
          <w:rFonts w:ascii="Times New Roman" w:eastAsia="Times New Roman" w:hAnsi="Times New Roman"/>
          <w:i/>
          <w:sz w:val="24"/>
          <w:szCs w:val="24"/>
        </w:rPr>
        <w:t>Vienna Convention for the Protection of the Ozone Layer</w:t>
      </w:r>
      <w:r w:rsidRPr="00A04EBE">
        <w:rPr>
          <w:rFonts w:ascii="Times New Roman" w:eastAsia="Times New Roman" w:hAnsi="Times New Roman"/>
          <w:sz w:val="24"/>
          <w:szCs w:val="24"/>
        </w:rPr>
        <w:t xml:space="preserve"> and its associated </w:t>
      </w:r>
      <w:r w:rsidRPr="00C411C0">
        <w:rPr>
          <w:rFonts w:ascii="Times New Roman" w:eastAsia="Times New Roman" w:hAnsi="Times New Roman"/>
          <w:i/>
          <w:sz w:val="24"/>
          <w:szCs w:val="24"/>
        </w:rPr>
        <w:t>Montreal Protocol on Substances that Deplete the Ozone Layer</w:t>
      </w:r>
      <w:r>
        <w:rPr>
          <w:rFonts w:ascii="Times New Roman" w:eastAsia="Times New Roman" w:hAnsi="Times New Roman"/>
          <w:sz w:val="24"/>
          <w:szCs w:val="24"/>
        </w:rPr>
        <w:t xml:space="preserve"> (Montreal Protocol)</w:t>
      </w:r>
      <w:r w:rsidRPr="00A04EBE">
        <w:rPr>
          <w:rFonts w:ascii="Times New Roman" w:eastAsia="Times New Roman" w:hAnsi="Times New Roman"/>
          <w:sz w:val="24"/>
          <w:szCs w:val="24"/>
        </w:rPr>
        <w:t xml:space="preserve">, as well as the </w:t>
      </w:r>
      <w:r w:rsidRPr="00C411C0">
        <w:rPr>
          <w:rFonts w:ascii="Times New Roman" w:eastAsia="Times New Roman" w:hAnsi="Times New Roman"/>
          <w:i/>
          <w:sz w:val="24"/>
          <w:szCs w:val="24"/>
        </w:rPr>
        <w:t>United Nations Framework Convention on Climate Change</w:t>
      </w:r>
      <w:r w:rsidRPr="00A04EBE">
        <w:rPr>
          <w:rFonts w:ascii="Times New Roman" w:eastAsia="Times New Roman" w:hAnsi="Times New Roman"/>
          <w:sz w:val="24"/>
          <w:szCs w:val="24"/>
        </w:rPr>
        <w:t xml:space="preserve"> and its Kyoto Protocol</w:t>
      </w:r>
      <w:r>
        <w:rPr>
          <w:rFonts w:ascii="Times New Roman" w:eastAsia="Times New Roman" w:hAnsi="Times New Roman"/>
          <w:sz w:val="24"/>
          <w:szCs w:val="24"/>
        </w:rPr>
        <w:t xml:space="preserve"> and Paris Agreement</w:t>
      </w:r>
      <w:r w:rsidRPr="00A04EBE">
        <w:rPr>
          <w:rFonts w:ascii="Times New Roman" w:eastAsia="Times New Roman" w:hAnsi="Times New Roman"/>
          <w:sz w:val="24"/>
          <w:szCs w:val="24"/>
        </w:rPr>
        <w:t xml:space="preserve">. </w:t>
      </w:r>
    </w:p>
    <w:p w14:paraId="0909DC1E" w14:textId="77777777" w:rsidR="00393BE2" w:rsidRPr="00A04EBE" w:rsidRDefault="00393BE2" w:rsidP="00393BE2">
      <w:pPr>
        <w:tabs>
          <w:tab w:val="left" w:pos="4536"/>
        </w:tabs>
        <w:spacing w:after="240" w:line="276" w:lineRule="auto"/>
        <w:rPr>
          <w:rFonts w:ascii="Times New Roman" w:hAnsi="Times New Roman"/>
          <w:sz w:val="24"/>
          <w:szCs w:val="24"/>
        </w:rPr>
      </w:pPr>
      <w:r w:rsidRPr="00A04EBE">
        <w:rPr>
          <w:rFonts w:ascii="Times New Roman" w:hAnsi="Times New Roman"/>
          <w:sz w:val="24"/>
          <w:szCs w:val="24"/>
        </w:rPr>
        <w:t>Section 70 of the Act provides that the Governor-General may make regulations required or permitted by the Act or that are necessary or convenient to be prescribed for carrying out or giving effect to the Act.</w:t>
      </w:r>
    </w:p>
    <w:p w14:paraId="5A4E1AB4" w14:textId="6898D472" w:rsidR="00393BE2" w:rsidRDefault="00393BE2" w:rsidP="00393BE2">
      <w:pPr>
        <w:tabs>
          <w:tab w:val="left" w:pos="4536"/>
        </w:tabs>
        <w:spacing w:after="240" w:line="276" w:lineRule="auto"/>
        <w:rPr>
          <w:rFonts w:ascii="Times New Roman" w:hAnsi="Times New Roman"/>
          <w:sz w:val="24"/>
          <w:szCs w:val="24"/>
          <w:lang w:val="en"/>
        </w:rPr>
      </w:pPr>
      <w:bookmarkStart w:id="0" w:name="_Hlk44422530"/>
      <w:r w:rsidRPr="00A04EBE">
        <w:rPr>
          <w:rFonts w:ascii="Times New Roman" w:hAnsi="Times New Roman"/>
          <w:sz w:val="24"/>
          <w:szCs w:val="24"/>
        </w:rPr>
        <w:t xml:space="preserve">The </w:t>
      </w:r>
      <w:r w:rsidRPr="00992ED9">
        <w:rPr>
          <w:rFonts w:ascii="Times New Roman" w:hAnsi="Times New Roman"/>
          <w:i/>
          <w:sz w:val="24"/>
          <w:szCs w:val="24"/>
        </w:rPr>
        <w:t xml:space="preserve">Ozone Protection and Synthetic Greenhouse Gas Management Amendment </w:t>
      </w:r>
      <w:r w:rsidRPr="00B2521E">
        <w:rPr>
          <w:rFonts w:ascii="Times New Roman" w:hAnsi="Times New Roman"/>
          <w:i/>
          <w:sz w:val="24"/>
          <w:szCs w:val="24"/>
        </w:rPr>
        <w:t xml:space="preserve">(HFC Quota Allocation—Grandfathered Quota) </w:t>
      </w:r>
      <w:r w:rsidRPr="00992ED9">
        <w:rPr>
          <w:rFonts w:ascii="Times New Roman" w:hAnsi="Times New Roman"/>
          <w:i/>
          <w:sz w:val="24"/>
          <w:szCs w:val="24"/>
        </w:rPr>
        <w:t>Regulations 20</w:t>
      </w:r>
      <w:r>
        <w:rPr>
          <w:rFonts w:ascii="Times New Roman" w:hAnsi="Times New Roman"/>
          <w:i/>
          <w:sz w:val="24"/>
          <w:szCs w:val="24"/>
        </w:rPr>
        <w:t>20</w:t>
      </w:r>
      <w:r w:rsidRPr="00A04EBE">
        <w:rPr>
          <w:rFonts w:ascii="Times New Roman" w:hAnsi="Times New Roman"/>
          <w:sz w:val="24"/>
          <w:szCs w:val="24"/>
        </w:rPr>
        <w:t xml:space="preserve"> (the </w:t>
      </w:r>
      <w:r>
        <w:rPr>
          <w:rFonts w:ascii="Times New Roman" w:hAnsi="Times New Roman"/>
          <w:sz w:val="24"/>
          <w:szCs w:val="24"/>
        </w:rPr>
        <w:t>Amendment</w:t>
      </w:r>
      <w:r w:rsidRPr="00A04EBE">
        <w:rPr>
          <w:rFonts w:ascii="Times New Roman" w:hAnsi="Times New Roman"/>
          <w:sz w:val="24"/>
          <w:szCs w:val="24"/>
        </w:rPr>
        <w:t xml:space="preserve"> Regulations) amend the </w:t>
      </w:r>
      <w:r w:rsidRPr="00A04EBE">
        <w:rPr>
          <w:rFonts w:ascii="Times New Roman" w:hAnsi="Times New Roman"/>
          <w:i/>
          <w:sz w:val="24"/>
          <w:szCs w:val="24"/>
        </w:rPr>
        <w:t>Ozone Protection and Synthetic Greenhouse Gas Management Regulations 1995</w:t>
      </w:r>
      <w:r w:rsidRPr="00A04EBE">
        <w:rPr>
          <w:rFonts w:ascii="Times New Roman" w:hAnsi="Times New Roman"/>
          <w:sz w:val="24"/>
          <w:szCs w:val="24"/>
        </w:rPr>
        <w:t xml:space="preserve"> (the Principal Regulations) to</w:t>
      </w:r>
      <w:r>
        <w:rPr>
          <w:rFonts w:ascii="Times New Roman" w:hAnsi="Times New Roman"/>
          <w:sz w:val="24"/>
          <w:szCs w:val="24"/>
        </w:rPr>
        <w:t xml:space="preserve"> </w:t>
      </w:r>
      <w:r w:rsidRPr="00B2521E">
        <w:rPr>
          <w:rFonts w:ascii="Times New Roman" w:hAnsi="Times New Roman"/>
          <w:sz w:val="24"/>
          <w:szCs w:val="24"/>
        </w:rPr>
        <w:t>adjust the hydrofluorocarbon (HFC</w:t>
      </w:r>
      <w:r>
        <w:rPr>
          <w:rFonts w:ascii="Times New Roman" w:hAnsi="Times New Roman"/>
          <w:sz w:val="24"/>
          <w:szCs w:val="24"/>
        </w:rPr>
        <w:t xml:space="preserve">) grandfathered </w:t>
      </w:r>
      <w:r w:rsidRPr="00B2521E">
        <w:rPr>
          <w:rFonts w:ascii="Times New Roman" w:hAnsi="Times New Roman"/>
          <w:sz w:val="24"/>
          <w:szCs w:val="24"/>
        </w:rPr>
        <w:t xml:space="preserve">quota calculation method for the 2022 and 2023 allocation period in response to COVID-19 disruptions and adjust the </w:t>
      </w:r>
      <w:r>
        <w:rPr>
          <w:rFonts w:ascii="Times New Roman" w:hAnsi="Times New Roman"/>
          <w:sz w:val="24"/>
          <w:szCs w:val="24"/>
        </w:rPr>
        <w:t xml:space="preserve">grandfathered </w:t>
      </w:r>
      <w:r w:rsidRPr="00B2521E">
        <w:rPr>
          <w:rFonts w:ascii="Times New Roman" w:hAnsi="Times New Roman"/>
          <w:sz w:val="24"/>
          <w:szCs w:val="24"/>
        </w:rPr>
        <w:t>quota calculation method for all future allocation periods to simplify compliance with quota rules</w:t>
      </w:r>
      <w:r>
        <w:rPr>
          <w:rFonts w:ascii="Times New Roman" w:hAnsi="Times New Roman"/>
          <w:sz w:val="24"/>
          <w:szCs w:val="24"/>
          <w:lang w:val="en"/>
        </w:rPr>
        <w:t>.</w:t>
      </w:r>
    </w:p>
    <w:p w14:paraId="016340E3" w14:textId="77777777" w:rsidR="00393BE2" w:rsidRDefault="00393BE2" w:rsidP="00393BE2">
      <w:pPr>
        <w:spacing w:after="200" w:line="276" w:lineRule="auto"/>
        <w:rPr>
          <w:rFonts w:ascii="Times New Roman" w:hAnsi="Times New Roman"/>
          <w:sz w:val="24"/>
          <w:szCs w:val="24"/>
          <w:lang w:val="en"/>
        </w:rPr>
      </w:pPr>
      <w:r>
        <w:rPr>
          <w:rFonts w:ascii="Times New Roman" w:hAnsi="Times New Roman"/>
          <w:sz w:val="24"/>
          <w:szCs w:val="24"/>
          <w:lang w:val="en"/>
        </w:rPr>
        <w:t xml:space="preserve">The Principal Regulations set out the method to calculate quota allocations for the import and manufacture of HFCs for each two-year allocation period. To be entitled to receive their maximum quota allocation, an HFC quota holder must have imported or manufactured 100% of their quota amount in each of two specified earlier calendar years. </w:t>
      </w:r>
    </w:p>
    <w:p w14:paraId="57BD019B" w14:textId="77777777" w:rsidR="00393BE2" w:rsidRPr="00AA73D0" w:rsidRDefault="00393BE2" w:rsidP="00393BE2">
      <w:pPr>
        <w:spacing w:after="200" w:line="276" w:lineRule="auto"/>
        <w:rPr>
          <w:rFonts w:ascii="Times New Roman" w:hAnsi="Times New Roman"/>
          <w:i/>
          <w:iCs/>
          <w:sz w:val="24"/>
          <w:szCs w:val="24"/>
        </w:rPr>
      </w:pPr>
      <w:r w:rsidRPr="00AA73D0">
        <w:rPr>
          <w:rFonts w:ascii="Times New Roman" w:hAnsi="Times New Roman"/>
          <w:i/>
          <w:iCs/>
          <w:sz w:val="24"/>
          <w:szCs w:val="24"/>
        </w:rPr>
        <w:t>Response to the COVID-19 pandemic</w:t>
      </w:r>
    </w:p>
    <w:p w14:paraId="08F3798B" w14:textId="0AD786E9" w:rsidR="00393BE2" w:rsidRPr="00257B14" w:rsidRDefault="00393BE2" w:rsidP="00393BE2">
      <w:pPr>
        <w:spacing w:after="200" w:line="276" w:lineRule="auto"/>
        <w:rPr>
          <w:rFonts w:ascii="Times New Roman" w:hAnsi="Times New Roman"/>
          <w:sz w:val="24"/>
          <w:szCs w:val="24"/>
        </w:rPr>
      </w:pPr>
      <w:r w:rsidRPr="00257B14">
        <w:rPr>
          <w:rFonts w:ascii="Times New Roman" w:hAnsi="Times New Roman"/>
          <w:sz w:val="24"/>
          <w:szCs w:val="24"/>
        </w:rPr>
        <w:t xml:space="preserve">To avoid possible unwanted effects from the COVID-19 pandemic, the </w:t>
      </w:r>
      <w:r>
        <w:rPr>
          <w:rFonts w:ascii="Times New Roman" w:hAnsi="Times New Roman"/>
          <w:sz w:val="24"/>
          <w:szCs w:val="24"/>
        </w:rPr>
        <w:t xml:space="preserve">Principal </w:t>
      </w:r>
      <w:r w:rsidRPr="00257B14">
        <w:rPr>
          <w:rFonts w:ascii="Times New Roman" w:hAnsi="Times New Roman"/>
          <w:sz w:val="24"/>
          <w:szCs w:val="24"/>
        </w:rPr>
        <w:t xml:space="preserve">Regulations </w:t>
      </w:r>
      <w:r w:rsidR="002E1F00">
        <w:rPr>
          <w:rFonts w:ascii="Times New Roman" w:hAnsi="Times New Roman"/>
          <w:sz w:val="24"/>
          <w:szCs w:val="24"/>
        </w:rPr>
        <w:t>are</w:t>
      </w:r>
      <w:r w:rsidRPr="00257B14">
        <w:rPr>
          <w:rFonts w:ascii="Times New Roman" w:hAnsi="Times New Roman"/>
          <w:sz w:val="24"/>
          <w:szCs w:val="24"/>
        </w:rPr>
        <w:t xml:space="preserve"> amended to adjust the HFC quota calculation method for the 2022</w:t>
      </w:r>
      <w:r>
        <w:rPr>
          <w:rFonts w:ascii="Times New Roman" w:hAnsi="Times New Roman"/>
          <w:sz w:val="24"/>
          <w:szCs w:val="24"/>
        </w:rPr>
        <w:t xml:space="preserve"> and </w:t>
      </w:r>
      <w:r w:rsidRPr="00257B14">
        <w:rPr>
          <w:rFonts w:ascii="Times New Roman" w:hAnsi="Times New Roman"/>
          <w:sz w:val="24"/>
          <w:szCs w:val="24"/>
        </w:rPr>
        <w:t xml:space="preserve">2023 allocation period to not disadvantage </w:t>
      </w:r>
      <w:r>
        <w:rPr>
          <w:rFonts w:ascii="Times New Roman" w:hAnsi="Times New Roman"/>
          <w:sz w:val="24"/>
          <w:szCs w:val="24"/>
        </w:rPr>
        <w:t>quota holders</w:t>
      </w:r>
      <w:r w:rsidRPr="00257B14">
        <w:rPr>
          <w:rFonts w:ascii="Times New Roman" w:hAnsi="Times New Roman"/>
          <w:sz w:val="24"/>
          <w:szCs w:val="24"/>
        </w:rPr>
        <w:t xml:space="preserve"> who </w:t>
      </w:r>
      <w:r>
        <w:rPr>
          <w:rFonts w:ascii="Times New Roman" w:hAnsi="Times New Roman"/>
          <w:sz w:val="24"/>
          <w:szCs w:val="24"/>
        </w:rPr>
        <w:t xml:space="preserve">are not able to </w:t>
      </w:r>
      <w:r w:rsidRPr="00257B14">
        <w:rPr>
          <w:rFonts w:ascii="Times New Roman" w:hAnsi="Times New Roman"/>
          <w:sz w:val="24"/>
          <w:szCs w:val="24"/>
        </w:rPr>
        <w:t xml:space="preserve">import </w:t>
      </w:r>
      <w:r>
        <w:rPr>
          <w:rFonts w:ascii="Times New Roman" w:hAnsi="Times New Roman"/>
          <w:sz w:val="24"/>
          <w:szCs w:val="24"/>
        </w:rPr>
        <w:t xml:space="preserve">or manufacture </w:t>
      </w:r>
      <w:r w:rsidRPr="00257B14">
        <w:rPr>
          <w:rFonts w:ascii="Times New Roman" w:hAnsi="Times New Roman"/>
          <w:sz w:val="24"/>
          <w:szCs w:val="24"/>
        </w:rPr>
        <w:t xml:space="preserve">their full quota in 2020. The amendments allow import </w:t>
      </w:r>
      <w:r>
        <w:rPr>
          <w:rFonts w:ascii="Times New Roman" w:hAnsi="Times New Roman"/>
          <w:sz w:val="24"/>
          <w:szCs w:val="24"/>
        </w:rPr>
        <w:t xml:space="preserve">or manufacture </w:t>
      </w:r>
      <w:r w:rsidRPr="00257B14">
        <w:rPr>
          <w:rFonts w:ascii="Times New Roman" w:hAnsi="Times New Roman"/>
          <w:sz w:val="24"/>
          <w:szCs w:val="24"/>
        </w:rPr>
        <w:t xml:space="preserve">at 75% or more of quota in 2020 to be considered equivalent to 100% for the purposes of quota allocation for the 2022 </w:t>
      </w:r>
      <w:r>
        <w:rPr>
          <w:rFonts w:ascii="Times New Roman" w:hAnsi="Times New Roman"/>
          <w:sz w:val="24"/>
          <w:szCs w:val="24"/>
        </w:rPr>
        <w:t xml:space="preserve">and </w:t>
      </w:r>
      <w:r w:rsidRPr="00257B14">
        <w:rPr>
          <w:rFonts w:ascii="Times New Roman" w:hAnsi="Times New Roman"/>
          <w:sz w:val="24"/>
          <w:szCs w:val="24"/>
        </w:rPr>
        <w:t>2023 allocation period.</w:t>
      </w:r>
    </w:p>
    <w:p w14:paraId="016191AE" w14:textId="77777777" w:rsidR="00393BE2" w:rsidRPr="00AA73D0" w:rsidRDefault="00393BE2" w:rsidP="00393BE2">
      <w:pPr>
        <w:spacing w:after="200" w:line="276" w:lineRule="auto"/>
        <w:rPr>
          <w:rFonts w:ascii="Times New Roman" w:hAnsi="Times New Roman"/>
          <w:i/>
          <w:iCs/>
          <w:sz w:val="24"/>
          <w:szCs w:val="24"/>
        </w:rPr>
      </w:pPr>
      <w:r w:rsidRPr="00AA73D0">
        <w:rPr>
          <w:rFonts w:ascii="Times New Roman" w:hAnsi="Times New Roman"/>
          <w:i/>
          <w:iCs/>
          <w:sz w:val="24"/>
          <w:szCs w:val="24"/>
        </w:rPr>
        <w:t>Amendments to give importers more flexibility in all future years</w:t>
      </w:r>
    </w:p>
    <w:p w14:paraId="171E817A" w14:textId="093F06D8" w:rsidR="00393BE2" w:rsidRDefault="00393BE2" w:rsidP="00393BE2">
      <w:pPr>
        <w:spacing w:after="200" w:line="276" w:lineRule="auto"/>
        <w:rPr>
          <w:rFonts w:ascii="Times New Roman" w:hAnsi="Times New Roman"/>
          <w:sz w:val="24"/>
          <w:szCs w:val="24"/>
        </w:rPr>
      </w:pPr>
      <w:r w:rsidRPr="00257B14">
        <w:rPr>
          <w:rFonts w:ascii="Times New Roman" w:hAnsi="Times New Roman"/>
          <w:sz w:val="24"/>
          <w:szCs w:val="24"/>
        </w:rPr>
        <w:t xml:space="preserve">Logistical matters, such as delays in shipping and standard size containers, can make it difficult for </w:t>
      </w:r>
      <w:r>
        <w:rPr>
          <w:rFonts w:ascii="Times New Roman" w:hAnsi="Times New Roman"/>
          <w:sz w:val="24"/>
          <w:szCs w:val="24"/>
        </w:rPr>
        <w:t>quota holders</w:t>
      </w:r>
      <w:r w:rsidRPr="00257B14">
        <w:rPr>
          <w:rFonts w:ascii="Times New Roman" w:hAnsi="Times New Roman"/>
          <w:sz w:val="24"/>
          <w:szCs w:val="24"/>
        </w:rPr>
        <w:t xml:space="preserve"> to import </w:t>
      </w:r>
      <w:r>
        <w:rPr>
          <w:rFonts w:ascii="Times New Roman" w:hAnsi="Times New Roman"/>
          <w:sz w:val="24"/>
          <w:szCs w:val="24"/>
        </w:rPr>
        <w:t xml:space="preserve">or manufacture </w:t>
      </w:r>
      <w:r w:rsidRPr="00257B14">
        <w:rPr>
          <w:rFonts w:ascii="Times New Roman" w:hAnsi="Times New Roman"/>
          <w:sz w:val="24"/>
          <w:szCs w:val="24"/>
        </w:rPr>
        <w:t xml:space="preserve">exactly 100% of their quota. This particularly affects </w:t>
      </w:r>
      <w:r>
        <w:rPr>
          <w:rFonts w:ascii="Times New Roman" w:hAnsi="Times New Roman"/>
          <w:sz w:val="24"/>
          <w:szCs w:val="24"/>
        </w:rPr>
        <w:t>quota holders</w:t>
      </w:r>
      <w:r w:rsidRPr="00257B14">
        <w:rPr>
          <w:rFonts w:ascii="Times New Roman" w:hAnsi="Times New Roman"/>
          <w:sz w:val="24"/>
          <w:szCs w:val="24"/>
        </w:rPr>
        <w:t xml:space="preserve"> who hold a small quota amount. The amendments allow import </w:t>
      </w:r>
      <w:r>
        <w:rPr>
          <w:rFonts w:ascii="Times New Roman" w:hAnsi="Times New Roman"/>
          <w:sz w:val="24"/>
          <w:szCs w:val="24"/>
        </w:rPr>
        <w:t xml:space="preserve">or manufacture </w:t>
      </w:r>
      <w:r w:rsidRPr="00257B14">
        <w:rPr>
          <w:rFonts w:ascii="Times New Roman" w:hAnsi="Times New Roman"/>
          <w:sz w:val="24"/>
          <w:szCs w:val="24"/>
        </w:rPr>
        <w:t xml:space="preserve">at 90% or more of quota in a calendar year to be considered equivalent to 100% </w:t>
      </w:r>
      <w:r w:rsidRPr="000E30CD">
        <w:rPr>
          <w:rFonts w:ascii="Times New Roman" w:hAnsi="Times New Roman"/>
          <w:sz w:val="24"/>
          <w:szCs w:val="24"/>
          <w:lang w:val="en"/>
        </w:rPr>
        <w:t xml:space="preserve">for the purposes of being </w:t>
      </w:r>
      <w:r w:rsidRPr="000E30CD">
        <w:rPr>
          <w:rFonts w:ascii="Times New Roman" w:hAnsi="Times New Roman"/>
          <w:sz w:val="24"/>
          <w:szCs w:val="24"/>
          <w:lang w:val="en"/>
        </w:rPr>
        <w:lastRenderedPageBreak/>
        <w:t>allocated their maximum potential quota allocation for an allocation period</w:t>
      </w:r>
      <w:r>
        <w:rPr>
          <w:rFonts w:ascii="Times New Roman" w:hAnsi="Times New Roman"/>
          <w:sz w:val="24"/>
          <w:szCs w:val="24"/>
          <w:lang w:val="en"/>
        </w:rPr>
        <w:t>,</w:t>
      </w:r>
      <w:r w:rsidRPr="00257B14">
        <w:rPr>
          <w:rFonts w:ascii="Times New Roman" w:hAnsi="Times New Roman"/>
          <w:sz w:val="24"/>
          <w:szCs w:val="24"/>
        </w:rPr>
        <w:t xml:space="preserve"> starting </w:t>
      </w:r>
      <w:r>
        <w:rPr>
          <w:rFonts w:ascii="Times New Roman" w:hAnsi="Times New Roman"/>
          <w:sz w:val="24"/>
          <w:szCs w:val="24"/>
        </w:rPr>
        <w:t>with the</w:t>
      </w:r>
      <w:r w:rsidRPr="00257B14">
        <w:rPr>
          <w:rFonts w:ascii="Times New Roman" w:hAnsi="Times New Roman"/>
          <w:sz w:val="24"/>
          <w:szCs w:val="24"/>
        </w:rPr>
        <w:t xml:space="preserve"> 2024</w:t>
      </w:r>
      <w:r>
        <w:rPr>
          <w:rFonts w:ascii="Times New Roman" w:hAnsi="Times New Roman"/>
          <w:sz w:val="24"/>
          <w:szCs w:val="24"/>
        </w:rPr>
        <w:t xml:space="preserve"> and </w:t>
      </w:r>
      <w:r w:rsidRPr="00257B14">
        <w:rPr>
          <w:rFonts w:ascii="Times New Roman" w:hAnsi="Times New Roman"/>
          <w:sz w:val="24"/>
          <w:szCs w:val="24"/>
        </w:rPr>
        <w:t>2025</w:t>
      </w:r>
      <w:r>
        <w:rPr>
          <w:rFonts w:ascii="Times New Roman" w:hAnsi="Times New Roman"/>
          <w:sz w:val="24"/>
          <w:szCs w:val="24"/>
        </w:rPr>
        <w:t xml:space="preserve"> period</w:t>
      </w:r>
      <w:r w:rsidRPr="00257B14">
        <w:rPr>
          <w:rFonts w:ascii="Times New Roman" w:hAnsi="Times New Roman"/>
          <w:sz w:val="24"/>
          <w:szCs w:val="24"/>
        </w:rPr>
        <w:t>.</w:t>
      </w:r>
    </w:p>
    <w:bookmarkEnd w:id="0"/>
    <w:p w14:paraId="50171FFE" w14:textId="5E66E5C5" w:rsidR="00CC63E1" w:rsidRPr="00855CA2" w:rsidRDefault="00CC63E1" w:rsidP="00CB125D">
      <w:pPr>
        <w:keepNext/>
        <w:spacing w:before="240" w:after="240" w:line="276" w:lineRule="auto"/>
        <w:rPr>
          <w:rFonts w:ascii="Times New Roman" w:hAnsi="Times New Roman"/>
          <w:b/>
          <w:sz w:val="24"/>
          <w:szCs w:val="24"/>
          <w:lang w:val="en"/>
        </w:rPr>
      </w:pPr>
      <w:r w:rsidRPr="00855CA2">
        <w:rPr>
          <w:rFonts w:ascii="Times New Roman" w:hAnsi="Times New Roman"/>
          <w:b/>
          <w:sz w:val="24"/>
          <w:szCs w:val="24"/>
          <w:lang w:val="en"/>
        </w:rPr>
        <w:t>Consultation</w:t>
      </w:r>
    </w:p>
    <w:p w14:paraId="06D083A5" w14:textId="4A94FEA7" w:rsidR="002E1F00" w:rsidRDefault="00393BE2" w:rsidP="00CB125D">
      <w:pPr>
        <w:tabs>
          <w:tab w:val="left" w:pos="993"/>
        </w:tabs>
        <w:spacing w:after="240" w:line="276" w:lineRule="auto"/>
        <w:rPr>
          <w:rFonts w:ascii="Times New Roman" w:hAnsi="Times New Roman"/>
          <w:sz w:val="24"/>
          <w:szCs w:val="24"/>
          <w:lang w:val="en"/>
        </w:rPr>
      </w:pPr>
      <w:r>
        <w:rPr>
          <w:rFonts w:ascii="Times New Roman" w:hAnsi="Times New Roman"/>
          <w:sz w:val="24"/>
          <w:szCs w:val="24"/>
          <w:lang w:val="en"/>
        </w:rPr>
        <w:t xml:space="preserve">Consultation on the changes was undertaken directly with the twenty-one </w:t>
      </w:r>
      <w:r w:rsidR="002E1F00">
        <w:rPr>
          <w:rFonts w:ascii="Times New Roman" w:hAnsi="Times New Roman"/>
          <w:sz w:val="24"/>
          <w:szCs w:val="24"/>
          <w:lang w:val="en"/>
        </w:rPr>
        <w:t xml:space="preserve">(at the time of consultation) </w:t>
      </w:r>
      <w:r>
        <w:rPr>
          <w:rFonts w:ascii="Times New Roman" w:hAnsi="Times New Roman"/>
          <w:sz w:val="24"/>
          <w:szCs w:val="24"/>
          <w:lang w:val="en"/>
        </w:rPr>
        <w:t xml:space="preserve">HFC quota holders and six refrigeration and air conditioning industry associations representing importers, </w:t>
      </w:r>
      <w:proofErr w:type="gramStart"/>
      <w:r>
        <w:rPr>
          <w:rFonts w:ascii="Times New Roman" w:hAnsi="Times New Roman"/>
          <w:sz w:val="24"/>
          <w:szCs w:val="24"/>
          <w:lang w:val="en"/>
        </w:rPr>
        <w:t>wholesalers</w:t>
      </w:r>
      <w:proofErr w:type="gramEnd"/>
      <w:r>
        <w:rPr>
          <w:rFonts w:ascii="Times New Roman" w:hAnsi="Times New Roman"/>
          <w:sz w:val="24"/>
          <w:szCs w:val="24"/>
          <w:lang w:val="en"/>
        </w:rPr>
        <w:t xml:space="preserve"> and consumers of HFCs. These stakeholders were asked for their opinions</w:t>
      </w:r>
      <w:r w:rsidRPr="000E30CD">
        <w:rPr>
          <w:rFonts w:ascii="Times New Roman" w:hAnsi="Times New Roman"/>
          <w:sz w:val="24"/>
          <w:szCs w:val="24"/>
          <w:lang w:val="en"/>
        </w:rPr>
        <w:t xml:space="preserve"> on the effect of the pandemic on the Australian HFC market during 2020 and anticipated effects in 2021, and </w:t>
      </w:r>
      <w:r>
        <w:rPr>
          <w:rFonts w:ascii="Times New Roman" w:hAnsi="Times New Roman"/>
          <w:sz w:val="24"/>
          <w:szCs w:val="24"/>
          <w:lang w:val="en"/>
        </w:rPr>
        <w:t>on proposed changes to the quota allocation method</w:t>
      </w:r>
      <w:r w:rsidRPr="000E30CD">
        <w:rPr>
          <w:rFonts w:ascii="Times New Roman" w:hAnsi="Times New Roman"/>
          <w:sz w:val="24"/>
          <w:szCs w:val="24"/>
          <w:lang w:val="en"/>
        </w:rPr>
        <w:t>.</w:t>
      </w:r>
      <w:r>
        <w:rPr>
          <w:rFonts w:ascii="Times New Roman" w:hAnsi="Times New Roman"/>
          <w:sz w:val="24"/>
          <w:szCs w:val="24"/>
          <w:lang w:val="en"/>
        </w:rPr>
        <w:t xml:space="preserve"> The respondents were all supportive of the changes and </w:t>
      </w:r>
      <w:r w:rsidRPr="000E30CD">
        <w:rPr>
          <w:rFonts w:ascii="Times New Roman" w:hAnsi="Times New Roman"/>
          <w:sz w:val="24"/>
          <w:szCs w:val="24"/>
          <w:lang w:val="en"/>
        </w:rPr>
        <w:t>suggested a range of quota percentages representing different business models and amount of quota held</w:t>
      </w:r>
      <w:r>
        <w:rPr>
          <w:rFonts w:ascii="Times New Roman" w:hAnsi="Times New Roman"/>
          <w:sz w:val="24"/>
          <w:szCs w:val="24"/>
          <w:lang w:val="en"/>
        </w:rPr>
        <w:t xml:space="preserve">. </w:t>
      </w:r>
    </w:p>
    <w:p w14:paraId="662BB49A" w14:textId="08570E76" w:rsidR="00393BE2" w:rsidRDefault="00393BE2" w:rsidP="00CB125D">
      <w:pPr>
        <w:tabs>
          <w:tab w:val="left" w:pos="993"/>
        </w:tabs>
        <w:spacing w:after="240" w:line="276" w:lineRule="auto"/>
        <w:rPr>
          <w:rFonts w:ascii="Times New Roman" w:hAnsi="Times New Roman"/>
          <w:sz w:val="24"/>
          <w:szCs w:val="24"/>
          <w:lang w:val="en"/>
        </w:rPr>
      </w:pPr>
      <w:r w:rsidRPr="002D30AE">
        <w:rPr>
          <w:rFonts w:ascii="Times New Roman" w:hAnsi="Times New Roman"/>
          <w:sz w:val="24"/>
          <w:szCs w:val="24"/>
          <w:lang w:val="en"/>
        </w:rPr>
        <w:t xml:space="preserve">The existing quota allocation approach is designed to maintain market stability and certainty, while ensuring industry participants use their import quota. The amendments will achieve these aims while adding flexibility for importers </w:t>
      </w:r>
      <w:r>
        <w:rPr>
          <w:rFonts w:ascii="Times New Roman" w:hAnsi="Times New Roman"/>
          <w:sz w:val="24"/>
          <w:szCs w:val="24"/>
          <w:lang w:val="en"/>
        </w:rPr>
        <w:t xml:space="preserve">and not unfairly disadvantaging them </w:t>
      </w:r>
      <w:r w:rsidRPr="002D30AE">
        <w:rPr>
          <w:rFonts w:ascii="Times New Roman" w:hAnsi="Times New Roman"/>
          <w:sz w:val="24"/>
          <w:szCs w:val="24"/>
          <w:lang w:val="en"/>
        </w:rPr>
        <w:t>where</w:t>
      </w:r>
      <w:r>
        <w:rPr>
          <w:rFonts w:ascii="Times New Roman" w:hAnsi="Times New Roman"/>
          <w:sz w:val="24"/>
          <w:szCs w:val="24"/>
          <w:lang w:val="en"/>
        </w:rPr>
        <w:t xml:space="preserve"> </w:t>
      </w:r>
      <w:r w:rsidRPr="002D30AE">
        <w:rPr>
          <w:rFonts w:ascii="Times New Roman" w:hAnsi="Times New Roman"/>
          <w:sz w:val="24"/>
          <w:szCs w:val="24"/>
          <w:lang w:val="en"/>
        </w:rPr>
        <w:t>circumstances prevent them from importing 100</w:t>
      </w:r>
      <w:r>
        <w:rPr>
          <w:rFonts w:ascii="Times New Roman" w:hAnsi="Times New Roman"/>
          <w:sz w:val="24"/>
          <w:szCs w:val="24"/>
          <w:lang w:val="en"/>
        </w:rPr>
        <w:t xml:space="preserve">% </w:t>
      </w:r>
      <w:r w:rsidRPr="002D30AE">
        <w:rPr>
          <w:rFonts w:ascii="Times New Roman" w:hAnsi="Times New Roman"/>
          <w:sz w:val="24"/>
          <w:szCs w:val="24"/>
          <w:lang w:val="en"/>
        </w:rPr>
        <w:t>of their quota</w:t>
      </w:r>
    </w:p>
    <w:p w14:paraId="5AE9A488" w14:textId="3CEF2E3E" w:rsidR="00CC63E1" w:rsidRPr="00BF560B" w:rsidRDefault="00CC63E1" w:rsidP="00CB125D">
      <w:pPr>
        <w:tabs>
          <w:tab w:val="left" w:pos="993"/>
        </w:tabs>
        <w:spacing w:after="240" w:line="276" w:lineRule="auto"/>
        <w:rPr>
          <w:rFonts w:ascii="Times New Roman" w:hAnsi="Times New Roman"/>
          <w:b/>
          <w:sz w:val="24"/>
          <w:szCs w:val="24"/>
        </w:rPr>
      </w:pPr>
      <w:r w:rsidRPr="00BF560B">
        <w:rPr>
          <w:rFonts w:ascii="Times New Roman" w:hAnsi="Times New Roman"/>
          <w:b/>
          <w:sz w:val="24"/>
          <w:szCs w:val="24"/>
        </w:rPr>
        <w:t>Regulatory impact analysis</w:t>
      </w:r>
    </w:p>
    <w:p w14:paraId="16DDCA8D" w14:textId="51AB5D85" w:rsidR="00CC63E1" w:rsidRDefault="00CC63E1" w:rsidP="00CB125D">
      <w:pPr>
        <w:spacing w:after="240" w:line="276" w:lineRule="auto"/>
        <w:rPr>
          <w:rFonts w:ascii="Times New Roman" w:hAnsi="Times New Roman"/>
          <w:sz w:val="24"/>
          <w:szCs w:val="24"/>
        </w:rPr>
      </w:pPr>
      <w:r>
        <w:rPr>
          <w:rFonts w:ascii="Times New Roman" w:hAnsi="Times New Roman"/>
          <w:sz w:val="24"/>
          <w:szCs w:val="24"/>
        </w:rPr>
        <w:t>T</w:t>
      </w:r>
      <w:r w:rsidRPr="00D41597">
        <w:rPr>
          <w:rFonts w:ascii="Times New Roman" w:hAnsi="Times New Roman"/>
          <w:sz w:val="24"/>
          <w:szCs w:val="24"/>
        </w:rPr>
        <w:t>he Office of Best Practice Regulation advise</w:t>
      </w:r>
      <w:r>
        <w:rPr>
          <w:rFonts w:ascii="Times New Roman" w:hAnsi="Times New Roman"/>
          <w:sz w:val="24"/>
          <w:szCs w:val="24"/>
        </w:rPr>
        <w:t>d</w:t>
      </w:r>
      <w:r w:rsidRPr="00D41597">
        <w:rPr>
          <w:rFonts w:ascii="Times New Roman" w:hAnsi="Times New Roman"/>
          <w:sz w:val="24"/>
          <w:szCs w:val="24"/>
        </w:rPr>
        <w:t xml:space="preserve"> that </w:t>
      </w:r>
      <w:r w:rsidR="003753BF">
        <w:rPr>
          <w:rFonts w:ascii="Times New Roman" w:hAnsi="Times New Roman"/>
          <w:sz w:val="24"/>
          <w:szCs w:val="24"/>
        </w:rPr>
        <w:t>these</w:t>
      </w:r>
      <w:r>
        <w:rPr>
          <w:rFonts w:ascii="Times New Roman" w:hAnsi="Times New Roman"/>
          <w:sz w:val="24"/>
          <w:szCs w:val="24"/>
        </w:rPr>
        <w:t xml:space="preserve"> </w:t>
      </w:r>
      <w:r w:rsidRPr="00D41597">
        <w:rPr>
          <w:rFonts w:ascii="Times New Roman" w:hAnsi="Times New Roman"/>
          <w:sz w:val="24"/>
          <w:szCs w:val="24"/>
        </w:rPr>
        <w:t xml:space="preserve">regulatory amendments </w:t>
      </w:r>
      <w:r>
        <w:rPr>
          <w:rFonts w:ascii="Times New Roman" w:hAnsi="Times New Roman"/>
          <w:sz w:val="24"/>
          <w:szCs w:val="24"/>
        </w:rPr>
        <w:t>are</w:t>
      </w:r>
      <w:r w:rsidRPr="00D41597">
        <w:rPr>
          <w:rFonts w:ascii="Times New Roman" w:hAnsi="Times New Roman"/>
          <w:sz w:val="24"/>
          <w:szCs w:val="24"/>
        </w:rPr>
        <w:t xml:space="preserve"> likely to have a minor regulatory impact and that a Regulatory Impact Statement is not required.</w:t>
      </w:r>
    </w:p>
    <w:p w14:paraId="6368EB9F" w14:textId="77777777" w:rsidR="00CC63E1" w:rsidRPr="008460B4" w:rsidRDefault="00CC63E1" w:rsidP="00CB125D">
      <w:pPr>
        <w:spacing w:after="240" w:line="276" w:lineRule="auto"/>
        <w:rPr>
          <w:rFonts w:ascii="Times New Roman" w:hAnsi="Times New Roman"/>
          <w:b/>
          <w:sz w:val="24"/>
          <w:szCs w:val="24"/>
          <w:shd w:val="clear" w:color="auto" w:fill="FFFFFF"/>
        </w:rPr>
      </w:pPr>
      <w:r>
        <w:rPr>
          <w:rFonts w:ascii="Times New Roman" w:hAnsi="Times New Roman"/>
          <w:b/>
          <w:sz w:val="24"/>
          <w:szCs w:val="24"/>
          <w:shd w:val="clear" w:color="auto" w:fill="FFFFFF"/>
        </w:rPr>
        <w:t>Other Matters</w:t>
      </w:r>
    </w:p>
    <w:p w14:paraId="4B241BF6" w14:textId="6BB89838" w:rsidR="00CC63E1" w:rsidRDefault="00CC63E1" w:rsidP="00CB125D">
      <w:pPr>
        <w:spacing w:line="276" w:lineRule="auto"/>
        <w:rPr>
          <w:rFonts w:ascii="Times New Roman" w:hAnsi="Times New Roman"/>
          <w:sz w:val="24"/>
          <w:szCs w:val="24"/>
        </w:rPr>
      </w:pPr>
      <w:r>
        <w:rPr>
          <w:rFonts w:ascii="Times New Roman" w:hAnsi="Times New Roman"/>
          <w:sz w:val="24"/>
          <w:szCs w:val="24"/>
        </w:rPr>
        <w:t xml:space="preserve">The Amendment Regulations </w:t>
      </w:r>
      <w:r w:rsidR="002E1F00">
        <w:rPr>
          <w:rFonts w:ascii="Times New Roman" w:hAnsi="Times New Roman"/>
          <w:sz w:val="24"/>
          <w:szCs w:val="24"/>
        </w:rPr>
        <w:t xml:space="preserve">make no </w:t>
      </w:r>
      <w:r>
        <w:rPr>
          <w:rFonts w:ascii="Times New Roman" w:hAnsi="Times New Roman"/>
          <w:sz w:val="24"/>
          <w:szCs w:val="24"/>
        </w:rPr>
        <w:t>incorporat</w:t>
      </w:r>
      <w:r w:rsidR="002E1F00">
        <w:rPr>
          <w:rFonts w:ascii="Times New Roman" w:hAnsi="Times New Roman"/>
          <w:sz w:val="24"/>
          <w:szCs w:val="24"/>
        </w:rPr>
        <w:t>ions</w:t>
      </w:r>
      <w:r>
        <w:rPr>
          <w:rFonts w:ascii="Times New Roman" w:hAnsi="Times New Roman"/>
          <w:sz w:val="24"/>
          <w:szCs w:val="24"/>
        </w:rPr>
        <w:t xml:space="preserve"> by reference</w:t>
      </w:r>
      <w:r w:rsidR="00476509">
        <w:t>.</w:t>
      </w:r>
    </w:p>
    <w:p w14:paraId="4351871B" w14:textId="77777777" w:rsidR="00CC63E1" w:rsidRDefault="00CC63E1" w:rsidP="00CB125D">
      <w:pPr>
        <w:spacing w:line="276" w:lineRule="auto"/>
        <w:rPr>
          <w:rFonts w:ascii="Times New Roman" w:hAnsi="Times New Roman"/>
          <w:b/>
          <w:sz w:val="24"/>
          <w:szCs w:val="24"/>
        </w:rPr>
      </w:pPr>
    </w:p>
    <w:p w14:paraId="29B8EF60" w14:textId="77777777" w:rsidR="00CC63E1" w:rsidRDefault="00CC63E1" w:rsidP="00CB125D">
      <w:pPr>
        <w:spacing w:line="276" w:lineRule="auto"/>
        <w:rPr>
          <w:rFonts w:ascii="Times New Roman" w:hAnsi="Times New Roman"/>
          <w:sz w:val="24"/>
          <w:szCs w:val="24"/>
        </w:rPr>
      </w:pPr>
      <w:r w:rsidRPr="00891894">
        <w:rPr>
          <w:rFonts w:ascii="Times New Roman" w:hAnsi="Times New Roman"/>
          <w:sz w:val="24"/>
          <w:szCs w:val="24"/>
        </w:rPr>
        <w:t xml:space="preserve">Details of the Amendment Regulations are set out in </w:t>
      </w:r>
      <w:r w:rsidRPr="00891894">
        <w:rPr>
          <w:rFonts w:ascii="Times New Roman" w:hAnsi="Times New Roman"/>
          <w:sz w:val="24"/>
          <w:szCs w:val="24"/>
          <w:u w:val="single"/>
        </w:rPr>
        <w:t>Attachment A</w:t>
      </w:r>
      <w:r w:rsidRPr="00891894">
        <w:rPr>
          <w:rFonts w:ascii="Times New Roman" w:hAnsi="Times New Roman"/>
          <w:sz w:val="24"/>
          <w:szCs w:val="24"/>
        </w:rPr>
        <w:t xml:space="preserve">. A Statement of Compatibility with Human Rights has been completed and is at </w:t>
      </w:r>
      <w:r w:rsidRPr="00891894">
        <w:rPr>
          <w:rFonts w:ascii="Times New Roman" w:hAnsi="Times New Roman"/>
          <w:sz w:val="24"/>
          <w:szCs w:val="24"/>
          <w:u w:val="single"/>
        </w:rPr>
        <w:t>Attachment B</w:t>
      </w:r>
      <w:r w:rsidRPr="00891894">
        <w:rPr>
          <w:rFonts w:ascii="Times New Roman" w:hAnsi="Times New Roman"/>
          <w:sz w:val="24"/>
          <w:szCs w:val="24"/>
        </w:rPr>
        <w:t>.</w:t>
      </w:r>
    </w:p>
    <w:p w14:paraId="36C4042D" w14:textId="77777777" w:rsidR="00CC63E1" w:rsidRDefault="00CC63E1" w:rsidP="00CB125D">
      <w:pPr>
        <w:spacing w:line="276" w:lineRule="auto"/>
        <w:rPr>
          <w:rFonts w:ascii="Times New Roman" w:hAnsi="Times New Roman"/>
          <w:sz w:val="24"/>
          <w:szCs w:val="24"/>
        </w:rPr>
      </w:pPr>
    </w:p>
    <w:p w14:paraId="18E10512" w14:textId="77777777" w:rsidR="00CC63E1" w:rsidRDefault="00CC63E1" w:rsidP="00CB125D">
      <w:pPr>
        <w:spacing w:line="276" w:lineRule="auto"/>
        <w:rPr>
          <w:rFonts w:ascii="Times New Roman" w:hAnsi="Times New Roman"/>
          <w:sz w:val="24"/>
          <w:szCs w:val="24"/>
        </w:rPr>
      </w:pPr>
      <w:r>
        <w:rPr>
          <w:rFonts w:ascii="Times New Roman" w:hAnsi="Times New Roman"/>
          <w:sz w:val="24"/>
          <w:szCs w:val="24"/>
        </w:rPr>
        <w:t>The Act specifies no conditions that need to be satisfied before the power to make the Regulations may be exercised.</w:t>
      </w:r>
    </w:p>
    <w:p w14:paraId="0B8C4B66" w14:textId="77777777" w:rsidR="00CC63E1" w:rsidRDefault="00CC63E1" w:rsidP="00CB125D">
      <w:pPr>
        <w:spacing w:line="276" w:lineRule="auto"/>
        <w:rPr>
          <w:rFonts w:ascii="Times New Roman" w:hAnsi="Times New Roman"/>
          <w:sz w:val="24"/>
          <w:szCs w:val="24"/>
        </w:rPr>
      </w:pPr>
    </w:p>
    <w:p w14:paraId="203542F3" w14:textId="77777777" w:rsidR="00CC63E1" w:rsidRDefault="00CC63E1" w:rsidP="00CB125D">
      <w:pPr>
        <w:spacing w:line="276" w:lineRule="auto"/>
        <w:rPr>
          <w:rFonts w:ascii="Times New Roman" w:hAnsi="Times New Roman"/>
          <w:sz w:val="24"/>
          <w:szCs w:val="24"/>
        </w:rPr>
      </w:pPr>
      <w:r>
        <w:rPr>
          <w:rFonts w:ascii="Times New Roman" w:hAnsi="Times New Roman"/>
          <w:sz w:val="24"/>
          <w:szCs w:val="24"/>
        </w:rPr>
        <w:t xml:space="preserve">The Amendment Regulations are a legislative instrument for the purposes of the </w:t>
      </w:r>
      <w:r>
        <w:rPr>
          <w:rFonts w:ascii="Times New Roman" w:hAnsi="Times New Roman"/>
          <w:i/>
          <w:sz w:val="24"/>
          <w:szCs w:val="24"/>
        </w:rPr>
        <w:t>Legislation Act 2003.</w:t>
      </w:r>
    </w:p>
    <w:p w14:paraId="36563547" w14:textId="77777777" w:rsidR="00CC63E1" w:rsidRDefault="00CC63E1" w:rsidP="00CB125D">
      <w:pPr>
        <w:spacing w:line="276" w:lineRule="auto"/>
        <w:rPr>
          <w:rFonts w:ascii="Times New Roman" w:hAnsi="Times New Roman"/>
          <w:sz w:val="24"/>
          <w:szCs w:val="24"/>
        </w:rPr>
      </w:pPr>
    </w:p>
    <w:p w14:paraId="2446A5D5" w14:textId="59AC9106" w:rsidR="00CC63E1" w:rsidRPr="004279BA" w:rsidRDefault="00CC63E1" w:rsidP="00CB125D">
      <w:pPr>
        <w:spacing w:line="276" w:lineRule="auto"/>
        <w:rPr>
          <w:rFonts w:ascii="Times New Roman" w:hAnsi="Times New Roman"/>
          <w:sz w:val="24"/>
          <w:szCs w:val="24"/>
        </w:rPr>
      </w:pPr>
      <w:r>
        <w:rPr>
          <w:rFonts w:ascii="Times New Roman" w:hAnsi="Times New Roman"/>
          <w:sz w:val="24"/>
          <w:szCs w:val="24"/>
        </w:rPr>
        <w:t xml:space="preserve">The Amendment Regulations commence on </w:t>
      </w:r>
      <w:r w:rsidR="003753BF">
        <w:rPr>
          <w:rFonts w:ascii="Times New Roman" w:hAnsi="Times New Roman"/>
          <w:sz w:val="24"/>
          <w:szCs w:val="24"/>
        </w:rPr>
        <w:t>the day after registration</w:t>
      </w:r>
      <w:r>
        <w:rPr>
          <w:rFonts w:ascii="Times New Roman" w:hAnsi="Times New Roman"/>
          <w:sz w:val="24"/>
          <w:szCs w:val="24"/>
        </w:rPr>
        <w:t xml:space="preserve">. </w:t>
      </w:r>
    </w:p>
    <w:p w14:paraId="2456AB94" w14:textId="77777777" w:rsidR="00BF560B" w:rsidRDefault="00BF560B" w:rsidP="00814991">
      <w:pPr>
        <w:tabs>
          <w:tab w:val="left" w:pos="993"/>
        </w:tabs>
        <w:spacing w:after="240" w:line="276" w:lineRule="auto"/>
        <w:rPr>
          <w:rFonts w:ascii="Times New Roman" w:hAnsi="Times New Roman"/>
          <w:sz w:val="24"/>
          <w:szCs w:val="24"/>
        </w:rPr>
      </w:pPr>
    </w:p>
    <w:p w14:paraId="1AF5CCF3" w14:textId="77777777" w:rsidR="00907713" w:rsidRPr="00A04EBE" w:rsidRDefault="00907713" w:rsidP="00814991">
      <w:pPr>
        <w:tabs>
          <w:tab w:val="left" w:pos="993"/>
        </w:tabs>
        <w:spacing w:line="276" w:lineRule="auto"/>
        <w:rPr>
          <w:rFonts w:ascii="Times New Roman" w:hAnsi="Times New Roman"/>
          <w:b/>
          <w:sz w:val="24"/>
          <w:szCs w:val="24"/>
          <w:u w:val="single"/>
        </w:rPr>
        <w:sectPr w:rsidR="00907713" w:rsidRPr="00A04EBE" w:rsidSect="00A43B39">
          <w:footerReference w:type="default" r:id="rId13"/>
          <w:pgSz w:w="11906" w:h="16838" w:code="9"/>
          <w:pgMar w:top="1440" w:right="1021" w:bottom="1440" w:left="1134" w:header="567" w:footer="567" w:gutter="0"/>
          <w:cols w:space="708"/>
          <w:docGrid w:linePitch="360"/>
        </w:sectPr>
      </w:pPr>
    </w:p>
    <w:p w14:paraId="21915D1E" w14:textId="5A5BA35B" w:rsidR="00381322" w:rsidRPr="00A52610" w:rsidRDefault="00B9342A" w:rsidP="00814991">
      <w:pPr>
        <w:spacing w:line="276" w:lineRule="auto"/>
        <w:jc w:val="right"/>
        <w:rPr>
          <w:rFonts w:ascii="Times New Roman" w:hAnsi="Times New Roman"/>
          <w:b/>
          <w:sz w:val="24"/>
          <w:szCs w:val="24"/>
          <w:u w:val="single"/>
        </w:rPr>
      </w:pPr>
      <w:r>
        <w:rPr>
          <w:rFonts w:ascii="Times New Roman" w:hAnsi="Times New Roman"/>
          <w:b/>
          <w:sz w:val="24"/>
          <w:szCs w:val="24"/>
          <w:u w:val="single"/>
        </w:rPr>
        <w:lastRenderedPageBreak/>
        <w:t>ATTACHMENT A</w:t>
      </w:r>
    </w:p>
    <w:p w14:paraId="60AE0B08" w14:textId="00E6674C" w:rsidR="005D072E" w:rsidRPr="00855CA2" w:rsidRDefault="00381322" w:rsidP="00B9342A">
      <w:pPr>
        <w:tabs>
          <w:tab w:val="left" w:pos="993"/>
          <w:tab w:val="left" w:pos="4536"/>
          <w:tab w:val="left" w:pos="5670"/>
        </w:tabs>
        <w:spacing w:before="240" w:line="276" w:lineRule="auto"/>
        <w:rPr>
          <w:rFonts w:ascii="Times New Roman" w:hAnsi="Times New Roman"/>
          <w:b/>
          <w:i/>
          <w:sz w:val="24"/>
          <w:szCs w:val="24"/>
        </w:rPr>
      </w:pPr>
      <w:r w:rsidRPr="00855CA2">
        <w:rPr>
          <w:rFonts w:ascii="Times New Roman" w:hAnsi="Times New Roman"/>
          <w:b/>
          <w:sz w:val="24"/>
          <w:szCs w:val="24"/>
        </w:rPr>
        <w:t xml:space="preserve">Details of the </w:t>
      </w:r>
      <w:r w:rsidR="000B4280" w:rsidRPr="00B9342A">
        <w:rPr>
          <w:rFonts w:ascii="Times New Roman" w:hAnsi="Times New Roman"/>
          <w:b/>
          <w:i/>
          <w:sz w:val="24"/>
          <w:szCs w:val="24"/>
        </w:rPr>
        <w:t xml:space="preserve">Ozone Protection and Synthetic Greenhouse Gas Management Amendment </w:t>
      </w:r>
      <w:r w:rsidR="00195873" w:rsidRPr="00195873">
        <w:rPr>
          <w:rFonts w:ascii="Times New Roman" w:hAnsi="Times New Roman"/>
          <w:b/>
          <w:i/>
          <w:sz w:val="24"/>
          <w:szCs w:val="24"/>
        </w:rPr>
        <w:t>(HFC Quota Allocation—Grandfathered Quota)</w:t>
      </w:r>
      <w:r w:rsidR="000B4280" w:rsidRPr="00B9342A">
        <w:rPr>
          <w:rFonts w:ascii="Times New Roman" w:hAnsi="Times New Roman"/>
          <w:b/>
          <w:i/>
          <w:sz w:val="24"/>
          <w:szCs w:val="24"/>
        </w:rPr>
        <w:t xml:space="preserve"> Regulations 20</w:t>
      </w:r>
      <w:r w:rsidR="003753BF">
        <w:rPr>
          <w:rFonts w:ascii="Times New Roman" w:hAnsi="Times New Roman"/>
          <w:b/>
          <w:i/>
          <w:sz w:val="24"/>
          <w:szCs w:val="24"/>
        </w:rPr>
        <w:t>20</w:t>
      </w:r>
    </w:p>
    <w:p w14:paraId="07639EDB" w14:textId="7A89741C" w:rsidR="00381322" w:rsidRDefault="00381322" w:rsidP="00814991">
      <w:pPr>
        <w:tabs>
          <w:tab w:val="left" w:pos="993"/>
          <w:tab w:val="left" w:pos="4536"/>
          <w:tab w:val="left" w:pos="5670"/>
        </w:tabs>
        <w:spacing w:line="276" w:lineRule="auto"/>
        <w:rPr>
          <w:rFonts w:ascii="Times New Roman" w:hAnsi="Times New Roman"/>
          <w:sz w:val="24"/>
          <w:szCs w:val="24"/>
          <w:u w:val="single"/>
        </w:rPr>
      </w:pPr>
    </w:p>
    <w:p w14:paraId="346FBB3B" w14:textId="77777777" w:rsidR="009F39C2" w:rsidRDefault="009F39C2" w:rsidP="009F39C2">
      <w:pPr>
        <w:tabs>
          <w:tab w:val="left" w:pos="993"/>
          <w:tab w:val="left" w:pos="4536"/>
          <w:tab w:val="left" w:pos="5670"/>
        </w:tabs>
        <w:spacing w:after="200"/>
        <w:rPr>
          <w:rFonts w:ascii="Times New Roman" w:hAnsi="Times New Roman"/>
          <w:sz w:val="24"/>
          <w:szCs w:val="24"/>
          <w:u w:val="single"/>
        </w:rPr>
      </w:pPr>
      <w:r w:rsidRPr="00A52610">
        <w:rPr>
          <w:rFonts w:ascii="Times New Roman" w:hAnsi="Times New Roman"/>
          <w:sz w:val="24"/>
          <w:szCs w:val="24"/>
          <w:u w:val="single"/>
        </w:rPr>
        <w:t xml:space="preserve">Section 1 – Name </w:t>
      </w:r>
    </w:p>
    <w:p w14:paraId="51AF2735" w14:textId="45AABEF8" w:rsidR="00195873" w:rsidRPr="004F2E8A" w:rsidRDefault="00195873" w:rsidP="00195873">
      <w:pPr>
        <w:pStyle w:val="ListNumber"/>
        <w:numPr>
          <w:ilvl w:val="0"/>
          <w:numId w:val="2"/>
        </w:numPr>
        <w:spacing w:after="240" w:line="276" w:lineRule="auto"/>
        <w:ind w:left="567" w:hanging="567"/>
        <w:rPr>
          <w:rFonts w:ascii="Times New Roman" w:hAnsi="Times New Roman"/>
          <w:sz w:val="24"/>
          <w:szCs w:val="24"/>
        </w:rPr>
      </w:pPr>
      <w:r w:rsidRPr="004F2E8A">
        <w:rPr>
          <w:rFonts w:ascii="Times New Roman" w:hAnsi="Times New Roman"/>
          <w:sz w:val="24"/>
          <w:szCs w:val="24"/>
        </w:rPr>
        <w:t xml:space="preserve">This section provide that the title of the Regulations is the </w:t>
      </w:r>
      <w:r w:rsidRPr="00195873">
        <w:rPr>
          <w:rFonts w:ascii="Times New Roman" w:hAnsi="Times New Roman"/>
          <w:i/>
          <w:iCs/>
          <w:sz w:val="24"/>
          <w:szCs w:val="24"/>
        </w:rPr>
        <w:t>Ozone Protection and Synthetic Greenhouse Gas Management Amendment (HFC Quota Allocation—Grandfathered Quota) Regulations 2020</w:t>
      </w:r>
      <w:r w:rsidRPr="004F2E8A">
        <w:rPr>
          <w:rFonts w:ascii="Times New Roman" w:hAnsi="Times New Roman"/>
          <w:sz w:val="24"/>
          <w:szCs w:val="24"/>
        </w:rPr>
        <w:t>.</w:t>
      </w:r>
    </w:p>
    <w:p w14:paraId="551930DB" w14:textId="77777777" w:rsidR="009F39C2" w:rsidRPr="004F2E8A" w:rsidRDefault="009F39C2" w:rsidP="009F39C2">
      <w:pPr>
        <w:tabs>
          <w:tab w:val="left" w:pos="993"/>
          <w:tab w:val="left" w:pos="4536"/>
          <w:tab w:val="left" w:pos="5670"/>
        </w:tabs>
        <w:spacing w:after="200"/>
        <w:rPr>
          <w:rFonts w:ascii="Times New Roman" w:hAnsi="Times New Roman"/>
          <w:sz w:val="24"/>
          <w:szCs w:val="24"/>
          <w:u w:val="single"/>
        </w:rPr>
      </w:pPr>
      <w:r w:rsidRPr="004F2E8A">
        <w:rPr>
          <w:rFonts w:ascii="Times New Roman" w:hAnsi="Times New Roman"/>
          <w:sz w:val="24"/>
          <w:szCs w:val="24"/>
          <w:u w:val="single"/>
        </w:rPr>
        <w:t>Section 2 – Commencement</w:t>
      </w:r>
    </w:p>
    <w:p w14:paraId="42741C5F" w14:textId="74E351C8" w:rsidR="009F39C2" w:rsidRPr="004F2E8A" w:rsidRDefault="009F39C2" w:rsidP="009F39C2">
      <w:pPr>
        <w:pStyle w:val="ListNumber"/>
        <w:numPr>
          <w:ilvl w:val="0"/>
          <w:numId w:val="2"/>
        </w:numPr>
        <w:spacing w:after="240" w:line="276" w:lineRule="auto"/>
        <w:ind w:left="567" w:hanging="567"/>
        <w:rPr>
          <w:rFonts w:ascii="Times New Roman" w:hAnsi="Times New Roman"/>
          <w:sz w:val="24"/>
          <w:szCs w:val="24"/>
        </w:rPr>
      </w:pPr>
      <w:r w:rsidRPr="004F2E8A">
        <w:rPr>
          <w:rFonts w:ascii="Times New Roman" w:hAnsi="Times New Roman"/>
          <w:sz w:val="24"/>
          <w:szCs w:val="24"/>
        </w:rPr>
        <w:t>The table in this section provide</w:t>
      </w:r>
      <w:r>
        <w:rPr>
          <w:rFonts w:ascii="Times New Roman" w:hAnsi="Times New Roman"/>
          <w:sz w:val="24"/>
          <w:szCs w:val="24"/>
        </w:rPr>
        <w:t>s</w:t>
      </w:r>
      <w:r w:rsidRPr="004F2E8A">
        <w:rPr>
          <w:rFonts w:ascii="Times New Roman" w:hAnsi="Times New Roman"/>
          <w:sz w:val="24"/>
          <w:szCs w:val="24"/>
        </w:rPr>
        <w:t xml:space="preserve"> </w:t>
      </w:r>
      <w:r>
        <w:rPr>
          <w:rFonts w:ascii="Times New Roman" w:hAnsi="Times New Roman"/>
          <w:sz w:val="24"/>
          <w:szCs w:val="24"/>
        </w:rPr>
        <w:t xml:space="preserve">that </w:t>
      </w:r>
      <w:r w:rsidRPr="004F2E8A">
        <w:rPr>
          <w:rFonts w:ascii="Times New Roman" w:hAnsi="Times New Roman"/>
          <w:sz w:val="24"/>
          <w:szCs w:val="24"/>
        </w:rPr>
        <w:t xml:space="preserve">the </w:t>
      </w:r>
      <w:r w:rsidRPr="0008507D">
        <w:rPr>
          <w:rFonts w:ascii="Times New Roman" w:hAnsi="Times New Roman"/>
          <w:i/>
          <w:iCs/>
          <w:sz w:val="24"/>
          <w:szCs w:val="24"/>
        </w:rPr>
        <w:t xml:space="preserve">Ozone Protection and Synthetic Greenhouse Gas Management Amendment </w:t>
      </w:r>
      <w:r w:rsidR="000B2914" w:rsidRPr="00195873">
        <w:rPr>
          <w:rFonts w:ascii="Times New Roman" w:hAnsi="Times New Roman"/>
          <w:i/>
          <w:iCs/>
          <w:sz w:val="24"/>
          <w:szCs w:val="24"/>
        </w:rPr>
        <w:t>(HFC Quota Allocation—Grandfathered Quota)</w:t>
      </w:r>
      <w:r w:rsidR="000B2914">
        <w:rPr>
          <w:rFonts w:ascii="Times New Roman" w:hAnsi="Times New Roman"/>
          <w:i/>
          <w:iCs/>
          <w:sz w:val="24"/>
          <w:szCs w:val="24"/>
        </w:rPr>
        <w:t xml:space="preserve"> </w:t>
      </w:r>
      <w:r w:rsidRPr="0008507D">
        <w:rPr>
          <w:rFonts w:ascii="Times New Roman" w:hAnsi="Times New Roman"/>
          <w:i/>
          <w:iCs/>
          <w:sz w:val="24"/>
          <w:szCs w:val="24"/>
        </w:rPr>
        <w:t>Regulations 2020</w:t>
      </w:r>
      <w:r>
        <w:rPr>
          <w:rFonts w:ascii="Times New Roman" w:hAnsi="Times New Roman"/>
          <w:sz w:val="24"/>
          <w:szCs w:val="24"/>
        </w:rPr>
        <w:t>, including all Schedules, commence the day after the instrument is registered</w:t>
      </w:r>
      <w:r w:rsidRPr="0008272B">
        <w:rPr>
          <w:rFonts w:ascii="Times New Roman" w:hAnsi="Times New Roman"/>
          <w:sz w:val="24"/>
          <w:szCs w:val="24"/>
        </w:rPr>
        <w:t>.</w:t>
      </w:r>
    </w:p>
    <w:p w14:paraId="7B71480B" w14:textId="77777777" w:rsidR="009F39C2" w:rsidRPr="004F2E8A" w:rsidRDefault="009F39C2" w:rsidP="009F39C2">
      <w:pPr>
        <w:tabs>
          <w:tab w:val="left" w:pos="993"/>
          <w:tab w:val="left" w:pos="4536"/>
          <w:tab w:val="left" w:pos="5670"/>
        </w:tabs>
        <w:spacing w:after="200"/>
        <w:rPr>
          <w:rFonts w:ascii="Times New Roman" w:hAnsi="Times New Roman"/>
          <w:sz w:val="24"/>
          <w:szCs w:val="24"/>
          <w:u w:val="single"/>
        </w:rPr>
      </w:pPr>
      <w:r w:rsidRPr="004F2E8A">
        <w:rPr>
          <w:rFonts w:ascii="Times New Roman" w:hAnsi="Times New Roman"/>
          <w:sz w:val="24"/>
          <w:szCs w:val="24"/>
          <w:u w:val="single"/>
        </w:rPr>
        <w:t>Section 3 – Authority</w:t>
      </w:r>
    </w:p>
    <w:p w14:paraId="43E5BE8A" w14:textId="3A86D58E" w:rsidR="009F39C2" w:rsidRPr="004F2E8A" w:rsidRDefault="009F39C2" w:rsidP="009F39C2">
      <w:pPr>
        <w:pStyle w:val="ListNumber"/>
        <w:numPr>
          <w:ilvl w:val="0"/>
          <w:numId w:val="2"/>
        </w:numPr>
        <w:spacing w:after="240" w:line="276" w:lineRule="auto"/>
        <w:ind w:left="567" w:hanging="567"/>
        <w:rPr>
          <w:rFonts w:ascii="Times New Roman" w:hAnsi="Times New Roman"/>
          <w:sz w:val="24"/>
          <w:szCs w:val="24"/>
        </w:rPr>
      </w:pPr>
      <w:r w:rsidRPr="004F2E8A">
        <w:rPr>
          <w:rFonts w:ascii="Times New Roman" w:hAnsi="Times New Roman"/>
          <w:sz w:val="24"/>
          <w:szCs w:val="24"/>
        </w:rPr>
        <w:t>This section provide</w:t>
      </w:r>
      <w:r>
        <w:rPr>
          <w:rFonts w:ascii="Times New Roman" w:hAnsi="Times New Roman"/>
          <w:sz w:val="24"/>
          <w:szCs w:val="24"/>
        </w:rPr>
        <w:t>s</w:t>
      </w:r>
      <w:r w:rsidRPr="004F2E8A">
        <w:rPr>
          <w:rFonts w:ascii="Times New Roman" w:hAnsi="Times New Roman"/>
          <w:sz w:val="24"/>
          <w:szCs w:val="24"/>
        </w:rPr>
        <w:t xml:space="preserve"> that the </w:t>
      </w:r>
      <w:r w:rsidRPr="0008507D">
        <w:rPr>
          <w:rFonts w:ascii="Times New Roman" w:hAnsi="Times New Roman"/>
          <w:i/>
          <w:iCs/>
          <w:sz w:val="24"/>
          <w:szCs w:val="24"/>
        </w:rPr>
        <w:t xml:space="preserve">Ozone Protection and Synthetic Greenhouse Gas Management Amendment </w:t>
      </w:r>
      <w:r w:rsidR="000B2914" w:rsidRPr="00195873">
        <w:rPr>
          <w:rFonts w:ascii="Times New Roman" w:hAnsi="Times New Roman"/>
          <w:i/>
          <w:iCs/>
          <w:sz w:val="24"/>
          <w:szCs w:val="24"/>
        </w:rPr>
        <w:t>(HFC Quota Allocation—Grandfathered Quota)</w:t>
      </w:r>
      <w:r w:rsidR="000B2914">
        <w:rPr>
          <w:rFonts w:ascii="Times New Roman" w:hAnsi="Times New Roman"/>
          <w:i/>
          <w:iCs/>
          <w:sz w:val="24"/>
          <w:szCs w:val="24"/>
        </w:rPr>
        <w:t xml:space="preserve"> </w:t>
      </w:r>
      <w:r w:rsidRPr="0008507D">
        <w:rPr>
          <w:rFonts w:ascii="Times New Roman" w:hAnsi="Times New Roman"/>
          <w:i/>
          <w:iCs/>
          <w:sz w:val="24"/>
          <w:szCs w:val="24"/>
        </w:rPr>
        <w:t>Regulations 2020</w:t>
      </w:r>
      <w:r>
        <w:rPr>
          <w:rFonts w:ascii="Times New Roman" w:hAnsi="Times New Roman"/>
          <w:i/>
          <w:iCs/>
          <w:sz w:val="24"/>
          <w:szCs w:val="24"/>
        </w:rPr>
        <w:t xml:space="preserve"> </w:t>
      </w:r>
      <w:r w:rsidRPr="004F2E8A">
        <w:rPr>
          <w:rFonts w:ascii="Times New Roman" w:hAnsi="Times New Roman"/>
          <w:sz w:val="24"/>
          <w:szCs w:val="24"/>
        </w:rPr>
        <w:t xml:space="preserve">are made under the </w:t>
      </w:r>
      <w:r w:rsidRPr="004F2E8A">
        <w:rPr>
          <w:rFonts w:ascii="Times New Roman" w:hAnsi="Times New Roman"/>
          <w:i/>
          <w:sz w:val="24"/>
          <w:szCs w:val="24"/>
        </w:rPr>
        <w:t>Ozone Protection and Synthetic Greenhouse Gas Management Act 1989</w:t>
      </w:r>
      <w:r>
        <w:rPr>
          <w:rFonts w:ascii="Times New Roman" w:hAnsi="Times New Roman"/>
          <w:sz w:val="24"/>
          <w:szCs w:val="24"/>
        </w:rPr>
        <w:t xml:space="preserve"> (the Act).</w:t>
      </w:r>
    </w:p>
    <w:p w14:paraId="5FCB8760" w14:textId="77777777" w:rsidR="009F39C2" w:rsidRPr="004F2E8A" w:rsidRDefault="009F39C2" w:rsidP="009F39C2">
      <w:pPr>
        <w:tabs>
          <w:tab w:val="left" w:pos="993"/>
          <w:tab w:val="left" w:pos="4536"/>
          <w:tab w:val="left" w:pos="5670"/>
        </w:tabs>
        <w:spacing w:after="200"/>
        <w:rPr>
          <w:rFonts w:ascii="Times New Roman" w:hAnsi="Times New Roman"/>
          <w:sz w:val="24"/>
          <w:szCs w:val="24"/>
          <w:u w:val="single"/>
        </w:rPr>
      </w:pPr>
      <w:r w:rsidRPr="004F2E8A">
        <w:rPr>
          <w:rFonts w:ascii="Times New Roman" w:hAnsi="Times New Roman"/>
          <w:sz w:val="24"/>
          <w:szCs w:val="24"/>
          <w:u w:val="single"/>
        </w:rPr>
        <w:t>Section 4 – Schedules</w:t>
      </w:r>
    </w:p>
    <w:p w14:paraId="1E156683" w14:textId="75F69324" w:rsidR="009F39C2" w:rsidRPr="00012C6C" w:rsidRDefault="009F39C2" w:rsidP="009F39C2">
      <w:pPr>
        <w:pStyle w:val="ListNumber"/>
        <w:numPr>
          <w:ilvl w:val="0"/>
          <w:numId w:val="2"/>
        </w:numPr>
        <w:spacing w:after="240" w:line="276" w:lineRule="auto"/>
        <w:ind w:left="567" w:hanging="567"/>
        <w:rPr>
          <w:rFonts w:ascii="Times New Roman" w:hAnsi="Times New Roman"/>
          <w:sz w:val="24"/>
          <w:szCs w:val="24"/>
        </w:rPr>
      </w:pPr>
      <w:r w:rsidRPr="004F2E8A">
        <w:rPr>
          <w:rFonts w:ascii="Times New Roman" w:hAnsi="Times New Roman"/>
          <w:sz w:val="24"/>
          <w:szCs w:val="24"/>
        </w:rPr>
        <w:t>This section provide</w:t>
      </w:r>
      <w:r>
        <w:rPr>
          <w:rFonts w:ascii="Times New Roman" w:hAnsi="Times New Roman"/>
          <w:sz w:val="24"/>
          <w:szCs w:val="24"/>
        </w:rPr>
        <w:t>s</w:t>
      </w:r>
      <w:r w:rsidRPr="004F2E8A">
        <w:rPr>
          <w:rFonts w:ascii="Times New Roman" w:hAnsi="Times New Roman"/>
          <w:sz w:val="24"/>
          <w:szCs w:val="24"/>
        </w:rPr>
        <w:t xml:space="preserve"> that </w:t>
      </w:r>
      <w:r>
        <w:rPr>
          <w:rFonts w:ascii="Times New Roman" w:hAnsi="Times New Roman"/>
          <w:sz w:val="24"/>
          <w:szCs w:val="24"/>
        </w:rPr>
        <w:t>e</w:t>
      </w:r>
      <w:r w:rsidRPr="00012C6C">
        <w:rPr>
          <w:rFonts w:ascii="Times New Roman" w:hAnsi="Times New Roman"/>
          <w:sz w:val="24"/>
          <w:szCs w:val="24"/>
        </w:rPr>
        <w:t xml:space="preserve">ach instrument that is specified in a Schedule to </w:t>
      </w:r>
      <w:r>
        <w:rPr>
          <w:rFonts w:ascii="Times New Roman" w:hAnsi="Times New Roman"/>
          <w:sz w:val="24"/>
          <w:szCs w:val="24"/>
        </w:rPr>
        <w:t>this instrument</w:t>
      </w:r>
      <w:r w:rsidRPr="00012C6C">
        <w:rPr>
          <w:rFonts w:ascii="Times New Roman" w:hAnsi="Times New Roman"/>
          <w:sz w:val="24"/>
          <w:szCs w:val="24"/>
        </w:rPr>
        <w:t xml:space="preserve"> is amended or repealed as set out in the applicable items in the Schedule concerned, and any other item in a Schedule to </w:t>
      </w:r>
      <w:r>
        <w:rPr>
          <w:rFonts w:ascii="Times New Roman" w:hAnsi="Times New Roman"/>
          <w:sz w:val="24"/>
          <w:szCs w:val="24"/>
        </w:rPr>
        <w:t>this instrument</w:t>
      </w:r>
      <w:r w:rsidRPr="00012C6C">
        <w:rPr>
          <w:rFonts w:ascii="Times New Roman" w:hAnsi="Times New Roman"/>
          <w:sz w:val="24"/>
          <w:szCs w:val="24"/>
        </w:rPr>
        <w:t xml:space="preserve"> has effect according to its terms</w:t>
      </w:r>
      <w:r>
        <w:rPr>
          <w:rFonts w:ascii="Times New Roman" w:hAnsi="Times New Roman"/>
          <w:sz w:val="24"/>
          <w:szCs w:val="24"/>
        </w:rPr>
        <w:t>.</w:t>
      </w:r>
    </w:p>
    <w:p w14:paraId="360A7400" w14:textId="77777777" w:rsidR="009F39C2" w:rsidRDefault="009F39C2" w:rsidP="009F39C2">
      <w:pPr>
        <w:pStyle w:val="ListNumber"/>
        <w:spacing w:after="200"/>
        <w:ind w:left="0" w:firstLine="0"/>
        <w:rPr>
          <w:rFonts w:ascii="Times New Roman" w:hAnsi="Times New Roman"/>
          <w:b/>
          <w:sz w:val="24"/>
          <w:szCs w:val="24"/>
        </w:rPr>
      </w:pPr>
      <w:r w:rsidRPr="004F2E8A">
        <w:rPr>
          <w:rFonts w:ascii="Times New Roman" w:hAnsi="Times New Roman"/>
          <w:b/>
          <w:sz w:val="24"/>
          <w:szCs w:val="24"/>
        </w:rPr>
        <w:t xml:space="preserve">Schedule 1 – </w:t>
      </w:r>
      <w:r>
        <w:rPr>
          <w:rFonts w:ascii="Times New Roman" w:hAnsi="Times New Roman"/>
          <w:b/>
          <w:sz w:val="24"/>
          <w:szCs w:val="24"/>
        </w:rPr>
        <w:t>Amendments</w:t>
      </w:r>
    </w:p>
    <w:p w14:paraId="7B57BD5A" w14:textId="77777777" w:rsidR="000B2914" w:rsidRPr="002F6FB4" w:rsidRDefault="000B2914" w:rsidP="000B2914">
      <w:pPr>
        <w:spacing w:line="276" w:lineRule="auto"/>
        <w:rPr>
          <w:rFonts w:ascii="Times New Roman" w:hAnsi="Times New Roman"/>
          <w:b/>
          <w:sz w:val="24"/>
          <w:szCs w:val="24"/>
        </w:rPr>
      </w:pPr>
      <w:r w:rsidRPr="002F6FB4">
        <w:rPr>
          <w:rFonts w:ascii="Times New Roman" w:hAnsi="Times New Roman"/>
          <w:b/>
          <w:sz w:val="24"/>
          <w:szCs w:val="24"/>
        </w:rPr>
        <w:t>Correct spelling of 'licensed'</w:t>
      </w:r>
    </w:p>
    <w:p w14:paraId="70081184" w14:textId="77777777" w:rsidR="000B2914" w:rsidRDefault="000B2914" w:rsidP="000B2914">
      <w:pPr>
        <w:spacing w:line="276" w:lineRule="auto"/>
        <w:rPr>
          <w:rFonts w:ascii="Times New Roman" w:hAnsi="Times New Roman"/>
          <w:bCs/>
          <w:sz w:val="24"/>
          <w:szCs w:val="24"/>
        </w:rPr>
      </w:pPr>
    </w:p>
    <w:p w14:paraId="0094DD7B" w14:textId="77777777" w:rsidR="000B2914" w:rsidRPr="002F6FB4" w:rsidRDefault="000B2914" w:rsidP="000B2914">
      <w:pPr>
        <w:spacing w:line="276" w:lineRule="auto"/>
        <w:rPr>
          <w:rFonts w:ascii="Times New Roman" w:hAnsi="Times New Roman"/>
          <w:bCs/>
          <w:sz w:val="24"/>
          <w:szCs w:val="24"/>
          <w:u w:val="single"/>
        </w:rPr>
      </w:pPr>
      <w:r w:rsidRPr="002F6FB4">
        <w:rPr>
          <w:rFonts w:ascii="Times New Roman" w:hAnsi="Times New Roman"/>
          <w:bCs/>
          <w:sz w:val="24"/>
          <w:szCs w:val="24"/>
          <w:u w:val="single"/>
        </w:rPr>
        <w:t>Items 1 and 2</w:t>
      </w:r>
    </w:p>
    <w:p w14:paraId="6A017A25" w14:textId="77777777" w:rsidR="000B2914" w:rsidRDefault="000B2914" w:rsidP="000B2914">
      <w:pPr>
        <w:spacing w:line="276" w:lineRule="auto"/>
        <w:rPr>
          <w:rFonts w:ascii="Times New Roman" w:hAnsi="Times New Roman"/>
          <w:bCs/>
          <w:sz w:val="24"/>
          <w:szCs w:val="24"/>
        </w:rPr>
      </w:pPr>
    </w:p>
    <w:p w14:paraId="55B7BBB4" w14:textId="3857390A" w:rsidR="000B2914" w:rsidRDefault="000B2914" w:rsidP="000B2914">
      <w:pPr>
        <w:spacing w:line="276" w:lineRule="auto"/>
        <w:rPr>
          <w:rFonts w:ascii="Times New Roman" w:hAnsi="Times New Roman"/>
          <w:bCs/>
          <w:sz w:val="24"/>
          <w:szCs w:val="24"/>
        </w:rPr>
      </w:pPr>
      <w:r w:rsidRPr="00CE7510">
        <w:rPr>
          <w:rFonts w:ascii="Times New Roman" w:hAnsi="Times New Roman"/>
          <w:bCs/>
          <w:sz w:val="24"/>
          <w:szCs w:val="24"/>
        </w:rPr>
        <w:t>Item</w:t>
      </w:r>
      <w:r>
        <w:rPr>
          <w:rFonts w:ascii="Times New Roman" w:hAnsi="Times New Roman"/>
          <w:bCs/>
          <w:sz w:val="24"/>
          <w:szCs w:val="24"/>
        </w:rPr>
        <w:t>s</w:t>
      </w:r>
      <w:r w:rsidRPr="00CE7510">
        <w:rPr>
          <w:rFonts w:ascii="Times New Roman" w:hAnsi="Times New Roman"/>
          <w:bCs/>
          <w:sz w:val="24"/>
          <w:szCs w:val="24"/>
        </w:rPr>
        <w:t xml:space="preserve"> 1</w:t>
      </w:r>
      <w:r>
        <w:rPr>
          <w:rFonts w:ascii="Times New Roman" w:hAnsi="Times New Roman"/>
          <w:bCs/>
          <w:sz w:val="24"/>
          <w:szCs w:val="24"/>
        </w:rPr>
        <w:t xml:space="preserve"> and 2 correct the spelling of 'licenced' to 'licensed' in paragraph 48(3)(a) and subregulation 50(2).</w:t>
      </w:r>
    </w:p>
    <w:p w14:paraId="04A8BAAA" w14:textId="77777777" w:rsidR="000B2914" w:rsidRDefault="000B2914" w:rsidP="000B2914">
      <w:pPr>
        <w:rPr>
          <w:rFonts w:ascii="Times New Roman" w:hAnsi="Times New Roman"/>
          <w:sz w:val="24"/>
          <w:szCs w:val="24"/>
        </w:rPr>
      </w:pPr>
    </w:p>
    <w:p w14:paraId="580DD02B" w14:textId="77777777" w:rsidR="000B2914" w:rsidRPr="00B95FF1" w:rsidRDefault="000B2914" w:rsidP="000B2914">
      <w:pPr>
        <w:spacing w:after="200" w:line="276" w:lineRule="auto"/>
        <w:rPr>
          <w:rFonts w:ascii="Times New Roman" w:hAnsi="Times New Roman"/>
          <w:b/>
          <w:bCs/>
          <w:sz w:val="24"/>
          <w:szCs w:val="24"/>
        </w:rPr>
      </w:pPr>
      <w:r>
        <w:rPr>
          <w:rFonts w:ascii="Times New Roman" w:hAnsi="Times New Roman"/>
          <w:b/>
          <w:bCs/>
          <w:sz w:val="24"/>
          <w:szCs w:val="24"/>
        </w:rPr>
        <w:t xml:space="preserve">Part 4A </w:t>
      </w:r>
      <w:r w:rsidRPr="00B95FF1">
        <w:rPr>
          <w:rFonts w:ascii="Times New Roman" w:hAnsi="Times New Roman"/>
          <w:b/>
          <w:bCs/>
          <w:sz w:val="24"/>
          <w:szCs w:val="24"/>
        </w:rPr>
        <w:t>HFC quotas</w:t>
      </w:r>
    </w:p>
    <w:p w14:paraId="24F7D53E" w14:textId="77777777" w:rsidR="000B2914" w:rsidRDefault="000B2914" w:rsidP="000B2914">
      <w:pPr>
        <w:spacing w:after="200" w:line="276" w:lineRule="auto"/>
        <w:rPr>
          <w:rFonts w:ascii="Times New Roman" w:hAnsi="Times New Roman"/>
          <w:sz w:val="24"/>
          <w:szCs w:val="24"/>
        </w:rPr>
      </w:pPr>
      <w:r w:rsidRPr="00B77C85">
        <w:rPr>
          <w:rFonts w:ascii="Times New Roman" w:hAnsi="Times New Roman"/>
          <w:sz w:val="24"/>
          <w:szCs w:val="24"/>
        </w:rPr>
        <w:t xml:space="preserve">Consistent with Australia’s obligations under the </w:t>
      </w:r>
      <w:r w:rsidRPr="00B07E7F">
        <w:rPr>
          <w:rFonts w:ascii="Times New Roman" w:hAnsi="Times New Roman"/>
          <w:sz w:val="24"/>
          <w:szCs w:val="24"/>
        </w:rPr>
        <w:t>Kigali A</w:t>
      </w:r>
      <w:r w:rsidRPr="001C6CFC">
        <w:rPr>
          <w:rFonts w:ascii="Times New Roman" w:hAnsi="Times New Roman"/>
          <w:sz w:val="24"/>
          <w:szCs w:val="24"/>
        </w:rPr>
        <w:t>mendment</w:t>
      </w:r>
      <w:r w:rsidRPr="003B1B51">
        <w:rPr>
          <w:rFonts w:ascii="Times New Roman" w:hAnsi="Times New Roman"/>
          <w:sz w:val="24"/>
          <w:szCs w:val="24"/>
        </w:rPr>
        <w:t xml:space="preserve"> to the Montreal Protocol</w:t>
      </w:r>
      <w:r w:rsidRPr="00B77C85">
        <w:rPr>
          <w:rFonts w:ascii="Times New Roman" w:hAnsi="Times New Roman"/>
          <w:sz w:val="24"/>
          <w:szCs w:val="24"/>
        </w:rPr>
        <w:t>, the import and manufacture of</w:t>
      </w:r>
      <w:r>
        <w:rPr>
          <w:rFonts w:ascii="Times New Roman" w:hAnsi="Times New Roman"/>
          <w:sz w:val="24"/>
          <w:szCs w:val="24"/>
        </w:rPr>
        <w:t xml:space="preserve"> </w:t>
      </w:r>
      <w:r w:rsidRPr="00B77C85">
        <w:rPr>
          <w:rFonts w:ascii="Times New Roman" w:hAnsi="Times New Roman"/>
          <w:sz w:val="24"/>
          <w:szCs w:val="24"/>
        </w:rPr>
        <w:t>HFCs is subject to a phase</w:t>
      </w:r>
      <w:r>
        <w:rPr>
          <w:rFonts w:ascii="Times New Roman" w:hAnsi="Times New Roman"/>
          <w:sz w:val="24"/>
          <w:szCs w:val="24"/>
        </w:rPr>
        <w:t>-</w:t>
      </w:r>
      <w:r w:rsidRPr="00B77C85">
        <w:rPr>
          <w:rFonts w:ascii="Times New Roman" w:hAnsi="Times New Roman"/>
          <w:sz w:val="24"/>
          <w:szCs w:val="24"/>
        </w:rPr>
        <w:t xml:space="preserve">down under the Act and </w:t>
      </w:r>
      <w:r>
        <w:rPr>
          <w:rFonts w:ascii="Times New Roman" w:hAnsi="Times New Roman"/>
          <w:sz w:val="24"/>
          <w:szCs w:val="24"/>
        </w:rPr>
        <w:t>the Principal</w:t>
      </w:r>
      <w:r w:rsidRPr="00B77C85">
        <w:rPr>
          <w:rFonts w:ascii="Times New Roman" w:hAnsi="Times New Roman"/>
          <w:sz w:val="24"/>
          <w:szCs w:val="24"/>
        </w:rPr>
        <w:t xml:space="preserve"> Regulations. </w:t>
      </w:r>
      <w:r w:rsidRPr="00B95FF1">
        <w:rPr>
          <w:rFonts w:ascii="Times New Roman" w:hAnsi="Times New Roman"/>
          <w:sz w:val="24"/>
          <w:szCs w:val="24"/>
        </w:rPr>
        <w:t xml:space="preserve">The phase-down </w:t>
      </w:r>
      <w:r>
        <w:rPr>
          <w:rFonts w:ascii="Times New Roman" w:hAnsi="Times New Roman"/>
          <w:sz w:val="24"/>
          <w:szCs w:val="24"/>
        </w:rPr>
        <w:t>is</w:t>
      </w:r>
      <w:r w:rsidRPr="00B95FF1">
        <w:rPr>
          <w:rFonts w:ascii="Times New Roman" w:hAnsi="Times New Roman"/>
          <w:sz w:val="24"/>
          <w:szCs w:val="24"/>
        </w:rPr>
        <w:t xml:space="preserve"> </w:t>
      </w:r>
      <w:r>
        <w:rPr>
          <w:rFonts w:ascii="Times New Roman" w:hAnsi="Times New Roman"/>
          <w:sz w:val="24"/>
          <w:szCs w:val="24"/>
        </w:rPr>
        <w:t>implemented</w:t>
      </w:r>
      <w:r w:rsidRPr="00B95FF1">
        <w:rPr>
          <w:rFonts w:ascii="Times New Roman" w:hAnsi="Times New Roman"/>
          <w:sz w:val="24"/>
          <w:szCs w:val="24"/>
        </w:rPr>
        <w:t xml:space="preserve"> </w:t>
      </w:r>
      <w:r>
        <w:rPr>
          <w:rFonts w:ascii="Times New Roman" w:hAnsi="Times New Roman"/>
          <w:sz w:val="24"/>
          <w:szCs w:val="24"/>
        </w:rPr>
        <w:t xml:space="preserve">by capping the amount of HFCs allowed to be imported or manufactured in a calendar year (the </w:t>
      </w:r>
      <w:r w:rsidRPr="002F6FB4">
        <w:rPr>
          <w:rFonts w:ascii="Times New Roman" w:hAnsi="Times New Roman"/>
          <w:b/>
          <w:bCs/>
          <w:i/>
          <w:iCs/>
          <w:sz w:val="24"/>
          <w:szCs w:val="24"/>
        </w:rPr>
        <w:t>HFC industry limit</w:t>
      </w:r>
      <w:r>
        <w:rPr>
          <w:rFonts w:ascii="Times New Roman" w:hAnsi="Times New Roman"/>
          <w:sz w:val="24"/>
          <w:szCs w:val="24"/>
        </w:rPr>
        <w:t xml:space="preserve">, regulation 42 of the Principal Regulations) and allocation of shares of the HFC industry limit via a quota system (Part IVA of the Act and Part 4A of the Principal Regulations). </w:t>
      </w:r>
    </w:p>
    <w:p w14:paraId="52BC7A46" w14:textId="77777777" w:rsidR="000B2914" w:rsidRDefault="000B2914" w:rsidP="000B2914">
      <w:pPr>
        <w:spacing w:after="200" w:line="276" w:lineRule="auto"/>
        <w:rPr>
          <w:rFonts w:ascii="Times New Roman" w:hAnsi="Times New Roman"/>
          <w:sz w:val="24"/>
          <w:szCs w:val="24"/>
        </w:rPr>
      </w:pPr>
      <w:r w:rsidRPr="00B77C85">
        <w:rPr>
          <w:rFonts w:ascii="Times New Roman" w:hAnsi="Times New Roman"/>
          <w:sz w:val="24"/>
          <w:szCs w:val="24"/>
        </w:rPr>
        <w:lastRenderedPageBreak/>
        <w:t xml:space="preserve">Only persons with </w:t>
      </w:r>
      <w:r>
        <w:rPr>
          <w:rFonts w:ascii="Times New Roman" w:hAnsi="Times New Roman"/>
          <w:sz w:val="24"/>
          <w:szCs w:val="24"/>
        </w:rPr>
        <w:t xml:space="preserve">an SGG (synthetic greenhouse gas) </w:t>
      </w:r>
      <w:r w:rsidRPr="00B77C85">
        <w:rPr>
          <w:rFonts w:ascii="Times New Roman" w:hAnsi="Times New Roman"/>
          <w:sz w:val="24"/>
          <w:szCs w:val="24"/>
        </w:rPr>
        <w:t xml:space="preserve">licence and who have been allocated quota for the relevant period can engage in a </w:t>
      </w:r>
      <w:r w:rsidRPr="00257B14">
        <w:rPr>
          <w:rFonts w:ascii="Times New Roman" w:hAnsi="Times New Roman"/>
          <w:b/>
          <w:bCs/>
          <w:i/>
          <w:iCs/>
          <w:sz w:val="24"/>
          <w:szCs w:val="24"/>
        </w:rPr>
        <w:t>regulated HFC activity</w:t>
      </w:r>
      <w:r>
        <w:rPr>
          <w:rFonts w:ascii="Times New Roman" w:hAnsi="Times New Roman"/>
          <w:sz w:val="24"/>
          <w:szCs w:val="24"/>
        </w:rPr>
        <w:t>.</w:t>
      </w:r>
      <w:r w:rsidRPr="00B77C85">
        <w:rPr>
          <w:rFonts w:ascii="Times New Roman" w:hAnsi="Times New Roman"/>
          <w:sz w:val="24"/>
          <w:szCs w:val="24"/>
        </w:rPr>
        <w:t xml:space="preserve"> A regulated HFC activity is </w:t>
      </w:r>
      <w:r>
        <w:rPr>
          <w:rFonts w:ascii="Times New Roman" w:hAnsi="Times New Roman"/>
          <w:sz w:val="24"/>
          <w:szCs w:val="24"/>
        </w:rPr>
        <w:t>the</w:t>
      </w:r>
      <w:r w:rsidRPr="00B77C85">
        <w:rPr>
          <w:rFonts w:ascii="Times New Roman" w:hAnsi="Times New Roman"/>
          <w:sz w:val="24"/>
          <w:szCs w:val="24"/>
        </w:rPr>
        <w:t xml:space="preserve"> manufacture </w:t>
      </w:r>
      <w:r>
        <w:rPr>
          <w:rFonts w:ascii="Times New Roman" w:hAnsi="Times New Roman"/>
          <w:sz w:val="24"/>
          <w:szCs w:val="24"/>
        </w:rPr>
        <w:t xml:space="preserve">of HFCs </w:t>
      </w:r>
      <w:r w:rsidRPr="00B77C85">
        <w:rPr>
          <w:rFonts w:ascii="Times New Roman" w:hAnsi="Times New Roman"/>
          <w:sz w:val="24"/>
          <w:szCs w:val="24"/>
        </w:rPr>
        <w:t>or import</w:t>
      </w:r>
      <w:r>
        <w:rPr>
          <w:rFonts w:ascii="Times New Roman" w:hAnsi="Times New Roman"/>
          <w:sz w:val="24"/>
          <w:szCs w:val="24"/>
        </w:rPr>
        <w:t xml:space="preserve"> of</w:t>
      </w:r>
      <w:r w:rsidRPr="00B77C85">
        <w:rPr>
          <w:rFonts w:ascii="Times New Roman" w:hAnsi="Times New Roman"/>
          <w:sz w:val="24"/>
          <w:szCs w:val="24"/>
        </w:rPr>
        <w:t xml:space="preserve"> HFCs</w:t>
      </w:r>
      <w:r>
        <w:rPr>
          <w:rFonts w:ascii="Times New Roman" w:hAnsi="Times New Roman"/>
          <w:sz w:val="24"/>
          <w:szCs w:val="24"/>
        </w:rPr>
        <w:t xml:space="preserve"> into Australia</w:t>
      </w:r>
      <w:r w:rsidRPr="00B77C85">
        <w:rPr>
          <w:rFonts w:ascii="Times New Roman" w:hAnsi="Times New Roman"/>
          <w:sz w:val="24"/>
          <w:szCs w:val="24"/>
        </w:rPr>
        <w:t>, with certain exceptions (s</w:t>
      </w:r>
      <w:r>
        <w:rPr>
          <w:rFonts w:ascii="Times New Roman" w:hAnsi="Times New Roman"/>
          <w:sz w:val="24"/>
          <w:szCs w:val="24"/>
        </w:rPr>
        <w:t> </w:t>
      </w:r>
      <w:r w:rsidRPr="00B77C85">
        <w:rPr>
          <w:rFonts w:ascii="Times New Roman" w:hAnsi="Times New Roman"/>
          <w:sz w:val="24"/>
          <w:szCs w:val="24"/>
        </w:rPr>
        <w:t>36B</w:t>
      </w:r>
      <w:r>
        <w:rPr>
          <w:rFonts w:ascii="Times New Roman" w:hAnsi="Times New Roman"/>
          <w:sz w:val="24"/>
          <w:szCs w:val="24"/>
        </w:rPr>
        <w:t xml:space="preserve"> of the Act</w:t>
      </w:r>
      <w:r w:rsidRPr="00B77C85">
        <w:rPr>
          <w:rFonts w:ascii="Times New Roman" w:hAnsi="Times New Roman"/>
          <w:sz w:val="24"/>
          <w:szCs w:val="24"/>
        </w:rPr>
        <w:t>).</w:t>
      </w:r>
      <w:r w:rsidRPr="00257B14">
        <w:rPr>
          <w:rFonts w:ascii="Times New Roman" w:hAnsi="Times New Roman"/>
          <w:sz w:val="24"/>
          <w:szCs w:val="24"/>
        </w:rPr>
        <w:t xml:space="preserve"> </w:t>
      </w:r>
      <w:r>
        <w:rPr>
          <w:rFonts w:ascii="Times New Roman" w:hAnsi="Times New Roman"/>
          <w:sz w:val="24"/>
          <w:szCs w:val="24"/>
        </w:rPr>
        <w:t>T</w:t>
      </w:r>
      <w:r w:rsidRPr="00257B14">
        <w:rPr>
          <w:rFonts w:ascii="Times New Roman" w:hAnsi="Times New Roman"/>
          <w:sz w:val="24"/>
          <w:szCs w:val="24"/>
        </w:rPr>
        <w:t xml:space="preserve">here are </w:t>
      </w:r>
      <w:r>
        <w:rPr>
          <w:rFonts w:ascii="Times New Roman" w:hAnsi="Times New Roman"/>
          <w:sz w:val="24"/>
          <w:szCs w:val="24"/>
        </w:rPr>
        <w:t xml:space="preserve">currently </w:t>
      </w:r>
      <w:r w:rsidRPr="00257B14">
        <w:rPr>
          <w:rFonts w:ascii="Times New Roman" w:hAnsi="Times New Roman"/>
          <w:sz w:val="24"/>
          <w:szCs w:val="24"/>
        </w:rPr>
        <w:t>no HFCs manufactured in Australia</w:t>
      </w:r>
      <w:r>
        <w:rPr>
          <w:rFonts w:ascii="Times New Roman" w:hAnsi="Times New Roman"/>
          <w:sz w:val="24"/>
          <w:szCs w:val="24"/>
        </w:rPr>
        <w:t>.</w:t>
      </w:r>
    </w:p>
    <w:p w14:paraId="23ABA599" w14:textId="77777777" w:rsidR="000B2914" w:rsidRPr="00B77C85" w:rsidRDefault="000B2914" w:rsidP="000B2914">
      <w:pPr>
        <w:spacing w:after="200" w:line="276" w:lineRule="auto"/>
        <w:rPr>
          <w:rFonts w:ascii="Times New Roman" w:hAnsi="Times New Roman"/>
          <w:sz w:val="24"/>
          <w:szCs w:val="24"/>
        </w:rPr>
      </w:pPr>
      <w:r w:rsidRPr="00B77C85">
        <w:rPr>
          <w:rFonts w:ascii="Times New Roman" w:hAnsi="Times New Roman"/>
          <w:sz w:val="24"/>
          <w:szCs w:val="24"/>
        </w:rPr>
        <w:t xml:space="preserve">Section 36C of the Act allows the regulations to prescribe, among other things, the size of HFC quotas or the method for </w:t>
      </w:r>
      <w:r>
        <w:rPr>
          <w:rFonts w:ascii="Times New Roman" w:hAnsi="Times New Roman"/>
          <w:sz w:val="24"/>
          <w:szCs w:val="24"/>
        </w:rPr>
        <w:t>calculating</w:t>
      </w:r>
      <w:r w:rsidRPr="00B77C85">
        <w:rPr>
          <w:rFonts w:ascii="Times New Roman" w:hAnsi="Times New Roman"/>
          <w:sz w:val="24"/>
          <w:szCs w:val="24"/>
        </w:rPr>
        <w:t xml:space="preserve"> the size of HFC quota. </w:t>
      </w:r>
    </w:p>
    <w:p w14:paraId="0AFCB414" w14:textId="77777777" w:rsidR="000B2914" w:rsidRPr="00B77C85" w:rsidRDefault="000B2914" w:rsidP="000B2914">
      <w:pPr>
        <w:spacing w:after="200" w:line="276" w:lineRule="auto"/>
        <w:rPr>
          <w:rFonts w:ascii="Times New Roman" w:hAnsi="Times New Roman"/>
          <w:sz w:val="24"/>
          <w:szCs w:val="24"/>
        </w:rPr>
      </w:pPr>
      <w:r w:rsidRPr="00B77C85">
        <w:rPr>
          <w:rFonts w:ascii="Times New Roman" w:hAnsi="Times New Roman"/>
          <w:sz w:val="24"/>
          <w:szCs w:val="24"/>
        </w:rPr>
        <w:t>HFC quota is divided into grandfathered and non-grandfathered quota. Grandfathered quota is reserved for past importers and is allocated based on their market share. Grandfathered quota for the first quota allocation period (2018</w:t>
      </w:r>
      <w:r>
        <w:rPr>
          <w:rFonts w:ascii="Times New Roman" w:hAnsi="Times New Roman"/>
          <w:sz w:val="24"/>
          <w:szCs w:val="24"/>
        </w:rPr>
        <w:t xml:space="preserve"> and </w:t>
      </w:r>
      <w:r w:rsidRPr="00B77C85">
        <w:rPr>
          <w:rFonts w:ascii="Times New Roman" w:hAnsi="Times New Roman"/>
          <w:sz w:val="24"/>
          <w:szCs w:val="24"/>
        </w:rPr>
        <w:t>2019) was available to licensees who had imported or manufactured HFCs during the period 2009-201</w:t>
      </w:r>
      <w:r>
        <w:rPr>
          <w:rFonts w:ascii="Times New Roman" w:hAnsi="Times New Roman"/>
          <w:sz w:val="24"/>
          <w:szCs w:val="24"/>
        </w:rPr>
        <w:t>4</w:t>
      </w:r>
      <w:r w:rsidRPr="00B77C85">
        <w:rPr>
          <w:rFonts w:ascii="Times New Roman" w:hAnsi="Times New Roman"/>
          <w:sz w:val="24"/>
          <w:szCs w:val="24"/>
        </w:rPr>
        <w:t xml:space="preserve">. Grandfathered quota for the second and later allocation periods is only available to those who already held grandfathered quota for an earlier quota allocation period. Grandfathered quota makes up most of the quota allocation (90% for the first quota allocation period and 95% for all other quota allocation periods </w:t>
      </w:r>
      <w:r>
        <w:rPr>
          <w:rFonts w:ascii="Times New Roman" w:hAnsi="Times New Roman"/>
          <w:sz w:val="24"/>
          <w:szCs w:val="24"/>
        </w:rPr>
        <w:t>(</w:t>
      </w:r>
      <w:r w:rsidRPr="00B77C85">
        <w:rPr>
          <w:rFonts w:ascii="Times New Roman" w:hAnsi="Times New Roman"/>
          <w:sz w:val="24"/>
          <w:szCs w:val="24"/>
        </w:rPr>
        <w:t>reg</w:t>
      </w:r>
      <w:r>
        <w:rPr>
          <w:rFonts w:ascii="Times New Roman" w:hAnsi="Times New Roman"/>
          <w:sz w:val="24"/>
          <w:szCs w:val="24"/>
        </w:rPr>
        <w:t>ulation</w:t>
      </w:r>
      <w:r w:rsidRPr="00B77C85">
        <w:rPr>
          <w:rFonts w:ascii="Times New Roman" w:hAnsi="Times New Roman"/>
          <w:sz w:val="24"/>
          <w:szCs w:val="24"/>
        </w:rPr>
        <w:t xml:space="preserve"> 46</w:t>
      </w:r>
      <w:r>
        <w:rPr>
          <w:rFonts w:ascii="Times New Roman" w:hAnsi="Times New Roman"/>
          <w:sz w:val="24"/>
          <w:szCs w:val="24"/>
        </w:rPr>
        <w:t xml:space="preserve"> of the Principal Regulations</w:t>
      </w:r>
      <w:r w:rsidRPr="00B77C85">
        <w:rPr>
          <w:rFonts w:ascii="Times New Roman" w:hAnsi="Times New Roman"/>
          <w:sz w:val="24"/>
          <w:szCs w:val="24"/>
        </w:rPr>
        <w:t>)</w:t>
      </w:r>
      <w:r>
        <w:rPr>
          <w:rFonts w:ascii="Times New Roman" w:hAnsi="Times New Roman"/>
          <w:sz w:val="24"/>
          <w:szCs w:val="24"/>
        </w:rPr>
        <w:t>)</w:t>
      </w:r>
      <w:r w:rsidRPr="00B77C85">
        <w:rPr>
          <w:rFonts w:ascii="Times New Roman" w:hAnsi="Times New Roman"/>
          <w:sz w:val="24"/>
          <w:szCs w:val="24"/>
        </w:rPr>
        <w:t>.</w:t>
      </w:r>
    </w:p>
    <w:p w14:paraId="1B952069" w14:textId="6143CBEC" w:rsidR="000B2914" w:rsidRPr="00B77C85" w:rsidRDefault="000B2914" w:rsidP="000B2914">
      <w:pPr>
        <w:spacing w:after="200" w:line="276" w:lineRule="auto"/>
        <w:rPr>
          <w:rFonts w:ascii="Times New Roman" w:hAnsi="Times New Roman"/>
          <w:sz w:val="24"/>
          <w:szCs w:val="24"/>
        </w:rPr>
      </w:pPr>
      <w:r w:rsidRPr="00B77C85">
        <w:rPr>
          <w:rFonts w:ascii="Times New Roman" w:hAnsi="Times New Roman"/>
          <w:sz w:val="24"/>
          <w:szCs w:val="24"/>
        </w:rPr>
        <w:t xml:space="preserve">Non-grandfathered quota is available to any applicant and is not related to amounts imported in earlier years. </w:t>
      </w:r>
      <w:r>
        <w:rPr>
          <w:rFonts w:ascii="Times New Roman" w:hAnsi="Times New Roman"/>
          <w:sz w:val="24"/>
          <w:szCs w:val="24"/>
        </w:rPr>
        <w:t xml:space="preserve">The </w:t>
      </w:r>
      <w:r w:rsidR="00113E4F">
        <w:rPr>
          <w:rFonts w:ascii="Times New Roman" w:hAnsi="Times New Roman"/>
          <w:sz w:val="24"/>
          <w:szCs w:val="24"/>
        </w:rPr>
        <w:t xml:space="preserve">Amendment </w:t>
      </w:r>
      <w:r>
        <w:rPr>
          <w:rFonts w:ascii="Times New Roman" w:hAnsi="Times New Roman"/>
          <w:sz w:val="24"/>
          <w:szCs w:val="24"/>
        </w:rPr>
        <w:t>Regulations do not amend the method for</w:t>
      </w:r>
      <w:r w:rsidRPr="00B77C85">
        <w:rPr>
          <w:rFonts w:ascii="Times New Roman" w:hAnsi="Times New Roman"/>
          <w:sz w:val="24"/>
          <w:szCs w:val="24"/>
        </w:rPr>
        <w:t xml:space="preserve"> allocation of non</w:t>
      </w:r>
      <w:r>
        <w:rPr>
          <w:rFonts w:ascii="Times New Roman" w:hAnsi="Times New Roman"/>
          <w:sz w:val="24"/>
          <w:szCs w:val="24"/>
        </w:rPr>
        <w:noBreakHyphen/>
      </w:r>
      <w:r w:rsidRPr="00B77C85">
        <w:rPr>
          <w:rFonts w:ascii="Times New Roman" w:hAnsi="Times New Roman"/>
          <w:sz w:val="24"/>
          <w:szCs w:val="24"/>
        </w:rPr>
        <w:t>grandfathered quota.</w:t>
      </w:r>
    </w:p>
    <w:p w14:paraId="43091803" w14:textId="77777777" w:rsidR="000B2914" w:rsidRDefault="000B2914" w:rsidP="000B2914">
      <w:pPr>
        <w:spacing w:after="200" w:line="276" w:lineRule="auto"/>
        <w:rPr>
          <w:rFonts w:ascii="Times New Roman" w:hAnsi="Times New Roman"/>
          <w:sz w:val="24"/>
          <w:szCs w:val="24"/>
        </w:rPr>
      </w:pPr>
      <w:r w:rsidRPr="00B77C85">
        <w:rPr>
          <w:rFonts w:ascii="Times New Roman" w:hAnsi="Times New Roman"/>
          <w:sz w:val="24"/>
          <w:szCs w:val="24"/>
        </w:rPr>
        <w:t xml:space="preserve">The amount of grandfathered quota an HFC quota holder is entitled to for a </w:t>
      </w:r>
      <w:proofErr w:type="gramStart"/>
      <w:r w:rsidRPr="00B77C85">
        <w:rPr>
          <w:rFonts w:ascii="Times New Roman" w:hAnsi="Times New Roman"/>
          <w:sz w:val="24"/>
          <w:szCs w:val="24"/>
        </w:rPr>
        <w:t>particular quota</w:t>
      </w:r>
      <w:proofErr w:type="gramEnd"/>
      <w:r w:rsidRPr="00B77C85">
        <w:rPr>
          <w:rFonts w:ascii="Times New Roman" w:hAnsi="Times New Roman"/>
          <w:sz w:val="24"/>
          <w:szCs w:val="24"/>
        </w:rPr>
        <w:t xml:space="preserve"> allocation period is calculated by the method </w:t>
      </w:r>
      <w:r>
        <w:rPr>
          <w:rFonts w:ascii="Times New Roman" w:hAnsi="Times New Roman"/>
          <w:sz w:val="24"/>
          <w:szCs w:val="24"/>
        </w:rPr>
        <w:t xml:space="preserve">prescribed </w:t>
      </w:r>
      <w:r w:rsidRPr="00B77C85">
        <w:rPr>
          <w:rFonts w:ascii="Times New Roman" w:hAnsi="Times New Roman"/>
          <w:sz w:val="24"/>
          <w:szCs w:val="24"/>
        </w:rPr>
        <w:t xml:space="preserve">in </w:t>
      </w:r>
      <w:r>
        <w:rPr>
          <w:rFonts w:ascii="Times New Roman" w:hAnsi="Times New Roman"/>
          <w:sz w:val="24"/>
          <w:szCs w:val="24"/>
        </w:rPr>
        <w:t xml:space="preserve">the Principal Regulations. </w:t>
      </w:r>
      <w:r w:rsidRPr="00FA650D">
        <w:rPr>
          <w:rFonts w:ascii="Times New Roman" w:hAnsi="Times New Roman"/>
          <w:sz w:val="24"/>
          <w:szCs w:val="24"/>
        </w:rPr>
        <w:t>Regulation 50 governs the amount of grandfathered quota a person will be entitled to during the third and future quota allocation periods</w:t>
      </w:r>
      <w:r>
        <w:rPr>
          <w:rFonts w:ascii="Times New Roman" w:hAnsi="Times New Roman"/>
          <w:sz w:val="24"/>
          <w:szCs w:val="24"/>
        </w:rPr>
        <w:t>.</w:t>
      </w:r>
    </w:p>
    <w:p w14:paraId="4EEB09F3" w14:textId="77777777" w:rsidR="000B2914" w:rsidRDefault="000B2914" w:rsidP="000B2914">
      <w:pPr>
        <w:spacing w:after="200" w:line="276" w:lineRule="auto"/>
        <w:rPr>
          <w:rFonts w:ascii="Times New Roman" w:hAnsi="Times New Roman"/>
          <w:sz w:val="24"/>
          <w:szCs w:val="24"/>
        </w:rPr>
      </w:pPr>
      <w:r w:rsidRPr="00FA650D">
        <w:rPr>
          <w:rFonts w:ascii="Times New Roman" w:hAnsi="Times New Roman"/>
          <w:sz w:val="24"/>
          <w:szCs w:val="24"/>
        </w:rPr>
        <w:t>Under regulation 50, a person’s grandfathered quota entitlement for each year in the 2022 and 2023 allocation period is based on the amount of regulated HFC activities the person performed during the 2019 and 2020</w:t>
      </w:r>
      <w:r>
        <w:rPr>
          <w:rFonts w:ascii="Times New Roman" w:hAnsi="Times New Roman"/>
          <w:sz w:val="24"/>
          <w:szCs w:val="24"/>
        </w:rPr>
        <w:t xml:space="preserve"> calendar years</w:t>
      </w:r>
      <w:r w:rsidRPr="00FA650D">
        <w:rPr>
          <w:rFonts w:ascii="Times New Roman" w:hAnsi="Times New Roman"/>
          <w:sz w:val="24"/>
          <w:szCs w:val="24"/>
        </w:rPr>
        <w:t xml:space="preserve"> (see definition of ‘base period’ in reg</w:t>
      </w:r>
      <w:r>
        <w:rPr>
          <w:rFonts w:ascii="Times New Roman" w:hAnsi="Times New Roman"/>
          <w:sz w:val="24"/>
          <w:szCs w:val="24"/>
        </w:rPr>
        <w:t>ulation</w:t>
      </w:r>
      <w:r w:rsidRPr="00FA650D">
        <w:rPr>
          <w:rFonts w:ascii="Times New Roman" w:hAnsi="Times New Roman"/>
          <w:sz w:val="24"/>
          <w:szCs w:val="24"/>
        </w:rPr>
        <w:t xml:space="preserve"> 46).</w:t>
      </w:r>
    </w:p>
    <w:p w14:paraId="29E98778" w14:textId="77777777" w:rsidR="000B2914" w:rsidRDefault="000B2914" w:rsidP="000B2914">
      <w:pPr>
        <w:spacing w:after="200" w:line="276" w:lineRule="auto"/>
        <w:rPr>
          <w:rFonts w:ascii="Times New Roman" w:hAnsi="Times New Roman"/>
          <w:sz w:val="24"/>
          <w:szCs w:val="24"/>
        </w:rPr>
      </w:pPr>
      <w:r w:rsidRPr="00FA650D">
        <w:rPr>
          <w:rFonts w:ascii="Times New Roman" w:hAnsi="Times New Roman"/>
          <w:sz w:val="24"/>
          <w:szCs w:val="24"/>
        </w:rPr>
        <w:t xml:space="preserve">For example, if a person is allocated 100 tonnes of quota for each year of the 2019 and 2020 quota allocation period, and imports or manufactures only 50 tonnes each year during that period, then quota allocation for the 2022 to 2023 period will be based on 50 tonnes for that person, rather than 100 tonnes. This </w:t>
      </w:r>
      <w:r>
        <w:rPr>
          <w:rFonts w:ascii="Times New Roman" w:hAnsi="Times New Roman"/>
          <w:sz w:val="24"/>
          <w:szCs w:val="24"/>
        </w:rPr>
        <w:t xml:space="preserve">is </w:t>
      </w:r>
      <w:r w:rsidRPr="00FA650D">
        <w:rPr>
          <w:rFonts w:ascii="Times New Roman" w:hAnsi="Times New Roman"/>
          <w:sz w:val="24"/>
          <w:szCs w:val="24"/>
        </w:rPr>
        <w:t>intend</w:t>
      </w:r>
      <w:r>
        <w:rPr>
          <w:rFonts w:ascii="Times New Roman" w:hAnsi="Times New Roman"/>
          <w:sz w:val="24"/>
          <w:szCs w:val="24"/>
        </w:rPr>
        <w:t>ed</w:t>
      </w:r>
      <w:r w:rsidRPr="00FA650D">
        <w:rPr>
          <w:rFonts w:ascii="Times New Roman" w:hAnsi="Times New Roman"/>
          <w:sz w:val="24"/>
          <w:szCs w:val="24"/>
        </w:rPr>
        <w:t xml:space="preserve"> to encourage quota holders to use all of their quota</w:t>
      </w:r>
      <w:r>
        <w:rPr>
          <w:rFonts w:ascii="Times New Roman" w:hAnsi="Times New Roman"/>
          <w:sz w:val="24"/>
          <w:szCs w:val="24"/>
        </w:rPr>
        <w:t xml:space="preserve"> and</w:t>
      </w:r>
      <w:r w:rsidRPr="00FA650D">
        <w:rPr>
          <w:rFonts w:ascii="Times New Roman" w:hAnsi="Times New Roman"/>
          <w:sz w:val="24"/>
          <w:szCs w:val="24"/>
        </w:rPr>
        <w:t xml:space="preserve"> is consistent with the phase</w:t>
      </w:r>
      <w:r>
        <w:rPr>
          <w:rFonts w:ascii="Times New Roman" w:hAnsi="Times New Roman"/>
          <w:sz w:val="24"/>
          <w:szCs w:val="24"/>
        </w:rPr>
        <w:noBreakHyphen/>
      </w:r>
      <w:r w:rsidRPr="00FA650D">
        <w:rPr>
          <w:rFonts w:ascii="Times New Roman" w:hAnsi="Times New Roman"/>
          <w:sz w:val="24"/>
          <w:szCs w:val="24"/>
        </w:rPr>
        <w:t>down approach of having the available amount of HFC approximately match the demand in the market throughout the phase</w:t>
      </w:r>
      <w:r>
        <w:rPr>
          <w:rFonts w:ascii="Times New Roman" w:hAnsi="Times New Roman"/>
          <w:sz w:val="24"/>
          <w:szCs w:val="24"/>
        </w:rPr>
        <w:noBreakHyphen/>
      </w:r>
      <w:r w:rsidRPr="00FA650D">
        <w:rPr>
          <w:rFonts w:ascii="Times New Roman" w:hAnsi="Times New Roman"/>
          <w:sz w:val="24"/>
          <w:szCs w:val="24"/>
        </w:rPr>
        <w:t>down period, without sharper, unexpected drops in availability</w:t>
      </w:r>
      <w:r>
        <w:rPr>
          <w:rFonts w:ascii="Times New Roman" w:hAnsi="Times New Roman"/>
          <w:sz w:val="24"/>
          <w:szCs w:val="24"/>
        </w:rPr>
        <w:t>.</w:t>
      </w:r>
    </w:p>
    <w:p w14:paraId="7EFED869" w14:textId="35563515" w:rsidR="000B2914" w:rsidRDefault="000B2914" w:rsidP="000B2914">
      <w:pPr>
        <w:tabs>
          <w:tab w:val="left" w:pos="4536"/>
        </w:tabs>
        <w:spacing w:after="240" w:line="276" w:lineRule="auto"/>
        <w:rPr>
          <w:rFonts w:ascii="Times New Roman" w:hAnsi="Times New Roman"/>
          <w:sz w:val="24"/>
          <w:szCs w:val="24"/>
          <w:lang w:val="en"/>
        </w:rPr>
      </w:pPr>
      <w:r>
        <w:rPr>
          <w:rFonts w:ascii="Times New Roman" w:hAnsi="Times New Roman"/>
          <w:sz w:val="24"/>
          <w:szCs w:val="24"/>
        </w:rPr>
        <w:t xml:space="preserve">The changes at items 3, 4 and 5 </w:t>
      </w:r>
      <w:r w:rsidRPr="00B2521E">
        <w:rPr>
          <w:rFonts w:ascii="Times New Roman" w:hAnsi="Times New Roman"/>
          <w:sz w:val="24"/>
          <w:szCs w:val="24"/>
        </w:rPr>
        <w:t>adjust the HFC</w:t>
      </w:r>
      <w:r>
        <w:rPr>
          <w:rFonts w:ascii="Times New Roman" w:hAnsi="Times New Roman"/>
          <w:sz w:val="24"/>
          <w:szCs w:val="24"/>
        </w:rPr>
        <w:t xml:space="preserve"> grandfathered </w:t>
      </w:r>
      <w:r w:rsidRPr="00B2521E">
        <w:rPr>
          <w:rFonts w:ascii="Times New Roman" w:hAnsi="Times New Roman"/>
          <w:sz w:val="24"/>
          <w:szCs w:val="24"/>
        </w:rPr>
        <w:t>quota calculation method for the 2022 and 2023 allocation period in response to</w:t>
      </w:r>
      <w:r>
        <w:rPr>
          <w:rFonts w:ascii="Times New Roman" w:hAnsi="Times New Roman"/>
          <w:sz w:val="24"/>
          <w:szCs w:val="24"/>
        </w:rPr>
        <w:t xml:space="preserve"> potential</w:t>
      </w:r>
      <w:r w:rsidRPr="00B2521E">
        <w:rPr>
          <w:rFonts w:ascii="Times New Roman" w:hAnsi="Times New Roman"/>
          <w:sz w:val="24"/>
          <w:szCs w:val="24"/>
        </w:rPr>
        <w:t xml:space="preserve"> COVID</w:t>
      </w:r>
      <w:r>
        <w:rPr>
          <w:rFonts w:ascii="Times New Roman" w:hAnsi="Times New Roman"/>
          <w:sz w:val="24"/>
          <w:szCs w:val="24"/>
        </w:rPr>
        <w:noBreakHyphen/>
      </w:r>
      <w:r w:rsidRPr="00B2521E">
        <w:rPr>
          <w:rFonts w:ascii="Times New Roman" w:hAnsi="Times New Roman"/>
          <w:sz w:val="24"/>
          <w:szCs w:val="24"/>
        </w:rPr>
        <w:t xml:space="preserve">19 </w:t>
      </w:r>
      <w:r>
        <w:rPr>
          <w:rFonts w:ascii="Times New Roman" w:hAnsi="Times New Roman"/>
          <w:sz w:val="24"/>
          <w:szCs w:val="24"/>
        </w:rPr>
        <w:t xml:space="preserve">supply and transport </w:t>
      </w:r>
      <w:r w:rsidRPr="00B2521E">
        <w:rPr>
          <w:rFonts w:ascii="Times New Roman" w:hAnsi="Times New Roman"/>
          <w:sz w:val="24"/>
          <w:szCs w:val="24"/>
        </w:rPr>
        <w:t xml:space="preserve">disruptions and adjust the </w:t>
      </w:r>
      <w:r>
        <w:rPr>
          <w:rFonts w:ascii="Times New Roman" w:hAnsi="Times New Roman"/>
          <w:sz w:val="24"/>
          <w:szCs w:val="24"/>
        </w:rPr>
        <w:t xml:space="preserve">grandfathered </w:t>
      </w:r>
      <w:r w:rsidRPr="00B2521E">
        <w:rPr>
          <w:rFonts w:ascii="Times New Roman" w:hAnsi="Times New Roman"/>
          <w:sz w:val="24"/>
          <w:szCs w:val="24"/>
        </w:rPr>
        <w:t>quota calculation method for all future allocation periods to simplify compliance with quota rules</w:t>
      </w:r>
      <w:r>
        <w:rPr>
          <w:rFonts w:ascii="Times New Roman" w:hAnsi="Times New Roman"/>
          <w:sz w:val="24"/>
          <w:szCs w:val="24"/>
          <w:lang w:val="en"/>
        </w:rPr>
        <w:t>.</w:t>
      </w:r>
    </w:p>
    <w:p w14:paraId="11C141D6" w14:textId="77777777" w:rsidR="000B2914" w:rsidRPr="00FD7A30" w:rsidRDefault="000B2914" w:rsidP="000B2914">
      <w:pPr>
        <w:spacing w:after="200" w:line="276" w:lineRule="auto"/>
        <w:rPr>
          <w:rFonts w:ascii="Times New Roman" w:hAnsi="Times New Roman"/>
          <w:sz w:val="24"/>
          <w:szCs w:val="24"/>
          <w:u w:val="single"/>
        </w:rPr>
      </w:pPr>
      <w:r w:rsidRPr="00FD7A30">
        <w:rPr>
          <w:rFonts w:ascii="Times New Roman" w:hAnsi="Times New Roman"/>
          <w:sz w:val="24"/>
          <w:szCs w:val="24"/>
          <w:u w:val="single"/>
        </w:rPr>
        <w:t>Items 3</w:t>
      </w:r>
      <w:r>
        <w:rPr>
          <w:rFonts w:ascii="Times New Roman" w:hAnsi="Times New Roman"/>
          <w:sz w:val="24"/>
          <w:szCs w:val="24"/>
          <w:u w:val="single"/>
        </w:rPr>
        <w:t xml:space="preserve">, </w:t>
      </w:r>
      <w:r w:rsidRPr="00FD7A30">
        <w:rPr>
          <w:rFonts w:ascii="Times New Roman" w:hAnsi="Times New Roman"/>
          <w:sz w:val="24"/>
          <w:szCs w:val="24"/>
          <w:u w:val="single"/>
        </w:rPr>
        <w:t>4</w:t>
      </w:r>
      <w:r>
        <w:rPr>
          <w:rFonts w:ascii="Times New Roman" w:hAnsi="Times New Roman"/>
          <w:sz w:val="24"/>
          <w:szCs w:val="24"/>
          <w:u w:val="single"/>
        </w:rPr>
        <w:t xml:space="preserve"> and 5</w:t>
      </w:r>
    </w:p>
    <w:p w14:paraId="3E0774CD" w14:textId="6111C7D5" w:rsidR="000B2914" w:rsidRDefault="000B2914" w:rsidP="000B2914">
      <w:pPr>
        <w:spacing w:after="200" w:line="276" w:lineRule="auto"/>
        <w:rPr>
          <w:rFonts w:ascii="Times New Roman" w:hAnsi="Times New Roman"/>
          <w:sz w:val="24"/>
          <w:szCs w:val="24"/>
        </w:rPr>
      </w:pPr>
      <w:r>
        <w:rPr>
          <w:rFonts w:ascii="Times New Roman" w:hAnsi="Times New Roman"/>
          <w:sz w:val="24"/>
          <w:szCs w:val="24"/>
        </w:rPr>
        <w:t xml:space="preserve">Item 3 repeals the current definition of </w:t>
      </w:r>
      <w:r w:rsidRPr="007E120C">
        <w:rPr>
          <w:rFonts w:ascii="Times New Roman" w:hAnsi="Times New Roman"/>
          <w:b/>
          <w:bCs/>
          <w:i/>
          <w:iCs/>
          <w:sz w:val="24"/>
          <w:szCs w:val="24"/>
        </w:rPr>
        <w:t>annual amount of licensed activities</w:t>
      </w:r>
      <w:r>
        <w:rPr>
          <w:rFonts w:ascii="Times New Roman" w:hAnsi="Times New Roman"/>
          <w:sz w:val="24"/>
          <w:szCs w:val="24"/>
        </w:rPr>
        <w:t xml:space="preserve"> in subregulation 50(2).</w:t>
      </w:r>
    </w:p>
    <w:p w14:paraId="3F18AFF1" w14:textId="72346675" w:rsidR="000B2914" w:rsidRDefault="000B2914" w:rsidP="000B2914">
      <w:pPr>
        <w:spacing w:after="200" w:line="276" w:lineRule="auto"/>
        <w:rPr>
          <w:rFonts w:ascii="Times New Roman" w:hAnsi="Times New Roman"/>
          <w:sz w:val="24"/>
          <w:szCs w:val="24"/>
        </w:rPr>
      </w:pPr>
      <w:r>
        <w:rPr>
          <w:rFonts w:ascii="Times New Roman" w:hAnsi="Times New Roman"/>
          <w:sz w:val="24"/>
          <w:szCs w:val="24"/>
        </w:rPr>
        <w:lastRenderedPageBreak/>
        <w:t xml:space="preserve">Item 4 provides a new definition of </w:t>
      </w:r>
      <w:r w:rsidRPr="007E120C">
        <w:rPr>
          <w:rFonts w:ascii="Times New Roman" w:hAnsi="Times New Roman"/>
          <w:b/>
          <w:bCs/>
          <w:i/>
          <w:iCs/>
          <w:sz w:val="24"/>
          <w:szCs w:val="24"/>
        </w:rPr>
        <w:t>annual amount of licensed activities</w:t>
      </w:r>
      <w:r>
        <w:rPr>
          <w:rFonts w:ascii="Times New Roman" w:hAnsi="Times New Roman"/>
          <w:b/>
          <w:bCs/>
          <w:i/>
          <w:iCs/>
          <w:sz w:val="24"/>
          <w:szCs w:val="24"/>
        </w:rPr>
        <w:t xml:space="preserve"> in </w:t>
      </w:r>
      <w:r w:rsidRPr="003B1B51">
        <w:rPr>
          <w:rFonts w:ascii="Times New Roman" w:hAnsi="Times New Roman"/>
          <w:sz w:val="24"/>
          <w:szCs w:val="24"/>
        </w:rPr>
        <w:t>subregulation 50(2)</w:t>
      </w:r>
      <w:r>
        <w:rPr>
          <w:rFonts w:ascii="Times New Roman" w:hAnsi="Times New Roman"/>
          <w:sz w:val="24"/>
          <w:szCs w:val="24"/>
        </w:rPr>
        <w:t xml:space="preserve">. </w:t>
      </w:r>
    </w:p>
    <w:p w14:paraId="172398FC" w14:textId="76AE1AFF" w:rsidR="000B2914" w:rsidRDefault="000B2914" w:rsidP="000B2914">
      <w:pPr>
        <w:spacing w:after="200" w:line="276" w:lineRule="auto"/>
        <w:rPr>
          <w:rFonts w:ascii="Times New Roman" w:hAnsi="Times New Roman"/>
          <w:sz w:val="24"/>
          <w:szCs w:val="24"/>
        </w:rPr>
      </w:pPr>
      <w:r>
        <w:rPr>
          <w:rFonts w:ascii="Times New Roman" w:hAnsi="Times New Roman"/>
          <w:sz w:val="24"/>
          <w:szCs w:val="24"/>
        </w:rPr>
        <w:t>The new definition has the effect that:</w:t>
      </w:r>
    </w:p>
    <w:p w14:paraId="4BB0A9ED" w14:textId="00F313CD" w:rsidR="000B2914" w:rsidRDefault="000B2914" w:rsidP="000B2914">
      <w:pPr>
        <w:pStyle w:val="ListBullet"/>
        <w:rPr>
          <w:rFonts w:ascii="Times New Roman" w:eastAsiaTheme="minorHAnsi" w:hAnsi="Times New Roman"/>
          <w:sz w:val="24"/>
          <w:szCs w:val="24"/>
          <w:lang w:eastAsia="en-AU"/>
        </w:rPr>
      </w:pPr>
      <w:r w:rsidRPr="003B1B51">
        <w:rPr>
          <w:rFonts w:ascii="Times New Roman" w:eastAsiaTheme="minorHAnsi" w:hAnsi="Times New Roman"/>
          <w:sz w:val="24"/>
          <w:szCs w:val="24"/>
          <w:lang w:eastAsia="en-AU"/>
        </w:rPr>
        <w:t xml:space="preserve">the annual amount of licensed activities of a person (an HFC quota holder) for the calendar year 2019 </w:t>
      </w:r>
      <w:r>
        <w:rPr>
          <w:rFonts w:ascii="Times New Roman" w:eastAsiaTheme="minorHAnsi" w:hAnsi="Times New Roman"/>
          <w:sz w:val="24"/>
          <w:szCs w:val="24"/>
          <w:lang w:eastAsia="en-AU"/>
        </w:rPr>
        <w:t>will</w:t>
      </w:r>
      <w:r w:rsidRPr="003B1B51">
        <w:rPr>
          <w:rFonts w:ascii="Times New Roman" w:eastAsiaTheme="minorHAnsi" w:hAnsi="Times New Roman"/>
          <w:sz w:val="24"/>
          <w:szCs w:val="24"/>
          <w:lang w:eastAsia="en-AU"/>
        </w:rPr>
        <w:t xml:space="preserve"> be </w:t>
      </w:r>
      <w:r>
        <w:rPr>
          <w:rFonts w:ascii="Times New Roman" w:eastAsiaTheme="minorHAnsi" w:hAnsi="Times New Roman"/>
          <w:sz w:val="24"/>
          <w:szCs w:val="24"/>
          <w:lang w:eastAsia="en-AU"/>
        </w:rPr>
        <w:t>calculated</w:t>
      </w:r>
      <w:r w:rsidRPr="003B1B51">
        <w:rPr>
          <w:rFonts w:ascii="Times New Roman" w:eastAsiaTheme="minorHAnsi" w:hAnsi="Times New Roman"/>
          <w:sz w:val="24"/>
          <w:szCs w:val="24"/>
          <w:lang w:eastAsia="en-AU"/>
        </w:rPr>
        <w:t xml:space="preserve"> under new subregulation 50(3) (see item 5)</w:t>
      </w:r>
      <w:r>
        <w:rPr>
          <w:rFonts w:ascii="Times New Roman" w:eastAsiaTheme="minorHAnsi" w:hAnsi="Times New Roman"/>
          <w:sz w:val="24"/>
          <w:szCs w:val="24"/>
          <w:lang w:eastAsia="en-AU"/>
        </w:rPr>
        <w:t>;</w:t>
      </w:r>
    </w:p>
    <w:p w14:paraId="5373D3A5" w14:textId="084B44A4" w:rsidR="000B2914" w:rsidRPr="003B1B51" w:rsidRDefault="000B2914" w:rsidP="000B2914">
      <w:pPr>
        <w:pStyle w:val="ListBullet"/>
        <w:rPr>
          <w:rFonts w:ascii="Times New Roman" w:hAnsi="Times New Roman"/>
          <w:sz w:val="24"/>
          <w:szCs w:val="24"/>
        </w:rPr>
      </w:pPr>
      <w:r w:rsidRPr="003B1B51">
        <w:rPr>
          <w:rFonts w:ascii="Times New Roman" w:eastAsiaTheme="minorHAnsi" w:hAnsi="Times New Roman"/>
          <w:sz w:val="24"/>
          <w:szCs w:val="24"/>
          <w:lang w:eastAsia="en-AU"/>
        </w:rPr>
        <w:t xml:space="preserve">the annual amount of licensed activities of a person for the calendar year 2020 and for later calendar years </w:t>
      </w:r>
      <w:r>
        <w:rPr>
          <w:rFonts w:ascii="Times New Roman" w:eastAsiaTheme="minorHAnsi" w:hAnsi="Times New Roman"/>
          <w:sz w:val="24"/>
          <w:szCs w:val="24"/>
          <w:lang w:eastAsia="en-AU"/>
        </w:rPr>
        <w:t>will</w:t>
      </w:r>
      <w:r w:rsidRPr="003B1B51">
        <w:rPr>
          <w:rFonts w:ascii="Times New Roman" w:eastAsiaTheme="minorHAnsi" w:hAnsi="Times New Roman"/>
          <w:sz w:val="24"/>
          <w:szCs w:val="24"/>
          <w:lang w:eastAsia="en-AU"/>
        </w:rPr>
        <w:t xml:space="preserve"> be </w:t>
      </w:r>
      <w:r>
        <w:rPr>
          <w:rFonts w:ascii="Times New Roman" w:eastAsiaTheme="minorHAnsi" w:hAnsi="Times New Roman"/>
          <w:sz w:val="24"/>
          <w:szCs w:val="24"/>
          <w:lang w:eastAsia="en-AU"/>
        </w:rPr>
        <w:t>calculated</w:t>
      </w:r>
      <w:r w:rsidRPr="003B1B51">
        <w:rPr>
          <w:rFonts w:ascii="Times New Roman" w:eastAsiaTheme="minorHAnsi" w:hAnsi="Times New Roman"/>
          <w:sz w:val="24"/>
          <w:szCs w:val="24"/>
          <w:lang w:eastAsia="en-AU"/>
        </w:rPr>
        <w:t xml:space="preserve"> under new subregulation 50(4) (see item 5).</w:t>
      </w:r>
    </w:p>
    <w:p w14:paraId="1D8B4606" w14:textId="51635F4B" w:rsidR="000B2914" w:rsidRDefault="000B2914" w:rsidP="000B2914">
      <w:pPr>
        <w:spacing w:after="200" w:line="276" w:lineRule="auto"/>
        <w:rPr>
          <w:rFonts w:ascii="Times New Roman" w:hAnsi="Times New Roman"/>
          <w:sz w:val="24"/>
          <w:szCs w:val="24"/>
        </w:rPr>
      </w:pPr>
      <w:r>
        <w:rPr>
          <w:rFonts w:ascii="Times New Roman" w:hAnsi="Times New Roman"/>
          <w:sz w:val="24"/>
          <w:szCs w:val="24"/>
        </w:rPr>
        <w:t xml:space="preserve">Item 5 inserts two new subregulations. </w:t>
      </w:r>
    </w:p>
    <w:p w14:paraId="030A08EF" w14:textId="7975C3F6" w:rsidR="000B2914" w:rsidRDefault="000B2914" w:rsidP="000B2914">
      <w:pPr>
        <w:spacing w:after="200" w:line="276" w:lineRule="auto"/>
        <w:rPr>
          <w:rFonts w:ascii="Times New Roman" w:hAnsi="Times New Roman"/>
          <w:sz w:val="24"/>
          <w:szCs w:val="24"/>
        </w:rPr>
      </w:pPr>
      <w:r>
        <w:rPr>
          <w:rFonts w:ascii="Times New Roman" w:hAnsi="Times New Roman"/>
          <w:sz w:val="24"/>
          <w:szCs w:val="24"/>
        </w:rPr>
        <w:t xml:space="preserve">Subregulation 50(3) provides the method for calculating the annual amount of licensed activities for a person for the 2019 calendar year. The new subregulation retains the current method for calculating the annual amount of licensed activities for a person for the calendar year 2019. </w:t>
      </w:r>
    </w:p>
    <w:p w14:paraId="33056781" w14:textId="77777777" w:rsidR="000B2914" w:rsidRDefault="000B2914" w:rsidP="000B2914">
      <w:pPr>
        <w:spacing w:after="200" w:line="276" w:lineRule="auto"/>
        <w:rPr>
          <w:rFonts w:ascii="Times New Roman" w:hAnsi="Times New Roman"/>
          <w:sz w:val="24"/>
          <w:szCs w:val="24"/>
        </w:rPr>
      </w:pPr>
      <w:r>
        <w:rPr>
          <w:rFonts w:ascii="Times New Roman" w:hAnsi="Times New Roman"/>
          <w:sz w:val="24"/>
          <w:szCs w:val="24"/>
        </w:rPr>
        <w:t>This method means that if an HFC quota holder imports or manufactures less than the full quota amount allocated to that person for 2019, t</w:t>
      </w:r>
      <w:r w:rsidRPr="004346DC">
        <w:rPr>
          <w:rFonts w:ascii="Times New Roman" w:hAnsi="Times New Roman"/>
          <w:sz w:val="24"/>
          <w:szCs w:val="24"/>
        </w:rPr>
        <w:t xml:space="preserve">he method specified in </w:t>
      </w:r>
      <w:r>
        <w:rPr>
          <w:rFonts w:ascii="Times New Roman" w:hAnsi="Times New Roman"/>
          <w:sz w:val="24"/>
          <w:szCs w:val="24"/>
        </w:rPr>
        <w:t>sub</w:t>
      </w:r>
      <w:r w:rsidRPr="004346DC">
        <w:rPr>
          <w:rFonts w:ascii="Times New Roman" w:hAnsi="Times New Roman"/>
          <w:sz w:val="24"/>
          <w:szCs w:val="24"/>
        </w:rPr>
        <w:t xml:space="preserve">regulation 50(2) will apply </w:t>
      </w:r>
      <w:r>
        <w:rPr>
          <w:rFonts w:ascii="Times New Roman" w:hAnsi="Times New Roman"/>
          <w:sz w:val="24"/>
          <w:szCs w:val="24"/>
        </w:rPr>
        <w:t xml:space="preserve">the amount actually imported or manufactured </w:t>
      </w:r>
      <w:r w:rsidRPr="004346DC">
        <w:rPr>
          <w:rFonts w:ascii="Times New Roman" w:hAnsi="Times New Roman"/>
          <w:sz w:val="24"/>
          <w:szCs w:val="24"/>
        </w:rPr>
        <w:t>as the ‘annual amount of licensed activities</w:t>
      </w:r>
      <w:r>
        <w:rPr>
          <w:rFonts w:ascii="Times New Roman" w:hAnsi="Times New Roman"/>
          <w:sz w:val="24"/>
          <w:szCs w:val="24"/>
        </w:rPr>
        <w:t>’</w:t>
      </w:r>
      <w:r w:rsidRPr="004346DC">
        <w:rPr>
          <w:rFonts w:ascii="Times New Roman" w:hAnsi="Times New Roman"/>
          <w:sz w:val="24"/>
          <w:szCs w:val="24"/>
        </w:rPr>
        <w:t xml:space="preserve"> </w:t>
      </w:r>
      <w:r>
        <w:rPr>
          <w:rFonts w:ascii="Times New Roman" w:hAnsi="Times New Roman"/>
          <w:sz w:val="24"/>
          <w:szCs w:val="24"/>
        </w:rPr>
        <w:t>for the purpose</w:t>
      </w:r>
      <w:r w:rsidRPr="004346DC">
        <w:rPr>
          <w:rFonts w:ascii="Times New Roman" w:hAnsi="Times New Roman"/>
          <w:sz w:val="24"/>
          <w:szCs w:val="24"/>
        </w:rPr>
        <w:t xml:space="preserve"> </w:t>
      </w:r>
      <w:r>
        <w:rPr>
          <w:rFonts w:ascii="Times New Roman" w:hAnsi="Times New Roman"/>
          <w:sz w:val="24"/>
          <w:szCs w:val="24"/>
        </w:rPr>
        <w:t>of calculating the amount of grandfathered quota that person will be entitled to in 2022 and 2023.</w:t>
      </w:r>
    </w:p>
    <w:p w14:paraId="71609FEC" w14:textId="2FB74890" w:rsidR="000B2914" w:rsidRDefault="000B2914" w:rsidP="000B2914">
      <w:pPr>
        <w:spacing w:after="200" w:line="276" w:lineRule="auto"/>
        <w:rPr>
          <w:rFonts w:ascii="Times New Roman" w:hAnsi="Times New Roman"/>
          <w:sz w:val="24"/>
          <w:szCs w:val="24"/>
        </w:rPr>
      </w:pPr>
      <w:r>
        <w:rPr>
          <w:rFonts w:ascii="Times New Roman" w:hAnsi="Times New Roman"/>
          <w:sz w:val="24"/>
          <w:szCs w:val="24"/>
        </w:rPr>
        <w:t>Subregulation 50(4) provides the method for calculating the annual amount of licensed activities for a person for the 2020 calendar year and for later calendar years.</w:t>
      </w:r>
    </w:p>
    <w:p w14:paraId="22E40C55" w14:textId="77777777" w:rsidR="000B2914" w:rsidRDefault="000B2914" w:rsidP="000B2914">
      <w:pPr>
        <w:spacing w:after="200" w:line="276" w:lineRule="auto"/>
        <w:rPr>
          <w:rFonts w:ascii="Times New Roman" w:hAnsi="Times New Roman"/>
          <w:sz w:val="24"/>
          <w:szCs w:val="24"/>
        </w:rPr>
      </w:pPr>
      <w:r>
        <w:rPr>
          <w:rFonts w:ascii="Times New Roman" w:hAnsi="Times New Roman"/>
          <w:sz w:val="24"/>
          <w:szCs w:val="24"/>
        </w:rPr>
        <w:t>For 2020:</w:t>
      </w:r>
    </w:p>
    <w:p w14:paraId="21B9EC6D" w14:textId="251AF9B9" w:rsidR="000B2914" w:rsidRDefault="000B2914" w:rsidP="000B2914">
      <w:pPr>
        <w:pStyle w:val="ListBullet"/>
        <w:rPr>
          <w:rFonts w:ascii="Times New Roman" w:eastAsiaTheme="minorHAnsi" w:hAnsi="Times New Roman"/>
          <w:sz w:val="24"/>
          <w:szCs w:val="24"/>
          <w:lang w:eastAsia="en-AU"/>
        </w:rPr>
      </w:pPr>
      <w:r w:rsidRPr="003B1B51">
        <w:rPr>
          <w:rFonts w:ascii="Times New Roman" w:eastAsiaTheme="minorHAnsi" w:hAnsi="Times New Roman"/>
          <w:sz w:val="24"/>
          <w:szCs w:val="24"/>
          <w:lang w:eastAsia="en-AU"/>
        </w:rPr>
        <w:t xml:space="preserve">if an HFC quota holder imports or manufactures less than 75% of the amount of grandfathered quota allocated to them for that year, the annual amount of licensed activities for that person </w:t>
      </w:r>
      <w:r>
        <w:rPr>
          <w:rFonts w:ascii="Times New Roman" w:eastAsiaTheme="minorHAnsi" w:hAnsi="Times New Roman"/>
          <w:sz w:val="24"/>
          <w:szCs w:val="24"/>
          <w:lang w:eastAsia="en-AU"/>
        </w:rPr>
        <w:t>will</w:t>
      </w:r>
      <w:r w:rsidRPr="003B1B51">
        <w:rPr>
          <w:rFonts w:ascii="Times New Roman" w:eastAsiaTheme="minorHAnsi" w:hAnsi="Times New Roman"/>
          <w:sz w:val="24"/>
          <w:szCs w:val="24"/>
          <w:lang w:eastAsia="en-AU"/>
        </w:rPr>
        <w:t xml:space="preserve"> be the actual amount imported or manufactured</w:t>
      </w:r>
      <w:r>
        <w:rPr>
          <w:rFonts w:ascii="Times New Roman" w:eastAsiaTheme="minorHAnsi" w:hAnsi="Times New Roman"/>
          <w:sz w:val="24"/>
          <w:szCs w:val="24"/>
          <w:lang w:eastAsia="en-AU"/>
        </w:rPr>
        <w:t>. This has the effect of maintaining the existing quota calculation method for persons who import less than 75% of their allocated quota. This is considered appropriate as it is not expected that the COVID-19 pandemic will result in importers being unable to import at least 75% of their allocated quota in 2020.</w:t>
      </w:r>
    </w:p>
    <w:p w14:paraId="74AFD960" w14:textId="66CBBB05" w:rsidR="000B2914" w:rsidRPr="003B1B51" w:rsidRDefault="000B2914" w:rsidP="000B2914">
      <w:pPr>
        <w:pStyle w:val="ListBullet"/>
        <w:rPr>
          <w:rFonts w:ascii="Times New Roman" w:hAnsi="Times New Roman"/>
          <w:sz w:val="24"/>
          <w:szCs w:val="24"/>
        </w:rPr>
      </w:pPr>
      <w:r>
        <w:rPr>
          <w:rFonts w:ascii="Times New Roman" w:eastAsiaTheme="minorHAnsi" w:hAnsi="Times New Roman"/>
          <w:sz w:val="24"/>
          <w:szCs w:val="24"/>
          <w:lang w:eastAsia="en-AU"/>
        </w:rPr>
        <w:t xml:space="preserve">if </w:t>
      </w:r>
      <w:r w:rsidRPr="003B1B51">
        <w:rPr>
          <w:rFonts w:ascii="Times New Roman" w:eastAsiaTheme="minorHAnsi" w:hAnsi="Times New Roman"/>
          <w:sz w:val="24"/>
          <w:szCs w:val="24"/>
          <w:lang w:eastAsia="en-AU"/>
        </w:rPr>
        <w:t xml:space="preserve">an HFC quota holder imports </w:t>
      </w:r>
      <w:r>
        <w:rPr>
          <w:rFonts w:ascii="Times New Roman" w:eastAsiaTheme="minorHAnsi" w:hAnsi="Times New Roman"/>
          <w:sz w:val="24"/>
          <w:szCs w:val="24"/>
          <w:lang w:eastAsia="en-AU"/>
        </w:rPr>
        <w:t xml:space="preserve">or manufactures </w:t>
      </w:r>
      <w:r w:rsidRPr="003B1B51">
        <w:rPr>
          <w:rFonts w:ascii="Times New Roman" w:eastAsiaTheme="minorHAnsi" w:hAnsi="Times New Roman"/>
          <w:sz w:val="24"/>
          <w:szCs w:val="24"/>
          <w:lang w:eastAsia="en-AU"/>
        </w:rPr>
        <w:t>75% or more of the amount of grandfathered quota allocated to them, the annual amount of licensed activities for th</w:t>
      </w:r>
      <w:r>
        <w:rPr>
          <w:rFonts w:ascii="Times New Roman" w:eastAsiaTheme="minorHAnsi" w:hAnsi="Times New Roman"/>
          <w:sz w:val="24"/>
          <w:szCs w:val="24"/>
          <w:lang w:eastAsia="en-AU"/>
        </w:rPr>
        <w:t>at person</w:t>
      </w:r>
      <w:r w:rsidRPr="003B1B51">
        <w:rPr>
          <w:rFonts w:ascii="Times New Roman" w:eastAsiaTheme="minorHAnsi" w:hAnsi="Times New Roman"/>
          <w:sz w:val="24"/>
          <w:szCs w:val="24"/>
          <w:lang w:eastAsia="en-AU"/>
        </w:rPr>
        <w:t xml:space="preserve"> </w:t>
      </w:r>
      <w:r>
        <w:rPr>
          <w:rFonts w:ascii="Times New Roman" w:eastAsiaTheme="minorHAnsi" w:hAnsi="Times New Roman"/>
          <w:sz w:val="24"/>
          <w:szCs w:val="24"/>
          <w:lang w:eastAsia="en-AU"/>
        </w:rPr>
        <w:t>will</w:t>
      </w:r>
      <w:r w:rsidRPr="003B1B51">
        <w:rPr>
          <w:rFonts w:ascii="Times New Roman" w:eastAsiaTheme="minorHAnsi" w:hAnsi="Times New Roman"/>
          <w:sz w:val="24"/>
          <w:szCs w:val="24"/>
          <w:lang w:eastAsia="en-AU"/>
        </w:rPr>
        <w:t xml:space="preserve"> be the amount of grandfathered quota allocated to that </w:t>
      </w:r>
      <w:r>
        <w:rPr>
          <w:rFonts w:ascii="Times New Roman" w:eastAsiaTheme="minorHAnsi" w:hAnsi="Times New Roman"/>
          <w:sz w:val="24"/>
          <w:szCs w:val="24"/>
          <w:lang w:eastAsia="en-AU"/>
        </w:rPr>
        <w:t>person</w:t>
      </w:r>
      <w:r w:rsidRPr="003B1B51">
        <w:rPr>
          <w:rFonts w:ascii="Times New Roman" w:eastAsiaTheme="minorHAnsi" w:hAnsi="Times New Roman"/>
          <w:sz w:val="24"/>
          <w:szCs w:val="24"/>
          <w:lang w:eastAsia="en-AU"/>
        </w:rPr>
        <w:t xml:space="preserve"> for the year. </w:t>
      </w:r>
      <w:r>
        <w:rPr>
          <w:rFonts w:ascii="Times New Roman" w:eastAsiaTheme="minorHAnsi" w:hAnsi="Times New Roman"/>
          <w:sz w:val="24"/>
          <w:szCs w:val="24"/>
          <w:lang w:eastAsia="en-AU"/>
        </w:rPr>
        <w:t>This means that, as long as the person imports or manufactures at least 75% of their allocated quota in 2020, they will not be penalised by having their quota entitlement for the 2022-2023 allocation period reduced by more than the ordinary phase</w:t>
      </w:r>
      <w:r>
        <w:rPr>
          <w:rFonts w:ascii="Times New Roman" w:eastAsiaTheme="minorHAnsi" w:hAnsi="Times New Roman"/>
          <w:sz w:val="24"/>
          <w:szCs w:val="24"/>
          <w:lang w:eastAsia="en-AU"/>
        </w:rPr>
        <w:noBreakHyphen/>
        <w:t>down related reduction.</w:t>
      </w:r>
    </w:p>
    <w:p w14:paraId="19333888" w14:textId="77777777" w:rsidR="000B2914" w:rsidRDefault="000B2914" w:rsidP="000B2914">
      <w:pPr>
        <w:spacing w:after="200" w:line="276" w:lineRule="auto"/>
        <w:rPr>
          <w:rFonts w:ascii="Times New Roman" w:hAnsi="Times New Roman"/>
          <w:sz w:val="24"/>
          <w:szCs w:val="24"/>
        </w:rPr>
      </w:pPr>
      <w:r>
        <w:rPr>
          <w:rFonts w:ascii="Times New Roman" w:hAnsi="Times New Roman"/>
          <w:sz w:val="24"/>
          <w:szCs w:val="24"/>
        </w:rPr>
        <w:br w:type="page"/>
      </w:r>
    </w:p>
    <w:p w14:paraId="5D0C683C" w14:textId="77777777" w:rsidR="000B2914" w:rsidRDefault="000B2914" w:rsidP="000B2914">
      <w:pPr>
        <w:spacing w:after="200" w:line="276" w:lineRule="auto"/>
        <w:rPr>
          <w:rFonts w:ascii="Times New Roman" w:hAnsi="Times New Roman"/>
          <w:sz w:val="24"/>
          <w:szCs w:val="24"/>
        </w:rPr>
      </w:pPr>
      <w:r>
        <w:rPr>
          <w:rFonts w:ascii="Times New Roman" w:hAnsi="Times New Roman"/>
          <w:sz w:val="24"/>
          <w:szCs w:val="24"/>
        </w:rPr>
        <w:lastRenderedPageBreak/>
        <w:t xml:space="preserve">For later calendar years: </w:t>
      </w:r>
    </w:p>
    <w:p w14:paraId="4007B3CB" w14:textId="72C5A3A9" w:rsidR="000B2914" w:rsidRDefault="000B2914" w:rsidP="000B2914">
      <w:pPr>
        <w:pStyle w:val="ListBullet"/>
        <w:rPr>
          <w:rFonts w:ascii="Times New Roman" w:eastAsiaTheme="minorHAnsi" w:hAnsi="Times New Roman"/>
          <w:sz w:val="24"/>
          <w:szCs w:val="24"/>
          <w:lang w:eastAsia="en-AU"/>
        </w:rPr>
      </w:pPr>
      <w:r w:rsidRPr="003B1B51">
        <w:rPr>
          <w:rFonts w:ascii="Times New Roman" w:eastAsiaTheme="minorHAnsi" w:hAnsi="Times New Roman"/>
          <w:sz w:val="24"/>
          <w:szCs w:val="24"/>
          <w:lang w:eastAsia="en-AU"/>
        </w:rPr>
        <w:t xml:space="preserve">if an HFC quota holder imports less than 90% of the amount of grandfathered quota allocated to them </w:t>
      </w:r>
      <w:r>
        <w:rPr>
          <w:rFonts w:ascii="Times New Roman" w:eastAsiaTheme="minorHAnsi" w:hAnsi="Times New Roman"/>
          <w:sz w:val="24"/>
          <w:szCs w:val="24"/>
          <w:lang w:eastAsia="en-AU"/>
        </w:rPr>
        <w:t>for</w:t>
      </w:r>
      <w:r w:rsidRPr="003B1B51">
        <w:rPr>
          <w:rFonts w:ascii="Times New Roman" w:eastAsiaTheme="minorHAnsi" w:hAnsi="Times New Roman"/>
          <w:sz w:val="24"/>
          <w:szCs w:val="24"/>
          <w:lang w:eastAsia="en-AU"/>
        </w:rPr>
        <w:t xml:space="preserve"> that year, the annual amount of licensed activities for that </w:t>
      </w:r>
      <w:r>
        <w:rPr>
          <w:rFonts w:ascii="Times New Roman" w:eastAsiaTheme="minorHAnsi" w:hAnsi="Times New Roman"/>
          <w:sz w:val="24"/>
          <w:szCs w:val="24"/>
          <w:lang w:eastAsia="en-AU"/>
        </w:rPr>
        <w:t>person</w:t>
      </w:r>
      <w:r w:rsidRPr="003B1B51">
        <w:rPr>
          <w:rFonts w:ascii="Times New Roman" w:eastAsiaTheme="minorHAnsi" w:hAnsi="Times New Roman"/>
          <w:sz w:val="24"/>
          <w:szCs w:val="24"/>
          <w:lang w:eastAsia="en-AU"/>
        </w:rPr>
        <w:t xml:space="preserve"> </w:t>
      </w:r>
      <w:r>
        <w:rPr>
          <w:rFonts w:ascii="Times New Roman" w:eastAsiaTheme="minorHAnsi" w:hAnsi="Times New Roman"/>
          <w:sz w:val="24"/>
          <w:szCs w:val="24"/>
          <w:lang w:eastAsia="en-AU"/>
        </w:rPr>
        <w:t>will</w:t>
      </w:r>
      <w:r w:rsidRPr="003B1B51">
        <w:rPr>
          <w:rFonts w:ascii="Times New Roman" w:eastAsiaTheme="minorHAnsi" w:hAnsi="Times New Roman"/>
          <w:sz w:val="24"/>
          <w:szCs w:val="24"/>
          <w:lang w:eastAsia="en-AU"/>
        </w:rPr>
        <w:t xml:space="preserve"> be the actual amount imported </w:t>
      </w:r>
      <w:r w:rsidRPr="003F3B9F">
        <w:rPr>
          <w:rFonts w:ascii="Times New Roman" w:eastAsiaTheme="minorHAnsi" w:hAnsi="Times New Roman"/>
          <w:sz w:val="24"/>
          <w:szCs w:val="24"/>
          <w:lang w:eastAsia="en-AU"/>
        </w:rPr>
        <w:t>or manufactured</w:t>
      </w:r>
      <w:r>
        <w:rPr>
          <w:rFonts w:ascii="Times New Roman" w:eastAsiaTheme="minorHAnsi" w:hAnsi="Times New Roman"/>
          <w:sz w:val="24"/>
          <w:szCs w:val="24"/>
          <w:lang w:eastAsia="en-AU"/>
        </w:rPr>
        <w:t>. This has the effect of maintaining the existing quota calculation method for persons who import less than 90% of their allocated quota.</w:t>
      </w:r>
      <w:r w:rsidRPr="003749E1">
        <w:rPr>
          <w:rFonts w:ascii="Times New Roman" w:eastAsiaTheme="minorHAnsi" w:hAnsi="Times New Roman"/>
          <w:sz w:val="24"/>
          <w:szCs w:val="24"/>
          <w:lang w:eastAsia="en-AU"/>
        </w:rPr>
        <w:t xml:space="preserve"> </w:t>
      </w:r>
      <w:r w:rsidRPr="00076C29">
        <w:rPr>
          <w:rFonts w:ascii="Times New Roman" w:eastAsiaTheme="minorHAnsi" w:hAnsi="Times New Roman"/>
          <w:sz w:val="24"/>
          <w:szCs w:val="24"/>
          <w:lang w:eastAsia="en-AU"/>
        </w:rPr>
        <w:t xml:space="preserve">This is considered appropriate as it is not expected that </w:t>
      </w:r>
      <w:r>
        <w:rPr>
          <w:rFonts w:ascii="Times New Roman" w:eastAsiaTheme="minorHAnsi" w:hAnsi="Times New Roman"/>
          <w:sz w:val="24"/>
          <w:szCs w:val="24"/>
          <w:lang w:eastAsia="en-AU"/>
        </w:rPr>
        <w:t>ordinary logistical issues</w:t>
      </w:r>
      <w:r w:rsidRPr="00076C29">
        <w:rPr>
          <w:rFonts w:ascii="Times New Roman" w:eastAsiaTheme="minorHAnsi" w:hAnsi="Times New Roman"/>
          <w:sz w:val="24"/>
          <w:szCs w:val="24"/>
          <w:lang w:eastAsia="en-AU"/>
        </w:rPr>
        <w:t xml:space="preserve"> will result in importers being unable to import at least </w:t>
      </w:r>
      <w:r>
        <w:rPr>
          <w:rFonts w:ascii="Times New Roman" w:eastAsiaTheme="minorHAnsi" w:hAnsi="Times New Roman"/>
          <w:sz w:val="24"/>
          <w:szCs w:val="24"/>
          <w:lang w:eastAsia="en-AU"/>
        </w:rPr>
        <w:t>90</w:t>
      </w:r>
      <w:r w:rsidRPr="00076C29">
        <w:rPr>
          <w:rFonts w:ascii="Times New Roman" w:eastAsiaTheme="minorHAnsi" w:hAnsi="Times New Roman"/>
          <w:sz w:val="24"/>
          <w:szCs w:val="24"/>
          <w:lang w:eastAsia="en-AU"/>
        </w:rPr>
        <w:t>% of their allocated quota</w:t>
      </w:r>
      <w:r>
        <w:rPr>
          <w:rFonts w:ascii="Times New Roman" w:eastAsiaTheme="minorHAnsi" w:hAnsi="Times New Roman"/>
          <w:sz w:val="24"/>
          <w:szCs w:val="24"/>
          <w:lang w:eastAsia="en-AU"/>
        </w:rPr>
        <w:t xml:space="preserve"> in a calendar year</w:t>
      </w:r>
      <w:r w:rsidRPr="00076C29">
        <w:rPr>
          <w:rFonts w:ascii="Times New Roman" w:eastAsiaTheme="minorHAnsi" w:hAnsi="Times New Roman"/>
          <w:sz w:val="24"/>
          <w:szCs w:val="24"/>
          <w:lang w:eastAsia="en-AU"/>
        </w:rPr>
        <w:t>.</w:t>
      </w:r>
    </w:p>
    <w:p w14:paraId="02893F1A" w14:textId="1219BECE" w:rsidR="000B2914" w:rsidRPr="003B1B51" w:rsidRDefault="00A50D2F" w:rsidP="000B2914">
      <w:pPr>
        <w:pStyle w:val="ListBullet"/>
        <w:rPr>
          <w:rFonts w:ascii="Times New Roman" w:hAnsi="Times New Roman"/>
          <w:sz w:val="24"/>
          <w:szCs w:val="24"/>
        </w:rPr>
      </w:pPr>
      <w:r>
        <w:rPr>
          <w:rFonts w:ascii="Times New Roman" w:eastAsiaTheme="minorHAnsi" w:hAnsi="Times New Roman"/>
          <w:sz w:val="24"/>
          <w:szCs w:val="24"/>
          <w:lang w:eastAsia="en-AU"/>
        </w:rPr>
        <w:t>i</w:t>
      </w:r>
      <w:r w:rsidR="000B2914" w:rsidRPr="003B1B51">
        <w:rPr>
          <w:rFonts w:ascii="Times New Roman" w:eastAsiaTheme="minorHAnsi" w:hAnsi="Times New Roman"/>
          <w:sz w:val="24"/>
          <w:szCs w:val="24"/>
          <w:lang w:eastAsia="en-AU"/>
        </w:rPr>
        <w:t>f an HFC quota holder imports 90% or more of the amount of grandfathered quota allocated to them</w:t>
      </w:r>
      <w:r w:rsidR="000B2914">
        <w:rPr>
          <w:rFonts w:ascii="Times New Roman" w:eastAsiaTheme="minorHAnsi" w:hAnsi="Times New Roman"/>
          <w:sz w:val="24"/>
          <w:szCs w:val="24"/>
          <w:lang w:eastAsia="en-AU"/>
        </w:rPr>
        <w:t xml:space="preserve"> for that year</w:t>
      </w:r>
      <w:r w:rsidR="000B2914" w:rsidRPr="003B1B51">
        <w:rPr>
          <w:rFonts w:ascii="Times New Roman" w:eastAsiaTheme="minorHAnsi" w:hAnsi="Times New Roman"/>
          <w:sz w:val="24"/>
          <w:szCs w:val="24"/>
          <w:lang w:eastAsia="en-AU"/>
        </w:rPr>
        <w:t xml:space="preserve">, the annual amount of licensed activities for that </w:t>
      </w:r>
      <w:r w:rsidR="000B2914">
        <w:rPr>
          <w:rFonts w:ascii="Times New Roman" w:eastAsiaTheme="minorHAnsi" w:hAnsi="Times New Roman"/>
          <w:sz w:val="24"/>
          <w:szCs w:val="24"/>
          <w:lang w:eastAsia="en-AU"/>
        </w:rPr>
        <w:t>person</w:t>
      </w:r>
      <w:r w:rsidR="000B2914" w:rsidRPr="003B1B51">
        <w:rPr>
          <w:rFonts w:ascii="Times New Roman" w:eastAsiaTheme="minorHAnsi" w:hAnsi="Times New Roman"/>
          <w:sz w:val="24"/>
          <w:szCs w:val="24"/>
          <w:lang w:eastAsia="en-AU"/>
        </w:rPr>
        <w:t xml:space="preserve"> </w:t>
      </w:r>
      <w:r w:rsidR="000B2914">
        <w:rPr>
          <w:rFonts w:ascii="Times New Roman" w:eastAsiaTheme="minorHAnsi" w:hAnsi="Times New Roman"/>
          <w:sz w:val="24"/>
          <w:szCs w:val="24"/>
          <w:lang w:eastAsia="en-AU"/>
        </w:rPr>
        <w:t>will</w:t>
      </w:r>
      <w:r w:rsidR="000B2914" w:rsidRPr="003B1B51">
        <w:rPr>
          <w:rFonts w:ascii="Times New Roman" w:eastAsiaTheme="minorHAnsi" w:hAnsi="Times New Roman"/>
          <w:sz w:val="24"/>
          <w:szCs w:val="24"/>
          <w:lang w:eastAsia="en-AU"/>
        </w:rPr>
        <w:t xml:space="preserve"> be the amount of grandfathered quota allocated to that </w:t>
      </w:r>
      <w:r w:rsidR="000B2914">
        <w:rPr>
          <w:rFonts w:ascii="Times New Roman" w:eastAsiaTheme="minorHAnsi" w:hAnsi="Times New Roman"/>
          <w:sz w:val="24"/>
          <w:szCs w:val="24"/>
          <w:lang w:eastAsia="en-AU"/>
        </w:rPr>
        <w:t>person</w:t>
      </w:r>
      <w:r w:rsidR="000B2914" w:rsidRPr="003B1B51">
        <w:rPr>
          <w:rFonts w:ascii="Times New Roman" w:eastAsiaTheme="minorHAnsi" w:hAnsi="Times New Roman"/>
          <w:sz w:val="24"/>
          <w:szCs w:val="24"/>
          <w:lang w:eastAsia="en-AU"/>
        </w:rPr>
        <w:t xml:space="preserve"> for the year. </w:t>
      </w:r>
      <w:r w:rsidR="000B2914">
        <w:rPr>
          <w:rFonts w:ascii="Times New Roman" w:eastAsiaTheme="minorHAnsi" w:hAnsi="Times New Roman"/>
          <w:sz w:val="24"/>
          <w:szCs w:val="24"/>
          <w:lang w:eastAsia="en-AU"/>
        </w:rPr>
        <w:t>This means that, as long as the person imports or manufactures at least 90% of their allocated quota in 202</w:t>
      </w:r>
      <w:r w:rsidR="00CF5775">
        <w:rPr>
          <w:rFonts w:ascii="Times New Roman" w:eastAsiaTheme="minorHAnsi" w:hAnsi="Times New Roman"/>
          <w:sz w:val="24"/>
          <w:szCs w:val="24"/>
          <w:lang w:eastAsia="en-AU"/>
        </w:rPr>
        <w:t>1</w:t>
      </w:r>
      <w:r w:rsidR="000B2914">
        <w:rPr>
          <w:rFonts w:ascii="Times New Roman" w:eastAsiaTheme="minorHAnsi" w:hAnsi="Times New Roman"/>
          <w:sz w:val="24"/>
          <w:szCs w:val="24"/>
          <w:lang w:eastAsia="en-AU"/>
        </w:rPr>
        <w:t>, they will not be penalised by having their quota entitlement for the 20</w:t>
      </w:r>
      <w:r w:rsidR="00CF5775">
        <w:rPr>
          <w:rFonts w:ascii="Times New Roman" w:eastAsiaTheme="minorHAnsi" w:hAnsi="Times New Roman"/>
          <w:sz w:val="24"/>
          <w:szCs w:val="24"/>
          <w:lang w:eastAsia="en-AU"/>
        </w:rPr>
        <w:t>24</w:t>
      </w:r>
      <w:r w:rsidR="00CF5775">
        <w:rPr>
          <w:rFonts w:ascii="Times New Roman" w:eastAsiaTheme="minorHAnsi" w:hAnsi="Times New Roman"/>
          <w:sz w:val="24"/>
          <w:szCs w:val="24"/>
          <w:lang w:eastAsia="en-AU"/>
        </w:rPr>
        <w:noBreakHyphen/>
      </w:r>
      <w:r w:rsidR="000B2914">
        <w:rPr>
          <w:rFonts w:ascii="Times New Roman" w:eastAsiaTheme="minorHAnsi" w:hAnsi="Times New Roman"/>
          <w:sz w:val="24"/>
          <w:szCs w:val="24"/>
          <w:lang w:eastAsia="en-AU"/>
        </w:rPr>
        <w:t>202</w:t>
      </w:r>
      <w:r w:rsidR="00CF5775">
        <w:rPr>
          <w:rFonts w:ascii="Times New Roman" w:eastAsiaTheme="minorHAnsi" w:hAnsi="Times New Roman"/>
          <w:sz w:val="24"/>
          <w:szCs w:val="24"/>
          <w:lang w:eastAsia="en-AU"/>
        </w:rPr>
        <w:t>5</w:t>
      </w:r>
      <w:r w:rsidR="000B2914">
        <w:rPr>
          <w:rFonts w:ascii="Times New Roman" w:eastAsiaTheme="minorHAnsi" w:hAnsi="Times New Roman"/>
          <w:sz w:val="24"/>
          <w:szCs w:val="24"/>
          <w:lang w:eastAsia="en-AU"/>
        </w:rPr>
        <w:t xml:space="preserve"> allocation period reduced by more than the ordinary phase</w:t>
      </w:r>
      <w:r w:rsidR="000B2914">
        <w:rPr>
          <w:rFonts w:ascii="Times New Roman" w:eastAsiaTheme="minorHAnsi" w:hAnsi="Times New Roman"/>
          <w:sz w:val="24"/>
          <w:szCs w:val="24"/>
          <w:lang w:eastAsia="en-AU"/>
        </w:rPr>
        <w:noBreakHyphen/>
        <w:t>down related reduction.</w:t>
      </w:r>
    </w:p>
    <w:p w14:paraId="115737B9" w14:textId="2D64492B" w:rsidR="00B9342A" w:rsidRDefault="00AE7DE6" w:rsidP="00CB125D">
      <w:pPr>
        <w:pStyle w:val="notedraft"/>
        <w:spacing w:line="276" w:lineRule="auto"/>
        <w:ind w:left="0" w:firstLine="0"/>
        <w:rPr>
          <w:szCs w:val="24"/>
        </w:rPr>
        <w:sectPr w:rsidR="00B9342A" w:rsidSect="00994F6B">
          <w:pgSz w:w="11906" w:h="16838" w:code="9"/>
          <w:pgMar w:top="1134" w:right="1418" w:bottom="567" w:left="1418" w:header="567" w:footer="567" w:gutter="0"/>
          <w:cols w:space="708"/>
          <w:docGrid w:linePitch="360"/>
        </w:sectPr>
      </w:pPr>
      <w:r>
        <w:rPr>
          <w:szCs w:val="24"/>
        </w:rPr>
        <w:br w:type="page"/>
      </w:r>
    </w:p>
    <w:p w14:paraId="3896FDD4" w14:textId="2701F66B" w:rsidR="00AE7DE6" w:rsidRDefault="00AE7DE6" w:rsidP="00814991">
      <w:pPr>
        <w:spacing w:after="200" w:line="276" w:lineRule="auto"/>
        <w:rPr>
          <w:rFonts w:ascii="Times New Roman" w:hAnsi="Times New Roman"/>
          <w:sz w:val="24"/>
          <w:szCs w:val="24"/>
        </w:rPr>
      </w:pPr>
    </w:p>
    <w:p w14:paraId="67413F09" w14:textId="1B6BA101" w:rsidR="00F45E4F" w:rsidRPr="00603A42" w:rsidRDefault="00B9342A" w:rsidP="00F45E4F">
      <w:pPr>
        <w:spacing w:after="240" w:line="276" w:lineRule="auto"/>
        <w:jc w:val="right"/>
        <w:rPr>
          <w:rFonts w:ascii="Times New Roman" w:hAnsi="Times New Roman"/>
          <w:b/>
          <w:iCs/>
          <w:sz w:val="24"/>
          <w:szCs w:val="24"/>
          <w:u w:val="single"/>
        </w:rPr>
      </w:pPr>
      <w:r w:rsidRPr="00B9342A">
        <w:rPr>
          <w:rFonts w:ascii="Times New Roman" w:hAnsi="Times New Roman"/>
          <w:b/>
          <w:iCs/>
          <w:sz w:val="24"/>
          <w:szCs w:val="24"/>
          <w:u w:val="single"/>
        </w:rPr>
        <w:t>ATTACHMENT B</w:t>
      </w:r>
    </w:p>
    <w:p w14:paraId="4D1C1A14" w14:textId="77777777" w:rsidR="00F45E4F" w:rsidRPr="00BF4B37" w:rsidRDefault="00F45E4F" w:rsidP="00F45E4F">
      <w:pPr>
        <w:spacing w:after="240" w:line="276" w:lineRule="auto"/>
        <w:jc w:val="center"/>
        <w:rPr>
          <w:rFonts w:ascii="Times New Roman" w:hAnsi="Times New Roman"/>
          <w:b/>
          <w:sz w:val="24"/>
          <w:szCs w:val="24"/>
        </w:rPr>
      </w:pPr>
      <w:r w:rsidRPr="00BF4B37">
        <w:rPr>
          <w:rFonts w:ascii="Times New Roman" w:hAnsi="Times New Roman"/>
          <w:b/>
          <w:iCs/>
          <w:sz w:val="24"/>
          <w:szCs w:val="24"/>
        </w:rPr>
        <w:t>Statement of Compatibility with Human Rights</w:t>
      </w:r>
    </w:p>
    <w:p w14:paraId="4A215AFD" w14:textId="77777777" w:rsidR="00F45E4F" w:rsidRPr="00BF4B37" w:rsidRDefault="00F45E4F" w:rsidP="00F45E4F">
      <w:pPr>
        <w:spacing w:after="240" w:line="276" w:lineRule="auto"/>
        <w:rPr>
          <w:rFonts w:ascii="Times New Roman" w:hAnsi="Times New Roman"/>
          <w:i/>
          <w:sz w:val="24"/>
          <w:szCs w:val="24"/>
        </w:rPr>
      </w:pPr>
      <w:r w:rsidRPr="00BF4B37">
        <w:rPr>
          <w:rFonts w:ascii="Times New Roman" w:hAnsi="Times New Roman"/>
          <w:i/>
          <w:sz w:val="24"/>
          <w:szCs w:val="24"/>
        </w:rPr>
        <w:t>Prepared in accordance with Part 3 of the Human Rights (Parliamentary Scrutiny) Act 2011</w:t>
      </w:r>
    </w:p>
    <w:p w14:paraId="68DE91B7" w14:textId="77777777" w:rsidR="000B2914" w:rsidRDefault="000B2914" w:rsidP="00F45E4F">
      <w:pPr>
        <w:spacing w:after="240" w:line="276" w:lineRule="auto"/>
        <w:jc w:val="center"/>
        <w:rPr>
          <w:rFonts w:ascii="Times New Roman" w:hAnsi="Times New Roman"/>
          <w:b/>
          <w:i/>
          <w:sz w:val="24"/>
          <w:szCs w:val="24"/>
        </w:rPr>
      </w:pPr>
      <w:r w:rsidRPr="000B2914">
        <w:rPr>
          <w:rFonts w:ascii="Times New Roman" w:hAnsi="Times New Roman"/>
          <w:b/>
          <w:i/>
          <w:sz w:val="24"/>
          <w:szCs w:val="24"/>
        </w:rPr>
        <w:t>Ozone Protection and Synthetic Greenhouse Gas Management Amendment (HFC Quota Allocation—Grandfathered Quota) Regulations 2020</w:t>
      </w:r>
    </w:p>
    <w:p w14:paraId="00E024E6" w14:textId="5E3D186A" w:rsidR="00F45E4F" w:rsidRPr="00BF4B37" w:rsidRDefault="00F45E4F" w:rsidP="000B2914">
      <w:pPr>
        <w:spacing w:after="240" w:line="276" w:lineRule="auto"/>
        <w:rPr>
          <w:rFonts w:ascii="Times New Roman" w:hAnsi="Times New Roman"/>
          <w:sz w:val="24"/>
          <w:szCs w:val="24"/>
        </w:rPr>
      </w:pPr>
      <w:r w:rsidRPr="00BF4B37">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sidRPr="00BF4B37">
        <w:rPr>
          <w:rFonts w:ascii="Times New Roman" w:hAnsi="Times New Roman"/>
          <w:i/>
          <w:sz w:val="24"/>
          <w:szCs w:val="24"/>
        </w:rPr>
        <w:t>Human Rights (Parliamentary Scrutiny) Act 2011</w:t>
      </w:r>
      <w:r w:rsidRPr="00BF4B37">
        <w:rPr>
          <w:rFonts w:ascii="Times New Roman" w:hAnsi="Times New Roman"/>
          <w:sz w:val="24"/>
          <w:szCs w:val="24"/>
        </w:rPr>
        <w:t>.</w:t>
      </w:r>
    </w:p>
    <w:p w14:paraId="31F43631" w14:textId="77777777" w:rsidR="00F45E4F" w:rsidRPr="00BF4B37" w:rsidRDefault="00F45E4F" w:rsidP="00F45E4F">
      <w:pPr>
        <w:spacing w:after="240" w:line="276" w:lineRule="auto"/>
        <w:rPr>
          <w:rFonts w:ascii="Times New Roman" w:hAnsi="Times New Roman"/>
          <w:b/>
          <w:sz w:val="24"/>
          <w:szCs w:val="24"/>
        </w:rPr>
      </w:pPr>
      <w:r w:rsidRPr="00BF4B37">
        <w:rPr>
          <w:rFonts w:ascii="Times New Roman" w:hAnsi="Times New Roman"/>
          <w:b/>
          <w:sz w:val="24"/>
          <w:szCs w:val="24"/>
        </w:rPr>
        <w:t>Overview of the Legislative Instrument</w:t>
      </w:r>
    </w:p>
    <w:p w14:paraId="5AD37AB9" w14:textId="77777777" w:rsidR="000B2914" w:rsidRPr="00A04EBE" w:rsidRDefault="000B2914" w:rsidP="000B2914">
      <w:pPr>
        <w:shd w:val="clear" w:color="auto" w:fill="FFFFFF"/>
        <w:spacing w:after="240" w:line="276" w:lineRule="auto"/>
        <w:rPr>
          <w:rFonts w:ascii="Times New Roman" w:eastAsia="Times New Roman" w:hAnsi="Times New Roman"/>
          <w:sz w:val="24"/>
          <w:szCs w:val="24"/>
        </w:rPr>
      </w:pPr>
      <w:r w:rsidRPr="00A04EBE">
        <w:rPr>
          <w:rFonts w:ascii="Times New Roman" w:eastAsia="Times New Roman" w:hAnsi="Times New Roman"/>
          <w:sz w:val="24"/>
          <w:szCs w:val="24"/>
        </w:rPr>
        <w:t xml:space="preserve">The </w:t>
      </w:r>
      <w:r w:rsidRPr="00A04EBE">
        <w:rPr>
          <w:rFonts w:ascii="Times New Roman" w:hAnsi="Times New Roman"/>
          <w:i/>
          <w:sz w:val="24"/>
          <w:szCs w:val="24"/>
        </w:rPr>
        <w:t>Ozone Protection and Synthetic Greenhouse Gas Management Act 1989</w:t>
      </w:r>
      <w:r w:rsidRPr="00A04EBE">
        <w:rPr>
          <w:rFonts w:ascii="Times New Roman" w:eastAsia="Times New Roman" w:hAnsi="Times New Roman"/>
          <w:sz w:val="24"/>
          <w:szCs w:val="24"/>
        </w:rPr>
        <w:t xml:space="preserve"> (the Act) implements Australia’s obligations under the </w:t>
      </w:r>
      <w:r w:rsidRPr="00C411C0">
        <w:rPr>
          <w:rFonts w:ascii="Times New Roman" w:eastAsia="Times New Roman" w:hAnsi="Times New Roman"/>
          <w:i/>
          <w:sz w:val="24"/>
          <w:szCs w:val="24"/>
        </w:rPr>
        <w:t>Vienna Convention for the Protection of the Ozone Layer</w:t>
      </w:r>
      <w:r w:rsidRPr="00A04EBE">
        <w:rPr>
          <w:rFonts w:ascii="Times New Roman" w:eastAsia="Times New Roman" w:hAnsi="Times New Roman"/>
          <w:sz w:val="24"/>
          <w:szCs w:val="24"/>
        </w:rPr>
        <w:t xml:space="preserve"> and its associated </w:t>
      </w:r>
      <w:r w:rsidRPr="00C411C0">
        <w:rPr>
          <w:rFonts w:ascii="Times New Roman" w:eastAsia="Times New Roman" w:hAnsi="Times New Roman"/>
          <w:i/>
          <w:sz w:val="24"/>
          <w:szCs w:val="24"/>
        </w:rPr>
        <w:t>Montreal Protocol on Substances that Deplete the Ozone Layer</w:t>
      </w:r>
      <w:r>
        <w:rPr>
          <w:rFonts w:ascii="Times New Roman" w:eastAsia="Times New Roman" w:hAnsi="Times New Roman"/>
          <w:sz w:val="24"/>
          <w:szCs w:val="24"/>
        </w:rPr>
        <w:t xml:space="preserve"> (Montreal Protocol)</w:t>
      </w:r>
      <w:r w:rsidRPr="00A04EBE">
        <w:rPr>
          <w:rFonts w:ascii="Times New Roman" w:eastAsia="Times New Roman" w:hAnsi="Times New Roman"/>
          <w:sz w:val="24"/>
          <w:szCs w:val="24"/>
        </w:rPr>
        <w:t xml:space="preserve">, as well as the </w:t>
      </w:r>
      <w:r w:rsidRPr="00C411C0">
        <w:rPr>
          <w:rFonts w:ascii="Times New Roman" w:eastAsia="Times New Roman" w:hAnsi="Times New Roman"/>
          <w:i/>
          <w:sz w:val="24"/>
          <w:szCs w:val="24"/>
        </w:rPr>
        <w:t>United Nations Framework Convention on Climate Change</w:t>
      </w:r>
      <w:r w:rsidRPr="00A04EBE">
        <w:rPr>
          <w:rFonts w:ascii="Times New Roman" w:eastAsia="Times New Roman" w:hAnsi="Times New Roman"/>
          <w:sz w:val="24"/>
          <w:szCs w:val="24"/>
        </w:rPr>
        <w:t xml:space="preserve"> and its Kyoto Protocol</w:t>
      </w:r>
      <w:r>
        <w:rPr>
          <w:rFonts w:ascii="Times New Roman" w:eastAsia="Times New Roman" w:hAnsi="Times New Roman"/>
          <w:sz w:val="24"/>
          <w:szCs w:val="24"/>
        </w:rPr>
        <w:t xml:space="preserve"> and Paris Agreement</w:t>
      </w:r>
      <w:r w:rsidRPr="00A04EBE">
        <w:rPr>
          <w:rFonts w:ascii="Times New Roman" w:eastAsia="Times New Roman" w:hAnsi="Times New Roman"/>
          <w:sz w:val="24"/>
          <w:szCs w:val="24"/>
        </w:rPr>
        <w:t xml:space="preserve">. </w:t>
      </w:r>
    </w:p>
    <w:p w14:paraId="779DB94D" w14:textId="760B1A38" w:rsidR="000B2914" w:rsidRDefault="000B2914" w:rsidP="000B2914">
      <w:pPr>
        <w:tabs>
          <w:tab w:val="left" w:pos="4536"/>
        </w:tabs>
        <w:spacing w:after="240" w:line="276" w:lineRule="auto"/>
        <w:rPr>
          <w:rFonts w:ascii="Times New Roman" w:hAnsi="Times New Roman"/>
          <w:sz w:val="24"/>
          <w:szCs w:val="24"/>
          <w:lang w:val="en"/>
        </w:rPr>
      </w:pPr>
      <w:r w:rsidRPr="00A04EBE">
        <w:rPr>
          <w:rFonts w:ascii="Times New Roman" w:hAnsi="Times New Roman"/>
          <w:sz w:val="24"/>
          <w:szCs w:val="24"/>
        </w:rPr>
        <w:t xml:space="preserve">The </w:t>
      </w:r>
      <w:r w:rsidRPr="00992ED9">
        <w:rPr>
          <w:rFonts w:ascii="Times New Roman" w:hAnsi="Times New Roman"/>
          <w:i/>
          <w:sz w:val="24"/>
          <w:szCs w:val="24"/>
        </w:rPr>
        <w:t xml:space="preserve">Ozone Protection and Synthetic Greenhouse Gas Management Amendment </w:t>
      </w:r>
      <w:r w:rsidRPr="00B2521E">
        <w:rPr>
          <w:rFonts w:ascii="Times New Roman" w:hAnsi="Times New Roman"/>
          <w:i/>
          <w:sz w:val="24"/>
          <w:szCs w:val="24"/>
        </w:rPr>
        <w:t xml:space="preserve">(HFC Quota Allocation—Grandfathered Quota) </w:t>
      </w:r>
      <w:r w:rsidRPr="00992ED9">
        <w:rPr>
          <w:rFonts w:ascii="Times New Roman" w:hAnsi="Times New Roman"/>
          <w:i/>
          <w:sz w:val="24"/>
          <w:szCs w:val="24"/>
        </w:rPr>
        <w:t>Regulations 20</w:t>
      </w:r>
      <w:r>
        <w:rPr>
          <w:rFonts w:ascii="Times New Roman" w:hAnsi="Times New Roman"/>
          <w:i/>
          <w:sz w:val="24"/>
          <w:szCs w:val="24"/>
        </w:rPr>
        <w:t>20</w:t>
      </w:r>
      <w:r w:rsidRPr="00A04EBE">
        <w:rPr>
          <w:rFonts w:ascii="Times New Roman" w:hAnsi="Times New Roman"/>
          <w:sz w:val="24"/>
          <w:szCs w:val="24"/>
        </w:rPr>
        <w:t xml:space="preserve"> (the </w:t>
      </w:r>
      <w:r>
        <w:rPr>
          <w:rFonts w:ascii="Times New Roman" w:hAnsi="Times New Roman"/>
          <w:sz w:val="24"/>
          <w:szCs w:val="24"/>
        </w:rPr>
        <w:t>Amendment</w:t>
      </w:r>
      <w:r w:rsidRPr="00A04EBE">
        <w:rPr>
          <w:rFonts w:ascii="Times New Roman" w:hAnsi="Times New Roman"/>
          <w:sz w:val="24"/>
          <w:szCs w:val="24"/>
        </w:rPr>
        <w:t xml:space="preserve"> Regulations) amend the </w:t>
      </w:r>
      <w:r w:rsidRPr="00A04EBE">
        <w:rPr>
          <w:rFonts w:ascii="Times New Roman" w:hAnsi="Times New Roman"/>
          <w:i/>
          <w:sz w:val="24"/>
          <w:szCs w:val="24"/>
        </w:rPr>
        <w:t>Ozone Protection and Synthetic Greenhouse Gas Management Regulations 1995</w:t>
      </w:r>
      <w:r w:rsidRPr="00A04EBE">
        <w:rPr>
          <w:rFonts w:ascii="Times New Roman" w:hAnsi="Times New Roman"/>
          <w:sz w:val="24"/>
          <w:szCs w:val="24"/>
        </w:rPr>
        <w:t xml:space="preserve"> to</w:t>
      </w:r>
      <w:r>
        <w:rPr>
          <w:rFonts w:ascii="Times New Roman" w:hAnsi="Times New Roman"/>
          <w:sz w:val="24"/>
          <w:szCs w:val="24"/>
        </w:rPr>
        <w:t xml:space="preserve"> </w:t>
      </w:r>
      <w:r w:rsidRPr="00B2521E">
        <w:rPr>
          <w:rFonts w:ascii="Times New Roman" w:hAnsi="Times New Roman"/>
          <w:sz w:val="24"/>
          <w:szCs w:val="24"/>
        </w:rPr>
        <w:t>adjust the hydrofluorocarbon (HFC</w:t>
      </w:r>
      <w:r>
        <w:rPr>
          <w:rFonts w:ascii="Times New Roman" w:hAnsi="Times New Roman"/>
          <w:sz w:val="24"/>
          <w:szCs w:val="24"/>
        </w:rPr>
        <w:t xml:space="preserve">) grandfathered </w:t>
      </w:r>
      <w:r w:rsidRPr="00B2521E">
        <w:rPr>
          <w:rFonts w:ascii="Times New Roman" w:hAnsi="Times New Roman"/>
          <w:sz w:val="24"/>
          <w:szCs w:val="24"/>
        </w:rPr>
        <w:t xml:space="preserve">quota calculation method for the 2022 and 2023 allocation period in response to COVID-19 disruptions and adjust the </w:t>
      </w:r>
      <w:r>
        <w:rPr>
          <w:rFonts w:ascii="Times New Roman" w:hAnsi="Times New Roman"/>
          <w:sz w:val="24"/>
          <w:szCs w:val="24"/>
        </w:rPr>
        <w:t xml:space="preserve">grandfathered </w:t>
      </w:r>
      <w:r w:rsidRPr="00B2521E">
        <w:rPr>
          <w:rFonts w:ascii="Times New Roman" w:hAnsi="Times New Roman"/>
          <w:sz w:val="24"/>
          <w:szCs w:val="24"/>
        </w:rPr>
        <w:t>quota calculation method for all future allocation periods to simplify compliance with quota rules</w:t>
      </w:r>
      <w:r>
        <w:rPr>
          <w:rFonts w:ascii="Times New Roman" w:hAnsi="Times New Roman"/>
          <w:sz w:val="24"/>
          <w:szCs w:val="24"/>
          <w:lang w:val="en"/>
        </w:rPr>
        <w:t>.</w:t>
      </w:r>
    </w:p>
    <w:p w14:paraId="5FDFD82D" w14:textId="2FCD972F" w:rsidR="00F45E4F" w:rsidRPr="00BF4B37" w:rsidRDefault="00F45E4F" w:rsidP="00813029">
      <w:pPr>
        <w:shd w:val="clear" w:color="auto" w:fill="FFFFFF"/>
        <w:spacing w:before="240" w:after="240" w:line="276" w:lineRule="auto"/>
        <w:rPr>
          <w:rFonts w:eastAsia="Times New Roman" w:cs="Arial"/>
          <w:sz w:val="24"/>
          <w:szCs w:val="24"/>
        </w:rPr>
      </w:pPr>
      <w:r w:rsidRPr="00BF4B37">
        <w:rPr>
          <w:rFonts w:ascii="Times New Roman" w:eastAsia="Times New Roman" w:hAnsi="Times New Roman"/>
          <w:b/>
          <w:bCs/>
          <w:sz w:val="24"/>
          <w:szCs w:val="24"/>
        </w:rPr>
        <w:t>Human rights implications</w:t>
      </w:r>
    </w:p>
    <w:p w14:paraId="2975258B" w14:textId="1304DCDE" w:rsidR="00F45E4F" w:rsidRDefault="00F45E4F" w:rsidP="00F45E4F">
      <w:pPr>
        <w:shd w:val="clear" w:color="auto" w:fill="FFFFFF"/>
        <w:spacing w:after="240" w:line="276" w:lineRule="auto"/>
        <w:rPr>
          <w:rFonts w:ascii="Times New Roman" w:eastAsia="Times New Roman" w:hAnsi="Times New Roman"/>
          <w:sz w:val="24"/>
          <w:szCs w:val="24"/>
        </w:rPr>
      </w:pPr>
      <w:r w:rsidRPr="00BF4B37">
        <w:rPr>
          <w:rFonts w:ascii="Times New Roman" w:eastAsia="Times New Roman" w:hAnsi="Times New Roman"/>
          <w:sz w:val="24"/>
          <w:szCs w:val="24"/>
        </w:rPr>
        <w:t xml:space="preserve">The </w:t>
      </w:r>
      <w:r>
        <w:rPr>
          <w:rFonts w:ascii="Times New Roman" w:eastAsia="Times New Roman" w:hAnsi="Times New Roman"/>
          <w:sz w:val="24"/>
          <w:szCs w:val="24"/>
        </w:rPr>
        <w:t>Amendment Regulations</w:t>
      </w:r>
      <w:r w:rsidRPr="00BF4B37">
        <w:rPr>
          <w:rFonts w:ascii="Times New Roman" w:eastAsia="Times New Roman" w:hAnsi="Times New Roman"/>
          <w:sz w:val="24"/>
          <w:szCs w:val="24"/>
        </w:rPr>
        <w:t xml:space="preserve"> </w:t>
      </w:r>
      <w:r w:rsidR="000B2914">
        <w:rPr>
          <w:rFonts w:ascii="Times New Roman" w:eastAsia="Times New Roman" w:hAnsi="Times New Roman"/>
          <w:sz w:val="24"/>
          <w:szCs w:val="24"/>
        </w:rPr>
        <w:t>have no</w:t>
      </w:r>
      <w:r w:rsidRPr="00BF4B37">
        <w:rPr>
          <w:rFonts w:ascii="Times New Roman" w:eastAsia="Times New Roman" w:hAnsi="Times New Roman"/>
          <w:sz w:val="24"/>
          <w:szCs w:val="24"/>
        </w:rPr>
        <w:t xml:space="preserve"> human rights</w:t>
      </w:r>
      <w:r w:rsidR="000B2914">
        <w:rPr>
          <w:rFonts w:ascii="Times New Roman" w:eastAsia="Times New Roman" w:hAnsi="Times New Roman"/>
          <w:sz w:val="24"/>
          <w:szCs w:val="24"/>
        </w:rPr>
        <w:t xml:space="preserve"> implications.</w:t>
      </w:r>
    </w:p>
    <w:p w14:paraId="3C99DEF4" w14:textId="77777777" w:rsidR="000B2914" w:rsidRPr="00BF4B37" w:rsidRDefault="000B2914" w:rsidP="00F45E4F">
      <w:pPr>
        <w:shd w:val="clear" w:color="auto" w:fill="FFFFFF"/>
        <w:spacing w:after="240" w:line="276" w:lineRule="auto"/>
        <w:rPr>
          <w:rFonts w:eastAsia="Times New Roman" w:cs="Arial"/>
          <w:sz w:val="24"/>
          <w:szCs w:val="24"/>
        </w:rPr>
      </w:pPr>
    </w:p>
    <w:p w14:paraId="71521A49" w14:textId="14F35353" w:rsidR="00F45E4F" w:rsidRPr="00603A42" w:rsidRDefault="00F45E4F" w:rsidP="00F45E4F">
      <w:pPr>
        <w:shd w:val="clear" w:color="auto" w:fill="FFFFFF"/>
        <w:spacing w:after="240" w:line="276" w:lineRule="auto"/>
        <w:jc w:val="center"/>
        <w:rPr>
          <w:rFonts w:ascii="Times New Roman" w:eastAsia="Times New Roman" w:hAnsi="Times New Roman"/>
          <w:b/>
          <w:sz w:val="24"/>
          <w:szCs w:val="24"/>
        </w:rPr>
      </w:pPr>
      <w:r w:rsidRPr="00603A42">
        <w:rPr>
          <w:rFonts w:ascii="Times New Roman" w:eastAsia="Times New Roman" w:hAnsi="Times New Roman"/>
          <w:b/>
          <w:sz w:val="24"/>
          <w:szCs w:val="24"/>
        </w:rPr>
        <w:t xml:space="preserve">The Hon </w:t>
      </w:r>
      <w:r w:rsidR="00F23EC8">
        <w:rPr>
          <w:rFonts w:ascii="Times New Roman" w:eastAsia="Times New Roman" w:hAnsi="Times New Roman"/>
          <w:b/>
          <w:sz w:val="24"/>
          <w:szCs w:val="24"/>
        </w:rPr>
        <w:t>Trevor Evans</w:t>
      </w:r>
      <w:r w:rsidRPr="00603A42">
        <w:rPr>
          <w:rFonts w:ascii="Times New Roman" w:eastAsia="Times New Roman" w:hAnsi="Times New Roman"/>
          <w:b/>
          <w:sz w:val="24"/>
          <w:szCs w:val="24"/>
        </w:rPr>
        <w:t xml:space="preserve"> MP</w:t>
      </w:r>
    </w:p>
    <w:p w14:paraId="75C765CA" w14:textId="2FE5046E" w:rsidR="00F45E4F" w:rsidRDefault="00F23EC8" w:rsidP="008C08B2">
      <w:pPr>
        <w:shd w:val="clear" w:color="auto" w:fill="FFFFFF"/>
        <w:spacing w:line="276"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Assistant </w:t>
      </w:r>
      <w:r w:rsidR="00F45E4F" w:rsidRPr="00603A42">
        <w:rPr>
          <w:rFonts w:ascii="Times New Roman" w:eastAsia="Times New Roman" w:hAnsi="Times New Roman"/>
          <w:b/>
          <w:sz w:val="24"/>
          <w:szCs w:val="24"/>
        </w:rPr>
        <w:t xml:space="preserve">Minister for </w:t>
      </w:r>
      <w:r>
        <w:rPr>
          <w:rFonts w:ascii="Times New Roman" w:eastAsia="Times New Roman" w:hAnsi="Times New Roman"/>
          <w:b/>
          <w:sz w:val="24"/>
          <w:szCs w:val="24"/>
        </w:rPr>
        <w:t xml:space="preserve">Waste Reduction and </w:t>
      </w:r>
      <w:r w:rsidR="00F45E4F" w:rsidRPr="00603A42">
        <w:rPr>
          <w:rFonts w:ascii="Times New Roman" w:eastAsia="Times New Roman" w:hAnsi="Times New Roman"/>
          <w:b/>
          <w:sz w:val="24"/>
          <w:szCs w:val="24"/>
        </w:rPr>
        <w:t>Environment</w:t>
      </w:r>
      <w:r>
        <w:rPr>
          <w:rFonts w:ascii="Times New Roman" w:eastAsia="Times New Roman" w:hAnsi="Times New Roman"/>
          <w:b/>
          <w:sz w:val="24"/>
          <w:szCs w:val="24"/>
        </w:rPr>
        <w:t>al Management</w:t>
      </w:r>
    </w:p>
    <w:p w14:paraId="7FE7C168" w14:textId="1B0ED042" w:rsidR="008C08B2" w:rsidRPr="00603A42" w:rsidRDefault="008C08B2" w:rsidP="00F45E4F">
      <w:pPr>
        <w:shd w:val="clear" w:color="auto" w:fill="FFFFFF"/>
        <w:spacing w:after="240" w:line="276" w:lineRule="auto"/>
        <w:jc w:val="center"/>
        <w:rPr>
          <w:rFonts w:ascii="Times New Roman" w:eastAsia="Times New Roman" w:hAnsi="Times New Roman"/>
          <w:b/>
          <w:sz w:val="24"/>
          <w:szCs w:val="24"/>
        </w:rPr>
      </w:pPr>
      <w:r>
        <w:rPr>
          <w:rFonts w:ascii="Times New Roman" w:eastAsia="Times New Roman" w:hAnsi="Times New Roman"/>
          <w:b/>
          <w:sz w:val="24"/>
          <w:szCs w:val="24"/>
        </w:rPr>
        <w:t>Parliamentary Secretary to the Minister for the Environment</w:t>
      </w:r>
    </w:p>
    <w:p w14:paraId="3241BDAD" w14:textId="32077DE5" w:rsidR="00B6118E" w:rsidRPr="00B6118E" w:rsidRDefault="00B6118E" w:rsidP="006970A2">
      <w:pPr>
        <w:spacing w:after="240" w:line="276" w:lineRule="auto"/>
        <w:jc w:val="right"/>
        <w:rPr>
          <w:rFonts w:ascii="Times New Roman" w:hAnsi="Times New Roman"/>
          <w:i/>
          <w:sz w:val="24"/>
          <w:szCs w:val="24"/>
        </w:rPr>
      </w:pPr>
    </w:p>
    <w:sectPr w:rsidR="00B6118E" w:rsidRPr="00B6118E" w:rsidSect="00994F6B">
      <w:pgSz w:w="11906" w:h="16838" w:code="9"/>
      <w:pgMar w:top="1134" w:right="1418"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77E44" w14:textId="77777777" w:rsidR="00BB6044" w:rsidRDefault="00BB6044" w:rsidP="0069229F">
      <w:r>
        <w:separator/>
      </w:r>
    </w:p>
  </w:endnote>
  <w:endnote w:type="continuationSeparator" w:id="0">
    <w:p w14:paraId="6A7B3B48" w14:textId="77777777" w:rsidR="00BB6044" w:rsidRDefault="00BB6044" w:rsidP="0069229F">
      <w:r>
        <w:continuationSeparator/>
      </w:r>
    </w:p>
  </w:endnote>
  <w:endnote w:type="continuationNotice" w:id="1">
    <w:p w14:paraId="13FFFC20" w14:textId="77777777" w:rsidR="00BB6044" w:rsidRDefault="00BB60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rPr>
      <w:id w:val="-121852995"/>
      <w:docPartObj>
        <w:docPartGallery w:val="Page Numbers (Bottom of Page)"/>
        <w:docPartUnique/>
      </w:docPartObj>
    </w:sdtPr>
    <w:sdtEndPr>
      <w:rPr>
        <w:noProof/>
      </w:rPr>
    </w:sdtEndPr>
    <w:sdtContent>
      <w:p w14:paraId="4E6EBA06" w14:textId="44F7B2C7" w:rsidR="00BB6044" w:rsidRPr="00142F91" w:rsidRDefault="00BB6044" w:rsidP="001B6076">
        <w:pPr>
          <w:pStyle w:val="Footer"/>
          <w:jc w:val="center"/>
          <w:rPr>
            <w:rFonts w:ascii="Times New Roman" w:hAnsi="Times New Roman"/>
          </w:rPr>
        </w:pPr>
        <w:r w:rsidRPr="00142F91">
          <w:rPr>
            <w:rFonts w:ascii="Times New Roman" w:hAnsi="Times New Roman"/>
          </w:rPr>
          <w:fldChar w:fldCharType="begin"/>
        </w:r>
        <w:r w:rsidRPr="00142F91">
          <w:rPr>
            <w:rFonts w:ascii="Times New Roman" w:hAnsi="Times New Roman"/>
          </w:rPr>
          <w:instrText xml:space="preserve"> PAGE   \* MERGEFORMAT </w:instrText>
        </w:r>
        <w:r w:rsidRPr="00142F91">
          <w:rPr>
            <w:rFonts w:ascii="Times New Roman" w:hAnsi="Times New Roman"/>
          </w:rPr>
          <w:fldChar w:fldCharType="separate"/>
        </w:r>
        <w:r>
          <w:rPr>
            <w:rFonts w:ascii="Times New Roman" w:hAnsi="Times New Roman"/>
            <w:noProof/>
          </w:rPr>
          <w:t>1</w:t>
        </w:r>
        <w:r w:rsidRPr="00142F91">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737AB" w14:textId="77777777" w:rsidR="00BB6044" w:rsidRDefault="00BB6044" w:rsidP="0069229F">
      <w:r>
        <w:separator/>
      </w:r>
    </w:p>
  </w:footnote>
  <w:footnote w:type="continuationSeparator" w:id="0">
    <w:p w14:paraId="20285295" w14:textId="77777777" w:rsidR="00BB6044" w:rsidRDefault="00BB6044" w:rsidP="0069229F">
      <w:r>
        <w:continuationSeparator/>
      </w:r>
    </w:p>
  </w:footnote>
  <w:footnote w:type="continuationNotice" w:id="1">
    <w:p w14:paraId="5C3F574C" w14:textId="77777777" w:rsidR="00BB6044" w:rsidRDefault="00BB60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6AF124F"/>
    <w:multiLevelType w:val="hybridMultilevel"/>
    <w:tmpl w:val="31200412"/>
    <w:lvl w:ilvl="0" w:tplc="BB34568E">
      <w:start w:val="1"/>
      <w:numFmt w:val="bullet"/>
      <w:lvlText w:val=""/>
      <w:lvlJc w:val="left"/>
      <w:pPr>
        <w:ind w:left="360" w:hanging="360"/>
      </w:pPr>
      <w:rPr>
        <w:rFonts w:ascii="Symbol" w:hAnsi="Symbol" w:hint="default"/>
        <w:b w:val="0"/>
        <w:strike w:val="0"/>
        <w:sz w:val="24"/>
        <w:szCs w:val="24"/>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1CB4E52"/>
    <w:multiLevelType w:val="hybridMultilevel"/>
    <w:tmpl w:val="1D6C06A4"/>
    <w:lvl w:ilvl="0" w:tplc="56BCC41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046913"/>
    <w:multiLevelType w:val="hybridMultilevel"/>
    <w:tmpl w:val="A6464298"/>
    <w:lvl w:ilvl="0" w:tplc="7666B19A">
      <w:start w:val="1"/>
      <w:numFmt w:val="bullet"/>
      <w:lvlText w:val=""/>
      <w:lvlJc w:val="left"/>
      <w:pPr>
        <w:ind w:left="720" w:hanging="360"/>
      </w:pPr>
      <w:rPr>
        <w:rFonts w:ascii="Symbol" w:hAnsi="Symbol" w:hint="default"/>
        <w:b w:val="0"/>
        <w:strike w:val="0"/>
        <w:sz w:val="24"/>
        <w:szCs w:val="24"/>
      </w:r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18694E"/>
    <w:multiLevelType w:val="multilevel"/>
    <w:tmpl w:val="4526169A"/>
    <w:lvl w:ilvl="0">
      <w:start w:val="1"/>
      <w:numFmt w:val="decimal"/>
      <w:lvlText w:val="%1."/>
      <w:lvlJc w:val="left"/>
      <w:pPr>
        <w:ind w:left="369" w:hanging="369"/>
      </w:pPr>
      <w:rPr>
        <w:rFonts w:ascii="Times New Roman" w:hAnsi="Times New Roman" w:hint="default"/>
        <w:b w:val="0"/>
        <w:i w:val="0"/>
        <w:sz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5" w15:restartNumberingAfterBreak="0">
    <w:nsid w:val="1F745BC2"/>
    <w:multiLevelType w:val="multilevel"/>
    <w:tmpl w:val="E5E89F92"/>
    <w:numStyleLink w:val="BulletList"/>
  </w:abstractNum>
  <w:abstractNum w:abstractNumId="6" w15:restartNumberingAfterBreak="0">
    <w:nsid w:val="2BAB7010"/>
    <w:multiLevelType w:val="hybridMultilevel"/>
    <w:tmpl w:val="B270E7A6"/>
    <w:lvl w:ilvl="0" w:tplc="7666B19A">
      <w:start w:val="1"/>
      <w:numFmt w:val="bullet"/>
      <w:lvlText w:val=""/>
      <w:lvlJc w:val="left"/>
      <w:pPr>
        <w:ind w:left="720" w:hanging="360"/>
      </w:pPr>
      <w:rPr>
        <w:rFonts w:ascii="Symbol" w:hAnsi="Symbol" w:hint="default"/>
        <w:b w:val="0"/>
        <w:strike w:val="0"/>
        <w:sz w:val="24"/>
        <w:szCs w:val="24"/>
      </w:r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68118EB"/>
    <w:multiLevelType w:val="hybridMultilevel"/>
    <w:tmpl w:val="9FE238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5456429"/>
    <w:multiLevelType w:val="multilevel"/>
    <w:tmpl w:val="987C45B0"/>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0" w15:restartNumberingAfterBreak="0">
    <w:nsid w:val="69483198"/>
    <w:multiLevelType w:val="hybridMultilevel"/>
    <w:tmpl w:val="AB5E9EF0"/>
    <w:lvl w:ilvl="0" w:tplc="4D5AD946">
      <w:start w:val="1"/>
      <w:numFmt w:val="bullet"/>
      <w:lvlText w:val="-"/>
      <w:lvlJc w:val="left"/>
      <w:pPr>
        <w:ind w:left="720" w:hanging="360"/>
      </w:pPr>
      <w:rPr>
        <w:rFonts w:ascii="Agency FB" w:hAnsi="Agency FB"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DE4DBB"/>
    <w:multiLevelType w:val="hybridMultilevel"/>
    <w:tmpl w:val="B456B6A8"/>
    <w:lvl w:ilvl="0" w:tplc="0C090001">
      <w:start w:val="1"/>
      <w:numFmt w:val="bullet"/>
      <w:lvlText w:val=""/>
      <w:lvlJc w:val="left"/>
      <w:pPr>
        <w:ind w:left="360" w:hanging="360"/>
      </w:pPr>
      <w:rPr>
        <w:rFonts w:ascii="Symbol" w:hAnsi="Symbol" w:hint="default"/>
        <w:b w:val="0"/>
        <w:strike w:val="0"/>
        <w:sz w:val="24"/>
        <w:szCs w:val="24"/>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3" w15:restartNumberingAfterBreak="0">
    <w:nsid w:val="78CD10EB"/>
    <w:multiLevelType w:val="hybridMultilevel"/>
    <w:tmpl w:val="91B8BD54"/>
    <w:lvl w:ilvl="0" w:tplc="7666B19A">
      <w:start w:val="1"/>
      <w:numFmt w:val="bullet"/>
      <w:lvlText w:val=""/>
      <w:lvlJc w:val="left"/>
      <w:pPr>
        <w:ind w:left="720" w:hanging="360"/>
      </w:pPr>
      <w:rPr>
        <w:rFonts w:ascii="Symbol" w:hAnsi="Symbol" w:hint="default"/>
        <w:b w:val="0"/>
        <w:strike w:val="0"/>
        <w:sz w:val="24"/>
        <w:szCs w:val="24"/>
      </w:r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95E66A0"/>
    <w:multiLevelType w:val="hybridMultilevel"/>
    <w:tmpl w:val="B588A6DA"/>
    <w:lvl w:ilvl="0" w:tplc="7024A5DA">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0"/>
  </w:num>
  <w:num w:numId="4">
    <w:abstractNumId w:val="5"/>
  </w:num>
  <w:num w:numId="5">
    <w:abstractNumId w:val="11"/>
  </w:num>
  <w:num w:numId="6">
    <w:abstractNumId w:val="2"/>
  </w:num>
  <w:num w:numId="7">
    <w:abstractNumId w:val="8"/>
  </w:num>
  <w:num w:numId="8">
    <w:abstractNumId w:val="1"/>
  </w:num>
  <w:num w:numId="9">
    <w:abstractNumId w:val="13"/>
  </w:num>
  <w:num w:numId="10">
    <w:abstractNumId w:val="3"/>
  </w:num>
  <w:num w:numId="11">
    <w:abstractNumId w:val="6"/>
  </w:num>
  <w:num w:numId="12">
    <w:abstractNumId w:val="14"/>
  </w:num>
  <w:num w:numId="13">
    <w:abstractNumId w:val="10"/>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3EA"/>
    <w:rsid w:val="00001F71"/>
    <w:rsid w:val="00003681"/>
    <w:rsid w:val="000050E0"/>
    <w:rsid w:val="00007AAD"/>
    <w:rsid w:val="0001187C"/>
    <w:rsid w:val="00012C6C"/>
    <w:rsid w:val="00013144"/>
    <w:rsid w:val="0001357D"/>
    <w:rsid w:val="000166EB"/>
    <w:rsid w:val="00016B2D"/>
    <w:rsid w:val="000179F8"/>
    <w:rsid w:val="00017F45"/>
    <w:rsid w:val="000202E4"/>
    <w:rsid w:val="0002070C"/>
    <w:rsid w:val="00021EEA"/>
    <w:rsid w:val="0002752C"/>
    <w:rsid w:val="000279AF"/>
    <w:rsid w:val="00030CC3"/>
    <w:rsid w:val="00030E0A"/>
    <w:rsid w:val="00032429"/>
    <w:rsid w:val="0003342C"/>
    <w:rsid w:val="00033BC9"/>
    <w:rsid w:val="00034F9B"/>
    <w:rsid w:val="0003565A"/>
    <w:rsid w:val="00037311"/>
    <w:rsid w:val="00037CD6"/>
    <w:rsid w:val="00040068"/>
    <w:rsid w:val="000408AF"/>
    <w:rsid w:val="000419C0"/>
    <w:rsid w:val="00042443"/>
    <w:rsid w:val="0004275D"/>
    <w:rsid w:val="00042FA8"/>
    <w:rsid w:val="00043579"/>
    <w:rsid w:val="00045822"/>
    <w:rsid w:val="00045E4D"/>
    <w:rsid w:val="000466BD"/>
    <w:rsid w:val="000476AC"/>
    <w:rsid w:val="0005355D"/>
    <w:rsid w:val="0005543F"/>
    <w:rsid w:val="00060792"/>
    <w:rsid w:val="00064A86"/>
    <w:rsid w:val="00073283"/>
    <w:rsid w:val="000735D5"/>
    <w:rsid w:val="00074915"/>
    <w:rsid w:val="000758E3"/>
    <w:rsid w:val="00076DAF"/>
    <w:rsid w:val="000776B0"/>
    <w:rsid w:val="0008206F"/>
    <w:rsid w:val="0008272B"/>
    <w:rsid w:val="00083220"/>
    <w:rsid w:val="00083260"/>
    <w:rsid w:val="0008379A"/>
    <w:rsid w:val="00084858"/>
    <w:rsid w:val="00084FB6"/>
    <w:rsid w:val="00085249"/>
    <w:rsid w:val="00085677"/>
    <w:rsid w:val="000862E2"/>
    <w:rsid w:val="0008670D"/>
    <w:rsid w:val="000878C9"/>
    <w:rsid w:val="0009002A"/>
    <w:rsid w:val="00090525"/>
    <w:rsid w:val="00092CD0"/>
    <w:rsid w:val="000935B9"/>
    <w:rsid w:val="00094077"/>
    <w:rsid w:val="000970C8"/>
    <w:rsid w:val="000A0424"/>
    <w:rsid w:val="000A057D"/>
    <w:rsid w:val="000A24E6"/>
    <w:rsid w:val="000A5F30"/>
    <w:rsid w:val="000A76B6"/>
    <w:rsid w:val="000B11D9"/>
    <w:rsid w:val="000B15D4"/>
    <w:rsid w:val="000B2914"/>
    <w:rsid w:val="000B3FFB"/>
    <w:rsid w:val="000B4280"/>
    <w:rsid w:val="000B5588"/>
    <w:rsid w:val="000B5C9A"/>
    <w:rsid w:val="000C0616"/>
    <w:rsid w:val="000C0F4C"/>
    <w:rsid w:val="000C1985"/>
    <w:rsid w:val="000C1C3B"/>
    <w:rsid w:val="000C576E"/>
    <w:rsid w:val="000C591D"/>
    <w:rsid w:val="000D1A89"/>
    <w:rsid w:val="000D22D4"/>
    <w:rsid w:val="000D2929"/>
    <w:rsid w:val="000D2B4A"/>
    <w:rsid w:val="000D38F4"/>
    <w:rsid w:val="000D4FD4"/>
    <w:rsid w:val="000D64F6"/>
    <w:rsid w:val="000D7FA6"/>
    <w:rsid w:val="000E003E"/>
    <w:rsid w:val="000E1AB9"/>
    <w:rsid w:val="000E20D6"/>
    <w:rsid w:val="000E4087"/>
    <w:rsid w:val="000E40FA"/>
    <w:rsid w:val="000E53AB"/>
    <w:rsid w:val="000E6707"/>
    <w:rsid w:val="000F0AE7"/>
    <w:rsid w:val="000F2624"/>
    <w:rsid w:val="000F2723"/>
    <w:rsid w:val="000F47BD"/>
    <w:rsid w:val="000F59D5"/>
    <w:rsid w:val="000F6033"/>
    <w:rsid w:val="0010129D"/>
    <w:rsid w:val="00103384"/>
    <w:rsid w:val="00103BFC"/>
    <w:rsid w:val="001112DB"/>
    <w:rsid w:val="00113D53"/>
    <w:rsid w:val="00113E4F"/>
    <w:rsid w:val="00114328"/>
    <w:rsid w:val="0011492F"/>
    <w:rsid w:val="0011613F"/>
    <w:rsid w:val="00116B31"/>
    <w:rsid w:val="001217CE"/>
    <w:rsid w:val="00121F5D"/>
    <w:rsid w:val="00121F9F"/>
    <w:rsid w:val="00122048"/>
    <w:rsid w:val="0012212A"/>
    <w:rsid w:val="00122C8F"/>
    <w:rsid w:val="00123A04"/>
    <w:rsid w:val="00123DB5"/>
    <w:rsid w:val="00124FA9"/>
    <w:rsid w:val="00125EFF"/>
    <w:rsid w:val="00126227"/>
    <w:rsid w:val="001264D5"/>
    <w:rsid w:val="001310BC"/>
    <w:rsid w:val="0013176F"/>
    <w:rsid w:val="00133B69"/>
    <w:rsid w:val="00133FD1"/>
    <w:rsid w:val="00137412"/>
    <w:rsid w:val="001408B6"/>
    <w:rsid w:val="00141B0F"/>
    <w:rsid w:val="00142F91"/>
    <w:rsid w:val="00143CE2"/>
    <w:rsid w:val="00145DA7"/>
    <w:rsid w:val="00146A03"/>
    <w:rsid w:val="00155356"/>
    <w:rsid w:val="00155E46"/>
    <w:rsid w:val="00156F16"/>
    <w:rsid w:val="0015715D"/>
    <w:rsid w:val="0016196F"/>
    <w:rsid w:val="001631D7"/>
    <w:rsid w:val="00163BE0"/>
    <w:rsid w:val="00172E11"/>
    <w:rsid w:val="00173211"/>
    <w:rsid w:val="0017431B"/>
    <w:rsid w:val="00174A5F"/>
    <w:rsid w:val="00176C5A"/>
    <w:rsid w:val="0018024F"/>
    <w:rsid w:val="00186553"/>
    <w:rsid w:val="00186B88"/>
    <w:rsid w:val="00187429"/>
    <w:rsid w:val="001903C3"/>
    <w:rsid w:val="0019063E"/>
    <w:rsid w:val="00190720"/>
    <w:rsid w:val="0019092A"/>
    <w:rsid w:val="00194279"/>
    <w:rsid w:val="001951CC"/>
    <w:rsid w:val="00195873"/>
    <w:rsid w:val="00195BD6"/>
    <w:rsid w:val="001961EE"/>
    <w:rsid w:val="00196A26"/>
    <w:rsid w:val="00196DB4"/>
    <w:rsid w:val="00197A8C"/>
    <w:rsid w:val="001A01BC"/>
    <w:rsid w:val="001A0748"/>
    <w:rsid w:val="001A1FED"/>
    <w:rsid w:val="001A2D7B"/>
    <w:rsid w:val="001B08F6"/>
    <w:rsid w:val="001B2D6F"/>
    <w:rsid w:val="001B4C14"/>
    <w:rsid w:val="001B544A"/>
    <w:rsid w:val="001B55BB"/>
    <w:rsid w:val="001B59F0"/>
    <w:rsid w:val="001B5AA4"/>
    <w:rsid w:val="001B5CE0"/>
    <w:rsid w:val="001B6076"/>
    <w:rsid w:val="001B6169"/>
    <w:rsid w:val="001B7CB6"/>
    <w:rsid w:val="001C07AB"/>
    <w:rsid w:val="001C1090"/>
    <w:rsid w:val="001C3BDB"/>
    <w:rsid w:val="001C51C8"/>
    <w:rsid w:val="001C52DC"/>
    <w:rsid w:val="001C56A8"/>
    <w:rsid w:val="001D1ABC"/>
    <w:rsid w:val="001D1CBD"/>
    <w:rsid w:val="001D383C"/>
    <w:rsid w:val="001D7D1A"/>
    <w:rsid w:val="001D7D8D"/>
    <w:rsid w:val="001E1375"/>
    <w:rsid w:val="001E272D"/>
    <w:rsid w:val="001E2C18"/>
    <w:rsid w:val="001E33C9"/>
    <w:rsid w:val="001E3F54"/>
    <w:rsid w:val="001E5F4F"/>
    <w:rsid w:val="001F13ED"/>
    <w:rsid w:val="001F20FC"/>
    <w:rsid w:val="001F325E"/>
    <w:rsid w:val="001F5B2F"/>
    <w:rsid w:val="001F6337"/>
    <w:rsid w:val="001F6B5E"/>
    <w:rsid w:val="0020020E"/>
    <w:rsid w:val="00200A9D"/>
    <w:rsid w:val="00200D56"/>
    <w:rsid w:val="00202977"/>
    <w:rsid w:val="00203D72"/>
    <w:rsid w:val="002044D7"/>
    <w:rsid w:val="002055E0"/>
    <w:rsid w:val="0020784D"/>
    <w:rsid w:val="00210E0F"/>
    <w:rsid w:val="00211957"/>
    <w:rsid w:val="002140D0"/>
    <w:rsid w:val="00215A71"/>
    <w:rsid w:val="002163FF"/>
    <w:rsid w:val="00216597"/>
    <w:rsid w:val="0021696F"/>
    <w:rsid w:val="0021703B"/>
    <w:rsid w:val="0022049D"/>
    <w:rsid w:val="0022088E"/>
    <w:rsid w:val="002243BC"/>
    <w:rsid w:val="00224F55"/>
    <w:rsid w:val="00225875"/>
    <w:rsid w:val="002264BB"/>
    <w:rsid w:val="0022791A"/>
    <w:rsid w:val="00230CB9"/>
    <w:rsid w:val="002313D7"/>
    <w:rsid w:val="00231688"/>
    <w:rsid w:val="00231C5A"/>
    <w:rsid w:val="00231F17"/>
    <w:rsid w:val="00232AED"/>
    <w:rsid w:val="00232C50"/>
    <w:rsid w:val="002334D9"/>
    <w:rsid w:val="00234477"/>
    <w:rsid w:val="00235309"/>
    <w:rsid w:val="00235800"/>
    <w:rsid w:val="00235ED9"/>
    <w:rsid w:val="00236061"/>
    <w:rsid w:val="00237AF1"/>
    <w:rsid w:val="00242E1C"/>
    <w:rsid w:val="00243956"/>
    <w:rsid w:val="00245060"/>
    <w:rsid w:val="0024531D"/>
    <w:rsid w:val="00245DB5"/>
    <w:rsid w:val="0024676D"/>
    <w:rsid w:val="002477A5"/>
    <w:rsid w:val="0025089B"/>
    <w:rsid w:val="00252FDF"/>
    <w:rsid w:val="002545AB"/>
    <w:rsid w:val="002600FA"/>
    <w:rsid w:val="00260596"/>
    <w:rsid w:val="00262E70"/>
    <w:rsid w:val="00263963"/>
    <w:rsid w:val="00264B49"/>
    <w:rsid w:val="0026727E"/>
    <w:rsid w:val="00272091"/>
    <w:rsid w:val="002720A8"/>
    <w:rsid w:val="002729F3"/>
    <w:rsid w:val="0027398B"/>
    <w:rsid w:val="00273F8F"/>
    <w:rsid w:val="00273F9E"/>
    <w:rsid w:val="002754B1"/>
    <w:rsid w:val="00276825"/>
    <w:rsid w:val="0028184B"/>
    <w:rsid w:val="00281919"/>
    <w:rsid w:val="00281924"/>
    <w:rsid w:val="002843AA"/>
    <w:rsid w:val="0028584F"/>
    <w:rsid w:val="00290F1E"/>
    <w:rsid w:val="0029155A"/>
    <w:rsid w:val="00291D32"/>
    <w:rsid w:val="002947D1"/>
    <w:rsid w:val="002A0DD1"/>
    <w:rsid w:val="002A1E97"/>
    <w:rsid w:val="002A5152"/>
    <w:rsid w:val="002B2409"/>
    <w:rsid w:val="002B4EBE"/>
    <w:rsid w:val="002C07C1"/>
    <w:rsid w:val="002C115B"/>
    <w:rsid w:val="002C26D5"/>
    <w:rsid w:val="002C3210"/>
    <w:rsid w:val="002C3697"/>
    <w:rsid w:val="002C3F5E"/>
    <w:rsid w:val="002C57ED"/>
    <w:rsid w:val="002C60A6"/>
    <w:rsid w:val="002C635D"/>
    <w:rsid w:val="002C69AB"/>
    <w:rsid w:val="002C779F"/>
    <w:rsid w:val="002D003E"/>
    <w:rsid w:val="002D06C8"/>
    <w:rsid w:val="002D11E2"/>
    <w:rsid w:val="002D2A05"/>
    <w:rsid w:val="002D3D80"/>
    <w:rsid w:val="002D4046"/>
    <w:rsid w:val="002D4F3C"/>
    <w:rsid w:val="002D5961"/>
    <w:rsid w:val="002D63C2"/>
    <w:rsid w:val="002D7738"/>
    <w:rsid w:val="002E0745"/>
    <w:rsid w:val="002E0D5E"/>
    <w:rsid w:val="002E1F00"/>
    <w:rsid w:val="002E2DF6"/>
    <w:rsid w:val="002E415C"/>
    <w:rsid w:val="002E7865"/>
    <w:rsid w:val="002F0858"/>
    <w:rsid w:val="002F4329"/>
    <w:rsid w:val="002F5879"/>
    <w:rsid w:val="002F651F"/>
    <w:rsid w:val="002F6A75"/>
    <w:rsid w:val="00301392"/>
    <w:rsid w:val="00301581"/>
    <w:rsid w:val="00302DCA"/>
    <w:rsid w:val="00303ECD"/>
    <w:rsid w:val="003049A3"/>
    <w:rsid w:val="00305926"/>
    <w:rsid w:val="00305CEA"/>
    <w:rsid w:val="003061B5"/>
    <w:rsid w:val="00307601"/>
    <w:rsid w:val="003112E6"/>
    <w:rsid w:val="003116C8"/>
    <w:rsid w:val="00313EFE"/>
    <w:rsid w:val="0031496D"/>
    <w:rsid w:val="00315393"/>
    <w:rsid w:val="00315989"/>
    <w:rsid w:val="00316301"/>
    <w:rsid w:val="00320228"/>
    <w:rsid w:val="00321C1D"/>
    <w:rsid w:val="00325746"/>
    <w:rsid w:val="00326671"/>
    <w:rsid w:val="00326D03"/>
    <w:rsid w:val="003333C6"/>
    <w:rsid w:val="00340396"/>
    <w:rsid w:val="0034111A"/>
    <w:rsid w:val="00341775"/>
    <w:rsid w:val="00341E31"/>
    <w:rsid w:val="0034223F"/>
    <w:rsid w:val="00342748"/>
    <w:rsid w:val="0034343F"/>
    <w:rsid w:val="00343963"/>
    <w:rsid w:val="00343B01"/>
    <w:rsid w:val="00345AB9"/>
    <w:rsid w:val="003463DD"/>
    <w:rsid w:val="0034778E"/>
    <w:rsid w:val="003478FC"/>
    <w:rsid w:val="00351D3C"/>
    <w:rsid w:val="0035359C"/>
    <w:rsid w:val="00353DC1"/>
    <w:rsid w:val="00354800"/>
    <w:rsid w:val="00357E96"/>
    <w:rsid w:val="00360A59"/>
    <w:rsid w:val="00362CF0"/>
    <w:rsid w:val="00363F9A"/>
    <w:rsid w:val="00365240"/>
    <w:rsid w:val="0036551C"/>
    <w:rsid w:val="003724AD"/>
    <w:rsid w:val="00373F01"/>
    <w:rsid w:val="003753BF"/>
    <w:rsid w:val="003756FD"/>
    <w:rsid w:val="00377417"/>
    <w:rsid w:val="00377680"/>
    <w:rsid w:val="00381322"/>
    <w:rsid w:val="003824F6"/>
    <w:rsid w:val="0038290D"/>
    <w:rsid w:val="00382E3C"/>
    <w:rsid w:val="00383221"/>
    <w:rsid w:val="00386DE4"/>
    <w:rsid w:val="003902F3"/>
    <w:rsid w:val="003910AD"/>
    <w:rsid w:val="00393BE2"/>
    <w:rsid w:val="00394994"/>
    <w:rsid w:val="00395CFB"/>
    <w:rsid w:val="00396A5E"/>
    <w:rsid w:val="003972D8"/>
    <w:rsid w:val="003A2791"/>
    <w:rsid w:val="003A2FAC"/>
    <w:rsid w:val="003A3862"/>
    <w:rsid w:val="003A451F"/>
    <w:rsid w:val="003A6A4D"/>
    <w:rsid w:val="003A7A19"/>
    <w:rsid w:val="003B0C08"/>
    <w:rsid w:val="003B29B7"/>
    <w:rsid w:val="003B2DCF"/>
    <w:rsid w:val="003B3D86"/>
    <w:rsid w:val="003B3E97"/>
    <w:rsid w:val="003B7998"/>
    <w:rsid w:val="003C1180"/>
    <w:rsid w:val="003C1B08"/>
    <w:rsid w:val="003C2AC2"/>
    <w:rsid w:val="003C3009"/>
    <w:rsid w:val="003C31DE"/>
    <w:rsid w:val="003C3B8B"/>
    <w:rsid w:val="003C64FB"/>
    <w:rsid w:val="003C77EF"/>
    <w:rsid w:val="003C7B12"/>
    <w:rsid w:val="003D0927"/>
    <w:rsid w:val="003D09F3"/>
    <w:rsid w:val="003D0AB1"/>
    <w:rsid w:val="003D0F71"/>
    <w:rsid w:val="003D168C"/>
    <w:rsid w:val="003D1CE2"/>
    <w:rsid w:val="003D1D0F"/>
    <w:rsid w:val="003D3158"/>
    <w:rsid w:val="003D5B4E"/>
    <w:rsid w:val="003D6912"/>
    <w:rsid w:val="003D6A5D"/>
    <w:rsid w:val="003D6DB6"/>
    <w:rsid w:val="003E03D2"/>
    <w:rsid w:val="003E1327"/>
    <w:rsid w:val="003E3E09"/>
    <w:rsid w:val="003E5CA1"/>
    <w:rsid w:val="003E74E4"/>
    <w:rsid w:val="003F188D"/>
    <w:rsid w:val="003F3045"/>
    <w:rsid w:val="003F4CD6"/>
    <w:rsid w:val="003F546D"/>
    <w:rsid w:val="00402467"/>
    <w:rsid w:val="004028C6"/>
    <w:rsid w:val="00402D8E"/>
    <w:rsid w:val="00404BAF"/>
    <w:rsid w:val="00406040"/>
    <w:rsid w:val="0040617C"/>
    <w:rsid w:val="00406D52"/>
    <w:rsid w:val="00407C33"/>
    <w:rsid w:val="00416EBF"/>
    <w:rsid w:val="0041766B"/>
    <w:rsid w:val="00417A5F"/>
    <w:rsid w:val="00420B1D"/>
    <w:rsid w:val="004211DE"/>
    <w:rsid w:val="00421FD3"/>
    <w:rsid w:val="00424A6B"/>
    <w:rsid w:val="00424E2E"/>
    <w:rsid w:val="004307B9"/>
    <w:rsid w:val="00430872"/>
    <w:rsid w:val="0043286E"/>
    <w:rsid w:val="00433211"/>
    <w:rsid w:val="004333EE"/>
    <w:rsid w:val="00435F67"/>
    <w:rsid w:val="00436874"/>
    <w:rsid w:val="0043697B"/>
    <w:rsid w:val="00436B12"/>
    <w:rsid w:val="0043706A"/>
    <w:rsid w:val="0044014C"/>
    <w:rsid w:val="004422FA"/>
    <w:rsid w:val="00442FA9"/>
    <w:rsid w:val="00446D04"/>
    <w:rsid w:val="00447D3C"/>
    <w:rsid w:val="00451500"/>
    <w:rsid w:val="00453DEC"/>
    <w:rsid w:val="004543D6"/>
    <w:rsid w:val="00454E4F"/>
    <w:rsid w:val="004568A4"/>
    <w:rsid w:val="00456CE8"/>
    <w:rsid w:val="00457045"/>
    <w:rsid w:val="0045746F"/>
    <w:rsid w:val="00460500"/>
    <w:rsid w:val="0046142A"/>
    <w:rsid w:val="00461BE7"/>
    <w:rsid w:val="0046795E"/>
    <w:rsid w:val="00470355"/>
    <w:rsid w:val="004713EE"/>
    <w:rsid w:val="004726F8"/>
    <w:rsid w:val="00475B63"/>
    <w:rsid w:val="00475C6A"/>
    <w:rsid w:val="00476509"/>
    <w:rsid w:val="00476A63"/>
    <w:rsid w:val="00477315"/>
    <w:rsid w:val="00480439"/>
    <w:rsid w:val="004809D3"/>
    <w:rsid w:val="00482108"/>
    <w:rsid w:val="00482253"/>
    <w:rsid w:val="0048279D"/>
    <w:rsid w:val="00483767"/>
    <w:rsid w:val="0049119F"/>
    <w:rsid w:val="0049293E"/>
    <w:rsid w:val="00492D02"/>
    <w:rsid w:val="00494E13"/>
    <w:rsid w:val="00495296"/>
    <w:rsid w:val="004A0A62"/>
    <w:rsid w:val="004A0CC5"/>
    <w:rsid w:val="004A246E"/>
    <w:rsid w:val="004A28AD"/>
    <w:rsid w:val="004A2D37"/>
    <w:rsid w:val="004A3A17"/>
    <w:rsid w:val="004A3A44"/>
    <w:rsid w:val="004A4689"/>
    <w:rsid w:val="004A489A"/>
    <w:rsid w:val="004A4BD9"/>
    <w:rsid w:val="004A4D4D"/>
    <w:rsid w:val="004A5509"/>
    <w:rsid w:val="004A61F1"/>
    <w:rsid w:val="004B13E7"/>
    <w:rsid w:val="004B17EF"/>
    <w:rsid w:val="004B2EFB"/>
    <w:rsid w:val="004B4326"/>
    <w:rsid w:val="004B6B50"/>
    <w:rsid w:val="004B6DBB"/>
    <w:rsid w:val="004B7F81"/>
    <w:rsid w:val="004C0A10"/>
    <w:rsid w:val="004C1666"/>
    <w:rsid w:val="004C239C"/>
    <w:rsid w:val="004C2410"/>
    <w:rsid w:val="004C283E"/>
    <w:rsid w:val="004C39F4"/>
    <w:rsid w:val="004C4EB2"/>
    <w:rsid w:val="004D0604"/>
    <w:rsid w:val="004D21AC"/>
    <w:rsid w:val="004D4C62"/>
    <w:rsid w:val="004D5E2F"/>
    <w:rsid w:val="004D6171"/>
    <w:rsid w:val="004E39D9"/>
    <w:rsid w:val="004E43C9"/>
    <w:rsid w:val="004E7806"/>
    <w:rsid w:val="004E79CB"/>
    <w:rsid w:val="004F04AE"/>
    <w:rsid w:val="004F0E63"/>
    <w:rsid w:val="004F30DB"/>
    <w:rsid w:val="004F345B"/>
    <w:rsid w:val="004F5C49"/>
    <w:rsid w:val="00501B36"/>
    <w:rsid w:val="005042F0"/>
    <w:rsid w:val="00505AE7"/>
    <w:rsid w:val="00505AF9"/>
    <w:rsid w:val="0051018C"/>
    <w:rsid w:val="0051290D"/>
    <w:rsid w:val="00513517"/>
    <w:rsid w:val="00515EFA"/>
    <w:rsid w:val="00517B7C"/>
    <w:rsid w:val="005214A6"/>
    <w:rsid w:val="0052372D"/>
    <w:rsid w:val="00523B33"/>
    <w:rsid w:val="005240BC"/>
    <w:rsid w:val="005244A9"/>
    <w:rsid w:val="00524B85"/>
    <w:rsid w:val="00525A56"/>
    <w:rsid w:val="00526F73"/>
    <w:rsid w:val="005275E6"/>
    <w:rsid w:val="0053006F"/>
    <w:rsid w:val="00530693"/>
    <w:rsid w:val="0053106B"/>
    <w:rsid w:val="00531FF4"/>
    <w:rsid w:val="00533A0B"/>
    <w:rsid w:val="00534568"/>
    <w:rsid w:val="00535295"/>
    <w:rsid w:val="005409C2"/>
    <w:rsid w:val="005508FA"/>
    <w:rsid w:val="0055147A"/>
    <w:rsid w:val="0055197E"/>
    <w:rsid w:val="00554FC3"/>
    <w:rsid w:val="005557D1"/>
    <w:rsid w:val="0055633E"/>
    <w:rsid w:val="0055724E"/>
    <w:rsid w:val="00560AC4"/>
    <w:rsid w:val="00560EFE"/>
    <w:rsid w:val="00562DCD"/>
    <w:rsid w:val="005654A1"/>
    <w:rsid w:val="00565ABB"/>
    <w:rsid w:val="00570AB5"/>
    <w:rsid w:val="005723D9"/>
    <w:rsid w:val="00572E09"/>
    <w:rsid w:val="0057488F"/>
    <w:rsid w:val="005761EA"/>
    <w:rsid w:val="005806C3"/>
    <w:rsid w:val="0058133F"/>
    <w:rsid w:val="005832E6"/>
    <w:rsid w:val="005836C9"/>
    <w:rsid w:val="005843C0"/>
    <w:rsid w:val="00584F90"/>
    <w:rsid w:val="00585BB8"/>
    <w:rsid w:val="00585DB2"/>
    <w:rsid w:val="0058630A"/>
    <w:rsid w:val="00586CC4"/>
    <w:rsid w:val="00590886"/>
    <w:rsid w:val="0059170E"/>
    <w:rsid w:val="005947B5"/>
    <w:rsid w:val="0059795B"/>
    <w:rsid w:val="005A1202"/>
    <w:rsid w:val="005A13DB"/>
    <w:rsid w:val="005A3B36"/>
    <w:rsid w:val="005A4DD2"/>
    <w:rsid w:val="005A6027"/>
    <w:rsid w:val="005A68FF"/>
    <w:rsid w:val="005A6CC0"/>
    <w:rsid w:val="005B2375"/>
    <w:rsid w:val="005B2DB7"/>
    <w:rsid w:val="005B3CB6"/>
    <w:rsid w:val="005B4C0A"/>
    <w:rsid w:val="005B7D0A"/>
    <w:rsid w:val="005C09FC"/>
    <w:rsid w:val="005C4493"/>
    <w:rsid w:val="005C7647"/>
    <w:rsid w:val="005D02C5"/>
    <w:rsid w:val="005D072E"/>
    <w:rsid w:val="005D1530"/>
    <w:rsid w:val="005D22EB"/>
    <w:rsid w:val="005D3AFD"/>
    <w:rsid w:val="005D44AE"/>
    <w:rsid w:val="005D7BDC"/>
    <w:rsid w:val="005E1202"/>
    <w:rsid w:val="005E2B83"/>
    <w:rsid w:val="005E41B9"/>
    <w:rsid w:val="005F1CE0"/>
    <w:rsid w:val="005F391D"/>
    <w:rsid w:val="005F4934"/>
    <w:rsid w:val="005F5C2C"/>
    <w:rsid w:val="005F6760"/>
    <w:rsid w:val="005F715C"/>
    <w:rsid w:val="005F7A40"/>
    <w:rsid w:val="005F7A88"/>
    <w:rsid w:val="00604B63"/>
    <w:rsid w:val="00605A63"/>
    <w:rsid w:val="0060710C"/>
    <w:rsid w:val="006101DB"/>
    <w:rsid w:val="00610489"/>
    <w:rsid w:val="006110D1"/>
    <w:rsid w:val="0061153C"/>
    <w:rsid w:val="006122E9"/>
    <w:rsid w:val="006137E8"/>
    <w:rsid w:val="00614817"/>
    <w:rsid w:val="00614A23"/>
    <w:rsid w:val="00617A72"/>
    <w:rsid w:val="00620E6C"/>
    <w:rsid w:val="006262DA"/>
    <w:rsid w:val="00626AA3"/>
    <w:rsid w:val="006271B6"/>
    <w:rsid w:val="00627B58"/>
    <w:rsid w:val="0063185C"/>
    <w:rsid w:val="006408E9"/>
    <w:rsid w:val="00641F1D"/>
    <w:rsid w:val="00643A66"/>
    <w:rsid w:val="00647364"/>
    <w:rsid w:val="00647C39"/>
    <w:rsid w:val="00653FF7"/>
    <w:rsid w:val="006559C1"/>
    <w:rsid w:val="00656708"/>
    <w:rsid w:val="00660D62"/>
    <w:rsid w:val="00663F77"/>
    <w:rsid w:val="0066463B"/>
    <w:rsid w:val="00665DD4"/>
    <w:rsid w:val="006662AB"/>
    <w:rsid w:val="00674BB0"/>
    <w:rsid w:val="00674D93"/>
    <w:rsid w:val="006754B3"/>
    <w:rsid w:val="00676CE8"/>
    <w:rsid w:val="006821DD"/>
    <w:rsid w:val="00683751"/>
    <w:rsid w:val="00683D7F"/>
    <w:rsid w:val="00685012"/>
    <w:rsid w:val="00685320"/>
    <w:rsid w:val="0069020B"/>
    <w:rsid w:val="006903FD"/>
    <w:rsid w:val="00690621"/>
    <w:rsid w:val="00692132"/>
    <w:rsid w:val="0069229F"/>
    <w:rsid w:val="00692D35"/>
    <w:rsid w:val="00693CDA"/>
    <w:rsid w:val="00694186"/>
    <w:rsid w:val="006959E6"/>
    <w:rsid w:val="006970A2"/>
    <w:rsid w:val="006A01BD"/>
    <w:rsid w:val="006A0CD2"/>
    <w:rsid w:val="006A1A92"/>
    <w:rsid w:val="006A3D9B"/>
    <w:rsid w:val="006A407C"/>
    <w:rsid w:val="006A492E"/>
    <w:rsid w:val="006A5109"/>
    <w:rsid w:val="006A56B6"/>
    <w:rsid w:val="006A665B"/>
    <w:rsid w:val="006B395C"/>
    <w:rsid w:val="006B3C57"/>
    <w:rsid w:val="006B40BD"/>
    <w:rsid w:val="006B4739"/>
    <w:rsid w:val="006B5F82"/>
    <w:rsid w:val="006B6EC3"/>
    <w:rsid w:val="006C074B"/>
    <w:rsid w:val="006C20B7"/>
    <w:rsid w:val="006C2E64"/>
    <w:rsid w:val="006C358A"/>
    <w:rsid w:val="006C4250"/>
    <w:rsid w:val="006D2531"/>
    <w:rsid w:val="006D31E4"/>
    <w:rsid w:val="006D3E8D"/>
    <w:rsid w:val="006D4A6B"/>
    <w:rsid w:val="006D5628"/>
    <w:rsid w:val="006D7E2C"/>
    <w:rsid w:val="006D7F32"/>
    <w:rsid w:val="006E1AFF"/>
    <w:rsid w:val="006E234E"/>
    <w:rsid w:val="006E596D"/>
    <w:rsid w:val="006F1C73"/>
    <w:rsid w:val="006F1DE5"/>
    <w:rsid w:val="006F2220"/>
    <w:rsid w:val="006F522C"/>
    <w:rsid w:val="006F7883"/>
    <w:rsid w:val="006F7AD5"/>
    <w:rsid w:val="00702337"/>
    <w:rsid w:val="00702F32"/>
    <w:rsid w:val="007052DE"/>
    <w:rsid w:val="0070572D"/>
    <w:rsid w:val="00705E1E"/>
    <w:rsid w:val="00706219"/>
    <w:rsid w:val="00706F08"/>
    <w:rsid w:val="007073E9"/>
    <w:rsid w:val="0071037A"/>
    <w:rsid w:val="00710606"/>
    <w:rsid w:val="00711FF9"/>
    <w:rsid w:val="00715344"/>
    <w:rsid w:val="007179A3"/>
    <w:rsid w:val="00721913"/>
    <w:rsid w:val="0072479B"/>
    <w:rsid w:val="00724FD4"/>
    <w:rsid w:val="00726632"/>
    <w:rsid w:val="007309D3"/>
    <w:rsid w:val="00732919"/>
    <w:rsid w:val="00733CFF"/>
    <w:rsid w:val="00733F24"/>
    <w:rsid w:val="00734314"/>
    <w:rsid w:val="0073447C"/>
    <w:rsid w:val="00735631"/>
    <w:rsid w:val="0073706C"/>
    <w:rsid w:val="0073782B"/>
    <w:rsid w:val="00741DF0"/>
    <w:rsid w:val="00743C57"/>
    <w:rsid w:val="00743CDD"/>
    <w:rsid w:val="007444DE"/>
    <w:rsid w:val="007458FD"/>
    <w:rsid w:val="00746370"/>
    <w:rsid w:val="00747C8A"/>
    <w:rsid w:val="0075170E"/>
    <w:rsid w:val="00754F20"/>
    <w:rsid w:val="00757CA8"/>
    <w:rsid w:val="00760331"/>
    <w:rsid w:val="00760C0D"/>
    <w:rsid w:val="0076106B"/>
    <w:rsid w:val="00761685"/>
    <w:rsid w:val="00761D5C"/>
    <w:rsid w:val="007624CA"/>
    <w:rsid w:val="00764543"/>
    <w:rsid w:val="007645EF"/>
    <w:rsid w:val="00766662"/>
    <w:rsid w:val="00767CCD"/>
    <w:rsid w:val="00770F4D"/>
    <w:rsid w:val="00773C89"/>
    <w:rsid w:val="00774C01"/>
    <w:rsid w:val="007763CC"/>
    <w:rsid w:val="00776776"/>
    <w:rsid w:val="0077751F"/>
    <w:rsid w:val="00777CA0"/>
    <w:rsid w:val="00781DE0"/>
    <w:rsid w:val="00786EE6"/>
    <w:rsid w:val="00790CD8"/>
    <w:rsid w:val="0079146E"/>
    <w:rsid w:val="0079196C"/>
    <w:rsid w:val="00793E45"/>
    <w:rsid w:val="0079589B"/>
    <w:rsid w:val="007971D2"/>
    <w:rsid w:val="00797F40"/>
    <w:rsid w:val="007A2171"/>
    <w:rsid w:val="007A43C3"/>
    <w:rsid w:val="007A64FF"/>
    <w:rsid w:val="007A719D"/>
    <w:rsid w:val="007A7AC8"/>
    <w:rsid w:val="007B3667"/>
    <w:rsid w:val="007B468B"/>
    <w:rsid w:val="007B639D"/>
    <w:rsid w:val="007C0859"/>
    <w:rsid w:val="007C0A68"/>
    <w:rsid w:val="007C0BA0"/>
    <w:rsid w:val="007C1DE0"/>
    <w:rsid w:val="007C3FD9"/>
    <w:rsid w:val="007C44FF"/>
    <w:rsid w:val="007D2575"/>
    <w:rsid w:val="007D2A27"/>
    <w:rsid w:val="007D3C36"/>
    <w:rsid w:val="007D4459"/>
    <w:rsid w:val="007D4D60"/>
    <w:rsid w:val="007D5BF9"/>
    <w:rsid w:val="007D610A"/>
    <w:rsid w:val="007D6597"/>
    <w:rsid w:val="007E2432"/>
    <w:rsid w:val="007E2C66"/>
    <w:rsid w:val="007E4660"/>
    <w:rsid w:val="007E4836"/>
    <w:rsid w:val="007E7E67"/>
    <w:rsid w:val="007F030C"/>
    <w:rsid w:val="007F11F2"/>
    <w:rsid w:val="007F1371"/>
    <w:rsid w:val="007F1E2C"/>
    <w:rsid w:val="007F2996"/>
    <w:rsid w:val="007F3627"/>
    <w:rsid w:val="007F3B40"/>
    <w:rsid w:val="007F4CCE"/>
    <w:rsid w:val="007F56C3"/>
    <w:rsid w:val="007F5CCF"/>
    <w:rsid w:val="007F6DB0"/>
    <w:rsid w:val="007F79D5"/>
    <w:rsid w:val="00800124"/>
    <w:rsid w:val="00800A73"/>
    <w:rsid w:val="0080127C"/>
    <w:rsid w:val="00801333"/>
    <w:rsid w:val="008014D8"/>
    <w:rsid w:val="00802676"/>
    <w:rsid w:val="00804C30"/>
    <w:rsid w:val="008053CE"/>
    <w:rsid w:val="00805C41"/>
    <w:rsid w:val="00806771"/>
    <w:rsid w:val="00810865"/>
    <w:rsid w:val="0081143F"/>
    <w:rsid w:val="00813029"/>
    <w:rsid w:val="00814991"/>
    <w:rsid w:val="00817D9F"/>
    <w:rsid w:val="00821843"/>
    <w:rsid w:val="008251F7"/>
    <w:rsid w:val="00826352"/>
    <w:rsid w:val="0082696D"/>
    <w:rsid w:val="008302B3"/>
    <w:rsid w:val="00830CA8"/>
    <w:rsid w:val="008335E7"/>
    <w:rsid w:val="00834FAE"/>
    <w:rsid w:val="00840B84"/>
    <w:rsid w:val="0084137F"/>
    <w:rsid w:val="00843792"/>
    <w:rsid w:val="008444EA"/>
    <w:rsid w:val="00844D1E"/>
    <w:rsid w:val="0084594C"/>
    <w:rsid w:val="00845FE0"/>
    <w:rsid w:val="00847773"/>
    <w:rsid w:val="00847D4E"/>
    <w:rsid w:val="00847E69"/>
    <w:rsid w:val="00851592"/>
    <w:rsid w:val="0085278C"/>
    <w:rsid w:val="00854B03"/>
    <w:rsid w:val="00855124"/>
    <w:rsid w:val="00855CA2"/>
    <w:rsid w:val="00856B3F"/>
    <w:rsid w:val="00860283"/>
    <w:rsid w:val="008612B8"/>
    <w:rsid w:val="00861817"/>
    <w:rsid w:val="0086216B"/>
    <w:rsid w:val="00867452"/>
    <w:rsid w:val="008678C7"/>
    <w:rsid w:val="00867AB0"/>
    <w:rsid w:val="008718C8"/>
    <w:rsid w:val="00872080"/>
    <w:rsid w:val="008744AB"/>
    <w:rsid w:val="008746A4"/>
    <w:rsid w:val="008757EB"/>
    <w:rsid w:val="00877682"/>
    <w:rsid w:val="008825E4"/>
    <w:rsid w:val="00886353"/>
    <w:rsid w:val="00886E81"/>
    <w:rsid w:val="00890069"/>
    <w:rsid w:val="00891894"/>
    <w:rsid w:val="00893213"/>
    <w:rsid w:val="008932B7"/>
    <w:rsid w:val="00893D50"/>
    <w:rsid w:val="00893EE7"/>
    <w:rsid w:val="008945B3"/>
    <w:rsid w:val="00894BBC"/>
    <w:rsid w:val="00894F83"/>
    <w:rsid w:val="008A0BDB"/>
    <w:rsid w:val="008A0F55"/>
    <w:rsid w:val="008A2123"/>
    <w:rsid w:val="008A23F5"/>
    <w:rsid w:val="008A6B3B"/>
    <w:rsid w:val="008A6DE3"/>
    <w:rsid w:val="008B0150"/>
    <w:rsid w:val="008B1974"/>
    <w:rsid w:val="008B4751"/>
    <w:rsid w:val="008B568D"/>
    <w:rsid w:val="008B5FF4"/>
    <w:rsid w:val="008B6004"/>
    <w:rsid w:val="008B62AF"/>
    <w:rsid w:val="008C08B2"/>
    <w:rsid w:val="008C0F14"/>
    <w:rsid w:val="008C3F7A"/>
    <w:rsid w:val="008C48EF"/>
    <w:rsid w:val="008C4C02"/>
    <w:rsid w:val="008D0245"/>
    <w:rsid w:val="008D0474"/>
    <w:rsid w:val="008D5012"/>
    <w:rsid w:val="008D7F10"/>
    <w:rsid w:val="008E2094"/>
    <w:rsid w:val="008E4248"/>
    <w:rsid w:val="008E49DF"/>
    <w:rsid w:val="008E654D"/>
    <w:rsid w:val="008E72D1"/>
    <w:rsid w:val="008E7E54"/>
    <w:rsid w:val="008F087C"/>
    <w:rsid w:val="008F21B6"/>
    <w:rsid w:val="008F2A97"/>
    <w:rsid w:val="008F353B"/>
    <w:rsid w:val="008F489F"/>
    <w:rsid w:val="008F5B7E"/>
    <w:rsid w:val="008F6676"/>
    <w:rsid w:val="008F692F"/>
    <w:rsid w:val="00902C6C"/>
    <w:rsid w:val="00903A24"/>
    <w:rsid w:val="0090442E"/>
    <w:rsid w:val="00904FF9"/>
    <w:rsid w:val="00905DEA"/>
    <w:rsid w:val="009070D1"/>
    <w:rsid w:val="00907713"/>
    <w:rsid w:val="009108D6"/>
    <w:rsid w:val="00912065"/>
    <w:rsid w:val="0091216B"/>
    <w:rsid w:val="00912E18"/>
    <w:rsid w:val="00914317"/>
    <w:rsid w:val="00914CE6"/>
    <w:rsid w:val="00916762"/>
    <w:rsid w:val="009178A5"/>
    <w:rsid w:val="00920A1F"/>
    <w:rsid w:val="00921AC3"/>
    <w:rsid w:val="00922193"/>
    <w:rsid w:val="0092361B"/>
    <w:rsid w:val="00923CB9"/>
    <w:rsid w:val="0092404D"/>
    <w:rsid w:val="0092430F"/>
    <w:rsid w:val="00924F51"/>
    <w:rsid w:val="009252E7"/>
    <w:rsid w:val="009257C0"/>
    <w:rsid w:val="00930D9B"/>
    <w:rsid w:val="009310EE"/>
    <w:rsid w:val="0093223C"/>
    <w:rsid w:val="00933D31"/>
    <w:rsid w:val="009341A4"/>
    <w:rsid w:val="009343D2"/>
    <w:rsid w:val="00934614"/>
    <w:rsid w:val="00934698"/>
    <w:rsid w:val="00934E8A"/>
    <w:rsid w:val="009353EB"/>
    <w:rsid w:val="00935984"/>
    <w:rsid w:val="00935FBC"/>
    <w:rsid w:val="00937079"/>
    <w:rsid w:val="009403CF"/>
    <w:rsid w:val="00941577"/>
    <w:rsid w:val="009419E1"/>
    <w:rsid w:val="00941CC0"/>
    <w:rsid w:val="00941FDE"/>
    <w:rsid w:val="00942266"/>
    <w:rsid w:val="009444B7"/>
    <w:rsid w:val="0095095F"/>
    <w:rsid w:val="00950D29"/>
    <w:rsid w:val="00952D27"/>
    <w:rsid w:val="00952FE7"/>
    <w:rsid w:val="00953185"/>
    <w:rsid w:val="00955946"/>
    <w:rsid w:val="00955CEB"/>
    <w:rsid w:val="00955E5F"/>
    <w:rsid w:val="00957847"/>
    <w:rsid w:val="00957D9C"/>
    <w:rsid w:val="0096013D"/>
    <w:rsid w:val="00960875"/>
    <w:rsid w:val="00961206"/>
    <w:rsid w:val="00962138"/>
    <w:rsid w:val="009644BE"/>
    <w:rsid w:val="00965299"/>
    <w:rsid w:val="00965CAA"/>
    <w:rsid w:val="00965D74"/>
    <w:rsid w:val="00970C40"/>
    <w:rsid w:val="00971353"/>
    <w:rsid w:val="00972ED7"/>
    <w:rsid w:val="009741DE"/>
    <w:rsid w:val="00974B5E"/>
    <w:rsid w:val="00974F9A"/>
    <w:rsid w:val="009802DD"/>
    <w:rsid w:val="0098254F"/>
    <w:rsid w:val="00982FC5"/>
    <w:rsid w:val="00984017"/>
    <w:rsid w:val="00986FC1"/>
    <w:rsid w:val="00987D06"/>
    <w:rsid w:val="009917A8"/>
    <w:rsid w:val="009917EF"/>
    <w:rsid w:val="00992ED9"/>
    <w:rsid w:val="00994F6B"/>
    <w:rsid w:val="0099603F"/>
    <w:rsid w:val="00997959"/>
    <w:rsid w:val="009A0623"/>
    <w:rsid w:val="009A3960"/>
    <w:rsid w:val="009A422E"/>
    <w:rsid w:val="009A473B"/>
    <w:rsid w:val="009A4CAF"/>
    <w:rsid w:val="009A5902"/>
    <w:rsid w:val="009B19A2"/>
    <w:rsid w:val="009B24A9"/>
    <w:rsid w:val="009B273F"/>
    <w:rsid w:val="009B4B52"/>
    <w:rsid w:val="009B53F3"/>
    <w:rsid w:val="009B5569"/>
    <w:rsid w:val="009B725E"/>
    <w:rsid w:val="009B7610"/>
    <w:rsid w:val="009B7D2F"/>
    <w:rsid w:val="009C0894"/>
    <w:rsid w:val="009C1F25"/>
    <w:rsid w:val="009C2A1E"/>
    <w:rsid w:val="009C2F53"/>
    <w:rsid w:val="009C3D86"/>
    <w:rsid w:val="009C58DF"/>
    <w:rsid w:val="009C7B86"/>
    <w:rsid w:val="009C7E7A"/>
    <w:rsid w:val="009D11A0"/>
    <w:rsid w:val="009D15C6"/>
    <w:rsid w:val="009D2AEC"/>
    <w:rsid w:val="009D403B"/>
    <w:rsid w:val="009D5046"/>
    <w:rsid w:val="009D73B8"/>
    <w:rsid w:val="009E0682"/>
    <w:rsid w:val="009E1A74"/>
    <w:rsid w:val="009E337A"/>
    <w:rsid w:val="009E5ACF"/>
    <w:rsid w:val="009E64BB"/>
    <w:rsid w:val="009E69E0"/>
    <w:rsid w:val="009E7951"/>
    <w:rsid w:val="009F1885"/>
    <w:rsid w:val="009F2B3F"/>
    <w:rsid w:val="009F34B9"/>
    <w:rsid w:val="009F36F3"/>
    <w:rsid w:val="009F39C2"/>
    <w:rsid w:val="009F70E9"/>
    <w:rsid w:val="00A004BA"/>
    <w:rsid w:val="00A015E9"/>
    <w:rsid w:val="00A023D4"/>
    <w:rsid w:val="00A0385D"/>
    <w:rsid w:val="00A04EBE"/>
    <w:rsid w:val="00A05AAA"/>
    <w:rsid w:val="00A06628"/>
    <w:rsid w:val="00A107F8"/>
    <w:rsid w:val="00A10B68"/>
    <w:rsid w:val="00A126A6"/>
    <w:rsid w:val="00A14DF5"/>
    <w:rsid w:val="00A16073"/>
    <w:rsid w:val="00A16E6E"/>
    <w:rsid w:val="00A17BBE"/>
    <w:rsid w:val="00A21209"/>
    <w:rsid w:val="00A2158F"/>
    <w:rsid w:val="00A21A37"/>
    <w:rsid w:val="00A22BCE"/>
    <w:rsid w:val="00A24240"/>
    <w:rsid w:val="00A25C3C"/>
    <w:rsid w:val="00A25F8D"/>
    <w:rsid w:val="00A276F3"/>
    <w:rsid w:val="00A324B6"/>
    <w:rsid w:val="00A33938"/>
    <w:rsid w:val="00A34E9D"/>
    <w:rsid w:val="00A34F61"/>
    <w:rsid w:val="00A37A52"/>
    <w:rsid w:val="00A40A79"/>
    <w:rsid w:val="00A420C1"/>
    <w:rsid w:val="00A4389E"/>
    <w:rsid w:val="00A43B39"/>
    <w:rsid w:val="00A44591"/>
    <w:rsid w:val="00A44AB7"/>
    <w:rsid w:val="00A46A4D"/>
    <w:rsid w:val="00A46E39"/>
    <w:rsid w:val="00A47A5F"/>
    <w:rsid w:val="00A50688"/>
    <w:rsid w:val="00A50B3B"/>
    <w:rsid w:val="00A50CBC"/>
    <w:rsid w:val="00A50D2F"/>
    <w:rsid w:val="00A51BA1"/>
    <w:rsid w:val="00A51CD6"/>
    <w:rsid w:val="00A52F1F"/>
    <w:rsid w:val="00A535F4"/>
    <w:rsid w:val="00A55A0E"/>
    <w:rsid w:val="00A55DBD"/>
    <w:rsid w:val="00A6032F"/>
    <w:rsid w:val="00A60971"/>
    <w:rsid w:val="00A61883"/>
    <w:rsid w:val="00A6192A"/>
    <w:rsid w:val="00A61A42"/>
    <w:rsid w:val="00A635A7"/>
    <w:rsid w:val="00A63738"/>
    <w:rsid w:val="00A64D86"/>
    <w:rsid w:val="00A64E5C"/>
    <w:rsid w:val="00A660AE"/>
    <w:rsid w:val="00A668EB"/>
    <w:rsid w:val="00A67E3E"/>
    <w:rsid w:val="00A73718"/>
    <w:rsid w:val="00A744EA"/>
    <w:rsid w:val="00A75E9D"/>
    <w:rsid w:val="00A816E6"/>
    <w:rsid w:val="00A84E6F"/>
    <w:rsid w:val="00A85E24"/>
    <w:rsid w:val="00A8637A"/>
    <w:rsid w:val="00A870AC"/>
    <w:rsid w:val="00A9287D"/>
    <w:rsid w:val="00A95B6D"/>
    <w:rsid w:val="00A964F7"/>
    <w:rsid w:val="00AA0C56"/>
    <w:rsid w:val="00AA4702"/>
    <w:rsid w:val="00AA6253"/>
    <w:rsid w:val="00AA6BA2"/>
    <w:rsid w:val="00AA7B2F"/>
    <w:rsid w:val="00AA7E8B"/>
    <w:rsid w:val="00AB0918"/>
    <w:rsid w:val="00AB17F6"/>
    <w:rsid w:val="00AB33F6"/>
    <w:rsid w:val="00AB3CB9"/>
    <w:rsid w:val="00AB510E"/>
    <w:rsid w:val="00AB6ADC"/>
    <w:rsid w:val="00AB6E1C"/>
    <w:rsid w:val="00AB7067"/>
    <w:rsid w:val="00AC078C"/>
    <w:rsid w:val="00AC3BD4"/>
    <w:rsid w:val="00AC3C01"/>
    <w:rsid w:val="00AC4BB5"/>
    <w:rsid w:val="00AC56F8"/>
    <w:rsid w:val="00AD1FEE"/>
    <w:rsid w:val="00AD31A0"/>
    <w:rsid w:val="00AD48D0"/>
    <w:rsid w:val="00AD5603"/>
    <w:rsid w:val="00AE0B08"/>
    <w:rsid w:val="00AE1190"/>
    <w:rsid w:val="00AE2114"/>
    <w:rsid w:val="00AE2BEA"/>
    <w:rsid w:val="00AE65BE"/>
    <w:rsid w:val="00AE66B4"/>
    <w:rsid w:val="00AE7B48"/>
    <w:rsid w:val="00AE7DE6"/>
    <w:rsid w:val="00AE7FD8"/>
    <w:rsid w:val="00AF0CB5"/>
    <w:rsid w:val="00AF1630"/>
    <w:rsid w:val="00AF2CB4"/>
    <w:rsid w:val="00AF3E31"/>
    <w:rsid w:val="00AF3E36"/>
    <w:rsid w:val="00AF578B"/>
    <w:rsid w:val="00AF5C92"/>
    <w:rsid w:val="00B00291"/>
    <w:rsid w:val="00B0068B"/>
    <w:rsid w:val="00B016ED"/>
    <w:rsid w:val="00B11270"/>
    <w:rsid w:val="00B118B6"/>
    <w:rsid w:val="00B1254F"/>
    <w:rsid w:val="00B138A3"/>
    <w:rsid w:val="00B15090"/>
    <w:rsid w:val="00B20FAA"/>
    <w:rsid w:val="00B24081"/>
    <w:rsid w:val="00B270CA"/>
    <w:rsid w:val="00B307B7"/>
    <w:rsid w:val="00B32086"/>
    <w:rsid w:val="00B32088"/>
    <w:rsid w:val="00B32992"/>
    <w:rsid w:val="00B32E1E"/>
    <w:rsid w:val="00B33926"/>
    <w:rsid w:val="00B34413"/>
    <w:rsid w:val="00B35178"/>
    <w:rsid w:val="00B3563C"/>
    <w:rsid w:val="00B374AA"/>
    <w:rsid w:val="00B37822"/>
    <w:rsid w:val="00B37CCB"/>
    <w:rsid w:val="00B40212"/>
    <w:rsid w:val="00B404AA"/>
    <w:rsid w:val="00B4089F"/>
    <w:rsid w:val="00B40E65"/>
    <w:rsid w:val="00B41FA0"/>
    <w:rsid w:val="00B4202D"/>
    <w:rsid w:val="00B43310"/>
    <w:rsid w:val="00B471AB"/>
    <w:rsid w:val="00B47FEF"/>
    <w:rsid w:val="00B502E1"/>
    <w:rsid w:val="00B52066"/>
    <w:rsid w:val="00B523EF"/>
    <w:rsid w:val="00B532F8"/>
    <w:rsid w:val="00B54F12"/>
    <w:rsid w:val="00B57421"/>
    <w:rsid w:val="00B57790"/>
    <w:rsid w:val="00B57B4E"/>
    <w:rsid w:val="00B6118E"/>
    <w:rsid w:val="00B61549"/>
    <w:rsid w:val="00B6470E"/>
    <w:rsid w:val="00B66AE5"/>
    <w:rsid w:val="00B67B13"/>
    <w:rsid w:val="00B71ECD"/>
    <w:rsid w:val="00B728CC"/>
    <w:rsid w:val="00B73A58"/>
    <w:rsid w:val="00B7497C"/>
    <w:rsid w:val="00B80685"/>
    <w:rsid w:val="00B8158B"/>
    <w:rsid w:val="00B82928"/>
    <w:rsid w:val="00B83E71"/>
    <w:rsid w:val="00B843CF"/>
    <w:rsid w:val="00B86140"/>
    <w:rsid w:val="00B8634E"/>
    <w:rsid w:val="00B865A9"/>
    <w:rsid w:val="00B912BF"/>
    <w:rsid w:val="00B92316"/>
    <w:rsid w:val="00B9342A"/>
    <w:rsid w:val="00B94B06"/>
    <w:rsid w:val="00B97C02"/>
    <w:rsid w:val="00BA119E"/>
    <w:rsid w:val="00BA14A1"/>
    <w:rsid w:val="00BA2273"/>
    <w:rsid w:val="00BA49FF"/>
    <w:rsid w:val="00BA50BE"/>
    <w:rsid w:val="00BA5A1F"/>
    <w:rsid w:val="00BA5B95"/>
    <w:rsid w:val="00BB26BC"/>
    <w:rsid w:val="00BB43A9"/>
    <w:rsid w:val="00BB4488"/>
    <w:rsid w:val="00BB6044"/>
    <w:rsid w:val="00BB682B"/>
    <w:rsid w:val="00BB70B6"/>
    <w:rsid w:val="00BC1479"/>
    <w:rsid w:val="00BC3DA2"/>
    <w:rsid w:val="00BC7764"/>
    <w:rsid w:val="00BD0171"/>
    <w:rsid w:val="00BD2DF4"/>
    <w:rsid w:val="00BD34ED"/>
    <w:rsid w:val="00BD3CDA"/>
    <w:rsid w:val="00BD4F09"/>
    <w:rsid w:val="00BD747D"/>
    <w:rsid w:val="00BE0AD3"/>
    <w:rsid w:val="00BE115C"/>
    <w:rsid w:val="00BE29C6"/>
    <w:rsid w:val="00BE34E3"/>
    <w:rsid w:val="00BE3C08"/>
    <w:rsid w:val="00BE45C5"/>
    <w:rsid w:val="00BE6410"/>
    <w:rsid w:val="00BF2C7D"/>
    <w:rsid w:val="00BF560B"/>
    <w:rsid w:val="00BF651A"/>
    <w:rsid w:val="00BF6F9F"/>
    <w:rsid w:val="00BF7359"/>
    <w:rsid w:val="00BF770F"/>
    <w:rsid w:val="00BF797B"/>
    <w:rsid w:val="00C01AC9"/>
    <w:rsid w:val="00C021D1"/>
    <w:rsid w:val="00C026D9"/>
    <w:rsid w:val="00C04854"/>
    <w:rsid w:val="00C04ADF"/>
    <w:rsid w:val="00C057F6"/>
    <w:rsid w:val="00C15931"/>
    <w:rsid w:val="00C21ED7"/>
    <w:rsid w:val="00C2205A"/>
    <w:rsid w:val="00C225C5"/>
    <w:rsid w:val="00C23EF3"/>
    <w:rsid w:val="00C26CC7"/>
    <w:rsid w:val="00C27F10"/>
    <w:rsid w:val="00C32446"/>
    <w:rsid w:val="00C32BEA"/>
    <w:rsid w:val="00C342C8"/>
    <w:rsid w:val="00C3434E"/>
    <w:rsid w:val="00C3492F"/>
    <w:rsid w:val="00C352EB"/>
    <w:rsid w:val="00C37085"/>
    <w:rsid w:val="00C401DD"/>
    <w:rsid w:val="00C440A1"/>
    <w:rsid w:val="00C44608"/>
    <w:rsid w:val="00C46846"/>
    <w:rsid w:val="00C51451"/>
    <w:rsid w:val="00C55497"/>
    <w:rsid w:val="00C5703C"/>
    <w:rsid w:val="00C578DB"/>
    <w:rsid w:val="00C6078E"/>
    <w:rsid w:val="00C60FAB"/>
    <w:rsid w:val="00C61504"/>
    <w:rsid w:val="00C61772"/>
    <w:rsid w:val="00C623D8"/>
    <w:rsid w:val="00C667A8"/>
    <w:rsid w:val="00C66B67"/>
    <w:rsid w:val="00C67C61"/>
    <w:rsid w:val="00C67E93"/>
    <w:rsid w:val="00C67E9D"/>
    <w:rsid w:val="00C71E12"/>
    <w:rsid w:val="00C7402F"/>
    <w:rsid w:val="00C741B4"/>
    <w:rsid w:val="00C75689"/>
    <w:rsid w:val="00C76C3A"/>
    <w:rsid w:val="00C81BEC"/>
    <w:rsid w:val="00C839B2"/>
    <w:rsid w:val="00C83BE7"/>
    <w:rsid w:val="00C84B77"/>
    <w:rsid w:val="00C85F46"/>
    <w:rsid w:val="00C8774E"/>
    <w:rsid w:val="00C90B26"/>
    <w:rsid w:val="00C914F4"/>
    <w:rsid w:val="00C93850"/>
    <w:rsid w:val="00C93DC3"/>
    <w:rsid w:val="00C94741"/>
    <w:rsid w:val="00C94877"/>
    <w:rsid w:val="00C960E3"/>
    <w:rsid w:val="00C97726"/>
    <w:rsid w:val="00CA0362"/>
    <w:rsid w:val="00CA0A9C"/>
    <w:rsid w:val="00CA5944"/>
    <w:rsid w:val="00CA753F"/>
    <w:rsid w:val="00CB00CD"/>
    <w:rsid w:val="00CB125D"/>
    <w:rsid w:val="00CB4571"/>
    <w:rsid w:val="00CB4D38"/>
    <w:rsid w:val="00CB5526"/>
    <w:rsid w:val="00CB5F80"/>
    <w:rsid w:val="00CB6C90"/>
    <w:rsid w:val="00CC0502"/>
    <w:rsid w:val="00CC2521"/>
    <w:rsid w:val="00CC32F1"/>
    <w:rsid w:val="00CC600F"/>
    <w:rsid w:val="00CC63E1"/>
    <w:rsid w:val="00CC6DD1"/>
    <w:rsid w:val="00CC769A"/>
    <w:rsid w:val="00CD04EB"/>
    <w:rsid w:val="00CD2DEB"/>
    <w:rsid w:val="00CD3C57"/>
    <w:rsid w:val="00CD70F0"/>
    <w:rsid w:val="00CD7AD6"/>
    <w:rsid w:val="00CE2838"/>
    <w:rsid w:val="00CE2E61"/>
    <w:rsid w:val="00CE34CE"/>
    <w:rsid w:val="00CE4168"/>
    <w:rsid w:val="00CE5468"/>
    <w:rsid w:val="00CE5803"/>
    <w:rsid w:val="00CE61EA"/>
    <w:rsid w:val="00CE731D"/>
    <w:rsid w:val="00CE7CC4"/>
    <w:rsid w:val="00CF14E0"/>
    <w:rsid w:val="00CF5442"/>
    <w:rsid w:val="00CF56F9"/>
    <w:rsid w:val="00CF5775"/>
    <w:rsid w:val="00CF6187"/>
    <w:rsid w:val="00CF796C"/>
    <w:rsid w:val="00D000C2"/>
    <w:rsid w:val="00D006D7"/>
    <w:rsid w:val="00D00A1F"/>
    <w:rsid w:val="00D031FB"/>
    <w:rsid w:val="00D0327A"/>
    <w:rsid w:val="00D0417F"/>
    <w:rsid w:val="00D05452"/>
    <w:rsid w:val="00D06D5E"/>
    <w:rsid w:val="00D07E7C"/>
    <w:rsid w:val="00D104B6"/>
    <w:rsid w:val="00D127AA"/>
    <w:rsid w:val="00D129F3"/>
    <w:rsid w:val="00D140FA"/>
    <w:rsid w:val="00D158C0"/>
    <w:rsid w:val="00D15C84"/>
    <w:rsid w:val="00D161A1"/>
    <w:rsid w:val="00D2107D"/>
    <w:rsid w:val="00D25658"/>
    <w:rsid w:val="00D274FE"/>
    <w:rsid w:val="00D2760B"/>
    <w:rsid w:val="00D27CCD"/>
    <w:rsid w:val="00D30594"/>
    <w:rsid w:val="00D3360F"/>
    <w:rsid w:val="00D341B2"/>
    <w:rsid w:val="00D3529E"/>
    <w:rsid w:val="00D3532E"/>
    <w:rsid w:val="00D3546D"/>
    <w:rsid w:val="00D41597"/>
    <w:rsid w:val="00D4208A"/>
    <w:rsid w:val="00D43EF4"/>
    <w:rsid w:val="00D4489A"/>
    <w:rsid w:val="00D46E1B"/>
    <w:rsid w:val="00D474E4"/>
    <w:rsid w:val="00D5091A"/>
    <w:rsid w:val="00D52E69"/>
    <w:rsid w:val="00D54632"/>
    <w:rsid w:val="00D578B7"/>
    <w:rsid w:val="00D629C6"/>
    <w:rsid w:val="00D63DB3"/>
    <w:rsid w:val="00D64205"/>
    <w:rsid w:val="00D646EF"/>
    <w:rsid w:val="00D64A90"/>
    <w:rsid w:val="00D653D2"/>
    <w:rsid w:val="00D75200"/>
    <w:rsid w:val="00D75358"/>
    <w:rsid w:val="00D77E69"/>
    <w:rsid w:val="00D805FC"/>
    <w:rsid w:val="00D81E00"/>
    <w:rsid w:val="00D8249B"/>
    <w:rsid w:val="00D84A5F"/>
    <w:rsid w:val="00D874DC"/>
    <w:rsid w:val="00D90545"/>
    <w:rsid w:val="00D90B6F"/>
    <w:rsid w:val="00D912FA"/>
    <w:rsid w:val="00D92953"/>
    <w:rsid w:val="00D93720"/>
    <w:rsid w:val="00D94E06"/>
    <w:rsid w:val="00D95314"/>
    <w:rsid w:val="00D96B69"/>
    <w:rsid w:val="00D97061"/>
    <w:rsid w:val="00DA1A47"/>
    <w:rsid w:val="00DA28A3"/>
    <w:rsid w:val="00DA314C"/>
    <w:rsid w:val="00DA33EA"/>
    <w:rsid w:val="00DA5A10"/>
    <w:rsid w:val="00DB0D8D"/>
    <w:rsid w:val="00DB5C79"/>
    <w:rsid w:val="00DB5EA9"/>
    <w:rsid w:val="00DC1753"/>
    <w:rsid w:val="00DC2392"/>
    <w:rsid w:val="00DC31F3"/>
    <w:rsid w:val="00DC3389"/>
    <w:rsid w:val="00DC71E2"/>
    <w:rsid w:val="00DC7F45"/>
    <w:rsid w:val="00DD1007"/>
    <w:rsid w:val="00DD14FE"/>
    <w:rsid w:val="00DD2A59"/>
    <w:rsid w:val="00DD2D2A"/>
    <w:rsid w:val="00DD307B"/>
    <w:rsid w:val="00DD39F5"/>
    <w:rsid w:val="00DD54A1"/>
    <w:rsid w:val="00DD5F2A"/>
    <w:rsid w:val="00DE0588"/>
    <w:rsid w:val="00DE3549"/>
    <w:rsid w:val="00DE3ADB"/>
    <w:rsid w:val="00DE4275"/>
    <w:rsid w:val="00DE4F60"/>
    <w:rsid w:val="00DE537D"/>
    <w:rsid w:val="00DE5DC8"/>
    <w:rsid w:val="00DF3ACB"/>
    <w:rsid w:val="00DF57DC"/>
    <w:rsid w:val="00DF5DA8"/>
    <w:rsid w:val="00DF74EB"/>
    <w:rsid w:val="00E00882"/>
    <w:rsid w:val="00E00C36"/>
    <w:rsid w:val="00E010BB"/>
    <w:rsid w:val="00E0283E"/>
    <w:rsid w:val="00E0437C"/>
    <w:rsid w:val="00E04468"/>
    <w:rsid w:val="00E07748"/>
    <w:rsid w:val="00E10B27"/>
    <w:rsid w:val="00E11137"/>
    <w:rsid w:val="00E11D1B"/>
    <w:rsid w:val="00E12A23"/>
    <w:rsid w:val="00E12C37"/>
    <w:rsid w:val="00E12C7E"/>
    <w:rsid w:val="00E13AC6"/>
    <w:rsid w:val="00E169CE"/>
    <w:rsid w:val="00E17E53"/>
    <w:rsid w:val="00E20788"/>
    <w:rsid w:val="00E20E6C"/>
    <w:rsid w:val="00E26BAA"/>
    <w:rsid w:val="00E26BE0"/>
    <w:rsid w:val="00E27637"/>
    <w:rsid w:val="00E303FD"/>
    <w:rsid w:val="00E304FD"/>
    <w:rsid w:val="00E31ADD"/>
    <w:rsid w:val="00E343BD"/>
    <w:rsid w:val="00E3562D"/>
    <w:rsid w:val="00E361C2"/>
    <w:rsid w:val="00E37F55"/>
    <w:rsid w:val="00E407B2"/>
    <w:rsid w:val="00E40C89"/>
    <w:rsid w:val="00E41A6D"/>
    <w:rsid w:val="00E42357"/>
    <w:rsid w:val="00E435E6"/>
    <w:rsid w:val="00E438C6"/>
    <w:rsid w:val="00E47667"/>
    <w:rsid w:val="00E5000A"/>
    <w:rsid w:val="00E5241E"/>
    <w:rsid w:val="00E53A63"/>
    <w:rsid w:val="00E557AC"/>
    <w:rsid w:val="00E55B5F"/>
    <w:rsid w:val="00E56480"/>
    <w:rsid w:val="00E57CED"/>
    <w:rsid w:val="00E612E5"/>
    <w:rsid w:val="00E62BDB"/>
    <w:rsid w:val="00E64DBE"/>
    <w:rsid w:val="00E65845"/>
    <w:rsid w:val="00E659C2"/>
    <w:rsid w:val="00E6730E"/>
    <w:rsid w:val="00E67E99"/>
    <w:rsid w:val="00E71F33"/>
    <w:rsid w:val="00E746EF"/>
    <w:rsid w:val="00E74A7C"/>
    <w:rsid w:val="00E801C9"/>
    <w:rsid w:val="00E82F3D"/>
    <w:rsid w:val="00E849C4"/>
    <w:rsid w:val="00E8677C"/>
    <w:rsid w:val="00E9133E"/>
    <w:rsid w:val="00E913F8"/>
    <w:rsid w:val="00E9158E"/>
    <w:rsid w:val="00E91F37"/>
    <w:rsid w:val="00E93F0A"/>
    <w:rsid w:val="00E9572C"/>
    <w:rsid w:val="00E95B0D"/>
    <w:rsid w:val="00E96B42"/>
    <w:rsid w:val="00E96D8B"/>
    <w:rsid w:val="00E9747D"/>
    <w:rsid w:val="00E97B3B"/>
    <w:rsid w:val="00EA126B"/>
    <w:rsid w:val="00EA3383"/>
    <w:rsid w:val="00EA3718"/>
    <w:rsid w:val="00EA5AFA"/>
    <w:rsid w:val="00EA656B"/>
    <w:rsid w:val="00EA6BBC"/>
    <w:rsid w:val="00EA6FA2"/>
    <w:rsid w:val="00EB10DF"/>
    <w:rsid w:val="00EB637A"/>
    <w:rsid w:val="00EB78A9"/>
    <w:rsid w:val="00EB7CC2"/>
    <w:rsid w:val="00EC0B61"/>
    <w:rsid w:val="00EC0BF8"/>
    <w:rsid w:val="00EC102C"/>
    <w:rsid w:val="00EC1273"/>
    <w:rsid w:val="00EC12C5"/>
    <w:rsid w:val="00EC16D9"/>
    <w:rsid w:val="00EC31AC"/>
    <w:rsid w:val="00EC4D8A"/>
    <w:rsid w:val="00ED0127"/>
    <w:rsid w:val="00ED0703"/>
    <w:rsid w:val="00ED1904"/>
    <w:rsid w:val="00ED1CB1"/>
    <w:rsid w:val="00ED2B6E"/>
    <w:rsid w:val="00ED5801"/>
    <w:rsid w:val="00ED7B3B"/>
    <w:rsid w:val="00ED7EB0"/>
    <w:rsid w:val="00EE0619"/>
    <w:rsid w:val="00EE2053"/>
    <w:rsid w:val="00EE2FB3"/>
    <w:rsid w:val="00EE3B22"/>
    <w:rsid w:val="00EE49CC"/>
    <w:rsid w:val="00EE4C60"/>
    <w:rsid w:val="00EE5E54"/>
    <w:rsid w:val="00EE631A"/>
    <w:rsid w:val="00EE764D"/>
    <w:rsid w:val="00EE7A80"/>
    <w:rsid w:val="00EF1BE5"/>
    <w:rsid w:val="00EF2D64"/>
    <w:rsid w:val="00EF5B31"/>
    <w:rsid w:val="00EF7CD2"/>
    <w:rsid w:val="00F001C8"/>
    <w:rsid w:val="00F0102B"/>
    <w:rsid w:val="00F01F28"/>
    <w:rsid w:val="00F02812"/>
    <w:rsid w:val="00F03932"/>
    <w:rsid w:val="00F03C55"/>
    <w:rsid w:val="00F04BAB"/>
    <w:rsid w:val="00F04DB8"/>
    <w:rsid w:val="00F056D3"/>
    <w:rsid w:val="00F074CD"/>
    <w:rsid w:val="00F11C4B"/>
    <w:rsid w:val="00F11DF0"/>
    <w:rsid w:val="00F11F34"/>
    <w:rsid w:val="00F1210D"/>
    <w:rsid w:val="00F14701"/>
    <w:rsid w:val="00F14E08"/>
    <w:rsid w:val="00F17F26"/>
    <w:rsid w:val="00F23A58"/>
    <w:rsid w:val="00F23EC8"/>
    <w:rsid w:val="00F254B6"/>
    <w:rsid w:val="00F267A6"/>
    <w:rsid w:val="00F2682A"/>
    <w:rsid w:val="00F26C46"/>
    <w:rsid w:val="00F26E65"/>
    <w:rsid w:val="00F27F3C"/>
    <w:rsid w:val="00F30844"/>
    <w:rsid w:val="00F30A28"/>
    <w:rsid w:val="00F311BE"/>
    <w:rsid w:val="00F33BD7"/>
    <w:rsid w:val="00F359E5"/>
    <w:rsid w:val="00F36EC8"/>
    <w:rsid w:val="00F40D47"/>
    <w:rsid w:val="00F43C66"/>
    <w:rsid w:val="00F45AE4"/>
    <w:rsid w:val="00F45E4F"/>
    <w:rsid w:val="00F47F70"/>
    <w:rsid w:val="00F5011D"/>
    <w:rsid w:val="00F5079B"/>
    <w:rsid w:val="00F52122"/>
    <w:rsid w:val="00F5249E"/>
    <w:rsid w:val="00F54015"/>
    <w:rsid w:val="00F5426D"/>
    <w:rsid w:val="00F5475E"/>
    <w:rsid w:val="00F5637E"/>
    <w:rsid w:val="00F6036B"/>
    <w:rsid w:val="00F61789"/>
    <w:rsid w:val="00F62BB0"/>
    <w:rsid w:val="00F6393E"/>
    <w:rsid w:val="00F6616A"/>
    <w:rsid w:val="00F661AF"/>
    <w:rsid w:val="00F66435"/>
    <w:rsid w:val="00F70D7F"/>
    <w:rsid w:val="00F717DB"/>
    <w:rsid w:val="00F7487C"/>
    <w:rsid w:val="00F74FF3"/>
    <w:rsid w:val="00F76C07"/>
    <w:rsid w:val="00F80A93"/>
    <w:rsid w:val="00F81384"/>
    <w:rsid w:val="00F81CE3"/>
    <w:rsid w:val="00F824ED"/>
    <w:rsid w:val="00F830A5"/>
    <w:rsid w:val="00F8426F"/>
    <w:rsid w:val="00F8539F"/>
    <w:rsid w:val="00F856B0"/>
    <w:rsid w:val="00F864F3"/>
    <w:rsid w:val="00F87CFA"/>
    <w:rsid w:val="00F906DE"/>
    <w:rsid w:val="00F9294F"/>
    <w:rsid w:val="00F93897"/>
    <w:rsid w:val="00F966B4"/>
    <w:rsid w:val="00FA0B9D"/>
    <w:rsid w:val="00FA2128"/>
    <w:rsid w:val="00FA2B88"/>
    <w:rsid w:val="00FA315D"/>
    <w:rsid w:val="00FA4BB0"/>
    <w:rsid w:val="00FA4E25"/>
    <w:rsid w:val="00FA4FAF"/>
    <w:rsid w:val="00FA7BD2"/>
    <w:rsid w:val="00FB0AFC"/>
    <w:rsid w:val="00FB4000"/>
    <w:rsid w:val="00FB50C0"/>
    <w:rsid w:val="00FB62B4"/>
    <w:rsid w:val="00FB6C3A"/>
    <w:rsid w:val="00FB6D63"/>
    <w:rsid w:val="00FC0121"/>
    <w:rsid w:val="00FC09DB"/>
    <w:rsid w:val="00FC1271"/>
    <w:rsid w:val="00FC293D"/>
    <w:rsid w:val="00FC3454"/>
    <w:rsid w:val="00FC3ECB"/>
    <w:rsid w:val="00FC4311"/>
    <w:rsid w:val="00FC4E0B"/>
    <w:rsid w:val="00FC58CD"/>
    <w:rsid w:val="00FC5C70"/>
    <w:rsid w:val="00FC71BF"/>
    <w:rsid w:val="00FD240B"/>
    <w:rsid w:val="00FD2822"/>
    <w:rsid w:val="00FD38A2"/>
    <w:rsid w:val="00FD590E"/>
    <w:rsid w:val="00FD66E5"/>
    <w:rsid w:val="00FE08C4"/>
    <w:rsid w:val="00FE0F23"/>
    <w:rsid w:val="00FE1606"/>
    <w:rsid w:val="00FE1872"/>
    <w:rsid w:val="00FE2A17"/>
    <w:rsid w:val="00FE4B47"/>
    <w:rsid w:val="00FE5FB2"/>
    <w:rsid w:val="00FE6566"/>
    <w:rsid w:val="00FF173D"/>
    <w:rsid w:val="00FF2163"/>
    <w:rsid w:val="00FF4966"/>
    <w:rsid w:val="00FF4D51"/>
    <w:rsid w:val="00FF5D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7C01E"/>
  <w15:chartTrackingRefBased/>
  <w15:docId w15:val="{8DE7DD06-40F1-49D6-A0C3-4263A225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140"/>
    <w:pPr>
      <w:spacing w:after="0" w:line="240" w:lineRule="auto"/>
    </w:pPr>
    <w:rPr>
      <w:rFonts w:ascii="Calibri" w:hAnsi="Calibri" w:cs="Times New Roman"/>
      <w:lang w:eastAsia="en-AU"/>
    </w:rPr>
  </w:style>
  <w:style w:type="paragraph" w:styleId="Heading2">
    <w:name w:val="heading 2"/>
    <w:basedOn w:val="Normal"/>
    <w:next w:val="Normal"/>
    <w:link w:val="Heading2Char"/>
    <w:uiPriority w:val="9"/>
    <w:unhideWhenUsed/>
    <w:qFormat/>
    <w:rsid w:val="00021EEA"/>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021EE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33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021E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21EEA"/>
    <w:rPr>
      <w:rFonts w:asciiTheme="majorHAnsi" w:eastAsiaTheme="majorEastAsia" w:hAnsiTheme="majorHAnsi" w:cstheme="majorBidi"/>
      <w:color w:val="243F60" w:themeColor="accent1" w:themeShade="7F"/>
      <w:sz w:val="24"/>
      <w:szCs w:val="24"/>
      <w:lang w:eastAsia="en-AU"/>
    </w:rPr>
  </w:style>
  <w:style w:type="paragraph" w:styleId="ListParagraph">
    <w:name w:val="List Paragraph"/>
    <w:basedOn w:val="Normal"/>
    <w:link w:val="ListParagraphChar"/>
    <w:uiPriority w:val="34"/>
    <w:qFormat/>
    <w:rsid w:val="00021EEA"/>
    <w:pPr>
      <w:ind w:left="720"/>
      <w:contextualSpacing/>
    </w:pPr>
  </w:style>
  <w:style w:type="numbering" w:customStyle="1" w:styleId="KeyPoints">
    <w:name w:val="Key Points"/>
    <w:basedOn w:val="NoList"/>
    <w:uiPriority w:val="99"/>
    <w:rsid w:val="00381322"/>
    <w:pPr>
      <w:numPr>
        <w:numId w:val="1"/>
      </w:numPr>
    </w:pPr>
  </w:style>
  <w:style w:type="paragraph" w:styleId="ListNumber">
    <w:name w:val="List Number"/>
    <w:basedOn w:val="Normal"/>
    <w:uiPriority w:val="99"/>
    <w:qFormat/>
    <w:rsid w:val="00381322"/>
    <w:pPr>
      <w:ind w:left="369" w:hanging="369"/>
    </w:pPr>
  </w:style>
  <w:style w:type="paragraph" w:styleId="ListNumber2">
    <w:name w:val="List Number 2"/>
    <w:basedOn w:val="Normal"/>
    <w:uiPriority w:val="99"/>
    <w:rsid w:val="00381322"/>
    <w:pPr>
      <w:ind w:left="738" w:hanging="369"/>
    </w:pPr>
  </w:style>
  <w:style w:type="paragraph" w:styleId="ListNumber3">
    <w:name w:val="List Number 3"/>
    <w:basedOn w:val="Normal"/>
    <w:uiPriority w:val="99"/>
    <w:rsid w:val="00381322"/>
    <w:pPr>
      <w:ind w:left="1107" w:hanging="369"/>
    </w:pPr>
  </w:style>
  <w:style w:type="paragraph" w:styleId="ListNumber4">
    <w:name w:val="List Number 4"/>
    <w:basedOn w:val="Normal"/>
    <w:uiPriority w:val="99"/>
    <w:rsid w:val="00381322"/>
    <w:pPr>
      <w:ind w:left="1476" w:hanging="369"/>
    </w:pPr>
  </w:style>
  <w:style w:type="paragraph" w:styleId="ListNumber5">
    <w:name w:val="List Number 5"/>
    <w:basedOn w:val="Normal"/>
    <w:uiPriority w:val="99"/>
    <w:rsid w:val="00381322"/>
    <w:pPr>
      <w:ind w:left="1845" w:hanging="369"/>
    </w:pPr>
  </w:style>
  <w:style w:type="paragraph" w:styleId="BalloonText">
    <w:name w:val="Balloon Text"/>
    <w:basedOn w:val="Normal"/>
    <w:link w:val="BalloonTextChar"/>
    <w:uiPriority w:val="99"/>
    <w:semiHidden/>
    <w:unhideWhenUsed/>
    <w:rsid w:val="00653F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FF7"/>
    <w:rPr>
      <w:rFonts w:ascii="Segoe UI" w:hAnsi="Segoe UI" w:cs="Segoe UI"/>
      <w:sz w:val="18"/>
      <w:szCs w:val="18"/>
      <w:lang w:eastAsia="en-AU"/>
    </w:rPr>
  </w:style>
  <w:style w:type="paragraph" w:customStyle="1" w:styleId="paragraph">
    <w:name w:val="paragraph"/>
    <w:aliases w:val="a"/>
    <w:basedOn w:val="Normal"/>
    <w:link w:val="paragraphChar"/>
    <w:rsid w:val="00585DB2"/>
    <w:pPr>
      <w:tabs>
        <w:tab w:val="right" w:pos="1531"/>
      </w:tabs>
      <w:spacing w:before="40"/>
      <w:ind w:left="1644" w:hanging="1644"/>
    </w:pPr>
    <w:rPr>
      <w:rFonts w:ascii="Times New Roman" w:eastAsia="Times New Roman" w:hAnsi="Times New Roman"/>
      <w:szCs w:val="20"/>
    </w:rPr>
  </w:style>
  <w:style w:type="paragraph" w:customStyle="1" w:styleId="Subitem">
    <w:name w:val="Subitem"/>
    <w:aliases w:val="iss"/>
    <w:basedOn w:val="Normal"/>
    <w:rsid w:val="00585DB2"/>
    <w:pPr>
      <w:spacing w:before="180"/>
      <w:ind w:left="709" w:hanging="709"/>
    </w:pPr>
    <w:rPr>
      <w:rFonts w:ascii="Times New Roman" w:eastAsia="Times New Roman" w:hAnsi="Times New Roman"/>
      <w:szCs w:val="20"/>
    </w:rPr>
  </w:style>
  <w:style w:type="character" w:customStyle="1" w:styleId="paragraphChar">
    <w:name w:val="paragraph Char"/>
    <w:aliases w:val="a Char"/>
    <w:link w:val="paragraph"/>
    <w:rsid w:val="00585DB2"/>
    <w:rPr>
      <w:rFonts w:ascii="Times New Roman" w:eastAsia="Times New Roman" w:hAnsi="Times New Roman" w:cs="Times New Roman"/>
      <w:szCs w:val="20"/>
      <w:lang w:eastAsia="en-AU"/>
    </w:rPr>
  </w:style>
  <w:style w:type="paragraph" w:customStyle="1" w:styleId="ItemHead">
    <w:name w:val="ItemHead"/>
    <w:aliases w:val="ih"/>
    <w:basedOn w:val="Normal"/>
    <w:next w:val="Normal"/>
    <w:rsid w:val="00585DB2"/>
    <w:pPr>
      <w:keepNext/>
      <w:keepLines/>
      <w:spacing w:before="220"/>
      <w:ind w:left="709" w:hanging="709"/>
    </w:pPr>
    <w:rPr>
      <w:rFonts w:ascii="Arial" w:eastAsia="Times New Roman" w:hAnsi="Arial"/>
      <w:b/>
      <w:kern w:val="28"/>
      <w:sz w:val="24"/>
      <w:szCs w:val="20"/>
    </w:rPr>
  </w:style>
  <w:style w:type="paragraph" w:customStyle="1" w:styleId="SubitemHead">
    <w:name w:val="SubitemHead"/>
    <w:aliases w:val="issh"/>
    <w:basedOn w:val="Normal"/>
    <w:rsid w:val="00585DB2"/>
    <w:pPr>
      <w:keepNext/>
      <w:keepLines/>
      <w:spacing w:before="220"/>
      <w:ind w:left="709"/>
    </w:pPr>
    <w:rPr>
      <w:rFonts w:ascii="Arial" w:eastAsia="Times New Roman" w:hAnsi="Arial"/>
      <w:i/>
      <w:kern w:val="28"/>
      <w:szCs w:val="20"/>
    </w:rPr>
  </w:style>
  <w:style w:type="character" w:styleId="CommentReference">
    <w:name w:val="annotation reference"/>
    <w:basedOn w:val="DefaultParagraphFont"/>
    <w:uiPriority w:val="99"/>
    <w:semiHidden/>
    <w:unhideWhenUsed/>
    <w:rsid w:val="00860283"/>
    <w:rPr>
      <w:sz w:val="16"/>
      <w:szCs w:val="16"/>
    </w:rPr>
  </w:style>
  <w:style w:type="paragraph" w:styleId="CommentText">
    <w:name w:val="annotation text"/>
    <w:basedOn w:val="Normal"/>
    <w:link w:val="CommentTextChar"/>
    <w:uiPriority w:val="99"/>
    <w:unhideWhenUsed/>
    <w:rsid w:val="00860283"/>
    <w:rPr>
      <w:sz w:val="20"/>
      <w:szCs w:val="20"/>
    </w:rPr>
  </w:style>
  <w:style w:type="character" w:customStyle="1" w:styleId="CommentTextChar">
    <w:name w:val="Comment Text Char"/>
    <w:basedOn w:val="DefaultParagraphFont"/>
    <w:link w:val="CommentText"/>
    <w:uiPriority w:val="99"/>
    <w:rsid w:val="00860283"/>
    <w:rPr>
      <w:rFonts w:ascii="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60283"/>
    <w:rPr>
      <w:b/>
      <w:bCs/>
    </w:rPr>
  </w:style>
  <w:style w:type="character" w:customStyle="1" w:styleId="CommentSubjectChar">
    <w:name w:val="Comment Subject Char"/>
    <w:basedOn w:val="CommentTextChar"/>
    <w:link w:val="CommentSubject"/>
    <w:uiPriority w:val="99"/>
    <w:semiHidden/>
    <w:rsid w:val="00860283"/>
    <w:rPr>
      <w:rFonts w:ascii="Calibri" w:hAnsi="Calibri" w:cs="Times New Roman"/>
      <w:b/>
      <w:bCs/>
      <w:sz w:val="20"/>
      <w:szCs w:val="20"/>
      <w:lang w:eastAsia="en-AU"/>
    </w:rPr>
  </w:style>
  <w:style w:type="paragraph" w:styleId="Header">
    <w:name w:val="header"/>
    <w:basedOn w:val="Normal"/>
    <w:link w:val="HeaderChar"/>
    <w:uiPriority w:val="99"/>
    <w:unhideWhenUsed/>
    <w:rsid w:val="00A50CBC"/>
    <w:pPr>
      <w:tabs>
        <w:tab w:val="center" w:pos="4513"/>
        <w:tab w:val="right" w:pos="9026"/>
      </w:tabs>
    </w:pPr>
    <w:rPr>
      <w:rFonts w:ascii="Arial" w:eastAsia="Calibri" w:hAnsi="Arial"/>
      <w:lang w:eastAsia="en-US"/>
    </w:rPr>
  </w:style>
  <w:style w:type="character" w:customStyle="1" w:styleId="HeaderChar">
    <w:name w:val="Header Char"/>
    <w:basedOn w:val="DefaultParagraphFont"/>
    <w:link w:val="Header"/>
    <w:uiPriority w:val="99"/>
    <w:rsid w:val="00A50CBC"/>
    <w:rPr>
      <w:rFonts w:ascii="Arial" w:eastAsia="Calibri" w:hAnsi="Arial" w:cs="Times New Roman"/>
    </w:rPr>
  </w:style>
  <w:style w:type="numbering" w:customStyle="1" w:styleId="BulletList">
    <w:name w:val="Bullet List"/>
    <w:uiPriority w:val="99"/>
    <w:rsid w:val="0022791A"/>
    <w:pPr>
      <w:numPr>
        <w:numId w:val="3"/>
      </w:numPr>
    </w:pPr>
  </w:style>
  <w:style w:type="paragraph" w:styleId="ListBullet">
    <w:name w:val="List Bullet"/>
    <w:basedOn w:val="Normal"/>
    <w:uiPriority w:val="99"/>
    <w:unhideWhenUsed/>
    <w:qFormat/>
    <w:rsid w:val="0022791A"/>
    <w:pPr>
      <w:numPr>
        <w:numId w:val="4"/>
      </w:numPr>
      <w:spacing w:after="200" w:line="276" w:lineRule="auto"/>
    </w:pPr>
    <w:rPr>
      <w:rFonts w:ascii="Arial" w:eastAsia="Calibri" w:hAnsi="Arial"/>
      <w:lang w:eastAsia="en-US"/>
    </w:rPr>
  </w:style>
  <w:style w:type="paragraph" w:styleId="ListBullet2">
    <w:name w:val="List Bullet 2"/>
    <w:basedOn w:val="Normal"/>
    <w:uiPriority w:val="99"/>
    <w:unhideWhenUsed/>
    <w:rsid w:val="0022791A"/>
    <w:pPr>
      <w:numPr>
        <w:ilvl w:val="1"/>
        <w:numId w:val="4"/>
      </w:numPr>
      <w:spacing w:after="200" w:line="276" w:lineRule="auto"/>
    </w:pPr>
    <w:rPr>
      <w:rFonts w:ascii="Arial" w:eastAsia="Calibri" w:hAnsi="Arial"/>
      <w:lang w:eastAsia="en-US"/>
    </w:rPr>
  </w:style>
  <w:style w:type="paragraph" w:styleId="ListBullet3">
    <w:name w:val="List Bullet 3"/>
    <w:basedOn w:val="Normal"/>
    <w:uiPriority w:val="99"/>
    <w:unhideWhenUsed/>
    <w:rsid w:val="0022791A"/>
    <w:pPr>
      <w:numPr>
        <w:ilvl w:val="2"/>
        <w:numId w:val="4"/>
      </w:numPr>
      <w:spacing w:after="200" w:line="276" w:lineRule="auto"/>
    </w:pPr>
    <w:rPr>
      <w:rFonts w:ascii="Arial" w:eastAsia="Calibri" w:hAnsi="Arial"/>
      <w:lang w:eastAsia="en-US"/>
    </w:rPr>
  </w:style>
  <w:style w:type="paragraph" w:styleId="ListBullet4">
    <w:name w:val="List Bullet 4"/>
    <w:basedOn w:val="Normal"/>
    <w:uiPriority w:val="99"/>
    <w:unhideWhenUsed/>
    <w:rsid w:val="0022791A"/>
    <w:pPr>
      <w:numPr>
        <w:ilvl w:val="3"/>
        <w:numId w:val="4"/>
      </w:numPr>
      <w:spacing w:after="200" w:line="276" w:lineRule="auto"/>
    </w:pPr>
    <w:rPr>
      <w:rFonts w:ascii="Arial" w:eastAsia="Calibri" w:hAnsi="Arial"/>
      <w:lang w:eastAsia="en-US"/>
    </w:rPr>
  </w:style>
  <w:style w:type="paragraph" w:styleId="ListBullet5">
    <w:name w:val="List Bullet 5"/>
    <w:basedOn w:val="Normal"/>
    <w:uiPriority w:val="99"/>
    <w:unhideWhenUsed/>
    <w:rsid w:val="0022791A"/>
    <w:pPr>
      <w:numPr>
        <w:ilvl w:val="4"/>
        <w:numId w:val="4"/>
      </w:numPr>
      <w:spacing w:after="200" w:line="276" w:lineRule="auto"/>
    </w:pPr>
    <w:rPr>
      <w:rFonts w:ascii="Arial" w:eastAsia="Calibri" w:hAnsi="Arial"/>
      <w:lang w:eastAsia="en-US"/>
    </w:rPr>
  </w:style>
  <w:style w:type="paragraph" w:styleId="Revision">
    <w:name w:val="Revision"/>
    <w:hidden/>
    <w:uiPriority w:val="99"/>
    <w:semiHidden/>
    <w:rsid w:val="005806C3"/>
    <w:pPr>
      <w:spacing w:after="0" w:line="240" w:lineRule="auto"/>
    </w:pPr>
    <w:rPr>
      <w:rFonts w:ascii="Calibri" w:hAnsi="Calibri" w:cs="Times New Roman"/>
      <w:lang w:eastAsia="en-AU"/>
    </w:rPr>
  </w:style>
  <w:style w:type="paragraph" w:styleId="Footer">
    <w:name w:val="footer"/>
    <w:basedOn w:val="Normal"/>
    <w:link w:val="FooterChar"/>
    <w:uiPriority w:val="99"/>
    <w:unhideWhenUsed/>
    <w:rsid w:val="0069229F"/>
    <w:pPr>
      <w:tabs>
        <w:tab w:val="center" w:pos="4680"/>
        <w:tab w:val="right" w:pos="9360"/>
      </w:tabs>
    </w:pPr>
  </w:style>
  <w:style w:type="character" w:customStyle="1" w:styleId="FooterChar">
    <w:name w:val="Footer Char"/>
    <w:basedOn w:val="DefaultParagraphFont"/>
    <w:link w:val="Footer"/>
    <w:uiPriority w:val="99"/>
    <w:rsid w:val="0069229F"/>
    <w:rPr>
      <w:rFonts w:ascii="Calibri" w:hAnsi="Calibri" w:cs="Times New Roman"/>
      <w:lang w:eastAsia="en-AU"/>
    </w:rPr>
  </w:style>
  <w:style w:type="character" w:customStyle="1" w:styleId="subsectionChar">
    <w:name w:val="subsection Char"/>
    <w:aliases w:val="ss Char"/>
    <w:basedOn w:val="DefaultParagraphFont"/>
    <w:link w:val="subsection"/>
    <w:locked/>
    <w:rsid w:val="00992ED9"/>
  </w:style>
  <w:style w:type="paragraph" w:customStyle="1" w:styleId="subsection">
    <w:name w:val="subsection"/>
    <w:aliases w:val="ss,Subsection"/>
    <w:basedOn w:val="Normal"/>
    <w:link w:val="subsectionChar"/>
    <w:rsid w:val="00992ED9"/>
    <w:pPr>
      <w:spacing w:before="180"/>
      <w:ind w:left="1134" w:hanging="1134"/>
    </w:pPr>
    <w:rPr>
      <w:rFonts w:asciiTheme="minorHAnsi" w:hAnsiTheme="minorHAnsi" w:cstheme="minorBidi"/>
      <w:lang w:eastAsia="en-US"/>
    </w:rPr>
  </w:style>
  <w:style w:type="character" w:customStyle="1" w:styleId="Advisorytext">
    <w:name w:val="Advisory text"/>
    <w:basedOn w:val="DefaultParagraphFont"/>
    <w:uiPriority w:val="99"/>
    <w:rsid w:val="00FB0AFC"/>
    <w:rPr>
      <w:color w:val="FF0000"/>
    </w:rPr>
  </w:style>
  <w:style w:type="paragraph" w:customStyle="1" w:styleId="ActHead3">
    <w:name w:val="ActHead 3"/>
    <w:aliases w:val="d"/>
    <w:basedOn w:val="Normal"/>
    <w:next w:val="Normal"/>
    <w:qFormat/>
    <w:rsid w:val="000C576E"/>
    <w:pPr>
      <w:keepNext/>
      <w:keepLines/>
      <w:spacing w:before="240"/>
      <w:ind w:left="1134" w:hanging="1134"/>
      <w:outlineLvl w:val="2"/>
    </w:pPr>
    <w:rPr>
      <w:rFonts w:ascii="Times New Roman" w:eastAsia="Times New Roman" w:hAnsi="Times New Roman"/>
      <w:b/>
      <w:kern w:val="28"/>
      <w:sz w:val="28"/>
      <w:szCs w:val="20"/>
    </w:rPr>
  </w:style>
  <w:style w:type="character" w:customStyle="1" w:styleId="CharDivNo">
    <w:name w:val="CharDivNo"/>
    <w:basedOn w:val="DefaultParagraphFont"/>
    <w:uiPriority w:val="1"/>
    <w:qFormat/>
    <w:rsid w:val="000C576E"/>
  </w:style>
  <w:style w:type="character" w:customStyle="1" w:styleId="CharDivText">
    <w:name w:val="CharDivText"/>
    <w:basedOn w:val="DefaultParagraphFont"/>
    <w:uiPriority w:val="1"/>
    <w:qFormat/>
    <w:rsid w:val="000C576E"/>
  </w:style>
  <w:style w:type="paragraph" w:customStyle="1" w:styleId="notedraft">
    <w:name w:val="note(draft)"/>
    <w:aliases w:val="nd"/>
    <w:basedOn w:val="Normal"/>
    <w:rsid w:val="00A25F8D"/>
    <w:pPr>
      <w:spacing w:before="240"/>
      <w:ind w:left="284" w:hanging="284"/>
    </w:pPr>
    <w:rPr>
      <w:rFonts w:ascii="Times New Roman" w:eastAsia="Times New Roman" w:hAnsi="Times New Roman"/>
      <w:i/>
      <w:sz w:val="24"/>
      <w:szCs w:val="20"/>
    </w:rPr>
  </w:style>
  <w:style w:type="character" w:customStyle="1" w:styleId="ListParagraphChar">
    <w:name w:val="List Paragraph Char"/>
    <w:basedOn w:val="DefaultParagraphFont"/>
    <w:link w:val="ListParagraph"/>
    <w:uiPriority w:val="34"/>
    <w:locked/>
    <w:rsid w:val="001B6076"/>
    <w:rPr>
      <w:rFonts w:ascii="Calibri" w:hAnsi="Calibri" w:cs="Times New Roman"/>
      <w:lang w:eastAsia="en-AU"/>
    </w:rPr>
  </w:style>
  <w:style w:type="paragraph" w:customStyle="1" w:styleId="ActHead5">
    <w:name w:val="ActHead 5"/>
    <w:aliases w:val="s"/>
    <w:basedOn w:val="Normal"/>
    <w:next w:val="subsection"/>
    <w:link w:val="ActHead5Char"/>
    <w:qFormat/>
    <w:rsid w:val="00290F1E"/>
    <w:pPr>
      <w:keepNext/>
      <w:keepLines/>
      <w:spacing w:before="280"/>
      <w:ind w:left="1134" w:hanging="1134"/>
      <w:outlineLvl w:val="4"/>
    </w:pPr>
    <w:rPr>
      <w:rFonts w:ascii="Times New Roman" w:eastAsia="Times New Roman" w:hAnsi="Times New Roman"/>
      <w:b/>
      <w:kern w:val="28"/>
      <w:sz w:val="24"/>
      <w:szCs w:val="20"/>
    </w:rPr>
  </w:style>
  <w:style w:type="character" w:customStyle="1" w:styleId="ActHead5Char">
    <w:name w:val="ActHead 5 Char"/>
    <w:aliases w:val="s Char"/>
    <w:link w:val="ActHead5"/>
    <w:rsid w:val="00290F1E"/>
    <w:rPr>
      <w:rFonts w:ascii="Times New Roman" w:eastAsia="Times New Roman" w:hAnsi="Times New Roman" w:cs="Times New Roman"/>
      <w:b/>
      <w:kern w:val="28"/>
      <w:sz w:val="24"/>
      <w:szCs w:val="20"/>
      <w:lang w:eastAsia="en-AU"/>
    </w:rPr>
  </w:style>
  <w:style w:type="paragraph" w:customStyle="1" w:styleId="Tabletext">
    <w:name w:val="Tabletext"/>
    <w:aliases w:val="tt"/>
    <w:basedOn w:val="Normal"/>
    <w:rsid w:val="00EC1273"/>
    <w:pPr>
      <w:spacing w:before="60" w:line="240" w:lineRule="atLeast"/>
    </w:pPr>
    <w:rPr>
      <w:rFonts w:ascii="Times New Roman" w:eastAsia="Times New Roman" w:hAnsi="Times New Roman"/>
      <w:sz w:val="20"/>
      <w:szCs w:val="20"/>
    </w:rPr>
  </w:style>
  <w:style w:type="character" w:styleId="Hyperlink">
    <w:name w:val="Hyperlink"/>
    <w:basedOn w:val="DefaultParagraphFont"/>
    <w:uiPriority w:val="99"/>
    <w:unhideWhenUsed/>
    <w:rsid w:val="009F39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1720">
      <w:bodyDiv w:val="1"/>
      <w:marLeft w:val="0"/>
      <w:marRight w:val="0"/>
      <w:marTop w:val="0"/>
      <w:marBottom w:val="0"/>
      <w:divBdr>
        <w:top w:val="none" w:sz="0" w:space="0" w:color="auto"/>
        <w:left w:val="none" w:sz="0" w:space="0" w:color="auto"/>
        <w:bottom w:val="none" w:sz="0" w:space="0" w:color="auto"/>
        <w:right w:val="none" w:sz="0" w:space="0" w:color="auto"/>
      </w:divBdr>
    </w:div>
    <w:div w:id="46996254">
      <w:bodyDiv w:val="1"/>
      <w:marLeft w:val="0"/>
      <w:marRight w:val="0"/>
      <w:marTop w:val="0"/>
      <w:marBottom w:val="0"/>
      <w:divBdr>
        <w:top w:val="none" w:sz="0" w:space="0" w:color="auto"/>
        <w:left w:val="none" w:sz="0" w:space="0" w:color="auto"/>
        <w:bottom w:val="none" w:sz="0" w:space="0" w:color="auto"/>
        <w:right w:val="none" w:sz="0" w:space="0" w:color="auto"/>
      </w:divBdr>
    </w:div>
    <w:div w:id="106199544">
      <w:bodyDiv w:val="1"/>
      <w:marLeft w:val="0"/>
      <w:marRight w:val="0"/>
      <w:marTop w:val="0"/>
      <w:marBottom w:val="0"/>
      <w:divBdr>
        <w:top w:val="none" w:sz="0" w:space="0" w:color="auto"/>
        <w:left w:val="none" w:sz="0" w:space="0" w:color="auto"/>
        <w:bottom w:val="none" w:sz="0" w:space="0" w:color="auto"/>
        <w:right w:val="none" w:sz="0" w:space="0" w:color="auto"/>
      </w:divBdr>
    </w:div>
    <w:div w:id="143473902">
      <w:bodyDiv w:val="1"/>
      <w:marLeft w:val="0"/>
      <w:marRight w:val="0"/>
      <w:marTop w:val="0"/>
      <w:marBottom w:val="0"/>
      <w:divBdr>
        <w:top w:val="none" w:sz="0" w:space="0" w:color="auto"/>
        <w:left w:val="none" w:sz="0" w:space="0" w:color="auto"/>
        <w:bottom w:val="none" w:sz="0" w:space="0" w:color="auto"/>
        <w:right w:val="none" w:sz="0" w:space="0" w:color="auto"/>
      </w:divBdr>
    </w:div>
    <w:div w:id="187178646">
      <w:bodyDiv w:val="1"/>
      <w:marLeft w:val="0"/>
      <w:marRight w:val="0"/>
      <w:marTop w:val="0"/>
      <w:marBottom w:val="0"/>
      <w:divBdr>
        <w:top w:val="none" w:sz="0" w:space="0" w:color="auto"/>
        <w:left w:val="none" w:sz="0" w:space="0" w:color="auto"/>
        <w:bottom w:val="none" w:sz="0" w:space="0" w:color="auto"/>
        <w:right w:val="none" w:sz="0" w:space="0" w:color="auto"/>
      </w:divBdr>
    </w:div>
    <w:div w:id="210729844">
      <w:bodyDiv w:val="1"/>
      <w:marLeft w:val="0"/>
      <w:marRight w:val="0"/>
      <w:marTop w:val="0"/>
      <w:marBottom w:val="0"/>
      <w:divBdr>
        <w:top w:val="none" w:sz="0" w:space="0" w:color="auto"/>
        <w:left w:val="none" w:sz="0" w:space="0" w:color="auto"/>
        <w:bottom w:val="none" w:sz="0" w:space="0" w:color="auto"/>
        <w:right w:val="none" w:sz="0" w:space="0" w:color="auto"/>
      </w:divBdr>
    </w:div>
    <w:div w:id="474225696">
      <w:bodyDiv w:val="1"/>
      <w:marLeft w:val="0"/>
      <w:marRight w:val="0"/>
      <w:marTop w:val="0"/>
      <w:marBottom w:val="0"/>
      <w:divBdr>
        <w:top w:val="none" w:sz="0" w:space="0" w:color="auto"/>
        <w:left w:val="none" w:sz="0" w:space="0" w:color="auto"/>
        <w:bottom w:val="none" w:sz="0" w:space="0" w:color="auto"/>
        <w:right w:val="none" w:sz="0" w:space="0" w:color="auto"/>
      </w:divBdr>
    </w:div>
    <w:div w:id="710958710">
      <w:bodyDiv w:val="1"/>
      <w:marLeft w:val="0"/>
      <w:marRight w:val="0"/>
      <w:marTop w:val="0"/>
      <w:marBottom w:val="0"/>
      <w:divBdr>
        <w:top w:val="none" w:sz="0" w:space="0" w:color="auto"/>
        <w:left w:val="none" w:sz="0" w:space="0" w:color="auto"/>
        <w:bottom w:val="none" w:sz="0" w:space="0" w:color="auto"/>
        <w:right w:val="none" w:sz="0" w:space="0" w:color="auto"/>
      </w:divBdr>
    </w:div>
    <w:div w:id="801579208">
      <w:bodyDiv w:val="1"/>
      <w:marLeft w:val="0"/>
      <w:marRight w:val="0"/>
      <w:marTop w:val="0"/>
      <w:marBottom w:val="0"/>
      <w:divBdr>
        <w:top w:val="none" w:sz="0" w:space="0" w:color="auto"/>
        <w:left w:val="none" w:sz="0" w:space="0" w:color="auto"/>
        <w:bottom w:val="none" w:sz="0" w:space="0" w:color="auto"/>
        <w:right w:val="none" w:sz="0" w:space="0" w:color="auto"/>
      </w:divBdr>
    </w:div>
    <w:div w:id="1006251282">
      <w:bodyDiv w:val="1"/>
      <w:marLeft w:val="0"/>
      <w:marRight w:val="0"/>
      <w:marTop w:val="0"/>
      <w:marBottom w:val="0"/>
      <w:divBdr>
        <w:top w:val="none" w:sz="0" w:space="0" w:color="auto"/>
        <w:left w:val="none" w:sz="0" w:space="0" w:color="auto"/>
        <w:bottom w:val="none" w:sz="0" w:space="0" w:color="auto"/>
        <w:right w:val="none" w:sz="0" w:space="0" w:color="auto"/>
      </w:divBdr>
    </w:div>
    <w:div w:id="1200902004">
      <w:bodyDiv w:val="1"/>
      <w:marLeft w:val="0"/>
      <w:marRight w:val="0"/>
      <w:marTop w:val="0"/>
      <w:marBottom w:val="0"/>
      <w:divBdr>
        <w:top w:val="none" w:sz="0" w:space="0" w:color="auto"/>
        <w:left w:val="none" w:sz="0" w:space="0" w:color="auto"/>
        <w:bottom w:val="none" w:sz="0" w:space="0" w:color="auto"/>
        <w:right w:val="none" w:sz="0" w:space="0" w:color="auto"/>
      </w:divBdr>
    </w:div>
    <w:div w:id="1377438022">
      <w:bodyDiv w:val="1"/>
      <w:marLeft w:val="0"/>
      <w:marRight w:val="0"/>
      <w:marTop w:val="0"/>
      <w:marBottom w:val="0"/>
      <w:divBdr>
        <w:top w:val="none" w:sz="0" w:space="0" w:color="auto"/>
        <w:left w:val="none" w:sz="0" w:space="0" w:color="auto"/>
        <w:bottom w:val="none" w:sz="0" w:space="0" w:color="auto"/>
        <w:right w:val="none" w:sz="0" w:space="0" w:color="auto"/>
      </w:divBdr>
    </w:div>
    <w:div w:id="1638678051">
      <w:bodyDiv w:val="1"/>
      <w:marLeft w:val="0"/>
      <w:marRight w:val="0"/>
      <w:marTop w:val="0"/>
      <w:marBottom w:val="0"/>
      <w:divBdr>
        <w:top w:val="none" w:sz="0" w:space="0" w:color="auto"/>
        <w:left w:val="none" w:sz="0" w:space="0" w:color="auto"/>
        <w:bottom w:val="none" w:sz="0" w:space="0" w:color="auto"/>
        <w:right w:val="none" w:sz="0" w:space="0" w:color="auto"/>
      </w:divBdr>
    </w:div>
    <w:div w:id="1811552684">
      <w:bodyDiv w:val="1"/>
      <w:marLeft w:val="0"/>
      <w:marRight w:val="0"/>
      <w:marTop w:val="0"/>
      <w:marBottom w:val="0"/>
      <w:divBdr>
        <w:top w:val="none" w:sz="0" w:space="0" w:color="auto"/>
        <w:left w:val="none" w:sz="0" w:space="0" w:color="auto"/>
        <w:bottom w:val="none" w:sz="0" w:space="0" w:color="auto"/>
        <w:right w:val="none" w:sz="0" w:space="0" w:color="auto"/>
      </w:divBdr>
    </w:div>
    <w:div w:id="1917745398">
      <w:bodyDiv w:val="1"/>
      <w:marLeft w:val="0"/>
      <w:marRight w:val="0"/>
      <w:marTop w:val="0"/>
      <w:marBottom w:val="0"/>
      <w:divBdr>
        <w:top w:val="none" w:sz="0" w:space="0" w:color="auto"/>
        <w:left w:val="none" w:sz="0" w:space="0" w:color="auto"/>
        <w:bottom w:val="none" w:sz="0" w:space="0" w:color="auto"/>
        <w:right w:val="none" w:sz="0" w:space="0" w:color="auto"/>
      </w:divBdr>
    </w:div>
    <w:div w:id="195436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Word Document" ma:contentTypeID="0x01010087E80B6A94CF17418D78389AE32387B50100DB2F60F8C5662C4F8E8F813B33978036" ma:contentTypeVersion="8" ma:contentTypeDescription="Create a new Word Document" ma:contentTypeScope="" ma:versionID="d682cfe8b57a2e63f1c9ad2e1904f1b7">
  <xsd:schema xmlns:xsd="http://www.w3.org/2001/XMLSchema" xmlns:xs="http://www.w3.org/2001/XMLSchema" xmlns:p="http://schemas.microsoft.com/office/2006/metadata/properties" xmlns:ns2="1201fbac-4e05-4e09-943f-b1daffa0ea6b" targetNamespace="http://schemas.microsoft.com/office/2006/metadata/properties" ma:root="true" ma:fieldsID="8b42d87b8db38bbaaf9c1b6c472b43f3" ns2:_="">
    <xsd:import namespace="1201fbac-4e05-4e09-943f-b1daffa0ea6b"/>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1fbac-4e05-4e09-943f-b1daffa0ea6b"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customXsn xmlns="http://schemas.microsoft.com/office/2006/metadata/customXsn">
  <xsnLocation/>
  <cached>True</cached>
  <openByDefault>False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RecordNumber xmlns="1201fbac-4e05-4e09-943f-b1daffa0ea6b" xsi:nil="true"/>
    <DocumentDescription xmlns="1201fbac-4e05-4e09-943f-b1daffa0ea6b" xsi:nil="true"/>
    <Approval xmlns="1201fbac-4e05-4e09-943f-b1daffa0ea6b" xsi:nil="true"/>
    <Function xmlns="1201fbac-4e05-4e09-943f-b1daffa0ea6b">Regulation</Function>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68F725-AF75-447A-B385-FD65C6B7C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1fbac-4e05-4e09-943f-b1daffa0e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809E7-CA55-4A64-9A52-F95F9B0F063F}">
  <ds:schemaRefs>
    <ds:schemaRef ds:uri="http://schemas.microsoft.com/sharepoint/events"/>
  </ds:schemaRefs>
</ds:datastoreItem>
</file>

<file path=customXml/itemProps3.xml><?xml version="1.0" encoding="utf-8"?>
<ds:datastoreItem xmlns:ds="http://schemas.openxmlformats.org/officeDocument/2006/customXml" ds:itemID="{D323B97C-EDAA-4EEB-8E1C-228FCEF4927D}">
  <ds:schemaRefs>
    <ds:schemaRef ds:uri="http://schemas.openxmlformats.org/officeDocument/2006/bibliography"/>
  </ds:schemaRefs>
</ds:datastoreItem>
</file>

<file path=customXml/itemProps4.xml><?xml version="1.0" encoding="utf-8"?>
<ds:datastoreItem xmlns:ds="http://schemas.openxmlformats.org/officeDocument/2006/customXml" ds:itemID="{B10F5998-DCB7-4224-85FD-FA3C5EE4F32E}">
  <ds:schemaRefs>
    <ds:schemaRef ds:uri="http://schemas.microsoft.com/office/2006/metadata/customXsn"/>
  </ds:schemaRefs>
</ds:datastoreItem>
</file>

<file path=customXml/itemProps5.xml><?xml version="1.0" encoding="utf-8"?>
<ds:datastoreItem xmlns:ds="http://schemas.openxmlformats.org/officeDocument/2006/customXml" ds:itemID="{7FC18E3F-D3B2-4BB8-AA27-86BE1737823A}">
  <ds:schemaRefs>
    <ds:schemaRef ds:uri="1201fbac-4e05-4e09-943f-b1daffa0ea6b"/>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6.xml><?xml version="1.0" encoding="utf-8"?>
<ds:datastoreItem xmlns:ds="http://schemas.openxmlformats.org/officeDocument/2006/customXml" ds:itemID="{3E1A0A21-22AA-4FB3-83D4-4E929E64B8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2212</Words>
  <Characters>12613</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MS20-000444 - Att D - Explanatory Statement</vt:lpstr>
    </vt:vector>
  </TitlesOfParts>
  <Company>The Department of the Environment</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MS20-000794 - Att D - Explanatory Statement</dc:title>
  <dc:subject/>
  <dc:creator>Hoogstad, James</dc:creator>
  <cp:keywords/>
  <dc:description/>
  <cp:lastModifiedBy>Dernelley, Jane</cp:lastModifiedBy>
  <cp:revision>2</cp:revision>
  <cp:lastPrinted>2018-11-16T01:40:00Z</cp:lastPrinted>
  <dcterms:created xsi:type="dcterms:W3CDTF">2020-09-24T06:27:00Z</dcterms:created>
  <dcterms:modified xsi:type="dcterms:W3CDTF">2020-09-24T06:27:00Z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0x01010087E80B6A94CF17418D78389AE32387B50100DB2F60F8C5662C4F8E8F813B33978036</vt:lpwstr>
  </property>
  <property fmtid="{D5CDD505-2E9C-101B-9397-08002B2CF9AE}" pid="3" name="RecordPoint_WorkflowType">
    <vt:lpwstr>ActiveSubmitStub</vt:lpwstr>
  </property>
  <property fmtid="{D5CDD505-2E9C-101B-9397-08002B2CF9AE}" pid="4" name="RecordPoint_ActiveItemSiteId">
    <vt:lpwstr>{1385f4fc-5717-4abf-b566-e69ec52ac4b2}</vt:lpwstr>
  </property>
  <property fmtid="{D5CDD505-2E9C-101B-9397-08002B2CF9AE}" pid="5" name="RecordPoint_ActiveItemListId">
    <vt:lpwstr>{92b54716-e742-46bf-bd9b-7a785313791b}</vt:lpwstr>
  </property>
  <property fmtid="{D5CDD505-2E9C-101B-9397-08002B2CF9AE}" pid="6" name="RecordPoint_ActiveItemUniqueId">
    <vt:lpwstr>{5e401a47-2c1c-4327-8931-b857119da5b8}</vt:lpwstr>
  </property>
  <property fmtid="{D5CDD505-2E9C-101B-9397-08002B2CF9AE}" pid="7" name="RecordPoint_ActiveItemWebId">
    <vt:lpwstr>{7f9972d9-efeb-4043-bafd-239e7b31aa66}</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IconOverlay">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TitusGUID">
    <vt:lpwstr>273cf3a2-638d-4fcd-b299-d19ae324f33e</vt:lpwstr>
  </property>
</Properties>
</file>