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D4E3F" w14:textId="77777777" w:rsidR="00254A9F" w:rsidRDefault="00254A9F" w:rsidP="00254A9F">
      <w:pPr>
        <w:spacing w:before="280" w:after="240"/>
        <w:rPr>
          <w:b/>
          <w:sz w:val="32"/>
          <w:szCs w:val="32"/>
        </w:rPr>
      </w:pPr>
    </w:p>
    <w:p w14:paraId="516FA06D" w14:textId="77777777" w:rsidR="00254A9F" w:rsidRDefault="00254A9F" w:rsidP="00254A9F">
      <w:pPr>
        <w:spacing w:before="280" w:after="240"/>
        <w:rPr>
          <w:b/>
          <w:sz w:val="32"/>
          <w:szCs w:val="32"/>
        </w:rPr>
      </w:pPr>
      <w:r w:rsidRPr="00062B85">
        <w:rPr>
          <w:noProof/>
          <w:highlight w:val="yellow"/>
        </w:rPr>
        <w:drawing>
          <wp:anchor distT="0" distB="0" distL="114300" distR="114300" simplePos="0" relativeHeight="251658240" behindDoc="0" locked="0" layoutInCell="1" allowOverlap="1" wp14:anchorId="448A0641" wp14:editId="7E1EC320">
            <wp:simplePos x="0" y="0"/>
            <wp:positionH relativeFrom="margin">
              <wp:align>center</wp:align>
            </wp:positionH>
            <wp:positionV relativeFrom="margin">
              <wp:align>top</wp:align>
            </wp:positionV>
            <wp:extent cx="3542030" cy="746760"/>
            <wp:effectExtent l="0" t="0" r="1270" b="0"/>
            <wp:wrapSquare wrapText="bothSides"/>
            <wp:docPr id="2" name="Picture 2" descr="Australian Securities and Investment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tralian Securities and Investments Commiss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426A51C2" w14:textId="77777777" w:rsidR="00254A9F" w:rsidRDefault="00254A9F" w:rsidP="00254A9F">
      <w:pPr>
        <w:pStyle w:val="LI-Title"/>
        <w:pBdr>
          <w:top w:val="none" w:sz="0" w:space="0" w:color="auto"/>
        </w:pBdr>
        <w:jc w:val="center"/>
      </w:pPr>
    </w:p>
    <w:p w14:paraId="03CF695B" w14:textId="77777777" w:rsidR="00254A9F" w:rsidRDefault="00254A9F" w:rsidP="00254A9F">
      <w:pPr>
        <w:pStyle w:val="LI-Title"/>
        <w:pBdr>
          <w:top w:val="none" w:sz="0" w:space="0" w:color="auto"/>
        </w:pBdr>
        <w:jc w:val="center"/>
      </w:pPr>
      <w:r>
        <w:t>Explanatory Statement</w:t>
      </w:r>
    </w:p>
    <w:p w14:paraId="47096E6C" w14:textId="77777777" w:rsidR="00254A9F" w:rsidRDefault="00254A9F" w:rsidP="00254A9F">
      <w:pPr>
        <w:rPr>
          <w:lang w:eastAsia="en-AU"/>
        </w:rPr>
      </w:pPr>
    </w:p>
    <w:p w14:paraId="4FDDFF13" w14:textId="3187CDAE" w:rsidR="00254A9F" w:rsidRPr="00C4170B" w:rsidRDefault="001E7884" w:rsidP="00254A9F">
      <w:pPr>
        <w:jc w:val="center"/>
        <w:rPr>
          <w:b/>
          <w:i/>
          <w:sz w:val="28"/>
          <w:szCs w:val="28"/>
          <w:lang w:eastAsia="en-AU"/>
        </w:rPr>
      </w:pPr>
      <w:r>
        <w:rPr>
          <w:b/>
          <w:i/>
          <w:sz w:val="28"/>
          <w:szCs w:val="28"/>
          <w:lang w:eastAsia="en-AU"/>
        </w:rPr>
        <w:t xml:space="preserve">ASIC Corporations </w:t>
      </w:r>
      <w:r w:rsidR="00A3086A">
        <w:rPr>
          <w:b/>
          <w:i/>
          <w:sz w:val="28"/>
          <w:szCs w:val="28"/>
          <w:lang w:eastAsia="en-AU"/>
        </w:rPr>
        <w:t>(</w:t>
      </w:r>
      <w:r w:rsidR="001E799F">
        <w:rPr>
          <w:b/>
          <w:i/>
          <w:sz w:val="28"/>
          <w:szCs w:val="28"/>
          <w:lang w:eastAsia="en-AU"/>
        </w:rPr>
        <w:t>Amendment</w:t>
      </w:r>
      <w:r w:rsidR="00A3086A">
        <w:rPr>
          <w:b/>
          <w:i/>
          <w:sz w:val="28"/>
          <w:szCs w:val="28"/>
          <w:lang w:eastAsia="en-AU"/>
        </w:rPr>
        <w:t>)</w:t>
      </w:r>
      <w:r>
        <w:rPr>
          <w:b/>
          <w:i/>
          <w:sz w:val="28"/>
          <w:szCs w:val="28"/>
          <w:lang w:eastAsia="en-AU"/>
        </w:rPr>
        <w:t xml:space="preserve"> Instrument 2020/</w:t>
      </w:r>
      <w:r w:rsidR="002E1BB5">
        <w:rPr>
          <w:b/>
          <w:i/>
          <w:sz w:val="28"/>
          <w:szCs w:val="28"/>
          <w:lang w:eastAsia="en-AU"/>
        </w:rPr>
        <w:t>885</w:t>
      </w:r>
    </w:p>
    <w:p w14:paraId="128F4D94" w14:textId="274C4F1A" w:rsidR="00254A9F" w:rsidRDefault="00254A9F" w:rsidP="00254A9F">
      <w:pPr>
        <w:pStyle w:val="LI-BodyTextParaa"/>
        <w:ind w:left="0" w:firstLine="0"/>
      </w:pPr>
      <w:bookmarkStart w:id="0" w:name="BK_S3P1L1C1"/>
      <w:bookmarkEnd w:id="0"/>
      <w:r>
        <w:t>This is the Explanatory Statement for</w:t>
      </w:r>
      <w:r w:rsidR="001E7884">
        <w:t xml:space="preserve"> </w:t>
      </w:r>
      <w:r w:rsidR="001E7884" w:rsidRPr="002F3062">
        <w:rPr>
          <w:i/>
        </w:rPr>
        <w:t xml:space="preserve">ASIC Corporations </w:t>
      </w:r>
      <w:r w:rsidR="00A3086A">
        <w:rPr>
          <w:i/>
        </w:rPr>
        <w:t>(</w:t>
      </w:r>
      <w:r w:rsidR="001E799F">
        <w:rPr>
          <w:i/>
        </w:rPr>
        <w:t>Amendment</w:t>
      </w:r>
      <w:r w:rsidR="00A3086A">
        <w:rPr>
          <w:i/>
        </w:rPr>
        <w:t>)</w:t>
      </w:r>
      <w:r w:rsidR="001E799F">
        <w:rPr>
          <w:i/>
        </w:rPr>
        <w:t xml:space="preserve"> Instrument 2020</w:t>
      </w:r>
      <w:r w:rsidR="00A3086A">
        <w:rPr>
          <w:i/>
        </w:rPr>
        <w:t>/</w:t>
      </w:r>
      <w:r w:rsidR="002E1BB5">
        <w:rPr>
          <w:i/>
        </w:rPr>
        <w:t>885</w:t>
      </w:r>
      <w:r>
        <w:t>.</w:t>
      </w:r>
    </w:p>
    <w:p w14:paraId="1E9FD9CB" w14:textId="77777777" w:rsidR="00254A9F" w:rsidRPr="00C4170B" w:rsidRDefault="00254A9F" w:rsidP="00254A9F">
      <w:pPr>
        <w:pStyle w:val="LI-BodyTextParaa"/>
        <w:ind w:left="0" w:firstLine="0"/>
      </w:pPr>
      <w:r>
        <w:t>Th</w:t>
      </w:r>
      <w:r w:rsidRPr="00F800C9">
        <w:t>e</w:t>
      </w:r>
      <w:r>
        <w:t xml:space="preserve"> Explanatory Statement is approved by </w:t>
      </w:r>
      <w:r w:rsidRPr="00C4170B">
        <w:t>the Australian Securities and Investments</w:t>
      </w:r>
      <w:r>
        <w:t> </w:t>
      </w:r>
      <w:r w:rsidRPr="00C4170B">
        <w:t>Commission</w:t>
      </w:r>
      <w:r>
        <w:t xml:space="preserve"> (</w:t>
      </w:r>
      <w:r w:rsidRPr="00C4170B">
        <w:rPr>
          <w:b/>
          <w:i/>
        </w:rPr>
        <w:t>ASIC</w:t>
      </w:r>
      <w:r>
        <w:t>).</w:t>
      </w:r>
    </w:p>
    <w:p w14:paraId="75730EF8" w14:textId="77777777" w:rsidR="00254A9F" w:rsidRPr="0018659E" w:rsidRDefault="00254A9F" w:rsidP="0091521B">
      <w:pPr>
        <w:pStyle w:val="LI-BodyTextNumbered"/>
        <w:numPr>
          <w:ilvl w:val="0"/>
          <w:numId w:val="0"/>
        </w:numPr>
        <w:rPr>
          <w:b/>
        </w:rPr>
      </w:pPr>
      <w:r>
        <w:rPr>
          <w:b/>
        </w:rPr>
        <w:t>Summary</w:t>
      </w:r>
    </w:p>
    <w:p w14:paraId="69B4EA71" w14:textId="6B1A3DC9" w:rsidR="00430040" w:rsidRDefault="00D57E12" w:rsidP="00430040">
      <w:pPr>
        <w:pStyle w:val="LI-BodyTextParaa"/>
        <w:numPr>
          <w:ilvl w:val="0"/>
          <w:numId w:val="3"/>
        </w:numPr>
      </w:pPr>
      <w:r w:rsidRPr="002F3062">
        <w:rPr>
          <w:i/>
        </w:rPr>
        <w:t>ASIC Corporations (COVID-19 – Distribution of Debit Cards) Instrument 2020/</w:t>
      </w:r>
      <w:r w:rsidR="006D4B5E" w:rsidRPr="002F3062">
        <w:rPr>
          <w:i/>
        </w:rPr>
        <w:t>401</w:t>
      </w:r>
      <w:r>
        <w:t xml:space="preserve"> </w:t>
      </w:r>
      <w:r w:rsidR="00FC75E9">
        <w:t>(</w:t>
      </w:r>
      <w:r w:rsidR="00FC75E9" w:rsidRPr="007F652C">
        <w:t>the</w:t>
      </w:r>
      <w:r w:rsidR="00FC75E9">
        <w:rPr>
          <w:b/>
          <w:bCs/>
          <w:i/>
          <w:iCs/>
        </w:rPr>
        <w:t xml:space="preserve"> Principal instrument</w:t>
      </w:r>
      <w:r w:rsidR="00FC75E9" w:rsidRPr="00A3086A">
        <w:t>)</w:t>
      </w:r>
      <w:r w:rsidR="00FC75E9">
        <w:rPr>
          <w:b/>
          <w:bCs/>
          <w:i/>
          <w:iCs/>
        </w:rPr>
        <w:t xml:space="preserve"> </w:t>
      </w:r>
      <w:r w:rsidR="00371536">
        <w:t xml:space="preserve">provides exemptions and modifications in relation to </w:t>
      </w:r>
      <w:r w:rsidR="009E7063">
        <w:t>the</w:t>
      </w:r>
      <w:r>
        <w:t xml:space="preserve"> </w:t>
      </w:r>
      <w:r w:rsidR="009E7063">
        <w:t>h</w:t>
      </w:r>
      <w:r>
        <w:t xml:space="preserve">awking and </w:t>
      </w:r>
      <w:r w:rsidR="009E7063">
        <w:t>p</w:t>
      </w:r>
      <w:r>
        <w:t xml:space="preserve">roduct disclosure requirements in </w:t>
      </w:r>
      <w:r w:rsidR="009E7063">
        <w:t xml:space="preserve">the </w:t>
      </w:r>
      <w:r w:rsidR="009E7063">
        <w:rPr>
          <w:i/>
        </w:rPr>
        <w:t xml:space="preserve">Corporations Act </w:t>
      </w:r>
      <w:r w:rsidR="009E7063" w:rsidRPr="009E7063">
        <w:t>2001</w:t>
      </w:r>
      <w:r w:rsidR="009E7063">
        <w:t xml:space="preserve"> (the </w:t>
      </w:r>
      <w:r w:rsidR="009E7063" w:rsidRPr="007F652C">
        <w:rPr>
          <w:b/>
          <w:i/>
        </w:rPr>
        <w:t>Act</w:t>
      </w:r>
      <w:r w:rsidR="009E7063">
        <w:t xml:space="preserve">) in </w:t>
      </w:r>
      <w:r>
        <w:t>relation t</w:t>
      </w:r>
      <w:bookmarkStart w:id="1" w:name="_GoBack"/>
      <w:bookmarkEnd w:id="1"/>
      <w:r>
        <w:t xml:space="preserve">o issuing basic deposit </w:t>
      </w:r>
      <w:r w:rsidR="00430040">
        <w:t>products</w:t>
      </w:r>
      <w:r w:rsidR="00F0481F">
        <w:t>, linked non-cash payment facilities</w:t>
      </w:r>
      <w:r w:rsidR="00430040">
        <w:t xml:space="preserve"> and debit cards</w:t>
      </w:r>
      <w:r w:rsidR="00F728F5">
        <w:t xml:space="preserve"> due to adverse implications on </w:t>
      </w:r>
      <w:r w:rsidR="009E7063">
        <w:t xml:space="preserve">consumers without debit cards – including </w:t>
      </w:r>
      <w:r w:rsidR="00F728F5">
        <w:t xml:space="preserve">vulnerable and elderly consumers </w:t>
      </w:r>
      <w:r w:rsidR="009E7063">
        <w:t xml:space="preserve">– </w:t>
      </w:r>
      <w:r w:rsidR="00F728F5">
        <w:t>due to COVID-19</w:t>
      </w:r>
      <w:r w:rsidR="00430040">
        <w:t>.</w:t>
      </w:r>
    </w:p>
    <w:p w14:paraId="68C130C4" w14:textId="57B5F9C4" w:rsidR="00FC75E9" w:rsidRDefault="00FC75E9" w:rsidP="00FC75E9">
      <w:pPr>
        <w:pStyle w:val="LI-BodyTextParaa"/>
        <w:numPr>
          <w:ilvl w:val="0"/>
          <w:numId w:val="3"/>
        </w:numPr>
      </w:pPr>
      <w:r>
        <w:t xml:space="preserve">The </w:t>
      </w:r>
      <w:r>
        <w:rPr>
          <w:i/>
          <w:iCs/>
        </w:rPr>
        <w:t xml:space="preserve">ASIC Corporations </w:t>
      </w:r>
      <w:r w:rsidR="00A3086A">
        <w:rPr>
          <w:i/>
          <w:iCs/>
        </w:rPr>
        <w:t>(</w:t>
      </w:r>
      <w:r>
        <w:rPr>
          <w:i/>
          <w:iCs/>
        </w:rPr>
        <w:t>Amendment</w:t>
      </w:r>
      <w:r w:rsidR="00A3086A">
        <w:rPr>
          <w:i/>
          <w:iCs/>
        </w:rPr>
        <w:t>)</w:t>
      </w:r>
      <w:r>
        <w:rPr>
          <w:i/>
          <w:iCs/>
        </w:rPr>
        <w:t xml:space="preserve"> Instrument 2020/</w:t>
      </w:r>
      <w:r w:rsidR="002E1BB5">
        <w:rPr>
          <w:i/>
          <w:iCs/>
        </w:rPr>
        <w:t>885</w:t>
      </w:r>
      <w:r>
        <w:rPr>
          <w:i/>
          <w:iCs/>
        </w:rPr>
        <w:t xml:space="preserve"> </w:t>
      </w:r>
      <w:r w:rsidR="00A3086A" w:rsidRPr="007F652C">
        <w:t xml:space="preserve">(the </w:t>
      </w:r>
      <w:r w:rsidR="00A3086A" w:rsidRPr="007F652C">
        <w:rPr>
          <w:b/>
          <w:bCs/>
          <w:i/>
          <w:iCs/>
        </w:rPr>
        <w:t>Amending instrument</w:t>
      </w:r>
      <w:r w:rsidR="00A3086A" w:rsidRPr="007F652C">
        <w:t>)</w:t>
      </w:r>
      <w:r w:rsidRPr="007F652C">
        <w:t xml:space="preserve"> extends the relief provided by the Principal instrument until 31 December 2020.</w:t>
      </w:r>
    </w:p>
    <w:p w14:paraId="071D0DAC" w14:textId="77777777" w:rsidR="00254A9F" w:rsidRDefault="00254A9F" w:rsidP="00214E81">
      <w:pPr>
        <w:pStyle w:val="LI-BodyTextNumbered"/>
        <w:numPr>
          <w:ilvl w:val="0"/>
          <w:numId w:val="0"/>
        </w:numPr>
        <w:ind w:left="709" w:hanging="567"/>
        <w:rPr>
          <w:b/>
        </w:rPr>
      </w:pPr>
      <w:r>
        <w:rPr>
          <w:b/>
        </w:rPr>
        <w:t>Purpose of the instrument</w:t>
      </w:r>
    </w:p>
    <w:p w14:paraId="5FE7D247" w14:textId="7E6A41A7" w:rsidR="00B01EAF" w:rsidRPr="00DC6565" w:rsidRDefault="002E6370" w:rsidP="007F652C">
      <w:pPr>
        <w:pStyle w:val="LI-BodyTextParaa"/>
        <w:numPr>
          <w:ilvl w:val="0"/>
          <w:numId w:val="3"/>
        </w:numPr>
        <w:rPr>
          <w:bCs/>
        </w:rPr>
      </w:pPr>
      <w:r>
        <w:t xml:space="preserve">The purpose of the </w:t>
      </w:r>
      <w:r w:rsidR="005C2673">
        <w:t xml:space="preserve">Amending instrument </w:t>
      </w:r>
      <w:r>
        <w:t xml:space="preserve">is to extend the relief given by </w:t>
      </w:r>
      <w:r w:rsidR="003605A0">
        <w:t>the Principal instrument</w:t>
      </w:r>
      <w:r>
        <w:t xml:space="preserve"> until 31 December 2020. </w:t>
      </w:r>
    </w:p>
    <w:p w14:paraId="4E1233E4" w14:textId="1837F153" w:rsidR="00294098" w:rsidRDefault="00C33EF7" w:rsidP="007F652C">
      <w:pPr>
        <w:pStyle w:val="LI-BodyTextParaa"/>
        <w:numPr>
          <w:ilvl w:val="0"/>
          <w:numId w:val="3"/>
        </w:numPr>
      </w:pPr>
      <w:r>
        <w:t>Lockdown r</w:t>
      </w:r>
      <w:r w:rsidR="00294098">
        <w:t xml:space="preserve">estrictions in </w:t>
      </w:r>
      <w:r w:rsidR="009E7063">
        <w:t>response to COVID-19</w:t>
      </w:r>
      <w:r>
        <w:t xml:space="preserve"> may </w:t>
      </w:r>
      <w:r w:rsidR="009E7063">
        <w:t>affect</w:t>
      </w:r>
      <w:r>
        <w:t xml:space="preserve"> cohorts of consumers who </w:t>
      </w:r>
      <w:r w:rsidR="009E7063">
        <w:t>rely</w:t>
      </w:r>
      <w:r>
        <w:t xml:space="preserve"> on cash to make purchases for goods and services. </w:t>
      </w:r>
      <w:r w:rsidR="009E7063">
        <w:t xml:space="preserve">This includes difficulties with accessing bank </w:t>
      </w:r>
      <w:r w:rsidR="00946987">
        <w:t xml:space="preserve">branches </w:t>
      </w:r>
      <w:r w:rsidR="009E7063">
        <w:t>to withdraw funds – particularly for consumers who are required to self-isolate or where bank branches may be closed. Additionally, there is reduced acceptance of cash by merchants for public health reasons.</w:t>
      </w:r>
    </w:p>
    <w:p w14:paraId="0521D152" w14:textId="3531BA4B" w:rsidR="009E7063" w:rsidRDefault="009E7063" w:rsidP="007F652C">
      <w:pPr>
        <w:pStyle w:val="LI-BodyTextParaa"/>
        <w:numPr>
          <w:ilvl w:val="0"/>
          <w:numId w:val="3"/>
        </w:numPr>
      </w:pPr>
      <w:r>
        <w:t xml:space="preserve">The </w:t>
      </w:r>
      <w:r w:rsidR="009E36C5">
        <w:t xml:space="preserve">Principal </w:t>
      </w:r>
      <w:r w:rsidR="00D16512">
        <w:t>i</w:t>
      </w:r>
      <w:r>
        <w:t xml:space="preserve">nstrument </w:t>
      </w:r>
      <w:r w:rsidR="009E7E74">
        <w:t>i</w:t>
      </w:r>
      <w:r>
        <w:t>ntended to address these challenges by facilitating ADIs providing their existing customer bases with debit cards. Debit cards will allow these consumers to:</w:t>
      </w:r>
    </w:p>
    <w:p w14:paraId="0F6013BF" w14:textId="301995B7" w:rsidR="009E7063" w:rsidRDefault="009E7063" w:rsidP="002E6370">
      <w:pPr>
        <w:pStyle w:val="LI-BodyTextParaa"/>
        <w:numPr>
          <w:ilvl w:val="1"/>
          <w:numId w:val="5"/>
        </w:numPr>
      </w:pPr>
      <w:r>
        <w:t>access their deposits otherwise than by withdrawing cash;</w:t>
      </w:r>
      <w:r w:rsidR="005B1744">
        <w:t xml:space="preserve"> and</w:t>
      </w:r>
    </w:p>
    <w:p w14:paraId="1247D68C" w14:textId="174E8978" w:rsidR="009E7063" w:rsidRDefault="009E7063" w:rsidP="002E6370">
      <w:pPr>
        <w:pStyle w:val="LI-BodyTextParaa"/>
        <w:numPr>
          <w:ilvl w:val="1"/>
          <w:numId w:val="5"/>
        </w:numPr>
      </w:pPr>
      <w:r>
        <w:lastRenderedPageBreak/>
        <w:t>complete contactless purchases</w:t>
      </w:r>
      <w:r w:rsidR="005B1744">
        <w:t xml:space="preserve"> in stores</w:t>
      </w:r>
      <w:r>
        <w:t>, as well as card-not-present purchases (e.g. online or telephone-based transactions)</w:t>
      </w:r>
      <w:r w:rsidR="005C2673">
        <w:t>.</w:t>
      </w:r>
    </w:p>
    <w:p w14:paraId="0A9FBAB5" w14:textId="5FA2CFBD" w:rsidR="009E36C5" w:rsidRPr="002464B0" w:rsidRDefault="003605A0" w:rsidP="007F652C">
      <w:pPr>
        <w:pStyle w:val="LI-BodyTextParaa"/>
        <w:numPr>
          <w:ilvl w:val="0"/>
          <w:numId w:val="3"/>
        </w:numPr>
        <w:rPr>
          <w:bCs/>
        </w:rPr>
      </w:pPr>
      <w:r>
        <w:t xml:space="preserve">Lockdown restrictions in response to COVID-19 have continued in some jurisdictions. </w:t>
      </w:r>
      <w:r w:rsidR="009E36C5">
        <w:t>Extending the cessation date of the relief will allow ADIs who have yet to take advantage of the principal relief</w:t>
      </w:r>
      <w:r>
        <w:t xml:space="preserve"> </w:t>
      </w:r>
      <w:r w:rsidR="009E7E74">
        <w:t xml:space="preserve">to complete their </w:t>
      </w:r>
      <w:r>
        <w:t>distributions</w:t>
      </w:r>
      <w:r w:rsidR="009E7E74">
        <w:t xml:space="preserve"> </w:t>
      </w:r>
      <w:r>
        <w:t xml:space="preserve">of </w:t>
      </w:r>
      <w:r w:rsidR="009E7E74">
        <w:t xml:space="preserve">debit card </w:t>
      </w:r>
      <w:r>
        <w:t xml:space="preserve">before the end of 2020 </w:t>
      </w:r>
      <w:r w:rsidR="009E7E74">
        <w:t xml:space="preserve">and to </w:t>
      </w:r>
      <w:r>
        <w:t xml:space="preserve">continue to </w:t>
      </w:r>
      <w:r w:rsidR="009E7E74">
        <w:t>support this cohort of customers.</w:t>
      </w:r>
    </w:p>
    <w:p w14:paraId="6BA360DA" w14:textId="77777777" w:rsidR="00254A9F" w:rsidRDefault="00254A9F" w:rsidP="00214E81">
      <w:pPr>
        <w:pStyle w:val="LI-BodyTextNumbered"/>
        <w:numPr>
          <w:ilvl w:val="0"/>
          <w:numId w:val="0"/>
        </w:numPr>
        <w:ind w:left="709" w:hanging="567"/>
        <w:rPr>
          <w:b/>
        </w:rPr>
      </w:pPr>
      <w:bookmarkStart w:id="2" w:name="_Hlk534291624"/>
      <w:r>
        <w:rPr>
          <w:b/>
        </w:rPr>
        <w:t>Consultation</w:t>
      </w:r>
    </w:p>
    <w:p w14:paraId="795C9CDD" w14:textId="3338623C" w:rsidR="00570C6B" w:rsidRDefault="00D16512" w:rsidP="007F652C">
      <w:pPr>
        <w:pStyle w:val="LI-BodyTextParaa"/>
        <w:numPr>
          <w:ilvl w:val="0"/>
          <w:numId w:val="3"/>
        </w:numPr>
      </w:pPr>
      <w:r w:rsidRPr="007F652C">
        <w:t xml:space="preserve">ASIC did not undertake a formal consultation process on extending the operation of the </w:t>
      </w:r>
      <w:r w:rsidR="007F652C" w:rsidRPr="007F652C">
        <w:t>Principal</w:t>
      </w:r>
      <w:r w:rsidRPr="007F652C">
        <w:t xml:space="preserve"> </w:t>
      </w:r>
      <w:r>
        <w:t xml:space="preserve">instrument, </w:t>
      </w:r>
      <w:r w:rsidRPr="007F652C">
        <w:t>as the extension is a transitional measure of a minor and machinery nature</w:t>
      </w:r>
      <w:r>
        <w:t>. ASIC discussed the creation of the Amending instrument with relevant industry stakeholders.</w:t>
      </w:r>
    </w:p>
    <w:p w14:paraId="5889CB8A" w14:textId="44CCA181" w:rsidR="00570C6B" w:rsidRDefault="00570C6B" w:rsidP="007F652C">
      <w:pPr>
        <w:pStyle w:val="LI-BodyTextParaa"/>
        <w:numPr>
          <w:ilvl w:val="0"/>
          <w:numId w:val="3"/>
        </w:numPr>
      </w:pPr>
      <w:r>
        <w:t>The Prime Minister has granted an exemption from the need to complete regulatory impact analysis in the form of Regulation Impact Statements for all Australian Government measures made in response to COVID-19.</w:t>
      </w:r>
    </w:p>
    <w:p w14:paraId="02A90BDD" w14:textId="77777777" w:rsidR="00254A9F" w:rsidRDefault="00254A9F" w:rsidP="00214E81">
      <w:pPr>
        <w:pStyle w:val="LI-BodyTextNumbered"/>
        <w:numPr>
          <w:ilvl w:val="0"/>
          <w:numId w:val="0"/>
        </w:numPr>
        <w:ind w:left="709" w:hanging="567"/>
        <w:rPr>
          <w:b/>
        </w:rPr>
      </w:pPr>
      <w:r>
        <w:rPr>
          <w:b/>
        </w:rPr>
        <w:t>Operation of the instrument</w:t>
      </w:r>
    </w:p>
    <w:p w14:paraId="77ABB466" w14:textId="04C53EB2" w:rsidR="00E352F7" w:rsidRDefault="009F1D08" w:rsidP="007F652C">
      <w:pPr>
        <w:pStyle w:val="LI-BodyTextParaa"/>
        <w:numPr>
          <w:ilvl w:val="0"/>
          <w:numId w:val="3"/>
        </w:numPr>
      </w:pPr>
      <w:r>
        <w:t xml:space="preserve">The </w:t>
      </w:r>
      <w:r w:rsidR="005C2673">
        <w:t xml:space="preserve">Amending </w:t>
      </w:r>
      <w:r>
        <w:t xml:space="preserve">instrument amends </w:t>
      </w:r>
      <w:r w:rsidR="00D16512">
        <w:t>section</w:t>
      </w:r>
      <w:r w:rsidR="00E352F7">
        <w:t xml:space="preserve"> 3 of the </w:t>
      </w:r>
      <w:r>
        <w:t xml:space="preserve">Principal </w:t>
      </w:r>
      <w:r w:rsidR="00026F53">
        <w:t xml:space="preserve">instrument </w:t>
      </w:r>
      <w:r w:rsidR="00D16512">
        <w:t xml:space="preserve">to replace the original cessation date of that instrument (30 September </w:t>
      </w:r>
      <w:r w:rsidR="00026F53">
        <w:t>2020) with a new cessation date (</w:t>
      </w:r>
      <w:r w:rsidR="00430CF1">
        <w:t>1 January 2021</w:t>
      </w:r>
      <w:r w:rsidR="00026F53">
        <w:t>). As a result, the Principal instrument will operate for an additional three months</w:t>
      </w:r>
      <w:r w:rsidR="00430CF1">
        <w:t>, until the end of 31 December 2020</w:t>
      </w:r>
      <w:r w:rsidR="00E352F7">
        <w:t>.</w:t>
      </w:r>
      <w:r w:rsidR="00254A9F">
        <w:tab/>
      </w:r>
    </w:p>
    <w:p w14:paraId="272B76EE" w14:textId="77777777" w:rsidR="00254A9F" w:rsidRPr="00C52E7C" w:rsidRDefault="00254A9F" w:rsidP="00254A9F">
      <w:pPr>
        <w:pStyle w:val="LI-BodyTextParaa"/>
        <w:ind w:left="567"/>
        <w:rPr>
          <w:u w:val="single"/>
        </w:rPr>
      </w:pPr>
      <w:r>
        <w:rPr>
          <w:u w:val="single"/>
        </w:rPr>
        <w:t>Legislative instrument and p</w:t>
      </w:r>
      <w:r w:rsidRPr="00C52E7C">
        <w:rPr>
          <w:u w:val="single"/>
        </w:rPr>
        <w:t xml:space="preserve">rimary legislation  </w:t>
      </w:r>
    </w:p>
    <w:p w14:paraId="27F4A96B" w14:textId="6CF582D7" w:rsidR="00254A9F" w:rsidRPr="00C52E7C" w:rsidRDefault="00254A9F" w:rsidP="007F652C">
      <w:pPr>
        <w:pStyle w:val="LI-BodyTextParaa"/>
        <w:numPr>
          <w:ilvl w:val="0"/>
          <w:numId w:val="3"/>
        </w:numPr>
      </w:pPr>
      <w:r>
        <w:t xml:space="preserve">The subject matter and policy implemented by </w:t>
      </w:r>
      <w:r w:rsidR="00000BBB" w:rsidRPr="00000BBB">
        <w:t>the</w:t>
      </w:r>
      <w:r w:rsidR="00026F53">
        <w:t xml:space="preserve"> Amending i</w:t>
      </w:r>
      <w:r w:rsidR="00000BBB" w:rsidRPr="00000BBB">
        <w:t xml:space="preserve">nstrument </w:t>
      </w:r>
      <w:r>
        <w:t>is more appropriate for a legislative</w:t>
      </w:r>
      <w:r w:rsidR="00000BBB" w:rsidRPr="00000BBB">
        <w:t xml:space="preserve"> </w:t>
      </w:r>
      <w:r>
        <w:t>instrument rather than primary legislation</w:t>
      </w:r>
      <w:r w:rsidR="00000BBB" w:rsidRPr="00000BBB">
        <w:t xml:space="preserve">. The </w:t>
      </w:r>
      <w:r w:rsidR="00026F53">
        <w:t>Amending i</w:t>
      </w:r>
      <w:r w:rsidR="00000BBB" w:rsidRPr="00000BBB">
        <w:t>nstrument uses powers given by Parliament to ASIC, which allow ASIC to affect the operation of Chapter 7, and specifically Parts 7.</w:t>
      </w:r>
      <w:r w:rsidR="00000BBB">
        <w:t>8</w:t>
      </w:r>
      <w:r w:rsidR="00000BBB" w:rsidRPr="00000BBB">
        <w:t xml:space="preserve"> and 7.</w:t>
      </w:r>
      <w:r w:rsidR="00000BBB">
        <w:t>9</w:t>
      </w:r>
      <w:r w:rsidR="00000BBB" w:rsidRPr="00000BBB">
        <w:t>, of the Act to respond quickly and temporarily to issues in connection with or arising from COVID-19</w:t>
      </w:r>
      <w:r w:rsidR="00000BBB">
        <w:t xml:space="preserve"> which may prevent consumers without debit cards from accessing their deposits.</w:t>
      </w:r>
    </w:p>
    <w:bookmarkEnd w:id="2"/>
    <w:p w14:paraId="7014259D" w14:textId="77777777" w:rsidR="00254A9F" w:rsidRDefault="00254A9F" w:rsidP="00254A9F">
      <w:pPr>
        <w:pStyle w:val="LI-BodyTextParaa"/>
        <w:ind w:left="0" w:firstLine="0"/>
        <w:rPr>
          <w:b/>
        </w:rPr>
      </w:pPr>
      <w:r>
        <w:rPr>
          <w:b/>
        </w:rPr>
        <w:t>Legislative authority</w:t>
      </w:r>
    </w:p>
    <w:p w14:paraId="4FF3FDA2" w14:textId="3DB30236" w:rsidR="00254A9F" w:rsidRDefault="005C2673" w:rsidP="007F652C">
      <w:pPr>
        <w:pStyle w:val="LI-BodyTextParaa"/>
        <w:numPr>
          <w:ilvl w:val="0"/>
          <w:numId w:val="3"/>
        </w:numPr>
      </w:pPr>
      <w:r>
        <w:t xml:space="preserve">The Amending </w:t>
      </w:r>
      <w:r w:rsidR="00214E81">
        <w:t xml:space="preserve">instrument is made under </w:t>
      </w:r>
      <w:r w:rsidR="00026F53">
        <w:t>subsection 992</w:t>
      </w:r>
      <w:proofErr w:type="gramStart"/>
      <w:r w:rsidR="00026F53">
        <w:t>B(</w:t>
      </w:r>
      <w:proofErr w:type="gramEnd"/>
      <w:r w:rsidR="00026F53">
        <w:t>1)</w:t>
      </w:r>
      <w:r w:rsidR="009F1D08">
        <w:t xml:space="preserve"> and 1020F(1)(c) </w:t>
      </w:r>
      <w:r w:rsidR="00214E81">
        <w:t xml:space="preserve">of the </w:t>
      </w:r>
      <w:r w:rsidR="008A22AD">
        <w:t>Act</w:t>
      </w:r>
      <w:r w:rsidR="00214E81">
        <w:t>.</w:t>
      </w:r>
    </w:p>
    <w:p w14:paraId="0E3E3F42" w14:textId="77777777" w:rsidR="00134BE7" w:rsidRDefault="00134BE7" w:rsidP="007F652C">
      <w:pPr>
        <w:pStyle w:val="LI-BodyTextParaa"/>
        <w:numPr>
          <w:ilvl w:val="0"/>
          <w:numId w:val="3"/>
        </w:numPr>
      </w:pPr>
      <w:r>
        <w:t>Subsection 992</w:t>
      </w:r>
      <w:proofErr w:type="gramStart"/>
      <w:r>
        <w:t>B(</w:t>
      </w:r>
      <w:proofErr w:type="gramEnd"/>
      <w:r>
        <w:t>1) provides that ASIC may declare that Part 7.8 of the Act applies in relation to a person or a financial product, or a class of persons or financial products, as if specified provisions from this Part were omitted, modified or varied as specified in the declaration.</w:t>
      </w:r>
    </w:p>
    <w:p w14:paraId="050D798F" w14:textId="1F09B29D" w:rsidR="00134BE7" w:rsidRDefault="003605A0" w:rsidP="007F652C">
      <w:pPr>
        <w:pStyle w:val="LI-BodyTextParaa"/>
        <w:numPr>
          <w:ilvl w:val="0"/>
          <w:numId w:val="3"/>
        </w:numPr>
      </w:pPr>
      <w:r>
        <w:t>Paragraph</w:t>
      </w:r>
      <w:r w:rsidR="00134BE7">
        <w:t xml:space="preserve"> 1020F(1)(c) provides that ASIC may declare that Part 7.9 of the Act applies in relation to a person or a financial product, or a class of </w:t>
      </w:r>
      <w:r w:rsidR="00134BE7">
        <w:lastRenderedPageBreak/>
        <w:t>persons or financial products, as if specified provisions from this Part were omitted, modified or varied as specified in the declaration.</w:t>
      </w:r>
    </w:p>
    <w:p w14:paraId="5215E14A" w14:textId="28DE4EFD" w:rsidR="005C2673" w:rsidRDefault="005C2673" w:rsidP="007F652C">
      <w:pPr>
        <w:pStyle w:val="LI-BodyTextParaa"/>
        <w:numPr>
          <w:ilvl w:val="0"/>
          <w:numId w:val="3"/>
        </w:numPr>
      </w:pPr>
      <w:r w:rsidRPr="005C2673">
        <w:t xml:space="preserve">   Under subsection 33(3) of the </w:t>
      </w:r>
      <w:r w:rsidRPr="00070B2C">
        <w:rPr>
          <w:i/>
          <w:iCs/>
        </w:rPr>
        <w:t>Acts Interpretation Act 1901</w:t>
      </w:r>
      <w:r w:rsidRPr="005C2673">
        <w:t>, where an Act confers a power to make any instrument, the power is to be construed as including a power exercisable in the like manner and subject to the like conditions (if any) to amend any such instrument.</w:t>
      </w:r>
    </w:p>
    <w:p w14:paraId="51E4B548" w14:textId="55A2F4A3" w:rsidR="00254A9F" w:rsidRDefault="000112E6" w:rsidP="007F652C">
      <w:pPr>
        <w:pStyle w:val="LI-BodyTextParaa"/>
        <w:numPr>
          <w:ilvl w:val="0"/>
          <w:numId w:val="3"/>
        </w:numPr>
      </w:pPr>
      <w:r>
        <w:t>This Instrument is a disallowable legislative instrument.</w:t>
      </w:r>
    </w:p>
    <w:p w14:paraId="4E0B6645" w14:textId="77777777" w:rsidR="00254A9F" w:rsidRPr="00EA17A6" w:rsidRDefault="00254A9F" w:rsidP="00254A9F">
      <w:pPr>
        <w:pStyle w:val="LI-BodyTextParaa"/>
        <w:ind w:left="567"/>
        <w:rPr>
          <w:b/>
        </w:rPr>
      </w:pPr>
      <w:r w:rsidRPr="00EA17A6">
        <w:rPr>
          <w:b/>
        </w:rPr>
        <w:t xml:space="preserve">Statement of Compatibility with Human Rights  </w:t>
      </w:r>
    </w:p>
    <w:p w14:paraId="265F3A1D" w14:textId="49EC0C96" w:rsidR="00254A9F" w:rsidRPr="00EA17A6" w:rsidRDefault="00254A9F" w:rsidP="007F652C">
      <w:pPr>
        <w:pStyle w:val="LI-BodyTextParaa"/>
        <w:numPr>
          <w:ilvl w:val="0"/>
          <w:numId w:val="3"/>
        </w:numPr>
      </w:pPr>
      <w:r w:rsidRPr="00EA17A6">
        <w:t xml:space="preserve">The Explanatory Statement for a disallowable legislative instrument must contain a Statement of Compatibility with Human Rights under subsection 9(1) of the </w:t>
      </w:r>
      <w:r w:rsidRPr="00EA17A6">
        <w:rPr>
          <w:i/>
          <w:iCs/>
        </w:rPr>
        <w:t>Human Rights (Parliamentary Scrutiny) Act 2011.</w:t>
      </w:r>
      <w:r w:rsidRPr="00EA17A6">
        <w:rPr>
          <w:iCs/>
        </w:rPr>
        <w:t xml:space="preserve"> </w:t>
      </w:r>
      <w:r w:rsidRPr="00EA17A6">
        <w:t xml:space="preserve">A Statement of Compatibility with Human Rights is in the </w:t>
      </w:r>
      <w:r w:rsidRPr="00EA17A6">
        <w:rPr>
          <w:u w:val="single"/>
        </w:rPr>
        <w:t>Attachment</w:t>
      </w:r>
      <w:r w:rsidRPr="00EA17A6">
        <w:t xml:space="preserve">. </w:t>
      </w:r>
    </w:p>
    <w:p w14:paraId="2E45243B" w14:textId="77777777" w:rsidR="00254A9F" w:rsidRPr="00EA17A6" w:rsidRDefault="00254A9F" w:rsidP="00254A9F">
      <w:pPr>
        <w:pStyle w:val="LI-BodyTextParaa"/>
        <w:ind w:left="567"/>
        <w:jc w:val="right"/>
        <w:rPr>
          <w:u w:val="single"/>
        </w:rPr>
      </w:pPr>
      <w:r>
        <w:rPr>
          <w:color w:val="FF0000"/>
        </w:rPr>
        <w:br w:type="page"/>
      </w:r>
      <w:r w:rsidRPr="00EA17A6">
        <w:rPr>
          <w:u w:val="single"/>
        </w:rPr>
        <w:lastRenderedPageBreak/>
        <w:t xml:space="preserve">Attachment </w:t>
      </w:r>
    </w:p>
    <w:p w14:paraId="2D8BC007" w14:textId="77777777" w:rsidR="00254A9F" w:rsidRPr="00EA17A6" w:rsidRDefault="00254A9F" w:rsidP="00254A9F">
      <w:pPr>
        <w:pStyle w:val="LI-BodyTextParaa"/>
        <w:ind w:left="567"/>
        <w:jc w:val="center"/>
        <w:rPr>
          <w:b/>
          <w:sz w:val="28"/>
          <w:szCs w:val="28"/>
        </w:rPr>
      </w:pPr>
      <w:r w:rsidRPr="00EA17A6">
        <w:rPr>
          <w:b/>
          <w:sz w:val="28"/>
          <w:szCs w:val="28"/>
        </w:rPr>
        <w:t>Statement of Compatibility with Human Rights</w:t>
      </w:r>
    </w:p>
    <w:p w14:paraId="2F302A7D" w14:textId="77777777" w:rsidR="00254A9F" w:rsidRPr="00EA17A6" w:rsidRDefault="00254A9F" w:rsidP="00C66D76">
      <w:pPr>
        <w:pStyle w:val="LI-BodyTextNumbered"/>
        <w:numPr>
          <w:ilvl w:val="0"/>
          <w:numId w:val="0"/>
        </w:numPr>
        <w:rPr>
          <w:iCs/>
        </w:rPr>
      </w:pPr>
      <w:bookmarkStart w:id="3" w:name="_Hlk534286677"/>
      <w:r w:rsidRPr="00EA17A6">
        <w:rPr>
          <w:iCs/>
        </w:rPr>
        <w:t xml:space="preserve">This Statement of Compatibility with Human Rights is prepared in accordance with Part 3 of </w:t>
      </w:r>
      <w:bookmarkStart w:id="4" w:name="_Hlk4054932"/>
      <w:r w:rsidRPr="00EA17A6">
        <w:rPr>
          <w:iCs/>
        </w:rPr>
        <w:t xml:space="preserve">the </w:t>
      </w:r>
      <w:r w:rsidRPr="00EA17A6">
        <w:rPr>
          <w:i/>
          <w:iCs/>
        </w:rPr>
        <w:t>Human Rights (Parliamentary Scrutiny) Act 2011</w:t>
      </w:r>
      <w:bookmarkEnd w:id="4"/>
      <w:r w:rsidRPr="00EA17A6">
        <w:rPr>
          <w:iCs/>
        </w:rPr>
        <w:t xml:space="preserve">.   </w:t>
      </w:r>
    </w:p>
    <w:p w14:paraId="65DAD7C6" w14:textId="15D596F4" w:rsidR="00254A9F" w:rsidRPr="00EA17A6" w:rsidRDefault="00C66D76" w:rsidP="00C66D76">
      <w:pPr>
        <w:pStyle w:val="LI-BodyTextNumbered"/>
        <w:numPr>
          <w:ilvl w:val="0"/>
          <w:numId w:val="0"/>
        </w:numPr>
        <w:rPr>
          <w:b/>
          <w:i/>
        </w:rPr>
      </w:pPr>
      <w:r>
        <w:rPr>
          <w:b/>
          <w:i/>
        </w:rPr>
        <w:t xml:space="preserve"> ASIC Corporations (</w:t>
      </w:r>
      <w:r w:rsidR="00A0771E">
        <w:rPr>
          <w:b/>
          <w:i/>
        </w:rPr>
        <w:t>Amendment</w:t>
      </w:r>
      <w:r>
        <w:rPr>
          <w:b/>
          <w:i/>
        </w:rPr>
        <w:t>) Instrument 2020/</w:t>
      </w:r>
      <w:r w:rsidR="002E1BB5">
        <w:rPr>
          <w:b/>
          <w:i/>
        </w:rPr>
        <w:t>885</w:t>
      </w:r>
    </w:p>
    <w:p w14:paraId="1794A305" w14:textId="77777777" w:rsidR="00254A9F" w:rsidRPr="00EA17A6" w:rsidRDefault="00254A9F" w:rsidP="00C66D76">
      <w:pPr>
        <w:pStyle w:val="LI-BodyTextNumbered"/>
        <w:numPr>
          <w:ilvl w:val="0"/>
          <w:numId w:val="0"/>
        </w:numPr>
        <w:ind w:left="567"/>
        <w:rPr>
          <w:u w:val="single"/>
        </w:rPr>
      </w:pPr>
      <w:r w:rsidRPr="00EA17A6">
        <w:rPr>
          <w:u w:val="single"/>
        </w:rPr>
        <w:t>Overview</w:t>
      </w:r>
    </w:p>
    <w:p w14:paraId="0BF90AD8" w14:textId="3EB8856B" w:rsidR="00DC6565" w:rsidRDefault="00DC6565" w:rsidP="00BC2395">
      <w:pPr>
        <w:spacing w:before="240" w:line="240" w:lineRule="auto"/>
        <w:ind w:left="567"/>
        <w:rPr>
          <w:rFonts w:eastAsia="Times New Roman"/>
          <w:sz w:val="24"/>
          <w:szCs w:val="24"/>
          <w:lang w:eastAsia="en-AU"/>
        </w:rPr>
      </w:pPr>
      <w:r>
        <w:rPr>
          <w:rFonts w:eastAsia="Times New Roman"/>
          <w:sz w:val="24"/>
          <w:szCs w:val="24"/>
          <w:lang w:eastAsia="en-AU"/>
        </w:rPr>
        <w:t xml:space="preserve">The purpose of the legislative instrument is to amend </w:t>
      </w:r>
      <w:r w:rsidR="00B35D11" w:rsidRPr="00070B2C">
        <w:rPr>
          <w:rFonts w:eastAsia="Times New Roman"/>
          <w:bCs/>
          <w:i/>
          <w:sz w:val="24"/>
          <w:szCs w:val="24"/>
          <w:lang w:eastAsia="en-AU"/>
        </w:rPr>
        <w:t>ASIC Corporations (</w:t>
      </w:r>
      <w:r w:rsidR="002E1BB5" w:rsidRPr="00070B2C">
        <w:rPr>
          <w:rFonts w:eastAsia="Times New Roman"/>
          <w:bCs/>
          <w:i/>
          <w:sz w:val="24"/>
          <w:szCs w:val="24"/>
          <w:lang w:eastAsia="en-AU"/>
        </w:rPr>
        <w:t>COVID-19 Distribution of Debit Cards</w:t>
      </w:r>
      <w:r w:rsidR="00B35D11" w:rsidRPr="00070B2C">
        <w:rPr>
          <w:rFonts w:eastAsia="Times New Roman"/>
          <w:bCs/>
          <w:i/>
          <w:sz w:val="24"/>
          <w:szCs w:val="24"/>
          <w:lang w:eastAsia="en-AU"/>
        </w:rPr>
        <w:t>) Instrument 2020/</w:t>
      </w:r>
      <w:r w:rsidR="002E1BB5" w:rsidRPr="00070B2C">
        <w:rPr>
          <w:rFonts w:eastAsia="Times New Roman"/>
          <w:bCs/>
          <w:i/>
          <w:sz w:val="24"/>
          <w:szCs w:val="24"/>
          <w:lang w:eastAsia="en-AU"/>
        </w:rPr>
        <w:t>401</w:t>
      </w:r>
      <w:r>
        <w:rPr>
          <w:rFonts w:eastAsia="Times New Roman"/>
          <w:b/>
          <w:i/>
          <w:sz w:val="24"/>
          <w:szCs w:val="24"/>
          <w:lang w:eastAsia="en-AU"/>
        </w:rPr>
        <w:t xml:space="preserve"> </w:t>
      </w:r>
      <w:r w:rsidRPr="007F652C">
        <w:rPr>
          <w:rFonts w:eastAsia="Times New Roman"/>
          <w:sz w:val="24"/>
          <w:szCs w:val="24"/>
          <w:lang w:eastAsia="en-AU"/>
        </w:rPr>
        <w:t>(</w:t>
      </w:r>
      <w:r w:rsidR="00026F53">
        <w:rPr>
          <w:rFonts w:eastAsia="Times New Roman"/>
          <w:bCs/>
          <w:iCs/>
          <w:sz w:val="24"/>
          <w:szCs w:val="24"/>
          <w:lang w:eastAsia="en-AU"/>
        </w:rPr>
        <w:t xml:space="preserve">the </w:t>
      </w:r>
      <w:r>
        <w:rPr>
          <w:rFonts w:eastAsia="Times New Roman"/>
          <w:b/>
          <w:i/>
          <w:sz w:val="24"/>
          <w:szCs w:val="24"/>
          <w:lang w:eastAsia="en-AU"/>
        </w:rPr>
        <w:t>Principal instrument</w:t>
      </w:r>
      <w:r w:rsidRPr="007F652C">
        <w:rPr>
          <w:rFonts w:eastAsia="Times New Roman"/>
          <w:sz w:val="24"/>
          <w:szCs w:val="24"/>
          <w:lang w:eastAsia="en-AU"/>
        </w:rPr>
        <w:t>)</w:t>
      </w:r>
      <w:r>
        <w:rPr>
          <w:rFonts w:eastAsia="Times New Roman"/>
          <w:sz w:val="24"/>
          <w:szCs w:val="24"/>
          <w:lang w:eastAsia="en-AU"/>
        </w:rPr>
        <w:t xml:space="preserve">. </w:t>
      </w:r>
    </w:p>
    <w:p w14:paraId="3C3EB35C" w14:textId="647C8AB5" w:rsidR="00254A9F" w:rsidRDefault="00DC6565" w:rsidP="00BC2395">
      <w:pPr>
        <w:spacing w:before="240" w:line="240" w:lineRule="auto"/>
        <w:ind w:left="567"/>
        <w:rPr>
          <w:rFonts w:eastAsia="Times New Roman"/>
          <w:sz w:val="24"/>
          <w:szCs w:val="24"/>
          <w:lang w:eastAsia="en-AU"/>
        </w:rPr>
      </w:pPr>
      <w:r>
        <w:rPr>
          <w:rFonts w:eastAsia="Times New Roman"/>
          <w:sz w:val="24"/>
          <w:szCs w:val="24"/>
          <w:lang w:eastAsia="en-AU"/>
        </w:rPr>
        <w:t xml:space="preserve">The Principal instrument </w:t>
      </w:r>
      <w:r w:rsidR="00066A7B">
        <w:rPr>
          <w:rFonts w:eastAsia="Times New Roman"/>
          <w:sz w:val="24"/>
          <w:szCs w:val="24"/>
          <w:lang w:eastAsia="en-AU"/>
        </w:rPr>
        <w:t xml:space="preserve">provides exemptions and modifications in relation to the </w:t>
      </w:r>
      <w:r w:rsidR="004B5AD4">
        <w:rPr>
          <w:rFonts w:eastAsia="Times New Roman"/>
          <w:sz w:val="24"/>
          <w:szCs w:val="24"/>
          <w:lang w:eastAsia="en-AU"/>
        </w:rPr>
        <w:t xml:space="preserve">hawking and product disclosure provisions </w:t>
      </w:r>
      <w:r w:rsidR="00BC2395">
        <w:rPr>
          <w:rFonts w:eastAsia="Times New Roman"/>
          <w:sz w:val="24"/>
          <w:szCs w:val="24"/>
          <w:lang w:eastAsia="en-AU"/>
        </w:rPr>
        <w:t xml:space="preserve">of the </w:t>
      </w:r>
      <w:r w:rsidR="00BC2395">
        <w:rPr>
          <w:rFonts w:eastAsia="Times New Roman"/>
          <w:i/>
          <w:sz w:val="24"/>
          <w:szCs w:val="24"/>
          <w:lang w:eastAsia="en-AU"/>
        </w:rPr>
        <w:t xml:space="preserve">Corporations Act 2001 </w:t>
      </w:r>
      <w:r w:rsidR="004B5AD4">
        <w:rPr>
          <w:rFonts w:eastAsia="Times New Roman"/>
          <w:sz w:val="24"/>
          <w:szCs w:val="24"/>
          <w:lang w:eastAsia="en-AU"/>
        </w:rPr>
        <w:t xml:space="preserve">to facilitate timely distribution of debit cards </w:t>
      </w:r>
      <w:r w:rsidR="00BC2395">
        <w:rPr>
          <w:rFonts w:eastAsia="Times New Roman"/>
          <w:sz w:val="24"/>
          <w:szCs w:val="24"/>
          <w:lang w:eastAsia="en-AU"/>
        </w:rPr>
        <w:t>banks’ existing customers who are reliant on cash</w:t>
      </w:r>
      <w:r w:rsidR="00430CF1">
        <w:rPr>
          <w:rFonts w:eastAsia="Times New Roman"/>
          <w:sz w:val="24"/>
          <w:szCs w:val="24"/>
          <w:lang w:eastAsia="en-AU"/>
        </w:rPr>
        <w:t>. The Principal instrument was due to cease on</w:t>
      </w:r>
      <w:r w:rsidR="00F0481F">
        <w:rPr>
          <w:rFonts w:eastAsia="Times New Roman"/>
          <w:sz w:val="24"/>
          <w:szCs w:val="24"/>
          <w:lang w:eastAsia="en-AU"/>
        </w:rPr>
        <w:t xml:space="preserve"> 30 September 2020</w:t>
      </w:r>
      <w:r w:rsidR="00BC2395">
        <w:rPr>
          <w:rFonts w:eastAsia="Times New Roman"/>
          <w:sz w:val="24"/>
          <w:szCs w:val="24"/>
          <w:lang w:eastAsia="en-AU"/>
        </w:rPr>
        <w:t>.</w:t>
      </w:r>
      <w:r w:rsidR="004B5AD4">
        <w:rPr>
          <w:rFonts w:eastAsia="Times New Roman"/>
          <w:sz w:val="24"/>
          <w:szCs w:val="24"/>
          <w:lang w:eastAsia="en-AU"/>
        </w:rPr>
        <w:t xml:space="preserve"> The </w:t>
      </w:r>
      <w:r>
        <w:rPr>
          <w:rFonts w:eastAsia="Times New Roman"/>
          <w:sz w:val="24"/>
          <w:szCs w:val="24"/>
          <w:lang w:eastAsia="en-AU"/>
        </w:rPr>
        <w:t xml:space="preserve">Principal </w:t>
      </w:r>
      <w:r w:rsidR="001D26B2">
        <w:rPr>
          <w:rFonts w:eastAsia="Times New Roman"/>
          <w:sz w:val="24"/>
          <w:szCs w:val="24"/>
          <w:lang w:eastAsia="en-AU"/>
        </w:rPr>
        <w:t>i</w:t>
      </w:r>
      <w:r w:rsidR="00BC2395">
        <w:rPr>
          <w:rFonts w:eastAsia="Times New Roman"/>
          <w:sz w:val="24"/>
          <w:szCs w:val="24"/>
          <w:lang w:eastAsia="en-AU"/>
        </w:rPr>
        <w:t xml:space="preserve">nstrument allows for unsolicited offers to issue debit cards to existing customers without those cards in certain circumstances, as well as allowing for product disclosure information to be provided </w:t>
      </w:r>
      <w:proofErr w:type="gramStart"/>
      <w:r w:rsidR="00BC2395">
        <w:rPr>
          <w:rFonts w:eastAsia="Times New Roman"/>
          <w:sz w:val="24"/>
          <w:szCs w:val="24"/>
          <w:lang w:eastAsia="en-AU"/>
        </w:rPr>
        <w:t>at a later time</w:t>
      </w:r>
      <w:proofErr w:type="gramEnd"/>
      <w:r w:rsidR="00BC2395">
        <w:rPr>
          <w:rFonts w:eastAsia="Times New Roman"/>
          <w:sz w:val="24"/>
          <w:szCs w:val="24"/>
          <w:lang w:eastAsia="en-AU"/>
        </w:rPr>
        <w:t xml:space="preserve"> with the debit card.</w:t>
      </w:r>
    </w:p>
    <w:p w14:paraId="363CC302" w14:textId="6D06C34A" w:rsidR="00DC6565" w:rsidRPr="00B35D11" w:rsidRDefault="00DC6565" w:rsidP="00BC2395">
      <w:pPr>
        <w:spacing w:before="240" w:line="240" w:lineRule="auto"/>
        <w:ind w:left="567"/>
        <w:rPr>
          <w:rFonts w:eastAsia="Times New Roman"/>
          <w:sz w:val="24"/>
          <w:szCs w:val="24"/>
          <w:lang w:eastAsia="en-AU"/>
        </w:rPr>
      </w:pPr>
      <w:r>
        <w:rPr>
          <w:rFonts w:eastAsia="Times New Roman"/>
          <w:sz w:val="24"/>
          <w:szCs w:val="24"/>
          <w:lang w:eastAsia="en-AU"/>
        </w:rPr>
        <w:t xml:space="preserve">The legislative instrument extends this relief to allow ADIs to </w:t>
      </w:r>
      <w:r w:rsidR="00026F53">
        <w:rPr>
          <w:rFonts w:eastAsia="Times New Roman"/>
          <w:sz w:val="24"/>
          <w:szCs w:val="24"/>
          <w:lang w:eastAsia="en-AU"/>
        </w:rPr>
        <w:t xml:space="preserve">distribute </w:t>
      </w:r>
      <w:r>
        <w:rPr>
          <w:rFonts w:eastAsia="Times New Roman"/>
          <w:sz w:val="24"/>
          <w:szCs w:val="24"/>
          <w:lang w:eastAsia="en-AU"/>
        </w:rPr>
        <w:t>unsolicited debit cards to existing customers until 31 December 2020.</w:t>
      </w:r>
    </w:p>
    <w:p w14:paraId="4C73A145" w14:textId="77777777" w:rsidR="00254A9F" w:rsidRPr="00EA17A6" w:rsidRDefault="00254A9F" w:rsidP="00C66D76">
      <w:pPr>
        <w:pStyle w:val="LI-BodyTextNumbered"/>
        <w:numPr>
          <w:ilvl w:val="0"/>
          <w:numId w:val="0"/>
        </w:numPr>
        <w:ind w:left="567"/>
        <w:rPr>
          <w:u w:val="single"/>
        </w:rPr>
      </w:pPr>
      <w:bookmarkStart w:id="5" w:name="_Hlk534286807"/>
      <w:bookmarkEnd w:id="3"/>
      <w:r w:rsidRPr="00EA17A6">
        <w:rPr>
          <w:u w:val="single"/>
        </w:rPr>
        <w:t>Assessment of human rights implications</w:t>
      </w:r>
    </w:p>
    <w:bookmarkEnd w:id="5"/>
    <w:p w14:paraId="0AFEAD89" w14:textId="6972AB12" w:rsidR="00254A9F" w:rsidRPr="00EA17A6" w:rsidRDefault="00254A9F" w:rsidP="00254A9F">
      <w:pPr>
        <w:pStyle w:val="LI-BodyTextNumbered"/>
        <w:ind w:left="567"/>
      </w:pPr>
      <w:r w:rsidRPr="00EA17A6">
        <w:t>This instrument does not engage any of the applicable rights or freedoms</w:t>
      </w:r>
      <w:r w:rsidR="00C66D76">
        <w:t>.</w:t>
      </w:r>
    </w:p>
    <w:p w14:paraId="67540F99" w14:textId="77777777" w:rsidR="00254A9F" w:rsidRPr="00EA17A6" w:rsidRDefault="00254A9F" w:rsidP="0028057B">
      <w:pPr>
        <w:pStyle w:val="LI-BodyTextNumbered"/>
        <w:numPr>
          <w:ilvl w:val="0"/>
          <w:numId w:val="0"/>
        </w:numPr>
        <w:ind w:left="567"/>
        <w:rPr>
          <w:u w:val="single"/>
        </w:rPr>
      </w:pPr>
      <w:r w:rsidRPr="00EA17A6">
        <w:rPr>
          <w:u w:val="single"/>
        </w:rPr>
        <w:t>Conclusion</w:t>
      </w:r>
    </w:p>
    <w:p w14:paraId="1EE74E94" w14:textId="1BFF7493" w:rsidR="00254A9F" w:rsidRPr="00EA17A6" w:rsidRDefault="00254A9F" w:rsidP="00254A9F">
      <w:pPr>
        <w:pStyle w:val="LI-BodyTextNumbered"/>
        <w:ind w:left="567"/>
      </w:pPr>
      <w:r w:rsidRPr="00EA17A6">
        <w:t xml:space="preserve">This instrument is compatible with the human rights and freedoms recognised or declared in the international instruments listed in section 3 of </w:t>
      </w:r>
      <w:r w:rsidRPr="00EA17A6">
        <w:rPr>
          <w:iCs/>
        </w:rPr>
        <w:t xml:space="preserve">the </w:t>
      </w:r>
      <w:r w:rsidRPr="00EA17A6">
        <w:rPr>
          <w:i/>
          <w:iCs/>
        </w:rPr>
        <w:t>Human Rights (Parliamentary Scrutiny) Act 2011</w:t>
      </w:r>
      <w:r w:rsidRPr="00EA17A6">
        <w:t>.</w:t>
      </w:r>
    </w:p>
    <w:p w14:paraId="2ABE501F" w14:textId="77777777" w:rsidR="00254A9F" w:rsidRPr="00EA17A6" w:rsidRDefault="00254A9F" w:rsidP="00C66D76">
      <w:pPr>
        <w:pStyle w:val="LI-BodyTextNumbered"/>
        <w:numPr>
          <w:ilvl w:val="0"/>
          <w:numId w:val="0"/>
        </w:numPr>
        <w:ind w:left="567"/>
      </w:pPr>
    </w:p>
    <w:p w14:paraId="62146C42" w14:textId="77777777" w:rsidR="00C61A28" w:rsidRPr="00254A9F" w:rsidRDefault="00C61A28" w:rsidP="00254A9F"/>
    <w:sectPr w:rsidR="00C61A28" w:rsidRPr="00254A9F" w:rsidSect="0054765F">
      <w:headerReference w:type="even" r:id="rId11"/>
      <w:headerReference w:type="default" r:id="rId12"/>
      <w:footerReference w:type="default" r:id="rId13"/>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B42F9" w14:textId="77777777" w:rsidR="005F7397" w:rsidRDefault="005F7397">
      <w:pPr>
        <w:spacing w:line="240" w:lineRule="auto"/>
      </w:pPr>
      <w:r>
        <w:separator/>
      </w:r>
    </w:p>
  </w:endnote>
  <w:endnote w:type="continuationSeparator" w:id="0">
    <w:p w14:paraId="5F629A09" w14:textId="77777777" w:rsidR="005F7397" w:rsidRDefault="005F7397">
      <w:pPr>
        <w:spacing w:line="240" w:lineRule="auto"/>
      </w:pPr>
      <w:r>
        <w:continuationSeparator/>
      </w:r>
    </w:p>
  </w:endnote>
  <w:endnote w:type="continuationNotice" w:id="1">
    <w:p w14:paraId="23B434A5" w14:textId="77777777" w:rsidR="005F7397" w:rsidRDefault="005F73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FF95D" w14:textId="77777777" w:rsidR="006D4B5E" w:rsidRDefault="006D4B5E">
    <w:pPr>
      <w:pStyle w:val="Footer"/>
      <w:jc w:val="center"/>
    </w:pPr>
    <w:r>
      <w:fldChar w:fldCharType="begin"/>
    </w:r>
    <w:r>
      <w:instrText xml:space="preserve"> PAGE   \* MERGEFORMAT </w:instrText>
    </w:r>
    <w:r>
      <w:fldChar w:fldCharType="separate"/>
    </w:r>
    <w:r>
      <w:rPr>
        <w:noProof/>
      </w:rPr>
      <w:t>2</w:t>
    </w:r>
    <w:r>
      <w:rPr>
        <w:noProof/>
      </w:rPr>
      <w:fldChar w:fldCharType="end"/>
    </w:r>
  </w:p>
  <w:p w14:paraId="798E588C" w14:textId="77777777" w:rsidR="006D4B5E" w:rsidRDefault="006D4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A7736" w14:textId="77777777" w:rsidR="005F7397" w:rsidRDefault="005F7397">
      <w:pPr>
        <w:spacing w:line="240" w:lineRule="auto"/>
      </w:pPr>
      <w:r>
        <w:separator/>
      </w:r>
    </w:p>
  </w:footnote>
  <w:footnote w:type="continuationSeparator" w:id="0">
    <w:p w14:paraId="7B39763F" w14:textId="77777777" w:rsidR="005F7397" w:rsidRDefault="005F7397">
      <w:pPr>
        <w:spacing w:line="240" w:lineRule="auto"/>
      </w:pPr>
      <w:r>
        <w:continuationSeparator/>
      </w:r>
    </w:p>
  </w:footnote>
  <w:footnote w:type="continuationNotice" w:id="1">
    <w:p w14:paraId="7B1C8F6A" w14:textId="77777777" w:rsidR="005F7397" w:rsidRDefault="005F739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D0D69" w14:textId="77777777" w:rsidR="006D4B5E" w:rsidRPr="00243EC0" w:rsidRDefault="006D4B5E" w:rsidP="0054765F">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6D4B5E" w:rsidRPr="00E40FF8" w14:paraId="0FC6D969" w14:textId="77777777" w:rsidTr="0054765F">
      <w:tc>
        <w:tcPr>
          <w:tcW w:w="4253" w:type="dxa"/>
          <w:shd w:val="clear" w:color="auto" w:fill="auto"/>
        </w:tcPr>
        <w:p w14:paraId="12C5BCBD" w14:textId="77777777" w:rsidR="006D4B5E" w:rsidRDefault="006D4B5E" w:rsidP="0054765F">
          <w:pPr>
            <w:pStyle w:val="LI-Header"/>
            <w:pBdr>
              <w:bottom w:val="none" w:sz="0" w:space="0" w:color="auto"/>
            </w:pBdr>
            <w:jc w:val="left"/>
          </w:pPr>
        </w:p>
      </w:tc>
      <w:tc>
        <w:tcPr>
          <w:tcW w:w="4060" w:type="dxa"/>
          <w:shd w:val="clear" w:color="auto" w:fill="auto"/>
        </w:tcPr>
        <w:p w14:paraId="46E6653E" w14:textId="77777777" w:rsidR="006D4B5E" w:rsidRDefault="006D4B5E" w:rsidP="0054765F">
          <w:pPr>
            <w:pStyle w:val="LI-BodyTextNumbered"/>
            <w:numPr>
              <w:ilvl w:val="0"/>
              <w:numId w:val="0"/>
            </w:numPr>
            <w:ind w:left="709" w:hanging="567"/>
          </w:pPr>
        </w:p>
      </w:tc>
    </w:tr>
  </w:tbl>
  <w:p w14:paraId="5A8F5B79" w14:textId="77777777" w:rsidR="006D4B5E" w:rsidRPr="00F4215A" w:rsidRDefault="006D4B5E" w:rsidP="005476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9A8328C"/>
    <w:multiLevelType w:val="hybridMultilevel"/>
    <w:tmpl w:val="C7B4FA48"/>
    <w:lvl w:ilvl="0" w:tplc="D3BC50A2">
      <w:start w:val="1"/>
      <w:numFmt w:val="decimal"/>
      <w:lvlText w:val="%1."/>
      <w:lvlJc w:val="left"/>
      <w:pPr>
        <w:ind w:left="930" w:hanging="57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4EE695A"/>
    <w:multiLevelType w:val="hybridMultilevel"/>
    <w:tmpl w:val="C7B4FA48"/>
    <w:lvl w:ilvl="0" w:tplc="D3BC50A2">
      <w:start w:val="1"/>
      <w:numFmt w:val="decimal"/>
      <w:lvlText w:val="%1."/>
      <w:lvlJc w:val="left"/>
      <w:pPr>
        <w:ind w:left="930" w:hanging="57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3F72368"/>
    <w:multiLevelType w:val="hybridMultilevel"/>
    <w:tmpl w:val="5F28F188"/>
    <w:lvl w:ilvl="0" w:tplc="64E401D8">
      <w:start w:val="1"/>
      <w:numFmt w:val="decimal"/>
      <w:pStyle w:val="LI-BodyTextNumbered"/>
      <w:lvlText w:val="%1"/>
      <w:lvlJc w:val="left"/>
      <w:pPr>
        <w:ind w:left="930" w:hanging="570"/>
      </w:pPr>
      <w:rPr>
        <w:rFonts w:hint="default"/>
      </w:rPr>
    </w:lvl>
    <w:lvl w:ilvl="1" w:tplc="519AD7E8">
      <w:start w:val="1"/>
      <w:numFmt w:val="lowerRoman"/>
      <w:pStyle w:val="LI-BodyTextSubparai"/>
      <w:lvlText w:val="(%2)"/>
      <w:lvlJc w:val="left"/>
      <w:pPr>
        <w:ind w:left="1440" w:hanging="360"/>
      </w:pPr>
      <w:rPr>
        <w:rFonts w:hint="default"/>
      </w:rPr>
    </w:lvl>
    <w:lvl w:ilvl="2" w:tplc="8656FBF4">
      <w:start w:val="1"/>
      <w:numFmt w:val="upperLetter"/>
      <w:pStyle w:val="LI-BodyTextSubsubparaA"/>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3"/>
    <w:lvlOverride w:ilvl="0">
      <w:startOverride w:val="1"/>
    </w:lvlOverride>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9A3"/>
    <w:rsid w:val="00000BBB"/>
    <w:rsid w:val="000112E6"/>
    <w:rsid w:val="00021BC6"/>
    <w:rsid w:val="000252F8"/>
    <w:rsid w:val="00026F53"/>
    <w:rsid w:val="00066A7B"/>
    <w:rsid w:val="00070B2C"/>
    <w:rsid w:val="0008366C"/>
    <w:rsid w:val="000E7267"/>
    <w:rsid w:val="00133911"/>
    <w:rsid w:val="00134BE7"/>
    <w:rsid w:val="001449A3"/>
    <w:rsid w:val="001542C6"/>
    <w:rsid w:val="00193DFB"/>
    <w:rsid w:val="001D26B2"/>
    <w:rsid w:val="001D7AC9"/>
    <w:rsid w:val="001E7884"/>
    <w:rsid w:val="001E799F"/>
    <w:rsid w:val="001E7D26"/>
    <w:rsid w:val="002074D0"/>
    <w:rsid w:val="00214E81"/>
    <w:rsid w:val="00233FD6"/>
    <w:rsid w:val="002464B0"/>
    <w:rsid w:val="0025486C"/>
    <w:rsid w:val="00254A9F"/>
    <w:rsid w:val="00256A5A"/>
    <w:rsid w:val="00260164"/>
    <w:rsid w:val="002615B3"/>
    <w:rsid w:val="002800D9"/>
    <w:rsid w:val="0028057B"/>
    <w:rsid w:val="0028410A"/>
    <w:rsid w:val="00294098"/>
    <w:rsid w:val="002B4B17"/>
    <w:rsid w:val="002E1BB5"/>
    <w:rsid w:val="002E3946"/>
    <w:rsid w:val="002E6370"/>
    <w:rsid w:val="002F3062"/>
    <w:rsid w:val="002F39CC"/>
    <w:rsid w:val="003234FD"/>
    <w:rsid w:val="00334E7E"/>
    <w:rsid w:val="003605A0"/>
    <w:rsid w:val="00371536"/>
    <w:rsid w:val="00395069"/>
    <w:rsid w:val="003B6087"/>
    <w:rsid w:val="003E61A0"/>
    <w:rsid w:val="00430040"/>
    <w:rsid w:val="00430CF1"/>
    <w:rsid w:val="00456F01"/>
    <w:rsid w:val="004844B7"/>
    <w:rsid w:val="00485CAF"/>
    <w:rsid w:val="00490878"/>
    <w:rsid w:val="004B5AD4"/>
    <w:rsid w:val="004E03DC"/>
    <w:rsid w:val="005206F8"/>
    <w:rsid w:val="0054765F"/>
    <w:rsid w:val="00551557"/>
    <w:rsid w:val="005623AF"/>
    <w:rsid w:val="00570C6B"/>
    <w:rsid w:val="00585710"/>
    <w:rsid w:val="00586B3C"/>
    <w:rsid w:val="005B1744"/>
    <w:rsid w:val="005C2673"/>
    <w:rsid w:val="005F7397"/>
    <w:rsid w:val="006072E3"/>
    <w:rsid w:val="00625EEA"/>
    <w:rsid w:val="00634F66"/>
    <w:rsid w:val="00645FF0"/>
    <w:rsid w:val="00654AF3"/>
    <w:rsid w:val="006B7481"/>
    <w:rsid w:val="006D3A4B"/>
    <w:rsid w:val="006D4B5E"/>
    <w:rsid w:val="006E50D2"/>
    <w:rsid w:val="00704020"/>
    <w:rsid w:val="00712F5F"/>
    <w:rsid w:val="00732CA9"/>
    <w:rsid w:val="00750035"/>
    <w:rsid w:val="00782238"/>
    <w:rsid w:val="007B6AB8"/>
    <w:rsid w:val="007F347D"/>
    <w:rsid w:val="007F652C"/>
    <w:rsid w:val="00804BA7"/>
    <w:rsid w:val="0082575F"/>
    <w:rsid w:val="00837D45"/>
    <w:rsid w:val="008A22AD"/>
    <w:rsid w:val="008B746C"/>
    <w:rsid w:val="008D27A6"/>
    <w:rsid w:val="00903A9C"/>
    <w:rsid w:val="0091521B"/>
    <w:rsid w:val="00946987"/>
    <w:rsid w:val="009A7E38"/>
    <w:rsid w:val="009B315B"/>
    <w:rsid w:val="009B67E4"/>
    <w:rsid w:val="009E36C5"/>
    <w:rsid w:val="009E7063"/>
    <w:rsid w:val="009E7E74"/>
    <w:rsid w:val="009F1D08"/>
    <w:rsid w:val="009F7C27"/>
    <w:rsid w:val="00A0771E"/>
    <w:rsid w:val="00A3086A"/>
    <w:rsid w:val="00A65666"/>
    <w:rsid w:val="00AB0482"/>
    <w:rsid w:val="00AC0ECF"/>
    <w:rsid w:val="00B01EAF"/>
    <w:rsid w:val="00B155FF"/>
    <w:rsid w:val="00B35D11"/>
    <w:rsid w:val="00B53A6D"/>
    <w:rsid w:val="00B67243"/>
    <w:rsid w:val="00B72E0E"/>
    <w:rsid w:val="00B8193C"/>
    <w:rsid w:val="00B83A4C"/>
    <w:rsid w:val="00BC177B"/>
    <w:rsid w:val="00BC2395"/>
    <w:rsid w:val="00BC5B75"/>
    <w:rsid w:val="00C007B7"/>
    <w:rsid w:val="00C14B93"/>
    <w:rsid w:val="00C33EF7"/>
    <w:rsid w:val="00C36B3E"/>
    <w:rsid w:val="00C46681"/>
    <w:rsid w:val="00C61A28"/>
    <w:rsid w:val="00C66D76"/>
    <w:rsid w:val="00C71CA3"/>
    <w:rsid w:val="00C86DB3"/>
    <w:rsid w:val="00CA7BD6"/>
    <w:rsid w:val="00D04330"/>
    <w:rsid w:val="00D13AD7"/>
    <w:rsid w:val="00D16512"/>
    <w:rsid w:val="00D4135B"/>
    <w:rsid w:val="00D57E12"/>
    <w:rsid w:val="00D70E40"/>
    <w:rsid w:val="00D748EA"/>
    <w:rsid w:val="00DA237F"/>
    <w:rsid w:val="00DC6565"/>
    <w:rsid w:val="00E140CE"/>
    <w:rsid w:val="00E239F4"/>
    <w:rsid w:val="00E301B1"/>
    <w:rsid w:val="00E352F7"/>
    <w:rsid w:val="00E54CC3"/>
    <w:rsid w:val="00E73A5B"/>
    <w:rsid w:val="00E81464"/>
    <w:rsid w:val="00E87613"/>
    <w:rsid w:val="00E947C7"/>
    <w:rsid w:val="00EA4B8A"/>
    <w:rsid w:val="00EC09DB"/>
    <w:rsid w:val="00EC25B0"/>
    <w:rsid w:val="00ED0A54"/>
    <w:rsid w:val="00ED4FDD"/>
    <w:rsid w:val="00F0481F"/>
    <w:rsid w:val="00F26181"/>
    <w:rsid w:val="00F65005"/>
    <w:rsid w:val="00F728F5"/>
    <w:rsid w:val="00F76B6A"/>
    <w:rsid w:val="00F979FE"/>
    <w:rsid w:val="00FC75E9"/>
    <w:rsid w:val="00FD3D08"/>
    <w:rsid w:val="00FD3EFA"/>
    <w:rsid w:val="00FD56CF"/>
    <w:rsid w:val="00FD6BDA"/>
    <w:rsid w:val="00FF5D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AE4FF"/>
  <w15:chartTrackingRefBased/>
  <w15:docId w15:val="{845CA81F-9EC1-4046-B6A2-D9954C5B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1449A3"/>
    <w:pPr>
      <w:spacing w:after="0" w:line="260" w:lineRule="atLeast"/>
    </w:pPr>
    <w:rPr>
      <w:rFonts w:ascii="Times New Roman" w:eastAsia="Calibri"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Title">
    <w:name w:val="LI - Title"/>
    <w:basedOn w:val="Normal"/>
    <w:next w:val="Normal"/>
    <w:qFormat/>
    <w:rsid w:val="001449A3"/>
    <w:pPr>
      <w:pBdr>
        <w:top w:val="single" w:sz="4" w:space="1" w:color="auto"/>
      </w:pBdr>
      <w:spacing w:line="240" w:lineRule="auto"/>
    </w:pPr>
    <w:rPr>
      <w:rFonts w:eastAsia="Times New Roman"/>
      <w:b/>
      <w:sz w:val="40"/>
      <w:lang w:eastAsia="en-AU"/>
    </w:rPr>
  </w:style>
  <w:style w:type="paragraph" w:customStyle="1" w:styleId="LI-Heading2">
    <w:name w:val="LI - Heading 2"/>
    <w:basedOn w:val="Normal"/>
    <w:next w:val="Normal"/>
    <w:qFormat/>
    <w:rsid w:val="001449A3"/>
    <w:pPr>
      <w:keepNext/>
      <w:keepLines/>
      <w:spacing w:before="360" w:line="240" w:lineRule="auto"/>
      <w:ind w:left="567" w:hanging="567"/>
      <w:outlineLvl w:val="1"/>
    </w:pPr>
    <w:rPr>
      <w:rFonts w:eastAsia="Times New Roman"/>
      <w:b/>
      <w:kern w:val="28"/>
      <w:sz w:val="24"/>
      <w:lang w:eastAsia="en-AU"/>
    </w:rPr>
  </w:style>
  <w:style w:type="paragraph" w:styleId="Header">
    <w:name w:val="header"/>
    <w:basedOn w:val="Normal"/>
    <w:link w:val="HeaderChar"/>
    <w:unhideWhenUsed/>
    <w:rsid w:val="001449A3"/>
    <w:pPr>
      <w:keepNext/>
      <w:keepLines/>
      <w:tabs>
        <w:tab w:val="center" w:pos="4150"/>
        <w:tab w:val="right" w:pos="8307"/>
      </w:tabs>
      <w:spacing w:line="160" w:lineRule="exact"/>
    </w:pPr>
    <w:rPr>
      <w:rFonts w:eastAsia="Times New Roman"/>
      <w:sz w:val="16"/>
      <w:lang w:eastAsia="en-AU"/>
    </w:rPr>
  </w:style>
  <w:style w:type="character" w:customStyle="1" w:styleId="HeaderChar">
    <w:name w:val="Header Char"/>
    <w:basedOn w:val="DefaultParagraphFont"/>
    <w:link w:val="Header"/>
    <w:rsid w:val="001449A3"/>
    <w:rPr>
      <w:rFonts w:ascii="Times New Roman" w:eastAsia="Times New Roman" w:hAnsi="Times New Roman" w:cs="Times New Roman"/>
      <w:sz w:val="16"/>
      <w:szCs w:val="20"/>
      <w:lang w:eastAsia="en-AU"/>
    </w:rPr>
  </w:style>
  <w:style w:type="paragraph" w:customStyle="1" w:styleId="LI-BodyTextParaa">
    <w:name w:val="LI - Body Text Para (a)"/>
    <w:basedOn w:val="Normal"/>
    <w:link w:val="LI-BodyTextParaaChar"/>
    <w:rsid w:val="001449A3"/>
    <w:pPr>
      <w:spacing w:before="240" w:line="240" w:lineRule="auto"/>
      <w:ind w:left="1701" w:hanging="567"/>
    </w:pPr>
    <w:rPr>
      <w:rFonts w:eastAsia="Times New Roman"/>
      <w:sz w:val="24"/>
      <w:szCs w:val="24"/>
      <w:lang w:eastAsia="en-AU"/>
    </w:rPr>
  </w:style>
  <w:style w:type="paragraph" w:styleId="Footer">
    <w:name w:val="footer"/>
    <w:link w:val="FooterChar"/>
    <w:uiPriority w:val="99"/>
    <w:rsid w:val="001449A3"/>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uiPriority w:val="99"/>
    <w:rsid w:val="001449A3"/>
    <w:rPr>
      <w:rFonts w:ascii="Times New Roman" w:eastAsia="Times New Roman" w:hAnsi="Times New Roman" w:cs="Times New Roman"/>
      <w:szCs w:val="24"/>
      <w:lang w:eastAsia="en-AU"/>
    </w:rPr>
  </w:style>
  <w:style w:type="paragraph" w:customStyle="1" w:styleId="LI-BodyTextSubparai">
    <w:name w:val="LI - Body Text Subpara (i)"/>
    <w:basedOn w:val="LI-BodyTextNumbered"/>
    <w:link w:val="LI-BodyTextSubparaiChar"/>
    <w:qFormat/>
    <w:rsid w:val="001449A3"/>
    <w:pPr>
      <w:numPr>
        <w:ilvl w:val="1"/>
      </w:numPr>
      <w:tabs>
        <w:tab w:val="num" w:pos="360"/>
      </w:tabs>
      <w:ind w:hanging="589"/>
    </w:pPr>
  </w:style>
  <w:style w:type="paragraph" w:customStyle="1" w:styleId="LI-BodyTextSubsubparaA">
    <w:name w:val="LI - Body Text Subsubpara (A)"/>
    <w:basedOn w:val="LI-BodyTextSubparai"/>
    <w:qFormat/>
    <w:rsid w:val="001449A3"/>
    <w:pPr>
      <w:numPr>
        <w:ilvl w:val="2"/>
      </w:numPr>
      <w:tabs>
        <w:tab w:val="num" w:pos="360"/>
      </w:tabs>
    </w:pPr>
  </w:style>
  <w:style w:type="character" w:customStyle="1" w:styleId="LI-BodyTextParaaChar">
    <w:name w:val="LI - Body Text Para (a) Char"/>
    <w:link w:val="LI-BodyTextParaa"/>
    <w:rsid w:val="001449A3"/>
    <w:rPr>
      <w:rFonts w:ascii="Times New Roman" w:eastAsia="Times New Roman" w:hAnsi="Times New Roman" w:cs="Times New Roman"/>
      <w:sz w:val="24"/>
      <w:szCs w:val="24"/>
      <w:lang w:eastAsia="en-AU"/>
    </w:rPr>
  </w:style>
  <w:style w:type="character" w:customStyle="1" w:styleId="LI-BodyTextSubparaiChar">
    <w:name w:val="LI - Body Text Subpara (i) Char"/>
    <w:basedOn w:val="LI-BodyTextParaaChar"/>
    <w:link w:val="LI-BodyTextSubparai"/>
    <w:rsid w:val="001449A3"/>
    <w:rPr>
      <w:rFonts w:ascii="Times New Roman" w:eastAsia="Times New Roman" w:hAnsi="Times New Roman" w:cs="Times New Roman"/>
      <w:sz w:val="24"/>
      <w:szCs w:val="24"/>
      <w:lang w:eastAsia="en-AU"/>
    </w:rPr>
  </w:style>
  <w:style w:type="paragraph" w:customStyle="1" w:styleId="LI-BodyTextNumbered">
    <w:name w:val="LI - Body Text Numbered"/>
    <w:basedOn w:val="LI-BodyTextParaa"/>
    <w:link w:val="LI-BodyTextNumberedChar"/>
    <w:qFormat/>
    <w:rsid w:val="001449A3"/>
    <w:pPr>
      <w:numPr>
        <w:numId w:val="1"/>
      </w:numPr>
      <w:ind w:left="709" w:hanging="567"/>
    </w:pPr>
  </w:style>
  <w:style w:type="paragraph" w:customStyle="1" w:styleId="LI-Footer">
    <w:name w:val="LI - Footer"/>
    <w:basedOn w:val="Normal"/>
    <w:link w:val="LI-FooterChar"/>
    <w:qFormat/>
    <w:rsid w:val="001449A3"/>
    <w:pPr>
      <w:pBdr>
        <w:top w:val="single" w:sz="6" w:space="1" w:color="auto"/>
      </w:pBdr>
      <w:tabs>
        <w:tab w:val="right" w:pos="8313"/>
      </w:tabs>
      <w:spacing w:before="120" w:line="0" w:lineRule="atLeast"/>
    </w:pPr>
    <w:rPr>
      <w:i/>
      <w:sz w:val="18"/>
    </w:rPr>
  </w:style>
  <w:style w:type="character" w:customStyle="1" w:styleId="LI-BodyTextNumberedChar">
    <w:name w:val="LI - Body Text Numbered Char"/>
    <w:link w:val="LI-BodyTextNumbered"/>
    <w:rsid w:val="001449A3"/>
    <w:rPr>
      <w:rFonts w:ascii="Times New Roman" w:eastAsia="Times New Roman" w:hAnsi="Times New Roman" w:cs="Times New Roman"/>
      <w:sz w:val="24"/>
      <w:szCs w:val="24"/>
      <w:lang w:eastAsia="en-AU"/>
    </w:rPr>
  </w:style>
  <w:style w:type="paragraph" w:customStyle="1" w:styleId="LI-SectionHeading">
    <w:name w:val="LI - Section Heading"/>
    <w:basedOn w:val="Normal"/>
    <w:link w:val="LI-SectionHeadingChar"/>
    <w:qFormat/>
    <w:rsid w:val="001449A3"/>
    <w:pPr>
      <w:spacing w:before="240" w:line="240" w:lineRule="auto"/>
      <w:ind w:left="2268" w:hanging="567"/>
    </w:pPr>
    <w:rPr>
      <w:rFonts w:eastAsia="Times New Roman"/>
      <w:b/>
      <w:sz w:val="24"/>
      <w:szCs w:val="24"/>
      <w:lang w:eastAsia="en-AU"/>
    </w:rPr>
  </w:style>
  <w:style w:type="character" w:customStyle="1" w:styleId="LI-FooterChar">
    <w:name w:val="LI - Footer Char"/>
    <w:link w:val="LI-Footer"/>
    <w:rsid w:val="001449A3"/>
    <w:rPr>
      <w:rFonts w:ascii="Times New Roman" w:eastAsia="Calibri" w:hAnsi="Times New Roman" w:cs="Times New Roman"/>
      <w:i/>
      <w:sz w:val="18"/>
      <w:szCs w:val="20"/>
    </w:rPr>
  </w:style>
  <w:style w:type="character" w:customStyle="1" w:styleId="LI-SectionHeadingChar">
    <w:name w:val="LI - Section Heading Char"/>
    <w:link w:val="LI-SectionHeading"/>
    <w:rsid w:val="001449A3"/>
    <w:rPr>
      <w:rFonts w:ascii="Times New Roman" w:eastAsia="Times New Roman" w:hAnsi="Times New Roman" w:cs="Times New Roman"/>
      <w:b/>
      <w:sz w:val="24"/>
      <w:szCs w:val="24"/>
      <w:lang w:eastAsia="en-AU"/>
    </w:rPr>
  </w:style>
  <w:style w:type="paragraph" w:customStyle="1" w:styleId="LI-Header">
    <w:name w:val="LI - Header"/>
    <w:basedOn w:val="LI-Footer"/>
    <w:link w:val="LI-HeaderChar"/>
    <w:qFormat/>
    <w:rsid w:val="001449A3"/>
    <w:pPr>
      <w:pBdr>
        <w:top w:val="none" w:sz="0" w:space="0" w:color="auto"/>
        <w:bottom w:val="single" w:sz="4" w:space="1" w:color="auto"/>
      </w:pBdr>
      <w:jc w:val="right"/>
    </w:pPr>
  </w:style>
  <w:style w:type="character" w:customStyle="1" w:styleId="LI-HeaderChar">
    <w:name w:val="LI - Header Char"/>
    <w:basedOn w:val="LI-FooterChar"/>
    <w:link w:val="LI-Header"/>
    <w:rsid w:val="001449A3"/>
    <w:rPr>
      <w:rFonts w:ascii="Times New Roman" w:eastAsia="Calibri" w:hAnsi="Times New Roman" w:cs="Times New Roman"/>
      <w:i/>
      <w:sz w:val="18"/>
      <w:szCs w:val="20"/>
    </w:rPr>
  </w:style>
  <w:style w:type="paragraph" w:customStyle="1" w:styleId="LI-Heading1">
    <w:name w:val="LI - Heading 1"/>
    <w:basedOn w:val="Normal"/>
    <w:next w:val="Normal"/>
    <w:qFormat/>
    <w:rsid w:val="003E61A0"/>
    <w:pPr>
      <w:keepNext/>
      <w:keepLines/>
      <w:spacing w:before="280" w:line="240" w:lineRule="auto"/>
      <w:ind w:left="1134" w:hanging="1134"/>
      <w:outlineLvl w:val="0"/>
    </w:pPr>
    <w:rPr>
      <w:rFonts w:eastAsia="Times New Roman"/>
      <w:b/>
      <w:kern w:val="28"/>
      <w:sz w:val="32"/>
      <w:lang w:eastAsia="en-AU"/>
    </w:rPr>
  </w:style>
  <w:style w:type="paragraph" w:styleId="Revision">
    <w:name w:val="Revision"/>
    <w:hidden/>
    <w:uiPriority w:val="99"/>
    <w:semiHidden/>
    <w:rsid w:val="00E87613"/>
    <w:pPr>
      <w:spacing w:after="0" w:line="240" w:lineRule="auto"/>
    </w:pPr>
    <w:rPr>
      <w:rFonts w:ascii="Times New Roman" w:eastAsia="Calibri" w:hAnsi="Times New Roman" w:cs="Times New Roman"/>
      <w:szCs w:val="20"/>
    </w:rPr>
  </w:style>
  <w:style w:type="paragraph" w:styleId="BalloonText">
    <w:name w:val="Balloon Text"/>
    <w:basedOn w:val="Normal"/>
    <w:link w:val="BalloonTextChar"/>
    <w:uiPriority w:val="99"/>
    <w:semiHidden/>
    <w:unhideWhenUsed/>
    <w:rsid w:val="00E8761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613"/>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371536"/>
    <w:rPr>
      <w:sz w:val="16"/>
      <w:szCs w:val="16"/>
    </w:rPr>
  </w:style>
  <w:style w:type="paragraph" w:styleId="CommentText">
    <w:name w:val="annotation text"/>
    <w:basedOn w:val="Normal"/>
    <w:link w:val="CommentTextChar"/>
    <w:uiPriority w:val="99"/>
    <w:semiHidden/>
    <w:unhideWhenUsed/>
    <w:rsid w:val="00371536"/>
    <w:pPr>
      <w:spacing w:line="240" w:lineRule="auto"/>
    </w:pPr>
    <w:rPr>
      <w:sz w:val="20"/>
    </w:rPr>
  </w:style>
  <w:style w:type="character" w:customStyle="1" w:styleId="CommentTextChar">
    <w:name w:val="Comment Text Char"/>
    <w:basedOn w:val="DefaultParagraphFont"/>
    <w:link w:val="CommentText"/>
    <w:uiPriority w:val="99"/>
    <w:semiHidden/>
    <w:rsid w:val="00371536"/>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1536"/>
    <w:rPr>
      <w:b/>
      <w:bCs/>
    </w:rPr>
  </w:style>
  <w:style w:type="character" w:customStyle="1" w:styleId="CommentSubjectChar">
    <w:name w:val="Comment Subject Char"/>
    <w:basedOn w:val="CommentTextChar"/>
    <w:link w:val="CommentSubject"/>
    <w:uiPriority w:val="99"/>
    <w:semiHidden/>
    <w:rsid w:val="00371536"/>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b4973703421488e858af43c024ffb3c xmlns="5e94e46f-8a31-44fb-a5d1-46121b3a81e6">
      <Terms xmlns="http://schemas.microsoft.com/office/infopath/2007/PartnerControls"/>
    </bb4973703421488e858af43c024ffb3c>
    <TaxCatchAll xmlns="5e94e46f-8a31-44fb-a5d1-46121b3a81e6">
      <Value>6</Value>
    </TaxCatchAll>
    <RecordNumber xmlns="da7a9ac0-bc47-4684-84e6-3a8e9ac80c12">R20200000570583</RecordNumber>
    <f03834e546ff4f91bb643cefe7f72353 xmlns="5e94e46f-8a31-44fb-a5d1-46121b3a81e6">
      <Terms xmlns="http://schemas.microsoft.com/office/infopath/2007/PartnerControls">
        <TermInfo xmlns="http://schemas.microsoft.com/office/infopath/2007/PartnerControls">
          <TermName xmlns="http://schemas.microsoft.com/office/infopath/2007/PartnerControls">Protected</TermName>
          <TermId xmlns="http://schemas.microsoft.com/office/infopath/2007/PartnerControls">0fdd1a11-afcd-482b-8e90-e57051455132</TermId>
        </TermInfo>
      </Terms>
    </f03834e546ff4f91bb643cefe7f72353>
    <DCI_x0020_Status xmlns="5e94e46f-8a31-44fb-a5d1-46121b3a81e6">Open</DCI_x0020_Status>
    <ObjectiveID xmlns="da7a9ac0-bc47-4684-84e6-3a8e9ac80c12" xsi:nil="true"/>
    <aac6b9abfac14f7285a142d118c2281e xmlns="da7a9ac0-bc47-4684-84e6-3a8e9ac80c12" xsi:nil="true"/>
    <IconOverlay xmlns="http://schemas.microsoft.com/sharepoint/v4" xsi:nil="true"/>
    <l2677784b7b3437ebb08c75827173fef xmlns="5e94e46f-8a31-44fb-a5d1-46121b3a81e6">
      <Terms xmlns="http://schemas.microsoft.com/office/infopath/2007/PartnerControls"/>
    </l2677784b7b3437ebb08c75827173fef>
    <SignificantFlag xmlns="da7a9ac0-bc47-4684-84e6-3a8e9ac80c12">false</SignificantFlag>
    <SenateOrder12 xmlns="da7a9ac0-bc47-4684-84e6-3a8e9ac80c12">false</SenateOrder12>
    <mb9a6403184e4fa5a21132c41d83c8e5 xmlns="5e94e46f-8a31-44fb-a5d1-46121b3a81e6">
      <Terms xmlns="http://schemas.microsoft.com/office/infopath/2007/PartnerControls"/>
    </mb9a6403184e4fa5a21132c41d83c8e5>
    <Approvers xmlns="17f478ab-373e-4295-9ff0-9b833ad01319">
      <UserInfo>
        <DisplayName/>
        <AccountId xsi:nil="true"/>
        <AccountType/>
      </UserInfo>
    </Approvers>
    <ded95d7ab059406991d558011d18c177 xmlns="da7a9ac0-bc47-4684-84e6-3a8e9ac80c12" xsi:nil="true"/>
    <Reviewers xmlns="17f478ab-373e-4295-9ff0-9b833ad01319">
      <UserInfo>
        <DisplayName/>
        <AccountId xsi:nil="true"/>
        <AccountType/>
      </UserInfo>
    </Reviewers>
    <Financial_x0020_Services xmlns="5e94e46f-8a31-44fb-a5d1-46121b3a81e6" xsi:nil="true"/>
    <SignificantReason xmlns="da7a9ac0-bc47-4684-84e6-3a8e9ac80c12" xsi:nil="true"/>
    <NotesLinks xmlns="da7a9ac0-bc47-4684-84e6-3a8e9ac80c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CI Application Document" ma:contentTypeID="0x010100B5F685A1365F544391EF8C813B164F3A18006283AFE01D4C1948963BC40026C1F3CE" ma:contentTypeVersion="31" ma:contentTypeDescription="" ma:contentTypeScope="" ma:versionID="17c2f348089c5a6e2a584f0c0f86fd61">
  <xsd:schema xmlns:xsd="http://www.w3.org/2001/XMLSchema" xmlns:xs="http://www.w3.org/2001/XMLSchema" xmlns:p="http://schemas.microsoft.com/office/2006/metadata/properties" xmlns:ns1="5e94e46f-8a31-44fb-a5d1-46121b3a81e6" xmlns:ns3="da7a9ac0-bc47-4684-84e6-3a8e9ac80c12" xmlns:ns4="17f478ab-373e-4295-9ff0-9b833ad01319" xmlns:ns6="http://schemas.microsoft.com/sharepoint/v4" targetNamespace="http://schemas.microsoft.com/office/2006/metadata/properties" ma:root="true" ma:fieldsID="6a3f7aea672e5e1122b33e1169658b06" ns1:_="" ns3:_="" ns4:_="" ns6:_="">
    <xsd:import namespace="5e94e46f-8a31-44fb-a5d1-46121b3a81e6"/>
    <xsd:import namespace="da7a9ac0-bc47-4684-84e6-3a8e9ac80c12"/>
    <xsd:import namespace="17f478ab-373e-4295-9ff0-9b833ad01319"/>
    <xsd:import namespace="http://schemas.microsoft.com/sharepoint/v4"/>
    <xsd:element name="properties">
      <xsd:complexType>
        <xsd:sequence>
          <xsd:element name="documentManagement">
            <xsd:complexType>
              <xsd:all>
                <xsd:element ref="ns1:Financial_x0020_Services" minOccurs="0"/>
                <xsd:element ref="ns3:RecordNumber" minOccurs="0"/>
                <xsd:element ref="ns3:ObjectiveID" minOccurs="0"/>
                <xsd:element ref="ns3:SenateOrder12" minOccurs="0"/>
                <xsd:element ref="ns3:SignificantFlag" minOccurs="0"/>
                <xsd:element ref="ns3:SignificantReason" minOccurs="0"/>
                <xsd:element ref="ns3:NotesLinks" minOccurs="0"/>
                <xsd:element ref="ns4:Reviewers" minOccurs="0"/>
                <xsd:element ref="ns4:Approvers" minOccurs="0"/>
                <xsd:element ref="ns3:ded95d7ab059406991d558011d18c177" minOccurs="0"/>
                <xsd:element ref="ns3:aac6b9abfac14f7285a142d118c2281e" minOccurs="0"/>
                <xsd:element ref="ns1:l2677784b7b3437ebb08c75827173fef" minOccurs="0"/>
                <xsd:element ref="ns1:f03834e546ff4f91bb643cefe7f72353" minOccurs="0"/>
                <xsd:element ref="ns6:IconOverlay" minOccurs="0"/>
                <xsd:element ref="ns1:TaxCatchAllLabel" minOccurs="0"/>
                <xsd:element ref="ns1:bb4973703421488e858af43c024ffb3c" minOccurs="0"/>
                <xsd:element ref="ns1:DCI_x0020_Status" minOccurs="0"/>
                <xsd:element ref="ns1:mb9a6403184e4fa5a21132c41d83c8e5" minOccurs="0"/>
                <xsd:element ref="ns1: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4e46f-8a31-44fb-a5d1-46121b3a81e6" elementFormDefault="qualified">
    <xsd:import namespace="http://schemas.microsoft.com/office/2006/documentManagement/types"/>
    <xsd:import namespace="http://schemas.microsoft.com/office/infopath/2007/PartnerControls"/>
    <xsd:element name="Financial_x0020_Services" ma:index="0" nillable="true" ma:displayName="Financial Services" ma:format="Dropdown" ma:internalName="Financial_x0020_Services">
      <xsd:simpleType>
        <xsd:restriction base="dms:Choice">
          <xsd:enumeration value="Credit"/>
          <xsd:enumeration value="Insurance"/>
          <xsd:enumeration value="Retail Banking &amp; Payments"/>
          <xsd:enumeration value="Other"/>
          <xsd:enumeration value="N/A"/>
        </xsd:restriction>
      </xsd:simpleType>
    </xsd:element>
    <xsd:element name="l2677784b7b3437ebb08c75827173fef" ma:index="19" nillable="true" ma:taxonomy="true" ma:internalName="l2677784b7b3437ebb08c75827173fef" ma:taxonomyFieldName="DCIApplicationDocumentType" ma:displayName="DCI Application Document Type" ma:fieldId="{52677784-b7b3-437e-bb08-c75827173fef}" ma:sspId="b38671ba-7d76-46f8-b8a5-5fc3a7d6229d" ma:termSetId="d78bde33-96d5-43ad-a7b4-89d91fd11609" ma:anchorId="00000000-0000-0000-0000-000000000000" ma:open="false" ma:isKeyword="false">
      <xsd:complexType>
        <xsd:sequence>
          <xsd:element ref="pc:Terms" minOccurs="0" maxOccurs="1"/>
        </xsd:sequence>
      </xsd:complexType>
    </xsd:element>
    <xsd:element name="f03834e546ff4f91bb643cefe7f72353" ma:index="20" ma:taxonomy="true" ma:internalName="f03834e546ff4f91bb643cefe7f72353" ma:taxonomyFieldName="SecurityClassification" ma:displayName="Security Classification" ma:default="-1;#PROTECTED|0fdd1a11-afcd-482b-8e90-e57051455132" ma:fieldId="{f03834e5-46ff-4f91-bb64-3cefe7f72353}" ma:sspId="b38671ba-7d76-46f8-b8a5-5fc3a7d6229d" ma:termSetId="1d2f2699-c9ac-44b7-aa84-d64945e6f0bf" ma:anchorId="00000000-0000-0000-0000-000000000000" ma:open="false" ma:isKeyword="false">
      <xsd:complexType>
        <xsd:sequence>
          <xsd:element ref="pc:Terms" minOccurs="0" maxOccurs="1"/>
        </xsd:sequence>
      </xsd:complexType>
    </xsd:element>
    <xsd:element name="TaxCatchAllLabel" ma:index="23" nillable="true" ma:displayName="Taxonomy Catch All Column1" ma:hidden="true" ma:list="{a2c2220a-0bdb-4614-9a2f-02155a413710}" ma:internalName="TaxCatchAllLabel" ma:readOnly="true" ma:showField="CatchAllDataLabel" ma:web="5e94e46f-8a31-44fb-a5d1-46121b3a81e6">
      <xsd:complexType>
        <xsd:complexContent>
          <xsd:extension base="dms:MultiChoiceLookup">
            <xsd:sequence>
              <xsd:element name="Value" type="dms:Lookup" maxOccurs="unbounded" minOccurs="0" nillable="true"/>
            </xsd:sequence>
          </xsd:extension>
        </xsd:complexContent>
      </xsd:complexType>
    </xsd:element>
    <xsd:element name="bb4973703421488e858af43c024ffb3c" ma:index="27" nillable="true" ma:taxonomy="true" ma:internalName="bb4973703421488e858af43c024ffb3c" ma:taxonomyFieldName="DCI_x0020_Application_x0020__x0026__x0020_Licensing_x0020_Category" ma:displayName="DCI Application &amp; Licensing Category" ma:default="" ma:fieldId="{bb497370-3421-488e-858a-f43c024ffb3c}" ma:sspId="b38671ba-7d76-46f8-b8a5-5fc3a7d6229d" ma:termSetId="30853767-692e-4344-b86f-a94dc98757c6" ma:anchorId="00000000-0000-0000-0000-000000000000" ma:open="false" ma:isKeyword="false">
      <xsd:complexType>
        <xsd:sequence>
          <xsd:element ref="pc:Terms" minOccurs="0" maxOccurs="1"/>
        </xsd:sequence>
      </xsd:complexType>
    </xsd:element>
    <xsd:element name="DCI_x0020_Status" ma:index="28" nillable="true" ma:displayName="DCI Status" ma:default="Open" ma:internalName="DCI_x0020_Status">
      <xsd:simpleType>
        <xsd:restriction base="dms:Unknown">
          <xsd:enumeration value="Open"/>
          <xsd:enumeration value="Closed"/>
        </xsd:restriction>
      </xsd:simpleType>
    </xsd:element>
    <xsd:element name="mb9a6403184e4fa5a21132c41d83c8e5" ma:index="30" nillable="true" ma:taxonomy="true" ma:internalName="mb9a6403184e4fa5a21132c41d83c8e5" ma:taxonomyFieldName="Entity" ma:displayName="Entity" ma:default="" ma:fieldId="{6b9a6403-184e-4fa5-a211-32c41d83c8e5}" ma:sspId="b38671ba-7d76-46f8-b8a5-5fc3a7d6229d" ma:termSetId="29904673-02a0-47f7-a426-ad49d82a0177" ma:anchorId="00000000-0000-0000-0000-000000000000" ma:open="true" ma:isKeyword="false">
      <xsd:complexType>
        <xsd:sequence>
          <xsd:element ref="pc:Terms" minOccurs="0" maxOccurs="1"/>
        </xsd:sequence>
      </xsd:complexType>
    </xsd:element>
    <xsd:element name="TaxCatchAll" ma:index="31" nillable="true" ma:displayName="Taxonomy Catch All Column" ma:hidden="true" ma:list="{a2c2220a-0bdb-4614-9a2f-02155a413710}" ma:internalName="TaxCatchAll" ma:showField="CatchAllData" ma:web="5e94e46f-8a31-44fb-a5d1-46121b3a8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2" nillable="true" ma:displayName="Document ID" ma:hidden="true" ma:internalName="RecordNumber">
      <xsd:simpleType>
        <xsd:restriction base="dms:Text">
          <xsd:maxLength value="255"/>
        </xsd:restriction>
      </xsd:simpleType>
    </xsd:element>
    <xsd:element name="ObjectiveID" ma:index="4" nillable="true" ma:displayName="Objective ID" ma:hidden="true" ma:internalName="ObjectiveID">
      <xsd:simpleType>
        <xsd:restriction base="dms:Text">
          <xsd:maxLength value="255"/>
        </xsd:restriction>
      </xsd:simpleType>
    </xsd:element>
    <xsd:element name="SenateOrder12" ma:index="5" nillable="true" ma:displayName="Senate Order #12" ma:default="0" ma:hidden="true" ma:internalName="SenateOrder12">
      <xsd:simpleType>
        <xsd:restriction base="dms:Boolean"/>
      </xsd:simpleType>
    </xsd:element>
    <xsd:element name="SignificantFlag" ma:index="6" nillable="true" ma:displayName="Significant Flag" ma:default="0" ma:hidden="true" ma:internalName="SignificantFlag">
      <xsd:simpleType>
        <xsd:restriction base="dms:Boolean"/>
      </xsd:simpleType>
    </xsd:element>
    <xsd:element name="SignificantReason" ma:index="7" nillable="true" ma:displayName="Significant Reason" ma:hidden="true" ma:internalName="SignificantReason">
      <xsd:simpleType>
        <xsd:restriction base="dms:Text">
          <xsd:maxLength value="255"/>
        </xsd:restriction>
      </xsd:simpleType>
    </xsd:element>
    <xsd:element name="NotesLinks" ma:index="8" nillable="true" ma:displayName="Notes &amp; Links" ma:description="Use this field to enter relevant document/site hyperlinks and/or notes." ma:internalName="NotesLinks" ma:readOnly="false">
      <xsd:simpleType>
        <xsd:restriction base="dms:Note"/>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aac6b9abfac14f7285a142d118c2281e" ma:index="17" nillable="true" ma:displayName="DCIApplicationDocumentType_0" ma:hidden="true" ma:internalName="aac6b9abfac14f7285a142d118c2281e"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9"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10"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6E6828-B940-4155-BCA8-C4631679435F}">
  <ds:schemaRefs>
    <ds:schemaRef ds:uri="http://purl.org/dc/elements/1.1/"/>
    <ds:schemaRef ds:uri="http://schemas.openxmlformats.org/package/2006/metadata/core-properties"/>
    <ds:schemaRef ds:uri="http://schemas.microsoft.com/office/2006/documentManagement/types"/>
    <ds:schemaRef ds:uri="http://purl.org/dc/terms/"/>
    <ds:schemaRef ds:uri="5e94e46f-8a31-44fb-a5d1-46121b3a81e6"/>
    <ds:schemaRef ds:uri="http://www.w3.org/XML/1998/namespace"/>
    <ds:schemaRef ds:uri="http://schemas.microsoft.com/office/2006/metadata/properties"/>
    <ds:schemaRef ds:uri="da7a9ac0-bc47-4684-84e6-3a8e9ac80c12"/>
    <ds:schemaRef ds:uri="http://schemas.microsoft.com/office/infopath/2007/PartnerControls"/>
    <ds:schemaRef ds:uri="http://schemas.microsoft.com/sharepoint/v4"/>
    <ds:schemaRef ds:uri="17f478ab-373e-4295-9ff0-9b833ad01319"/>
    <ds:schemaRef ds:uri="http://purl.org/dc/dcmitype/"/>
  </ds:schemaRefs>
</ds:datastoreItem>
</file>

<file path=customXml/itemProps2.xml><?xml version="1.0" encoding="utf-8"?>
<ds:datastoreItem xmlns:ds="http://schemas.openxmlformats.org/officeDocument/2006/customXml" ds:itemID="{135BB244-9A24-4BA8-AC79-67728A0BED66}">
  <ds:schemaRefs>
    <ds:schemaRef ds:uri="http://schemas.microsoft.com/sharepoint/v3/contenttype/forms"/>
  </ds:schemaRefs>
</ds:datastoreItem>
</file>

<file path=customXml/itemProps3.xml><?xml version="1.0" encoding="utf-8"?>
<ds:datastoreItem xmlns:ds="http://schemas.openxmlformats.org/officeDocument/2006/customXml" ds:itemID="{4119F949-7EAF-4F79-A9C3-9992360B4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4e46f-8a31-44fb-a5d1-46121b3a81e6"/>
    <ds:schemaRef ds:uri="da7a9ac0-bc47-4684-84e6-3a8e9ac80c12"/>
    <ds:schemaRef ds:uri="17f478ab-373e-4295-9ff0-9b833ad013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ED815130.dotm</Template>
  <TotalTime>345</TotalTime>
  <Pages>4</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Lung</dc:creator>
  <cp:keywords/>
  <dc:description/>
  <cp:lastModifiedBy>Andrew Lung</cp:lastModifiedBy>
  <cp:revision>17</cp:revision>
  <dcterms:created xsi:type="dcterms:W3CDTF">2020-09-22T03:55:00Z</dcterms:created>
  <dcterms:modified xsi:type="dcterms:W3CDTF">2020-09-25T04:30:00Z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0x010100B5F685A1365F544391EF8C813B164F3A18006283AFE01D4C1948963BC40026C1F3CE</vt:lpwstr>
  </property>
  <property fmtid="{D5CDD505-2E9C-101B-9397-08002B2CF9AE}" pid="3" name="RecordPoint_ActiveItemWebId">
    <vt:lpwstr>{5e94e46f-8a31-44fb-a5d1-46121b3a81e6}</vt:lpwstr>
  </property>
  <property fmtid="{D5CDD505-2E9C-101B-9397-08002B2CF9AE}" pid="4" name="RecordPoint_ActiveItemSiteId">
    <vt:lpwstr>{e8bbcff8-49a3-498e-b3e4-eb382cab6a9b}</vt:lpwstr>
  </property>
  <property fmtid="{D5CDD505-2E9C-101B-9397-08002B2CF9AE}" pid="5" name="RecordPoint_ActiveItemListId">
    <vt:lpwstr>{4863f2e7-d2eb-4fd7-bdd9-eaf5ffeea851}</vt:lpwstr>
  </property>
  <property fmtid="{D5CDD505-2E9C-101B-9397-08002B2CF9AE}" pid="6" name="DCIApplicationDocumentType">
    <vt:lpwstr/>
  </property>
  <property fmtid="{D5CDD505-2E9C-101B-9397-08002B2CF9AE}" pid="7" name="DCI Application &amp; Licensing Category">
    <vt:lpwstr/>
  </property>
  <property fmtid="{D5CDD505-2E9C-101B-9397-08002B2CF9AE}" pid="8" name="Entity">
    <vt:lpwstr/>
  </property>
  <property fmtid="{D5CDD505-2E9C-101B-9397-08002B2CF9AE}" pid="9" name="SecurityClassification">
    <vt:lpwstr>6;#Protected|0fdd1a11-afcd-482b-8e90-e57051455132</vt:lpwstr>
  </property>
  <property fmtid="{D5CDD505-2E9C-101B-9397-08002B2CF9AE}" pid="10" name="RecordPoint_WorkflowType">
    <vt:lpwstr>ActiveSubmitStub</vt:lpwstr>
  </property>
  <property fmtid="{D5CDD505-2E9C-101B-9397-08002B2CF9AE}" pid="11" name="RecordPoint_ActiveItemUniqueId">
    <vt:lpwstr>{f776a959-4433-43ef-83f8-68c152a6f77c}</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RecordNumberSubmitted">
    <vt:lpwstr>R20200000570583</vt:lpwstr>
  </property>
  <property fmtid="{D5CDD505-2E9C-101B-9397-08002B2CF9AE}" pid="16" name="RecordPoint_SubmissionCompleted">
    <vt:lpwstr>2020-09-24T10:14:24.7948599+10:00</vt:lpwstr>
  </property>
</Properties>
</file>