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A6DD2" w14:textId="77777777" w:rsidR="00202381" w:rsidRDefault="00202381" w:rsidP="003A6026">
      <w:pPr>
        <w:jc w:val="center"/>
      </w:pPr>
    </w:p>
    <w:p w14:paraId="2B13CDAF" w14:textId="77777777" w:rsidR="003A6026" w:rsidRPr="00B56115" w:rsidRDefault="003A6026" w:rsidP="003A6026">
      <w:pPr>
        <w:jc w:val="center"/>
        <w:rPr>
          <w:b/>
        </w:rPr>
      </w:pPr>
      <w:r w:rsidRPr="00B56115">
        <w:rPr>
          <w:b/>
        </w:rPr>
        <w:t>EXPLANATORY STATEMENT</w:t>
      </w:r>
    </w:p>
    <w:p w14:paraId="31C6757D" w14:textId="77777777" w:rsidR="00202381" w:rsidRPr="00B56115" w:rsidRDefault="00202381" w:rsidP="003A6026">
      <w:pPr>
        <w:rPr>
          <w:u w:val="single"/>
        </w:rPr>
      </w:pPr>
    </w:p>
    <w:p w14:paraId="2595F7C1" w14:textId="77777777" w:rsidR="003A6026" w:rsidRPr="00B56115" w:rsidRDefault="00873ADE" w:rsidP="00AB1D6C">
      <w:pPr>
        <w:jc w:val="center"/>
        <w:rPr>
          <w:b/>
          <w:i/>
        </w:rPr>
      </w:pPr>
      <w:r w:rsidRPr="00B56115">
        <w:rPr>
          <w:b/>
          <w:i/>
        </w:rPr>
        <w:t>National Health Act 1953</w:t>
      </w:r>
    </w:p>
    <w:p w14:paraId="054E7B90" w14:textId="5F8F0F82" w:rsidR="00857943" w:rsidRPr="00B56115" w:rsidRDefault="00857943" w:rsidP="00857943">
      <w:pPr>
        <w:spacing w:before="240"/>
        <w:jc w:val="center"/>
        <w:rPr>
          <w:b/>
          <w:i/>
          <w:sz w:val="22"/>
          <w:szCs w:val="22"/>
        </w:rPr>
      </w:pPr>
      <w:r w:rsidRPr="00B56115">
        <w:rPr>
          <w:b/>
          <w:i/>
          <w:sz w:val="22"/>
          <w:szCs w:val="22"/>
        </w:rPr>
        <w:t>NATIONAL HEALTH (CONTINUED DISPENSING) AMENDMENT DETERMINATION 2020</w:t>
      </w:r>
      <w:r w:rsidR="009C27A8" w:rsidRPr="00B56115">
        <w:rPr>
          <w:b/>
          <w:i/>
          <w:sz w:val="22"/>
          <w:szCs w:val="22"/>
        </w:rPr>
        <w:t xml:space="preserve"> (No. </w:t>
      </w:r>
      <w:r w:rsidRPr="00B56115">
        <w:rPr>
          <w:b/>
          <w:i/>
          <w:sz w:val="22"/>
          <w:szCs w:val="22"/>
        </w:rPr>
        <w:t>1)</w:t>
      </w:r>
    </w:p>
    <w:p w14:paraId="2EE6EBA0" w14:textId="77777777" w:rsidR="00857943" w:rsidRPr="00B56115" w:rsidRDefault="00857943" w:rsidP="00857943">
      <w:pPr>
        <w:spacing w:before="240"/>
        <w:jc w:val="center"/>
        <w:rPr>
          <w:b/>
          <w:i/>
          <w:sz w:val="22"/>
          <w:szCs w:val="22"/>
        </w:rPr>
      </w:pPr>
      <w:r w:rsidRPr="00B56115">
        <w:rPr>
          <w:b/>
        </w:rPr>
        <w:t>PB 98 of 2020</w:t>
      </w:r>
    </w:p>
    <w:p w14:paraId="6BEA2852" w14:textId="77777777" w:rsidR="00105604" w:rsidRPr="00B56115" w:rsidRDefault="00105604" w:rsidP="003211B2">
      <w:pPr>
        <w:spacing w:before="120"/>
      </w:pPr>
    </w:p>
    <w:p w14:paraId="1119D1C5" w14:textId="77777777" w:rsidR="00C546D6" w:rsidRPr="00B56115" w:rsidRDefault="00C546D6" w:rsidP="003211B2">
      <w:pPr>
        <w:spacing w:before="120"/>
        <w:rPr>
          <w:b/>
        </w:rPr>
      </w:pPr>
      <w:r w:rsidRPr="00B56115">
        <w:rPr>
          <w:b/>
        </w:rPr>
        <w:t>Purpose</w:t>
      </w:r>
    </w:p>
    <w:p w14:paraId="05F25F1D" w14:textId="4514D99E" w:rsidR="000401AA" w:rsidRPr="00B56115" w:rsidRDefault="00E8648D" w:rsidP="000401AA">
      <w:pPr>
        <w:spacing w:before="120"/>
        <w:rPr>
          <w:sz w:val="22"/>
          <w:szCs w:val="22"/>
        </w:rPr>
      </w:pPr>
      <w:r w:rsidRPr="00B56115">
        <w:rPr>
          <w:sz w:val="22"/>
        </w:rPr>
        <w:t xml:space="preserve">The purpose of this legislative </w:t>
      </w:r>
      <w:r w:rsidR="007A4AFB" w:rsidRPr="00B56115">
        <w:rPr>
          <w:sz w:val="22"/>
        </w:rPr>
        <w:t>instrument, made under subsection 89A(3) of the Act,</w:t>
      </w:r>
      <w:r w:rsidR="000D36C8" w:rsidRPr="00B56115">
        <w:rPr>
          <w:sz w:val="22"/>
        </w:rPr>
        <w:t xml:space="preserve"> is to amend the </w:t>
      </w:r>
      <w:r w:rsidR="000D36C8" w:rsidRPr="00B56115">
        <w:rPr>
          <w:i/>
          <w:sz w:val="22"/>
        </w:rPr>
        <w:t>National Health (Continued Dispensing) Determination 2012</w:t>
      </w:r>
      <w:r w:rsidR="008B4FB6" w:rsidRPr="00B56115">
        <w:rPr>
          <w:sz w:val="22"/>
        </w:rPr>
        <w:t xml:space="preserve"> (Principal Determination)</w:t>
      </w:r>
      <w:r w:rsidR="000D36C8" w:rsidRPr="00B56115">
        <w:rPr>
          <w:sz w:val="22"/>
        </w:rPr>
        <w:t xml:space="preserve"> </w:t>
      </w:r>
      <w:r w:rsidR="000401AA" w:rsidRPr="00B56115">
        <w:rPr>
          <w:sz w:val="22"/>
          <w:szCs w:val="22"/>
        </w:rPr>
        <w:t>to make changes to the pharmaceutical benefits eligible to be provided as a Continued Dispensing supply, and to update a definition used in the Principal Determination.</w:t>
      </w:r>
    </w:p>
    <w:p w14:paraId="26912F56" w14:textId="40C9F0A7" w:rsidR="000D36C8" w:rsidRPr="00B56115" w:rsidRDefault="000D36C8" w:rsidP="000401AA">
      <w:pPr>
        <w:spacing w:before="120"/>
        <w:rPr>
          <w:sz w:val="22"/>
        </w:rPr>
      </w:pPr>
      <w:r w:rsidRPr="00B56115">
        <w:rPr>
          <w:sz w:val="22"/>
        </w:rPr>
        <w:t>Th</w:t>
      </w:r>
      <w:r w:rsidR="008B4FB6" w:rsidRPr="00B56115">
        <w:rPr>
          <w:sz w:val="22"/>
        </w:rPr>
        <w:t>e Principal</w:t>
      </w:r>
      <w:r w:rsidRPr="00B56115">
        <w:rPr>
          <w:sz w:val="22"/>
        </w:rPr>
        <w:t xml:space="preserve"> </w:t>
      </w:r>
      <w:r w:rsidR="008B4FB6" w:rsidRPr="00B56115">
        <w:rPr>
          <w:sz w:val="22"/>
        </w:rPr>
        <w:t>D</w:t>
      </w:r>
      <w:r w:rsidRPr="00B56115">
        <w:rPr>
          <w:sz w:val="22"/>
        </w:rPr>
        <w:t>etermination specifies the pharmaceutical benefits that may be supplied, and the conditions that must be satisfied when those pharmaceutical benefits are supplied, by an approved pharmacist without a current prescription, but on the basis of a previous pre</w:t>
      </w:r>
      <w:r w:rsidR="000401AA" w:rsidRPr="00B56115">
        <w:rPr>
          <w:sz w:val="22"/>
        </w:rPr>
        <w:t xml:space="preserve">scription from a PBS prescriber </w:t>
      </w:r>
      <w:r w:rsidR="000401AA" w:rsidRPr="00B56115">
        <w:rPr>
          <w:sz w:val="22"/>
          <w:szCs w:val="22"/>
        </w:rPr>
        <w:t>(a Continued Dispensing supply).</w:t>
      </w:r>
    </w:p>
    <w:p w14:paraId="4B1D9664" w14:textId="77777777" w:rsidR="000401AA" w:rsidRPr="00B56115" w:rsidRDefault="000401AA" w:rsidP="000401AA">
      <w:pPr>
        <w:shd w:val="clear" w:color="auto" w:fill="FFFFFF"/>
        <w:spacing w:before="120"/>
        <w:rPr>
          <w:sz w:val="22"/>
          <w:szCs w:val="22"/>
        </w:rPr>
      </w:pPr>
      <w:r w:rsidRPr="00B56115">
        <w:rPr>
          <w:sz w:val="22"/>
          <w:szCs w:val="22"/>
        </w:rPr>
        <w:t xml:space="preserve">The amendments made to Schedule 1 of the Principal Determination by this Instrument provide for the alteration of the names of the listed drugs levonorgestrel with ethinyloestradiol and norethisterone with ethinyloestradiol (removing the 'o' from ethinyloestradiol) and for the deletion of forms of the drugs norethisterone with ethinyloestradiol and fluvastatin from the list of drugs that may be supplied as a Continued Dispensing supply.  These changes reflect amendments previously made to the </w:t>
      </w:r>
      <w:r w:rsidRPr="00B56115">
        <w:rPr>
          <w:i/>
          <w:sz w:val="22"/>
          <w:szCs w:val="22"/>
        </w:rPr>
        <w:t>National Health (Listing of Pharmaceutical Benefits) Instrument 2012</w:t>
      </w:r>
      <w:r w:rsidRPr="00B56115">
        <w:rPr>
          <w:sz w:val="22"/>
          <w:szCs w:val="22"/>
        </w:rPr>
        <w:t xml:space="preserve"> (PB 71 of 2012).  The </w:t>
      </w:r>
      <w:r w:rsidRPr="00B56115">
        <w:rPr>
          <w:i/>
          <w:sz w:val="22"/>
          <w:szCs w:val="22"/>
        </w:rPr>
        <w:t>National Health (Listing of Pharmaceutical Benefits) Instrument 2012</w:t>
      </w:r>
      <w:r w:rsidRPr="00B56115">
        <w:rPr>
          <w:sz w:val="22"/>
          <w:szCs w:val="22"/>
        </w:rPr>
        <w:t xml:space="preserve"> (PB 71 of 2012) is made under sections 84AF, 84AK, 85, 85A, 88 and 101 of the Act.</w:t>
      </w:r>
    </w:p>
    <w:p w14:paraId="491F5A16" w14:textId="49ABA788" w:rsidR="000401AA" w:rsidRPr="00B56115" w:rsidRDefault="000401AA" w:rsidP="000401AA">
      <w:pPr>
        <w:shd w:val="clear" w:color="auto" w:fill="FFFFFF"/>
        <w:spacing w:before="120"/>
        <w:rPr>
          <w:sz w:val="22"/>
          <w:szCs w:val="22"/>
        </w:rPr>
      </w:pPr>
      <w:r w:rsidRPr="00B56115">
        <w:rPr>
          <w:sz w:val="22"/>
          <w:szCs w:val="22"/>
        </w:rPr>
        <w:t xml:space="preserve">This Instrument also provides for amendment of the definition of “PSA Guidelines”, in order to update the version of the PSA Guidelines that applies to that which is in force on the day this Instrument takes effect.  The PSA Guidelines, which are the </w:t>
      </w:r>
      <w:r w:rsidRPr="00B56115">
        <w:rPr>
          <w:i/>
          <w:iCs/>
          <w:sz w:val="22"/>
          <w:szCs w:val="22"/>
        </w:rPr>
        <w:t xml:space="preserve">Guidelines for the Continued Dispensing of eligible prescribed medicines by pharmacists, </w:t>
      </w:r>
      <w:r w:rsidRPr="00B56115">
        <w:rPr>
          <w:iCs/>
          <w:sz w:val="22"/>
          <w:szCs w:val="22"/>
        </w:rPr>
        <w:t xml:space="preserve">are </w:t>
      </w:r>
      <w:r w:rsidRPr="00B56115">
        <w:rPr>
          <w:sz w:val="22"/>
          <w:szCs w:val="22"/>
        </w:rPr>
        <w:t>prepared and issued by the Pharmaceutical Society of Australia</w:t>
      </w:r>
      <w:r w:rsidRPr="00B56115">
        <w:rPr>
          <w:i/>
          <w:iCs/>
          <w:sz w:val="22"/>
          <w:szCs w:val="22"/>
        </w:rPr>
        <w:t>.</w:t>
      </w:r>
      <w:r w:rsidRPr="00B56115">
        <w:rPr>
          <w:sz w:val="22"/>
          <w:szCs w:val="22"/>
        </w:rPr>
        <w:t xml:space="preserve">  In conducting a Continued Dispensing supply, the Determination requires pharmacists to consider the PSA Guidelines.  The PSA Guidelines are incorporated by reference into this instrument (sections 2.01 and 2.10) and are freely available from the Pharmaceutical Society of Australia website at </w:t>
      </w:r>
      <w:hyperlink r:id="rId8" w:history="1">
        <w:r w:rsidRPr="00B56115">
          <w:rPr>
            <w:rStyle w:val="Hyperlink"/>
            <w:sz w:val="22"/>
            <w:szCs w:val="22"/>
          </w:rPr>
          <w:t>www.psa.org.au/</w:t>
        </w:r>
      </w:hyperlink>
      <w:r w:rsidRPr="00B56115">
        <w:rPr>
          <w:sz w:val="22"/>
          <w:szCs w:val="22"/>
        </w:rPr>
        <w:t>.</w:t>
      </w:r>
    </w:p>
    <w:p w14:paraId="4A31D4F4" w14:textId="77777777" w:rsidR="00DD023C" w:rsidRPr="00B56115" w:rsidRDefault="00DD023C" w:rsidP="00734B17">
      <w:pPr>
        <w:spacing w:before="120" w:after="200"/>
      </w:pPr>
      <w:r w:rsidRPr="00B56115">
        <w:rPr>
          <w:sz w:val="22"/>
          <w:szCs w:val="22"/>
        </w:rPr>
        <w:t xml:space="preserve">A provision by provision description of this Instrument is contained in the </w:t>
      </w:r>
      <w:r w:rsidRPr="00B56115">
        <w:rPr>
          <w:sz w:val="22"/>
          <w:szCs w:val="22"/>
          <w:u w:val="single"/>
        </w:rPr>
        <w:t>Attachment</w:t>
      </w:r>
      <w:r w:rsidRPr="00B56115">
        <w:rPr>
          <w:sz w:val="22"/>
          <w:szCs w:val="22"/>
        </w:rPr>
        <w:t>.</w:t>
      </w:r>
      <w:r w:rsidRPr="00B56115">
        <w:t xml:space="preserve"> </w:t>
      </w:r>
    </w:p>
    <w:p w14:paraId="74C36AF5" w14:textId="77777777" w:rsidR="003211B2" w:rsidRPr="00B56115" w:rsidRDefault="003211B2" w:rsidP="003211B2">
      <w:pPr>
        <w:spacing w:before="240"/>
      </w:pPr>
      <w:r w:rsidRPr="00B56115">
        <w:rPr>
          <w:b/>
        </w:rPr>
        <w:t>Authority</w:t>
      </w:r>
      <w:r w:rsidRPr="00B56115">
        <w:t xml:space="preserve"> </w:t>
      </w:r>
    </w:p>
    <w:p w14:paraId="07EB1C70" w14:textId="77777777" w:rsidR="003211B2" w:rsidRPr="00B56115" w:rsidRDefault="003211B2" w:rsidP="003211B2">
      <w:pPr>
        <w:spacing w:before="120"/>
        <w:rPr>
          <w:b/>
        </w:rPr>
      </w:pPr>
      <w:r w:rsidRPr="00B56115">
        <w:rPr>
          <w:sz w:val="22"/>
        </w:rPr>
        <w:t xml:space="preserve">Subsection 89A(3) of the </w:t>
      </w:r>
      <w:r w:rsidRPr="00B56115">
        <w:rPr>
          <w:i/>
          <w:sz w:val="22"/>
        </w:rPr>
        <w:t>National Health Act 1953</w:t>
      </w:r>
      <w:r w:rsidRPr="00B56115">
        <w:rPr>
          <w:sz w:val="22"/>
        </w:rPr>
        <w:t xml:space="preserve"> (the Act) provides that the Minister may determine the pharmaceutical benefits that can be supplied by an approved pharmacist under Part VII of the Act without a prescription, and the conditions for such a supply (‘Continued Dispensing’).</w:t>
      </w:r>
    </w:p>
    <w:p w14:paraId="60F3DDA9" w14:textId="77777777" w:rsidR="00DD023C" w:rsidRPr="00B56115" w:rsidRDefault="00DD023C" w:rsidP="003211B2">
      <w:pPr>
        <w:spacing w:before="240"/>
        <w:rPr>
          <w:b/>
        </w:rPr>
      </w:pPr>
      <w:r w:rsidRPr="00B56115">
        <w:rPr>
          <w:b/>
        </w:rPr>
        <w:t>Consultation</w:t>
      </w:r>
    </w:p>
    <w:p w14:paraId="11F49770" w14:textId="32890528" w:rsidR="003211B2" w:rsidRPr="00B56115" w:rsidRDefault="000401AA" w:rsidP="000401AA">
      <w:pPr>
        <w:spacing w:before="120" w:after="200"/>
        <w:rPr>
          <w:sz w:val="22"/>
          <w:lang w:val="en-US"/>
        </w:rPr>
      </w:pPr>
      <w:r w:rsidRPr="00B56115">
        <w:rPr>
          <w:sz w:val="22"/>
          <w:lang w:val="en-US"/>
        </w:rPr>
        <w:t>Broad consultation was undertaken throughout the development of the Continued Dispensing supply initiative.  A public written consultation process was undertaken in 2011.  Responses were received from a broad cross section of stakeholders within key industry groups including prescribers, pharmacists and consumers.  The responses provided both positive and constructive feedback that was used in finalising policy parameters for the initiative.  The Department has continued to engage with stakeholder groups, including the Pharmaceutical Society of Australia, Services Australia and state and territory Health departments, as individual issues are identified.</w:t>
      </w:r>
    </w:p>
    <w:p w14:paraId="31C940BE" w14:textId="77777777" w:rsidR="000401AA" w:rsidRPr="00B56115" w:rsidRDefault="000401AA" w:rsidP="000401AA">
      <w:pPr>
        <w:spacing w:before="120"/>
        <w:rPr>
          <w:sz w:val="22"/>
          <w:lang w:val="en-US"/>
        </w:rPr>
      </w:pPr>
      <w:r w:rsidRPr="00B56115">
        <w:rPr>
          <w:sz w:val="22"/>
          <w:lang w:val="en-US"/>
        </w:rPr>
        <w:lastRenderedPageBreak/>
        <w:t>It was considered that further consultation for this Instrument was unnecessary due to the nature of the consultation that has already taken place, and the minor and machinery nature of the amendments being made by this Instrument.</w:t>
      </w:r>
    </w:p>
    <w:p w14:paraId="6F627150" w14:textId="77777777" w:rsidR="003211B2" w:rsidRPr="00B56115" w:rsidRDefault="003211B2" w:rsidP="003211B2">
      <w:pPr>
        <w:spacing w:before="240"/>
        <w:rPr>
          <w:b/>
          <w:szCs w:val="22"/>
        </w:rPr>
      </w:pPr>
      <w:r w:rsidRPr="00B56115">
        <w:rPr>
          <w:b/>
          <w:szCs w:val="22"/>
        </w:rPr>
        <w:t>General</w:t>
      </w:r>
    </w:p>
    <w:p w14:paraId="2EA1EACC" w14:textId="77777777" w:rsidR="003211B2" w:rsidRPr="00B56115" w:rsidRDefault="003211B2" w:rsidP="003211B2">
      <w:pPr>
        <w:spacing w:before="120"/>
        <w:rPr>
          <w:sz w:val="22"/>
          <w:szCs w:val="22"/>
        </w:rPr>
      </w:pPr>
      <w:r w:rsidRPr="00B56115">
        <w:rPr>
          <w:sz w:val="22"/>
          <w:szCs w:val="22"/>
        </w:rPr>
        <w:t>A provision-by-provision description of this instrument is contained in the Attachment.</w:t>
      </w:r>
    </w:p>
    <w:p w14:paraId="14B95AC5" w14:textId="77777777" w:rsidR="003211B2" w:rsidRPr="00B56115" w:rsidRDefault="003211B2" w:rsidP="003211B2">
      <w:pPr>
        <w:spacing w:before="120"/>
        <w:rPr>
          <w:sz w:val="22"/>
          <w:szCs w:val="22"/>
        </w:rPr>
      </w:pPr>
      <w:r w:rsidRPr="00B56115">
        <w:rPr>
          <w:sz w:val="22"/>
          <w:szCs w:val="22"/>
        </w:rPr>
        <w:t>This instrument commences on 1 October 2020.</w:t>
      </w:r>
    </w:p>
    <w:p w14:paraId="25DBF60F" w14:textId="77777777" w:rsidR="00DE7EF7" w:rsidRPr="00B56115" w:rsidRDefault="00DE7EF7" w:rsidP="00F24A01">
      <w:pPr>
        <w:spacing w:before="120"/>
        <w:rPr>
          <w:sz w:val="22"/>
          <w:szCs w:val="22"/>
          <w:lang w:val="en-US"/>
        </w:rPr>
      </w:pPr>
      <w:r w:rsidRPr="00B56115">
        <w:rPr>
          <w:sz w:val="22"/>
          <w:szCs w:val="22"/>
          <w:lang w:val="en-US"/>
        </w:rPr>
        <w:t xml:space="preserve">This Instrument is a legislative instrument for the purposes of the </w:t>
      </w:r>
      <w:r w:rsidRPr="00B56115">
        <w:rPr>
          <w:i/>
          <w:sz w:val="22"/>
          <w:szCs w:val="22"/>
          <w:lang w:val="en-US"/>
        </w:rPr>
        <w:t>Legislative Instruments Act 2003</w:t>
      </w:r>
      <w:r w:rsidRPr="00B56115">
        <w:rPr>
          <w:sz w:val="22"/>
          <w:szCs w:val="22"/>
          <w:lang w:val="en-US"/>
        </w:rPr>
        <w:t>.</w:t>
      </w:r>
    </w:p>
    <w:p w14:paraId="027B63A9" w14:textId="77777777" w:rsidR="00DE7EF7" w:rsidRPr="00B56115" w:rsidRDefault="00DE7EF7" w:rsidP="009961E3">
      <w:pPr>
        <w:spacing w:after="200"/>
        <w:rPr>
          <w:lang w:val="en-US"/>
        </w:rPr>
      </w:pPr>
    </w:p>
    <w:p w14:paraId="52AB0570" w14:textId="77777777" w:rsidR="00DD023C" w:rsidRPr="00B56115" w:rsidRDefault="00DD023C" w:rsidP="00DD023C">
      <w:pPr>
        <w:spacing w:after="200"/>
        <w:rPr>
          <w:lang w:val="en-US"/>
        </w:rPr>
      </w:pPr>
    </w:p>
    <w:p w14:paraId="05FC78A1" w14:textId="77777777" w:rsidR="00DD023C" w:rsidRPr="00B56115" w:rsidRDefault="00DD023C" w:rsidP="00DD023C">
      <w:pPr>
        <w:spacing w:after="200"/>
        <w:jc w:val="right"/>
        <w:rPr>
          <w:b/>
        </w:rPr>
      </w:pPr>
      <w:r w:rsidRPr="00B56115">
        <w:rPr>
          <w:sz w:val="23"/>
          <w:szCs w:val="23"/>
          <w:lang w:val="en-US"/>
        </w:rPr>
        <w:br w:type="page"/>
      </w:r>
      <w:r w:rsidRPr="00B56115">
        <w:rPr>
          <w:b/>
        </w:rPr>
        <w:lastRenderedPageBreak/>
        <w:t>ATTACHMENT</w:t>
      </w:r>
    </w:p>
    <w:p w14:paraId="41AC61ED" w14:textId="2E1BBA7D" w:rsidR="00DD023C" w:rsidRPr="00B56115" w:rsidRDefault="00DD023C" w:rsidP="00DD023C">
      <w:pPr>
        <w:spacing w:before="240"/>
        <w:rPr>
          <w:b/>
          <w:i/>
        </w:rPr>
      </w:pPr>
      <w:r w:rsidRPr="00B56115">
        <w:rPr>
          <w:b/>
        </w:rPr>
        <w:t xml:space="preserve">PROVISION BY PROVISION DESCRIPTION OF THE </w:t>
      </w:r>
      <w:r w:rsidRPr="00B56115">
        <w:rPr>
          <w:b/>
          <w:i/>
        </w:rPr>
        <w:t>NATIONAL HEALTH (CONTINUED DISPENSING) AMENDMENT DETERMINATION 20</w:t>
      </w:r>
      <w:r w:rsidR="00F24A01" w:rsidRPr="00B56115">
        <w:rPr>
          <w:b/>
          <w:i/>
        </w:rPr>
        <w:t>20</w:t>
      </w:r>
      <w:r w:rsidRPr="00B56115">
        <w:rPr>
          <w:b/>
          <w:i/>
        </w:rPr>
        <w:t xml:space="preserve"> (No.</w:t>
      </w:r>
      <w:r w:rsidR="009C27A8" w:rsidRPr="00B56115">
        <w:rPr>
          <w:b/>
          <w:i/>
        </w:rPr>
        <w:t xml:space="preserve"> </w:t>
      </w:r>
      <w:r w:rsidRPr="00B56115">
        <w:rPr>
          <w:b/>
          <w:i/>
        </w:rPr>
        <w:t xml:space="preserve">1) </w:t>
      </w:r>
    </w:p>
    <w:p w14:paraId="0D3585BC" w14:textId="77777777" w:rsidR="00DD023C" w:rsidRPr="00B56115" w:rsidRDefault="00DD023C" w:rsidP="00DD023C">
      <w:pPr>
        <w:spacing w:after="200"/>
        <w:rPr>
          <w:i/>
          <w:u w:val="single"/>
        </w:rPr>
      </w:pPr>
      <w:r w:rsidRPr="00B56115">
        <w:rPr>
          <w:i/>
          <w:u w:val="single"/>
        </w:rPr>
        <w:t xml:space="preserve"> </w:t>
      </w:r>
    </w:p>
    <w:p w14:paraId="59583F75" w14:textId="77777777" w:rsidR="00DD023C" w:rsidRPr="00B56115" w:rsidRDefault="00DD023C" w:rsidP="00DD023C">
      <w:pPr>
        <w:spacing w:after="200"/>
        <w:rPr>
          <w:b/>
        </w:rPr>
      </w:pPr>
      <w:r w:rsidRPr="00B56115">
        <w:rPr>
          <w:b/>
        </w:rPr>
        <w:t>1</w:t>
      </w:r>
      <w:r w:rsidRPr="00B56115">
        <w:rPr>
          <w:b/>
        </w:rPr>
        <w:tab/>
        <w:t>Name of Instrument</w:t>
      </w:r>
    </w:p>
    <w:p w14:paraId="29875441" w14:textId="447179AE" w:rsidR="00DD023C" w:rsidRPr="00B56115" w:rsidRDefault="00DD023C" w:rsidP="00DD023C">
      <w:pPr>
        <w:spacing w:after="200"/>
        <w:rPr>
          <w:i/>
        </w:rPr>
      </w:pPr>
      <w:r w:rsidRPr="00B56115">
        <w:t xml:space="preserve">This section provides that this Instrument is the </w:t>
      </w:r>
      <w:r w:rsidRPr="00B56115">
        <w:rPr>
          <w:i/>
        </w:rPr>
        <w:t>National Health (Continued Dispensing) Amendment Determination 20</w:t>
      </w:r>
      <w:r w:rsidR="00F24A01" w:rsidRPr="00B56115">
        <w:rPr>
          <w:i/>
        </w:rPr>
        <w:t>20</w:t>
      </w:r>
      <w:r w:rsidRPr="00B56115">
        <w:rPr>
          <w:i/>
        </w:rPr>
        <w:t xml:space="preserve"> (No.</w:t>
      </w:r>
      <w:r w:rsidR="009C27A8" w:rsidRPr="00B56115">
        <w:rPr>
          <w:i/>
        </w:rPr>
        <w:t xml:space="preserve"> </w:t>
      </w:r>
      <w:r w:rsidRPr="00B56115">
        <w:rPr>
          <w:i/>
        </w:rPr>
        <w:t>1)</w:t>
      </w:r>
      <w:r w:rsidRPr="00B56115">
        <w:t xml:space="preserve"> and t</w:t>
      </w:r>
      <w:r w:rsidR="00016285" w:rsidRPr="00B56115">
        <w:t>hat it may also be c</w:t>
      </w:r>
      <w:r w:rsidR="001B3CE5" w:rsidRPr="00B56115">
        <w:t xml:space="preserve">ited as PB </w:t>
      </w:r>
      <w:r w:rsidR="00F24A01" w:rsidRPr="00B56115">
        <w:t>98</w:t>
      </w:r>
      <w:r w:rsidRPr="00B56115">
        <w:t xml:space="preserve"> of 20</w:t>
      </w:r>
      <w:r w:rsidR="00F24A01" w:rsidRPr="00B56115">
        <w:t>20</w:t>
      </w:r>
      <w:r w:rsidRPr="00B56115">
        <w:rPr>
          <w:i/>
        </w:rPr>
        <w:t>.</w:t>
      </w:r>
    </w:p>
    <w:p w14:paraId="47B818E8" w14:textId="77777777" w:rsidR="00DD023C" w:rsidRPr="00B56115" w:rsidRDefault="00DD023C" w:rsidP="00DD023C">
      <w:pPr>
        <w:spacing w:after="200"/>
        <w:rPr>
          <w:b/>
        </w:rPr>
      </w:pPr>
      <w:r w:rsidRPr="00B56115">
        <w:rPr>
          <w:b/>
        </w:rPr>
        <w:t>2</w:t>
      </w:r>
      <w:r w:rsidRPr="00B56115">
        <w:rPr>
          <w:b/>
        </w:rPr>
        <w:tab/>
        <w:t>Commencement</w:t>
      </w:r>
    </w:p>
    <w:p w14:paraId="7CA04735" w14:textId="77777777" w:rsidR="00DD023C" w:rsidRPr="00B56115" w:rsidRDefault="00F24A01" w:rsidP="00DD023C">
      <w:pPr>
        <w:spacing w:after="200"/>
      </w:pPr>
      <w:r w:rsidRPr="00B56115">
        <w:rPr>
          <w:color w:val="000000"/>
          <w:sz w:val="22"/>
          <w:szCs w:val="22"/>
        </w:rPr>
        <w:t>This section provides that the instrument commences on 1 October 2020.</w:t>
      </w:r>
      <w:r w:rsidR="00DD023C" w:rsidRPr="00B56115">
        <w:t xml:space="preserve"> </w:t>
      </w:r>
    </w:p>
    <w:p w14:paraId="2BD8AEAC" w14:textId="77777777" w:rsidR="00F24A01" w:rsidRPr="00B56115" w:rsidRDefault="00F24A01" w:rsidP="00F24A01">
      <w:pPr>
        <w:rPr>
          <w:b/>
          <w:sz w:val="22"/>
          <w:szCs w:val="22"/>
        </w:rPr>
      </w:pPr>
      <w:r w:rsidRPr="00B56115">
        <w:rPr>
          <w:b/>
        </w:rPr>
        <w:t>3</w:t>
      </w:r>
      <w:r w:rsidRPr="00B56115">
        <w:rPr>
          <w:b/>
        </w:rPr>
        <w:tab/>
        <w:t>Authority</w:t>
      </w:r>
    </w:p>
    <w:p w14:paraId="32B1BE0C" w14:textId="77777777" w:rsidR="00F24A01" w:rsidRPr="00B56115" w:rsidRDefault="00F24A01" w:rsidP="00F24A01">
      <w:pPr>
        <w:tabs>
          <w:tab w:val="left" w:pos="1418"/>
        </w:tabs>
        <w:spacing w:before="240"/>
        <w:rPr>
          <w:b/>
          <w:sz w:val="28"/>
          <w:szCs w:val="22"/>
        </w:rPr>
      </w:pPr>
      <w:r w:rsidRPr="00B56115">
        <w:rPr>
          <w:color w:val="000000"/>
          <w:sz w:val="22"/>
          <w:szCs w:val="19"/>
        </w:rPr>
        <w:t xml:space="preserve">This section states that this instrument is made under subsection 89A(3) of the </w:t>
      </w:r>
      <w:r w:rsidRPr="00B56115">
        <w:rPr>
          <w:i/>
          <w:iCs/>
          <w:color w:val="000000"/>
          <w:sz w:val="22"/>
          <w:szCs w:val="19"/>
        </w:rPr>
        <w:t>National Health Act 1953</w:t>
      </w:r>
      <w:r w:rsidRPr="00B56115">
        <w:rPr>
          <w:color w:val="000000"/>
          <w:sz w:val="22"/>
          <w:szCs w:val="19"/>
        </w:rPr>
        <w:t>.</w:t>
      </w:r>
    </w:p>
    <w:p w14:paraId="67D4A9B9" w14:textId="21237AD6" w:rsidR="00DD023C" w:rsidRPr="00B56115" w:rsidRDefault="00F24A01" w:rsidP="00F24A01">
      <w:pPr>
        <w:spacing w:before="240"/>
        <w:ind w:left="709" w:hanging="709"/>
        <w:rPr>
          <w:b/>
          <w:i/>
        </w:rPr>
      </w:pPr>
      <w:r w:rsidRPr="00B56115">
        <w:rPr>
          <w:b/>
        </w:rPr>
        <w:t>4</w:t>
      </w:r>
      <w:r w:rsidRPr="00B56115">
        <w:rPr>
          <w:b/>
        </w:rPr>
        <w:tab/>
      </w:r>
      <w:r w:rsidR="00DD023C" w:rsidRPr="00B56115">
        <w:rPr>
          <w:b/>
        </w:rPr>
        <w:t xml:space="preserve">Amendments to </w:t>
      </w:r>
      <w:r w:rsidR="00DD023C" w:rsidRPr="00B56115">
        <w:rPr>
          <w:b/>
          <w:i/>
        </w:rPr>
        <w:t xml:space="preserve">National Health (Continued Dispensing) Determination </w:t>
      </w:r>
      <w:r w:rsidRPr="00B56115">
        <w:rPr>
          <w:b/>
          <w:i/>
        </w:rPr>
        <w:t>20</w:t>
      </w:r>
      <w:r w:rsidR="000401AA" w:rsidRPr="00B56115">
        <w:rPr>
          <w:b/>
          <w:i/>
        </w:rPr>
        <w:t>12</w:t>
      </w:r>
    </w:p>
    <w:p w14:paraId="21703FD5" w14:textId="4F3FC091" w:rsidR="000401AA" w:rsidRPr="00B56115" w:rsidRDefault="00006677" w:rsidP="000401AA">
      <w:pPr>
        <w:spacing w:before="240"/>
      </w:pPr>
      <w:r w:rsidRPr="00B56115">
        <w:rPr>
          <w:sz w:val="22"/>
          <w:szCs w:val="22"/>
        </w:rPr>
        <w:t>T</w:t>
      </w:r>
      <w:r w:rsidR="000401AA" w:rsidRPr="00B56115">
        <w:rPr>
          <w:sz w:val="22"/>
          <w:szCs w:val="22"/>
        </w:rPr>
        <w:t xml:space="preserve">he amendments in Schedule 1 involve the alteration of the name of two listed drugs and the deletion of three forms of listed drugs from the list of pharmaceutical benefits that can be supplied as a Continued Dispensing supply.  These changes are summarised below.  </w:t>
      </w:r>
      <w:r w:rsidR="000401AA" w:rsidRPr="00B56115">
        <w:rPr>
          <w:sz w:val="22"/>
        </w:rPr>
        <w:t>The amendments in Schedule 1 also involve an alteration of the definition of PSA Guidelines, to update the applicable version to that which is in force on the day this Instrument takes effect.</w:t>
      </w:r>
      <w:r w:rsidR="000401AA" w:rsidRPr="00B56115">
        <w:rPr>
          <w:i/>
        </w:rPr>
        <w:t xml:space="preserve">  </w:t>
      </w:r>
    </w:p>
    <w:p w14:paraId="690F19E7" w14:textId="2802ADC9" w:rsidR="00DD023C" w:rsidRPr="00B56115" w:rsidRDefault="000401AA" w:rsidP="000401AA">
      <w:pPr>
        <w:spacing w:before="360" w:after="200"/>
        <w:jc w:val="center"/>
        <w:rPr>
          <w:b/>
          <w:sz w:val="28"/>
        </w:rPr>
      </w:pPr>
      <w:r w:rsidRPr="00B56115">
        <w:rPr>
          <w:b/>
          <w:sz w:val="22"/>
          <w:szCs w:val="22"/>
        </w:rPr>
        <w:t>SUMMARY OF CHANGES TO THE</w:t>
      </w:r>
      <w:r w:rsidRPr="00B56115">
        <w:rPr>
          <w:b/>
          <w:sz w:val="22"/>
          <w:szCs w:val="22"/>
        </w:rPr>
        <w:br/>
      </w:r>
      <w:r w:rsidRPr="00B56115">
        <w:rPr>
          <w:b/>
          <w:i/>
          <w:sz w:val="22"/>
          <w:szCs w:val="22"/>
        </w:rPr>
        <w:t>NATIONAL HEALTH (CONTINUED DISPENSING) DETERMINATION 2012</w:t>
      </w:r>
      <w:r w:rsidRPr="00B56115">
        <w:rPr>
          <w:b/>
          <w:sz w:val="22"/>
          <w:szCs w:val="22"/>
        </w:rPr>
        <w:br/>
        <w:t>MADE BY THIS INSTRUMENT</w:t>
      </w:r>
    </w:p>
    <w:p w14:paraId="51421612" w14:textId="12673A95" w:rsidR="00C2137E" w:rsidRPr="00B56115" w:rsidRDefault="00AB7126" w:rsidP="00AB7126">
      <w:pPr>
        <w:keepNext/>
        <w:widowControl w:val="0"/>
        <w:spacing w:before="360"/>
        <w:rPr>
          <w:b/>
        </w:rPr>
      </w:pPr>
      <w:r w:rsidRPr="00B56115">
        <w:rPr>
          <w:b/>
        </w:rPr>
        <w:t>Alteration of Listed Drug Name</w:t>
      </w:r>
    </w:p>
    <w:tbl>
      <w:tblPr>
        <w:tblStyle w:val="TableGrid"/>
        <w:tblW w:w="9128" w:type="dxa"/>
        <w:tblCellMar>
          <w:top w:w="28" w:type="dxa"/>
          <w:left w:w="28" w:type="dxa"/>
          <w:bottom w:w="28" w:type="dxa"/>
          <w:right w:w="28" w:type="dxa"/>
        </w:tblCellMar>
        <w:tblLook w:val="04A0" w:firstRow="1" w:lastRow="0" w:firstColumn="1" w:lastColumn="0" w:noHBand="0" w:noVBand="1"/>
      </w:tblPr>
      <w:tblGrid>
        <w:gridCol w:w="9128"/>
      </w:tblGrid>
      <w:tr w:rsidR="00AB7126" w:rsidRPr="00B56115" w14:paraId="6FC6D63A" w14:textId="77777777" w:rsidTr="00AB7126">
        <w:trPr>
          <w:trHeight w:val="319"/>
        </w:trPr>
        <w:tc>
          <w:tcPr>
            <w:tcW w:w="9128" w:type="dxa"/>
          </w:tcPr>
          <w:p w14:paraId="34F32B09" w14:textId="77777777" w:rsidR="00AB7126" w:rsidRPr="00B56115" w:rsidRDefault="00AB7126" w:rsidP="00284636">
            <w:pPr>
              <w:keepNext/>
              <w:spacing w:before="60"/>
              <w:rPr>
                <w:rFonts w:eastAsia="Arial"/>
                <w:sz w:val="22"/>
                <w:szCs w:val="22"/>
                <w:lang w:eastAsia="zh-CN"/>
              </w:rPr>
            </w:pPr>
            <w:r w:rsidRPr="00B56115">
              <w:rPr>
                <w:b/>
                <w:i/>
                <w:sz w:val="22"/>
              </w:rPr>
              <w:t>Listed Drug</w:t>
            </w:r>
          </w:p>
        </w:tc>
      </w:tr>
      <w:tr w:rsidR="00AB7126" w:rsidRPr="00B56115" w14:paraId="6212F0EB" w14:textId="77777777" w:rsidTr="00AB7126">
        <w:trPr>
          <w:trHeight w:val="670"/>
        </w:trPr>
        <w:tc>
          <w:tcPr>
            <w:tcW w:w="9128" w:type="dxa"/>
          </w:tcPr>
          <w:p w14:paraId="3A1566BB" w14:textId="4FE677CB" w:rsidR="00AB7126" w:rsidRPr="00B56115" w:rsidRDefault="00AB7126" w:rsidP="00284636">
            <w:pPr>
              <w:spacing w:before="60" w:after="60"/>
              <w:rPr>
                <w:b/>
                <w:i/>
                <w:sz w:val="22"/>
                <w:szCs w:val="22"/>
              </w:rPr>
            </w:pPr>
            <w:r w:rsidRPr="00B56115">
              <w:rPr>
                <w:b/>
                <w:i/>
                <w:sz w:val="22"/>
                <w:szCs w:val="22"/>
              </w:rPr>
              <w:t xml:space="preserve">From: </w:t>
            </w:r>
            <w:r w:rsidRPr="00B56115">
              <w:rPr>
                <w:sz w:val="22"/>
                <w:szCs w:val="22"/>
              </w:rPr>
              <w:t>Levonorgestrel with Ethinyloestradiol</w:t>
            </w:r>
            <w:r w:rsidRPr="00B56115">
              <w:rPr>
                <w:b/>
                <w:i/>
                <w:sz w:val="22"/>
                <w:szCs w:val="22"/>
              </w:rPr>
              <w:br/>
              <w:t xml:space="preserve">To: </w:t>
            </w:r>
            <w:r w:rsidR="001F1068" w:rsidRPr="00B56115">
              <w:rPr>
                <w:sz w:val="22"/>
                <w:szCs w:val="22"/>
              </w:rPr>
              <w:t>Levonorgestrel with e</w:t>
            </w:r>
            <w:r w:rsidRPr="00B56115">
              <w:rPr>
                <w:sz w:val="22"/>
                <w:szCs w:val="22"/>
              </w:rPr>
              <w:t>thinylestradiol</w:t>
            </w:r>
          </w:p>
        </w:tc>
      </w:tr>
      <w:tr w:rsidR="00AB7126" w:rsidRPr="00B56115" w14:paraId="2C83CABE" w14:textId="77777777" w:rsidTr="00AB7126">
        <w:trPr>
          <w:trHeight w:val="670"/>
        </w:trPr>
        <w:tc>
          <w:tcPr>
            <w:tcW w:w="9128" w:type="dxa"/>
          </w:tcPr>
          <w:p w14:paraId="0BB1512C" w14:textId="12BD1B17" w:rsidR="00AB7126" w:rsidRPr="00B56115" w:rsidRDefault="00AB7126" w:rsidP="00284636">
            <w:pPr>
              <w:spacing w:before="60" w:after="60"/>
              <w:rPr>
                <w:sz w:val="22"/>
                <w:szCs w:val="22"/>
              </w:rPr>
            </w:pPr>
            <w:r w:rsidRPr="00B56115">
              <w:rPr>
                <w:b/>
                <w:i/>
                <w:sz w:val="22"/>
                <w:szCs w:val="22"/>
              </w:rPr>
              <w:t xml:space="preserve">From: </w:t>
            </w:r>
            <w:r w:rsidRPr="00B56115">
              <w:rPr>
                <w:sz w:val="22"/>
                <w:szCs w:val="22"/>
              </w:rPr>
              <w:t>Norethisterone with Ethinyloestradiol</w:t>
            </w:r>
            <w:r w:rsidRPr="00B56115">
              <w:rPr>
                <w:b/>
                <w:i/>
                <w:sz w:val="22"/>
                <w:szCs w:val="22"/>
              </w:rPr>
              <w:br/>
              <w:t xml:space="preserve">To: </w:t>
            </w:r>
            <w:r w:rsidR="001F1068" w:rsidRPr="00B56115">
              <w:rPr>
                <w:sz w:val="22"/>
                <w:szCs w:val="22"/>
              </w:rPr>
              <w:t>Norethisterone with e</w:t>
            </w:r>
            <w:r w:rsidRPr="00B56115">
              <w:rPr>
                <w:sz w:val="22"/>
                <w:szCs w:val="22"/>
              </w:rPr>
              <w:t>thinyloestradiol</w:t>
            </w:r>
          </w:p>
        </w:tc>
      </w:tr>
    </w:tbl>
    <w:p w14:paraId="3F8292AA" w14:textId="31A2C5EA" w:rsidR="00AB7126" w:rsidRPr="00B56115" w:rsidRDefault="00AB7126" w:rsidP="00AB7126">
      <w:pPr>
        <w:spacing w:before="240"/>
        <w:rPr>
          <w:b/>
        </w:rPr>
      </w:pPr>
      <w:r w:rsidRPr="00B56115">
        <w:rPr>
          <w:b/>
        </w:rPr>
        <w:t>Forms Deleted</w:t>
      </w:r>
    </w:p>
    <w:tbl>
      <w:tblPr>
        <w:tblStyle w:val="TableGrid"/>
        <w:tblW w:w="9133" w:type="dxa"/>
        <w:tblCellMar>
          <w:top w:w="28" w:type="dxa"/>
          <w:left w:w="28" w:type="dxa"/>
          <w:bottom w:w="28" w:type="dxa"/>
          <w:right w:w="28" w:type="dxa"/>
        </w:tblCellMar>
        <w:tblLook w:val="04A0" w:firstRow="1" w:lastRow="0" w:firstColumn="1" w:lastColumn="0" w:noHBand="0" w:noVBand="1"/>
      </w:tblPr>
      <w:tblGrid>
        <w:gridCol w:w="2160"/>
        <w:gridCol w:w="6973"/>
      </w:tblGrid>
      <w:tr w:rsidR="00AB7126" w:rsidRPr="00B56115" w14:paraId="1084C4FA" w14:textId="77777777" w:rsidTr="00AB7126">
        <w:trPr>
          <w:trHeight w:val="319"/>
        </w:trPr>
        <w:tc>
          <w:tcPr>
            <w:tcW w:w="2160" w:type="dxa"/>
          </w:tcPr>
          <w:p w14:paraId="285281AE" w14:textId="77777777" w:rsidR="00AB7126" w:rsidRPr="00B56115" w:rsidRDefault="00AB7126" w:rsidP="00284636">
            <w:pPr>
              <w:keepNext/>
              <w:spacing w:before="60"/>
              <w:rPr>
                <w:rFonts w:eastAsia="Arial"/>
                <w:sz w:val="22"/>
                <w:szCs w:val="22"/>
                <w:lang w:eastAsia="zh-CN"/>
              </w:rPr>
            </w:pPr>
            <w:r w:rsidRPr="00B56115">
              <w:rPr>
                <w:b/>
                <w:i/>
                <w:sz w:val="22"/>
              </w:rPr>
              <w:t>Listed Drug</w:t>
            </w:r>
          </w:p>
        </w:tc>
        <w:tc>
          <w:tcPr>
            <w:tcW w:w="6973" w:type="dxa"/>
          </w:tcPr>
          <w:p w14:paraId="0045CAE1" w14:textId="77777777" w:rsidR="00AB7126" w:rsidRPr="00B56115" w:rsidRDefault="00AB7126" w:rsidP="00284636">
            <w:pPr>
              <w:spacing w:before="60"/>
              <w:rPr>
                <w:color w:val="000000"/>
                <w:sz w:val="22"/>
                <w:szCs w:val="22"/>
              </w:rPr>
            </w:pPr>
            <w:r w:rsidRPr="00B56115">
              <w:rPr>
                <w:b/>
                <w:i/>
                <w:sz w:val="22"/>
              </w:rPr>
              <w:t>Form</w:t>
            </w:r>
          </w:p>
        </w:tc>
      </w:tr>
      <w:tr w:rsidR="00AB7126" w:rsidRPr="00B56115" w14:paraId="38C9EE97" w14:textId="77777777" w:rsidTr="00AB7126">
        <w:trPr>
          <w:trHeight w:val="670"/>
        </w:trPr>
        <w:tc>
          <w:tcPr>
            <w:tcW w:w="2160" w:type="dxa"/>
          </w:tcPr>
          <w:p w14:paraId="508556E1" w14:textId="77777777" w:rsidR="00AB7126" w:rsidRPr="00B56115" w:rsidRDefault="00AB7126" w:rsidP="00284636">
            <w:pPr>
              <w:spacing w:before="60" w:after="60"/>
              <w:rPr>
                <w:sz w:val="22"/>
                <w:szCs w:val="22"/>
              </w:rPr>
            </w:pPr>
            <w:r w:rsidRPr="00B56115">
              <w:rPr>
                <w:rFonts w:eastAsia="SimSun" w:cs="Arial"/>
                <w:sz w:val="22"/>
                <w:szCs w:val="22"/>
                <w:lang w:eastAsia="zh-CN"/>
              </w:rPr>
              <w:t>Norethisterone with Ethinylestradiol</w:t>
            </w:r>
          </w:p>
        </w:tc>
        <w:tc>
          <w:tcPr>
            <w:tcW w:w="6973" w:type="dxa"/>
          </w:tcPr>
          <w:p w14:paraId="2662D674" w14:textId="77777777" w:rsidR="00AB7126" w:rsidRPr="00B56115" w:rsidRDefault="00AB7126" w:rsidP="00284636">
            <w:pPr>
              <w:spacing w:before="60" w:after="60"/>
              <w:rPr>
                <w:sz w:val="22"/>
                <w:szCs w:val="22"/>
              </w:rPr>
            </w:pPr>
            <w:r w:rsidRPr="00B56115">
              <w:rPr>
                <w:sz w:val="22"/>
                <w:szCs w:val="22"/>
              </w:rPr>
              <w:t xml:space="preserve">Pack containing 12 tablets 500 micrograms-35 micrograms, 9 tablets </w:t>
            </w:r>
            <w:r w:rsidRPr="00B56115">
              <w:rPr>
                <w:sz w:val="22"/>
                <w:szCs w:val="22"/>
              </w:rPr>
              <w:br/>
              <w:t>1 mg-35 micrograms and 7 inert tablets</w:t>
            </w:r>
          </w:p>
        </w:tc>
      </w:tr>
      <w:tr w:rsidR="00AB7126" w:rsidRPr="00B56115" w14:paraId="15FC96AF" w14:textId="77777777" w:rsidTr="00AB7126">
        <w:trPr>
          <w:trHeight w:val="395"/>
        </w:trPr>
        <w:tc>
          <w:tcPr>
            <w:tcW w:w="2160" w:type="dxa"/>
          </w:tcPr>
          <w:p w14:paraId="35D2F784" w14:textId="77777777" w:rsidR="00AB7126" w:rsidRPr="00B56115" w:rsidRDefault="00AB7126" w:rsidP="00284636">
            <w:pPr>
              <w:spacing w:before="60" w:after="60"/>
              <w:rPr>
                <w:rFonts w:eastAsia="Arial"/>
                <w:sz w:val="22"/>
                <w:szCs w:val="22"/>
                <w:lang w:eastAsia="zh-CN"/>
              </w:rPr>
            </w:pPr>
            <w:r w:rsidRPr="00B56115">
              <w:rPr>
                <w:rFonts w:eastAsia="SimSun" w:cs="Arial"/>
                <w:sz w:val="22"/>
                <w:szCs w:val="22"/>
                <w:lang w:eastAsia="zh-CN"/>
              </w:rPr>
              <w:t>Fluvastatin</w:t>
            </w:r>
          </w:p>
        </w:tc>
        <w:tc>
          <w:tcPr>
            <w:tcW w:w="6973" w:type="dxa"/>
          </w:tcPr>
          <w:p w14:paraId="796E4290" w14:textId="77777777" w:rsidR="00AB7126" w:rsidRPr="00B56115" w:rsidRDefault="00AB7126" w:rsidP="00284636">
            <w:pPr>
              <w:spacing w:before="60" w:after="60"/>
              <w:rPr>
                <w:rFonts w:eastAsia="Arial"/>
                <w:sz w:val="22"/>
                <w:szCs w:val="22"/>
                <w:lang w:eastAsia="zh-CN"/>
              </w:rPr>
            </w:pPr>
            <w:r w:rsidRPr="00B56115">
              <w:rPr>
                <w:sz w:val="22"/>
                <w:szCs w:val="22"/>
              </w:rPr>
              <w:t>Capsule 20 mg (as sodium)</w:t>
            </w:r>
          </w:p>
        </w:tc>
      </w:tr>
      <w:tr w:rsidR="00AB7126" w:rsidRPr="00B56115" w14:paraId="21BD4A48" w14:textId="77777777" w:rsidTr="00AB7126">
        <w:trPr>
          <w:trHeight w:val="395"/>
        </w:trPr>
        <w:tc>
          <w:tcPr>
            <w:tcW w:w="2160" w:type="dxa"/>
            <w:tcBorders>
              <w:bottom w:val="single" w:sz="4" w:space="0" w:color="FFFFFF" w:themeColor="background1"/>
            </w:tcBorders>
          </w:tcPr>
          <w:p w14:paraId="162D8188" w14:textId="77777777" w:rsidR="00AB7126" w:rsidRPr="00B56115" w:rsidRDefault="00AB7126" w:rsidP="00284636">
            <w:pPr>
              <w:spacing w:before="60" w:after="60"/>
              <w:rPr>
                <w:rFonts w:eastAsia="SimSun" w:cs="Arial"/>
                <w:sz w:val="22"/>
                <w:szCs w:val="22"/>
                <w:lang w:eastAsia="zh-CN"/>
              </w:rPr>
            </w:pPr>
          </w:p>
        </w:tc>
        <w:tc>
          <w:tcPr>
            <w:tcW w:w="6973" w:type="dxa"/>
            <w:tcBorders>
              <w:bottom w:val="single" w:sz="4" w:space="0" w:color="FFFFFF" w:themeColor="background1"/>
            </w:tcBorders>
          </w:tcPr>
          <w:p w14:paraId="6ACEFC98" w14:textId="77777777" w:rsidR="00AB7126" w:rsidRPr="00B56115" w:rsidRDefault="00AB7126" w:rsidP="00284636">
            <w:pPr>
              <w:spacing w:before="60" w:after="60"/>
              <w:rPr>
                <w:sz w:val="22"/>
                <w:szCs w:val="22"/>
              </w:rPr>
            </w:pPr>
            <w:r w:rsidRPr="00B56115">
              <w:rPr>
                <w:sz w:val="22"/>
                <w:szCs w:val="22"/>
              </w:rPr>
              <w:t>Capsule 40 mg (as sodium)</w:t>
            </w:r>
          </w:p>
        </w:tc>
      </w:tr>
    </w:tbl>
    <w:p w14:paraId="41B5A55F" w14:textId="44D1CBC1" w:rsidR="00C2137E" w:rsidRPr="00B56115" w:rsidRDefault="00C2137E">
      <w:pPr>
        <w:rPr>
          <w:b/>
        </w:rPr>
      </w:pPr>
      <w:r w:rsidRPr="00B56115">
        <w:rPr>
          <w:b/>
        </w:rPr>
        <w:br w:type="page"/>
      </w:r>
    </w:p>
    <w:p w14:paraId="0DC1E954" w14:textId="6F559803" w:rsidR="006B5FC0" w:rsidRPr="00B56115" w:rsidRDefault="006B5FC0" w:rsidP="006B5FC0">
      <w:pPr>
        <w:keepNext/>
        <w:widowControl w:val="0"/>
        <w:spacing w:before="240"/>
        <w:rPr>
          <w:b/>
        </w:rPr>
      </w:pPr>
      <w:r w:rsidRPr="00B56115">
        <w:rPr>
          <w:b/>
        </w:rPr>
        <w:lastRenderedPageBreak/>
        <w:t>Documents Incorporated by Reference</w:t>
      </w:r>
    </w:p>
    <w:tbl>
      <w:tblPr>
        <w:tblStyle w:val="TableGrid"/>
        <w:tblW w:w="5057" w:type="pct"/>
        <w:tblLook w:val="01E0" w:firstRow="1" w:lastRow="1" w:firstColumn="1" w:lastColumn="1" w:noHBand="0" w:noVBand="0"/>
      </w:tblPr>
      <w:tblGrid>
        <w:gridCol w:w="4537"/>
        <w:gridCol w:w="4592"/>
      </w:tblGrid>
      <w:tr w:rsidR="00F634AA" w:rsidRPr="00B56115" w14:paraId="5B3DD5C5" w14:textId="77777777" w:rsidTr="00F634AA">
        <w:trPr>
          <w:trHeight w:val="340"/>
        </w:trPr>
        <w:tc>
          <w:tcPr>
            <w:tcW w:w="2485" w:type="pct"/>
          </w:tcPr>
          <w:p w14:paraId="0254EE40" w14:textId="77777777" w:rsidR="00C2137E" w:rsidRPr="00B56115" w:rsidRDefault="00C2137E" w:rsidP="00DA36F9">
            <w:pPr>
              <w:spacing w:before="60"/>
              <w:ind w:left="-107"/>
              <w:rPr>
                <w:b/>
                <w:i/>
                <w:sz w:val="22"/>
              </w:rPr>
            </w:pPr>
            <w:r w:rsidRPr="00B56115">
              <w:rPr>
                <w:b/>
                <w:bCs/>
                <w:i/>
                <w:iCs/>
                <w:sz w:val="22"/>
                <w:szCs w:val="22"/>
              </w:rPr>
              <w:t>Document incorporated</w:t>
            </w:r>
          </w:p>
        </w:tc>
        <w:tc>
          <w:tcPr>
            <w:tcW w:w="2515" w:type="pct"/>
          </w:tcPr>
          <w:p w14:paraId="0F44BE1B" w14:textId="77777777" w:rsidR="00C2137E" w:rsidRPr="00B56115" w:rsidRDefault="00C2137E" w:rsidP="00C2137E">
            <w:pPr>
              <w:spacing w:before="60"/>
              <w:ind w:left="9"/>
              <w:rPr>
                <w:b/>
                <w:i/>
                <w:sz w:val="22"/>
              </w:rPr>
            </w:pPr>
            <w:r w:rsidRPr="00B56115">
              <w:rPr>
                <w:b/>
                <w:bCs/>
                <w:i/>
                <w:iCs/>
                <w:sz w:val="22"/>
                <w:szCs w:val="22"/>
              </w:rPr>
              <w:t>Document access</w:t>
            </w:r>
          </w:p>
        </w:tc>
      </w:tr>
      <w:tr w:rsidR="00F634AA" w:rsidRPr="00B56115" w14:paraId="448001CC" w14:textId="77777777" w:rsidTr="00F634AA">
        <w:trPr>
          <w:trHeight w:val="340"/>
        </w:trPr>
        <w:tc>
          <w:tcPr>
            <w:tcW w:w="2485" w:type="pct"/>
            <w:shd w:val="clear" w:color="auto" w:fill="auto"/>
          </w:tcPr>
          <w:p w14:paraId="0559B14B" w14:textId="3E8EB36A" w:rsidR="00C2137E" w:rsidRPr="00B56115" w:rsidRDefault="00C2137E" w:rsidP="00AF16C2">
            <w:pPr>
              <w:spacing w:before="60" w:after="60"/>
              <w:ind w:left="-107"/>
              <w:rPr>
                <w:sz w:val="22"/>
                <w:szCs w:val="22"/>
              </w:rPr>
            </w:pPr>
            <w:r w:rsidRPr="00B56115">
              <w:rPr>
                <w:b/>
                <w:sz w:val="22"/>
                <w:szCs w:val="22"/>
              </w:rPr>
              <w:t>Pharmaceutical Society of Australia Guidelines for the Continued Dispensing of eligible prescribed medicines by pharmacists (PSA Guidelines)</w:t>
            </w:r>
            <w:r w:rsidRPr="00B56115">
              <w:rPr>
                <w:sz w:val="22"/>
                <w:szCs w:val="22"/>
              </w:rPr>
              <w:t xml:space="preserve">. The document is incorporated as in force on the day this Instrument takes effect, pursuant to paragraph 14(1)(b) of the </w:t>
            </w:r>
            <w:r w:rsidRPr="00B56115">
              <w:rPr>
                <w:i/>
                <w:sz w:val="22"/>
                <w:szCs w:val="22"/>
              </w:rPr>
              <w:t>Legislation Act</w:t>
            </w:r>
            <w:r w:rsidRPr="00B56115">
              <w:rPr>
                <w:sz w:val="22"/>
                <w:szCs w:val="22"/>
              </w:rPr>
              <w:t xml:space="preserve"> 2003.</w:t>
            </w:r>
          </w:p>
          <w:p w14:paraId="7A67D06E" w14:textId="280E974D" w:rsidR="00C2137E" w:rsidRPr="00B56115" w:rsidRDefault="00C2137E" w:rsidP="00AF16C2">
            <w:pPr>
              <w:spacing w:before="60" w:after="60"/>
              <w:ind w:left="-107"/>
              <w:rPr>
                <w:b/>
                <w:bCs/>
                <w:i/>
                <w:iCs/>
                <w:sz w:val="22"/>
                <w:szCs w:val="22"/>
              </w:rPr>
            </w:pPr>
            <w:r w:rsidRPr="00B56115">
              <w:rPr>
                <w:sz w:val="22"/>
                <w:szCs w:val="22"/>
              </w:rPr>
              <w:t>The PSA Guidelines provides advice to pharmacists on the appropriate and effective processes, desired behaviours of good practice, how to fulfil professional responsibilities, and the expected outcomes for dispensing eligible medicines under the Continued Dispensing supply provisions of the PBS</w:t>
            </w:r>
          </w:p>
        </w:tc>
        <w:tc>
          <w:tcPr>
            <w:tcW w:w="2515" w:type="pct"/>
            <w:shd w:val="clear" w:color="auto" w:fill="auto"/>
          </w:tcPr>
          <w:p w14:paraId="7BB40711" w14:textId="273431C0" w:rsidR="00C2137E" w:rsidRPr="00B56115" w:rsidRDefault="00C2137E" w:rsidP="00AF16C2">
            <w:pPr>
              <w:spacing w:before="60" w:after="60"/>
              <w:ind w:left="-3"/>
              <w:rPr>
                <w:b/>
                <w:bCs/>
                <w:i/>
                <w:iCs/>
                <w:sz w:val="22"/>
                <w:szCs w:val="22"/>
              </w:rPr>
            </w:pPr>
            <w:r w:rsidRPr="00B56115">
              <w:rPr>
                <w:sz w:val="22"/>
                <w:szCs w:val="22"/>
              </w:rPr>
              <w:t>The PSA Guidelines are freely available from the Pharmaceutical Society of Australia website at </w:t>
            </w:r>
            <w:hyperlink r:id="rId9" w:history="1">
              <w:r w:rsidRPr="00B56115">
                <w:rPr>
                  <w:rStyle w:val="Hyperlink"/>
                  <w:color w:val="auto"/>
                  <w:sz w:val="22"/>
                  <w:szCs w:val="22"/>
                </w:rPr>
                <w:t>www.psa.org.au/</w:t>
              </w:r>
            </w:hyperlink>
          </w:p>
        </w:tc>
      </w:tr>
    </w:tbl>
    <w:p w14:paraId="2DCD751A" w14:textId="77777777" w:rsidR="00C2137E" w:rsidRPr="00B56115" w:rsidRDefault="00C2137E" w:rsidP="00AF2A77">
      <w:pPr>
        <w:spacing w:after="120"/>
        <w:jc w:val="center"/>
        <w:rPr>
          <w:b/>
          <w:sz w:val="28"/>
          <w:szCs w:val="28"/>
        </w:rPr>
      </w:pPr>
    </w:p>
    <w:p w14:paraId="5AEE9C93" w14:textId="77777777" w:rsidR="00C2137E" w:rsidRPr="00B56115" w:rsidRDefault="00C2137E">
      <w:pPr>
        <w:rPr>
          <w:b/>
          <w:sz w:val="28"/>
          <w:szCs w:val="28"/>
        </w:rPr>
      </w:pPr>
      <w:r w:rsidRPr="00B56115">
        <w:rPr>
          <w:b/>
          <w:sz w:val="28"/>
          <w:szCs w:val="28"/>
        </w:rPr>
        <w:br w:type="page"/>
      </w:r>
    </w:p>
    <w:p w14:paraId="1700C021" w14:textId="3E123100" w:rsidR="00873F9F" w:rsidRPr="00B56115" w:rsidRDefault="00873F9F" w:rsidP="00AF2A77">
      <w:pPr>
        <w:spacing w:after="120"/>
        <w:jc w:val="center"/>
        <w:rPr>
          <w:b/>
          <w:sz w:val="28"/>
          <w:szCs w:val="28"/>
        </w:rPr>
      </w:pPr>
      <w:r w:rsidRPr="00B56115">
        <w:rPr>
          <w:b/>
          <w:sz w:val="28"/>
          <w:szCs w:val="28"/>
        </w:rPr>
        <w:lastRenderedPageBreak/>
        <w:t>Statement of Compatibility with Human Rights</w:t>
      </w:r>
    </w:p>
    <w:p w14:paraId="12D7792C" w14:textId="77777777" w:rsidR="00873F9F" w:rsidRPr="00B56115" w:rsidRDefault="00873F9F" w:rsidP="00AF2A77">
      <w:pPr>
        <w:spacing w:after="120"/>
        <w:jc w:val="center"/>
      </w:pPr>
      <w:r w:rsidRPr="00B56115">
        <w:rPr>
          <w:i/>
        </w:rPr>
        <w:t>Prepared in accordance with Part 3 of the Human Rights (Parliamentary Scrutiny) Act 2011</w:t>
      </w:r>
    </w:p>
    <w:p w14:paraId="6F5055E3" w14:textId="75981B03" w:rsidR="00873F9F" w:rsidRPr="00B56115" w:rsidRDefault="00873F9F" w:rsidP="00AF2A77">
      <w:pPr>
        <w:spacing w:before="360" w:after="120"/>
        <w:jc w:val="center"/>
        <w:rPr>
          <w:b/>
          <w:i/>
        </w:rPr>
      </w:pPr>
      <w:r w:rsidRPr="00B56115">
        <w:rPr>
          <w:b/>
          <w:i/>
        </w:rPr>
        <w:t>National Health (Continue</w:t>
      </w:r>
      <w:r w:rsidR="00BA1BD0" w:rsidRPr="00B56115">
        <w:rPr>
          <w:b/>
          <w:i/>
        </w:rPr>
        <w:t xml:space="preserve">d Dispensing) </w:t>
      </w:r>
      <w:r w:rsidR="00100CED" w:rsidRPr="00B56115">
        <w:rPr>
          <w:b/>
          <w:i/>
        </w:rPr>
        <w:t xml:space="preserve">Amendment </w:t>
      </w:r>
      <w:r w:rsidR="002A5A78" w:rsidRPr="00B56115">
        <w:rPr>
          <w:b/>
          <w:i/>
        </w:rPr>
        <w:t xml:space="preserve">Determination </w:t>
      </w:r>
      <w:r w:rsidR="00100CED" w:rsidRPr="00B56115">
        <w:rPr>
          <w:b/>
          <w:i/>
        </w:rPr>
        <w:t>20</w:t>
      </w:r>
      <w:r w:rsidR="00AF2A77" w:rsidRPr="00B56115">
        <w:rPr>
          <w:b/>
          <w:i/>
        </w:rPr>
        <w:t>20</w:t>
      </w:r>
      <w:r w:rsidR="00100CED" w:rsidRPr="00B56115">
        <w:rPr>
          <w:b/>
          <w:i/>
        </w:rPr>
        <w:t xml:space="preserve"> (No.</w:t>
      </w:r>
      <w:r w:rsidR="009C27A8" w:rsidRPr="00B56115">
        <w:rPr>
          <w:b/>
          <w:i/>
        </w:rPr>
        <w:t xml:space="preserve"> </w:t>
      </w:r>
      <w:r w:rsidR="00100CED" w:rsidRPr="00B56115">
        <w:rPr>
          <w:b/>
          <w:i/>
        </w:rPr>
        <w:t>1)</w:t>
      </w:r>
    </w:p>
    <w:p w14:paraId="6FF6FB0C" w14:textId="7912B477" w:rsidR="00AF2A77" w:rsidRPr="00B56115" w:rsidRDefault="00AF2A77" w:rsidP="00AF2A77">
      <w:pPr>
        <w:spacing w:before="120"/>
        <w:jc w:val="center"/>
        <w:rPr>
          <w:b/>
          <w:sz w:val="22"/>
          <w:szCs w:val="22"/>
        </w:rPr>
      </w:pPr>
      <w:r w:rsidRPr="00B56115">
        <w:rPr>
          <w:b/>
          <w:sz w:val="22"/>
          <w:szCs w:val="22"/>
        </w:rPr>
        <w:t>(PB 98 of 2020)</w:t>
      </w:r>
    </w:p>
    <w:p w14:paraId="37C48EB1" w14:textId="77777777" w:rsidR="00AF2A77" w:rsidRPr="00B56115" w:rsidRDefault="00AF2A77" w:rsidP="00AF2A77">
      <w:pPr>
        <w:spacing w:after="120"/>
        <w:jc w:val="center"/>
        <w:rPr>
          <w:i/>
        </w:rPr>
      </w:pPr>
    </w:p>
    <w:p w14:paraId="77FBDB8C" w14:textId="77777777" w:rsidR="00873F9F" w:rsidRPr="00B56115" w:rsidRDefault="00BA1BD0" w:rsidP="00AF2A77">
      <w:pPr>
        <w:spacing w:before="360"/>
        <w:rPr>
          <w:sz w:val="22"/>
          <w:szCs w:val="22"/>
        </w:rPr>
      </w:pPr>
      <w:r w:rsidRPr="00B56115">
        <w:rPr>
          <w:sz w:val="22"/>
          <w:szCs w:val="22"/>
        </w:rPr>
        <w:t xml:space="preserve">This Legislative Instrument </w:t>
      </w:r>
      <w:r w:rsidR="00873F9F" w:rsidRPr="00B56115">
        <w:rPr>
          <w:sz w:val="22"/>
          <w:szCs w:val="22"/>
        </w:rPr>
        <w:t xml:space="preserve">is compatible with the human rights and freedoms recognised or declared in the international instruments listed in section 3 of the </w:t>
      </w:r>
      <w:r w:rsidR="00873F9F" w:rsidRPr="00B56115">
        <w:rPr>
          <w:i/>
          <w:sz w:val="22"/>
          <w:szCs w:val="22"/>
        </w:rPr>
        <w:t>Human Rights (Parliamentary Scrutiny) Act 2011</w:t>
      </w:r>
      <w:r w:rsidR="00873F9F" w:rsidRPr="00B56115">
        <w:rPr>
          <w:sz w:val="22"/>
          <w:szCs w:val="22"/>
        </w:rPr>
        <w:t>.</w:t>
      </w:r>
    </w:p>
    <w:p w14:paraId="14229441" w14:textId="77777777" w:rsidR="00873F9F" w:rsidRPr="00B56115" w:rsidRDefault="00BA1BD0" w:rsidP="00AF2A77">
      <w:pPr>
        <w:spacing w:before="240"/>
        <w:rPr>
          <w:sz w:val="22"/>
          <w:szCs w:val="22"/>
        </w:rPr>
      </w:pPr>
      <w:r w:rsidRPr="00B56115">
        <w:rPr>
          <w:b/>
          <w:sz w:val="22"/>
          <w:szCs w:val="22"/>
        </w:rPr>
        <w:t>Overview of the Legislative Instrument</w:t>
      </w:r>
      <w:r w:rsidR="00873F9F" w:rsidRPr="00B56115">
        <w:rPr>
          <w:b/>
          <w:sz w:val="22"/>
          <w:szCs w:val="22"/>
        </w:rPr>
        <w:t xml:space="preserve"> </w:t>
      </w:r>
    </w:p>
    <w:p w14:paraId="53148A8B" w14:textId="361F938B" w:rsidR="00AF2A77" w:rsidRPr="00B56115" w:rsidRDefault="00AF2A77" w:rsidP="00AF2A77">
      <w:pPr>
        <w:spacing w:before="120"/>
        <w:ind w:right="-164"/>
        <w:jc w:val="both"/>
        <w:rPr>
          <w:sz w:val="22"/>
          <w:szCs w:val="22"/>
        </w:rPr>
      </w:pPr>
      <w:r w:rsidRPr="00B56115">
        <w:rPr>
          <w:sz w:val="22"/>
          <w:szCs w:val="22"/>
        </w:rPr>
        <w:t xml:space="preserve">The </w:t>
      </w:r>
      <w:r w:rsidRPr="00B56115">
        <w:rPr>
          <w:i/>
          <w:sz w:val="22"/>
          <w:szCs w:val="22"/>
        </w:rPr>
        <w:t>National Health (Continued Dispensing) Am</w:t>
      </w:r>
      <w:r w:rsidR="00F634AA" w:rsidRPr="00B56115">
        <w:rPr>
          <w:i/>
          <w:sz w:val="22"/>
          <w:szCs w:val="22"/>
        </w:rPr>
        <w:t>endment Determination 2020 (No.</w:t>
      </w:r>
      <w:r w:rsidR="009C27A8" w:rsidRPr="00B56115">
        <w:rPr>
          <w:i/>
          <w:sz w:val="22"/>
          <w:szCs w:val="22"/>
        </w:rPr>
        <w:t xml:space="preserve"> </w:t>
      </w:r>
      <w:r w:rsidRPr="00B56115">
        <w:rPr>
          <w:i/>
          <w:sz w:val="22"/>
          <w:szCs w:val="22"/>
        </w:rPr>
        <w:t>1)</w:t>
      </w:r>
      <w:r w:rsidRPr="00B56115">
        <w:rPr>
          <w:sz w:val="22"/>
          <w:szCs w:val="22"/>
        </w:rPr>
        <w:t xml:space="preserve"> </w:t>
      </w:r>
      <w:r w:rsidR="00100CED" w:rsidRPr="00B56115">
        <w:rPr>
          <w:sz w:val="22"/>
          <w:szCs w:val="22"/>
        </w:rPr>
        <w:t>amend</w:t>
      </w:r>
      <w:r w:rsidRPr="00B56115">
        <w:rPr>
          <w:sz w:val="22"/>
          <w:szCs w:val="22"/>
        </w:rPr>
        <w:t>s</w:t>
      </w:r>
      <w:r w:rsidR="00100CED" w:rsidRPr="00B56115">
        <w:rPr>
          <w:sz w:val="22"/>
          <w:szCs w:val="22"/>
        </w:rPr>
        <w:t xml:space="preserve"> the </w:t>
      </w:r>
      <w:r w:rsidR="00100CED" w:rsidRPr="00B56115">
        <w:rPr>
          <w:i/>
          <w:sz w:val="22"/>
          <w:szCs w:val="22"/>
        </w:rPr>
        <w:t>National Health (Continued Dispensing) Determination 2012</w:t>
      </w:r>
      <w:r w:rsidR="002A5A78" w:rsidRPr="00B56115">
        <w:rPr>
          <w:sz w:val="22"/>
          <w:szCs w:val="22"/>
        </w:rPr>
        <w:t xml:space="preserve"> (Principal Determination)</w:t>
      </w:r>
      <w:r w:rsidRPr="00B56115">
        <w:rPr>
          <w:sz w:val="22"/>
          <w:szCs w:val="22"/>
        </w:rPr>
        <w:t xml:space="preserve"> which specifies the pharmaceutical benefits that can be supplied by an approved pharmacist under Part VII of the </w:t>
      </w:r>
      <w:r w:rsidRPr="00B56115">
        <w:rPr>
          <w:i/>
          <w:sz w:val="22"/>
          <w:szCs w:val="22"/>
        </w:rPr>
        <w:t xml:space="preserve">National Health Act 1953 </w:t>
      </w:r>
      <w:r w:rsidRPr="00B56115">
        <w:rPr>
          <w:sz w:val="22"/>
          <w:szCs w:val="22"/>
        </w:rPr>
        <w:t>without a prescription, and the conditions for such a supply (‘Continued Dispensing’).</w:t>
      </w:r>
    </w:p>
    <w:p w14:paraId="3D75ABD1" w14:textId="77777777" w:rsidR="00C2137E" w:rsidRPr="00B56115" w:rsidRDefault="00C2137E" w:rsidP="00C2137E">
      <w:pPr>
        <w:spacing w:before="120" w:after="120"/>
        <w:rPr>
          <w:sz w:val="22"/>
          <w:szCs w:val="22"/>
        </w:rPr>
      </w:pPr>
      <w:r w:rsidRPr="00B56115">
        <w:rPr>
          <w:sz w:val="22"/>
          <w:szCs w:val="22"/>
        </w:rPr>
        <w:t>The amendments in Schedule 1 involve the alteration of the name of two listed drugs and the deletion of three forms of listed drugs from the list of pharmaceutical benefits that can be supplied as a Continued Dispensing supply.  They also involve an alteration of the definition of PSA Guidelines, to update the applicable version to that which is in force on the day this Instrument takes effect.</w:t>
      </w:r>
    </w:p>
    <w:p w14:paraId="428DE876" w14:textId="38E3BB9A" w:rsidR="00873F9F" w:rsidRPr="00B56115" w:rsidRDefault="00873F9F" w:rsidP="00CA2EFA">
      <w:pPr>
        <w:spacing w:before="240"/>
        <w:rPr>
          <w:b/>
          <w:sz w:val="22"/>
          <w:szCs w:val="22"/>
        </w:rPr>
      </w:pPr>
      <w:r w:rsidRPr="00B56115">
        <w:rPr>
          <w:b/>
          <w:sz w:val="22"/>
          <w:szCs w:val="22"/>
        </w:rPr>
        <w:t>Human rights implications</w:t>
      </w:r>
    </w:p>
    <w:p w14:paraId="591BDBB8" w14:textId="77777777" w:rsidR="00873F9F" w:rsidRPr="00B56115" w:rsidRDefault="00873F9F" w:rsidP="00C2137E">
      <w:pPr>
        <w:keepNext/>
        <w:spacing w:before="120" w:after="120"/>
        <w:rPr>
          <w:sz w:val="22"/>
          <w:szCs w:val="22"/>
        </w:rPr>
      </w:pPr>
      <w:r w:rsidRPr="00B56115">
        <w:rPr>
          <w:sz w:val="22"/>
          <w:szCs w:val="22"/>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1CC90E6B" w14:textId="77777777" w:rsidR="00873F9F" w:rsidRPr="00B56115" w:rsidRDefault="00873F9F" w:rsidP="00AF2A77">
      <w:pPr>
        <w:keepNext/>
        <w:spacing w:after="120"/>
        <w:rPr>
          <w:sz w:val="22"/>
          <w:szCs w:val="22"/>
        </w:rPr>
      </w:pPr>
      <w:r w:rsidRPr="00B56115">
        <w:rPr>
          <w:sz w:val="22"/>
          <w:szCs w:val="22"/>
        </w:rPr>
        <w:t>The PBS is a benefit scheme which assists with advancement of this human right by providing for subsidised access for people to medicines.  This is a positive step towards attaining the highest standard of health for all Australians.  Efficient operational arrangements for the PBS support effective administration of the Scheme.</w:t>
      </w:r>
    </w:p>
    <w:p w14:paraId="683AD9EA" w14:textId="77777777" w:rsidR="00873F9F" w:rsidRPr="00B56115" w:rsidRDefault="00873F9F" w:rsidP="00CA2EFA">
      <w:pPr>
        <w:spacing w:before="240"/>
        <w:rPr>
          <w:b/>
          <w:sz w:val="22"/>
          <w:szCs w:val="22"/>
        </w:rPr>
      </w:pPr>
      <w:r w:rsidRPr="00B56115">
        <w:rPr>
          <w:b/>
          <w:sz w:val="22"/>
          <w:szCs w:val="22"/>
        </w:rPr>
        <w:t xml:space="preserve">Conclusion </w:t>
      </w:r>
    </w:p>
    <w:p w14:paraId="34C6C4F1" w14:textId="77777777" w:rsidR="00873F9F" w:rsidRPr="00B56115" w:rsidRDefault="00BA1BD0" w:rsidP="00C2137E">
      <w:pPr>
        <w:spacing w:before="120" w:after="120"/>
        <w:rPr>
          <w:sz w:val="22"/>
          <w:szCs w:val="22"/>
        </w:rPr>
      </w:pPr>
      <w:r w:rsidRPr="00B56115">
        <w:rPr>
          <w:sz w:val="22"/>
          <w:szCs w:val="22"/>
        </w:rPr>
        <w:t xml:space="preserve">This Legislative Instrument </w:t>
      </w:r>
      <w:r w:rsidR="00873F9F" w:rsidRPr="00B56115">
        <w:rPr>
          <w:sz w:val="22"/>
          <w:szCs w:val="22"/>
        </w:rPr>
        <w:t>is compatible with human rights because it advances the protection of human rights.</w:t>
      </w:r>
    </w:p>
    <w:p w14:paraId="4920A0DA" w14:textId="77777777" w:rsidR="00CA2EFA" w:rsidRPr="00B56115" w:rsidRDefault="00CA2EFA" w:rsidP="00CA2EFA">
      <w:pPr>
        <w:spacing w:before="240"/>
        <w:jc w:val="center"/>
        <w:rPr>
          <w:b/>
          <w:sz w:val="22"/>
          <w:szCs w:val="22"/>
        </w:rPr>
      </w:pPr>
    </w:p>
    <w:p w14:paraId="4BFB6947" w14:textId="77777777" w:rsidR="00CA2EFA" w:rsidRPr="00B56115" w:rsidRDefault="00CA2EFA" w:rsidP="00CA2EFA">
      <w:pPr>
        <w:spacing w:before="240"/>
        <w:jc w:val="center"/>
        <w:rPr>
          <w:b/>
          <w:sz w:val="22"/>
          <w:szCs w:val="22"/>
        </w:rPr>
      </w:pPr>
    </w:p>
    <w:p w14:paraId="2B913461" w14:textId="77777777" w:rsidR="00CA2EFA" w:rsidRPr="00B56115" w:rsidRDefault="00CA2EFA" w:rsidP="00CA2EFA">
      <w:pPr>
        <w:spacing w:before="240"/>
        <w:jc w:val="center"/>
        <w:rPr>
          <w:b/>
          <w:sz w:val="22"/>
          <w:szCs w:val="22"/>
        </w:rPr>
      </w:pPr>
    </w:p>
    <w:p w14:paraId="38675555" w14:textId="77777777" w:rsidR="00CA2EFA" w:rsidRPr="00B56115" w:rsidRDefault="00CA2EFA" w:rsidP="00CA2EFA">
      <w:pPr>
        <w:spacing w:before="240"/>
        <w:jc w:val="center"/>
        <w:rPr>
          <w:b/>
          <w:sz w:val="22"/>
          <w:szCs w:val="22"/>
        </w:rPr>
      </w:pPr>
    </w:p>
    <w:p w14:paraId="3AEE537B" w14:textId="305AA31D" w:rsidR="00CA2EFA" w:rsidRPr="00B56115" w:rsidRDefault="00CA2EFA" w:rsidP="00CA2EFA">
      <w:pPr>
        <w:spacing w:before="240"/>
        <w:jc w:val="center"/>
        <w:rPr>
          <w:b/>
          <w:sz w:val="22"/>
          <w:szCs w:val="22"/>
        </w:rPr>
      </w:pPr>
      <w:r w:rsidRPr="00B56115">
        <w:rPr>
          <w:b/>
          <w:sz w:val="22"/>
          <w:szCs w:val="22"/>
        </w:rPr>
        <w:t>Thea Connolly</w:t>
      </w:r>
    </w:p>
    <w:p w14:paraId="64057956" w14:textId="77777777" w:rsidR="00CA2EFA" w:rsidRPr="00B56115" w:rsidRDefault="00CA2EFA" w:rsidP="00CA2EFA">
      <w:pPr>
        <w:jc w:val="center"/>
        <w:rPr>
          <w:b/>
          <w:sz w:val="22"/>
          <w:szCs w:val="22"/>
        </w:rPr>
      </w:pPr>
      <w:r w:rsidRPr="00B56115">
        <w:rPr>
          <w:b/>
          <w:sz w:val="22"/>
          <w:szCs w:val="22"/>
        </w:rPr>
        <w:t>Assistant Secretary</w:t>
      </w:r>
    </w:p>
    <w:p w14:paraId="410CC869" w14:textId="77777777" w:rsidR="00CA2EFA" w:rsidRPr="00B56115" w:rsidRDefault="00CA2EFA" w:rsidP="00CA2EFA">
      <w:pPr>
        <w:jc w:val="center"/>
        <w:rPr>
          <w:b/>
          <w:sz w:val="22"/>
          <w:szCs w:val="22"/>
        </w:rPr>
      </w:pPr>
      <w:r w:rsidRPr="00B56115">
        <w:rPr>
          <w:b/>
          <w:sz w:val="22"/>
          <w:szCs w:val="22"/>
        </w:rPr>
        <w:t>Pricing and PBS Policy Branch</w:t>
      </w:r>
    </w:p>
    <w:p w14:paraId="22713AC4" w14:textId="77777777" w:rsidR="00CA2EFA" w:rsidRPr="00B56115" w:rsidRDefault="00CA2EFA" w:rsidP="00CA2EFA">
      <w:pPr>
        <w:jc w:val="center"/>
        <w:rPr>
          <w:b/>
          <w:sz w:val="22"/>
          <w:szCs w:val="22"/>
        </w:rPr>
      </w:pPr>
      <w:r w:rsidRPr="00B56115">
        <w:rPr>
          <w:b/>
          <w:sz w:val="22"/>
          <w:szCs w:val="22"/>
        </w:rPr>
        <w:t>Technology Assessment and Access Division</w:t>
      </w:r>
    </w:p>
    <w:p w14:paraId="67E6B289" w14:textId="04D02BE2" w:rsidR="00BB171B" w:rsidRPr="00226D7C" w:rsidRDefault="00CA2EFA" w:rsidP="00CA2EFA">
      <w:pPr>
        <w:jc w:val="center"/>
        <w:rPr>
          <w:b/>
        </w:rPr>
      </w:pPr>
      <w:r w:rsidRPr="00B56115">
        <w:rPr>
          <w:b/>
          <w:sz w:val="22"/>
          <w:szCs w:val="22"/>
        </w:rPr>
        <w:t>Department of Health</w:t>
      </w:r>
      <w:bookmarkStart w:id="0" w:name="_GoBack"/>
      <w:bookmarkEnd w:id="0"/>
    </w:p>
    <w:sectPr w:rsidR="00BB171B" w:rsidRPr="00226D7C" w:rsidSect="00734B17">
      <w:footerReference w:type="even" r:id="rId10"/>
      <w:foot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ED99" w14:textId="77777777" w:rsidR="00766C8E" w:rsidRDefault="00766C8E">
      <w:r>
        <w:separator/>
      </w:r>
    </w:p>
  </w:endnote>
  <w:endnote w:type="continuationSeparator" w:id="0">
    <w:p w14:paraId="44980FFB" w14:textId="77777777" w:rsidR="00766C8E" w:rsidRDefault="0076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9012"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1CA40"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179940"/>
      <w:docPartObj>
        <w:docPartGallery w:val="Page Numbers (Bottom of Page)"/>
        <w:docPartUnique/>
      </w:docPartObj>
    </w:sdtPr>
    <w:sdtEndPr>
      <w:rPr>
        <w:noProof/>
      </w:rPr>
    </w:sdtEndPr>
    <w:sdtContent>
      <w:p w14:paraId="7913FCA3" w14:textId="02DFA09A" w:rsidR="00AF2A77" w:rsidRDefault="00AF2A77">
        <w:pPr>
          <w:pStyle w:val="Footer"/>
          <w:jc w:val="center"/>
        </w:pPr>
        <w:r>
          <w:fldChar w:fldCharType="begin"/>
        </w:r>
        <w:r>
          <w:instrText xml:space="preserve"> PAGE   \* MERGEFORMAT </w:instrText>
        </w:r>
        <w:r>
          <w:fldChar w:fldCharType="separate"/>
        </w:r>
        <w:r w:rsidR="00B56115">
          <w:rPr>
            <w:noProof/>
          </w:rPr>
          <w:t>1</w:t>
        </w:r>
        <w:r>
          <w:rPr>
            <w:noProof/>
          </w:rPr>
          <w:fldChar w:fldCharType="end"/>
        </w:r>
      </w:p>
    </w:sdtContent>
  </w:sdt>
  <w:p w14:paraId="3E01806D" w14:textId="77777777" w:rsidR="007067CE" w:rsidRDefault="007067CE" w:rsidP="00AF2A7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5057B" w14:textId="77777777" w:rsidR="00766C8E" w:rsidRDefault="00766C8E">
      <w:r>
        <w:separator/>
      </w:r>
    </w:p>
  </w:footnote>
  <w:footnote w:type="continuationSeparator" w:id="0">
    <w:p w14:paraId="3C893873" w14:textId="77777777" w:rsidR="00766C8E" w:rsidRDefault="00766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677"/>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5CCD"/>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1AA"/>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068"/>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6FCE"/>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1B2"/>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926"/>
    <w:rsid w:val="006B5FC0"/>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B17"/>
    <w:rsid w:val="00734DEA"/>
    <w:rsid w:val="00734E2D"/>
    <w:rsid w:val="0073598E"/>
    <w:rsid w:val="00735F7F"/>
    <w:rsid w:val="00736A76"/>
    <w:rsid w:val="00736ABD"/>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943"/>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7A8"/>
    <w:rsid w:val="009C2BB0"/>
    <w:rsid w:val="009C2D5F"/>
    <w:rsid w:val="009C3624"/>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126"/>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6C2"/>
    <w:rsid w:val="00AF1789"/>
    <w:rsid w:val="00AF1A96"/>
    <w:rsid w:val="00AF1C08"/>
    <w:rsid w:val="00AF1C60"/>
    <w:rsid w:val="00AF1DCE"/>
    <w:rsid w:val="00AF1FC6"/>
    <w:rsid w:val="00AF2420"/>
    <w:rsid w:val="00AF268E"/>
    <w:rsid w:val="00AF2A77"/>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115"/>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37E"/>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D57"/>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2EFA"/>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2C"/>
    <w:rsid w:val="00F242BB"/>
    <w:rsid w:val="00F247AD"/>
    <w:rsid w:val="00F2481D"/>
    <w:rsid w:val="00F24831"/>
    <w:rsid w:val="00F24A0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4AA"/>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4D1"/>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A2CF622"/>
  <w15:chartTrackingRefBased/>
  <w15:docId w15:val="{1D88CE30-BC6D-464C-8B51-BAC0128E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FooterChar">
    <w:name w:val="Footer Char"/>
    <w:basedOn w:val="DefaultParagraphFont"/>
    <w:link w:val="Footer"/>
    <w:uiPriority w:val="99"/>
    <w:rsid w:val="00AF2A77"/>
    <w:rPr>
      <w:sz w:val="24"/>
      <w:szCs w:val="24"/>
    </w:rPr>
  </w:style>
  <w:style w:type="table" w:styleId="TableGrid">
    <w:name w:val="Table Grid"/>
    <w:basedOn w:val="TableNormal"/>
    <w:rsid w:val="006B5FC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a.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F58B-A46E-4F87-9493-15F27F64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1221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9</cp:revision>
  <cp:lastPrinted>2020-09-25T03:43:00Z</cp:lastPrinted>
  <dcterms:created xsi:type="dcterms:W3CDTF">2020-09-24T03:47:00Z</dcterms:created>
  <dcterms:modified xsi:type="dcterms:W3CDTF">2020-09-29T03:39:00Z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