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5F183" w14:textId="77777777" w:rsidR="008B2F44" w:rsidRPr="00E8638A" w:rsidRDefault="0093606F" w:rsidP="008B2F44">
      <w:r w:rsidRPr="0093606F">
        <w:rPr>
          <w:noProof/>
        </w:rPr>
        <w:drawing>
          <wp:inline distT="0" distB="0" distL="0" distR="0" wp14:anchorId="6B81898C" wp14:editId="6386C215">
            <wp:extent cx="1459817" cy="1080000"/>
            <wp:effectExtent l="0" t="0" r="7620" b="6350"/>
            <wp:docPr id="4" name="Picture 4" descr="Australian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17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F10AC" w14:textId="77777777" w:rsidR="004C3006" w:rsidRPr="00E8638A" w:rsidRDefault="004C3006" w:rsidP="008B2F44"/>
    <w:p w14:paraId="462F677B" w14:textId="77777777" w:rsidR="002302FE" w:rsidRPr="00E8638A" w:rsidRDefault="002302FE" w:rsidP="008B2F44"/>
    <w:p w14:paraId="23A1C116" w14:textId="77777777" w:rsidR="002425C9" w:rsidRPr="00E8638A" w:rsidRDefault="002425C9" w:rsidP="008B2F44"/>
    <w:p w14:paraId="0F7935F2" w14:textId="77777777" w:rsidR="00A85B7A" w:rsidRPr="00E8638A" w:rsidRDefault="008B2F44" w:rsidP="007F5F07">
      <w:pPr>
        <w:pStyle w:val="ADRTitle"/>
        <w:spacing w:after="240"/>
      </w:pPr>
      <w:r w:rsidRPr="00E8638A">
        <w:t>Vehicle Standard (Australian Design Rule</w:t>
      </w:r>
      <w:r w:rsidR="0021140E">
        <w:t xml:space="preserve"> </w:t>
      </w:r>
      <w:r w:rsidR="002356C8" w:rsidRPr="00E8638A">
        <w:t>61/0</w:t>
      </w:r>
      <w:r w:rsidR="00EC485B" w:rsidRPr="00E8638A">
        <w:t>3</w:t>
      </w:r>
      <w:r w:rsidRPr="00E8638A">
        <w:t xml:space="preserve"> – </w:t>
      </w:r>
      <w:r w:rsidR="002356C8" w:rsidRPr="00E8638A">
        <w:t>Vehicle Marking</w:t>
      </w:r>
      <w:r w:rsidRPr="00E8638A">
        <w:t>)</w:t>
      </w:r>
      <w:r w:rsidR="008F4FA0" w:rsidRPr="00E8638A">
        <w:t xml:space="preserve"> </w:t>
      </w:r>
      <w:r w:rsidR="009475E3" w:rsidRPr="00E8638A">
        <w:t>20</w:t>
      </w:r>
      <w:r w:rsidR="00D14E78">
        <w:t>20</w:t>
      </w:r>
    </w:p>
    <w:p w14:paraId="38174D4C" w14:textId="5A099B3F" w:rsidR="00EC485B" w:rsidRPr="00E8638A" w:rsidRDefault="00EC485B" w:rsidP="00EC485B">
      <w:r w:rsidRPr="00E8638A">
        <w:t xml:space="preserve">I, </w:t>
      </w:r>
      <w:r w:rsidR="001E1502">
        <w:t xml:space="preserve">MICHAEL </w:t>
      </w:r>
      <w:proofErr w:type="spellStart"/>
      <w:r w:rsidR="001E1502">
        <w:t>McCORMACK</w:t>
      </w:r>
      <w:proofErr w:type="spellEnd"/>
      <w:r w:rsidR="002F4622" w:rsidRPr="00E8638A">
        <w:t xml:space="preserve">, </w:t>
      </w:r>
      <w:r w:rsidR="009E6796" w:rsidRPr="00E8638A">
        <w:t>Deputy Prime Minister</w:t>
      </w:r>
      <w:r w:rsidR="001E1502">
        <w:t xml:space="preserve"> and Minister for Infrastructure, Transport and Regional Development</w:t>
      </w:r>
      <w:r w:rsidRPr="00E8638A">
        <w:t xml:space="preserve">, determine this </w:t>
      </w:r>
      <w:r w:rsidR="00193B1B">
        <w:t xml:space="preserve">national road </w:t>
      </w:r>
      <w:r w:rsidRPr="00E8638A">
        <w:t xml:space="preserve">vehicle standard under section </w:t>
      </w:r>
      <w:r w:rsidR="00754EF9" w:rsidRPr="00E8638A">
        <w:t>12</w:t>
      </w:r>
      <w:r w:rsidRPr="00E8638A">
        <w:t xml:space="preserve"> of the </w:t>
      </w:r>
      <w:r w:rsidR="00C16848" w:rsidRPr="00E8638A">
        <w:rPr>
          <w:i/>
          <w:iCs/>
        </w:rPr>
        <w:t xml:space="preserve">Road </w:t>
      </w:r>
      <w:r w:rsidRPr="00E8638A">
        <w:rPr>
          <w:i/>
          <w:iCs/>
        </w:rPr>
        <w:t xml:space="preserve">Vehicle Standards Act </w:t>
      </w:r>
      <w:r w:rsidR="00CD576F" w:rsidRPr="00E8638A">
        <w:rPr>
          <w:i/>
          <w:iCs/>
        </w:rPr>
        <w:t>2018</w:t>
      </w:r>
      <w:r w:rsidRPr="00E8638A">
        <w:t>.</w:t>
      </w:r>
    </w:p>
    <w:p w14:paraId="70FD21EA" w14:textId="77777777" w:rsidR="00EC485B" w:rsidRPr="00E8638A" w:rsidRDefault="00EC485B" w:rsidP="00EC485B"/>
    <w:p w14:paraId="3A0B0EE3" w14:textId="77777777" w:rsidR="00EC485B" w:rsidRPr="00E8638A" w:rsidRDefault="00EC485B" w:rsidP="00EC485B"/>
    <w:p w14:paraId="5546DE20" w14:textId="77777777" w:rsidR="00EC485B" w:rsidRPr="00E8638A" w:rsidRDefault="00EC485B" w:rsidP="00EC485B"/>
    <w:p w14:paraId="1AC44C4A" w14:textId="77777777" w:rsidR="00EC485B" w:rsidRDefault="00EC485B" w:rsidP="00EC485B"/>
    <w:p w14:paraId="77AF847A" w14:textId="77777777" w:rsidR="008C6C2E" w:rsidRPr="00E8638A" w:rsidRDefault="008C6C2E" w:rsidP="00EC485B"/>
    <w:p w14:paraId="237A351B" w14:textId="00078184" w:rsidR="00EC485B" w:rsidRPr="00E8638A" w:rsidRDefault="000758F8" w:rsidP="00EC485B">
      <w:r>
        <w:t>Dated</w:t>
      </w:r>
      <w:r w:rsidR="0045316A">
        <w:tab/>
      </w:r>
      <w:r w:rsidR="0045316A">
        <w:tab/>
      </w:r>
      <w:r w:rsidR="00115173">
        <w:t xml:space="preserve">22 September </w:t>
      </w:r>
      <w:r w:rsidR="0045316A">
        <w:t>2020</w:t>
      </w:r>
    </w:p>
    <w:p w14:paraId="22541F28" w14:textId="77777777" w:rsidR="00EC485B" w:rsidRPr="00E8638A" w:rsidRDefault="00EC485B" w:rsidP="00EC485B"/>
    <w:p w14:paraId="103C0CEA" w14:textId="77777777" w:rsidR="00852677" w:rsidRPr="008C6C2E" w:rsidRDefault="00852677" w:rsidP="00EC485B"/>
    <w:p w14:paraId="6AC81624" w14:textId="77777777" w:rsidR="00D04458" w:rsidRPr="008C6C2E" w:rsidRDefault="00D04458" w:rsidP="008B3F21"/>
    <w:p w14:paraId="19065892" w14:textId="77777777" w:rsidR="00EC485B" w:rsidRPr="00E8638A" w:rsidRDefault="00EC485B" w:rsidP="00EC485B"/>
    <w:p w14:paraId="23808553" w14:textId="77777777" w:rsidR="00EC485B" w:rsidRPr="00E8638A" w:rsidRDefault="00EC485B" w:rsidP="00EC485B"/>
    <w:p w14:paraId="1487820B" w14:textId="77777777" w:rsidR="00EC485B" w:rsidRPr="00E8638A" w:rsidRDefault="00EC485B" w:rsidP="00EC485B"/>
    <w:p w14:paraId="2D949F03" w14:textId="77777777" w:rsidR="00EC485B" w:rsidRPr="00E8638A" w:rsidRDefault="00EC485B" w:rsidP="00EC485B"/>
    <w:p w14:paraId="39A506B7" w14:textId="77777777" w:rsidR="00EC485B" w:rsidRPr="00E8638A" w:rsidRDefault="00EC485B" w:rsidP="00EC485B"/>
    <w:p w14:paraId="0AFF5F0B" w14:textId="77777777" w:rsidR="00EC485B" w:rsidRPr="00E8638A" w:rsidRDefault="00EC485B" w:rsidP="00EC485B"/>
    <w:p w14:paraId="01EDE432" w14:textId="77777777" w:rsidR="00EC485B" w:rsidRPr="00E8638A" w:rsidRDefault="00EC485B" w:rsidP="00EC485B"/>
    <w:p w14:paraId="1E57F250" w14:textId="77777777" w:rsidR="00EC485B" w:rsidRPr="00E8638A" w:rsidRDefault="00EC485B" w:rsidP="00EC485B"/>
    <w:p w14:paraId="2EF7979F" w14:textId="77777777" w:rsidR="00EC485B" w:rsidRPr="00E8638A" w:rsidRDefault="00EC485B" w:rsidP="00EC485B"/>
    <w:p w14:paraId="6B806DD9" w14:textId="77777777" w:rsidR="00EC485B" w:rsidRDefault="00EC485B" w:rsidP="00EC485B"/>
    <w:p w14:paraId="39031BCA" w14:textId="2BEABEF4" w:rsidR="008C6C2E" w:rsidRPr="00E8638A" w:rsidRDefault="00115173" w:rsidP="00EC485B">
      <w:r>
        <w:t>[Signed]</w:t>
      </w:r>
    </w:p>
    <w:p w14:paraId="474DD4E5" w14:textId="55AFEA04" w:rsidR="008C6C2E" w:rsidRPr="008C6C2E" w:rsidRDefault="001E1502" w:rsidP="008C6C2E">
      <w:pPr>
        <w:spacing w:before="100" w:beforeAutospacing="1" w:after="100" w:afterAutospacing="1"/>
        <w:rPr>
          <w:rFonts w:eastAsia="Calibri"/>
        </w:rPr>
      </w:pPr>
      <w:r>
        <w:rPr>
          <w:rFonts w:eastAsia="Calibri"/>
        </w:rPr>
        <w:t>Michael McCormack</w:t>
      </w:r>
    </w:p>
    <w:p w14:paraId="0FED3E18" w14:textId="77777777" w:rsidR="009B31B8" w:rsidRPr="008C6C2E" w:rsidRDefault="001E1502" w:rsidP="008C6C2E">
      <w:pPr>
        <w:spacing w:before="100" w:beforeAutospacing="1" w:after="100" w:afterAutospacing="1"/>
        <w:rPr>
          <w:rFonts w:eastAsia="Calibri"/>
        </w:rPr>
      </w:pPr>
      <w:r w:rsidRPr="00E8638A">
        <w:t>Deputy Prime Minister</w:t>
      </w:r>
      <w:r>
        <w:br/>
      </w:r>
      <w:proofErr w:type="spellStart"/>
      <w:r>
        <w:t>Minister</w:t>
      </w:r>
      <w:proofErr w:type="spellEnd"/>
      <w:r>
        <w:t xml:space="preserve"> for Infrastructure, Transport and Regional Development</w:t>
      </w:r>
    </w:p>
    <w:p w14:paraId="1B73DD96" w14:textId="77777777" w:rsidR="008C6C2E" w:rsidRDefault="008C6C2E" w:rsidP="007A05FC"/>
    <w:p w14:paraId="4708862E" w14:textId="77777777" w:rsidR="008C6C2E" w:rsidRDefault="008C6C2E" w:rsidP="007A05FC">
      <w:pPr>
        <w:sectPr w:rsidR="008C6C2E" w:rsidSect="00312C9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40" w:right="1701" w:bottom="1440" w:left="1701" w:header="709" w:footer="709" w:gutter="0"/>
          <w:cols w:space="708"/>
          <w:docGrid w:linePitch="360"/>
        </w:sectPr>
      </w:pPr>
    </w:p>
    <w:p w14:paraId="2D105F84" w14:textId="77777777" w:rsidR="00C35C89" w:rsidRDefault="00C35C89" w:rsidP="008C6C2E">
      <w:pPr>
        <w:jc w:val="center"/>
        <w:rPr>
          <w:b/>
        </w:rPr>
      </w:pPr>
    </w:p>
    <w:p w14:paraId="682D0565" w14:textId="77777777" w:rsidR="001028EA" w:rsidRDefault="007A731E" w:rsidP="00C35C89">
      <w:pPr>
        <w:jc w:val="center"/>
        <w:rPr>
          <w:b/>
        </w:rPr>
      </w:pPr>
      <w:r w:rsidRPr="00550132">
        <w:rPr>
          <w:b/>
        </w:rPr>
        <w:t>CONTENTS</w:t>
      </w:r>
    </w:p>
    <w:p w14:paraId="2234E79C" w14:textId="77777777" w:rsidR="00C35C89" w:rsidRPr="00550132" w:rsidRDefault="00C35C89" w:rsidP="00C35C89">
      <w:pPr>
        <w:jc w:val="center"/>
        <w:rPr>
          <w:b/>
        </w:rPr>
      </w:pPr>
    </w:p>
    <w:p w14:paraId="14CF532A" w14:textId="6827BEA6" w:rsidR="00B4135D" w:rsidRDefault="00B4135D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>
        <w:rPr>
          <w:noProof/>
        </w:rPr>
        <w:t>1.</w:t>
      </w:r>
      <w:r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  <w:tab/>
      </w:r>
      <w:r>
        <w:rPr>
          <w:noProof/>
        </w:rPr>
        <w:t>legislative provisions</w:t>
      </w:r>
      <w:r>
        <w:rPr>
          <w:noProof/>
        </w:rPr>
        <w:tab/>
      </w:r>
      <w:r w:rsidR="00F22C7D">
        <w:rPr>
          <w:noProof/>
        </w:rPr>
        <w:t>3</w:t>
      </w:r>
    </w:p>
    <w:p w14:paraId="70B62941" w14:textId="06A54825" w:rsidR="00B4135D" w:rsidRDefault="00B4135D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>
        <w:rPr>
          <w:noProof/>
        </w:rPr>
        <w:t>2.</w:t>
      </w:r>
      <w:r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  <w:tab/>
      </w:r>
      <w:r>
        <w:rPr>
          <w:noProof/>
        </w:rPr>
        <w:t>function</w:t>
      </w:r>
      <w:r>
        <w:rPr>
          <w:noProof/>
        </w:rPr>
        <w:tab/>
      </w:r>
      <w:r w:rsidR="00F22C7D">
        <w:rPr>
          <w:noProof/>
        </w:rPr>
        <w:t>3</w:t>
      </w:r>
    </w:p>
    <w:p w14:paraId="175988E5" w14:textId="10A518AB" w:rsidR="00B4135D" w:rsidRDefault="00B4135D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>
        <w:rPr>
          <w:noProof/>
        </w:rPr>
        <w:t>3.</w:t>
      </w:r>
      <w:r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  <w:tab/>
      </w:r>
      <w:r>
        <w:rPr>
          <w:noProof/>
        </w:rPr>
        <w:t>APPLICABILITY</w:t>
      </w:r>
      <w:r>
        <w:rPr>
          <w:noProof/>
        </w:rPr>
        <w:tab/>
      </w:r>
      <w:r w:rsidR="00F22C7D">
        <w:rPr>
          <w:noProof/>
        </w:rPr>
        <w:t>3</w:t>
      </w:r>
    </w:p>
    <w:p w14:paraId="60E56A6B" w14:textId="54BA6F0B" w:rsidR="00B4135D" w:rsidRDefault="00B4135D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>
        <w:rPr>
          <w:noProof/>
        </w:rPr>
        <w:t>4.</w:t>
      </w:r>
      <w:r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 w:rsidR="00F22C7D">
        <w:rPr>
          <w:noProof/>
        </w:rPr>
        <w:t>5</w:t>
      </w:r>
    </w:p>
    <w:p w14:paraId="5C3071AC" w14:textId="46F71DBB" w:rsidR="00B4135D" w:rsidRDefault="00B4135D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>
        <w:rPr>
          <w:noProof/>
        </w:rPr>
        <w:t>5.</w:t>
      </w:r>
      <w:r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  <w:tab/>
      </w:r>
      <w:r>
        <w:rPr>
          <w:noProof/>
        </w:rPr>
        <w:t>Vehicle IDENTIFICATION NUMBER</w:t>
      </w:r>
      <w:r>
        <w:rPr>
          <w:noProof/>
        </w:rPr>
        <w:tab/>
      </w:r>
      <w:r w:rsidR="00F22C7D">
        <w:rPr>
          <w:noProof/>
        </w:rPr>
        <w:t>5</w:t>
      </w:r>
    </w:p>
    <w:p w14:paraId="4985B56A" w14:textId="76D7BA72" w:rsidR="00B4135D" w:rsidRDefault="00B4135D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>
        <w:rPr>
          <w:noProof/>
        </w:rPr>
        <w:t>6.</w:t>
      </w:r>
      <w:r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  <w:tab/>
      </w:r>
      <w:r>
        <w:rPr>
          <w:noProof/>
        </w:rPr>
        <w:t>secure vehicle identification marking</w:t>
      </w:r>
      <w:r>
        <w:rPr>
          <w:noProof/>
        </w:rPr>
        <w:tab/>
      </w:r>
      <w:r w:rsidR="00F22C7D">
        <w:rPr>
          <w:noProof/>
        </w:rPr>
        <w:t>5</w:t>
      </w:r>
    </w:p>
    <w:p w14:paraId="298D8CDC" w14:textId="3FAA33F2" w:rsidR="00B4135D" w:rsidRDefault="00B4135D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>
        <w:rPr>
          <w:noProof/>
        </w:rPr>
        <w:t>7.</w:t>
      </w:r>
      <w:r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  <w:tab/>
      </w:r>
      <w:r>
        <w:rPr>
          <w:noProof/>
        </w:rPr>
        <w:t>VEHICLE PLATE</w:t>
      </w:r>
      <w:r>
        <w:rPr>
          <w:noProof/>
        </w:rPr>
        <w:tab/>
      </w:r>
      <w:r w:rsidR="00F22C7D">
        <w:rPr>
          <w:noProof/>
        </w:rPr>
        <w:t>7</w:t>
      </w:r>
    </w:p>
    <w:p w14:paraId="3661963C" w14:textId="540D3026" w:rsidR="00B4135D" w:rsidRDefault="00B4135D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>
        <w:rPr>
          <w:noProof/>
        </w:rPr>
        <w:t>8.</w:t>
      </w:r>
      <w:r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  <w:tab/>
      </w:r>
      <w:r>
        <w:rPr>
          <w:noProof/>
        </w:rPr>
        <w:t>ENGINE NUMBER</w:t>
      </w:r>
      <w:r>
        <w:rPr>
          <w:noProof/>
        </w:rPr>
        <w:tab/>
      </w:r>
      <w:r w:rsidR="00F22C7D">
        <w:rPr>
          <w:noProof/>
        </w:rPr>
        <w:t>9</w:t>
      </w:r>
    </w:p>
    <w:p w14:paraId="58CD4C1E" w14:textId="1EF293C6" w:rsidR="00B4135D" w:rsidRDefault="00B4135D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>
        <w:rPr>
          <w:noProof/>
        </w:rPr>
        <w:t>9.</w:t>
      </w:r>
      <w:r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  <w:tab/>
      </w:r>
      <w:r>
        <w:rPr>
          <w:noProof/>
        </w:rPr>
        <w:t>REGISTRATION PLATES</w:t>
      </w:r>
      <w:r>
        <w:rPr>
          <w:noProof/>
        </w:rPr>
        <w:tab/>
      </w:r>
      <w:r w:rsidR="00F22C7D">
        <w:rPr>
          <w:noProof/>
        </w:rPr>
        <w:t>10</w:t>
      </w:r>
    </w:p>
    <w:p w14:paraId="56EE104F" w14:textId="2006ACC4" w:rsidR="00B4135D" w:rsidRDefault="00B4135D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>
        <w:rPr>
          <w:noProof/>
        </w:rPr>
        <w:t>10.</w:t>
      </w:r>
      <w:r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  <w:tab/>
      </w:r>
      <w:r>
        <w:rPr>
          <w:noProof/>
        </w:rPr>
        <w:t>VISIBILITY OF TRAY</w:t>
      </w:r>
      <w:r>
        <w:rPr>
          <w:noProof/>
        </w:rPr>
        <w:tab/>
      </w:r>
      <w:r w:rsidR="00F22C7D">
        <w:rPr>
          <w:noProof/>
        </w:rPr>
        <w:t>10</w:t>
      </w:r>
    </w:p>
    <w:p w14:paraId="6BE781C8" w14:textId="31C831B5" w:rsidR="007A731E" w:rsidRDefault="007A731E"/>
    <w:p w14:paraId="2B6AD76F" w14:textId="77777777" w:rsidR="0017442C" w:rsidRDefault="002302FE" w:rsidP="000746A3">
      <w:r>
        <w:br w:type="page"/>
      </w:r>
    </w:p>
    <w:p w14:paraId="3CD787E1" w14:textId="77777777" w:rsidR="00EC485B" w:rsidRDefault="00EC485B" w:rsidP="00DB34D8">
      <w:pPr>
        <w:pStyle w:val="Clauseheading"/>
      </w:pPr>
      <w:bookmarkStart w:id="0" w:name="_Toc42000630"/>
      <w:bookmarkStart w:id="1" w:name="_Toc119215354"/>
      <w:bookmarkStart w:id="2" w:name="_Toc131922934"/>
      <w:r>
        <w:lastRenderedPageBreak/>
        <w:t>legislative provisions</w:t>
      </w:r>
      <w:bookmarkEnd w:id="0"/>
    </w:p>
    <w:bookmarkEnd w:id="1"/>
    <w:p w14:paraId="33849250" w14:textId="77777777" w:rsidR="00EC485B" w:rsidRPr="00EC485B" w:rsidRDefault="00DE5B94" w:rsidP="004F0967">
      <w:pPr>
        <w:pStyle w:val="Subclause"/>
      </w:pPr>
      <w:r>
        <w:t>Name of</w:t>
      </w:r>
      <w:r w:rsidR="00EC485B">
        <w:t xml:space="preserve"> Standard</w:t>
      </w:r>
    </w:p>
    <w:p w14:paraId="7FEDDD27" w14:textId="77777777" w:rsidR="005E2912" w:rsidRDefault="00EF4BD1" w:rsidP="005E2912">
      <w:pPr>
        <w:pStyle w:val="Subsubclause"/>
      </w:pPr>
      <w:r>
        <w:t xml:space="preserve">This </w:t>
      </w:r>
      <w:r w:rsidR="008C6C2E">
        <w:t>s</w:t>
      </w:r>
      <w:r>
        <w:t xml:space="preserve">tandard is the Vehicle Standard (Australian Design Rule </w:t>
      </w:r>
      <w:r w:rsidR="002356C8">
        <w:t>61/0</w:t>
      </w:r>
      <w:r w:rsidR="00EC485B">
        <w:t>3</w:t>
      </w:r>
      <w:r w:rsidR="00B71F30">
        <w:t xml:space="preserve"> </w:t>
      </w:r>
      <w:r>
        <w:t>–</w:t>
      </w:r>
      <w:r w:rsidR="00B71F30">
        <w:t xml:space="preserve"> </w:t>
      </w:r>
      <w:r w:rsidR="002356C8">
        <w:t>Vehicle Marking</w:t>
      </w:r>
      <w:r>
        <w:t xml:space="preserve">) </w:t>
      </w:r>
      <w:r w:rsidR="002356C8">
        <w:t>20</w:t>
      </w:r>
      <w:r w:rsidR="00366FEA">
        <w:t>20</w:t>
      </w:r>
      <w:r>
        <w:t>.</w:t>
      </w:r>
    </w:p>
    <w:p w14:paraId="634A160E" w14:textId="410C254F" w:rsidR="005E2912" w:rsidRDefault="00EF4BD1" w:rsidP="005E2912">
      <w:pPr>
        <w:pStyle w:val="Subsubclause"/>
      </w:pPr>
      <w:r>
        <w:t xml:space="preserve">This </w:t>
      </w:r>
      <w:r w:rsidR="008C6C2E">
        <w:t>s</w:t>
      </w:r>
      <w:r>
        <w:t xml:space="preserve">tandard </w:t>
      </w:r>
      <w:proofErr w:type="gramStart"/>
      <w:r>
        <w:t>may also be cited</w:t>
      </w:r>
      <w:proofErr w:type="gramEnd"/>
      <w:r>
        <w:t xml:space="preserve"> as </w:t>
      </w:r>
      <w:r w:rsidR="00E733B1">
        <w:t xml:space="preserve">the </w:t>
      </w:r>
      <w:r>
        <w:t xml:space="preserve">Australian Design Rule </w:t>
      </w:r>
      <w:r w:rsidR="002356C8">
        <w:t>61/0</w:t>
      </w:r>
      <w:r w:rsidR="00EC485B">
        <w:t>3</w:t>
      </w:r>
      <w:r w:rsidR="002356C8">
        <w:t xml:space="preserve"> – Vehicle Marking</w:t>
      </w:r>
      <w:r w:rsidR="00E733B1">
        <w:t>, the Australian Design Rule 61/03, or ADR 61/03</w:t>
      </w:r>
      <w:r>
        <w:t>.</w:t>
      </w:r>
      <w:bookmarkStart w:id="3" w:name="_Toc119215355"/>
    </w:p>
    <w:p w14:paraId="2C3CFEB7" w14:textId="77777777" w:rsidR="00EF4BD1" w:rsidRPr="006F6CD4" w:rsidRDefault="00EF4BD1" w:rsidP="006F6CD4">
      <w:pPr>
        <w:pStyle w:val="Subclause"/>
      </w:pPr>
      <w:r w:rsidRPr="006F6CD4">
        <w:t>C</w:t>
      </w:r>
      <w:r w:rsidR="00EC485B" w:rsidRPr="006F6CD4">
        <w:t>ommencement</w:t>
      </w:r>
      <w:bookmarkEnd w:id="3"/>
    </w:p>
    <w:p w14:paraId="3B046DF9" w14:textId="77777777" w:rsidR="00EF4BD1" w:rsidRDefault="00EF4BD1" w:rsidP="005E2912">
      <w:pPr>
        <w:pStyle w:val="Subsubclause"/>
      </w:pPr>
      <w:r>
        <w:t xml:space="preserve">This </w:t>
      </w:r>
      <w:r w:rsidR="008C6C2E">
        <w:t>s</w:t>
      </w:r>
      <w:r>
        <w:t xml:space="preserve">tandard commences </w:t>
      </w:r>
      <w:r w:rsidR="007F0AC5">
        <w:t>a</w:t>
      </w:r>
      <w:r w:rsidR="007F0AC5" w:rsidRPr="007F0AC5">
        <w:t>t the same time as section 1</w:t>
      </w:r>
      <w:r w:rsidR="00312C94">
        <w:t>5</w:t>
      </w:r>
      <w:r w:rsidR="007F0AC5" w:rsidRPr="007F0AC5">
        <w:t xml:space="preserve"> of the </w:t>
      </w:r>
      <w:r w:rsidR="007F0AC5" w:rsidRPr="007F0AC5">
        <w:rPr>
          <w:i/>
        </w:rPr>
        <w:t xml:space="preserve">Road Vehicle Standards </w:t>
      </w:r>
      <w:r w:rsidR="00312C94">
        <w:rPr>
          <w:i/>
        </w:rPr>
        <w:t>Act</w:t>
      </w:r>
      <w:r w:rsidR="007F0AC5" w:rsidRPr="007F0AC5">
        <w:rPr>
          <w:i/>
        </w:rPr>
        <w:t xml:space="preserve"> 201</w:t>
      </w:r>
      <w:r w:rsidR="00312C94">
        <w:rPr>
          <w:i/>
        </w:rPr>
        <w:t>8</w:t>
      </w:r>
      <w:r>
        <w:t>.</w:t>
      </w:r>
    </w:p>
    <w:p w14:paraId="33FBCBD7" w14:textId="77777777" w:rsidR="00CE1ADC" w:rsidRDefault="00EC485B" w:rsidP="004F0967">
      <w:pPr>
        <w:pStyle w:val="Clauseheading"/>
      </w:pPr>
      <w:bookmarkStart w:id="4" w:name="_Toc119215357"/>
      <w:bookmarkStart w:id="5" w:name="_Toc42000631"/>
      <w:r>
        <w:t>function</w:t>
      </w:r>
      <w:bookmarkEnd w:id="4"/>
      <w:bookmarkEnd w:id="5"/>
    </w:p>
    <w:p w14:paraId="5DC7BD89" w14:textId="77777777" w:rsidR="00EF4BD1" w:rsidRPr="006F6CD4" w:rsidRDefault="00EF4BD1" w:rsidP="00DB34D8">
      <w:pPr>
        <w:pStyle w:val="Subclause"/>
      </w:pPr>
      <w:r w:rsidRPr="006F6CD4">
        <w:t>The function of this vehicle standard is to specify requirements for vehicle marking.</w:t>
      </w:r>
    </w:p>
    <w:p w14:paraId="52BF2715" w14:textId="77777777" w:rsidR="00EF4BD1" w:rsidRDefault="00EF4BD1" w:rsidP="00EF4BD1">
      <w:pPr>
        <w:pStyle w:val="Clauseheading"/>
      </w:pPr>
      <w:bookmarkStart w:id="6" w:name="_Toc119215358"/>
      <w:bookmarkStart w:id="7" w:name="_Toc42000632"/>
      <w:r>
        <w:t>APPLICABILITY</w:t>
      </w:r>
      <w:bookmarkEnd w:id="6"/>
      <w:bookmarkEnd w:id="7"/>
    </w:p>
    <w:p w14:paraId="0A4B2334" w14:textId="77777777" w:rsidR="004F3926" w:rsidRPr="00A51E4A" w:rsidRDefault="004F3926" w:rsidP="007F0AC5">
      <w:pPr>
        <w:pStyle w:val="Subclause"/>
      </w:pPr>
      <w:r w:rsidRPr="00A51E4A">
        <w:t xml:space="preserve">This vehicle standard applies to all </w:t>
      </w:r>
      <w:r w:rsidR="007F0AC5">
        <w:t xml:space="preserve">categories of </w:t>
      </w:r>
      <w:r w:rsidRPr="00A51E4A">
        <w:t xml:space="preserve">vehicles from the </w:t>
      </w:r>
      <w:r w:rsidR="007F0AC5">
        <w:t xml:space="preserve">commencement of </w:t>
      </w:r>
      <w:r w:rsidR="005654A1" w:rsidRPr="007F0AC5">
        <w:t>section 1</w:t>
      </w:r>
      <w:r w:rsidR="00312C94">
        <w:t>5</w:t>
      </w:r>
      <w:r w:rsidR="005654A1" w:rsidRPr="007F0AC5">
        <w:t xml:space="preserve"> of the </w:t>
      </w:r>
      <w:r w:rsidR="007F0AC5" w:rsidRPr="007F0AC5">
        <w:rPr>
          <w:i/>
        </w:rPr>
        <w:t xml:space="preserve">Road Vehicle Standards </w:t>
      </w:r>
      <w:r w:rsidR="00312C94">
        <w:rPr>
          <w:i/>
        </w:rPr>
        <w:t>Act 2018</w:t>
      </w:r>
      <w:r w:rsidRPr="00A51E4A">
        <w:t>.</w:t>
      </w:r>
    </w:p>
    <w:p w14:paraId="7F923BCF" w14:textId="77777777" w:rsidR="00EF4BD1" w:rsidRPr="006F6CD4" w:rsidRDefault="00EF4BD1" w:rsidP="006F6CD4">
      <w:pPr>
        <w:pStyle w:val="Subclause"/>
      </w:pPr>
      <w:r w:rsidRPr="006F6CD4">
        <w:br w:type="page"/>
      </w:r>
      <w:r w:rsidRPr="006F6CD4">
        <w:lastRenderedPageBreak/>
        <w:t>Applicability Table</w:t>
      </w:r>
    </w:p>
    <w:tbl>
      <w:tblPr>
        <w:tblW w:w="8589" w:type="dxa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"/>
        <w:gridCol w:w="2783"/>
        <w:gridCol w:w="1134"/>
        <w:gridCol w:w="1134"/>
        <w:gridCol w:w="1701"/>
        <w:gridCol w:w="1588"/>
      </w:tblGrid>
      <w:tr w:rsidR="00EB2CED" w:rsidRPr="004D4269" w14:paraId="67452BB5" w14:textId="77777777" w:rsidTr="001F620B"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80D5DB3" w14:textId="77777777" w:rsidR="00EF4BD1" w:rsidRPr="004D4269" w:rsidRDefault="00EF4BD1" w:rsidP="009C2888">
            <w:pPr>
              <w:spacing w:beforeLines="20" w:before="48" w:afterLines="20" w:after="48"/>
              <w:rPr>
                <w:b/>
                <w:sz w:val="20"/>
                <w:szCs w:val="20"/>
              </w:rPr>
            </w:pPr>
            <w:r w:rsidRPr="004D4269">
              <w:rPr>
                <w:b/>
                <w:sz w:val="20"/>
                <w:szCs w:val="20"/>
              </w:rPr>
              <w:t>Vehicle Category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D06C47" w14:textId="77777777" w:rsidR="00EF4BD1" w:rsidRPr="004D4269" w:rsidRDefault="00EF4BD1" w:rsidP="009C2888">
            <w:pPr>
              <w:spacing w:beforeLines="20" w:before="48" w:afterLines="20" w:after="48"/>
              <w:rPr>
                <w:b/>
                <w:sz w:val="20"/>
                <w:szCs w:val="20"/>
              </w:rPr>
            </w:pPr>
            <w:r w:rsidRPr="004D4269">
              <w:rPr>
                <w:b/>
                <w:sz w:val="20"/>
                <w:szCs w:val="20"/>
              </w:rPr>
              <w:t>ADR Category Code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D6A7E1" w14:textId="77777777" w:rsidR="00EF4BD1" w:rsidRPr="004D4269" w:rsidRDefault="00EF4BD1" w:rsidP="009C2888">
            <w:pPr>
              <w:spacing w:beforeLines="20" w:before="48" w:afterLines="20" w:after="48"/>
              <w:rPr>
                <w:b/>
                <w:sz w:val="20"/>
                <w:szCs w:val="20"/>
              </w:rPr>
            </w:pPr>
            <w:r w:rsidRPr="004D4269">
              <w:rPr>
                <w:b/>
                <w:sz w:val="20"/>
                <w:szCs w:val="20"/>
              </w:rPr>
              <w:t>UN</w:t>
            </w:r>
            <w:r w:rsidR="00E97F69">
              <w:rPr>
                <w:b/>
                <w:sz w:val="20"/>
                <w:szCs w:val="20"/>
              </w:rPr>
              <w:t xml:space="preserve"> </w:t>
            </w:r>
            <w:r w:rsidRPr="004D4269">
              <w:rPr>
                <w:b/>
                <w:sz w:val="20"/>
                <w:szCs w:val="20"/>
              </w:rPr>
              <w:t>Category Code</w:t>
            </w:r>
            <w:r w:rsidR="004F3926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F30C2C" w14:textId="77777777" w:rsidR="00EF4BD1" w:rsidRPr="004D4269" w:rsidRDefault="00EF4BD1" w:rsidP="009C2888">
            <w:pPr>
              <w:spacing w:beforeLines="20" w:before="48" w:afterLines="20" w:after="48"/>
              <w:rPr>
                <w:b/>
                <w:sz w:val="20"/>
                <w:szCs w:val="20"/>
              </w:rPr>
            </w:pPr>
            <w:r w:rsidRPr="004D4269">
              <w:rPr>
                <w:b/>
                <w:sz w:val="20"/>
                <w:szCs w:val="20"/>
              </w:rPr>
              <w:t>Manufactured on or After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26DEFB" w14:textId="77777777" w:rsidR="00EF4BD1" w:rsidRPr="004D4269" w:rsidRDefault="00EF4BD1" w:rsidP="009C2888">
            <w:pPr>
              <w:spacing w:beforeLines="20" w:before="48" w:afterLines="20" w:after="48"/>
              <w:rPr>
                <w:b/>
                <w:sz w:val="20"/>
                <w:szCs w:val="20"/>
              </w:rPr>
            </w:pPr>
            <w:r w:rsidRPr="004D4269">
              <w:rPr>
                <w:b/>
                <w:sz w:val="20"/>
                <w:szCs w:val="20"/>
              </w:rPr>
              <w:t>Acceptable Prior Rules</w:t>
            </w:r>
          </w:p>
        </w:tc>
      </w:tr>
      <w:tr w:rsidR="00EB2CED" w:rsidRPr="004D4269" w14:paraId="0128DC1C" w14:textId="77777777" w:rsidTr="001F620B"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3AAA780" w14:textId="77777777" w:rsidR="00EF4BD1" w:rsidRPr="004D4269" w:rsidRDefault="00EF4BD1" w:rsidP="009C2888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4D4269">
              <w:rPr>
                <w:sz w:val="20"/>
                <w:szCs w:val="20"/>
              </w:rPr>
              <w:t>Moped 2 wheels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4E8D728" w14:textId="77777777" w:rsidR="00EF4BD1" w:rsidRPr="004D4269" w:rsidRDefault="00EF4BD1" w:rsidP="009C2888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4D4269">
              <w:rPr>
                <w:sz w:val="20"/>
                <w:szCs w:val="20"/>
              </w:rPr>
              <w:t>LA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392E476" w14:textId="77777777" w:rsidR="00EF4BD1" w:rsidRPr="004D4269" w:rsidRDefault="00EF4BD1" w:rsidP="009C2888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4D4269">
              <w:rPr>
                <w:sz w:val="20"/>
                <w:szCs w:val="20"/>
              </w:rPr>
              <w:t>L1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5534EEC" w14:textId="77777777" w:rsidR="00EF4BD1" w:rsidRPr="006A5DA3" w:rsidRDefault="00C03388" w:rsidP="009C2888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6A5DA3">
              <w:rPr>
                <w:sz w:val="20"/>
                <w:szCs w:val="20"/>
              </w:rPr>
              <w:t>See clause 3.1</w:t>
            </w:r>
          </w:p>
        </w:tc>
        <w:tc>
          <w:tcPr>
            <w:tcW w:w="1587" w:type="dxa"/>
            <w:tcBorders>
              <w:top w:val="single" w:sz="4" w:space="0" w:color="auto"/>
              <w:right w:val="single" w:sz="4" w:space="0" w:color="auto"/>
            </w:tcBorders>
          </w:tcPr>
          <w:p w14:paraId="68077538" w14:textId="77777777" w:rsidR="00EF4BD1" w:rsidRPr="00A51E4A" w:rsidRDefault="00EE1283" w:rsidP="009C2888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A51E4A">
              <w:rPr>
                <w:sz w:val="20"/>
                <w:szCs w:val="20"/>
              </w:rPr>
              <w:t>Nil</w:t>
            </w:r>
          </w:p>
        </w:tc>
      </w:tr>
      <w:tr w:rsidR="00EB2CED" w:rsidRPr="004D4269" w14:paraId="7B1F0662" w14:textId="77777777" w:rsidTr="001F620B">
        <w:tc>
          <w:tcPr>
            <w:tcW w:w="3032" w:type="dxa"/>
            <w:gridSpan w:val="2"/>
            <w:tcBorders>
              <w:left w:val="single" w:sz="4" w:space="0" w:color="auto"/>
            </w:tcBorders>
          </w:tcPr>
          <w:p w14:paraId="1790CDD4" w14:textId="77777777" w:rsidR="00692F7A" w:rsidRPr="004D4269" w:rsidRDefault="00692F7A" w:rsidP="009C2888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4D4269">
              <w:rPr>
                <w:sz w:val="20"/>
                <w:szCs w:val="20"/>
              </w:rPr>
              <w:t>Moped 3 wheels</w:t>
            </w:r>
          </w:p>
        </w:tc>
        <w:tc>
          <w:tcPr>
            <w:tcW w:w="1134" w:type="dxa"/>
          </w:tcPr>
          <w:p w14:paraId="29350593" w14:textId="77777777" w:rsidR="00692F7A" w:rsidRPr="004D4269" w:rsidRDefault="00692F7A" w:rsidP="009C2888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4D4269">
              <w:rPr>
                <w:sz w:val="20"/>
                <w:szCs w:val="20"/>
              </w:rPr>
              <w:t>LB</w:t>
            </w:r>
          </w:p>
        </w:tc>
        <w:tc>
          <w:tcPr>
            <w:tcW w:w="1134" w:type="dxa"/>
          </w:tcPr>
          <w:p w14:paraId="7223A949" w14:textId="77777777" w:rsidR="00692F7A" w:rsidRPr="004D4269" w:rsidRDefault="00692F7A" w:rsidP="009C2888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4D4269">
              <w:rPr>
                <w:sz w:val="20"/>
                <w:szCs w:val="20"/>
              </w:rPr>
              <w:t>L2</w:t>
            </w:r>
          </w:p>
        </w:tc>
        <w:tc>
          <w:tcPr>
            <w:tcW w:w="1701" w:type="dxa"/>
          </w:tcPr>
          <w:p w14:paraId="5D2245A6" w14:textId="77777777" w:rsidR="00692F7A" w:rsidRPr="006A5DA3" w:rsidRDefault="00C03388" w:rsidP="009C2888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6A5DA3">
              <w:rPr>
                <w:sz w:val="20"/>
                <w:szCs w:val="20"/>
              </w:rPr>
              <w:t>See clause 3.1</w:t>
            </w: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14:paraId="06D6D7BC" w14:textId="77777777" w:rsidR="00692F7A" w:rsidRPr="00A51E4A" w:rsidRDefault="00692F7A" w:rsidP="009C2888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A51E4A">
              <w:rPr>
                <w:sz w:val="20"/>
                <w:szCs w:val="20"/>
              </w:rPr>
              <w:t>Nil</w:t>
            </w:r>
          </w:p>
        </w:tc>
      </w:tr>
      <w:tr w:rsidR="00EB2CED" w:rsidRPr="004D4269" w14:paraId="7DF5E517" w14:textId="77777777" w:rsidTr="001F620B">
        <w:tc>
          <w:tcPr>
            <w:tcW w:w="3032" w:type="dxa"/>
            <w:gridSpan w:val="2"/>
            <w:tcBorders>
              <w:left w:val="single" w:sz="4" w:space="0" w:color="auto"/>
            </w:tcBorders>
          </w:tcPr>
          <w:p w14:paraId="7044DB8E" w14:textId="77777777" w:rsidR="00692F7A" w:rsidRPr="004D4269" w:rsidRDefault="00692F7A" w:rsidP="009C2888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4D4269">
              <w:rPr>
                <w:sz w:val="20"/>
                <w:szCs w:val="20"/>
              </w:rPr>
              <w:t>Motor cycle</w:t>
            </w:r>
          </w:p>
        </w:tc>
        <w:tc>
          <w:tcPr>
            <w:tcW w:w="1134" w:type="dxa"/>
          </w:tcPr>
          <w:p w14:paraId="1CA7BD77" w14:textId="77777777" w:rsidR="00692F7A" w:rsidRPr="004D4269" w:rsidRDefault="00692F7A" w:rsidP="009C2888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4D4269">
              <w:rPr>
                <w:sz w:val="20"/>
                <w:szCs w:val="20"/>
              </w:rPr>
              <w:t>LC</w:t>
            </w:r>
          </w:p>
        </w:tc>
        <w:tc>
          <w:tcPr>
            <w:tcW w:w="1134" w:type="dxa"/>
          </w:tcPr>
          <w:p w14:paraId="6A1C40D7" w14:textId="77777777" w:rsidR="00692F7A" w:rsidRPr="004D4269" w:rsidRDefault="00692F7A" w:rsidP="009C2888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4D4269">
              <w:rPr>
                <w:sz w:val="20"/>
                <w:szCs w:val="20"/>
              </w:rPr>
              <w:t>L3</w:t>
            </w:r>
          </w:p>
        </w:tc>
        <w:tc>
          <w:tcPr>
            <w:tcW w:w="1701" w:type="dxa"/>
          </w:tcPr>
          <w:p w14:paraId="58F0644D" w14:textId="77777777" w:rsidR="00692F7A" w:rsidRPr="006A5DA3" w:rsidRDefault="00C03388" w:rsidP="009C2888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6A5DA3">
              <w:rPr>
                <w:sz w:val="20"/>
                <w:szCs w:val="20"/>
              </w:rPr>
              <w:t>See clause 3.1</w:t>
            </w: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14:paraId="1944C2E7" w14:textId="77777777" w:rsidR="00692F7A" w:rsidRPr="00A51E4A" w:rsidRDefault="00692F7A" w:rsidP="009C2888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A51E4A">
              <w:rPr>
                <w:sz w:val="20"/>
                <w:szCs w:val="20"/>
              </w:rPr>
              <w:t>Nil</w:t>
            </w:r>
          </w:p>
        </w:tc>
      </w:tr>
      <w:tr w:rsidR="00EB2CED" w:rsidRPr="004D4269" w14:paraId="44FD4175" w14:textId="77777777" w:rsidTr="001F620B">
        <w:tc>
          <w:tcPr>
            <w:tcW w:w="3032" w:type="dxa"/>
            <w:gridSpan w:val="2"/>
            <w:tcBorders>
              <w:left w:val="single" w:sz="4" w:space="0" w:color="auto"/>
            </w:tcBorders>
          </w:tcPr>
          <w:p w14:paraId="5D62A701" w14:textId="77777777" w:rsidR="00692F7A" w:rsidRPr="004D4269" w:rsidRDefault="00692F7A" w:rsidP="009C2888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4D4269">
              <w:rPr>
                <w:sz w:val="20"/>
                <w:szCs w:val="20"/>
              </w:rPr>
              <w:t>Motor cycle and sidecar</w:t>
            </w:r>
          </w:p>
        </w:tc>
        <w:tc>
          <w:tcPr>
            <w:tcW w:w="1134" w:type="dxa"/>
          </w:tcPr>
          <w:p w14:paraId="2CADB0C0" w14:textId="77777777" w:rsidR="00692F7A" w:rsidRPr="004D4269" w:rsidRDefault="00692F7A" w:rsidP="009C2888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4D4269">
              <w:rPr>
                <w:sz w:val="20"/>
                <w:szCs w:val="20"/>
              </w:rPr>
              <w:t>LD</w:t>
            </w:r>
          </w:p>
        </w:tc>
        <w:tc>
          <w:tcPr>
            <w:tcW w:w="1134" w:type="dxa"/>
          </w:tcPr>
          <w:p w14:paraId="1E6271FF" w14:textId="77777777" w:rsidR="00692F7A" w:rsidRPr="004D4269" w:rsidRDefault="00692F7A" w:rsidP="009C2888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4D4269">
              <w:rPr>
                <w:sz w:val="20"/>
                <w:szCs w:val="20"/>
              </w:rPr>
              <w:t>L4</w:t>
            </w:r>
          </w:p>
        </w:tc>
        <w:tc>
          <w:tcPr>
            <w:tcW w:w="1701" w:type="dxa"/>
          </w:tcPr>
          <w:p w14:paraId="41BBF89C" w14:textId="77777777" w:rsidR="00692F7A" w:rsidRPr="006A5DA3" w:rsidRDefault="00C03388" w:rsidP="009C2888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6A5DA3">
              <w:rPr>
                <w:sz w:val="20"/>
                <w:szCs w:val="20"/>
              </w:rPr>
              <w:t>See clause 3.1</w:t>
            </w: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14:paraId="633D629E" w14:textId="77777777" w:rsidR="00692F7A" w:rsidRPr="00A51E4A" w:rsidRDefault="00692F7A" w:rsidP="009C2888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A51E4A">
              <w:rPr>
                <w:sz w:val="20"/>
                <w:szCs w:val="20"/>
              </w:rPr>
              <w:t>Nil</w:t>
            </w:r>
          </w:p>
        </w:tc>
      </w:tr>
      <w:tr w:rsidR="00EB2CED" w:rsidRPr="004D4269" w14:paraId="3118999F" w14:textId="77777777" w:rsidTr="001F620B">
        <w:tc>
          <w:tcPr>
            <w:tcW w:w="3032" w:type="dxa"/>
            <w:gridSpan w:val="2"/>
            <w:tcBorders>
              <w:left w:val="single" w:sz="4" w:space="0" w:color="auto"/>
            </w:tcBorders>
          </w:tcPr>
          <w:p w14:paraId="42C4FB39" w14:textId="77777777" w:rsidR="00692F7A" w:rsidRPr="004D4269" w:rsidRDefault="00692F7A" w:rsidP="009C2888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4D4269">
              <w:rPr>
                <w:sz w:val="20"/>
                <w:szCs w:val="20"/>
              </w:rPr>
              <w:t>Motor tricycle</w:t>
            </w:r>
          </w:p>
        </w:tc>
        <w:tc>
          <w:tcPr>
            <w:tcW w:w="1134" w:type="dxa"/>
          </w:tcPr>
          <w:p w14:paraId="19E68BC2" w14:textId="77777777" w:rsidR="00692F7A" w:rsidRPr="004D4269" w:rsidRDefault="00692F7A" w:rsidP="009C2888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4D4269">
              <w:rPr>
                <w:sz w:val="20"/>
                <w:szCs w:val="20"/>
              </w:rPr>
              <w:t>LE</w:t>
            </w:r>
          </w:p>
        </w:tc>
        <w:tc>
          <w:tcPr>
            <w:tcW w:w="1134" w:type="dxa"/>
          </w:tcPr>
          <w:p w14:paraId="3C8C40FB" w14:textId="77777777" w:rsidR="00692F7A" w:rsidRPr="004D4269" w:rsidRDefault="00692F7A" w:rsidP="009C2888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4D4269">
              <w:rPr>
                <w:sz w:val="20"/>
                <w:szCs w:val="20"/>
              </w:rPr>
              <w:t>L5</w:t>
            </w:r>
          </w:p>
        </w:tc>
        <w:tc>
          <w:tcPr>
            <w:tcW w:w="1701" w:type="dxa"/>
          </w:tcPr>
          <w:p w14:paraId="6BA5BD2A" w14:textId="77777777" w:rsidR="00692F7A" w:rsidRPr="006A5DA3" w:rsidRDefault="00692F7A" w:rsidP="009C2888">
            <w:pPr>
              <w:spacing w:beforeLines="20" w:before="48" w:afterLines="20" w:after="48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14:paraId="5056E83F" w14:textId="77777777" w:rsidR="00692F7A" w:rsidRPr="00A51E4A" w:rsidRDefault="00692F7A" w:rsidP="009C2888">
            <w:pPr>
              <w:spacing w:beforeLines="20" w:before="48" w:afterLines="20" w:after="48"/>
              <w:rPr>
                <w:sz w:val="20"/>
                <w:szCs w:val="20"/>
              </w:rPr>
            </w:pPr>
          </w:p>
        </w:tc>
      </w:tr>
      <w:tr w:rsidR="00EB2CED" w:rsidRPr="004D4269" w14:paraId="1C878A9F" w14:textId="77777777" w:rsidTr="001F620B">
        <w:tc>
          <w:tcPr>
            <w:tcW w:w="3032" w:type="dxa"/>
            <w:gridSpan w:val="2"/>
            <w:tcBorders>
              <w:left w:val="single" w:sz="4" w:space="0" w:color="auto"/>
            </w:tcBorders>
          </w:tcPr>
          <w:p w14:paraId="17CA2F59" w14:textId="77777777" w:rsidR="00EF4BD1" w:rsidRPr="004D4269" w:rsidRDefault="00EF4BD1" w:rsidP="009C2888">
            <w:pPr>
              <w:spacing w:beforeLines="20" w:before="48" w:afterLines="20" w:after="48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28720DB" w14:textId="77777777" w:rsidR="00EF4BD1" w:rsidRPr="004D4269" w:rsidRDefault="00EF4BD1" w:rsidP="009C2888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4D4269">
              <w:rPr>
                <w:sz w:val="20"/>
                <w:szCs w:val="20"/>
              </w:rPr>
              <w:t xml:space="preserve">   LEM</w:t>
            </w:r>
          </w:p>
        </w:tc>
        <w:tc>
          <w:tcPr>
            <w:tcW w:w="1134" w:type="dxa"/>
          </w:tcPr>
          <w:p w14:paraId="55043BE3" w14:textId="77777777" w:rsidR="00EF4BD1" w:rsidRPr="004D4269" w:rsidRDefault="00EF4BD1" w:rsidP="009C2888">
            <w:pPr>
              <w:spacing w:beforeLines="20" w:before="48" w:afterLines="20" w:after="48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E7A5480" w14:textId="77777777" w:rsidR="00EF4BD1" w:rsidRPr="006A5DA3" w:rsidRDefault="00C03388" w:rsidP="009C2888">
            <w:pPr>
              <w:spacing w:beforeLines="20" w:before="48" w:afterLines="20" w:after="48"/>
              <w:rPr>
                <w:sz w:val="20"/>
                <w:szCs w:val="20"/>
                <w:highlight w:val="yellow"/>
              </w:rPr>
            </w:pPr>
            <w:r w:rsidRPr="006A5DA3">
              <w:rPr>
                <w:sz w:val="20"/>
                <w:szCs w:val="20"/>
              </w:rPr>
              <w:t>See clause 3.1</w:t>
            </w: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14:paraId="56086E97" w14:textId="77777777" w:rsidR="00EF4BD1" w:rsidRPr="005B39D0" w:rsidRDefault="00E97F69" w:rsidP="009C2888">
            <w:pPr>
              <w:spacing w:beforeLines="20" w:before="48" w:afterLines="20" w:after="48"/>
              <w:rPr>
                <w:sz w:val="20"/>
                <w:szCs w:val="20"/>
                <w:highlight w:val="yellow"/>
              </w:rPr>
            </w:pPr>
            <w:r w:rsidRPr="00A51E4A">
              <w:rPr>
                <w:sz w:val="20"/>
                <w:szCs w:val="20"/>
              </w:rPr>
              <w:t>Nil</w:t>
            </w:r>
          </w:p>
        </w:tc>
      </w:tr>
      <w:tr w:rsidR="00EB2CED" w:rsidRPr="004D4269" w14:paraId="3F235F12" w14:textId="77777777" w:rsidTr="001F620B">
        <w:tc>
          <w:tcPr>
            <w:tcW w:w="3032" w:type="dxa"/>
            <w:gridSpan w:val="2"/>
            <w:tcBorders>
              <w:left w:val="single" w:sz="4" w:space="0" w:color="auto"/>
            </w:tcBorders>
          </w:tcPr>
          <w:p w14:paraId="16DDC198" w14:textId="77777777" w:rsidR="00EF4BD1" w:rsidRPr="004D4269" w:rsidRDefault="00EF4BD1" w:rsidP="009C2888">
            <w:pPr>
              <w:spacing w:beforeLines="20" w:before="48" w:afterLines="20" w:after="48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45890CD" w14:textId="77777777" w:rsidR="00EF4BD1" w:rsidRPr="004D4269" w:rsidRDefault="00EF4BD1" w:rsidP="009C2888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4D4269">
              <w:rPr>
                <w:sz w:val="20"/>
                <w:szCs w:val="20"/>
              </w:rPr>
              <w:t xml:space="preserve">   LEP</w:t>
            </w:r>
          </w:p>
        </w:tc>
        <w:tc>
          <w:tcPr>
            <w:tcW w:w="1134" w:type="dxa"/>
          </w:tcPr>
          <w:p w14:paraId="64B7E53B" w14:textId="77777777" w:rsidR="00EF4BD1" w:rsidRPr="004D4269" w:rsidRDefault="00EF4BD1" w:rsidP="009C2888">
            <w:pPr>
              <w:spacing w:beforeLines="20" w:before="48" w:afterLines="20" w:after="48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DE203B0" w14:textId="77777777" w:rsidR="00EF4BD1" w:rsidRPr="006A5DA3" w:rsidRDefault="00C03388" w:rsidP="009C2888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6A5DA3">
              <w:rPr>
                <w:sz w:val="20"/>
                <w:szCs w:val="20"/>
              </w:rPr>
              <w:t>See clause 3.1</w:t>
            </w: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14:paraId="62B46F6C" w14:textId="77777777" w:rsidR="00EF4BD1" w:rsidRPr="005B39D0" w:rsidRDefault="00E97F69" w:rsidP="009C2888">
            <w:pPr>
              <w:spacing w:beforeLines="20" w:before="48" w:afterLines="20" w:after="48"/>
              <w:rPr>
                <w:sz w:val="20"/>
                <w:szCs w:val="20"/>
                <w:highlight w:val="yellow"/>
              </w:rPr>
            </w:pPr>
            <w:r w:rsidRPr="00A51E4A">
              <w:rPr>
                <w:sz w:val="20"/>
                <w:szCs w:val="20"/>
              </w:rPr>
              <w:t>Nil</w:t>
            </w:r>
          </w:p>
        </w:tc>
      </w:tr>
      <w:tr w:rsidR="00EB2CED" w:rsidRPr="004D4269" w14:paraId="46365C26" w14:textId="77777777" w:rsidTr="001F620B">
        <w:tc>
          <w:tcPr>
            <w:tcW w:w="303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B031167" w14:textId="77777777" w:rsidR="00EF4BD1" w:rsidRPr="004D4269" w:rsidRDefault="00EF4BD1" w:rsidP="009C2888">
            <w:pPr>
              <w:spacing w:beforeLines="20" w:before="48" w:afterLines="20" w:after="48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FBF6A6B" w14:textId="77777777" w:rsidR="00EF4BD1" w:rsidRPr="004D4269" w:rsidRDefault="00EF4BD1" w:rsidP="009C2888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4D4269">
              <w:rPr>
                <w:sz w:val="20"/>
                <w:szCs w:val="20"/>
              </w:rPr>
              <w:t xml:space="preserve">   LEG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D626814" w14:textId="77777777" w:rsidR="00EF4BD1" w:rsidRPr="004D4269" w:rsidRDefault="00EF4BD1" w:rsidP="009C2888">
            <w:pPr>
              <w:spacing w:beforeLines="20" w:before="48" w:afterLines="20" w:after="48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33FC5F8" w14:textId="77777777" w:rsidR="00EF4BD1" w:rsidRPr="006A5DA3" w:rsidRDefault="00C03388" w:rsidP="009C2888">
            <w:pPr>
              <w:spacing w:beforeLines="20" w:before="48" w:afterLines="20" w:after="48"/>
              <w:rPr>
                <w:sz w:val="20"/>
                <w:szCs w:val="20"/>
                <w:highlight w:val="yellow"/>
              </w:rPr>
            </w:pPr>
            <w:r w:rsidRPr="006A5DA3">
              <w:rPr>
                <w:sz w:val="20"/>
                <w:szCs w:val="20"/>
              </w:rPr>
              <w:t>See clause 3.1</w:t>
            </w:r>
          </w:p>
        </w:tc>
        <w:tc>
          <w:tcPr>
            <w:tcW w:w="1587" w:type="dxa"/>
            <w:tcBorders>
              <w:bottom w:val="single" w:sz="4" w:space="0" w:color="auto"/>
              <w:right w:val="single" w:sz="4" w:space="0" w:color="auto"/>
            </w:tcBorders>
          </w:tcPr>
          <w:p w14:paraId="009A9AEE" w14:textId="77777777" w:rsidR="00EF4BD1" w:rsidRPr="005B39D0" w:rsidRDefault="00E97F69" w:rsidP="009C2888">
            <w:pPr>
              <w:spacing w:beforeLines="20" w:before="48" w:afterLines="20" w:after="48"/>
              <w:rPr>
                <w:sz w:val="20"/>
                <w:szCs w:val="20"/>
                <w:highlight w:val="yellow"/>
              </w:rPr>
            </w:pPr>
            <w:r w:rsidRPr="00A51E4A">
              <w:rPr>
                <w:sz w:val="20"/>
                <w:szCs w:val="20"/>
              </w:rPr>
              <w:t>Nil</w:t>
            </w:r>
          </w:p>
        </w:tc>
      </w:tr>
      <w:tr w:rsidR="00EB2CED" w:rsidRPr="004D4269" w14:paraId="441AE751" w14:textId="77777777" w:rsidTr="001F620B"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E7A06C8" w14:textId="77777777" w:rsidR="00692F7A" w:rsidRPr="004D4269" w:rsidRDefault="00692F7A" w:rsidP="009C2888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4D4269">
              <w:rPr>
                <w:sz w:val="20"/>
                <w:szCs w:val="20"/>
              </w:rPr>
              <w:t>Passenger car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A62F7F5" w14:textId="77777777" w:rsidR="00692F7A" w:rsidRPr="004D4269" w:rsidRDefault="00692F7A" w:rsidP="009C2888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4D4269">
              <w:rPr>
                <w:sz w:val="20"/>
                <w:szCs w:val="20"/>
              </w:rPr>
              <w:t>MA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1CF288D" w14:textId="77777777" w:rsidR="00692F7A" w:rsidRPr="004D4269" w:rsidRDefault="00692F7A" w:rsidP="009C2888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4D4269">
              <w:rPr>
                <w:sz w:val="20"/>
                <w:szCs w:val="20"/>
              </w:rPr>
              <w:t>M1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3538C0D" w14:textId="77777777" w:rsidR="00692F7A" w:rsidRPr="006A5DA3" w:rsidRDefault="00C03388" w:rsidP="009C2888">
            <w:pPr>
              <w:spacing w:beforeLines="20" w:before="48" w:afterLines="20" w:after="48"/>
              <w:rPr>
                <w:sz w:val="20"/>
                <w:szCs w:val="20"/>
                <w:highlight w:val="yellow"/>
              </w:rPr>
            </w:pPr>
            <w:r w:rsidRPr="006A5DA3">
              <w:rPr>
                <w:sz w:val="20"/>
                <w:szCs w:val="20"/>
              </w:rPr>
              <w:t>See clause 3.1</w:t>
            </w:r>
          </w:p>
        </w:tc>
        <w:tc>
          <w:tcPr>
            <w:tcW w:w="1587" w:type="dxa"/>
            <w:tcBorders>
              <w:top w:val="single" w:sz="4" w:space="0" w:color="auto"/>
              <w:right w:val="single" w:sz="4" w:space="0" w:color="auto"/>
            </w:tcBorders>
          </w:tcPr>
          <w:p w14:paraId="1730BEF8" w14:textId="77777777" w:rsidR="00692F7A" w:rsidRPr="00A51E4A" w:rsidRDefault="00692F7A" w:rsidP="009C2888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A51E4A">
              <w:rPr>
                <w:sz w:val="20"/>
                <w:szCs w:val="20"/>
              </w:rPr>
              <w:t>Nil</w:t>
            </w:r>
          </w:p>
        </w:tc>
      </w:tr>
      <w:tr w:rsidR="00EB2CED" w:rsidRPr="004D4269" w14:paraId="4841693A" w14:textId="77777777" w:rsidTr="001F620B">
        <w:tc>
          <w:tcPr>
            <w:tcW w:w="3032" w:type="dxa"/>
            <w:gridSpan w:val="2"/>
            <w:tcBorders>
              <w:left w:val="single" w:sz="4" w:space="0" w:color="auto"/>
            </w:tcBorders>
          </w:tcPr>
          <w:p w14:paraId="5728E33E" w14:textId="77777777" w:rsidR="00692F7A" w:rsidRPr="004D4269" w:rsidRDefault="00692F7A" w:rsidP="009C2888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4D4269">
              <w:rPr>
                <w:sz w:val="20"/>
                <w:szCs w:val="20"/>
              </w:rPr>
              <w:t>Forward-control passenger vehicle</w:t>
            </w:r>
          </w:p>
        </w:tc>
        <w:tc>
          <w:tcPr>
            <w:tcW w:w="1134" w:type="dxa"/>
          </w:tcPr>
          <w:p w14:paraId="56A2B30A" w14:textId="77777777" w:rsidR="00692F7A" w:rsidRPr="004D4269" w:rsidRDefault="00692F7A" w:rsidP="009C2888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4D4269">
              <w:rPr>
                <w:sz w:val="20"/>
                <w:szCs w:val="20"/>
              </w:rPr>
              <w:t>MB</w:t>
            </w:r>
          </w:p>
        </w:tc>
        <w:tc>
          <w:tcPr>
            <w:tcW w:w="1134" w:type="dxa"/>
          </w:tcPr>
          <w:p w14:paraId="3ABB6797" w14:textId="77777777" w:rsidR="00692F7A" w:rsidRPr="004D4269" w:rsidRDefault="00692F7A" w:rsidP="009C2888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4D4269">
              <w:rPr>
                <w:sz w:val="20"/>
                <w:szCs w:val="20"/>
              </w:rPr>
              <w:t>M1</w:t>
            </w:r>
          </w:p>
        </w:tc>
        <w:tc>
          <w:tcPr>
            <w:tcW w:w="1701" w:type="dxa"/>
          </w:tcPr>
          <w:p w14:paraId="4281E758" w14:textId="77777777" w:rsidR="00692F7A" w:rsidRPr="006A5DA3" w:rsidRDefault="00C03388" w:rsidP="009C2888">
            <w:pPr>
              <w:spacing w:beforeLines="20" w:before="48" w:afterLines="20" w:after="48"/>
              <w:rPr>
                <w:sz w:val="20"/>
                <w:szCs w:val="20"/>
                <w:highlight w:val="yellow"/>
              </w:rPr>
            </w:pPr>
            <w:r w:rsidRPr="006A5DA3">
              <w:rPr>
                <w:sz w:val="20"/>
                <w:szCs w:val="20"/>
              </w:rPr>
              <w:t>See clause 3.1</w:t>
            </w: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14:paraId="0C94EC7F" w14:textId="77777777" w:rsidR="00692F7A" w:rsidRPr="00A51E4A" w:rsidRDefault="00692F7A" w:rsidP="009C2888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A51E4A">
              <w:rPr>
                <w:sz w:val="20"/>
                <w:szCs w:val="20"/>
              </w:rPr>
              <w:t>Nil</w:t>
            </w:r>
          </w:p>
        </w:tc>
      </w:tr>
      <w:tr w:rsidR="00EB2CED" w:rsidRPr="004D4269" w14:paraId="5E1FF535" w14:textId="77777777" w:rsidTr="001F620B">
        <w:tc>
          <w:tcPr>
            <w:tcW w:w="3032" w:type="dxa"/>
            <w:gridSpan w:val="2"/>
            <w:tcBorders>
              <w:left w:val="single" w:sz="4" w:space="0" w:color="auto"/>
            </w:tcBorders>
          </w:tcPr>
          <w:p w14:paraId="106EAC8A" w14:textId="77777777" w:rsidR="00692F7A" w:rsidRPr="004D4269" w:rsidRDefault="00692F7A" w:rsidP="009C2888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4D4269">
              <w:rPr>
                <w:sz w:val="20"/>
                <w:szCs w:val="20"/>
              </w:rPr>
              <w:t>Off-road passenger vehicle</w:t>
            </w:r>
          </w:p>
        </w:tc>
        <w:tc>
          <w:tcPr>
            <w:tcW w:w="1134" w:type="dxa"/>
          </w:tcPr>
          <w:p w14:paraId="00DDF524" w14:textId="77777777" w:rsidR="00692F7A" w:rsidRPr="004D4269" w:rsidRDefault="00692F7A" w:rsidP="009C2888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4D4269">
              <w:rPr>
                <w:sz w:val="20"/>
                <w:szCs w:val="20"/>
              </w:rPr>
              <w:t>MC</w:t>
            </w:r>
          </w:p>
        </w:tc>
        <w:tc>
          <w:tcPr>
            <w:tcW w:w="1134" w:type="dxa"/>
          </w:tcPr>
          <w:p w14:paraId="5E1212BC" w14:textId="77777777" w:rsidR="00692F7A" w:rsidRPr="004D4269" w:rsidRDefault="00692F7A" w:rsidP="009C2888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4D4269">
              <w:rPr>
                <w:sz w:val="20"/>
                <w:szCs w:val="20"/>
              </w:rPr>
              <w:t>M1</w:t>
            </w:r>
          </w:p>
        </w:tc>
        <w:tc>
          <w:tcPr>
            <w:tcW w:w="1701" w:type="dxa"/>
          </w:tcPr>
          <w:p w14:paraId="76659A06" w14:textId="77777777" w:rsidR="00692F7A" w:rsidRPr="006A5DA3" w:rsidRDefault="00C03388" w:rsidP="009C2888">
            <w:pPr>
              <w:spacing w:beforeLines="20" w:before="48" w:afterLines="20" w:after="48"/>
              <w:rPr>
                <w:sz w:val="20"/>
                <w:szCs w:val="20"/>
                <w:highlight w:val="yellow"/>
              </w:rPr>
            </w:pPr>
            <w:r w:rsidRPr="006A5DA3">
              <w:rPr>
                <w:sz w:val="20"/>
                <w:szCs w:val="20"/>
              </w:rPr>
              <w:t>See clause 3.1</w:t>
            </w: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14:paraId="32D2DAC8" w14:textId="77777777" w:rsidR="00692F7A" w:rsidRPr="00A51E4A" w:rsidRDefault="00692F7A" w:rsidP="009C2888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A51E4A">
              <w:rPr>
                <w:sz w:val="20"/>
                <w:szCs w:val="20"/>
              </w:rPr>
              <w:t>Nil</w:t>
            </w:r>
          </w:p>
        </w:tc>
      </w:tr>
      <w:tr w:rsidR="00EB2CED" w:rsidRPr="004D4269" w14:paraId="560C8923" w14:textId="77777777" w:rsidTr="001F620B">
        <w:tc>
          <w:tcPr>
            <w:tcW w:w="3032" w:type="dxa"/>
            <w:gridSpan w:val="2"/>
            <w:tcBorders>
              <w:left w:val="single" w:sz="4" w:space="0" w:color="auto"/>
            </w:tcBorders>
          </w:tcPr>
          <w:p w14:paraId="0B0EE832" w14:textId="77777777" w:rsidR="00692F7A" w:rsidRPr="004D4269" w:rsidRDefault="00692F7A" w:rsidP="009C2888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4D4269">
              <w:rPr>
                <w:sz w:val="20"/>
                <w:szCs w:val="20"/>
              </w:rPr>
              <w:t>Light omnibus</w:t>
            </w:r>
          </w:p>
        </w:tc>
        <w:tc>
          <w:tcPr>
            <w:tcW w:w="1134" w:type="dxa"/>
          </w:tcPr>
          <w:p w14:paraId="55EE75E4" w14:textId="77777777" w:rsidR="00692F7A" w:rsidRPr="004D4269" w:rsidRDefault="00692F7A" w:rsidP="009C2888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4D4269">
              <w:rPr>
                <w:sz w:val="20"/>
                <w:szCs w:val="20"/>
              </w:rPr>
              <w:t>MD</w:t>
            </w:r>
          </w:p>
        </w:tc>
        <w:tc>
          <w:tcPr>
            <w:tcW w:w="1134" w:type="dxa"/>
          </w:tcPr>
          <w:p w14:paraId="382DA0B8" w14:textId="77777777" w:rsidR="00692F7A" w:rsidRPr="004D4269" w:rsidRDefault="00692F7A" w:rsidP="009C2888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4D4269">
              <w:rPr>
                <w:sz w:val="20"/>
                <w:szCs w:val="20"/>
              </w:rPr>
              <w:t>M2</w:t>
            </w:r>
          </w:p>
        </w:tc>
        <w:tc>
          <w:tcPr>
            <w:tcW w:w="1701" w:type="dxa"/>
          </w:tcPr>
          <w:p w14:paraId="497B741B" w14:textId="77777777" w:rsidR="00692F7A" w:rsidRPr="006A5DA3" w:rsidRDefault="00692F7A" w:rsidP="009C2888">
            <w:pPr>
              <w:spacing w:beforeLines="20" w:before="48" w:afterLines="20" w:after="48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14:paraId="202211AB" w14:textId="77777777" w:rsidR="00692F7A" w:rsidRPr="00A51E4A" w:rsidRDefault="00692F7A" w:rsidP="009C2888">
            <w:pPr>
              <w:spacing w:beforeLines="20" w:before="48" w:afterLines="20" w:after="48"/>
              <w:rPr>
                <w:sz w:val="20"/>
                <w:szCs w:val="20"/>
              </w:rPr>
            </w:pPr>
          </w:p>
        </w:tc>
      </w:tr>
      <w:tr w:rsidR="001F620B" w:rsidRPr="004D4269" w14:paraId="6D675C14" w14:textId="77777777" w:rsidTr="001F620B">
        <w:tc>
          <w:tcPr>
            <w:tcW w:w="249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9F5F083" w14:textId="77777777" w:rsidR="005133BD" w:rsidRPr="004D4269" w:rsidRDefault="005133BD" w:rsidP="009C2888">
            <w:pPr>
              <w:spacing w:beforeLines="20" w:before="48" w:afterLines="20" w:after="48"/>
              <w:rPr>
                <w:sz w:val="20"/>
                <w:szCs w:val="20"/>
              </w:rPr>
            </w:pPr>
          </w:p>
        </w:tc>
        <w:tc>
          <w:tcPr>
            <w:tcW w:w="2783" w:type="dxa"/>
            <w:tcBorders>
              <w:left w:val="nil"/>
              <w:bottom w:val="nil"/>
            </w:tcBorders>
            <w:shd w:val="clear" w:color="auto" w:fill="auto"/>
          </w:tcPr>
          <w:p w14:paraId="2B18A18A" w14:textId="77777777" w:rsidR="005133BD" w:rsidRPr="004D4269" w:rsidRDefault="005133BD" w:rsidP="009C2888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4D4269">
              <w:rPr>
                <w:sz w:val="20"/>
                <w:szCs w:val="20"/>
              </w:rPr>
              <w:t>up to 3.5 tonnes ‘</w:t>
            </w:r>
            <w:r w:rsidRPr="004D4269">
              <w:rPr>
                <w:i/>
                <w:sz w:val="20"/>
                <w:szCs w:val="20"/>
              </w:rPr>
              <w:t>GVM’</w:t>
            </w:r>
            <w:r w:rsidRPr="004D4269">
              <w:rPr>
                <w:sz w:val="20"/>
                <w:szCs w:val="20"/>
              </w:rPr>
              <w:t xml:space="preserve"> and up</w:t>
            </w:r>
            <w:r w:rsidR="000B401A">
              <w:rPr>
                <w:sz w:val="20"/>
                <w:szCs w:val="20"/>
              </w:rPr>
              <w:t> </w:t>
            </w:r>
            <w:r w:rsidRPr="004D4269">
              <w:rPr>
                <w:sz w:val="20"/>
                <w:szCs w:val="20"/>
              </w:rPr>
              <w:t>to 12 seats</w:t>
            </w:r>
          </w:p>
        </w:tc>
        <w:tc>
          <w:tcPr>
            <w:tcW w:w="1134" w:type="dxa"/>
          </w:tcPr>
          <w:p w14:paraId="6AF9FDB4" w14:textId="77777777" w:rsidR="005133BD" w:rsidRPr="004D4269" w:rsidRDefault="005133BD" w:rsidP="009C2888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4D4269">
              <w:rPr>
                <w:sz w:val="20"/>
                <w:szCs w:val="20"/>
              </w:rPr>
              <w:t xml:space="preserve">   MD1</w:t>
            </w:r>
          </w:p>
        </w:tc>
        <w:tc>
          <w:tcPr>
            <w:tcW w:w="1134" w:type="dxa"/>
          </w:tcPr>
          <w:p w14:paraId="1386C2AD" w14:textId="77777777" w:rsidR="005133BD" w:rsidRPr="004D4269" w:rsidRDefault="005133BD" w:rsidP="009C2888">
            <w:pPr>
              <w:spacing w:beforeLines="20" w:before="48" w:afterLines="20" w:after="48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3E72A0F" w14:textId="77777777" w:rsidR="005133BD" w:rsidRPr="006A5DA3" w:rsidRDefault="00C03388" w:rsidP="009C2888">
            <w:pPr>
              <w:spacing w:beforeLines="20" w:before="48" w:afterLines="20" w:after="48"/>
              <w:rPr>
                <w:sz w:val="20"/>
                <w:szCs w:val="20"/>
                <w:highlight w:val="yellow"/>
              </w:rPr>
            </w:pPr>
            <w:r w:rsidRPr="006A5DA3">
              <w:rPr>
                <w:sz w:val="20"/>
                <w:szCs w:val="20"/>
              </w:rPr>
              <w:t>See clause 3.1</w:t>
            </w: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14:paraId="464558AA" w14:textId="77777777" w:rsidR="005133BD" w:rsidRPr="005B39D0" w:rsidRDefault="005133BD" w:rsidP="009C2888">
            <w:pPr>
              <w:spacing w:beforeLines="20" w:before="48" w:afterLines="20" w:after="48"/>
              <w:rPr>
                <w:sz w:val="20"/>
                <w:szCs w:val="20"/>
                <w:highlight w:val="yellow"/>
              </w:rPr>
            </w:pPr>
            <w:r w:rsidRPr="00A51E4A">
              <w:rPr>
                <w:sz w:val="20"/>
                <w:szCs w:val="20"/>
              </w:rPr>
              <w:t>Nil</w:t>
            </w:r>
          </w:p>
        </w:tc>
      </w:tr>
      <w:tr w:rsidR="001F620B" w:rsidRPr="004D4269" w14:paraId="01C922BF" w14:textId="77777777" w:rsidTr="001F620B">
        <w:tc>
          <w:tcPr>
            <w:tcW w:w="249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14461CE" w14:textId="77777777" w:rsidR="005133BD" w:rsidRPr="004D4269" w:rsidRDefault="005133BD" w:rsidP="009C2888">
            <w:pPr>
              <w:spacing w:beforeLines="20" w:before="48" w:afterLines="20" w:after="48"/>
              <w:rPr>
                <w:sz w:val="20"/>
                <w:szCs w:val="20"/>
              </w:rPr>
            </w:pPr>
          </w:p>
        </w:tc>
        <w:tc>
          <w:tcPr>
            <w:tcW w:w="2783" w:type="dxa"/>
            <w:tcBorders>
              <w:left w:val="nil"/>
            </w:tcBorders>
            <w:shd w:val="clear" w:color="auto" w:fill="auto"/>
          </w:tcPr>
          <w:p w14:paraId="2768DD1A" w14:textId="77777777" w:rsidR="005133BD" w:rsidRPr="004D4269" w:rsidRDefault="005133BD" w:rsidP="009C2888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4D4269">
              <w:rPr>
                <w:sz w:val="20"/>
                <w:szCs w:val="20"/>
              </w:rPr>
              <w:t xml:space="preserve">up to 3.5 tonnes </w:t>
            </w:r>
            <w:r w:rsidRPr="004D4269">
              <w:rPr>
                <w:i/>
                <w:sz w:val="20"/>
                <w:szCs w:val="20"/>
              </w:rPr>
              <w:t>‘GVM’</w:t>
            </w:r>
            <w:r w:rsidRPr="004D4269">
              <w:rPr>
                <w:sz w:val="20"/>
                <w:szCs w:val="20"/>
              </w:rPr>
              <w:t xml:space="preserve"> and more than 12 seats</w:t>
            </w:r>
          </w:p>
        </w:tc>
        <w:tc>
          <w:tcPr>
            <w:tcW w:w="1134" w:type="dxa"/>
          </w:tcPr>
          <w:p w14:paraId="7CF6E9EF" w14:textId="77777777" w:rsidR="005133BD" w:rsidRPr="004D4269" w:rsidRDefault="005133BD" w:rsidP="009C2888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4D4269">
              <w:rPr>
                <w:sz w:val="20"/>
                <w:szCs w:val="20"/>
              </w:rPr>
              <w:t xml:space="preserve">   MD2</w:t>
            </w:r>
          </w:p>
        </w:tc>
        <w:tc>
          <w:tcPr>
            <w:tcW w:w="1134" w:type="dxa"/>
          </w:tcPr>
          <w:p w14:paraId="27797E92" w14:textId="77777777" w:rsidR="005133BD" w:rsidRPr="004D4269" w:rsidRDefault="005133BD" w:rsidP="009C2888">
            <w:pPr>
              <w:spacing w:beforeLines="20" w:before="48" w:afterLines="20" w:after="48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AF96D8B" w14:textId="77777777" w:rsidR="005133BD" w:rsidRPr="006A5DA3" w:rsidRDefault="00C03388" w:rsidP="009C2888">
            <w:pPr>
              <w:spacing w:beforeLines="20" w:before="48" w:afterLines="20" w:after="48"/>
              <w:rPr>
                <w:sz w:val="20"/>
                <w:szCs w:val="20"/>
                <w:highlight w:val="yellow"/>
              </w:rPr>
            </w:pPr>
            <w:r w:rsidRPr="006A5DA3">
              <w:rPr>
                <w:sz w:val="20"/>
                <w:szCs w:val="20"/>
              </w:rPr>
              <w:t>See clause 3.1</w:t>
            </w: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14:paraId="4DEC6AC7" w14:textId="77777777" w:rsidR="005133BD" w:rsidRPr="005B39D0" w:rsidRDefault="005133BD" w:rsidP="009C2888">
            <w:pPr>
              <w:spacing w:beforeLines="20" w:before="48" w:afterLines="20" w:after="48"/>
              <w:rPr>
                <w:sz w:val="20"/>
                <w:szCs w:val="20"/>
                <w:highlight w:val="yellow"/>
              </w:rPr>
            </w:pPr>
            <w:r w:rsidRPr="00A51E4A">
              <w:rPr>
                <w:sz w:val="20"/>
                <w:szCs w:val="20"/>
              </w:rPr>
              <w:t>Nil</w:t>
            </w:r>
          </w:p>
        </w:tc>
      </w:tr>
      <w:tr w:rsidR="001F620B" w:rsidRPr="004D4269" w14:paraId="79410E2A" w14:textId="77777777" w:rsidTr="001F620B">
        <w:tc>
          <w:tcPr>
            <w:tcW w:w="249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C46B3AF" w14:textId="77777777" w:rsidR="005133BD" w:rsidRPr="004D4269" w:rsidRDefault="005133BD" w:rsidP="009C2888">
            <w:pPr>
              <w:spacing w:beforeLines="20" w:before="48" w:afterLines="20" w:after="48"/>
              <w:rPr>
                <w:sz w:val="20"/>
                <w:szCs w:val="20"/>
              </w:rPr>
            </w:pPr>
          </w:p>
        </w:tc>
        <w:tc>
          <w:tcPr>
            <w:tcW w:w="2783" w:type="dxa"/>
            <w:tcBorders>
              <w:left w:val="nil"/>
            </w:tcBorders>
            <w:shd w:val="clear" w:color="auto" w:fill="auto"/>
          </w:tcPr>
          <w:p w14:paraId="5F680030" w14:textId="77777777" w:rsidR="005133BD" w:rsidRPr="004D4269" w:rsidRDefault="005133BD" w:rsidP="009C2888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4D4269">
              <w:rPr>
                <w:sz w:val="20"/>
                <w:szCs w:val="20"/>
              </w:rPr>
              <w:t>over 3.5 tonnes and up to 4.5</w:t>
            </w:r>
            <w:r w:rsidR="000B401A">
              <w:rPr>
                <w:sz w:val="20"/>
                <w:szCs w:val="20"/>
              </w:rPr>
              <w:t> </w:t>
            </w:r>
            <w:r w:rsidRPr="004D4269">
              <w:rPr>
                <w:sz w:val="20"/>
                <w:szCs w:val="20"/>
              </w:rPr>
              <w:t xml:space="preserve">tonnes </w:t>
            </w:r>
            <w:r w:rsidRPr="004D4269">
              <w:rPr>
                <w:i/>
                <w:sz w:val="20"/>
                <w:szCs w:val="20"/>
              </w:rPr>
              <w:t>‘GVM’</w:t>
            </w:r>
          </w:p>
        </w:tc>
        <w:tc>
          <w:tcPr>
            <w:tcW w:w="1134" w:type="dxa"/>
          </w:tcPr>
          <w:p w14:paraId="33DC2A73" w14:textId="77777777" w:rsidR="005133BD" w:rsidRPr="004D4269" w:rsidRDefault="005133BD" w:rsidP="009C2888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4D4269">
              <w:rPr>
                <w:sz w:val="20"/>
                <w:szCs w:val="20"/>
              </w:rPr>
              <w:t xml:space="preserve">   MD3</w:t>
            </w:r>
          </w:p>
        </w:tc>
        <w:tc>
          <w:tcPr>
            <w:tcW w:w="1134" w:type="dxa"/>
          </w:tcPr>
          <w:p w14:paraId="20553EAB" w14:textId="77777777" w:rsidR="005133BD" w:rsidRPr="004D4269" w:rsidRDefault="005133BD" w:rsidP="009C2888">
            <w:pPr>
              <w:spacing w:beforeLines="20" w:before="48" w:afterLines="20" w:after="48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151E524" w14:textId="77777777" w:rsidR="005133BD" w:rsidRPr="006A5DA3" w:rsidRDefault="00C03388" w:rsidP="009C2888">
            <w:pPr>
              <w:spacing w:beforeLines="20" w:before="48" w:afterLines="20" w:after="48"/>
              <w:rPr>
                <w:sz w:val="20"/>
                <w:szCs w:val="20"/>
                <w:highlight w:val="yellow"/>
              </w:rPr>
            </w:pPr>
            <w:r w:rsidRPr="006A5DA3">
              <w:rPr>
                <w:sz w:val="20"/>
                <w:szCs w:val="20"/>
              </w:rPr>
              <w:t>See clause 3.1</w:t>
            </w: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14:paraId="3DD04057" w14:textId="77777777" w:rsidR="005133BD" w:rsidRPr="005B39D0" w:rsidRDefault="005133BD" w:rsidP="009C2888">
            <w:pPr>
              <w:spacing w:beforeLines="20" w:before="48" w:afterLines="20" w:after="48"/>
              <w:rPr>
                <w:sz w:val="20"/>
                <w:szCs w:val="20"/>
                <w:highlight w:val="yellow"/>
              </w:rPr>
            </w:pPr>
            <w:r w:rsidRPr="00A51E4A">
              <w:rPr>
                <w:sz w:val="20"/>
                <w:szCs w:val="20"/>
              </w:rPr>
              <w:t>Nil</w:t>
            </w:r>
          </w:p>
        </w:tc>
      </w:tr>
      <w:tr w:rsidR="001F620B" w:rsidRPr="004D4269" w14:paraId="7A3A2889" w14:textId="77777777" w:rsidTr="001F620B">
        <w:tc>
          <w:tcPr>
            <w:tcW w:w="249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C94E47" w14:textId="77777777" w:rsidR="005133BD" w:rsidRPr="004D4269" w:rsidRDefault="005133BD" w:rsidP="009C2888">
            <w:pPr>
              <w:spacing w:beforeLines="20" w:before="48" w:afterLines="20" w:after="48"/>
              <w:rPr>
                <w:sz w:val="20"/>
                <w:szCs w:val="20"/>
              </w:rPr>
            </w:pPr>
          </w:p>
        </w:tc>
        <w:tc>
          <w:tcPr>
            <w:tcW w:w="2783" w:type="dxa"/>
            <w:tcBorders>
              <w:left w:val="nil"/>
              <w:bottom w:val="nil"/>
            </w:tcBorders>
            <w:shd w:val="clear" w:color="auto" w:fill="auto"/>
          </w:tcPr>
          <w:p w14:paraId="78CCDEB8" w14:textId="77777777" w:rsidR="005133BD" w:rsidRPr="004D4269" w:rsidRDefault="005133BD" w:rsidP="009C2888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4D4269">
              <w:rPr>
                <w:sz w:val="20"/>
                <w:szCs w:val="20"/>
              </w:rPr>
              <w:t>over 4.5 tonnes and up to 5</w:t>
            </w:r>
            <w:r w:rsidR="000B401A">
              <w:rPr>
                <w:sz w:val="20"/>
                <w:szCs w:val="20"/>
              </w:rPr>
              <w:t> </w:t>
            </w:r>
            <w:r w:rsidRPr="004D4269">
              <w:rPr>
                <w:sz w:val="20"/>
                <w:szCs w:val="20"/>
              </w:rPr>
              <w:t xml:space="preserve">tonnes </w:t>
            </w:r>
            <w:r w:rsidRPr="004D4269">
              <w:rPr>
                <w:i/>
                <w:sz w:val="20"/>
                <w:szCs w:val="20"/>
              </w:rPr>
              <w:t>‘GVM’</w:t>
            </w:r>
          </w:p>
        </w:tc>
        <w:tc>
          <w:tcPr>
            <w:tcW w:w="1134" w:type="dxa"/>
            <w:tcBorders>
              <w:bottom w:val="nil"/>
            </w:tcBorders>
          </w:tcPr>
          <w:p w14:paraId="66892C62" w14:textId="77777777" w:rsidR="005133BD" w:rsidRPr="004D4269" w:rsidRDefault="005133BD" w:rsidP="009C2888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4D4269">
              <w:rPr>
                <w:sz w:val="20"/>
                <w:szCs w:val="20"/>
              </w:rPr>
              <w:t xml:space="preserve">   MD4</w:t>
            </w:r>
          </w:p>
        </w:tc>
        <w:tc>
          <w:tcPr>
            <w:tcW w:w="1134" w:type="dxa"/>
            <w:tcBorders>
              <w:bottom w:val="nil"/>
            </w:tcBorders>
          </w:tcPr>
          <w:p w14:paraId="3778890A" w14:textId="77777777" w:rsidR="005133BD" w:rsidRPr="004D4269" w:rsidRDefault="005133BD" w:rsidP="009C2888">
            <w:pPr>
              <w:spacing w:beforeLines="20" w:before="48" w:afterLines="20" w:after="48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262E0B84" w14:textId="77777777" w:rsidR="005133BD" w:rsidRPr="006A5DA3" w:rsidRDefault="00C03388" w:rsidP="009C2888">
            <w:pPr>
              <w:spacing w:beforeLines="20" w:before="48" w:afterLines="20" w:after="48"/>
              <w:rPr>
                <w:sz w:val="20"/>
                <w:szCs w:val="20"/>
                <w:highlight w:val="yellow"/>
              </w:rPr>
            </w:pPr>
            <w:r w:rsidRPr="006A5DA3">
              <w:rPr>
                <w:sz w:val="20"/>
                <w:szCs w:val="20"/>
              </w:rPr>
              <w:t>See clause 3.1</w:t>
            </w:r>
          </w:p>
        </w:tc>
        <w:tc>
          <w:tcPr>
            <w:tcW w:w="1587" w:type="dxa"/>
            <w:tcBorders>
              <w:bottom w:val="nil"/>
              <w:right w:val="single" w:sz="4" w:space="0" w:color="auto"/>
            </w:tcBorders>
          </w:tcPr>
          <w:p w14:paraId="4F7C9A59" w14:textId="77777777" w:rsidR="005133BD" w:rsidRPr="005B39D0" w:rsidRDefault="005133BD" w:rsidP="009C2888">
            <w:pPr>
              <w:spacing w:beforeLines="20" w:before="48" w:afterLines="20" w:after="48"/>
              <w:rPr>
                <w:sz w:val="20"/>
                <w:szCs w:val="20"/>
                <w:highlight w:val="yellow"/>
              </w:rPr>
            </w:pPr>
            <w:r w:rsidRPr="00A51E4A">
              <w:rPr>
                <w:sz w:val="20"/>
                <w:szCs w:val="20"/>
              </w:rPr>
              <w:t>Nil</w:t>
            </w:r>
          </w:p>
        </w:tc>
      </w:tr>
      <w:tr w:rsidR="001F620B" w:rsidRPr="004D4269" w14:paraId="0CA7A2EA" w14:textId="77777777" w:rsidTr="001F620B">
        <w:tc>
          <w:tcPr>
            <w:tcW w:w="303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43218AA" w14:textId="77777777" w:rsidR="005133BD" w:rsidRPr="004D4269" w:rsidRDefault="005133BD" w:rsidP="009C2888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4D4269">
              <w:rPr>
                <w:sz w:val="20"/>
                <w:szCs w:val="20"/>
              </w:rPr>
              <w:t>Heavy omnibus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0E90634" w14:textId="77777777" w:rsidR="005133BD" w:rsidRPr="004D4269" w:rsidRDefault="005133BD" w:rsidP="009C2888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4D4269">
              <w:rPr>
                <w:sz w:val="20"/>
                <w:szCs w:val="20"/>
              </w:rPr>
              <w:t>ME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69FC790" w14:textId="77777777" w:rsidR="005133BD" w:rsidRPr="004D4269" w:rsidRDefault="005133BD" w:rsidP="009C2888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4D4269">
              <w:rPr>
                <w:sz w:val="20"/>
                <w:szCs w:val="20"/>
              </w:rPr>
              <w:t>M3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AB7D4DF" w14:textId="77777777" w:rsidR="005133BD" w:rsidRPr="006A5DA3" w:rsidRDefault="00C03388" w:rsidP="009C2888">
            <w:pPr>
              <w:spacing w:beforeLines="20" w:before="48" w:afterLines="20" w:after="48"/>
              <w:rPr>
                <w:sz w:val="20"/>
                <w:szCs w:val="20"/>
                <w:highlight w:val="yellow"/>
              </w:rPr>
            </w:pPr>
            <w:r w:rsidRPr="006A5DA3">
              <w:rPr>
                <w:sz w:val="20"/>
                <w:szCs w:val="20"/>
              </w:rPr>
              <w:t>See clause 3.1</w:t>
            </w:r>
          </w:p>
        </w:tc>
        <w:tc>
          <w:tcPr>
            <w:tcW w:w="1587" w:type="dxa"/>
            <w:tcBorders>
              <w:bottom w:val="single" w:sz="4" w:space="0" w:color="auto"/>
              <w:right w:val="single" w:sz="4" w:space="0" w:color="auto"/>
            </w:tcBorders>
          </w:tcPr>
          <w:p w14:paraId="296E6F11" w14:textId="77777777" w:rsidR="005133BD" w:rsidRPr="00A51E4A" w:rsidRDefault="005133BD" w:rsidP="009C2888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A51E4A">
              <w:rPr>
                <w:sz w:val="20"/>
                <w:szCs w:val="20"/>
              </w:rPr>
              <w:t>Nil</w:t>
            </w:r>
          </w:p>
        </w:tc>
      </w:tr>
      <w:tr w:rsidR="001F620B" w:rsidRPr="004D4269" w14:paraId="28B1EC13" w14:textId="77777777" w:rsidTr="001F620B"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621A647" w14:textId="77777777" w:rsidR="005133BD" w:rsidRPr="004D4269" w:rsidRDefault="005133BD" w:rsidP="009C2888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4D4269">
              <w:rPr>
                <w:sz w:val="20"/>
                <w:szCs w:val="20"/>
              </w:rPr>
              <w:t>Light goods vehicle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3F4BF45" w14:textId="77777777" w:rsidR="005133BD" w:rsidRPr="004D4269" w:rsidRDefault="005133BD" w:rsidP="009C2888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4D4269">
              <w:rPr>
                <w:sz w:val="20"/>
                <w:szCs w:val="20"/>
              </w:rPr>
              <w:t>NA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F5A8CDC" w14:textId="77777777" w:rsidR="005133BD" w:rsidRPr="004D4269" w:rsidRDefault="005133BD" w:rsidP="009C2888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4D4269">
              <w:rPr>
                <w:sz w:val="20"/>
                <w:szCs w:val="20"/>
              </w:rPr>
              <w:t>N1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FDAC91C" w14:textId="77777777" w:rsidR="005133BD" w:rsidRPr="006A5DA3" w:rsidRDefault="00C03388" w:rsidP="009C2888">
            <w:pPr>
              <w:spacing w:beforeLines="20" w:before="48" w:afterLines="20" w:after="48"/>
              <w:rPr>
                <w:sz w:val="20"/>
                <w:szCs w:val="20"/>
                <w:highlight w:val="yellow"/>
              </w:rPr>
            </w:pPr>
            <w:r w:rsidRPr="006A5DA3">
              <w:rPr>
                <w:sz w:val="20"/>
                <w:szCs w:val="20"/>
              </w:rPr>
              <w:t>See clause 3.1</w:t>
            </w:r>
          </w:p>
        </w:tc>
        <w:tc>
          <w:tcPr>
            <w:tcW w:w="1587" w:type="dxa"/>
            <w:tcBorders>
              <w:top w:val="single" w:sz="4" w:space="0" w:color="auto"/>
              <w:right w:val="single" w:sz="4" w:space="0" w:color="auto"/>
            </w:tcBorders>
          </w:tcPr>
          <w:p w14:paraId="1762144F" w14:textId="77777777" w:rsidR="005133BD" w:rsidRPr="00A51E4A" w:rsidRDefault="005133BD" w:rsidP="009C2888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A51E4A">
              <w:rPr>
                <w:sz w:val="20"/>
                <w:szCs w:val="20"/>
              </w:rPr>
              <w:t>Nil</w:t>
            </w:r>
          </w:p>
        </w:tc>
      </w:tr>
      <w:tr w:rsidR="001F620B" w:rsidRPr="004D4269" w14:paraId="6B6D3844" w14:textId="77777777" w:rsidTr="001F620B">
        <w:tc>
          <w:tcPr>
            <w:tcW w:w="3032" w:type="dxa"/>
            <w:gridSpan w:val="2"/>
            <w:tcBorders>
              <w:left w:val="single" w:sz="4" w:space="0" w:color="auto"/>
            </w:tcBorders>
          </w:tcPr>
          <w:p w14:paraId="4CBA526B" w14:textId="77777777" w:rsidR="005133BD" w:rsidRPr="004D4269" w:rsidRDefault="005133BD" w:rsidP="009C2888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4D4269">
              <w:rPr>
                <w:sz w:val="20"/>
                <w:szCs w:val="20"/>
              </w:rPr>
              <w:t>Medium goods vehicle</w:t>
            </w:r>
          </w:p>
        </w:tc>
        <w:tc>
          <w:tcPr>
            <w:tcW w:w="1134" w:type="dxa"/>
          </w:tcPr>
          <w:p w14:paraId="22F8B195" w14:textId="77777777" w:rsidR="005133BD" w:rsidRPr="004D4269" w:rsidRDefault="005133BD" w:rsidP="009C2888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4D4269">
              <w:rPr>
                <w:sz w:val="20"/>
                <w:szCs w:val="20"/>
              </w:rPr>
              <w:t>NB</w:t>
            </w:r>
          </w:p>
        </w:tc>
        <w:tc>
          <w:tcPr>
            <w:tcW w:w="1134" w:type="dxa"/>
          </w:tcPr>
          <w:p w14:paraId="39C16B62" w14:textId="77777777" w:rsidR="005133BD" w:rsidRPr="004D4269" w:rsidRDefault="005133BD" w:rsidP="009C2888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4D4269">
              <w:rPr>
                <w:sz w:val="20"/>
                <w:szCs w:val="20"/>
              </w:rPr>
              <w:t>N2</w:t>
            </w:r>
          </w:p>
        </w:tc>
        <w:tc>
          <w:tcPr>
            <w:tcW w:w="1701" w:type="dxa"/>
          </w:tcPr>
          <w:p w14:paraId="4C4168AA" w14:textId="77777777" w:rsidR="005133BD" w:rsidRPr="006A5DA3" w:rsidRDefault="005133BD" w:rsidP="009C2888">
            <w:pPr>
              <w:spacing w:beforeLines="20" w:before="48" w:afterLines="20" w:after="48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14:paraId="04592857" w14:textId="77777777" w:rsidR="005133BD" w:rsidRPr="005B39D0" w:rsidRDefault="005133BD" w:rsidP="009C2888">
            <w:pPr>
              <w:spacing w:beforeLines="20" w:before="48" w:afterLines="20" w:after="48"/>
              <w:rPr>
                <w:sz w:val="20"/>
                <w:szCs w:val="20"/>
                <w:highlight w:val="yellow"/>
              </w:rPr>
            </w:pPr>
          </w:p>
        </w:tc>
      </w:tr>
      <w:tr w:rsidR="001F620B" w:rsidRPr="004D4269" w14:paraId="6EA6142F" w14:textId="77777777" w:rsidTr="001F620B">
        <w:tc>
          <w:tcPr>
            <w:tcW w:w="249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8147E6A" w14:textId="77777777" w:rsidR="005133BD" w:rsidRPr="004D4269" w:rsidRDefault="005133BD" w:rsidP="009C2888">
            <w:pPr>
              <w:spacing w:beforeLines="20" w:before="48" w:afterLines="20" w:after="48"/>
              <w:rPr>
                <w:sz w:val="20"/>
                <w:szCs w:val="20"/>
              </w:rPr>
            </w:pPr>
          </w:p>
        </w:tc>
        <w:tc>
          <w:tcPr>
            <w:tcW w:w="2783" w:type="dxa"/>
            <w:tcBorders>
              <w:left w:val="nil"/>
            </w:tcBorders>
            <w:shd w:val="clear" w:color="auto" w:fill="auto"/>
          </w:tcPr>
          <w:p w14:paraId="25429023" w14:textId="77777777" w:rsidR="005133BD" w:rsidRPr="004D4269" w:rsidRDefault="005133BD" w:rsidP="009C2888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4D4269">
              <w:rPr>
                <w:sz w:val="20"/>
                <w:szCs w:val="20"/>
              </w:rPr>
              <w:t>over 3.5 tonnes up to 4.5</w:t>
            </w:r>
            <w:r w:rsidR="000B401A">
              <w:rPr>
                <w:sz w:val="20"/>
                <w:szCs w:val="20"/>
              </w:rPr>
              <w:t> </w:t>
            </w:r>
            <w:r w:rsidRPr="004D4269">
              <w:rPr>
                <w:sz w:val="20"/>
                <w:szCs w:val="20"/>
              </w:rPr>
              <w:t>tonnes</w:t>
            </w:r>
            <w:r w:rsidR="000B401A">
              <w:rPr>
                <w:sz w:val="20"/>
                <w:szCs w:val="20"/>
              </w:rPr>
              <w:t> </w:t>
            </w:r>
            <w:r w:rsidRPr="004D4269">
              <w:rPr>
                <w:i/>
                <w:sz w:val="20"/>
                <w:szCs w:val="20"/>
              </w:rPr>
              <w:t>‘GVM’</w:t>
            </w:r>
          </w:p>
        </w:tc>
        <w:tc>
          <w:tcPr>
            <w:tcW w:w="1134" w:type="dxa"/>
          </w:tcPr>
          <w:p w14:paraId="05A04A36" w14:textId="77777777" w:rsidR="005133BD" w:rsidRPr="004D4269" w:rsidRDefault="005133BD" w:rsidP="009C2888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4D4269">
              <w:rPr>
                <w:sz w:val="20"/>
                <w:szCs w:val="20"/>
              </w:rPr>
              <w:t xml:space="preserve">   NB1</w:t>
            </w:r>
          </w:p>
        </w:tc>
        <w:tc>
          <w:tcPr>
            <w:tcW w:w="1134" w:type="dxa"/>
          </w:tcPr>
          <w:p w14:paraId="714BB5A2" w14:textId="77777777" w:rsidR="005133BD" w:rsidRPr="004D4269" w:rsidRDefault="005133BD" w:rsidP="009C2888">
            <w:pPr>
              <w:spacing w:beforeLines="20" w:before="48" w:afterLines="20" w:after="48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083F4A7" w14:textId="77777777" w:rsidR="005133BD" w:rsidRPr="006A5DA3" w:rsidRDefault="00C03388" w:rsidP="009C2888">
            <w:pPr>
              <w:spacing w:beforeLines="20" w:before="48" w:afterLines="20" w:after="48"/>
              <w:rPr>
                <w:sz w:val="20"/>
                <w:szCs w:val="20"/>
                <w:highlight w:val="yellow"/>
              </w:rPr>
            </w:pPr>
            <w:r w:rsidRPr="006A5DA3">
              <w:rPr>
                <w:sz w:val="20"/>
                <w:szCs w:val="20"/>
              </w:rPr>
              <w:t>See clause 3.1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14:paraId="614D5440" w14:textId="77777777" w:rsidR="005133BD" w:rsidRPr="005B39D0" w:rsidRDefault="005133BD" w:rsidP="009C2888">
            <w:pPr>
              <w:spacing w:beforeLines="20" w:before="48" w:afterLines="20" w:after="48"/>
              <w:rPr>
                <w:sz w:val="20"/>
                <w:szCs w:val="20"/>
                <w:highlight w:val="yellow"/>
              </w:rPr>
            </w:pPr>
            <w:r w:rsidRPr="00EB2CED">
              <w:rPr>
                <w:sz w:val="20"/>
                <w:szCs w:val="20"/>
              </w:rPr>
              <w:t>Nil</w:t>
            </w:r>
          </w:p>
        </w:tc>
      </w:tr>
      <w:tr w:rsidR="001F620B" w:rsidRPr="004D4269" w14:paraId="1079BCFB" w14:textId="77777777" w:rsidTr="001F620B">
        <w:tc>
          <w:tcPr>
            <w:tcW w:w="249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4613AD1" w14:textId="77777777" w:rsidR="005133BD" w:rsidRPr="004D4269" w:rsidRDefault="005133BD" w:rsidP="009C2888">
            <w:pPr>
              <w:spacing w:beforeLines="20" w:before="48" w:afterLines="20" w:after="48"/>
              <w:rPr>
                <w:sz w:val="20"/>
                <w:szCs w:val="20"/>
              </w:rPr>
            </w:pPr>
          </w:p>
        </w:tc>
        <w:tc>
          <w:tcPr>
            <w:tcW w:w="2783" w:type="dxa"/>
            <w:tcBorders>
              <w:left w:val="nil"/>
            </w:tcBorders>
            <w:shd w:val="clear" w:color="auto" w:fill="auto"/>
          </w:tcPr>
          <w:p w14:paraId="511A6BEB" w14:textId="77777777" w:rsidR="005133BD" w:rsidRPr="004D4269" w:rsidRDefault="005133BD" w:rsidP="009C2888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4D4269">
              <w:rPr>
                <w:sz w:val="20"/>
                <w:szCs w:val="20"/>
              </w:rPr>
              <w:t>over 4.5 tonnes up to 12</w:t>
            </w:r>
            <w:r w:rsidR="000B401A">
              <w:rPr>
                <w:sz w:val="20"/>
                <w:szCs w:val="20"/>
              </w:rPr>
              <w:t> </w:t>
            </w:r>
            <w:r w:rsidRPr="004D4269">
              <w:rPr>
                <w:sz w:val="20"/>
                <w:szCs w:val="20"/>
              </w:rPr>
              <w:t>tonnes</w:t>
            </w:r>
            <w:r w:rsidR="000B401A">
              <w:rPr>
                <w:sz w:val="20"/>
                <w:szCs w:val="20"/>
              </w:rPr>
              <w:t> </w:t>
            </w:r>
            <w:r w:rsidRPr="004D4269">
              <w:rPr>
                <w:i/>
                <w:sz w:val="20"/>
                <w:szCs w:val="20"/>
              </w:rPr>
              <w:t>‘GVM’</w:t>
            </w:r>
          </w:p>
        </w:tc>
        <w:tc>
          <w:tcPr>
            <w:tcW w:w="1134" w:type="dxa"/>
          </w:tcPr>
          <w:p w14:paraId="7DAB0A48" w14:textId="77777777" w:rsidR="005133BD" w:rsidRPr="004D4269" w:rsidRDefault="005133BD" w:rsidP="009C2888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4D4269">
              <w:rPr>
                <w:sz w:val="20"/>
                <w:szCs w:val="20"/>
              </w:rPr>
              <w:t xml:space="preserve">   NB2</w:t>
            </w:r>
          </w:p>
        </w:tc>
        <w:tc>
          <w:tcPr>
            <w:tcW w:w="1134" w:type="dxa"/>
          </w:tcPr>
          <w:p w14:paraId="25B66C49" w14:textId="77777777" w:rsidR="005133BD" w:rsidRPr="004D4269" w:rsidRDefault="005133BD" w:rsidP="009C2888">
            <w:pPr>
              <w:spacing w:beforeLines="20" w:before="48" w:afterLines="20" w:after="48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264F75F" w14:textId="77777777" w:rsidR="005133BD" w:rsidRPr="006A5DA3" w:rsidRDefault="00C03388" w:rsidP="009C2888">
            <w:pPr>
              <w:spacing w:beforeLines="20" w:before="48" w:afterLines="20" w:after="48"/>
              <w:rPr>
                <w:sz w:val="20"/>
                <w:szCs w:val="20"/>
                <w:highlight w:val="yellow"/>
              </w:rPr>
            </w:pPr>
            <w:r w:rsidRPr="006A5DA3">
              <w:rPr>
                <w:sz w:val="20"/>
                <w:szCs w:val="20"/>
              </w:rPr>
              <w:t>See clause 3.1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14:paraId="5672E2F5" w14:textId="77777777" w:rsidR="005133BD" w:rsidRPr="005B39D0" w:rsidRDefault="005133BD" w:rsidP="009C2888">
            <w:pPr>
              <w:spacing w:beforeLines="20" w:before="48" w:afterLines="20" w:after="48"/>
              <w:rPr>
                <w:sz w:val="20"/>
                <w:szCs w:val="20"/>
                <w:highlight w:val="yellow"/>
              </w:rPr>
            </w:pPr>
            <w:r w:rsidRPr="00EB2CED">
              <w:rPr>
                <w:sz w:val="20"/>
                <w:szCs w:val="20"/>
              </w:rPr>
              <w:t>Nil</w:t>
            </w:r>
          </w:p>
        </w:tc>
      </w:tr>
      <w:tr w:rsidR="005133BD" w:rsidRPr="004D4269" w14:paraId="5E59DCB7" w14:textId="77777777" w:rsidTr="001F620B">
        <w:tc>
          <w:tcPr>
            <w:tcW w:w="303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95392D8" w14:textId="77777777" w:rsidR="005133BD" w:rsidRPr="004D4269" w:rsidRDefault="005133BD" w:rsidP="009C2888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4D4269">
              <w:rPr>
                <w:sz w:val="20"/>
                <w:szCs w:val="20"/>
              </w:rPr>
              <w:t>Heavy goods vehicle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6354203" w14:textId="77777777" w:rsidR="005133BD" w:rsidRPr="004D4269" w:rsidRDefault="005133BD" w:rsidP="009C2888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4D4269">
              <w:rPr>
                <w:sz w:val="20"/>
                <w:szCs w:val="20"/>
              </w:rPr>
              <w:t>NC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43222E3" w14:textId="77777777" w:rsidR="005133BD" w:rsidRPr="004D4269" w:rsidRDefault="005133BD" w:rsidP="009C2888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4D4269">
              <w:rPr>
                <w:sz w:val="20"/>
                <w:szCs w:val="20"/>
              </w:rPr>
              <w:t>N3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2714856" w14:textId="77777777" w:rsidR="005133BD" w:rsidRPr="006A5DA3" w:rsidRDefault="00C03388" w:rsidP="009C2888">
            <w:pPr>
              <w:spacing w:beforeLines="20" w:before="48" w:afterLines="20" w:after="48"/>
              <w:rPr>
                <w:sz w:val="20"/>
                <w:szCs w:val="20"/>
                <w:highlight w:val="yellow"/>
              </w:rPr>
            </w:pPr>
            <w:r w:rsidRPr="006A5DA3">
              <w:rPr>
                <w:sz w:val="20"/>
                <w:szCs w:val="20"/>
              </w:rPr>
              <w:t>See clause 3.1</w:t>
            </w:r>
          </w:p>
        </w:tc>
        <w:tc>
          <w:tcPr>
            <w:tcW w:w="15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0FE55" w14:textId="77777777" w:rsidR="005133BD" w:rsidRPr="00A51E4A" w:rsidRDefault="005133BD" w:rsidP="009C2888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A51E4A">
              <w:rPr>
                <w:sz w:val="20"/>
                <w:szCs w:val="20"/>
              </w:rPr>
              <w:t>Nil</w:t>
            </w:r>
          </w:p>
        </w:tc>
      </w:tr>
      <w:tr w:rsidR="005133BD" w:rsidRPr="004D4269" w14:paraId="3189F617" w14:textId="77777777" w:rsidTr="001F620B"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8755084" w14:textId="77777777" w:rsidR="005133BD" w:rsidRPr="004D4269" w:rsidRDefault="005133BD" w:rsidP="009C2888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4D4269">
              <w:rPr>
                <w:sz w:val="20"/>
                <w:szCs w:val="20"/>
              </w:rPr>
              <w:t>Very light trailer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079EB159" w14:textId="77777777" w:rsidR="005133BD" w:rsidRPr="004D4269" w:rsidRDefault="005133BD" w:rsidP="009C2888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4D4269">
              <w:rPr>
                <w:sz w:val="20"/>
                <w:szCs w:val="20"/>
              </w:rPr>
              <w:t>TA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6E064B31" w14:textId="77777777" w:rsidR="005133BD" w:rsidRPr="004D4269" w:rsidRDefault="005133BD" w:rsidP="009C2888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4D4269">
              <w:rPr>
                <w:sz w:val="20"/>
                <w:szCs w:val="20"/>
              </w:rPr>
              <w:t>O1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027F88EC" w14:textId="77777777" w:rsidR="005133BD" w:rsidRPr="006A5DA3" w:rsidRDefault="00C03388" w:rsidP="009C2888">
            <w:pPr>
              <w:spacing w:beforeLines="20" w:before="48" w:afterLines="20" w:after="48"/>
              <w:rPr>
                <w:sz w:val="20"/>
                <w:szCs w:val="20"/>
                <w:highlight w:val="yellow"/>
              </w:rPr>
            </w:pPr>
            <w:r w:rsidRPr="006A5DA3">
              <w:rPr>
                <w:sz w:val="20"/>
                <w:szCs w:val="20"/>
              </w:rPr>
              <w:t>See clause 3.1</w:t>
            </w:r>
          </w:p>
        </w:tc>
        <w:tc>
          <w:tcPr>
            <w:tcW w:w="158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B46B6C" w14:textId="77777777" w:rsidR="005133BD" w:rsidRPr="00A51E4A" w:rsidRDefault="005133BD" w:rsidP="009C2888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A51E4A">
              <w:rPr>
                <w:sz w:val="20"/>
                <w:szCs w:val="20"/>
              </w:rPr>
              <w:t>Nil</w:t>
            </w:r>
          </w:p>
        </w:tc>
      </w:tr>
      <w:tr w:rsidR="005133BD" w:rsidRPr="004D4269" w14:paraId="47E9FE2B" w14:textId="77777777" w:rsidTr="001F620B">
        <w:tc>
          <w:tcPr>
            <w:tcW w:w="3032" w:type="dxa"/>
            <w:gridSpan w:val="2"/>
            <w:tcBorders>
              <w:top w:val="nil"/>
              <w:left w:val="single" w:sz="4" w:space="0" w:color="auto"/>
            </w:tcBorders>
          </w:tcPr>
          <w:p w14:paraId="14B29179" w14:textId="77777777" w:rsidR="005133BD" w:rsidRPr="004D4269" w:rsidRDefault="005133BD" w:rsidP="009C2888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4D4269">
              <w:rPr>
                <w:sz w:val="20"/>
                <w:szCs w:val="20"/>
              </w:rPr>
              <w:t>Light trailer</w:t>
            </w:r>
          </w:p>
        </w:tc>
        <w:tc>
          <w:tcPr>
            <w:tcW w:w="1134" w:type="dxa"/>
            <w:tcBorders>
              <w:top w:val="nil"/>
            </w:tcBorders>
          </w:tcPr>
          <w:p w14:paraId="21837C84" w14:textId="77777777" w:rsidR="005133BD" w:rsidRPr="004D4269" w:rsidRDefault="005133BD" w:rsidP="009C2888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4D4269">
              <w:rPr>
                <w:sz w:val="20"/>
                <w:szCs w:val="20"/>
              </w:rPr>
              <w:t>TB</w:t>
            </w:r>
          </w:p>
        </w:tc>
        <w:tc>
          <w:tcPr>
            <w:tcW w:w="1134" w:type="dxa"/>
            <w:tcBorders>
              <w:top w:val="nil"/>
            </w:tcBorders>
          </w:tcPr>
          <w:p w14:paraId="4C4C9836" w14:textId="77777777" w:rsidR="005133BD" w:rsidRPr="004D4269" w:rsidRDefault="005133BD" w:rsidP="009C2888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4D4269">
              <w:rPr>
                <w:sz w:val="20"/>
                <w:szCs w:val="20"/>
              </w:rPr>
              <w:t>O2</w:t>
            </w:r>
          </w:p>
        </w:tc>
        <w:tc>
          <w:tcPr>
            <w:tcW w:w="1701" w:type="dxa"/>
            <w:tcBorders>
              <w:top w:val="nil"/>
            </w:tcBorders>
          </w:tcPr>
          <w:p w14:paraId="31783BAA" w14:textId="77777777" w:rsidR="005133BD" w:rsidRPr="006A5DA3" w:rsidRDefault="00C03388" w:rsidP="009C2888">
            <w:pPr>
              <w:spacing w:beforeLines="20" w:before="48" w:afterLines="20" w:after="48"/>
              <w:rPr>
                <w:sz w:val="20"/>
                <w:szCs w:val="20"/>
                <w:highlight w:val="yellow"/>
              </w:rPr>
            </w:pPr>
            <w:r w:rsidRPr="006A5DA3">
              <w:rPr>
                <w:sz w:val="20"/>
                <w:szCs w:val="20"/>
              </w:rPr>
              <w:t>See clause 3.1</w:t>
            </w:r>
          </w:p>
        </w:tc>
        <w:tc>
          <w:tcPr>
            <w:tcW w:w="1587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6C95BFBF" w14:textId="77777777" w:rsidR="005133BD" w:rsidRPr="00A51E4A" w:rsidRDefault="005133BD" w:rsidP="009C2888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A51E4A">
              <w:rPr>
                <w:sz w:val="20"/>
                <w:szCs w:val="20"/>
              </w:rPr>
              <w:t>Nil</w:t>
            </w:r>
          </w:p>
        </w:tc>
      </w:tr>
      <w:tr w:rsidR="005133BD" w:rsidRPr="004D4269" w14:paraId="290B5049" w14:textId="77777777" w:rsidTr="001F620B">
        <w:tc>
          <w:tcPr>
            <w:tcW w:w="3032" w:type="dxa"/>
            <w:gridSpan w:val="2"/>
            <w:tcBorders>
              <w:left w:val="single" w:sz="4" w:space="0" w:color="auto"/>
              <w:bottom w:val="nil"/>
            </w:tcBorders>
          </w:tcPr>
          <w:p w14:paraId="76C89428" w14:textId="77777777" w:rsidR="005133BD" w:rsidRPr="004D4269" w:rsidRDefault="005133BD" w:rsidP="009C2888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4D4269">
              <w:rPr>
                <w:sz w:val="20"/>
                <w:szCs w:val="20"/>
              </w:rPr>
              <w:t>Medium trailer</w:t>
            </w:r>
          </w:p>
        </w:tc>
        <w:tc>
          <w:tcPr>
            <w:tcW w:w="1134" w:type="dxa"/>
            <w:tcBorders>
              <w:bottom w:val="nil"/>
            </w:tcBorders>
          </w:tcPr>
          <w:p w14:paraId="07E8A8E3" w14:textId="77777777" w:rsidR="005133BD" w:rsidRPr="004D4269" w:rsidRDefault="005133BD" w:rsidP="009C2888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4D4269">
              <w:rPr>
                <w:sz w:val="20"/>
                <w:szCs w:val="20"/>
              </w:rPr>
              <w:t>TC</w:t>
            </w:r>
          </w:p>
        </w:tc>
        <w:tc>
          <w:tcPr>
            <w:tcW w:w="1134" w:type="dxa"/>
            <w:tcBorders>
              <w:bottom w:val="nil"/>
            </w:tcBorders>
          </w:tcPr>
          <w:p w14:paraId="03A3C4BD" w14:textId="77777777" w:rsidR="005133BD" w:rsidRPr="004D4269" w:rsidRDefault="005133BD" w:rsidP="009C2888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4D4269">
              <w:rPr>
                <w:sz w:val="20"/>
                <w:szCs w:val="20"/>
              </w:rPr>
              <w:t>O3</w:t>
            </w:r>
          </w:p>
        </w:tc>
        <w:tc>
          <w:tcPr>
            <w:tcW w:w="1701" w:type="dxa"/>
            <w:tcBorders>
              <w:bottom w:val="nil"/>
            </w:tcBorders>
          </w:tcPr>
          <w:p w14:paraId="3CBF49F2" w14:textId="77777777" w:rsidR="005133BD" w:rsidRPr="006A5DA3" w:rsidRDefault="00C03388" w:rsidP="009C2888">
            <w:pPr>
              <w:spacing w:beforeLines="20" w:before="48" w:afterLines="20" w:after="48"/>
              <w:rPr>
                <w:sz w:val="20"/>
                <w:szCs w:val="20"/>
                <w:highlight w:val="yellow"/>
              </w:rPr>
            </w:pPr>
            <w:r w:rsidRPr="006A5DA3">
              <w:rPr>
                <w:sz w:val="20"/>
                <w:szCs w:val="20"/>
              </w:rPr>
              <w:t>See clause 3.1</w:t>
            </w:r>
          </w:p>
        </w:tc>
        <w:tc>
          <w:tcPr>
            <w:tcW w:w="1587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1184A71A" w14:textId="77777777" w:rsidR="005133BD" w:rsidRPr="00A51E4A" w:rsidRDefault="005133BD" w:rsidP="009C2888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A51E4A">
              <w:rPr>
                <w:sz w:val="20"/>
                <w:szCs w:val="20"/>
              </w:rPr>
              <w:t>Nil</w:t>
            </w:r>
          </w:p>
        </w:tc>
      </w:tr>
      <w:tr w:rsidR="005133BD" w:rsidRPr="004D4269" w14:paraId="031843C8" w14:textId="77777777" w:rsidTr="001F620B">
        <w:tc>
          <w:tcPr>
            <w:tcW w:w="303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213D112" w14:textId="77777777" w:rsidR="005133BD" w:rsidRPr="004D4269" w:rsidRDefault="005133BD" w:rsidP="009C2888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4D4269">
              <w:rPr>
                <w:sz w:val="20"/>
                <w:szCs w:val="20"/>
              </w:rPr>
              <w:t>Heavy trailer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D485D21" w14:textId="77777777" w:rsidR="005133BD" w:rsidRPr="004D4269" w:rsidRDefault="005133BD" w:rsidP="009C2888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4D4269">
              <w:rPr>
                <w:sz w:val="20"/>
                <w:szCs w:val="20"/>
              </w:rPr>
              <w:t>TD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C29A0AB" w14:textId="77777777" w:rsidR="005133BD" w:rsidRPr="004D4269" w:rsidRDefault="005133BD" w:rsidP="009C2888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4D4269">
              <w:rPr>
                <w:sz w:val="20"/>
                <w:szCs w:val="20"/>
              </w:rPr>
              <w:t>O4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4058642" w14:textId="77777777" w:rsidR="005133BD" w:rsidRPr="006A5DA3" w:rsidRDefault="00C03388" w:rsidP="009C2888">
            <w:pPr>
              <w:spacing w:beforeLines="20" w:before="48" w:afterLines="20" w:after="48"/>
              <w:rPr>
                <w:sz w:val="20"/>
                <w:szCs w:val="20"/>
                <w:highlight w:val="yellow"/>
              </w:rPr>
            </w:pPr>
            <w:r w:rsidRPr="006A5DA3">
              <w:rPr>
                <w:sz w:val="20"/>
                <w:szCs w:val="20"/>
              </w:rPr>
              <w:t>See clause 3.1</w:t>
            </w:r>
          </w:p>
        </w:tc>
        <w:tc>
          <w:tcPr>
            <w:tcW w:w="15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C460D" w14:textId="77777777" w:rsidR="005133BD" w:rsidRPr="00A51E4A" w:rsidRDefault="005133BD" w:rsidP="009C2888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A51E4A">
              <w:rPr>
                <w:sz w:val="20"/>
                <w:szCs w:val="20"/>
              </w:rPr>
              <w:t>Nil</w:t>
            </w:r>
          </w:p>
        </w:tc>
      </w:tr>
    </w:tbl>
    <w:p w14:paraId="54ED0814" w14:textId="77777777" w:rsidR="004F3926" w:rsidRPr="00581881" w:rsidRDefault="004F3926" w:rsidP="00750576">
      <w:pPr>
        <w:pStyle w:val="ADRTable-Explanation"/>
        <w:spacing w:before="48" w:after="48"/>
        <w:ind w:right="1134"/>
      </w:pPr>
      <w:bookmarkStart w:id="8" w:name="_Toc119215359"/>
      <w:r w:rsidRPr="00581881">
        <w:t>* The category code may also be in the format L</w:t>
      </w:r>
      <w:r w:rsidRPr="00581881">
        <w:rPr>
          <w:rFonts w:ascii="Times" w:hAnsi="Times"/>
          <w:vertAlign w:val="subscript"/>
        </w:rPr>
        <w:t>1</w:t>
      </w:r>
      <w:r w:rsidRPr="00581881">
        <w:t>, L</w:t>
      </w:r>
      <w:r w:rsidRPr="00581881">
        <w:rPr>
          <w:rFonts w:ascii="Times" w:hAnsi="Times"/>
          <w:vertAlign w:val="subscript"/>
        </w:rPr>
        <w:t>2</w:t>
      </w:r>
      <w:r w:rsidRPr="00581881">
        <w:t>, L</w:t>
      </w:r>
      <w:r w:rsidRPr="00581881">
        <w:rPr>
          <w:rFonts w:ascii="Times" w:hAnsi="Times"/>
          <w:vertAlign w:val="subscript"/>
        </w:rPr>
        <w:t>3</w:t>
      </w:r>
      <w:r w:rsidRPr="00581881">
        <w:t xml:space="preserve"> etc.</w:t>
      </w:r>
    </w:p>
    <w:p w14:paraId="245BB87E" w14:textId="77777777" w:rsidR="00EF4BD1" w:rsidRDefault="004F3926" w:rsidP="004453F3">
      <w:pPr>
        <w:pStyle w:val="Clauseheading"/>
        <w:ind w:left="0" w:firstLine="0"/>
      </w:pPr>
      <w:r>
        <w:br w:type="page"/>
      </w:r>
      <w:bookmarkStart w:id="9" w:name="_Toc42000633"/>
      <w:r w:rsidR="00EF4BD1">
        <w:lastRenderedPageBreak/>
        <w:t>DEFINITIONS</w:t>
      </w:r>
      <w:bookmarkEnd w:id="8"/>
      <w:bookmarkEnd w:id="9"/>
    </w:p>
    <w:p w14:paraId="6DC1805A" w14:textId="77777777" w:rsidR="00EF4BD1" w:rsidRPr="006F6CD4" w:rsidRDefault="008C6C2E" w:rsidP="006F6CD4">
      <w:pPr>
        <w:pStyle w:val="Subclause"/>
      </w:pPr>
      <w:r w:rsidRPr="006F6CD4">
        <w:t>For vehicle categories, definitions and meanings used in this standard, r</w:t>
      </w:r>
      <w:r w:rsidR="00EF4BD1" w:rsidRPr="006F6CD4">
        <w:t xml:space="preserve">efer to </w:t>
      </w:r>
      <w:r w:rsidR="00A42555">
        <w:t xml:space="preserve">the </w:t>
      </w:r>
      <w:r w:rsidR="00EF4BD1" w:rsidRPr="006F6CD4">
        <w:t>Vehicle Standard (Australian Design Rule Definitions and Vehicle Categories) 2005.</w:t>
      </w:r>
    </w:p>
    <w:p w14:paraId="336600F2" w14:textId="77777777" w:rsidR="00EF4BD1" w:rsidRDefault="002E3E9E" w:rsidP="00EF4BD1">
      <w:pPr>
        <w:pStyle w:val="Clauseheading"/>
      </w:pPr>
      <w:bookmarkStart w:id="10" w:name="_Toc354454374"/>
      <w:bookmarkStart w:id="11" w:name="_Toc119215360"/>
      <w:bookmarkStart w:id="12" w:name="_Toc42000634"/>
      <w:r>
        <w:t xml:space="preserve">Vehicle </w:t>
      </w:r>
      <w:r w:rsidR="00EF4BD1">
        <w:t>IDENTIFICATION NUMBER</w:t>
      </w:r>
      <w:bookmarkEnd w:id="10"/>
      <w:bookmarkEnd w:id="11"/>
      <w:bookmarkEnd w:id="12"/>
    </w:p>
    <w:p w14:paraId="6B3F0E51" w14:textId="77777777" w:rsidR="00EF4BD1" w:rsidRPr="006F6CD4" w:rsidRDefault="00EF4BD1" w:rsidP="006F6CD4">
      <w:pPr>
        <w:pStyle w:val="Subclause"/>
      </w:pPr>
      <w:r w:rsidRPr="006F6CD4">
        <w:t xml:space="preserve">Every vehicle must </w:t>
      </w:r>
      <w:r w:rsidRPr="00577F2F">
        <w:t>have</w:t>
      </w:r>
      <w:r w:rsidRPr="006F6CD4">
        <w:t xml:space="preserve"> a unique </w:t>
      </w:r>
      <w:r w:rsidRPr="009A70B6">
        <w:rPr>
          <w:i/>
        </w:rPr>
        <w:t>‘Vehicle Identification Number</w:t>
      </w:r>
      <w:r w:rsidR="002B0E21" w:rsidRPr="009A70B6">
        <w:rPr>
          <w:i/>
        </w:rPr>
        <w:t xml:space="preserve"> (VIN)</w:t>
      </w:r>
      <w:r w:rsidRPr="009A70B6">
        <w:rPr>
          <w:i/>
        </w:rPr>
        <w:t>’</w:t>
      </w:r>
      <w:r w:rsidR="008418CE">
        <w:t xml:space="preserve"> that meets </w:t>
      </w:r>
      <w:r w:rsidRPr="006F6CD4">
        <w:t>the requirements of:</w:t>
      </w:r>
    </w:p>
    <w:p w14:paraId="6D15216C" w14:textId="77777777" w:rsidR="004453F3" w:rsidRPr="00551287" w:rsidRDefault="00EF4BD1" w:rsidP="0062210F">
      <w:pPr>
        <w:pStyle w:val="Clause-Alphalist"/>
      </w:pPr>
      <w:r w:rsidRPr="00551287">
        <w:t>ISO 3779</w:t>
      </w:r>
      <w:r w:rsidR="005F4D1D" w:rsidRPr="00551287">
        <w:t>:2009 (</w:t>
      </w:r>
      <w:r w:rsidRPr="00551287">
        <w:t xml:space="preserve">Road Vehicles </w:t>
      </w:r>
      <w:r w:rsidR="005F4D1D" w:rsidRPr="00551287">
        <w:t>–</w:t>
      </w:r>
      <w:r w:rsidRPr="00551287">
        <w:t xml:space="preserve"> Vehicle identification number (VIN) </w:t>
      </w:r>
      <w:r w:rsidR="005F4D1D" w:rsidRPr="00551287">
        <w:t>–</w:t>
      </w:r>
      <w:r w:rsidRPr="00551287">
        <w:t xml:space="preserve"> Content and structure);</w:t>
      </w:r>
      <w:r w:rsidR="006E503E" w:rsidRPr="00551287">
        <w:t xml:space="preserve"> and</w:t>
      </w:r>
    </w:p>
    <w:p w14:paraId="5EB030EE" w14:textId="77777777" w:rsidR="004453F3" w:rsidRPr="00551287" w:rsidRDefault="00EF4BD1" w:rsidP="0062210F">
      <w:pPr>
        <w:pStyle w:val="Clause-Alphalist"/>
      </w:pPr>
      <w:r w:rsidRPr="00551287">
        <w:t>ISO 3780</w:t>
      </w:r>
      <w:r w:rsidR="005F4D1D" w:rsidRPr="00551287">
        <w:t>:2009 (</w:t>
      </w:r>
      <w:r w:rsidRPr="00551287">
        <w:t xml:space="preserve">Road Vehicles </w:t>
      </w:r>
      <w:r w:rsidR="005F4D1D" w:rsidRPr="00551287">
        <w:t>–</w:t>
      </w:r>
      <w:r w:rsidRPr="00551287">
        <w:t xml:space="preserve"> World manufacturer identifier (WMI) code); and</w:t>
      </w:r>
    </w:p>
    <w:p w14:paraId="28520EAD" w14:textId="77777777" w:rsidR="00EF4BD1" w:rsidRPr="00551287" w:rsidRDefault="00EF4BD1" w:rsidP="0062210F">
      <w:pPr>
        <w:pStyle w:val="Clause-Alphalist"/>
      </w:pPr>
      <w:r w:rsidRPr="00551287">
        <w:t>ISO 4030</w:t>
      </w:r>
      <w:r w:rsidR="005F4D1D" w:rsidRPr="00551287">
        <w:t>:1983</w:t>
      </w:r>
      <w:r w:rsidRPr="00551287">
        <w:t xml:space="preserve"> </w:t>
      </w:r>
      <w:r w:rsidR="005F4D1D" w:rsidRPr="00551287">
        <w:t>(</w:t>
      </w:r>
      <w:r w:rsidRPr="00551287">
        <w:t xml:space="preserve">Road Vehicles </w:t>
      </w:r>
      <w:r w:rsidR="00A5464F" w:rsidRPr="00551287">
        <w:t>–</w:t>
      </w:r>
      <w:r w:rsidRPr="00551287">
        <w:t xml:space="preserve"> Vehicle identification number (VIN) </w:t>
      </w:r>
      <w:r w:rsidR="00A5464F" w:rsidRPr="00551287">
        <w:t>–</w:t>
      </w:r>
      <w:r w:rsidRPr="00551287">
        <w:t xml:space="preserve"> Location and attachment), except that:</w:t>
      </w:r>
    </w:p>
    <w:p w14:paraId="6F09D21F" w14:textId="77777777" w:rsidR="004453F3" w:rsidRPr="004453F3" w:rsidRDefault="004453F3" w:rsidP="0025518E">
      <w:pPr>
        <w:pStyle w:val="Clause-alphasublist"/>
      </w:pPr>
      <w:r w:rsidRPr="004453F3">
        <w:t xml:space="preserve">it is permissible to locate the </w:t>
      </w:r>
      <w:r w:rsidRPr="009A70B6">
        <w:rPr>
          <w:i/>
        </w:rPr>
        <w:t>‘VIN’</w:t>
      </w:r>
      <w:r w:rsidRPr="004453F3">
        <w:t xml:space="preserve"> on the left-hand side of the vehicle; and</w:t>
      </w:r>
    </w:p>
    <w:p w14:paraId="66CECFD8" w14:textId="77777777" w:rsidR="00EF4BD1" w:rsidRPr="0025518E" w:rsidRDefault="00EF4BD1" w:rsidP="0025518E">
      <w:pPr>
        <w:pStyle w:val="Clause-alphasublist"/>
      </w:pPr>
      <w:proofErr w:type="gramStart"/>
      <w:r w:rsidRPr="0025518E">
        <w:t>clause</w:t>
      </w:r>
      <w:proofErr w:type="gramEnd"/>
      <w:r w:rsidRPr="0025518E">
        <w:t xml:space="preserve"> 4.2 of ISO 4030</w:t>
      </w:r>
      <w:r w:rsidR="005F4D1D" w:rsidRPr="0025518E">
        <w:t>:1983</w:t>
      </w:r>
      <w:r w:rsidRPr="0025518E">
        <w:t xml:space="preserve"> is not applicable in Australia.</w:t>
      </w:r>
    </w:p>
    <w:p w14:paraId="2708708E" w14:textId="654D479A" w:rsidR="00EF4BD1" w:rsidRPr="005B611B" w:rsidRDefault="00EF4BD1" w:rsidP="006F6CD4">
      <w:pPr>
        <w:pStyle w:val="Subclause"/>
        <w:rPr>
          <w:b/>
        </w:rPr>
      </w:pPr>
      <w:r w:rsidRPr="005B611B">
        <w:rPr>
          <w:b/>
        </w:rPr>
        <w:t xml:space="preserve">Alternative </w:t>
      </w:r>
      <w:r w:rsidR="005A3587">
        <w:rPr>
          <w:b/>
        </w:rPr>
        <w:t>Requirements</w:t>
      </w:r>
    </w:p>
    <w:p w14:paraId="74DC153F" w14:textId="13C3C696" w:rsidR="00EF4BD1" w:rsidRDefault="00EF4BD1" w:rsidP="005A3587">
      <w:pPr>
        <w:pStyle w:val="Subsubclause"/>
      </w:pPr>
      <w:proofErr w:type="gramStart"/>
      <w:r w:rsidRPr="006F6CD4">
        <w:t xml:space="preserve">The technical requirements of </w:t>
      </w:r>
      <w:r w:rsidR="00902C8F" w:rsidRPr="006F6CD4">
        <w:t>Part 565</w:t>
      </w:r>
      <w:r w:rsidRPr="006F6CD4">
        <w:t xml:space="preserve"> </w:t>
      </w:r>
      <w:r w:rsidR="00356C1B" w:rsidRPr="006F6CD4">
        <w:t>(</w:t>
      </w:r>
      <w:r w:rsidRPr="006F6CD4">
        <w:t>Vehicle Identification Number</w:t>
      </w:r>
      <w:r w:rsidR="00902C8F" w:rsidRPr="006F6CD4">
        <w:t xml:space="preserve"> (VIN) Requirements</w:t>
      </w:r>
      <w:r w:rsidR="00356C1B" w:rsidRPr="006F6CD4">
        <w:t>)</w:t>
      </w:r>
      <w:r w:rsidR="00902C8F" w:rsidRPr="006F6CD4">
        <w:t xml:space="preserve"> of </w:t>
      </w:r>
      <w:r w:rsidR="00EA0F91" w:rsidRPr="006F6CD4">
        <w:t xml:space="preserve">Title 49 of </w:t>
      </w:r>
      <w:r w:rsidR="00902C8F" w:rsidRPr="006F6CD4">
        <w:t>the US Code of Federal Regulations</w:t>
      </w:r>
      <w:r w:rsidRPr="006F6CD4">
        <w:t xml:space="preserve"> (4</w:t>
      </w:r>
      <w:r w:rsidR="008476DA" w:rsidRPr="006F6CD4">
        <w:t>9 C</w:t>
      </w:r>
      <w:r w:rsidRPr="006F6CD4">
        <w:t>FR</w:t>
      </w:r>
      <w:r w:rsidR="00902C8F" w:rsidRPr="006F6CD4">
        <w:t xml:space="preserve"> </w:t>
      </w:r>
      <w:r w:rsidR="008476DA" w:rsidRPr="006F6CD4">
        <w:t>565</w:t>
      </w:r>
      <w:r w:rsidR="0011523D">
        <w:t>)</w:t>
      </w:r>
      <w:r w:rsidR="00902C8F" w:rsidRPr="006F6CD4">
        <w:t>, 1 October 201</w:t>
      </w:r>
      <w:r w:rsidR="00D60564">
        <w:t>9</w:t>
      </w:r>
      <w:r w:rsidR="00902C8F" w:rsidRPr="006F6CD4">
        <w:t xml:space="preserve"> edition</w:t>
      </w:r>
      <w:r w:rsidR="0011523D">
        <w:t>,</w:t>
      </w:r>
      <w:r w:rsidR="00100F08" w:rsidRPr="006F6CD4">
        <w:t xml:space="preserve"> are deemed to be equivalent to the requirements specified in clause 5.1 </w:t>
      </w:r>
      <w:r w:rsidR="00551287" w:rsidRPr="006F6CD4">
        <w:t>of this standard</w:t>
      </w:r>
      <w:r w:rsidR="00492E4D">
        <w:t xml:space="preserve">, except that the phrase “subject to the Federal motor vehicle safety standards” shall be read as “subject to the </w:t>
      </w:r>
      <w:r w:rsidR="00492E4D">
        <w:rPr>
          <w:i/>
        </w:rPr>
        <w:t xml:space="preserve">Road Vehicle Standards Act </w:t>
      </w:r>
      <w:r w:rsidR="00492E4D" w:rsidRPr="00492E4D">
        <w:rPr>
          <w:i/>
        </w:rPr>
        <w:t>2018</w:t>
      </w:r>
      <w:r w:rsidR="00492E4D">
        <w:t>”</w:t>
      </w:r>
      <w:r w:rsidR="003579E5" w:rsidRPr="006F6CD4">
        <w:t>.</w:t>
      </w:r>
      <w:proofErr w:type="gramEnd"/>
    </w:p>
    <w:p w14:paraId="3A27FA56" w14:textId="77777777" w:rsidR="004F3926" w:rsidRPr="008B1CD7" w:rsidRDefault="004F3926" w:rsidP="004F3926">
      <w:pPr>
        <w:pStyle w:val="Clauseheading"/>
      </w:pPr>
      <w:bookmarkStart w:id="13" w:name="_Toc354454375"/>
      <w:bookmarkStart w:id="14" w:name="_Toc119215361"/>
      <w:bookmarkStart w:id="15" w:name="_Toc42000635"/>
      <w:bookmarkStart w:id="16" w:name="_Toc354454376"/>
      <w:bookmarkStart w:id="17" w:name="_Toc119215362"/>
      <w:r w:rsidRPr="008B1CD7">
        <w:t>secure vehicle identification marking</w:t>
      </w:r>
      <w:bookmarkEnd w:id="13"/>
      <w:bookmarkEnd w:id="14"/>
      <w:bookmarkEnd w:id="15"/>
    </w:p>
    <w:p w14:paraId="2ABB972D" w14:textId="77777777" w:rsidR="0077225B" w:rsidRDefault="00470C58" w:rsidP="00470C58">
      <w:pPr>
        <w:pStyle w:val="Subclause"/>
      </w:pPr>
      <w:r>
        <w:t xml:space="preserve">Every </w:t>
      </w:r>
      <w:r w:rsidR="0077225B">
        <w:t>L-Group vehicle</w:t>
      </w:r>
      <w:r w:rsidR="00926B3C">
        <w:t xml:space="preserve">, and every </w:t>
      </w:r>
      <w:r w:rsidR="0077225B">
        <w:t>category MA, MB, MC, MD or NA vehicle</w:t>
      </w:r>
      <w:r w:rsidR="000747DD">
        <w:t>,</w:t>
      </w:r>
      <w:r w:rsidR="0077225B">
        <w:t xml:space="preserve"> </w:t>
      </w:r>
      <w:r w:rsidR="00926B3C" w:rsidRPr="006F6CD4">
        <w:t xml:space="preserve">must </w:t>
      </w:r>
      <w:r w:rsidR="00926B3C" w:rsidRPr="00577F2F">
        <w:t>bear</w:t>
      </w:r>
      <w:r w:rsidR="00926B3C" w:rsidRPr="006F6CD4">
        <w:t xml:space="preserve"> one or more items of </w:t>
      </w:r>
      <w:r w:rsidR="00601C41">
        <w:t>‘</w:t>
      </w:r>
      <w:r w:rsidR="0077225B" w:rsidRPr="006F6CD4">
        <w:t>Secur</w:t>
      </w:r>
      <w:r w:rsidR="0077225B">
        <w:t>e Vehicle Identification Marking</w:t>
      </w:r>
      <w:r w:rsidR="00601C41">
        <w:t>’</w:t>
      </w:r>
      <w:r w:rsidR="0077225B">
        <w:t xml:space="preserve">, in the form of </w:t>
      </w:r>
      <w:r w:rsidR="009B1C63">
        <w:t xml:space="preserve">a </w:t>
      </w:r>
      <w:r w:rsidR="000639BE">
        <w:t xml:space="preserve">durable </w:t>
      </w:r>
      <w:r w:rsidR="00033F2A">
        <w:t>self-</w:t>
      </w:r>
      <w:r w:rsidR="009B1C63">
        <w:t>adhesive label</w:t>
      </w:r>
      <w:r w:rsidR="0077225B">
        <w:t>.</w:t>
      </w:r>
    </w:p>
    <w:p w14:paraId="79A35C55" w14:textId="044C61C7" w:rsidR="0077225B" w:rsidRDefault="0077225B" w:rsidP="006F6CD4">
      <w:pPr>
        <w:pStyle w:val="Subclause"/>
      </w:pPr>
      <w:r>
        <w:t>Every category ME</w:t>
      </w:r>
      <w:r w:rsidR="003F63A9">
        <w:t xml:space="preserve">, NB or NC </w:t>
      </w:r>
      <w:r>
        <w:t xml:space="preserve">vehicle </w:t>
      </w:r>
      <w:r w:rsidR="000747DD" w:rsidRPr="006F6CD4">
        <w:t xml:space="preserve">must </w:t>
      </w:r>
      <w:r w:rsidR="000747DD" w:rsidRPr="00577F2F">
        <w:t>bear</w:t>
      </w:r>
      <w:r w:rsidR="000747DD" w:rsidRPr="006F6CD4">
        <w:t xml:space="preserve"> one or more items of </w:t>
      </w:r>
      <w:r w:rsidR="00601C41">
        <w:t>‘</w:t>
      </w:r>
      <w:r w:rsidR="000747DD" w:rsidRPr="006F6CD4">
        <w:t>Secur</w:t>
      </w:r>
      <w:r w:rsidR="000747DD">
        <w:t>e Vehicle Identification Marking</w:t>
      </w:r>
      <w:r w:rsidR="00601C41">
        <w:t>’</w:t>
      </w:r>
      <w:r w:rsidR="000747DD">
        <w:t xml:space="preserve">, </w:t>
      </w:r>
      <w:r w:rsidR="009B1C63">
        <w:t xml:space="preserve">in the form of </w:t>
      </w:r>
      <w:r w:rsidR="00033F2A">
        <w:t xml:space="preserve">a </w:t>
      </w:r>
      <w:r w:rsidR="000639BE">
        <w:t xml:space="preserve">durable </w:t>
      </w:r>
      <w:r w:rsidR="000639BE">
        <w:br/>
      </w:r>
      <w:r w:rsidR="00033F2A">
        <w:t>self-</w:t>
      </w:r>
      <w:r w:rsidR="009B1C63">
        <w:t>adhesive label</w:t>
      </w:r>
      <w:r w:rsidR="007923C1">
        <w:t xml:space="preserve"> or a </w:t>
      </w:r>
      <w:r w:rsidR="000639BE">
        <w:t xml:space="preserve">durable </w:t>
      </w:r>
      <w:r w:rsidR="007923C1">
        <w:t>metal plate</w:t>
      </w:r>
      <w:r w:rsidR="000747DD">
        <w:t>.</w:t>
      </w:r>
    </w:p>
    <w:p w14:paraId="0B1A118F" w14:textId="77777777" w:rsidR="00033F2A" w:rsidRDefault="00033F2A" w:rsidP="00033F2A">
      <w:pPr>
        <w:pStyle w:val="Subclause"/>
      </w:pPr>
      <w:r>
        <w:t xml:space="preserve">Every </w:t>
      </w:r>
      <w:r w:rsidR="00FC7B65">
        <w:t>category TA, TB, TC or TD</w:t>
      </w:r>
      <w:r>
        <w:t xml:space="preserve"> vehicle </w:t>
      </w:r>
      <w:r w:rsidRPr="00577F2F">
        <w:t>must bear one</w:t>
      </w:r>
      <w:r w:rsidRPr="006F6CD4">
        <w:t xml:space="preserve"> or more items of </w:t>
      </w:r>
      <w:r w:rsidR="00601C41">
        <w:t>‘</w:t>
      </w:r>
      <w:r w:rsidRPr="006F6CD4">
        <w:t>Secur</w:t>
      </w:r>
      <w:r>
        <w:t>e Vehicle Identification Marking</w:t>
      </w:r>
      <w:r w:rsidR="00601C41">
        <w:t>’</w:t>
      </w:r>
      <w:r>
        <w:t xml:space="preserve">, in the form of a </w:t>
      </w:r>
      <w:r w:rsidR="000639BE">
        <w:t xml:space="preserve">durable </w:t>
      </w:r>
      <w:r>
        <w:t>metal plate.</w:t>
      </w:r>
    </w:p>
    <w:p w14:paraId="022044FD" w14:textId="77777777" w:rsidR="00342BF5" w:rsidRDefault="003F3BE4" w:rsidP="00200940">
      <w:pPr>
        <w:pStyle w:val="Subclause"/>
        <w:pageBreakBefore/>
      </w:pPr>
      <w:r>
        <w:lastRenderedPageBreak/>
        <w:t>The</w:t>
      </w:r>
      <w:r w:rsidR="00C2264D" w:rsidRPr="006F6CD4">
        <w:t xml:space="preserve"> </w:t>
      </w:r>
      <w:r w:rsidR="00601C41">
        <w:t>‘</w:t>
      </w:r>
      <w:r w:rsidR="00C2264D" w:rsidRPr="006F6CD4">
        <w:t>Secur</w:t>
      </w:r>
      <w:r w:rsidR="00C2264D">
        <w:t>e Vehicle Identification Marking</w:t>
      </w:r>
      <w:r w:rsidR="00601C41">
        <w:t>’</w:t>
      </w:r>
      <w:r w:rsidR="00C2264D">
        <w:t xml:space="preserve"> required </w:t>
      </w:r>
      <w:r w:rsidR="00D16B8C">
        <w:t>by</w:t>
      </w:r>
      <w:r w:rsidR="00C2264D">
        <w:t xml:space="preserve"> clause 6.1, 6.2 </w:t>
      </w:r>
      <w:r w:rsidR="00D16B8C">
        <w:t>and</w:t>
      </w:r>
      <w:r w:rsidR="00C2264D">
        <w:t xml:space="preserve"> 6.3 above, must:</w:t>
      </w:r>
    </w:p>
    <w:p w14:paraId="53D8B73E" w14:textId="77777777" w:rsidR="00C834DB" w:rsidRDefault="00DA51A3" w:rsidP="0037185F">
      <w:pPr>
        <w:pStyle w:val="Clause-Alphalist"/>
        <w:numPr>
          <w:ilvl w:val="0"/>
          <w:numId w:val="7"/>
        </w:numPr>
      </w:pPr>
      <w:r w:rsidRPr="00A71D56">
        <w:t>displa</w:t>
      </w:r>
      <w:r w:rsidR="00D745F8" w:rsidRPr="00A71D56">
        <w:t>y</w:t>
      </w:r>
      <w:r w:rsidRPr="00A71D56">
        <w:t xml:space="preserve"> </w:t>
      </w:r>
      <w:r w:rsidR="008617E6">
        <w:t>at least</w:t>
      </w:r>
      <w:r w:rsidR="00C834DB">
        <w:t>:</w:t>
      </w:r>
    </w:p>
    <w:p w14:paraId="62E8FEB0" w14:textId="2F6E4645" w:rsidR="00C834DB" w:rsidRDefault="008D4F7E" w:rsidP="00C834DB">
      <w:pPr>
        <w:pStyle w:val="Clause-alphasublist"/>
        <w:numPr>
          <w:ilvl w:val="1"/>
          <w:numId w:val="7"/>
        </w:numPr>
      </w:pPr>
      <w:r>
        <w:t>the</w:t>
      </w:r>
      <w:r w:rsidR="00AD71F5">
        <w:t xml:space="preserve"> name of the </w:t>
      </w:r>
      <w:r w:rsidR="00AD71F5" w:rsidRPr="00C834DB">
        <w:rPr>
          <w:i/>
        </w:rPr>
        <w:t>‘Manufacturer’</w:t>
      </w:r>
      <w:r w:rsidR="00AD71F5">
        <w:t xml:space="preserve"> or the</w:t>
      </w:r>
      <w:r>
        <w:t xml:space="preserve"> </w:t>
      </w:r>
      <w:r w:rsidR="007106AB" w:rsidRPr="00C834DB">
        <w:rPr>
          <w:i/>
        </w:rPr>
        <w:t>‘Vehicle M</w:t>
      </w:r>
      <w:r w:rsidRPr="00C834DB">
        <w:rPr>
          <w:i/>
        </w:rPr>
        <w:t>ake</w:t>
      </w:r>
      <w:r w:rsidR="007106AB" w:rsidRPr="00C834DB">
        <w:rPr>
          <w:i/>
        </w:rPr>
        <w:t>’</w:t>
      </w:r>
      <w:r w:rsidR="001E7842">
        <w:t>;</w:t>
      </w:r>
      <w:r w:rsidR="00AD71F5">
        <w:t xml:space="preserve"> </w:t>
      </w:r>
      <w:r w:rsidR="0037185F">
        <w:t>and</w:t>
      </w:r>
    </w:p>
    <w:p w14:paraId="2B034D91" w14:textId="1BDBDDDE" w:rsidR="00DA51A3" w:rsidRPr="00A71D56" w:rsidRDefault="008617E6" w:rsidP="00C834DB">
      <w:pPr>
        <w:pStyle w:val="Clause-alphasublist"/>
        <w:numPr>
          <w:ilvl w:val="1"/>
          <w:numId w:val="7"/>
        </w:numPr>
      </w:pPr>
      <w:r>
        <w:t>the</w:t>
      </w:r>
      <w:r w:rsidR="007738FF">
        <w:t xml:space="preserve"> </w:t>
      </w:r>
      <w:r w:rsidR="00D745F8" w:rsidRPr="00C834DB">
        <w:rPr>
          <w:i/>
        </w:rPr>
        <w:t>‘VIN’</w:t>
      </w:r>
      <w:r w:rsidR="00D745F8" w:rsidRPr="00A71D56">
        <w:t>;</w:t>
      </w:r>
    </w:p>
    <w:p w14:paraId="38C37B3C" w14:textId="77777777" w:rsidR="00C65F1A" w:rsidRPr="0062210F" w:rsidRDefault="00C2264D" w:rsidP="0062210F">
      <w:pPr>
        <w:pStyle w:val="Clause-Alphalist"/>
      </w:pPr>
      <w:r w:rsidRPr="0062210F">
        <w:t xml:space="preserve">be </w:t>
      </w:r>
      <w:r w:rsidR="00D41231" w:rsidRPr="0062210F">
        <w:t>firmly</w:t>
      </w:r>
      <w:r w:rsidR="00E24654" w:rsidRPr="0062210F">
        <w:t xml:space="preserve"> </w:t>
      </w:r>
      <w:r w:rsidR="0038518F" w:rsidRPr="0062210F">
        <w:t>affixed</w:t>
      </w:r>
      <w:r w:rsidR="00342BF5" w:rsidRPr="0062210F">
        <w:t xml:space="preserve"> in a conspicuous and readily accessible position on the vehicle; and</w:t>
      </w:r>
    </w:p>
    <w:p w14:paraId="3E5B892F" w14:textId="4FD0F317" w:rsidR="00342BF5" w:rsidRPr="0062210F" w:rsidRDefault="00AD71F5" w:rsidP="0062210F">
      <w:pPr>
        <w:pStyle w:val="Clause-Alphalist"/>
      </w:pPr>
      <w:proofErr w:type="gramStart"/>
      <w:r>
        <w:t>n</w:t>
      </w:r>
      <w:r w:rsidRPr="0062210F">
        <w:t>ot</w:t>
      </w:r>
      <w:proofErr w:type="gramEnd"/>
      <w:r w:rsidR="007977EF" w:rsidRPr="0062210F">
        <w:t xml:space="preserve"> </w:t>
      </w:r>
      <w:r w:rsidR="00C2264D" w:rsidRPr="0062210F">
        <w:t xml:space="preserve">be </w:t>
      </w:r>
      <w:r w:rsidR="00342BF5" w:rsidRPr="0062210F">
        <w:t>affixed on a part of the vehicle usually subject to replacement in use.</w:t>
      </w:r>
    </w:p>
    <w:p w14:paraId="260EAA24" w14:textId="5D747B45" w:rsidR="00D103EF" w:rsidRDefault="002261FF" w:rsidP="008D5566">
      <w:pPr>
        <w:pStyle w:val="Subsubclause"/>
      </w:pPr>
      <w:r>
        <w:t xml:space="preserve">All </w:t>
      </w:r>
      <w:r w:rsidR="00B05C8D" w:rsidRPr="00B05C8D">
        <w:t>information required by</w:t>
      </w:r>
      <w:r w:rsidR="00796E26" w:rsidRPr="00B05C8D">
        <w:t xml:space="preserve"> </w:t>
      </w:r>
      <w:r w:rsidR="0025518E" w:rsidRPr="00B05C8D">
        <w:t>part</w:t>
      </w:r>
      <w:r w:rsidR="007738FF">
        <w:t xml:space="preserve"> </w:t>
      </w:r>
      <w:r w:rsidR="00D16B8C">
        <w:t xml:space="preserve">(a) of clause 6.4 above </w:t>
      </w:r>
      <w:r w:rsidR="005F60BF">
        <w:t xml:space="preserve">on the ‘Secure Vehicle Identification Marking’, </w:t>
      </w:r>
      <w:r w:rsidR="00D16B8C">
        <w:t xml:space="preserve">must </w:t>
      </w:r>
      <w:r w:rsidR="00B027E0">
        <w:t xml:space="preserve">be </w:t>
      </w:r>
      <w:r w:rsidR="00B027E0" w:rsidRPr="000B3570">
        <w:t xml:space="preserve">in Latin alphabet </w:t>
      </w:r>
      <w:r w:rsidR="00142AEE">
        <w:t>letters</w:t>
      </w:r>
      <w:r w:rsidR="00B027E0">
        <w:t xml:space="preserve">, Arabic numerals, </w:t>
      </w:r>
      <w:r w:rsidR="00B027E0" w:rsidRPr="006F6CD4">
        <w:t>or a combination of these</w:t>
      </w:r>
      <w:r w:rsidR="0002441C">
        <w:t xml:space="preserve"> (as applicable/required)</w:t>
      </w:r>
      <w:r w:rsidR="0037185F">
        <w:t>, all</w:t>
      </w:r>
      <w:r w:rsidR="00665563">
        <w:t xml:space="preserve"> at least 2.5 </w:t>
      </w:r>
      <w:r w:rsidR="00D103EF">
        <w:t>mm in</w:t>
      </w:r>
      <w:r w:rsidR="007738FF">
        <w:t xml:space="preserve"> </w:t>
      </w:r>
      <w:r w:rsidR="00D103EF">
        <w:t>height.</w:t>
      </w:r>
    </w:p>
    <w:p w14:paraId="1BA1DBAE" w14:textId="46A28F4C" w:rsidR="000E3202" w:rsidRDefault="000E3202" w:rsidP="00342BF5">
      <w:pPr>
        <w:pStyle w:val="Subsubclause"/>
      </w:pPr>
      <w:r w:rsidRPr="008B1CD7">
        <w:t>A</w:t>
      </w:r>
      <w:r w:rsidR="005401BB">
        <w:t xml:space="preserve"> category M, N or T </w:t>
      </w:r>
      <w:r w:rsidRPr="008B1CD7">
        <w:t xml:space="preserve">vehicle </w:t>
      </w:r>
      <w:r w:rsidR="00423C72">
        <w:t>shall</w:t>
      </w:r>
      <w:r w:rsidR="00342BF5">
        <w:t xml:space="preserve"> be</w:t>
      </w:r>
      <w:r w:rsidRPr="008B1CD7">
        <w:t xml:space="preserve"> deemed to satisfy the requirements of </w:t>
      </w:r>
      <w:r w:rsidR="00052D2C">
        <w:t>parts (b) and (c) of clause 6.4 above</w:t>
      </w:r>
      <w:r w:rsidR="006F6CD4">
        <w:t>,</w:t>
      </w:r>
      <w:r w:rsidRPr="008B1CD7">
        <w:t xml:space="preserve"> if </w:t>
      </w:r>
      <w:r w:rsidR="00052D2C">
        <w:t>the</w:t>
      </w:r>
      <w:r w:rsidR="0006112A">
        <w:t xml:space="preserve"> required</w:t>
      </w:r>
      <w:r w:rsidR="00052D2C">
        <w:t xml:space="preserve"> </w:t>
      </w:r>
      <w:r w:rsidR="00601C41">
        <w:t>‘</w:t>
      </w:r>
      <w:r w:rsidR="00052D2C">
        <w:t>Secure Vehicle Identification Marking</w:t>
      </w:r>
      <w:r w:rsidR="00601C41">
        <w:t>’</w:t>
      </w:r>
      <w:r w:rsidR="00052D2C">
        <w:t xml:space="preserve"> is </w:t>
      </w:r>
      <w:r w:rsidR="00F843D4">
        <w:t>provided through</w:t>
      </w:r>
      <w:r w:rsidR="00A24EC2">
        <w:t xml:space="preserve"> a</w:t>
      </w:r>
      <w:r w:rsidR="0006112A">
        <w:t xml:space="preserve"> </w:t>
      </w:r>
      <w:r w:rsidR="00671B96">
        <w:t>manufacturer’s statutory plate</w:t>
      </w:r>
      <w:r w:rsidR="0006112A">
        <w:t xml:space="preserve"> </w:t>
      </w:r>
      <w:r w:rsidR="00F843D4">
        <w:t>located</w:t>
      </w:r>
      <w:r w:rsidR="00110B4B">
        <w:t xml:space="preserve"> </w:t>
      </w:r>
      <w:r w:rsidR="00052D2C">
        <w:t xml:space="preserve">in accordance with </w:t>
      </w:r>
      <w:r w:rsidR="005B6276">
        <w:t xml:space="preserve">a type approval </w:t>
      </w:r>
      <w:r w:rsidRPr="008B1CD7">
        <w:t xml:space="preserve">granted under </w:t>
      </w:r>
      <w:r w:rsidR="00B747AD">
        <w:t xml:space="preserve">the </w:t>
      </w:r>
      <w:r w:rsidR="00FD47B4">
        <w:t>C</w:t>
      </w:r>
      <w:r w:rsidR="00821302">
        <w:t>ommission Regulation (EU) No </w:t>
      </w:r>
      <w:r w:rsidRPr="008B1CD7">
        <w:t>19/2011</w:t>
      </w:r>
      <w:r w:rsidR="005B6276">
        <w:t xml:space="preserve"> for </w:t>
      </w:r>
      <w:r w:rsidR="00506BD1">
        <w:t>the vehicle</w:t>
      </w:r>
      <w:r w:rsidR="005B6276">
        <w:t xml:space="preserve"> type</w:t>
      </w:r>
      <w:r>
        <w:t>.</w:t>
      </w:r>
    </w:p>
    <w:p w14:paraId="2B756952" w14:textId="0D07B6E7" w:rsidR="00052D2C" w:rsidRDefault="00052D2C" w:rsidP="00052D2C">
      <w:pPr>
        <w:pStyle w:val="Subsubclause"/>
      </w:pPr>
      <w:r>
        <w:t xml:space="preserve">Where a self-adhesive label is used </w:t>
      </w:r>
      <w:r w:rsidR="00A24EC2">
        <w:t>for</w:t>
      </w:r>
      <w:r>
        <w:t xml:space="preserve"> </w:t>
      </w:r>
      <w:r w:rsidR="00A24EC2">
        <w:t xml:space="preserve">the required </w:t>
      </w:r>
      <w:r w:rsidR="00601C41">
        <w:t>‘</w:t>
      </w:r>
      <w:r w:rsidRPr="006F6CD4">
        <w:t>Secur</w:t>
      </w:r>
      <w:r>
        <w:t>e Vehicle Identification Marking</w:t>
      </w:r>
      <w:r w:rsidR="00601C41">
        <w:t>’</w:t>
      </w:r>
      <w:r>
        <w:t xml:space="preserve">, it must </w:t>
      </w:r>
      <w:r w:rsidRPr="008B1CD7">
        <w:t>be tamper evident, fraud resistant</w:t>
      </w:r>
      <w:r>
        <w:t>,</w:t>
      </w:r>
      <w:r w:rsidRPr="008B1CD7">
        <w:t xml:space="preserve"> and self-destructive </w:t>
      </w:r>
      <w:r w:rsidR="00766BC0">
        <w:t>(</w:t>
      </w:r>
      <w:r w:rsidR="00973F3B">
        <w:t>e.g</w:t>
      </w:r>
      <w:r w:rsidR="00766BC0">
        <w:t xml:space="preserve">. self-voiding) </w:t>
      </w:r>
      <w:r w:rsidRPr="008B1CD7">
        <w:t>in case there is an attempt to remove the label</w:t>
      </w:r>
      <w:r w:rsidR="007923C1">
        <w:t xml:space="preserve">; and all the required information must be </w:t>
      </w:r>
      <w:r w:rsidR="007923C1" w:rsidRPr="008B1CD7">
        <w:t>printed indelibly on</w:t>
      </w:r>
      <w:r w:rsidR="007923C1">
        <w:t xml:space="preserve"> the label</w:t>
      </w:r>
      <w:r>
        <w:t>.</w:t>
      </w:r>
    </w:p>
    <w:p w14:paraId="525630BA" w14:textId="77777777" w:rsidR="00052D2C" w:rsidRDefault="00052D2C" w:rsidP="00052D2C">
      <w:pPr>
        <w:pStyle w:val="Subsubclause"/>
      </w:pPr>
      <w:r>
        <w:t xml:space="preserve">Where a metal plate </w:t>
      </w:r>
      <w:proofErr w:type="gramStart"/>
      <w:r>
        <w:t>is used</w:t>
      </w:r>
      <w:proofErr w:type="gramEnd"/>
      <w:r>
        <w:t xml:space="preserve"> </w:t>
      </w:r>
      <w:r w:rsidR="00A24EC2">
        <w:t>for</w:t>
      </w:r>
      <w:r>
        <w:t xml:space="preserve"> </w:t>
      </w:r>
      <w:r w:rsidR="00A24EC2">
        <w:t xml:space="preserve">the required </w:t>
      </w:r>
      <w:r w:rsidR="00601C41">
        <w:t>‘</w:t>
      </w:r>
      <w:r w:rsidRPr="006F6CD4">
        <w:t>Secur</w:t>
      </w:r>
      <w:r>
        <w:t>e Vehicle Identification Marking</w:t>
      </w:r>
      <w:r w:rsidR="00601C41">
        <w:t>’</w:t>
      </w:r>
      <w:r>
        <w:t>, it must be welded, riveted or otherwise permanently affixed to the vehicle</w:t>
      </w:r>
      <w:r w:rsidR="007923C1">
        <w:t xml:space="preserve">; and all the required information must be embossed, indented, etched, </w:t>
      </w:r>
      <w:r w:rsidR="0049512C">
        <w:t>engraved</w:t>
      </w:r>
      <w:r w:rsidR="00BC3D42">
        <w:t>, or otherwise printed indelibly</w:t>
      </w:r>
      <w:r w:rsidR="007923C1" w:rsidRPr="008B1CD7">
        <w:t xml:space="preserve"> on</w:t>
      </w:r>
      <w:r w:rsidR="007923C1">
        <w:t xml:space="preserve"> the plate</w:t>
      </w:r>
      <w:r>
        <w:t>.</w:t>
      </w:r>
    </w:p>
    <w:p w14:paraId="4F98236A" w14:textId="7373B346" w:rsidR="00E65E14" w:rsidRDefault="0043729B" w:rsidP="00342BF5">
      <w:pPr>
        <w:pStyle w:val="Subsubclause"/>
      </w:pPr>
      <w:r w:rsidRPr="0043729B">
        <w:t xml:space="preserve">The </w:t>
      </w:r>
      <w:r w:rsidRPr="0043729B">
        <w:rPr>
          <w:i/>
        </w:rPr>
        <w:t>‘Manufacturer’</w:t>
      </w:r>
      <w:r w:rsidRPr="0043729B">
        <w:t xml:space="preserve"> may choose to </w:t>
      </w:r>
      <w:r>
        <w:t xml:space="preserve">provide </w:t>
      </w:r>
      <w:r w:rsidR="00A3178A">
        <w:t>further</w:t>
      </w:r>
      <w:r>
        <w:t xml:space="preserve"> information, </w:t>
      </w:r>
      <w:r w:rsidRPr="0043729B">
        <w:t xml:space="preserve">for example a </w:t>
      </w:r>
      <w:r w:rsidRPr="0043729B">
        <w:rPr>
          <w:i/>
        </w:rPr>
        <w:t>‘VIN’</w:t>
      </w:r>
      <w:r w:rsidRPr="0043729B">
        <w:t xml:space="preserve"> </w:t>
      </w:r>
      <w:r>
        <w:t xml:space="preserve">barcode, on a self-adhesive label or metal plate used as </w:t>
      </w:r>
      <w:r w:rsidR="002655B0" w:rsidRPr="00F31E33">
        <w:t>‘</w:t>
      </w:r>
      <w:r w:rsidRPr="00F31E33">
        <w:t xml:space="preserve">Secure Vehicle Identification </w:t>
      </w:r>
      <w:proofErr w:type="gramStart"/>
      <w:r w:rsidRPr="00F31E33">
        <w:t>Marking</w:t>
      </w:r>
      <w:proofErr w:type="gramEnd"/>
      <w:r w:rsidR="002655B0" w:rsidRPr="00F31E33">
        <w:t>’</w:t>
      </w:r>
      <w:r w:rsidRPr="00F31E33">
        <w:t>.</w:t>
      </w:r>
    </w:p>
    <w:p w14:paraId="59A33B9A" w14:textId="4733B122" w:rsidR="00D8187A" w:rsidRDefault="00D8187A" w:rsidP="00342BF5">
      <w:pPr>
        <w:pStyle w:val="Subsubclause"/>
      </w:pPr>
      <w:r>
        <w:t xml:space="preserve">The </w:t>
      </w:r>
      <w:r w:rsidRPr="00423C72">
        <w:rPr>
          <w:i/>
        </w:rPr>
        <w:t>‘Vehicle Make’</w:t>
      </w:r>
      <w:r>
        <w:t xml:space="preserve"> referred to in part (a) of clause 6.4 above may be included on its own</w:t>
      </w:r>
      <w:r w:rsidR="00766825">
        <w:t>,</w:t>
      </w:r>
      <w:r>
        <w:t xml:space="preserve"> or as a part of a trading name or business name associated with the </w:t>
      </w:r>
      <w:r w:rsidRPr="00D8187A">
        <w:rPr>
          <w:i/>
        </w:rPr>
        <w:t>‘Manufacturer’</w:t>
      </w:r>
      <w:r>
        <w:t>, including for example the name of the production facility.</w:t>
      </w:r>
    </w:p>
    <w:p w14:paraId="38B18B9A" w14:textId="61991948" w:rsidR="00E1089D" w:rsidRPr="00F31E33" w:rsidRDefault="00E1089D" w:rsidP="00342BF5">
      <w:pPr>
        <w:pStyle w:val="Subsubclause"/>
      </w:pPr>
      <w:r>
        <w:t xml:space="preserve">In the case of a vehicle subject to a second stage of manufacture, </w:t>
      </w:r>
      <w:r w:rsidR="009855B2" w:rsidRPr="00D46B8A">
        <w:t>the</w:t>
      </w:r>
      <w:r w:rsidR="009855B2">
        <w:t xml:space="preserve"> name of the </w:t>
      </w:r>
      <w:r w:rsidR="009855B2" w:rsidRPr="00B05C8D">
        <w:rPr>
          <w:i/>
        </w:rPr>
        <w:t>‘Manufacturer’</w:t>
      </w:r>
      <w:r w:rsidR="009855B2">
        <w:t xml:space="preserve"> or </w:t>
      </w:r>
      <w:r>
        <w:t xml:space="preserve">the </w:t>
      </w:r>
      <w:r w:rsidRPr="00423C72">
        <w:rPr>
          <w:i/>
        </w:rPr>
        <w:t>‘Vehicle Make’</w:t>
      </w:r>
      <w:r>
        <w:t xml:space="preserve"> </w:t>
      </w:r>
      <w:r w:rsidR="00AB4DC8">
        <w:t xml:space="preserve">of the first-stage vehicle shall be deemed sufficient </w:t>
      </w:r>
      <w:r w:rsidR="00B05C8D">
        <w:t>to satisfy part (a)</w:t>
      </w:r>
      <w:r w:rsidR="00767FCB">
        <w:t>(</w:t>
      </w:r>
      <w:proofErr w:type="spellStart"/>
      <w:r w:rsidR="00767FCB">
        <w:t>i</w:t>
      </w:r>
      <w:proofErr w:type="spellEnd"/>
      <w:r w:rsidR="00767FCB">
        <w:t>)</w:t>
      </w:r>
      <w:r w:rsidR="00B05C8D">
        <w:t xml:space="preserve"> of </w:t>
      </w:r>
      <w:r w:rsidR="002E2928">
        <w:t xml:space="preserve">clause </w:t>
      </w:r>
      <w:r>
        <w:t>6.4 above</w:t>
      </w:r>
      <w:r w:rsidR="002E2928">
        <w:t>.</w:t>
      </w:r>
    </w:p>
    <w:p w14:paraId="1A937D2A" w14:textId="6CA51F2C" w:rsidR="00601C41" w:rsidRPr="00F31E33" w:rsidRDefault="00E65E14" w:rsidP="005825A3">
      <w:pPr>
        <w:pStyle w:val="Subclause"/>
      </w:pPr>
      <w:r w:rsidRPr="00F31E33">
        <w:t xml:space="preserve">In the case of a </w:t>
      </w:r>
      <w:r w:rsidR="004165D1" w:rsidRPr="00F31E33">
        <w:t xml:space="preserve">category ME, TA, TB, TC or TD vehicle </w:t>
      </w:r>
      <w:r w:rsidR="00373D03" w:rsidRPr="00F31E33">
        <w:t>for which</w:t>
      </w:r>
      <w:r w:rsidRPr="00F31E33">
        <w:t xml:space="preserve"> all </w:t>
      </w:r>
      <w:r w:rsidR="008639BD">
        <w:t xml:space="preserve">the </w:t>
      </w:r>
      <w:r w:rsidRPr="00F31E33">
        <w:t>requirements of clause 6</w:t>
      </w:r>
      <w:bookmarkStart w:id="18" w:name="_GoBack"/>
      <w:bookmarkEnd w:id="18"/>
      <w:r w:rsidR="001D7F39">
        <w:t>.4</w:t>
      </w:r>
      <w:r w:rsidRPr="00F31E33">
        <w:t xml:space="preserve"> </w:t>
      </w:r>
      <w:r w:rsidR="004A1CEB">
        <w:t xml:space="preserve">above </w:t>
      </w:r>
      <w:r w:rsidRPr="00F31E33">
        <w:t>are satisfied by a ‘Vehicle Plate’ in accordance with clause 7 below, a separate ‘Secure Vehicle Identification Marking’ need not be provided.</w:t>
      </w:r>
    </w:p>
    <w:p w14:paraId="27357E10" w14:textId="2064A935" w:rsidR="00EF4BD1" w:rsidRPr="00145447" w:rsidRDefault="00EF4BD1" w:rsidP="00E65E14">
      <w:pPr>
        <w:pStyle w:val="Clauseheading"/>
        <w:pageBreakBefore/>
      </w:pPr>
      <w:bookmarkStart w:id="19" w:name="_Toc354454377"/>
      <w:bookmarkStart w:id="20" w:name="_Toc119215363"/>
      <w:bookmarkStart w:id="21" w:name="_Toc42000636"/>
      <w:bookmarkEnd w:id="16"/>
      <w:bookmarkEnd w:id="17"/>
      <w:r w:rsidRPr="00145447">
        <w:lastRenderedPageBreak/>
        <w:t>VEHICLE PLATE</w:t>
      </w:r>
      <w:bookmarkEnd w:id="19"/>
      <w:bookmarkEnd w:id="20"/>
      <w:bookmarkEnd w:id="21"/>
    </w:p>
    <w:p w14:paraId="4A32026E" w14:textId="77777777" w:rsidR="00D63C09" w:rsidRPr="00D63C09" w:rsidRDefault="004A7473" w:rsidP="006F6CD4">
      <w:pPr>
        <w:pStyle w:val="Subclause"/>
        <w:rPr>
          <w:b/>
        </w:rPr>
      </w:pPr>
      <w:r>
        <w:rPr>
          <w:b/>
        </w:rPr>
        <w:t>Heavy omnibuses</w:t>
      </w:r>
    </w:p>
    <w:p w14:paraId="7B940EE6" w14:textId="77777777" w:rsidR="00CE64FE" w:rsidRDefault="009B1C63" w:rsidP="0062210F">
      <w:pPr>
        <w:pStyle w:val="Subsubclause"/>
        <w:spacing w:after="80"/>
      </w:pPr>
      <w:r>
        <w:t>O</w:t>
      </w:r>
      <w:r w:rsidR="0071735E" w:rsidRPr="006F6CD4">
        <w:t xml:space="preserve">n every </w:t>
      </w:r>
      <w:r w:rsidR="00766AF6" w:rsidRPr="006F6CD4">
        <w:t xml:space="preserve">category </w:t>
      </w:r>
      <w:r w:rsidR="0071735E" w:rsidRPr="006F6CD4">
        <w:t>ME</w:t>
      </w:r>
      <w:r w:rsidR="00474CB6" w:rsidRPr="006F6CD4">
        <w:t xml:space="preserve"> vehicl</w:t>
      </w:r>
      <w:r w:rsidR="00181CDA" w:rsidRPr="006F6CD4">
        <w:t>e</w:t>
      </w:r>
      <w:r w:rsidR="00AA1214" w:rsidRPr="006F6CD4">
        <w:t xml:space="preserve"> </w:t>
      </w:r>
      <w:r w:rsidR="00CE64FE" w:rsidRPr="006F6CD4">
        <w:t xml:space="preserve">there must be </w:t>
      </w:r>
      <w:r w:rsidR="00D41231">
        <w:t>firmly</w:t>
      </w:r>
      <w:r w:rsidR="00C430A9">
        <w:t xml:space="preserve"> </w:t>
      </w:r>
      <w:r w:rsidR="00D76214">
        <w:t xml:space="preserve">affixed </w:t>
      </w:r>
      <w:r w:rsidR="00A77DCB" w:rsidRPr="00F31E33">
        <w:t>in a readily visible position</w:t>
      </w:r>
      <w:r w:rsidR="00A77DCB">
        <w:t xml:space="preserve">, </w:t>
      </w:r>
      <w:r w:rsidR="00D76214">
        <w:t xml:space="preserve">a </w:t>
      </w:r>
      <w:r w:rsidR="006448C4">
        <w:t xml:space="preserve">‘Vehicle Plate’ </w:t>
      </w:r>
      <w:r w:rsidR="00D76214">
        <w:t xml:space="preserve">in the form of </w:t>
      </w:r>
      <w:r w:rsidR="00DD0CCE">
        <w:t xml:space="preserve">a </w:t>
      </w:r>
      <w:r w:rsidR="00D76214">
        <w:t xml:space="preserve">durable self-adhesive label or a durable metal plate, and </w:t>
      </w:r>
      <w:r w:rsidR="00CE64FE">
        <w:t>displaying at least the following</w:t>
      </w:r>
      <w:r w:rsidR="00FD47B4">
        <w:t xml:space="preserve"> information</w:t>
      </w:r>
      <w:r w:rsidR="00CE64FE" w:rsidRPr="006F6CD4">
        <w:t>:</w:t>
      </w:r>
    </w:p>
    <w:p w14:paraId="7A0C7EB1" w14:textId="5972C4DD" w:rsidR="0060306F" w:rsidRDefault="007106AB" w:rsidP="007B00EF">
      <w:pPr>
        <w:pStyle w:val="Clause-Alphalist"/>
        <w:numPr>
          <w:ilvl w:val="0"/>
          <w:numId w:val="3"/>
        </w:numPr>
        <w:ind w:left="1872" w:hanging="454"/>
      </w:pPr>
      <w:r w:rsidRPr="00D46B8A">
        <w:t>the</w:t>
      </w:r>
      <w:r w:rsidR="00B05C8D">
        <w:t xml:space="preserve"> name of the </w:t>
      </w:r>
      <w:r w:rsidR="00B05C8D" w:rsidRPr="00B05C8D">
        <w:rPr>
          <w:i/>
        </w:rPr>
        <w:t>‘Manufacturer’</w:t>
      </w:r>
      <w:r w:rsidR="00B05C8D">
        <w:t xml:space="preserve"> or the</w:t>
      </w:r>
      <w:r w:rsidR="00120D63">
        <w:t xml:space="preserve"> </w:t>
      </w:r>
      <w:r w:rsidRPr="00423C72">
        <w:rPr>
          <w:i/>
        </w:rPr>
        <w:t>‘Vehicle Make’</w:t>
      </w:r>
      <w:r w:rsidR="0060306F">
        <w:t>;</w:t>
      </w:r>
    </w:p>
    <w:p w14:paraId="4C65574B" w14:textId="77777777" w:rsidR="00CE64FE" w:rsidRDefault="0060306F" w:rsidP="007B00EF">
      <w:pPr>
        <w:pStyle w:val="Clause-Alphalist"/>
        <w:numPr>
          <w:ilvl w:val="0"/>
          <w:numId w:val="3"/>
        </w:numPr>
        <w:ind w:left="1872" w:hanging="454"/>
      </w:pPr>
      <w:r>
        <w:t xml:space="preserve">the </w:t>
      </w:r>
      <w:r w:rsidRPr="0062210F">
        <w:rPr>
          <w:i/>
        </w:rPr>
        <w:t>‘VIN’</w:t>
      </w:r>
      <w:r>
        <w:t>;</w:t>
      </w:r>
    </w:p>
    <w:p w14:paraId="66D2AFFC" w14:textId="77777777" w:rsidR="0060306F" w:rsidRDefault="0060306F" w:rsidP="007B00EF">
      <w:pPr>
        <w:pStyle w:val="Clause-Alphalist"/>
        <w:numPr>
          <w:ilvl w:val="0"/>
          <w:numId w:val="3"/>
        </w:numPr>
        <w:ind w:left="1872" w:hanging="454"/>
      </w:pPr>
      <w:r>
        <w:t>the ADR category code;</w:t>
      </w:r>
    </w:p>
    <w:p w14:paraId="3BB64B49" w14:textId="77777777" w:rsidR="0060306F" w:rsidRDefault="00C43C15" w:rsidP="007B00EF">
      <w:pPr>
        <w:pStyle w:val="Clause-Alphalist"/>
        <w:numPr>
          <w:ilvl w:val="0"/>
          <w:numId w:val="3"/>
        </w:numPr>
        <w:ind w:left="1872" w:hanging="454"/>
      </w:pPr>
      <w:r>
        <w:t xml:space="preserve">the </w:t>
      </w:r>
      <w:r w:rsidRPr="0062210F">
        <w:rPr>
          <w:i/>
        </w:rPr>
        <w:t>‘Seating Capacity’</w:t>
      </w:r>
      <w:r w:rsidRPr="00C43C15">
        <w:t>;</w:t>
      </w:r>
      <w:r w:rsidR="00FD47B4">
        <w:t xml:space="preserve"> and</w:t>
      </w:r>
    </w:p>
    <w:p w14:paraId="5B730935" w14:textId="77777777" w:rsidR="00271DFD" w:rsidRDefault="00271DFD" w:rsidP="007B00EF">
      <w:pPr>
        <w:pStyle w:val="Clause-Alphalist"/>
        <w:numPr>
          <w:ilvl w:val="0"/>
          <w:numId w:val="3"/>
        </w:numPr>
        <w:ind w:left="1872" w:hanging="454"/>
      </w:pPr>
      <w:proofErr w:type="gramStart"/>
      <w:r w:rsidRPr="008B1CD7">
        <w:t>the</w:t>
      </w:r>
      <w:proofErr w:type="gramEnd"/>
      <w:r w:rsidRPr="008B1CD7">
        <w:t xml:space="preserve"> maximum towing capacity</w:t>
      </w:r>
      <w:r w:rsidRPr="0062210F">
        <w:rPr>
          <w:i/>
        </w:rPr>
        <w:t xml:space="preserve"> </w:t>
      </w:r>
      <w:r w:rsidRPr="00271DFD">
        <w:t>in kg (i.e. the</w:t>
      </w:r>
      <w:r w:rsidRPr="0062210F">
        <w:rPr>
          <w:i/>
        </w:rPr>
        <w:t xml:space="preserve"> ‘Aggregate Trailer Mass</w:t>
      </w:r>
      <w:r w:rsidR="00742BD9" w:rsidRPr="0062210F">
        <w:rPr>
          <w:i/>
        </w:rPr>
        <w:t xml:space="preserve"> (ATM)</w:t>
      </w:r>
      <w:r w:rsidRPr="0062210F">
        <w:rPr>
          <w:i/>
        </w:rPr>
        <w:t>’</w:t>
      </w:r>
      <w:r w:rsidRPr="008B1CD7">
        <w:t xml:space="preserve"> for which </w:t>
      </w:r>
      <w:r>
        <w:t>the vehicle is designed)</w:t>
      </w:r>
      <w:r w:rsidR="00FD47B4">
        <w:t>.</w:t>
      </w:r>
    </w:p>
    <w:p w14:paraId="6735205A" w14:textId="24B9C6FD" w:rsidR="00523064" w:rsidRPr="00523064" w:rsidRDefault="0019205F" w:rsidP="004D585B">
      <w:pPr>
        <w:pStyle w:val="Subsubsubclause"/>
        <w:keepLines/>
      </w:pPr>
      <w:r>
        <w:t>All the information required on the ‘Vehicle Plate’</w:t>
      </w:r>
      <w:r w:rsidR="006229A9">
        <w:t>,</w:t>
      </w:r>
      <w:r w:rsidR="006229A9" w:rsidRPr="006229A9">
        <w:t xml:space="preserve"> </w:t>
      </w:r>
      <w:r w:rsidR="006229A9">
        <w:t xml:space="preserve">including any additional information required under clause </w:t>
      </w:r>
      <w:r w:rsidR="00036B54">
        <w:t>7</w:t>
      </w:r>
      <w:r w:rsidR="006229A9">
        <w:t>.2 below,</w:t>
      </w:r>
      <w:r>
        <w:t xml:space="preserve"> must be </w:t>
      </w:r>
      <w:r w:rsidRPr="000B3570">
        <w:t xml:space="preserve">in Latin alphabet </w:t>
      </w:r>
      <w:r w:rsidR="00667EE0">
        <w:t>letters</w:t>
      </w:r>
      <w:r w:rsidR="00B027E0">
        <w:t xml:space="preserve">, </w:t>
      </w:r>
      <w:r w:rsidR="00637310">
        <w:t xml:space="preserve">Arabic </w:t>
      </w:r>
      <w:r>
        <w:t>numerals</w:t>
      </w:r>
      <w:r w:rsidR="00B027E0">
        <w:t xml:space="preserve">, </w:t>
      </w:r>
      <w:r w:rsidR="00B027E0" w:rsidRPr="006F6CD4">
        <w:t>or a combination of these</w:t>
      </w:r>
      <w:r>
        <w:t xml:space="preserve"> (as applicable), </w:t>
      </w:r>
      <w:r w:rsidR="008617E6">
        <w:t xml:space="preserve">all </w:t>
      </w:r>
      <w:r>
        <w:t>at least 2.5 mm in height.</w:t>
      </w:r>
      <w:r w:rsidR="00BC3D42">
        <w:t xml:space="preserve">  </w:t>
      </w:r>
      <w:r w:rsidR="00523064">
        <w:t xml:space="preserve">All </w:t>
      </w:r>
      <w:r w:rsidR="00667EE0">
        <w:t>letters</w:t>
      </w:r>
      <w:r w:rsidR="00523064">
        <w:t xml:space="preserve"> must be uppercase/block letters.</w:t>
      </w:r>
    </w:p>
    <w:p w14:paraId="7C26FE53" w14:textId="3AE1FA55" w:rsidR="0019205F" w:rsidRDefault="0019205F" w:rsidP="0019205F">
      <w:pPr>
        <w:pStyle w:val="Subsubsubclause"/>
      </w:pPr>
      <w:r>
        <w:t xml:space="preserve">Where a self-adhesive label is used </w:t>
      </w:r>
      <w:r w:rsidR="0064592C">
        <w:t>for</w:t>
      </w:r>
      <w:r>
        <w:t xml:space="preserve"> the ‘Vehicle Plate’, </w:t>
      </w:r>
      <w:r w:rsidR="00523064">
        <w:t xml:space="preserve">it must be </w:t>
      </w:r>
      <w:r w:rsidR="00523064" w:rsidRPr="008B1CD7">
        <w:t>tamper evident</w:t>
      </w:r>
      <w:r w:rsidR="00951E09">
        <w:t>,</w:t>
      </w:r>
      <w:r w:rsidR="00951E09" w:rsidRPr="00951E09">
        <w:t xml:space="preserve"> </w:t>
      </w:r>
      <w:r w:rsidR="00951E09" w:rsidRPr="008B1CD7">
        <w:t>fraud resistant</w:t>
      </w:r>
      <w:r w:rsidR="00951E09">
        <w:t>,</w:t>
      </w:r>
      <w:r w:rsidR="00523064">
        <w:t xml:space="preserve"> </w:t>
      </w:r>
      <w:r w:rsidR="00523064" w:rsidRPr="008B1CD7">
        <w:t xml:space="preserve">and self-destructive </w:t>
      </w:r>
      <w:r w:rsidR="00D636A0">
        <w:t>(</w:t>
      </w:r>
      <w:r w:rsidR="00973F3B">
        <w:t>e.g</w:t>
      </w:r>
      <w:r w:rsidR="00D636A0">
        <w:t xml:space="preserve">. self-voiding) </w:t>
      </w:r>
      <w:r w:rsidR="00523064" w:rsidRPr="008B1CD7">
        <w:t>in case there is an attempt to remove the label</w:t>
      </w:r>
      <w:r w:rsidR="00A93DDF">
        <w:t>;</w:t>
      </w:r>
      <w:r w:rsidR="00523064">
        <w:t xml:space="preserve"> and </w:t>
      </w:r>
      <w:r>
        <w:t>all the required information</w:t>
      </w:r>
      <w:r w:rsidR="006229A9">
        <w:t>,</w:t>
      </w:r>
      <w:r w:rsidR="006229A9" w:rsidRPr="006229A9">
        <w:t xml:space="preserve"> </w:t>
      </w:r>
      <w:r w:rsidR="006229A9">
        <w:t>including any additional inf</w:t>
      </w:r>
      <w:r w:rsidR="00036B54">
        <w:t>ormation required under clause 7</w:t>
      </w:r>
      <w:r w:rsidR="006229A9">
        <w:t xml:space="preserve">.2 below, </w:t>
      </w:r>
      <w:r>
        <w:t xml:space="preserve">must be </w:t>
      </w:r>
      <w:r w:rsidRPr="008B1CD7">
        <w:t>printed indelibly on</w:t>
      </w:r>
      <w:r>
        <w:t xml:space="preserve"> the label</w:t>
      </w:r>
      <w:r w:rsidR="00523064">
        <w:t>.</w:t>
      </w:r>
    </w:p>
    <w:p w14:paraId="7EF7A9FD" w14:textId="77777777" w:rsidR="0019205F" w:rsidRPr="000B3570" w:rsidRDefault="0019205F" w:rsidP="0019205F">
      <w:pPr>
        <w:pStyle w:val="Subsubsubclause"/>
      </w:pPr>
      <w:r>
        <w:t xml:space="preserve">Where a metal plate is used </w:t>
      </w:r>
      <w:r w:rsidR="0064592C">
        <w:t>for</w:t>
      </w:r>
      <w:r>
        <w:t xml:space="preserve"> the ‘Vehicle Plate’, </w:t>
      </w:r>
      <w:r w:rsidR="00523064">
        <w:t>it must be welded, riveted or otherwise permanently affixed to the vehicle</w:t>
      </w:r>
      <w:r w:rsidR="00A93DDF">
        <w:t>;</w:t>
      </w:r>
      <w:r w:rsidR="00523064">
        <w:t xml:space="preserve"> and </w:t>
      </w:r>
      <w:r>
        <w:t>all the required information</w:t>
      </w:r>
      <w:r w:rsidR="006229A9">
        <w:t>,</w:t>
      </w:r>
      <w:r w:rsidR="006229A9" w:rsidRPr="006229A9">
        <w:t xml:space="preserve"> </w:t>
      </w:r>
      <w:r w:rsidR="006229A9">
        <w:t>including any additional inf</w:t>
      </w:r>
      <w:r w:rsidR="00036B54">
        <w:t>ormation required under clause 7</w:t>
      </w:r>
      <w:r w:rsidR="006229A9">
        <w:t xml:space="preserve">.2 below, </w:t>
      </w:r>
      <w:r>
        <w:t xml:space="preserve">must be </w:t>
      </w:r>
      <w:r w:rsidR="00221CBA">
        <w:t xml:space="preserve">embossed, indented, etched, </w:t>
      </w:r>
      <w:r w:rsidRPr="008B1CD7">
        <w:t xml:space="preserve">engraved </w:t>
      </w:r>
      <w:r w:rsidR="00221CBA">
        <w:t xml:space="preserve">or otherwise printed indelibly </w:t>
      </w:r>
      <w:r w:rsidRPr="008B1CD7">
        <w:t>on</w:t>
      </w:r>
      <w:r>
        <w:t xml:space="preserve"> the plate.</w:t>
      </w:r>
    </w:p>
    <w:p w14:paraId="7E414837" w14:textId="693F60CC" w:rsidR="0019205F" w:rsidRDefault="00A3178A" w:rsidP="0019205F">
      <w:pPr>
        <w:pStyle w:val="Subsubsubclause"/>
      </w:pPr>
      <w:r>
        <w:t>Further</w:t>
      </w:r>
      <w:r w:rsidR="0019205F" w:rsidRPr="006F6CD4">
        <w:t xml:space="preserve"> information may be included </w:t>
      </w:r>
      <w:r w:rsidR="0019205F">
        <w:t xml:space="preserve">on the ‘Vehicle Plate’ </w:t>
      </w:r>
      <w:r w:rsidR="0019205F" w:rsidRPr="006F6CD4">
        <w:t xml:space="preserve">at the discretion of the </w:t>
      </w:r>
      <w:r w:rsidR="0019205F" w:rsidRPr="00220616">
        <w:rPr>
          <w:i/>
        </w:rPr>
        <w:t>‘Manufacturer’</w:t>
      </w:r>
      <w:r w:rsidR="0019205F" w:rsidRPr="006F6CD4">
        <w:t>.</w:t>
      </w:r>
    </w:p>
    <w:p w14:paraId="30A53D91" w14:textId="45E0A926" w:rsidR="00D8187A" w:rsidRDefault="00D8187A" w:rsidP="00D8187A">
      <w:pPr>
        <w:pStyle w:val="Subsubsubclause"/>
      </w:pPr>
      <w:r>
        <w:t xml:space="preserve">The </w:t>
      </w:r>
      <w:r w:rsidRPr="00423C72">
        <w:rPr>
          <w:i/>
        </w:rPr>
        <w:t>‘Vehicle Make’</w:t>
      </w:r>
      <w:r>
        <w:t xml:space="preserve"> referred to in part (a) of clause 7.1.1 above may be included on its own</w:t>
      </w:r>
      <w:r w:rsidR="00766825">
        <w:t>,</w:t>
      </w:r>
      <w:r>
        <w:t xml:space="preserve"> or as a part of a trading name or business name associated with the </w:t>
      </w:r>
      <w:r w:rsidR="00B960E1" w:rsidRPr="00D8187A">
        <w:rPr>
          <w:i/>
        </w:rPr>
        <w:t>‘Manufacturer’</w:t>
      </w:r>
      <w:r w:rsidR="00B960E1" w:rsidRPr="00B960E1">
        <w:t xml:space="preserve">, </w:t>
      </w:r>
      <w:r w:rsidR="00B960E1">
        <w:t>including for example the name of the production facility</w:t>
      </w:r>
      <w:r>
        <w:t>.</w:t>
      </w:r>
    </w:p>
    <w:p w14:paraId="008FE143" w14:textId="20D31A0A" w:rsidR="00AB4DC8" w:rsidRDefault="00AB4DC8" w:rsidP="00AB4DC8">
      <w:pPr>
        <w:pStyle w:val="Subsubsubclause"/>
      </w:pPr>
      <w:r>
        <w:t>In the case of a</w:t>
      </w:r>
      <w:r w:rsidR="000B3F1F">
        <w:t xml:space="preserve"> </w:t>
      </w:r>
      <w:r>
        <w:t xml:space="preserve">vehicle subject to a second stage of manufacture, </w:t>
      </w:r>
      <w:r w:rsidR="004017A7">
        <w:t>where the modifications do not affect any of the additional information required on the ‘Vehicle Plate’</w:t>
      </w:r>
      <w:r w:rsidR="00144316">
        <w:t xml:space="preserve">, </w:t>
      </w:r>
      <w:r w:rsidR="00B05C8D" w:rsidRPr="00D46B8A">
        <w:t>the</w:t>
      </w:r>
      <w:r w:rsidR="00B05C8D">
        <w:t xml:space="preserve"> name of the </w:t>
      </w:r>
      <w:r w:rsidR="00B05C8D" w:rsidRPr="00B05C8D">
        <w:rPr>
          <w:i/>
        </w:rPr>
        <w:t>‘Manufacturer’</w:t>
      </w:r>
      <w:r w:rsidR="00B05C8D">
        <w:t xml:space="preserve"> or </w:t>
      </w:r>
      <w:r>
        <w:t xml:space="preserve">the </w:t>
      </w:r>
      <w:r w:rsidR="00341CF6">
        <w:rPr>
          <w:i/>
        </w:rPr>
        <w:t>‘Vehicle </w:t>
      </w:r>
      <w:r w:rsidRPr="00423C72">
        <w:rPr>
          <w:i/>
        </w:rPr>
        <w:t>Make’</w:t>
      </w:r>
      <w:r>
        <w:t xml:space="preserve"> of the first-stage vehicle shall be de</w:t>
      </w:r>
      <w:r w:rsidR="0033507B">
        <w:t xml:space="preserve">emed sufficient to satisfy part </w:t>
      </w:r>
      <w:r>
        <w:t>(a) of clause 7.1.1 above</w:t>
      </w:r>
      <w:r w:rsidR="005616A6">
        <w:t>.</w:t>
      </w:r>
    </w:p>
    <w:p w14:paraId="297C692E" w14:textId="77777777" w:rsidR="00A61088" w:rsidRDefault="00A61088" w:rsidP="00D8187A">
      <w:pPr>
        <w:pStyle w:val="Subclause"/>
        <w:pageBreakBefore/>
        <w:rPr>
          <w:b/>
        </w:rPr>
      </w:pPr>
      <w:r w:rsidRPr="00A61088">
        <w:rPr>
          <w:b/>
        </w:rPr>
        <w:lastRenderedPageBreak/>
        <w:t xml:space="preserve">Additional requirements for particular </w:t>
      </w:r>
      <w:r w:rsidR="006229A9">
        <w:rPr>
          <w:b/>
        </w:rPr>
        <w:t xml:space="preserve">types of </w:t>
      </w:r>
      <w:r w:rsidRPr="00A61088">
        <w:rPr>
          <w:b/>
        </w:rPr>
        <w:t xml:space="preserve">heavy </w:t>
      </w:r>
      <w:r w:rsidR="006229A9">
        <w:rPr>
          <w:b/>
        </w:rPr>
        <w:t xml:space="preserve">omnibuses </w:t>
      </w:r>
    </w:p>
    <w:p w14:paraId="24DBE5A6" w14:textId="3BD82D4C" w:rsidR="00AB2DDF" w:rsidRPr="00AB2DDF" w:rsidRDefault="00AB2DDF" w:rsidP="0077054A">
      <w:pPr>
        <w:pStyle w:val="Subsubclause"/>
      </w:pPr>
      <w:proofErr w:type="gramStart"/>
      <w:r w:rsidRPr="00AB2DDF">
        <w:t xml:space="preserve">In the case of </w:t>
      </w:r>
      <w:r>
        <w:t>a</w:t>
      </w:r>
      <w:r w:rsidRPr="00AB2DDF">
        <w:t xml:space="preserve"> </w:t>
      </w:r>
      <w:r>
        <w:t>category</w:t>
      </w:r>
      <w:r w:rsidRPr="00AB2DDF">
        <w:t xml:space="preserve"> ME vehicle </w:t>
      </w:r>
      <w:r w:rsidR="006229A9">
        <w:t>with a single-deck</w:t>
      </w:r>
      <w:r w:rsidR="005252E3">
        <w:t xml:space="preserve"> only</w:t>
      </w:r>
      <w:r w:rsidR="006229A9">
        <w:t>, and which</w:t>
      </w:r>
      <w:r w:rsidR="0077054A">
        <w:t xml:space="preserve"> is </w:t>
      </w:r>
      <w:r w:rsidRPr="00AB2DDF">
        <w:t>constructed for the carri</w:t>
      </w:r>
      <w:r w:rsidR="005252E3">
        <w:t>age of more than 16 passengers (</w:t>
      </w:r>
      <w:r w:rsidRPr="00AB2DDF">
        <w:t>whether seated or standing</w:t>
      </w:r>
      <w:r w:rsidR="005252E3">
        <w:t>)</w:t>
      </w:r>
      <w:r w:rsidRPr="00AB2DDF">
        <w:t xml:space="preserve"> in addition to the driver and crew, </w:t>
      </w:r>
      <w:r w:rsidR="0077054A">
        <w:t xml:space="preserve">but </w:t>
      </w:r>
      <w:r>
        <w:t xml:space="preserve">is </w:t>
      </w:r>
      <w:r w:rsidRPr="00AB2DDF">
        <w:t xml:space="preserve">not certified to </w:t>
      </w:r>
      <w:r>
        <w:t>the Australian Design Rule</w:t>
      </w:r>
      <w:r w:rsidRPr="00AB2DDF">
        <w:t xml:space="preserve"> 59/…</w:t>
      </w:r>
      <w:r w:rsidR="007A1E28">
        <w:rPr>
          <w:rStyle w:val="FootnoteReference"/>
        </w:rPr>
        <w:footnoteReference w:id="1"/>
      </w:r>
      <w:r w:rsidRPr="00AB2DDF">
        <w:t xml:space="preserve"> </w:t>
      </w:r>
      <w:r w:rsidR="0077054A" w:rsidRPr="008B1CD7">
        <w:t>–</w:t>
      </w:r>
      <w:r w:rsidR="0077054A">
        <w:t xml:space="preserve"> </w:t>
      </w:r>
      <w:r w:rsidRPr="00AB2DDF">
        <w:t>Standards For Omnibu</w:t>
      </w:r>
      <w:r>
        <w:t>s Rollover Strength</w:t>
      </w:r>
      <w:r w:rsidR="006229A9">
        <w:t>;</w:t>
      </w:r>
      <w:r>
        <w:t xml:space="preserve"> </w:t>
      </w:r>
      <w:r w:rsidR="006229A9">
        <w:t xml:space="preserve">the information on the ‘Vehicle Plate’ affixed according to clause </w:t>
      </w:r>
      <w:r w:rsidR="00036B54">
        <w:t>7</w:t>
      </w:r>
      <w:r w:rsidR="006229A9">
        <w:t>.1 above must also include t</w:t>
      </w:r>
      <w:r w:rsidR="006229A9" w:rsidRPr="006448C4">
        <w:t>he words</w:t>
      </w:r>
      <w:r>
        <w:t xml:space="preserve"> “</w:t>
      </w:r>
      <w:r w:rsidRPr="00AB2DDF">
        <w:t>THIS VEHICLE DOES NOT COMPLY WITH ADR</w:t>
      </w:r>
      <w:r>
        <w:t xml:space="preserve"> 59/…</w:t>
      </w:r>
      <w:proofErr w:type="gramEnd"/>
      <w:r>
        <w:t xml:space="preserve"> OMNIBUS ROLLOVER STRENGTH”</w:t>
      </w:r>
      <w:r w:rsidRPr="00AB2DDF">
        <w:t>.</w:t>
      </w:r>
    </w:p>
    <w:p w14:paraId="2305E647" w14:textId="77777777" w:rsidR="00D63C09" w:rsidRPr="00D63C09" w:rsidRDefault="004A7473" w:rsidP="00D8187A">
      <w:pPr>
        <w:pStyle w:val="Subclause"/>
        <w:rPr>
          <w:b/>
        </w:rPr>
      </w:pPr>
      <w:r>
        <w:rPr>
          <w:b/>
        </w:rPr>
        <w:t>Trailers</w:t>
      </w:r>
    </w:p>
    <w:p w14:paraId="345FE485" w14:textId="77777777" w:rsidR="0071735E" w:rsidRDefault="00FD47B4" w:rsidP="00D63C09">
      <w:pPr>
        <w:pStyle w:val="Subsubclause"/>
      </w:pPr>
      <w:r>
        <w:t>O</w:t>
      </w:r>
      <w:r w:rsidR="00474CB6" w:rsidRPr="006F6CD4">
        <w:t>n every</w:t>
      </w:r>
      <w:r w:rsidR="0071735E" w:rsidRPr="006F6CD4">
        <w:t xml:space="preserve"> </w:t>
      </w:r>
      <w:r w:rsidR="004A7473">
        <w:t>category TA, TB, TC or TD</w:t>
      </w:r>
      <w:r w:rsidR="0071735E" w:rsidRPr="006F6CD4">
        <w:t xml:space="preserve"> vehicle</w:t>
      </w:r>
      <w:r w:rsidR="001222DA">
        <w:t>,</w:t>
      </w:r>
      <w:r w:rsidR="00AA1214" w:rsidRPr="006F6CD4">
        <w:t xml:space="preserve"> </w:t>
      </w:r>
      <w:r w:rsidR="0071735E" w:rsidRPr="006F6CD4">
        <w:t xml:space="preserve">there </w:t>
      </w:r>
      <w:r w:rsidR="003B4CA5" w:rsidRPr="006F6CD4">
        <w:t xml:space="preserve">must be </w:t>
      </w:r>
      <w:r w:rsidR="00D41231">
        <w:t>firmly</w:t>
      </w:r>
      <w:r w:rsidR="00C430A9">
        <w:t xml:space="preserve"> </w:t>
      </w:r>
      <w:r w:rsidR="005E0567">
        <w:t>affixed</w:t>
      </w:r>
      <w:r w:rsidR="00A77DCB">
        <w:t xml:space="preserve"> </w:t>
      </w:r>
      <w:r w:rsidR="00A77DCB" w:rsidRPr="00F31E33">
        <w:t>in a readily visible position</w:t>
      </w:r>
      <w:r w:rsidR="00A77DCB">
        <w:t>,</w:t>
      </w:r>
      <w:r w:rsidR="005E0567">
        <w:t xml:space="preserve"> </w:t>
      </w:r>
      <w:r w:rsidR="003D2650">
        <w:t xml:space="preserve">a </w:t>
      </w:r>
      <w:r w:rsidR="006448C4">
        <w:t>‘Vehicle Plate’</w:t>
      </w:r>
      <w:r w:rsidR="00CF5274">
        <w:t xml:space="preserve"> in the form of </w:t>
      </w:r>
      <w:r w:rsidR="008B6A11">
        <w:t xml:space="preserve">a </w:t>
      </w:r>
      <w:r w:rsidR="00CF5274">
        <w:t xml:space="preserve">durable metal plate, and </w:t>
      </w:r>
      <w:r w:rsidR="006448C4">
        <w:t>displaying</w:t>
      </w:r>
      <w:r w:rsidR="00CE64FE">
        <w:t xml:space="preserve"> at least the following</w:t>
      </w:r>
      <w:r w:rsidR="00546A47">
        <w:t xml:space="preserve"> information</w:t>
      </w:r>
      <w:r w:rsidR="0071735E" w:rsidRPr="006F6CD4">
        <w:t>:</w:t>
      </w:r>
    </w:p>
    <w:p w14:paraId="5DCE9B08" w14:textId="07C5CFED" w:rsidR="00FD47B4" w:rsidRDefault="00B05C8D" w:rsidP="00D572C2">
      <w:pPr>
        <w:pStyle w:val="Clause-Alphalist"/>
        <w:numPr>
          <w:ilvl w:val="0"/>
          <w:numId w:val="10"/>
        </w:numPr>
      </w:pPr>
      <w:r w:rsidRPr="00D46B8A">
        <w:t>the</w:t>
      </w:r>
      <w:r>
        <w:t xml:space="preserve"> name of the </w:t>
      </w:r>
      <w:r w:rsidRPr="00B05C8D">
        <w:rPr>
          <w:i/>
        </w:rPr>
        <w:t>‘Manufacturer’</w:t>
      </w:r>
      <w:r>
        <w:t xml:space="preserve"> or </w:t>
      </w:r>
      <w:r w:rsidR="007106AB" w:rsidRPr="00D46B8A">
        <w:t xml:space="preserve">the </w:t>
      </w:r>
      <w:r w:rsidR="007106AB" w:rsidRPr="00423C72">
        <w:rPr>
          <w:i/>
        </w:rPr>
        <w:t>‘Vehicle Make’</w:t>
      </w:r>
      <w:r w:rsidR="00FD47B4">
        <w:t>;</w:t>
      </w:r>
    </w:p>
    <w:p w14:paraId="5A1E5E24" w14:textId="77777777" w:rsidR="00FD47B4" w:rsidRDefault="00FD47B4" w:rsidP="0062210F">
      <w:pPr>
        <w:pStyle w:val="Clause-Alphalist"/>
        <w:numPr>
          <w:ilvl w:val="0"/>
          <w:numId w:val="3"/>
        </w:numPr>
      </w:pPr>
      <w:r>
        <w:t xml:space="preserve">the </w:t>
      </w:r>
      <w:r w:rsidRPr="0062210F">
        <w:rPr>
          <w:i/>
        </w:rPr>
        <w:t>‘VIN’</w:t>
      </w:r>
      <w:r>
        <w:t>;</w:t>
      </w:r>
    </w:p>
    <w:p w14:paraId="5A0E7BEB" w14:textId="77777777" w:rsidR="00940B66" w:rsidRDefault="00940B66" w:rsidP="0062210F">
      <w:pPr>
        <w:pStyle w:val="Clause-Alphalist"/>
        <w:numPr>
          <w:ilvl w:val="0"/>
          <w:numId w:val="3"/>
        </w:numPr>
      </w:pPr>
      <w:r>
        <w:t xml:space="preserve">the </w:t>
      </w:r>
      <w:r w:rsidRPr="0009491A">
        <w:rPr>
          <w:i/>
        </w:rPr>
        <w:t>‘Aggregate Trailer Mass (ATM)’</w:t>
      </w:r>
      <w:r>
        <w:t xml:space="preserve"> in kg;</w:t>
      </w:r>
      <w:r w:rsidR="00546A47">
        <w:t xml:space="preserve"> and</w:t>
      </w:r>
    </w:p>
    <w:p w14:paraId="78B4D556" w14:textId="77777777" w:rsidR="00940B66" w:rsidRDefault="00940B66" w:rsidP="0062210F">
      <w:pPr>
        <w:pStyle w:val="Clause-Alphalist"/>
        <w:numPr>
          <w:ilvl w:val="0"/>
          <w:numId w:val="3"/>
        </w:numPr>
      </w:pPr>
      <w:proofErr w:type="gramStart"/>
      <w:r>
        <w:t>the</w:t>
      </w:r>
      <w:proofErr w:type="gramEnd"/>
      <w:r>
        <w:t xml:space="preserve"> </w:t>
      </w:r>
      <w:r w:rsidRPr="0009491A">
        <w:rPr>
          <w:i/>
        </w:rPr>
        <w:t>‘Gross Trailer Mass (GTM)’</w:t>
      </w:r>
      <w:r w:rsidR="00546A47">
        <w:t xml:space="preserve"> in kg.</w:t>
      </w:r>
    </w:p>
    <w:p w14:paraId="4C6944D2" w14:textId="3481D80E" w:rsidR="005E0567" w:rsidRPr="00523064" w:rsidRDefault="005E0567" w:rsidP="005E0567">
      <w:pPr>
        <w:pStyle w:val="Subsubsubclause"/>
      </w:pPr>
      <w:r>
        <w:t>All the information required on the ‘Vehicle Plate’</w:t>
      </w:r>
      <w:r w:rsidR="00A3178A">
        <w:t xml:space="preserve">, including any additional information required under clause </w:t>
      </w:r>
      <w:r w:rsidR="00036B54">
        <w:t>7</w:t>
      </w:r>
      <w:r w:rsidR="00A3178A">
        <w:t>.</w:t>
      </w:r>
      <w:r w:rsidR="006229A9">
        <w:t>4</w:t>
      </w:r>
      <w:r w:rsidR="00A3178A">
        <w:t xml:space="preserve"> below,</w:t>
      </w:r>
      <w:r>
        <w:t xml:space="preserve"> </w:t>
      </w:r>
      <w:r w:rsidR="00A77DCB">
        <w:t xml:space="preserve">must be </w:t>
      </w:r>
      <w:r w:rsidR="00A77DCB" w:rsidRPr="000B3570">
        <w:t xml:space="preserve">in Latin alphabet </w:t>
      </w:r>
      <w:r w:rsidR="00667EE0">
        <w:t>letters</w:t>
      </w:r>
      <w:r w:rsidR="00A77DCB">
        <w:t xml:space="preserve">, Arabic numerals, </w:t>
      </w:r>
      <w:r w:rsidR="00A77DCB" w:rsidRPr="006F6CD4">
        <w:t>or a combination of these</w:t>
      </w:r>
      <w:r w:rsidR="00A77DCB">
        <w:t xml:space="preserve"> (as applicable), all</w:t>
      </w:r>
      <w:r w:rsidR="000477FB">
        <w:t xml:space="preserve"> </w:t>
      </w:r>
      <w:r>
        <w:t xml:space="preserve">at least 2.5 mm in height.  All </w:t>
      </w:r>
      <w:r w:rsidR="00667EE0">
        <w:t>letters</w:t>
      </w:r>
      <w:r>
        <w:t xml:space="preserve"> must be uppercase/block letters.</w:t>
      </w:r>
    </w:p>
    <w:p w14:paraId="7D81FA70" w14:textId="77777777" w:rsidR="005E0567" w:rsidRPr="000B3570" w:rsidRDefault="005E0567" w:rsidP="002D093C">
      <w:pPr>
        <w:pStyle w:val="Subsubsubclause"/>
        <w:keepLines/>
      </w:pPr>
      <w:r>
        <w:t xml:space="preserve">The ‘Vehicle Plate’ must be welded, riveted or otherwise permanently affixed to the </w:t>
      </w:r>
      <w:r w:rsidR="00D94793">
        <w:t>vehicle</w:t>
      </w:r>
      <w:r>
        <w:t>; and all the required information</w:t>
      </w:r>
      <w:r w:rsidR="00A3178A">
        <w:t xml:space="preserve">, including any additional information required under clause </w:t>
      </w:r>
      <w:r w:rsidR="00036B54">
        <w:t>7</w:t>
      </w:r>
      <w:r w:rsidR="00A3178A">
        <w:t>.</w:t>
      </w:r>
      <w:r w:rsidR="00271708">
        <w:t>4</w:t>
      </w:r>
      <w:r w:rsidR="00A3178A">
        <w:t xml:space="preserve"> below,</w:t>
      </w:r>
      <w:r>
        <w:t xml:space="preserve"> must be embossed, indented, etched, </w:t>
      </w:r>
      <w:r w:rsidRPr="008B1CD7">
        <w:t xml:space="preserve">engraved </w:t>
      </w:r>
      <w:r>
        <w:t xml:space="preserve">or otherwise printed indelibly </w:t>
      </w:r>
      <w:r w:rsidRPr="008B1CD7">
        <w:t>on</w:t>
      </w:r>
      <w:r>
        <w:t xml:space="preserve"> the plate.</w:t>
      </w:r>
    </w:p>
    <w:p w14:paraId="6C8A9D56" w14:textId="77777777" w:rsidR="00C004CC" w:rsidRDefault="00A3178A" w:rsidP="00C004CC">
      <w:pPr>
        <w:pStyle w:val="Subsubsubclause"/>
      </w:pPr>
      <w:r>
        <w:t>Further</w:t>
      </w:r>
      <w:r w:rsidR="005E0567" w:rsidRPr="006F6CD4">
        <w:t xml:space="preserve"> information may be included </w:t>
      </w:r>
      <w:r w:rsidR="005E0567">
        <w:t xml:space="preserve">on the ‘Vehicle Plate’ </w:t>
      </w:r>
      <w:r w:rsidR="005E0567" w:rsidRPr="006F6CD4">
        <w:t xml:space="preserve">at the discretion of the </w:t>
      </w:r>
      <w:r w:rsidR="005E0567" w:rsidRPr="00220616">
        <w:rPr>
          <w:i/>
        </w:rPr>
        <w:t>‘Manufacturer’</w:t>
      </w:r>
      <w:r w:rsidR="005E0567" w:rsidRPr="006F6CD4">
        <w:t>.</w:t>
      </w:r>
    </w:p>
    <w:p w14:paraId="0DC5FC26" w14:textId="520C7669" w:rsidR="00D8187A" w:rsidRDefault="00D8187A" w:rsidP="00D8187A">
      <w:pPr>
        <w:pStyle w:val="Subsubsubclause"/>
      </w:pPr>
      <w:r>
        <w:t xml:space="preserve">The </w:t>
      </w:r>
      <w:r w:rsidRPr="00423C72">
        <w:rPr>
          <w:i/>
        </w:rPr>
        <w:t>‘Vehicle Make’</w:t>
      </w:r>
      <w:r>
        <w:t xml:space="preserve"> referred to in part (a) of clause 7.3.1 above may be included on its own</w:t>
      </w:r>
      <w:r w:rsidR="00766825">
        <w:t>,</w:t>
      </w:r>
      <w:r>
        <w:t xml:space="preserve"> or as a part of a trading name or business name associated with the </w:t>
      </w:r>
      <w:r w:rsidRPr="00D8187A">
        <w:rPr>
          <w:i/>
        </w:rPr>
        <w:t>‘Manufacturer’</w:t>
      </w:r>
      <w:r w:rsidR="00B960E1" w:rsidRPr="00B960E1">
        <w:t xml:space="preserve">, </w:t>
      </w:r>
      <w:r w:rsidR="00B960E1">
        <w:t>including for example the name of the production facility</w:t>
      </w:r>
      <w:r>
        <w:t>.</w:t>
      </w:r>
    </w:p>
    <w:p w14:paraId="451AED1A" w14:textId="5D7138D4" w:rsidR="00C004CC" w:rsidRPr="00C004CC" w:rsidRDefault="00C004CC" w:rsidP="00C004CC">
      <w:pPr>
        <w:pStyle w:val="Subsubsubclause"/>
      </w:pPr>
      <w:r>
        <w:t xml:space="preserve">In the case of a vehicle subject to a second stage of manufacture, </w:t>
      </w:r>
      <w:r w:rsidR="00211DB0">
        <w:t xml:space="preserve">where the modifications do not affect any of the additional information required </w:t>
      </w:r>
      <w:r w:rsidR="0078785C">
        <w:t>on the ‘Vehicle Plate’</w:t>
      </w:r>
      <w:r w:rsidR="00211DB0">
        <w:t xml:space="preserve">, </w:t>
      </w:r>
      <w:r w:rsidR="00B05C8D" w:rsidRPr="00D46B8A">
        <w:t>the</w:t>
      </w:r>
      <w:r w:rsidR="00B05C8D">
        <w:t xml:space="preserve"> name of the </w:t>
      </w:r>
      <w:r w:rsidR="00B05C8D" w:rsidRPr="00B05C8D">
        <w:rPr>
          <w:i/>
        </w:rPr>
        <w:t>‘Manufacturer’</w:t>
      </w:r>
      <w:r w:rsidR="00B05C8D">
        <w:t xml:space="preserve"> or </w:t>
      </w:r>
      <w:r>
        <w:t xml:space="preserve">the </w:t>
      </w:r>
      <w:r w:rsidR="00F63F38">
        <w:rPr>
          <w:i/>
        </w:rPr>
        <w:t>‘Vehicle </w:t>
      </w:r>
      <w:r w:rsidRPr="00C004CC">
        <w:rPr>
          <w:i/>
        </w:rPr>
        <w:t>Make’</w:t>
      </w:r>
      <w:r>
        <w:t xml:space="preserve"> of the first-stage vehicle shall be deemed sufficient to satisfy p</w:t>
      </w:r>
      <w:r w:rsidR="0033507B">
        <w:t>art (a) of clause 7.3.1 above.</w:t>
      </w:r>
    </w:p>
    <w:p w14:paraId="642832FD" w14:textId="77777777" w:rsidR="005E0567" w:rsidRPr="005E0567" w:rsidRDefault="00A3178A" w:rsidP="00D8187A">
      <w:pPr>
        <w:pStyle w:val="Subclause"/>
        <w:pageBreakBefore/>
        <w:rPr>
          <w:b/>
        </w:rPr>
      </w:pPr>
      <w:r>
        <w:rPr>
          <w:b/>
        </w:rPr>
        <w:lastRenderedPageBreak/>
        <w:t>Additional</w:t>
      </w:r>
      <w:r w:rsidR="004A7473">
        <w:rPr>
          <w:b/>
        </w:rPr>
        <w:t xml:space="preserve"> </w:t>
      </w:r>
      <w:r w:rsidR="00577F2F">
        <w:rPr>
          <w:b/>
        </w:rPr>
        <w:t>requirements for p</w:t>
      </w:r>
      <w:r w:rsidR="005E0567" w:rsidRPr="005E0567">
        <w:rPr>
          <w:b/>
        </w:rPr>
        <w:t xml:space="preserve">articular </w:t>
      </w:r>
      <w:r w:rsidR="006229A9">
        <w:rPr>
          <w:b/>
        </w:rPr>
        <w:t xml:space="preserve">types of </w:t>
      </w:r>
      <w:r w:rsidR="004A7473">
        <w:rPr>
          <w:b/>
        </w:rPr>
        <w:t>trailers</w:t>
      </w:r>
    </w:p>
    <w:p w14:paraId="7539026D" w14:textId="77777777" w:rsidR="00D63C09" w:rsidRDefault="00044DF3" w:rsidP="005E0567">
      <w:pPr>
        <w:pStyle w:val="Subsubclause"/>
      </w:pPr>
      <w:r>
        <w:t>In the case of a</w:t>
      </w:r>
      <w:r w:rsidR="00DD0CCE">
        <w:t>ny</w:t>
      </w:r>
      <w:r>
        <w:t xml:space="preserve"> </w:t>
      </w:r>
      <w:r w:rsidRPr="008B1CD7">
        <w:t xml:space="preserve">trailer </w:t>
      </w:r>
      <w:r w:rsidR="00A4717C">
        <w:t>up to</w:t>
      </w:r>
      <w:r w:rsidRPr="008B1CD7">
        <w:t xml:space="preserve"> 4.5 tonnes ‘</w:t>
      </w:r>
      <w:r w:rsidR="00A4717C">
        <w:rPr>
          <w:i/>
        </w:rPr>
        <w:t>ATM</w:t>
      </w:r>
      <w:r w:rsidRPr="008B1CD7">
        <w:rPr>
          <w:i/>
        </w:rPr>
        <w:t>’</w:t>
      </w:r>
      <w:r>
        <w:t>,</w:t>
      </w:r>
      <w:r w:rsidRPr="008B1CD7">
        <w:t xml:space="preserve"> </w:t>
      </w:r>
      <w:r w:rsidR="00D145D7">
        <w:t xml:space="preserve">the information on </w:t>
      </w:r>
      <w:r>
        <w:t xml:space="preserve">the ‘Vehicle Plate’ </w:t>
      </w:r>
      <w:r w:rsidR="005E0567">
        <w:t xml:space="preserve">affixed according to clause </w:t>
      </w:r>
      <w:r w:rsidR="00036B54">
        <w:t>7</w:t>
      </w:r>
      <w:r w:rsidR="005E0567">
        <w:t>.</w:t>
      </w:r>
      <w:r w:rsidR="006229A9">
        <w:t>3</w:t>
      </w:r>
      <w:r w:rsidR="005E0567">
        <w:t xml:space="preserve"> above </w:t>
      </w:r>
      <w:r>
        <w:t xml:space="preserve">must also </w:t>
      </w:r>
      <w:r w:rsidR="00D145D7">
        <w:t>include</w:t>
      </w:r>
      <w:r>
        <w:t xml:space="preserve"> t</w:t>
      </w:r>
      <w:r w:rsidRPr="006448C4">
        <w:t xml:space="preserve">he </w:t>
      </w:r>
      <w:r w:rsidRPr="008B1CD7">
        <w:t>‘</w:t>
      </w:r>
      <w:r w:rsidRPr="008B1CD7">
        <w:rPr>
          <w:i/>
        </w:rPr>
        <w:t xml:space="preserve">Tare Mass’ </w:t>
      </w:r>
      <w:r w:rsidR="000E504C">
        <w:t xml:space="preserve">in </w:t>
      </w:r>
      <w:r>
        <w:t>kg.</w:t>
      </w:r>
    </w:p>
    <w:p w14:paraId="271F0CBB" w14:textId="7E0897EF" w:rsidR="00FD47B4" w:rsidRDefault="006448C4" w:rsidP="007839C6">
      <w:pPr>
        <w:pStyle w:val="Subsubclause"/>
      </w:pPr>
      <w:r>
        <w:t>In the case of a</w:t>
      </w:r>
      <w:r w:rsidR="007D3978">
        <w:t>ny</w:t>
      </w:r>
      <w:r>
        <w:t xml:space="preserve"> </w:t>
      </w:r>
      <w:r w:rsidRPr="008B1CD7">
        <w:t xml:space="preserve">trailer </w:t>
      </w:r>
      <w:r w:rsidR="00A4717C">
        <w:t>over</w:t>
      </w:r>
      <w:r w:rsidRPr="008B1CD7">
        <w:t xml:space="preserve"> 4.5 tonnes ‘</w:t>
      </w:r>
      <w:r w:rsidR="00A4717C">
        <w:rPr>
          <w:i/>
        </w:rPr>
        <w:t>ATM</w:t>
      </w:r>
      <w:r w:rsidRPr="008B1CD7">
        <w:rPr>
          <w:i/>
        </w:rPr>
        <w:t>’</w:t>
      </w:r>
      <w:r>
        <w:t xml:space="preserve">, </w:t>
      </w:r>
      <w:r w:rsidR="00D145D7">
        <w:t xml:space="preserve">the information on </w:t>
      </w:r>
      <w:r w:rsidR="005E0567">
        <w:t xml:space="preserve">the ‘Vehicle Plate’ affixed according to clause </w:t>
      </w:r>
      <w:r w:rsidR="00036B54">
        <w:t>7</w:t>
      </w:r>
      <w:r w:rsidR="005E0567">
        <w:t>.</w:t>
      </w:r>
      <w:r w:rsidR="006229A9">
        <w:t>3</w:t>
      </w:r>
      <w:r w:rsidR="005E0567">
        <w:t xml:space="preserve"> above</w:t>
      </w:r>
      <w:r>
        <w:t xml:space="preserve"> must </w:t>
      </w:r>
      <w:r w:rsidR="00D145D7">
        <w:t>also include</w:t>
      </w:r>
      <w:r>
        <w:t xml:space="preserve"> t</w:t>
      </w:r>
      <w:r w:rsidRPr="006448C4">
        <w:t>he words “</w:t>
      </w:r>
      <w:r w:rsidR="00B01C4E">
        <w:t xml:space="preserve">BRAKE </w:t>
      </w:r>
      <w:r w:rsidR="00962466">
        <w:t xml:space="preserve">SYSTEM COMPONENT </w:t>
      </w:r>
      <w:r w:rsidR="0048343D">
        <w:t xml:space="preserve">TYPE </w:t>
      </w:r>
      <w:r w:rsidR="005310EA">
        <w:t>APPROVAL</w:t>
      </w:r>
      <w:r w:rsidRPr="006448C4">
        <w:t xml:space="preserve"> NUMBERS”, followed by the </w:t>
      </w:r>
      <w:r w:rsidRPr="005310EA">
        <w:rPr>
          <w:i/>
        </w:rPr>
        <w:t>‘</w:t>
      </w:r>
      <w:r w:rsidR="005310EA" w:rsidRPr="005310EA">
        <w:rPr>
          <w:i/>
        </w:rPr>
        <w:t>C</w:t>
      </w:r>
      <w:r w:rsidR="0086050E">
        <w:rPr>
          <w:i/>
        </w:rPr>
        <w:t>omponent</w:t>
      </w:r>
      <w:r w:rsidR="005310EA" w:rsidRPr="005310EA">
        <w:rPr>
          <w:i/>
        </w:rPr>
        <w:t xml:space="preserve"> </w:t>
      </w:r>
      <w:r w:rsidR="0086050E">
        <w:rPr>
          <w:i/>
        </w:rPr>
        <w:t>Type</w:t>
      </w:r>
      <w:r w:rsidR="005310EA" w:rsidRPr="005310EA">
        <w:rPr>
          <w:i/>
        </w:rPr>
        <w:t xml:space="preserve"> </w:t>
      </w:r>
      <w:r w:rsidR="0086050E">
        <w:rPr>
          <w:i/>
        </w:rPr>
        <w:t xml:space="preserve">Approval Numbers </w:t>
      </w:r>
      <w:r w:rsidRPr="005310EA">
        <w:rPr>
          <w:i/>
        </w:rPr>
        <w:t>38/...’</w:t>
      </w:r>
      <w:r w:rsidRPr="006448C4">
        <w:t xml:space="preserve"> or where not applicable, “N/A”</w:t>
      </w:r>
      <w:r w:rsidR="000F0447">
        <w:t>.</w:t>
      </w:r>
    </w:p>
    <w:p w14:paraId="6D382298" w14:textId="77777777" w:rsidR="000F0447" w:rsidRDefault="000F0447" w:rsidP="006229A9">
      <w:pPr>
        <w:pStyle w:val="Subsubclause"/>
        <w:keepLines/>
      </w:pPr>
      <w:r>
        <w:t>In the case of a</w:t>
      </w:r>
      <w:r w:rsidR="007D3978">
        <w:t>ny</w:t>
      </w:r>
      <w:r>
        <w:t xml:space="preserve"> </w:t>
      </w:r>
      <w:r w:rsidRPr="008B1CD7">
        <w:t xml:space="preserve">trailer </w:t>
      </w:r>
      <w:r w:rsidR="00A4717C">
        <w:t>over</w:t>
      </w:r>
      <w:r w:rsidRPr="008B1CD7">
        <w:t xml:space="preserve"> 4.5 tonnes ‘</w:t>
      </w:r>
      <w:r w:rsidR="00A4717C">
        <w:rPr>
          <w:i/>
        </w:rPr>
        <w:t>ATM</w:t>
      </w:r>
      <w:r w:rsidRPr="008B1CD7">
        <w:rPr>
          <w:i/>
        </w:rPr>
        <w:t>’</w:t>
      </w:r>
      <w:r>
        <w:t xml:space="preserve"> and </w:t>
      </w:r>
      <w:r w:rsidRPr="008B1CD7">
        <w:t xml:space="preserve">not equipped with an </w:t>
      </w:r>
      <w:r w:rsidRPr="008B1CD7">
        <w:rPr>
          <w:i/>
        </w:rPr>
        <w:t>‘Antilock System’</w:t>
      </w:r>
      <w:r w:rsidRPr="008B1CD7">
        <w:t xml:space="preserve"> or a </w:t>
      </w:r>
      <w:r w:rsidRPr="008B1CD7">
        <w:rPr>
          <w:i/>
        </w:rPr>
        <w:t>‘Variable Proportioning Brake System’</w:t>
      </w:r>
      <w:r>
        <w:t xml:space="preserve">, </w:t>
      </w:r>
      <w:r w:rsidR="00D145D7">
        <w:t xml:space="preserve">the information on </w:t>
      </w:r>
      <w:r w:rsidR="005E0567">
        <w:t xml:space="preserve">the ‘Vehicle Plate’ affixed according to clause </w:t>
      </w:r>
      <w:r w:rsidR="00806102">
        <w:t>7</w:t>
      </w:r>
      <w:r w:rsidR="005E0567">
        <w:t>.</w:t>
      </w:r>
      <w:r w:rsidR="006229A9">
        <w:t>3</w:t>
      </w:r>
      <w:r w:rsidR="005E0567">
        <w:t xml:space="preserve"> above</w:t>
      </w:r>
      <w:r>
        <w:t xml:space="preserve"> must </w:t>
      </w:r>
      <w:r w:rsidR="00D145D7">
        <w:t>also include</w:t>
      </w:r>
      <w:r>
        <w:t xml:space="preserve"> t</w:t>
      </w:r>
      <w:r w:rsidRPr="006448C4">
        <w:t>he words</w:t>
      </w:r>
      <w:r>
        <w:t xml:space="preserve"> </w:t>
      </w:r>
      <w:r w:rsidRPr="008B1CD7">
        <w:t>“THIS VEHICLE IS NOT FITTED WITH ANTILOCK BRAKES O</w:t>
      </w:r>
      <w:r>
        <w:t>R VARIABLE PROPORTIONING BRAKES</w:t>
      </w:r>
      <w:r w:rsidRPr="008B1CD7">
        <w:t>”</w:t>
      </w:r>
      <w:r>
        <w:t>.</w:t>
      </w:r>
    </w:p>
    <w:p w14:paraId="1D94180F" w14:textId="77777777" w:rsidR="000F0447" w:rsidRPr="006F6CD4" w:rsidRDefault="000F0447" w:rsidP="002442A8">
      <w:pPr>
        <w:pStyle w:val="Subsubclause"/>
        <w:keepLines/>
      </w:pPr>
      <w:r>
        <w:t>In the case of a</w:t>
      </w:r>
      <w:r w:rsidR="007D3978">
        <w:t>ny</w:t>
      </w:r>
      <w:r>
        <w:t xml:space="preserve"> </w:t>
      </w:r>
      <w:r w:rsidRPr="008B1CD7">
        <w:t xml:space="preserve">trailer </w:t>
      </w:r>
      <w:r w:rsidR="00A4717C">
        <w:t>over</w:t>
      </w:r>
      <w:r w:rsidRPr="008B1CD7">
        <w:t xml:space="preserve"> 4.5 tonnes ‘</w:t>
      </w:r>
      <w:r w:rsidRPr="008B1CD7">
        <w:rPr>
          <w:i/>
        </w:rPr>
        <w:t>A</w:t>
      </w:r>
      <w:r w:rsidR="00A4717C">
        <w:rPr>
          <w:i/>
        </w:rPr>
        <w:t>TM</w:t>
      </w:r>
      <w:r w:rsidRPr="008B1CD7">
        <w:rPr>
          <w:i/>
        </w:rPr>
        <w:t>’</w:t>
      </w:r>
      <w:r>
        <w:t xml:space="preserve"> and </w:t>
      </w:r>
      <w:r w:rsidRPr="008B1CD7">
        <w:t xml:space="preserve">not equipped with an </w:t>
      </w:r>
      <w:r w:rsidRPr="008B1CD7">
        <w:rPr>
          <w:i/>
        </w:rPr>
        <w:t>‘Antilock System’</w:t>
      </w:r>
      <w:r>
        <w:t xml:space="preserve">, </w:t>
      </w:r>
      <w:r w:rsidR="00D145D7">
        <w:t xml:space="preserve">the information on </w:t>
      </w:r>
      <w:r w:rsidR="005E0567">
        <w:t xml:space="preserve">the ‘Vehicle Plate’ affixed according to clause </w:t>
      </w:r>
      <w:r w:rsidR="00036B54">
        <w:t>7</w:t>
      </w:r>
      <w:r w:rsidR="005E0567">
        <w:t>.</w:t>
      </w:r>
      <w:r w:rsidR="006229A9">
        <w:t>3</w:t>
      </w:r>
      <w:r w:rsidR="005E0567">
        <w:t xml:space="preserve"> above</w:t>
      </w:r>
      <w:r>
        <w:t xml:space="preserve"> </w:t>
      </w:r>
      <w:proofErr w:type="gramStart"/>
      <w:r>
        <w:t xml:space="preserve">must </w:t>
      </w:r>
      <w:r w:rsidR="00D145D7">
        <w:t>also</w:t>
      </w:r>
      <w:proofErr w:type="gramEnd"/>
      <w:r w:rsidR="00D145D7">
        <w:t xml:space="preserve"> include</w:t>
      </w:r>
      <w:r>
        <w:t xml:space="preserve"> t</w:t>
      </w:r>
      <w:r w:rsidRPr="006448C4">
        <w:t>he words</w:t>
      </w:r>
      <w:r>
        <w:t xml:space="preserve"> </w:t>
      </w:r>
      <w:r w:rsidRPr="008B1CD7">
        <w:t>“THIS VEHICLE IS NOT FITTED WITH ANTILOCK BRAKES”</w:t>
      </w:r>
      <w:r>
        <w:t>.</w:t>
      </w:r>
    </w:p>
    <w:p w14:paraId="556BAE39" w14:textId="289B2C88" w:rsidR="000F0447" w:rsidRPr="006F6CD4" w:rsidRDefault="00D63C09" w:rsidP="00981E0A">
      <w:pPr>
        <w:pStyle w:val="Subsubclause"/>
      </w:pPr>
      <w:r w:rsidRPr="008B1CD7">
        <w:t>In the case of a</w:t>
      </w:r>
      <w:r w:rsidR="007D3978">
        <w:t>ny</w:t>
      </w:r>
      <w:r w:rsidRPr="008B1CD7">
        <w:t xml:space="preserve"> trailer certified to </w:t>
      </w:r>
      <w:r>
        <w:t>the Australian Design Rule</w:t>
      </w:r>
      <w:r w:rsidRPr="008B1CD7">
        <w:t xml:space="preserve"> 63/...</w:t>
      </w:r>
      <w:r w:rsidR="00106F8E">
        <w:rPr>
          <w:vertAlign w:val="superscript"/>
        </w:rPr>
        <w:t>1</w:t>
      </w:r>
      <w:r w:rsidRPr="008B1CD7">
        <w:t xml:space="preserve"> – Trailers Designed for Use in Road Trains</w:t>
      </w:r>
      <w:r w:rsidRPr="008B1CD7">
        <w:rPr>
          <w:i/>
        </w:rPr>
        <w:t>,</w:t>
      </w:r>
      <w:r w:rsidRPr="008B1CD7">
        <w:t xml:space="preserve"> </w:t>
      </w:r>
      <w:r w:rsidR="005E0567">
        <w:t xml:space="preserve">the </w:t>
      </w:r>
      <w:r w:rsidR="00D145D7">
        <w:t xml:space="preserve">information on the </w:t>
      </w:r>
      <w:r w:rsidR="005E0567">
        <w:t xml:space="preserve">‘Vehicle Plate’ affixed according to clause </w:t>
      </w:r>
      <w:r w:rsidR="00036B54">
        <w:t>7</w:t>
      </w:r>
      <w:r w:rsidR="005E0567">
        <w:t>.</w:t>
      </w:r>
      <w:r w:rsidR="006229A9">
        <w:t>3</w:t>
      </w:r>
      <w:r w:rsidR="005E0567">
        <w:t xml:space="preserve"> above</w:t>
      </w:r>
      <w:r>
        <w:t xml:space="preserve"> </w:t>
      </w:r>
      <w:r w:rsidR="00D145D7">
        <w:t xml:space="preserve">must also include </w:t>
      </w:r>
      <w:r>
        <w:t>t</w:t>
      </w:r>
      <w:r w:rsidRPr="006448C4">
        <w:t>he words</w:t>
      </w:r>
      <w:r w:rsidRPr="008B1CD7">
        <w:t xml:space="preserve"> “ROAD TRAIN TRAILER”.</w:t>
      </w:r>
    </w:p>
    <w:p w14:paraId="1F079215" w14:textId="77777777" w:rsidR="00D27443" w:rsidRDefault="00D27443" w:rsidP="00D27443">
      <w:pPr>
        <w:pStyle w:val="Clauseheading"/>
        <w:keepNext/>
      </w:pPr>
      <w:bookmarkStart w:id="22" w:name="_Toc40438706"/>
      <w:bookmarkStart w:id="23" w:name="_Toc42000637"/>
      <w:bookmarkStart w:id="24" w:name="_Toc354454378"/>
      <w:bookmarkStart w:id="25" w:name="_Toc119215364"/>
      <w:r w:rsidRPr="001209A4">
        <w:t>ENGINE</w:t>
      </w:r>
      <w:r>
        <w:t xml:space="preserve"> NUMBER</w:t>
      </w:r>
      <w:bookmarkEnd w:id="22"/>
      <w:bookmarkEnd w:id="23"/>
    </w:p>
    <w:p w14:paraId="007BED26" w14:textId="77777777" w:rsidR="00D27443" w:rsidRPr="000D69E5" w:rsidRDefault="00343A86" w:rsidP="00D27443">
      <w:pPr>
        <w:pStyle w:val="Subclause"/>
      </w:pPr>
      <w:r>
        <w:t>A</w:t>
      </w:r>
      <w:r w:rsidR="00D27443" w:rsidRPr="000D69E5">
        <w:t xml:space="preserve">n identification number must be legible and permanently stamped, cast, laser engraved or a combination of these upon the main component of the engine and such number must be located where it </w:t>
      </w:r>
      <w:proofErr w:type="gramStart"/>
      <w:r w:rsidR="00D27443" w:rsidRPr="000D69E5">
        <w:t>can be seen</w:t>
      </w:r>
      <w:proofErr w:type="gramEnd"/>
      <w:r w:rsidR="00D27443" w:rsidRPr="000D69E5">
        <w:t xml:space="preserve"> when the engine is installed in the vehicle.</w:t>
      </w:r>
    </w:p>
    <w:p w14:paraId="2D458327" w14:textId="46E5DAFA" w:rsidR="00D27443" w:rsidRPr="006F6CD4" w:rsidRDefault="00D27443" w:rsidP="00343A86">
      <w:pPr>
        <w:pStyle w:val="Subsubclause"/>
      </w:pPr>
      <w:r w:rsidRPr="006F6CD4">
        <w:t xml:space="preserve">The </w:t>
      </w:r>
      <w:r w:rsidR="00343A86">
        <w:t>requirement</w:t>
      </w:r>
      <w:r w:rsidRPr="006F6CD4">
        <w:t xml:space="preserve"> </w:t>
      </w:r>
      <w:r>
        <w:t>in clause 8.</w:t>
      </w:r>
      <w:r w:rsidR="00343A86">
        <w:t>1</w:t>
      </w:r>
      <w:r>
        <w:t xml:space="preserve"> </w:t>
      </w:r>
      <w:r w:rsidR="005957B7">
        <w:t xml:space="preserve">above </w:t>
      </w:r>
      <w:r>
        <w:t>for an</w:t>
      </w:r>
      <w:r w:rsidRPr="006F6CD4">
        <w:t xml:space="preserve"> identification number</w:t>
      </w:r>
      <w:r>
        <w:t xml:space="preserve"> </w:t>
      </w:r>
      <w:r w:rsidRPr="006F6CD4">
        <w:t>to be seen</w:t>
      </w:r>
      <w:r>
        <w:t>,</w:t>
      </w:r>
      <w:r w:rsidRPr="006F6CD4">
        <w:t xml:space="preserve"> </w:t>
      </w:r>
      <w:r w:rsidR="00343A86">
        <w:t>shall</w:t>
      </w:r>
      <w:r>
        <w:t xml:space="preserve"> be </w:t>
      </w:r>
      <w:r w:rsidRPr="006F6CD4">
        <w:t>deemed to be satisfied if:</w:t>
      </w:r>
    </w:p>
    <w:p w14:paraId="5EC5396C" w14:textId="77777777" w:rsidR="00D27443" w:rsidRPr="005B611B" w:rsidRDefault="00D27443" w:rsidP="00E773AF">
      <w:pPr>
        <w:pStyle w:val="Clause-Alphalist"/>
        <w:numPr>
          <w:ilvl w:val="0"/>
          <w:numId w:val="11"/>
        </w:numPr>
      </w:pPr>
      <w:r w:rsidRPr="005B611B">
        <w:t xml:space="preserve">the </w:t>
      </w:r>
      <w:r>
        <w:t>identification</w:t>
      </w:r>
      <w:r w:rsidRPr="005B611B">
        <w:t xml:space="preserve"> number can be viewed without the need to remove any vehicle components; or</w:t>
      </w:r>
    </w:p>
    <w:p w14:paraId="4F38C9CD" w14:textId="77777777" w:rsidR="00D27443" w:rsidRPr="005B611B" w:rsidRDefault="00D27443" w:rsidP="00D27443">
      <w:pPr>
        <w:pStyle w:val="Clause-Alphalist"/>
      </w:pPr>
      <w:r w:rsidRPr="005B611B">
        <w:t xml:space="preserve">any vehicle components that need to be removed for the </w:t>
      </w:r>
      <w:r>
        <w:t>identification</w:t>
      </w:r>
      <w:r w:rsidRPr="005B611B">
        <w:t xml:space="preserve"> number to be viewed can be removed using simple hand tools; or</w:t>
      </w:r>
    </w:p>
    <w:p w14:paraId="50A28C4C" w14:textId="77777777" w:rsidR="00D27443" w:rsidRPr="005B611B" w:rsidRDefault="00D27443" w:rsidP="00D27443">
      <w:pPr>
        <w:pStyle w:val="Clause-Alphalist"/>
        <w:spacing w:after="60"/>
      </w:pPr>
      <w:r w:rsidRPr="005B611B">
        <w:t xml:space="preserve">the </w:t>
      </w:r>
      <w:r>
        <w:t>identification</w:t>
      </w:r>
      <w:r w:rsidRPr="005B611B">
        <w:t xml:space="preserve"> number</w:t>
      </w:r>
      <w:r>
        <w:t xml:space="preserve"> </w:t>
      </w:r>
      <w:r w:rsidRPr="005B611B">
        <w:t>is repeated on a supplementary label, which:</w:t>
      </w:r>
    </w:p>
    <w:p w14:paraId="06ED1CC0" w14:textId="77777777" w:rsidR="00D27443" w:rsidRPr="00455429" w:rsidRDefault="00D27443" w:rsidP="00D27443">
      <w:pPr>
        <w:pStyle w:val="Clause-alphasublist"/>
      </w:pPr>
      <w:r w:rsidRPr="00455429">
        <w:t>is placed in a conspicuous position in the engine compartment;</w:t>
      </w:r>
    </w:p>
    <w:p w14:paraId="51749CC2" w14:textId="77777777" w:rsidR="00D27443" w:rsidRPr="00455429" w:rsidRDefault="00D27443" w:rsidP="00D27443">
      <w:pPr>
        <w:pStyle w:val="Clause-alphasublist"/>
      </w:pPr>
      <w:r w:rsidRPr="00455429">
        <w:t>is adequately durable for the environment in which it is located; and</w:t>
      </w:r>
    </w:p>
    <w:p w14:paraId="01AEA25C" w14:textId="77777777" w:rsidR="00D27443" w:rsidRPr="00455429" w:rsidRDefault="00D27443" w:rsidP="00D27443">
      <w:pPr>
        <w:pStyle w:val="Clause-alphasublist"/>
      </w:pPr>
      <w:proofErr w:type="gramStart"/>
      <w:r w:rsidRPr="00455429">
        <w:t>cannot</w:t>
      </w:r>
      <w:proofErr w:type="gramEnd"/>
      <w:r w:rsidRPr="00455429">
        <w:t xml:space="preserve"> be removed other than by its destruction.</w:t>
      </w:r>
    </w:p>
    <w:p w14:paraId="23975BC5" w14:textId="77777777" w:rsidR="00D27443" w:rsidRPr="005C59CB" w:rsidRDefault="00D27443" w:rsidP="004F4487">
      <w:pPr>
        <w:pStyle w:val="Subsubsubclause"/>
      </w:pPr>
      <w:r>
        <w:t xml:space="preserve">For a supplementary label to </w:t>
      </w:r>
      <w:proofErr w:type="gramStart"/>
      <w:r>
        <w:t>be considered</w:t>
      </w:r>
      <w:proofErr w:type="gramEnd"/>
      <w:r>
        <w:t xml:space="preserve"> adequately durable for the environment in which it</w:t>
      </w:r>
      <w:r w:rsidRPr="006F6CD4">
        <w:t xml:space="preserve"> is located</w:t>
      </w:r>
      <w:r>
        <w:t xml:space="preserve">, the label material and printing thereon must be </w:t>
      </w:r>
      <w:r w:rsidRPr="00B14D6F">
        <w:t>impervious to all fluids and vapours to which</w:t>
      </w:r>
      <w:r>
        <w:t xml:space="preserve"> the label is likely to be exposed in </w:t>
      </w:r>
      <w:r w:rsidRPr="00B14D6F">
        <w:t>normal vehicle operation and maintenance.</w:t>
      </w:r>
    </w:p>
    <w:p w14:paraId="00A85ED4" w14:textId="77777777" w:rsidR="00EF4BD1" w:rsidRPr="008B1CD7" w:rsidRDefault="00EF4BD1" w:rsidP="00D8187A">
      <w:pPr>
        <w:pStyle w:val="Clauseheading"/>
        <w:pageBreakBefore/>
      </w:pPr>
      <w:bookmarkStart w:id="26" w:name="_Toc42000638"/>
      <w:r w:rsidRPr="008B1CD7">
        <w:lastRenderedPageBreak/>
        <w:t>REGISTRATION PLATES</w:t>
      </w:r>
      <w:bookmarkEnd w:id="24"/>
      <w:bookmarkEnd w:id="25"/>
      <w:bookmarkEnd w:id="26"/>
    </w:p>
    <w:p w14:paraId="564A8F5B" w14:textId="77777777" w:rsidR="00EF4BD1" w:rsidRPr="002E545A" w:rsidRDefault="00CD7112" w:rsidP="00507118">
      <w:pPr>
        <w:pStyle w:val="Subclause"/>
        <w:rPr>
          <w:b/>
        </w:rPr>
      </w:pPr>
      <w:r>
        <w:rPr>
          <w:b/>
        </w:rPr>
        <w:t xml:space="preserve">All vehicles </w:t>
      </w:r>
      <w:r w:rsidR="00A551C8">
        <w:rPr>
          <w:b/>
        </w:rPr>
        <w:t>other than</w:t>
      </w:r>
      <w:r>
        <w:rPr>
          <w:b/>
        </w:rPr>
        <w:t xml:space="preserve"> </w:t>
      </w:r>
      <w:r w:rsidR="00593E49">
        <w:rPr>
          <w:b/>
        </w:rPr>
        <w:t>L-Group vehicles</w:t>
      </w:r>
      <w:r>
        <w:rPr>
          <w:b/>
        </w:rPr>
        <w:t>,</w:t>
      </w:r>
      <w:r w:rsidR="00593E49">
        <w:rPr>
          <w:b/>
        </w:rPr>
        <w:t xml:space="preserve"> and</w:t>
      </w:r>
      <w:r w:rsidR="00EF4BD1" w:rsidRPr="002E545A">
        <w:rPr>
          <w:b/>
        </w:rPr>
        <w:t xml:space="preserve"> </w:t>
      </w:r>
      <w:r w:rsidR="002E545A" w:rsidRPr="002E545A">
        <w:rPr>
          <w:b/>
        </w:rPr>
        <w:t xml:space="preserve">category </w:t>
      </w:r>
      <w:r w:rsidR="00EF4BD1" w:rsidRPr="002E545A">
        <w:rPr>
          <w:b/>
        </w:rPr>
        <w:t xml:space="preserve">TA </w:t>
      </w:r>
      <w:r w:rsidR="002E545A" w:rsidRPr="002E545A">
        <w:rPr>
          <w:b/>
        </w:rPr>
        <w:t>vehicles</w:t>
      </w:r>
      <w:r w:rsidR="00EF4BD1" w:rsidRPr="002E545A">
        <w:rPr>
          <w:b/>
        </w:rPr>
        <w:t xml:space="preserve"> having an </w:t>
      </w:r>
      <w:r w:rsidR="001B2B4D" w:rsidRPr="001B2B4D">
        <w:rPr>
          <w:b/>
          <w:i/>
        </w:rPr>
        <w:t>‘Overall Width’</w:t>
      </w:r>
      <w:r w:rsidR="00EF4BD1" w:rsidRPr="002E545A">
        <w:rPr>
          <w:b/>
        </w:rPr>
        <w:t xml:space="preserve"> </w:t>
      </w:r>
      <w:r w:rsidR="00593E49">
        <w:rPr>
          <w:b/>
        </w:rPr>
        <w:t xml:space="preserve">not </w:t>
      </w:r>
      <w:r w:rsidR="00786062" w:rsidRPr="002E545A">
        <w:rPr>
          <w:b/>
        </w:rPr>
        <w:t xml:space="preserve">exceeding </w:t>
      </w:r>
      <w:r w:rsidR="00AB7CC3" w:rsidRPr="002E545A">
        <w:rPr>
          <w:b/>
        </w:rPr>
        <w:t>980 mm</w:t>
      </w:r>
    </w:p>
    <w:p w14:paraId="056A7393" w14:textId="0498CE8A" w:rsidR="00EF4BD1" w:rsidRDefault="00AB7CC3" w:rsidP="00507118">
      <w:pPr>
        <w:pStyle w:val="Subsubclause"/>
      </w:pPr>
      <w:r>
        <w:t>P</w:t>
      </w:r>
      <w:r w:rsidR="00EF4BD1" w:rsidRPr="008B1CD7">
        <w:t xml:space="preserve">rovision </w:t>
      </w:r>
      <w:proofErr w:type="gramStart"/>
      <w:r w:rsidR="00EF4BD1" w:rsidRPr="008B1CD7">
        <w:t>must be made for</w:t>
      </w:r>
      <w:proofErr w:type="gramEnd"/>
      <w:r w:rsidR="00EF4BD1" w:rsidRPr="008B1CD7">
        <w:t xml:space="preserve"> mounting a registration plate as shown in Figure 1</w:t>
      </w:r>
      <w:r w:rsidR="00E242C3">
        <w:t xml:space="preserve"> below</w:t>
      </w:r>
      <w:r w:rsidR="00C07E67">
        <w:t>,</w:t>
      </w:r>
      <w:r w:rsidR="00EF4BD1" w:rsidRPr="008B1CD7">
        <w:t xml:space="preserve"> to be affixed to the rear of the vehicle so that no part of such </w:t>
      </w:r>
      <w:r w:rsidR="00120124">
        <w:t xml:space="preserve">a </w:t>
      </w:r>
      <w:r w:rsidR="00EF4BD1" w:rsidRPr="008B1CD7">
        <w:t>plate is more than 1,300 mm from the ground.</w:t>
      </w:r>
    </w:p>
    <w:p w14:paraId="5FE0815A" w14:textId="0C89AD2D" w:rsidR="00EF4BD1" w:rsidRDefault="00AB7CC3" w:rsidP="00507118">
      <w:pPr>
        <w:pStyle w:val="Subsubclause"/>
      </w:pPr>
      <w:r>
        <w:t>P</w:t>
      </w:r>
      <w:r w:rsidR="00EF4BD1" w:rsidRPr="008B1CD7">
        <w:t>rovision must be made for mounting</w:t>
      </w:r>
      <w:r w:rsidR="00C07E67">
        <w:t xml:space="preserve"> a registration plate </w:t>
      </w:r>
      <w:r w:rsidR="00EF4BD1" w:rsidRPr="008B1CD7">
        <w:t>as shown in Figure 1</w:t>
      </w:r>
      <w:r w:rsidR="00E242C3">
        <w:t xml:space="preserve"> below</w:t>
      </w:r>
      <w:r w:rsidR="00C07E67">
        <w:t>,</w:t>
      </w:r>
      <w:r w:rsidR="00EF4BD1" w:rsidRPr="008B1CD7">
        <w:t xml:space="preserve"> to be affixed to the front of the motor vehicle forward of and parallel to the front ‘</w:t>
      </w:r>
      <w:r w:rsidR="00EF4BD1" w:rsidRPr="008B1CD7">
        <w:rPr>
          <w:i/>
        </w:rPr>
        <w:t>Axle’</w:t>
      </w:r>
      <w:r w:rsidR="00C07E67">
        <w:rPr>
          <w:i/>
        </w:rPr>
        <w:t>,</w:t>
      </w:r>
      <w:r w:rsidR="00EF4BD1" w:rsidRPr="008B1CD7">
        <w:t xml:space="preserve"> so that no part of such </w:t>
      </w:r>
      <w:r w:rsidR="00120124">
        <w:t>a</w:t>
      </w:r>
      <w:r w:rsidR="00EF4BD1" w:rsidRPr="008B1CD7">
        <w:t xml:space="preserve"> plate is more than 1,300 mm from the ground.</w:t>
      </w:r>
    </w:p>
    <w:p w14:paraId="42CF4751" w14:textId="77777777" w:rsidR="00D27443" w:rsidRDefault="00D27443" w:rsidP="00D27443">
      <w:pPr>
        <w:pStyle w:val="Subsubclause"/>
        <w:numPr>
          <w:ilvl w:val="0"/>
          <w:numId w:val="0"/>
        </w:numPr>
        <w:ind w:left="1418"/>
      </w:pPr>
      <w:r w:rsidRPr="002E545A">
        <w:rPr>
          <w:noProof/>
        </w:rPr>
        <w:drawing>
          <wp:inline distT="0" distB="0" distL="0" distR="0" wp14:anchorId="43D09424" wp14:editId="33D0143A">
            <wp:extent cx="4514400" cy="2714400"/>
            <wp:effectExtent l="0" t="0" r="635" b="0"/>
            <wp:docPr id="3" name="Picture 2" descr="Registration Plate" title="Fig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lat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400" cy="27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EFBE4D" w14:textId="77777777" w:rsidR="00EF4BD1" w:rsidRDefault="00AB7CC3" w:rsidP="00507118">
      <w:pPr>
        <w:pStyle w:val="Subsubclause"/>
      </w:pPr>
      <w:r>
        <w:t>N</w:t>
      </w:r>
      <w:r w:rsidR="00EF4BD1" w:rsidRPr="008B1CD7">
        <w:t>o part of a vehicle, including its standard equipment, regular production options or ‘</w:t>
      </w:r>
      <w:r w:rsidR="00EF4BD1" w:rsidRPr="008B1CD7">
        <w:rPr>
          <w:i/>
        </w:rPr>
        <w:t xml:space="preserve">Equipment’ </w:t>
      </w:r>
      <w:r w:rsidR="00C07E67">
        <w:t>shall</w:t>
      </w:r>
      <w:r w:rsidR="00EF4BD1" w:rsidRPr="008B1CD7">
        <w:t xml:space="preserve"> be so located as to obscure any part of the registration plate(s).</w:t>
      </w:r>
    </w:p>
    <w:p w14:paraId="1C645B94" w14:textId="77777777" w:rsidR="007118E5" w:rsidRPr="002E545A" w:rsidRDefault="007118E5" w:rsidP="007118E5">
      <w:pPr>
        <w:pStyle w:val="Subclause"/>
        <w:keepNext/>
        <w:rPr>
          <w:b/>
        </w:rPr>
      </w:pPr>
      <w:r w:rsidRPr="002E545A">
        <w:rPr>
          <w:b/>
        </w:rPr>
        <w:t>L-Group vehicles, and category TA vehicles</w:t>
      </w:r>
      <w:r>
        <w:rPr>
          <w:b/>
        </w:rPr>
        <w:t xml:space="preserve"> having an </w:t>
      </w:r>
      <w:r w:rsidRPr="001B2B4D">
        <w:rPr>
          <w:b/>
          <w:i/>
        </w:rPr>
        <w:t>‘Overall</w:t>
      </w:r>
      <w:r>
        <w:rPr>
          <w:b/>
          <w:i/>
        </w:rPr>
        <w:t> </w:t>
      </w:r>
      <w:r w:rsidRPr="001B2B4D">
        <w:rPr>
          <w:b/>
          <w:i/>
        </w:rPr>
        <w:t>Width’</w:t>
      </w:r>
      <w:r w:rsidRPr="002E545A">
        <w:rPr>
          <w:b/>
        </w:rPr>
        <w:t xml:space="preserve"> not exceeding 980 mm</w:t>
      </w:r>
    </w:p>
    <w:p w14:paraId="5119FACE" w14:textId="77777777" w:rsidR="007118E5" w:rsidRDefault="007118E5" w:rsidP="007118E5">
      <w:pPr>
        <w:pStyle w:val="Subsubclause"/>
      </w:pPr>
      <w:r>
        <w:t>P</w:t>
      </w:r>
      <w:r w:rsidRPr="008B1CD7">
        <w:t xml:space="preserve">rovision </w:t>
      </w:r>
      <w:proofErr w:type="gramStart"/>
      <w:r w:rsidRPr="008B1CD7">
        <w:t>must be made</w:t>
      </w:r>
      <w:proofErr w:type="gramEnd"/>
      <w:r w:rsidRPr="008B1CD7">
        <w:t xml:space="preserve"> for mounting a registration plate to the rear of the vehicle so that the centre of each registration plate </w:t>
      </w:r>
      <w:r>
        <w:t>is not less than 300 </w:t>
      </w:r>
      <w:r w:rsidRPr="008B1CD7">
        <w:t>mm from the ground.</w:t>
      </w:r>
    </w:p>
    <w:p w14:paraId="6CB799F5" w14:textId="77777777" w:rsidR="00EF4BD1" w:rsidRDefault="00EF4BD1" w:rsidP="001A7C9E">
      <w:pPr>
        <w:pStyle w:val="Clauseheading"/>
        <w:keepNext/>
      </w:pPr>
      <w:bookmarkStart w:id="27" w:name="_Toc354454379"/>
      <w:bookmarkStart w:id="28" w:name="_Toc119215365"/>
      <w:bookmarkStart w:id="29" w:name="_Toc42000639"/>
      <w:r>
        <w:t>VISIBILITY OF TRAY</w:t>
      </w:r>
      <w:bookmarkEnd w:id="27"/>
      <w:bookmarkEnd w:id="28"/>
      <w:bookmarkEnd w:id="29"/>
    </w:p>
    <w:p w14:paraId="5A9A4623" w14:textId="69A94F6D" w:rsidR="000B609B" w:rsidRDefault="00EF4BD1" w:rsidP="000B609B">
      <w:pPr>
        <w:pStyle w:val="Subclause"/>
      </w:pPr>
      <w:proofErr w:type="gramStart"/>
      <w:r w:rsidRPr="006F6CD4">
        <w:t xml:space="preserve">On every vehicle which, together with the </w:t>
      </w:r>
      <w:r w:rsidRPr="0022773D">
        <w:rPr>
          <w:i/>
        </w:rPr>
        <w:t>‘Equipment’</w:t>
      </w:r>
      <w:r w:rsidR="005C0D47">
        <w:t xml:space="preserve"> thereof, is 2.2 </w:t>
      </w:r>
      <w:r w:rsidRPr="006F6CD4">
        <w:t>metres or more wide and which has a body of the</w:t>
      </w:r>
      <w:r w:rsidR="00786062" w:rsidRPr="006F6CD4">
        <w:t xml:space="preserve"> tray type and </w:t>
      </w:r>
      <w:r w:rsidR="001F339E">
        <w:t>is not fitted with</w:t>
      </w:r>
      <w:r w:rsidR="006C77EF" w:rsidRPr="006F6CD4">
        <w:t xml:space="preserve"> </w:t>
      </w:r>
      <w:proofErr w:type="spellStart"/>
      <w:r w:rsidR="006C77EF" w:rsidRPr="006F6CD4">
        <w:t>conspicuity</w:t>
      </w:r>
      <w:proofErr w:type="spellEnd"/>
      <w:r w:rsidR="006C77EF" w:rsidRPr="006F6CD4">
        <w:t xml:space="preserve"> markings </w:t>
      </w:r>
      <w:r w:rsidR="001F339E">
        <w:t>in accordance with</w:t>
      </w:r>
      <w:r w:rsidR="0037541D">
        <w:t xml:space="preserve"> the Australian Design Rule 13/</w:t>
      </w:r>
      <w:r w:rsidR="001F339E">
        <w:t>…</w:t>
      </w:r>
      <w:r w:rsidR="00F84CFD">
        <w:rPr>
          <w:vertAlign w:val="superscript"/>
        </w:rPr>
        <w:t>1</w:t>
      </w:r>
      <w:r w:rsidR="001F339E">
        <w:t xml:space="preserve"> </w:t>
      </w:r>
      <w:r w:rsidR="0037541D">
        <w:t xml:space="preserve">– </w:t>
      </w:r>
      <w:r w:rsidR="0037541D" w:rsidRPr="0037541D">
        <w:t>Installation of Lighting and Light Signalling Devices on other than L-Group Vehicles</w:t>
      </w:r>
      <w:r w:rsidR="006C77EF" w:rsidRPr="006F6CD4">
        <w:t xml:space="preserve">, </w:t>
      </w:r>
      <w:r w:rsidRPr="006F6CD4">
        <w:t xml:space="preserve">there must be displayed by painting or otherwise across the full width of the rearmost portion of the tray of such vehicle, a horizontal band having a uniform </w:t>
      </w:r>
      <w:r w:rsidR="007B588E">
        <w:t>thickness</w:t>
      </w:r>
      <w:r w:rsidRPr="006F6CD4">
        <w:t xml:space="preserve"> of at least 75 mm and being white or silver in colour and clearly visible.</w:t>
      </w:r>
      <w:bookmarkEnd w:id="2"/>
      <w:proofErr w:type="gramEnd"/>
    </w:p>
    <w:sectPr w:rsidR="000B609B" w:rsidSect="00F97BB1">
      <w:pgSz w:w="11906" w:h="16838"/>
      <w:pgMar w:top="1440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E77D2" w14:textId="77777777" w:rsidR="00316730" w:rsidRDefault="00316730">
      <w:r>
        <w:separator/>
      </w:r>
    </w:p>
  </w:endnote>
  <w:endnote w:type="continuationSeparator" w:id="0">
    <w:p w14:paraId="25E0D221" w14:textId="77777777" w:rsidR="00316730" w:rsidRDefault="00316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1C888" w14:textId="77777777" w:rsidR="00287314" w:rsidRDefault="002873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2834"/>
      <w:gridCol w:w="2835"/>
      <w:gridCol w:w="2835"/>
    </w:tblGrid>
    <w:tr w:rsidR="00D63C09" w14:paraId="6D1332C9" w14:textId="77777777">
      <w:tc>
        <w:tcPr>
          <w:tcW w:w="2906" w:type="dxa"/>
        </w:tcPr>
        <w:p w14:paraId="2C2B82CD" w14:textId="77777777" w:rsidR="00D63C09" w:rsidRDefault="00D63C09">
          <w:pPr>
            <w:pStyle w:val="Footer"/>
          </w:pPr>
        </w:p>
      </w:tc>
      <w:tc>
        <w:tcPr>
          <w:tcW w:w="2907" w:type="dxa"/>
        </w:tcPr>
        <w:p w14:paraId="1C45BDDA" w14:textId="77777777" w:rsidR="00D63C09" w:rsidRDefault="00D63C09">
          <w:pPr>
            <w:pStyle w:val="Footer"/>
          </w:pPr>
        </w:p>
      </w:tc>
      <w:tc>
        <w:tcPr>
          <w:tcW w:w="2907" w:type="dxa"/>
        </w:tcPr>
        <w:p w14:paraId="3A9123B2" w14:textId="77777777" w:rsidR="00D63C09" w:rsidRDefault="00D63C09">
          <w:pPr>
            <w:pStyle w:val="Footer"/>
          </w:pPr>
        </w:p>
      </w:tc>
    </w:tr>
  </w:tbl>
  <w:p w14:paraId="14904208" w14:textId="77777777" w:rsidR="00D63C09" w:rsidRDefault="00D63C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751C2" w14:textId="77777777" w:rsidR="00287314" w:rsidRDefault="002873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B4D72" w14:textId="77777777" w:rsidR="00316730" w:rsidRDefault="00316730">
      <w:r>
        <w:separator/>
      </w:r>
    </w:p>
  </w:footnote>
  <w:footnote w:type="continuationSeparator" w:id="0">
    <w:p w14:paraId="6874104D" w14:textId="77777777" w:rsidR="00316730" w:rsidRDefault="00316730">
      <w:r>
        <w:continuationSeparator/>
      </w:r>
    </w:p>
  </w:footnote>
  <w:footnote w:id="1">
    <w:p w14:paraId="1AE5B213" w14:textId="77777777" w:rsidR="007A1E28" w:rsidRPr="00C375F4" w:rsidRDefault="007A1E28" w:rsidP="007A1E28">
      <w:pPr>
        <w:pStyle w:val="FootnoteText"/>
      </w:pPr>
      <w:r>
        <w:rPr>
          <w:rStyle w:val="FootnoteReference"/>
        </w:rPr>
        <w:footnoteRef/>
      </w:r>
      <w:r>
        <w:tab/>
        <w:t xml:space="preserve">The </w:t>
      </w:r>
      <w:r w:rsidRPr="00C375F4">
        <w:t xml:space="preserve">ellipsis </w:t>
      </w:r>
      <w:r>
        <w:t>(</w:t>
      </w:r>
      <w:r w:rsidRPr="00C375F4">
        <w:t>…</w:t>
      </w:r>
      <w:r>
        <w:t>)</w:t>
      </w:r>
      <w:r w:rsidRPr="00C375F4">
        <w:t xml:space="preserve"> </w:t>
      </w:r>
      <w:r>
        <w:t xml:space="preserve">indicates the version(s) of the ADR in force at the </w:t>
      </w:r>
      <w:r w:rsidRPr="00C375F4">
        <w:rPr>
          <w:i/>
        </w:rPr>
        <w:t>‘</w:t>
      </w:r>
      <w:r>
        <w:rPr>
          <w:i/>
        </w:rPr>
        <w:t xml:space="preserve">Date of </w:t>
      </w:r>
      <w:r w:rsidRPr="00C375F4">
        <w:rPr>
          <w:i/>
        </w:rPr>
        <w:t>Manufacture’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F2BD8" w14:textId="77777777" w:rsidR="00287314" w:rsidRDefault="002873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080"/>
      <w:gridCol w:w="424"/>
    </w:tblGrid>
    <w:tr w:rsidR="00D63C09" w:rsidRPr="00F74E75" w14:paraId="71D5BEE3" w14:textId="77777777" w:rsidTr="00312C94">
      <w:tc>
        <w:tcPr>
          <w:tcW w:w="8080" w:type="dxa"/>
        </w:tcPr>
        <w:p w14:paraId="5D05E074" w14:textId="77777777" w:rsidR="00D63C09" w:rsidRPr="00F74E75" w:rsidRDefault="00D63C09" w:rsidP="008D17EB">
          <w:pPr>
            <w:pStyle w:val="Header"/>
            <w:rPr>
              <w:szCs w:val="20"/>
            </w:rPr>
          </w:pPr>
          <w:r w:rsidRPr="00F74E75">
            <w:rPr>
              <w:szCs w:val="20"/>
            </w:rPr>
            <w:t xml:space="preserve">Australian Design Rule </w:t>
          </w:r>
          <w:r>
            <w:rPr>
              <w:szCs w:val="20"/>
            </w:rPr>
            <w:t>61/03</w:t>
          </w:r>
          <w:r w:rsidRPr="00F74E75">
            <w:rPr>
              <w:szCs w:val="20"/>
            </w:rPr>
            <w:t xml:space="preserve"> </w:t>
          </w:r>
          <w:r>
            <w:rPr>
              <w:szCs w:val="20"/>
            </w:rPr>
            <w:t>– Vehicle Marking</w:t>
          </w:r>
        </w:p>
      </w:tc>
      <w:tc>
        <w:tcPr>
          <w:tcW w:w="424" w:type="dxa"/>
        </w:tcPr>
        <w:p w14:paraId="45809B61" w14:textId="5D77394C" w:rsidR="00D63C09" w:rsidRPr="00F74E75" w:rsidRDefault="00364D4B" w:rsidP="00F74E75">
          <w:pPr>
            <w:pStyle w:val="Header"/>
            <w:jc w:val="center"/>
            <w:rPr>
              <w:szCs w:val="20"/>
            </w:rPr>
          </w:pPr>
          <w:r>
            <w:rPr>
              <w:rStyle w:val="PageNumber"/>
            </w:rPr>
            <w:fldChar w:fldCharType="begin"/>
          </w:r>
          <w:r w:rsidR="00D63C09"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372C8E">
            <w:rPr>
              <w:rStyle w:val="PageNumber"/>
              <w:noProof/>
            </w:rPr>
            <w:t>10</w:t>
          </w:r>
          <w:r>
            <w:rPr>
              <w:rStyle w:val="PageNumber"/>
            </w:rPr>
            <w:fldChar w:fldCharType="end"/>
          </w:r>
        </w:p>
      </w:tc>
    </w:tr>
  </w:tbl>
  <w:p w14:paraId="300904D3" w14:textId="3FD84628" w:rsidR="00D63C09" w:rsidRPr="00791D27" w:rsidRDefault="00D63C09" w:rsidP="00791D27">
    <w:pPr>
      <w:pStyle w:val="Header"/>
      <w:rPr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F49FE" w14:textId="77777777" w:rsidR="00287314" w:rsidRDefault="002873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408A6"/>
    <w:multiLevelType w:val="multilevel"/>
    <w:tmpl w:val="A1582D7E"/>
    <w:lvl w:ilvl="0">
      <w:start w:val="1"/>
      <w:numFmt w:val="decimal"/>
      <w:lvlText w:val="%1."/>
      <w:lvlJc w:val="left"/>
      <w:pPr>
        <w:tabs>
          <w:tab w:val="num" w:pos="4111"/>
        </w:tabs>
        <w:ind w:left="4111" w:hanging="1418"/>
      </w:pPr>
      <w:rPr>
        <w:rFonts w:hint="default"/>
      </w:rPr>
    </w:lvl>
    <w:lvl w:ilvl="1">
      <w:start w:val="1"/>
      <w:numFmt w:val="decimal"/>
      <w:pStyle w:val="Body-SubClause"/>
      <w:lvlText w:val="%1.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588"/>
        </w:tabs>
        <w:ind w:left="1588" w:hanging="170"/>
      </w:pPr>
      <w:rPr>
        <w:rFonts w:hint="default"/>
      </w:rPr>
    </w:lvl>
    <w:lvl w:ilvl="7">
      <w:start w:val="1"/>
      <w:numFmt w:val="none"/>
      <w:lvlRestart w:val="1"/>
      <w:suff w:val="nothing"/>
      <w:lvlText w:val=""/>
      <w:lvlJc w:val="left"/>
      <w:pPr>
        <w:ind w:left="1418" w:hanging="1418"/>
      </w:pPr>
      <w:rPr>
        <w:rFonts w:hint="default"/>
      </w:rPr>
    </w:lvl>
    <w:lvl w:ilvl="8">
      <w:start w:val="1"/>
      <w:numFmt w:val="none"/>
      <w:lvlRestart w:val="1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58F7506F"/>
    <w:multiLevelType w:val="multilevel"/>
    <w:tmpl w:val="2B920384"/>
    <w:lvl w:ilvl="0">
      <w:start w:val="1"/>
      <w:numFmt w:val="decimal"/>
      <w:pStyle w:val="Clauseheading"/>
      <w:lvlText w:val="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pStyle w:val="Subclause"/>
      <w:lvlText w:val="%1.%2."/>
      <w:lvlJc w:val="left"/>
      <w:pPr>
        <w:tabs>
          <w:tab w:val="num" w:pos="1418"/>
        </w:tabs>
        <w:ind w:left="1418" w:hanging="1418"/>
      </w:pPr>
      <w:rPr>
        <w:rFonts w:hint="default"/>
        <w:b w:val="0"/>
        <w:i w:val="0"/>
      </w:rPr>
    </w:lvl>
    <w:lvl w:ilvl="2">
      <w:start w:val="1"/>
      <w:numFmt w:val="decimal"/>
      <w:pStyle w:val="Subsubclause"/>
      <w:lvlText w:val="%1.%2.%3."/>
      <w:lvlJc w:val="left"/>
      <w:pPr>
        <w:tabs>
          <w:tab w:val="num" w:pos="1418"/>
        </w:tabs>
        <w:ind w:left="1418" w:hanging="1418"/>
      </w:pPr>
      <w:rPr>
        <w:rFonts w:hint="default"/>
        <w:b w:val="0"/>
      </w:rPr>
    </w:lvl>
    <w:lvl w:ilvl="3">
      <w:start w:val="1"/>
      <w:numFmt w:val="decimal"/>
      <w:pStyle w:val="Subsubsubclause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18"/>
        </w:tabs>
        <w:ind w:left="1418" w:hanging="1418"/>
      </w:pPr>
      <w:rPr>
        <w:rFonts w:hint="default"/>
      </w:rPr>
    </w:lvl>
  </w:abstractNum>
  <w:abstractNum w:abstractNumId="2" w15:restartNumberingAfterBreak="0">
    <w:nsid w:val="6FD9185C"/>
    <w:multiLevelType w:val="multilevel"/>
    <w:tmpl w:val="3B9AFD0E"/>
    <w:lvl w:ilvl="0">
      <w:start w:val="1"/>
      <w:numFmt w:val="lowerLetter"/>
      <w:pStyle w:val="Clause-Alphalist"/>
      <w:lvlText w:val="(%1)"/>
      <w:lvlJc w:val="left"/>
      <w:pPr>
        <w:ind w:left="1871" w:hanging="453"/>
      </w:pPr>
      <w:rPr>
        <w:rFonts w:hint="default"/>
      </w:rPr>
    </w:lvl>
    <w:lvl w:ilvl="1">
      <w:start w:val="1"/>
      <w:numFmt w:val="lowerRoman"/>
      <w:pStyle w:val="Clause-alphasublist"/>
      <w:lvlText w:val="(%2)"/>
      <w:lvlJc w:val="left"/>
      <w:pPr>
        <w:ind w:left="2325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676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48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820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92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64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36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082" w:hanging="18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0"/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265"/>
    <w:rsid w:val="000054BB"/>
    <w:rsid w:val="00016FF0"/>
    <w:rsid w:val="00017B4C"/>
    <w:rsid w:val="0002441C"/>
    <w:rsid w:val="00027470"/>
    <w:rsid w:val="00030C87"/>
    <w:rsid w:val="00032B07"/>
    <w:rsid w:val="00033534"/>
    <w:rsid w:val="00033F2A"/>
    <w:rsid w:val="00035D41"/>
    <w:rsid w:val="00036B54"/>
    <w:rsid w:val="00036C8D"/>
    <w:rsid w:val="000373BB"/>
    <w:rsid w:val="00037A21"/>
    <w:rsid w:val="00044DF3"/>
    <w:rsid w:val="000459FA"/>
    <w:rsid w:val="000465FA"/>
    <w:rsid w:val="000477FB"/>
    <w:rsid w:val="00050797"/>
    <w:rsid w:val="00050CE8"/>
    <w:rsid w:val="00050EDB"/>
    <w:rsid w:val="0005192C"/>
    <w:rsid w:val="00052D2C"/>
    <w:rsid w:val="00054EAA"/>
    <w:rsid w:val="000575AD"/>
    <w:rsid w:val="00060008"/>
    <w:rsid w:val="0006112A"/>
    <w:rsid w:val="000616FA"/>
    <w:rsid w:val="00061729"/>
    <w:rsid w:val="000622D8"/>
    <w:rsid w:val="000639BE"/>
    <w:rsid w:val="00066666"/>
    <w:rsid w:val="00071E8C"/>
    <w:rsid w:val="00071EAB"/>
    <w:rsid w:val="00073E0F"/>
    <w:rsid w:val="0007433F"/>
    <w:rsid w:val="000746A3"/>
    <w:rsid w:val="000747DD"/>
    <w:rsid w:val="000758F8"/>
    <w:rsid w:val="000762AA"/>
    <w:rsid w:val="000774F0"/>
    <w:rsid w:val="00081735"/>
    <w:rsid w:val="00087354"/>
    <w:rsid w:val="000918C7"/>
    <w:rsid w:val="0009491A"/>
    <w:rsid w:val="00095CFC"/>
    <w:rsid w:val="000A1D29"/>
    <w:rsid w:val="000A3ECA"/>
    <w:rsid w:val="000A490E"/>
    <w:rsid w:val="000A52FC"/>
    <w:rsid w:val="000B1A86"/>
    <w:rsid w:val="000B3570"/>
    <w:rsid w:val="000B364D"/>
    <w:rsid w:val="000B3F1F"/>
    <w:rsid w:val="000B401A"/>
    <w:rsid w:val="000B43AF"/>
    <w:rsid w:val="000B609B"/>
    <w:rsid w:val="000B719A"/>
    <w:rsid w:val="000C04E0"/>
    <w:rsid w:val="000C0CFD"/>
    <w:rsid w:val="000C61F5"/>
    <w:rsid w:val="000C6532"/>
    <w:rsid w:val="000C6F65"/>
    <w:rsid w:val="000C71CB"/>
    <w:rsid w:val="000D1561"/>
    <w:rsid w:val="000D3D12"/>
    <w:rsid w:val="000D452A"/>
    <w:rsid w:val="000D46AE"/>
    <w:rsid w:val="000D5B74"/>
    <w:rsid w:val="000D69E5"/>
    <w:rsid w:val="000E18E9"/>
    <w:rsid w:val="000E3202"/>
    <w:rsid w:val="000E504C"/>
    <w:rsid w:val="000E7BFF"/>
    <w:rsid w:val="000F0447"/>
    <w:rsid w:val="000F0E3D"/>
    <w:rsid w:val="000F2188"/>
    <w:rsid w:val="000F6062"/>
    <w:rsid w:val="000F70D5"/>
    <w:rsid w:val="00100F08"/>
    <w:rsid w:val="0010163C"/>
    <w:rsid w:val="001028EA"/>
    <w:rsid w:val="00106F8E"/>
    <w:rsid w:val="00110240"/>
    <w:rsid w:val="00110B4B"/>
    <w:rsid w:val="001148C3"/>
    <w:rsid w:val="00115173"/>
    <w:rsid w:val="0011523D"/>
    <w:rsid w:val="001164F6"/>
    <w:rsid w:val="00120124"/>
    <w:rsid w:val="001209A4"/>
    <w:rsid w:val="00120D63"/>
    <w:rsid w:val="001222DA"/>
    <w:rsid w:val="00125DED"/>
    <w:rsid w:val="00126003"/>
    <w:rsid w:val="001265B8"/>
    <w:rsid w:val="001320BB"/>
    <w:rsid w:val="00132664"/>
    <w:rsid w:val="00137C6D"/>
    <w:rsid w:val="00142AEE"/>
    <w:rsid w:val="00144316"/>
    <w:rsid w:val="00144349"/>
    <w:rsid w:val="001452A1"/>
    <w:rsid w:val="00145447"/>
    <w:rsid w:val="0014665E"/>
    <w:rsid w:val="0014782B"/>
    <w:rsid w:val="00150943"/>
    <w:rsid w:val="00150967"/>
    <w:rsid w:val="00151BFB"/>
    <w:rsid w:val="001523E7"/>
    <w:rsid w:val="001525E9"/>
    <w:rsid w:val="0015552C"/>
    <w:rsid w:val="00160A2C"/>
    <w:rsid w:val="00165ADF"/>
    <w:rsid w:val="00172DC8"/>
    <w:rsid w:val="00173012"/>
    <w:rsid w:val="0017442C"/>
    <w:rsid w:val="001744E9"/>
    <w:rsid w:val="00181CDA"/>
    <w:rsid w:val="0019205F"/>
    <w:rsid w:val="00192327"/>
    <w:rsid w:val="00193B1B"/>
    <w:rsid w:val="0019493C"/>
    <w:rsid w:val="001A06DF"/>
    <w:rsid w:val="001A16BE"/>
    <w:rsid w:val="001A6B65"/>
    <w:rsid w:val="001A777F"/>
    <w:rsid w:val="001A7C9E"/>
    <w:rsid w:val="001B2B4D"/>
    <w:rsid w:val="001B38AA"/>
    <w:rsid w:val="001C101C"/>
    <w:rsid w:val="001C12BA"/>
    <w:rsid w:val="001D04DD"/>
    <w:rsid w:val="001D0A46"/>
    <w:rsid w:val="001D1FA4"/>
    <w:rsid w:val="001D7F39"/>
    <w:rsid w:val="001E084B"/>
    <w:rsid w:val="001E1502"/>
    <w:rsid w:val="001E5DD0"/>
    <w:rsid w:val="001E7842"/>
    <w:rsid w:val="001F339E"/>
    <w:rsid w:val="001F620B"/>
    <w:rsid w:val="00200940"/>
    <w:rsid w:val="0020109E"/>
    <w:rsid w:val="00202733"/>
    <w:rsid w:val="00203FB6"/>
    <w:rsid w:val="0020525A"/>
    <w:rsid w:val="00210307"/>
    <w:rsid w:val="00210D50"/>
    <w:rsid w:val="0021140E"/>
    <w:rsid w:val="00211DB0"/>
    <w:rsid w:val="0021731D"/>
    <w:rsid w:val="00220616"/>
    <w:rsid w:val="002208E6"/>
    <w:rsid w:val="00221BA1"/>
    <w:rsid w:val="00221CBA"/>
    <w:rsid w:val="0022475D"/>
    <w:rsid w:val="002261FF"/>
    <w:rsid w:val="0022773D"/>
    <w:rsid w:val="002302FE"/>
    <w:rsid w:val="00231FCF"/>
    <w:rsid w:val="00232023"/>
    <w:rsid w:val="002324D8"/>
    <w:rsid w:val="00232DE4"/>
    <w:rsid w:val="002339EA"/>
    <w:rsid w:val="002342FD"/>
    <w:rsid w:val="002356C8"/>
    <w:rsid w:val="00235A37"/>
    <w:rsid w:val="00235D0F"/>
    <w:rsid w:val="0024057C"/>
    <w:rsid w:val="00242539"/>
    <w:rsid w:val="002425C9"/>
    <w:rsid w:val="00242A55"/>
    <w:rsid w:val="002442A8"/>
    <w:rsid w:val="00250035"/>
    <w:rsid w:val="002502C6"/>
    <w:rsid w:val="002509A4"/>
    <w:rsid w:val="0025518E"/>
    <w:rsid w:val="00257BF5"/>
    <w:rsid w:val="0026227D"/>
    <w:rsid w:val="0026239E"/>
    <w:rsid w:val="00263996"/>
    <w:rsid w:val="00264FC2"/>
    <w:rsid w:val="002655B0"/>
    <w:rsid w:val="002659A3"/>
    <w:rsid w:val="002678B2"/>
    <w:rsid w:val="0027056C"/>
    <w:rsid w:val="002707D4"/>
    <w:rsid w:val="00270C35"/>
    <w:rsid w:val="00271708"/>
    <w:rsid w:val="00271DFD"/>
    <w:rsid w:val="00272695"/>
    <w:rsid w:val="0027431B"/>
    <w:rsid w:val="00274336"/>
    <w:rsid w:val="00276371"/>
    <w:rsid w:val="002769C7"/>
    <w:rsid w:val="00276D5C"/>
    <w:rsid w:val="00281140"/>
    <w:rsid w:val="00282CA3"/>
    <w:rsid w:val="00283350"/>
    <w:rsid w:val="00287314"/>
    <w:rsid w:val="002876DC"/>
    <w:rsid w:val="002955C1"/>
    <w:rsid w:val="0029777D"/>
    <w:rsid w:val="002A1B25"/>
    <w:rsid w:val="002A24BB"/>
    <w:rsid w:val="002A3013"/>
    <w:rsid w:val="002A345C"/>
    <w:rsid w:val="002A3625"/>
    <w:rsid w:val="002A3C27"/>
    <w:rsid w:val="002B06BF"/>
    <w:rsid w:val="002B0E21"/>
    <w:rsid w:val="002B32FC"/>
    <w:rsid w:val="002B3346"/>
    <w:rsid w:val="002C0889"/>
    <w:rsid w:val="002D0320"/>
    <w:rsid w:val="002D093C"/>
    <w:rsid w:val="002D1448"/>
    <w:rsid w:val="002D1A0B"/>
    <w:rsid w:val="002D4781"/>
    <w:rsid w:val="002D58A8"/>
    <w:rsid w:val="002D673F"/>
    <w:rsid w:val="002E22CF"/>
    <w:rsid w:val="002E2928"/>
    <w:rsid w:val="002E2BDB"/>
    <w:rsid w:val="002E3A32"/>
    <w:rsid w:val="002E3E9E"/>
    <w:rsid w:val="002E4EE9"/>
    <w:rsid w:val="002E545A"/>
    <w:rsid w:val="002E5F93"/>
    <w:rsid w:val="002F0466"/>
    <w:rsid w:val="002F454F"/>
    <w:rsid w:val="002F4622"/>
    <w:rsid w:val="002F7E21"/>
    <w:rsid w:val="0030056F"/>
    <w:rsid w:val="0030187D"/>
    <w:rsid w:val="00304023"/>
    <w:rsid w:val="00304546"/>
    <w:rsid w:val="00306302"/>
    <w:rsid w:val="00311BE2"/>
    <w:rsid w:val="00312C94"/>
    <w:rsid w:val="003146E8"/>
    <w:rsid w:val="00314B65"/>
    <w:rsid w:val="003165F0"/>
    <w:rsid w:val="00316730"/>
    <w:rsid w:val="00316F37"/>
    <w:rsid w:val="00317C74"/>
    <w:rsid w:val="00317D5C"/>
    <w:rsid w:val="003208EA"/>
    <w:rsid w:val="00320D01"/>
    <w:rsid w:val="00323A29"/>
    <w:rsid w:val="00323F6B"/>
    <w:rsid w:val="00326CD2"/>
    <w:rsid w:val="00331774"/>
    <w:rsid w:val="00332042"/>
    <w:rsid w:val="00333399"/>
    <w:rsid w:val="0033507B"/>
    <w:rsid w:val="00341CF6"/>
    <w:rsid w:val="00342BF5"/>
    <w:rsid w:val="00343A86"/>
    <w:rsid w:val="003447B8"/>
    <w:rsid w:val="003447E5"/>
    <w:rsid w:val="00345756"/>
    <w:rsid w:val="0034612F"/>
    <w:rsid w:val="0035244C"/>
    <w:rsid w:val="00354302"/>
    <w:rsid w:val="003560FD"/>
    <w:rsid w:val="00356C1B"/>
    <w:rsid w:val="00356EE1"/>
    <w:rsid w:val="0035789F"/>
    <w:rsid w:val="003579E5"/>
    <w:rsid w:val="003607FA"/>
    <w:rsid w:val="00364D4B"/>
    <w:rsid w:val="00366477"/>
    <w:rsid w:val="00366805"/>
    <w:rsid w:val="00366FEA"/>
    <w:rsid w:val="0037185F"/>
    <w:rsid w:val="00372C8E"/>
    <w:rsid w:val="00373733"/>
    <w:rsid w:val="00373D03"/>
    <w:rsid w:val="0037541D"/>
    <w:rsid w:val="00376054"/>
    <w:rsid w:val="003829BD"/>
    <w:rsid w:val="00383C0D"/>
    <w:rsid w:val="0038518F"/>
    <w:rsid w:val="0038562F"/>
    <w:rsid w:val="0039007B"/>
    <w:rsid w:val="00391866"/>
    <w:rsid w:val="003A0052"/>
    <w:rsid w:val="003B16E3"/>
    <w:rsid w:val="003B4CA5"/>
    <w:rsid w:val="003B5FF4"/>
    <w:rsid w:val="003C17E2"/>
    <w:rsid w:val="003C1A99"/>
    <w:rsid w:val="003C30C6"/>
    <w:rsid w:val="003C6F92"/>
    <w:rsid w:val="003C7DAF"/>
    <w:rsid w:val="003D13D0"/>
    <w:rsid w:val="003D2650"/>
    <w:rsid w:val="003D3B02"/>
    <w:rsid w:val="003E2147"/>
    <w:rsid w:val="003E41AA"/>
    <w:rsid w:val="003E4CB1"/>
    <w:rsid w:val="003E4E5F"/>
    <w:rsid w:val="003F1290"/>
    <w:rsid w:val="003F3BE4"/>
    <w:rsid w:val="003F63A9"/>
    <w:rsid w:val="00400035"/>
    <w:rsid w:val="004017A7"/>
    <w:rsid w:val="00407DD5"/>
    <w:rsid w:val="004139F0"/>
    <w:rsid w:val="00413F7C"/>
    <w:rsid w:val="00414CDD"/>
    <w:rsid w:val="004165D1"/>
    <w:rsid w:val="00420206"/>
    <w:rsid w:val="00420AFA"/>
    <w:rsid w:val="00422443"/>
    <w:rsid w:val="00422C96"/>
    <w:rsid w:val="00423C72"/>
    <w:rsid w:val="0042723C"/>
    <w:rsid w:val="00436553"/>
    <w:rsid w:val="0043729B"/>
    <w:rsid w:val="00440451"/>
    <w:rsid w:val="00440523"/>
    <w:rsid w:val="00444FF3"/>
    <w:rsid w:val="004453F3"/>
    <w:rsid w:val="00445B03"/>
    <w:rsid w:val="004523E0"/>
    <w:rsid w:val="00452FB5"/>
    <w:rsid w:val="0045316A"/>
    <w:rsid w:val="00453CCE"/>
    <w:rsid w:val="00455429"/>
    <w:rsid w:val="004608A3"/>
    <w:rsid w:val="004626D7"/>
    <w:rsid w:val="00462891"/>
    <w:rsid w:val="00470C58"/>
    <w:rsid w:val="00471F89"/>
    <w:rsid w:val="00474CB6"/>
    <w:rsid w:val="00481128"/>
    <w:rsid w:val="0048343D"/>
    <w:rsid w:val="00487582"/>
    <w:rsid w:val="0049016A"/>
    <w:rsid w:val="00492E4D"/>
    <w:rsid w:val="004930AA"/>
    <w:rsid w:val="0049512C"/>
    <w:rsid w:val="0049609A"/>
    <w:rsid w:val="00497112"/>
    <w:rsid w:val="00497C58"/>
    <w:rsid w:val="004A09BD"/>
    <w:rsid w:val="004A1CEB"/>
    <w:rsid w:val="004A215E"/>
    <w:rsid w:val="004A2A8E"/>
    <w:rsid w:val="004A33CD"/>
    <w:rsid w:val="004A3AC9"/>
    <w:rsid w:val="004A4174"/>
    <w:rsid w:val="004A4B99"/>
    <w:rsid w:val="004A7053"/>
    <w:rsid w:val="004A7473"/>
    <w:rsid w:val="004B6333"/>
    <w:rsid w:val="004C3006"/>
    <w:rsid w:val="004C39C8"/>
    <w:rsid w:val="004C53C6"/>
    <w:rsid w:val="004C6187"/>
    <w:rsid w:val="004D3A28"/>
    <w:rsid w:val="004D5580"/>
    <w:rsid w:val="004D585B"/>
    <w:rsid w:val="004D58DC"/>
    <w:rsid w:val="004E00B2"/>
    <w:rsid w:val="004E053A"/>
    <w:rsid w:val="004E2E26"/>
    <w:rsid w:val="004E2EE1"/>
    <w:rsid w:val="004E3D99"/>
    <w:rsid w:val="004F0967"/>
    <w:rsid w:val="004F3926"/>
    <w:rsid w:val="004F4487"/>
    <w:rsid w:val="004F5A5A"/>
    <w:rsid w:val="0050417D"/>
    <w:rsid w:val="005065A0"/>
    <w:rsid w:val="00506BD1"/>
    <w:rsid w:val="00507118"/>
    <w:rsid w:val="00507423"/>
    <w:rsid w:val="00510AB6"/>
    <w:rsid w:val="00510B48"/>
    <w:rsid w:val="0051128F"/>
    <w:rsid w:val="00511EB9"/>
    <w:rsid w:val="005133BD"/>
    <w:rsid w:val="005145FC"/>
    <w:rsid w:val="005217FE"/>
    <w:rsid w:val="00523064"/>
    <w:rsid w:val="0052524B"/>
    <w:rsid w:val="005252E3"/>
    <w:rsid w:val="00525E45"/>
    <w:rsid w:val="005310EA"/>
    <w:rsid w:val="0053509B"/>
    <w:rsid w:val="00535FA5"/>
    <w:rsid w:val="005401BB"/>
    <w:rsid w:val="005441A3"/>
    <w:rsid w:val="0054507D"/>
    <w:rsid w:val="00546A47"/>
    <w:rsid w:val="00547E96"/>
    <w:rsid w:val="00547F00"/>
    <w:rsid w:val="00550132"/>
    <w:rsid w:val="00551287"/>
    <w:rsid w:val="00551BD5"/>
    <w:rsid w:val="00552EF3"/>
    <w:rsid w:val="00553844"/>
    <w:rsid w:val="005559E9"/>
    <w:rsid w:val="005616A6"/>
    <w:rsid w:val="00562689"/>
    <w:rsid w:val="00563737"/>
    <w:rsid w:val="0056525E"/>
    <w:rsid w:val="005654A1"/>
    <w:rsid w:val="00567A63"/>
    <w:rsid w:val="005717BD"/>
    <w:rsid w:val="00573C97"/>
    <w:rsid w:val="00575ECA"/>
    <w:rsid w:val="00577F2F"/>
    <w:rsid w:val="00580A4B"/>
    <w:rsid w:val="00581881"/>
    <w:rsid w:val="0058242E"/>
    <w:rsid w:val="005825A3"/>
    <w:rsid w:val="00582EA2"/>
    <w:rsid w:val="0058473C"/>
    <w:rsid w:val="005933DB"/>
    <w:rsid w:val="00593E49"/>
    <w:rsid w:val="005944C3"/>
    <w:rsid w:val="005957B7"/>
    <w:rsid w:val="00597516"/>
    <w:rsid w:val="005A0325"/>
    <w:rsid w:val="005A119D"/>
    <w:rsid w:val="005A32EE"/>
    <w:rsid w:val="005A3587"/>
    <w:rsid w:val="005A7C42"/>
    <w:rsid w:val="005B0D36"/>
    <w:rsid w:val="005B1A32"/>
    <w:rsid w:val="005B39D0"/>
    <w:rsid w:val="005B4419"/>
    <w:rsid w:val="005B611B"/>
    <w:rsid w:val="005B6276"/>
    <w:rsid w:val="005B6631"/>
    <w:rsid w:val="005C0D47"/>
    <w:rsid w:val="005C3A30"/>
    <w:rsid w:val="005C4A77"/>
    <w:rsid w:val="005C6226"/>
    <w:rsid w:val="005C6BD1"/>
    <w:rsid w:val="005D3377"/>
    <w:rsid w:val="005D38C7"/>
    <w:rsid w:val="005D3B5C"/>
    <w:rsid w:val="005E0567"/>
    <w:rsid w:val="005E2912"/>
    <w:rsid w:val="005E38F6"/>
    <w:rsid w:val="005E428A"/>
    <w:rsid w:val="005E51D5"/>
    <w:rsid w:val="005E6FBB"/>
    <w:rsid w:val="005F06B4"/>
    <w:rsid w:val="005F0A22"/>
    <w:rsid w:val="005F0B51"/>
    <w:rsid w:val="005F2D37"/>
    <w:rsid w:val="005F4D1D"/>
    <w:rsid w:val="005F60BF"/>
    <w:rsid w:val="005F7481"/>
    <w:rsid w:val="005F77B2"/>
    <w:rsid w:val="00601C41"/>
    <w:rsid w:val="00602D04"/>
    <w:rsid w:val="0060306F"/>
    <w:rsid w:val="00606F7B"/>
    <w:rsid w:val="006115B0"/>
    <w:rsid w:val="00611E0C"/>
    <w:rsid w:val="00611EC2"/>
    <w:rsid w:val="006122FA"/>
    <w:rsid w:val="00620CCA"/>
    <w:rsid w:val="00620FE1"/>
    <w:rsid w:val="00621CD5"/>
    <w:rsid w:val="0062210F"/>
    <w:rsid w:val="006229A9"/>
    <w:rsid w:val="006234CA"/>
    <w:rsid w:val="006241EF"/>
    <w:rsid w:val="006253C1"/>
    <w:rsid w:val="00625DA4"/>
    <w:rsid w:val="00625E54"/>
    <w:rsid w:val="00627DFC"/>
    <w:rsid w:val="006316E4"/>
    <w:rsid w:val="006330E2"/>
    <w:rsid w:val="00637310"/>
    <w:rsid w:val="00641287"/>
    <w:rsid w:val="00641336"/>
    <w:rsid w:val="00643089"/>
    <w:rsid w:val="00643D27"/>
    <w:rsid w:val="006448C4"/>
    <w:rsid w:val="0064592C"/>
    <w:rsid w:val="00650015"/>
    <w:rsid w:val="00650E12"/>
    <w:rsid w:val="00654163"/>
    <w:rsid w:val="006561E6"/>
    <w:rsid w:val="00656F91"/>
    <w:rsid w:val="0066359C"/>
    <w:rsid w:val="006638AE"/>
    <w:rsid w:val="00663EF4"/>
    <w:rsid w:val="0066456E"/>
    <w:rsid w:val="00665563"/>
    <w:rsid w:val="00665C65"/>
    <w:rsid w:val="00666A12"/>
    <w:rsid w:val="00667077"/>
    <w:rsid w:val="00667190"/>
    <w:rsid w:val="00667EE0"/>
    <w:rsid w:val="00670355"/>
    <w:rsid w:val="00670AA6"/>
    <w:rsid w:val="00671558"/>
    <w:rsid w:val="00671B96"/>
    <w:rsid w:val="006725E4"/>
    <w:rsid w:val="00676082"/>
    <w:rsid w:val="0068249C"/>
    <w:rsid w:val="006845B2"/>
    <w:rsid w:val="00687092"/>
    <w:rsid w:val="00692F7A"/>
    <w:rsid w:val="006A2035"/>
    <w:rsid w:val="006A2E5A"/>
    <w:rsid w:val="006A5DA3"/>
    <w:rsid w:val="006A6376"/>
    <w:rsid w:val="006B3B3F"/>
    <w:rsid w:val="006B3CF0"/>
    <w:rsid w:val="006B43CB"/>
    <w:rsid w:val="006C00E9"/>
    <w:rsid w:val="006C0362"/>
    <w:rsid w:val="006C1D0F"/>
    <w:rsid w:val="006C3CE5"/>
    <w:rsid w:val="006C4458"/>
    <w:rsid w:val="006C68CD"/>
    <w:rsid w:val="006C71BD"/>
    <w:rsid w:val="006C77EF"/>
    <w:rsid w:val="006D55FB"/>
    <w:rsid w:val="006D7921"/>
    <w:rsid w:val="006E143F"/>
    <w:rsid w:val="006E2911"/>
    <w:rsid w:val="006E503E"/>
    <w:rsid w:val="006F0985"/>
    <w:rsid w:val="006F5ED8"/>
    <w:rsid w:val="006F6CD4"/>
    <w:rsid w:val="006F6FCB"/>
    <w:rsid w:val="00700819"/>
    <w:rsid w:val="00703603"/>
    <w:rsid w:val="00704A28"/>
    <w:rsid w:val="007061DB"/>
    <w:rsid w:val="00706FE3"/>
    <w:rsid w:val="0070760B"/>
    <w:rsid w:val="007106AB"/>
    <w:rsid w:val="00710736"/>
    <w:rsid w:val="007118E5"/>
    <w:rsid w:val="007136C2"/>
    <w:rsid w:val="007156A9"/>
    <w:rsid w:val="0071735E"/>
    <w:rsid w:val="007215C4"/>
    <w:rsid w:val="00726A24"/>
    <w:rsid w:val="00726E1B"/>
    <w:rsid w:val="00731074"/>
    <w:rsid w:val="007333A2"/>
    <w:rsid w:val="0073369C"/>
    <w:rsid w:val="00735FA5"/>
    <w:rsid w:val="00742BD9"/>
    <w:rsid w:val="00745E8A"/>
    <w:rsid w:val="007504FF"/>
    <w:rsid w:val="00750576"/>
    <w:rsid w:val="00752B80"/>
    <w:rsid w:val="007534E1"/>
    <w:rsid w:val="00754EF9"/>
    <w:rsid w:val="0075549C"/>
    <w:rsid w:val="00757F83"/>
    <w:rsid w:val="00760244"/>
    <w:rsid w:val="0076048A"/>
    <w:rsid w:val="00762EC1"/>
    <w:rsid w:val="00766825"/>
    <w:rsid w:val="00766A11"/>
    <w:rsid w:val="00766AF6"/>
    <w:rsid w:val="00766BC0"/>
    <w:rsid w:val="00767FCB"/>
    <w:rsid w:val="0077054A"/>
    <w:rsid w:val="0077225B"/>
    <w:rsid w:val="007738FF"/>
    <w:rsid w:val="00781E08"/>
    <w:rsid w:val="007839C6"/>
    <w:rsid w:val="00785E24"/>
    <w:rsid w:val="00786062"/>
    <w:rsid w:val="007865D2"/>
    <w:rsid w:val="0078785C"/>
    <w:rsid w:val="00791D27"/>
    <w:rsid w:val="007923C1"/>
    <w:rsid w:val="00796E26"/>
    <w:rsid w:val="007977EF"/>
    <w:rsid w:val="007A05FC"/>
    <w:rsid w:val="007A1843"/>
    <w:rsid w:val="007A1E28"/>
    <w:rsid w:val="007A257D"/>
    <w:rsid w:val="007A299F"/>
    <w:rsid w:val="007A731E"/>
    <w:rsid w:val="007A7E82"/>
    <w:rsid w:val="007B00EF"/>
    <w:rsid w:val="007B31E4"/>
    <w:rsid w:val="007B4748"/>
    <w:rsid w:val="007B4CE8"/>
    <w:rsid w:val="007B588E"/>
    <w:rsid w:val="007C1D6E"/>
    <w:rsid w:val="007C234D"/>
    <w:rsid w:val="007C25D0"/>
    <w:rsid w:val="007C2D47"/>
    <w:rsid w:val="007C3ECE"/>
    <w:rsid w:val="007C46E7"/>
    <w:rsid w:val="007C7C14"/>
    <w:rsid w:val="007D0C25"/>
    <w:rsid w:val="007D3500"/>
    <w:rsid w:val="007D3978"/>
    <w:rsid w:val="007D46DC"/>
    <w:rsid w:val="007D4866"/>
    <w:rsid w:val="007D5B8B"/>
    <w:rsid w:val="007E1649"/>
    <w:rsid w:val="007E69CF"/>
    <w:rsid w:val="007E6C5D"/>
    <w:rsid w:val="007F0AC5"/>
    <w:rsid w:val="007F4E3B"/>
    <w:rsid w:val="007F5F07"/>
    <w:rsid w:val="008025EB"/>
    <w:rsid w:val="00802D33"/>
    <w:rsid w:val="00806102"/>
    <w:rsid w:val="008068D5"/>
    <w:rsid w:val="00806A16"/>
    <w:rsid w:val="00806D6F"/>
    <w:rsid w:val="0080716E"/>
    <w:rsid w:val="00811EEA"/>
    <w:rsid w:val="00814280"/>
    <w:rsid w:val="00821302"/>
    <w:rsid w:val="00823D28"/>
    <w:rsid w:val="00827CBC"/>
    <w:rsid w:val="00834096"/>
    <w:rsid w:val="00840655"/>
    <w:rsid w:val="008418CE"/>
    <w:rsid w:val="00842106"/>
    <w:rsid w:val="0084242A"/>
    <w:rsid w:val="00845D34"/>
    <w:rsid w:val="008476DA"/>
    <w:rsid w:val="0085095B"/>
    <w:rsid w:val="00852677"/>
    <w:rsid w:val="00854651"/>
    <w:rsid w:val="008553C3"/>
    <w:rsid w:val="008568A5"/>
    <w:rsid w:val="00857429"/>
    <w:rsid w:val="00857800"/>
    <w:rsid w:val="00857C48"/>
    <w:rsid w:val="0086050E"/>
    <w:rsid w:val="008617E6"/>
    <w:rsid w:val="008639BD"/>
    <w:rsid w:val="00864410"/>
    <w:rsid w:val="008743BC"/>
    <w:rsid w:val="00875174"/>
    <w:rsid w:val="0087798A"/>
    <w:rsid w:val="008800C0"/>
    <w:rsid w:val="00880445"/>
    <w:rsid w:val="00882D20"/>
    <w:rsid w:val="008878A2"/>
    <w:rsid w:val="00894B75"/>
    <w:rsid w:val="00896047"/>
    <w:rsid w:val="008A16DC"/>
    <w:rsid w:val="008A21BF"/>
    <w:rsid w:val="008A2C37"/>
    <w:rsid w:val="008A2D61"/>
    <w:rsid w:val="008A3C58"/>
    <w:rsid w:val="008A640A"/>
    <w:rsid w:val="008B1CD7"/>
    <w:rsid w:val="008B2F44"/>
    <w:rsid w:val="008B3C7B"/>
    <w:rsid w:val="008B3F21"/>
    <w:rsid w:val="008B6373"/>
    <w:rsid w:val="008B6A11"/>
    <w:rsid w:val="008C57BD"/>
    <w:rsid w:val="008C5824"/>
    <w:rsid w:val="008C6C2E"/>
    <w:rsid w:val="008C6F80"/>
    <w:rsid w:val="008C7CF2"/>
    <w:rsid w:val="008D17EB"/>
    <w:rsid w:val="008D2E1C"/>
    <w:rsid w:val="008D4556"/>
    <w:rsid w:val="008D4F7E"/>
    <w:rsid w:val="008D6373"/>
    <w:rsid w:val="008D7520"/>
    <w:rsid w:val="008E55AD"/>
    <w:rsid w:val="008E6E94"/>
    <w:rsid w:val="008E7AAC"/>
    <w:rsid w:val="008F2D1A"/>
    <w:rsid w:val="008F4C51"/>
    <w:rsid w:val="008F4FA0"/>
    <w:rsid w:val="008F7657"/>
    <w:rsid w:val="00901E01"/>
    <w:rsid w:val="00902C8F"/>
    <w:rsid w:val="0090422B"/>
    <w:rsid w:val="009117D0"/>
    <w:rsid w:val="00912A91"/>
    <w:rsid w:val="0091788C"/>
    <w:rsid w:val="009239AB"/>
    <w:rsid w:val="00926B3C"/>
    <w:rsid w:val="00926CD3"/>
    <w:rsid w:val="00927345"/>
    <w:rsid w:val="0093049B"/>
    <w:rsid w:val="00932699"/>
    <w:rsid w:val="00934E2A"/>
    <w:rsid w:val="00935646"/>
    <w:rsid w:val="0093606F"/>
    <w:rsid w:val="00936618"/>
    <w:rsid w:val="00940B66"/>
    <w:rsid w:val="00941B6E"/>
    <w:rsid w:val="00943DC9"/>
    <w:rsid w:val="00945061"/>
    <w:rsid w:val="009461BE"/>
    <w:rsid w:val="009475E3"/>
    <w:rsid w:val="0095013C"/>
    <w:rsid w:val="00951E09"/>
    <w:rsid w:val="009526FF"/>
    <w:rsid w:val="00952D40"/>
    <w:rsid w:val="0095683C"/>
    <w:rsid w:val="0096148E"/>
    <w:rsid w:val="00962466"/>
    <w:rsid w:val="00963474"/>
    <w:rsid w:val="009664CD"/>
    <w:rsid w:val="009664F4"/>
    <w:rsid w:val="00967B00"/>
    <w:rsid w:val="009700EC"/>
    <w:rsid w:val="00973F3B"/>
    <w:rsid w:val="009741D3"/>
    <w:rsid w:val="0097650B"/>
    <w:rsid w:val="00976751"/>
    <w:rsid w:val="00980732"/>
    <w:rsid w:val="00981E0A"/>
    <w:rsid w:val="00982EB3"/>
    <w:rsid w:val="009855B2"/>
    <w:rsid w:val="009857B9"/>
    <w:rsid w:val="00987356"/>
    <w:rsid w:val="009923BC"/>
    <w:rsid w:val="00992B25"/>
    <w:rsid w:val="00993C42"/>
    <w:rsid w:val="00994042"/>
    <w:rsid w:val="009944D0"/>
    <w:rsid w:val="00994A2B"/>
    <w:rsid w:val="00996893"/>
    <w:rsid w:val="009A1BA9"/>
    <w:rsid w:val="009A3843"/>
    <w:rsid w:val="009A5100"/>
    <w:rsid w:val="009A69A0"/>
    <w:rsid w:val="009A70B6"/>
    <w:rsid w:val="009B125E"/>
    <w:rsid w:val="009B1C63"/>
    <w:rsid w:val="009B3172"/>
    <w:rsid w:val="009B31B8"/>
    <w:rsid w:val="009B3D27"/>
    <w:rsid w:val="009B7C78"/>
    <w:rsid w:val="009C1EFA"/>
    <w:rsid w:val="009C2285"/>
    <w:rsid w:val="009C244B"/>
    <w:rsid w:val="009C2888"/>
    <w:rsid w:val="009C47CB"/>
    <w:rsid w:val="009C6B8F"/>
    <w:rsid w:val="009C6DAB"/>
    <w:rsid w:val="009D27C3"/>
    <w:rsid w:val="009D36DE"/>
    <w:rsid w:val="009D6AAB"/>
    <w:rsid w:val="009E14BD"/>
    <w:rsid w:val="009E2CB2"/>
    <w:rsid w:val="009E2E90"/>
    <w:rsid w:val="009E6796"/>
    <w:rsid w:val="009E73E8"/>
    <w:rsid w:val="009F012E"/>
    <w:rsid w:val="009F050C"/>
    <w:rsid w:val="009F1E3B"/>
    <w:rsid w:val="009F211C"/>
    <w:rsid w:val="009F3241"/>
    <w:rsid w:val="009F3A93"/>
    <w:rsid w:val="00A01B4D"/>
    <w:rsid w:val="00A027E5"/>
    <w:rsid w:val="00A02E6A"/>
    <w:rsid w:val="00A03948"/>
    <w:rsid w:val="00A05ADF"/>
    <w:rsid w:val="00A1233F"/>
    <w:rsid w:val="00A22AAB"/>
    <w:rsid w:val="00A24E3C"/>
    <w:rsid w:val="00A24EC2"/>
    <w:rsid w:val="00A256A7"/>
    <w:rsid w:val="00A309F4"/>
    <w:rsid w:val="00A3178A"/>
    <w:rsid w:val="00A32CC0"/>
    <w:rsid w:val="00A347C6"/>
    <w:rsid w:val="00A42555"/>
    <w:rsid w:val="00A4268C"/>
    <w:rsid w:val="00A42F20"/>
    <w:rsid w:val="00A43059"/>
    <w:rsid w:val="00A434D5"/>
    <w:rsid w:val="00A43E6D"/>
    <w:rsid w:val="00A4486C"/>
    <w:rsid w:val="00A45AE5"/>
    <w:rsid w:val="00A4717C"/>
    <w:rsid w:val="00A50375"/>
    <w:rsid w:val="00A51E4A"/>
    <w:rsid w:val="00A52A5B"/>
    <w:rsid w:val="00A536CF"/>
    <w:rsid w:val="00A5464F"/>
    <w:rsid w:val="00A551C8"/>
    <w:rsid w:val="00A5573C"/>
    <w:rsid w:val="00A61088"/>
    <w:rsid w:val="00A61448"/>
    <w:rsid w:val="00A6288C"/>
    <w:rsid w:val="00A62CE6"/>
    <w:rsid w:val="00A642A3"/>
    <w:rsid w:val="00A71D56"/>
    <w:rsid w:val="00A72CCB"/>
    <w:rsid w:val="00A736A4"/>
    <w:rsid w:val="00A7650B"/>
    <w:rsid w:val="00A766E4"/>
    <w:rsid w:val="00A77130"/>
    <w:rsid w:val="00A77DCB"/>
    <w:rsid w:val="00A83C00"/>
    <w:rsid w:val="00A85B7A"/>
    <w:rsid w:val="00A91D32"/>
    <w:rsid w:val="00A93DDF"/>
    <w:rsid w:val="00AA1214"/>
    <w:rsid w:val="00AA33AB"/>
    <w:rsid w:val="00AA6869"/>
    <w:rsid w:val="00AA72AB"/>
    <w:rsid w:val="00AB13DA"/>
    <w:rsid w:val="00AB238D"/>
    <w:rsid w:val="00AB2DDF"/>
    <w:rsid w:val="00AB4DC8"/>
    <w:rsid w:val="00AB5FD6"/>
    <w:rsid w:val="00AB7CC3"/>
    <w:rsid w:val="00AC031E"/>
    <w:rsid w:val="00AC2121"/>
    <w:rsid w:val="00AC5408"/>
    <w:rsid w:val="00AC5AC0"/>
    <w:rsid w:val="00AC6227"/>
    <w:rsid w:val="00AC7F17"/>
    <w:rsid w:val="00AD0919"/>
    <w:rsid w:val="00AD0A46"/>
    <w:rsid w:val="00AD1137"/>
    <w:rsid w:val="00AD1947"/>
    <w:rsid w:val="00AD5884"/>
    <w:rsid w:val="00AD71F5"/>
    <w:rsid w:val="00AE0B2D"/>
    <w:rsid w:val="00AE72C3"/>
    <w:rsid w:val="00AF0160"/>
    <w:rsid w:val="00AF0233"/>
    <w:rsid w:val="00AF03EC"/>
    <w:rsid w:val="00AF041E"/>
    <w:rsid w:val="00AF288E"/>
    <w:rsid w:val="00AF2DB6"/>
    <w:rsid w:val="00B01C4E"/>
    <w:rsid w:val="00B027E0"/>
    <w:rsid w:val="00B02882"/>
    <w:rsid w:val="00B045CC"/>
    <w:rsid w:val="00B05597"/>
    <w:rsid w:val="00B05C8D"/>
    <w:rsid w:val="00B0707E"/>
    <w:rsid w:val="00B07168"/>
    <w:rsid w:val="00B11265"/>
    <w:rsid w:val="00B13C24"/>
    <w:rsid w:val="00B14F61"/>
    <w:rsid w:val="00B22DC2"/>
    <w:rsid w:val="00B22F0B"/>
    <w:rsid w:val="00B23444"/>
    <w:rsid w:val="00B23BA7"/>
    <w:rsid w:val="00B24013"/>
    <w:rsid w:val="00B25848"/>
    <w:rsid w:val="00B26374"/>
    <w:rsid w:val="00B2648E"/>
    <w:rsid w:val="00B31FE4"/>
    <w:rsid w:val="00B32689"/>
    <w:rsid w:val="00B33AB8"/>
    <w:rsid w:val="00B349D5"/>
    <w:rsid w:val="00B40A2E"/>
    <w:rsid w:val="00B4135D"/>
    <w:rsid w:val="00B4181D"/>
    <w:rsid w:val="00B44A1F"/>
    <w:rsid w:val="00B46F89"/>
    <w:rsid w:val="00B559CC"/>
    <w:rsid w:val="00B55F5D"/>
    <w:rsid w:val="00B62BD8"/>
    <w:rsid w:val="00B6368A"/>
    <w:rsid w:val="00B64E6E"/>
    <w:rsid w:val="00B71F30"/>
    <w:rsid w:val="00B747AD"/>
    <w:rsid w:val="00B82170"/>
    <w:rsid w:val="00B8465A"/>
    <w:rsid w:val="00B87053"/>
    <w:rsid w:val="00B90053"/>
    <w:rsid w:val="00B9029F"/>
    <w:rsid w:val="00B90A98"/>
    <w:rsid w:val="00B9490E"/>
    <w:rsid w:val="00B94D59"/>
    <w:rsid w:val="00B960E1"/>
    <w:rsid w:val="00B96420"/>
    <w:rsid w:val="00B965E9"/>
    <w:rsid w:val="00BA09A0"/>
    <w:rsid w:val="00BA16F5"/>
    <w:rsid w:val="00BA4C98"/>
    <w:rsid w:val="00BA744A"/>
    <w:rsid w:val="00BB36A2"/>
    <w:rsid w:val="00BB7684"/>
    <w:rsid w:val="00BC3D42"/>
    <w:rsid w:val="00BC5942"/>
    <w:rsid w:val="00BC739D"/>
    <w:rsid w:val="00BD40FB"/>
    <w:rsid w:val="00BD755E"/>
    <w:rsid w:val="00BE04B5"/>
    <w:rsid w:val="00BE1D32"/>
    <w:rsid w:val="00BE5B7D"/>
    <w:rsid w:val="00BF3093"/>
    <w:rsid w:val="00BF3203"/>
    <w:rsid w:val="00BF7445"/>
    <w:rsid w:val="00C004CC"/>
    <w:rsid w:val="00C009BD"/>
    <w:rsid w:val="00C0267B"/>
    <w:rsid w:val="00C03388"/>
    <w:rsid w:val="00C07E67"/>
    <w:rsid w:val="00C16848"/>
    <w:rsid w:val="00C2264D"/>
    <w:rsid w:val="00C24761"/>
    <w:rsid w:val="00C25279"/>
    <w:rsid w:val="00C27B68"/>
    <w:rsid w:val="00C31031"/>
    <w:rsid w:val="00C321E9"/>
    <w:rsid w:val="00C32F8B"/>
    <w:rsid w:val="00C340CE"/>
    <w:rsid w:val="00C34CD3"/>
    <w:rsid w:val="00C34E23"/>
    <w:rsid w:val="00C35C89"/>
    <w:rsid w:val="00C368E8"/>
    <w:rsid w:val="00C375F4"/>
    <w:rsid w:val="00C41E28"/>
    <w:rsid w:val="00C42B5F"/>
    <w:rsid w:val="00C430A9"/>
    <w:rsid w:val="00C43C15"/>
    <w:rsid w:val="00C5240B"/>
    <w:rsid w:val="00C53A45"/>
    <w:rsid w:val="00C544B0"/>
    <w:rsid w:val="00C5733F"/>
    <w:rsid w:val="00C628F7"/>
    <w:rsid w:val="00C62D13"/>
    <w:rsid w:val="00C65C28"/>
    <w:rsid w:val="00C65F1A"/>
    <w:rsid w:val="00C704F2"/>
    <w:rsid w:val="00C70986"/>
    <w:rsid w:val="00C719FD"/>
    <w:rsid w:val="00C72876"/>
    <w:rsid w:val="00C74A05"/>
    <w:rsid w:val="00C7729A"/>
    <w:rsid w:val="00C834DB"/>
    <w:rsid w:val="00C851FD"/>
    <w:rsid w:val="00C86A64"/>
    <w:rsid w:val="00C87B3E"/>
    <w:rsid w:val="00C91A29"/>
    <w:rsid w:val="00C91B4E"/>
    <w:rsid w:val="00C92A6D"/>
    <w:rsid w:val="00C95031"/>
    <w:rsid w:val="00C9620D"/>
    <w:rsid w:val="00C97C39"/>
    <w:rsid w:val="00C97C75"/>
    <w:rsid w:val="00CA14DA"/>
    <w:rsid w:val="00CA2B75"/>
    <w:rsid w:val="00CA4941"/>
    <w:rsid w:val="00CA4B86"/>
    <w:rsid w:val="00CA644E"/>
    <w:rsid w:val="00CA7F62"/>
    <w:rsid w:val="00CB0324"/>
    <w:rsid w:val="00CB18FC"/>
    <w:rsid w:val="00CC1467"/>
    <w:rsid w:val="00CC41C0"/>
    <w:rsid w:val="00CC547E"/>
    <w:rsid w:val="00CD08AE"/>
    <w:rsid w:val="00CD0F85"/>
    <w:rsid w:val="00CD33B7"/>
    <w:rsid w:val="00CD576F"/>
    <w:rsid w:val="00CD7112"/>
    <w:rsid w:val="00CD7CDF"/>
    <w:rsid w:val="00CE1ADC"/>
    <w:rsid w:val="00CE351D"/>
    <w:rsid w:val="00CE48EA"/>
    <w:rsid w:val="00CE64FE"/>
    <w:rsid w:val="00CF18D7"/>
    <w:rsid w:val="00CF1A41"/>
    <w:rsid w:val="00CF3531"/>
    <w:rsid w:val="00CF5274"/>
    <w:rsid w:val="00D0057F"/>
    <w:rsid w:val="00D01A52"/>
    <w:rsid w:val="00D04458"/>
    <w:rsid w:val="00D07750"/>
    <w:rsid w:val="00D103EF"/>
    <w:rsid w:val="00D10A75"/>
    <w:rsid w:val="00D145D7"/>
    <w:rsid w:val="00D14E78"/>
    <w:rsid w:val="00D15712"/>
    <w:rsid w:val="00D16B8C"/>
    <w:rsid w:val="00D216EA"/>
    <w:rsid w:val="00D25947"/>
    <w:rsid w:val="00D262C8"/>
    <w:rsid w:val="00D27443"/>
    <w:rsid w:val="00D27FF5"/>
    <w:rsid w:val="00D30ED0"/>
    <w:rsid w:val="00D36C50"/>
    <w:rsid w:val="00D40327"/>
    <w:rsid w:val="00D41231"/>
    <w:rsid w:val="00D4564E"/>
    <w:rsid w:val="00D45A73"/>
    <w:rsid w:val="00D46B8A"/>
    <w:rsid w:val="00D46DA2"/>
    <w:rsid w:val="00D47B65"/>
    <w:rsid w:val="00D52D9F"/>
    <w:rsid w:val="00D572C2"/>
    <w:rsid w:val="00D60564"/>
    <w:rsid w:val="00D636A0"/>
    <w:rsid w:val="00D63C09"/>
    <w:rsid w:val="00D650D8"/>
    <w:rsid w:val="00D656DE"/>
    <w:rsid w:val="00D7232D"/>
    <w:rsid w:val="00D745F8"/>
    <w:rsid w:val="00D75FAA"/>
    <w:rsid w:val="00D76214"/>
    <w:rsid w:val="00D774B3"/>
    <w:rsid w:val="00D80350"/>
    <w:rsid w:val="00D8187A"/>
    <w:rsid w:val="00D83FC5"/>
    <w:rsid w:val="00D84876"/>
    <w:rsid w:val="00D84F92"/>
    <w:rsid w:val="00D90DF8"/>
    <w:rsid w:val="00D923B5"/>
    <w:rsid w:val="00D94793"/>
    <w:rsid w:val="00D96081"/>
    <w:rsid w:val="00D96C33"/>
    <w:rsid w:val="00DA1C36"/>
    <w:rsid w:val="00DA3561"/>
    <w:rsid w:val="00DA51A3"/>
    <w:rsid w:val="00DA691C"/>
    <w:rsid w:val="00DA7608"/>
    <w:rsid w:val="00DB0A04"/>
    <w:rsid w:val="00DB34D8"/>
    <w:rsid w:val="00DB4570"/>
    <w:rsid w:val="00DB53B9"/>
    <w:rsid w:val="00DB73F4"/>
    <w:rsid w:val="00DC36ED"/>
    <w:rsid w:val="00DC3B99"/>
    <w:rsid w:val="00DC6F03"/>
    <w:rsid w:val="00DD04E0"/>
    <w:rsid w:val="00DD0CCE"/>
    <w:rsid w:val="00DD52A5"/>
    <w:rsid w:val="00DE0E41"/>
    <w:rsid w:val="00DE185A"/>
    <w:rsid w:val="00DE2D0E"/>
    <w:rsid w:val="00DE3144"/>
    <w:rsid w:val="00DE3E17"/>
    <w:rsid w:val="00DE5B94"/>
    <w:rsid w:val="00DF1206"/>
    <w:rsid w:val="00DF5DDA"/>
    <w:rsid w:val="00E016CF"/>
    <w:rsid w:val="00E02036"/>
    <w:rsid w:val="00E1089D"/>
    <w:rsid w:val="00E116BF"/>
    <w:rsid w:val="00E1270B"/>
    <w:rsid w:val="00E13A5D"/>
    <w:rsid w:val="00E242C3"/>
    <w:rsid w:val="00E24654"/>
    <w:rsid w:val="00E25B0E"/>
    <w:rsid w:val="00E26A77"/>
    <w:rsid w:val="00E310BD"/>
    <w:rsid w:val="00E3308B"/>
    <w:rsid w:val="00E331EA"/>
    <w:rsid w:val="00E3350D"/>
    <w:rsid w:val="00E3449D"/>
    <w:rsid w:val="00E3449F"/>
    <w:rsid w:val="00E429FF"/>
    <w:rsid w:val="00E446C8"/>
    <w:rsid w:val="00E4588C"/>
    <w:rsid w:val="00E4680F"/>
    <w:rsid w:val="00E51C1F"/>
    <w:rsid w:val="00E5204E"/>
    <w:rsid w:val="00E52E11"/>
    <w:rsid w:val="00E54129"/>
    <w:rsid w:val="00E54528"/>
    <w:rsid w:val="00E56476"/>
    <w:rsid w:val="00E56DE6"/>
    <w:rsid w:val="00E57229"/>
    <w:rsid w:val="00E57456"/>
    <w:rsid w:val="00E60AA3"/>
    <w:rsid w:val="00E610B8"/>
    <w:rsid w:val="00E6285A"/>
    <w:rsid w:val="00E63EED"/>
    <w:rsid w:val="00E64DE1"/>
    <w:rsid w:val="00E65E14"/>
    <w:rsid w:val="00E67DAD"/>
    <w:rsid w:val="00E72CBB"/>
    <w:rsid w:val="00E733B1"/>
    <w:rsid w:val="00E7499A"/>
    <w:rsid w:val="00E7721B"/>
    <w:rsid w:val="00E773AF"/>
    <w:rsid w:val="00E83077"/>
    <w:rsid w:val="00E84947"/>
    <w:rsid w:val="00E850B3"/>
    <w:rsid w:val="00E859C5"/>
    <w:rsid w:val="00E8638A"/>
    <w:rsid w:val="00E875BC"/>
    <w:rsid w:val="00E87AAB"/>
    <w:rsid w:val="00E902C2"/>
    <w:rsid w:val="00E94B63"/>
    <w:rsid w:val="00E97664"/>
    <w:rsid w:val="00E97F69"/>
    <w:rsid w:val="00EA0F91"/>
    <w:rsid w:val="00EA126B"/>
    <w:rsid w:val="00EA3340"/>
    <w:rsid w:val="00EA4813"/>
    <w:rsid w:val="00EA521A"/>
    <w:rsid w:val="00EA6656"/>
    <w:rsid w:val="00EA6CF2"/>
    <w:rsid w:val="00EA711E"/>
    <w:rsid w:val="00EB2574"/>
    <w:rsid w:val="00EB2CED"/>
    <w:rsid w:val="00EB2EE3"/>
    <w:rsid w:val="00EB34F2"/>
    <w:rsid w:val="00EB7CC4"/>
    <w:rsid w:val="00EC4327"/>
    <w:rsid w:val="00EC4637"/>
    <w:rsid w:val="00EC485B"/>
    <w:rsid w:val="00EC6619"/>
    <w:rsid w:val="00ED0DE8"/>
    <w:rsid w:val="00ED145D"/>
    <w:rsid w:val="00ED1ACB"/>
    <w:rsid w:val="00ED24A2"/>
    <w:rsid w:val="00ED5402"/>
    <w:rsid w:val="00ED5B00"/>
    <w:rsid w:val="00ED721C"/>
    <w:rsid w:val="00EE1283"/>
    <w:rsid w:val="00EE15D4"/>
    <w:rsid w:val="00EE18E3"/>
    <w:rsid w:val="00EE1F85"/>
    <w:rsid w:val="00EE5F62"/>
    <w:rsid w:val="00EE75AC"/>
    <w:rsid w:val="00EF09AF"/>
    <w:rsid w:val="00EF12DB"/>
    <w:rsid w:val="00EF4BD1"/>
    <w:rsid w:val="00F01CF3"/>
    <w:rsid w:val="00F054B8"/>
    <w:rsid w:val="00F07727"/>
    <w:rsid w:val="00F077EC"/>
    <w:rsid w:val="00F11D81"/>
    <w:rsid w:val="00F13B9F"/>
    <w:rsid w:val="00F167E6"/>
    <w:rsid w:val="00F204E4"/>
    <w:rsid w:val="00F22C7D"/>
    <w:rsid w:val="00F2481B"/>
    <w:rsid w:val="00F24F5F"/>
    <w:rsid w:val="00F25DF5"/>
    <w:rsid w:val="00F26791"/>
    <w:rsid w:val="00F273C6"/>
    <w:rsid w:val="00F27481"/>
    <w:rsid w:val="00F27E01"/>
    <w:rsid w:val="00F31E33"/>
    <w:rsid w:val="00F36590"/>
    <w:rsid w:val="00F40AB1"/>
    <w:rsid w:val="00F438A4"/>
    <w:rsid w:val="00F529D0"/>
    <w:rsid w:val="00F53D7D"/>
    <w:rsid w:val="00F54265"/>
    <w:rsid w:val="00F55C49"/>
    <w:rsid w:val="00F5719E"/>
    <w:rsid w:val="00F60E32"/>
    <w:rsid w:val="00F63F38"/>
    <w:rsid w:val="00F6441C"/>
    <w:rsid w:val="00F6460C"/>
    <w:rsid w:val="00F67405"/>
    <w:rsid w:val="00F67670"/>
    <w:rsid w:val="00F7115C"/>
    <w:rsid w:val="00F716E2"/>
    <w:rsid w:val="00F73CE7"/>
    <w:rsid w:val="00F74E75"/>
    <w:rsid w:val="00F840E9"/>
    <w:rsid w:val="00F843D4"/>
    <w:rsid w:val="00F84CFD"/>
    <w:rsid w:val="00F90199"/>
    <w:rsid w:val="00F90262"/>
    <w:rsid w:val="00F91E66"/>
    <w:rsid w:val="00F942C3"/>
    <w:rsid w:val="00F96084"/>
    <w:rsid w:val="00F97BB1"/>
    <w:rsid w:val="00FA0209"/>
    <w:rsid w:val="00FA0856"/>
    <w:rsid w:val="00FA3035"/>
    <w:rsid w:val="00FA5C89"/>
    <w:rsid w:val="00FA6D4F"/>
    <w:rsid w:val="00FB1660"/>
    <w:rsid w:val="00FC0F55"/>
    <w:rsid w:val="00FC586A"/>
    <w:rsid w:val="00FC7275"/>
    <w:rsid w:val="00FC7B65"/>
    <w:rsid w:val="00FD369E"/>
    <w:rsid w:val="00FD47B4"/>
    <w:rsid w:val="00FD4ACF"/>
    <w:rsid w:val="00FE2885"/>
    <w:rsid w:val="00FE372F"/>
    <w:rsid w:val="00FE4924"/>
    <w:rsid w:val="00FE55E2"/>
    <w:rsid w:val="00FE6BE3"/>
    <w:rsid w:val="00FF0983"/>
    <w:rsid w:val="00FF13F7"/>
    <w:rsid w:val="00FF1838"/>
    <w:rsid w:val="00FF29DC"/>
    <w:rsid w:val="00FF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."/>
  <w:listSeparator w:val=","/>
  <w14:docId w14:val="5776C0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C49"/>
    <w:rPr>
      <w:sz w:val="24"/>
      <w:szCs w:val="24"/>
    </w:rPr>
  </w:style>
  <w:style w:type="paragraph" w:styleId="Heading1">
    <w:name w:val="heading 1"/>
    <w:basedOn w:val="Normal"/>
    <w:next w:val="Normal"/>
    <w:qFormat/>
    <w:rsid w:val="0055013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5013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5013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RTitle">
    <w:name w:val="ADR Title"/>
    <w:basedOn w:val="Normal"/>
    <w:next w:val="Normal"/>
    <w:rsid w:val="008A16DC"/>
    <w:pPr>
      <w:spacing w:after="480"/>
    </w:pPr>
    <w:rPr>
      <w:b/>
      <w:sz w:val="40"/>
    </w:rPr>
  </w:style>
  <w:style w:type="paragraph" w:customStyle="1" w:styleId="Clauseheading">
    <w:name w:val="Clause heading"/>
    <w:basedOn w:val="Normal"/>
    <w:next w:val="Subclause"/>
    <w:qFormat/>
    <w:rsid w:val="00750576"/>
    <w:pPr>
      <w:numPr>
        <w:numId w:val="1"/>
      </w:numPr>
      <w:spacing w:before="240" w:after="120"/>
    </w:pPr>
    <w:rPr>
      <w:b/>
      <w:caps/>
    </w:rPr>
  </w:style>
  <w:style w:type="paragraph" w:customStyle="1" w:styleId="Subclause">
    <w:name w:val="Sub clause"/>
    <w:basedOn w:val="Normal"/>
    <w:rsid w:val="00D216EA"/>
    <w:pPr>
      <w:numPr>
        <w:ilvl w:val="1"/>
        <w:numId w:val="1"/>
      </w:numPr>
      <w:spacing w:before="120" w:after="120"/>
    </w:pPr>
  </w:style>
  <w:style w:type="paragraph" w:customStyle="1" w:styleId="Subsubclause">
    <w:name w:val="Subsub clause"/>
    <w:basedOn w:val="Normal"/>
    <w:rsid w:val="00D216EA"/>
    <w:pPr>
      <w:numPr>
        <w:ilvl w:val="2"/>
        <w:numId w:val="1"/>
      </w:numPr>
      <w:spacing w:before="120" w:after="120"/>
    </w:pPr>
  </w:style>
  <w:style w:type="paragraph" w:customStyle="1" w:styleId="Subsubsubclause">
    <w:name w:val="Subsubsub clause"/>
    <w:basedOn w:val="Normal"/>
    <w:next w:val="Normal"/>
    <w:rsid w:val="00D216EA"/>
    <w:pPr>
      <w:numPr>
        <w:ilvl w:val="3"/>
        <w:numId w:val="1"/>
      </w:numPr>
      <w:spacing w:before="120" w:after="120"/>
    </w:pPr>
  </w:style>
  <w:style w:type="paragraph" w:styleId="TOC1">
    <w:name w:val="toc 1"/>
    <w:basedOn w:val="Normal"/>
    <w:next w:val="Normal"/>
    <w:autoRedefine/>
    <w:uiPriority w:val="39"/>
    <w:rsid w:val="000A3ECA"/>
    <w:pPr>
      <w:tabs>
        <w:tab w:val="left" w:pos="851"/>
        <w:tab w:val="right" w:leader="dot" w:pos="8494"/>
      </w:tabs>
      <w:spacing w:before="120" w:after="120"/>
      <w:ind w:left="851" w:hanging="851"/>
    </w:pPr>
    <w:rPr>
      <w:caps/>
    </w:rPr>
  </w:style>
  <w:style w:type="paragraph" w:customStyle="1" w:styleId="section0clauseheaddings">
    <w:name w:val="section 0 clause headdings"/>
    <w:basedOn w:val="Normal"/>
    <w:next w:val="Normal"/>
    <w:rsid w:val="002324D8"/>
    <w:pPr>
      <w:tabs>
        <w:tab w:val="left" w:pos="1134"/>
      </w:tabs>
      <w:spacing w:before="240" w:after="120"/>
      <w:ind w:left="1134" w:hanging="1134"/>
    </w:pPr>
    <w:rPr>
      <w:b/>
      <w:caps/>
    </w:rPr>
  </w:style>
  <w:style w:type="paragraph" w:styleId="Header">
    <w:name w:val="header"/>
    <w:basedOn w:val="Normal"/>
    <w:rsid w:val="002A24BB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2A24BB"/>
    <w:pPr>
      <w:tabs>
        <w:tab w:val="center" w:pos="4153"/>
        <w:tab w:val="right" w:pos="8306"/>
      </w:tabs>
    </w:pPr>
    <w:rPr>
      <w:sz w:val="20"/>
    </w:rPr>
  </w:style>
  <w:style w:type="character" w:styleId="PageNumber">
    <w:name w:val="page number"/>
    <w:basedOn w:val="DefaultParagraphFont"/>
    <w:rsid w:val="009D6AAB"/>
  </w:style>
  <w:style w:type="table" w:styleId="TableGrid">
    <w:name w:val="Table Grid"/>
    <w:basedOn w:val="TableNormal"/>
    <w:rsid w:val="00791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C300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375F4"/>
    <w:pPr>
      <w:tabs>
        <w:tab w:val="left" w:pos="567"/>
      </w:tabs>
      <w:ind w:left="567" w:hanging="567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375F4"/>
  </w:style>
  <w:style w:type="character" w:styleId="FootnoteReference">
    <w:name w:val="footnote reference"/>
    <w:rsid w:val="00274336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9C6D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6D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6DA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6DA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C6DAB"/>
    <w:rPr>
      <w:b/>
      <w:bCs/>
    </w:rPr>
  </w:style>
  <w:style w:type="paragraph" w:styleId="Revision">
    <w:name w:val="Revision"/>
    <w:hidden/>
    <w:uiPriority w:val="99"/>
    <w:semiHidden/>
    <w:rsid w:val="0027056C"/>
    <w:rPr>
      <w:sz w:val="24"/>
      <w:szCs w:val="24"/>
    </w:rPr>
  </w:style>
  <w:style w:type="paragraph" w:styleId="NoSpacing">
    <w:name w:val="No Spacing"/>
    <w:uiPriority w:val="1"/>
    <w:qFormat/>
    <w:rsid w:val="005B6631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B6631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en-US"/>
    </w:rPr>
  </w:style>
  <w:style w:type="paragraph" w:customStyle="1" w:styleId="ADRTable-Explanation">
    <w:name w:val="ADR Table - Explanation"/>
    <w:basedOn w:val="Normal"/>
    <w:qFormat/>
    <w:rsid w:val="004F3926"/>
    <w:pPr>
      <w:spacing w:beforeLines="20" w:afterLines="20"/>
    </w:pPr>
    <w:rPr>
      <w:sz w:val="20"/>
      <w:szCs w:val="20"/>
    </w:rPr>
  </w:style>
  <w:style w:type="paragraph" w:customStyle="1" w:styleId="Clause-Alphalist">
    <w:name w:val="Clause - Alpha list"/>
    <w:qFormat/>
    <w:rsid w:val="0062210F"/>
    <w:pPr>
      <w:numPr>
        <w:numId w:val="2"/>
      </w:numPr>
      <w:tabs>
        <w:tab w:val="left" w:pos="1418"/>
      </w:tabs>
      <w:spacing w:before="80" w:after="80"/>
      <w:ind w:left="1872" w:hanging="454"/>
    </w:pPr>
    <w:rPr>
      <w:sz w:val="24"/>
      <w:szCs w:val="24"/>
    </w:rPr>
  </w:style>
  <w:style w:type="paragraph" w:customStyle="1" w:styleId="Clause-alphasublist">
    <w:name w:val="Clause - alpha sub list"/>
    <w:qFormat/>
    <w:rsid w:val="0025518E"/>
    <w:pPr>
      <w:numPr>
        <w:ilvl w:val="1"/>
        <w:numId w:val="2"/>
      </w:numPr>
      <w:spacing w:before="80" w:after="8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7115C"/>
    <w:pPr>
      <w:ind w:left="720"/>
      <w:contextualSpacing/>
    </w:pPr>
  </w:style>
  <w:style w:type="paragraph" w:customStyle="1" w:styleId="Body-SubClause">
    <w:name w:val="Body-Sub Clause"/>
    <w:basedOn w:val="Normal"/>
    <w:qFormat/>
    <w:rsid w:val="00CE1ADC"/>
    <w:pPr>
      <w:numPr>
        <w:ilvl w:val="1"/>
        <w:numId w:val="5"/>
      </w:numPr>
      <w:spacing w:before="120" w:after="120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9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479673DD-B42C-447B-83BB-C665E4FBE35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CC6BC2A7E60914F8F07590107636792" ma:contentTypeVersion="" ma:contentTypeDescription="PDMS Document Site Content Type" ma:contentTypeScope="" ma:versionID="8a864ca16da904bd765c819b46c42e46">
  <xsd:schema xmlns:xsd="http://www.w3.org/2001/XMLSchema" xmlns:xs="http://www.w3.org/2001/XMLSchema" xmlns:p="http://schemas.microsoft.com/office/2006/metadata/properties" xmlns:ns2="479673DD-B42C-447B-83BB-C665E4FBE352" targetNamespace="http://schemas.microsoft.com/office/2006/metadata/properties" ma:root="true" ma:fieldsID="6f26cbcae32677022c0710fab61f51a8" ns2:_="">
    <xsd:import namespace="479673DD-B42C-447B-83BB-C665E4FBE352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673DD-B42C-447B-83BB-C665E4FBE352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DE086-9522-40BF-B3C7-AD99C3367D5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79673DD-B42C-447B-83BB-C665E4FBE352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173A0F2-8364-482D-A2E5-913564EF2C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C417CB-DE78-4928-B81A-E647CE297B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9673DD-B42C-447B-83BB-C665E4FBE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1BFB17-7C4E-41BF-B33C-CFE808CDC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2575</Words>
  <Characters>12592</Characters>
  <Application>Microsoft Office Word</Application>
  <DocSecurity>0</DocSecurity>
  <Lines>104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2020-09-28T01:14:00Z</dcterms:created>
  <dcterms:modified xsi:type="dcterms:W3CDTF">2020-09-28T01:46:00Z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0x010100266966F133664895A6EE3632470D45F5007CC6BC2A7E60914F8F07590107636792</vt:lpwstr>
  </property>
</Properties>
</file>