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AD779" w14:textId="77777777" w:rsidR="00955175" w:rsidRDefault="00955175" w:rsidP="00E2168B">
      <w:pPr>
        <w:spacing w:before="280" w:after="240"/>
        <w:rPr>
          <w:b/>
          <w:sz w:val="32"/>
          <w:szCs w:val="32"/>
        </w:rPr>
      </w:pPr>
    </w:p>
    <w:p w14:paraId="0FC92124" w14:textId="3F144F67" w:rsidR="00955175" w:rsidRDefault="00781779" w:rsidP="00E2168B">
      <w:pPr>
        <w:spacing w:before="280" w:after="240"/>
        <w:rPr>
          <w:b/>
          <w:sz w:val="32"/>
          <w:szCs w:val="32"/>
        </w:rPr>
      </w:pPr>
      <w:r w:rsidRPr="00062B85">
        <w:rPr>
          <w:noProof/>
          <w:highlight w:val="yellow"/>
        </w:rPr>
        <w:drawing>
          <wp:anchor distT="0" distB="0" distL="114300" distR="114300" simplePos="0" relativeHeight="251658240" behindDoc="0" locked="0" layoutInCell="1" allowOverlap="1" wp14:anchorId="725E5500" wp14:editId="0F475854">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32090FEF" w14:textId="77777777" w:rsidR="00955175" w:rsidRDefault="00955175" w:rsidP="00955175">
      <w:pPr>
        <w:pStyle w:val="LI-Title"/>
        <w:pBdr>
          <w:top w:val="none" w:sz="0" w:space="0" w:color="auto"/>
        </w:pBdr>
        <w:jc w:val="center"/>
      </w:pPr>
    </w:p>
    <w:p w14:paraId="20B523F6" w14:textId="77777777" w:rsidR="00955175" w:rsidRDefault="00955175" w:rsidP="00955175">
      <w:pPr>
        <w:pStyle w:val="LI-Title"/>
        <w:pBdr>
          <w:top w:val="none" w:sz="0" w:space="0" w:color="auto"/>
        </w:pBdr>
        <w:jc w:val="center"/>
      </w:pPr>
      <w:r>
        <w:t>Explanatory Statement</w:t>
      </w:r>
    </w:p>
    <w:p w14:paraId="60314991" w14:textId="77777777" w:rsidR="00955175" w:rsidRDefault="00955175" w:rsidP="00955175">
      <w:pPr>
        <w:rPr>
          <w:lang w:eastAsia="en-AU"/>
        </w:rPr>
      </w:pPr>
    </w:p>
    <w:p w14:paraId="5DE0182A" w14:textId="77777777" w:rsidR="00C4170B" w:rsidRPr="00A80B3B" w:rsidRDefault="00A80B3B" w:rsidP="00C4170B">
      <w:pPr>
        <w:jc w:val="center"/>
        <w:rPr>
          <w:b/>
          <w:sz w:val="28"/>
          <w:szCs w:val="28"/>
          <w:lang w:eastAsia="en-AU"/>
        </w:rPr>
      </w:pPr>
      <w:bookmarkStart w:id="0" w:name="_Hlk5659895"/>
      <w:r w:rsidRPr="00A80B3B">
        <w:rPr>
          <w:b/>
          <w:i/>
          <w:sz w:val="28"/>
          <w:szCs w:val="28"/>
          <w:lang w:eastAsia="en-AU"/>
        </w:rPr>
        <w:t>ASIC Regulated Foreign Markets Determination (Amendment) Instrument 20</w:t>
      </w:r>
      <w:r w:rsidR="00781779">
        <w:rPr>
          <w:b/>
          <w:i/>
          <w:sz w:val="28"/>
          <w:szCs w:val="28"/>
          <w:lang w:eastAsia="en-AU"/>
        </w:rPr>
        <w:t>20</w:t>
      </w:r>
      <w:r w:rsidRPr="00344FE2">
        <w:rPr>
          <w:b/>
          <w:i/>
          <w:sz w:val="28"/>
          <w:szCs w:val="28"/>
          <w:lang w:eastAsia="en-AU"/>
        </w:rPr>
        <w:t>/</w:t>
      </w:r>
      <w:bookmarkEnd w:id="0"/>
      <w:r w:rsidR="00781779">
        <w:rPr>
          <w:b/>
          <w:i/>
          <w:sz w:val="28"/>
          <w:szCs w:val="28"/>
          <w:lang w:eastAsia="en-AU"/>
        </w:rPr>
        <w:t>828</w:t>
      </w:r>
    </w:p>
    <w:p w14:paraId="790BF0F3" w14:textId="77777777" w:rsidR="00863657" w:rsidRDefault="00F800C9" w:rsidP="00D14957">
      <w:pPr>
        <w:pStyle w:val="LI-BodyTextParaa"/>
        <w:ind w:left="0" w:firstLine="0"/>
        <w:jc w:val="both"/>
      </w:pPr>
      <w:bookmarkStart w:id="1" w:name="BK_S3P1L1C1"/>
      <w:bookmarkEnd w:id="1"/>
      <w:r>
        <w:t xml:space="preserve">This is the Explanatory Statement for </w:t>
      </w:r>
      <w:r w:rsidR="00A80B3B" w:rsidRPr="00A80B3B">
        <w:rPr>
          <w:i/>
        </w:rPr>
        <w:t>ASIC Regulated Foreign Markets Determination (Amendment) Instrument 20</w:t>
      </w:r>
      <w:r w:rsidR="00781779">
        <w:rPr>
          <w:i/>
        </w:rPr>
        <w:t>20</w:t>
      </w:r>
      <w:r w:rsidR="00A80B3B" w:rsidRPr="00A80B3B">
        <w:rPr>
          <w:i/>
        </w:rPr>
        <w:t>/</w:t>
      </w:r>
      <w:r w:rsidR="00781779">
        <w:rPr>
          <w:i/>
        </w:rPr>
        <w:t>828</w:t>
      </w:r>
      <w:r w:rsidR="00A80B3B">
        <w:t xml:space="preserve"> (</w:t>
      </w:r>
      <w:r w:rsidR="00A80B3B">
        <w:rPr>
          <w:b/>
          <w:i/>
        </w:rPr>
        <w:t>instrument</w:t>
      </w:r>
      <w:r w:rsidR="00A80B3B" w:rsidRPr="00F467F3">
        <w:t>)</w:t>
      </w:r>
      <w:r>
        <w:t>.</w:t>
      </w:r>
    </w:p>
    <w:p w14:paraId="5A27977B" w14:textId="77777777" w:rsidR="00F800C9" w:rsidRPr="00C4170B" w:rsidRDefault="00863657" w:rsidP="00D14957">
      <w:pPr>
        <w:pStyle w:val="LI-BodyTextParaa"/>
        <w:ind w:left="0" w:firstLine="0"/>
        <w:jc w:val="both"/>
      </w:pPr>
      <w:r>
        <w:t>Th</w:t>
      </w:r>
      <w:r w:rsidR="00F800C9" w:rsidRPr="00F800C9">
        <w:t>e</w:t>
      </w:r>
      <w:r>
        <w:t xml:space="preserve"> </w:t>
      </w:r>
      <w:r w:rsidR="00F800C9">
        <w:t xml:space="preserve">Explanatory Statement is approved by </w:t>
      </w:r>
      <w:r w:rsidR="00F800C9" w:rsidRPr="00C4170B">
        <w:t>the Australian Securities and Investments</w:t>
      </w:r>
      <w:r w:rsidR="00F800C9">
        <w:t> </w:t>
      </w:r>
      <w:r w:rsidR="00F800C9" w:rsidRPr="00C4170B">
        <w:t>Commission</w:t>
      </w:r>
      <w:r w:rsidR="00F800C9">
        <w:t xml:space="preserve"> (</w:t>
      </w:r>
      <w:r w:rsidR="00F800C9" w:rsidRPr="00C4170B">
        <w:rPr>
          <w:b/>
          <w:i/>
        </w:rPr>
        <w:t>ASIC</w:t>
      </w:r>
      <w:r w:rsidR="00F800C9">
        <w:t>).</w:t>
      </w:r>
    </w:p>
    <w:p w14:paraId="3BEB379B" w14:textId="77777777" w:rsidR="00F800C9" w:rsidRPr="00FF625D" w:rsidRDefault="005D1FEA" w:rsidP="00D14957">
      <w:pPr>
        <w:pStyle w:val="LI-BodyTextNumbered"/>
        <w:ind w:left="0" w:firstLine="0"/>
        <w:contextualSpacing/>
        <w:jc w:val="both"/>
        <w:rPr>
          <w:b/>
        </w:rPr>
      </w:pPr>
      <w:r w:rsidRPr="00FF625D">
        <w:rPr>
          <w:b/>
        </w:rPr>
        <w:t>Summary</w:t>
      </w:r>
    </w:p>
    <w:p w14:paraId="6E5DFEB5" w14:textId="0E3CCF67" w:rsidR="009F6A97" w:rsidRDefault="00F467F3" w:rsidP="00A85241">
      <w:pPr>
        <w:numPr>
          <w:ilvl w:val="0"/>
          <w:numId w:val="18"/>
        </w:numPr>
        <w:spacing w:before="240" w:line="240" w:lineRule="auto"/>
        <w:ind w:left="357"/>
        <w:jc w:val="both"/>
        <w:rPr>
          <w:sz w:val="24"/>
        </w:rPr>
      </w:pPr>
      <w:bookmarkStart w:id="2" w:name="_Hlk51744680"/>
      <w:r w:rsidRPr="00D14957">
        <w:rPr>
          <w:sz w:val="24"/>
        </w:rPr>
        <w:t>The instrument</w:t>
      </w:r>
      <w:r w:rsidR="00E07745">
        <w:rPr>
          <w:sz w:val="24"/>
        </w:rPr>
        <w:t xml:space="preserve"> amends</w:t>
      </w:r>
      <w:r w:rsidRPr="00D14957">
        <w:rPr>
          <w:sz w:val="24"/>
        </w:rPr>
        <w:t xml:space="preserve"> </w:t>
      </w:r>
      <w:r w:rsidR="00E07745" w:rsidRPr="00E07745">
        <w:rPr>
          <w:rFonts w:eastAsia="Times New Roman"/>
          <w:i/>
          <w:iCs/>
          <w:sz w:val="24"/>
          <w:szCs w:val="24"/>
          <w:lang w:eastAsia="en-AU"/>
        </w:rPr>
        <w:t>ASIC Regulated Foreign Markets Determination [OTC DET 13/1145]</w:t>
      </w:r>
      <w:r w:rsidR="00E07745">
        <w:rPr>
          <w:rFonts w:eastAsia="Times New Roman"/>
          <w:sz w:val="24"/>
          <w:szCs w:val="24"/>
          <w:lang w:eastAsia="en-AU"/>
        </w:rPr>
        <w:t xml:space="preserve"> (</w:t>
      </w:r>
      <w:r w:rsidR="00E07745" w:rsidRPr="00E07745">
        <w:rPr>
          <w:rFonts w:eastAsia="Times New Roman"/>
          <w:sz w:val="24"/>
          <w:szCs w:val="24"/>
          <w:lang w:eastAsia="en-AU"/>
        </w:rPr>
        <w:t>the</w:t>
      </w:r>
      <w:r w:rsidR="00E07745">
        <w:rPr>
          <w:rFonts w:eastAsia="Times New Roman"/>
          <w:b/>
          <w:bCs/>
          <w:sz w:val="24"/>
          <w:szCs w:val="24"/>
          <w:lang w:eastAsia="en-AU"/>
        </w:rPr>
        <w:t xml:space="preserve"> </w:t>
      </w:r>
      <w:r w:rsidR="00E07745" w:rsidRPr="00E07745">
        <w:rPr>
          <w:rFonts w:eastAsia="Times New Roman"/>
          <w:b/>
          <w:bCs/>
          <w:i/>
          <w:iCs/>
          <w:sz w:val="24"/>
          <w:szCs w:val="24"/>
          <w:lang w:eastAsia="en-AU"/>
        </w:rPr>
        <w:t>ASIC Determination</w:t>
      </w:r>
      <w:r w:rsidR="00E07745">
        <w:rPr>
          <w:rFonts w:eastAsia="Times New Roman"/>
          <w:sz w:val="24"/>
          <w:szCs w:val="24"/>
          <w:lang w:eastAsia="en-AU"/>
        </w:rPr>
        <w:t xml:space="preserve">) to </w:t>
      </w:r>
      <w:r w:rsidR="009F6A97">
        <w:rPr>
          <w:sz w:val="24"/>
        </w:rPr>
        <w:t>update the following determinations</w:t>
      </w:r>
      <w:r w:rsidR="00397DBD">
        <w:rPr>
          <w:sz w:val="24"/>
        </w:rPr>
        <w:t xml:space="preserve"> for the purposes of </w:t>
      </w:r>
      <w:r w:rsidR="00682C83">
        <w:rPr>
          <w:sz w:val="24"/>
        </w:rPr>
        <w:t>Rule 1.2.4(2) of the</w:t>
      </w:r>
      <w:r w:rsidR="00397DBD">
        <w:rPr>
          <w:sz w:val="24"/>
        </w:rPr>
        <w:t xml:space="preserve"> </w:t>
      </w:r>
      <w:r w:rsidR="00397DBD">
        <w:rPr>
          <w:i/>
          <w:iCs/>
          <w:sz w:val="24"/>
        </w:rPr>
        <w:t>ASIC Derivative Transaction Rules (Reporting) 2013 (</w:t>
      </w:r>
      <w:r w:rsidR="00397DBD">
        <w:rPr>
          <w:b/>
          <w:bCs/>
          <w:i/>
          <w:iCs/>
          <w:sz w:val="24"/>
        </w:rPr>
        <w:t>Reporting Rules</w:t>
      </w:r>
      <w:r w:rsidR="00397DBD">
        <w:rPr>
          <w:i/>
          <w:iCs/>
          <w:sz w:val="24"/>
        </w:rPr>
        <w:t>)</w:t>
      </w:r>
      <w:r w:rsidR="00397DBD">
        <w:rPr>
          <w:sz w:val="24"/>
        </w:rPr>
        <w:t>:</w:t>
      </w:r>
    </w:p>
    <w:p w14:paraId="484CA5E7" w14:textId="15D03245" w:rsidR="00397DBD" w:rsidRDefault="004B0406" w:rsidP="009F6A97">
      <w:pPr>
        <w:numPr>
          <w:ilvl w:val="1"/>
          <w:numId w:val="18"/>
        </w:numPr>
        <w:spacing w:before="240" w:line="240" w:lineRule="auto"/>
        <w:jc w:val="both"/>
        <w:rPr>
          <w:sz w:val="24"/>
        </w:rPr>
      </w:pPr>
      <w:r w:rsidRPr="00D14957">
        <w:rPr>
          <w:sz w:val="24"/>
        </w:rPr>
        <w:t xml:space="preserve">that </w:t>
      </w:r>
      <w:r w:rsidR="00862814">
        <w:rPr>
          <w:sz w:val="24"/>
        </w:rPr>
        <w:t xml:space="preserve">financial </w:t>
      </w:r>
      <w:r w:rsidR="00F467F3" w:rsidRPr="00D14957">
        <w:rPr>
          <w:sz w:val="24"/>
        </w:rPr>
        <w:t>markets</w:t>
      </w:r>
      <w:r w:rsidRPr="00D14957">
        <w:rPr>
          <w:sz w:val="24"/>
        </w:rPr>
        <w:t xml:space="preserve"> reg</w:t>
      </w:r>
      <w:r w:rsidR="00862814">
        <w:rPr>
          <w:sz w:val="24"/>
        </w:rPr>
        <w:t xml:space="preserve">istered by the Securities and Exchange Commission </w:t>
      </w:r>
      <w:r w:rsidR="009F6A97">
        <w:rPr>
          <w:sz w:val="24"/>
        </w:rPr>
        <w:t xml:space="preserve">of the United States of America </w:t>
      </w:r>
      <w:r w:rsidR="00862814">
        <w:rPr>
          <w:sz w:val="24"/>
        </w:rPr>
        <w:t>as</w:t>
      </w:r>
      <w:r w:rsidR="00627C46">
        <w:rPr>
          <w:sz w:val="24"/>
        </w:rPr>
        <w:t xml:space="preserve"> </w:t>
      </w:r>
      <w:r w:rsidR="00862814">
        <w:rPr>
          <w:sz w:val="24"/>
        </w:rPr>
        <w:t>national securities exchanges</w:t>
      </w:r>
      <w:r w:rsidR="00397DBD">
        <w:rPr>
          <w:sz w:val="24"/>
        </w:rPr>
        <w:t xml:space="preserve"> are Regulated Foreign Markets;</w:t>
      </w:r>
      <w:r w:rsidR="00862814">
        <w:rPr>
          <w:sz w:val="24"/>
        </w:rPr>
        <w:t xml:space="preserve"> and </w:t>
      </w:r>
    </w:p>
    <w:p w14:paraId="0B5E39C9" w14:textId="04D8A215" w:rsidR="00204A8E" w:rsidRPr="00D14957" w:rsidRDefault="00397DBD" w:rsidP="00CC4E6A">
      <w:pPr>
        <w:numPr>
          <w:ilvl w:val="1"/>
          <w:numId w:val="18"/>
        </w:numPr>
        <w:spacing w:before="240" w:line="240" w:lineRule="auto"/>
        <w:jc w:val="both"/>
        <w:rPr>
          <w:sz w:val="24"/>
        </w:rPr>
      </w:pPr>
      <w:r>
        <w:rPr>
          <w:sz w:val="24"/>
        </w:rPr>
        <w:t xml:space="preserve">that </w:t>
      </w:r>
      <w:r w:rsidR="00862814">
        <w:rPr>
          <w:sz w:val="24"/>
        </w:rPr>
        <w:t>certain financial markets that were</w:t>
      </w:r>
      <w:r w:rsidR="00521FE7">
        <w:rPr>
          <w:sz w:val="24"/>
        </w:rPr>
        <w:t xml:space="preserve"> </w:t>
      </w:r>
      <w:r w:rsidR="00862814">
        <w:rPr>
          <w:sz w:val="24"/>
        </w:rPr>
        <w:t xml:space="preserve">Relevant Financial Markets under </w:t>
      </w:r>
      <w:r w:rsidR="00862814" w:rsidRPr="00862814">
        <w:rPr>
          <w:i/>
          <w:iCs/>
          <w:sz w:val="24"/>
        </w:rPr>
        <w:t>ASIC Corporations (Derivative Transaction Reporting Exemption) Instrument 2015/844</w:t>
      </w:r>
      <w:r w:rsidR="00862814">
        <w:rPr>
          <w:sz w:val="24"/>
        </w:rPr>
        <w:t xml:space="preserve"> </w:t>
      </w:r>
      <w:r w:rsidR="00B3049D">
        <w:rPr>
          <w:sz w:val="24"/>
        </w:rPr>
        <w:t xml:space="preserve">(the </w:t>
      </w:r>
      <w:r w:rsidR="00B3049D" w:rsidRPr="00B3049D">
        <w:rPr>
          <w:b/>
          <w:bCs/>
          <w:i/>
          <w:iCs/>
          <w:sz w:val="24"/>
        </w:rPr>
        <w:t>Exemption</w:t>
      </w:r>
      <w:r w:rsidR="00B3049D">
        <w:rPr>
          <w:sz w:val="24"/>
        </w:rPr>
        <w:t>)</w:t>
      </w:r>
      <w:r w:rsidR="00521FE7">
        <w:rPr>
          <w:sz w:val="24"/>
        </w:rPr>
        <w:t xml:space="preserve"> prior to 1 October 2020, </w:t>
      </w:r>
      <w:r w:rsidR="00862814" w:rsidRPr="00B3049D">
        <w:rPr>
          <w:sz w:val="24"/>
        </w:rPr>
        <w:t>are</w:t>
      </w:r>
      <w:r w:rsidR="00862814">
        <w:rPr>
          <w:sz w:val="24"/>
        </w:rPr>
        <w:t xml:space="preserve"> </w:t>
      </w:r>
      <w:r w:rsidR="00627C46">
        <w:rPr>
          <w:sz w:val="24"/>
        </w:rPr>
        <w:t xml:space="preserve">now </w:t>
      </w:r>
      <w:r w:rsidR="00F467F3" w:rsidRPr="00D14957">
        <w:rPr>
          <w:sz w:val="24"/>
        </w:rPr>
        <w:t>Regulated Foreign Markets</w:t>
      </w:r>
      <w:r w:rsidR="00682C83">
        <w:rPr>
          <w:sz w:val="24"/>
        </w:rPr>
        <w:t>.</w:t>
      </w:r>
      <w:r w:rsidR="00F467F3" w:rsidRPr="00D14957">
        <w:rPr>
          <w:sz w:val="24"/>
        </w:rPr>
        <w:t xml:space="preserve"> </w:t>
      </w:r>
      <w:r w:rsidR="008319E4">
        <w:rPr>
          <w:sz w:val="24"/>
          <w:szCs w:val="24"/>
        </w:rPr>
        <w:t xml:space="preserve"> </w:t>
      </w:r>
    </w:p>
    <w:p w14:paraId="48E98752" w14:textId="09F7C178" w:rsidR="00E07745" w:rsidRPr="00E07745" w:rsidRDefault="00862814" w:rsidP="00A85241">
      <w:pPr>
        <w:numPr>
          <w:ilvl w:val="0"/>
          <w:numId w:val="18"/>
        </w:numPr>
        <w:spacing w:before="240" w:line="240" w:lineRule="auto"/>
        <w:ind w:left="357"/>
        <w:jc w:val="both"/>
        <w:rPr>
          <w:sz w:val="24"/>
        </w:rPr>
      </w:pPr>
      <w:r>
        <w:rPr>
          <w:rFonts w:eastAsia="Times New Roman"/>
          <w:sz w:val="24"/>
          <w:szCs w:val="24"/>
          <w:lang w:eastAsia="en-AU"/>
        </w:rPr>
        <w:t>The instrument also amends the</w:t>
      </w:r>
      <w:r w:rsidR="009C6462">
        <w:rPr>
          <w:rFonts w:eastAsia="Times New Roman"/>
          <w:sz w:val="24"/>
          <w:szCs w:val="24"/>
          <w:lang w:eastAsia="en-AU"/>
        </w:rPr>
        <w:t xml:space="preserve"> ASIC Determination</w:t>
      </w:r>
      <w:r>
        <w:rPr>
          <w:rFonts w:eastAsia="Times New Roman"/>
          <w:sz w:val="24"/>
          <w:szCs w:val="24"/>
          <w:lang w:eastAsia="en-AU"/>
        </w:rPr>
        <w:t xml:space="preserve"> by </w:t>
      </w:r>
      <w:r w:rsidR="00737BBE">
        <w:rPr>
          <w:rFonts w:eastAsia="Times New Roman"/>
          <w:sz w:val="24"/>
          <w:szCs w:val="24"/>
          <w:lang w:eastAsia="en-AU"/>
        </w:rPr>
        <w:t>removing</w:t>
      </w:r>
      <w:r w:rsidR="00521FE7">
        <w:rPr>
          <w:rFonts w:eastAsia="Times New Roman"/>
          <w:sz w:val="24"/>
          <w:szCs w:val="24"/>
          <w:lang w:eastAsia="en-AU"/>
        </w:rPr>
        <w:t xml:space="preserve"> </w:t>
      </w:r>
      <w:r w:rsidR="00222748">
        <w:rPr>
          <w:rFonts w:eastAsia="Times New Roman"/>
          <w:sz w:val="24"/>
          <w:szCs w:val="24"/>
          <w:lang w:eastAsia="en-AU"/>
        </w:rPr>
        <w:t xml:space="preserve">the specific identification of </w:t>
      </w:r>
      <w:r w:rsidR="00521FE7">
        <w:rPr>
          <w:rFonts w:eastAsia="Times New Roman"/>
          <w:sz w:val="24"/>
          <w:szCs w:val="24"/>
          <w:lang w:eastAsia="en-AU"/>
        </w:rPr>
        <w:t>certain</w:t>
      </w:r>
      <w:r>
        <w:rPr>
          <w:rFonts w:eastAsia="Times New Roman"/>
          <w:sz w:val="24"/>
          <w:szCs w:val="24"/>
          <w:lang w:eastAsia="en-AU"/>
        </w:rPr>
        <w:t xml:space="preserve"> financial markets that </w:t>
      </w:r>
      <w:r w:rsidR="00E07745">
        <w:rPr>
          <w:rFonts w:eastAsia="Times New Roman"/>
          <w:sz w:val="24"/>
          <w:szCs w:val="24"/>
          <w:lang w:eastAsia="en-AU"/>
        </w:rPr>
        <w:t>are Regulated Foreign Markets under</w:t>
      </w:r>
      <w:r w:rsidR="0051129A">
        <w:rPr>
          <w:rFonts w:eastAsia="Times New Roman"/>
          <w:sz w:val="24"/>
          <w:szCs w:val="24"/>
          <w:lang w:eastAsia="en-AU"/>
        </w:rPr>
        <w:t xml:space="preserve"> </w:t>
      </w:r>
      <w:r w:rsidR="00222748">
        <w:rPr>
          <w:rFonts w:eastAsia="Times New Roman"/>
          <w:sz w:val="24"/>
          <w:szCs w:val="24"/>
          <w:lang w:eastAsia="en-AU"/>
        </w:rPr>
        <w:t xml:space="preserve">the general categories in </w:t>
      </w:r>
      <w:r w:rsidR="000B7CD8">
        <w:rPr>
          <w:rFonts w:eastAsia="Times New Roman"/>
          <w:sz w:val="24"/>
          <w:szCs w:val="24"/>
          <w:lang w:eastAsia="en-AU"/>
        </w:rPr>
        <w:t>subr</w:t>
      </w:r>
      <w:r w:rsidR="0051129A">
        <w:rPr>
          <w:rFonts w:eastAsia="Times New Roman"/>
          <w:sz w:val="24"/>
          <w:szCs w:val="24"/>
          <w:lang w:eastAsia="en-AU"/>
        </w:rPr>
        <w:t>ule</w:t>
      </w:r>
      <w:r w:rsidR="000B7CD8">
        <w:rPr>
          <w:rFonts w:eastAsia="Times New Roman"/>
          <w:sz w:val="24"/>
          <w:szCs w:val="24"/>
          <w:lang w:eastAsia="en-AU"/>
        </w:rPr>
        <w:t xml:space="preserve">s 1.2.4(2A)(a) &amp; (b) </w:t>
      </w:r>
      <w:r w:rsidR="00521FE7">
        <w:rPr>
          <w:rFonts w:eastAsia="Times New Roman"/>
          <w:sz w:val="24"/>
          <w:szCs w:val="24"/>
          <w:lang w:eastAsia="en-AU"/>
        </w:rPr>
        <w:t>of</w:t>
      </w:r>
      <w:r w:rsidR="00E07745">
        <w:rPr>
          <w:rFonts w:eastAsia="Times New Roman"/>
          <w:sz w:val="24"/>
          <w:szCs w:val="24"/>
          <w:lang w:eastAsia="en-AU"/>
        </w:rPr>
        <w:t xml:space="preserve"> the Reporting Rules</w:t>
      </w:r>
      <w:r w:rsidR="00CC4E6A">
        <w:rPr>
          <w:rFonts w:eastAsia="Times New Roman"/>
          <w:sz w:val="24"/>
          <w:szCs w:val="24"/>
          <w:lang w:eastAsia="en-AU"/>
        </w:rPr>
        <w:t xml:space="preserve"> or </w:t>
      </w:r>
      <w:r w:rsidR="00222748">
        <w:rPr>
          <w:rFonts w:eastAsia="Times New Roman"/>
          <w:sz w:val="24"/>
          <w:szCs w:val="24"/>
          <w:lang w:eastAsia="en-AU"/>
        </w:rPr>
        <w:t xml:space="preserve">new paragraphs </w:t>
      </w:r>
      <w:r w:rsidR="00CC4E6A">
        <w:rPr>
          <w:rFonts w:eastAsia="Times New Roman"/>
          <w:sz w:val="24"/>
          <w:szCs w:val="24"/>
          <w:lang w:eastAsia="en-AU"/>
        </w:rPr>
        <w:t>4(w) &amp; 4(hh) of the ASIC Determination</w:t>
      </w:r>
      <w:r w:rsidR="00521FE7">
        <w:rPr>
          <w:rFonts w:eastAsia="Times New Roman"/>
          <w:sz w:val="24"/>
          <w:szCs w:val="24"/>
          <w:lang w:eastAsia="en-AU"/>
        </w:rPr>
        <w:t xml:space="preserve">. In addition, </w:t>
      </w:r>
      <w:r w:rsidR="00BA0053">
        <w:rPr>
          <w:rFonts w:eastAsia="Times New Roman"/>
          <w:sz w:val="24"/>
          <w:szCs w:val="24"/>
          <w:lang w:eastAsia="en-AU"/>
        </w:rPr>
        <w:t>the list of Regulated Foreign Markets with</w:t>
      </w:r>
      <w:r w:rsidR="00627C46">
        <w:rPr>
          <w:rFonts w:eastAsia="Times New Roman"/>
          <w:sz w:val="24"/>
          <w:szCs w:val="24"/>
          <w:lang w:eastAsia="en-AU"/>
        </w:rPr>
        <w:t>in</w:t>
      </w:r>
      <w:r w:rsidR="00BA0053">
        <w:rPr>
          <w:rFonts w:eastAsia="Times New Roman"/>
          <w:sz w:val="24"/>
          <w:szCs w:val="24"/>
          <w:lang w:eastAsia="en-AU"/>
        </w:rPr>
        <w:t xml:space="preserve"> the ASIC Determination were </w:t>
      </w:r>
      <w:r w:rsidR="00627C46">
        <w:rPr>
          <w:rFonts w:eastAsia="Times New Roman"/>
          <w:sz w:val="24"/>
          <w:szCs w:val="24"/>
          <w:lang w:eastAsia="en-AU"/>
        </w:rPr>
        <w:t>re</w:t>
      </w:r>
      <w:r w:rsidR="004B09C3">
        <w:rPr>
          <w:rFonts w:eastAsia="Times New Roman"/>
          <w:sz w:val="24"/>
          <w:szCs w:val="24"/>
          <w:lang w:eastAsia="en-AU"/>
        </w:rPr>
        <w:t>assessed</w:t>
      </w:r>
      <w:r w:rsidR="00BA0053">
        <w:rPr>
          <w:rFonts w:eastAsia="Times New Roman"/>
          <w:sz w:val="24"/>
          <w:szCs w:val="24"/>
          <w:lang w:eastAsia="en-AU"/>
        </w:rPr>
        <w:t xml:space="preserve"> </w:t>
      </w:r>
      <w:r w:rsidR="00627C46">
        <w:rPr>
          <w:rFonts w:eastAsia="Times New Roman"/>
          <w:sz w:val="24"/>
          <w:szCs w:val="24"/>
          <w:lang w:eastAsia="en-AU"/>
        </w:rPr>
        <w:t>and amended by the instrument, in regards to</w:t>
      </w:r>
      <w:r w:rsidR="00BA0053">
        <w:rPr>
          <w:rFonts w:eastAsia="Times New Roman"/>
          <w:sz w:val="24"/>
          <w:szCs w:val="24"/>
          <w:lang w:eastAsia="en-AU"/>
        </w:rPr>
        <w:t xml:space="preserve"> name updates </w:t>
      </w:r>
      <w:r w:rsidR="00521FE7">
        <w:rPr>
          <w:rFonts w:eastAsia="Times New Roman"/>
          <w:sz w:val="24"/>
          <w:szCs w:val="24"/>
          <w:lang w:eastAsia="en-AU"/>
        </w:rPr>
        <w:t>and duplicates</w:t>
      </w:r>
      <w:r w:rsidR="00E07745">
        <w:rPr>
          <w:rFonts w:eastAsia="Times New Roman"/>
          <w:sz w:val="24"/>
          <w:szCs w:val="24"/>
          <w:lang w:eastAsia="en-AU"/>
        </w:rPr>
        <w:t>.</w:t>
      </w:r>
      <w:r w:rsidR="00627C46">
        <w:rPr>
          <w:rFonts w:eastAsia="Times New Roman"/>
          <w:sz w:val="24"/>
          <w:szCs w:val="24"/>
          <w:lang w:eastAsia="en-AU"/>
        </w:rPr>
        <w:t xml:space="preserve"> </w:t>
      </w:r>
    </w:p>
    <w:p w14:paraId="273AE61C" w14:textId="2E29C8E9" w:rsidR="00BA0053" w:rsidRDefault="006C5DA1" w:rsidP="00A85241">
      <w:pPr>
        <w:pStyle w:val="LI-BodyTextParaa"/>
        <w:numPr>
          <w:ilvl w:val="0"/>
          <w:numId w:val="18"/>
        </w:numPr>
        <w:ind w:left="357" w:hanging="357"/>
        <w:jc w:val="both"/>
      </w:pPr>
      <w:r>
        <w:t xml:space="preserve">Amending the </w:t>
      </w:r>
      <w:r w:rsidR="00BA0053">
        <w:t xml:space="preserve">ASIC Determination </w:t>
      </w:r>
      <w:r>
        <w:t>by</w:t>
      </w:r>
      <w:r w:rsidR="00BA0053">
        <w:t xml:space="preserve"> updating the Regulated Foreign Markets list, also </w:t>
      </w:r>
      <w:r w:rsidR="00222748">
        <w:t>a</w:t>
      </w:r>
      <w:r w:rsidR="00BA0053">
        <w:t xml:space="preserve">ffects the </w:t>
      </w:r>
      <w:r w:rsidR="00BA0053">
        <w:rPr>
          <w:i/>
          <w:iCs/>
        </w:rPr>
        <w:t>ASIC Derivative Transaction Rules (Clearing) 2015</w:t>
      </w:r>
      <w:r w:rsidR="00BA0053">
        <w:t xml:space="preserve"> (</w:t>
      </w:r>
      <w:r w:rsidR="00BA0053">
        <w:rPr>
          <w:b/>
          <w:bCs/>
        </w:rPr>
        <w:t>Clearing Rules</w:t>
      </w:r>
      <w:r w:rsidR="00BA0053">
        <w:t xml:space="preserve">) which </w:t>
      </w:r>
      <w:r w:rsidR="00222748">
        <w:t xml:space="preserve">contains an exclusion  from the clearing requirements under the Clearing Rules  that applies in relation to </w:t>
      </w:r>
      <w:r w:rsidR="00BA0053">
        <w:t xml:space="preserve">Regulated Foreign Markets that are determined by ASIC under subrule 1.2.4(3) of the Reporting Rules. </w:t>
      </w:r>
    </w:p>
    <w:bookmarkEnd w:id="2"/>
    <w:p w14:paraId="5C6C96A9" w14:textId="77777777" w:rsidR="005E541E" w:rsidRDefault="005E541E">
      <w:pPr>
        <w:spacing w:line="240" w:lineRule="auto"/>
        <w:rPr>
          <w:rFonts w:eastAsia="Times New Roman"/>
          <w:b/>
          <w:sz w:val="24"/>
          <w:szCs w:val="24"/>
          <w:lang w:eastAsia="en-AU"/>
        </w:rPr>
      </w:pPr>
      <w:r>
        <w:rPr>
          <w:b/>
        </w:rPr>
        <w:br w:type="page"/>
      </w:r>
    </w:p>
    <w:p w14:paraId="7A444AFB" w14:textId="7F0776FC" w:rsidR="005D1FEA" w:rsidRPr="00FF625D" w:rsidRDefault="005D1FEA" w:rsidP="00D14957">
      <w:pPr>
        <w:pStyle w:val="LI-BodyTextParaa"/>
        <w:ind w:left="567"/>
        <w:jc w:val="both"/>
        <w:rPr>
          <w:b/>
        </w:rPr>
      </w:pPr>
      <w:r w:rsidRPr="00FF625D">
        <w:rPr>
          <w:b/>
        </w:rPr>
        <w:lastRenderedPageBreak/>
        <w:t>Purpose of the instrument</w:t>
      </w:r>
    </w:p>
    <w:p w14:paraId="3A46DA3A" w14:textId="140D4E84" w:rsidR="00CB4049" w:rsidRDefault="00CB4049" w:rsidP="00D14957">
      <w:pPr>
        <w:pStyle w:val="LI-BodyTextParaa"/>
        <w:numPr>
          <w:ilvl w:val="0"/>
          <w:numId w:val="18"/>
        </w:numPr>
        <w:jc w:val="both"/>
      </w:pPr>
      <w:r>
        <w:t xml:space="preserve">The purpose of the </w:t>
      </w:r>
      <w:r w:rsidR="005164F6">
        <w:t>i</w:t>
      </w:r>
      <w:r>
        <w:t xml:space="preserve">nstrument is to update </w:t>
      </w:r>
      <w:r w:rsidR="001F4BD2">
        <w:t xml:space="preserve">what is a classified as a Regulated Foreign Market for the purposes of Rule 1.2.4(3) of the Reporting Rules. The effect of the ASIC Determination is that derivatives that are entered </w:t>
      </w:r>
      <w:r w:rsidR="00222748">
        <w:t xml:space="preserve">into, and able to be traded, on </w:t>
      </w:r>
      <w:r w:rsidR="001F4BD2">
        <w:t>those financial markets that are</w:t>
      </w:r>
      <w:r w:rsidR="00B06341">
        <w:t xml:space="preserve"> </w:t>
      </w:r>
      <w:r w:rsidR="001F4BD2">
        <w:t>Regulated Foreign Markets will be carved out of the reporting requirements in the Reporting Rules and</w:t>
      </w:r>
      <w:r w:rsidR="00B704E1">
        <w:t xml:space="preserve"> carved out of</w:t>
      </w:r>
      <w:r w:rsidR="001F4BD2">
        <w:t xml:space="preserve"> the clearing requirements in the Clearing Rules. </w:t>
      </w:r>
    </w:p>
    <w:p w14:paraId="28FD89BA" w14:textId="306DD7C8" w:rsidR="00DD6CFD" w:rsidRPr="00FF625D" w:rsidRDefault="00DD56AF" w:rsidP="00D14957">
      <w:pPr>
        <w:pStyle w:val="LI-BodyTextParaa"/>
        <w:numPr>
          <w:ilvl w:val="0"/>
          <w:numId w:val="18"/>
        </w:numPr>
        <w:jc w:val="both"/>
      </w:pPr>
      <w:r w:rsidRPr="00FF625D">
        <w:t>The Reporting Rules and Clearing Rules together form part of Australia’s implementation of the Group of Twenty (</w:t>
      </w:r>
      <w:r w:rsidRPr="00FF625D">
        <w:rPr>
          <w:b/>
          <w:i/>
        </w:rPr>
        <w:t>G20</w:t>
      </w:r>
      <w:r w:rsidRPr="00FF625D">
        <w:t xml:space="preserve">) commitment to </w:t>
      </w:r>
      <w:r w:rsidR="004007A4">
        <w:t>substantially reform</w:t>
      </w:r>
      <w:r w:rsidRPr="00FF625D">
        <w:t xml:space="preserve"> practices in over-the-counter (</w:t>
      </w:r>
      <w:r w:rsidRPr="00FF625D">
        <w:rPr>
          <w:b/>
          <w:i/>
        </w:rPr>
        <w:t>OTC</w:t>
      </w:r>
      <w:r w:rsidRPr="00FF625D">
        <w:t xml:space="preserve">) derivatives markets following the global financial crisis in 2008. </w:t>
      </w:r>
      <w:r w:rsidR="00A96079">
        <w:t xml:space="preserve"> </w:t>
      </w:r>
    </w:p>
    <w:p w14:paraId="219978DE" w14:textId="77777777" w:rsidR="00DD6CFD" w:rsidRPr="00D14957" w:rsidRDefault="00DD6CFD" w:rsidP="00D14957">
      <w:pPr>
        <w:pStyle w:val="LI-BodyTextParaa"/>
        <w:ind w:left="360" w:firstLine="0"/>
        <w:jc w:val="both"/>
        <w:rPr>
          <w:u w:val="single"/>
        </w:rPr>
      </w:pPr>
      <w:r w:rsidRPr="00D14957">
        <w:rPr>
          <w:i/>
          <w:u w:val="single"/>
        </w:rPr>
        <w:t>Reporting Rules</w:t>
      </w:r>
    </w:p>
    <w:p w14:paraId="17BE9D64" w14:textId="77777777" w:rsidR="00A26457" w:rsidRPr="00FF625D" w:rsidRDefault="003D3400" w:rsidP="00D14957">
      <w:pPr>
        <w:pStyle w:val="LI-BodyTextParaa"/>
        <w:numPr>
          <w:ilvl w:val="0"/>
          <w:numId w:val="18"/>
        </w:numPr>
        <w:jc w:val="both"/>
      </w:pPr>
      <w:r w:rsidRPr="00FF625D">
        <w:t xml:space="preserve">The Reporting Rules, made under section 901A of the </w:t>
      </w:r>
      <w:r w:rsidRPr="00FF625D">
        <w:rPr>
          <w:i/>
        </w:rPr>
        <w:t>Corporations Act 2001</w:t>
      </w:r>
      <w:r w:rsidRPr="00FF625D">
        <w:t xml:space="preserve"> (</w:t>
      </w:r>
      <w:r w:rsidRPr="00FF625D">
        <w:rPr>
          <w:b/>
          <w:i/>
        </w:rPr>
        <w:t>Act</w:t>
      </w:r>
      <w:r w:rsidRPr="00FF625D">
        <w:t>), impose requirements (referred to as ‘reporting requirements’) for information about derivative transactions and positions to be reported to a licensed or prescribed derivative trade repository.</w:t>
      </w:r>
    </w:p>
    <w:p w14:paraId="06A8B669" w14:textId="5D89D673" w:rsidR="005A73B1" w:rsidRPr="00FF625D" w:rsidRDefault="00202EBA" w:rsidP="00D14957">
      <w:pPr>
        <w:pStyle w:val="LI-BodyTextParaa"/>
        <w:numPr>
          <w:ilvl w:val="0"/>
          <w:numId w:val="18"/>
        </w:numPr>
        <w:jc w:val="both"/>
      </w:pPr>
      <w:r w:rsidRPr="00FF625D">
        <w:t xml:space="preserve">The Reporting Rules generally apply to transactions and positions in relation to “OTC Derivatives” as defined </w:t>
      </w:r>
      <w:r w:rsidR="00C54FCC">
        <w:t>under</w:t>
      </w:r>
      <w:r w:rsidRPr="00FF625D">
        <w:t xml:space="preserve"> Rule</w:t>
      </w:r>
      <w:r w:rsidR="0024731D" w:rsidRPr="00FF625D">
        <w:t xml:space="preserve"> 1.2.4 of the Reporting Rules</w:t>
      </w:r>
      <w:r w:rsidRPr="00FF625D">
        <w:t xml:space="preserve">. Subrule 1.2.4(2) of the Reporting Rules </w:t>
      </w:r>
      <w:r w:rsidR="0024731D" w:rsidRPr="00FF625D">
        <w:t>carves out certain exchange-traded derivatives from the definition of “OTC Derivatives”</w:t>
      </w:r>
      <w:r w:rsidR="00FD3174">
        <w:t xml:space="preserve">, being </w:t>
      </w:r>
      <w:r w:rsidR="0024731D" w:rsidRPr="00FF625D">
        <w:t>derivatives</w:t>
      </w:r>
      <w:r w:rsidR="003334D9">
        <w:t xml:space="preserve"> </w:t>
      </w:r>
      <w:r w:rsidR="0054184A" w:rsidRPr="00FF625D">
        <w:t xml:space="preserve">entered into on or </w:t>
      </w:r>
      <w:r w:rsidR="0002287D">
        <w:t xml:space="preserve"> are </w:t>
      </w:r>
      <w:r w:rsidR="0054184A" w:rsidRPr="00FF625D">
        <w:t>reported to a</w:t>
      </w:r>
      <w:r w:rsidR="00FD3174">
        <w:t xml:space="preserve">  licensed Australian market (referred to as </w:t>
      </w:r>
      <w:r w:rsidR="0054184A" w:rsidRPr="00FF625D">
        <w:t>“Part 7.2A market”) or entered into on a</w:t>
      </w:r>
      <w:r w:rsidR="004262EB" w:rsidRPr="00FF625D">
        <w:t xml:space="preserve"> </w:t>
      </w:r>
      <w:r w:rsidR="0024731D" w:rsidRPr="00FF625D">
        <w:t>“Regulated Foreign Market”</w:t>
      </w:r>
      <w:r w:rsidR="00FD3174">
        <w:t xml:space="preserve"> as defined in the Reporting Rules</w:t>
      </w:r>
      <w:r w:rsidR="003334D9">
        <w:t xml:space="preserve"> and that are able to be traded on a Part 7.2A market or a Regulated Foreign Market</w:t>
      </w:r>
      <w:r w:rsidR="0054184A" w:rsidRPr="00FF625D">
        <w:t xml:space="preserve">. </w:t>
      </w:r>
    </w:p>
    <w:p w14:paraId="116A8CA6" w14:textId="178103A8" w:rsidR="0024731D" w:rsidRPr="00FF625D" w:rsidRDefault="005A73B1" w:rsidP="00D14957">
      <w:pPr>
        <w:pStyle w:val="LI-BodyTextParaa"/>
        <w:numPr>
          <w:ilvl w:val="0"/>
          <w:numId w:val="18"/>
        </w:numPr>
        <w:jc w:val="both"/>
      </w:pPr>
      <w:r w:rsidRPr="00FF625D">
        <w:t xml:space="preserve">Subrule 1.2.4(2A) provides that the following are </w:t>
      </w:r>
      <w:r w:rsidR="00DE3209" w:rsidRPr="00FF625D">
        <w:t>Regulated Foreign Market</w:t>
      </w:r>
      <w:r w:rsidRPr="00FF625D">
        <w:t>s</w:t>
      </w:r>
      <w:r w:rsidR="00DE3209" w:rsidRPr="00FF625D">
        <w:t>:</w:t>
      </w:r>
    </w:p>
    <w:p w14:paraId="3FA2801D" w14:textId="58C24A80" w:rsidR="00DE3209" w:rsidRPr="00FF625D" w:rsidRDefault="00CB5DB8" w:rsidP="00D14957">
      <w:pPr>
        <w:pStyle w:val="LI-BodyTextParaa"/>
        <w:numPr>
          <w:ilvl w:val="1"/>
          <w:numId w:val="18"/>
        </w:numPr>
        <w:jc w:val="both"/>
      </w:pPr>
      <w:r w:rsidRPr="00FF625D">
        <w:t xml:space="preserve">a financial market </w:t>
      </w:r>
      <w:r w:rsidR="00DE3209" w:rsidRPr="00FF625D">
        <w:t>that is registered by the United States Commodity Futures Trading Commission as a "Designated Contract Market" under section 5h of Commodity Exchange Act 1936 (US)</w:t>
      </w:r>
      <w:r w:rsidR="00B648A8" w:rsidRPr="00FF625D">
        <w:t xml:space="preserve"> (</w:t>
      </w:r>
      <w:r w:rsidR="00A437B7" w:rsidRPr="00FF625D">
        <w:t xml:space="preserve">a </w:t>
      </w:r>
      <w:r w:rsidR="00E07745">
        <w:rPr>
          <w:b/>
          <w:i/>
        </w:rPr>
        <w:t>CFTC</w:t>
      </w:r>
      <w:r w:rsidR="00A437B7" w:rsidRPr="00D14957">
        <w:rPr>
          <w:b/>
          <w:i/>
        </w:rPr>
        <w:t xml:space="preserve"> </w:t>
      </w:r>
      <w:r w:rsidR="00B648A8" w:rsidRPr="00D14957">
        <w:rPr>
          <w:b/>
          <w:i/>
        </w:rPr>
        <w:t>Regulated Market</w:t>
      </w:r>
      <w:r w:rsidR="00B648A8" w:rsidRPr="00FF625D">
        <w:t>)</w:t>
      </w:r>
      <w:r w:rsidR="00DE3209" w:rsidRPr="00FF625D">
        <w:t>;</w:t>
      </w:r>
    </w:p>
    <w:p w14:paraId="5819C122" w14:textId="3C4056CE" w:rsidR="00DE3209" w:rsidRPr="00FF625D" w:rsidRDefault="00CB5DB8" w:rsidP="00D14957">
      <w:pPr>
        <w:pStyle w:val="LI-BodyTextParaa"/>
        <w:numPr>
          <w:ilvl w:val="1"/>
          <w:numId w:val="18"/>
        </w:numPr>
        <w:jc w:val="both"/>
      </w:pPr>
      <w:r w:rsidRPr="00FF625D">
        <w:t xml:space="preserve">a financial market </w:t>
      </w:r>
      <w:r w:rsidR="00DE3209" w:rsidRPr="00FF625D">
        <w:t xml:space="preserve">that is a "Regulated market" as defined in Article 4(1)(21) of Directive 2014/65/EU of the European Parliament and of the Council of 15 May 2014 on markets in financial instruments </w:t>
      </w:r>
      <w:r w:rsidR="00A437B7" w:rsidRPr="00FF625D">
        <w:t xml:space="preserve">(an </w:t>
      </w:r>
      <w:r w:rsidR="00A437B7" w:rsidRPr="00D14957">
        <w:rPr>
          <w:b/>
          <w:i/>
        </w:rPr>
        <w:t>EU</w:t>
      </w:r>
      <w:r w:rsidR="00AF4C5C" w:rsidRPr="00D14957">
        <w:rPr>
          <w:b/>
          <w:i/>
        </w:rPr>
        <w:t xml:space="preserve"> Regulated Market</w:t>
      </w:r>
      <w:r w:rsidR="00AF4C5C" w:rsidRPr="00FF625D">
        <w:t>)</w:t>
      </w:r>
      <w:r w:rsidR="00477145">
        <w:t>; and</w:t>
      </w:r>
    </w:p>
    <w:p w14:paraId="6F132511" w14:textId="77777777" w:rsidR="00DE3209" w:rsidRPr="00FF625D" w:rsidRDefault="00CB5DB8" w:rsidP="00D14957">
      <w:pPr>
        <w:pStyle w:val="LI-BodyTextParaa"/>
        <w:numPr>
          <w:ilvl w:val="1"/>
          <w:numId w:val="18"/>
        </w:numPr>
        <w:jc w:val="both"/>
      </w:pPr>
      <w:r w:rsidRPr="00FF625D">
        <w:t xml:space="preserve">a financial market </w:t>
      </w:r>
      <w:r w:rsidR="00DE3209" w:rsidRPr="00FF625D">
        <w:t>that is a financial market, or is in a class of financial markets, that has been determined by ASIC as a Regulated Foreign Market under subrule 1.2.4(3)</w:t>
      </w:r>
      <w:r w:rsidR="001D5FA4">
        <w:t xml:space="preserve"> of the Reporting Rules</w:t>
      </w:r>
      <w:r w:rsidR="00DE3209" w:rsidRPr="00FF625D">
        <w:t>.</w:t>
      </w:r>
    </w:p>
    <w:p w14:paraId="4C81F6B6" w14:textId="77777777" w:rsidR="00B648A8" w:rsidRPr="00FF625D" w:rsidRDefault="00DE3209" w:rsidP="00D14957">
      <w:pPr>
        <w:pStyle w:val="LI-BodyTextParaa"/>
        <w:numPr>
          <w:ilvl w:val="0"/>
          <w:numId w:val="18"/>
        </w:numPr>
        <w:jc w:val="both"/>
      </w:pPr>
      <w:bookmarkStart w:id="3" w:name="_Ref5662552"/>
      <w:r w:rsidRPr="00FF625D">
        <w:t xml:space="preserve">Under subrule 1.2.4(3) of the Reporting Rules, ASIC may determine that a financial market </w:t>
      </w:r>
      <w:r w:rsidR="002C7EC3" w:rsidRPr="00FF625D">
        <w:t xml:space="preserve">in a foreign jurisdiction is a </w:t>
      </w:r>
      <w:r w:rsidR="002C7EC3">
        <w:t>“</w:t>
      </w:r>
      <w:r w:rsidR="002C7EC3" w:rsidRPr="00FF625D">
        <w:t>Regulated Foreign Market</w:t>
      </w:r>
      <w:r w:rsidR="002C7EC3">
        <w:t>”</w:t>
      </w:r>
      <w:r w:rsidRPr="00FF625D">
        <w:t xml:space="preserve"> for the purposes of subrule 1.2.4(2), where, in the opinion of ASIC, the operation of the financial market in the foreign jurisdiction is subject to requirements and supervision that are sufficiently equivalent, in relation to market integrity and market transparency, to the requirements and supervision to which</w:t>
      </w:r>
      <w:r w:rsidR="00B648A8" w:rsidRPr="00FF625D">
        <w:t>:</w:t>
      </w:r>
      <w:bookmarkEnd w:id="3"/>
    </w:p>
    <w:p w14:paraId="30E26F92" w14:textId="2F0BD950" w:rsidR="00A437B7" w:rsidRPr="00FF625D" w:rsidRDefault="00A437B7" w:rsidP="00D14957">
      <w:pPr>
        <w:pStyle w:val="LI-BodyTextParaa"/>
        <w:numPr>
          <w:ilvl w:val="1"/>
          <w:numId w:val="18"/>
        </w:numPr>
        <w:jc w:val="both"/>
      </w:pPr>
      <w:r w:rsidRPr="00FF625D">
        <w:lastRenderedPageBreak/>
        <w:t xml:space="preserve">a </w:t>
      </w:r>
      <w:r w:rsidR="00E07745">
        <w:t>CFTC</w:t>
      </w:r>
      <w:r w:rsidRPr="00FF625D">
        <w:t xml:space="preserve"> Regulated Market is subject to in the United States of America;</w:t>
      </w:r>
    </w:p>
    <w:p w14:paraId="79DF0A81" w14:textId="191C81F6" w:rsidR="00A437B7" w:rsidRPr="00FF625D" w:rsidRDefault="00A437B7" w:rsidP="00D14957">
      <w:pPr>
        <w:pStyle w:val="LI-BodyTextParaa"/>
        <w:numPr>
          <w:ilvl w:val="1"/>
          <w:numId w:val="18"/>
        </w:numPr>
        <w:jc w:val="both"/>
      </w:pPr>
      <w:r w:rsidRPr="00FF625D">
        <w:t xml:space="preserve">an EU Regulated Market is subject in the </w:t>
      </w:r>
      <w:r w:rsidR="00940103">
        <w:t>E</w:t>
      </w:r>
      <w:r w:rsidR="00CB4049">
        <w:t xml:space="preserve">uropean </w:t>
      </w:r>
      <w:r w:rsidR="00940103">
        <w:t>U</w:t>
      </w:r>
      <w:r w:rsidR="00CB4049">
        <w:t>nion</w:t>
      </w:r>
      <w:r w:rsidRPr="00FF625D">
        <w:t>; or</w:t>
      </w:r>
    </w:p>
    <w:p w14:paraId="7CA2E83A" w14:textId="77777777" w:rsidR="00B648A8" w:rsidRPr="00FF625D" w:rsidRDefault="00DE3209" w:rsidP="00D14957">
      <w:pPr>
        <w:pStyle w:val="LI-BodyTextParaa"/>
        <w:numPr>
          <w:ilvl w:val="1"/>
          <w:numId w:val="18"/>
        </w:numPr>
        <w:jc w:val="both"/>
      </w:pPr>
      <w:r w:rsidRPr="00FF625D">
        <w:t xml:space="preserve">a Part 7.2A Market is subject in this jurisdiction. </w:t>
      </w:r>
    </w:p>
    <w:p w14:paraId="10B3F288" w14:textId="77777777" w:rsidR="00DE3209" w:rsidRPr="00FF625D" w:rsidRDefault="00DE3209" w:rsidP="00D14957">
      <w:pPr>
        <w:pStyle w:val="LI-BodyTextParaa"/>
        <w:numPr>
          <w:ilvl w:val="0"/>
          <w:numId w:val="18"/>
        </w:numPr>
        <w:jc w:val="both"/>
      </w:pPr>
      <w:r w:rsidRPr="00FF625D">
        <w:t>A determination by ASIC for the purposes of subrule 1.2.4(3)</w:t>
      </w:r>
      <w:r w:rsidR="00A437B7" w:rsidRPr="00FF625D">
        <w:t xml:space="preserve"> of the Reporting Rules</w:t>
      </w:r>
      <w:r w:rsidRPr="00FF625D">
        <w:t xml:space="preserve"> will be published on ASIC’s website and takes effect on the day </w:t>
      </w:r>
      <w:r w:rsidR="00A437B7" w:rsidRPr="00FF625D">
        <w:t xml:space="preserve">specified in the determination </w:t>
      </w:r>
      <w:r w:rsidRPr="00FF625D">
        <w:t>(see subrule 1.2.4(4)</w:t>
      </w:r>
      <w:r w:rsidR="00A437B7" w:rsidRPr="00FF625D">
        <w:t xml:space="preserve"> of the Reporting Rules</w:t>
      </w:r>
      <w:r w:rsidRPr="00FF625D">
        <w:t>).</w:t>
      </w:r>
    </w:p>
    <w:p w14:paraId="626C0FD0" w14:textId="77777777" w:rsidR="00DD6CFD" w:rsidRPr="00D14957" w:rsidRDefault="00DD6CFD" w:rsidP="00D14957">
      <w:pPr>
        <w:pStyle w:val="LI-BodyTextParaa"/>
        <w:ind w:left="360" w:firstLine="0"/>
        <w:jc w:val="both"/>
        <w:rPr>
          <w:i/>
          <w:u w:val="single"/>
        </w:rPr>
      </w:pPr>
      <w:r w:rsidRPr="00D14957">
        <w:rPr>
          <w:i/>
          <w:u w:val="single"/>
        </w:rPr>
        <w:t>Clearing Rules</w:t>
      </w:r>
    </w:p>
    <w:p w14:paraId="66A7988B" w14:textId="77777777" w:rsidR="00DD6CFD" w:rsidRPr="00FF625D" w:rsidRDefault="00DD6CFD" w:rsidP="00D14957">
      <w:pPr>
        <w:pStyle w:val="LI-BodyTextParaa"/>
        <w:numPr>
          <w:ilvl w:val="0"/>
          <w:numId w:val="18"/>
        </w:numPr>
        <w:jc w:val="both"/>
      </w:pPr>
      <w:r w:rsidRPr="00FF625D">
        <w:t>The Clearing Rules, also made under section 901A of the Act, impose requirements (referred to as ‘clearing requirements’) for derivative transactions to be cleared through a licensed or prescribed clearing and settlement facility.</w:t>
      </w:r>
    </w:p>
    <w:p w14:paraId="4694019C" w14:textId="2DCC15ED" w:rsidR="008975BF" w:rsidRPr="00FF625D" w:rsidRDefault="00202EBA" w:rsidP="00D14957">
      <w:pPr>
        <w:pStyle w:val="LI-BodyTextParaa"/>
        <w:numPr>
          <w:ilvl w:val="0"/>
          <w:numId w:val="18"/>
        </w:numPr>
        <w:jc w:val="both"/>
      </w:pPr>
      <w:r w:rsidRPr="00FF625D">
        <w:t>The Clearing Rules generally apply to transactions in</w:t>
      </w:r>
      <w:r w:rsidR="001B5E68" w:rsidRPr="00FF625D">
        <w:t xml:space="preserve"> relation to</w:t>
      </w:r>
      <w:r w:rsidRPr="00FF625D">
        <w:t xml:space="preserve"> “Clearing Derivatives” as defined in Rule 1.2.3 of the Clearing Rules.</w:t>
      </w:r>
      <w:r w:rsidR="003702B7" w:rsidRPr="00FF625D">
        <w:t xml:space="preserve"> Subrule 1.2.3(7) of the Clearing Rules carves out </w:t>
      </w:r>
      <w:r w:rsidR="001B5E68" w:rsidRPr="00FF625D">
        <w:t>certain exchange-traded derivatives from the definition of “Clearing Derivative” for the purposes of the Clearing Rules</w:t>
      </w:r>
      <w:r w:rsidR="00113301">
        <w:t>, being derivatives</w:t>
      </w:r>
      <w:r w:rsidR="001B5E68" w:rsidRPr="00FF625D">
        <w:t xml:space="preserve"> entered into on or reported to a “Part 7.2A Market” </w:t>
      </w:r>
      <w:r w:rsidR="008975BF" w:rsidRPr="00FF625D">
        <w:t xml:space="preserve">or entered into on </w:t>
      </w:r>
      <w:r w:rsidR="001B5E68" w:rsidRPr="00FF625D">
        <w:t>a “Regulated Foreign Market” or an “Exempt Financial Market”</w:t>
      </w:r>
      <w:r w:rsidR="003334D9">
        <w:t xml:space="preserve"> and that are able to be traded on a Part 7.2A Market, a Regulated Foreign Market or an Exempt Financial Market</w:t>
      </w:r>
      <w:r w:rsidR="001B5E68" w:rsidRPr="00FF625D">
        <w:t xml:space="preserve">. For this purpose, </w:t>
      </w:r>
      <w:r w:rsidR="005B342D">
        <w:t>R</w:t>
      </w:r>
      <w:r w:rsidR="001B5E68" w:rsidRPr="00FF625D">
        <w:t>ule</w:t>
      </w:r>
      <w:r w:rsidR="008975BF" w:rsidRPr="00FF625D">
        <w:t xml:space="preserve"> 1.2.1 defines “Regulated Foreign Market” to mean:</w:t>
      </w:r>
    </w:p>
    <w:p w14:paraId="370E93D7" w14:textId="6884E8B3" w:rsidR="008975BF" w:rsidRPr="00FF625D" w:rsidRDefault="006A7EA0" w:rsidP="00D14957">
      <w:pPr>
        <w:pStyle w:val="LI-BodyTextParaa"/>
        <w:numPr>
          <w:ilvl w:val="1"/>
          <w:numId w:val="18"/>
        </w:numPr>
        <w:jc w:val="both"/>
      </w:pPr>
      <w:r w:rsidRPr="00FF625D">
        <w:t>a</w:t>
      </w:r>
      <w:r w:rsidR="008975BF" w:rsidRPr="00FF625D">
        <w:t xml:space="preserve"> </w:t>
      </w:r>
      <w:r w:rsidR="00E07745">
        <w:t>CFTC</w:t>
      </w:r>
      <w:r w:rsidR="008975BF" w:rsidRPr="00FF625D">
        <w:t xml:space="preserve"> Regulated Market;</w:t>
      </w:r>
    </w:p>
    <w:p w14:paraId="454A7499" w14:textId="77777777" w:rsidR="008975BF" w:rsidRPr="00FF625D" w:rsidRDefault="008975BF" w:rsidP="00D14957">
      <w:pPr>
        <w:pStyle w:val="LI-BodyTextParaa"/>
        <w:numPr>
          <w:ilvl w:val="1"/>
          <w:numId w:val="18"/>
        </w:numPr>
        <w:jc w:val="both"/>
      </w:pPr>
      <w:r w:rsidRPr="00FF625D">
        <w:t>an EU Regulated Market;</w:t>
      </w:r>
    </w:p>
    <w:p w14:paraId="5467F516" w14:textId="77777777" w:rsidR="00202EBA" w:rsidRPr="00FF625D" w:rsidRDefault="008975BF" w:rsidP="00D14957">
      <w:pPr>
        <w:pStyle w:val="LI-BodyTextParaa"/>
        <w:numPr>
          <w:ilvl w:val="1"/>
          <w:numId w:val="18"/>
        </w:numPr>
        <w:jc w:val="both"/>
      </w:pPr>
      <w:r w:rsidRPr="00FF625D">
        <w:t>a financial market that is</w:t>
      </w:r>
      <w:r w:rsidR="00A34DD8">
        <w:t xml:space="preserve"> a</w:t>
      </w:r>
      <w:r w:rsidRPr="00FF625D">
        <w:t xml:space="preserve"> financial market, or is in a class of financial markets, that has been determined by ASIC as a Regulated Foreign Market under subrule 1.2.4(3) of the Reporting Rules.</w:t>
      </w:r>
      <w:r w:rsidR="001B5E68" w:rsidRPr="00FF625D">
        <w:t xml:space="preserve"> </w:t>
      </w:r>
    </w:p>
    <w:p w14:paraId="33322F39" w14:textId="0BF4D1F9" w:rsidR="00202EBA" w:rsidRPr="00FF625D" w:rsidRDefault="006A7EA0" w:rsidP="00D14957">
      <w:pPr>
        <w:pStyle w:val="LI-BodyTextParaa"/>
        <w:numPr>
          <w:ilvl w:val="0"/>
          <w:numId w:val="18"/>
        </w:numPr>
        <w:jc w:val="both"/>
      </w:pPr>
      <w:r w:rsidRPr="00FF625D">
        <w:t>Accordingly</w:t>
      </w:r>
      <w:r w:rsidR="009C6462">
        <w:t>,</w:t>
      </w:r>
      <w:r w:rsidRPr="00FF625D">
        <w:t xml:space="preserve"> any determination of a Regulated Foreign Market for the purposes of subrule 1.2.4(3) of the Reporting Rules </w:t>
      </w:r>
      <w:r w:rsidR="00A0228A">
        <w:t xml:space="preserve">also </w:t>
      </w:r>
      <w:r w:rsidR="003334D9">
        <w:t>affects the operation</w:t>
      </w:r>
      <w:r w:rsidRPr="00FF625D">
        <w:t xml:space="preserve"> of the Clearing Rules.</w:t>
      </w:r>
    </w:p>
    <w:p w14:paraId="6F999EDD" w14:textId="5DE009C6" w:rsidR="004A5A9F" w:rsidRPr="00D14957" w:rsidRDefault="00B3049D" w:rsidP="00D14957">
      <w:pPr>
        <w:pStyle w:val="LI-BodyTextParaa"/>
        <w:ind w:left="360" w:firstLine="0"/>
        <w:jc w:val="both"/>
        <w:rPr>
          <w:i/>
          <w:u w:val="single"/>
        </w:rPr>
      </w:pPr>
      <w:bookmarkStart w:id="4" w:name="_Hlk50372581"/>
      <w:r>
        <w:rPr>
          <w:i/>
          <w:u w:val="single"/>
        </w:rPr>
        <w:t xml:space="preserve">SEC </w:t>
      </w:r>
      <w:r w:rsidR="004A5A9F" w:rsidRPr="00D14957">
        <w:rPr>
          <w:i/>
          <w:u w:val="single"/>
        </w:rPr>
        <w:t>Regulated Markets</w:t>
      </w:r>
    </w:p>
    <w:bookmarkEnd w:id="4"/>
    <w:p w14:paraId="237172BF" w14:textId="4E3E3547" w:rsidR="00B3049D" w:rsidRDefault="00143C69" w:rsidP="00D14957">
      <w:pPr>
        <w:pStyle w:val="LI-BodyTextParaa"/>
        <w:numPr>
          <w:ilvl w:val="0"/>
          <w:numId w:val="18"/>
        </w:numPr>
        <w:jc w:val="both"/>
      </w:pPr>
      <w:r>
        <w:t>The instrument amends the ASIC Determination to include a SEC Regulated Market as a Regulated Foreign Market. A ‘SEC Regulated Market’ is a financial market that is a</w:t>
      </w:r>
      <w:r w:rsidR="00B3049D">
        <w:t xml:space="preserve"> national securities exchange that is registered </w:t>
      </w:r>
      <w:r w:rsidR="00B3049D" w:rsidRPr="00B3049D">
        <w:t>with the Securities and Exchange Commission</w:t>
      </w:r>
      <w:r w:rsidR="001943D6">
        <w:t xml:space="preserve"> (</w:t>
      </w:r>
      <w:r w:rsidR="001943D6">
        <w:rPr>
          <w:b/>
          <w:bCs/>
        </w:rPr>
        <w:t>SEC</w:t>
      </w:r>
      <w:r w:rsidR="001943D6">
        <w:t>)</w:t>
      </w:r>
      <w:r w:rsidR="00B3049D" w:rsidRPr="00B3049D">
        <w:t xml:space="preserve"> </w:t>
      </w:r>
      <w:r w:rsidR="001D2337">
        <w:t xml:space="preserve">of the United States of America </w:t>
      </w:r>
      <w:r w:rsidR="00B3049D" w:rsidRPr="00B3049D">
        <w:t>as a national securities exchange under section 6 of the Securities Exchange Act of 1934</w:t>
      </w:r>
      <w:r w:rsidR="001D2337">
        <w:t xml:space="preserve"> of the United States of America</w:t>
      </w:r>
      <w:r w:rsidR="00B3049D">
        <w:t>.</w:t>
      </w:r>
    </w:p>
    <w:p w14:paraId="0D0973C5" w14:textId="438EC8D3" w:rsidR="00CF2501" w:rsidRPr="00FF625D" w:rsidRDefault="00B3049D" w:rsidP="00D14957">
      <w:pPr>
        <w:pStyle w:val="LI-BodyTextParaa"/>
        <w:numPr>
          <w:ilvl w:val="0"/>
          <w:numId w:val="18"/>
        </w:numPr>
        <w:jc w:val="both"/>
      </w:pPr>
      <w:r>
        <w:t xml:space="preserve">There were </w:t>
      </w:r>
      <w:r w:rsidR="001D2337">
        <w:t>6</w:t>
      </w:r>
      <w:r>
        <w:t xml:space="preserve"> such financial markets that were Regulated Foreign Markets under the </w:t>
      </w:r>
      <w:r w:rsidR="00C96267">
        <w:t xml:space="preserve">ASIC </w:t>
      </w:r>
      <w:r>
        <w:t>Determination and 6 such financial markets that were Relevant Financial Markets under the Exemption</w:t>
      </w:r>
      <w:r w:rsidR="008E7A7D">
        <w:t xml:space="preserve"> as at the date before th</w:t>
      </w:r>
      <w:r w:rsidR="00143C69">
        <w:t>e</w:t>
      </w:r>
      <w:r w:rsidR="008E7A7D">
        <w:t xml:space="preserve"> instrument </w:t>
      </w:r>
      <w:r w:rsidR="00143C69">
        <w:t>came</w:t>
      </w:r>
      <w:r w:rsidR="008E7A7D">
        <w:t xml:space="preserve"> into effect. </w:t>
      </w:r>
    </w:p>
    <w:p w14:paraId="57CEBF09" w14:textId="6524674F" w:rsidR="00C96267" w:rsidRDefault="00C96267" w:rsidP="00BA0053">
      <w:pPr>
        <w:pStyle w:val="LI-BodyTextParaa"/>
        <w:numPr>
          <w:ilvl w:val="0"/>
          <w:numId w:val="18"/>
        </w:numPr>
        <w:jc w:val="both"/>
      </w:pPr>
      <w:r>
        <w:t xml:space="preserve">ASIC </w:t>
      </w:r>
      <w:r w:rsidR="00143C69">
        <w:t xml:space="preserve">is of the opinion that the operation of </w:t>
      </w:r>
      <w:r w:rsidR="001943D6">
        <w:t xml:space="preserve">a </w:t>
      </w:r>
      <w:r w:rsidR="00143C69">
        <w:t xml:space="preserve">SEC Regulated Market is subject to requirements and supervision that are sufficiently equivalent, in relation to market </w:t>
      </w:r>
      <w:r w:rsidR="00143C69">
        <w:lastRenderedPageBreak/>
        <w:t>integrity and market transparency</w:t>
      </w:r>
      <w:r>
        <w:t xml:space="preserve"> to which a</w:t>
      </w:r>
      <w:r w:rsidR="0064013B">
        <w:t xml:space="preserve"> Part 7.2A Market is subject in this jurisdiction and to which an</w:t>
      </w:r>
      <w:r w:rsidR="001943D6">
        <w:t xml:space="preserve"> EU Regulated Market is subject</w:t>
      </w:r>
      <w:r w:rsidR="0064013B">
        <w:t xml:space="preserve"> to</w:t>
      </w:r>
      <w:r w:rsidR="001943D6">
        <w:t xml:space="preserve"> in the European Union</w:t>
      </w:r>
      <w:r>
        <w:t xml:space="preserve">. </w:t>
      </w:r>
    </w:p>
    <w:p w14:paraId="6CADF499" w14:textId="1B3A0FCE" w:rsidR="00621F45" w:rsidRDefault="001943D6" w:rsidP="00BA0053">
      <w:pPr>
        <w:pStyle w:val="LI-BodyTextParaa"/>
        <w:numPr>
          <w:ilvl w:val="0"/>
          <w:numId w:val="18"/>
        </w:numPr>
        <w:jc w:val="both"/>
      </w:pPr>
      <w:r>
        <w:t xml:space="preserve">ASIC’s opinion is supported by </w:t>
      </w:r>
      <w:r w:rsidR="0064013B">
        <w:t xml:space="preserve">the </w:t>
      </w:r>
      <w:r>
        <w:t>decision made by the European Union,</w:t>
      </w:r>
      <w:r w:rsidR="00D34A77">
        <w:rPr>
          <w:rStyle w:val="FootnoteReference"/>
        </w:rPr>
        <w:footnoteReference w:id="2"/>
      </w:r>
      <w:r w:rsidR="00621F45">
        <w:t xml:space="preserve"> t</w:t>
      </w:r>
      <w:r w:rsidR="00621F45" w:rsidRPr="00621F45">
        <w:t>hat the legal and supervisory framework in the U</w:t>
      </w:r>
      <w:r>
        <w:t xml:space="preserve">nited </w:t>
      </w:r>
      <w:r w:rsidR="00621F45" w:rsidRPr="00621F45">
        <w:t>S</w:t>
      </w:r>
      <w:r>
        <w:t>tates of America that is</w:t>
      </w:r>
      <w:r w:rsidR="00621F45" w:rsidRPr="00621F45">
        <w:t xml:space="preserve"> applicable to national securities exchanges </w:t>
      </w:r>
      <w:r w:rsidR="0064013B">
        <w:t xml:space="preserve">are </w:t>
      </w:r>
      <w:r w:rsidR="00621F45" w:rsidRPr="00621F45">
        <w:t>equivalent to the requirements for E</w:t>
      </w:r>
      <w:r w:rsidR="0064013B">
        <w:t xml:space="preserve">uropean </w:t>
      </w:r>
      <w:r w:rsidR="00621F45" w:rsidRPr="00621F45">
        <w:t>U</w:t>
      </w:r>
      <w:r w:rsidR="0064013B">
        <w:t>nion</w:t>
      </w:r>
      <w:r w:rsidR="00621F45" w:rsidRPr="00621F45">
        <w:t xml:space="preserve"> regulated markets</w:t>
      </w:r>
      <w:r w:rsidR="0064013B">
        <w:t>.</w:t>
      </w:r>
    </w:p>
    <w:p w14:paraId="3EAAFB3F" w14:textId="6A0BF97E" w:rsidR="00F41E7E" w:rsidRPr="009A0E46" w:rsidRDefault="0064013B" w:rsidP="00621F45">
      <w:pPr>
        <w:pStyle w:val="LI-BodyTextParaa"/>
        <w:numPr>
          <w:ilvl w:val="0"/>
          <w:numId w:val="18"/>
        </w:numPr>
        <w:jc w:val="both"/>
      </w:pPr>
      <w:r w:rsidRPr="00AE36B9">
        <w:t>The instrument further amends the ASIC Determination by removing the 6</w:t>
      </w:r>
      <w:r w:rsidR="003334D9">
        <w:t xml:space="preserve"> specifically identified</w:t>
      </w:r>
      <w:r w:rsidRPr="00AE36B9">
        <w:t xml:space="preserve"> </w:t>
      </w:r>
      <w:r w:rsidR="00E167DE" w:rsidRPr="00435CD1">
        <w:t xml:space="preserve"> </w:t>
      </w:r>
      <w:r w:rsidR="00E167DE" w:rsidRPr="009A0E46">
        <w:t xml:space="preserve">financial markets that are SEC </w:t>
      </w:r>
      <w:r w:rsidRPr="00AE36B9">
        <w:t>re</w:t>
      </w:r>
      <w:r w:rsidR="00E167DE" w:rsidRPr="00435CD1">
        <w:t>gulated</w:t>
      </w:r>
      <w:r w:rsidRPr="00AE36B9">
        <w:t xml:space="preserve">. This is because the inclusion of ‘SEC Regulated Market’ will now automatically capture all national securities exchanges that are registered with SEC, without needing to list each one individually, or remove those that are delisted, from the ASIC Determination. </w:t>
      </w:r>
    </w:p>
    <w:p w14:paraId="1A06A7D6" w14:textId="662FDC14" w:rsidR="002A5F38" w:rsidRPr="00D14957" w:rsidRDefault="0064013B" w:rsidP="002A5F38">
      <w:pPr>
        <w:pStyle w:val="LI-BodyTextParaa"/>
        <w:ind w:left="360" w:firstLine="0"/>
        <w:jc w:val="both"/>
        <w:rPr>
          <w:i/>
          <w:u w:val="single"/>
        </w:rPr>
      </w:pPr>
      <w:r>
        <w:rPr>
          <w:i/>
          <w:u w:val="single"/>
        </w:rPr>
        <w:t>‘</w:t>
      </w:r>
      <w:r w:rsidR="002A5F38">
        <w:rPr>
          <w:i/>
          <w:u w:val="single"/>
        </w:rPr>
        <w:t>Relevant Financial Markets</w:t>
      </w:r>
      <w:r>
        <w:rPr>
          <w:i/>
          <w:u w:val="single"/>
        </w:rPr>
        <w:t>’</w:t>
      </w:r>
      <w:r w:rsidR="002A5F38">
        <w:rPr>
          <w:i/>
          <w:u w:val="single"/>
        </w:rPr>
        <w:t xml:space="preserve"> under the Exemption</w:t>
      </w:r>
    </w:p>
    <w:p w14:paraId="0C6182F4" w14:textId="71D2A224" w:rsidR="002A5F38" w:rsidRDefault="002A5F38" w:rsidP="002A5F38">
      <w:pPr>
        <w:pStyle w:val="LI-BodyTextParaa"/>
        <w:numPr>
          <w:ilvl w:val="0"/>
          <w:numId w:val="18"/>
        </w:numPr>
        <w:jc w:val="both"/>
      </w:pPr>
      <w:r>
        <w:t>A</w:t>
      </w:r>
      <w:r w:rsidR="00852667">
        <w:t>SIC ha</w:t>
      </w:r>
      <w:r w:rsidR="00AD4836">
        <w:t>s</w:t>
      </w:r>
      <w:r w:rsidR="00852667">
        <w:t xml:space="preserve"> determined that 2</w:t>
      </w:r>
      <w:r w:rsidR="00626B48">
        <w:t>2</w:t>
      </w:r>
      <w:r w:rsidR="00852667">
        <w:t xml:space="preserve"> financial markets that were Relevant Financial Markets under the Exemption</w:t>
      </w:r>
      <w:r w:rsidR="00AD4836">
        <w:t xml:space="preserve"> prior to 1 October 2020,</w:t>
      </w:r>
      <w:r w:rsidR="00852667">
        <w:t xml:space="preserve"> are financial markets that, in ASIC’s opinion at the time </w:t>
      </w:r>
      <w:r w:rsidR="009A0E46">
        <w:t xml:space="preserve">of </w:t>
      </w:r>
      <w:r w:rsidR="00852667">
        <w:t>making the amendment to the Determination, meet the criteria in subrule 1.2.4(3).</w:t>
      </w:r>
    </w:p>
    <w:p w14:paraId="799D9D47" w14:textId="51820A7A" w:rsidR="006B1B34" w:rsidRDefault="00852667" w:rsidP="00BA0053">
      <w:pPr>
        <w:pStyle w:val="LI-BodyTextParaa"/>
        <w:numPr>
          <w:ilvl w:val="0"/>
          <w:numId w:val="18"/>
        </w:numPr>
        <w:jc w:val="both"/>
      </w:pPr>
      <w:r>
        <w:t xml:space="preserve">Ten of these financial markets are </w:t>
      </w:r>
      <w:r w:rsidR="006B1B34">
        <w:t>operated by members of the World Federation of Exchanges</w:t>
      </w:r>
      <w:r w:rsidR="00CB3752">
        <w:t xml:space="preserve"> (</w:t>
      </w:r>
      <w:r w:rsidR="00CB3752">
        <w:rPr>
          <w:b/>
          <w:bCs/>
        </w:rPr>
        <w:t>WFE</w:t>
      </w:r>
      <w:r w:rsidR="00CB3752">
        <w:t>)</w:t>
      </w:r>
      <w:r w:rsidR="006B1B34">
        <w:t>. The WFE's membership criteria are published on its website.</w:t>
      </w:r>
    </w:p>
    <w:p w14:paraId="32FD2567" w14:textId="0058A066" w:rsidR="006B1B34" w:rsidRDefault="006B1B34" w:rsidP="006B1B34">
      <w:pPr>
        <w:pStyle w:val="LI-BodyTextParaa"/>
        <w:numPr>
          <w:ilvl w:val="0"/>
          <w:numId w:val="18"/>
        </w:numPr>
        <w:jc w:val="both"/>
      </w:pPr>
      <w:r>
        <w:t>Broadly, WFE members are expected to:</w:t>
      </w:r>
    </w:p>
    <w:p w14:paraId="630E2419" w14:textId="0FA30DA0" w:rsidR="006B1B34" w:rsidRDefault="006B1B34" w:rsidP="006B1B34">
      <w:pPr>
        <w:pStyle w:val="LI-BodyTextParaa"/>
        <w:numPr>
          <w:ilvl w:val="1"/>
          <w:numId w:val="18"/>
        </w:numPr>
        <w:jc w:val="both"/>
      </w:pPr>
      <w:r>
        <w:t>be significant within their country of origin, based on their size and their role in supporting, the formation of investment capital or the management of investment and economic risks, and should be an important factor within the home country's economy;</w:t>
      </w:r>
    </w:p>
    <w:p w14:paraId="38285EC4" w14:textId="6519CD24" w:rsidR="006B1B34" w:rsidRDefault="006B1B34" w:rsidP="006B1B34">
      <w:pPr>
        <w:pStyle w:val="LI-BodyTextParaa"/>
        <w:numPr>
          <w:ilvl w:val="1"/>
          <w:numId w:val="18"/>
        </w:numPr>
        <w:jc w:val="both"/>
      </w:pPr>
      <w:r>
        <w:t>be licensed as an exchange and regulated and supervised by an independent, public authority that is in turn a member of IOSCO, and should also have their own specific responsibilities to regulate the markets and market participants;</w:t>
      </w:r>
    </w:p>
    <w:p w14:paraId="7FC85BBE" w14:textId="6CCC048F" w:rsidR="006B1B34" w:rsidRDefault="006B1B34" w:rsidP="006B1B34">
      <w:pPr>
        <w:pStyle w:val="LI-BodyTextParaa"/>
        <w:numPr>
          <w:ilvl w:val="1"/>
          <w:numId w:val="18"/>
        </w:numPr>
        <w:jc w:val="both"/>
      </w:pPr>
      <w:r>
        <w:t>operate an active platform for raising initial and secondary capital, and provide options or futures contracts for managing risk; and</w:t>
      </w:r>
    </w:p>
    <w:p w14:paraId="4474805C" w14:textId="18F48160" w:rsidR="006B1B34" w:rsidRDefault="006B1B34" w:rsidP="006B1B34">
      <w:pPr>
        <w:pStyle w:val="LI-BodyTextParaa"/>
        <w:numPr>
          <w:ilvl w:val="1"/>
          <w:numId w:val="18"/>
        </w:numPr>
        <w:jc w:val="both"/>
      </w:pPr>
      <w:r>
        <w:t>pursue purposes that are in the public interest, having as a goal to be fair, orderly and neutral to protect all public participants.</w:t>
      </w:r>
    </w:p>
    <w:p w14:paraId="206EFBCE" w14:textId="3847710C" w:rsidR="006B1B34" w:rsidRDefault="006B1B34" w:rsidP="00BA0053">
      <w:pPr>
        <w:pStyle w:val="LI-BodyTextParaa"/>
        <w:numPr>
          <w:ilvl w:val="0"/>
          <w:numId w:val="18"/>
        </w:numPr>
        <w:jc w:val="both"/>
      </w:pPr>
      <w:r>
        <w:t xml:space="preserve">Additionally, all of these financial markets are based in jurisdictions with which ASIC has existing formal regulatory cooperation arrangements under one or more </w:t>
      </w:r>
      <w:r w:rsidR="002752FC">
        <w:t>memoranda of understanding (</w:t>
      </w:r>
      <w:r w:rsidR="002752FC">
        <w:rPr>
          <w:b/>
          <w:bCs/>
        </w:rPr>
        <w:t>MOU</w:t>
      </w:r>
      <w:r w:rsidR="002752FC">
        <w:t xml:space="preserve">). Information on ASIC’s MOUs and other international agreements can be found on ASIC’s website. </w:t>
      </w:r>
      <w:r>
        <w:t xml:space="preserve"> </w:t>
      </w:r>
    </w:p>
    <w:p w14:paraId="535BA86E" w14:textId="592AE1B9" w:rsidR="00C8276B" w:rsidRDefault="00C8276B" w:rsidP="00BA0053">
      <w:pPr>
        <w:pStyle w:val="LI-BodyTextParaa"/>
        <w:numPr>
          <w:ilvl w:val="0"/>
          <w:numId w:val="18"/>
        </w:numPr>
        <w:jc w:val="both"/>
      </w:pPr>
      <w:r>
        <w:lastRenderedPageBreak/>
        <w:t>T</w:t>
      </w:r>
      <w:r w:rsidR="002752FC">
        <w:t>he other t</w:t>
      </w:r>
      <w:r>
        <w:t xml:space="preserve">welve of these </w:t>
      </w:r>
      <w:r w:rsidR="00435CD1">
        <w:t xml:space="preserve">22 </w:t>
      </w:r>
      <w:r>
        <w:t xml:space="preserve">financial markets have provisions in their rule books and/or legislative or regulatory provisions to which they are subject that promotes or requires outcomes that are sufficiently equivalent to the market integrity outcomes that we seek </w:t>
      </w:r>
      <w:r w:rsidRPr="00C8276B">
        <w:t xml:space="preserve">from Part 7.2A Markets – </w:t>
      </w:r>
      <w:r w:rsidR="00435CD1">
        <w:t xml:space="preserve">specifically, </w:t>
      </w:r>
      <w:r w:rsidRPr="00C8276B">
        <w:t>as expressed in the ASIC Market Integrity Rules (Futures Markets) 2017.</w:t>
      </w:r>
    </w:p>
    <w:p w14:paraId="3B92A933" w14:textId="77777777" w:rsidR="00C8276B" w:rsidRDefault="00C8276B" w:rsidP="006A5715">
      <w:pPr>
        <w:pStyle w:val="LI-BodyTextParaa"/>
        <w:numPr>
          <w:ilvl w:val="0"/>
          <w:numId w:val="18"/>
        </w:numPr>
        <w:jc w:val="both"/>
      </w:pPr>
      <w:r>
        <w:t>These are outcomes in terms of:</w:t>
      </w:r>
    </w:p>
    <w:p w14:paraId="56D236E4" w14:textId="622D7A7C" w:rsidR="00C8276B" w:rsidRDefault="00C8276B" w:rsidP="00C8276B">
      <w:pPr>
        <w:pStyle w:val="LI-BodyTextParaa"/>
        <w:numPr>
          <w:ilvl w:val="1"/>
          <w:numId w:val="18"/>
        </w:numPr>
        <w:jc w:val="both"/>
      </w:pPr>
      <w:r>
        <w:t>Participants’ risk management and supervisory policies and procedures;</w:t>
      </w:r>
    </w:p>
    <w:p w14:paraId="47DEBCE6" w14:textId="05C0E2D5" w:rsidR="00C8276B" w:rsidRDefault="00C8276B" w:rsidP="00C8276B">
      <w:pPr>
        <w:pStyle w:val="LI-BodyTextParaa"/>
        <w:numPr>
          <w:ilvl w:val="1"/>
          <w:numId w:val="18"/>
        </w:numPr>
        <w:jc w:val="both"/>
      </w:pPr>
      <w:r>
        <w:t>Participants’ handling of client money and margins;</w:t>
      </w:r>
    </w:p>
    <w:p w14:paraId="1F001B8C" w14:textId="6D85EB10" w:rsidR="00C8276B" w:rsidRDefault="00C8276B" w:rsidP="00C8276B">
      <w:pPr>
        <w:pStyle w:val="LI-BodyTextParaa"/>
        <w:numPr>
          <w:ilvl w:val="1"/>
          <w:numId w:val="18"/>
        </w:numPr>
        <w:jc w:val="both"/>
      </w:pPr>
      <w:r>
        <w:t>Participants’ fair order handling;</w:t>
      </w:r>
    </w:p>
    <w:p w14:paraId="5E5B8E61" w14:textId="5D226CBE" w:rsidR="00010E37" w:rsidRDefault="00C8276B" w:rsidP="00010E37">
      <w:pPr>
        <w:pStyle w:val="LI-BodyTextParaa"/>
        <w:numPr>
          <w:ilvl w:val="1"/>
          <w:numId w:val="18"/>
        </w:numPr>
        <w:jc w:val="both"/>
      </w:pPr>
      <w:r>
        <w:t xml:space="preserve">The </w:t>
      </w:r>
      <w:r w:rsidR="009A0E46">
        <w:t>market o</w:t>
      </w:r>
      <w:r>
        <w:t>perator’s mechanisms to maintain orderly markets, including, if applicable to key contracts,</w:t>
      </w:r>
      <w:r w:rsidR="00010E37">
        <w:t xml:space="preserve"> </w:t>
      </w:r>
      <w:r>
        <w:t>the operation of volatility controls</w:t>
      </w:r>
      <w:r w:rsidR="00010E37">
        <w:t>;</w:t>
      </w:r>
    </w:p>
    <w:p w14:paraId="56755D98" w14:textId="497FD9F4" w:rsidR="006A5715" w:rsidRDefault="00010E37" w:rsidP="00010E37">
      <w:pPr>
        <w:pStyle w:val="LI-BodyTextParaa"/>
        <w:numPr>
          <w:ilvl w:val="1"/>
          <w:numId w:val="18"/>
        </w:numPr>
        <w:jc w:val="both"/>
      </w:pPr>
      <w:r>
        <w:t>T</w:t>
      </w:r>
      <w:r w:rsidR="006A5715">
        <w:t>ransparent trade cancellation policies</w:t>
      </w:r>
      <w:r>
        <w:t>; and</w:t>
      </w:r>
    </w:p>
    <w:p w14:paraId="6F94779E" w14:textId="57CAE336" w:rsidR="006A5715" w:rsidRDefault="00010E37" w:rsidP="00010E37">
      <w:pPr>
        <w:pStyle w:val="LI-BodyTextParaa"/>
        <w:numPr>
          <w:ilvl w:val="1"/>
          <w:numId w:val="18"/>
        </w:numPr>
        <w:jc w:val="both"/>
      </w:pPr>
      <w:r>
        <w:t>The provision of surveillance and supervision data to regu</w:t>
      </w:r>
      <w:r w:rsidR="006A5715">
        <w:t>lators</w:t>
      </w:r>
    </w:p>
    <w:p w14:paraId="6A0C8A43" w14:textId="0AE19705" w:rsidR="00010E37" w:rsidRDefault="00010E37" w:rsidP="00010E37">
      <w:pPr>
        <w:pStyle w:val="LI-BodyTextParaa"/>
        <w:numPr>
          <w:ilvl w:val="0"/>
          <w:numId w:val="18"/>
        </w:numPr>
        <w:jc w:val="both"/>
      </w:pPr>
      <w:r w:rsidRPr="00FF625D">
        <w:t xml:space="preserve">ASIC has </w:t>
      </w:r>
      <w:r>
        <w:t xml:space="preserve">therefore </w:t>
      </w:r>
      <w:r w:rsidRPr="00FF625D">
        <w:t xml:space="preserve">decided to amend the ASIC Determination to determine that </w:t>
      </w:r>
      <w:r>
        <w:t xml:space="preserve">these 22 financial markets are each a </w:t>
      </w:r>
      <w:r w:rsidRPr="00FF625D">
        <w:t>“Regulated Foreign Market” for the purposes of the Reporting Rules (and therefore also the Clearing Rules).</w:t>
      </w:r>
    </w:p>
    <w:p w14:paraId="41A2B92E" w14:textId="0CB29C81" w:rsidR="00010E37" w:rsidRPr="00D14957" w:rsidRDefault="009A0E46" w:rsidP="00010E37">
      <w:pPr>
        <w:pStyle w:val="LI-BodyTextParaa"/>
        <w:ind w:left="360" w:firstLine="0"/>
        <w:jc w:val="both"/>
        <w:rPr>
          <w:i/>
          <w:u w:val="single"/>
        </w:rPr>
      </w:pPr>
      <w:r>
        <w:rPr>
          <w:i/>
          <w:u w:val="single"/>
        </w:rPr>
        <w:t>Removal of</w:t>
      </w:r>
      <w:r w:rsidR="00010E37">
        <w:rPr>
          <w:i/>
          <w:u w:val="single"/>
        </w:rPr>
        <w:t xml:space="preserve"> Regulated Foreign Markets</w:t>
      </w:r>
    </w:p>
    <w:p w14:paraId="6A439A76" w14:textId="6F83D450" w:rsidR="006A5715" w:rsidRDefault="00010E37" w:rsidP="006A5715">
      <w:pPr>
        <w:pStyle w:val="LI-BodyTextParaa"/>
        <w:numPr>
          <w:ilvl w:val="0"/>
          <w:numId w:val="18"/>
        </w:numPr>
        <w:jc w:val="both"/>
      </w:pPr>
      <w:r>
        <w:t>Five financial markets that were Regulated F</w:t>
      </w:r>
      <w:r w:rsidR="00961B68">
        <w:t xml:space="preserve">oreign </w:t>
      </w:r>
      <w:r>
        <w:t xml:space="preserve">Markets </w:t>
      </w:r>
      <w:r w:rsidR="003E0F16">
        <w:t xml:space="preserve">prior to the instrument coming into effect, did not appear to be  </w:t>
      </w:r>
      <w:r w:rsidR="00961B68">
        <w:t xml:space="preserve">names of </w:t>
      </w:r>
      <w:r w:rsidR="003E0F16">
        <w:t xml:space="preserve">currently </w:t>
      </w:r>
      <w:r>
        <w:t xml:space="preserve">operating </w:t>
      </w:r>
      <w:r w:rsidR="00961B68">
        <w:t>financial markets.</w:t>
      </w:r>
    </w:p>
    <w:p w14:paraId="5E9AEADD" w14:textId="35E9A905" w:rsidR="00852667" w:rsidRDefault="009A0E46" w:rsidP="006A5715">
      <w:pPr>
        <w:pStyle w:val="LI-BodyTextParaa"/>
        <w:numPr>
          <w:ilvl w:val="0"/>
          <w:numId w:val="18"/>
        </w:numPr>
        <w:jc w:val="both"/>
      </w:pPr>
      <w:r>
        <w:t xml:space="preserve">The instrument therefore </w:t>
      </w:r>
      <w:r w:rsidR="00961B68">
        <w:t>amend</w:t>
      </w:r>
      <w:r>
        <w:t>s</w:t>
      </w:r>
      <w:r w:rsidR="00961B68">
        <w:t xml:space="preserve"> the ASIC Determination to </w:t>
      </w:r>
      <w:r>
        <w:t xml:space="preserve">omit </w:t>
      </w:r>
      <w:r w:rsidR="00961B68">
        <w:t xml:space="preserve"> these financial markets.</w:t>
      </w:r>
    </w:p>
    <w:p w14:paraId="2F34A0AD" w14:textId="42619A4F" w:rsidR="00961B68" w:rsidRPr="00D14957" w:rsidRDefault="00961B68" w:rsidP="00653CBB">
      <w:pPr>
        <w:pStyle w:val="LI-BodyTextParaa"/>
        <w:ind w:left="360" w:firstLine="0"/>
        <w:jc w:val="both"/>
        <w:rPr>
          <w:i/>
          <w:u w:val="single"/>
        </w:rPr>
      </w:pPr>
      <w:r>
        <w:rPr>
          <w:i/>
          <w:u w:val="single"/>
        </w:rPr>
        <w:t>Renamed Regulated Foreign Markets</w:t>
      </w:r>
    </w:p>
    <w:p w14:paraId="27837458" w14:textId="7C30F833" w:rsidR="00961B68" w:rsidRDefault="003E0F16" w:rsidP="00BA0053">
      <w:pPr>
        <w:pStyle w:val="LI-BodyTextParaa"/>
        <w:numPr>
          <w:ilvl w:val="0"/>
          <w:numId w:val="18"/>
        </w:numPr>
        <w:jc w:val="both"/>
      </w:pPr>
      <w:r>
        <w:t>The instrument amends the ASIC Determination by updating the names of t</w:t>
      </w:r>
      <w:r w:rsidR="00626B48">
        <w:t>hree</w:t>
      </w:r>
      <w:r w:rsidR="00961B68">
        <w:t xml:space="preserve"> financial markets</w:t>
      </w:r>
      <w:r w:rsidR="007E7324">
        <w:t xml:space="preserve"> listed as a </w:t>
      </w:r>
      <w:r w:rsidR="00961B68">
        <w:t>Regulated F</w:t>
      </w:r>
      <w:r w:rsidR="007E7324">
        <w:t>oreign</w:t>
      </w:r>
      <w:r w:rsidR="00961B68">
        <w:t xml:space="preserve"> Market.</w:t>
      </w:r>
    </w:p>
    <w:p w14:paraId="272E0B13" w14:textId="50CA1FAD" w:rsidR="00961B68" w:rsidRPr="00D14957" w:rsidRDefault="00961B68" w:rsidP="00961B68">
      <w:pPr>
        <w:pStyle w:val="LI-BodyTextParaa"/>
        <w:numPr>
          <w:ilvl w:val="0"/>
          <w:numId w:val="18"/>
        </w:numPr>
        <w:jc w:val="both"/>
        <w:rPr>
          <w:i/>
          <w:u w:val="single"/>
        </w:rPr>
      </w:pPr>
      <w:r>
        <w:rPr>
          <w:i/>
          <w:u w:val="single"/>
        </w:rPr>
        <w:t>Regulated Foreign Markets that are CFTC, EU, UK or SEC Regulated Markets</w:t>
      </w:r>
    </w:p>
    <w:p w14:paraId="5ABDFEEC" w14:textId="5F5872C2" w:rsidR="00961B68" w:rsidRDefault="00961B68" w:rsidP="00961B68">
      <w:pPr>
        <w:pStyle w:val="LI-BodyTextParaa"/>
        <w:numPr>
          <w:ilvl w:val="0"/>
          <w:numId w:val="18"/>
        </w:numPr>
        <w:jc w:val="both"/>
      </w:pPr>
      <w:r>
        <w:t>T</w:t>
      </w:r>
      <w:r w:rsidR="003E0F16">
        <w:t>hirty-six</w:t>
      </w:r>
      <w:r>
        <w:t xml:space="preserve"> financial markets that were Regulated Foreign Markets</w:t>
      </w:r>
      <w:r w:rsidR="003E0F16">
        <w:t xml:space="preserve"> under the ASIC Determination, </w:t>
      </w:r>
      <w:r>
        <w:t xml:space="preserve">were also Regulated Foreign Markets because they were </w:t>
      </w:r>
      <w:r w:rsidR="003E0F16">
        <w:t xml:space="preserve">either </w:t>
      </w:r>
      <w:r>
        <w:t>a CFTC</w:t>
      </w:r>
      <w:r w:rsidR="003E0F16">
        <w:t xml:space="preserve"> or</w:t>
      </w:r>
      <w:r>
        <w:t xml:space="preserve"> EU</w:t>
      </w:r>
      <w:r w:rsidR="003E0F16">
        <w:t xml:space="preserve"> Regulated market under Rule 1.2.4 (2A)(a) &amp; (b) of the Rules</w:t>
      </w:r>
      <w:r>
        <w:t xml:space="preserve"> or </w:t>
      </w:r>
      <w:r w:rsidR="003E0F16">
        <w:t xml:space="preserve">a UK Regulated Market or a </w:t>
      </w:r>
      <w:r>
        <w:t>SEC Regulated Market.</w:t>
      </w:r>
    </w:p>
    <w:p w14:paraId="2935A591" w14:textId="61F3E939" w:rsidR="00961B68" w:rsidRDefault="007E7324" w:rsidP="00410D8B">
      <w:pPr>
        <w:pStyle w:val="LI-BodyTextParaa"/>
        <w:numPr>
          <w:ilvl w:val="0"/>
          <w:numId w:val="18"/>
        </w:numPr>
        <w:jc w:val="both"/>
      </w:pPr>
      <w:r>
        <w:t xml:space="preserve">For simplicity, the instrument </w:t>
      </w:r>
      <w:r w:rsidR="00961B68">
        <w:t>amend</w:t>
      </w:r>
      <w:r>
        <w:t>s</w:t>
      </w:r>
      <w:r w:rsidR="00961B68">
        <w:t xml:space="preserve"> the ASIC Determination</w:t>
      </w:r>
      <w:r w:rsidR="004134EB">
        <w:t xml:space="preserve"> so that it no longer specifically identifies </w:t>
      </w:r>
      <w:r w:rsidR="00961B68">
        <w:t>these financial markets</w:t>
      </w:r>
      <w:r w:rsidR="00410D8B">
        <w:t>.</w:t>
      </w:r>
      <w:r>
        <w:t xml:space="preserve"> They are still Regulated Foreign Markets under either </w:t>
      </w:r>
      <w:r w:rsidRPr="007E7324">
        <w:t>Rule 1.2.4 (2A)(a) &amp; (b) of the Rules or a UK Regulated Market or a SEC Regulated Market.</w:t>
      </w:r>
    </w:p>
    <w:p w14:paraId="710E5DDF" w14:textId="3031FE2B" w:rsidR="002A5F38" w:rsidRPr="006628B1" w:rsidRDefault="002A5F38" w:rsidP="002A5F38">
      <w:pPr>
        <w:pStyle w:val="LI-BodyTextParaa"/>
        <w:ind w:left="360" w:firstLine="0"/>
        <w:jc w:val="both"/>
        <w:rPr>
          <w:i/>
          <w:color w:val="000000" w:themeColor="text1"/>
          <w:u w:val="single"/>
        </w:rPr>
      </w:pPr>
      <w:r w:rsidRPr="006628B1">
        <w:rPr>
          <w:i/>
          <w:color w:val="000000" w:themeColor="text1"/>
          <w:u w:val="single"/>
        </w:rPr>
        <w:t>Summary of changes to the Determination</w:t>
      </w:r>
    </w:p>
    <w:p w14:paraId="144EDEA5" w14:textId="654722B8" w:rsidR="00410D8B" w:rsidRDefault="00410D8B" w:rsidP="009C6462">
      <w:pPr>
        <w:pStyle w:val="LI-BodyTextParaa"/>
        <w:numPr>
          <w:ilvl w:val="0"/>
          <w:numId w:val="18"/>
        </w:numPr>
        <w:jc w:val="both"/>
        <w:rPr>
          <w:color w:val="000000" w:themeColor="text1"/>
        </w:rPr>
      </w:pPr>
      <w:r>
        <w:rPr>
          <w:color w:val="000000" w:themeColor="text1"/>
        </w:rPr>
        <w:lastRenderedPageBreak/>
        <w:t>The following listings set out, for each financial market, whether this instrument does not amend, renames within, adds to or deletes from the Determination.</w:t>
      </w:r>
    </w:p>
    <w:p w14:paraId="27C2519D" w14:textId="750BE613" w:rsidR="00A85241" w:rsidRPr="006628B1" w:rsidRDefault="009C6462" w:rsidP="009C6462">
      <w:pPr>
        <w:pStyle w:val="LI-BodyTextParaa"/>
        <w:numPr>
          <w:ilvl w:val="0"/>
          <w:numId w:val="18"/>
        </w:numPr>
        <w:jc w:val="both"/>
        <w:rPr>
          <w:color w:val="000000" w:themeColor="text1"/>
        </w:rPr>
      </w:pPr>
      <w:r w:rsidRPr="006628B1">
        <w:rPr>
          <w:color w:val="000000" w:themeColor="text1"/>
        </w:rPr>
        <w:t xml:space="preserve">Financial markets in the Determination </w:t>
      </w:r>
      <w:r w:rsidR="004134EB">
        <w:rPr>
          <w:color w:val="000000" w:themeColor="text1"/>
        </w:rPr>
        <w:t xml:space="preserve">which continue to be treated in the same manner following the amendments made </w:t>
      </w:r>
      <w:r w:rsidRPr="006628B1">
        <w:rPr>
          <w:color w:val="000000" w:themeColor="text1"/>
        </w:rPr>
        <w:t>by this instrument:</w:t>
      </w:r>
    </w:p>
    <w:p w14:paraId="5BE51644" w14:textId="44D0BDB5" w:rsidR="009C6462" w:rsidRPr="006628B1" w:rsidRDefault="009C6462" w:rsidP="009C6462">
      <w:pPr>
        <w:pStyle w:val="LI-BodyTextParaa"/>
        <w:spacing w:before="0"/>
        <w:ind w:left="0" w:firstLine="0"/>
        <w:jc w:val="both"/>
        <w:rPr>
          <w:color w:val="000000" w:themeColor="text1"/>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626B48" w:rsidRPr="006628B1" w14:paraId="2D64AE38" w14:textId="77777777" w:rsidTr="00BA0053">
        <w:trPr>
          <w:cantSplit/>
        </w:trPr>
        <w:tc>
          <w:tcPr>
            <w:tcW w:w="4397" w:type="dxa"/>
          </w:tcPr>
          <w:p w14:paraId="71309EA4" w14:textId="7787C24B" w:rsidR="00626B48" w:rsidRPr="006628B1" w:rsidDel="007366C7" w:rsidRDefault="00626B48" w:rsidP="00626B48">
            <w:pPr>
              <w:overflowPunct w:val="0"/>
              <w:autoSpaceDE w:val="0"/>
              <w:autoSpaceDN w:val="0"/>
              <w:adjustRightInd w:val="0"/>
              <w:spacing w:after="120"/>
              <w:textAlignment w:val="baseline"/>
              <w:rPr>
                <w:color w:val="000000" w:themeColor="text1"/>
                <w:szCs w:val="22"/>
              </w:rPr>
            </w:pPr>
            <w:r w:rsidRPr="006628B1">
              <w:rPr>
                <w:color w:val="000000" w:themeColor="text1"/>
                <w:szCs w:val="22"/>
              </w:rPr>
              <w:t>Bourse de Montreal</w:t>
            </w:r>
          </w:p>
        </w:tc>
        <w:tc>
          <w:tcPr>
            <w:tcW w:w="4397" w:type="dxa"/>
          </w:tcPr>
          <w:p w14:paraId="7142DEA7" w14:textId="47CBCC31" w:rsidR="00626B48" w:rsidRPr="006628B1" w:rsidRDefault="00626B48" w:rsidP="00626B4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CME Globex</w:t>
            </w:r>
          </w:p>
        </w:tc>
      </w:tr>
      <w:tr w:rsidR="00626B48" w:rsidRPr="006628B1" w14:paraId="5F166AB0" w14:textId="77777777" w:rsidTr="00BA0053">
        <w:trPr>
          <w:cantSplit/>
        </w:trPr>
        <w:tc>
          <w:tcPr>
            <w:tcW w:w="4397" w:type="dxa"/>
          </w:tcPr>
          <w:p w14:paraId="7104E7AA" w14:textId="5C2EFA51" w:rsidR="00626B48" w:rsidRPr="006628B1" w:rsidDel="001B0333" w:rsidRDefault="00626B48" w:rsidP="00626B48">
            <w:pPr>
              <w:overflowPunct w:val="0"/>
              <w:autoSpaceDE w:val="0"/>
              <w:autoSpaceDN w:val="0"/>
              <w:adjustRightInd w:val="0"/>
              <w:spacing w:after="120"/>
              <w:textAlignment w:val="baseline"/>
              <w:rPr>
                <w:color w:val="000000" w:themeColor="text1"/>
                <w:szCs w:val="22"/>
              </w:rPr>
            </w:pPr>
            <w:r w:rsidRPr="006628B1">
              <w:rPr>
                <w:color w:val="000000" w:themeColor="text1"/>
                <w:szCs w:val="22"/>
              </w:rPr>
              <w:t>The financial market operated by Hong Kong Futures Exchange Limited</w:t>
            </w:r>
          </w:p>
        </w:tc>
        <w:tc>
          <w:tcPr>
            <w:tcW w:w="4397" w:type="dxa"/>
          </w:tcPr>
          <w:p w14:paraId="64384E08" w14:textId="6525E109" w:rsidR="00626B48" w:rsidRPr="006628B1" w:rsidRDefault="00626B48" w:rsidP="00626B4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ICE Futures Canada</w:t>
            </w:r>
          </w:p>
        </w:tc>
      </w:tr>
      <w:tr w:rsidR="00626B48" w:rsidRPr="006628B1" w14:paraId="31CD7BD9" w14:textId="77777777" w:rsidTr="00BA0053">
        <w:trPr>
          <w:cantSplit/>
        </w:trPr>
        <w:tc>
          <w:tcPr>
            <w:tcW w:w="4397" w:type="dxa"/>
          </w:tcPr>
          <w:p w14:paraId="508DA477" w14:textId="6835C617" w:rsidR="00626B48" w:rsidRPr="006628B1" w:rsidRDefault="00626B48" w:rsidP="00626B48">
            <w:pPr>
              <w:overflowPunct w:val="0"/>
              <w:autoSpaceDE w:val="0"/>
              <w:autoSpaceDN w:val="0"/>
              <w:adjustRightInd w:val="0"/>
              <w:spacing w:after="120"/>
              <w:textAlignment w:val="baseline"/>
              <w:rPr>
                <w:color w:val="000000" w:themeColor="text1"/>
                <w:szCs w:val="22"/>
              </w:rPr>
            </w:pPr>
            <w:r w:rsidRPr="006628B1">
              <w:rPr>
                <w:color w:val="000000" w:themeColor="text1"/>
                <w:szCs w:val="22"/>
              </w:rPr>
              <w:t>The financial market operated by The Stock Exchange of Hong Kong Limited</w:t>
            </w:r>
          </w:p>
        </w:tc>
        <w:tc>
          <w:tcPr>
            <w:tcW w:w="4397" w:type="dxa"/>
          </w:tcPr>
          <w:p w14:paraId="64EB4BF2" w14:textId="435FEF79" w:rsidR="00626B48" w:rsidRPr="006628B1" w:rsidRDefault="00626B48" w:rsidP="00626B4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Tokyo Stock Exchange</w:t>
            </w:r>
          </w:p>
        </w:tc>
      </w:tr>
      <w:tr w:rsidR="00626B48" w:rsidRPr="006628B1" w14:paraId="5EF5B80B" w14:textId="77777777" w:rsidTr="00BA0053">
        <w:trPr>
          <w:cantSplit/>
        </w:trPr>
        <w:tc>
          <w:tcPr>
            <w:tcW w:w="4397" w:type="dxa"/>
          </w:tcPr>
          <w:p w14:paraId="20470423" w14:textId="649D95A6" w:rsidR="00626B48" w:rsidRPr="006628B1" w:rsidRDefault="00626B48" w:rsidP="00626B48">
            <w:pPr>
              <w:overflowPunct w:val="0"/>
              <w:autoSpaceDE w:val="0"/>
              <w:autoSpaceDN w:val="0"/>
              <w:adjustRightInd w:val="0"/>
              <w:spacing w:after="120"/>
              <w:textAlignment w:val="baseline"/>
              <w:rPr>
                <w:color w:val="000000" w:themeColor="text1"/>
                <w:szCs w:val="22"/>
              </w:rPr>
            </w:pPr>
            <w:r w:rsidRPr="006628B1">
              <w:rPr>
                <w:color w:val="000000" w:themeColor="text1"/>
                <w:szCs w:val="22"/>
              </w:rPr>
              <w:t>Toronto Stock Exchange</w:t>
            </w:r>
          </w:p>
        </w:tc>
        <w:tc>
          <w:tcPr>
            <w:tcW w:w="4397" w:type="dxa"/>
          </w:tcPr>
          <w:p w14:paraId="5F767866" w14:textId="6E0833E7" w:rsidR="00626B48" w:rsidRPr="006628B1" w:rsidRDefault="00626B48" w:rsidP="00626B4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a UK Regulated Market</w:t>
            </w:r>
          </w:p>
        </w:tc>
      </w:tr>
    </w:tbl>
    <w:p w14:paraId="5A00468A" w14:textId="14EFDE30" w:rsidR="00415D19" w:rsidRPr="006628B1" w:rsidRDefault="00415D19" w:rsidP="00415D19">
      <w:pPr>
        <w:pStyle w:val="LI-BodyTextParaa"/>
        <w:numPr>
          <w:ilvl w:val="0"/>
          <w:numId w:val="18"/>
        </w:numPr>
        <w:jc w:val="both"/>
        <w:rPr>
          <w:color w:val="000000" w:themeColor="text1"/>
        </w:rPr>
      </w:pPr>
      <w:r w:rsidRPr="006628B1">
        <w:rPr>
          <w:color w:val="000000" w:themeColor="text1"/>
        </w:rPr>
        <w:t>Financial markets in the Determination that are renamed by this instrument:</w:t>
      </w:r>
    </w:p>
    <w:p w14:paraId="579EFA2B" w14:textId="77777777" w:rsidR="00415D19" w:rsidRPr="006628B1" w:rsidRDefault="00415D19" w:rsidP="00415D19">
      <w:pPr>
        <w:pStyle w:val="LI-BodyTextParaa"/>
        <w:spacing w:before="0"/>
        <w:ind w:left="0" w:firstLine="0"/>
        <w:jc w:val="both"/>
        <w:rPr>
          <w:color w:val="000000" w:themeColor="text1"/>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626B48" w:rsidRPr="006628B1" w14:paraId="359908BA" w14:textId="77777777" w:rsidTr="00BA0053">
        <w:trPr>
          <w:cantSplit/>
        </w:trPr>
        <w:tc>
          <w:tcPr>
            <w:tcW w:w="4397" w:type="dxa"/>
          </w:tcPr>
          <w:p w14:paraId="0A127FCC" w14:textId="51879B6A" w:rsidR="00626B48" w:rsidRPr="006628B1" w:rsidRDefault="00626B48" w:rsidP="00BA0053">
            <w:pPr>
              <w:overflowPunct w:val="0"/>
              <w:autoSpaceDE w:val="0"/>
              <w:autoSpaceDN w:val="0"/>
              <w:adjustRightInd w:val="0"/>
              <w:spacing w:after="120"/>
              <w:textAlignment w:val="baseline"/>
              <w:rPr>
                <w:color w:val="000000" w:themeColor="text1"/>
                <w:szCs w:val="22"/>
              </w:rPr>
            </w:pPr>
            <w:r w:rsidRPr="00626B48">
              <w:rPr>
                <w:color w:val="000000" w:themeColor="text1"/>
                <w:szCs w:val="22"/>
              </w:rPr>
              <w:t>the BM&amp;FBOVESPA Segment of B3 - Brasil Bolsa Balcão S.A;</w:t>
            </w:r>
          </w:p>
        </w:tc>
        <w:tc>
          <w:tcPr>
            <w:tcW w:w="4397" w:type="dxa"/>
          </w:tcPr>
          <w:p w14:paraId="02BD5CAD" w14:textId="43ACD5E7" w:rsidR="00626B48" w:rsidRPr="006628B1" w:rsidRDefault="00626B48" w:rsidP="00BA0053">
            <w:pPr>
              <w:overflowPunct w:val="0"/>
              <w:autoSpaceDE w:val="0"/>
              <w:autoSpaceDN w:val="0"/>
              <w:adjustRightInd w:val="0"/>
              <w:spacing w:after="120"/>
              <w:textAlignment w:val="baseline"/>
              <w:rPr>
                <w:i/>
                <w:iCs/>
                <w:color w:val="000000" w:themeColor="text1"/>
                <w:szCs w:val="22"/>
              </w:rPr>
            </w:pPr>
            <w:r w:rsidRPr="006628B1">
              <w:rPr>
                <w:i/>
                <w:iCs/>
                <w:color w:val="000000" w:themeColor="text1"/>
                <w:szCs w:val="22"/>
              </w:rPr>
              <w:t xml:space="preserve">Renamed from </w:t>
            </w:r>
            <w:r w:rsidRPr="00626B48">
              <w:rPr>
                <w:i/>
                <w:iCs/>
                <w:color w:val="000000" w:themeColor="text1"/>
                <w:szCs w:val="22"/>
              </w:rPr>
              <w:t>BM&amp;FBOVESPA</w:t>
            </w:r>
          </w:p>
        </w:tc>
      </w:tr>
      <w:tr w:rsidR="006628B1" w:rsidRPr="006628B1" w14:paraId="233C4A74" w14:textId="77777777" w:rsidTr="00BA0053">
        <w:trPr>
          <w:cantSplit/>
        </w:trPr>
        <w:tc>
          <w:tcPr>
            <w:tcW w:w="4397" w:type="dxa"/>
          </w:tcPr>
          <w:p w14:paraId="70484402" w14:textId="3164CCB4" w:rsidR="00415D19" w:rsidRPr="006628B1" w:rsidRDefault="00415D19" w:rsidP="00BA0053">
            <w:pPr>
              <w:overflowPunct w:val="0"/>
              <w:autoSpaceDE w:val="0"/>
              <w:autoSpaceDN w:val="0"/>
              <w:adjustRightInd w:val="0"/>
              <w:spacing w:after="120"/>
              <w:textAlignment w:val="baseline"/>
              <w:rPr>
                <w:color w:val="000000" w:themeColor="text1"/>
                <w:szCs w:val="22"/>
              </w:rPr>
            </w:pPr>
            <w:r w:rsidRPr="006628B1">
              <w:rPr>
                <w:color w:val="000000" w:themeColor="text1"/>
                <w:szCs w:val="22"/>
              </w:rPr>
              <w:t>Osaka Exchange</w:t>
            </w:r>
          </w:p>
        </w:tc>
        <w:tc>
          <w:tcPr>
            <w:tcW w:w="4397" w:type="dxa"/>
          </w:tcPr>
          <w:p w14:paraId="1F65E62F" w14:textId="51362567" w:rsidR="00415D19" w:rsidRPr="006628B1" w:rsidRDefault="00415D19" w:rsidP="00BA0053">
            <w:pPr>
              <w:overflowPunct w:val="0"/>
              <w:autoSpaceDE w:val="0"/>
              <w:autoSpaceDN w:val="0"/>
              <w:adjustRightInd w:val="0"/>
              <w:spacing w:after="120"/>
              <w:textAlignment w:val="baseline"/>
              <w:rPr>
                <w:i/>
                <w:iCs/>
                <w:color w:val="000000" w:themeColor="text1"/>
                <w:szCs w:val="22"/>
              </w:rPr>
            </w:pPr>
            <w:r w:rsidRPr="006628B1">
              <w:rPr>
                <w:i/>
                <w:iCs/>
                <w:color w:val="000000" w:themeColor="text1"/>
                <w:szCs w:val="22"/>
              </w:rPr>
              <w:t>Renamed from Osaka Securities Exchange</w:t>
            </w:r>
          </w:p>
        </w:tc>
      </w:tr>
      <w:tr w:rsidR="006628B1" w:rsidRPr="006628B1" w14:paraId="66B537DB" w14:textId="77777777" w:rsidTr="00BA0053">
        <w:trPr>
          <w:cantSplit/>
        </w:trPr>
        <w:tc>
          <w:tcPr>
            <w:tcW w:w="4397" w:type="dxa"/>
          </w:tcPr>
          <w:p w14:paraId="6D9457E2" w14:textId="4F5D99AD" w:rsidR="00415D19" w:rsidRPr="006628B1" w:rsidDel="00351701" w:rsidRDefault="00415D19" w:rsidP="00BA0053">
            <w:pPr>
              <w:overflowPunct w:val="0"/>
              <w:autoSpaceDE w:val="0"/>
              <w:autoSpaceDN w:val="0"/>
              <w:adjustRightInd w:val="0"/>
              <w:spacing w:after="120"/>
              <w:textAlignment w:val="baseline"/>
              <w:rPr>
                <w:color w:val="000000" w:themeColor="text1"/>
                <w:szCs w:val="22"/>
              </w:rPr>
            </w:pPr>
            <w:r w:rsidRPr="006628B1">
              <w:rPr>
                <w:color w:val="000000" w:themeColor="text1"/>
                <w:szCs w:val="22"/>
                <w:shd w:val="clear" w:color="auto" w:fill="FFFFFF"/>
              </w:rPr>
              <w:t>Singapore Exchange Derivatives</w:t>
            </w:r>
          </w:p>
        </w:tc>
        <w:tc>
          <w:tcPr>
            <w:tcW w:w="4397" w:type="dxa"/>
          </w:tcPr>
          <w:p w14:paraId="6EFC78DA" w14:textId="52CB2A7E" w:rsidR="00415D19" w:rsidRPr="006628B1" w:rsidRDefault="00415D19" w:rsidP="00BA0053">
            <w:pPr>
              <w:overflowPunct w:val="0"/>
              <w:autoSpaceDE w:val="0"/>
              <w:autoSpaceDN w:val="0"/>
              <w:adjustRightInd w:val="0"/>
              <w:spacing w:after="120"/>
              <w:textAlignment w:val="baseline"/>
              <w:rPr>
                <w:i/>
                <w:iCs/>
                <w:color w:val="000000" w:themeColor="text1"/>
                <w:szCs w:val="22"/>
              </w:rPr>
            </w:pPr>
            <w:r w:rsidRPr="006628B1">
              <w:rPr>
                <w:i/>
                <w:iCs/>
                <w:color w:val="000000" w:themeColor="text1"/>
                <w:szCs w:val="22"/>
              </w:rPr>
              <w:t>Renamed from SGX-DT</w:t>
            </w:r>
          </w:p>
        </w:tc>
      </w:tr>
    </w:tbl>
    <w:p w14:paraId="7043C528" w14:textId="21D76A9E" w:rsidR="00D501DD" w:rsidRPr="006628B1" w:rsidRDefault="00D501DD" w:rsidP="00D501DD">
      <w:pPr>
        <w:pStyle w:val="LI-BodyTextParaa"/>
        <w:numPr>
          <w:ilvl w:val="0"/>
          <w:numId w:val="18"/>
        </w:numPr>
        <w:jc w:val="both"/>
        <w:rPr>
          <w:color w:val="000000" w:themeColor="text1"/>
        </w:rPr>
      </w:pPr>
      <w:r w:rsidRPr="006628B1">
        <w:rPr>
          <w:color w:val="000000" w:themeColor="text1"/>
        </w:rPr>
        <w:t>Financial markets in the Determination that are added by this instrument:</w:t>
      </w:r>
    </w:p>
    <w:p w14:paraId="6021E92B" w14:textId="77777777" w:rsidR="00D501DD" w:rsidRPr="006628B1" w:rsidRDefault="00D501DD" w:rsidP="00D501DD">
      <w:pPr>
        <w:pStyle w:val="LI-BodyTextParaa"/>
        <w:spacing w:before="0"/>
        <w:ind w:left="0" w:firstLine="0"/>
        <w:jc w:val="both"/>
        <w:rPr>
          <w:color w:val="000000" w:themeColor="text1"/>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6628B1" w:rsidRPr="006628B1" w14:paraId="174AF023" w14:textId="77777777" w:rsidTr="00BA0053">
        <w:trPr>
          <w:cantSplit/>
        </w:trPr>
        <w:tc>
          <w:tcPr>
            <w:tcW w:w="4397" w:type="dxa"/>
          </w:tcPr>
          <w:p w14:paraId="700DEA6B" w14:textId="42F20746" w:rsidR="00D501DD" w:rsidRPr="006628B1" w:rsidDel="00666D5F" w:rsidRDefault="007D2E23" w:rsidP="00D501DD">
            <w:pPr>
              <w:overflowPunct w:val="0"/>
              <w:autoSpaceDE w:val="0"/>
              <w:autoSpaceDN w:val="0"/>
              <w:adjustRightInd w:val="0"/>
              <w:spacing w:after="120"/>
              <w:textAlignment w:val="baseline"/>
              <w:rPr>
                <w:color w:val="000000" w:themeColor="text1"/>
                <w:szCs w:val="22"/>
              </w:rPr>
            </w:pPr>
            <w:r w:rsidRPr="006628B1">
              <w:rPr>
                <w:color w:val="000000" w:themeColor="text1"/>
                <w:szCs w:val="22"/>
              </w:rPr>
              <w:t xml:space="preserve">an </w:t>
            </w:r>
            <w:r w:rsidR="00D501DD" w:rsidRPr="006628B1">
              <w:rPr>
                <w:color w:val="000000" w:themeColor="text1"/>
                <w:szCs w:val="22"/>
              </w:rPr>
              <w:t>SEC Regulated Market</w:t>
            </w:r>
          </w:p>
        </w:tc>
        <w:tc>
          <w:tcPr>
            <w:tcW w:w="4397" w:type="dxa"/>
          </w:tcPr>
          <w:p w14:paraId="60E6F4D1" w14:textId="1579E2ED" w:rsidR="00D501DD" w:rsidRPr="006628B1" w:rsidRDefault="00D501DD" w:rsidP="00D501DD">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Borsa Istanbul – Futures and Options Market</w:t>
            </w:r>
          </w:p>
        </w:tc>
      </w:tr>
      <w:tr w:rsidR="006628B1" w:rsidRPr="006628B1" w14:paraId="3C47C206" w14:textId="77777777" w:rsidTr="00BA0053">
        <w:trPr>
          <w:cantSplit/>
        </w:trPr>
        <w:tc>
          <w:tcPr>
            <w:tcW w:w="4397" w:type="dxa"/>
          </w:tcPr>
          <w:p w14:paraId="30EB2C02" w14:textId="06F09681" w:rsidR="00D501DD" w:rsidRPr="006628B1" w:rsidDel="00666D5F" w:rsidRDefault="00D501DD" w:rsidP="00D501DD">
            <w:pPr>
              <w:overflowPunct w:val="0"/>
              <w:autoSpaceDE w:val="0"/>
              <w:autoSpaceDN w:val="0"/>
              <w:adjustRightInd w:val="0"/>
              <w:spacing w:after="120"/>
              <w:textAlignment w:val="baseline"/>
              <w:rPr>
                <w:color w:val="000000" w:themeColor="text1"/>
                <w:szCs w:val="22"/>
              </w:rPr>
            </w:pPr>
            <w:r w:rsidRPr="006628B1">
              <w:rPr>
                <w:color w:val="000000" w:themeColor="text1"/>
                <w:szCs w:val="22"/>
              </w:rPr>
              <w:t>BSE Limited (Bombay Stock Exchange)</w:t>
            </w:r>
          </w:p>
        </w:tc>
        <w:tc>
          <w:tcPr>
            <w:tcW w:w="4397" w:type="dxa"/>
          </w:tcPr>
          <w:p w14:paraId="49041288" w14:textId="11583DEE" w:rsidR="00D501DD" w:rsidRPr="006628B1" w:rsidRDefault="00D501DD" w:rsidP="00D501DD">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Bursa Malaysia Derivatives</w:t>
            </w:r>
            <w:r w:rsidR="00626B48">
              <w:rPr>
                <w:color w:val="000000" w:themeColor="text1"/>
                <w:szCs w:val="22"/>
              </w:rPr>
              <w:t xml:space="preserve"> Market</w:t>
            </w:r>
          </w:p>
        </w:tc>
      </w:tr>
      <w:tr w:rsidR="006628B1" w:rsidRPr="006628B1" w14:paraId="0EC8D51D" w14:textId="77777777" w:rsidTr="00BA0053">
        <w:trPr>
          <w:cantSplit/>
        </w:trPr>
        <w:tc>
          <w:tcPr>
            <w:tcW w:w="4397" w:type="dxa"/>
          </w:tcPr>
          <w:p w14:paraId="27EB391F" w14:textId="5AD7B1CC" w:rsidR="00D501DD" w:rsidRPr="006628B1" w:rsidRDefault="00D501DD" w:rsidP="00D501DD">
            <w:pPr>
              <w:overflowPunct w:val="0"/>
              <w:autoSpaceDE w:val="0"/>
              <w:autoSpaceDN w:val="0"/>
              <w:adjustRightInd w:val="0"/>
              <w:spacing w:after="120"/>
              <w:textAlignment w:val="baseline"/>
              <w:rPr>
                <w:color w:val="000000" w:themeColor="text1"/>
                <w:szCs w:val="22"/>
              </w:rPr>
            </w:pPr>
            <w:r w:rsidRPr="006628B1">
              <w:rPr>
                <w:color w:val="000000" w:themeColor="text1"/>
                <w:szCs w:val="22"/>
              </w:rPr>
              <w:t>China Financial Futures Exchange</w:t>
            </w:r>
          </w:p>
        </w:tc>
        <w:tc>
          <w:tcPr>
            <w:tcW w:w="4397" w:type="dxa"/>
          </w:tcPr>
          <w:p w14:paraId="05FB250B" w14:textId="74C8B109" w:rsidR="00D501DD" w:rsidRPr="006628B1" w:rsidRDefault="00D501DD" w:rsidP="00D501DD">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 xml:space="preserve">Dalian </w:t>
            </w:r>
            <w:r w:rsidR="006D3EE6" w:rsidRPr="006628B1">
              <w:rPr>
                <w:color w:val="000000" w:themeColor="text1"/>
                <w:szCs w:val="22"/>
              </w:rPr>
              <w:t>Commodit</w:t>
            </w:r>
            <w:r w:rsidR="006D3EE6">
              <w:rPr>
                <w:color w:val="000000" w:themeColor="text1"/>
                <w:szCs w:val="22"/>
              </w:rPr>
              <w:t>y</w:t>
            </w:r>
            <w:r w:rsidR="006D3EE6" w:rsidRPr="006628B1">
              <w:rPr>
                <w:color w:val="000000" w:themeColor="text1"/>
                <w:szCs w:val="22"/>
              </w:rPr>
              <w:t xml:space="preserve"> </w:t>
            </w:r>
            <w:r w:rsidRPr="006628B1">
              <w:rPr>
                <w:color w:val="000000" w:themeColor="text1"/>
                <w:szCs w:val="22"/>
              </w:rPr>
              <w:t>Exchange</w:t>
            </w:r>
          </w:p>
        </w:tc>
      </w:tr>
      <w:tr w:rsidR="006628B1" w:rsidRPr="006628B1" w14:paraId="605734C1" w14:textId="77777777" w:rsidTr="00BA0053">
        <w:trPr>
          <w:cantSplit/>
        </w:trPr>
        <w:tc>
          <w:tcPr>
            <w:tcW w:w="4397" w:type="dxa"/>
          </w:tcPr>
          <w:p w14:paraId="49A48344" w14:textId="3005566E" w:rsidR="00D501DD" w:rsidRPr="006628B1" w:rsidRDefault="00D501DD" w:rsidP="00D501DD">
            <w:pPr>
              <w:overflowPunct w:val="0"/>
              <w:autoSpaceDE w:val="0"/>
              <w:autoSpaceDN w:val="0"/>
              <w:adjustRightInd w:val="0"/>
              <w:spacing w:after="120"/>
              <w:textAlignment w:val="baseline"/>
              <w:rPr>
                <w:color w:val="000000" w:themeColor="text1"/>
                <w:szCs w:val="22"/>
              </w:rPr>
            </w:pPr>
            <w:r w:rsidRPr="006628B1">
              <w:rPr>
                <w:color w:val="000000" w:themeColor="text1"/>
                <w:szCs w:val="22"/>
              </w:rPr>
              <w:t>Dubai Gold &amp; Commodities Exchange</w:t>
            </w:r>
          </w:p>
        </w:tc>
        <w:tc>
          <w:tcPr>
            <w:tcW w:w="4397" w:type="dxa"/>
          </w:tcPr>
          <w:p w14:paraId="474C975A" w14:textId="457210BC" w:rsidR="00D501DD" w:rsidRPr="006628B1" w:rsidRDefault="00D501DD" w:rsidP="00D501DD">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Dubai Mercantile Exchange</w:t>
            </w:r>
          </w:p>
        </w:tc>
      </w:tr>
      <w:tr w:rsidR="006628B1" w:rsidRPr="006628B1" w14:paraId="2450B3FF" w14:textId="77777777" w:rsidTr="00BA0053">
        <w:trPr>
          <w:cantSplit/>
        </w:trPr>
        <w:tc>
          <w:tcPr>
            <w:tcW w:w="4397" w:type="dxa"/>
          </w:tcPr>
          <w:p w14:paraId="0C8FC0E2" w14:textId="405C2D2A" w:rsidR="00D501DD" w:rsidRPr="006628B1" w:rsidRDefault="00D501DD" w:rsidP="00D501DD">
            <w:pPr>
              <w:overflowPunct w:val="0"/>
              <w:autoSpaceDE w:val="0"/>
              <w:autoSpaceDN w:val="0"/>
              <w:adjustRightInd w:val="0"/>
              <w:spacing w:after="120"/>
              <w:textAlignment w:val="baseline"/>
              <w:rPr>
                <w:color w:val="000000" w:themeColor="text1"/>
                <w:szCs w:val="22"/>
              </w:rPr>
            </w:pPr>
            <w:r w:rsidRPr="006628B1">
              <w:rPr>
                <w:color w:val="000000" w:themeColor="text1"/>
                <w:szCs w:val="22"/>
              </w:rPr>
              <w:t>EPEX Spot SE</w:t>
            </w:r>
          </w:p>
        </w:tc>
        <w:tc>
          <w:tcPr>
            <w:tcW w:w="4397" w:type="dxa"/>
          </w:tcPr>
          <w:p w14:paraId="01E75FBE" w14:textId="515EB819" w:rsidR="00D501DD" w:rsidRPr="006628B1" w:rsidRDefault="00D501DD" w:rsidP="00D501DD">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HUPX Ltd Hungarian Power Exchange</w:t>
            </w:r>
          </w:p>
        </w:tc>
      </w:tr>
      <w:tr w:rsidR="006628B1" w:rsidRPr="006628B1" w14:paraId="04B1ED91" w14:textId="77777777" w:rsidTr="00BA0053">
        <w:trPr>
          <w:cantSplit/>
        </w:trPr>
        <w:tc>
          <w:tcPr>
            <w:tcW w:w="4397" w:type="dxa"/>
          </w:tcPr>
          <w:p w14:paraId="193EF099" w14:textId="77777777" w:rsidR="00626B48" w:rsidRPr="00626B48" w:rsidRDefault="00626B48" w:rsidP="00626B48">
            <w:pPr>
              <w:overflowPunct w:val="0"/>
              <w:autoSpaceDE w:val="0"/>
              <w:autoSpaceDN w:val="0"/>
              <w:adjustRightInd w:val="0"/>
              <w:spacing w:after="120"/>
              <w:textAlignment w:val="baseline"/>
              <w:rPr>
                <w:color w:val="000000" w:themeColor="text1"/>
                <w:szCs w:val="22"/>
              </w:rPr>
            </w:pPr>
            <w:r w:rsidRPr="00626B48">
              <w:rPr>
                <w:color w:val="000000" w:themeColor="text1"/>
                <w:szCs w:val="22"/>
              </w:rPr>
              <w:t>the following financial markets operated by the Johannesburg Stock Exchange:</w:t>
            </w:r>
          </w:p>
          <w:p w14:paraId="1EA0EC2F" w14:textId="304C8A2F" w:rsidR="00626B48" w:rsidRPr="00626B48" w:rsidRDefault="00626B48" w:rsidP="00626B48">
            <w:pPr>
              <w:overflowPunct w:val="0"/>
              <w:autoSpaceDE w:val="0"/>
              <w:autoSpaceDN w:val="0"/>
              <w:adjustRightInd w:val="0"/>
              <w:spacing w:after="120"/>
              <w:textAlignment w:val="baseline"/>
              <w:rPr>
                <w:color w:val="000000" w:themeColor="text1"/>
                <w:szCs w:val="22"/>
              </w:rPr>
            </w:pPr>
            <w:r w:rsidRPr="00626B48">
              <w:rPr>
                <w:color w:val="000000" w:themeColor="text1"/>
                <w:szCs w:val="22"/>
              </w:rPr>
              <w:t>(i)</w:t>
            </w:r>
            <w:r w:rsidRPr="00626B48">
              <w:rPr>
                <w:color w:val="000000" w:themeColor="text1"/>
                <w:szCs w:val="22"/>
              </w:rPr>
              <w:tab/>
              <w:t>JSE Commodity Derivatives Market</w:t>
            </w:r>
          </w:p>
          <w:p w14:paraId="1E918F4F" w14:textId="11D4EB1E" w:rsidR="00626B48" w:rsidRPr="00626B48" w:rsidRDefault="00626B48" w:rsidP="00626B48">
            <w:pPr>
              <w:overflowPunct w:val="0"/>
              <w:autoSpaceDE w:val="0"/>
              <w:autoSpaceDN w:val="0"/>
              <w:adjustRightInd w:val="0"/>
              <w:spacing w:after="120"/>
              <w:textAlignment w:val="baseline"/>
              <w:rPr>
                <w:color w:val="000000" w:themeColor="text1"/>
                <w:szCs w:val="22"/>
              </w:rPr>
            </w:pPr>
            <w:r w:rsidRPr="00626B48">
              <w:rPr>
                <w:color w:val="000000" w:themeColor="text1"/>
                <w:szCs w:val="22"/>
              </w:rPr>
              <w:t>(ii)</w:t>
            </w:r>
            <w:r w:rsidRPr="00626B48">
              <w:rPr>
                <w:color w:val="000000" w:themeColor="text1"/>
                <w:szCs w:val="22"/>
              </w:rPr>
              <w:tab/>
              <w:t>JSE Currency Derivatives Market</w:t>
            </w:r>
          </w:p>
          <w:p w14:paraId="51338112" w14:textId="0E093222" w:rsidR="00626B48" w:rsidRPr="00626B48" w:rsidRDefault="00626B48" w:rsidP="00626B48">
            <w:pPr>
              <w:overflowPunct w:val="0"/>
              <w:autoSpaceDE w:val="0"/>
              <w:autoSpaceDN w:val="0"/>
              <w:adjustRightInd w:val="0"/>
              <w:spacing w:after="120"/>
              <w:textAlignment w:val="baseline"/>
              <w:rPr>
                <w:color w:val="000000" w:themeColor="text1"/>
                <w:szCs w:val="22"/>
              </w:rPr>
            </w:pPr>
            <w:r w:rsidRPr="00626B48">
              <w:rPr>
                <w:color w:val="000000" w:themeColor="text1"/>
                <w:szCs w:val="22"/>
              </w:rPr>
              <w:t>(iii)</w:t>
            </w:r>
            <w:r w:rsidRPr="00626B48">
              <w:rPr>
                <w:color w:val="000000" w:themeColor="text1"/>
                <w:szCs w:val="22"/>
              </w:rPr>
              <w:tab/>
              <w:t>JSE Equity Derivatives Market</w:t>
            </w:r>
          </w:p>
          <w:p w14:paraId="47160B6A" w14:textId="4F306115" w:rsidR="00D501DD" w:rsidRPr="006628B1" w:rsidRDefault="00626B48" w:rsidP="00626B48">
            <w:pPr>
              <w:overflowPunct w:val="0"/>
              <w:autoSpaceDE w:val="0"/>
              <w:autoSpaceDN w:val="0"/>
              <w:adjustRightInd w:val="0"/>
              <w:spacing w:after="120"/>
              <w:textAlignment w:val="baseline"/>
              <w:rPr>
                <w:color w:val="000000" w:themeColor="text1"/>
                <w:szCs w:val="22"/>
              </w:rPr>
            </w:pPr>
            <w:r w:rsidRPr="00626B48">
              <w:rPr>
                <w:color w:val="000000" w:themeColor="text1"/>
                <w:szCs w:val="22"/>
              </w:rPr>
              <w:t>(iv)</w:t>
            </w:r>
            <w:r w:rsidRPr="00626B48">
              <w:rPr>
                <w:color w:val="000000" w:themeColor="text1"/>
                <w:szCs w:val="22"/>
              </w:rPr>
              <w:tab/>
              <w:t>JSE Interest Rate Derivatives Market</w:t>
            </w:r>
          </w:p>
        </w:tc>
        <w:tc>
          <w:tcPr>
            <w:tcW w:w="4397" w:type="dxa"/>
          </w:tcPr>
          <w:p w14:paraId="33C0C0D1" w14:textId="3AA0D280" w:rsidR="00D501DD" w:rsidRPr="006628B1" w:rsidRDefault="00D501DD" w:rsidP="00D501DD">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Korea Exchange</w:t>
            </w:r>
          </w:p>
        </w:tc>
      </w:tr>
      <w:tr w:rsidR="006628B1" w:rsidRPr="006628B1" w14:paraId="3EDD1E07" w14:textId="77777777" w:rsidTr="00BA0053">
        <w:trPr>
          <w:cantSplit/>
        </w:trPr>
        <w:tc>
          <w:tcPr>
            <w:tcW w:w="4397" w:type="dxa"/>
          </w:tcPr>
          <w:p w14:paraId="719B4251" w14:textId="218D6B8F" w:rsidR="00D501DD" w:rsidRPr="006628B1" w:rsidRDefault="00D501DD" w:rsidP="00D501DD">
            <w:pPr>
              <w:overflowPunct w:val="0"/>
              <w:autoSpaceDE w:val="0"/>
              <w:autoSpaceDN w:val="0"/>
              <w:adjustRightInd w:val="0"/>
              <w:spacing w:after="120"/>
              <w:textAlignment w:val="baseline"/>
              <w:rPr>
                <w:color w:val="000000" w:themeColor="text1"/>
                <w:szCs w:val="22"/>
              </w:rPr>
            </w:pPr>
            <w:r w:rsidRPr="006628B1">
              <w:rPr>
                <w:color w:val="000000" w:themeColor="text1"/>
                <w:szCs w:val="22"/>
              </w:rPr>
              <w:t>Mexican Derivatives Exchange</w:t>
            </w:r>
          </w:p>
        </w:tc>
        <w:tc>
          <w:tcPr>
            <w:tcW w:w="4397" w:type="dxa"/>
          </w:tcPr>
          <w:p w14:paraId="6C4C1C0D" w14:textId="72F7F0B9" w:rsidR="00D501DD" w:rsidRPr="006628B1" w:rsidRDefault="00D501DD" w:rsidP="00D501DD">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Moscow Exchange – Derivatives Market</w:t>
            </w:r>
          </w:p>
        </w:tc>
      </w:tr>
      <w:tr w:rsidR="006628B1" w:rsidRPr="006628B1" w14:paraId="0ADD9E1C" w14:textId="77777777" w:rsidTr="00BA0053">
        <w:trPr>
          <w:cantSplit/>
        </w:trPr>
        <w:tc>
          <w:tcPr>
            <w:tcW w:w="4397" w:type="dxa"/>
          </w:tcPr>
          <w:p w14:paraId="5AE1DE41" w14:textId="77777777" w:rsidR="00BD7E1F" w:rsidRPr="006628B1" w:rsidRDefault="00BD7E1F" w:rsidP="00BA0053">
            <w:pPr>
              <w:overflowPunct w:val="0"/>
              <w:autoSpaceDE w:val="0"/>
              <w:autoSpaceDN w:val="0"/>
              <w:adjustRightInd w:val="0"/>
              <w:spacing w:after="120"/>
              <w:textAlignment w:val="baseline"/>
              <w:rPr>
                <w:color w:val="000000" w:themeColor="text1"/>
                <w:szCs w:val="22"/>
              </w:rPr>
            </w:pPr>
            <w:r w:rsidRPr="006628B1">
              <w:rPr>
                <w:color w:val="000000" w:themeColor="text1"/>
                <w:szCs w:val="22"/>
              </w:rPr>
              <w:t>National Stock Exchange of India</w:t>
            </w:r>
          </w:p>
        </w:tc>
        <w:tc>
          <w:tcPr>
            <w:tcW w:w="4397" w:type="dxa"/>
          </w:tcPr>
          <w:p w14:paraId="26183CB4" w14:textId="476E4B9D" w:rsidR="00BD7E1F" w:rsidRPr="006628B1" w:rsidRDefault="00BD7E1F" w:rsidP="00BA0053">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 xml:space="preserve">NZX </w:t>
            </w:r>
            <w:r w:rsidR="00626B48">
              <w:rPr>
                <w:color w:val="000000" w:themeColor="text1"/>
                <w:szCs w:val="22"/>
              </w:rPr>
              <w:t>Derivatives Market</w:t>
            </w:r>
          </w:p>
        </w:tc>
      </w:tr>
      <w:tr w:rsidR="006628B1" w:rsidRPr="006628B1" w14:paraId="30B1A5B0" w14:textId="77777777" w:rsidTr="00BA0053">
        <w:trPr>
          <w:cantSplit/>
        </w:trPr>
        <w:tc>
          <w:tcPr>
            <w:tcW w:w="4397" w:type="dxa"/>
          </w:tcPr>
          <w:p w14:paraId="43D5BD65" w14:textId="53CD2C25" w:rsidR="00BD7E1F" w:rsidRPr="006628B1" w:rsidRDefault="00BD7E1F" w:rsidP="00BD7E1F">
            <w:pPr>
              <w:overflowPunct w:val="0"/>
              <w:autoSpaceDE w:val="0"/>
              <w:autoSpaceDN w:val="0"/>
              <w:adjustRightInd w:val="0"/>
              <w:spacing w:after="120"/>
              <w:textAlignment w:val="baseline"/>
              <w:rPr>
                <w:color w:val="000000" w:themeColor="text1"/>
                <w:szCs w:val="22"/>
              </w:rPr>
            </w:pPr>
            <w:r w:rsidRPr="006628B1">
              <w:rPr>
                <w:color w:val="000000" w:themeColor="text1"/>
                <w:szCs w:val="22"/>
              </w:rPr>
              <w:t>Power Exchange Central Europe</w:t>
            </w:r>
          </w:p>
        </w:tc>
        <w:tc>
          <w:tcPr>
            <w:tcW w:w="4397" w:type="dxa"/>
          </w:tcPr>
          <w:p w14:paraId="79CFB723" w14:textId="5DAD66F2" w:rsidR="00BD7E1F" w:rsidRPr="006628B1" w:rsidRDefault="00BD7E1F" w:rsidP="00BD7E1F">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Shanghai Futures Exchange</w:t>
            </w:r>
          </w:p>
        </w:tc>
      </w:tr>
      <w:tr w:rsidR="006628B1" w:rsidRPr="006628B1" w14:paraId="57604855" w14:textId="77777777" w:rsidTr="00BA0053">
        <w:trPr>
          <w:cantSplit/>
        </w:trPr>
        <w:tc>
          <w:tcPr>
            <w:tcW w:w="4397" w:type="dxa"/>
          </w:tcPr>
          <w:p w14:paraId="2A2E210A" w14:textId="0E4B38D0" w:rsidR="00D501DD" w:rsidRPr="006628B1" w:rsidDel="002751D2" w:rsidRDefault="00BD7E1F" w:rsidP="00D501DD">
            <w:pPr>
              <w:overflowPunct w:val="0"/>
              <w:autoSpaceDE w:val="0"/>
              <w:autoSpaceDN w:val="0"/>
              <w:adjustRightInd w:val="0"/>
              <w:spacing w:after="120"/>
              <w:textAlignment w:val="baseline"/>
              <w:rPr>
                <w:color w:val="000000" w:themeColor="text1"/>
                <w:szCs w:val="22"/>
              </w:rPr>
            </w:pPr>
            <w:r w:rsidRPr="006628B1">
              <w:rPr>
                <w:color w:val="000000" w:themeColor="text1"/>
                <w:szCs w:val="22"/>
              </w:rPr>
              <w:t>Taiwan Futures Exchange</w:t>
            </w:r>
          </w:p>
        </w:tc>
        <w:tc>
          <w:tcPr>
            <w:tcW w:w="4397" w:type="dxa"/>
          </w:tcPr>
          <w:p w14:paraId="46B636C7" w14:textId="27C7E0CF" w:rsidR="00D501DD" w:rsidRPr="006628B1" w:rsidRDefault="00BD7E1F" w:rsidP="00D501DD">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Tel Aviv Stock Exchange</w:t>
            </w:r>
          </w:p>
        </w:tc>
      </w:tr>
      <w:tr w:rsidR="006628B1" w:rsidRPr="006628B1" w14:paraId="012C258B" w14:textId="77777777" w:rsidTr="00BA0053">
        <w:trPr>
          <w:cantSplit/>
        </w:trPr>
        <w:tc>
          <w:tcPr>
            <w:tcW w:w="4397" w:type="dxa"/>
          </w:tcPr>
          <w:p w14:paraId="6E75DE22" w14:textId="27CA8299" w:rsidR="00BD7E1F" w:rsidRPr="006628B1" w:rsidRDefault="00BD7E1F" w:rsidP="00BD7E1F">
            <w:pPr>
              <w:overflowPunct w:val="0"/>
              <w:autoSpaceDE w:val="0"/>
              <w:autoSpaceDN w:val="0"/>
              <w:adjustRightInd w:val="0"/>
              <w:spacing w:after="120"/>
              <w:textAlignment w:val="baseline"/>
              <w:rPr>
                <w:color w:val="000000" w:themeColor="text1"/>
                <w:szCs w:val="22"/>
              </w:rPr>
            </w:pPr>
            <w:r w:rsidRPr="006628B1">
              <w:rPr>
                <w:color w:val="000000" w:themeColor="text1"/>
                <w:szCs w:val="22"/>
              </w:rPr>
              <w:t>Thailand Futures Exchange as part of Stock Exchange of Thailand</w:t>
            </w:r>
          </w:p>
        </w:tc>
        <w:tc>
          <w:tcPr>
            <w:tcW w:w="4397" w:type="dxa"/>
          </w:tcPr>
          <w:p w14:paraId="3AD7BAF5" w14:textId="1B1C8F6E" w:rsidR="00BD7E1F" w:rsidRPr="006628B1" w:rsidRDefault="00BD7E1F" w:rsidP="00BD7E1F">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Tokyo Commodity Exchange</w:t>
            </w:r>
          </w:p>
        </w:tc>
      </w:tr>
      <w:tr w:rsidR="006628B1" w:rsidRPr="006628B1" w14:paraId="2605FC9F" w14:textId="77777777" w:rsidTr="00BA0053">
        <w:trPr>
          <w:cantSplit/>
        </w:trPr>
        <w:tc>
          <w:tcPr>
            <w:tcW w:w="4397" w:type="dxa"/>
          </w:tcPr>
          <w:p w14:paraId="15A9057D" w14:textId="40D89A3D" w:rsidR="00BD7E1F" w:rsidRPr="006628B1" w:rsidRDefault="00BD7E1F" w:rsidP="00BD7E1F">
            <w:pPr>
              <w:overflowPunct w:val="0"/>
              <w:autoSpaceDE w:val="0"/>
              <w:autoSpaceDN w:val="0"/>
              <w:adjustRightInd w:val="0"/>
              <w:spacing w:after="120"/>
              <w:textAlignment w:val="baseline"/>
              <w:rPr>
                <w:color w:val="000000" w:themeColor="text1"/>
                <w:szCs w:val="22"/>
              </w:rPr>
            </w:pPr>
            <w:r w:rsidRPr="006628B1">
              <w:rPr>
                <w:color w:val="000000" w:themeColor="text1"/>
                <w:szCs w:val="22"/>
              </w:rPr>
              <w:t>Tokyo Financial Exchange</w:t>
            </w:r>
          </w:p>
        </w:tc>
        <w:tc>
          <w:tcPr>
            <w:tcW w:w="4397" w:type="dxa"/>
          </w:tcPr>
          <w:p w14:paraId="10444489" w14:textId="03FCE964" w:rsidR="00BD7E1F" w:rsidRPr="006628B1" w:rsidRDefault="00BD7E1F" w:rsidP="00BD7E1F">
            <w:pPr>
              <w:overflowPunct w:val="0"/>
              <w:autoSpaceDE w:val="0"/>
              <w:autoSpaceDN w:val="0"/>
              <w:adjustRightInd w:val="0"/>
              <w:spacing w:after="120"/>
              <w:textAlignment w:val="baseline"/>
              <w:rPr>
                <w:i/>
                <w:iCs/>
                <w:color w:val="000000" w:themeColor="text1"/>
                <w:szCs w:val="22"/>
              </w:rPr>
            </w:pPr>
          </w:p>
        </w:tc>
      </w:tr>
    </w:tbl>
    <w:p w14:paraId="1C86947E" w14:textId="04F968D5" w:rsidR="00415D19" w:rsidRPr="006628B1" w:rsidRDefault="00415D19" w:rsidP="00415D19">
      <w:pPr>
        <w:pStyle w:val="LI-BodyTextParaa"/>
        <w:numPr>
          <w:ilvl w:val="0"/>
          <w:numId w:val="18"/>
        </w:numPr>
        <w:jc w:val="both"/>
        <w:rPr>
          <w:color w:val="000000" w:themeColor="text1"/>
        </w:rPr>
      </w:pPr>
      <w:r w:rsidRPr="006628B1">
        <w:rPr>
          <w:color w:val="000000" w:themeColor="text1"/>
        </w:rPr>
        <w:lastRenderedPageBreak/>
        <w:t>Financial markets in the Determination that are deleted because they are not a currently operating financial market name:</w:t>
      </w:r>
    </w:p>
    <w:p w14:paraId="71FB5739" w14:textId="77777777" w:rsidR="00415D19" w:rsidRPr="006628B1" w:rsidRDefault="00415D19" w:rsidP="00415D19">
      <w:pPr>
        <w:pStyle w:val="LI-BodyTextParaa"/>
        <w:spacing w:before="0"/>
        <w:ind w:left="0" w:firstLine="0"/>
        <w:jc w:val="both"/>
        <w:rPr>
          <w:color w:val="000000" w:themeColor="text1"/>
        </w:rPr>
      </w:pPr>
    </w:p>
    <w:tbl>
      <w:tblPr>
        <w:tblStyle w:val="TableGrid"/>
        <w:tblW w:w="879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6628B1" w:rsidRPr="006628B1" w14:paraId="2AC1BD57" w14:textId="77777777" w:rsidTr="00415D19">
        <w:tc>
          <w:tcPr>
            <w:tcW w:w="4397" w:type="dxa"/>
          </w:tcPr>
          <w:p w14:paraId="3FEDD8F0" w14:textId="76A3C4C2" w:rsidR="00415D19" w:rsidRPr="006628B1" w:rsidRDefault="00415D19" w:rsidP="00BA0053">
            <w:pPr>
              <w:overflowPunct w:val="0"/>
              <w:autoSpaceDE w:val="0"/>
              <w:autoSpaceDN w:val="0"/>
              <w:adjustRightInd w:val="0"/>
              <w:spacing w:after="120"/>
              <w:textAlignment w:val="baseline"/>
              <w:rPr>
                <w:color w:val="000000" w:themeColor="text1"/>
                <w:szCs w:val="22"/>
              </w:rPr>
            </w:pPr>
            <w:r w:rsidRPr="006628B1">
              <w:rPr>
                <w:color w:val="000000" w:themeColor="text1"/>
                <w:szCs w:val="22"/>
              </w:rPr>
              <w:t>CME Direct</w:t>
            </w:r>
          </w:p>
        </w:tc>
        <w:tc>
          <w:tcPr>
            <w:tcW w:w="4397" w:type="dxa"/>
          </w:tcPr>
          <w:p w14:paraId="22A839E5" w14:textId="4BD6991B" w:rsidR="00415D19" w:rsidRPr="006628B1" w:rsidRDefault="00D501DD" w:rsidP="00BA0053">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Kansas City Board of Trade</w:t>
            </w:r>
          </w:p>
        </w:tc>
      </w:tr>
      <w:tr w:rsidR="006628B1" w:rsidRPr="006628B1" w14:paraId="749A16A2" w14:textId="77777777" w:rsidTr="00415D19">
        <w:tc>
          <w:tcPr>
            <w:tcW w:w="4397" w:type="dxa"/>
          </w:tcPr>
          <w:p w14:paraId="10724354" w14:textId="70855A7E" w:rsidR="00415D19" w:rsidRPr="006628B1" w:rsidDel="00484E97" w:rsidRDefault="00415D19" w:rsidP="00BA0053">
            <w:pPr>
              <w:overflowPunct w:val="0"/>
              <w:autoSpaceDE w:val="0"/>
              <w:autoSpaceDN w:val="0"/>
              <w:adjustRightInd w:val="0"/>
              <w:spacing w:after="120"/>
              <w:textAlignment w:val="baseline"/>
              <w:rPr>
                <w:color w:val="000000" w:themeColor="text1"/>
                <w:szCs w:val="22"/>
              </w:rPr>
            </w:pPr>
            <w:r w:rsidRPr="006628B1">
              <w:rPr>
                <w:color w:val="000000" w:themeColor="text1"/>
                <w:szCs w:val="22"/>
              </w:rPr>
              <w:t>NASDAQ OMX Nordic Derivatives Markets</w:t>
            </w:r>
          </w:p>
        </w:tc>
        <w:tc>
          <w:tcPr>
            <w:tcW w:w="4397" w:type="dxa"/>
          </w:tcPr>
          <w:p w14:paraId="0A8D9502" w14:textId="4571FCF9" w:rsidR="00415D19" w:rsidRPr="006628B1" w:rsidRDefault="00D501DD" w:rsidP="00BA0053">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NYSE Liffe US</w:t>
            </w:r>
          </w:p>
        </w:tc>
      </w:tr>
      <w:tr w:rsidR="006628B1" w:rsidRPr="006628B1" w14:paraId="151B04A8" w14:textId="77777777" w:rsidTr="00415D19">
        <w:tc>
          <w:tcPr>
            <w:tcW w:w="4397" w:type="dxa"/>
          </w:tcPr>
          <w:p w14:paraId="537DD96A" w14:textId="45052C52" w:rsidR="00415D19" w:rsidRPr="006628B1" w:rsidRDefault="00415D19" w:rsidP="00BA0053">
            <w:pPr>
              <w:overflowPunct w:val="0"/>
              <w:autoSpaceDE w:val="0"/>
              <w:autoSpaceDN w:val="0"/>
              <w:adjustRightInd w:val="0"/>
              <w:spacing w:after="120"/>
              <w:textAlignment w:val="baseline"/>
              <w:rPr>
                <w:color w:val="000000" w:themeColor="text1"/>
                <w:szCs w:val="22"/>
              </w:rPr>
            </w:pPr>
            <w:r w:rsidRPr="006628B1">
              <w:rPr>
                <w:color w:val="000000" w:themeColor="text1"/>
                <w:szCs w:val="22"/>
              </w:rPr>
              <w:t>NYSE</w:t>
            </w:r>
            <w:r w:rsidR="006628B1" w:rsidRPr="006628B1">
              <w:rPr>
                <w:color w:val="000000" w:themeColor="text1"/>
                <w:szCs w:val="22"/>
              </w:rPr>
              <w:t>.</w:t>
            </w:r>
            <w:r w:rsidR="00626B48">
              <w:rPr>
                <w:color w:val="000000" w:themeColor="text1"/>
                <w:szCs w:val="22"/>
              </w:rPr>
              <w:t>L</w:t>
            </w:r>
            <w:r w:rsidRPr="006628B1">
              <w:rPr>
                <w:color w:val="000000" w:themeColor="text1"/>
                <w:szCs w:val="22"/>
              </w:rPr>
              <w:t>iffe</w:t>
            </w:r>
          </w:p>
        </w:tc>
        <w:tc>
          <w:tcPr>
            <w:tcW w:w="4397" w:type="dxa"/>
          </w:tcPr>
          <w:p w14:paraId="1E0A8848" w14:textId="62B99C0C" w:rsidR="00415D19" w:rsidRPr="006628B1" w:rsidRDefault="00415D19" w:rsidP="00BA0053">
            <w:pPr>
              <w:overflowPunct w:val="0"/>
              <w:autoSpaceDE w:val="0"/>
              <w:autoSpaceDN w:val="0"/>
              <w:adjustRightInd w:val="0"/>
              <w:spacing w:after="120"/>
              <w:textAlignment w:val="baseline"/>
              <w:rPr>
                <w:i/>
                <w:iCs/>
                <w:color w:val="000000" w:themeColor="text1"/>
                <w:szCs w:val="22"/>
              </w:rPr>
            </w:pPr>
          </w:p>
        </w:tc>
      </w:tr>
    </w:tbl>
    <w:p w14:paraId="7EB4CC82" w14:textId="6486630E" w:rsidR="00D501DD" w:rsidRPr="006628B1" w:rsidRDefault="00D501DD" w:rsidP="00D501DD">
      <w:pPr>
        <w:pStyle w:val="LI-BodyTextParaa"/>
        <w:numPr>
          <w:ilvl w:val="0"/>
          <w:numId w:val="18"/>
        </w:numPr>
        <w:jc w:val="both"/>
        <w:rPr>
          <w:color w:val="000000" w:themeColor="text1"/>
        </w:rPr>
      </w:pPr>
      <w:r w:rsidRPr="006628B1">
        <w:rPr>
          <w:color w:val="000000" w:themeColor="text1"/>
        </w:rPr>
        <w:t xml:space="preserve">Financial markets in the Determination that are </w:t>
      </w:r>
      <w:r w:rsidR="004134EB">
        <w:rPr>
          <w:color w:val="000000" w:themeColor="text1"/>
        </w:rPr>
        <w:t xml:space="preserve">no longer specifically identified because they are Regulated Foreign Markets by virtue of being </w:t>
      </w:r>
      <w:r w:rsidR="007D2E23" w:rsidRPr="006628B1">
        <w:rPr>
          <w:color w:val="000000" w:themeColor="text1"/>
        </w:rPr>
        <w:t>a CFTC Regulated Market, an EU Regulated Market, a UK Regulated Market or an SEC Regulated Market</w:t>
      </w:r>
      <w:r w:rsidRPr="006628B1">
        <w:rPr>
          <w:color w:val="000000" w:themeColor="text1"/>
        </w:rPr>
        <w:t>:</w:t>
      </w:r>
    </w:p>
    <w:p w14:paraId="791686F1" w14:textId="77777777" w:rsidR="00D501DD" w:rsidRPr="006628B1" w:rsidRDefault="00D501DD" w:rsidP="00D501DD">
      <w:pPr>
        <w:pStyle w:val="LI-BodyTextParaa"/>
        <w:spacing w:before="0"/>
        <w:ind w:left="0" w:firstLine="0"/>
        <w:jc w:val="both"/>
        <w:rPr>
          <w:color w:val="000000" w:themeColor="text1"/>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6628B1" w:rsidRPr="006628B1" w14:paraId="5135C6B9" w14:textId="77777777" w:rsidTr="00BA0053">
        <w:trPr>
          <w:cantSplit/>
        </w:trPr>
        <w:tc>
          <w:tcPr>
            <w:tcW w:w="4397" w:type="dxa"/>
          </w:tcPr>
          <w:p w14:paraId="71A6BDFA" w14:textId="5025757E" w:rsidR="00A85241" w:rsidRPr="006628B1" w:rsidRDefault="00652698" w:rsidP="00BA0053">
            <w:pPr>
              <w:overflowPunct w:val="0"/>
              <w:autoSpaceDE w:val="0"/>
              <w:autoSpaceDN w:val="0"/>
              <w:adjustRightInd w:val="0"/>
              <w:spacing w:after="120"/>
              <w:textAlignment w:val="baseline"/>
              <w:rPr>
                <w:color w:val="000000" w:themeColor="text1"/>
                <w:szCs w:val="22"/>
              </w:rPr>
            </w:pPr>
            <w:r w:rsidRPr="006628B1">
              <w:rPr>
                <w:color w:val="000000" w:themeColor="text1"/>
                <w:szCs w:val="22"/>
              </w:rPr>
              <w:t>A</w:t>
            </w:r>
            <w:r w:rsidR="00A85241" w:rsidRPr="006628B1">
              <w:rPr>
                <w:color w:val="000000" w:themeColor="text1"/>
                <w:szCs w:val="22"/>
              </w:rPr>
              <w:t>thens Exchange Derivatives Market;</w:t>
            </w:r>
          </w:p>
        </w:tc>
        <w:tc>
          <w:tcPr>
            <w:tcW w:w="4397" w:type="dxa"/>
          </w:tcPr>
          <w:p w14:paraId="24D31768" w14:textId="4BD48958" w:rsidR="00A85241" w:rsidRPr="006628B1" w:rsidRDefault="00652698" w:rsidP="00BA0053">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Budapesti Értéktozsde (Budapest Stock Exchange);</w:t>
            </w:r>
          </w:p>
        </w:tc>
      </w:tr>
      <w:tr w:rsidR="006628B1" w:rsidRPr="006628B1" w14:paraId="3C131E2A" w14:textId="77777777" w:rsidTr="00BA0053">
        <w:trPr>
          <w:cantSplit/>
        </w:trPr>
        <w:tc>
          <w:tcPr>
            <w:tcW w:w="4397" w:type="dxa"/>
          </w:tcPr>
          <w:p w14:paraId="17158E29" w14:textId="5C8F1E30" w:rsidR="00A85241" w:rsidRPr="006628B1" w:rsidDel="007366C7" w:rsidRDefault="00652698" w:rsidP="00BA0053">
            <w:pPr>
              <w:overflowPunct w:val="0"/>
              <w:autoSpaceDE w:val="0"/>
              <w:autoSpaceDN w:val="0"/>
              <w:adjustRightInd w:val="0"/>
              <w:spacing w:after="120"/>
              <w:textAlignment w:val="baseline"/>
              <w:rPr>
                <w:color w:val="000000" w:themeColor="text1"/>
                <w:szCs w:val="22"/>
              </w:rPr>
            </w:pPr>
            <w:r w:rsidRPr="006628B1">
              <w:rPr>
                <w:color w:val="000000" w:themeColor="text1"/>
                <w:szCs w:val="22"/>
              </w:rPr>
              <w:t>CBOE Futures Exchange</w:t>
            </w:r>
          </w:p>
        </w:tc>
        <w:tc>
          <w:tcPr>
            <w:tcW w:w="4397" w:type="dxa"/>
          </w:tcPr>
          <w:p w14:paraId="30FB8467" w14:textId="5292F486" w:rsidR="00A85241" w:rsidRPr="006628B1" w:rsidRDefault="00652698" w:rsidP="00BA0053">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Chicago Board of Trade</w:t>
            </w:r>
          </w:p>
        </w:tc>
      </w:tr>
      <w:tr w:rsidR="006628B1" w:rsidRPr="006628B1" w14:paraId="4718F9BE" w14:textId="77777777" w:rsidTr="00BA0053">
        <w:trPr>
          <w:cantSplit/>
        </w:trPr>
        <w:tc>
          <w:tcPr>
            <w:tcW w:w="4397" w:type="dxa"/>
          </w:tcPr>
          <w:p w14:paraId="4478F452" w14:textId="3A2750E8" w:rsidR="00A85241" w:rsidRPr="006628B1" w:rsidRDefault="00652698" w:rsidP="00BA0053">
            <w:pPr>
              <w:overflowPunct w:val="0"/>
              <w:autoSpaceDE w:val="0"/>
              <w:autoSpaceDN w:val="0"/>
              <w:adjustRightInd w:val="0"/>
              <w:spacing w:after="120"/>
              <w:textAlignment w:val="baseline"/>
              <w:rPr>
                <w:color w:val="000000" w:themeColor="text1"/>
                <w:szCs w:val="22"/>
              </w:rPr>
            </w:pPr>
            <w:r w:rsidRPr="006628B1">
              <w:rPr>
                <w:color w:val="000000" w:themeColor="text1"/>
                <w:szCs w:val="22"/>
              </w:rPr>
              <w:t>Chicago Board Options</w:t>
            </w:r>
            <w:r w:rsidR="006628B1" w:rsidRPr="006628B1">
              <w:rPr>
                <w:color w:val="000000" w:themeColor="text1"/>
                <w:szCs w:val="22"/>
              </w:rPr>
              <w:t xml:space="preserve"> Exchange</w:t>
            </w:r>
          </w:p>
        </w:tc>
        <w:tc>
          <w:tcPr>
            <w:tcW w:w="4397" w:type="dxa"/>
          </w:tcPr>
          <w:p w14:paraId="6F41B711" w14:textId="094AC44F" w:rsidR="00A85241" w:rsidRPr="006628B1" w:rsidRDefault="00652698" w:rsidP="00BA0053">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The Commodity Exchange, operated by Commodity Exchange, Inc. (US)</w:t>
            </w:r>
          </w:p>
        </w:tc>
      </w:tr>
      <w:tr w:rsidR="006628B1" w:rsidRPr="006628B1" w14:paraId="7E668D7A" w14:textId="77777777" w:rsidTr="00BA0053">
        <w:trPr>
          <w:cantSplit/>
        </w:trPr>
        <w:tc>
          <w:tcPr>
            <w:tcW w:w="4397" w:type="dxa"/>
          </w:tcPr>
          <w:p w14:paraId="2431BD86" w14:textId="5F50D22A" w:rsidR="00652698" w:rsidRPr="006628B1"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Eurex Deutschland</w:t>
            </w:r>
          </w:p>
        </w:tc>
        <w:tc>
          <w:tcPr>
            <w:tcW w:w="4397" w:type="dxa"/>
          </w:tcPr>
          <w:p w14:paraId="23408CCE" w14:textId="078BCBA1"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Euronext Paris MATIF (Marché à Terme International de France)</w:t>
            </w:r>
          </w:p>
        </w:tc>
      </w:tr>
      <w:tr w:rsidR="006628B1" w:rsidRPr="006628B1" w14:paraId="5C53F741" w14:textId="77777777" w:rsidTr="00BA0053">
        <w:trPr>
          <w:cantSplit/>
        </w:trPr>
        <w:tc>
          <w:tcPr>
            <w:tcW w:w="4397" w:type="dxa"/>
          </w:tcPr>
          <w:p w14:paraId="3F4E8EEF" w14:textId="441951DD" w:rsidR="00652698" w:rsidRPr="006628B1" w:rsidDel="007366C7"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Euronext Paris MONEP (Marche des Options Negociables de Paris)</w:t>
            </w:r>
          </w:p>
        </w:tc>
        <w:tc>
          <w:tcPr>
            <w:tcW w:w="4397" w:type="dxa"/>
          </w:tcPr>
          <w:p w14:paraId="43CE4C5A" w14:textId="228BE848"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ICE Futures Europe</w:t>
            </w:r>
          </w:p>
        </w:tc>
      </w:tr>
      <w:tr w:rsidR="006628B1" w:rsidRPr="006628B1" w14:paraId="260230AE" w14:textId="77777777" w:rsidTr="00BA0053">
        <w:trPr>
          <w:cantSplit/>
        </w:trPr>
        <w:tc>
          <w:tcPr>
            <w:tcW w:w="4397" w:type="dxa"/>
          </w:tcPr>
          <w:p w14:paraId="19D55305" w14:textId="0BB0FBC9" w:rsidR="00652698" w:rsidRPr="006628B1" w:rsidDel="001B0333"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ICE Futures U.S.</w:t>
            </w:r>
          </w:p>
        </w:tc>
        <w:tc>
          <w:tcPr>
            <w:tcW w:w="4397" w:type="dxa"/>
          </w:tcPr>
          <w:p w14:paraId="27DEB63E" w14:textId="2AFBE84A"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International Securities Exchange</w:t>
            </w:r>
          </w:p>
        </w:tc>
      </w:tr>
      <w:tr w:rsidR="006628B1" w:rsidRPr="006628B1" w14:paraId="538B89E6" w14:textId="77777777" w:rsidTr="00BA0053">
        <w:trPr>
          <w:cantSplit/>
        </w:trPr>
        <w:tc>
          <w:tcPr>
            <w:tcW w:w="4397" w:type="dxa"/>
          </w:tcPr>
          <w:p w14:paraId="50CC1CB0" w14:textId="4F2FBA4A" w:rsidR="00652698" w:rsidRPr="006628B1" w:rsidDel="001B0333"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Italian Derivatives Market</w:t>
            </w:r>
          </w:p>
        </w:tc>
        <w:tc>
          <w:tcPr>
            <w:tcW w:w="4397" w:type="dxa"/>
          </w:tcPr>
          <w:p w14:paraId="41757EBA" w14:textId="41639AF5"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London Metal Exchange</w:t>
            </w:r>
          </w:p>
        </w:tc>
      </w:tr>
      <w:tr w:rsidR="006628B1" w:rsidRPr="006628B1" w14:paraId="30B79D0A" w14:textId="77777777" w:rsidTr="00BA0053">
        <w:trPr>
          <w:cantSplit/>
        </w:trPr>
        <w:tc>
          <w:tcPr>
            <w:tcW w:w="4397" w:type="dxa"/>
          </w:tcPr>
          <w:p w14:paraId="2B361EB6" w14:textId="231C3F47" w:rsidR="00652698" w:rsidRPr="006628B1" w:rsidDel="00C67F39"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London Stock Exchange</w:t>
            </w:r>
          </w:p>
        </w:tc>
        <w:tc>
          <w:tcPr>
            <w:tcW w:w="4397" w:type="dxa"/>
          </w:tcPr>
          <w:p w14:paraId="56450402" w14:textId="059381FF"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Mercado Español de Futuros Financieros</w:t>
            </w:r>
          </w:p>
        </w:tc>
      </w:tr>
      <w:tr w:rsidR="006628B1" w:rsidRPr="006628B1" w14:paraId="56ACB540" w14:textId="77777777" w:rsidTr="00BA0053">
        <w:trPr>
          <w:cantSplit/>
        </w:trPr>
        <w:tc>
          <w:tcPr>
            <w:tcW w:w="4397" w:type="dxa"/>
          </w:tcPr>
          <w:p w14:paraId="6F5D6E2C" w14:textId="74909D0E" w:rsidR="00652698" w:rsidRPr="006628B1" w:rsidDel="005C53FB"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NASDAQ OMX BX</w:t>
            </w:r>
          </w:p>
        </w:tc>
        <w:tc>
          <w:tcPr>
            <w:tcW w:w="4397" w:type="dxa"/>
          </w:tcPr>
          <w:p w14:paraId="6E589082" w14:textId="6C7C049A"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NASDAQ OMX Commodities</w:t>
            </w:r>
          </w:p>
        </w:tc>
      </w:tr>
      <w:tr w:rsidR="006628B1" w:rsidRPr="006628B1" w14:paraId="782ED29E" w14:textId="77777777" w:rsidTr="00BA0053">
        <w:trPr>
          <w:cantSplit/>
        </w:trPr>
        <w:tc>
          <w:tcPr>
            <w:tcW w:w="4397" w:type="dxa"/>
          </w:tcPr>
          <w:p w14:paraId="3AB232FD" w14:textId="30FDC3F4" w:rsidR="00652698" w:rsidRPr="006628B1" w:rsidDel="00D15655"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NASDAQ OMX Copenhagen</w:t>
            </w:r>
          </w:p>
        </w:tc>
        <w:tc>
          <w:tcPr>
            <w:tcW w:w="4397" w:type="dxa"/>
          </w:tcPr>
          <w:p w14:paraId="615AEC79" w14:textId="03F42853"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NASDAQ OMX Futures Exchange</w:t>
            </w:r>
          </w:p>
        </w:tc>
      </w:tr>
      <w:tr w:rsidR="006628B1" w:rsidRPr="006628B1" w14:paraId="588A5B2C" w14:textId="77777777" w:rsidTr="00BA0053">
        <w:trPr>
          <w:cantSplit/>
        </w:trPr>
        <w:tc>
          <w:tcPr>
            <w:tcW w:w="4397" w:type="dxa"/>
          </w:tcPr>
          <w:p w14:paraId="3752F07C" w14:textId="234B0447" w:rsidR="00652698" w:rsidRPr="006628B1"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NASDAQ OMX Helsinki</w:t>
            </w:r>
          </w:p>
        </w:tc>
        <w:tc>
          <w:tcPr>
            <w:tcW w:w="4397" w:type="dxa"/>
          </w:tcPr>
          <w:p w14:paraId="03E08CE8" w14:textId="4EFDDB17"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NASDAQ OMX PHLX</w:t>
            </w:r>
          </w:p>
        </w:tc>
      </w:tr>
      <w:tr w:rsidR="006628B1" w:rsidRPr="006628B1" w14:paraId="09B97277" w14:textId="77777777" w:rsidTr="00BA0053">
        <w:trPr>
          <w:cantSplit/>
        </w:trPr>
        <w:tc>
          <w:tcPr>
            <w:tcW w:w="4397" w:type="dxa"/>
          </w:tcPr>
          <w:p w14:paraId="4ED89E58" w14:textId="175580A4" w:rsidR="00652698" w:rsidRPr="006628B1"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NASDAQ OMX PSX</w:t>
            </w:r>
          </w:p>
        </w:tc>
        <w:tc>
          <w:tcPr>
            <w:tcW w:w="4397" w:type="dxa"/>
          </w:tcPr>
          <w:p w14:paraId="673F7D5E" w14:textId="150ED1EB"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NASDAQ OMX Riga</w:t>
            </w:r>
          </w:p>
        </w:tc>
      </w:tr>
      <w:tr w:rsidR="006628B1" w:rsidRPr="006628B1" w14:paraId="2D8A7847" w14:textId="77777777" w:rsidTr="00BA0053">
        <w:trPr>
          <w:cantSplit/>
        </w:trPr>
        <w:tc>
          <w:tcPr>
            <w:tcW w:w="4397" w:type="dxa"/>
          </w:tcPr>
          <w:p w14:paraId="543C529B" w14:textId="339E978F" w:rsidR="00652698" w:rsidRPr="006628B1"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NASDAQ OMX Stockholm</w:t>
            </w:r>
          </w:p>
        </w:tc>
        <w:tc>
          <w:tcPr>
            <w:tcW w:w="4397" w:type="dxa"/>
          </w:tcPr>
          <w:p w14:paraId="2939E81D" w14:textId="1FF5F6BD"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NASDAQ OMX Tallinn</w:t>
            </w:r>
          </w:p>
        </w:tc>
      </w:tr>
      <w:tr w:rsidR="006628B1" w:rsidRPr="006628B1" w14:paraId="6A43D9CC" w14:textId="77777777" w:rsidTr="00BA0053">
        <w:trPr>
          <w:cantSplit/>
        </w:trPr>
        <w:tc>
          <w:tcPr>
            <w:tcW w:w="4397" w:type="dxa"/>
          </w:tcPr>
          <w:p w14:paraId="34350A2B" w14:textId="159413C6" w:rsidR="00652698" w:rsidRPr="006628B1" w:rsidDel="00FD0702"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NASDAQ OMX Vilnius</w:t>
            </w:r>
          </w:p>
        </w:tc>
        <w:tc>
          <w:tcPr>
            <w:tcW w:w="4397" w:type="dxa"/>
          </w:tcPr>
          <w:p w14:paraId="71D3ED4F" w14:textId="69B96A84"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NASDAQ Options Market</w:t>
            </w:r>
          </w:p>
        </w:tc>
      </w:tr>
      <w:tr w:rsidR="006628B1" w:rsidRPr="006628B1" w14:paraId="3F61F74C" w14:textId="77777777" w:rsidTr="00BA0053">
        <w:trPr>
          <w:cantSplit/>
        </w:trPr>
        <w:tc>
          <w:tcPr>
            <w:tcW w:w="4397" w:type="dxa"/>
          </w:tcPr>
          <w:p w14:paraId="480748BE" w14:textId="1B88EBA6" w:rsidR="00652698" w:rsidRPr="006628B1"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NYSE Euronext Amsterdam</w:t>
            </w:r>
          </w:p>
        </w:tc>
        <w:tc>
          <w:tcPr>
            <w:tcW w:w="4397" w:type="dxa"/>
          </w:tcPr>
          <w:p w14:paraId="5A7E6E7F" w14:textId="4AF3FDFC" w:rsidR="00652698" w:rsidRPr="006628B1" w:rsidRDefault="00652698"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NYSE Euronext Brussels</w:t>
            </w:r>
          </w:p>
        </w:tc>
      </w:tr>
      <w:tr w:rsidR="006628B1" w:rsidRPr="006628B1" w14:paraId="217AB83E" w14:textId="77777777" w:rsidTr="00BA0053">
        <w:trPr>
          <w:cantSplit/>
        </w:trPr>
        <w:tc>
          <w:tcPr>
            <w:tcW w:w="4397" w:type="dxa"/>
          </w:tcPr>
          <w:p w14:paraId="2C58ED6F" w14:textId="3C2AA097" w:rsidR="00652698" w:rsidRPr="006628B1" w:rsidDel="00FD0702" w:rsidRDefault="00652698" w:rsidP="00652698">
            <w:pPr>
              <w:overflowPunct w:val="0"/>
              <w:autoSpaceDE w:val="0"/>
              <w:autoSpaceDN w:val="0"/>
              <w:adjustRightInd w:val="0"/>
              <w:spacing w:after="120"/>
              <w:textAlignment w:val="baseline"/>
              <w:rPr>
                <w:color w:val="000000" w:themeColor="text1"/>
                <w:szCs w:val="22"/>
              </w:rPr>
            </w:pPr>
            <w:r w:rsidRPr="006628B1">
              <w:rPr>
                <w:color w:val="000000" w:themeColor="text1"/>
                <w:szCs w:val="22"/>
              </w:rPr>
              <w:t>NYSE Euronext Lisbon</w:t>
            </w:r>
          </w:p>
        </w:tc>
        <w:tc>
          <w:tcPr>
            <w:tcW w:w="4397" w:type="dxa"/>
          </w:tcPr>
          <w:p w14:paraId="6A999875" w14:textId="26513186" w:rsidR="00652698" w:rsidRPr="006628B1" w:rsidRDefault="006D3AAA" w:rsidP="00652698">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NYSE Euronext London</w:t>
            </w:r>
          </w:p>
        </w:tc>
      </w:tr>
      <w:tr w:rsidR="006628B1" w:rsidRPr="006628B1" w14:paraId="40A00039" w14:textId="77777777" w:rsidTr="00BA0053">
        <w:trPr>
          <w:cantSplit/>
        </w:trPr>
        <w:tc>
          <w:tcPr>
            <w:tcW w:w="4397" w:type="dxa"/>
          </w:tcPr>
          <w:p w14:paraId="7BFAE009" w14:textId="44369A1F" w:rsidR="00BD7E1F" w:rsidRPr="006628B1" w:rsidDel="00FD0702" w:rsidRDefault="00BD7E1F" w:rsidP="00BD7E1F">
            <w:pPr>
              <w:overflowPunct w:val="0"/>
              <w:autoSpaceDE w:val="0"/>
              <w:autoSpaceDN w:val="0"/>
              <w:adjustRightInd w:val="0"/>
              <w:spacing w:after="120"/>
              <w:textAlignment w:val="baseline"/>
              <w:rPr>
                <w:color w:val="000000" w:themeColor="text1"/>
                <w:szCs w:val="22"/>
              </w:rPr>
            </w:pPr>
            <w:r w:rsidRPr="006628B1">
              <w:rPr>
                <w:color w:val="000000" w:themeColor="text1"/>
                <w:szCs w:val="22"/>
              </w:rPr>
              <w:t>NYSE Euronext Paris</w:t>
            </w:r>
          </w:p>
        </w:tc>
        <w:tc>
          <w:tcPr>
            <w:tcW w:w="4397" w:type="dxa"/>
          </w:tcPr>
          <w:p w14:paraId="6271BE57" w14:textId="5E81CB8B" w:rsidR="00BD7E1F" w:rsidRPr="006628B1" w:rsidRDefault="00BD7E1F" w:rsidP="00BD7E1F">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Oslo Børs ASA</w:t>
            </w:r>
          </w:p>
        </w:tc>
      </w:tr>
      <w:tr w:rsidR="006628B1" w:rsidRPr="006628B1" w14:paraId="33431878" w14:textId="77777777" w:rsidTr="00BA0053">
        <w:trPr>
          <w:cantSplit/>
        </w:trPr>
        <w:tc>
          <w:tcPr>
            <w:tcW w:w="4397" w:type="dxa"/>
          </w:tcPr>
          <w:p w14:paraId="553564C5" w14:textId="40DADFE8" w:rsidR="00BD7E1F" w:rsidRPr="006628B1" w:rsidRDefault="00BD7E1F" w:rsidP="00BD7E1F">
            <w:pPr>
              <w:overflowPunct w:val="0"/>
              <w:autoSpaceDE w:val="0"/>
              <w:autoSpaceDN w:val="0"/>
              <w:adjustRightInd w:val="0"/>
              <w:spacing w:after="120"/>
              <w:textAlignment w:val="baseline"/>
              <w:rPr>
                <w:color w:val="000000" w:themeColor="text1"/>
                <w:szCs w:val="22"/>
              </w:rPr>
            </w:pPr>
            <w:r w:rsidRPr="006628B1">
              <w:rPr>
                <w:color w:val="000000" w:themeColor="text1"/>
                <w:szCs w:val="22"/>
              </w:rPr>
              <w:t>Warsaw Stock Exchange</w:t>
            </w:r>
          </w:p>
        </w:tc>
        <w:tc>
          <w:tcPr>
            <w:tcW w:w="4397" w:type="dxa"/>
          </w:tcPr>
          <w:p w14:paraId="7C67C024" w14:textId="6D230F57" w:rsidR="00BD7E1F" w:rsidRPr="006628B1" w:rsidRDefault="00BD7E1F" w:rsidP="00BD7E1F">
            <w:pPr>
              <w:overflowPunct w:val="0"/>
              <w:autoSpaceDE w:val="0"/>
              <w:autoSpaceDN w:val="0"/>
              <w:adjustRightInd w:val="0"/>
              <w:spacing w:after="120"/>
              <w:textAlignment w:val="baseline"/>
              <w:rPr>
                <w:i/>
                <w:iCs/>
                <w:color w:val="000000" w:themeColor="text1"/>
                <w:szCs w:val="22"/>
              </w:rPr>
            </w:pPr>
            <w:r w:rsidRPr="006628B1">
              <w:rPr>
                <w:color w:val="000000" w:themeColor="text1"/>
                <w:szCs w:val="22"/>
              </w:rPr>
              <w:t>Wiener Börse</w:t>
            </w:r>
          </w:p>
        </w:tc>
      </w:tr>
    </w:tbl>
    <w:p w14:paraId="61F54937" w14:textId="77777777" w:rsidR="002A5F38" w:rsidRPr="006628B1" w:rsidRDefault="002A5F38" w:rsidP="00410D8B">
      <w:pPr>
        <w:pStyle w:val="LI-BodyTextParaa"/>
        <w:spacing w:before="0"/>
        <w:ind w:left="0" w:firstLine="0"/>
        <w:jc w:val="both"/>
        <w:rPr>
          <w:color w:val="000000" w:themeColor="text1"/>
        </w:rPr>
      </w:pPr>
    </w:p>
    <w:p w14:paraId="40757FF2" w14:textId="77777777" w:rsidR="009A3F74" w:rsidRPr="006628B1" w:rsidRDefault="009A3F74" w:rsidP="00D14957">
      <w:pPr>
        <w:pStyle w:val="LI-BodyTextNumbered"/>
        <w:ind w:hanging="1134"/>
        <w:jc w:val="both"/>
        <w:rPr>
          <w:b/>
          <w:color w:val="000000" w:themeColor="text1"/>
        </w:rPr>
      </w:pPr>
      <w:bookmarkStart w:id="5" w:name="_Hlk534291624"/>
      <w:r w:rsidRPr="006628B1">
        <w:rPr>
          <w:b/>
          <w:color w:val="000000" w:themeColor="text1"/>
        </w:rPr>
        <w:t>Consultation</w:t>
      </w:r>
    </w:p>
    <w:p w14:paraId="59805E55" w14:textId="4E949B88" w:rsidR="0003050B" w:rsidRDefault="0003050B" w:rsidP="00FF625D">
      <w:pPr>
        <w:pStyle w:val="LI-BodyTextParaa"/>
        <w:numPr>
          <w:ilvl w:val="0"/>
          <w:numId w:val="18"/>
        </w:numPr>
        <w:jc w:val="both"/>
        <w:rPr>
          <w:color w:val="000000" w:themeColor="text1"/>
        </w:rPr>
      </w:pPr>
      <w:r>
        <w:rPr>
          <w:color w:val="000000" w:themeColor="text1"/>
        </w:rPr>
        <w:t xml:space="preserve">In early May 2020, ASIC wrote to a number of Australian and overseas industry associations setting out ASIC’s proposals in relation to the </w:t>
      </w:r>
      <w:r w:rsidR="00FF2713">
        <w:rPr>
          <w:color w:val="000000" w:themeColor="text1"/>
        </w:rPr>
        <w:t xml:space="preserve">various </w:t>
      </w:r>
      <w:r>
        <w:rPr>
          <w:color w:val="000000" w:themeColor="text1"/>
        </w:rPr>
        <w:t>exemptions within the Exemption that would expire on 30 September 2020.</w:t>
      </w:r>
    </w:p>
    <w:p w14:paraId="76BA3B81" w14:textId="6E7C6631" w:rsidR="00E85633" w:rsidRPr="006628B1" w:rsidRDefault="0003050B" w:rsidP="00FF625D">
      <w:pPr>
        <w:pStyle w:val="LI-BodyTextParaa"/>
        <w:numPr>
          <w:ilvl w:val="0"/>
          <w:numId w:val="18"/>
        </w:numPr>
        <w:jc w:val="both"/>
        <w:rPr>
          <w:color w:val="000000" w:themeColor="text1"/>
        </w:rPr>
      </w:pPr>
      <w:r>
        <w:rPr>
          <w:color w:val="000000" w:themeColor="text1"/>
        </w:rPr>
        <w:lastRenderedPageBreak/>
        <w:t>These industry associations were the Australian Financial Markets Association, International Swap</w:t>
      </w:r>
      <w:r w:rsidR="004F4200">
        <w:rPr>
          <w:color w:val="000000" w:themeColor="text1"/>
        </w:rPr>
        <w:t>s and Derivatives</w:t>
      </w:r>
      <w:r>
        <w:rPr>
          <w:color w:val="000000" w:themeColor="text1"/>
        </w:rPr>
        <w:t xml:space="preserve"> Association, Global Financial Markets Association, Financial Services Council, </w:t>
      </w:r>
      <w:r w:rsidRPr="0003050B">
        <w:rPr>
          <w:color w:val="000000" w:themeColor="text1"/>
        </w:rPr>
        <w:t>Association of Superannuation Funds of Australia</w:t>
      </w:r>
      <w:r>
        <w:rPr>
          <w:color w:val="000000" w:themeColor="text1"/>
        </w:rPr>
        <w:t xml:space="preserve"> and the </w:t>
      </w:r>
      <w:r w:rsidRPr="0003050B">
        <w:rPr>
          <w:color w:val="000000" w:themeColor="text1"/>
        </w:rPr>
        <w:t>Australian Institute of Superannuation Trustees</w:t>
      </w:r>
      <w:r>
        <w:rPr>
          <w:color w:val="000000" w:themeColor="text1"/>
        </w:rPr>
        <w:t>. ASIC also wrote to the ASIC-licensed trade repositories requesting that they bring this to the attention of their participants.</w:t>
      </w:r>
    </w:p>
    <w:p w14:paraId="70DD2A8D" w14:textId="582A7BDA" w:rsidR="00CB66F5" w:rsidRDefault="00CB66F5" w:rsidP="00BA0053">
      <w:pPr>
        <w:pStyle w:val="LI-BodyTextParaa"/>
        <w:numPr>
          <w:ilvl w:val="0"/>
          <w:numId w:val="18"/>
        </w:numPr>
        <w:jc w:val="both"/>
        <w:rPr>
          <w:color w:val="000000" w:themeColor="text1"/>
        </w:rPr>
      </w:pPr>
      <w:r w:rsidRPr="00CB66F5">
        <w:rPr>
          <w:color w:val="000000" w:themeColor="text1"/>
        </w:rPr>
        <w:t>The ASIC letter included that “Across these instruments [i.e. the Reporting Rules, Determination and Exemption], there are a number of named financial markets that are also within a class of financial market definition or are not the name of an existing financial market. There are also named financial markets for whom a class of financial market could be defined. ASIC proposes to update and simplify the Determination and the exemption for the duplications of named financial markets already with a class definition and for inaccuracies in their names. The exemption would be extended to 30 September 2022. ASIC is also minded to consider introducing further classes of financial markets definitions in the Determination where there are multiple named financial markets that would be within such a definition and to consider assessing financial markets named in the exemption for inclusion in the Determination</w:t>
      </w:r>
      <w:r>
        <w:rPr>
          <w:color w:val="000000" w:themeColor="text1"/>
        </w:rPr>
        <w:t>”</w:t>
      </w:r>
      <w:r w:rsidRPr="00CB66F5">
        <w:rPr>
          <w:color w:val="000000" w:themeColor="text1"/>
        </w:rPr>
        <w:t>.</w:t>
      </w:r>
    </w:p>
    <w:p w14:paraId="70DE33E2" w14:textId="27D1423B" w:rsidR="00F05B5E" w:rsidRDefault="00F05B5E" w:rsidP="00BA0053">
      <w:pPr>
        <w:pStyle w:val="LI-BodyTextParaa"/>
        <w:numPr>
          <w:ilvl w:val="0"/>
          <w:numId w:val="18"/>
        </w:numPr>
        <w:jc w:val="both"/>
        <w:rPr>
          <w:color w:val="000000" w:themeColor="text1"/>
        </w:rPr>
      </w:pPr>
      <w:r>
        <w:rPr>
          <w:color w:val="000000" w:themeColor="text1"/>
        </w:rPr>
        <w:t>In response, one association formally said they supported the above proposals and another association said that the</w:t>
      </w:r>
      <w:r w:rsidR="004F4200">
        <w:rPr>
          <w:color w:val="000000" w:themeColor="text1"/>
        </w:rPr>
        <w:t>i</w:t>
      </w:r>
      <w:r>
        <w:rPr>
          <w:color w:val="000000" w:themeColor="text1"/>
        </w:rPr>
        <w:t>r members were broadly comfortable with the proposals.</w:t>
      </w:r>
    </w:p>
    <w:p w14:paraId="6189C6D6" w14:textId="47CB86F0" w:rsidR="008725B3" w:rsidRPr="00FF2713" w:rsidRDefault="00FF2713" w:rsidP="00BA0053">
      <w:pPr>
        <w:pStyle w:val="LI-BodyTextParaa"/>
        <w:numPr>
          <w:ilvl w:val="0"/>
          <w:numId w:val="18"/>
        </w:numPr>
        <w:jc w:val="both"/>
        <w:rPr>
          <w:color w:val="000000" w:themeColor="text1"/>
        </w:rPr>
      </w:pPr>
      <w:r>
        <w:rPr>
          <w:color w:val="000000" w:themeColor="text1"/>
        </w:rPr>
        <w:t xml:space="preserve">In early August 2020, </w:t>
      </w:r>
      <w:r w:rsidR="00F05B5E">
        <w:rPr>
          <w:color w:val="000000" w:themeColor="text1"/>
        </w:rPr>
        <w:t>ASIC</w:t>
      </w:r>
      <w:r>
        <w:rPr>
          <w:color w:val="000000" w:themeColor="text1"/>
        </w:rPr>
        <w:t xml:space="preserve"> posted to </w:t>
      </w:r>
      <w:r w:rsidR="00F05B5E">
        <w:rPr>
          <w:color w:val="000000" w:themeColor="text1"/>
        </w:rPr>
        <w:t>its</w:t>
      </w:r>
      <w:r>
        <w:rPr>
          <w:color w:val="000000" w:themeColor="text1"/>
        </w:rPr>
        <w:t xml:space="preserve"> website a document setting out </w:t>
      </w:r>
      <w:r>
        <w:t xml:space="preserve">our specific, to-date proposals for changes to the listings of financial markets in the </w:t>
      </w:r>
      <w:r w:rsidR="008345B0">
        <w:t xml:space="preserve">ASIC </w:t>
      </w:r>
      <w:r>
        <w:t>Determination and the Exemption.</w:t>
      </w:r>
    </w:p>
    <w:p w14:paraId="2E9C592D" w14:textId="075118F7" w:rsidR="008725B3" w:rsidRDefault="00FF2713" w:rsidP="00F05B5E">
      <w:pPr>
        <w:pStyle w:val="LI-BodyTextParaa"/>
        <w:numPr>
          <w:ilvl w:val="0"/>
          <w:numId w:val="18"/>
        </w:numPr>
        <w:jc w:val="both"/>
        <w:rPr>
          <w:color w:val="000000" w:themeColor="text1"/>
        </w:rPr>
      </w:pPr>
      <w:r>
        <w:t>In early September 2020,</w:t>
      </w:r>
      <w:r w:rsidR="00F05B5E">
        <w:t xml:space="preserve"> ASIC</w:t>
      </w:r>
      <w:r w:rsidR="00F05B5E">
        <w:rPr>
          <w:color w:val="000000" w:themeColor="text1"/>
        </w:rPr>
        <w:t xml:space="preserve"> posted to its website an update to the above document setting out </w:t>
      </w:r>
      <w:r w:rsidR="00F05B5E">
        <w:t>our specific, final proposals for changes to the listings of financial markets in the</w:t>
      </w:r>
      <w:r w:rsidR="007E7324">
        <w:t xml:space="preserve"> ASIC</w:t>
      </w:r>
      <w:r w:rsidR="00F05B5E">
        <w:t xml:space="preserve"> Determination and the Exemption.</w:t>
      </w:r>
    </w:p>
    <w:p w14:paraId="140B034C" w14:textId="355BA593" w:rsidR="00F05B5E" w:rsidRPr="00F05B5E" w:rsidRDefault="00F05B5E" w:rsidP="00F05B5E">
      <w:pPr>
        <w:pStyle w:val="LI-BodyTextParaa"/>
        <w:numPr>
          <w:ilvl w:val="0"/>
          <w:numId w:val="18"/>
        </w:numPr>
        <w:jc w:val="both"/>
        <w:rPr>
          <w:color w:val="000000" w:themeColor="text1"/>
        </w:rPr>
      </w:pPr>
      <w:r>
        <w:rPr>
          <w:color w:val="000000" w:themeColor="text1"/>
        </w:rPr>
        <w:t>ASIC has not received any submissions expressing any objections to these proposals.</w:t>
      </w:r>
    </w:p>
    <w:p w14:paraId="479517F9" w14:textId="77777777" w:rsidR="005D1FEA" w:rsidRPr="006628B1" w:rsidRDefault="005D1FEA" w:rsidP="00D14957">
      <w:pPr>
        <w:pStyle w:val="LI-BodyTextParaa"/>
        <w:ind w:left="567"/>
        <w:jc w:val="both"/>
        <w:rPr>
          <w:b/>
          <w:color w:val="000000" w:themeColor="text1"/>
        </w:rPr>
      </w:pPr>
      <w:r w:rsidRPr="006628B1">
        <w:rPr>
          <w:b/>
          <w:color w:val="000000" w:themeColor="text1"/>
        </w:rPr>
        <w:t>Operation of the instrument</w:t>
      </w:r>
    </w:p>
    <w:p w14:paraId="3DC57410" w14:textId="5BC93B04" w:rsidR="001349A4" w:rsidRPr="006628B1" w:rsidRDefault="001349A4" w:rsidP="006413E5">
      <w:pPr>
        <w:pStyle w:val="LI-BodyTextParaa"/>
        <w:numPr>
          <w:ilvl w:val="0"/>
          <w:numId w:val="18"/>
        </w:numPr>
        <w:jc w:val="both"/>
        <w:rPr>
          <w:color w:val="000000" w:themeColor="text1"/>
        </w:rPr>
      </w:pPr>
      <w:r w:rsidRPr="006628B1">
        <w:rPr>
          <w:color w:val="000000" w:themeColor="text1"/>
        </w:rPr>
        <w:t xml:space="preserve">The instrument, named the </w:t>
      </w:r>
      <w:r w:rsidRPr="006628B1">
        <w:rPr>
          <w:i/>
          <w:color w:val="000000" w:themeColor="text1"/>
        </w:rPr>
        <w:t>ASIC Regulated Foreign Markets Determination (Amendment) Instrument 2019/</w:t>
      </w:r>
      <w:r w:rsidR="00B211EE" w:rsidRPr="006628B1">
        <w:rPr>
          <w:i/>
          <w:color w:val="000000" w:themeColor="text1"/>
        </w:rPr>
        <w:t>324</w:t>
      </w:r>
      <w:r w:rsidRPr="006628B1">
        <w:rPr>
          <w:color w:val="000000" w:themeColor="text1"/>
        </w:rPr>
        <w:t xml:space="preserve">, will commence on the day after it is registered on the Federal Register of Legislation and </w:t>
      </w:r>
      <w:r w:rsidR="00EE431C" w:rsidRPr="006628B1">
        <w:rPr>
          <w:color w:val="000000" w:themeColor="text1"/>
        </w:rPr>
        <w:t>amend</w:t>
      </w:r>
      <w:r w:rsidR="004134EB">
        <w:rPr>
          <w:color w:val="000000" w:themeColor="text1"/>
        </w:rPr>
        <w:t>s</w:t>
      </w:r>
      <w:r w:rsidRPr="006628B1">
        <w:rPr>
          <w:color w:val="000000" w:themeColor="text1"/>
        </w:rPr>
        <w:t xml:space="preserve"> the ASIC Determination as set out in Schedule 1 to the instrument (see </w:t>
      </w:r>
      <w:r w:rsidR="004134EB">
        <w:rPr>
          <w:color w:val="000000" w:themeColor="text1"/>
        </w:rPr>
        <w:t>sections</w:t>
      </w:r>
      <w:r w:rsidR="004134EB" w:rsidRPr="006628B1">
        <w:rPr>
          <w:color w:val="000000" w:themeColor="text1"/>
        </w:rPr>
        <w:t xml:space="preserve"> </w:t>
      </w:r>
      <w:r w:rsidRPr="006628B1">
        <w:rPr>
          <w:color w:val="000000" w:themeColor="text1"/>
        </w:rPr>
        <w:t xml:space="preserve">1 </w:t>
      </w:r>
      <w:r w:rsidR="00DB1AC2" w:rsidRPr="006628B1">
        <w:rPr>
          <w:color w:val="000000" w:themeColor="text1"/>
        </w:rPr>
        <w:t>t</w:t>
      </w:r>
      <w:r w:rsidRPr="006628B1">
        <w:rPr>
          <w:color w:val="000000" w:themeColor="text1"/>
        </w:rPr>
        <w:t>o 4 of the instrument).</w:t>
      </w:r>
    </w:p>
    <w:p w14:paraId="24B862F4" w14:textId="190E3DEE" w:rsidR="00894AC3" w:rsidRPr="00894AC3" w:rsidRDefault="00894AC3" w:rsidP="00894AC3">
      <w:pPr>
        <w:pStyle w:val="LI-BodyTextParaa"/>
        <w:numPr>
          <w:ilvl w:val="0"/>
          <w:numId w:val="18"/>
        </w:numPr>
        <w:jc w:val="both"/>
        <w:rPr>
          <w:color w:val="000000" w:themeColor="text1"/>
        </w:rPr>
      </w:pPr>
      <w:r>
        <w:rPr>
          <w:color w:val="000000" w:themeColor="text1"/>
        </w:rPr>
        <w:t>T</w:t>
      </w:r>
      <w:r w:rsidRPr="006628B1">
        <w:rPr>
          <w:color w:val="000000" w:themeColor="text1"/>
        </w:rPr>
        <w:t xml:space="preserve">he instrument introduces into the ASIC Determination </w:t>
      </w:r>
      <w:r>
        <w:rPr>
          <w:color w:val="000000" w:themeColor="text1"/>
        </w:rPr>
        <w:t xml:space="preserve">a </w:t>
      </w:r>
      <w:r w:rsidRPr="006628B1">
        <w:rPr>
          <w:color w:val="000000" w:themeColor="text1"/>
        </w:rPr>
        <w:t>definition for “</w:t>
      </w:r>
      <w:r>
        <w:rPr>
          <w:color w:val="000000" w:themeColor="text1"/>
        </w:rPr>
        <w:t>SEC</w:t>
      </w:r>
      <w:r w:rsidRPr="006628B1">
        <w:rPr>
          <w:color w:val="000000" w:themeColor="text1"/>
        </w:rPr>
        <w:t xml:space="preserve"> Regulated Market”</w:t>
      </w:r>
      <w:r>
        <w:rPr>
          <w:color w:val="000000" w:themeColor="text1"/>
        </w:rPr>
        <w:t xml:space="preserve"> </w:t>
      </w:r>
      <w:r w:rsidRPr="006628B1">
        <w:rPr>
          <w:color w:val="000000" w:themeColor="text1"/>
        </w:rPr>
        <w:t xml:space="preserve">(see </w:t>
      </w:r>
      <w:r w:rsidR="004134EB">
        <w:rPr>
          <w:color w:val="000000" w:themeColor="text1"/>
        </w:rPr>
        <w:t>item</w:t>
      </w:r>
      <w:r w:rsidR="004134EB" w:rsidRPr="006628B1">
        <w:rPr>
          <w:color w:val="000000" w:themeColor="text1"/>
        </w:rPr>
        <w:t xml:space="preserve"> </w:t>
      </w:r>
      <w:r w:rsidRPr="006628B1">
        <w:rPr>
          <w:color w:val="000000" w:themeColor="text1"/>
        </w:rPr>
        <w:t xml:space="preserve">1 </w:t>
      </w:r>
      <w:r w:rsidR="004134EB">
        <w:rPr>
          <w:color w:val="000000" w:themeColor="text1"/>
        </w:rPr>
        <w:t xml:space="preserve">of </w:t>
      </w:r>
      <w:r>
        <w:rPr>
          <w:color w:val="000000" w:themeColor="text1"/>
        </w:rPr>
        <w:t xml:space="preserve">Schedule 1 </w:t>
      </w:r>
      <w:r w:rsidR="004134EB">
        <w:rPr>
          <w:color w:val="000000" w:themeColor="text1"/>
        </w:rPr>
        <w:t>to</w:t>
      </w:r>
      <w:r w:rsidR="004134EB" w:rsidRPr="006628B1">
        <w:rPr>
          <w:color w:val="000000" w:themeColor="text1"/>
        </w:rPr>
        <w:t xml:space="preserve"> </w:t>
      </w:r>
      <w:r w:rsidRPr="006628B1">
        <w:rPr>
          <w:color w:val="000000" w:themeColor="text1"/>
        </w:rPr>
        <w:t>the instrument)</w:t>
      </w:r>
      <w:r>
        <w:rPr>
          <w:color w:val="000000" w:themeColor="text1"/>
        </w:rPr>
        <w:t>.</w:t>
      </w:r>
    </w:p>
    <w:p w14:paraId="5B026406" w14:textId="0FB13C0F" w:rsidR="000809CB" w:rsidRPr="006628B1" w:rsidRDefault="007F3328" w:rsidP="00894AC3">
      <w:pPr>
        <w:pStyle w:val="LI-BodyTextParaa"/>
        <w:numPr>
          <w:ilvl w:val="0"/>
          <w:numId w:val="18"/>
        </w:numPr>
        <w:jc w:val="both"/>
        <w:rPr>
          <w:color w:val="000000" w:themeColor="text1"/>
        </w:rPr>
      </w:pPr>
      <w:r w:rsidRPr="006628B1">
        <w:rPr>
          <w:color w:val="000000" w:themeColor="text1"/>
        </w:rPr>
        <w:t>The instrument amends the ASIC Determination to</w:t>
      </w:r>
      <w:r w:rsidR="008C2822" w:rsidRPr="006628B1">
        <w:rPr>
          <w:color w:val="000000" w:themeColor="text1"/>
        </w:rPr>
        <w:t xml:space="preserve"> determine</w:t>
      </w:r>
      <w:r w:rsidR="00894AC3">
        <w:rPr>
          <w:color w:val="000000" w:themeColor="text1"/>
        </w:rPr>
        <w:t xml:space="preserve"> an updated list of financial markets as </w:t>
      </w:r>
      <w:r w:rsidR="008C2822" w:rsidRPr="006628B1">
        <w:rPr>
          <w:color w:val="000000" w:themeColor="text1"/>
        </w:rPr>
        <w:t>Regulated Foreign Market</w:t>
      </w:r>
      <w:r w:rsidR="00894AC3">
        <w:rPr>
          <w:color w:val="000000" w:themeColor="text1"/>
        </w:rPr>
        <w:t>s</w:t>
      </w:r>
      <w:r w:rsidR="008C2822" w:rsidRPr="006628B1">
        <w:rPr>
          <w:color w:val="000000" w:themeColor="text1"/>
        </w:rPr>
        <w:t xml:space="preserve"> </w:t>
      </w:r>
      <w:r w:rsidR="00894AC3">
        <w:rPr>
          <w:color w:val="000000" w:themeColor="text1"/>
        </w:rPr>
        <w:t xml:space="preserve">in substitute </w:t>
      </w:r>
      <w:r w:rsidR="008C2822" w:rsidRPr="006628B1">
        <w:rPr>
          <w:color w:val="000000" w:themeColor="text1"/>
        </w:rPr>
        <w:t>o</w:t>
      </w:r>
      <w:r w:rsidR="00894AC3">
        <w:rPr>
          <w:color w:val="000000" w:themeColor="text1"/>
        </w:rPr>
        <w:t xml:space="preserve">f the previous listing of such financial markets, including the inclusion of an SEC Regulated Market  </w:t>
      </w:r>
      <w:r w:rsidR="00894AC3" w:rsidRPr="006628B1">
        <w:rPr>
          <w:color w:val="000000" w:themeColor="text1"/>
        </w:rPr>
        <w:t xml:space="preserve">(see </w:t>
      </w:r>
      <w:r w:rsidR="004134EB">
        <w:rPr>
          <w:color w:val="000000" w:themeColor="text1"/>
        </w:rPr>
        <w:t>item</w:t>
      </w:r>
      <w:r w:rsidR="004134EB" w:rsidRPr="006628B1">
        <w:rPr>
          <w:color w:val="000000" w:themeColor="text1"/>
        </w:rPr>
        <w:t xml:space="preserve"> </w:t>
      </w:r>
      <w:r w:rsidR="00894AC3">
        <w:rPr>
          <w:color w:val="000000" w:themeColor="text1"/>
        </w:rPr>
        <w:t>2</w:t>
      </w:r>
      <w:r w:rsidR="00894AC3" w:rsidRPr="006628B1">
        <w:rPr>
          <w:color w:val="000000" w:themeColor="text1"/>
        </w:rPr>
        <w:t xml:space="preserve"> </w:t>
      </w:r>
      <w:r w:rsidR="004134EB">
        <w:rPr>
          <w:color w:val="000000" w:themeColor="text1"/>
        </w:rPr>
        <w:t xml:space="preserve">of </w:t>
      </w:r>
      <w:r w:rsidR="00894AC3">
        <w:rPr>
          <w:color w:val="000000" w:themeColor="text1"/>
        </w:rPr>
        <w:t xml:space="preserve">Schedule 1 </w:t>
      </w:r>
      <w:r w:rsidR="004134EB">
        <w:rPr>
          <w:color w:val="000000" w:themeColor="text1"/>
        </w:rPr>
        <w:t>to</w:t>
      </w:r>
      <w:r w:rsidR="004134EB" w:rsidRPr="006628B1">
        <w:rPr>
          <w:color w:val="000000" w:themeColor="text1"/>
        </w:rPr>
        <w:t xml:space="preserve"> </w:t>
      </w:r>
      <w:r w:rsidR="00894AC3" w:rsidRPr="006628B1">
        <w:rPr>
          <w:color w:val="000000" w:themeColor="text1"/>
        </w:rPr>
        <w:t>the instrument).</w:t>
      </w:r>
    </w:p>
    <w:p w14:paraId="023636E1" w14:textId="77777777" w:rsidR="00BC09C6" w:rsidRPr="006628B1" w:rsidRDefault="00BC09C6" w:rsidP="00D14957">
      <w:pPr>
        <w:pStyle w:val="LI-BodyTextParaa"/>
        <w:ind w:left="0" w:firstLine="360"/>
        <w:jc w:val="both"/>
        <w:rPr>
          <w:i/>
          <w:color w:val="000000" w:themeColor="text1"/>
          <w:u w:val="single"/>
        </w:rPr>
      </w:pPr>
      <w:r w:rsidRPr="006628B1">
        <w:rPr>
          <w:i/>
          <w:color w:val="000000" w:themeColor="text1"/>
          <w:u w:val="single"/>
        </w:rPr>
        <w:t>Incorporation by reference</w:t>
      </w:r>
    </w:p>
    <w:p w14:paraId="74E40FE1" w14:textId="74EC861A" w:rsidR="00BC09C6" w:rsidRPr="006628B1" w:rsidRDefault="00BC09C6" w:rsidP="007F3328">
      <w:pPr>
        <w:pStyle w:val="LI-BodyTextParaa"/>
        <w:numPr>
          <w:ilvl w:val="0"/>
          <w:numId w:val="18"/>
        </w:numPr>
        <w:jc w:val="both"/>
        <w:rPr>
          <w:color w:val="000000" w:themeColor="text1"/>
        </w:rPr>
      </w:pPr>
      <w:r w:rsidRPr="006628B1">
        <w:rPr>
          <w:color w:val="000000" w:themeColor="text1"/>
        </w:rPr>
        <w:lastRenderedPageBreak/>
        <w:t xml:space="preserve">The </w:t>
      </w:r>
      <w:r w:rsidR="00894AC3">
        <w:rPr>
          <w:color w:val="000000" w:themeColor="text1"/>
        </w:rPr>
        <w:t>Securities Exchange Act of 1934</w:t>
      </w:r>
      <w:r w:rsidR="004F4200">
        <w:rPr>
          <w:color w:val="000000" w:themeColor="text1"/>
        </w:rPr>
        <w:t xml:space="preserve"> of the United States of America</w:t>
      </w:r>
      <w:r w:rsidRPr="006628B1">
        <w:rPr>
          <w:color w:val="000000" w:themeColor="text1"/>
        </w:rPr>
        <w:t xml:space="preserve">, while mentioned in the instrument, is not </w:t>
      </w:r>
      <w:r w:rsidR="00110913" w:rsidRPr="006628B1">
        <w:rPr>
          <w:color w:val="000000" w:themeColor="text1"/>
        </w:rPr>
        <w:t xml:space="preserve">incorporated by reference for the purposes of </w:t>
      </w:r>
      <w:r w:rsidRPr="006628B1">
        <w:rPr>
          <w:color w:val="000000" w:themeColor="text1"/>
        </w:rPr>
        <w:t>s</w:t>
      </w:r>
      <w:r w:rsidR="008F4498">
        <w:rPr>
          <w:color w:val="000000" w:themeColor="text1"/>
        </w:rPr>
        <w:t xml:space="preserve">ection </w:t>
      </w:r>
      <w:r w:rsidRPr="006628B1">
        <w:rPr>
          <w:color w:val="000000" w:themeColor="text1"/>
        </w:rPr>
        <w:t xml:space="preserve">14 of the </w:t>
      </w:r>
      <w:r w:rsidRPr="006628B1">
        <w:rPr>
          <w:i/>
          <w:color w:val="000000" w:themeColor="text1"/>
        </w:rPr>
        <w:t>Legislation Act 2003</w:t>
      </w:r>
      <w:r w:rsidRPr="006628B1">
        <w:rPr>
          <w:color w:val="000000" w:themeColor="text1"/>
        </w:rPr>
        <w:t>.</w:t>
      </w:r>
    </w:p>
    <w:bookmarkEnd w:id="5"/>
    <w:p w14:paraId="6C422924" w14:textId="77777777" w:rsidR="00F03BB5" w:rsidRPr="006628B1" w:rsidRDefault="00474B52" w:rsidP="009A3F74">
      <w:pPr>
        <w:pStyle w:val="LI-BodyTextParaa"/>
        <w:ind w:left="0" w:firstLine="0"/>
        <w:rPr>
          <w:b/>
          <w:color w:val="000000" w:themeColor="text1"/>
        </w:rPr>
      </w:pPr>
      <w:r w:rsidRPr="006628B1">
        <w:rPr>
          <w:b/>
          <w:color w:val="000000" w:themeColor="text1"/>
        </w:rPr>
        <w:t>Legislative authority</w:t>
      </w:r>
    </w:p>
    <w:p w14:paraId="41314B54" w14:textId="1D59BD21" w:rsidR="005C4063" w:rsidRPr="006628B1" w:rsidRDefault="005C4063" w:rsidP="005C4063">
      <w:pPr>
        <w:pStyle w:val="LI-BodyTextParaa"/>
        <w:numPr>
          <w:ilvl w:val="0"/>
          <w:numId w:val="18"/>
        </w:numPr>
        <w:jc w:val="both"/>
        <w:rPr>
          <w:color w:val="000000" w:themeColor="text1"/>
        </w:rPr>
      </w:pPr>
      <w:r w:rsidRPr="006628B1">
        <w:rPr>
          <w:color w:val="000000" w:themeColor="text1"/>
        </w:rPr>
        <w:t>Subrule 1.2.4(3) of the Reporting Rules provides the authority for</w:t>
      </w:r>
      <w:r w:rsidR="008F4498">
        <w:rPr>
          <w:color w:val="000000" w:themeColor="text1"/>
        </w:rPr>
        <w:t xml:space="preserve"> making</w:t>
      </w:r>
      <w:r w:rsidRPr="006628B1">
        <w:rPr>
          <w:color w:val="000000" w:themeColor="text1"/>
        </w:rPr>
        <w:t xml:space="preserve"> the instrument.</w:t>
      </w:r>
    </w:p>
    <w:p w14:paraId="44F3B1BF" w14:textId="0DB36270" w:rsidR="00BC09C6" w:rsidRPr="006628B1" w:rsidRDefault="00BC09C6" w:rsidP="00FF625D">
      <w:pPr>
        <w:pStyle w:val="LI-BodyTextParaa"/>
        <w:numPr>
          <w:ilvl w:val="0"/>
          <w:numId w:val="18"/>
        </w:numPr>
        <w:jc w:val="both"/>
        <w:rPr>
          <w:color w:val="000000" w:themeColor="text1"/>
        </w:rPr>
      </w:pPr>
      <w:r w:rsidRPr="006628B1">
        <w:rPr>
          <w:color w:val="000000" w:themeColor="text1"/>
        </w:rPr>
        <w:t xml:space="preserve">Under subsection 33(3) of the </w:t>
      </w:r>
      <w:r w:rsidRPr="006628B1">
        <w:rPr>
          <w:i/>
          <w:color w:val="000000" w:themeColor="text1"/>
        </w:rPr>
        <w:t>Acts Interpretation Act 1901</w:t>
      </w:r>
      <w:r w:rsidRPr="006628B1">
        <w:rPr>
          <w:color w:val="000000" w:themeColor="text1"/>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r w:rsidR="00730088" w:rsidRPr="006628B1">
        <w:rPr>
          <w:color w:val="000000" w:themeColor="text1"/>
        </w:rPr>
        <w:t xml:space="preserve"> Under subsection 13(1) of the </w:t>
      </w:r>
      <w:r w:rsidR="00730088" w:rsidRPr="006628B1">
        <w:rPr>
          <w:i/>
          <w:color w:val="000000" w:themeColor="text1"/>
        </w:rPr>
        <w:t>Legislation Act 2003</w:t>
      </w:r>
      <w:r w:rsidR="00730088" w:rsidRPr="006628B1">
        <w:rPr>
          <w:color w:val="000000" w:themeColor="text1"/>
        </w:rPr>
        <w:t xml:space="preserve">, subsection 33(3) of the </w:t>
      </w:r>
      <w:r w:rsidR="00730088" w:rsidRPr="006628B1">
        <w:rPr>
          <w:i/>
          <w:color w:val="000000" w:themeColor="text1"/>
        </w:rPr>
        <w:t xml:space="preserve">Acts Interpretation Act 1901 </w:t>
      </w:r>
      <w:r w:rsidR="00730088" w:rsidRPr="006628B1">
        <w:rPr>
          <w:color w:val="000000" w:themeColor="text1"/>
        </w:rPr>
        <w:t>applies to a legislative instrument made under enabling legislation as if each provision of the legislative instrument were a section of an Act.</w:t>
      </w:r>
    </w:p>
    <w:p w14:paraId="53F6BBBC" w14:textId="77777777" w:rsidR="00BC09C6" w:rsidRPr="006628B1" w:rsidRDefault="005C4063" w:rsidP="005C4063">
      <w:pPr>
        <w:pStyle w:val="LI-BodyTextParaa"/>
        <w:numPr>
          <w:ilvl w:val="0"/>
          <w:numId w:val="18"/>
        </w:numPr>
        <w:jc w:val="both"/>
        <w:rPr>
          <w:color w:val="000000" w:themeColor="text1"/>
        </w:rPr>
      </w:pPr>
      <w:r w:rsidRPr="006628B1">
        <w:rPr>
          <w:color w:val="000000" w:themeColor="text1"/>
        </w:rPr>
        <w:t>The instrument is a disa</w:t>
      </w:r>
      <w:r w:rsidR="00BC09C6" w:rsidRPr="006628B1">
        <w:rPr>
          <w:color w:val="000000" w:themeColor="text1"/>
        </w:rPr>
        <w:t>llowable legislative instrument.</w:t>
      </w:r>
    </w:p>
    <w:p w14:paraId="3B8D02D9" w14:textId="77777777" w:rsidR="00D00C68" w:rsidRPr="00FF625D" w:rsidRDefault="00D00C68" w:rsidP="00D00C68">
      <w:pPr>
        <w:pStyle w:val="LI-BodyTextParaa"/>
        <w:ind w:left="567"/>
        <w:rPr>
          <w:b/>
        </w:rPr>
      </w:pPr>
      <w:bookmarkStart w:id="6" w:name="_Hlk534286677"/>
      <w:r w:rsidRPr="00FF625D">
        <w:rPr>
          <w:b/>
        </w:rPr>
        <w:t xml:space="preserve">Statement of Compatibility with Human Rights  </w:t>
      </w:r>
    </w:p>
    <w:p w14:paraId="2BB319B9" w14:textId="77777777" w:rsidR="00D00C68" w:rsidRPr="00FF625D" w:rsidRDefault="00D00C68" w:rsidP="00AD5D53">
      <w:pPr>
        <w:pStyle w:val="LI-BodyTextParaa"/>
        <w:numPr>
          <w:ilvl w:val="0"/>
          <w:numId w:val="18"/>
        </w:numPr>
        <w:jc w:val="both"/>
      </w:pPr>
      <w:r w:rsidRPr="00FF625D">
        <w:t xml:space="preserve">The Explanatory Statement for a disallowable legislative instrument must contain a Statement of Compatibility with Human Rights under subsection 9(1) of the </w:t>
      </w:r>
      <w:r w:rsidRPr="00AD5D53">
        <w:rPr>
          <w:i/>
          <w:iCs/>
        </w:rPr>
        <w:t>Human Rights (Parliamentary Scrutiny) Act 2011.</w:t>
      </w:r>
      <w:r w:rsidRPr="00AD5D53">
        <w:rPr>
          <w:iCs/>
        </w:rPr>
        <w:t xml:space="preserve"> </w:t>
      </w:r>
      <w:r w:rsidRPr="00FF625D">
        <w:t xml:space="preserve">A Statement of Compatibility with Human Rights is in the </w:t>
      </w:r>
      <w:r w:rsidRPr="00AD5D53">
        <w:rPr>
          <w:u w:val="single"/>
        </w:rPr>
        <w:t>Attachment</w:t>
      </w:r>
      <w:r w:rsidRPr="00FF625D">
        <w:t xml:space="preserve">. </w:t>
      </w:r>
    </w:p>
    <w:p w14:paraId="10EE8E59" w14:textId="77777777" w:rsidR="00D00C68" w:rsidRPr="00FF625D" w:rsidRDefault="00D00C68" w:rsidP="00D00C68">
      <w:pPr>
        <w:pStyle w:val="LI-BodyTextParaa"/>
        <w:ind w:left="567"/>
        <w:jc w:val="right"/>
        <w:rPr>
          <w:u w:val="single"/>
        </w:rPr>
      </w:pPr>
      <w:r w:rsidRPr="00FF625D">
        <w:rPr>
          <w:color w:val="FF0000"/>
        </w:rPr>
        <w:br w:type="page"/>
      </w:r>
      <w:r w:rsidRPr="00FF625D">
        <w:rPr>
          <w:u w:val="single"/>
        </w:rPr>
        <w:lastRenderedPageBreak/>
        <w:t xml:space="preserve">Attachment </w:t>
      </w:r>
    </w:p>
    <w:p w14:paraId="2AD7B264" w14:textId="77777777" w:rsidR="00D00C68" w:rsidRPr="00D14957" w:rsidRDefault="00D00C68" w:rsidP="00D00C68">
      <w:pPr>
        <w:pStyle w:val="LI-BodyTextParaa"/>
        <w:ind w:left="567"/>
        <w:jc w:val="center"/>
        <w:rPr>
          <w:b/>
        </w:rPr>
      </w:pPr>
      <w:r w:rsidRPr="00D14957">
        <w:rPr>
          <w:b/>
        </w:rPr>
        <w:t>Statement of Compatibility with Human Rights</w:t>
      </w:r>
    </w:p>
    <w:p w14:paraId="2FE379CD" w14:textId="77777777" w:rsidR="00D00C68" w:rsidRPr="00FF625D" w:rsidRDefault="00D00C68" w:rsidP="00D00C68">
      <w:pPr>
        <w:pStyle w:val="LI-BodyTextNumbered"/>
        <w:ind w:left="0" w:firstLine="0"/>
        <w:rPr>
          <w:iCs/>
        </w:rPr>
      </w:pPr>
    </w:p>
    <w:p w14:paraId="44C46E49" w14:textId="77777777" w:rsidR="00D00C68" w:rsidRPr="00FF625D" w:rsidRDefault="00D00C68" w:rsidP="009131A2">
      <w:pPr>
        <w:pStyle w:val="LI-BodyTextNumbered"/>
        <w:ind w:left="0" w:firstLine="0"/>
        <w:rPr>
          <w:iCs/>
        </w:rPr>
      </w:pPr>
      <w:r w:rsidRPr="00FF625D">
        <w:rPr>
          <w:iCs/>
        </w:rPr>
        <w:t xml:space="preserve">This Statement of Compatibility with Human Rights is prepared in accordance with Part 3 of the </w:t>
      </w:r>
      <w:r w:rsidRPr="00FF625D">
        <w:rPr>
          <w:i/>
          <w:iCs/>
        </w:rPr>
        <w:t>Human Rights (Parliamentary Scrutiny) Act 2011</w:t>
      </w:r>
      <w:r w:rsidRPr="00FF625D">
        <w:rPr>
          <w:iCs/>
        </w:rPr>
        <w:t>.</w:t>
      </w:r>
    </w:p>
    <w:p w14:paraId="3EC7C4EE" w14:textId="524BC4D3" w:rsidR="00D00C68" w:rsidRPr="00FF625D" w:rsidRDefault="00BD7EEC" w:rsidP="00D14957">
      <w:pPr>
        <w:pStyle w:val="LI-BodyTextNumbered"/>
        <w:ind w:left="0" w:firstLine="0"/>
        <w:jc w:val="center"/>
        <w:rPr>
          <w:b/>
          <w:i/>
        </w:rPr>
      </w:pPr>
      <w:r w:rsidRPr="00FF625D">
        <w:rPr>
          <w:b/>
          <w:i/>
        </w:rPr>
        <w:t>ASIC Regulated Foreign Markets Determination (Amendment) Instrument 20</w:t>
      </w:r>
      <w:r w:rsidR="006370D6">
        <w:rPr>
          <w:b/>
          <w:i/>
        </w:rPr>
        <w:t>20</w:t>
      </w:r>
      <w:r w:rsidRPr="00FF625D">
        <w:rPr>
          <w:b/>
          <w:i/>
        </w:rPr>
        <w:t>/</w:t>
      </w:r>
      <w:r w:rsidR="006370D6">
        <w:rPr>
          <w:b/>
          <w:i/>
        </w:rPr>
        <w:t>828</w:t>
      </w:r>
    </w:p>
    <w:p w14:paraId="10DAB335" w14:textId="77777777" w:rsidR="00D00C68" w:rsidRPr="00FF625D" w:rsidRDefault="00D00C68" w:rsidP="00D00C68">
      <w:pPr>
        <w:pStyle w:val="LI-BodyTextNumbered"/>
        <w:ind w:left="567"/>
        <w:rPr>
          <w:u w:val="single"/>
        </w:rPr>
      </w:pPr>
      <w:r w:rsidRPr="00FF625D">
        <w:rPr>
          <w:u w:val="single"/>
        </w:rPr>
        <w:t>Overview</w:t>
      </w:r>
    </w:p>
    <w:p w14:paraId="5D029920" w14:textId="48AF6F77" w:rsidR="00EC2485" w:rsidRPr="00EC2485" w:rsidRDefault="00EC2485" w:rsidP="00EC2485">
      <w:pPr>
        <w:spacing w:before="240" w:line="240" w:lineRule="auto"/>
        <w:ind w:left="567" w:hanging="567"/>
        <w:rPr>
          <w:sz w:val="24"/>
        </w:rPr>
      </w:pPr>
      <w:bookmarkStart w:id="7" w:name="_Hlk534286807"/>
      <w:r w:rsidRPr="00EC2485">
        <w:rPr>
          <w:sz w:val="24"/>
        </w:rPr>
        <w:t>1.</w:t>
      </w:r>
      <w:r w:rsidRPr="00EC2485">
        <w:rPr>
          <w:sz w:val="24"/>
        </w:rPr>
        <w:tab/>
      </w:r>
      <w:r w:rsidR="002A3298" w:rsidRPr="00D14957">
        <w:rPr>
          <w:sz w:val="24"/>
        </w:rPr>
        <w:t>The instrument</w:t>
      </w:r>
      <w:r w:rsidR="002A3298">
        <w:rPr>
          <w:sz w:val="24"/>
        </w:rPr>
        <w:t xml:space="preserve"> amends</w:t>
      </w:r>
      <w:r w:rsidR="002A3298" w:rsidRPr="00D14957">
        <w:rPr>
          <w:sz w:val="24"/>
        </w:rPr>
        <w:t xml:space="preserve"> </w:t>
      </w:r>
      <w:r w:rsidR="002A3298" w:rsidRPr="00E07745">
        <w:rPr>
          <w:rFonts w:eastAsia="Times New Roman"/>
          <w:i/>
          <w:iCs/>
          <w:sz w:val="24"/>
          <w:szCs w:val="24"/>
          <w:lang w:eastAsia="en-AU"/>
        </w:rPr>
        <w:t>ASIC Regulated Foreign Markets Determination [OTC DET 13/1145]</w:t>
      </w:r>
      <w:r w:rsidR="002A3298">
        <w:rPr>
          <w:rFonts w:eastAsia="Times New Roman"/>
          <w:sz w:val="24"/>
          <w:szCs w:val="24"/>
          <w:lang w:eastAsia="en-AU"/>
        </w:rPr>
        <w:t xml:space="preserve"> (</w:t>
      </w:r>
      <w:r w:rsidR="002A3298" w:rsidRPr="00E07745">
        <w:rPr>
          <w:rFonts w:eastAsia="Times New Roman"/>
          <w:sz w:val="24"/>
          <w:szCs w:val="24"/>
          <w:lang w:eastAsia="en-AU"/>
        </w:rPr>
        <w:t>the</w:t>
      </w:r>
      <w:r w:rsidR="002A3298">
        <w:rPr>
          <w:rFonts w:eastAsia="Times New Roman"/>
          <w:b/>
          <w:bCs/>
          <w:sz w:val="24"/>
          <w:szCs w:val="24"/>
          <w:lang w:eastAsia="en-AU"/>
        </w:rPr>
        <w:t xml:space="preserve"> </w:t>
      </w:r>
      <w:r w:rsidR="002A3298" w:rsidRPr="00E07745">
        <w:rPr>
          <w:rFonts w:eastAsia="Times New Roman"/>
          <w:b/>
          <w:bCs/>
          <w:i/>
          <w:iCs/>
          <w:sz w:val="24"/>
          <w:szCs w:val="24"/>
          <w:lang w:eastAsia="en-AU"/>
        </w:rPr>
        <w:t>ASIC Determination</w:t>
      </w:r>
      <w:r w:rsidR="002A3298">
        <w:rPr>
          <w:rFonts w:eastAsia="Times New Roman"/>
          <w:sz w:val="24"/>
          <w:szCs w:val="24"/>
          <w:lang w:eastAsia="en-AU"/>
        </w:rPr>
        <w:t xml:space="preserve">) to </w:t>
      </w:r>
      <w:r w:rsidR="002A3298">
        <w:rPr>
          <w:sz w:val="24"/>
        </w:rPr>
        <w:t xml:space="preserve">update the following determinations for the purposes of Rule 1.2.4(2) of the </w:t>
      </w:r>
      <w:r w:rsidR="002A3298">
        <w:rPr>
          <w:i/>
          <w:iCs/>
          <w:sz w:val="24"/>
        </w:rPr>
        <w:t>ASIC Derivative Transaction Rules (Reporting) 2013 (</w:t>
      </w:r>
      <w:r w:rsidR="002A3298">
        <w:rPr>
          <w:b/>
          <w:bCs/>
          <w:i/>
          <w:iCs/>
          <w:sz w:val="24"/>
        </w:rPr>
        <w:t>Reporting Rules</w:t>
      </w:r>
      <w:r w:rsidR="002A3298">
        <w:rPr>
          <w:i/>
          <w:iCs/>
          <w:sz w:val="24"/>
        </w:rPr>
        <w:t>)</w:t>
      </w:r>
      <w:r w:rsidR="002A3298">
        <w:rPr>
          <w:sz w:val="24"/>
        </w:rPr>
        <w:t>:</w:t>
      </w:r>
    </w:p>
    <w:p w14:paraId="47B93E23" w14:textId="7071E766" w:rsidR="00EC2485" w:rsidRPr="00EC2485" w:rsidRDefault="002A3298" w:rsidP="00EC2485">
      <w:pPr>
        <w:pStyle w:val="ListParagraph"/>
        <w:numPr>
          <w:ilvl w:val="0"/>
          <w:numId w:val="25"/>
        </w:numPr>
        <w:spacing w:before="240" w:line="240" w:lineRule="auto"/>
        <w:rPr>
          <w:sz w:val="24"/>
        </w:rPr>
      </w:pPr>
      <w:r w:rsidRPr="00D14957">
        <w:rPr>
          <w:sz w:val="24"/>
        </w:rPr>
        <w:t xml:space="preserve">that </w:t>
      </w:r>
      <w:r>
        <w:rPr>
          <w:sz w:val="24"/>
        </w:rPr>
        <w:t xml:space="preserve">financial </w:t>
      </w:r>
      <w:r w:rsidRPr="00D14957">
        <w:rPr>
          <w:sz w:val="24"/>
        </w:rPr>
        <w:t>markets reg</w:t>
      </w:r>
      <w:r>
        <w:rPr>
          <w:sz w:val="24"/>
        </w:rPr>
        <w:t>istered by the Securities and Exchange Commission of the United States of America as national securities exchanges are Regulated Foreign Markets; and</w:t>
      </w:r>
    </w:p>
    <w:p w14:paraId="28919291" w14:textId="248E7E77" w:rsidR="00EC2485" w:rsidRPr="00EC2485" w:rsidRDefault="002A3298" w:rsidP="00EC2485">
      <w:pPr>
        <w:pStyle w:val="ListParagraph"/>
        <w:numPr>
          <w:ilvl w:val="0"/>
          <w:numId w:val="25"/>
        </w:numPr>
        <w:spacing w:before="240" w:line="240" w:lineRule="auto"/>
        <w:rPr>
          <w:sz w:val="24"/>
        </w:rPr>
      </w:pPr>
      <w:r>
        <w:rPr>
          <w:sz w:val="24"/>
        </w:rPr>
        <w:t xml:space="preserve">that certain financial markets that were Relevant Financial Markets under </w:t>
      </w:r>
      <w:r w:rsidRPr="00862814">
        <w:rPr>
          <w:i/>
          <w:iCs/>
          <w:sz w:val="24"/>
        </w:rPr>
        <w:t>ASIC Corporations (Derivative Transaction Reporting Exemption) Instrument 2015/844</w:t>
      </w:r>
      <w:r>
        <w:rPr>
          <w:sz w:val="24"/>
        </w:rPr>
        <w:t xml:space="preserve"> (the </w:t>
      </w:r>
      <w:r w:rsidRPr="00B3049D">
        <w:rPr>
          <w:b/>
          <w:bCs/>
          <w:i/>
          <w:iCs/>
          <w:sz w:val="24"/>
        </w:rPr>
        <w:t>Exemption</w:t>
      </w:r>
      <w:r>
        <w:rPr>
          <w:sz w:val="24"/>
        </w:rPr>
        <w:t xml:space="preserve">) prior to 1 October 2020, </w:t>
      </w:r>
      <w:r w:rsidRPr="00B3049D">
        <w:rPr>
          <w:sz w:val="24"/>
        </w:rPr>
        <w:t>are</w:t>
      </w:r>
      <w:r>
        <w:rPr>
          <w:sz w:val="24"/>
        </w:rPr>
        <w:t xml:space="preserve"> now </w:t>
      </w:r>
      <w:r w:rsidRPr="00D14957">
        <w:rPr>
          <w:sz w:val="24"/>
        </w:rPr>
        <w:t>Regulated Foreign Markets</w:t>
      </w:r>
      <w:r>
        <w:rPr>
          <w:sz w:val="24"/>
        </w:rPr>
        <w:t>.</w:t>
      </w:r>
    </w:p>
    <w:p w14:paraId="73B093F2" w14:textId="2623FD33" w:rsidR="00EC2485" w:rsidRPr="00EC2485" w:rsidRDefault="00EC2485" w:rsidP="00EC2485">
      <w:pPr>
        <w:spacing w:before="240" w:line="240" w:lineRule="auto"/>
        <w:ind w:left="567" w:hanging="567"/>
        <w:rPr>
          <w:sz w:val="24"/>
        </w:rPr>
      </w:pPr>
      <w:r w:rsidRPr="00EC2485">
        <w:rPr>
          <w:sz w:val="24"/>
        </w:rPr>
        <w:t>2.</w:t>
      </w:r>
      <w:r w:rsidRPr="00EC2485">
        <w:rPr>
          <w:sz w:val="24"/>
        </w:rPr>
        <w:tab/>
      </w:r>
      <w:r w:rsidR="005E541E">
        <w:rPr>
          <w:rFonts w:eastAsia="Times New Roman"/>
          <w:sz w:val="24"/>
          <w:szCs w:val="24"/>
          <w:lang w:eastAsia="en-AU"/>
        </w:rPr>
        <w:t>The instrument also amends the ASIC Determination by removing the specific identification of certain financial markets that are Regulated Foreign Markets under the general categories in subrules 1.2.4(2A)(a) &amp; (b) of the Reporting Rules or new paragraphs 4(w) &amp; 4(hh) of the ASIC Determination. In addition, the list of Regulated Foreign Markets within the ASIC Determination were reassessed and amended by the instrument, in regards to name updates and duplicates.</w:t>
      </w:r>
    </w:p>
    <w:p w14:paraId="7E03458E" w14:textId="3529B88C" w:rsidR="00EC2485" w:rsidRDefault="00EC2485" w:rsidP="00EC2485">
      <w:pPr>
        <w:spacing w:before="240" w:line="240" w:lineRule="auto"/>
        <w:ind w:left="567" w:hanging="567"/>
        <w:rPr>
          <w:sz w:val="24"/>
        </w:rPr>
      </w:pPr>
      <w:r w:rsidRPr="00EC2485">
        <w:rPr>
          <w:sz w:val="24"/>
        </w:rPr>
        <w:t>3.</w:t>
      </w:r>
      <w:r w:rsidRPr="00EC2485">
        <w:rPr>
          <w:sz w:val="24"/>
        </w:rPr>
        <w:tab/>
      </w:r>
      <w:r w:rsidR="005E541E">
        <w:t xml:space="preserve">Amending the ASIC Determination by updating the Regulated Foreign Markets list, also affects the </w:t>
      </w:r>
      <w:r w:rsidR="005E541E">
        <w:rPr>
          <w:i/>
          <w:iCs/>
        </w:rPr>
        <w:t>ASIC Derivative Transaction Rules (Clearing) 2015</w:t>
      </w:r>
      <w:r w:rsidR="005E541E">
        <w:t xml:space="preserve"> (</w:t>
      </w:r>
      <w:r w:rsidR="005E541E">
        <w:rPr>
          <w:b/>
          <w:bCs/>
        </w:rPr>
        <w:t>Clearing Rules</w:t>
      </w:r>
      <w:r w:rsidR="005E541E">
        <w:t>) which contains an exclusion  from the clearing requirements under the Clearing Rules  that applies in relation to Regulated Foreign Markets that are determined by ASIC under subrule 1.2.4(3) of the Reporting Rules.</w:t>
      </w:r>
    </w:p>
    <w:p w14:paraId="2DA0AF51" w14:textId="5091A211" w:rsidR="00D00C68" w:rsidRPr="00FF625D" w:rsidRDefault="00D00C68" w:rsidP="006370D6">
      <w:pPr>
        <w:spacing w:before="240" w:line="240" w:lineRule="auto"/>
        <w:ind w:left="567" w:hanging="567"/>
        <w:rPr>
          <w:u w:val="single"/>
        </w:rPr>
      </w:pPr>
      <w:r w:rsidRPr="00FF625D">
        <w:rPr>
          <w:u w:val="single"/>
        </w:rPr>
        <w:t>Assessment of human rights implications</w:t>
      </w:r>
    </w:p>
    <w:bookmarkEnd w:id="7"/>
    <w:p w14:paraId="08728B79" w14:textId="4C06690D" w:rsidR="00D00C68" w:rsidRPr="0065645B" w:rsidRDefault="0065645B" w:rsidP="0065645B">
      <w:pPr>
        <w:spacing w:before="240" w:line="240" w:lineRule="auto"/>
        <w:ind w:left="567" w:hanging="567"/>
        <w:rPr>
          <w:sz w:val="24"/>
        </w:rPr>
      </w:pPr>
      <w:r w:rsidRPr="0065645B">
        <w:rPr>
          <w:sz w:val="24"/>
        </w:rPr>
        <w:t>4.</w:t>
      </w:r>
      <w:r w:rsidRPr="0065645B">
        <w:rPr>
          <w:sz w:val="24"/>
        </w:rPr>
        <w:tab/>
      </w:r>
      <w:r w:rsidR="00D00C68" w:rsidRPr="0065645B">
        <w:rPr>
          <w:sz w:val="24"/>
        </w:rPr>
        <w:t>This instrument does not engage any of the applicable rights or freedoms</w:t>
      </w:r>
      <w:r w:rsidR="009D2F63" w:rsidRPr="0065645B">
        <w:rPr>
          <w:sz w:val="24"/>
        </w:rPr>
        <w:t>.</w:t>
      </w:r>
    </w:p>
    <w:p w14:paraId="2D5D5AA7" w14:textId="77777777" w:rsidR="00D00C68" w:rsidRPr="00FF625D" w:rsidRDefault="00D00C68" w:rsidP="00D00C68">
      <w:pPr>
        <w:pStyle w:val="LI-BodyTextNumbered"/>
        <w:ind w:left="567"/>
        <w:rPr>
          <w:u w:val="single"/>
        </w:rPr>
      </w:pPr>
      <w:r w:rsidRPr="00FF625D">
        <w:rPr>
          <w:u w:val="single"/>
        </w:rPr>
        <w:t>Conclusion</w:t>
      </w:r>
    </w:p>
    <w:p w14:paraId="018BE105" w14:textId="7A5A8E06" w:rsidR="005E541E" w:rsidRPr="005E541E" w:rsidRDefault="0065645B" w:rsidP="005E541E">
      <w:pPr>
        <w:pStyle w:val="LI-BodyTextParaa"/>
        <w:ind w:left="567"/>
        <w:jc w:val="both"/>
      </w:pPr>
      <w:r>
        <w:t>5</w:t>
      </w:r>
      <w:r w:rsidR="00D00C68" w:rsidRPr="00FF625D">
        <w:t>.</w:t>
      </w:r>
      <w:r>
        <w:tab/>
      </w:r>
      <w:r w:rsidR="00D00C68" w:rsidRPr="00FF625D">
        <w:t xml:space="preserve">This instrument is compatible with the human rights and freedoms recognised or declared in the international instruments listed in section 3 of </w:t>
      </w:r>
      <w:r w:rsidR="00D00C68" w:rsidRPr="006370D6">
        <w:t xml:space="preserve">the </w:t>
      </w:r>
      <w:r w:rsidR="00D00C68" w:rsidRPr="006370D6">
        <w:rPr>
          <w:i/>
          <w:iCs/>
        </w:rPr>
        <w:t>Human Rights (Parliamentary Scrutiny) Act 2011</w:t>
      </w:r>
      <w:r w:rsidR="00D00C68" w:rsidRPr="00FF625D">
        <w:t>.</w:t>
      </w:r>
      <w:bookmarkStart w:id="8" w:name="_GoBack"/>
      <w:bookmarkEnd w:id="6"/>
      <w:bookmarkEnd w:id="8"/>
    </w:p>
    <w:sectPr w:rsidR="005E541E" w:rsidRPr="005E541E" w:rsidSect="00863657">
      <w:headerReference w:type="even" r:id="rId15"/>
      <w:headerReference w:type="default" r:id="rId16"/>
      <w:footerReference w:type="default" r:id="rId17"/>
      <w:footerReference w:type="first" r:id="rId18"/>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64EB" w14:textId="77777777" w:rsidR="0035031D" w:rsidRDefault="0035031D" w:rsidP="00715914">
      <w:pPr>
        <w:spacing w:line="240" w:lineRule="auto"/>
      </w:pPr>
      <w:r>
        <w:separator/>
      </w:r>
    </w:p>
  </w:endnote>
  <w:endnote w:type="continuationSeparator" w:id="0">
    <w:p w14:paraId="5D599500" w14:textId="77777777" w:rsidR="0035031D" w:rsidRDefault="0035031D" w:rsidP="00715914">
      <w:pPr>
        <w:spacing w:line="240" w:lineRule="auto"/>
      </w:pPr>
      <w:r>
        <w:continuationSeparator/>
      </w:r>
    </w:p>
  </w:endnote>
  <w:endnote w:type="continuationNotice" w:id="1">
    <w:p w14:paraId="74C02999" w14:textId="77777777" w:rsidR="0035031D" w:rsidRDefault="003503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64FF6" w14:textId="77777777" w:rsidR="0035031D" w:rsidRDefault="0035031D">
    <w:pPr>
      <w:pStyle w:val="Footer"/>
      <w:jc w:val="center"/>
    </w:pPr>
    <w:r>
      <w:fldChar w:fldCharType="begin"/>
    </w:r>
    <w:r>
      <w:instrText xml:space="preserve"> PAGE   \* MERGEFORMAT </w:instrText>
    </w:r>
    <w:r>
      <w:fldChar w:fldCharType="separate"/>
    </w:r>
    <w:r>
      <w:rPr>
        <w:noProof/>
      </w:rPr>
      <w:t>2</w:t>
    </w:r>
    <w:r>
      <w:rPr>
        <w:noProof/>
      </w:rPr>
      <w:fldChar w:fldCharType="end"/>
    </w:r>
  </w:p>
  <w:p w14:paraId="678693CA" w14:textId="77777777" w:rsidR="0035031D" w:rsidRDefault="00350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4EE4" w14:textId="77777777" w:rsidR="0035031D" w:rsidRDefault="0035031D">
    <w:pPr>
      <w:pStyle w:val="Footer"/>
      <w:jc w:val="right"/>
    </w:pPr>
    <w:r>
      <w:fldChar w:fldCharType="begin"/>
    </w:r>
    <w:r>
      <w:instrText xml:space="preserve"> PAGE   \* MERGEFORMAT </w:instrText>
    </w:r>
    <w:r>
      <w:fldChar w:fldCharType="separate"/>
    </w:r>
    <w:r>
      <w:rPr>
        <w:noProof/>
      </w:rPr>
      <w:t>2</w:t>
    </w:r>
    <w:r>
      <w:rPr>
        <w:noProof/>
      </w:rPr>
      <w:fldChar w:fldCharType="end"/>
    </w:r>
  </w:p>
  <w:p w14:paraId="61434A55" w14:textId="77777777" w:rsidR="0035031D" w:rsidRDefault="00350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530B3" w14:textId="77777777" w:rsidR="0035031D" w:rsidRDefault="0035031D" w:rsidP="00715914">
      <w:pPr>
        <w:spacing w:line="240" w:lineRule="auto"/>
      </w:pPr>
      <w:r>
        <w:separator/>
      </w:r>
    </w:p>
  </w:footnote>
  <w:footnote w:type="continuationSeparator" w:id="0">
    <w:p w14:paraId="46AEBA90" w14:textId="77777777" w:rsidR="0035031D" w:rsidRDefault="0035031D" w:rsidP="00715914">
      <w:pPr>
        <w:spacing w:line="240" w:lineRule="auto"/>
      </w:pPr>
      <w:r>
        <w:continuationSeparator/>
      </w:r>
    </w:p>
  </w:footnote>
  <w:footnote w:type="continuationNotice" w:id="1">
    <w:p w14:paraId="54CA081A" w14:textId="77777777" w:rsidR="0035031D" w:rsidRDefault="0035031D">
      <w:pPr>
        <w:spacing w:line="240" w:lineRule="auto"/>
      </w:pPr>
    </w:p>
  </w:footnote>
  <w:footnote w:id="2">
    <w:p w14:paraId="120D4A28" w14:textId="70BDBA36" w:rsidR="0035031D" w:rsidRDefault="0035031D">
      <w:pPr>
        <w:pStyle w:val="FootnoteText"/>
      </w:pPr>
      <w:r>
        <w:rPr>
          <w:rStyle w:val="FootnoteReference"/>
        </w:rPr>
        <w:footnoteRef/>
      </w:r>
      <w:r>
        <w:t xml:space="preserve"> </w:t>
      </w:r>
      <w:r w:rsidRPr="00D34A77">
        <w:t>COMMISSION IMPLEMENTING DECISION (EU) 2017/2320 of 13 December 2017 on the equivalence of the legal and supervisory framework of the United States of America for national securities exchanges and alternative trading systems in accordance with Directive 2014/65/EU of the European Parliament and of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143C" w14:textId="77777777" w:rsidR="0035031D" w:rsidRPr="00243EC0" w:rsidRDefault="0035031D"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35031D" w:rsidRPr="00E40FF8" w14:paraId="09392EC4" w14:textId="77777777" w:rsidTr="001E77ED">
      <w:tc>
        <w:tcPr>
          <w:tcW w:w="4253" w:type="dxa"/>
          <w:shd w:val="clear" w:color="auto" w:fill="auto"/>
        </w:tcPr>
        <w:p w14:paraId="01F841AD" w14:textId="77777777" w:rsidR="0035031D" w:rsidRDefault="0035031D" w:rsidP="00E40FF8">
          <w:pPr>
            <w:pStyle w:val="LI-Header"/>
            <w:pBdr>
              <w:bottom w:val="none" w:sz="0" w:space="0" w:color="auto"/>
            </w:pBdr>
            <w:jc w:val="left"/>
          </w:pPr>
        </w:p>
      </w:tc>
      <w:tc>
        <w:tcPr>
          <w:tcW w:w="4060" w:type="dxa"/>
          <w:shd w:val="clear" w:color="auto" w:fill="auto"/>
        </w:tcPr>
        <w:p w14:paraId="2BFC4D96" w14:textId="77777777" w:rsidR="0035031D" w:rsidRDefault="0035031D" w:rsidP="00F03BB5">
          <w:pPr>
            <w:pStyle w:val="LI-BodyTextNumbered"/>
          </w:pPr>
        </w:p>
      </w:tc>
    </w:tr>
  </w:tbl>
  <w:p w14:paraId="71C3D351" w14:textId="77777777" w:rsidR="0035031D" w:rsidRPr="00F4215A" w:rsidRDefault="0035031D"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A3B6C"/>
    <w:multiLevelType w:val="hybridMultilevel"/>
    <w:tmpl w:val="399EC018"/>
    <w:lvl w:ilvl="0" w:tplc="65F87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89509E"/>
    <w:multiLevelType w:val="hybridMultilevel"/>
    <w:tmpl w:val="AFE68F3C"/>
    <w:lvl w:ilvl="0" w:tplc="9DA2E322">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CC00E7"/>
    <w:multiLevelType w:val="hybridMultilevel"/>
    <w:tmpl w:val="335EFAA6"/>
    <w:lvl w:ilvl="0" w:tplc="DA8848A4">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F51908"/>
    <w:multiLevelType w:val="hybridMultilevel"/>
    <w:tmpl w:val="076623DA"/>
    <w:lvl w:ilvl="0" w:tplc="EDEC3DB2">
      <w:start w:val="1"/>
      <w:numFmt w:val="decimal"/>
      <w:lvlText w:val="%1."/>
      <w:lvlJc w:val="left"/>
      <w:pPr>
        <w:ind w:left="360" w:hanging="360"/>
      </w:pPr>
      <w:rPr>
        <w:rFonts w:hint="default"/>
        <w:sz w:val="24"/>
        <w:szCs w:val="24"/>
      </w:rPr>
    </w:lvl>
    <w:lvl w:ilvl="1" w:tplc="9DA2E322">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370118"/>
    <w:multiLevelType w:val="hybridMultilevel"/>
    <w:tmpl w:val="B3A67D86"/>
    <w:lvl w:ilvl="0" w:tplc="228472C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00121E"/>
    <w:multiLevelType w:val="hybridMultilevel"/>
    <w:tmpl w:val="D0EEB45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920946"/>
    <w:multiLevelType w:val="hybridMultilevel"/>
    <w:tmpl w:val="BC3E3532"/>
    <w:lvl w:ilvl="0" w:tplc="361C39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B81F55"/>
    <w:multiLevelType w:val="hybridMultilevel"/>
    <w:tmpl w:val="49C43A48"/>
    <w:lvl w:ilvl="0" w:tplc="16E8193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E4460B"/>
    <w:multiLevelType w:val="hybridMultilevel"/>
    <w:tmpl w:val="B98A7F30"/>
    <w:lvl w:ilvl="0" w:tplc="EDEC3DB2">
      <w:start w:val="1"/>
      <w:numFmt w:val="decimal"/>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A9464BF"/>
    <w:multiLevelType w:val="multilevel"/>
    <w:tmpl w:val="8EA6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7"/>
  </w:num>
  <w:num w:numId="15">
    <w:abstractNumId w:val="23"/>
  </w:num>
  <w:num w:numId="16">
    <w:abstractNumId w:val="10"/>
  </w:num>
  <w:num w:numId="17">
    <w:abstractNumId w:val="14"/>
  </w:num>
  <w:num w:numId="18">
    <w:abstractNumId w:val="15"/>
  </w:num>
  <w:num w:numId="19">
    <w:abstractNumId w:val="21"/>
  </w:num>
  <w:num w:numId="20">
    <w:abstractNumId w:val="19"/>
  </w:num>
  <w:num w:numId="21">
    <w:abstractNumId w:val="18"/>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SortMethod w:val="0000"/>
  <w:defaultTabStop w:val="720"/>
  <w:drawingGridHorizontalSpacing w:val="110"/>
  <w:displayHorizontalDrawingGridEvery w:val="2"/>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32AB"/>
    <w:rsid w:val="00004470"/>
    <w:rsid w:val="000049F5"/>
    <w:rsid w:val="00005446"/>
    <w:rsid w:val="00010532"/>
    <w:rsid w:val="00010E37"/>
    <w:rsid w:val="00013170"/>
    <w:rsid w:val="000136AF"/>
    <w:rsid w:val="00013B8D"/>
    <w:rsid w:val="00015719"/>
    <w:rsid w:val="0002287D"/>
    <w:rsid w:val="00023D53"/>
    <w:rsid w:val="0003050B"/>
    <w:rsid w:val="000437C1"/>
    <w:rsid w:val="00044580"/>
    <w:rsid w:val="00050DA8"/>
    <w:rsid w:val="00050E91"/>
    <w:rsid w:val="0005365D"/>
    <w:rsid w:val="00056394"/>
    <w:rsid w:val="000614BF"/>
    <w:rsid w:val="0006250C"/>
    <w:rsid w:val="0006684E"/>
    <w:rsid w:val="00070915"/>
    <w:rsid w:val="00070CB7"/>
    <w:rsid w:val="0007350B"/>
    <w:rsid w:val="000809CB"/>
    <w:rsid w:val="00081794"/>
    <w:rsid w:val="000838FE"/>
    <w:rsid w:val="00084FF4"/>
    <w:rsid w:val="00086699"/>
    <w:rsid w:val="00092AEA"/>
    <w:rsid w:val="00095B17"/>
    <w:rsid w:val="000A142F"/>
    <w:rsid w:val="000A6C39"/>
    <w:rsid w:val="000B58FA"/>
    <w:rsid w:val="000B7CD8"/>
    <w:rsid w:val="000B7E91"/>
    <w:rsid w:val="000C36C2"/>
    <w:rsid w:val="000C3A34"/>
    <w:rsid w:val="000C55A0"/>
    <w:rsid w:val="000D041F"/>
    <w:rsid w:val="000D05EF"/>
    <w:rsid w:val="000E2261"/>
    <w:rsid w:val="000E3C2E"/>
    <w:rsid w:val="000F21C1"/>
    <w:rsid w:val="00102CA6"/>
    <w:rsid w:val="0010745C"/>
    <w:rsid w:val="00110913"/>
    <w:rsid w:val="00111068"/>
    <w:rsid w:val="0011114F"/>
    <w:rsid w:val="00113301"/>
    <w:rsid w:val="0011618F"/>
    <w:rsid w:val="00125141"/>
    <w:rsid w:val="0013034D"/>
    <w:rsid w:val="00130F06"/>
    <w:rsid w:val="00132CEB"/>
    <w:rsid w:val="001349A4"/>
    <w:rsid w:val="001365F8"/>
    <w:rsid w:val="00142B62"/>
    <w:rsid w:val="00143C69"/>
    <w:rsid w:val="00146353"/>
    <w:rsid w:val="00147F73"/>
    <w:rsid w:val="00153B32"/>
    <w:rsid w:val="00155B85"/>
    <w:rsid w:val="00157B8B"/>
    <w:rsid w:val="001624E1"/>
    <w:rsid w:val="00166C2F"/>
    <w:rsid w:val="00171A6E"/>
    <w:rsid w:val="00176996"/>
    <w:rsid w:val="001809D7"/>
    <w:rsid w:val="0018320E"/>
    <w:rsid w:val="0018659E"/>
    <w:rsid w:val="001872C4"/>
    <w:rsid w:val="001872DC"/>
    <w:rsid w:val="001939E1"/>
    <w:rsid w:val="001943D6"/>
    <w:rsid w:val="00194C3E"/>
    <w:rsid w:val="00195382"/>
    <w:rsid w:val="00195BD4"/>
    <w:rsid w:val="001B3418"/>
    <w:rsid w:val="001B5E68"/>
    <w:rsid w:val="001C61C5"/>
    <w:rsid w:val="001C69C4"/>
    <w:rsid w:val="001D2337"/>
    <w:rsid w:val="001D37EF"/>
    <w:rsid w:val="001D5FA4"/>
    <w:rsid w:val="001E3590"/>
    <w:rsid w:val="001E42C0"/>
    <w:rsid w:val="001E7407"/>
    <w:rsid w:val="001E77ED"/>
    <w:rsid w:val="001F02B1"/>
    <w:rsid w:val="001F2D76"/>
    <w:rsid w:val="001F4BD2"/>
    <w:rsid w:val="001F5D5E"/>
    <w:rsid w:val="001F6219"/>
    <w:rsid w:val="001F6CD4"/>
    <w:rsid w:val="00202EBA"/>
    <w:rsid w:val="00204A8E"/>
    <w:rsid w:val="00206610"/>
    <w:rsid w:val="00206C4D"/>
    <w:rsid w:val="0021053C"/>
    <w:rsid w:val="002112D9"/>
    <w:rsid w:val="002144F4"/>
    <w:rsid w:val="00215AF1"/>
    <w:rsid w:val="00220A36"/>
    <w:rsid w:val="00222748"/>
    <w:rsid w:val="002321E8"/>
    <w:rsid w:val="00234026"/>
    <w:rsid w:val="00236EEC"/>
    <w:rsid w:val="0024010F"/>
    <w:rsid w:val="00240749"/>
    <w:rsid w:val="00243018"/>
    <w:rsid w:val="00243EC0"/>
    <w:rsid w:val="00244742"/>
    <w:rsid w:val="0024617F"/>
    <w:rsid w:val="0024731D"/>
    <w:rsid w:val="00251337"/>
    <w:rsid w:val="002564A4"/>
    <w:rsid w:val="0026736C"/>
    <w:rsid w:val="002752FC"/>
    <w:rsid w:val="00281308"/>
    <w:rsid w:val="00281813"/>
    <w:rsid w:val="00282941"/>
    <w:rsid w:val="00284719"/>
    <w:rsid w:val="00292314"/>
    <w:rsid w:val="00297ECB"/>
    <w:rsid w:val="002A3298"/>
    <w:rsid w:val="002A44D2"/>
    <w:rsid w:val="002A5F38"/>
    <w:rsid w:val="002A7328"/>
    <w:rsid w:val="002A7BCF"/>
    <w:rsid w:val="002B19F3"/>
    <w:rsid w:val="002B4A0D"/>
    <w:rsid w:val="002B5C51"/>
    <w:rsid w:val="002C7B6F"/>
    <w:rsid w:val="002C7EC3"/>
    <w:rsid w:val="002D043A"/>
    <w:rsid w:val="002D1ECF"/>
    <w:rsid w:val="002D6224"/>
    <w:rsid w:val="002E3F4B"/>
    <w:rsid w:val="002E5C1C"/>
    <w:rsid w:val="00304F8B"/>
    <w:rsid w:val="00305E12"/>
    <w:rsid w:val="003111FA"/>
    <w:rsid w:val="00311716"/>
    <w:rsid w:val="003145FB"/>
    <w:rsid w:val="003279F0"/>
    <w:rsid w:val="00327DDF"/>
    <w:rsid w:val="003334D9"/>
    <w:rsid w:val="00333AC9"/>
    <w:rsid w:val="003354D2"/>
    <w:rsid w:val="00335BC6"/>
    <w:rsid w:val="003415D3"/>
    <w:rsid w:val="00343675"/>
    <w:rsid w:val="00344701"/>
    <w:rsid w:val="00344FE2"/>
    <w:rsid w:val="0035031D"/>
    <w:rsid w:val="003528DA"/>
    <w:rsid w:val="00352B0F"/>
    <w:rsid w:val="00356690"/>
    <w:rsid w:val="003574A0"/>
    <w:rsid w:val="00357DD0"/>
    <w:rsid w:val="00360459"/>
    <w:rsid w:val="00365497"/>
    <w:rsid w:val="003702B7"/>
    <w:rsid w:val="00384575"/>
    <w:rsid w:val="00386C9C"/>
    <w:rsid w:val="00387A96"/>
    <w:rsid w:val="00387DD8"/>
    <w:rsid w:val="003900B1"/>
    <w:rsid w:val="00391C41"/>
    <w:rsid w:val="0039301E"/>
    <w:rsid w:val="00394E99"/>
    <w:rsid w:val="00397A2D"/>
    <w:rsid w:val="00397DBD"/>
    <w:rsid w:val="003A01FA"/>
    <w:rsid w:val="003A2A48"/>
    <w:rsid w:val="003A5F4E"/>
    <w:rsid w:val="003B28C3"/>
    <w:rsid w:val="003B300C"/>
    <w:rsid w:val="003B66BF"/>
    <w:rsid w:val="003B732F"/>
    <w:rsid w:val="003C6231"/>
    <w:rsid w:val="003C78ED"/>
    <w:rsid w:val="003D0BFE"/>
    <w:rsid w:val="003D3400"/>
    <w:rsid w:val="003D5700"/>
    <w:rsid w:val="003E0F16"/>
    <w:rsid w:val="003E0F99"/>
    <w:rsid w:val="003E1166"/>
    <w:rsid w:val="003E341B"/>
    <w:rsid w:val="003F3EFD"/>
    <w:rsid w:val="003F5174"/>
    <w:rsid w:val="0040053F"/>
    <w:rsid w:val="004007A4"/>
    <w:rsid w:val="0040269F"/>
    <w:rsid w:val="00406756"/>
    <w:rsid w:val="004105EE"/>
    <w:rsid w:val="00410D8B"/>
    <w:rsid w:val="004116CD"/>
    <w:rsid w:val="004134EB"/>
    <w:rsid w:val="004144EC"/>
    <w:rsid w:val="00415D19"/>
    <w:rsid w:val="00415E82"/>
    <w:rsid w:val="00417EB9"/>
    <w:rsid w:val="00424CA9"/>
    <w:rsid w:val="004262EB"/>
    <w:rsid w:val="004269BB"/>
    <w:rsid w:val="00431E9B"/>
    <w:rsid w:val="00435CD1"/>
    <w:rsid w:val="00435EEF"/>
    <w:rsid w:val="004379E3"/>
    <w:rsid w:val="0044015E"/>
    <w:rsid w:val="0044291A"/>
    <w:rsid w:val="00444ABD"/>
    <w:rsid w:val="00447DB4"/>
    <w:rsid w:val="0045756B"/>
    <w:rsid w:val="004579BB"/>
    <w:rsid w:val="00460F1D"/>
    <w:rsid w:val="00465DC1"/>
    <w:rsid w:val="00467661"/>
    <w:rsid w:val="00470106"/>
    <w:rsid w:val="004705B7"/>
    <w:rsid w:val="00470CC9"/>
    <w:rsid w:val="00472DBE"/>
    <w:rsid w:val="00474A19"/>
    <w:rsid w:val="00474B52"/>
    <w:rsid w:val="00475C58"/>
    <w:rsid w:val="00477145"/>
    <w:rsid w:val="00481C24"/>
    <w:rsid w:val="004823C0"/>
    <w:rsid w:val="0048276B"/>
    <w:rsid w:val="00487D8C"/>
    <w:rsid w:val="004906B8"/>
    <w:rsid w:val="00496B5F"/>
    <w:rsid w:val="00496F97"/>
    <w:rsid w:val="004A44FC"/>
    <w:rsid w:val="004A5A9F"/>
    <w:rsid w:val="004B0406"/>
    <w:rsid w:val="004B09C3"/>
    <w:rsid w:val="004B5B44"/>
    <w:rsid w:val="004C1471"/>
    <w:rsid w:val="004C186D"/>
    <w:rsid w:val="004C1CB1"/>
    <w:rsid w:val="004C3ED8"/>
    <w:rsid w:val="004C5AFF"/>
    <w:rsid w:val="004D3316"/>
    <w:rsid w:val="004D7E7F"/>
    <w:rsid w:val="004E063A"/>
    <w:rsid w:val="004E4D23"/>
    <w:rsid w:val="004E6DE3"/>
    <w:rsid w:val="004E72FB"/>
    <w:rsid w:val="004E7BEC"/>
    <w:rsid w:val="004F4200"/>
    <w:rsid w:val="0050044F"/>
    <w:rsid w:val="005029C7"/>
    <w:rsid w:val="00505D3D"/>
    <w:rsid w:val="00506AF6"/>
    <w:rsid w:val="00506B11"/>
    <w:rsid w:val="00507335"/>
    <w:rsid w:val="005107CA"/>
    <w:rsid w:val="0051129A"/>
    <w:rsid w:val="00512EEC"/>
    <w:rsid w:val="005144EA"/>
    <w:rsid w:val="005164F6"/>
    <w:rsid w:val="00516B8D"/>
    <w:rsid w:val="00517C32"/>
    <w:rsid w:val="00517E56"/>
    <w:rsid w:val="00521FE7"/>
    <w:rsid w:val="00532049"/>
    <w:rsid w:val="005356A7"/>
    <w:rsid w:val="00536184"/>
    <w:rsid w:val="005361B9"/>
    <w:rsid w:val="00537FBC"/>
    <w:rsid w:val="0054184A"/>
    <w:rsid w:val="00544010"/>
    <w:rsid w:val="005501DF"/>
    <w:rsid w:val="00553B6B"/>
    <w:rsid w:val="005574D1"/>
    <w:rsid w:val="00561ABB"/>
    <w:rsid w:val="005657FE"/>
    <w:rsid w:val="005706BC"/>
    <w:rsid w:val="00572BB1"/>
    <w:rsid w:val="0057670F"/>
    <w:rsid w:val="005836D5"/>
    <w:rsid w:val="00584811"/>
    <w:rsid w:val="00585784"/>
    <w:rsid w:val="00590D67"/>
    <w:rsid w:val="00593AA6"/>
    <w:rsid w:val="00594161"/>
    <w:rsid w:val="00594749"/>
    <w:rsid w:val="00595F70"/>
    <w:rsid w:val="00597BDE"/>
    <w:rsid w:val="00597E8E"/>
    <w:rsid w:val="005A5BD3"/>
    <w:rsid w:val="005A7307"/>
    <w:rsid w:val="005A73B1"/>
    <w:rsid w:val="005B342D"/>
    <w:rsid w:val="005B4067"/>
    <w:rsid w:val="005B780C"/>
    <w:rsid w:val="005B7F67"/>
    <w:rsid w:val="005C3F41"/>
    <w:rsid w:val="005C4063"/>
    <w:rsid w:val="005D0489"/>
    <w:rsid w:val="005D1FEA"/>
    <w:rsid w:val="005D2D09"/>
    <w:rsid w:val="005D3013"/>
    <w:rsid w:val="005D3D41"/>
    <w:rsid w:val="005D40D5"/>
    <w:rsid w:val="005E0203"/>
    <w:rsid w:val="005E4810"/>
    <w:rsid w:val="005E541E"/>
    <w:rsid w:val="005F4140"/>
    <w:rsid w:val="005F65CD"/>
    <w:rsid w:val="00600219"/>
    <w:rsid w:val="00603854"/>
    <w:rsid w:val="00603DC4"/>
    <w:rsid w:val="00607A71"/>
    <w:rsid w:val="006117CB"/>
    <w:rsid w:val="00620076"/>
    <w:rsid w:val="0062181D"/>
    <w:rsid w:val="00621F45"/>
    <w:rsid w:val="00626B48"/>
    <w:rsid w:val="00627C46"/>
    <w:rsid w:val="00634044"/>
    <w:rsid w:val="00635963"/>
    <w:rsid w:val="006370D6"/>
    <w:rsid w:val="0064013B"/>
    <w:rsid w:val="00640161"/>
    <w:rsid w:val="006413E5"/>
    <w:rsid w:val="00652698"/>
    <w:rsid w:val="00652769"/>
    <w:rsid w:val="00653CBB"/>
    <w:rsid w:val="0065542F"/>
    <w:rsid w:val="006554FF"/>
    <w:rsid w:val="0065645B"/>
    <w:rsid w:val="00660FF0"/>
    <w:rsid w:val="006628B1"/>
    <w:rsid w:val="00670EA1"/>
    <w:rsid w:val="00672FEB"/>
    <w:rsid w:val="00677CC2"/>
    <w:rsid w:val="00680993"/>
    <w:rsid w:val="00682C83"/>
    <w:rsid w:val="006862FB"/>
    <w:rsid w:val="00687C78"/>
    <w:rsid w:val="006905DE"/>
    <w:rsid w:val="00691430"/>
    <w:rsid w:val="0069207B"/>
    <w:rsid w:val="00693522"/>
    <w:rsid w:val="00693C89"/>
    <w:rsid w:val="00693F29"/>
    <w:rsid w:val="006A5715"/>
    <w:rsid w:val="006A7EA0"/>
    <w:rsid w:val="006B1B34"/>
    <w:rsid w:val="006B3BFA"/>
    <w:rsid w:val="006B5789"/>
    <w:rsid w:val="006C079C"/>
    <w:rsid w:val="006C30C5"/>
    <w:rsid w:val="006C48FA"/>
    <w:rsid w:val="006C5DA1"/>
    <w:rsid w:val="006C7F8C"/>
    <w:rsid w:val="006D3AAA"/>
    <w:rsid w:val="006D3EE6"/>
    <w:rsid w:val="006D5DC8"/>
    <w:rsid w:val="006E34F5"/>
    <w:rsid w:val="006E5320"/>
    <w:rsid w:val="006E6246"/>
    <w:rsid w:val="006F21B3"/>
    <w:rsid w:val="006F302D"/>
    <w:rsid w:val="006F318F"/>
    <w:rsid w:val="006F4226"/>
    <w:rsid w:val="006F6482"/>
    <w:rsid w:val="006F6B1B"/>
    <w:rsid w:val="0070017E"/>
    <w:rsid w:val="00700977"/>
    <w:rsid w:val="00700B2C"/>
    <w:rsid w:val="007014BB"/>
    <w:rsid w:val="00702EFD"/>
    <w:rsid w:val="007050A2"/>
    <w:rsid w:val="007100B5"/>
    <w:rsid w:val="00713084"/>
    <w:rsid w:val="00713198"/>
    <w:rsid w:val="00713509"/>
    <w:rsid w:val="0071399B"/>
    <w:rsid w:val="00714F20"/>
    <w:rsid w:val="0071590F"/>
    <w:rsid w:val="00715914"/>
    <w:rsid w:val="00725C50"/>
    <w:rsid w:val="00730088"/>
    <w:rsid w:val="00731E00"/>
    <w:rsid w:val="00737BBE"/>
    <w:rsid w:val="00741EE8"/>
    <w:rsid w:val="00743A63"/>
    <w:rsid w:val="007440B7"/>
    <w:rsid w:val="00747BF5"/>
    <w:rsid w:val="007500C8"/>
    <w:rsid w:val="007504D0"/>
    <w:rsid w:val="0075263F"/>
    <w:rsid w:val="00756272"/>
    <w:rsid w:val="0076109C"/>
    <w:rsid w:val="007662B5"/>
    <w:rsid w:val="0076681A"/>
    <w:rsid w:val="007715C9"/>
    <w:rsid w:val="00771613"/>
    <w:rsid w:val="00774EDD"/>
    <w:rsid w:val="0077506D"/>
    <w:rsid w:val="007757EC"/>
    <w:rsid w:val="00781779"/>
    <w:rsid w:val="00783E89"/>
    <w:rsid w:val="007842CE"/>
    <w:rsid w:val="00785118"/>
    <w:rsid w:val="00785A9E"/>
    <w:rsid w:val="00791082"/>
    <w:rsid w:val="0079136A"/>
    <w:rsid w:val="00793877"/>
    <w:rsid w:val="00793915"/>
    <w:rsid w:val="00793CA9"/>
    <w:rsid w:val="007A57EC"/>
    <w:rsid w:val="007B0762"/>
    <w:rsid w:val="007B4C4F"/>
    <w:rsid w:val="007C2253"/>
    <w:rsid w:val="007C715F"/>
    <w:rsid w:val="007D230B"/>
    <w:rsid w:val="007D2E23"/>
    <w:rsid w:val="007D39C1"/>
    <w:rsid w:val="007D6E2A"/>
    <w:rsid w:val="007E163D"/>
    <w:rsid w:val="007E667A"/>
    <w:rsid w:val="007E6905"/>
    <w:rsid w:val="007E7324"/>
    <w:rsid w:val="007F1EEE"/>
    <w:rsid w:val="007F28C9"/>
    <w:rsid w:val="007F3328"/>
    <w:rsid w:val="00802738"/>
    <w:rsid w:val="0080312D"/>
    <w:rsid w:val="00803587"/>
    <w:rsid w:val="0080598E"/>
    <w:rsid w:val="00805A0E"/>
    <w:rsid w:val="008102CB"/>
    <w:rsid w:val="008117E9"/>
    <w:rsid w:val="00824498"/>
    <w:rsid w:val="008319E4"/>
    <w:rsid w:val="00832880"/>
    <w:rsid w:val="008345B0"/>
    <w:rsid w:val="00840442"/>
    <w:rsid w:val="00842238"/>
    <w:rsid w:val="00843321"/>
    <w:rsid w:val="0084364D"/>
    <w:rsid w:val="00852667"/>
    <w:rsid w:val="008527C0"/>
    <w:rsid w:val="00852AD7"/>
    <w:rsid w:val="00856628"/>
    <w:rsid w:val="00856A31"/>
    <w:rsid w:val="00860B58"/>
    <w:rsid w:val="00862814"/>
    <w:rsid w:val="008634AA"/>
    <w:rsid w:val="00863657"/>
    <w:rsid w:val="00867B37"/>
    <w:rsid w:val="008718DD"/>
    <w:rsid w:val="00871C21"/>
    <w:rsid w:val="008725B3"/>
    <w:rsid w:val="008754D0"/>
    <w:rsid w:val="00876805"/>
    <w:rsid w:val="008855C9"/>
    <w:rsid w:val="00886456"/>
    <w:rsid w:val="008945E0"/>
    <w:rsid w:val="00894AC3"/>
    <w:rsid w:val="0089527F"/>
    <w:rsid w:val="008975BF"/>
    <w:rsid w:val="008A2A82"/>
    <w:rsid w:val="008A3200"/>
    <w:rsid w:val="008A362B"/>
    <w:rsid w:val="008A46E1"/>
    <w:rsid w:val="008A4F43"/>
    <w:rsid w:val="008A6233"/>
    <w:rsid w:val="008B2706"/>
    <w:rsid w:val="008C0F29"/>
    <w:rsid w:val="008C2822"/>
    <w:rsid w:val="008D0EE0"/>
    <w:rsid w:val="008D16CD"/>
    <w:rsid w:val="008D3422"/>
    <w:rsid w:val="008E2B6B"/>
    <w:rsid w:val="008E6067"/>
    <w:rsid w:val="008E7A7D"/>
    <w:rsid w:val="008F2EC1"/>
    <w:rsid w:val="008F4498"/>
    <w:rsid w:val="008F54E7"/>
    <w:rsid w:val="008F74C1"/>
    <w:rsid w:val="008F77A0"/>
    <w:rsid w:val="009016BE"/>
    <w:rsid w:val="00903422"/>
    <w:rsid w:val="0090359F"/>
    <w:rsid w:val="00907E10"/>
    <w:rsid w:val="009131A2"/>
    <w:rsid w:val="009157B9"/>
    <w:rsid w:val="00915DF9"/>
    <w:rsid w:val="00921E74"/>
    <w:rsid w:val="00923779"/>
    <w:rsid w:val="00923C63"/>
    <w:rsid w:val="00924AEB"/>
    <w:rsid w:val="009254C3"/>
    <w:rsid w:val="00926940"/>
    <w:rsid w:val="00926CA5"/>
    <w:rsid w:val="009306B4"/>
    <w:rsid w:val="00930A0A"/>
    <w:rsid w:val="00932377"/>
    <w:rsid w:val="009356E3"/>
    <w:rsid w:val="00940103"/>
    <w:rsid w:val="009460DC"/>
    <w:rsid w:val="00946759"/>
    <w:rsid w:val="00947D5A"/>
    <w:rsid w:val="00947F8A"/>
    <w:rsid w:val="009532A5"/>
    <w:rsid w:val="00955175"/>
    <w:rsid w:val="0095528E"/>
    <w:rsid w:val="00961B68"/>
    <w:rsid w:val="009636E2"/>
    <w:rsid w:val="00964910"/>
    <w:rsid w:val="0096705D"/>
    <w:rsid w:val="0096753E"/>
    <w:rsid w:val="009800B2"/>
    <w:rsid w:val="00982242"/>
    <w:rsid w:val="0098224E"/>
    <w:rsid w:val="009868E9"/>
    <w:rsid w:val="009944E6"/>
    <w:rsid w:val="00994B70"/>
    <w:rsid w:val="009A0E46"/>
    <w:rsid w:val="009A3819"/>
    <w:rsid w:val="009A3A6F"/>
    <w:rsid w:val="009A3F74"/>
    <w:rsid w:val="009A49C9"/>
    <w:rsid w:val="009C6462"/>
    <w:rsid w:val="009D1818"/>
    <w:rsid w:val="009D195A"/>
    <w:rsid w:val="009D2F63"/>
    <w:rsid w:val="009E4066"/>
    <w:rsid w:val="009E58AC"/>
    <w:rsid w:val="009E5CFC"/>
    <w:rsid w:val="009F1BBC"/>
    <w:rsid w:val="009F47F5"/>
    <w:rsid w:val="009F6A97"/>
    <w:rsid w:val="00A0228A"/>
    <w:rsid w:val="00A079CB"/>
    <w:rsid w:val="00A11BB8"/>
    <w:rsid w:val="00A12128"/>
    <w:rsid w:val="00A12F48"/>
    <w:rsid w:val="00A15512"/>
    <w:rsid w:val="00A160D8"/>
    <w:rsid w:val="00A22B84"/>
    <w:rsid w:val="00A22C98"/>
    <w:rsid w:val="00A231E2"/>
    <w:rsid w:val="00A26457"/>
    <w:rsid w:val="00A33D55"/>
    <w:rsid w:val="00A34412"/>
    <w:rsid w:val="00A34DD8"/>
    <w:rsid w:val="00A36AD9"/>
    <w:rsid w:val="00A40424"/>
    <w:rsid w:val="00A437B7"/>
    <w:rsid w:val="00A44C99"/>
    <w:rsid w:val="00A5122E"/>
    <w:rsid w:val="00A52B0F"/>
    <w:rsid w:val="00A5632E"/>
    <w:rsid w:val="00A64912"/>
    <w:rsid w:val="00A66560"/>
    <w:rsid w:val="00A67A3E"/>
    <w:rsid w:val="00A70A74"/>
    <w:rsid w:val="00A77E5E"/>
    <w:rsid w:val="00A80B3B"/>
    <w:rsid w:val="00A85241"/>
    <w:rsid w:val="00A85458"/>
    <w:rsid w:val="00A86040"/>
    <w:rsid w:val="00A91966"/>
    <w:rsid w:val="00A92E6E"/>
    <w:rsid w:val="00A95D5D"/>
    <w:rsid w:val="00A96079"/>
    <w:rsid w:val="00AA4A94"/>
    <w:rsid w:val="00AA66AC"/>
    <w:rsid w:val="00AA6DAA"/>
    <w:rsid w:val="00AB1DE8"/>
    <w:rsid w:val="00AB52E0"/>
    <w:rsid w:val="00AB69D9"/>
    <w:rsid w:val="00AC0886"/>
    <w:rsid w:val="00AC4208"/>
    <w:rsid w:val="00AD1F73"/>
    <w:rsid w:val="00AD4836"/>
    <w:rsid w:val="00AD5315"/>
    <w:rsid w:val="00AD5641"/>
    <w:rsid w:val="00AD5D53"/>
    <w:rsid w:val="00AD7889"/>
    <w:rsid w:val="00AE2D6E"/>
    <w:rsid w:val="00AE36B9"/>
    <w:rsid w:val="00AF021B"/>
    <w:rsid w:val="00AF026F"/>
    <w:rsid w:val="00AF06CF"/>
    <w:rsid w:val="00AF4C5C"/>
    <w:rsid w:val="00B041CC"/>
    <w:rsid w:val="00B04305"/>
    <w:rsid w:val="00B06341"/>
    <w:rsid w:val="00B07CDB"/>
    <w:rsid w:val="00B14C2D"/>
    <w:rsid w:val="00B16A31"/>
    <w:rsid w:val="00B16FD2"/>
    <w:rsid w:val="00B172C3"/>
    <w:rsid w:val="00B17DC7"/>
    <w:rsid w:val="00B17DFD"/>
    <w:rsid w:val="00B211EE"/>
    <w:rsid w:val="00B25EAA"/>
    <w:rsid w:val="00B2799D"/>
    <w:rsid w:val="00B3049D"/>
    <w:rsid w:val="00B308FE"/>
    <w:rsid w:val="00B33709"/>
    <w:rsid w:val="00B33B3C"/>
    <w:rsid w:val="00B33BD1"/>
    <w:rsid w:val="00B40209"/>
    <w:rsid w:val="00B436BB"/>
    <w:rsid w:val="00B44085"/>
    <w:rsid w:val="00B50ADC"/>
    <w:rsid w:val="00B566B1"/>
    <w:rsid w:val="00B577C8"/>
    <w:rsid w:val="00B61626"/>
    <w:rsid w:val="00B63834"/>
    <w:rsid w:val="00B63DE0"/>
    <w:rsid w:val="00B648A8"/>
    <w:rsid w:val="00B704E1"/>
    <w:rsid w:val="00B7057C"/>
    <w:rsid w:val="00B72734"/>
    <w:rsid w:val="00B76813"/>
    <w:rsid w:val="00B80199"/>
    <w:rsid w:val="00B81842"/>
    <w:rsid w:val="00B82D81"/>
    <w:rsid w:val="00B83204"/>
    <w:rsid w:val="00B859CB"/>
    <w:rsid w:val="00B85F12"/>
    <w:rsid w:val="00B9126E"/>
    <w:rsid w:val="00B9324F"/>
    <w:rsid w:val="00B944FF"/>
    <w:rsid w:val="00B94ACF"/>
    <w:rsid w:val="00B9638A"/>
    <w:rsid w:val="00B96412"/>
    <w:rsid w:val="00BA0053"/>
    <w:rsid w:val="00BA220B"/>
    <w:rsid w:val="00BA3A57"/>
    <w:rsid w:val="00BA5696"/>
    <w:rsid w:val="00BB355F"/>
    <w:rsid w:val="00BB4E1A"/>
    <w:rsid w:val="00BB5C17"/>
    <w:rsid w:val="00BC015E"/>
    <w:rsid w:val="00BC09C6"/>
    <w:rsid w:val="00BC6A8D"/>
    <w:rsid w:val="00BC7183"/>
    <w:rsid w:val="00BC76AC"/>
    <w:rsid w:val="00BD0ECB"/>
    <w:rsid w:val="00BD5A70"/>
    <w:rsid w:val="00BD7E1F"/>
    <w:rsid w:val="00BD7EEC"/>
    <w:rsid w:val="00BE0134"/>
    <w:rsid w:val="00BE2155"/>
    <w:rsid w:val="00BE2213"/>
    <w:rsid w:val="00BE42EB"/>
    <w:rsid w:val="00BE6EF9"/>
    <w:rsid w:val="00BE719A"/>
    <w:rsid w:val="00BE720A"/>
    <w:rsid w:val="00BF0D73"/>
    <w:rsid w:val="00BF2465"/>
    <w:rsid w:val="00BF2D70"/>
    <w:rsid w:val="00BF725D"/>
    <w:rsid w:val="00BF75C9"/>
    <w:rsid w:val="00C02398"/>
    <w:rsid w:val="00C0544A"/>
    <w:rsid w:val="00C11452"/>
    <w:rsid w:val="00C143E1"/>
    <w:rsid w:val="00C150B3"/>
    <w:rsid w:val="00C25E7F"/>
    <w:rsid w:val="00C2746F"/>
    <w:rsid w:val="00C315FB"/>
    <w:rsid w:val="00C324A0"/>
    <w:rsid w:val="00C3300F"/>
    <w:rsid w:val="00C34E77"/>
    <w:rsid w:val="00C35273"/>
    <w:rsid w:val="00C35875"/>
    <w:rsid w:val="00C35DAF"/>
    <w:rsid w:val="00C4170B"/>
    <w:rsid w:val="00C42BF8"/>
    <w:rsid w:val="00C43D8E"/>
    <w:rsid w:val="00C45171"/>
    <w:rsid w:val="00C50043"/>
    <w:rsid w:val="00C50B97"/>
    <w:rsid w:val="00C54FCC"/>
    <w:rsid w:val="00C56546"/>
    <w:rsid w:val="00C57AD4"/>
    <w:rsid w:val="00C6185B"/>
    <w:rsid w:val="00C6434E"/>
    <w:rsid w:val="00C66591"/>
    <w:rsid w:val="00C70CA8"/>
    <w:rsid w:val="00C7573B"/>
    <w:rsid w:val="00C7689A"/>
    <w:rsid w:val="00C7761F"/>
    <w:rsid w:val="00C801C1"/>
    <w:rsid w:val="00C806B5"/>
    <w:rsid w:val="00C8276B"/>
    <w:rsid w:val="00C86B32"/>
    <w:rsid w:val="00C87967"/>
    <w:rsid w:val="00C93C03"/>
    <w:rsid w:val="00C955BC"/>
    <w:rsid w:val="00C96267"/>
    <w:rsid w:val="00CA6039"/>
    <w:rsid w:val="00CA66DC"/>
    <w:rsid w:val="00CB2C8E"/>
    <w:rsid w:val="00CB3752"/>
    <w:rsid w:val="00CB4049"/>
    <w:rsid w:val="00CB5DB8"/>
    <w:rsid w:val="00CB602E"/>
    <w:rsid w:val="00CB66F5"/>
    <w:rsid w:val="00CB71CA"/>
    <w:rsid w:val="00CB753B"/>
    <w:rsid w:val="00CC4E6A"/>
    <w:rsid w:val="00CD2E90"/>
    <w:rsid w:val="00CD5839"/>
    <w:rsid w:val="00CE051D"/>
    <w:rsid w:val="00CE1335"/>
    <w:rsid w:val="00CE1851"/>
    <w:rsid w:val="00CE3D2A"/>
    <w:rsid w:val="00CE493D"/>
    <w:rsid w:val="00CE541A"/>
    <w:rsid w:val="00CE5E8E"/>
    <w:rsid w:val="00CE6D42"/>
    <w:rsid w:val="00CF07FA"/>
    <w:rsid w:val="00CF0BB2"/>
    <w:rsid w:val="00CF2501"/>
    <w:rsid w:val="00CF3B31"/>
    <w:rsid w:val="00CF3EE8"/>
    <w:rsid w:val="00CF5313"/>
    <w:rsid w:val="00D00941"/>
    <w:rsid w:val="00D00C68"/>
    <w:rsid w:val="00D050E6"/>
    <w:rsid w:val="00D06AA4"/>
    <w:rsid w:val="00D13441"/>
    <w:rsid w:val="00D14957"/>
    <w:rsid w:val="00D150E7"/>
    <w:rsid w:val="00D20A4B"/>
    <w:rsid w:val="00D20BA8"/>
    <w:rsid w:val="00D27CE5"/>
    <w:rsid w:val="00D306F8"/>
    <w:rsid w:val="00D32F65"/>
    <w:rsid w:val="00D341C4"/>
    <w:rsid w:val="00D34A77"/>
    <w:rsid w:val="00D42EC9"/>
    <w:rsid w:val="00D42F51"/>
    <w:rsid w:val="00D45075"/>
    <w:rsid w:val="00D47839"/>
    <w:rsid w:val="00D500E1"/>
    <w:rsid w:val="00D501DD"/>
    <w:rsid w:val="00D52DC2"/>
    <w:rsid w:val="00D53BCC"/>
    <w:rsid w:val="00D544EF"/>
    <w:rsid w:val="00D56ACC"/>
    <w:rsid w:val="00D57FA2"/>
    <w:rsid w:val="00D648BB"/>
    <w:rsid w:val="00D702DE"/>
    <w:rsid w:val="00D70DFB"/>
    <w:rsid w:val="00D732EC"/>
    <w:rsid w:val="00D73C22"/>
    <w:rsid w:val="00D766DF"/>
    <w:rsid w:val="00D76C20"/>
    <w:rsid w:val="00D86A46"/>
    <w:rsid w:val="00DA186E"/>
    <w:rsid w:val="00DA4116"/>
    <w:rsid w:val="00DA4FA3"/>
    <w:rsid w:val="00DB1AC2"/>
    <w:rsid w:val="00DB251C"/>
    <w:rsid w:val="00DB2B0F"/>
    <w:rsid w:val="00DB38AD"/>
    <w:rsid w:val="00DB3B98"/>
    <w:rsid w:val="00DB4630"/>
    <w:rsid w:val="00DB52AC"/>
    <w:rsid w:val="00DC4445"/>
    <w:rsid w:val="00DC4F88"/>
    <w:rsid w:val="00DD4159"/>
    <w:rsid w:val="00DD44B8"/>
    <w:rsid w:val="00DD50CF"/>
    <w:rsid w:val="00DD56AF"/>
    <w:rsid w:val="00DD6CFD"/>
    <w:rsid w:val="00DE0A85"/>
    <w:rsid w:val="00DE3209"/>
    <w:rsid w:val="00DE79F9"/>
    <w:rsid w:val="00DE7E65"/>
    <w:rsid w:val="00DE7EEF"/>
    <w:rsid w:val="00E05088"/>
    <w:rsid w:val="00E05704"/>
    <w:rsid w:val="00E06CC3"/>
    <w:rsid w:val="00E07745"/>
    <w:rsid w:val="00E11E44"/>
    <w:rsid w:val="00E13AFA"/>
    <w:rsid w:val="00E167DE"/>
    <w:rsid w:val="00E2168B"/>
    <w:rsid w:val="00E21F03"/>
    <w:rsid w:val="00E248C2"/>
    <w:rsid w:val="00E338EF"/>
    <w:rsid w:val="00E40FF8"/>
    <w:rsid w:val="00E50573"/>
    <w:rsid w:val="00E544BB"/>
    <w:rsid w:val="00E578EC"/>
    <w:rsid w:val="00E60423"/>
    <w:rsid w:val="00E61953"/>
    <w:rsid w:val="00E649D7"/>
    <w:rsid w:val="00E662CB"/>
    <w:rsid w:val="00E7464E"/>
    <w:rsid w:val="00E74DC7"/>
    <w:rsid w:val="00E80272"/>
    <w:rsid w:val="00E8075A"/>
    <w:rsid w:val="00E818A6"/>
    <w:rsid w:val="00E85633"/>
    <w:rsid w:val="00E85A91"/>
    <w:rsid w:val="00E87718"/>
    <w:rsid w:val="00E94D5E"/>
    <w:rsid w:val="00EA0BF6"/>
    <w:rsid w:val="00EA308B"/>
    <w:rsid w:val="00EA7100"/>
    <w:rsid w:val="00EA7E55"/>
    <w:rsid w:val="00EA7F9F"/>
    <w:rsid w:val="00EB0E70"/>
    <w:rsid w:val="00EB1274"/>
    <w:rsid w:val="00EC2485"/>
    <w:rsid w:val="00EC4757"/>
    <w:rsid w:val="00EC5347"/>
    <w:rsid w:val="00EC7EDB"/>
    <w:rsid w:val="00ED2BB6"/>
    <w:rsid w:val="00ED34E1"/>
    <w:rsid w:val="00ED3B8D"/>
    <w:rsid w:val="00ED7909"/>
    <w:rsid w:val="00EE215E"/>
    <w:rsid w:val="00EE3476"/>
    <w:rsid w:val="00EE431C"/>
    <w:rsid w:val="00EF15D3"/>
    <w:rsid w:val="00EF2E3A"/>
    <w:rsid w:val="00F02EF9"/>
    <w:rsid w:val="00F03BB5"/>
    <w:rsid w:val="00F047D8"/>
    <w:rsid w:val="00F04F78"/>
    <w:rsid w:val="00F05B5E"/>
    <w:rsid w:val="00F072A7"/>
    <w:rsid w:val="00F078DC"/>
    <w:rsid w:val="00F10B9C"/>
    <w:rsid w:val="00F14593"/>
    <w:rsid w:val="00F171A1"/>
    <w:rsid w:val="00F20175"/>
    <w:rsid w:val="00F241EE"/>
    <w:rsid w:val="00F32BA8"/>
    <w:rsid w:val="00F349F1"/>
    <w:rsid w:val="00F41E7E"/>
    <w:rsid w:val="00F4215A"/>
    <w:rsid w:val="00F4350D"/>
    <w:rsid w:val="00F467F3"/>
    <w:rsid w:val="00F50532"/>
    <w:rsid w:val="00F52F28"/>
    <w:rsid w:val="00F567F7"/>
    <w:rsid w:val="00F61B09"/>
    <w:rsid w:val="00F62036"/>
    <w:rsid w:val="00F65B52"/>
    <w:rsid w:val="00F67BCA"/>
    <w:rsid w:val="00F71925"/>
    <w:rsid w:val="00F72EF5"/>
    <w:rsid w:val="00F73BD6"/>
    <w:rsid w:val="00F766AD"/>
    <w:rsid w:val="00F800C9"/>
    <w:rsid w:val="00F808CB"/>
    <w:rsid w:val="00F8264E"/>
    <w:rsid w:val="00F83989"/>
    <w:rsid w:val="00F85099"/>
    <w:rsid w:val="00F9379C"/>
    <w:rsid w:val="00F93F05"/>
    <w:rsid w:val="00F9632C"/>
    <w:rsid w:val="00FA1E52"/>
    <w:rsid w:val="00FA3126"/>
    <w:rsid w:val="00FA31DE"/>
    <w:rsid w:val="00FA77CF"/>
    <w:rsid w:val="00FA7D17"/>
    <w:rsid w:val="00FB6538"/>
    <w:rsid w:val="00FB7AD9"/>
    <w:rsid w:val="00FC2225"/>
    <w:rsid w:val="00FC2CB9"/>
    <w:rsid w:val="00FC3EB8"/>
    <w:rsid w:val="00FC7D25"/>
    <w:rsid w:val="00FD13CC"/>
    <w:rsid w:val="00FD2949"/>
    <w:rsid w:val="00FD3174"/>
    <w:rsid w:val="00FD3B65"/>
    <w:rsid w:val="00FE208F"/>
    <w:rsid w:val="00FE2FB8"/>
    <w:rsid w:val="00FE4688"/>
    <w:rsid w:val="00FE72D6"/>
    <w:rsid w:val="00FE79D0"/>
    <w:rsid w:val="00FF2713"/>
    <w:rsid w:val="00FF5C7D"/>
    <w:rsid w:val="00FF6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628D359"/>
  <w15:chartTrackingRefBased/>
  <w15:docId w15:val="{0F476497-FE3F-40B3-B4E2-C0B02FDF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FootnoteText">
    <w:name w:val="footnote text"/>
    <w:basedOn w:val="Normal"/>
    <w:link w:val="FootnoteTextChar"/>
    <w:semiHidden/>
    <w:qFormat/>
    <w:rsid w:val="00CE5E8E"/>
    <w:pPr>
      <w:spacing w:line="240" w:lineRule="auto"/>
    </w:pPr>
    <w:rPr>
      <w:rFonts w:eastAsia="Times New Roman"/>
      <w:sz w:val="18"/>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FootnoteTextChar">
    <w:name w:val="Footnote Text Char"/>
    <w:link w:val="FootnoteText"/>
    <w:semiHidden/>
    <w:rsid w:val="00CE5E8E"/>
    <w:rPr>
      <w:rFonts w:eastAsia="Times New Roman"/>
      <w:sz w:val="18"/>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styleId="FootnoteReference">
    <w:name w:val="footnote reference"/>
    <w:uiPriority w:val="99"/>
    <w:qFormat/>
    <w:rsid w:val="00CE5E8E"/>
    <w:rPr>
      <w:vertAlign w:val="superscript"/>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8975BF"/>
    <w:pPr>
      <w:ind w:left="720"/>
    </w:pPr>
  </w:style>
  <w:style w:type="paragraph" w:styleId="Revision">
    <w:name w:val="Revision"/>
    <w:hidden/>
    <w:uiPriority w:val="99"/>
    <w:semiHidden/>
    <w:rsid w:val="00FD2949"/>
    <w:rPr>
      <w:sz w:val="22"/>
      <w:lang w:eastAsia="en-US"/>
    </w:rPr>
  </w:style>
  <w:style w:type="character" w:styleId="UnresolvedMention">
    <w:name w:val="Unresolved Mention"/>
    <w:basedOn w:val="DefaultParagraphFont"/>
    <w:uiPriority w:val="99"/>
    <w:semiHidden/>
    <w:unhideWhenUsed/>
    <w:rsid w:val="006B1B34"/>
    <w:rPr>
      <w:color w:val="605E5C"/>
      <w:shd w:val="clear" w:color="auto" w:fill="E1DFDD"/>
    </w:rPr>
  </w:style>
  <w:style w:type="character" w:styleId="FollowedHyperlink">
    <w:name w:val="FollowedHyperlink"/>
    <w:basedOn w:val="DefaultParagraphFont"/>
    <w:uiPriority w:val="99"/>
    <w:semiHidden/>
    <w:unhideWhenUsed/>
    <w:rsid w:val="00275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713701502">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139956357">
      <w:bodyDiv w:val="1"/>
      <w:marLeft w:val="0"/>
      <w:marRight w:val="0"/>
      <w:marTop w:val="0"/>
      <w:marBottom w:val="0"/>
      <w:divBdr>
        <w:top w:val="none" w:sz="0" w:space="0" w:color="auto"/>
        <w:left w:val="none" w:sz="0" w:space="0" w:color="auto"/>
        <w:bottom w:val="none" w:sz="0" w:space="0" w:color="auto"/>
        <w:right w:val="none" w:sz="0" w:space="0" w:color="auto"/>
      </w:divBdr>
      <w:divsChild>
        <w:div w:id="1667322597">
          <w:marLeft w:val="0"/>
          <w:marRight w:val="0"/>
          <w:marTop w:val="0"/>
          <w:marBottom w:val="0"/>
          <w:divBdr>
            <w:top w:val="none" w:sz="0" w:space="0" w:color="auto"/>
            <w:left w:val="none" w:sz="0" w:space="0" w:color="auto"/>
            <w:bottom w:val="none" w:sz="0" w:space="0" w:color="auto"/>
            <w:right w:val="none" w:sz="0" w:space="0" w:color="auto"/>
          </w:divBdr>
          <w:divsChild>
            <w:div w:id="94518172">
              <w:marLeft w:val="0"/>
              <w:marRight w:val="0"/>
              <w:marTop w:val="0"/>
              <w:marBottom w:val="0"/>
              <w:divBdr>
                <w:top w:val="none" w:sz="0" w:space="0" w:color="auto"/>
                <w:left w:val="none" w:sz="0" w:space="0" w:color="auto"/>
                <w:bottom w:val="none" w:sz="0" w:space="0" w:color="auto"/>
                <w:right w:val="none" w:sz="0" w:space="0" w:color="auto"/>
              </w:divBdr>
              <w:divsChild>
                <w:div w:id="1248273124">
                  <w:marLeft w:val="0"/>
                  <w:marRight w:val="0"/>
                  <w:marTop w:val="0"/>
                  <w:marBottom w:val="0"/>
                  <w:divBdr>
                    <w:top w:val="none" w:sz="0" w:space="0" w:color="auto"/>
                    <w:left w:val="none" w:sz="0" w:space="0" w:color="auto"/>
                    <w:bottom w:val="none" w:sz="0" w:space="0" w:color="auto"/>
                    <w:right w:val="none" w:sz="0" w:space="0" w:color="auto"/>
                  </w:divBdr>
                  <w:divsChild>
                    <w:div w:id="1709144508">
                      <w:marLeft w:val="0"/>
                      <w:marRight w:val="0"/>
                      <w:marTop w:val="0"/>
                      <w:marBottom w:val="0"/>
                      <w:divBdr>
                        <w:top w:val="none" w:sz="0" w:space="0" w:color="auto"/>
                        <w:left w:val="none" w:sz="0" w:space="0" w:color="auto"/>
                        <w:bottom w:val="none" w:sz="0" w:space="0" w:color="auto"/>
                        <w:right w:val="none" w:sz="0" w:space="0" w:color="auto"/>
                      </w:divBdr>
                      <w:divsChild>
                        <w:div w:id="231936574">
                          <w:marLeft w:val="0"/>
                          <w:marRight w:val="0"/>
                          <w:marTop w:val="0"/>
                          <w:marBottom w:val="0"/>
                          <w:divBdr>
                            <w:top w:val="none" w:sz="0" w:space="0" w:color="auto"/>
                            <w:left w:val="none" w:sz="0" w:space="0" w:color="auto"/>
                            <w:bottom w:val="none" w:sz="0" w:space="0" w:color="auto"/>
                            <w:right w:val="none" w:sz="0" w:space="0" w:color="auto"/>
                          </w:divBdr>
                        </w:div>
                      </w:divsChild>
                    </w:div>
                    <w:div w:id="1718119170">
                      <w:marLeft w:val="0"/>
                      <w:marRight w:val="0"/>
                      <w:marTop w:val="0"/>
                      <w:marBottom w:val="0"/>
                      <w:divBdr>
                        <w:top w:val="none" w:sz="0" w:space="0" w:color="auto"/>
                        <w:left w:val="none" w:sz="0" w:space="0" w:color="auto"/>
                        <w:bottom w:val="none" w:sz="0" w:space="0" w:color="auto"/>
                        <w:right w:val="none" w:sz="0" w:space="0" w:color="auto"/>
                      </w:divBdr>
                      <w:divsChild>
                        <w:div w:id="1331759421">
                          <w:marLeft w:val="0"/>
                          <w:marRight w:val="0"/>
                          <w:marTop w:val="0"/>
                          <w:marBottom w:val="0"/>
                          <w:divBdr>
                            <w:top w:val="none" w:sz="0" w:space="0" w:color="auto"/>
                            <w:left w:val="none" w:sz="0" w:space="0" w:color="auto"/>
                            <w:bottom w:val="none" w:sz="0" w:space="0" w:color="auto"/>
                            <w:right w:val="none" w:sz="0" w:space="0" w:color="auto"/>
                          </w:divBdr>
                          <w:divsChild>
                            <w:div w:id="787896218">
                              <w:marLeft w:val="0"/>
                              <w:marRight w:val="0"/>
                              <w:marTop w:val="0"/>
                              <w:marBottom w:val="0"/>
                              <w:divBdr>
                                <w:top w:val="none" w:sz="0" w:space="0" w:color="auto"/>
                                <w:left w:val="none" w:sz="0" w:space="0" w:color="auto"/>
                                <w:bottom w:val="none" w:sz="0" w:space="0" w:color="auto"/>
                                <w:right w:val="none" w:sz="0" w:space="0" w:color="auto"/>
                              </w:divBdr>
                              <w:divsChild>
                                <w:div w:id="1459100999">
                                  <w:marLeft w:val="0"/>
                                  <w:marRight w:val="0"/>
                                  <w:marTop w:val="0"/>
                                  <w:marBottom w:val="225"/>
                                  <w:divBdr>
                                    <w:top w:val="none" w:sz="0" w:space="0" w:color="auto"/>
                                    <w:left w:val="none" w:sz="0" w:space="0" w:color="auto"/>
                                    <w:bottom w:val="none" w:sz="0" w:space="0" w:color="auto"/>
                                    <w:right w:val="none" w:sz="0" w:space="0" w:color="auto"/>
                                  </w:divBdr>
                                </w:div>
                              </w:divsChild>
                            </w:div>
                            <w:div w:id="13862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10457">
                      <w:marLeft w:val="0"/>
                      <w:marRight w:val="0"/>
                      <w:marTop w:val="0"/>
                      <w:marBottom w:val="0"/>
                      <w:divBdr>
                        <w:top w:val="none" w:sz="0" w:space="0" w:color="auto"/>
                        <w:left w:val="none" w:sz="0" w:space="0" w:color="auto"/>
                        <w:bottom w:val="none" w:sz="0" w:space="0" w:color="auto"/>
                        <w:right w:val="none" w:sz="0" w:space="0" w:color="auto"/>
                      </w:divBdr>
                      <w:divsChild>
                        <w:div w:id="32196873">
                          <w:marLeft w:val="0"/>
                          <w:marRight w:val="0"/>
                          <w:marTop w:val="0"/>
                          <w:marBottom w:val="0"/>
                          <w:divBdr>
                            <w:top w:val="none" w:sz="0" w:space="0" w:color="auto"/>
                            <w:left w:val="none" w:sz="0" w:space="0" w:color="auto"/>
                            <w:bottom w:val="none" w:sz="0" w:space="0" w:color="auto"/>
                            <w:right w:val="none" w:sz="0" w:space="0" w:color="auto"/>
                          </w:divBdr>
                          <w:divsChild>
                            <w:div w:id="6127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200">
                  <w:marLeft w:val="0"/>
                  <w:marRight w:val="0"/>
                  <w:marTop w:val="0"/>
                  <w:marBottom w:val="0"/>
                  <w:divBdr>
                    <w:top w:val="none" w:sz="0" w:space="0" w:color="auto"/>
                    <w:left w:val="none" w:sz="0" w:space="0" w:color="auto"/>
                    <w:bottom w:val="none" w:sz="0" w:space="0" w:color="auto"/>
                    <w:right w:val="none" w:sz="0" w:space="0" w:color="auto"/>
                  </w:divBdr>
                  <w:divsChild>
                    <w:div w:id="794904754">
                      <w:marLeft w:val="0"/>
                      <w:marRight w:val="0"/>
                      <w:marTop w:val="0"/>
                      <w:marBottom w:val="0"/>
                      <w:divBdr>
                        <w:top w:val="none" w:sz="0" w:space="0" w:color="auto"/>
                        <w:left w:val="none" w:sz="0" w:space="0" w:color="auto"/>
                        <w:bottom w:val="none" w:sz="0" w:space="0" w:color="auto"/>
                        <w:right w:val="none" w:sz="0" w:space="0" w:color="auto"/>
                      </w:divBdr>
                      <w:divsChild>
                        <w:div w:id="73820502">
                          <w:marLeft w:val="0"/>
                          <w:marRight w:val="0"/>
                          <w:marTop w:val="0"/>
                          <w:marBottom w:val="0"/>
                          <w:divBdr>
                            <w:top w:val="none" w:sz="0" w:space="0" w:color="auto"/>
                            <w:left w:val="none" w:sz="0" w:space="0" w:color="auto"/>
                            <w:bottom w:val="none" w:sz="0" w:space="0" w:color="auto"/>
                            <w:right w:val="none" w:sz="0" w:space="0" w:color="auto"/>
                          </w:divBdr>
                          <w:divsChild>
                            <w:div w:id="144591478">
                              <w:marLeft w:val="-4800"/>
                              <w:marRight w:val="0"/>
                              <w:marTop w:val="0"/>
                              <w:marBottom w:val="0"/>
                              <w:divBdr>
                                <w:top w:val="none" w:sz="0" w:space="0" w:color="auto"/>
                                <w:left w:val="none" w:sz="0" w:space="0" w:color="auto"/>
                                <w:bottom w:val="none" w:sz="0" w:space="0" w:color="auto"/>
                                <w:right w:val="none" w:sz="0" w:space="0" w:color="auto"/>
                              </w:divBdr>
                              <w:divsChild>
                                <w:div w:id="1110391562">
                                  <w:marLeft w:val="0"/>
                                  <w:marRight w:val="0"/>
                                  <w:marTop w:val="0"/>
                                  <w:marBottom w:val="0"/>
                                  <w:divBdr>
                                    <w:top w:val="none" w:sz="0" w:space="0" w:color="auto"/>
                                    <w:left w:val="none" w:sz="0" w:space="0" w:color="auto"/>
                                    <w:bottom w:val="none" w:sz="0" w:space="0" w:color="auto"/>
                                    <w:right w:val="none" w:sz="0" w:space="0" w:color="auto"/>
                                  </w:divBdr>
                                </w:div>
                              </w:divsChild>
                            </w:div>
                            <w:div w:id="570431957">
                              <w:marLeft w:val="-4800"/>
                              <w:marRight w:val="0"/>
                              <w:marTop w:val="0"/>
                              <w:marBottom w:val="0"/>
                              <w:divBdr>
                                <w:top w:val="none" w:sz="0" w:space="0" w:color="auto"/>
                                <w:left w:val="none" w:sz="0" w:space="0" w:color="auto"/>
                                <w:bottom w:val="none" w:sz="0" w:space="0" w:color="auto"/>
                                <w:right w:val="none" w:sz="0" w:space="0" w:color="auto"/>
                              </w:divBdr>
                              <w:divsChild>
                                <w:div w:id="2006936584">
                                  <w:marLeft w:val="0"/>
                                  <w:marRight w:val="0"/>
                                  <w:marTop w:val="0"/>
                                  <w:marBottom w:val="0"/>
                                  <w:divBdr>
                                    <w:top w:val="none" w:sz="0" w:space="0" w:color="auto"/>
                                    <w:left w:val="none" w:sz="0" w:space="0" w:color="auto"/>
                                    <w:bottom w:val="none" w:sz="0" w:space="0" w:color="auto"/>
                                    <w:right w:val="none" w:sz="0" w:space="0" w:color="auto"/>
                                  </w:divBdr>
                                </w:div>
                              </w:divsChild>
                            </w:div>
                            <w:div w:id="1290555537">
                              <w:marLeft w:val="-4800"/>
                              <w:marRight w:val="0"/>
                              <w:marTop w:val="0"/>
                              <w:marBottom w:val="0"/>
                              <w:divBdr>
                                <w:top w:val="none" w:sz="0" w:space="0" w:color="auto"/>
                                <w:left w:val="none" w:sz="0" w:space="0" w:color="auto"/>
                                <w:bottom w:val="none" w:sz="0" w:space="0" w:color="auto"/>
                                <w:right w:val="none" w:sz="0" w:space="0" w:color="auto"/>
                              </w:divBdr>
                              <w:divsChild>
                                <w:div w:id="665524001">
                                  <w:marLeft w:val="0"/>
                                  <w:marRight w:val="0"/>
                                  <w:marTop w:val="0"/>
                                  <w:marBottom w:val="0"/>
                                  <w:divBdr>
                                    <w:top w:val="none" w:sz="0" w:space="0" w:color="auto"/>
                                    <w:left w:val="none" w:sz="0" w:space="0" w:color="auto"/>
                                    <w:bottom w:val="none" w:sz="0" w:space="0" w:color="auto"/>
                                    <w:right w:val="none" w:sz="0" w:space="0" w:color="auto"/>
                                  </w:divBdr>
                                </w:div>
                              </w:divsChild>
                            </w:div>
                            <w:div w:id="1530483200">
                              <w:marLeft w:val="-4800"/>
                              <w:marRight w:val="0"/>
                              <w:marTop w:val="0"/>
                              <w:marBottom w:val="0"/>
                              <w:divBdr>
                                <w:top w:val="none" w:sz="0" w:space="0" w:color="auto"/>
                                <w:left w:val="none" w:sz="0" w:space="0" w:color="auto"/>
                                <w:bottom w:val="none" w:sz="0" w:space="0" w:color="auto"/>
                                <w:right w:val="none" w:sz="0" w:space="0" w:color="auto"/>
                              </w:divBdr>
                              <w:divsChild>
                                <w:div w:id="1068646927">
                                  <w:marLeft w:val="0"/>
                                  <w:marRight w:val="0"/>
                                  <w:marTop w:val="0"/>
                                  <w:marBottom w:val="0"/>
                                  <w:divBdr>
                                    <w:top w:val="none" w:sz="0" w:space="0" w:color="auto"/>
                                    <w:left w:val="none" w:sz="0" w:space="0" w:color="auto"/>
                                    <w:bottom w:val="none" w:sz="0" w:space="0" w:color="auto"/>
                                    <w:right w:val="none" w:sz="0" w:space="0" w:color="auto"/>
                                  </w:divBdr>
                                </w:div>
                              </w:divsChild>
                            </w:div>
                            <w:div w:id="2079160697">
                              <w:marLeft w:val="-4800"/>
                              <w:marRight w:val="0"/>
                              <w:marTop w:val="0"/>
                              <w:marBottom w:val="0"/>
                              <w:divBdr>
                                <w:top w:val="none" w:sz="0" w:space="0" w:color="auto"/>
                                <w:left w:val="none" w:sz="0" w:space="0" w:color="auto"/>
                                <w:bottom w:val="none" w:sz="0" w:space="0" w:color="auto"/>
                                <w:right w:val="none" w:sz="0" w:space="0" w:color="auto"/>
                              </w:divBdr>
                              <w:divsChild>
                                <w:div w:id="2049450670">
                                  <w:marLeft w:val="0"/>
                                  <w:marRight w:val="0"/>
                                  <w:marTop w:val="0"/>
                                  <w:marBottom w:val="0"/>
                                  <w:divBdr>
                                    <w:top w:val="none" w:sz="0" w:space="0" w:color="auto"/>
                                    <w:left w:val="none" w:sz="0" w:space="0" w:color="auto"/>
                                    <w:bottom w:val="none" w:sz="0" w:space="0" w:color="auto"/>
                                    <w:right w:val="none" w:sz="0" w:space="0" w:color="auto"/>
                                  </w:divBdr>
                                </w:div>
                              </w:divsChild>
                            </w:div>
                            <w:div w:id="2130783897">
                              <w:marLeft w:val="-4800"/>
                              <w:marRight w:val="0"/>
                              <w:marTop w:val="0"/>
                              <w:marBottom w:val="0"/>
                              <w:divBdr>
                                <w:top w:val="none" w:sz="0" w:space="0" w:color="auto"/>
                                <w:left w:val="none" w:sz="0" w:space="0" w:color="auto"/>
                                <w:bottom w:val="none" w:sz="0" w:space="0" w:color="auto"/>
                                <w:right w:val="none" w:sz="0" w:space="0" w:color="auto"/>
                              </w:divBdr>
                              <w:divsChild>
                                <w:div w:id="19110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74930887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896551861">
      <w:bodyDiv w:val="1"/>
      <w:marLeft w:val="0"/>
      <w:marRight w:val="0"/>
      <w:marTop w:val="0"/>
      <w:marBottom w:val="0"/>
      <w:divBdr>
        <w:top w:val="none" w:sz="0" w:space="0" w:color="auto"/>
        <w:left w:val="none" w:sz="0" w:space="0" w:color="auto"/>
        <w:bottom w:val="none" w:sz="0" w:space="0" w:color="auto"/>
        <w:right w:val="none" w:sz="0" w:space="0" w:color="auto"/>
      </w:divBdr>
      <w:divsChild>
        <w:div w:id="697893858">
          <w:marLeft w:val="0"/>
          <w:marRight w:val="0"/>
          <w:marTop w:val="0"/>
          <w:marBottom w:val="0"/>
          <w:divBdr>
            <w:top w:val="none" w:sz="0" w:space="0" w:color="auto"/>
            <w:left w:val="none" w:sz="0" w:space="0" w:color="auto"/>
            <w:bottom w:val="none" w:sz="0" w:space="0" w:color="auto"/>
            <w:right w:val="none" w:sz="0" w:space="0" w:color="auto"/>
          </w:divBdr>
          <w:divsChild>
            <w:div w:id="1946496161">
              <w:marLeft w:val="0"/>
              <w:marRight w:val="0"/>
              <w:marTop w:val="0"/>
              <w:marBottom w:val="0"/>
              <w:divBdr>
                <w:top w:val="none" w:sz="0" w:space="0" w:color="auto"/>
                <w:left w:val="none" w:sz="0" w:space="0" w:color="auto"/>
                <w:bottom w:val="none" w:sz="0" w:space="0" w:color="auto"/>
                <w:right w:val="none" w:sz="0" w:space="0" w:color="auto"/>
              </w:divBdr>
              <w:divsChild>
                <w:div w:id="1698457817">
                  <w:marLeft w:val="0"/>
                  <w:marRight w:val="0"/>
                  <w:marTop w:val="0"/>
                  <w:marBottom w:val="0"/>
                  <w:divBdr>
                    <w:top w:val="none" w:sz="0" w:space="0" w:color="auto"/>
                    <w:left w:val="none" w:sz="0" w:space="0" w:color="auto"/>
                    <w:bottom w:val="none" w:sz="0" w:space="0" w:color="auto"/>
                    <w:right w:val="none" w:sz="0" w:space="0" w:color="auto"/>
                  </w:divBdr>
                  <w:divsChild>
                    <w:div w:id="2003968709">
                      <w:marLeft w:val="-150"/>
                      <w:marRight w:val="-150"/>
                      <w:marTop w:val="0"/>
                      <w:marBottom w:val="0"/>
                      <w:divBdr>
                        <w:top w:val="none" w:sz="0" w:space="0" w:color="auto"/>
                        <w:left w:val="none" w:sz="0" w:space="0" w:color="auto"/>
                        <w:bottom w:val="none" w:sz="0" w:space="0" w:color="auto"/>
                        <w:right w:val="none" w:sz="0" w:space="0" w:color="auto"/>
                      </w:divBdr>
                      <w:divsChild>
                        <w:div w:id="1163743014">
                          <w:marLeft w:val="0"/>
                          <w:marRight w:val="0"/>
                          <w:marTop w:val="0"/>
                          <w:marBottom w:val="0"/>
                          <w:divBdr>
                            <w:top w:val="none" w:sz="0" w:space="0" w:color="auto"/>
                            <w:left w:val="none" w:sz="0" w:space="0" w:color="auto"/>
                            <w:bottom w:val="none" w:sz="0" w:space="0" w:color="auto"/>
                            <w:right w:val="none" w:sz="0" w:space="0" w:color="auto"/>
                          </w:divBdr>
                          <w:divsChild>
                            <w:div w:id="578684500">
                              <w:marLeft w:val="0"/>
                              <w:marRight w:val="0"/>
                              <w:marTop w:val="0"/>
                              <w:marBottom w:val="0"/>
                              <w:divBdr>
                                <w:top w:val="none" w:sz="0" w:space="0" w:color="auto"/>
                                <w:left w:val="none" w:sz="0" w:space="0" w:color="auto"/>
                                <w:bottom w:val="none" w:sz="0" w:space="0" w:color="auto"/>
                                <w:right w:val="none" w:sz="0" w:space="0" w:color="auto"/>
                              </w:divBdr>
                              <w:divsChild>
                                <w:div w:id="1015618950">
                                  <w:marLeft w:val="0"/>
                                  <w:marRight w:val="0"/>
                                  <w:marTop w:val="0"/>
                                  <w:marBottom w:val="300"/>
                                  <w:divBdr>
                                    <w:top w:val="none" w:sz="0" w:space="0" w:color="auto"/>
                                    <w:left w:val="none" w:sz="0" w:space="0" w:color="auto"/>
                                    <w:bottom w:val="none" w:sz="0" w:space="0" w:color="auto"/>
                                    <w:right w:val="none" w:sz="0" w:space="0" w:color="auto"/>
                                  </w:divBdr>
                                  <w:divsChild>
                                    <w:div w:id="1929777161">
                                      <w:marLeft w:val="0"/>
                                      <w:marRight w:val="0"/>
                                      <w:marTop w:val="0"/>
                                      <w:marBottom w:val="0"/>
                                      <w:divBdr>
                                        <w:top w:val="none" w:sz="0" w:space="0" w:color="auto"/>
                                        <w:left w:val="none" w:sz="0" w:space="0" w:color="auto"/>
                                        <w:bottom w:val="none" w:sz="0" w:space="0" w:color="auto"/>
                                        <w:right w:val="none" w:sz="0" w:space="0" w:color="auto"/>
                                      </w:divBdr>
                                      <w:divsChild>
                                        <w:div w:id="1163741556">
                                          <w:marLeft w:val="0"/>
                                          <w:marRight w:val="0"/>
                                          <w:marTop w:val="0"/>
                                          <w:marBottom w:val="0"/>
                                          <w:divBdr>
                                            <w:top w:val="none" w:sz="0" w:space="0" w:color="auto"/>
                                            <w:left w:val="none" w:sz="0" w:space="0" w:color="auto"/>
                                            <w:bottom w:val="none" w:sz="0" w:space="0" w:color="auto"/>
                                            <w:right w:val="none" w:sz="0" w:space="0" w:color="auto"/>
                                          </w:divBdr>
                                          <w:divsChild>
                                            <w:div w:id="1038626938">
                                              <w:marLeft w:val="0"/>
                                              <w:marRight w:val="0"/>
                                              <w:marTop w:val="0"/>
                                              <w:marBottom w:val="0"/>
                                              <w:divBdr>
                                                <w:top w:val="none" w:sz="0" w:space="0" w:color="auto"/>
                                                <w:left w:val="none" w:sz="0" w:space="0" w:color="auto"/>
                                                <w:bottom w:val="none" w:sz="0" w:space="0" w:color="auto"/>
                                                <w:right w:val="none" w:sz="0" w:space="0" w:color="auto"/>
                                              </w:divBdr>
                                              <w:divsChild>
                                                <w:div w:id="1702436070">
                                                  <w:marLeft w:val="0"/>
                                                  <w:marRight w:val="0"/>
                                                  <w:marTop w:val="0"/>
                                                  <w:marBottom w:val="0"/>
                                                  <w:divBdr>
                                                    <w:top w:val="none" w:sz="0" w:space="0" w:color="auto"/>
                                                    <w:left w:val="none" w:sz="0" w:space="0" w:color="auto"/>
                                                    <w:bottom w:val="none" w:sz="0" w:space="0" w:color="auto"/>
                                                    <w:right w:val="none" w:sz="0" w:space="0" w:color="auto"/>
                                                  </w:divBdr>
                                                  <w:divsChild>
                                                    <w:div w:id="1077169410">
                                                      <w:marLeft w:val="0"/>
                                                      <w:marRight w:val="0"/>
                                                      <w:marTop w:val="0"/>
                                                      <w:marBottom w:val="0"/>
                                                      <w:divBdr>
                                                        <w:top w:val="none" w:sz="0" w:space="0" w:color="auto"/>
                                                        <w:left w:val="none" w:sz="0" w:space="0" w:color="auto"/>
                                                        <w:bottom w:val="none" w:sz="0" w:space="0" w:color="auto"/>
                                                        <w:right w:val="none" w:sz="0" w:space="0" w:color="auto"/>
                                                      </w:divBdr>
                                                      <w:divsChild>
                                                        <w:div w:id="1123841377">
                                                          <w:marLeft w:val="0"/>
                                                          <w:marRight w:val="0"/>
                                                          <w:marTop w:val="0"/>
                                                          <w:marBottom w:val="0"/>
                                                          <w:divBdr>
                                                            <w:top w:val="none" w:sz="0" w:space="0" w:color="auto"/>
                                                            <w:left w:val="none" w:sz="0" w:space="0" w:color="auto"/>
                                                            <w:bottom w:val="none" w:sz="0" w:space="0" w:color="auto"/>
                                                            <w:right w:val="none" w:sz="0" w:space="0" w:color="auto"/>
                                                          </w:divBdr>
                                                          <w:divsChild>
                                                            <w:div w:id="11478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R20200000539831</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beb4cffa-a87e-476d-882d-4d3866992d4f">
      <Value>9</Value>
    </TaxCatchAll>
    <bdf3bab5a81c426f8b5cbfa0265a271c xmlns="beb4cffa-a87e-476d-882d-4d3866992d4f">
      <Terms xmlns="http://schemas.microsoft.com/office/infopath/2007/PartnerControls"/>
    </bdf3bab5a81c426f8b5cbfa0265a271c>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o4e27953845640a0bff56e76153fbe6a>
    <h347d40a5eb44329a0cf7599459f5873 xmlns="da7a9ac0-bc47-4684-84e6-3a8e9ac80c12"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429161a6c9bdf70455d2f57fc6ec57a5">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0458738c9aa22d3fcb2b8bb528c84185"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1;#OFFICIAL - Sensitive|6eccc17f-024b-41b0-b6b1-faf98d2aff85"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E0D1-C2BE-43B9-BF31-D8BFB195F685}">
  <ds:schemaRefs>
    <ds:schemaRef ds:uri="http://schemas.microsoft.com/sharepoint/v3/contenttype/forms"/>
  </ds:schemaRefs>
</ds:datastoreItem>
</file>

<file path=customXml/itemProps2.xml><?xml version="1.0" encoding="utf-8"?>
<ds:datastoreItem xmlns:ds="http://schemas.openxmlformats.org/officeDocument/2006/customXml" ds:itemID="{29E63A44-5583-4C25-B1C3-850E115667DF}">
  <ds:schemaRefs>
    <ds:schemaRef ds:uri="http://purl.org/dc/elements/1.1/"/>
    <ds:schemaRef ds:uri="17f478ab-373e-4295-9ff0-9b833ad01319"/>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sharepoint/v4"/>
    <ds:schemaRef ds:uri="beb4cffa-a87e-476d-882d-4d3866992d4f"/>
    <ds:schemaRef ds:uri="da7a9ac0-bc47-4684-84e6-3a8e9ac80c12"/>
    <ds:schemaRef ds:uri="http://purl.org/dc/terms/"/>
  </ds:schemaRefs>
</ds:datastoreItem>
</file>

<file path=customXml/itemProps3.xml><?xml version="1.0" encoding="utf-8"?>
<ds:datastoreItem xmlns:ds="http://schemas.openxmlformats.org/officeDocument/2006/customXml" ds:itemID="{8EFE5313-4666-4E64-A364-75498D898253}">
  <ds:schemaRefs>
    <ds:schemaRef ds:uri="http://schemas.microsoft.com/office/2006/metadata/longProperties"/>
  </ds:schemaRefs>
</ds:datastoreItem>
</file>

<file path=customXml/itemProps4.xml><?xml version="1.0" encoding="utf-8"?>
<ds:datastoreItem xmlns:ds="http://schemas.openxmlformats.org/officeDocument/2006/customXml" ds:itemID="{6277821E-5246-4080-A5A6-223E084E7AAE}">
  <ds:schemaRefs>
    <ds:schemaRef ds:uri="http://schemas.microsoft.com/sharepoint/v3/contenttype/forms"/>
  </ds:schemaRefs>
</ds:datastoreItem>
</file>

<file path=customXml/itemProps5.xml><?xml version="1.0" encoding="utf-8"?>
<ds:datastoreItem xmlns:ds="http://schemas.openxmlformats.org/officeDocument/2006/customXml" ds:itemID="{5AD0F03F-CF85-4D33-9407-1868614712D5}">
  <ds:schemaRefs>
    <ds:schemaRef ds:uri="http://schemas.microsoft.com/office/2006/metadata/longProperties"/>
  </ds:schemaRefs>
</ds:datastoreItem>
</file>

<file path=customXml/itemProps6.xml><?xml version="1.0" encoding="utf-8"?>
<ds:datastoreItem xmlns:ds="http://schemas.openxmlformats.org/officeDocument/2006/customXml" ds:itemID="{2BFE89C0-5ECC-4800-9B82-12E2F6A1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beb4cffa-a87e-476d-882d-4d3866992d4f"/>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FD535C-DED1-4EA0-BA02-AD133E2F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Pages>
  <Words>3208</Words>
  <Characters>18288</Characters>
  <Application>Microsoft Office Word</Application>
  <DocSecurity>0</DocSecurity>
  <PresentationFormat/>
  <Lines>152</Lines>
  <Paragraphs>42</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21454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Ann-Maree.Cahill</dc:creator>
  <cp:keywords/>
  <cp:lastModifiedBy>Craig McBurnie</cp:lastModifiedBy>
  <cp:revision>2</cp:revision>
  <cp:lastPrinted>2019-01-03T02:56:00Z</cp:lastPrinted>
  <dcterms:created xsi:type="dcterms:W3CDTF">2020-09-27T23:47:00Z</dcterms:created>
  <dcterms:modified xsi:type="dcterms:W3CDTF">2020-09-27T23:47:00Z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{17c60cf1-008c-4115-82e5-e12b1392a9ba}</vt:lpwstr>
  </property>
  <property fmtid="{D5CDD505-2E9C-101B-9397-08002B2CF9AE}" pid="41" name="RecordPoint_ActiveItemListId">
    <vt:lpwstr>{eff5351a-b648-4586-ad2b-124cbe458711}</vt:lpwstr>
  </property>
  <property fmtid="{D5CDD505-2E9C-101B-9397-08002B2CF9AE}" pid="42" name="RecordPoint_ActiveItemUniqueId">
    <vt:lpwstr>{204ab559-6669-42aa-996b-17aa4850c8b5}</vt:lpwstr>
  </property>
  <property fmtid="{D5CDD505-2E9C-101B-9397-08002B2CF9AE}" pid="43" name="RecordPoint_ActiveItemWebId">
    <vt:lpwstr>{beb4cffa-a87e-476d-882d-4d3866992d4f}</vt:lpwstr>
  </property>
  <property fmtid="{D5CDD505-2E9C-101B-9397-08002B2CF9AE}" pid="44" name="RecordPoint_SubmissionCompleted">
    <vt:lpwstr>2020-09-25T06:16:35.2368375+10:00</vt:lpwstr>
  </property>
  <property fmtid="{D5CDD505-2E9C-101B-9397-08002B2CF9AE}" pid="45" name="RecordPoint_RecordNumberSubmitted">
    <vt:lpwstr>R20200000539831</vt:lpwstr>
  </property>
  <property fmtid="{D5CDD505-2E9C-101B-9397-08002B2CF9AE}" pid="46" name="SecurityClassification">
    <vt:lpwstr>9;#OFFICIAL - Sensitive|6eccc17f-024b-41b0-b6b1-faf98d2aff85</vt:lpwstr>
  </property>
  <property fmtid="{D5CDD505-2E9C-101B-9397-08002B2CF9AE}" pid="47" name="Order">
    <vt:lpwstr>71900.0000000000</vt:lpwstr>
  </property>
  <property fmtid="{D5CDD505-2E9C-101B-9397-08002B2CF9AE}" pid="48" name="RecordPoint_SubmissionDate">
    <vt:lpwstr/>
  </property>
  <property fmtid="{D5CDD505-2E9C-101B-9397-08002B2CF9AE}" pid="49" name="RecordPoint_RecordFormat">
    <vt:lpwstr/>
  </property>
  <property fmtid="{D5CDD505-2E9C-101B-9397-08002B2CF9AE}" pid="50" name="RecordPoint_ActiveItemMoved">
    <vt:lpwstr/>
  </property>
  <property fmtid="{D5CDD505-2E9C-101B-9397-08002B2CF9AE}" pid="51" name="ContentTypeId">
    <vt:lpwstr>0x010100B5F685A1365F544391EF8C813B164F3A82009F3E422DF83A794B8899A9A539F2255A</vt:lpwstr>
  </property>
  <property fmtid="{D5CDD505-2E9C-101B-9397-08002B2CF9AE}" pid="52" name="PolicyWorkDocumentType">
    <vt:lpwstr/>
  </property>
</Properties>
</file>