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C2D76" w14:textId="77777777" w:rsidR="00B71663" w:rsidRPr="00DD2453" w:rsidRDefault="00B71663" w:rsidP="00B71663">
      <w:pPr>
        <w:rPr>
          <w:sz w:val="28"/>
        </w:rPr>
      </w:pPr>
      <w:bookmarkStart w:id="0" w:name="_Toc406161780"/>
      <w:r w:rsidRPr="00DD2453">
        <w:rPr>
          <w:noProof/>
          <w:lang w:eastAsia="en-AU"/>
        </w:rPr>
        <w:drawing>
          <wp:inline distT="0" distB="0" distL="0" distR="0" wp14:anchorId="493C2FA8" wp14:editId="493C2FA9">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93C2D77" w14:textId="77777777" w:rsidR="00B71663" w:rsidRPr="00DD2453" w:rsidRDefault="00B71663" w:rsidP="00B71663">
      <w:pPr>
        <w:rPr>
          <w:sz w:val="19"/>
        </w:rPr>
      </w:pPr>
    </w:p>
    <w:p w14:paraId="493C2D78" w14:textId="77777777" w:rsidR="00B71663" w:rsidRPr="00DD2453" w:rsidRDefault="00B71663" w:rsidP="00B71663">
      <w:pPr>
        <w:pStyle w:val="ShortT"/>
        <w:keepNext/>
        <w:keepLines/>
      </w:pPr>
      <w:bookmarkStart w:id="1" w:name="_GoBack"/>
      <w:r w:rsidRPr="00DD2453">
        <w:t>National Greenhouse and Energy Reporting (Safeguard Mechanism) Amendment (</w:t>
      </w:r>
      <w:r w:rsidR="00347C4B">
        <w:t xml:space="preserve">Additional </w:t>
      </w:r>
      <w:r w:rsidRPr="00DD2453">
        <w:t>Prescribed Production Variables) Rule 2020</w:t>
      </w:r>
    </w:p>
    <w:bookmarkEnd w:id="1"/>
    <w:p w14:paraId="493C2D79" w14:textId="77777777" w:rsidR="00B71663" w:rsidRPr="00DD2453" w:rsidRDefault="00B71663" w:rsidP="00B71663">
      <w:pPr>
        <w:pStyle w:val="SignCoverPageStart"/>
        <w:rPr>
          <w:szCs w:val="22"/>
        </w:rPr>
      </w:pPr>
      <w:r w:rsidRPr="00DD2453">
        <w:rPr>
          <w:szCs w:val="22"/>
        </w:rPr>
        <w:t>I, Angus Taylor, Minister for Energy and Emissions Reduction, make the following instrument.</w:t>
      </w:r>
    </w:p>
    <w:p w14:paraId="493C2D7A" w14:textId="1F12108A" w:rsidR="00B71663" w:rsidRPr="00DD2453" w:rsidRDefault="00B71663" w:rsidP="00B71663">
      <w:pPr>
        <w:keepNext/>
        <w:spacing w:before="300" w:line="240" w:lineRule="atLeast"/>
        <w:ind w:right="397"/>
        <w:jc w:val="both"/>
        <w:rPr>
          <w:szCs w:val="22"/>
        </w:rPr>
      </w:pPr>
      <w:r w:rsidRPr="00DD2453">
        <w:rPr>
          <w:szCs w:val="22"/>
        </w:rPr>
        <w:t>Dated</w:t>
      </w:r>
      <w:r w:rsidRPr="00DD2453">
        <w:rPr>
          <w:szCs w:val="22"/>
        </w:rPr>
        <w:tab/>
      </w:r>
      <w:r w:rsidR="00495B2B">
        <w:rPr>
          <w:szCs w:val="22"/>
        </w:rPr>
        <w:t>29 September 2020</w:t>
      </w:r>
      <w:r w:rsidRPr="00DD2453">
        <w:rPr>
          <w:szCs w:val="22"/>
        </w:rPr>
        <w:tab/>
      </w:r>
    </w:p>
    <w:p w14:paraId="493C2D7B" w14:textId="77777777" w:rsidR="00B71663" w:rsidRPr="00DD2453" w:rsidRDefault="00B71663" w:rsidP="00B71663">
      <w:pPr>
        <w:keepNext/>
        <w:tabs>
          <w:tab w:val="left" w:pos="3402"/>
        </w:tabs>
        <w:spacing w:before="1440" w:line="300" w:lineRule="atLeast"/>
        <w:ind w:right="397"/>
        <w:rPr>
          <w:b/>
          <w:i/>
          <w:szCs w:val="22"/>
        </w:rPr>
      </w:pPr>
      <w:r w:rsidRPr="00DD2453">
        <w:rPr>
          <w:szCs w:val="22"/>
        </w:rPr>
        <w:t xml:space="preserve">Angus Taylor </w:t>
      </w:r>
    </w:p>
    <w:p w14:paraId="493C2D7C" w14:textId="77777777" w:rsidR="00B71663" w:rsidRPr="00DD2453" w:rsidRDefault="00B71663" w:rsidP="00B71663">
      <w:pPr>
        <w:pStyle w:val="SignCoverPageEnd"/>
        <w:rPr>
          <w:szCs w:val="22"/>
        </w:rPr>
      </w:pPr>
      <w:r w:rsidRPr="00DD2453">
        <w:rPr>
          <w:szCs w:val="22"/>
        </w:rPr>
        <w:t xml:space="preserve">Minister for Energy and Emissions Reduction </w:t>
      </w:r>
    </w:p>
    <w:p w14:paraId="493C2D7D" w14:textId="77777777" w:rsidR="00B71663" w:rsidRPr="00DD2453" w:rsidRDefault="00B71663" w:rsidP="00B71663"/>
    <w:p w14:paraId="493C2D7E" w14:textId="77777777" w:rsidR="00B71663" w:rsidRPr="00DD2453" w:rsidRDefault="00B71663" w:rsidP="00B71663"/>
    <w:p w14:paraId="493C2D7F" w14:textId="77777777" w:rsidR="00B71663" w:rsidRPr="00DD2453" w:rsidRDefault="00B71663" w:rsidP="00B71663"/>
    <w:p w14:paraId="493C2D80" w14:textId="77777777" w:rsidR="00B71663" w:rsidRPr="00DD2453" w:rsidRDefault="00B71663" w:rsidP="00B71663">
      <w:pPr>
        <w:pStyle w:val="Header"/>
        <w:tabs>
          <w:tab w:val="clear" w:pos="4150"/>
          <w:tab w:val="clear" w:pos="8307"/>
        </w:tabs>
      </w:pPr>
      <w:r w:rsidRPr="00DD2453">
        <w:rPr>
          <w:rStyle w:val="CharAmSchNo"/>
        </w:rPr>
        <w:t xml:space="preserve"> </w:t>
      </w:r>
      <w:r w:rsidRPr="00DD2453">
        <w:rPr>
          <w:rStyle w:val="CharAmSchText"/>
        </w:rPr>
        <w:t xml:space="preserve"> </w:t>
      </w:r>
    </w:p>
    <w:p w14:paraId="493C2D81" w14:textId="77777777" w:rsidR="00B71663" w:rsidRPr="00DD2453" w:rsidRDefault="00B71663" w:rsidP="00B71663">
      <w:pPr>
        <w:sectPr w:rsidR="00B71663" w:rsidRPr="00DD2453" w:rsidSect="00B71663">
          <w:pgSz w:w="11907" w:h="16839"/>
          <w:pgMar w:top="1440" w:right="1797" w:bottom="1440" w:left="1797" w:header="720" w:footer="709" w:gutter="0"/>
          <w:cols w:space="708"/>
          <w:docGrid w:linePitch="360"/>
        </w:sectPr>
      </w:pPr>
    </w:p>
    <w:p w14:paraId="493C2D82" w14:textId="77777777" w:rsidR="00B71663" w:rsidRPr="00DD2453" w:rsidRDefault="00B71663" w:rsidP="00B71663">
      <w:pPr>
        <w:rPr>
          <w:sz w:val="36"/>
        </w:rPr>
      </w:pPr>
      <w:r w:rsidRPr="00DD2453">
        <w:rPr>
          <w:sz w:val="36"/>
        </w:rPr>
        <w:lastRenderedPageBreak/>
        <w:t>Contents</w:t>
      </w:r>
    </w:p>
    <w:p w14:paraId="493C2D83" w14:textId="77777777" w:rsidR="00B71663" w:rsidRPr="00DD2453" w:rsidRDefault="00B71663" w:rsidP="00B71663">
      <w:pPr>
        <w:pStyle w:val="TOC5"/>
        <w:rPr>
          <w:rFonts w:ascii="Calibri" w:hAnsi="Calibri"/>
          <w:noProof/>
          <w:kern w:val="0"/>
          <w:sz w:val="22"/>
          <w:szCs w:val="22"/>
        </w:rPr>
      </w:pPr>
      <w:r w:rsidRPr="00DD2453">
        <w:rPr>
          <w:noProof/>
        </w:rPr>
        <w:t>1  Name</w:t>
      </w:r>
      <w:r w:rsidRPr="00DD2453">
        <w:rPr>
          <w:noProof/>
        </w:rPr>
        <w:tab/>
      </w:r>
      <w:r w:rsidRPr="00DD2453">
        <w:rPr>
          <w:noProof/>
        </w:rPr>
        <w:tab/>
      </w:r>
      <w:r w:rsidR="00E219B7">
        <w:rPr>
          <w:noProof/>
        </w:rPr>
        <w:t>2</w:t>
      </w:r>
    </w:p>
    <w:p w14:paraId="493C2D84" w14:textId="77777777" w:rsidR="00B71663" w:rsidRPr="00DD2453" w:rsidRDefault="00B71663" w:rsidP="00B71663">
      <w:pPr>
        <w:pStyle w:val="TOC5"/>
        <w:rPr>
          <w:rFonts w:ascii="Calibri" w:hAnsi="Calibri"/>
          <w:noProof/>
          <w:kern w:val="0"/>
          <w:sz w:val="22"/>
          <w:szCs w:val="22"/>
        </w:rPr>
      </w:pPr>
      <w:r w:rsidRPr="00DD2453">
        <w:rPr>
          <w:noProof/>
        </w:rPr>
        <w:t>2  Commencement</w:t>
      </w:r>
      <w:r w:rsidRPr="00DD2453">
        <w:rPr>
          <w:noProof/>
        </w:rPr>
        <w:tab/>
      </w:r>
      <w:r w:rsidR="00E219B7">
        <w:rPr>
          <w:noProof/>
        </w:rPr>
        <w:t>2</w:t>
      </w:r>
    </w:p>
    <w:p w14:paraId="493C2D85" w14:textId="77777777" w:rsidR="00B71663" w:rsidRPr="00DD2453" w:rsidRDefault="00B71663" w:rsidP="00B71663">
      <w:pPr>
        <w:pStyle w:val="TOC5"/>
        <w:rPr>
          <w:rFonts w:ascii="Calibri" w:hAnsi="Calibri"/>
          <w:noProof/>
          <w:kern w:val="0"/>
          <w:sz w:val="22"/>
          <w:szCs w:val="22"/>
        </w:rPr>
      </w:pPr>
      <w:r w:rsidRPr="00DD2453">
        <w:rPr>
          <w:noProof/>
        </w:rPr>
        <w:t>3  Authority</w:t>
      </w:r>
      <w:r w:rsidRPr="00DD2453">
        <w:rPr>
          <w:noProof/>
        </w:rPr>
        <w:tab/>
      </w:r>
      <w:r w:rsidR="00E219B7">
        <w:rPr>
          <w:noProof/>
        </w:rPr>
        <w:t>2</w:t>
      </w:r>
    </w:p>
    <w:p w14:paraId="493C2D86" w14:textId="77777777" w:rsidR="00B71663" w:rsidRPr="00DD2453" w:rsidRDefault="00B71663" w:rsidP="00B71663">
      <w:pPr>
        <w:pStyle w:val="TOC5"/>
        <w:rPr>
          <w:rFonts w:ascii="Calibri" w:hAnsi="Calibri"/>
          <w:noProof/>
          <w:kern w:val="0"/>
          <w:sz w:val="22"/>
          <w:szCs w:val="22"/>
        </w:rPr>
      </w:pPr>
      <w:r w:rsidRPr="00DD2453">
        <w:rPr>
          <w:noProof/>
        </w:rPr>
        <w:t>4  Schedules</w:t>
      </w:r>
      <w:r w:rsidRPr="00DD2453">
        <w:rPr>
          <w:noProof/>
        </w:rPr>
        <w:tab/>
      </w:r>
      <w:r w:rsidR="00E219B7">
        <w:rPr>
          <w:noProof/>
        </w:rPr>
        <w:t>2</w:t>
      </w:r>
    </w:p>
    <w:p w14:paraId="493C2D87" w14:textId="77777777" w:rsidR="00B71663" w:rsidRDefault="00B71663" w:rsidP="00B71663">
      <w:pPr>
        <w:pStyle w:val="TOC6"/>
        <w:rPr>
          <w:noProof/>
        </w:rPr>
      </w:pPr>
      <w:r w:rsidRPr="00DD2453">
        <w:rPr>
          <w:noProof/>
        </w:rPr>
        <w:t>Schedule 1—Amendments</w:t>
      </w:r>
      <w:r w:rsidRPr="00DD2453">
        <w:rPr>
          <w:noProof/>
        </w:rPr>
        <w:tab/>
      </w:r>
      <w:r w:rsidR="00E219B7">
        <w:rPr>
          <w:noProof/>
        </w:rPr>
        <w:t>3</w:t>
      </w:r>
    </w:p>
    <w:p w14:paraId="7F8FCB5E" w14:textId="030CD59F" w:rsidR="00ED35E8" w:rsidRPr="00DD2453" w:rsidRDefault="00ED35E8" w:rsidP="00ED35E8">
      <w:pPr>
        <w:pStyle w:val="TOC6"/>
        <w:rPr>
          <w:rFonts w:ascii="Calibri" w:hAnsi="Calibri"/>
          <w:b w:val="0"/>
          <w:noProof/>
          <w:kern w:val="0"/>
          <w:sz w:val="22"/>
          <w:szCs w:val="22"/>
        </w:rPr>
      </w:pPr>
      <w:r>
        <w:rPr>
          <w:noProof/>
        </w:rPr>
        <w:t>Schedule 2</w:t>
      </w:r>
      <w:r w:rsidRPr="00DD2453">
        <w:rPr>
          <w:noProof/>
        </w:rPr>
        <w:t>—</w:t>
      </w:r>
      <w:r w:rsidRPr="00ED35E8">
        <w:rPr>
          <w:noProof/>
        </w:rPr>
        <w:t>Update to Global Warming Potentials</w:t>
      </w:r>
      <w:r w:rsidRPr="00DD2453">
        <w:rPr>
          <w:noProof/>
        </w:rPr>
        <w:tab/>
      </w:r>
      <w:r>
        <w:rPr>
          <w:noProof/>
        </w:rPr>
        <w:t>2</w:t>
      </w:r>
      <w:r w:rsidR="00882528">
        <w:rPr>
          <w:noProof/>
        </w:rPr>
        <w:t>1</w:t>
      </w:r>
    </w:p>
    <w:p w14:paraId="28D49CCA" w14:textId="77777777" w:rsidR="00ED35E8" w:rsidRPr="00ED35E8" w:rsidRDefault="00ED35E8" w:rsidP="00ED35E8">
      <w:pPr>
        <w:rPr>
          <w:lang w:eastAsia="en-AU"/>
        </w:rPr>
      </w:pPr>
    </w:p>
    <w:p w14:paraId="493C2D88" w14:textId="77777777" w:rsidR="00B71663" w:rsidRPr="00DD2453" w:rsidRDefault="00B71663" w:rsidP="00B71663"/>
    <w:p w14:paraId="493C2D89" w14:textId="4B619F7F" w:rsidR="00F40499" w:rsidRDefault="00F40499" w:rsidP="00B71663"/>
    <w:p w14:paraId="112658B8" w14:textId="77777777" w:rsidR="00F40499" w:rsidRPr="00F40499" w:rsidRDefault="00F40499" w:rsidP="00F40499"/>
    <w:p w14:paraId="637EE6F2" w14:textId="77777777" w:rsidR="00F40499" w:rsidRPr="00F40499" w:rsidRDefault="00F40499" w:rsidP="00F40499"/>
    <w:p w14:paraId="344EBCC5" w14:textId="77777777" w:rsidR="00F40499" w:rsidRPr="00F40499" w:rsidRDefault="00F40499" w:rsidP="00F40499"/>
    <w:p w14:paraId="392772BD" w14:textId="77777777" w:rsidR="00F40499" w:rsidRPr="00F40499" w:rsidRDefault="00F40499" w:rsidP="00F40499"/>
    <w:p w14:paraId="23DC115F" w14:textId="77777777" w:rsidR="00F40499" w:rsidRPr="00F40499" w:rsidRDefault="00F40499" w:rsidP="00F40499"/>
    <w:p w14:paraId="44D4302D" w14:textId="77777777" w:rsidR="00F40499" w:rsidRPr="00F40499" w:rsidRDefault="00F40499" w:rsidP="00F40499"/>
    <w:p w14:paraId="592E293E" w14:textId="77777777" w:rsidR="00F40499" w:rsidRPr="00F40499" w:rsidRDefault="00F40499" w:rsidP="00F40499"/>
    <w:p w14:paraId="6C1AE54A" w14:textId="77777777" w:rsidR="00F40499" w:rsidRPr="00F40499" w:rsidRDefault="00F40499" w:rsidP="00F40499"/>
    <w:p w14:paraId="1D88E465" w14:textId="77777777" w:rsidR="00F40499" w:rsidRPr="00F40499" w:rsidRDefault="00F40499" w:rsidP="00F40499"/>
    <w:p w14:paraId="73BD1A0A" w14:textId="77777777" w:rsidR="00F40499" w:rsidRPr="00F40499" w:rsidRDefault="00F40499" w:rsidP="00F40499"/>
    <w:p w14:paraId="75E86814" w14:textId="77777777" w:rsidR="00F40499" w:rsidRPr="00F40499" w:rsidRDefault="00F40499" w:rsidP="00F40499"/>
    <w:p w14:paraId="0E01CFD4" w14:textId="77777777" w:rsidR="00F40499" w:rsidRPr="00F40499" w:rsidRDefault="00F40499" w:rsidP="00F40499"/>
    <w:p w14:paraId="592ADFE5" w14:textId="77777777" w:rsidR="00F40499" w:rsidRPr="00F40499" w:rsidRDefault="00F40499" w:rsidP="00F40499"/>
    <w:p w14:paraId="06D02FB8" w14:textId="77777777" w:rsidR="00F40499" w:rsidRPr="00F40499" w:rsidRDefault="00F40499" w:rsidP="00F40499"/>
    <w:p w14:paraId="1012B2CB" w14:textId="77777777" w:rsidR="00F40499" w:rsidRPr="00F40499" w:rsidRDefault="00F40499" w:rsidP="00F40499"/>
    <w:p w14:paraId="19FE668E" w14:textId="77777777" w:rsidR="00F40499" w:rsidRPr="00F40499" w:rsidRDefault="00F40499" w:rsidP="00F40499"/>
    <w:p w14:paraId="5759299A" w14:textId="77777777" w:rsidR="00F40499" w:rsidRPr="00F40499" w:rsidRDefault="00F40499" w:rsidP="00F40499"/>
    <w:p w14:paraId="4D6CA684" w14:textId="77777777" w:rsidR="00F40499" w:rsidRPr="00F40499" w:rsidRDefault="00F40499" w:rsidP="00F40499"/>
    <w:p w14:paraId="2A1B4129" w14:textId="77777777" w:rsidR="00F40499" w:rsidRPr="00F40499" w:rsidRDefault="00F40499" w:rsidP="00F40499"/>
    <w:p w14:paraId="6C327A7D" w14:textId="77777777" w:rsidR="00F40499" w:rsidRPr="00F40499" w:rsidRDefault="00F40499" w:rsidP="00F40499"/>
    <w:p w14:paraId="68019EB6" w14:textId="77777777" w:rsidR="00F40499" w:rsidRPr="00F40499" w:rsidRDefault="00F40499" w:rsidP="00F40499"/>
    <w:p w14:paraId="7B30B59B" w14:textId="4F843898" w:rsidR="00F40499" w:rsidRDefault="00F40499" w:rsidP="00F40499">
      <w:pPr>
        <w:tabs>
          <w:tab w:val="left" w:pos="3000"/>
        </w:tabs>
      </w:pPr>
      <w:r>
        <w:tab/>
      </w:r>
    </w:p>
    <w:p w14:paraId="2F883D48" w14:textId="51BCB54D" w:rsidR="00B71663" w:rsidRPr="00F40499" w:rsidRDefault="00F40499" w:rsidP="00F40499">
      <w:pPr>
        <w:tabs>
          <w:tab w:val="left" w:pos="3000"/>
        </w:tabs>
        <w:sectPr w:rsidR="00B71663" w:rsidRPr="00F40499" w:rsidSect="00B71663">
          <w:headerReference w:type="even" r:id="rId12"/>
          <w:headerReference w:type="default" r:id="rId13"/>
          <w:footerReference w:type="even" r:id="rId14"/>
          <w:footerReference w:type="default" r:id="rId15"/>
          <w:headerReference w:type="first" r:id="rId16"/>
          <w:pgSz w:w="11907" w:h="16839"/>
          <w:pgMar w:top="2093" w:right="1797" w:bottom="1440" w:left="1797" w:header="720" w:footer="709" w:gutter="0"/>
          <w:pgNumType w:fmt="lowerRoman" w:start="1"/>
          <w:cols w:space="708"/>
          <w:docGrid w:linePitch="360"/>
        </w:sectPr>
      </w:pPr>
      <w:r>
        <w:tab/>
      </w:r>
    </w:p>
    <w:p w14:paraId="493C2D8A" w14:textId="77777777" w:rsidR="00B71663" w:rsidRPr="00DD2453" w:rsidRDefault="00B71663" w:rsidP="00B71663">
      <w:pPr>
        <w:pStyle w:val="h5Section"/>
      </w:pPr>
      <w:bookmarkStart w:id="2" w:name="_Toc527384078"/>
      <w:r w:rsidRPr="00DD2453">
        <w:rPr>
          <w:rStyle w:val="CharSectno"/>
        </w:rPr>
        <w:lastRenderedPageBreak/>
        <w:t>1</w:t>
      </w:r>
      <w:r w:rsidRPr="00DD2453">
        <w:t xml:space="preserve">  Name</w:t>
      </w:r>
      <w:bookmarkEnd w:id="2"/>
    </w:p>
    <w:p w14:paraId="493C2D8B" w14:textId="77777777" w:rsidR="00B71663" w:rsidRPr="00DD2453" w:rsidRDefault="00B71663" w:rsidP="00B71663">
      <w:pPr>
        <w:pStyle w:val="tMain"/>
      </w:pPr>
      <w:r w:rsidRPr="00DD2453">
        <w:tab/>
      </w:r>
      <w:r w:rsidRPr="00DD2453">
        <w:tab/>
        <w:t xml:space="preserve">This instrument is the </w:t>
      </w:r>
      <w:r w:rsidRPr="00DD2453">
        <w:rPr>
          <w:i/>
        </w:rPr>
        <w:t>National Greenhouse and Energy Reporting (Safeguard Mechanism) Amendment (</w:t>
      </w:r>
      <w:r w:rsidR="00347C4B">
        <w:rPr>
          <w:i/>
        </w:rPr>
        <w:t xml:space="preserve">Additional </w:t>
      </w:r>
      <w:r w:rsidRPr="00DD2453">
        <w:rPr>
          <w:i/>
        </w:rPr>
        <w:t>Prescribed Production Variables) Rule 2020</w:t>
      </w:r>
      <w:r w:rsidRPr="00DD2453">
        <w:t>.</w:t>
      </w:r>
    </w:p>
    <w:p w14:paraId="493C2D8C" w14:textId="77777777" w:rsidR="00B71663" w:rsidRPr="00DD2453" w:rsidRDefault="00B71663" w:rsidP="00B71663">
      <w:pPr>
        <w:pStyle w:val="h5Section"/>
      </w:pPr>
      <w:bookmarkStart w:id="3" w:name="_Toc527384079"/>
      <w:r w:rsidRPr="00DD2453">
        <w:rPr>
          <w:rStyle w:val="CharSectno"/>
        </w:rPr>
        <w:t>2</w:t>
      </w:r>
      <w:r w:rsidRPr="00DD2453">
        <w:t xml:space="preserve">  Commencement</w:t>
      </w:r>
      <w:bookmarkEnd w:id="3"/>
    </w:p>
    <w:p w14:paraId="493C2D8D" w14:textId="77777777" w:rsidR="00B71663" w:rsidRPr="00DD2453" w:rsidRDefault="00B71663" w:rsidP="00B71663">
      <w:pPr>
        <w:pStyle w:val="tMain"/>
      </w:pPr>
      <w:r w:rsidRPr="00DD2453">
        <w:tab/>
        <w:t>(1)</w:t>
      </w:r>
      <w:r w:rsidRPr="00DD2453">
        <w:tab/>
        <w:t>Each provision of this instrument specified in column 1 of the table commences, or is taken to have commenced, in accordance with column 2 of the table. Any other statement in column 2 has effect according to its terms.</w:t>
      </w:r>
    </w:p>
    <w:p w14:paraId="493C2D8E" w14:textId="77777777" w:rsidR="00B71663" w:rsidRPr="00DD2453" w:rsidRDefault="00B71663" w:rsidP="00B7166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D32349" w:rsidRPr="00DD2453" w14:paraId="493C2D90" w14:textId="77777777" w:rsidTr="00B71663">
        <w:trPr>
          <w:tblHeader/>
        </w:trPr>
        <w:tc>
          <w:tcPr>
            <w:tcW w:w="8222" w:type="dxa"/>
            <w:gridSpan w:val="3"/>
            <w:tcBorders>
              <w:top w:val="single" w:sz="12" w:space="0" w:color="auto"/>
              <w:bottom w:val="single" w:sz="2" w:space="0" w:color="auto"/>
            </w:tcBorders>
            <w:shd w:val="clear" w:color="auto" w:fill="auto"/>
            <w:hideMark/>
          </w:tcPr>
          <w:p w14:paraId="493C2D8F" w14:textId="77777777" w:rsidR="00B71663" w:rsidRPr="00DD2453" w:rsidRDefault="00B71663" w:rsidP="00B71663">
            <w:pPr>
              <w:pStyle w:val="TableHeading"/>
            </w:pPr>
            <w:r w:rsidRPr="00DD2453">
              <w:t>Commencement information</w:t>
            </w:r>
          </w:p>
        </w:tc>
      </w:tr>
      <w:tr w:rsidR="00D32349" w:rsidRPr="00DD2453" w14:paraId="493C2D94" w14:textId="77777777" w:rsidTr="00B71663">
        <w:trPr>
          <w:tblHeader/>
        </w:trPr>
        <w:tc>
          <w:tcPr>
            <w:tcW w:w="1701" w:type="dxa"/>
            <w:tcBorders>
              <w:top w:val="single" w:sz="2" w:space="0" w:color="auto"/>
              <w:bottom w:val="single" w:sz="2" w:space="0" w:color="auto"/>
            </w:tcBorders>
            <w:shd w:val="clear" w:color="auto" w:fill="auto"/>
            <w:hideMark/>
          </w:tcPr>
          <w:p w14:paraId="493C2D91" w14:textId="77777777" w:rsidR="00B71663" w:rsidRPr="00DD2453" w:rsidRDefault="00B71663" w:rsidP="00B71663">
            <w:pPr>
              <w:pStyle w:val="TableHeading"/>
            </w:pPr>
            <w:r w:rsidRPr="00DD2453">
              <w:t>Column 1</w:t>
            </w:r>
          </w:p>
        </w:tc>
        <w:tc>
          <w:tcPr>
            <w:tcW w:w="3828" w:type="dxa"/>
            <w:tcBorders>
              <w:top w:val="single" w:sz="2" w:space="0" w:color="auto"/>
              <w:bottom w:val="single" w:sz="2" w:space="0" w:color="auto"/>
            </w:tcBorders>
            <w:shd w:val="clear" w:color="auto" w:fill="auto"/>
            <w:hideMark/>
          </w:tcPr>
          <w:p w14:paraId="493C2D92" w14:textId="77777777" w:rsidR="00B71663" w:rsidRPr="00DD2453" w:rsidRDefault="00B71663" w:rsidP="00B71663">
            <w:pPr>
              <w:pStyle w:val="TableHeading"/>
            </w:pPr>
            <w:r w:rsidRPr="00DD2453">
              <w:t>Column 2</w:t>
            </w:r>
          </w:p>
        </w:tc>
        <w:tc>
          <w:tcPr>
            <w:tcW w:w="2693" w:type="dxa"/>
            <w:tcBorders>
              <w:top w:val="single" w:sz="2" w:space="0" w:color="auto"/>
              <w:bottom w:val="single" w:sz="2" w:space="0" w:color="auto"/>
            </w:tcBorders>
            <w:shd w:val="clear" w:color="auto" w:fill="auto"/>
            <w:hideMark/>
          </w:tcPr>
          <w:p w14:paraId="493C2D93" w14:textId="77777777" w:rsidR="00B71663" w:rsidRPr="00DD2453" w:rsidRDefault="00B71663" w:rsidP="00B71663">
            <w:pPr>
              <w:pStyle w:val="TableHeading"/>
            </w:pPr>
            <w:r w:rsidRPr="00DD2453">
              <w:t>Column 3</w:t>
            </w:r>
          </w:p>
        </w:tc>
      </w:tr>
      <w:tr w:rsidR="00D32349" w:rsidRPr="00DD2453" w14:paraId="493C2D98" w14:textId="77777777" w:rsidTr="00E4507D">
        <w:trPr>
          <w:tblHeader/>
        </w:trPr>
        <w:tc>
          <w:tcPr>
            <w:tcW w:w="1701" w:type="dxa"/>
            <w:tcBorders>
              <w:top w:val="single" w:sz="2" w:space="0" w:color="auto"/>
              <w:bottom w:val="single" w:sz="12" w:space="0" w:color="auto"/>
            </w:tcBorders>
            <w:shd w:val="clear" w:color="auto" w:fill="auto"/>
            <w:hideMark/>
          </w:tcPr>
          <w:p w14:paraId="493C2D95" w14:textId="77777777" w:rsidR="00B71663" w:rsidRPr="00DD2453" w:rsidRDefault="00B71663" w:rsidP="00B71663">
            <w:pPr>
              <w:pStyle w:val="TableHeading"/>
            </w:pPr>
            <w:r w:rsidRPr="00DD2453">
              <w:t>Provisions</w:t>
            </w:r>
          </w:p>
        </w:tc>
        <w:tc>
          <w:tcPr>
            <w:tcW w:w="3828" w:type="dxa"/>
            <w:tcBorders>
              <w:top w:val="single" w:sz="2" w:space="0" w:color="auto"/>
              <w:bottom w:val="single" w:sz="12" w:space="0" w:color="auto"/>
            </w:tcBorders>
            <w:shd w:val="clear" w:color="auto" w:fill="auto"/>
            <w:hideMark/>
          </w:tcPr>
          <w:p w14:paraId="493C2D96" w14:textId="77777777" w:rsidR="00B71663" w:rsidRPr="00DD2453" w:rsidRDefault="00B71663" w:rsidP="00B71663">
            <w:pPr>
              <w:pStyle w:val="TableHeading"/>
            </w:pPr>
            <w:r w:rsidRPr="00DD2453">
              <w:t>Commencement</w:t>
            </w:r>
          </w:p>
        </w:tc>
        <w:tc>
          <w:tcPr>
            <w:tcW w:w="2693" w:type="dxa"/>
            <w:tcBorders>
              <w:top w:val="single" w:sz="2" w:space="0" w:color="auto"/>
              <w:bottom w:val="single" w:sz="12" w:space="0" w:color="auto"/>
            </w:tcBorders>
            <w:shd w:val="clear" w:color="auto" w:fill="auto"/>
            <w:hideMark/>
          </w:tcPr>
          <w:p w14:paraId="493C2D97" w14:textId="77777777" w:rsidR="00B71663" w:rsidRPr="00DD2453" w:rsidRDefault="00B71663" w:rsidP="00B71663">
            <w:pPr>
              <w:pStyle w:val="TableHeading"/>
            </w:pPr>
            <w:r w:rsidRPr="00DD2453">
              <w:t>Date/Details</w:t>
            </w:r>
          </w:p>
        </w:tc>
      </w:tr>
      <w:tr w:rsidR="00D32349" w:rsidRPr="00DD2453" w14:paraId="493C2D9C" w14:textId="77777777" w:rsidTr="00E4507D">
        <w:tc>
          <w:tcPr>
            <w:tcW w:w="1701" w:type="dxa"/>
            <w:tcBorders>
              <w:top w:val="single" w:sz="12" w:space="0" w:color="auto"/>
              <w:bottom w:val="single" w:sz="4" w:space="0" w:color="auto"/>
            </w:tcBorders>
            <w:shd w:val="clear" w:color="auto" w:fill="auto"/>
            <w:hideMark/>
          </w:tcPr>
          <w:p w14:paraId="493C2D99" w14:textId="77777777" w:rsidR="00B71663" w:rsidRPr="00DD2453" w:rsidRDefault="00B71663" w:rsidP="009A3C6D">
            <w:pPr>
              <w:pStyle w:val="Tabletext"/>
            </w:pPr>
            <w:r w:rsidRPr="00DD2453">
              <w:t xml:space="preserve">1.  </w:t>
            </w:r>
            <w:r w:rsidR="009A3C6D">
              <w:t>Sections 1 to 4</w:t>
            </w:r>
            <w:r w:rsidRPr="00DD2453">
              <w:t xml:space="preserve"> of this instrument</w:t>
            </w:r>
          </w:p>
        </w:tc>
        <w:tc>
          <w:tcPr>
            <w:tcW w:w="3828" w:type="dxa"/>
            <w:tcBorders>
              <w:top w:val="single" w:sz="12" w:space="0" w:color="auto"/>
              <w:bottom w:val="single" w:sz="4" w:space="0" w:color="auto"/>
            </w:tcBorders>
            <w:shd w:val="clear" w:color="auto" w:fill="auto"/>
            <w:hideMark/>
          </w:tcPr>
          <w:p w14:paraId="493C2D9A" w14:textId="77777777" w:rsidR="00B71663" w:rsidRPr="00DD2453" w:rsidRDefault="00B71663" w:rsidP="00B71663">
            <w:pPr>
              <w:pStyle w:val="Tabletext"/>
            </w:pPr>
            <w:r w:rsidRPr="00DD2453">
              <w:t>The day after this instrument is registered.</w:t>
            </w:r>
          </w:p>
        </w:tc>
        <w:tc>
          <w:tcPr>
            <w:tcW w:w="2693" w:type="dxa"/>
            <w:tcBorders>
              <w:top w:val="single" w:sz="12" w:space="0" w:color="auto"/>
              <w:bottom w:val="single" w:sz="4" w:space="0" w:color="auto"/>
            </w:tcBorders>
            <w:shd w:val="clear" w:color="auto" w:fill="auto"/>
          </w:tcPr>
          <w:p w14:paraId="493C2D9B" w14:textId="77777777" w:rsidR="00B71663" w:rsidRPr="00DD2453" w:rsidRDefault="00B71663" w:rsidP="00B71663">
            <w:pPr>
              <w:pStyle w:val="Tabletext"/>
            </w:pPr>
          </w:p>
        </w:tc>
      </w:tr>
      <w:tr w:rsidR="009A3C6D" w:rsidRPr="00DD2453" w14:paraId="493C2DA0" w14:textId="77777777" w:rsidTr="00E4507D">
        <w:tc>
          <w:tcPr>
            <w:tcW w:w="1701" w:type="dxa"/>
            <w:tcBorders>
              <w:top w:val="single" w:sz="4" w:space="0" w:color="auto"/>
              <w:bottom w:val="single" w:sz="4" w:space="0" w:color="auto"/>
            </w:tcBorders>
            <w:shd w:val="clear" w:color="auto" w:fill="auto"/>
          </w:tcPr>
          <w:p w14:paraId="493C2D9D" w14:textId="77777777" w:rsidR="009A3C6D" w:rsidRPr="00DD2453" w:rsidRDefault="009A3C6D" w:rsidP="00B71663">
            <w:pPr>
              <w:pStyle w:val="Tabletext"/>
            </w:pPr>
            <w:r>
              <w:t>2. Schedule 1</w:t>
            </w:r>
          </w:p>
        </w:tc>
        <w:tc>
          <w:tcPr>
            <w:tcW w:w="3828" w:type="dxa"/>
            <w:tcBorders>
              <w:top w:val="single" w:sz="4" w:space="0" w:color="auto"/>
              <w:bottom w:val="single" w:sz="4" w:space="0" w:color="auto"/>
            </w:tcBorders>
            <w:shd w:val="clear" w:color="auto" w:fill="auto"/>
          </w:tcPr>
          <w:p w14:paraId="493C2D9E" w14:textId="77777777" w:rsidR="009A3C6D" w:rsidRPr="00DD2453" w:rsidRDefault="009A3C6D" w:rsidP="00B71663">
            <w:pPr>
              <w:pStyle w:val="Tabletext"/>
            </w:pPr>
            <w:r w:rsidRPr="00DD2453">
              <w:t>The day after this instrument is registered.</w:t>
            </w:r>
          </w:p>
        </w:tc>
        <w:tc>
          <w:tcPr>
            <w:tcW w:w="2693" w:type="dxa"/>
            <w:tcBorders>
              <w:top w:val="single" w:sz="4" w:space="0" w:color="auto"/>
              <w:bottom w:val="single" w:sz="4" w:space="0" w:color="auto"/>
            </w:tcBorders>
            <w:shd w:val="clear" w:color="auto" w:fill="auto"/>
          </w:tcPr>
          <w:p w14:paraId="493C2D9F" w14:textId="77777777" w:rsidR="009A3C6D" w:rsidRPr="00DD2453" w:rsidRDefault="009A3C6D" w:rsidP="00B71663">
            <w:pPr>
              <w:pStyle w:val="Tabletext"/>
            </w:pPr>
          </w:p>
        </w:tc>
      </w:tr>
      <w:tr w:rsidR="009A3C6D" w:rsidRPr="00DD2453" w14:paraId="493C2DA4" w14:textId="77777777" w:rsidTr="00E4507D">
        <w:tc>
          <w:tcPr>
            <w:tcW w:w="1701" w:type="dxa"/>
            <w:tcBorders>
              <w:top w:val="single" w:sz="4" w:space="0" w:color="auto"/>
              <w:bottom w:val="single" w:sz="12" w:space="0" w:color="auto"/>
            </w:tcBorders>
            <w:shd w:val="clear" w:color="auto" w:fill="auto"/>
          </w:tcPr>
          <w:p w14:paraId="493C2DA1" w14:textId="77777777" w:rsidR="009A3C6D" w:rsidRDefault="009A3C6D" w:rsidP="00B71663">
            <w:pPr>
              <w:pStyle w:val="Tabletext"/>
            </w:pPr>
            <w:r>
              <w:t>3. Schedule 2</w:t>
            </w:r>
          </w:p>
        </w:tc>
        <w:tc>
          <w:tcPr>
            <w:tcW w:w="3828" w:type="dxa"/>
            <w:tcBorders>
              <w:top w:val="single" w:sz="4" w:space="0" w:color="auto"/>
              <w:bottom w:val="single" w:sz="12" w:space="0" w:color="auto"/>
            </w:tcBorders>
            <w:shd w:val="clear" w:color="auto" w:fill="auto"/>
          </w:tcPr>
          <w:p w14:paraId="493C2DA2" w14:textId="77777777" w:rsidR="009A3C6D" w:rsidRPr="00DD2453" w:rsidRDefault="009A3C6D" w:rsidP="00B71663">
            <w:pPr>
              <w:pStyle w:val="Tabletext"/>
            </w:pPr>
            <w:r>
              <w:t>The second day after this instrument is registered.</w:t>
            </w:r>
          </w:p>
        </w:tc>
        <w:tc>
          <w:tcPr>
            <w:tcW w:w="2693" w:type="dxa"/>
            <w:tcBorders>
              <w:top w:val="single" w:sz="4" w:space="0" w:color="auto"/>
              <w:bottom w:val="single" w:sz="12" w:space="0" w:color="auto"/>
            </w:tcBorders>
            <w:shd w:val="clear" w:color="auto" w:fill="auto"/>
          </w:tcPr>
          <w:p w14:paraId="493C2DA3" w14:textId="77777777" w:rsidR="009A3C6D" w:rsidRPr="00DD2453" w:rsidRDefault="009A3C6D" w:rsidP="00B71663">
            <w:pPr>
              <w:pStyle w:val="Tabletext"/>
            </w:pPr>
          </w:p>
        </w:tc>
      </w:tr>
    </w:tbl>
    <w:p w14:paraId="493C2DA5" w14:textId="77777777" w:rsidR="00B71663" w:rsidRPr="00DD2453" w:rsidRDefault="00B71663" w:rsidP="00B71663">
      <w:pPr>
        <w:pStyle w:val="nMain"/>
      </w:pPr>
      <w:r w:rsidRPr="00DD2453">
        <w:rPr>
          <w:snapToGrid w:val="0"/>
          <w:lang w:eastAsia="en-US"/>
        </w:rPr>
        <w:t>Note:</w:t>
      </w:r>
      <w:r w:rsidRPr="00DD2453">
        <w:rPr>
          <w:snapToGrid w:val="0"/>
          <w:lang w:eastAsia="en-US"/>
        </w:rPr>
        <w:tab/>
        <w:t>This table relates only to the provisions of this instrument as originally made. It will not be amended to deal with any later amendments of this instrument.</w:t>
      </w:r>
    </w:p>
    <w:p w14:paraId="493C2DA6" w14:textId="77777777" w:rsidR="00B71663" w:rsidRPr="00DD2453" w:rsidRDefault="00B71663" w:rsidP="00B71663">
      <w:pPr>
        <w:pStyle w:val="tMain"/>
      </w:pPr>
      <w:r w:rsidRPr="00DD2453">
        <w:tab/>
        <w:t>(2)</w:t>
      </w:r>
      <w:r w:rsidRPr="00DD2453">
        <w:tab/>
        <w:t>Any information in column 3 of the table is not part of this instrument. Information may be inserted in this column, or information in it may be edited, in any published version of this instrument.</w:t>
      </w:r>
    </w:p>
    <w:p w14:paraId="493C2DA7" w14:textId="77777777" w:rsidR="00B71663" w:rsidRPr="00DD2453" w:rsidRDefault="00B71663" w:rsidP="00B71663">
      <w:pPr>
        <w:pStyle w:val="h5Section"/>
      </w:pPr>
      <w:bookmarkStart w:id="4" w:name="_Toc527384080"/>
      <w:r w:rsidRPr="00DD2453">
        <w:rPr>
          <w:rStyle w:val="CharSectno"/>
        </w:rPr>
        <w:t>3</w:t>
      </w:r>
      <w:r w:rsidRPr="00DD2453">
        <w:t xml:space="preserve">  Authority</w:t>
      </w:r>
      <w:bookmarkEnd w:id="4"/>
    </w:p>
    <w:p w14:paraId="493C2DA8" w14:textId="77777777" w:rsidR="00B71663" w:rsidRPr="00DD2453" w:rsidRDefault="00B71663" w:rsidP="00B71663">
      <w:pPr>
        <w:pStyle w:val="tMain"/>
      </w:pPr>
      <w:r w:rsidRPr="00DD2453">
        <w:tab/>
      </w:r>
      <w:r w:rsidRPr="00DD2453">
        <w:tab/>
        <w:t xml:space="preserve">This instrument is made under subsection 22XS(1) of the </w:t>
      </w:r>
      <w:r w:rsidRPr="00DD2453">
        <w:rPr>
          <w:i/>
        </w:rPr>
        <w:t>National Greenhouse and Energy Reporting Act 2007</w:t>
      </w:r>
      <w:r w:rsidRPr="00DD2453">
        <w:t>.</w:t>
      </w:r>
    </w:p>
    <w:p w14:paraId="493C2DA9" w14:textId="77777777" w:rsidR="00B71663" w:rsidRPr="00DD2453" w:rsidRDefault="00B71663" w:rsidP="00B71663">
      <w:pPr>
        <w:pStyle w:val="h5Section"/>
      </w:pPr>
      <w:bookmarkStart w:id="5" w:name="_Toc527384081"/>
      <w:r w:rsidRPr="00DD2453">
        <w:rPr>
          <w:rStyle w:val="CharSectno"/>
        </w:rPr>
        <w:t>4</w:t>
      </w:r>
      <w:r w:rsidRPr="00DD2453">
        <w:t xml:space="preserve">  Schedules</w:t>
      </w:r>
      <w:bookmarkEnd w:id="5"/>
    </w:p>
    <w:p w14:paraId="493C2DAA" w14:textId="77777777" w:rsidR="00B71663" w:rsidRPr="00DD2453" w:rsidRDefault="00B71663" w:rsidP="00B71663">
      <w:pPr>
        <w:pStyle w:val="tMain"/>
      </w:pPr>
      <w:r w:rsidRPr="00DD2453">
        <w:tab/>
      </w:r>
      <w:r w:rsidRPr="00DD2453">
        <w:tab/>
        <w:t>Each instrument that is specified in a Schedule to this instrument is amended or repealed as set out in the applicable items in the Schedule concerned, and any other item in a Schedule to this instrument has effect according to its terms.</w:t>
      </w:r>
    </w:p>
    <w:p w14:paraId="493C2DAB" w14:textId="77777777" w:rsidR="00B71663" w:rsidRPr="00DD2453" w:rsidRDefault="00B71663" w:rsidP="00B71663">
      <w:pPr>
        <w:pStyle w:val="ActHead6"/>
        <w:pageBreakBefore/>
      </w:pPr>
      <w:bookmarkStart w:id="6" w:name="opcAmSched"/>
      <w:bookmarkStart w:id="7" w:name="_Toc527384082"/>
      <w:r w:rsidRPr="00DD2453">
        <w:rPr>
          <w:rStyle w:val="CharAmSchNo"/>
        </w:rPr>
        <w:t>Schedule 1</w:t>
      </w:r>
      <w:r w:rsidRPr="00DD2453">
        <w:t>—</w:t>
      </w:r>
      <w:r w:rsidRPr="00DD2453">
        <w:rPr>
          <w:rStyle w:val="CharAmSchText"/>
        </w:rPr>
        <w:t>A</w:t>
      </w:r>
      <w:bookmarkEnd w:id="6"/>
      <w:bookmarkEnd w:id="7"/>
      <w:r w:rsidR="000C0F32">
        <w:rPr>
          <w:rStyle w:val="CharAmSchText"/>
        </w:rPr>
        <w:t>dditional production variables</w:t>
      </w:r>
    </w:p>
    <w:p w14:paraId="493C2DAC" w14:textId="77777777" w:rsidR="00B71663" w:rsidRPr="00DD2453" w:rsidRDefault="00B71663" w:rsidP="00B71663">
      <w:pPr>
        <w:pStyle w:val="ActHead9"/>
      </w:pPr>
      <w:bookmarkStart w:id="8" w:name="_Toc527384083"/>
      <w:r w:rsidRPr="00DD2453">
        <w:t>National Greenhouse and Energy Reporting (Safeguard Mechanism) Rule 2015</w:t>
      </w:r>
      <w:bookmarkEnd w:id="8"/>
      <w:r w:rsidRPr="00DD2453">
        <w:t xml:space="preserve"> </w:t>
      </w:r>
    </w:p>
    <w:p w14:paraId="493C2DAD" w14:textId="77777777" w:rsidR="003F5C6E" w:rsidRPr="00DD2453" w:rsidRDefault="003F5C6E" w:rsidP="003F5C6E">
      <w:pPr>
        <w:pStyle w:val="ItemHead"/>
      </w:pPr>
      <w:r w:rsidRPr="00DD2453">
        <w:t xml:space="preserve">1  </w:t>
      </w:r>
      <w:r w:rsidR="00347C4B">
        <w:t xml:space="preserve">Section 4 (definition of </w:t>
      </w:r>
      <w:r w:rsidR="00347C4B" w:rsidRPr="00347C4B">
        <w:rPr>
          <w:i/>
        </w:rPr>
        <w:t>Safeguard Mechanism document</w:t>
      </w:r>
      <w:r w:rsidR="00347C4B">
        <w:t>)</w:t>
      </w:r>
    </w:p>
    <w:p w14:paraId="493C2DAE" w14:textId="77777777" w:rsidR="003F5C6E" w:rsidRPr="00DD2453" w:rsidRDefault="00347C4B" w:rsidP="003F5C6E">
      <w:pPr>
        <w:pStyle w:val="Item"/>
      </w:pPr>
      <w:r>
        <w:t>Repeal the definition, substitute:</w:t>
      </w:r>
    </w:p>
    <w:p w14:paraId="493C2DAF" w14:textId="77777777" w:rsidR="003F5C6E" w:rsidRPr="000E09F7" w:rsidRDefault="003F5C6E" w:rsidP="003F5C6E">
      <w:pPr>
        <w:pStyle w:val="tDefn"/>
      </w:pPr>
      <w:r w:rsidRPr="00DD2453">
        <w:rPr>
          <w:b/>
          <w:bCs/>
          <w:i/>
          <w:iCs/>
        </w:rPr>
        <w:t xml:space="preserve">Safeguard Mechanism document </w:t>
      </w:r>
      <w:r w:rsidRPr="00DD2453">
        <w:t xml:space="preserve">means the document entitled “Safeguard Mechanism: Prescribed production variables and default emissions intensities” published by the Department and as </w:t>
      </w:r>
      <w:r w:rsidR="00100C79" w:rsidRPr="00DD2453">
        <w:t xml:space="preserve">in force on the commencement of the </w:t>
      </w:r>
      <w:r w:rsidR="00100C79" w:rsidRPr="00DD2453">
        <w:rPr>
          <w:i/>
        </w:rPr>
        <w:t xml:space="preserve">National Greenhouse and </w:t>
      </w:r>
      <w:r w:rsidR="00100C79" w:rsidRPr="000E09F7">
        <w:rPr>
          <w:i/>
        </w:rPr>
        <w:t>Energy Reporting (Safeguard Mechanism) Amendment (</w:t>
      </w:r>
      <w:r w:rsidR="00347C4B" w:rsidRPr="000E09F7">
        <w:rPr>
          <w:i/>
        </w:rPr>
        <w:t xml:space="preserve">Additional </w:t>
      </w:r>
      <w:r w:rsidR="00100C79" w:rsidRPr="000E09F7">
        <w:rPr>
          <w:i/>
        </w:rPr>
        <w:t>Prescribed Production Variables) Rule 2020</w:t>
      </w:r>
      <w:r w:rsidRPr="000E09F7">
        <w:t>.</w:t>
      </w:r>
    </w:p>
    <w:p w14:paraId="493C2DB0" w14:textId="6822AEAA" w:rsidR="009F6CCC" w:rsidRPr="000E09F7" w:rsidRDefault="00BE3641" w:rsidP="00BE3641">
      <w:pPr>
        <w:pStyle w:val="nMain"/>
        <w:keepLines/>
        <w:tabs>
          <w:tab w:val="right" w:pos="1531"/>
        </w:tabs>
        <w:spacing w:after="100" w:line="276" w:lineRule="auto"/>
        <w:ind w:left="1701" w:hanging="1701"/>
        <w:rPr>
          <w:rFonts w:eastAsia="Calibri" w:cs="Arial"/>
          <w:iCs/>
          <w:sz w:val="20"/>
          <w:szCs w:val="22"/>
          <w:lang w:eastAsia="en-US"/>
        </w:rPr>
      </w:pPr>
      <w:r w:rsidRPr="000E09F7">
        <w:rPr>
          <w:rFonts w:eastAsia="Calibri" w:cs="Arial"/>
          <w:iCs/>
          <w:sz w:val="20"/>
          <w:szCs w:val="22"/>
          <w:lang w:eastAsia="en-US"/>
        </w:rPr>
        <w:tab/>
      </w:r>
      <w:r w:rsidR="005E138B" w:rsidRPr="000E09F7">
        <w:rPr>
          <w:rFonts w:eastAsia="Calibri" w:cs="Arial"/>
          <w:iCs/>
          <w:sz w:val="20"/>
          <w:szCs w:val="22"/>
          <w:lang w:eastAsia="en-US"/>
        </w:rPr>
        <w:t>Note:</w:t>
      </w:r>
      <w:r w:rsidRPr="000E09F7">
        <w:rPr>
          <w:rFonts w:eastAsia="Calibri" w:cs="Arial"/>
          <w:iCs/>
          <w:sz w:val="20"/>
          <w:szCs w:val="22"/>
          <w:lang w:eastAsia="en-US"/>
        </w:rPr>
        <w:tab/>
      </w:r>
      <w:r w:rsidR="005E138B" w:rsidRPr="000E09F7">
        <w:rPr>
          <w:rFonts w:eastAsia="Calibri" w:cs="Arial"/>
          <w:iCs/>
          <w:sz w:val="20"/>
          <w:szCs w:val="22"/>
          <w:lang w:eastAsia="en-US"/>
        </w:rPr>
        <w:t>In 2020</w:t>
      </w:r>
      <w:r w:rsidR="003F5C6E" w:rsidRPr="000E09F7">
        <w:rPr>
          <w:rFonts w:eastAsia="Calibri" w:cs="Arial"/>
          <w:iCs/>
          <w:sz w:val="20"/>
          <w:szCs w:val="22"/>
          <w:lang w:eastAsia="en-US"/>
        </w:rPr>
        <w:t>, the document could be acce</w:t>
      </w:r>
      <w:r w:rsidR="005E138B" w:rsidRPr="000E09F7">
        <w:rPr>
          <w:rFonts w:eastAsia="Calibri" w:cs="Arial"/>
          <w:iCs/>
          <w:sz w:val="20"/>
          <w:szCs w:val="22"/>
          <w:lang w:eastAsia="en-US"/>
        </w:rPr>
        <w:t>ssed from http://www.industry</w:t>
      </w:r>
      <w:r w:rsidR="00100C79" w:rsidRPr="000E09F7">
        <w:rPr>
          <w:rFonts w:eastAsia="Calibri" w:cs="Arial"/>
          <w:iCs/>
          <w:sz w:val="20"/>
          <w:szCs w:val="22"/>
          <w:lang w:eastAsia="en-US"/>
        </w:rPr>
        <w:t xml:space="preserve">.gov.au and is included in the explanatory statement for the </w:t>
      </w:r>
      <w:r w:rsidR="00100C79" w:rsidRPr="000E09F7">
        <w:rPr>
          <w:rFonts w:eastAsia="Calibri" w:cs="Arial"/>
          <w:i/>
          <w:iCs/>
          <w:sz w:val="20"/>
          <w:szCs w:val="22"/>
          <w:lang w:eastAsia="en-US"/>
        </w:rPr>
        <w:t>National Greenhouse and Energy Reporting (Safeguard Mechanism) Amendment (</w:t>
      </w:r>
      <w:r w:rsidR="00347C4B" w:rsidRPr="000E09F7">
        <w:rPr>
          <w:rFonts w:eastAsia="Calibri" w:cs="Arial"/>
          <w:i/>
          <w:iCs/>
          <w:sz w:val="20"/>
          <w:szCs w:val="22"/>
          <w:lang w:eastAsia="en-US"/>
        </w:rPr>
        <w:t xml:space="preserve">Additional </w:t>
      </w:r>
      <w:r w:rsidR="00100C79" w:rsidRPr="000E09F7">
        <w:rPr>
          <w:rFonts w:eastAsia="Calibri" w:cs="Arial"/>
          <w:i/>
          <w:iCs/>
          <w:sz w:val="20"/>
          <w:szCs w:val="22"/>
          <w:lang w:eastAsia="en-US"/>
        </w:rPr>
        <w:t>Prescribed Production Variables) Rule 2020</w:t>
      </w:r>
      <w:r w:rsidR="00100C79" w:rsidRPr="000E09F7">
        <w:rPr>
          <w:rFonts w:eastAsia="Calibri" w:cs="Arial"/>
          <w:iCs/>
          <w:sz w:val="20"/>
          <w:szCs w:val="22"/>
          <w:lang w:eastAsia="en-US"/>
        </w:rPr>
        <w:t>.</w:t>
      </w:r>
    </w:p>
    <w:p w14:paraId="0F276DA8" w14:textId="41CAE827" w:rsidR="00D43EB2" w:rsidRPr="000E09F7" w:rsidRDefault="00D43EB2" w:rsidP="00D43EB2">
      <w:pPr>
        <w:pStyle w:val="ItemHead"/>
      </w:pPr>
      <w:r w:rsidRPr="000E09F7">
        <w:t>2  Paragraph 7(1)(d)</w:t>
      </w:r>
    </w:p>
    <w:p w14:paraId="1230BDFC" w14:textId="0D6F8EF3" w:rsidR="00D43EB2" w:rsidRPr="000E09F7" w:rsidRDefault="00D43EB2" w:rsidP="00D43EB2">
      <w:pPr>
        <w:pStyle w:val="Item"/>
        <w:ind w:firstLine="141"/>
      </w:pPr>
      <w:r w:rsidRPr="000E09F7">
        <w:t>Repeal the paragraph (including the note), substitute:</w:t>
      </w:r>
    </w:p>
    <w:p w14:paraId="5B20017A" w14:textId="0D3B58D2" w:rsidR="009B4A3E" w:rsidRPr="000E09F7" w:rsidRDefault="00D43EB2" w:rsidP="009B4A3E">
      <w:pPr>
        <w:pStyle w:val="tPara"/>
      </w:pPr>
      <w:r w:rsidRPr="000E09F7">
        <w:tab/>
        <w:t>(d)</w:t>
      </w:r>
      <w:r w:rsidRPr="000E09F7">
        <w:tab/>
        <w:t>if a facility is partly in Australia and partly in</w:t>
      </w:r>
      <w:r w:rsidR="00DB1A24" w:rsidRPr="000E09F7">
        <w:t xml:space="preserve"> the</w:t>
      </w:r>
      <w:r w:rsidRPr="000E09F7">
        <w:t xml:space="preserve"> Greater Sunrise special regime area—scope 1 emissions of greenhouse gases which occurred in the Greater Sunrise special regime area.</w:t>
      </w:r>
    </w:p>
    <w:p w14:paraId="75E590B1" w14:textId="02ECBB4F" w:rsidR="009B4A3E" w:rsidRPr="000E09F7" w:rsidRDefault="009B4A3E" w:rsidP="009B4A3E">
      <w:pPr>
        <w:pStyle w:val="nPara"/>
      </w:pPr>
      <w:r w:rsidRPr="000E09F7">
        <w:t>Note:</w:t>
      </w:r>
      <w:r w:rsidRPr="000E09F7">
        <w:tab/>
        <w:t>A facility wholly in the Greater Sunrise special regime area is not subject to the safeguard provisions in accordance with subsection 6A(4) of the Act.</w:t>
      </w:r>
    </w:p>
    <w:p w14:paraId="50BFEEBD" w14:textId="2C3F6D42" w:rsidR="00D24F56" w:rsidRPr="000E09F7" w:rsidRDefault="00163697" w:rsidP="00D24F56">
      <w:pPr>
        <w:pStyle w:val="ItemHead"/>
      </w:pPr>
      <w:r w:rsidRPr="000E09F7">
        <w:t>3</w:t>
      </w:r>
      <w:r w:rsidR="00D24F56" w:rsidRPr="000E09F7">
        <w:t xml:space="preserve">  At the end of subparagraph 56(1)(b)(ii)</w:t>
      </w:r>
    </w:p>
    <w:p w14:paraId="7CFD4E62" w14:textId="404D5833" w:rsidR="00D24F56" w:rsidRPr="000E09F7" w:rsidRDefault="00D24F56" w:rsidP="00D24F56">
      <w:pPr>
        <w:pStyle w:val="Item"/>
        <w:ind w:firstLine="141"/>
      </w:pPr>
      <w:r w:rsidRPr="000E09F7">
        <w:t>Add “or a default emissions intensity”.</w:t>
      </w:r>
    </w:p>
    <w:p w14:paraId="33F65461" w14:textId="3712DDFA" w:rsidR="00D24F56" w:rsidRPr="000E09F7" w:rsidRDefault="00163697" w:rsidP="00D24F56">
      <w:pPr>
        <w:pStyle w:val="ItemHead"/>
      </w:pPr>
      <w:r w:rsidRPr="000E09F7">
        <w:t>4</w:t>
      </w:r>
      <w:r w:rsidR="00D24F56" w:rsidRPr="000E09F7">
        <w:t xml:space="preserve">  At the end of paragraph 56(2)(c)</w:t>
      </w:r>
    </w:p>
    <w:p w14:paraId="46AFCA78" w14:textId="74F707F3" w:rsidR="00D24F56" w:rsidRPr="000E09F7" w:rsidRDefault="00D24F56" w:rsidP="00D24F56">
      <w:pPr>
        <w:pStyle w:val="Item"/>
        <w:ind w:firstLine="141"/>
      </w:pPr>
      <w:r w:rsidRPr="000E09F7">
        <w:t>Add:</w:t>
      </w:r>
    </w:p>
    <w:p w14:paraId="645BE1E7" w14:textId="48ECD251" w:rsidR="00D24F56" w:rsidRPr="000E09F7" w:rsidRDefault="00D24F56" w:rsidP="00D24F56">
      <w:pPr>
        <w:pStyle w:val="tPara"/>
      </w:pPr>
      <w:r w:rsidRPr="000E09F7">
        <w:tab/>
        <w:t>; and (d)</w:t>
      </w:r>
      <w:r w:rsidRPr="000E09F7">
        <w:tab/>
        <w:t>the changed carbon dioxide equivalence of a baseline emissions number derived from a default emissions intensity must be determined consistently with the changed default emissions intensity of the relevant production variable in Schedule 2 or 3.</w:t>
      </w:r>
    </w:p>
    <w:p w14:paraId="21AAC348" w14:textId="1360D2D4" w:rsidR="00297A73" w:rsidRPr="000E09F7" w:rsidRDefault="00297A73" w:rsidP="00297A73">
      <w:pPr>
        <w:pStyle w:val="ItemHead"/>
      </w:pPr>
      <w:r w:rsidRPr="000E09F7">
        <w:t>5  Subsection 2(2) of Schedule 2</w:t>
      </w:r>
    </w:p>
    <w:p w14:paraId="3DA94437" w14:textId="5EBB3BEE" w:rsidR="00297A73" w:rsidRPr="000E09F7" w:rsidRDefault="00297A73" w:rsidP="00297A73">
      <w:pPr>
        <w:pStyle w:val="Item"/>
        <w:ind w:firstLine="141"/>
      </w:pPr>
      <w:r w:rsidRPr="000E09F7">
        <w:t>Omit “CO</w:t>
      </w:r>
      <w:r w:rsidRPr="000E09F7">
        <w:rPr>
          <w:vertAlign w:val="subscript"/>
        </w:rPr>
        <w:t>2</w:t>
      </w:r>
      <w:r w:rsidRPr="000E09F7">
        <w:t>e”, substitute “CO</w:t>
      </w:r>
      <w:r w:rsidRPr="000E09F7">
        <w:rPr>
          <w:vertAlign w:val="subscript"/>
        </w:rPr>
        <w:t>2</w:t>
      </w:r>
      <w:r w:rsidRPr="000E09F7">
        <w:t>-e”.</w:t>
      </w:r>
    </w:p>
    <w:p w14:paraId="493C2DB1" w14:textId="6D668603" w:rsidR="009F6CCC" w:rsidRPr="000E09F7" w:rsidRDefault="002E297B" w:rsidP="009F6CCC">
      <w:pPr>
        <w:pStyle w:val="ItemHead"/>
      </w:pPr>
      <w:r w:rsidRPr="000E09F7">
        <w:t>6</w:t>
      </w:r>
      <w:r w:rsidR="009F6CCC" w:rsidRPr="000E09F7">
        <w:t xml:space="preserve">  Section 3 of Schedule 2</w:t>
      </w:r>
    </w:p>
    <w:p w14:paraId="493C2DB2" w14:textId="77777777" w:rsidR="009F6CCC" w:rsidRPr="000E09F7" w:rsidRDefault="009F6CCC" w:rsidP="009F6CCC">
      <w:pPr>
        <w:pStyle w:val="Item"/>
        <w:ind w:firstLine="141"/>
      </w:pPr>
      <w:r w:rsidRPr="000E09F7">
        <w:t>Insert:</w:t>
      </w:r>
    </w:p>
    <w:p w14:paraId="493C2DB3" w14:textId="77777777" w:rsidR="009F6CCC" w:rsidRPr="000E09F7" w:rsidRDefault="009F6CCC" w:rsidP="00CC7772">
      <w:pPr>
        <w:pStyle w:val="tDefn"/>
      </w:pPr>
      <w:r w:rsidRPr="000E09F7">
        <w:rPr>
          <w:b/>
          <w:i/>
        </w:rPr>
        <w:t xml:space="preserve">AS </w:t>
      </w:r>
      <w:r w:rsidRPr="000E09F7">
        <w:t xml:space="preserve">or </w:t>
      </w:r>
      <w:r w:rsidRPr="000E09F7">
        <w:rPr>
          <w:b/>
          <w:i/>
        </w:rPr>
        <w:t xml:space="preserve">Australian standard </w:t>
      </w:r>
      <w:r w:rsidRPr="000E09F7">
        <w:t>followed by a number (for example, AS 4323.1—1995) means a standard of that number issued by Standards Australia Limited and, if a date is included, of that date.</w:t>
      </w:r>
    </w:p>
    <w:p w14:paraId="3A9D2D5C" w14:textId="7BBCAB8C" w:rsidR="00297A73" w:rsidRPr="000E09F7" w:rsidRDefault="002E297B" w:rsidP="00297A73">
      <w:pPr>
        <w:pStyle w:val="ItemHead"/>
      </w:pPr>
      <w:r w:rsidRPr="000E09F7">
        <w:t>7</w:t>
      </w:r>
      <w:r w:rsidR="00297A73" w:rsidRPr="000E09F7">
        <w:t xml:space="preserve">  Heading to subsection 9(1) of Schedule 2</w:t>
      </w:r>
    </w:p>
    <w:p w14:paraId="3AE20494" w14:textId="53A1663C" w:rsidR="00297A73" w:rsidRPr="000E09F7" w:rsidRDefault="00297A73" w:rsidP="00297A73">
      <w:pPr>
        <w:pStyle w:val="Item"/>
        <w:ind w:firstLine="141"/>
      </w:pPr>
      <w:r w:rsidRPr="000E09F7">
        <w:t>Repeal the heading.</w:t>
      </w:r>
    </w:p>
    <w:p w14:paraId="4D2D16E6" w14:textId="047B72A2" w:rsidR="00297A73" w:rsidRPr="000E09F7" w:rsidRDefault="002E297B" w:rsidP="00297A73">
      <w:pPr>
        <w:pStyle w:val="ItemHead"/>
      </w:pPr>
      <w:r w:rsidRPr="000E09F7">
        <w:t>8</w:t>
      </w:r>
      <w:r w:rsidR="00297A73" w:rsidRPr="000E09F7">
        <w:t xml:space="preserve">  Paragraph 12(2)(a) of Schedule 2</w:t>
      </w:r>
    </w:p>
    <w:p w14:paraId="55D45370" w14:textId="5BCF46C6" w:rsidR="00297A73" w:rsidRPr="000E09F7" w:rsidRDefault="002E297B" w:rsidP="00297A73">
      <w:pPr>
        <w:pStyle w:val="Item"/>
        <w:ind w:firstLine="141"/>
      </w:pPr>
      <w:r w:rsidRPr="000E09F7">
        <w:t>Before “phosphate rock”, insert “of”.</w:t>
      </w:r>
    </w:p>
    <w:p w14:paraId="36FA8793" w14:textId="2D0DC16B" w:rsidR="002E297B" w:rsidRPr="000E09F7" w:rsidRDefault="002E297B" w:rsidP="002E297B">
      <w:pPr>
        <w:pStyle w:val="ItemHead"/>
      </w:pPr>
      <w:r w:rsidRPr="000E09F7">
        <w:t>9  Paragraph 13(2)(a) of Schedule 2</w:t>
      </w:r>
    </w:p>
    <w:p w14:paraId="0C29CCA9" w14:textId="03C1F633" w:rsidR="00297A73" w:rsidRPr="000E09F7" w:rsidRDefault="002E297B" w:rsidP="002E297B">
      <w:pPr>
        <w:pStyle w:val="Item"/>
        <w:ind w:firstLine="141"/>
      </w:pPr>
      <w:r w:rsidRPr="000E09F7">
        <w:t>Before “methane”, insert “of”.</w:t>
      </w:r>
    </w:p>
    <w:p w14:paraId="493C2DB4" w14:textId="24CB28A9" w:rsidR="004C59F8" w:rsidRPr="000E09F7" w:rsidRDefault="002E297B" w:rsidP="004C59F8">
      <w:pPr>
        <w:pStyle w:val="ItemHead"/>
      </w:pPr>
      <w:r w:rsidRPr="000E09F7">
        <w:t>10</w:t>
      </w:r>
      <w:r w:rsidR="004C59F8" w:rsidRPr="000E09F7">
        <w:t xml:space="preserve">  At the end of subsection 16(1) of Schedule 2</w:t>
      </w:r>
    </w:p>
    <w:p w14:paraId="493C2DB5" w14:textId="77777777" w:rsidR="004C59F8" w:rsidRPr="000E09F7" w:rsidRDefault="004C59F8" w:rsidP="004C59F8">
      <w:pPr>
        <w:pStyle w:val="Item"/>
        <w:ind w:firstLine="141"/>
      </w:pPr>
      <w:r w:rsidRPr="000E09F7">
        <w:t>Add “and includes activities to enable the extraction of coal and post-mining activities”.</w:t>
      </w:r>
    </w:p>
    <w:p w14:paraId="5375B30C" w14:textId="578D746C" w:rsidR="00ED35E8" w:rsidRPr="000E09F7" w:rsidRDefault="002E297B" w:rsidP="00ED35E8">
      <w:pPr>
        <w:pStyle w:val="ItemHead"/>
      </w:pPr>
      <w:r w:rsidRPr="000E09F7">
        <w:t>11</w:t>
      </w:r>
      <w:r w:rsidR="00ED35E8" w:rsidRPr="000E09F7">
        <w:t xml:space="preserve">  Note after subsection 17(2) of Schedule 2</w:t>
      </w:r>
    </w:p>
    <w:p w14:paraId="6562B97C" w14:textId="71632C9E" w:rsidR="00ED35E8" w:rsidRPr="000E09F7" w:rsidRDefault="00ED35E8" w:rsidP="00ED35E8">
      <w:pPr>
        <w:pStyle w:val="Item"/>
        <w:ind w:firstLine="141"/>
      </w:pPr>
      <w:r w:rsidRPr="000E09F7">
        <w:t>Repeal the note, substitute:</w:t>
      </w:r>
    </w:p>
    <w:p w14:paraId="370420A8" w14:textId="5B890A7B" w:rsidR="00ED35E8" w:rsidRPr="000E09F7" w:rsidRDefault="00F40499" w:rsidP="00ED35E8">
      <w:pPr>
        <w:pStyle w:val="tMain"/>
      </w:pPr>
      <w:r w:rsidRPr="000E09F7">
        <w:t> </w:t>
      </w:r>
      <w:r w:rsidRPr="000E09F7">
        <w:tab/>
        <w:t>(3</w:t>
      </w:r>
      <w:r w:rsidR="00ED35E8" w:rsidRPr="000E09F7">
        <w:t>)</w:t>
      </w:r>
      <w:r w:rsidR="00ED35E8" w:rsidRPr="000E09F7">
        <w:tab/>
        <w:t xml:space="preserve">The default emissions intensity is: </w:t>
      </w:r>
    </w:p>
    <w:p w14:paraId="3465A227" w14:textId="01FE0D3F" w:rsidR="00ED35E8" w:rsidRPr="000E09F7" w:rsidRDefault="00ED35E8" w:rsidP="00ED35E8">
      <w:pPr>
        <w:pStyle w:val="tPara"/>
        <w:rPr>
          <w:sz w:val="20"/>
        </w:rPr>
      </w:pPr>
      <w:r w:rsidRPr="000E09F7">
        <w:tab/>
        <w:t>(a)</w:t>
      </w:r>
      <w:r w:rsidRPr="000E09F7">
        <w:tab/>
        <w:t xml:space="preserve">for a tonne of run-of-mine coal from an underground coal mine—the sum of: </w:t>
      </w:r>
    </w:p>
    <w:p w14:paraId="6E344FA5" w14:textId="2112712B" w:rsidR="00ED35E8" w:rsidRPr="000E09F7" w:rsidRDefault="00ED35E8" w:rsidP="00ED35E8">
      <w:pPr>
        <w:pStyle w:val="tSubpara"/>
      </w:pPr>
      <w:r w:rsidRPr="000E09F7">
        <w:tab/>
        <w:t>(</w:t>
      </w:r>
      <w:proofErr w:type="spellStart"/>
      <w:r w:rsidRPr="000E09F7">
        <w:t>i</w:t>
      </w:r>
      <w:proofErr w:type="spellEnd"/>
      <w:r w:rsidRPr="000E09F7">
        <w:t>)</w:t>
      </w:r>
      <w:r w:rsidRPr="000E09F7">
        <w:tab/>
        <w:t>0.0137 t CO2-e; an</w:t>
      </w:r>
      <w:r w:rsidR="00001AFE" w:rsidRPr="000E09F7">
        <w:t>d</w:t>
      </w:r>
    </w:p>
    <w:p w14:paraId="3DE425DA" w14:textId="7E3467EA" w:rsidR="00ED35E8" w:rsidRPr="000E09F7" w:rsidRDefault="00ED35E8" w:rsidP="00ED35E8">
      <w:pPr>
        <w:pStyle w:val="tSubpara"/>
      </w:pPr>
      <w:r w:rsidRPr="000E09F7">
        <w:tab/>
        <w:t>(ii)</w:t>
      </w:r>
      <w:r w:rsidRPr="000E09F7">
        <w:tab/>
        <w:t>if section 3.</w:t>
      </w:r>
      <w:r w:rsidR="00487CB7" w:rsidRPr="000E09F7">
        <w:t>4(6)</w:t>
      </w:r>
      <w:r w:rsidRPr="000E09F7">
        <w:t xml:space="preserve"> of the NGER Measurement Determination applies to the coal mine—the factor </w:t>
      </w:r>
      <w:proofErr w:type="spellStart"/>
      <w:r w:rsidRPr="000E09F7">
        <w:t>EF</w:t>
      </w:r>
      <w:r w:rsidRPr="000E09F7">
        <w:rPr>
          <w:vertAlign w:val="subscript"/>
        </w:rPr>
        <w:t>j</w:t>
      </w:r>
      <w:proofErr w:type="spellEnd"/>
      <w:r w:rsidRPr="000E09F7">
        <w:t xml:space="preserve"> given by subsection 3.17(2) of the NGER Measurement Determination for the coal mine; </w:t>
      </w:r>
    </w:p>
    <w:p w14:paraId="748CF92E" w14:textId="2FF43204" w:rsidR="00ED35E8" w:rsidRPr="000E09F7" w:rsidRDefault="00ED35E8" w:rsidP="00ED35E8">
      <w:pPr>
        <w:pStyle w:val="tMain"/>
        <w:spacing w:before="0"/>
        <w:rPr>
          <w:lang w:val="en-GB"/>
        </w:rPr>
      </w:pPr>
      <w:r w:rsidRPr="000E09F7">
        <w:t>                      </w:t>
      </w:r>
      <w:r w:rsidR="00001AFE" w:rsidRPr="000E09F7">
        <w:t>  per tonne of run-of-mine coal; and</w:t>
      </w:r>
    </w:p>
    <w:p w14:paraId="5F404382" w14:textId="1FE96CB2" w:rsidR="00ED35E8" w:rsidRPr="000E09F7" w:rsidRDefault="00ED35E8" w:rsidP="00ED35E8">
      <w:pPr>
        <w:pStyle w:val="tPara"/>
      </w:pPr>
      <w:r w:rsidRPr="000E09F7">
        <w:tab/>
        <w:t>(b)</w:t>
      </w:r>
      <w:r w:rsidRPr="000E09F7">
        <w:tab/>
        <w:t xml:space="preserve">for a tonne of run-of-mine coal from an open cut coal mine—the sum of: </w:t>
      </w:r>
    </w:p>
    <w:p w14:paraId="3F6ABE59" w14:textId="4A6A0B25" w:rsidR="00ED35E8" w:rsidRPr="000E09F7" w:rsidRDefault="00ED35E8" w:rsidP="00ED35E8">
      <w:pPr>
        <w:pStyle w:val="tSubpara"/>
      </w:pPr>
      <w:r w:rsidRPr="000E09F7">
        <w:tab/>
        <w:t>(</w:t>
      </w:r>
      <w:proofErr w:type="spellStart"/>
      <w:r w:rsidRPr="000E09F7">
        <w:t>i</w:t>
      </w:r>
      <w:proofErr w:type="spellEnd"/>
      <w:r w:rsidRPr="000E09F7">
        <w:t>)</w:t>
      </w:r>
      <w:r w:rsidRPr="000E09F7">
        <w:tab/>
        <w:t>0.0137 t CO2-e; and</w:t>
      </w:r>
    </w:p>
    <w:p w14:paraId="7D153A4A" w14:textId="171A8ED9" w:rsidR="00ED35E8" w:rsidRPr="000E09F7" w:rsidRDefault="00ED35E8" w:rsidP="00ED35E8">
      <w:pPr>
        <w:pStyle w:val="tSubpara"/>
      </w:pPr>
      <w:r w:rsidRPr="000E09F7">
        <w:tab/>
        <w:t>(ii)</w:t>
      </w:r>
      <w:r w:rsidRPr="000E09F7">
        <w:tab/>
        <w:t xml:space="preserve">the </w:t>
      </w:r>
      <w:r w:rsidR="002A5817" w:rsidRPr="000E09F7">
        <w:t>emissions, in t CO2-e, calculated under</w:t>
      </w:r>
      <w:r w:rsidRPr="000E09F7">
        <w:t xml:space="preserve"> section 3.20</w:t>
      </w:r>
      <w:r w:rsidR="002A5817" w:rsidRPr="000E09F7">
        <w:t>, 3.21 or 3.26</w:t>
      </w:r>
      <w:r w:rsidRPr="000E09F7">
        <w:t xml:space="preserve"> of the NGER Measurement Determination for the coal mine</w:t>
      </w:r>
      <w:r w:rsidR="00BF19CA" w:rsidRPr="000E09F7">
        <w:t xml:space="preserve"> in the relevant</w:t>
      </w:r>
      <w:r w:rsidR="002A5817" w:rsidRPr="000E09F7">
        <w:t xml:space="preserve"> report under the Act for the </w:t>
      </w:r>
      <w:r w:rsidR="00BF19CA" w:rsidRPr="000E09F7">
        <w:t xml:space="preserve">financial </w:t>
      </w:r>
      <w:r w:rsidR="002A5817" w:rsidRPr="000E09F7">
        <w:t>year divided by the tonnes of run-of-mine coal for the same year</w:t>
      </w:r>
      <w:r w:rsidRPr="000E09F7">
        <w:t xml:space="preserve">; </w:t>
      </w:r>
    </w:p>
    <w:p w14:paraId="462EA1D6" w14:textId="4DD5C2D1" w:rsidR="00ED35E8" w:rsidRPr="000E09F7" w:rsidRDefault="00ED35E8" w:rsidP="00ED35E8">
      <w:pPr>
        <w:pStyle w:val="tMain"/>
        <w:spacing w:before="0"/>
        <w:rPr>
          <w:lang w:val="en-GB"/>
        </w:rPr>
      </w:pPr>
      <w:r w:rsidRPr="000E09F7">
        <w:t>                        per tonne of run-of-mine coal.</w:t>
      </w:r>
    </w:p>
    <w:p w14:paraId="493C2DB6" w14:textId="7BCB8D66" w:rsidR="004C59F8" w:rsidRPr="000E09F7" w:rsidRDefault="002E297B" w:rsidP="004C59F8">
      <w:pPr>
        <w:pStyle w:val="ItemHead"/>
      </w:pPr>
      <w:r w:rsidRPr="000E09F7">
        <w:t>12</w:t>
      </w:r>
      <w:r w:rsidR="004C59F8" w:rsidRPr="000E09F7">
        <w:t xml:space="preserve">  Subsection 18(1) of Schedule 2</w:t>
      </w:r>
    </w:p>
    <w:p w14:paraId="493C2DB7" w14:textId="77777777" w:rsidR="004C59F8" w:rsidRPr="000E09F7" w:rsidRDefault="004C59F8" w:rsidP="004C59F8">
      <w:pPr>
        <w:pStyle w:val="Item"/>
        <w:ind w:firstLine="141"/>
      </w:pPr>
      <w:r w:rsidRPr="000E09F7">
        <w:t>Repeal the subsection, substitute:</w:t>
      </w:r>
    </w:p>
    <w:p w14:paraId="493C2DB8" w14:textId="77777777" w:rsidR="004C59F8" w:rsidRPr="000E09F7" w:rsidRDefault="004C59F8" w:rsidP="004C59F8">
      <w:pPr>
        <w:pStyle w:val="tMain"/>
        <w:rPr>
          <w:sz w:val="20"/>
          <w:lang w:eastAsia="en-GB"/>
        </w:rPr>
      </w:pPr>
      <w:r w:rsidRPr="000E09F7">
        <w:tab/>
        <w:t>(1)</w:t>
      </w:r>
      <w:r w:rsidRPr="000E09F7">
        <w:tab/>
        <w:t>Tonnes of CO</w:t>
      </w:r>
      <w:r w:rsidRPr="000E09F7">
        <w:rPr>
          <w:vertAlign w:val="subscript"/>
        </w:rPr>
        <w:t>2</w:t>
      </w:r>
      <w:r w:rsidRPr="000E09F7">
        <w:t>-e of unmitigated coal mine waste gas:</w:t>
      </w:r>
    </w:p>
    <w:p w14:paraId="493C2DB9" w14:textId="77777777" w:rsidR="004C59F8" w:rsidRPr="000E09F7" w:rsidRDefault="004C59F8" w:rsidP="004C59F8">
      <w:pPr>
        <w:pStyle w:val="tPara"/>
      </w:pPr>
      <w:r w:rsidRPr="000E09F7">
        <w:tab/>
        <w:t>(a)</w:t>
      </w:r>
      <w:r w:rsidRPr="000E09F7">
        <w:tab/>
        <w:t>generated at the facility as part of carrying on the coal mining activity at the facility; and</w:t>
      </w:r>
    </w:p>
    <w:p w14:paraId="493C2DBA" w14:textId="77777777" w:rsidR="004C59F8" w:rsidRPr="000E09F7" w:rsidRDefault="004C59F8" w:rsidP="004C59F8">
      <w:pPr>
        <w:pStyle w:val="tPara"/>
      </w:pPr>
      <w:r w:rsidRPr="000E09F7">
        <w:tab/>
        <w:t>(b)</w:t>
      </w:r>
      <w:r w:rsidRPr="000E09F7">
        <w:tab/>
        <w:t>not from a decommissioned underground mine.</w:t>
      </w:r>
    </w:p>
    <w:p w14:paraId="493C2DBB" w14:textId="4EF17C4F" w:rsidR="004C59F8" w:rsidRPr="000E09F7" w:rsidRDefault="00BE3641" w:rsidP="00BE3641">
      <w:pPr>
        <w:pStyle w:val="nMain"/>
        <w:keepLines/>
        <w:tabs>
          <w:tab w:val="right" w:pos="1531"/>
        </w:tabs>
        <w:spacing w:after="100" w:line="276" w:lineRule="auto"/>
        <w:ind w:left="1701" w:hanging="1701"/>
        <w:rPr>
          <w:rFonts w:eastAsia="Calibri" w:cs="Arial"/>
          <w:iCs/>
          <w:sz w:val="20"/>
          <w:szCs w:val="22"/>
          <w:lang w:eastAsia="en-US"/>
        </w:rPr>
      </w:pPr>
      <w:r w:rsidRPr="000E09F7">
        <w:rPr>
          <w:rFonts w:eastAsia="Calibri" w:cs="Arial"/>
          <w:iCs/>
          <w:sz w:val="20"/>
          <w:szCs w:val="22"/>
          <w:lang w:eastAsia="en-US"/>
        </w:rPr>
        <w:tab/>
      </w:r>
      <w:r w:rsidR="004C59F8" w:rsidRPr="000E09F7">
        <w:rPr>
          <w:rFonts w:eastAsia="Calibri" w:cs="Arial"/>
          <w:iCs/>
          <w:sz w:val="20"/>
          <w:szCs w:val="22"/>
          <w:lang w:eastAsia="en-US"/>
        </w:rPr>
        <w:t>Note:</w:t>
      </w:r>
      <w:r w:rsidR="004C59F8" w:rsidRPr="000E09F7">
        <w:rPr>
          <w:rFonts w:eastAsia="Calibri" w:cs="Arial"/>
          <w:iCs/>
          <w:sz w:val="20"/>
          <w:szCs w:val="22"/>
          <w:lang w:eastAsia="en-US"/>
        </w:rPr>
        <w:tab/>
        <w:t>This includes pre-mine drainage, mining phase activities and post mining activities creating coal mine waste gas in the relevant reporting period.</w:t>
      </w:r>
    </w:p>
    <w:p w14:paraId="1A8A1436" w14:textId="54FE25A3" w:rsidR="00ED35E8" w:rsidRPr="000E09F7" w:rsidRDefault="002E297B" w:rsidP="00ED35E8">
      <w:pPr>
        <w:pStyle w:val="ItemHead"/>
      </w:pPr>
      <w:r w:rsidRPr="000E09F7">
        <w:t>13</w:t>
      </w:r>
      <w:r w:rsidR="00ED35E8" w:rsidRPr="000E09F7">
        <w:t xml:space="preserve">  Note after subsection 18(2) of Schedule 2</w:t>
      </w:r>
    </w:p>
    <w:p w14:paraId="1467CA8B" w14:textId="6D6BCF65" w:rsidR="00ED35E8" w:rsidRPr="000E09F7" w:rsidRDefault="00ED35E8" w:rsidP="00ED35E8">
      <w:pPr>
        <w:pStyle w:val="Item"/>
        <w:ind w:firstLine="141"/>
      </w:pPr>
      <w:r w:rsidRPr="000E09F7">
        <w:t>Repeal the note, substitute:</w:t>
      </w:r>
    </w:p>
    <w:p w14:paraId="4B6E8E1D" w14:textId="3B836D13" w:rsidR="00ED35E8" w:rsidRPr="000E09F7" w:rsidRDefault="00ED35E8" w:rsidP="00ED35E8">
      <w:pPr>
        <w:pStyle w:val="tMain"/>
      </w:pPr>
      <w:r w:rsidRPr="000E09F7">
        <w:tab/>
        <w:t>(3)</w:t>
      </w:r>
      <w:r w:rsidRPr="000E09F7">
        <w:tab/>
        <w:t>The default emissions intensity is 0.56</w:t>
      </w:r>
      <w:r w:rsidR="00093D64" w:rsidRPr="000E09F7">
        <w:t>4</w:t>
      </w:r>
      <w:r w:rsidRPr="000E09F7">
        <w:t xml:space="preserve"> t CO</w:t>
      </w:r>
      <w:r w:rsidRPr="000E09F7">
        <w:rPr>
          <w:vertAlign w:val="subscript"/>
        </w:rPr>
        <w:t>2</w:t>
      </w:r>
      <w:r w:rsidRPr="000E09F7">
        <w:t>-e per tonne of unmitigated coal mine waste gas.</w:t>
      </w:r>
    </w:p>
    <w:p w14:paraId="37437E47" w14:textId="76CC3098" w:rsidR="00ED35E8" w:rsidRPr="000E09F7" w:rsidRDefault="00163697" w:rsidP="00ED35E8">
      <w:pPr>
        <w:pStyle w:val="ItemHead"/>
      </w:pPr>
      <w:r w:rsidRPr="000E09F7">
        <w:t>1</w:t>
      </w:r>
      <w:r w:rsidR="002E297B" w:rsidRPr="000E09F7">
        <w:t>4</w:t>
      </w:r>
      <w:r w:rsidR="00ED35E8" w:rsidRPr="000E09F7">
        <w:t xml:space="preserve">  Note after subsection 20(3) of Schedule 2</w:t>
      </w:r>
    </w:p>
    <w:p w14:paraId="3350492E" w14:textId="77777777" w:rsidR="00ED35E8" w:rsidRPr="000E09F7" w:rsidRDefault="00ED35E8" w:rsidP="00ED35E8">
      <w:pPr>
        <w:pStyle w:val="Item"/>
        <w:ind w:firstLine="141"/>
      </w:pPr>
      <w:r w:rsidRPr="000E09F7">
        <w:t>Repeal the note, substitute:</w:t>
      </w:r>
    </w:p>
    <w:p w14:paraId="6CD1E5EC" w14:textId="3BFC4F7D" w:rsidR="00ED35E8" w:rsidRPr="000E09F7" w:rsidRDefault="00ED35E8" w:rsidP="00ED35E8">
      <w:pPr>
        <w:pStyle w:val="tMain"/>
      </w:pPr>
      <w:r w:rsidRPr="000E09F7">
        <w:tab/>
        <w:t>(4)</w:t>
      </w:r>
      <w:r w:rsidRPr="000E09F7">
        <w:tab/>
        <w:t>The default emissions intensity is 0.0047</w:t>
      </w:r>
      <w:r w:rsidR="00093D64" w:rsidRPr="000E09F7">
        <w:t>6</w:t>
      </w:r>
      <w:r w:rsidRPr="000E09F7">
        <w:t xml:space="preserve"> t CO</w:t>
      </w:r>
      <w:r w:rsidRPr="000E09F7">
        <w:rPr>
          <w:vertAlign w:val="subscript"/>
        </w:rPr>
        <w:t>2</w:t>
      </w:r>
      <w:r w:rsidRPr="000E09F7">
        <w:t>-e per tonne of iron ore.</w:t>
      </w:r>
    </w:p>
    <w:p w14:paraId="6F89F4AB" w14:textId="196E3E55" w:rsidR="00ED35E8" w:rsidRPr="000E09F7" w:rsidRDefault="00163697" w:rsidP="00ED35E8">
      <w:pPr>
        <w:pStyle w:val="ItemHead"/>
      </w:pPr>
      <w:r w:rsidRPr="000E09F7">
        <w:t>1</w:t>
      </w:r>
      <w:r w:rsidR="002E297B" w:rsidRPr="000E09F7">
        <w:t>5</w:t>
      </w:r>
      <w:r w:rsidR="00ED35E8" w:rsidRPr="000E09F7">
        <w:t xml:space="preserve">  Note after subsection 22(3) of Schedule 2</w:t>
      </w:r>
    </w:p>
    <w:p w14:paraId="1A7C38C9" w14:textId="77777777" w:rsidR="00ED35E8" w:rsidRPr="000E09F7" w:rsidRDefault="00ED35E8" w:rsidP="00ED35E8">
      <w:pPr>
        <w:pStyle w:val="Item"/>
        <w:ind w:firstLine="141"/>
      </w:pPr>
      <w:r w:rsidRPr="000E09F7">
        <w:t>Repeal the note, substitute:</w:t>
      </w:r>
    </w:p>
    <w:p w14:paraId="7AC8130B" w14:textId="21E21C16" w:rsidR="00ED35E8" w:rsidRPr="000E09F7" w:rsidRDefault="00ED35E8" w:rsidP="00ED35E8">
      <w:pPr>
        <w:pStyle w:val="tMain"/>
      </w:pPr>
      <w:r w:rsidRPr="000E09F7">
        <w:tab/>
        <w:t>(4)</w:t>
      </w:r>
      <w:r w:rsidRPr="000E09F7">
        <w:tab/>
        <w:t>The default emissions intensity is 0.00402 t CO</w:t>
      </w:r>
      <w:r w:rsidRPr="000E09F7">
        <w:rPr>
          <w:vertAlign w:val="subscript"/>
        </w:rPr>
        <w:t>2</w:t>
      </w:r>
      <w:r w:rsidRPr="000E09F7">
        <w:t>-e per tonne of bauxite.</w:t>
      </w:r>
    </w:p>
    <w:p w14:paraId="43E0EF5E" w14:textId="56417EC2" w:rsidR="002E297B" w:rsidRPr="000E09F7" w:rsidRDefault="002E297B" w:rsidP="002E297B">
      <w:pPr>
        <w:pStyle w:val="ItemHead"/>
      </w:pPr>
      <w:r w:rsidRPr="000E09F7">
        <w:t>16  Paragraph 23(2)(a) of Schedule 2</w:t>
      </w:r>
    </w:p>
    <w:p w14:paraId="382022B9" w14:textId="6A2F4165" w:rsidR="002E297B" w:rsidRPr="000E09F7" w:rsidRDefault="002E297B" w:rsidP="002E297B">
      <w:pPr>
        <w:pStyle w:val="Item"/>
        <w:ind w:firstLine="141"/>
      </w:pPr>
      <w:r w:rsidRPr="000E09F7">
        <w:t>Before “ilmenite”, omit “such as such as”.</w:t>
      </w:r>
    </w:p>
    <w:p w14:paraId="417CBB53" w14:textId="7956CEAC" w:rsidR="00ED35E8" w:rsidRPr="000E09F7" w:rsidRDefault="002E297B" w:rsidP="00ED35E8">
      <w:pPr>
        <w:pStyle w:val="ItemHead"/>
      </w:pPr>
      <w:r w:rsidRPr="000E09F7">
        <w:t>17</w:t>
      </w:r>
      <w:r w:rsidR="00ED35E8" w:rsidRPr="000E09F7">
        <w:t xml:space="preserve">  Note after subsection 24(3) of Schedule 2</w:t>
      </w:r>
    </w:p>
    <w:p w14:paraId="692B3A0A" w14:textId="77777777" w:rsidR="00ED35E8" w:rsidRPr="000E09F7" w:rsidRDefault="00ED35E8" w:rsidP="00ED35E8">
      <w:pPr>
        <w:pStyle w:val="Item"/>
        <w:ind w:firstLine="141"/>
      </w:pPr>
      <w:r w:rsidRPr="000E09F7">
        <w:t>Repeal the note, substitute:</w:t>
      </w:r>
    </w:p>
    <w:p w14:paraId="3A5E7823" w14:textId="18EDB12B" w:rsidR="00ED35E8" w:rsidRPr="000E09F7" w:rsidRDefault="00ED35E8" w:rsidP="00ED35E8">
      <w:pPr>
        <w:pStyle w:val="tMain"/>
      </w:pPr>
      <w:r w:rsidRPr="000E09F7">
        <w:tab/>
        <w:t>(4)</w:t>
      </w:r>
      <w:r w:rsidRPr="000E09F7">
        <w:tab/>
        <w:t>The default emissions intensity is 0.00859 t CO</w:t>
      </w:r>
      <w:r w:rsidRPr="000E09F7">
        <w:rPr>
          <w:vertAlign w:val="subscript"/>
        </w:rPr>
        <w:t>2</w:t>
      </w:r>
      <w:r w:rsidRPr="000E09F7">
        <w:t>-e per tonne of run-of-mine metal ore.</w:t>
      </w:r>
    </w:p>
    <w:p w14:paraId="493C2DBC" w14:textId="448338D8" w:rsidR="006B07F9" w:rsidRPr="000E09F7" w:rsidRDefault="002E297B" w:rsidP="006B07F9">
      <w:pPr>
        <w:pStyle w:val="ItemHead"/>
      </w:pPr>
      <w:r w:rsidRPr="000E09F7">
        <w:t>18</w:t>
      </w:r>
      <w:r w:rsidR="006B07F9" w:rsidRPr="000E09F7">
        <w:t xml:space="preserve">  Before Division 1 of Part 23 of Schedule 2 </w:t>
      </w:r>
    </w:p>
    <w:p w14:paraId="493C2DBD" w14:textId="77777777" w:rsidR="006B07F9" w:rsidRPr="000E09F7" w:rsidRDefault="006B07F9" w:rsidP="006B07F9">
      <w:pPr>
        <w:pStyle w:val="Item"/>
      </w:pPr>
      <w:r w:rsidRPr="000E09F7">
        <w:t>Insert:</w:t>
      </w:r>
    </w:p>
    <w:p w14:paraId="493C2DBE" w14:textId="77777777" w:rsidR="006B07F9" w:rsidRPr="000E09F7" w:rsidRDefault="006B07F9" w:rsidP="006B07F9">
      <w:pPr>
        <w:pStyle w:val="h3Div"/>
      </w:pPr>
      <w:r w:rsidRPr="000E09F7">
        <w:rPr>
          <w:rStyle w:val="CharDivNo"/>
        </w:rPr>
        <w:t>Division 1AA</w:t>
      </w:r>
      <w:r w:rsidRPr="000E09F7">
        <w:t xml:space="preserve">—Definitions </w:t>
      </w:r>
    </w:p>
    <w:p w14:paraId="493C2DBF" w14:textId="77777777" w:rsidR="006B07F9" w:rsidRPr="000E09F7" w:rsidRDefault="006B07F9" w:rsidP="006B07F9">
      <w:pPr>
        <w:pStyle w:val="h5Section"/>
      </w:pPr>
      <w:r w:rsidRPr="000E09F7">
        <w:t>53A  Definitions</w:t>
      </w:r>
    </w:p>
    <w:p w14:paraId="493C2DC0" w14:textId="77777777" w:rsidR="006B07F9" w:rsidRPr="000E09F7" w:rsidRDefault="006B07F9" w:rsidP="006B07F9">
      <w:pPr>
        <w:pStyle w:val="tMain"/>
      </w:pPr>
      <w:r w:rsidRPr="000E09F7">
        <w:tab/>
      </w:r>
      <w:r w:rsidRPr="000E09F7">
        <w:tab/>
        <w:t>In this Part:</w:t>
      </w:r>
    </w:p>
    <w:p w14:paraId="493C2DC1" w14:textId="77777777" w:rsidR="00F8533F" w:rsidRPr="000E09F7" w:rsidRDefault="00F8533F" w:rsidP="00F8533F">
      <w:pPr>
        <w:pStyle w:val="tDefn"/>
        <w:rPr>
          <w:bCs/>
          <w:iCs/>
          <w:szCs w:val="22"/>
          <w:shd w:val="clear" w:color="auto" w:fill="FFFFFF"/>
        </w:rPr>
      </w:pPr>
      <w:r w:rsidRPr="000E09F7">
        <w:rPr>
          <w:b/>
          <w:bCs/>
          <w:i/>
          <w:iCs/>
          <w:szCs w:val="22"/>
          <w:shd w:val="clear" w:color="auto" w:fill="FFFFFF"/>
        </w:rPr>
        <w:t xml:space="preserve">bulk freight </w:t>
      </w:r>
      <w:r w:rsidRPr="000E09F7">
        <w:rPr>
          <w:bCs/>
          <w:iCs/>
          <w:szCs w:val="22"/>
          <w:shd w:val="clear" w:color="auto" w:fill="FFFFFF"/>
        </w:rPr>
        <w:t xml:space="preserve">is the transport of goods that: </w:t>
      </w:r>
    </w:p>
    <w:p w14:paraId="493C2DC2" w14:textId="77777777" w:rsidR="00F8533F" w:rsidRPr="000E09F7" w:rsidRDefault="00F8533F" w:rsidP="00F8533F">
      <w:pPr>
        <w:pStyle w:val="tPara"/>
        <w:rPr>
          <w:bCs/>
          <w:iCs/>
          <w:szCs w:val="22"/>
          <w:shd w:val="clear" w:color="auto" w:fill="FFFFFF"/>
        </w:rPr>
      </w:pPr>
      <w:r w:rsidRPr="000E09F7">
        <w:rPr>
          <w:bCs/>
          <w:iCs/>
          <w:szCs w:val="22"/>
          <w:shd w:val="clear" w:color="auto" w:fill="FFFFFF"/>
        </w:rPr>
        <w:tab/>
        <w:t>(a)</w:t>
      </w:r>
      <w:r w:rsidRPr="000E09F7">
        <w:rPr>
          <w:bCs/>
          <w:iCs/>
          <w:szCs w:val="22"/>
          <w:shd w:val="clear" w:color="auto" w:fill="FFFFFF"/>
        </w:rPr>
        <w:tab/>
        <w:t>consist of one or more of:</w:t>
      </w:r>
    </w:p>
    <w:p w14:paraId="493C2DC3" w14:textId="77777777" w:rsidR="00F8533F" w:rsidRPr="000E09F7" w:rsidRDefault="00F8533F" w:rsidP="00F8533F">
      <w:pPr>
        <w:pStyle w:val="tSubpara"/>
      </w:pPr>
      <w:r w:rsidRPr="000E09F7">
        <w:tab/>
        <w:t>(</w:t>
      </w:r>
      <w:proofErr w:type="spellStart"/>
      <w:r w:rsidRPr="000E09F7">
        <w:t>i</w:t>
      </w:r>
      <w:proofErr w:type="spellEnd"/>
      <w:r w:rsidRPr="000E09F7">
        <w:t>)</w:t>
      </w:r>
      <w:r w:rsidRPr="000E09F7">
        <w:tab/>
        <w:t>large quantities of a homogenous product; and</w:t>
      </w:r>
    </w:p>
    <w:p w14:paraId="493C2DC4" w14:textId="77777777" w:rsidR="00F8533F" w:rsidRPr="000E09F7" w:rsidRDefault="00F8533F" w:rsidP="00F8533F">
      <w:pPr>
        <w:pStyle w:val="tSubpara"/>
        <w:rPr>
          <w:bCs/>
          <w:iCs/>
          <w:szCs w:val="22"/>
          <w:shd w:val="clear" w:color="auto" w:fill="FFFFFF"/>
        </w:rPr>
      </w:pPr>
      <w:r w:rsidRPr="000E09F7">
        <w:tab/>
        <w:t>(ii)</w:t>
      </w:r>
      <w:r w:rsidRPr="000E09F7">
        <w:tab/>
      </w:r>
      <w:r w:rsidRPr="000E09F7">
        <w:rPr>
          <w:bCs/>
          <w:iCs/>
          <w:szCs w:val="22"/>
          <w:shd w:val="clear" w:color="auto" w:fill="FFFFFF"/>
        </w:rPr>
        <w:t xml:space="preserve">product in shipping containers; and </w:t>
      </w:r>
    </w:p>
    <w:p w14:paraId="493C2DC5" w14:textId="77777777" w:rsidR="00F8533F" w:rsidRPr="000E09F7" w:rsidRDefault="00F8533F" w:rsidP="00F8533F">
      <w:pPr>
        <w:pStyle w:val="tSubpara"/>
        <w:rPr>
          <w:bCs/>
          <w:iCs/>
          <w:szCs w:val="22"/>
          <w:shd w:val="clear" w:color="auto" w:fill="FFFFFF"/>
        </w:rPr>
      </w:pPr>
      <w:r w:rsidRPr="000E09F7">
        <w:rPr>
          <w:bCs/>
          <w:iCs/>
          <w:szCs w:val="22"/>
          <w:shd w:val="clear" w:color="auto" w:fill="FFFFFF"/>
        </w:rPr>
        <w:tab/>
        <w:t>(iii)</w:t>
      </w:r>
      <w:r w:rsidRPr="000E09F7">
        <w:rPr>
          <w:bCs/>
          <w:iCs/>
          <w:szCs w:val="22"/>
          <w:shd w:val="clear" w:color="auto" w:fill="FFFFFF"/>
        </w:rPr>
        <w:tab/>
        <w:t>uniform types of packaged goods such as bags, pallets and drums; and</w:t>
      </w:r>
    </w:p>
    <w:p w14:paraId="493C2DC6" w14:textId="1BC4A6BC" w:rsidR="00F8533F" w:rsidRPr="000E09F7" w:rsidRDefault="00F8533F" w:rsidP="00F8533F">
      <w:pPr>
        <w:pStyle w:val="tPara"/>
        <w:rPr>
          <w:bCs/>
          <w:iCs/>
          <w:szCs w:val="22"/>
          <w:shd w:val="clear" w:color="auto" w:fill="FFFFFF"/>
        </w:rPr>
      </w:pPr>
      <w:r w:rsidRPr="000E09F7">
        <w:rPr>
          <w:bCs/>
          <w:iCs/>
          <w:szCs w:val="22"/>
          <w:shd w:val="clear" w:color="auto" w:fill="FFFFFF"/>
        </w:rPr>
        <w:tab/>
        <w:t>(b)</w:t>
      </w:r>
      <w:r w:rsidRPr="000E09F7">
        <w:rPr>
          <w:bCs/>
          <w:iCs/>
          <w:szCs w:val="22"/>
          <w:shd w:val="clear" w:color="auto" w:fill="FFFFFF"/>
        </w:rPr>
        <w:tab/>
      </w:r>
      <w:r w:rsidR="009C0069" w:rsidRPr="000E09F7">
        <w:rPr>
          <w:bCs/>
          <w:iCs/>
          <w:szCs w:val="22"/>
          <w:shd w:val="clear" w:color="auto" w:fill="FFFFFF"/>
        </w:rPr>
        <w:t>are</w:t>
      </w:r>
      <w:r w:rsidRPr="000E09F7">
        <w:rPr>
          <w:bCs/>
          <w:iCs/>
          <w:szCs w:val="22"/>
          <w:shd w:val="clear" w:color="auto" w:fill="FFFFFF"/>
        </w:rPr>
        <w:t xml:space="preserve"> conveyed in road tankers (including ISO tankers), side tipping vehicles, skeletal and flat top trailers, and other road registered vehicles used for carrying bulk materials; and </w:t>
      </w:r>
    </w:p>
    <w:p w14:paraId="493C2DC7" w14:textId="620BD6D7" w:rsidR="00F8533F" w:rsidRPr="000E09F7" w:rsidRDefault="00F8533F" w:rsidP="00F8533F">
      <w:pPr>
        <w:pStyle w:val="tPara"/>
        <w:rPr>
          <w:b/>
          <w:bCs/>
          <w:i/>
          <w:iCs/>
          <w:szCs w:val="22"/>
          <w:shd w:val="clear" w:color="auto" w:fill="FFFFFF"/>
        </w:rPr>
      </w:pPr>
      <w:r w:rsidRPr="000E09F7">
        <w:rPr>
          <w:bCs/>
          <w:iCs/>
          <w:szCs w:val="22"/>
          <w:shd w:val="clear" w:color="auto" w:fill="FFFFFF"/>
        </w:rPr>
        <w:tab/>
        <w:t>(c)</w:t>
      </w:r>
      <w:r w:rsidRPr="000E09F7">
        <w:rPr>
          <w:bCs/>
          <w:iCs/>
          <w:szCs w:val="22"/>
          <w:shd w:val="clear" w:color="auto" w:fill="FFFFFF"/>
        </w:rPr>
        <w:tab/>
      </w:r>
      <w:r w:rsidR="009C0069" w:rsidRPr="000E09F7">
        <w:rPr>
          <w:bCs/>
          <w:iCs/>
          <w:szCs w:val="22"/>
          <w:shd w:val="clear" w:color="auto" w:fill="FFFFFF"/>
        </w:rPr>
        <w:t>are</w:t>
      </w:r>
      <w:r w:rsidRPr="000E09F7">
        <w:rPr>
          <w:bCs/>
          <w:iCs/>
          <w:szCs w:val="22"/>
          <w:shd w:val="clear" w:color="auto" w:fill="FFFFFF"/>
        </w:rPr>
        <w:t xml:space="preserve"> generally charged on a weight basis.</w:t>
      </w:r>
    </w:p>
    <w:p w14:paraId="493C2DC8" w14:textId="77777777" w:rsidR="00F8533F" w:rsidRPr="000E09F7" w:rsidRDefault="00F8533F" w:rsidP="00F8533F">
      <w:pPr>
        <w:pStyle w:val="tDefn"/>
        <w:rPr>
          <w:bCs/>
          <w:iCs/>
          <w:szCs w:val="22"/>
          <w:shd w:val="clear" w:color="auto" w:fill="FFFFFF"/>
        </w:rPr>
      </w:pPr>
      <w:r w:rsidRPr="000E09F7">
        <w:rPr>
          <w:b/>
          <w:bCs/>
          <w:i/>
          <w:iCs/>
          <w:szCs w:val="22"/>
          <w:shd w:val="clear" w:color="auto" w:fill="FFFFFF"/>
        </w:rPr>
        <w:t>c</w:t>
      </w:r>
      <w:r w:rsidR="00CF5959" w:rsidRPr="000E09F7">
        <w:rPr>
          <w:b/>
          <w:bCs/>
          <w:i/>
          <w:iCs/>
          <w:szCs w:val="22"/>
          <w:shd w:val="clear" w:color="auto" w:fill="FFFFFF"/>
        </w:rPr>
        <w:t>ubic tonne</w:t>
      </w:r>
      <w:r w:rsidRPr="000E09F7">
        <w:rPr>
          <w:b/>
          <w:bCs/>
          <w:i/>
          <w:iCs/>
          <w:szCs w:val="22"/>
          <w:shd w:val="clear" w:color="auto" w:fill="FFFFFF"/>
        </w:rPr>
        <w:t xml:space="preserve"> </w:t>
      </w:r>
      <w:r w:rsidRPr="000E09F7">
        <w:rPr>
          <w:bCs/>
          <w:iCs/>
          <w:szCs w:val="22"/>
          <w:shd w:val="clear" w:color="auto" w:fill="FFFFFF"/>
        </w:rPr>
        <w:t>is the volume of the freight item (generally height × width × depth) multiplied by a cubic conversion factor (for nominal or actual density) to derive an equivalent net weight.</w:t>
      </w:r>
    </w:p>
    <w:p w14:paraId="493C2DC9" w14:textId="77777777" w:rsidR="00CF5959" w:rsidRPr="000E09F7" w:rsidRDefault="00CF5959" w:rsidP="00CF5959">
      <w:pPr>
        <w:pStyle w:val="tDefn"/>
        <w:rPr>
          <w:b/>
          <w:bCs/>
          <w:i/>
          <w:iCs/>
          <w:szCs w:val="22"/>
          <w:shd w:val="clear" w:color="auto" w:fill="FFFFFF"/>
        </w:rPr>
      </w:pPr>
      <w:r w:rsidRPr="000E09F7">
        <w:rPr>
          <w:b/>
          <w:bCs/>
          <w:i/>
          <w:iCs/>
          <w:szCs w:val="22"/>
          <w:shd w:val="clear" w:color="auto" w:fill="FFFFFF"/>
        </w:rPr>
        <w:t xml:space="preserve">cubic-tonne-kilometre </w:t>
      </w:r>
      <w:r w:rsidRPr="000E09F7">
        <w:rPr>
          <w:bCs/>
          <w:iCs/>
          <w:szCs w:val="22"/>
          <w:shd w:val="clear" w:color="auto" w:fill="FFFFFF"/>
        </w:rPr>
        <w:t>means the unit of measure representing the movement over a distance of one kilometre of one cubic tonne of freight.</w:t>
      </w:r>
      <w:r w:rsidRPr="000E09F7">
        <w:rPr>
          <w:b/>
          <w:bCs/>
          <w:i/>
          <w:iCs/>
          <w:szCs w:val="22"/>
          <w:shd w:val="clear" w:color="auto" w:fill="FFFFFF"/>
        </w:rPr>
        <w:t xml:space="preserve"> </w:t>
      </w:r>
    </w:p>
    <w:p w14:paraId="493C2DCA" w14:textId="77777777" w:rsidR="00F8533F" w:rsidRPr="000E09F7" w:rsidRDefault="004411EA" w:rsidP="00F8533F">
      <w:pPr>
        <w:pStyle w:val="tDefn"/>
        <w:rPr>
          <w:b/>
          <w:bCs/>
          <w:i/>
          <w:iCs/>
          <w:szCs w:val="22"/>
          <w:shd w:val="clear" w:color="auto" w:fill="FFFFFF"/>
        </w:rPr>
      </w:pPr>
      <w:r w:rsidRPr="000E09F7">
        <w:rPr>
          <w:b/>
          <w:bCs/>
          <w:i/>
          <w:iCs/>
          <w:szCs w:val="22"/>
          <w:shd w:val="clear" w:color="auto" w:fill="FFFFFF"/>
        </w:rPr>
        <w:t>d</w:t>
      </w:r>
      <w:r w:rsidR="00F8533F" w:rsidRPr="000E09F7">
        <w:rPr>
          <w:b/>
          <w:bCs/>
          <w:i/>
          <w:iCs/>
          <w:szCs w:val="22"/>
          <w:shd w:val="clear" w:color="auto" w:fill="FFFFFF"/>
        </w:rPr>
        <w:t>eadweight</w:t>
      </w:r>
      <w:r w:rsidRPr="000E09F7">
        <w:rPr>
          <w:b/>
          <w:bCs/>
          <w:i/>
          <w:iCs/>
          <w:szCs w:val="22"/>
          <w:shd w:val="clear" w:color="auto" w:fill="FFFFFF"/>
        </w:rPr>
        <w:t xml:space="preserve"> tonne</w:t>
      </w:r>
      <w:r w:rsidR="00F8533F" w:rsidRPr="000E09F7">
        <w:rPr>
          <w:b/>
          <w:bCs/>
          <w:i/>
          <w:iCs/>
          <w:szCs w:val="22"/>
          <w:shd w:val="clear" w:color="auto" w:fill="FFFFFF"/>
        </w:rPr>
        <w:t xml:space="preserve"> </w:t>
      </w:r>
      <w:r w:rsidR="00F8533F" w:rsidRPr="000E09F7">
        <w:rPr>
          <w:bCs/>
          <w:iCs/>
          <w:szCs w:val="22"/>
          <w:shd w:val="clear" w:color="auto" w:fill="FFFFFF"/>
        </w:rPr>
        <w:t xml:space="preserve">is </w:t>
      </w:r>
      <w:r w:rsidRPr="000E09F7">
        <w:rPr>
          <w:bCs/>
          <w:iCs/>
          <w:szCs w:val="22"/>
          <w:shd w:val="clear" w:color="auto" w:fill="FFFFFF"/>
        </w:rPr>
        <w:t xml:space="preserve">a tonne of </w:t>
      </w:r>
      <w:r w:rsidR="00F8533F" w:rsidRPr="000E09F7">
        <w:rPr>
          <w:bCs/>
          <w:iCs/>
          <w:szCs w:val="22"/>
          <w:shd w:val="clear" w:color="auto" w:fill="FFFFFF"/>
        </w:rPr>
        <w:t>the carrying capacity of the vehicle including fuel, driver and pass</w:t>
      </w:r>
      <w:r w:rsidRPr="000E09F7">
        <w:rPr>
          <w:bCs/>
          <w:iCs/>
          <w:szCs w:val="22"/>
          <w:shd w:val="clear" w:color="auto" w:fill="FFFFFF"/>
        </w:rPr>
        <w:t xml:space="preserve">engers, provisions and freight, but not including </w:t>
      </w:r>
      <w:r w:rsidR="00F8533F" w:rsidRPr="000E09F7">
        <w:rPr>
          <w:bCs/>
          <w:iCs/>
          <w:szCs w:val="22"/>
          <w:shd w:val="clear" w:color="auto" w:fill="FFFFFF"/>
        </w:rPr>
        <w:t>the weight of the prime mover and trailer.</w:t>
      </w:r>
      <w:r w:rsidR="00F8533F" w:rsidRPr="000E09F7">
        <w:rPr>
          <w:b/>
          <w:bCs/>
          <w:i/>
          <w:iCs/>
          <w:szCs w:val="22"/>
          <w:shd w:val="clear" w:color="auto" w:fill="FFFFFF"/>
        </w:rPr>
        <w:t xml:space="preserve"> </w:t>
      </w:r>
    </w:p>
    <w:p w14:paraId="493C2DCB" w14:textId="77777777" w:rsidR="00F8533F" w:rsidRPr="000E09F7" w:rsidRDefault="004411EA" w:rsidP="00F8533F">
      <w:pPr>
        <w:pStyle w:val="tDefn"/>
        <w:rPr>
          <w:b/>
          <w:bCs/>
          <w:i/>
          <w:iCs/>
          <w:szCs w:val="22"/>
          <w:shd w:val="clear" w:color="auto" w:fill="FFFFFF"/>
        </w:rPr>
      </w:pPr>
      <w:r w:rsidRPr="000E09F7">
        <w:rPr>
          <w:b/>
          <w:bCs/>
          <w:i/>
          <w:iCs/>
          <w:szCs w:val="22"/>
          <w:shd w:val="clear" w:color="auto" w:fill="FFFFFF"/>
        </w:rPr>
        <w:t>d</w:t>
      </w:r>
      <w:r w:rsidR="00F8533F" w:rsidRPr="000E09F7">
        <w:rPr>
          <w:b/>
          <w:bCs/>
          <w:i/>
          <w:iCs/>
          <w:szCs w:val="22"/>
          <w:shd w:val="clear" w:color="auto" w:fill="FFFFFF"/>
        </w:rPr>
        <w:t xml:space="preserve">eadweight-tonne-kilometre </w:t>
      </w:r>
      <w:r w:rsidR="00F8533F" w:rsidRPr="000E09F7">
        <w:rPr>
          <w:bCs/>
          <w:iCs/>
          <w:szCs w:val="22"/>
          <w:shd w:val="clear" w:color="auto" w:fill="FFFFFF"/>
        </w:rPr>
        <w:t xml:space="preserve">means the unit of measure representing the movement </w:t>
      </w:r>
      <w:r w:rsidRPr="000E09F7">
        <w:rPr>
          <w:bCs/>
          <w:iCs/>
          <w:szCs w:val="22"/>
          <w:shd w:val="clear" w:color="auto" w:fill="FFFFFF"/>
        </w:rPr>
        <w:t xml:space="preserve">of a deadweight tonne </w:t>
      </w:r>
      <w:r w:rsidR="00F8533F" w:rsidRPr="000E09F7">
        <w:rPr>
          <w:bCs/>
          <w:iCs/>
          <w:szCs w:val="22"/>
          <w:shd w:val="clear" w:color="auto" w:fill="FFFFFF"/>
        </w:rPr>
        <w:t>over a distance of one kilometre.</w:t>
      </w:r>
      <w:r w:rsidR="00F8533F" w:rsidRPr="000E09F7">
        <w:rPr>
          <w:b/>
          <w:bCs/>
          <w:i/>
          <w:iCs/>
          <w:szCs w:val="22"/>
          <w:shd w:val="clear" w:color="auto" w:fill="FFFFFF"/>
        </w:rPr>
        <w:t xml:space="preserve"> </w:t>
      </w:r>
    </w:p>
    <w:p w14:paraId="493C2DCC" w14:textId="77777777" w:rsidR="00F8533F" w:rsidRPr="000E09F7" w:rsidRDefault="004411EA" w:rsidP="00F8533F">
      <w:pPr>
        <w:pStyle w:val="tDefn"/>
        <w:rPr>
          <w:b/>
          <w:bCs/>
          <w:i/>
          <w:iCs/>
          <w:szCs w:val="22"/>
          <w:shd w:val="clear" w:color="auto" w:fill="FFFFFF"/>
        </w:rPr>
      </w:pPr>
      <w:r w:rsidRPr="000E09F7">
        <w:rPr>
          <w:b/>
          <w:bCs/>
          <w:i/>
          <w:iCs/>
          <w:szCs w:val="22"/>
          <w:shd w:val="clear" w:color="auto" w:fill="FFFFFF"/>
        </w:rPr>
        <w:t>f</w:t>
      </w:r>
      <w:r w:rsidR="00F8533F" w:rsidRPr="000E09F7">
        <w:rPr>
          <w:b/>
          <w:bCs/>
          <w:i/>
          <w:iCs/>
          <w:szCs w:val="22"/>
          <w:shd w:val="clear" w:color="auto" w:fill="FFFFFF"/>
        </w:rPr>
        <w:t xml:space="preserve">reight </w:t>
      </w:r>
      <w:r w:rsidR="00F8533F" w:rsidRPr="000E09F7">
        <w:rPr>
          <w:bCs/>
          <w:iCs/>
          <w:szCs w:val="22"/>
          <w:shd w:val="clear" w:color="auto" w:fill="FFFFFF"/>
        </w:rPr>
        <w:t>includes a saleable g</w:t>
      </w:r>
      <w:r w:rsidRPr="000E09F7">
        <w:rPr>
          <w:bCs/>
          <w:iCs/>
          <w:szCs w:val="22"/>
          <w:shd w:val="clear" w:color="auto" w:fill="FFFFFF"/>
        </w:rPr>
        <w:t>ood or transported service (such as</w:t>
      </w:r>
      <w:r w:rsidR="00F8533F" w:rsidRPr="000E09F7">
        <w:rPr>
          <w:bCs/>
          <w:iCs/>
          <w:szCs w:val="22"/>
          <w:shd w:val="clear" w:color="auto" w:fill="FFFFFF"/>
        </w:rPr>
        <w:t xml:space="preserve"> crane hire) transported in a road-registered vehicle</w:t>
      </w:r>
      <w:r w:rsidR="00C5453E" w:rsidRPr="000E09F7">
        <w:rPr>
          <w:bCs/>
          <w:iCs/>
          <w:szCs w:val="22"/>
          <w:shd w:val="clear" w:color="auto" w:fill="FFFFFF"/>
        </w:rPr>
        <w:t>.</w:t>
      </w:r>
    </w:p>
    <w:p w14:paraId="493C2DCD" w14:textId="77777777" w:rsidR="00F8533F" w:rsidRPr="000E09F7" w:rsidRDefault="004411EA" w:rsidP="00F8533F">
      <w:pPr>
        <w:pStyle w:val="tDefn"/>
        <w:rPr>
          <w:b/>
          <w:bCs/>
          <w:i/>
          <w:iCs/>
          <w:szCs w:val="22"/>
          <w:shd w:val="clear" w:color="auto" w:fill="FFFFFF"/>
        </w:rPr>
      </w:pPr>
      <w:r w:rsidRPr="000E09F7">
        <w:rPr>
          <w:b/>
          <w:bCs/>
          <w:i/>
          <w:iCs/>
          <w:szCs w:val="22"/>
          <w:shd w:val="clear" w:color="auto" w:fill="FFFFFF"/>
        </w:rPr>
        <w:t>n</w:t>
      </w:r>
      <w:r w:rsidR="00F8533F" w:rsidRPr="000E09F7">
        <w:rPr>
          <w:b/>
          <w:bCs/>
          <w:i/>
          <w:iCs/>
          <w:szCs w:val="22"/>
          <w:shd w:val="clear" w:color="auto" w:fill="FFFFFF"/>
        </w:rPr>
        <w:t xml:space="preserve">et-tonne-kilometre </w:t>
      </w:r>
      <w:r w:rsidR="00F8533F" w:rsidRPr="000E09F7">
        <w:rPr>
          <w:bCs/>
          <w:iCs/>
          <w:szCs w:val="22"/>
          <w:shd w:val="clear" w:color="auto" w:fill="FFFFFF"/>
        </w:rPr>
        <w:t>means the unit of measure representing the movement over a distance of one kilometre of one net tonne of freight.</w:t>
      </w:r>
      <w:r w:rsidR="00F8533F" w:rsidRPr="000E09F7">
        <w:rPr>
          <w:b/>
          <w:bCs/>
          <w:i/>
          <w:iCs/>
          <w:szCs w:val="22"/>
          <w:shd w:val="clear" w:color="auto" w:fill="FFFFFF"/>
        </w:rPr>
        <w:t xml:space="preserve"> </w:t>
      </w:r>
    </w:p>
    <w:p w14:paraId="493C2DCE" w14:textId="77777777" w:rsidR="00F8533F" w:rsidRPr="000E09F7" w:rsidRDefault="004411EA" w:rsidP="00F8533F">
      <w:pPr>
        <w:pStyle w:val="tDefn"/>
        <w:rPr>
          <w:b/>
          <w:bCs/>
          <w:i/>
          <w:iCs/>
          <w:szCs w:val="22"/>
          <w:shd w:val="clear" w:color="auto" w:fill="FFFFFF"/>
        </w:rPr>
      </w:pPr>
      <w:r w:rsidRPr="000E09F7">
        <w:rPr>
          <w:b/>
          <w:bCs/>
          <w:i/>
          <w:iCs/>
          <w:szCs w:val="22"/>
          <w:shd w:val="clear" w:color="auto" w:fill="FFFFFF"/>
        </w:rPr>
        <w:t>n</w:t>
      </w:r>
      <w:r w:rsidR="00F8533F" w:rsidRPr="000E09F7">
        <w:rPr>
          <w:b/>
          <w:bCs/>
          <w:i/>
          <w:iCs/>
          <w:szCs w:val="22"/>
          <w:shd w:val="clear" w:color="auto" w:fill="FFFFFF"/>
        </w:rPr>
        <w:t xml:space="preserve">et </w:t>
      </w:r>
      <w:r w:rsidRPr="000E09F7">
        <w:rPr>
          <w:b/>
          <w:bCs/>
          <w:i/>
          <w:iCs/>
          <w:szCs w:val="22"/>
          <w:shd w:val="clear" w:color="auto" w:fill="FFFFFF"/>
        </w:rPr>
        <w:t>tonne</w:t>
      </w:r>
      <w:r w:rsidRPr="000E09F7">
        <w:rPr>
          <w:bCs/>
          <w:i/>
          <w:iCs/>
          <w:szCs w:val="22"/>
          <w:shd w:val="clear" w:color="auto" w:fill="FFFFFF"/>
        </w:rPr>
        <w:t>,</w:t>
      </w:r>
      <w:r w:rsidRPr="000E09F7">
        <w:rPr>
          <w:b/>
          <w:bCs/>
          <w:i/>
          <w:iCs/>
          <w:szCs w:val="22"/>
          <w:shd w:val="clear" w:color="auto" w:fill="FFFFFF"/>
        </w:rPr>
        <w:t xml:space="preserve"> </w:t>
      </w:r>
      <w:r w:rsidRPr="000E09F7">
        <w:rPr>
          <w:bCs/>
          <w:iCs/>
          <w:szCs w:val="22"/>
          <w:shd w:val="clear" w:color="auto" w:fill="FFFFFF"/>
        </w:rPr>
        <w:t>of freight,</w:t>
      </w:r>
      <w:r w:rsidR="00F8533F" w:rsidRPr="000E09F7">
        <w:rPr>
          <w:bCs/>
          <w:iCs/>
          <w:szCs w:val="22"/>
          <w:shd w:val="clear" w:color="auto" w:fill="FFFFFF"/>
        </w:rPr>
        <w:t xml:space="preserve"> is the </w:t>
      </w:r>
      <w:r w:rsidRPr="000E09F7">
        <w:rPr>
          <w:bCs/>
          <w:iCs/>
          <w:szCs w:val="22"/>
          <w:shd w:val="clear" w:color="auto" w:fill="FFFFFF"/>
        </w:rPr>
        <w:t>mass of the freighted goods, excluding</w:t>
      </w:r>
      <w:r w:rsidR="00F8533F" w:rsidRPr="000E09F7">
        <w:rPr>
          <w:bCs/>
          <w:iCs/>
          <w:szCs w:val="22"/>
          <w:shd w:val="clear" w:color="auto" w:fill="FFFFFF"/>
        </w:rPr>
        <w:t xml:space="preserve"> the </w:t>
      </w:r>
      <w:r w:rsidRPr="000E09F7">
        <w:rPr>
          <w:bCs/>
          <w:iCs/>
          <w:szCs w:val="22"/>
          <w:shd w:val="clear" w:color="auto" w:fill="FFFFFF"/>
        </w:rPr>
        <w:t>mass</w:t>
      </w:r>
      <w:r w:rsidR="00F8533F" w:rsidRPr="000E09F7">
        <w:rPr>
          <w:bCs/>
          <w:iCs/>
          <w:szCs w:val="22"/>
          <w:shd w:val="clear" w:color="auto" w:fill="FFFFFF"/>
        </w:rPr>
        <w:t xml:space="preserve"> of the prime mover</w:t>
      </w:r>
      <w:r w:rsidRPr="000E09F7">
        <w:rPr>
          <w:bCs/>
          <w:iCs/>
          <w:szCs w:val="22"/>
          <w:shd w:val="clear" w:color="auto" w:fill="FFFFFF"/>
        </w:rPr>
        <w:t>,</w:t>
      </w:r>
      <w:r w:rsidR="00F8533F" w:rsidRPr="000E09F7">
        <w:rPr>
          <w:bCs/>
          <w:iCs/>
          <w:szCs w:val="22"/>
          <w:shd w:val="clear" w:color="auto" w:fill="FFFFFF"/>
        </w:rPr>
        <w:t xml:space="preserve"> trailer, </w:t>
      </w:r>
      <w:r w:rsidRPr="000E09F7">
        <w:rPr>
          <w:bCs/>
          <w:iCs/>
          <w:szCs w:val="22"/>
          <w:shd w:val="clear" w:color="auto" w:fill="FFFFFF"/>
        </w:rPr>
        <w:t>fuel, driver,</w:t>
      </w:r>
      <w:r w:rsidR="00F8533F" w:rsidRPr="000E09F7">
        <w:rPr>
          <w:bCs/>
          <w:iCs/>
          <w:szCs w:val="22"/>
          <w:shd w:val="clear" w:color="auto" w:fill="FFFFFF"/>
        </w:rPr>
        <w:t xml:space="preserve"> passengers and provisions</w:t>
      </w:r>
      <w:r w:rsidR="00F8533F" w:rsidRPr="000E09F7">
        <w:rPr>
          <w:b/>
          <w:bCs/>
          <w:i/>
          <w:iCs/>
          <w:szCs w:val="22"/>
          <w:shd w:val="clear" w:color="auto" w:fill="FFFFFF"/>
        </w:rPr>
        <w:t>.</w:t>
      </w:r>
    </w:p>
    <w:p w14:paraId="493C2DCF" w14:textId="123BF097" w:rsidR="00F8533F" w:rsidRPr="000E09F7" w:rsidRDefault="004411EA" w:rsidP="00F8533F">
      <w:pPr>
        <w:pStyle w:val="tDefn"/>
        <w:rPr>
          <w:bCs/>
          <w:iCs/>
          <w:szCs w:val="22"/>
          <w:shd w:val="clear" w:color="auto" w:fill="FFFFFF"/>
        </w:rPr>
      </w:pPr>
      <w:r w:rsidRPr="000E09F7">
        <w:rPr>
          <w:b/>
          <w:bCs/>
          <w:i/>
          <w:iCs/>
          <w:szCs w:val="22"/>
          <w:shd w:val="clear" w:color="auto" w:fill="FFFFFF"/>
        </w:rPr>
        <w:t>n</w:t>
      </w:r>
      <w:r w:rsidR="00F8533F" w:rsidRPr="000E09F7">
        <w:rPr>
          <w:b/>
          <w:bCs/>
          <w:i/>
          <w:iCs/>
          <w:szCs w:val="22"/>
          <w:shd w:val="clear" w:color="auto" w:fill="FFFFFF"/>
        </w:rPr>
        <w:t xml:space="preserve">on-bulk freight </w:t>
      </w:r>
      <w:r w:rsidR="00F8533F" w:rsidRPr="000E09F7">
        <w:rPr>
          <w:bCs/>
          <w:iCs/>
          <w:szCs w:val="22"/>
          <w:shd w:val="clear" w:color="auto" w:fill="FFFFFF"/>
        </w:rPr>
        <w:t>is the transport of packaged and pallet loads of freight</w:t>
      </w:r>
      <w:r w:rsidR="009C0069" w:rsidRPr="000E09F7">
        <w:rPr>
          <w:bCs/>
          <w:iCs/>
          <w:szCs w:val="22"/>
          <w:shd w:val="clear" w:color="auto" w:fill="FFFFFF"/>
        </w:rPr>
        <w:t>,</w:t>
      </w:r>
      <w:r w:rsidR="00F65F54" w:rsidRPr="000E09F7">
        <w:rPr>
          <w:bCs/>
          <w:iCs/>
          <w:szCs w:val="22"/>
          <w:shd w:val="clear" w:color="auto" w:fill="FFFFFF"/>
        </w:rPr>
        <w:t xml:space="preserve"> that is not bulk freight</w:t>
      </w:r>
      <w:r w:rsidR="00F8533F" w:rsidRPr="000E09F7">
        <w:rPr>
          <w:bCs/>
          <w:iCs/>
          <w:szCs w:val="22"/>
          <w:shd w:val="clear" w:color="auto" w:fill="FFFFFF"/>
        </w:rPr>
        <w:t xml:space="preserve"> </w:t>
      </w:r>
      <w:r w:rsidR="00C55764" w:rsidRPr="000E09F7">
        <w:rPr>
          <w:bCs/>
          <w:iCs/>
          <w:szCs w:val="22"/>
          <w:shd w:val="clear" w:color="auto" w:fill="FFFFFF"/>
        </w:rPr>
        <w:t>or specialised and heavy haulage</w:t>
      </w:r>
      <w:r w:rsidR="009C0069" w:rsidRPr="000E09F7">
        <w:rPr>
          <w:bCs/>
          <w:iCs/>
          <w:szCs w:val="22"/>
          <w:shd w:val="clear" w:color="auto" w:fill="FFFFFF"/>
        </w:rPr>
        <w:t>,</w:t>
      </w:r>
      <w:r w:rsidR="00C55764" w:rsidRPr="000E09F7">
        <w:rPr>
          <w:bCs/>
          <w:iCs/>
          <w:szCs w:val="22"/>
          <w:shd w:val="clear" w:color="auto" w:fill="FFFFFF"/>
        </w:rPr>
        <w:t xml:space="preserve"> in vehicles with</w:t>
      </w:r>
      <w:r w:rsidR="00F8533F" w:rsidRPr="000E09F7">
        <w:rPr>
          <w:bCs/>
          <w:iCs/>
          <w:szCs w:val="22"/>
          <w:shd w:val="clear" w:color="auto" w:fill="FFFFFF"/>
        </w:rPr>
        <w:t xml:space="preserve"> c</w:t>
      </w:r>
      <w:r w:rsidR="00F65F54" w:rsidRPr="000E09F7">
        <w:rPr>
          <w:bCs/>
          <w:iCs/>
          <w:szCs w:val="22"/>
          <w:shd w:val="clear" w:color="auto" w:fill="FFFFFF"/>
        </w:rPr>
        <w:t>arrying capacity</w:t>
      </w:r>
      <w:r w:rsidR="00F8533F" w:rsidRPr="000E09F7">
        <w:rPr>
          <w:bCs/>
          <w:iCs/>
          <w:szCs w:val="22"/>
          <w:shd w:val="clear" w:color="auto" w:fill="FFFFFF"/>
        </w:rPr>
        <w:t xml:space="preserve"> greater than 4.5 tonnes.</w:t>
      </w:r>
    </w:p>
    <w:p w14:paraId="493C2DD0" w14:textId="0217A8DF" w:rsidR="00F8533F" w:rsidRPr="000E09F7" w:rsidRDefault="001D63C1" w:rsidP="00F8533F">
      <w:pPr>
        <w:pStyle w:val="tDefn"/>
        <w:rPr>
          <w:bCs/>
          <w:iCs/>
          <w:szCs w:val="22"/>
          <w:shd w:val="clear" w:color="auto" w:fill="FFFFFF"/>
        </w:rPr>
      </w:pPr>
      <w:r w:rsidRPr="000E09F7">
        <w:rPr>
          <w:b/>
          <w:bCs/>
          <w:i/>
          <w:iCs/>
          <w:szCs w:val="22"/>
          <w:shd w:val="clear" w:color="auto" w:fill="FFFFFF"/>
        </w:rPr>
        <w:t>n</w:t>
      </w:r>
      <w:r w:rsidR="00F8533F" w:rsidRPr="000E09F7">
        <w:rPr>
          <w:b/>
          <w:bCs/>
          <w:i/>
          <w:iCs/>
          <w:szCs w:val="22"/>
          <w:shd w:val="clear" w:color="auto" w:fill="FFFFFF"/>
        </w:rPr>
        <w:t xml:space="preserve">on-bulk (temperature-controlled) freight </w:t>
      </w:r>
      <w:r w:rsidR="00F8533F" w:rsidRPr="000E09F7">
        <w:rPr>
          <w:bCs/>
          <w:iCs/>
          <w:szCs w:val="22"/>
          <w:shd w:val="clear" w:color="auto" w:fill="FFFFFF"/>
        </w:rPr>
        <w:t>is the transport of non-bulk freight in temperature controlled condi</w:t>
      </w:r>
      <w:r w:rsidR="00F65F54" w:rsidRPr="000E09F7">
        <w:rPr>
          <w:bCs/>
          <w:iCs/>
          <w:szCs w:val="22"/>
          <w:shd w:val="clear" w:color="auto" w:fill="FFFFFF"/>
        </w:rPr>
        <w:t>tions</w:t>
      </w:r>
      <w:r w:rsidR="00ED30B6" w:rsidRPr="000E09F7">
        <w:rPr>
          <w:bCs/>
          <w:iCs/>
          <w:szCs w:val="22"/>
          <w:shd w:val="clear" w:color="auto" w:fill="FFFFFF"/>
        </w:rPr>
        <w:t>,</w:t>
      </w:r>
      <w:r w:rsidR="00F65F54" w:rsidRPr="000E09F7">
        <w:rPr>
          <w:bCs/>
          <w:iCs/>
          <w:szCs w:val="22"/>
          <w:shd w:val="clear" w:color="auto" w:fill="FFFFFF"/>
        </w:rPr>
        <w:t xml:space="preserve"> such as</w:t>
      </w:r>
      <w:r w:rsidR="00ED30B6" w:rsidRPr="000E09F7">
        <w:rPr>
          <w:bCs/>
          <w:iCs/>
          <w:szCs w:val="22"/>
          <w:shd w:val="clear" w:color="auto" w:fill="FFFFFF"/>
        </w:rPr>
        <w:t xml:space="preserve"> by</w:t>
      </w:r>
      <w:r w:rsidR="00F65F54" w:rsidRPr="000E09F7">
        <w:rPr>
          <w:bCs/>
          <w:iCs/>
          <w:szCs w:val="22"/>
          <w:shd w:val="clear" w:color="auto" w:fill="FFFFFF"/>
        </w:rPr>
        <w:t xml:space="preserve"> refrigeration</w:t>
      </w:r>
      <w:r w:rsidR="00ED30B6" w:rsidRPr="000E09F7">
        <w:rPr>
          <w:bCs/>
          <w:iCs/>
          <w:szCs w:val="22"/>
          <w:shd w:val="clear" w:color="auto" w:fill="FFFFFF"/>
        </w:rPr>
        <w:t>,</w:t>
      </w:r>
      <w:r w:rsidR="00F8533F" w:rsidRPr="000E09F7">
        <w:rPr>
          <w:bCs/>
          <w:iCs/>
          <w:szCs w:val="22"/>
          <w:shd w:val="clear" w:color="auto" w:fill="FFFFFF"/>
        </w:rPr>
        <w:t xml:space="preserve"> </w:t>
      </w:r>
      <w:r w:rsidR="00B009EF" w:rsidRPr="000E09F7">
        <w:rPr>
          <w:bCs/>
          <w:iCs/>
          <w:szCs w:val="22"/>
          <w:shd w:val="clear" w:color="auto" w:fill="FFFFFF"/>
        </w:rPr>
        <w:t>in vehicles with carrying capacity greater than 4.5 tonnes</w:t>
      </w:r>
      <w:r w:rsidR="009C0069" w:rsidRPr="000E09F7">
        <w:rPr>
          <w:bCs/>
          <w:iCs/>
          <w:szCs w:val="22"/>
          <w:shd w:val="clear" w:color="auto" w:fill="FFFFFF"/>
        </w:rPr>
        <w:t xml:space="preserve"> where the power for the temperature control equipment is derived from the drive train</w:t>
      </w:r>
      <w:r w:rsidR="00F65F54" w:rsidRPr="000E09F7">
        <w:rPr>
          <w:bCs/>
          <w:iCs/>
          <w:szCs w:val="22"/>
          <w:shd w:val="clear" w:color="auto" w:fill="FFFFFF"/>
        </w:rPr>
        <w:t xml:space="preserve">. </w:t>
      </w:r>
    </w:p>
    <w:p w14:paraId="60B62A3C" w14:textId="77777777" w:rsidR="009C0069" w:rsidRPr="000E09F7" w:rsidRDefault="001D63C1" w:rsidP="00F8533F">
      <w:pPr>
        <w:pStyle w:val="tDefn"/>
        <w:rPr>
          <w:bCs/>
          <w:iCs/>
          <w:szCs w:val="22"/>
          <w:shd w:val="clear" w:color="auto" w:fill="FFFFFF"/>
        </w:rPr>
      </w:pPr>
      <w:r w:rsidRPr="000E09F7">
        <w:rPr>
          <w:b/>
          <w:bCs/>
          <w:i/>
          <w:iCs/>
          <w:szCs w:val="22"/>
          <w:shd w:val="clear" w:color="auto" w:fill="FFFFFF"/>
        </w:rPr>
        <w:t>s</w:t>
      </w:r>
      <w:r w:rsidR="00F8533F" w:rsidRPr="000E09F7">
        <w:rPr>
          <w:b/>
          <w:bCs/>
          <w:i/>
          <w:iCs/>
          <w:szCs w:val="22"/>
          <w:shd w:val="clear" w:color="auto" w:fill="FFFFFF"/>
        </w:rPr>
        <w:t xml:space="preserve">pecialised and heavy haulage </w:t>
      </w:r>
      <w:r w:rsidR="00F8533F" w:rsidRPr="000E09F7">
        <w:rPr>
          <w:bCs/>
          <w:iCs/>
          <w:szCs w:val="22"/>
          <w:shd w:val="clear" w:color="auto" w:fill="FFFFFF"/>
        </w:rPr>
        <w:t xml:space="preserve">is the transportation of </w:t>
      </w:r>
      <w:r w:rsidR="00ED30B6" w:rsidRPr="000E09F7">
        <w:rPr>
          <w:bCs/>
          <w:iCs/>
          <w:szCs w:val="22"/>
          <w:shd w:val="clear" w:color="auto" w:fill="FFFFFF"/>
        </w:rPr>
        <w:t xml:space="preserve">either or both of </w:t>
      </w:r>
      <w:r w:rsidR="00F8533F" w:rsidRPr="000E09F7">
        <w:rPr>
          <w:bCs/>
          <w:iCs/>
          <w:szCs w:val="22"/>
          <w:shd w:val="clear" w:color="auto" w:fill="FFFFFF"/>
        </w:rPr>
        <w:t>specialised equipment and loads in excess of 200 tonnes on road-registered vehicles</w:t>
      </w:r>
      <w:r w:rsidR="00ED30B6" w:rsidRPr="000E09F7">
        <w:rPr>
          <w:bCs/>
          <w:iCs/>
          <w:szCs w:val="22"/>
          <w:shd w:val="clear" w:color="auto" w:fill="FFFFFF"/>
        </w:rPr>
        <w:t xml:space="preserve"> that is not bulk freight. </w:t>
      </w:r>
    </w:p>
    <w:p w14:paraId="493C2DD1" w14:textId="79485A04" w:rsidR="00F8533F" w:rsidRPr="000E09F7" w:rsidRDefault="009C0069" w:rsidP="00F8533F">
      <w:pPr>
        <w:pStyle w:val="tDefn"/>
        <w:rPr>
          <w:b/>
          <w:bCs/>
          <w:i/>
          <w:iCs/>
          <w:szCs w:val="22"/>
          <w:shd w:val="clear" w:color="auto" w:fill="FFFFFF"/>
        </w:rPr>
      </w:pPr>
      <w:r w:rsidRPr="000E09F7">
        <w:rPr>
          <w:b/>
          <w:bCs/>
          <w:i/>
          <w:iCs/>
          <w:szCs w:val="22"/>
          <w:shd w:val="clear" w:color="auto" w:fill="FFFFFF"/>
        </w:rPr>
        <w:t>s</w:t>
      </w:r>
      <w:r w:rsidR="00ED30B6" w:rsidRPr="000E09F7">
        <w:rPr>
          <w:b/>
          <w:bCs/>
          <w:i/>
          <w:iCs/>
          <w:szCs w:val="22"/>
          <w:shd w:val="clear" w:color="auto" w:fill="FFFFFF"/>
        </w:rPr>
        <w:t>pecialised equipment</w:t>
      </w:r>
      <w:r w:rsidR="0062551D" w:rsidRPr="000E09F7">
        <w:rPr>
          <w:bCs/>
          <w:iCs/>
          <w:szCs w:val="22"/>
          <w:shd w:val="clear" w:color="auto" w:fill="FFFFFF"/>
        </w:rPr>
        <w:t xml:space="preserve"> includes:</w:t>
      </w:r>
    </w:p>
    <w:p w14:paraId="493C2DD2" w14:textId="77777777" w:rsidR="00F8533F" w:rsidRPr="000E09F7" w:rsidRDefault="0062551D" w:rsidP="0062551D">
      <w:pPr>
        <w:pStyle w:val="tPara"/>
        <w:rPr>
          <w:bCs/>
          <w:iCs/>
          <w:szCs w:val="22"/>
          <w:shd w:val="clear" w:color="auto" w:fill="FFFFFF"/>
        </w:rPr>
      </w:pPr>
      <w:r w:rsidRPr="000E09F7">
        <w:rPr>
          <w:bCs/>
          <w:iCs/>
          <w:szCs w:val="22"/>
          <w:shd w:val="clear" w:color="auto" w:fill="FFFFFF"/>
        </w:rPr>
        <w:tab/>
        <w:t>(a)</w:t>
      </w:r>
      <w:r w:rsidRPr="000E09F7">
        <w:rPr>
          <w:bCs/>
          <w:iCs/>
          <w:szCs w:val="22"/>
          <w:shd w:val="clear" w:color="auto" w:fill="FFFFFF"/>
        </w:rPr>
        <w:tab/>
        <w:t>p</w:t>
      </w:r>
      <w:r w:rsidR="00F8533F" w:rsidRPr="000E09F7">
        <w:rPr>
          <w:bCs/>
          <w:iCs/>
          <w:szCs w:val="22"/>
          <w:shd w:val="clear" w:color="auto" w:fill="FFFFFF"/>
        </w:rPr>
        <w:t>latform low loaders and trailing equipment capable of carrying loads in excess of 200 tonnes</w:t>
      </w:r>
      <w:r w:rsidRPr="000E09F7">
        <w:rPr>
          <w:bCs/>
          <w:iCs/>
          <w:szCs w:val="22"/>
          <w:shd w:val="clear" w:color="auto" w:fill="FFFFFF"/>
        </w:rPr>
        <w:t>; and</w:t>
      </w:r>
    </w:p>
    <w:p w14:paraId="493C2DD3" w14:textId="77777777" w:rsidR="00F8533F" w:rsidRPr="000E09F7" w:rsidRDefault="0062551D" w:rsidP="0062551D">
      <w:pPr>
        <w:pStyle w:val="tPara"/>
        <w:rPr>
          <w:bCs/>
          <w:iCs/>
          <w:szCs w:val="22"/>
          <w:shd w:val="clear" w:color="auto" w:fill="FFFFFF"/>
        </w:rPr>
      </w:pPr>
      <w:r w:rsidRPr="000E09F7">
        <w:rPr>
          <w:bCs/>
          <w:iCs/>
          <w:szCs w:val="22"/>
          <w:shd w:val="clear" w:color="auto" w:fill="FFFFFF"/>
        </w:rPr>
        <w:tab/>
        <w:t>(b)</w:t>
      </w:r>
      <w:r w:rsidRPr="000E09F7">
        <w:rPr>
          <w:bCs/>
          <w:iCs/>
          <w:szCs w:val="22"/>
          <w:shd w:val="clear" w:color="auto" w:fill="FFFFFF"/>
        </w:rPr>
        <w:tab/>
        <w:t>c</w:t>
      </w:r>
      <w:r w:rsidR="00F8533F" w:rsidRPr="000E09F7">
        <w:rPr>
          <w:bCs/>
          <w:iCs/>
          <w:szCs w:val="22"/>
          <w:shd w:val="clear" w:color="auto" w:fill="FFFFFF"/>
        </w:rPr>
        <w:t>rane</w:t>
      </w:r>
      <w:r w:rsidRPr="000E09F7">
        <w:rPr>
          <w:bCs/>
          <w:iCs/>
          <w:szCs w:val="22"/>
          <w:shd w:val="clear" w:color="auto" w:fill="FFFFFF"/>
        </w:rPr>
        <w:t xml:space="preserve"> and rigging services and lift and</w:t>
      </w:r>
      <w:r w:rsidR="00F8533F" w:rsidRPr="000E09F7">
        <w:rPr>
          <w:bCs/>
          <w:iCs/>
          <w:szCs w:val="22"/>
          <w:shd w:val="clear" w:color="auto" w:fill="FFFFFF"/>
        </w:rPr>
        <w:t xml:space="preserve"> shift operations</w:t>
      </w:r>
      <w:r w:rsidRPr="000E09F7">
        <w:rPr>
          <w:bCs/>
          <w:iCs/>
          <w:szCs w:val="22"/>
          <w:shd w:val="clear" w:color="auto" w:fill="FFFFFF"/>
        </w:rPr>
        <w:t>; and</w:t>
      </w:r>
    </w:p>
    <w:p w14:paraId="493C2DD4" w14:textId="77777777" w:rsidR="00F8533F" w:rsidRPr="000E09F7" w:rsidRDefault="0062551D" w:rsidP="0062551D">
      <w:pPr>
        <w:pStyle w:val="tPara"/>
        <w:rPr>
          <w:bCs/>
          <w:iCs/>
          <w:szCs w:val="22"/>
          <w:shd w:val="clear" w:color="auto" w:fill="FFFFFF"/>
        </w:rPr>
      </w:pPr>
      <w:r w:rsidRPr="000E09F7">
        <w:rPr>
          <w:bCs/>
          <w:iCs/>
          <w:szCs w:val="22"/>
          <w:shd w:val="clear" w:color="auto" w:fill="FFFFFF"/>
        </w:rPr>
        <w:tab/>
        <w:t>(c)</w:t>
      </w:r>
      <w:r w:rsidRPr="000E09F7">
        <w:rPr>
          <w:bCs/>
          <w:iCs/>
          <w:szCs w:val="22"/>
          <w:shd w:val="clear" w:color="auto" w:fill="FFFFFF"/>
        </w:rPr>
        <w:tab/>
        <w:t>c</w:t>
      </w:r>
      <w:r w:rsidR="00F8533F" w:rsidRPr="000E09F7">
        <w:rPr>
          <w:bCs/>
          <w:iCs/>
          <w:szCs w:val="22"/>
          <w:shd w:val="clear" w:color="auto" w:fill="FFFFFF"/>
        </w:rPr>
        <w:t>ustom engine</w:t>
      </w:r>
      <w:r w:rsidRPr="000E09F7">
        <w:rPr>
          <w:bCs/>
          <w:iCs/>
          <w:szCs w:val="22"/>
          <w:shd w:val="clear" w:color="auto" w:fill="FFFFFF"/>
        </w:rPr>
        <w:t xml:space="preserve">ered trailers for off the road </w:t>
      </w:r>
      <w:r w:rsidR="00F8533F" w:rsidRPr="000E09F7">
        <w:rPr>
          <w:bCs/>
          <w:iCs/>
          <w:szCs w:val="22"/>
          <w:shd w:val="clear" w:color="auto" w:fill="FFFFFF"/>
        </w:rPr>
        <w:t>tyre transport</w:t>
      </w:r>
      <w:r w:rsidRPr="000E09F7">
        <w:rPr>
          <w:bCs/>
          <w:iCs/>
          <w:szCs w:val="22"/>
          <w:shd w:val="clear" w:color="auto" w:fill="FFFFFF"/>
        </w:rPr>
        <w:t>; and</w:t>
      </w:r>
    </w:p>
    <w:p w14:paraId="493C2DD5" w14:textId="77777777" w:rsidR="00F8533F" w:rsidRPr="000E09F7" w:rsidRDefault="0062551D" w:rsidP="0062551D">
      <w:pPr>
        <w:pStyle w:val="tPara"/>
        <w:rPr>
          <w:bCs/>
          <w:iCs/>
          <w:szCs w:val="22"/>
          <w:shd w:val="clear" w:color="auto" w:fill="FFFFFF"/>
        </w:rPr>
      </w:pPr>
      <w:r w:rsidRPr="000E09F7">
        <w:rPr>
          <w:bCs/>
          <w:iCs/>
          <w:szCs w:val="22"/>
          <w:shd w:val="clear" w:color="auto" w:fill="FFFFFF"/>
        </w:rPr>
        <w:tab/>
        <w:t>(d)</w:t>
      </w:r>
      <w:r w:rsidRPr="000E09F7">
        <w:rPr>
          <w:bCs/>
          <w:iCs/>
          <w:szCs w:val="22"/>
          <w:shd w:val="clear" w:color="auto" w:fill="FFFFFF"/>
        </w:rPr>
        <w:tab/>
        <w:t>e</w:t>
      </w:r>
      <w:r w:rsidR="00F8533F" w:rsidRPr="000E09F7">
        <w:rPr>
          <w:bCs/>
          <w:iCs/>
          <w:szCs w:val="22"/>
          <w:shd w:val="clear" w:color="auto" w:fill="FFFFFF"/>
        </w:rPr>
        <w:t>quipment for port discharge</w:t>
      </w:r>
      <w:r w:rsidRPr="000E09F7">
        <w:rPr>
          <w:bCs/>
          <w:iCs/>
          <w:szCs w:val="22"/>
          <w:shd w:val="clear" w:color="auto" w:fill="FFFFFF"/>
        </w:rPr>
        <w:t>; and</w:t>
      </w:r>
    </w:p>
    <w:p w14:paraId="493C2DD6" w14:textId="77777777" w:rsidR="00F8533F" w:rsidRPr="000E09F7" w:rsidRDefault="0062551D" w:rsidP="0062551D">
      <w:pPr>
        <w:pStyle w:val="tPara"/>
        <w:rPr>
          <w:bCs/>
          <w:iCs/>
          <w:szCs w:val="22"/>
          <w:shd w:val="clear" w:color="auto" w:fill="FFFFFF"/>
        </w:rPr>
      </w:pPr>
      <w:r w:rsidRPr="000E09F7">
        <w:rPr>
          <w:bCs/>
          <w:iCs/>
          <w:szCs w:val="22"/>
          <w:shd w:val="clear" w:color="auto" w:fill="FFFFFF"/>
        </w:rPr>
        <w:tab/>
        <w:t>(e)</w:t>
      </w:r>
      <w:r w:rsidRPr="000E09F7">
        <w:rPr>
          <w:bCs/>
          <w:iCs/>
          <w:szCs w:val="22"/>
          <w:shd w:val="clear" w:color="auto" w:fill="FFFFFF"/>
        </w:rPr>
        <w:tab/>
        <w:t>m</w:t>
      </w:r>
      <w:r w:rsidR="00F8533F" w:rsidRPr="000E09F7">
        <w:rPr>
          <w:bCs/>
          <w:iCs/>
          <w:szCs w:val="22"/>
          <w:shd w:val="clear" w:color="auto" w:fill="FFFFFF"/>
        </w:rPr>
        <w:t>achines for sleeper transport and positioning</w:t>
      </w:r>
      <w:r w:rsidRPr="000E09F7">
        <w:rPr>
          <w:bCs/>
          <w:iCs/>
          <w:szCs w:val="22"/>
          <w:shd w:val="clear" w:color="auto" w:fill="FFFFFF"/>
        </w:rPr>
        <w:t>; and</w:t>
      </w:r>
    </w:p>
    <w:p w14:paraId="493C2DD7" w14:textId="77777777" w:rsidR="00F8533F" w:rsidRPr="000E09F7" w:rsidRDefault="0062551D" w:rsidP="0062551D">
      <w:pPr>
        <w:pStyle w:val="tPara"/>
        <w:rPr>
          <w:bCs/>
          <w:iCs/>
          <w:szCs w:val="22"/>
          <w:shd w:val="clear" w:color="auto" w:fill="FFFFFF"/>
        </w:rPr>
      </w:pPr>
      <w:r w:rsidRPr="000E09F7">
        <w:rPr>
          <w:bCs/>
          <w:iCs/>
          <w:szCs w:val="22"/>
          <w:shd w:val="clear" w:color="auto" w:fill="FFFFFF"/>
        </w:rPr>
        <w:tab/>
        <w:t>(f)</w:t>
      </w:r>
      <w:r w:rsidRPr="000E09F7">
        <w:rPr>
          <w:bCs/>
          <w:iCs/>
          <w:szCs w:val="22"/>
          <w:shd w:val="clear" w:color="auto" w:fill="FFFFFF"/>
        </w:rPr>
        <w:tab/>
        <w:t>e</w:t>
      </w:r>
      <w:r w:rsidR="00F8533F" w:rsidRPr="000E09F7">
        <w:rPr>
          <w:bCs/>
          <w:iCs/>
          <w:szCs w:val="22"/>
          <w:shd w:val="clear" w:color="auto" w:fill="FFFFFF"/>
        </w:rPr>
        <w:t>quipment and machinery used for transferring freight between the road transport vehicle and anoth</w:t>
      </w:r>
      <w:r w:rsidRPr="000E09F7">
        <w:rPr>
          <w:bCs/>
          <w:iCs/>
          <w:szCs w:val="22"/>
          <w:shd w:val="clear" w:color="auto" w:fill="FFFFFF"/>
        </w:rPr>
        <w:t>er form of transport (such as</w:t>
      </w:r>
      <w:r w:rsidR="00F8533F" w:rsidRPr="000E09F7">
        <w:rPr>
          <w:bCs/>
          <w:iCs/>
          <w:szCs w:val="22"/>
          <w:shd w:val="clear" w:color="auto" w:fill="FFFFFF"/>
        </w:rPr>
        <w:t xml:space="preserve"> rail or ship</w:t>
      </w:r>
      <w:r w:rsidRPr="000E09F7">
        <w:rPr>
          <w:bCs/>
          <w:iCs/>
          <w:szCs w:val="22"/>
          <w:shd w:val="clear" w:color="auto" w:fill="FFFFFF"/>
        </w:rPr>
        <w:t>ping</w:t>
      </w:r>
      <w:r w:rsidR="00F8533F" w:rsidRPr="000E09F7">
        <w:rPr>
          <w:bCs/>
          <w:iCs/>
          <w:szCs w:val="22"/>
          <w:shd w:val="clear" w:color="auto" w:fill="FFFFFF"/>
        </w:rPr>
        <w:t>)</w:t>
      </w:r>
      <w:r w:rsidR="00ED30B6" w:rsidRPr="000E09F7">
        <w:rPr>
          <w:bCs/>
          <w:iCs/>
          <w:szCs w:val="22"/>
          <w:shd w:val="clear" w:color="auto" w:fill="FFFFFF"/>
        </w:rPr>
        <w:t>; and</w:t>
      </w:r>
    </w:p>
    <w:p w14:paraId="493C2DD8" w14:textId="77777777" w:rsidR="00ED30B6" w:rsidRPr="000E09F7" w:rsidRDefault="00ED30B6" w:rsidP="0062551D">
      <w:pPr>
        <w:pStyle w:val="tPara"/>
        <w:rPr>
          <w:bCs/>
          <w:iCs/>
          <w:szCs w:val="22"/>
          <w:shd w:val="clear" w:color="auto" w:fill="FFFFFF"/>
        </w:rPr>
      </w:pPr>
      <w:r w:rsidRPr="000E09F7">
        <w:rPr>
          <w:bCs/>
          <w:iCs/>
          <w:szCs w:val="22"/>
          <w:shd w:val="clear" w:color="auto" w:fill="FFFFFF"/>
        </w:rPr>
        <w:tab/>
        <w:t>(g)</w:t>
      </w:r>
      <w:r w:rsidRPr="000E09F7">
        <w:rPr>
          <w:bCs/>
          <w:iCs/>
          <w:szCs w:val="22"/>
          <w:shd w:val="clear" w:color="auto" w:fill="FFFFFF"/>
        </w:rPr>
        <w:tab/>
        <w:t>other similar equipment.</w:t>
      </w:r>
    </w:p>
    <w:p w14:paraId="493C2DDB" w14:textId="22A56A59" w:rsidR="006B07F9" w:rsidRPr="000E09F7" w:rsidRDefault="002E297B" w:rsidP="006B07F9">
      <w:pPr>
        <w:pStyle w:val="ItemHead"/>
      </w:pPr>
      <w:r w:rsidRPr="000E09F7">
        <w:t>19</w:t>
      </w:r>
      <w:r w:rsidR="006B07F9" w:rsidRPr="000E09F7">
        <w:t xml:space="preserve">  After section 54 of Schedule 2 </w:t>
      </w:r>
    </w:p>
    <w:p w14:paraId="493C2DDC" w14:textId="77777777" w:rsidR="006B07F9" w:rsidRPr="000E09F7" w:rsidRDefault="006B07F9" w:rsidP="006B07F9">
      <w:pPr>
        <w:pStyle w:val="Item"/>
      </w:pPr>
      <w:r w:rsidRPr="000E09F7">
        <w:t>Insert:</w:t>
      </w:r>
    </w:p>
    <w:p w14:paraId="493C2DDD" w14:textId="236FBB2F" w:rsidR="00F8533F" w:rsidRPr="000E09F7" w:rsidRDefault="00F8533F" w:rsidP="00F8533F">
      <w:pPr>
        <w:pStyle w:val="h3Div"/>
      </w:pPr>
      <w:r w:rsidRPr="000E09F7">
        <w:rPr>
          <w:rStyle w:val="CharDivNo"/>
        </w:rPr>
        <w:t>Division 2</w:t>
      </w:r>
      <w:r w:rsidRPr="000E09F7">
        <w:t>—N</w:t>
      </w:r>
      <w:r w:rsidR="00C55764" w:rsidRPr="000E09F7">
        <w:t>on-bulk</w:t>
      </w:r>
      <w:r w:rsidRPr="000E09F7">
        <w:t xml:space="preserve"> freight</w:t>
      </w:r>
      <w:r w:rsidR="00FF5B30" w:rsidRPr="000E09F7">
        <w:t xml:space="preserve"> road transport</w:t>
      </w:r>
    </w:p>
    <w:p w14:paraId="493C2DDE" w14:textId="77777777" w:rsidR="00F8533F" w:rsidRPr="000E09F7" w:rsidRDefault="00F8533F" w:rsidP="00F8533F">
      <w:pPr>
        <w:pStyle w:val="h5Section"/>
      </w:pPr>
      <w:r w:rsidRPr="000E09F7">
        <w:t>5</w:t>
      </w:r>
      <w:r w:rsidR="00CF5959" w:rsidRPr="000E09F7">
        <w:t>4</w:t>
      </w:r>
      <w:r w:rsidRPr="000E09F7">
        <w:t>A</w:t>
      </w:r>
      <w:r w:rsidR="00C55764" w:rsidRPr="000E09F7">
        <w:t xml:space="preserve">  Cubic-</w:t>
      </w:r>
      <w:r w:rsidRPr="000E09F7">
        <w:t>t</w:t>
      </w:r>
      <w:r w:rsidR="00C55764" w:rsidRPr="000E09F7">
        <w:t>onne-kilometres of non-bulk freight</w:t>
      </w:r>
    </w:p>
    <w:p w14:paraId="493C2DDF" w14:textId="06677244" w:rsidR="00F8533F" w:rsidRPr="000E09F7" w:rsidRDefault="00F8533F" w:rsidP="00F8533F">
      <w:pPr>
        <w:pStyle w:val="tMain"/>
      </w:pPr>
      <w:r w:rsidRPr="000E09F7">
        <w:tab/>
      </w:r>
      <w:r w:rsidR="00C55764" w:rsidRPr="000E09F7">
        <w:t>(1)</w:t>
      </w:r>
      <w:r w:rsidR="00C55764" w:rsidRPr="000E09F7">
        <w:tab/>
        <w:t>Cubic-</w:t>
      </w:r>
      <w:r w:rsidRPr="000E09F7">
        <w:t xml:space="preserve">tonne-kilometres of </w:t>
      </w:r>
      <w:r w:rsidR="00C55764" w:rsidRPr="000E09F7">
        <w:t>non-</w:t>
      </w:r>
      <w:r w:rsidRPr="000E09F7">
        <w:t xml:space="preserve">bulk freight that: </w:t>
      </w:r>
    </w:p>
    <w:p w14:paraId="493C2DE0" w14:textId="77777777" w:rsidR="00F8533F" w:rsidRPr="000E09F7" w:rsidRDefault="00F8533F" w:rsidP="00F8533F">
      <w:pPr>
        <w:pStyle w:val="tPara"/>
      </w:pPr>
      <w:r w:rsidRPr="000E09F7">
        <w:tab/>
        <w:t>(a)</w:t>
      </w:r>
      <w:r w:rsidRPr="000E09F7">
        <w:tab/>
        <w:t xml:space="preserve">result from carrying on the </w:t>
      </w:r>
      <w:r w:rsidR="00C55764" w:rsidRPr="000E09F7">
        <w:t>non-</w:t>
      </w:r>
      <w:r w:rsidRPr="000E09F7">
        <w:t>bulk</w:t>
      </w:r>
      <w:r w:rsidR="00C55764" w:rsidRPr="000E09F7">
        <w:t xml:space="preserve"> freight road</w:t>
      </w:r>
      <w:r w:rsidRPr="000E09F7">
        <w:t xml:space="preserve"> transport activity at the facility; and</w:t>
      </w:r>
    </w:p>
    <w:p w14:paraId="493C2DE1" w14:textId="77777777" w:rsidR="00F8533F" w:rsidRPr="000E09F7" w:rsidRDefault="00C55764" w:rsidP="00F8533F">
      <w:pPr>
        <w:pStyle w:val="tPara"/>
      </w:pPr>
      <w:r w:rsidRPr="000E09F7">
        <w:tab/>
        <w:t>(b</w:t>
      </w:r>
      <w:r w:rsidR="007F310C" w:rsidRPr="000E09F7">
        <w:t xml:space="preserve">) </w:t>
      </w:r>
      <w:r w:rsidR="007F310C" w:rsidRPr="000E09F7">
        <w:tab/>
        <w:t>are not counted for</w:t>
      </w:r>
      <w:r w:rsidR="00F8533F" w:rsidRPr="000E09F7">
        <w:t xml:space="preserve"> </w:t>
      </w:r>
      <w:r w:rsidRPr="000E09F7">
        <w:t>another</w:t>
      </w:r>
      <w:r w:rsidR="00F8533F" w:rsidRPr="000E09F7">
        <w:t xml:space="preserve"> production va</w:t>
      </w:r>
      <w:r w:rsidRPr="000E09F7">
        <w:t>riable in this Part</w:t>
      </w:r>
      <w:r w:rsidR="00F8533F" w:rsidRPr="000E09F7">
        <w:t>.</w:t>
      </w:r>
    </w:p>
    <w:p w14:paraId="493C2DE2" w14:textId="77777777" w:rsidR="00F8533F" w:rsidRPr="000E09F7" w:rsidRDefault="00F8533F" w:rsidP="00F8533F">
      <w:pPr>
        <w:pStyle w:val="tMain"/>
      </w:pPr>
      <w:r w:rsidRPr="000E09F7">
        <w:tab/>
        <w:t>(2)</w:t>
      </w:r>
      <w:r w:rsidRPr="000E09F7">
        <w:tab/>
        <w:t>The metric in subsection (1) is applicable to a facility that:</w:t>
      </w:r>
    </w:p>
    <w:p w14:paraId="493C2DE3" w14:textId="77777777" w:rsidR="00F8533F" w:rsidRPr="000E09F7" w:rsidRDefault="00F8533F" w:rsidP="00F8533F">
      <w:pPr>
        <w:pStyle w:val="tPara"/>
      </w:pPr>
      <w:r w:rsidRPr="000E09F7">
        <w:tab/>
        <w:t>(a)</w:t>
      </w:r>
      <w:r w:rsidRPr="000E09F7">
        <w:tab/>
        <w:t xml:space="preserve">transports </w:t>
      </w:r>
      <w:r w:rsidR="00C55764" w:rsidRPr="000E09F7">
        <w:t>non-</w:t>
      </w:r>
      <w:r w:rsidRPr="000E09F7">
        <w:t xml:space="preserve">bulk </w:t>
      </w:r>
      <w:r w:rsidR="00C55764" w:rsidRPr="000E09F7">
        <w:t>freight by road in registered vehicles</w:t>
      </w:r>
      <w:r w:rsidR="007F310C" w:rsidRPr="000E09F7">
        <w:t xml:space="preserve"> that do not control the temperature of the freight</w:t>
      </w:r>
      <w:r w:rsidRPr="000E09F7">
        <w:t xml:space="preserve"> (the</w:t>
      </w:r>
      <w:r w:rsidRPr="000E09F7">
        <w:rPr>
          <w:b/>
          <w:i/>
        </w:rPr>
        <w:t xml:space="preserve"> </w:t>
      </w:r>
      <w:r w:rsidR="00C55764" w:rsidRPr="000E09F7">
        <w:rPr>
          <w:b/>
          <w:i/>
        </w:rPr>
        <w:t>non-</w:t>
      </w:r>
      <w:r w:rsidRPr="000E09F7">
        <w:rPr>
          <w:b/>
          <w:i/>
        </w:rPr>
        <w:t>bulk</w:t>
      </w:r>
      <w:r w:rsidR="00C55764" w:rsidRPr="000E09F7">
        <w:rPr>
          <w:b/>
          <w:i/>
        </w:rPr>
        <w:t xml:space="preserve"> freight road</w:t>
      </w:r>
      <w:r w:rsidRPr="000E09F7">
        <w:rPr>
          <w:b/>
          <w:i/>
        </w:rPr>
        <w:t xml:space="preserve"> transport activity</w:t>
      </w:r>
      <w:r w:rsidRPr="000E09F7">
        <w:t>); and</w:t>
      </w:r>
    </w:p>
    <w:p w14:paraId="0294C731" w14:textId="190F676B" w:rsidR="00023B7A" w:rsidRPr="000E09F7" w:rsidRDefault="00F8533F" w:rsidP="00023B7A">
      <w:pPr>
        <w:pStyle w:val="tPara"/>
      </w:pPr>
      <w:r w:rsidRPr="000E09F7">
        <w:tab/>
        <w:t>(b)</w:t>
      </w:r>
      <w:r w:rsidR="00C55764" w:rsidRPr="000E09F7">
        <w:tab/>
        <w:t>is in the road</w:t>
      </w:r>
      <w:r w:rsidRPr="000E09F7">
        <w:t xml:space="preserve"> freight transport ANZSIC industry cla</w:t>
      </w:r>
      <w:r w:rsidR="00C55764" w:rsidRPr="000E09F7">
        <w:t>ssification and code 46</w:t>
      </w:r>
      <w:r w:rsidRPr="000E09F7">
        <w:t>1.</w:t>
      </w:r>
    </w:p>
    <w:p w14:paraId="0A45E364" w14:textId="5BDB7942" w:rsidR="00023B7A" w:rsidRPr="000E09F7"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sidRPr="000E09F7">
        <w:rPr>
          <w:rFonts w:eastAsia="Calibri" w:cs="Arial"/>
          <w:iCs/>
          <w:sz w:val="20"/>
          <w:szCs w:val="22"/>
          <w:lang w:eastAsia="en-US"/>
        </w:rPr>
        <w:tab/>
        <w:t>Note:</w:t>
      </w:r>
      <w:r w:rsidRPr="000E09F7">
        <w:rPr>
          <w:rFonts w:eastAsia="Calibri" w:cs="Arial"/>
          <w:iCs/>
          <w:sz w:val="20"/>
          <w:szCs w:val="22"/>
          <w:lang w:eastAsia="en-US"/>
        </w:rPr>
        <w:tab/>
        <w:t>The default emissions intensity for this prescribed production variable is yet to be calculated and specified in the Schedule.</w:t>
      </w:r>
    </w:p>
    <w:p w14:paraId="493C2DE6" w14:textId="41A541B6" w:rsidR="00F8533F" w:rsidRPr="000E09F7" w:rsidRDefault="00F8533F" w:rsidP="00F8533F">
      <w:pPr>
        <w:pStyle w:val="tMain"/>
      </w:pPr>
      <w:r w:rsidRPr="000E09F7">
        <w:tab/>
        <w:t>(4)</w:t>
      </w:r>
      <w:r w:rsidR="00C55764" w:rsidRPr="000E09F7">
        <w:tab/>
        <w:t>The cubic-tonne-kilome</w:t>
      </w:r>
      <w:r w:rsidR="00A45FFB" w:rsidRPr="000E09F7">
        <w:t>tres must be measured consistently</w:t>
      </w:r>
      <w:r w:rsidR="00C55764" w:rsidRPr="000E09F7">
        <w:t xml:space="preserve"> with relevant industry practice.</w:t>
      </w:r>
    </w:p>
    <w:p w14:paraId="493C2DE7" w14:textId="106CB20D" w:rsidR="00C55764" w:rsidRPr="000E09F7" w:rsidRDefault="00C55764" w:rsidP="00C55764">
      <w:pPr>
        <w:pStyle w:val="h3Div"/>
      </w:pPr>
      <w:r w:rsidRPr="000E09F7">
        <w:rPr>
          <w:rStyle w:val="CharDivNo"/>
        </w:rPr>
        <w:t>Division 3</w:t>
      </w:r>
      <w:r w:rsidRPr="000E09F7">
        <w:t>—Non-bulk (temperature controlled) freight</w:t>
      </w:r>
      <w:r w:rsidR="00FF5B30" w:rsidRPr="000E09F7">
        <w:t xml:space="preserve"> road transport</w:t>
      </w:r>
    </w:p>
    <w:p w14:paraId="493C2DE8" w14:textId="1499F2EE" w:rsidR="00C55764" w:rsidRPr="000E09F7" w:rsidRDefault="00C55764" w:rsidP="00C55764">
      <w:pPr>
        <w:pStyle w:val="h5Section"/>
      </w:pPr>
      <w:r w:rsidRPr="000E09F7">
        <w:t>5</w:t>
      </w:r>
      <w:r w:rsidR="00CF5959" w:rsidRPr="000E09F7">
        <w:t>4B</w:t>
      </w:r>
      <w:r w:rsidR="00163697" w:rsidRPr="000E09F7">
        <w:t xml:space="preserve">  Cubic</w:t>
      </w:r>
      <w:r w:rsidRPr="000E09F7">
        <w:t>-tonne-kilometres of non-bulk freight</w:t>
      </w:r>
    </w:p>
    <w:p w14:paraId="493C2DE9" w14:textId="0DB1C180" w:rsidR="00C55764" w:rsidRPr="000E09F7" w:rsidRDefault="00C55764" w:rsidP="00C55764">
      <w:pPr>
        <w:pStyle w:val="tMain"/>
      </w:pPr>
      <w:r w:rsidRPr="000E09F7">
        <w:tab/>
      </w:r>
      <w:r w:rsidR="00163697" w:rsidRPr="000E09F7">
        <w:t>(1)</w:t>
      </w:r>
      <w:r w:rsidR="00163697" w:rsidRPr="000E09F7">
        <w:tab/>
        <w:t>Cubic</w:t>
      </w:r>
      <w:r w:rsidRPr="000E09F7">
        <w:t xml:space="preserve">-tonne-kilometres of non-bulk (temperature controlled) freight that: </w:t>
      </w:r>
    </w:p>
    <w:p w14:paraId="493C2DEA" w14:textId="77777777" w:rsidR="00C55764" w:rsidRPr="000E09F7" w:rsidRDefault="00C55764" w:rsidP="00C55764">
      <w:pPr>
        <w:pStyle w:val="tPara"/>
      </w:pPr>
      <w:r w:rsidRPr="000E09F7">
        <w:tab/>
        <w:t>(a)</w:t>
      </w:r>
      <w:r w:rsidRPr="000E09F7">
        <w:tab/>
        <w:t>result from carrying on the non-bulk (temperature controlled) freight road transport activity at the facility; and</w:t>
      </w:r>
    </w:p>
    <w:p w14:paraId="493C2DEB" w14:textId="77777777" w:rsidR="00C55764" w:rsidRPr="000E09F7" w:rsidRDefault="00C55764" w:rsidP="00C55764">
      <w:pPr>
        <w:pStyle w:val="tPara"/>
      </w:pPr>
      <w:r w:rsidRPr="000E09F7">
        <w:tab/>
        <w:t>(b</w:t>
      </w:r>
      <w:r w:rsidR="007F310C" w:rsidRPr="000E09F7">
        <w:t xml:space="preserve">) </w:t>
      </w:r>
      <w:r w:rsidR="007F310C" w:rsidRPr="000E09F7">
        <w:tab/>
        <w:t>are not counted for</w:t>
      </w:r>
      <w:r w:rsidRPr="000E09F7">
        <w:t xml:space="preserve"> another production variable in this Part.</w:t>
      </w:r>
    </w:p>
    <w:p w14:paraId="493C2DEC" w14:textId="77777777" w:rsidR="00C55764" w:rsidRPr="000E09F7" w:rsidRDefault="00C55764" w:rsidP="00C55764">
      <w:pPr>
        <w:pStyle w:val="tMain"/>
      </w:pPr>
      <w:r w:rsidRPr="000E09F7">
        <w:tab/>
        <w:t>(2)</w:t>
      </w:r>
      <w:r w:rsidRPr="000E09F7">
        <w:tab/>
        <w:t>The metric in subsection (1) is applicable to a facility that:</w:t>
      </w:r>
    </w:p>
    <w:p w14:paraId="493C2DED" w14:textId="77777777" w:rsidR="00C55764" w:rsidRPr="000E09F7" w:rsidRDefault="00C55764" w:rsidP="00C55764">
      <w:pPr>
        <w:pStyle w:val="tPara"/>
      </w:pPr>
      <w:r w:rsidRPr="000E09F7">
        <w:tab/>
        <w:t>(a)</w:t>
      </w:r>
      <w:r w:rsidRPr="000E09F7">
        <w:tab/>
        <w:t>transports non-bulk (temperature controlled) freight by road in registered vehicles that control the temperature of the freight (the</w:t>
      </w:r>
      <w:r w:rsidRPr="000E09F7">
        <w:rPr>
          <w:b/>
          <w:i/>
        </w:rPr>
        <w:t xml:space="preserve"> non-bulk (temperature controlled) freight road transport activity</w:t>
      </w:r>
      <w:r w:rsidRPr="000E09F7">
        <w:t>); and</w:t>
      </w:r>
    </w:p>
    <w:p w14:paraId="493C2DEE" w14:textId="77777777" w:rsidR="00C55764" w:rsidRPr="000E09F7" w:rsidRDefault="00C55764" w:rsidP="00C55764">
      <w:pPr>
        <w:pStyle w:val="tPara"/>
      </w:pPr>
      <w:r w:rsidRPr="000E09F7">
        <w:tab/>
        <w:t>(b)</w:t>
      </w:r>
      <w:r w:rsidRPr="000E09F7">
        <w:tab/>
        <w:t>is in the road freight transport ANZSIC industry classification and code 461.</w:t>
      </w:r>
    </w:p>
    <w:p w14:paraId="2F8A9222" w14:textId="77777777" w:rsidR="00023B7A" w:rsidRPr="000E09F7"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sidRPr="000E09F7">
        <w:rPr>
          <w:rFonts w:eastAsia="Calibri" w:cs="Arial"/>
          <w:iCs/>
          <w:sz w:val="20"/>
          <w:szCs w:val="22"/>
          <w:lang w:eastAsia="en-US"/>
        </w:rPr>
        <w:tab/>
        <w:t>Note:</w:t>
      </w:r>
      <w:r w:rsidRPr="000E09F7">
        <w:rPr>
          <w:rFonts w:eastAsia="Calibri" w:cs="Arial"/>
          <w:iCs/>
          <w:sz w:val="20"/>
          <w:szCs w:val="22"/>
          <w:lang w:eastAsia="en-US"/>
        </w:rPr>
        <w:tab/>
        <w:t>The default emissions intensity for this prescribed production variable is yet to be calculated and specified in the Schedule.</w:t>
      </w:r>
    </w:p>
    <w:p w14:paraId="493C2DF0" w14:textId="78835004" w:rsidR="00F8533F" w:rsidRPr="000E09F7" w:rsidRDefault="00C55764" w:rsidP="007F310C">
      <w:pPr>
        <w:pStyle w:val="tMain"/>
      </w:pPr>
      <w:r w:rsidRPr="000E09F7">
        <w:tab/>
        <w:t>(4)</w:t>
      </w:r>
      <w:r w:rsidR="00163697" w:rsidRPr="000E09F7">
        <w:tab/>
        <w:t>The cubic</w:t>
      </w:r>
      <w:r w:rsidRPr="000E09F7">
        <w:t>-tonne-kilome</w:t>
      </w:r>
      <w:r w:rsidR="00A45FFB" w:rsidRPr="000E09F7">
        <w:t>tres must be measured consistentl</w:t>
      </w:r>
      <w:r w:rsidRPr="000E09F7">
        <w:t>y with relevant industry practice.</w:t>
      </w:r>
    </w:p>
    <w:p w14:paraId="493C2DF1" w14:textId="5C50D106" w:rsidR="00CF5959" w:rsidRPr="000E09F7" w:rsidRDefault="00CF5959" w:rsidP="00CF5959">
      <w:pPr>
        <w:pStyle w:val="h3Div"/>
      </w:pPr>
      <w:r w:rsidRPr="000E09F7">
        <w:rPr>
          <w:rStyle w:val="CharDivNo"/>
        </w:rPr>
        <w:t>Division 4</w:t>
      </w:r>
      <w:r w:rsidRPr="000E09F7">
        <w:t>—Specialised and heavy haulage</w:t>
      </w:r>
      <w:r w:rsidR="00FF5B30" w:rsidRPr="000E09F7">
        <w:t xml:space="preserve"> road transport</w:t>
      </w:r>
    </w:p>
    <w:p w14:paraId="493C2DF2" w14:textId="77777777" w:rsidR="00CF5959" w:rsidRPr="000E09F7" w:rsidRDefault="00CF5959" w:rsidP="00CF5959">
      <w:pPr>
        <w:pStyle w:val="h5Section"/>
      </w:pPr>
      <w:r w:rsidRPr="000E09F7">
        <w:t>54C  Deadweight-tonne-kilometres of specialised and heavy haulage</w:t>
      </w:r>
    </w:p>
    <w:p w14:paraId="493C2DF3" w14:textId="77777777" w:rsidR="00CF5959" w:rsidRPr="000E09F7" w:rsidRDefault="00CF5959" w:rsidP="00CF5959">
      <w:pPr>
        <w:pStyle w:val="tMain"/>
      </w:pPr>
      <w:r w:rsidRPr="000E09F7">
        <w:tab/>
        <w:t>(1)</w:t>
      </w:r>
      <w:r w:rsidRPr="000E09F7">
        <w:tab/>
        <w:t xml:space="preserve">Deadweight-tonne-kilometres of specialised and heavy haulage that: </w:t>
      </w:r>
    </w:p>
    <w:p w14:paraId="493C2DF4" w14:textId="77777777" w:rsidR="00CF5959" w:rsidRPr="000E09F7" w:rsidRDefault="00CF5959" w:rsidP="00CF5959">
      <w:pPr>
        <w:pStyle w:val="tPara"/>
      </w:pPr>
      <w:r w:rsidRPr="000E09F7">
        <w:tab/>
        <w:t>(a)</w:t>
      </w:r>
      <w:r w:rsidRPr="000E09F7">
        <w:tab/>
        <w:t>result from carrying on the specialised and heavy haulage road transport activity at the facility; and</w:t>
      </w:r>
    </w:p>
    <w:p w14:paraId="493C2DF5" w14:textId="77777777" w:rsidR="00CF5959" w:rsidRPr="000E09F7" w:rsidRDefault="00CF5959" w:rsidP="00CF5959">
      <w:pPr>
        <w:pStyle w:val="tPara"/>
      </w:pPr>
      <w:r w:rsidRPr="000E09F7">
        <w:tab/>
        <w:t>(b</w:t>
      </w:r>
      <w:r w:rsidR="007F310C" w:rsidRPr="000E09F7">
        <w:t xml:space="preserve">) </w:t>
      </w:r>
      <w:r w:rsidR="007F310C" w:rsidRPr="000E09F7">
        <w:tab/>
        <w:t>are not counted for</w:t>
      </w:r>
      <w:r w:rsidRPr="000E09F7">
        <w:t xml:space="preserve"> another production variable in this Part.</w:t>
      </w:r>
    </w:p>
    <w:p w14:paraId="493C2DF6" w14:textId="77777777" w:rsidR="00CF5959" w:rsidRPr="000E09F7" w:rsidRDefault="00CF5959" w:rsidP="00CF5959">
      <w:pPr>
        <w:pStyle w:val="tMain"/>
      </w:pPr>
      <w:r w:rsidRPr="000E09F7">
        <w:tab/>
        <w:t>(2)</w:t>
      </w:r>
      <w:r w:rsidRPr="000E09F7">
        <w:tab/>
        <w:t>The metric in subsection (1) is applicable to a facility that:</w:t>
      </w:r>
    </w:p>
    <w:p w14:paraId="493C2DF7" w14:textId="77777777" w:rsidR="00CF5959" w:rsidRPr="000E09F7" w:rsidRDefault="00CF5959" w:rsidP="00CF5959">
      <w:pPr>
        <w:pStyle w:val="tPara"/>
      </w:pPr>
      <w:r w:rsidRPr="000E09F7">
        <w:tab/>
        <w:t>(a)</w:t>
      </w:r>
      <w:r w:rsidRPr="000E09F7">
        <w:tab/>
        <w:t>transports specialised and heavy haulage by road in registered vehicles (the</w:t>
      </w:r>
      <w:r w:rsidRPr="000E09F7">
        <w:rPr>
          <w:b/>
          <w:i/>
        </w:rPr>
        <w:t xml:space="preserve"> specialised and heavy haulage road transport activity</w:t>
      </w:r>
      <w:r w:rsidRPr="000E09F7">
        <w:t>); and</w:t>
      </w:r>
    </w:p>
    <w:p w14:paraId="493C2DF8" w14:textId="77777777" w:rsidR="00CF5959" w:rsidRPr="000E09F7" w:rsidRDefault="00CF5959" w:rsidP="00CF5959">
      <w:pPr>
        <w:pStyle w:val="tPara"/>
      </w:pPr>
      <w:r w:rsidRPr="000E09F7">
        <w:tab/>
        <w:t>(b)</w:t>
      </w:r>
      <w:r w:rsidRPr="000E09F7">
        <w:tab/>
        <w:t>is in the road freight transport ANZSIC industry classification and code 461.</w:t>
      </w:r>
    </w:p>
    <w:p w14:paraId="2A5532E3" w14:textId="77777777" w:rsidR="00023B7A" w:rsidRPr="000E09F7"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sidRPr="000E09F7">
        <w:rPr>
          <w:rFonts w:eastAsia="Calibri" w:cs="Arial"/>
          <w:iCs/>
          <w:sz w:val="20"/>
          <w:szCs w:val="22"/>
          <w:lang w:eastAsia="en-US"/>
        </w:rPr>
        <w:tab/>
        <w:t>Note:</w:t>
      </w:r>
      <w:r w:rsidRPr="000E09F7">
        <w:rPr>
          <w:rFonts w:eastAsia="Calibri" w:cs="Arial"/>
          <w:iCs/>
          <w:sz w:val="20"/>
          <w:szCs w:val="22"/>
          <w:lang w:eastAsia="en-US"/>
        </w:rPr>
        <w:tab/>
        <w:t>The default emissions intensity for this prescribed production variable is yet to be calculated and specified in the Schedule.</w:t>
      </w:r>
    </w:p>
    <w:p w14:paraId="493C2DFA" w14:textId="35AE5B81" w:rsidR="00CF5959" w:rsidRPr="000E09F7" w:rsidRDefault="00CF5959" w:rsidP="00CF5959">
      <w:pPr>
        <w:pStyle w:val="tMain"/>
      </w:pPr>
      <w:r w:rsidRPr="000E09F7">
        <w:tab/>
        <w:t>(4)</w:t>
      </w:r>
      <w:r w:rsidRPr="000E09F7">
        <w:tab/>
        <w:t>The deadweight-tonne-kilome</w:t>
      </w:r>
      <w:r w:rsidR="00A45FFB" w:rsidRPr="000E09F7">
        <w:t>tres must be measured consistentl</w:t>
      </w:r>
      <w:r w:rsidRPr="000E09F7">
        <w:t>y with relevant industry practice.</w:t>
      </w:r>
    </w:p>
    <w:p w14:paraId="493C2DFB" w14:textId="0E90992B" w:rsidR="00CF5959" w:rsidRPr="000E09F7" w:rsidRDefault="00CF5959" w:rsidP="00CF5959">
      <w:pPr>
        <w:pStyle w:val="h3Div"/>
      </w:pPr>
      <w:r w:rsidRPr="000E09F7">
        <w:rPr>
          <w:rStyle w:val="CharDivNo"/>
        </w:rPr>
        <w:t>Division 5</w:t>
      </w:r>
      <w:r w:rsidRPr="000E09F7">
        <w:t>—Bulk freight</w:t>
      </w:r>
      <w:r w:rsidR="00FF5B30" w:rsidRPr="000E09F7">
        <w:t xml:space="preserve"> road transport</w:t>
      </w:r>
    </w:p>
    <w:p w14:paraId="493C2DFC" w14:textId="77777777" w:rsidR="00CF5959" w:rsidRPr="000E09F7" w:rsidRDefault="00CF5959" w:rsidP="00CF5959">
      <w:pPr>
        <w:pStyle w:val="h5Section"/>
      </w:pPr>
      <w:r w:rsidRPr="000E09F7">
        <w:t>54D  Net-tonne-kilometres of bulk freight</w:t>
      </w:r>
    </w:p>
    <w:p w14:paraId="493C2DFD" w14:textId="77777777" w:rsidR="00CF5959" w:rsidRPr="000E09F7" w:rsidRDefault="00CF5959" w:rsidP="00CF5959">
      <w:pPr>
        <w:pStyle w:val="tMain"/>
      </w:pPr>
      <w:r w:rsidRPr="000E09F7">
        <w:tab/>
        <w:t>(1)</w:t>
      </w:r>
      <w:r w:rsidRPr="000E09F7">
        <w:tab/>
        <w:t xml:space="preserve">Net-tonne-kilometres of bulk freight that: </w:t>
      </w:r>
    </w:p>
    <w:p w14:paraId="493C2DFE" w14:textId="77777777" w:rsidR="00CF5959" w:rsidRPr="000E09F7" w:rsidRDefault="00CF5959" w:rsidP="00CF5959">
      <w:pPr>
        <w:pStyle w:val="tPara"/>
      </w:pPr>
      <w:r w:rsidRPr="000E09F7">
        <w:tab/>
        <w:t>(a)</w:t>
      </w:r>
      <w:r w:rsidRPr="000E09F7">
        <w:tab/>
        <w:t>result from carrying on the bulk freight road transport activity at the facility; and</w:t>
      </w:r>
    </w:p>
    <w:p w14:paraId="493C2DFF" w14:textId="77777777" w:rsidR="00CF5959" w:rsidRPr="000E09F7" w:rsidRDefault="00CF5959" w:rsidP="00CF5959">
      <w:pPr>
        <w:pStyle w:val="tPara"/>
      </w:pPr>
      <w:r w:rsidRPr="000E09F7">
        <w:tab/>
        <w:t>(b</w:t>
      </w:r>
      <w:r w:rsidR="007F310C" w:rsidRPr="000E09F7">
        <w:t xml:space="preserve">) </w:t>
      </w:r>
      <w:r w:rsidR="007F310C" w:rsidRPr="000E09F7">
        <w:tab/>
        <w:t>are not counted for</w:t>
      </w:r>
      <w:r w:rsidRPr="000E09F7">
        <w:t xml:space="preserve"> another production variable in this Part.</w:t>
      </w:r>
    </w:p>
    <w:p w14:paraId="493C2E00" w14:textId="77777777" w:rsidR="00CF5959" w:rsidRPr="000E09F7" w:rsidRDefault="00CF5959" w:rsidP="00CF5959">
      <w:pPr>
        <w:pStyle w:val="tMain"/>
      </w:pPr>
      <w:r w:rsidRPr="000E09F7">
        <w:tab/>
        <w:t>(2)</w:t>
      </w:r>
      <w:r w:rsidRPr="000E09F7">
        <w:tab/>
        <w:t>The metric in subsection (1) is applicable to a facility that:</w:t>
      </w:r>
    </w:p>
    <w:p w14:paraId="493C2E01" w14:textId="796EF3A4" w:rsidR="00CF5959" w:rsidRPr="000E09F7" w:rsidRDefault="00CF5959" w:rsidP="00CF5959">
      <w:pPr>
        <w:pStyle w:val="tPara"/>
      </w:pPr>
      <w:r w:rsidRPr="000E09F7">
        <w:tab/>
        <w:t>(a)</w:t>
      </w:r>
      <w:r w:rsidRPr="000E09F7">
        <w:tab/>
        <w:t>transports bulk freight by road in registered vehicles (the</w:t>
      </w:r>
      <w:r w:rsidRPr="000E09F7">
        <w:rPr>
          <w:b/>
          <w:i/>
        </w:rPr>
        <w:t xml:space="preserve"> </w:t>
      </w:r>
      <w:r w:rsidR="00295E90" w:rsidRPr="000E09F7">
        <w:rPr>
          <w:b/>
          <w:i/>
        </w:rPr>
        <w:t>bulk freight</w:t>
      </w:r>
      <w:r w:rsidRPr="000E09F7">
        <w:rPr>
          <w:b/>
          <w:i/>
        </w:rPr>
        <w:t xml:space="preserve"> transport activity</w:t>
      </w:r>
      <w:r w:rsidRPr="000E09F7">
        <w:t>); and</w:t>
      </w:r>
    </w:p>
    <w:p w14:paraId="493C2E02" w14:textId="77777777" w:rsidR="00CF5959" w:rsidRPr="000E09F7" w:rsidRDefault="00CF5959" w:rsidP="00CF5959">
      <w:pPr>
        <w:pStyle w:val="tPara"/>
      </w:pPr>
      <w:r w:rsidRPr="000E09F7">
        <w:tab/>
        <w:t>(b)</w:t>
      </w:r>
      <w:r w:rsidRPr="000E09F7">
        <w:tab/>
        <w:t>is in the road freight transport ANZSIC industry classification and code 461.</w:t>
      </w:r>
    </w:p>
    <w:p w14:paraId="5FFB745A" w14:textId="77777777" w:rsidR="00023B7A" w:rsidRPr="000E09F7"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sidRPr="000E09F7">
        <w:rPr>
          <w:rFonts w:eastAsia="Calibri" w:cs="Arial"/>
          <w:iCs/>
          <w:sz w:val="20"/>
          <w:szCs w:val="22"/>
          <w:lang w:eastAsia="en-US"/>
        </w:rPr>
        <w:tab/>
        <w:t>Note:</w:t>
      </w:r>
      <w:r w:rsidRPr="000E09F7">
        <w:rPr>
          <w:rFonts w:eastAsia="Calibri" w:cs="Arial"/>
          <w:iCs/>
          <w:sz w:val="20"/>
          <w:szCs w:val="22"/>
          <w:lang w:eastAsia="en-US"/>
        </w:rPr>
        <w:tab/>
        <w:t>The default emissions intensity for this prescribed production variable is yet to be calculated and specified in the Schedule.</w:t>
      </w:r>
    </w:p>
    <w:p w14:paraId="493C2E04" w14:textId="0B78AFF8" w:rsidR="00CF5959" w:rsidRPr="000E09F7" w:rsidRDefault="00CF5959" w:rsidP="00CF5959">
      <w:pPr>
        <w:pStyle w:val="tMain"/>
      </w:pPr>
      <w:r w:rsidRPr="000E09F7">
        <w:tab/>
        <w:t>(4)</w:t>
      </w:r>
      <w:r w:rsidRPr="000E09F7">
        <w:tab/>
        <w:t>The net-tonne-kilome</w:t>
      </w:r>
      <w:r w:rsidR="00E27E6C" w:rsidRPr="000E09F7">
        <w:t>tres must be measured consistently</w:t>
      </w:r>
      <w:r w:rsidRPr="000E09F7">
        <w:t xml:space="preserve"> with relevant industry practice.</w:t>
      </w:r>
    </w:p>
    <w:p w14:paraId="493C2E0F" w14:textId="4AD361CB" w:rsidR="00024D88" w:rsidRPr="000E09F7" w:rsidRDefault="002E297B" w:rsidP="00024D88">
      <w:pPr>
        <w:pStyle w:val="ItemHead"/>
      </w:pPr>
      <w:r w:rsidRPr="000E09F7">
        <w:t>20</w:t>
      </w:r>
      <w:r w:rsidR="00024D88" w:rsidRPr="000E09F7">
        <w:t xml:space="preserve">  After section 55 of Schedule 2 </w:t>
      </w:r>
    </w:p>
    <w:p w14:paraId="493C2E10" w14:textId="77777777" w:rsidR="00024D88" w:rsidRPr="000E09F7" w:rsidRDefault="00024D88" w:rsidP="00024D88">
      <w:pPr>
        <w:pStyle w:val="Item"/>
      </w:pPr>
      <w:r w:rsidRPr="000E09F7">
        <w:t>Add:</w:t>
      </w:r>
    </w:p>
    <w:p w14:paraId="493C2E11" w14:textId="77777777" w:rsidR="00024D88" w:rsidRPr="000E09F7" w:rsidRDefault="00024D88" w:rsidP="00024D88">
      <w:pPr>
        <w:pStyle w:val="h3Div"/>
      </w:pPr>
      <w:bookmarkStart w:id="9" w:name="_Toc34136439"/>
      <w:r w:rsidRPr="000E09F7">
        <w:rPr>
          <w:rStyle w:val="CharDivNo"/>
        </w:rPr>
        <w:t>Division 2</w:t>
      </w:r>
      <w:r w:rsidRPr="000E09F7">
        <w:t>—Bulk freight water transport</w:t>
      </w:r>
      <w:bookmarkEnd w:id="9"/>
    </w:p>
    <w:p w14:paraId="493C2E12" w14:textId="0E30AF95" w:rsidR="00024D88" w:rsidRPr="000E09F7" w:rsidRDefault="00024D88" w:rsidP="00024D88">
      <w:pPr>
        <w:pStyle w:val="h5Section"/>
      </w:pPr>
      <w:bookmarkStart w:id="10" w:name="_Toc34136440"/>
      <w:r w:rsidRPr="000E09F7">
        <w:t>55</w:t>
      </w:r>
      <w:r w:rsidR="006F711B" w:rsidRPr="000E09F7">
        <w:t>A</w:t>
      </w:r>
      <w:r w:rsidR="00163697" w:rsidRPr="000E09F7">
        <w:t xml:space="preserve">  Net-</w:t>
      </w:r>
      <w:r w:rsidR="006F711B" w:rsidRPr="000E09F7">
        <w:t>t</w:t>
      </w:r>
      <w:r w:rsidRPr="000E09F7">
        <w:t>onne-kilometres of bulk freight water transport</w:t>
      </w:r>
      <w:bookmarkEnd w:id="10"/>
    </w:p>
    <w:p w14:paraId="493C2E13" w14:textId="51A6AAA6" w:rsidR="00024D88" w:rsidRPr="000E09F7" w:rsidRDefault="00024D88" w:rsidP="00024D88">
      <w:pPr>
        <w:pStyle w:val="tMain"/>
      </w:pPr>
      <w:r w:rsidRPr="000E09F7">
        <w:tab/>
      </w:r>
      <w:r w:rsidR="00163697" w:rsidRPr="000E09F7">
        <w:t>(1)</w:t>
      </w:r>
      <w:r w:rsidR="00163697" w:rsidRPr="000E09F7">
        <w:tab/>
        <w:t>Net-</w:t>
      </w:r>
      <w:r w:rsidR="00856141" w:rsidRPr="000E09F7">
        <w:t>t</w:t>
      </w:r>
      <w:r w:rsidRPr="000E09F7">
        <w:t xml:space="preserve">onne-kilometres of bulk freight water transport that: </w:t>
      </w:r>
    </w:p>
    <w:p w14:paraId="493C2E14" w14:textId="77777777" w:rsidR="00024D88" w:rsidRPr="000E09F7" w:rsidRDefault="00024D88" w:rsidP="00024D88">
      <w:pPr>
        <w:pStyle w:val="tPara"/>
      </w:pPr>
      <w:r w:rsidRPr="000E09F7">
        <w:tab/>
        <w:t>(a)</w:t>
      </w:r>
      <w:r w:rsidRPr="000E09F7">
        <w:tab/>
        <w:t>result from carrying on the bulk freight water transport activity at the facility; and</w:t>
      </w:r>
    </w:p>
    <w:p w14:paraId="493C2E15" w14:textId="77777777" w:rsidR="00024D88" w:rsidRPr="000E09F7" w:rsidRDefault="00024D88" w:rsidP="00024D88">
      <w:pPr>
        <w:pStyle w:val="tPara"/>
      </w:pPr>
      <w:r w:rsidRPr="000E09F7">
        <w:tab/>
        <w:t>(b)</w:t>
      </w:r>
      <w:r w:rsidRPr="000E09F7">
        <w:tab/>
        <w:t>relate to the covered emissions of the facility; and</w:t>
      </w:r>
    </w:p>
    <w:p w14:paraId="493C2E16" w14:textId="77777777" w:rsidR="00024D88" w:rsidRPr="000E09F7" w:rsidRDefault="007F310C" w:rsidP="00024D88">
      <w:pPr>
        <w:pStyle w:val="tPara"/>
      </w:pPr>
      <w:r w:rsidRPr="000E09F7">
        <w:tab/>
        <w:t xml:space="preserve">(c) </w:t>
      </w:r>
      <w:r w:rsidRPr="000E09F7">
        <w:tab/>
        <w:t>are not counted for</w:t>
      </w:r>
      <w:r w:rsidR="00024D88" w:rsidRPr="000E09F7">
        <w:t xml:space="preserve"> the mixed passenger and freight water transport production variable in section 55 of Schedule</w:t>
      </w:r>
      <w:r w:rsidR="00856141" w:rsidRPr="000E09F7">
        <w:t xml:space="preserve"> 2</w:t>
      </w:r>
      <w:r w:rsidR="00024D88" w:rsidRPr="000E09F7">
        <w:t>.</w:t>
      </w:r>
    </w:p>
    <w:p w14:paraId="493C2E17" w14:textId="77777777" w:rsidR="00024D88" w:rsidRPr="000E09F7" w:rsidRDefault="00024D88" w:rsidP="00024D88">
      <w:pPr>
        <w:pStyle w:val="tMain"/>
      </w:pPr>
      <w:r w:rsidRPr="000E09F7">
        <w:tab/>
        <w:t>(2)</w:t>
      </w:r>
      <w:r w:rsidRPr="000E09F7">
        <w:tab/>
        <w:t>The metric in subsection (1) is applicable to a facility that:</w:t>
      </w:r>
    </w:p>
    <w:p w14:paraId="493C2E18" w14:textId="77777777" w:rsidR="00024D88" w:rsidRPr="000E09F7" w:rsidRDefault="00024D88" w:rsidP="00024D88">
      <w:pPr>
        <w:pStyle w:val="tPara"/>
      </w:pPr>
      <w:r w:rsidRPr="000E09F7">
        <w:tab/>
        <w:t>(a)</w:t>
      </w:r>
      <w:r w:rsidRPr="000E09F7">
        <w:tab/>
        <w:t xml:space="preserve">transports bulk freight by water (the </w:t>
      </w:r>
      <w:r w:rsidRPr="000E09F7">
        <w:rPr>
          <w:b/>
          <w:i/>
        </w:rPr>
        <w:t>bulk freight water transport activity</w:t>
      </w:r>
      <w:r w:rsidRPr="000E09F7">
        <w:t>); and</w:t>
      </w:r>
    </w:p>
    <w:p w14:paraId="493C2E19" w14:textId="77777777" w:rsidR="00024D88" w:rsidRPr="000E09F7" w:rsidRDefault="00024D88" w:rsidP="00024D88">
      <w:pPr>
        <w:pStyle w:val="tPara"/>
      </w:pPr>
      <w:r w:rsidRPr="000E09F7">
        <w:tab/>
        <w:t>(b)</w:t>
      </w:r>
      <w:r w:rsidRPr="000E09F7">
        <w:tab/>
        <w:t>is in the water freight transport ANZSIC industry classification and code 481.</w:t>
      </w:r>
    </w:p>
    <w:p w14:paraId="493C2E1A" w14:textId="77777777" w:rsidR="00024D88" w:rsidRPr="000E09F7" w:rsidRDefault="00024D88" w:rsidP="00024D88">
      <w:pPr>
        <w:pStyle w:val="tMain"/>
      </w:pPr>
      <w:r w:rsidRPr="000E09F7">
        <w:tab/>
        <w:t>(3)</w:t>
      </w:r>
      <w:r w:rsidRPr="000E09F7">
        <w:tab/>
        <w:t>The</w:t>
      </w:r>
      <w:r w:rsidR="00AE4A1A" w:rsidRPr="000E09F7">
        <w:t xml:space="preserve"> default emissions intensity is 5.4 × 10</w:t>
      </w:r>
      <w:r w:rsidR="00AE4A1A" w:rsidRPr="000E09F7">
        <w:rPr>
          <w:vertAlign w:val="superscript"/>
        </w:rPr>
        <w:t>-6</w:t>
      </w:r>
      <w:r w:rsidRPr="000E09F7">
        <w:t xml:space="preserve"> t CO</w:t>
      </w:r>
      <w:r w:rsidRPr="000E09F7">
        <w:rPr>
          <w:vertAlign w:val="subscript"/>
        </w:rPr>
        <w:t>2</w:t>
      </w:r>
      <w:r w:rsidRPr="000E09F7">
        <w:t xml:space="preserve">-e per net tonne-kilometre. </w:t>
      </w:r>
    </w:p>
    <w:p w14:paraId="493C2E1B" w14:textId="77777777" w:rsidR="00024D88" w:rsidRPr="000E09F7" w:rsidRDefault="00024D88" w:rsidP="00024D88">
      <w:pPr>
        <w:pStyle w:val="tMain"/>
      </w:pPr>
      <w:r w:rsidRPr="000E09F7">
        <w:tab/>
        <w:t>(4)</w:t>
      </w:r>
      <w:r w:rsidRPr="000E09F7">
        <w:tab/>
        <w:t xml:space="preserve">The relevant kilometres must be measured: </w:t>
      </w:r>
    </w:p>
    <w:p w14:paraId="493C2E1C" w14:textId="77777777" w:rsidR="00024D88" w:rsidRPr="000E09F7" w:rsidRDefault="00024D88" w:rsidP="00024D88">
      <w:pPr>
        <w:pStyle w:val="tPara"/>
      </w:pPr>
      <w:r w:rsidRPr="000E09F7">
        <w:tab/>
        <w:t>(a)</w:t>
      </w:r>
      <w:r w:rsidRPr="000E09F7">
        <w:tab/>
        <w:t xml:space="preserve">using the actual distance travelled and recorded on a ship for a voyage; or </w:t>
      </w:r>
    </w:p>
    <w:p w14:paraId="493C2E1D" w14:textId="1FB70F90" w:rsidR="00024D88" w:rsidRPr="000E09F7" w:rsidRDefault="00024D88" w:rsidP="00024D88">
      <w:pPr>
        <w:pStyle w:val="tPara"/>
      </w:pPr>
      <w:r w:rsidRPr="000E09F7">
        <w:tab/>
        <w:t>(b)</w:t>
      </w:r>
      <w:r w:rsidRPr="000E09F7">
        <w:tab/>
        <w:t>by using an internationally accepted standard distance between the two ports on a voyage</w:t>
      </w:r>
      <w:r w:rsidR="002E5013" w:rsidRPr="000E09F7">
        <w:t>.</w:t>
      </w:r>
    </w:p>
    <w:p w14:paraId="493C2E1E" w14:textId="77777777" w:rsidR="00024D88" w:rsidRPr="000E09F7" w:rsidRDefault="00024D88" w:rsidP="00024D88">
      <w:pPr>
        <w:pStyle w:val="tMain"/>
      </w:pPr>
      <w:r w:rsidRPr="000E09F7">
        <w:tab/>
        <w:t>(5)</w:t>
      </w:r>
      <w:r w:rsidRPr="000E09F7">
        <w:tab/>
        <w:t>In this section:</w:t>
      </w:r>
    </w:p>
    <w:p w14:paraId="493C2E1F" w14:textId="185997D9" w:rsidR="00024D88" w:rsidRPr="000E09F7" w:rsidRDefault="00163697" w:rsidP="00856141">
      <w:pPr>
        <w:pStyle w:val="tDefn"/>
      </w:pPr>
      <w:r w:rsidRPr="000E09F7">
        <w:rPr>
          <w:b/>
          <w:i/>
        </w:rPr>
        <w:t>n</w:t>
      </w:r>
      <w:r w:rsidR="00024D88" w:rsidRPr="000E09F7">
        <w:rPr>
          <w:b/>
          <w:i/>
        </w:rPr>
        <w:t>et</w:t>
      </w:r>
      <w:r w:rsidRPr="000E09F7">
        <w:rPr>
          <w:b/>
          <w:i/>
        </w:rPr>
        <w:t>-</w:t>
      </w:r>
      <w:r w:rsidR="00024D88" w:rsidRPr="000E09F7">
        <w:rPr>
          <w:b/>
          <w:i/>
        </w:rPr>
        <w:t>tonne-kilometre</w:t>
      </w:r>
      <w:r w:rsidR="00856141" w:rsidRPr="000E09F7">
        <w:rPr>
          <w:b/>
          <w:i/>
        </w:rPr>
        <w:t>s</w:t>
      </w:r>
      <w:r w:rsidR="00856141" w:rsidRPr="000E09F7">
        <w:t>, of bulk freight water transport,</w:t>
      </w:r>
      <w:r w:rsidR="00024D88" w:rsidRPr="000E09F7">
        <w:rPr>
          <w:i/>
        </w:rPr>
        <w:t xml:space="preserve"> </w:t>
      </w:r>
      <w:r w:rsidR="00856141" w:rsidRPr="000E09F7">
        <w:t>are the</w:t>
      </w:r>
      <w:r w:rsidR="00024D88" w:rsidRPr="000E09F7">
        <w:t xml:space="preserve"> tonne</w:t>
      </w:r>
      <w:r w:rsidR="00856141" w:rsidRPr="000E09F7">
        <w:t>s</w:t>
      </w:r>
      <w:r w:rsidR="00024D88" w:rsidRPr="000E09F7">
        <w:t xml:space="preserve"> of the bulk freight carried on board a ship for a voyage </w:t>
      </w:r>
      <w:r w:rsidR="00856141" w:rsidRPr="000E09F7">
        <w:t xml:space="preserve">multiplied by the kilometres of the </w:t>
      </w:r>
      <w:r w:rsidR="0084663A" w:rsidRPr="000E09F7">
        <w:t xml:space="preserve">laden </w:t>
      </w:r>
      <w:r w:rsidR="00856141" w:rsidRPr="000E09F7">
        <w:t>voyage.</w:t>
      </w:r>
    </w:p>
    <w:p w14:paraId="5F6B69D0" w14:textId="1570D1DD" w:rsidR="002E297B" w:rsidRPr="000E09F7" w:rsidRDefault="002E297B" w:rsidP="002E297B">
      <w:pPr>
        <w:pStyle w:val="ItemHead"/>
      </w:pPr>
      <w:r w:rsidRPr="000E09F7">
        <w:t>21  Subsection 56(2) of Schedule 2</w:t>
      </w:r>
    </w:p>
    <w:p w14:paraId="31ECAB11" w14:textId="0AD474A6" w:rsidR="002E297B" w:rsidRPr="000E09F7" w:rsidRDefault="002E297B" w:rsidP="002E297B">
      <w:pPr>
        <w:pStyle w:val="Item"/>
        <w:ind w:firstLine="141"/>
      </w:pPr>
      <w:r w:rsidRPr="000E09F7">
        <w:t>Omit “handing”, substitute “handling”.</w:t>
      </w:r>
    </w:p>
    <w:p w14:paraId="493C2E20" w14:textId="44F85A17" w:rsidR="00347C4B" w:rsidRPr="000E09F7" w:rsidRDefault="002E297B" w:rsidP="00347C4B">
      <w:pPr>
        <w:pStyle w:val="ItemHead"/>
      </w:pPr>
      <w:r w:rsidRPr="000E09F7">
        <w:t>22</w:t>
      </w:r>
      <w:r w:rsidR="00347C4B" w:rsidRPr="000E09F7">
        <w:t xml:space="preserve">  At the end of Schedule 2</w:t>
      </w:r>
    </w:p>
    <w:p w14:paraId="493C2E21" w14:textId="77777777" w:rsidR="00347C4B" w:rsidRPr="000E09F7" w:rsidRDefault="00347C4B" w:rsidP="00347C4B">
      <w:pPr>
        <w:pStyle w:val="Item"/>
      </w:pPr>
      <w:r w:rsidRPr="000E09F7">
        <w:t>Add:</w:t>
      </w:r>
    </w:p>
    <w:bookmarkEnd w:id="0"/>
    <w:p w14:paraId="493C2E22" w14:textId="00B433F4" w:rsidR="00DC5316" w:rsidRPr="000E09F7" w:rsidRDefault="00E219B7" w:rsidP="00DC5316">
      <w:pPr>
        <w:pStyle w:val="h2Part"/>
      </w:pPr>
      <w:r w:rsidRPr="000E09F7">
        <w:rPr>
          <w:rStyle w:val="CharPartNo"/>
        </w:rPr>
        <w:t>Part 2</w:t>
      </w:r>
      <w:r w:rsidR="00347C4B" w:rsidRPr="000E09F7">
        <w:rPr>
          <w:rStyle w:val="CharPartNo"/>
        </w:rPr>
        <w:t>7</w:t>
      </w:r>
      <w:r w:rsidR="00DC5316" w:rsidRPr="000E09F7">
        <w:rPr>
          <w:rStyle w:val="CharPartNo"/>
        </w:rPr>
        <w:t>—</w:t>
      </w:r>
      <w:r w:rsidR="00FF5B30" w:rsidRPr="000E09F7">
        <w:rPr>
          <w:rStyle w:val="CharPartText"/>
        </w:rPr>
        <w:t>Natural gas d</w:t>
      </w:r>
      <w:r w:rsidR="00347C4B" w:rsidRPr="000E09F7">
        <w:rPr>
          <w:rStyle w:val="CharPartText"/>
        </w:rPr>
        <w:t>istribution</w:t>
      </w:r>
      <w:r w:rsidR="00DC5316" w:rsidRPr="000E09F7">
        <w:rPr>
          <w:rStyle w:val="CharPartText"/>
        </w:rPr>
        <w:t xml:space="preserve"> </w:t>
      </w:r>
      <w:r w:rsidR="00DC5316" w:rsidRPr="000E09F7">
        <w:rPr>
          <w:rStyle w:val="CharDivNo"/>
        </w:rPr>
        <w:t xml:space="preserve"> </w:t>
      </w:r>
      <w:r w:rsidR="00DC5316" w:rsidRPr="000E09F7">
        <w:rPr>
          <w:rStyle w:val="CharDivText"/>
        </w:rPr>
        <w:t xml:space="preserve"> </w:t>
      </w:r>
    </w:p>
    <w:p w14:paraId="493C2E23" w14:textId="77777777" w:rsidR="00DC5316" w:rsidRPr="000E09F7" w:rsidRDefault="00E219B7" w:rsidP="00DC5316">
      <w:pPr>
        <w:pStyle w:val="h5Section"/>
      </w:pPr>
      <w:r w:rsidRPr="000E09F7">
        <w:t>5</w:t>
      </w:r>
      <w:r w:rsidR="00596D38" w:rsidRPr="000E09F7">
        <w:t>8</w:t>
      </w:r>
      <w:r w:rsidR="00DC5316" w:rsidRPr="000E09F7">
        <w:t xml:space="preserve">  </w:t>
      </w:r>
      <w:proofErr w:type="spellStart"/>
      <w:r w:rsidR="00347C4B" w:rsidRPr="000E09F7">
        <w:t>Petajoule</w:t>
      </w:r>
      <w:proofErr w:type="spellEnd"/>
      <w:r w:rsidR="00347C4B" w:rsidRPr="000E09F7">
        <w:t>-kilometres of natural gas distribution</w:t>
      </w:r>
    </w:p>
    <w:p w14:paraId="493C2E24" w14:textId="77777777" w:rsidR="00DC5316" w:rsidRPr="000E09F7" w:rsidRDefault="00DC5316" w:rsidP="00DC5316">
      <w:pPr>
        <w:pStyle w:val="tMain"/>
      </w:pPr>
      <w:r w:rsidRPr="000E09F7">
        <w:tab/>
      </w:r>
      <w:r w:rsidR="00E219B7" w:rsidRPr="000E09F7">
        <w:t>(1)</w:t>
      </w:r>
      <w:r w:rsidRPr="000E09F7">
        <w:tab/>
      </w:r>
      <w:proofErr w:type="spellStart"/>
      <w:r w:rsidR="00347C4B" w:rsidRPr="000E09F7">
        <w:t>Petajoule</w:t>
      </w:r>
      <w:proofErr w:type="spellEnd"/>
      <w:r w:rsidR="00347C4B" w:rsidRPr="000E09F7">
        <w:t>-kilometres of natural gas:</w:t>
      </w:r>
    </w:p>
    <w:p w14:paraId="493C2E25" w14:textId="77777777" w:rsidR="00DC5316" w:rsidRPr="000E09F7" w:rsidRDefault="00DC5316" w:rsidP="00DC5316">
      <w:pPr>
        <w:pStyle w:val="tPara"/>
      </w:pPr>
      <w:r w:rsidRPr="000E09F7">
        <w:tab/>
      </w:r>
      <w:r w:rsidR="00E219B7" w:rsidRPr="000E09F7">
        <w:t>(a)</w:t>
      </w:r>
      <w:r w:rsidRPr="000E09F7">
        <w:tab/>
      </w:r>
      <w:r w:rsidR="00347C4B" w:rsidRPr="000E09F7">
        <w:t xml:space="preserve">delivered </w:t>
      </w:r>
      <w:r w:rsidR="0036095D" w:rsidRPr="000E09F7">
        <w:t xml:space="preserve">to customers </w:t>
      </w:r>
      <w:r w:rsidR="00347C4B" w:rsidRPr="000E09F7">
        <w:t xml:space="preserve">as part of </w:t>
      </w:r>
      <w:r w:rsidRPr="000E09F7">
        <w:t xml:space="preserve">carrying on the </w:t>
      </w:r>
      <w:r w:rsidR="00347C4B" w:rsidRPr="000E09F7">
        <w:t>natural gas distribution</w:t>
      </w:r>
      <w:r w:rsidRPr="000E09F7">
        <w:t xml:space="preserve"> activity at the facility; and</w:t>
      </w:r>
    </w:p>
    <w:p w14:paraId="493C2E26" w14:textId="77777777" w:rsidR="00DC5316" w:rsidRPr="000E09F7" w:rsidRDefault="00DC5316" w:rsidP="00DC5316">
      <w:pPr>
        <w:pStyle w:val="tPara"/>
      </w:pPr>
      <w:r w:rsidRPr="000E09F7">
        <w:tab/>
      </w:r>
      <w:r w:rsidR="00E219B7" w:rsidRPr="000E09F7">
        <w:t>(b)</w:t>
      </w:r>
      <w:r w:rsidRPr="000E09F7">
        <w:tab/>
      </w:r>
      <w:r w:rsidR="00347C4B" w:rsidRPr="000E09F7">
        <w:t>that is not lost or consumed as part of carrying on the natural gas distribution activity</w:t>
      </w:r>
      <w:r w:rsidR="00882123" w:rsidRPr="000E09F7">
        <w:t>; and</w:t>
      </w:r>
    </w:p>
    <w:p w14:paraId="493C2E27" w14:textId="77777777" w:rsidR="00882123" w:rsidRPr="000E09F7" w:rsidRDefault="00882123" w:rsidP="00DC5316">
      <w:pPr>
        <w:pStyle w:val="tPara"/>
      </w:pPr>
      <w:r w:rsidRPr="000E09F7">
        <w:tab/>
        <w:t>(c)</w:t>
      </w:r>
      <w:r w:rsidRPr="000E09F7">
        <w:tab/>
        <w:t>that is only counted once.</w:t>
      </w:r>
    </w:p>
    <w:p w14:paraId="493C2E28" w14:textId="77777777" w:rsidR="00DC5316" w:rsidRPr="000E09F7" w:rsidRDefault="00DC5316" w:rsidP="00DC5316">
      <w:pPr>
        <w:pStyle w:val="tMain"/>
      </w:pPr>
      <w:r w:rsidRPr="000E09F7">
        <w:tab/>
      </w:r>
      <w:r w:rsidR="00E219B7" w:rsidRPr="000E09F7">
        <w:t>(2)</w:t>
      </w:r>
      <w:r w:rsidRPr="000E09F7">
        <w:tab/>
        <w:t xml:space="preserve">The metric in subsection (1) is applicable to a facility that conducts the activity of </w:t>
      </w:r>
      <w:r w:rsidR="00DE4BCF" w:rsidRPr="000E09F7">
        <w:t>transporting natural gas through natural gas distribution pipelines to customers</w:t>
      </w:r>
      <w:r w:rsidRPr="000E09F7">
        <w:t xml:space="preserve"> (the</w:t>
      </w:r>
      <w:r w:rsidR="00DE4BCF" w:rsidRPr="000E09F7">
        <w:t xml:space="preserve"> </w:t>
      </w:r>
      <w:r w:rsidR="00DE4BCF" w:rsidRPr="000E09F7">
        <w:rPr>
          <w:b/>
          <w:i/>
        </w:rPr>
        <w:t xml:space="preserve">natural gas distribution </w:t>
      </w:r>
      <w:r w:rsidRPr="000E09F7">
        <w:rPr>
          <w:b/>
          <w:i/>
        </w:rPr>
        <w:t>activity</w:t>
      </w:r>
      <w:r w:rsidRPr="000E09F7">
        <w:t>)</w:t>
      </w:r>
      <w:r w:rsidR="0036095D" w:rsidRPr="000E09F7">
        <w:t xml:space="preserve"> and reports emissions under Division 3.3.8 of the NGER (Measurement) Determination</w:t>
      </w:r>
      <w:r w:rsidRPr="000E09F7">
        <w:t>.</w:t>
      </w:r>
    </w:p>
    <w:p w14:paraId="493C2E29" w14:textId="7559F995" w:rsidR="00347C4B" w:rsidRPr="000E09F7" w:rsidRDefault="00DC5316" w:rsidP="00DC5316">
      <w:pPr>
        <w:pStyle w:val="tMain"/>
      </w:pPr>
      <w:r w:rsidRPr="000E09F7">
        <w:tab/>
      </w:r>
      <w:r w:rsidR="00E219B7" w:rsidRPr="000E09F7">
        <w:t>(3)</w:t>
      </w:r>
      <w:r w:rsidRPr="000E09F7">
        <w:tab/>
        <w:t xml:space="preserve">The default emissions intensity is </w:t>
      </w:r>
      <w:r w:rsidR="00367F1E" w:rsidRPr="000E09F7">
        <w:t>0.22</w:t>
      </w:r>
      <w:r w:rsidR="00093D64" w:rsidRPr="000E09F7">
        <w:t>7</w:t>
      </w:r>
      <w:r w:rsidRPr="000E09F7">
        <w:t xml:space="preserve"> t CO</w:t>
      </w:r>
      <w:r w:rsidRPr="000E09F7">
        <w:rPr>
          <w:vertAlign w:val="subscript"/>
        </w:rPr>
        <w:t>2</w:t>
      </w:r>
      <w:r w:rsidRPr="000E09F7">
        <w:t xml:space="preserve">-e per </w:t>
      </w:r>
      <w:proofErr w:type="spellStart"/>
      <w:r w:rsidR="00347C4B" w:rsidRPr="000E09F7">
        <w:t>petajoule</w:t>
      </w:r>
      <w:proofErr w:type="spellEnd"/>
      <w:r w:rsidR="00347C4B" w:rsidRPr="000E09F7">
        <w:t>-kilometre</w:t>
      </w:r>
      <w:r w:rsidRPr="000E09F7">
        <w:t>.</w:t>
      </w:r>
    </w:p>
    <w:p w14:paraId="493C2E2A" w14:textId="77777777" w:rsidR="00DA58CC" w:rsidRPr="000E09F7" w:rsidRDefault="008F5E93" w:rsidP="008F5E93">
      <w:pPr>
        <w:pStyle w:val="tMain"/>
      </w:pPr>
      <w:r w:rsidRPr="000E09F7">
        <w:tab/>
        <w:t>(4)</w:t>
      </w:r>
      <w:r w:rsidRPr="000E09F7">
        <w:tab/>
        <w:t>The energy content of natural gas</w:t>
      </w:r>
      <w:r w:rsidR="00DA58CC" w:rsidRPr="000E09F7">
        <w:t>:</w:t>
      </w:r>
      <w:r w:rsidRPr="000E09F7">
        <w:t xml:space="preserve"> </w:t>
      </w:r>
    </w:p>
    <w:p w14:paraId="493C2E2B" w14:textId="77777777" w:rsidR="008F5E93" w:rsidRPr="000E09F7" w:rsidRDefault="00DA58CC" w:rsidP="00DA58CC">
      <w:pPr>
        <w:pStyle w:val="tPara"/>
      </w:pPr>
      <w:r w:rsidRPr="000E09F7">
        <w:tab/>
        <w:t>(a)</w:t>
      </w:r>
      <w:r w:rsidRPr="000E09F7">
        <w:tab/>
      </w:r>
      <w:r w:rsidR="008F5E93" w:rsidRPr="000E09F7">
        <w:t>must be measured</w:t>
      </w:r>
      <w:r w:rsidR="00DE4BCF" w:rsidRPr="000E09F7">
        <w:t xml:space="preserve"> as the higher heating val</w:t>
      </w:r>
      <w:r w:rsidRPr="000E09F7">
        <w:t>ue energy content; and</w:t>
      </w:r>
    </w:p>
    <w:p w14:paraId="11A0FB0F" w14:textId="2F4D8917" w:rsidR="009C0069" w:rsidRPr="000E09F7" w:rsidRDefault="00DA58CC" w:rsidP="009C0069">
      <w:pPr>
        <w:pStyle w:val="tPara"/>
      </w:pPr>
      <w:r w:rsidRPr="000E09F7">
        <w:tab/>
        <w:t>(b)</w:t>
      </w:r>
      <w:r w:rsidRPr="000E09F7">
        <w:tab/>
        <w:t>may include the energy content of hydrogen included in the natural gas so long as the natural gas mixture meets applicable standards for gas within the network (such as Australian Standard 4564</w:t>
      </w:r>
      <w:r w:rsidR="00726437" w:rsidRPr="000E09F7">
        <w:t>:2020</w:t>
      </w:r>
      <w:r w:rsidRPr="000E09F7">
        <w:t>).</w:t>
      </w:r>
    </w:p>
    <w:p w14:paraId="51825FC5" w14:textId="40232152" w:rsidR="009C0069" w:rsidRPr="000E09F7" w:rsidRDefault="009C0069" w:rsidP="00163697">
      <w:pPr>
        <w:pStyle w:val="nMain"/>
        <w:spacing w:line="276" w:lineRule="auto"/>
      </w:pPr>
      <w:r w:rsidRPr="000E09F7">
        <w:t>Note:</w:t>
      </w:r>
      <w:r w:rsidRPr="000E09F7">
        <w:tab/>
        <w:t>In 2020, AS 4564 was available from http://www.standards.org.au.</w:t>
      </w:r>
    </w:p>
    <w:p w14:paraId="493C2E2D" w14:textId="5D0DE786" w:rsidR="00347C4B" w:rsidRPr="000E09F7" w:rsidRDefault="00DC5316" w:rsidP="00347C4B">
      <w:pPr>
        <w:pStyle w:val="tMain"/>
      </w:pPr>
      <w:r w:rsidRPr="000E09F7">
        <w:t xml:space="preserve"> </w:t>
      </w:r>
      <w:r w:rsidR="00926332">
        <w:tab/>
        <w:t>(5</w:t>
      </w:r>
      <w:r w:rsidR="00347C4B" w:rsidRPr="000E09F7">
        <w:t>)</w:t>
      </w:r>
      <w:r w:rsidR="00347C4B" w:rsidRPr="000E09F7">
        <w:tab/>
        <w:t>I</w:t>
      </w:r>
      <w:r w:rsidR="008F5E93" w:rsidRPr="000E09F7">
        <w:t>n this section:</w:t>
      </w:r>
    </w:p>
    <w:p w14:paraId="493C2E2E" w14:textId="77777777" w:rsidR="00621256" w:rsidRPr="000E09F7" w:rsidRDefault="00621256" w:rsidP="00621256">
      <w:pPr>
        <w:pStyle w:val="tDefn"/>
      </w:pPr>
      <w:r w:rsidRPr="000E09F7">
        <w:rPr>
          <w:b/>
          <w:bCs/>
          <w:i/>
          <w:iCs/>
          <w:szCs w:val="22"/>
          <w:shd w:val="clear" w:color="auto" w:fill="FFFFFF"/>
        </w:rPr>
        <w:t xml:space="preserve">natural gas </w:t>
      </w:r>
      <w:r w:rsidRPr="000E09F7">
        <w:rPr>
          <w:bCs/>
          <w:iCs/>
          <w:szCs w:val="22"/>
          <w:shd w:val="clear" w:color="auto" w:fill="FFFFFF"/>
        </w:rPr>
        <w:t xml:space="preserve">has the meaning given by the NGER Regulations. </w:t>
      </w:r>
    </w:p>
    <w:p w14:paraId="493C2E2F" w14:textId="77777777" w:rsidR="00621256" w:rsidRPr="000E09F7" w:rsidRDefault="00621256" w:rsidP="00A45265">
      <w:pPr>
        <w:pStyle w:val="tDefn"/>
      </w:pPr>
      <w:r w:rsidRPr="000E09F7">
        <w:rPr>
          <w:b/>
          <w:bCs/>
          <w:i/>
          <w:iCs/>
          <w:szCs w:val="22"/>
          <w:shd w:val="clear" w:color="auto" w:fill="FFFFFF"/>
        </w:rPr>
        <w:t xml:space="preserve">natural gas distribution pipelines </w:t>
      </w:r>
      <w:r w:rsidRPr="000E09F7">
        <w:rPr>
          <w:bCs/>
          <w:iCs/>
          <w:szCs w:val="22"/>
          <w:shd w:val="clear" w:color="auto" w:fill="FFFFFF"/>
        </w:rPr>
        <w:t>mean pipelines for the conveyance of natural gas that</w:t>
      </w:r>
      <w:r w:rsidR="00A45265" w:rsidRPr="000E09F7">
        <w:rPr>
          <w:bCs/>
          <w:iCs/>
          <w:szCs w:val="22"/>
          <w:shd w:val="clear" w:color="auto" w:fill="FFFFFF"/>
        </w:rPr>
        <w:t xml:space="preserve"> r</w:t>
      </w:r>
      <w:r w:rsidR="00F51D71" w:rsidRPr="000E09F7">
        <w:rPr>
          <w:bCs/>
          <w:iCs/>
          <w:szCs w:val="22"/>
          <w:shd w:val="clear" w:color="auto" w:fill="FFFFFF"/>
        </w:rPr>
        <w:t>eport</w:t>
      </w:r>
      <w:r w:rsidR="00A45265" w:rsidRPr="000E09F7">
        <w:rPr>
          <w:bCs/>
          <w:iCs/>
          <w:szCs w:val="22"/>
          <w:shd w:val="clear" w:color="auto" w:fill="FFFFFF"/>
        </w:rPr>
        <w:t xml:space="preserve"> emissions under Division 3.3.8 of the NGER (Measurement) Determination.</w:t>
      </w:r>
      <w:r w:rsidRPr="000E09F7">
        <w:t xml:space="preserve"> </w:t>
      </w:r>
    </w:p>
    <w:p w14:paraId="493C2E30" w14:textId="77777777" w:rsidR="008F5E93" w:rsidRPr="000E09F7" w:rsidRDefault="00DE4BCF" w:rsidP="008F5E93">
      <w:pPr>
        <w:pStyle w:val="tDefn"/>
      </w:pPr>
      <w:proofErr w:type="spellStart"/>
      <w:r w:rsidRPr="000E09F7">
        <w:rPr>
          <w:b/>
          <w:bCs/>
          <w:i/>
          <w:iCs/>
        </w:rPr>
        <w:t>p</w:t>
      </w:r>
      <w:r w:rsidR="008F5E93" w:rsidRPr="000E09F7">
        <w:rPr>
          <w:b/>
          <w:bCs/>
          <w:i/>
          <w:iCs/>
        </w:rPr>
        <w:t>etajoule</w:t>
      </w:r>
      <w:proofErr w:type="spellEnd"/>
      <w:r w:rsidR="008F5E93" w:rsidRPr="000E09F7">
        <w:rPr>
          <w:b/>
          <w:bCs/>
          <w:i/>
          <w:iCs/>
        </w:rPr>
        <w:t xml:space="preserve">-kilometre </w:t>
      </w:r>
      <w:r w:rsidR="008F5E93" w:rsidRPr="000E09F7">
        <w:t>means the multiplication of:</w:t>
      </w:r>
    </w:p>
    <w:p w14:paraId="493C2E31" w14:textId="77777777" w:rsidR="008F5E93" w:rsidRPr="000E09F7" w:rsidRDefault="008F5E93" w:rsidP="008F5E93">
      <w:pPr>
        <w:pStyle w:val="tPara"/>
      </w:pPr>
      <w:r w:rsidRPr="000E09F7">
        <w:tab/>
        <w:t>(a)</w:t>
      </w:r>
      <w:r w:rsidRPr="000E09F7">
        <w:tab/>
        <w:t>the total energy content</w:t>
      </w:r>
      <w:r w:rsidR="00882123" w:rsidRPr="000E09F7">
        <w:t xml:space="preserve">, in </w:t>
      </w:r>
      <w:proofErr w:type="spellStart"/>
      <w:r w:rsidR="00882123" w:rsidRPr="000E09F7">
        <w:t>petajoules</w:t>
      </w:r>
      <w:proofErr w:type="spellEnd"/>
      <w:r w:rsidR="00882123" w:rsidRPr="000E09F7">
        <w:t>,</w:t>
      </w:r>
      <w:r w:rsidRPr="000E09F7">
        <w:t xml:space="preserve"> of natural gas delivered to customers by means of a natural gas distribution pipelines</w:t>
      </w:r>
      <w:r w:rsidR="00621256" w:rsidRPr="000E09F7">
        <w:t xml:space="preserve"> which are</w:t>
      </w:r>
      <w:r w:rsidRPr="000E09F7">
        <w:t xml:space="preserve"> part of the facility; and</w:t>
      </w:r>
    </w:p>
    <w:p w14:paraId="493C2E32" w14:textId="77777777" w:rsidR="00DA58CC" w:rsidRPr="000E09F7" w:rsidRDefault="00DE4BCF" w:rsidP="00DA58CC">
      <w:pPr>
        <w:pStyle w:val="tPara"/>
      </w:pPr>
      <w:r w:rsidRPr="000E09F7">
        <w:tab/>
        <w:t>(b)</w:t>
      </w:r>
      <w:r w:rsidRPr="000E09F7">
        <w:tab/>
        <w:t xml:space="preserve">the total length, in kilometres, of the natural gas distribution pipelines used to deliver natural gas </w:t>
      </w:r>
      <w:r w:rsidR="00621256" w:rsidRPr="000E09F7">
        <w:t xml:space="preserve">to customers </w:t>
      </w:r>
      <w:r w:rsidRPr="000E09F7">
        <w:t>as part of the facility</w:t>
      </w:r>
      <w:r w:rsidR="00882123" w:rsidRPr="000E09F7">
        <w:t xml:space="preserve"> as at the end of the relevant financial year</w:t>
      </w:r>
      <w:r w:rsidRPr="000E09F7">
        <w:t>.</w:t>
      </w:r>
    </w:p>
    <w:p w14:paraId="493C2E33" w14:textId="77777777" w:rsidR="00DE4BCF" w:rsidRPr="000E09F7" w:rsidRDefault="00DA58CC" w:rsidP="00596D38">
      <w:pPr>
        <w:pStyle w:val="nMain"/>
        <w:spacing w:line="276" w:lineRule="auto"/>
      </w:pPr>
      <w:r w:rsidRPr="000E09F7">
        <w:t>Note:          Natural gas distribution pipelines not used in the delivery of natural gas to customers are not included in these kilometres.</w:t>
      </w:r>
    </w:p>
    <w:p w14:paraId="493C2E34" w14:textId="18A34A70" w:rsidR="00596D38" w:rsidRPr="000E09F7" w:rsidRDefault="00596D38" w:rsidP="00596D38">
      <w:pPr>
        <w:pStyle w:val="h2Part"/>
        <w:rPr>
          <w:rStyle w:val="CharDivText"/>
        </w:rPr>
      </w:pPr>
      <w:r w:rsidRPr="000E09F7">
        <w:rPr>
          <w:rStyle w:val="CharPartNo"/>
        </w:rPr>
        <w:t>Part 28—</w:t>
      </w:r>
      <w:r w:rsidR="00FF5B30" w:rsidRPr="000E09F7">
        <w:rPr>
          <w:rStyle w:val="CharPartText"/>
        </w:rPr>
        <w:t>Natural gas t</w:t>
      </w:r>
      <w:r w:rsidRPr="000E09F7">
        <w:rPr>
          <w:rStyle w:val="CharPartText"/>
        </w:rPr>
        <w:t xml:space="preserve">ransmission </w:t>
      </w:r>
      <w:r w:rsidRPr="000E09F7">
        <w:rPr>
          <w:rStyle w:val="CharDivNo"/>
        </w:rPr>
        <w:t xml:space="preserve"> </w:t>
      </w:r>
      <w:r w:rsidRPr="000E09F7">
        <w:rPr>
          <w:rStyle w:val="CharDivText"/>
        </w:rPr>
        <w:t xml:space="preserve"> </w:t>
      </w:r>
    </w:p>
    <w:p w14:paraId="493C2E35" w14:textId="77777777" w:rsidR="0056196C" w:rsidRPr="000E09F7" w:rsidRDefault="0056196C" w:rsidP="0056196C">
      <w:pPr>
        <w:pStyle w:val="h3Div"/>
      </w:pPr>
      <w:bookmarkStart w:id="11" w:name="_Toc34136436"/>
      <w:r w:rsidRPr="000E09F7">
        <w:rPr>
          <w:rStyle w:val="CharDivNo"/>
        </w:rPr>
        <w:t>Division 1</w:t>
      </w:r>
      <w:r w:rsidRPr="000E09F7">
        <w:t>—</w:t>
      </w:r>
      <w:bookmarkEnd w:id="11"/>
      <w:r w:rsidRPr="000E09F7">
        <w:t xml:space="preserve">Definitions </w:t>
      </w:r>
    </w:p>
    <w:p w14:paraId="493C2E36" w14:textId="77777777" w:rsidR="00596D38" w:rsidRPr="000E09F7" w:rsidRDefault="00596D38" w:rsidP="00596D38">
      <w:pPr>
        <w:pStyle w:val="h5Section"/>
      </w:pPr>
      <w:r w:rsidRPr="000E09F7">
        <w:t>59  Definitions</w:t>
      </w:r>
    </w:p>
    <w:p w14:paraId="493C2E37" w14:textId="77777777" w:rsidR="00596D38" w:rsidRPr="000E09F7" w:rsidRDefault="00596D38" w:rsidP="00596D38">
      <w:pPr>
        <w:pStyle w:val="tMain"/>
      </w:pPr>
      <w:r w:rsidRPr="000E09F7">
        <w:tab/>
      </w:r>
      <w:r w:rsidR="007D74B0" w:rsidRPr="000E09F7">
        <w:t>(1)</w:t>
      </w:r>
      <w:r w:rsidRPr="000E09F7">
        <w:tab/>
        <w:t>In this Part:</w:t>
      </w:r>
    </w:p>
    <w:p w14:paraId="493C2E38" w14:textId="77777777" w:rsidR="00596D38" w:rsidRPr="000E09F7" w:rsidRDefault="00596D38" w:rsidP="00596D38">
      <w:pPr>
        <w:pStyle w:val="tDefn"/>
        <w:rPr>
          <w:bCs/>
          <w:iCs/>
          <w:szCs w:val="22"/>
          <w:shd w:val="clear" w:color="auto" w:fill="FFFFFF"/>
        </w:rPr>
      </w:pPr>
      <w:r w:rsidRPr="000E09F7">
        <w:rPr>
          <w:b/>
          <w:bCs/>
          <w:i/>
          <w:iCs/>
          <w:szCs w:val="22"/>
          <w:shd w:val="clear" w:color="auto" w:fill="FFFFFF"/>
        </w:rPr>
        <w:t xml:space="preserve">natural gas </w:t>
      </w:r>
      <w:r w:rsidRPr="000E09F7">
        <w:rPr>
          <w:bCs/>
          <w:iCs/>
          <w:szCs w:val="22"/>
          <w:shd w:val="clear" w:color="auto" w:fill="FFFFFF"/>
        </w:rPr>
        <w:t xml:space="preserve">has the meaning given by the NGER Regulations. </w:t>
      </w:r>
    </w:p>
    <w:p w14:paraId="493C2E39" w14:textId="77777777" w:rsidR="007D74B0" w:rsidRPr="000E09F7" w:rsidRDefault="00596D38" w:rsidP="00A45265">
      <w:pPr>
        <w:pStyle w:val="tDefn"/>
        <w:rPr>
          <w:bCs/>
          <w:iCs/>
          <w:szCs w:val="22"/>
          <w:shd w:val="clear" w:color="auto" w:fill="FFFFFF"/>
        </w:rPr>
      </w:pPr>
      <w:r w:rsidRPr="000E09F7">
        <w:rPr>
          <w:b/>
          <w:bCs/>
          <w:i/>
          <w:iCs/>
          <w:szCs w:val="22"/>
          <w:shd w:val="clear" w:color="auto" w:fill="FFFFFF"/>
        </w:rPr>
        <w:t xml:space="preserve">natural gas transmission pipeline </w:t>
      </w:r>
      <w:r w:rsidRPr="000E09F7">
        <w:rPr>
          <w:bCs/>
          <w:iCs/>
          <w:szCs w:val="22"/>
          <w:shd w:val="clear" w:color="auto" w:fill="FFFFFF"/>
        </w:rPr>
        <w:t>means a pipeline for the conveyance of natural gas or plant condensate that</w:t>
      </w:r>
      <w:r w:rsidR="00A45265" w:rsidRPr="000E09F7">
        <w:rPr>
          <w:bCs/>
          <w:iCs/>
          <w:szCs w:val="22"/>
          <w:shd w:val="clear" w:color="auto" w:fill="FFFFFF"/>
        </w:rPr>
        <w:t xml:space="preserve"> reports emissions under Division 3.3.7 of the NGER (Measurement) Determination. </w:t>
      </w:r>
    </w:p>
    <w:p w14:paraId="493C2E3A" w14:textId="0A398C1F" w:rsidR="009907E1" w:rsidRPr="000E09F7" w:rsidRDefault="007D74B0" w:rsidP="009907E1">
      <w:pPr>
        <w:pStyle w:val="tMain"/>
        <w:rPr>
          <w:b/>
        </w:rPr>
      </w:pPr>
      <w:r w:rsidRPr="000E09F7">
        <w:tab/>
        <w:t>(2)</w:t>
      </w:r>
      <w:r w:rsidRPr="000E09F7">
        <w:tab/>
        <w:t xml:space="preserve">In this Part the activity of </w:t>
      </w:r>
      <w:r w:rsidRPr="000E09F7">
        <w:rPr>
          <w:b/>
          <w:i/>
        </w:rPr>
        <w:t xml:space="preserve">natural gas transmission </w:t>
      </w:r>
      <w:r w:rsidRPr="000E09F7">
        <w:t>is the</w:t>
      </w:r>
      <w:r w:rsidRPr="000E09F7">
        <w:rPr>
          <w:b/>
        </w:rPr>
        <w:t xml:space="preserve"> </w:t>
      </w:r>
      <w:r w:rsidRPr="000E09F7">
        <w:t>transport</w:t>
      </w:r>
      <w:r w:rsidR="003846F6" w:rsidRPr="000E09F7">
        <w:t xml:space="preserve"> of</w:t>
      </w:r>
      <w:r w:rsidRPr="000E09F7">
        <w:t xml:space="preserve"> natural gas or plant condensate through natural gas transmission pipelines to customers</w:t>
      </w:r>
      <w:r w:rsidR="009907E1" w:rsidRPr="000E09F7">
        <w:t xml:space="preserve"> or distribution networks</w:t>
      </w:r>
      <w:r w:rsidR="009907E1" w:rsidRPr="000E09F7">
        <w:rPr>
          <w:b/>
        </w:rPr>
        <w:t>.</w:t>
      </w:r>
    </w:p>
    <w:p w14:paraId="493C2E3B" w14:textId="77777777" w:rsidR="00596D38" w:rsidRPr="000E09F7" w:rsidRDefault="009907E1" w:rsidP="009907E1">
      <w:pPr>
        <w:pStyle w:val="nMain"/>
        <w:spacing w:line="276" w:lineRule="auto"/>
      </w:pPr>
      <w:r w:rsidRPr="000E09F7">
        <w:t xml:space="preserve">Note:          Customers could include large industrial facilities, liquefied natural gas stations or natural gas processing stations. </w:t>
      </w:r>
    </w:p>
    <w:p w14:paraId="493C2E3C" w14:textId="77777777" w:rsidR="0056196C" w:rsidRPr="000E09F7" w:rsidRDefault="0056196C" w:rsidP="0056196C">
      <w:pPr>
        <w:pStyle w:val="h3Div"/>
      </w:pPr>
      <w:r w:rsidRPr="000E09F7">
        <w:rPr>
          <w:rStyle w:val="CharDivNo"/>
        </w:rPr>
        <w:t>Division 2</w:t>
      </w:r>
      <w:r w:rsidRPr="000E09F7">
        <w:t xml:space="preserve">—Natural gas transmission production variables </w:t>
      </w:r>
    </w:p>
    <w:p w14:paraId="493C2E3D" w14:textId="69A8D79A" w:rsidR="00596D38" w:rsidRPr="000E09F7" w:rsidRDefault="00ED35E8" w:rsidP="00596D38">
      <w:pPr>
        <w:pStyle w:val="h5Section"/>
      </w:pPr>
      <w:r w:rsidRPr="000E09F7">
        <w:t>60</w:t>
      </w:r>
      <w:r w:rsidR="00596D38" w:rsidRPr="000E09F7">
        <w:t xml:space="preserve">  Kilometres of natural gas transmission pipelines</w:t>
      </w:r>
    </w:p>
    <w:p w14:paraId="493C2E3E" w14:textId="77777777" w:rsidR="00596D38" w:rsidRPr="000E09F7" w:rsidRDefault="00596D38" w:rsidP="00596D38">
      <w:pPr>
        <w:pStyle w:val="tMain"/>
      </w:pPr>
      <w:r w:rsidRPr="000E09F7">
        <w:tab/>
        <w:t>(1)</w:t>
      </w:r>
      <w:r w:rsidRPr="000E09F7">
        <w:tab/>
        <w:t>Kilometres of natural gas transmission pipelines used to deliver natural gas</w:t>
      </w:r>
      <w:r w:rsidR="008F4AF1" w:rsidRPr="000E09F7">
        <w:t xml:space="preserve"> or plant condensate</w:t>
      </w:r>
      <w:r w:rsidRPr="000E09F7">
        <w:t xml:space="preserve"> to customers or distribution networks as part of carrying on the natural gas transmission activity at the facility.</w:t>
      </w:r>
    </w:p>
    <w:p w14:paraId="493C2E3F" w14:textId="77777777" w:rsidR="00596D38" w:rsidRPr="000E09F7" w:rsidRDefault="00596D38" w:rsidP="00596D38">
      <w:pPr>
        <w:pStyle w:val="tMain"/>
      </w:pPr>
      <w:r w:rsidRPr="000E09F7">
        <w:tab/>
        <w:t>(2)</w:t>
      </w:r>
      <w:r w:rsidRPr="000E09F7">
        <w:tab/>
        <w:t>The metric in subsection (1) is applicable to a facility that conducts the natural gas transmission activity and reports emissions under Division 3.3.7 of the NGER (Measurement) Determination.</w:t>
      </w:r>
    </w:p>
    <w:p w14:paraId="493C2E40" w14:textId="77777777" w:rsidR="00596D38" w:rsidRPr="000E09F7" w:rsidRDefault="00596D38" w:rsidP="00596D38">
      <w:pPr>
        <w:pStyle w:val="tMain"/>
      </w:pPr>
      <w:r w:rsidRPr="000E09F7">
        <w:tab/>
        <w:t>(3)</w:t>
      </w:r>
      <w:r w:rsidRPr="000E09F7">
        <w:tab/>
        <w:t xml:space="preserve">The default emissions intensity is </w:t>
      </w:r>
      <w:r w:rsidR="00EC77DD" w:rsidRPr="000E09F7">
        <w:t>10.42</w:t>
      </w:r>
      <w:r w:rsidRPr="000E09F7">
        <w:t xml:space="preserve"> t CO</w:t>
      </w:r>
      <w:r w:rsidRPr="000E09F7">
        <w:rPr>
          <w:vertAlign w:val="subscript"/>
        </w:rPr>
        <w:t>2</w:t>
      </w:r>
      <w:r w:rsidRPr="000E09F7">
        <w:t>-e per kilometre.</w:t>
      </w:r>
    </w:p>
    <w:p w14:paraId="189E8FF8" w14:textId="79B244B7" w:rsidR="00ED35E8" w:rsidRPr="000E09F7" w:rsidRDefault="00596D38" w:rsidP="00ED35E8">
      <w:pPr>
        <w:pStyle w:val="tMain"/>
      </w:pPr>
      <w:r w:rsidRPr="000E09F7">
        <w:tab/>
        <w:t>(4)</w:t>
      </w:r>
      <w:r w:rsidRPr="000E09F7">
        <w:tab/>
      </w:r>
      <w:r w:rsidR="007D74B0" w:rsidRPr="000E09F7">
        <w:t>The kilometres of the natural gas transmission pipelines must not be greater than the kilometres of pipelines reported under section 3.76 of the NGER (Measurement) Determination for the same financial year.</w:t>
      </w:r>
    </w:p>
    <w:p w14:paraId="345E16D4" w14:textId="3A9A122D" w:rsidR="00ED35E8" w:rsidRPr="000E09F7" w:rsidRDefault="00ED35E8" w:rsidP="00163697">
      <w:pPr>
        <w:pStyle w:val="nMain"/>
        <w:keepLines/>
        <w:tabs>
          <w:tab w:val="right" w:pos="1531"/>
        </w:tabs>
        <w:spacing w:after="100" w:line="276" w:lineRule="auto"/>
        <w:ind w:left="1701" w:hanging="1701"/>
        <w:rPr>
          <w:rFonts w:eastAsia="Calibri" w:cs="Arial"/>
          <w:iCs/>
          <w:sz w:val="20"/>
          <w:szCs w:val="22"/>
          <w:lang w:eastAsia="en-US"/>
        </w:rPr>
      </w:pPr>
      <w:r w:rsidRPr="000E09F7">
        <w:rPr>
          <w:rFonts w:eastAsia="Calibri" w:cs="Arial"/>
          <w:iCs/>
          <w:sz w:val="20"/>
          <w:szCs w:val="22"/>
          <w:lang w:eastAsia="en-US"/>
        </w:rPr>
        <w:tab/>
        <w:t>Note:</w:t>
      </w:r>
      <w:r w:rsidRPr="000E09F7">
        <w:rPr>
          <w:rFonts w:eastAsia="Calibri" w:cs="Arial"/>
          <w:iCs/>
          <w:sz w:val="20"/>
          <w:szCs w:val="22"/>
          <w:lang w:eastAsia="en-US"/>
        </w:rPr>
        <w:tab/>
        <w:t>A further natural gas transmission production variable is being developed and is intended to be section 61 of this Schedule.</w:t>
      </w:r>
    </w:p>
    <w:p w14:paraId="493C2E66" w14:textId="4C20D4A4" w:rsidR="00BA624B" w:rsidRPr="000E09F7" w:rsidRDefault="00ED35E8" w:rsidP="00BA624B">
      <w:pPr>
        <w:pStyle w:val="h2Part"/>
        <w:rPr>
          <w:rStyle w:val="CharDivText"/>
        </w:rPr>
      </w:pPr>
      <w:r w:rsidRPr="000E09F7">
        <w:rPr>
          <w:rStyle w:val="CharPartNo"/>
        </w:rPr>
        <w:t>Part 29</w:t>
      </w:r>
      <w:r w:rsidR="00BA624B" w:rsidRPr="000E09F7">
        <w:rPr>
          <w:rStyle w:val="CharPartNo"/>
        </w:rPr>
        <w:t>—</w:t>
      </w:r>
      <w:r w:rsidR="00BA624B" w:rsidRPr="000E09F7">
        <w:rPr>
          <w:rStyle w:val="CharPartText"/>
        </w:rPr>
        <w:t>Clinker</w:t>
      </w:r>
      <w:r w:rsidR="00126B55" w:rsidRPr="000E09F7">
        <w:rPr>
          <w:rStyle w:val="CharPartText"/>
        </w:rPr>
        <w:t>, l</w:t>
      </w:r>
      <w:r w:rsidR="009F6CCC" w:rsidRPr="000E09F7">
        <w:rPr>
          <w:rStyle w:val="CharPartText"/>
        </w:rPr>
        <w:t>ime</w:t>
      </w:r>
      <w:r w:rsidR="00BA624B" w:rsidRPr="000E09F7">
        <w:rPr>
          <w:rStyle w:val="CharPartText"/>
        </w:rPr>
        <w:t xml:space="preserve"> a</w:t>
      </w:r>
      <w:r w:rsidR="00126B55" w:rsidRPr="000E09F7">
        <w:rPr>
          <w:rStyle w:val="CharPartText"/>
        </w:rPr>
        <w:t>nd cement p</w:t>
      </w:r>
      <w:r w:rsidR="00BA624B" w:rsidRPr="000E09F7">
        <w:rPr>
          <w:rStyle w:val="CharPartText"/>
        </w:rPr>
        <w:t xml:space="preserve">roduction </w:t>
      </w:r>
      <w:r w:rsidR="00BA624B" w:rsidRPr="000E09F7">
        <w:rPr>
          <w:rStyle w:val="CharDivNo"/>
        </w:rPr>
        <w:t xml:space="preserve"> </w:t>
      </w:r>
      <w:r w:rsidR="00BA624B" w:rsidRPr="000E09F7">
        <w:rPr>
          <w:rStyle w:val="CharDivText"/>
        </w:rPr>
        <w:t xml:space="preserve"> </w:t>
      </w:r>
    </w:p>
    <w:p w14:paraId="493C2E67" w14:textId="77777777" w:rsidR="00BA624B" w:rsidRPr="000E09F7" w:rsidRDefault="00BA624B" w:rsidP="00BA624B">
      <w:pPr>
        <w:pStyle w:val="h3Div"/>
      </w:pPr>
      <w:r w:rsidRPr="000E09F7">
        <w:rPr>
          <w:rStyle w:val="CharDivNo"/>
        </w:rPr>
        <w:t>Division 1</w:t>
      </w:r>
      <w:r w:rsidRPr="000E09F7">
        <w:t xml:space="preserve">—Definitions </w:t>
      </w:r>
    </w:p>
    <w:p w14:paraId="493C2E68" w14:textId="320D1B53" w:rsidR="00BA624B" w:rsidRPr="000E09F7" w:rsidRDefault="00ED35E8" w:rsidP="00BA624B">
      <w:pPr>
        <w:pStyle w:val="h5Section"/>
      </w:pPr>
      <w:r w:rsidRPr="000E09F7">
        <w:t>62</w:t>
      </w:r>
      <w:r w:rsidR="00BA624B" w:rsidRPr="000E09F7">
        <w:t xml:space="preserve">  Definitions</w:t>
      </w:r>
    </w:p>
    <w:p w14:paraId="493C2E69" w14:textId="77777777" w:rsidR="00BA624B" w:rsidRPr="000E09F7" w:rsidRDefault="00BA624B" w:rsidP="00BA624B">
      <w:pPr>
        <w:pStyle w:val="tMain"/>
      </w:pPr>
      <w:r w:rsidRPr="000E09F7">
        <w:tab/>
        <w:t>(1)</w:t>
      </w:r>
      <w:r w:rsidRPr="000E09F7">
        <w:tab/>
        <w:t>In this Part:</w:t>
      </w:r>
    </w:p>
    <w:p w14:paraId="493C2E6A" w14:textId="77777777" w:rsidR="00CC7772" w:rsidRPr="000E09F7" w:rsidRDefault="009F6CCC" w:rsidP="00CC7772">
      <w:pPr>
        <w:pStyle w:val="tDefn"/>
      </w:pPr>
      <w:r w:rsidRPr="000E09F7">
        <w:rPr>
          <w:b/>
          <w:bCs/>
          <w:i/>
          <w:iCs/>
          <w:szCs w:val="22"/>
          <w:shd w:val="clear" w:color="auto" w:fill="FFFFFF"/>
        </w:rPr>
        <w:t xml:space="preserve">cement </w:t>
      </w:r>
      <w:r w:rsidRPr="000E09F7">
        <w:t xml:space="preserve">means </w:t>
      </w:r>
      <w:r w:rsidR="00CC7772" w:rsidRPr="000E09F7">
        <w:t xml:space="preserve">any </w:t>
      </w:r>
      <w:r w:rsidRPr="000E09F7">
        <w:t>h</w:t>
      </w:r>
      <w:r w:rsidR="00CC7772" w:rsidRPr="000E09F7">
        <w:t>ydraulic cement</w:t>
      </w:r>
      <w:r w:rsidRPr="000E09F7">
        <w:t>, including general purpose and blended cements, meeting the minimum requirements for such cements set out in AS 3972—2010 or any other specific contract and export specifications.</w:t>
      </w:r>
    </w:p>
    <w:p w14:paraId="493C2E6B" w14:textId="77777777" w:rsidR="00CC7772" w:rsidRPr="000E09F7" w:rsidRDefault="00CC7772" w:rsidP="00CC7772">
      <w:pPr>
        <w:pStyle w:val="nMain"/>
        <w:spacing w:line="276" w:lineRule="auto"/>
      </w:pPr>
      <w:r w:rsidRPr="000E09F7">
        <w:t>Note:</w:t>
      </w:r>
      <w:r w:rsidRPr="000E09F7">
        <w:tab/>
        <w:t>In 2020, AS 3972</w:t>
      </w:r>
      <w:r w:rsidR="00C70695" w:rsidRPr="000E09F7">
        <w:t>—2010</w:t>
      </w:r>
      <w:r w:rsidRPr="000E09F7">
        <w:t xml:space="preserve"> was available from </w:t>
      </w:r>
      <w:r w:rsidR="00C70695" w:rsidRPr="000E09F7">
        <w:t>http://</w:t>
      </w:r>
      <w:r w:rsidRPr="000E09F7">
        <w:t>www.standards.org.au.</w:t>
      </w:r>
    </w:p>
    <w:p w14:paraId="493C2E6C" w14:textId="77777777" w:rsidR="00BA624B" w:rsidRPr="000E09F7" w:rsidRDefault="00834DF6" w:rsidP="00BA624B">
      <w:pPr>
        <w:pStyle w:val="tDefn"/>
        <w:rPr>
          <w:bCs/>
          <w:iCs/>
          <w:szCs w:val="22"/>
          <w:shd w:val="clear" w:color="auto" w:fill="FFFFFF"/>
        </w:rPr>
      </w:pPr>
      <w:r w:rsidRPr="000E09F7">
        <w:rPr>
          <w:b/>
          <w:bCs/>
          <w:i/>
          <w:iCs/>
          <w:szCs w:val="22"/>
          <w:shd w:val="clear" w:color="auto" w:fill="FFFFFF"/>
        </w:rPr>
        <w:t>Portland cement clinker</w:t>
      </w:r>
      <w:r w:rsidRPr="000E09F7">
        <w:rPr>
          <w:bCs/>
          <w:iCs/>
          <w:szCs w:val="22"/>
          <w:shd w:val="clear" w:color="auto" w:fill="FFFFFF"/>
        </w:rPr>
        <w:t xml:space="preserve"> means</w:t>
      </w:r>
      <w:r w:rsidR="00BA624B" w:rsidRPr="000E09F7">
        <w:rPr>
          <w:bCs/>
          <w:iCs/>
          <w:szCs w:val="22"/>
          <w:shd w:val="clear" w:color="auto" w:fill="FFFFFF"/>
        </w:rPr>
        <w:t xml:space="preserve"> </w:t>
      </w:r>
      <w:r w:rsidRPr="000E09F7">
        <w:rPr>
          <w:bCs/>
          <w:iCs/>
          <w:szCs w:val="22"/>
          <w:shd w:val="clear" w:color="auto" w:fill="FFFFFF"/>
        </w:rPr>
        <w:t>the Portland cement clinker resulting from clinker production which:</w:t>
      </w:r>
    </w:p>
    <w:p w14:paraId="493C2E6D" w14:textId="77777777" w:rsidR="00834DF6" w:rsidRPr="000E09F7" w:rsidRDefault="00834DF6" w:rsidP="00834DF6">
      <w:pPr>
        <w:pStyle w:val="tPara"/>
      </w:pPr>
      <w:r w:rsidRPr="000E09F7">
        <w:tab/>
        <w:t>(a)</w:t>
      </w:r>
      <w:r w:rsidRPr="000E09F7">
        <w:tab/>
        <w:t>has a concentration of calcium silicates equal to or greater than 60%</w:t>
      </w:r>
      <w:r w:rsidR="00141D94" w:rsidRPr="000E09F7">
        <w:t xml:space="preserve"> by mass</w:t>
      </w:r>
      <w:r w:rsidRPr="000E09F7">
        <w:t>; and</w:t>
      </w:r>
    </w:p>
    <w:p w14:paraId="493C2E6E" w14:textId="77777777" w:rsidR="00834DF6" w:rsidRPr="000E09F7" w:rsidRDefault="00834DF6" w:rsidP="00834DF6">
      <w:pPr>
        <w:pStyle w:val="tPara"/>
      </w:pPr>
      <w:r w:rsidRPr="000E09F7">
        <w:tab/>
        <w:t>(b)</w:t>
      </w:r>
      <w:r w:rsidRPr="000E09F7">
        <w:tab/>
        <w:t>has a concentration of magnesium oxide (</w:t>
      </w:r>
      <w:proofErr w:type="spellStart"/>
      <w:r w:rsidRPr="000E09F7">
        <w:t>MgO</w:t>
      </w:r>
      <w:proofErr w:type="spellEnd"/>
      <w:r w:rsidRPr="000E09F7">
        <w:t>) equal to or less than 4.5%</w:t>
      </w:r>
      <w:r w:rsidR="00141D94" w:rsidRPr="000E09F7">
        <w:t xml:space="preserve"> by mass</w:t>
      </w:r>
      <w:r w:rsidRPr="000E09F7">
        <w:t>; and</w:t>
      </w:r>
    </w:p>
    <w:p w14:paraId="493C2E6F" w14:textId="77777777" w:rsidR="00834DF6" w:rsidRPr="000E09F7" w:rsidRDefault="00834DF6" w:rsidP="00834DF6">
      <w:pPr>
        <w:pStyle w:val="tPara"/>
      </w:pPr>
      <w:r w:rsidRPr="000E09F7">
        <w:tab/>
        <w:t>(c)</w:t>
      </w:r>
      <w:r w:rsidRPr="000E09F7">
        <w:tab/>
        <w:t>is useable in the making of Portland cement.</w:t>
      </w:r>
    </w:p>
    <w:p w14:paraId="493C2E70" w14:textId="77777777" w:rsidR="00834DF6" w:rsidRPr="000E09F7" w:rsidRDefault="00BA624B" w:rsidP="00834DF6">
      <w:pPr>
        <w:pStyle w:val="tMain"/>
      </w:pPr>
      <w:r w:rsidRPr="000E09F7">
        <w:tab/>
        <w:t>(2)</w:t>
      </w:r>
      <w:r w:rsidRPr="000E09F7">
        <w:tab/>
        <w:t xml:space="preserve">In this Part the activity of </w:t>
      </w:r>
      <w:r w:rsidR="00834DF6" w:rsidRPr="000E09F7">
        <w:rPr>
          <w:b/>
          <w:i/>
        </w:rPr>
        <w:t>clinker production</w:t>
      </w:r>
      <w:r w:rsidRPr="000E09F7">
        <w:rPr>
          <w:b/>
          <w:i/>
        </w:rPr>
        <w:t xml:space="preserve"> </w:t>
      </w:r>
      <w:r w:rsidR="00834DF6" w:rsidRPr="000E09F7">
        <w:t>is the physical and chemical transformation of:</w:t>
      </w:r>
    </w:p>
    <w:p w14:paraId="493C2E71" w14:textId="77777777" w:rsidR="00834DF6" w:rsidRPr="000E09F7" w:rsidRDefault="00834DF6" w:rsidP="00834DF6">
      <w:pPr>
        <w:pStyle w:val="tPara"/>
      </w:pPr>
      <w:r w:rsidRPr="000E09F7">
        <w:tab/>
        <w:t>(a)</w:t>
      </w:r>
      <w:r w:rsidRPr="000E09F7">
        <w:tab/>
        <w:t>either or both of calcium carbonate compounds (limestone (CaCO</w:t>
      </w:r>
      <w:r w:rsidRPr="000E09F7">
        <w:rPr>
          <w:color w:val="000000"/>
          <w:vertAlign w:val="subscript"/>
        </w:rPr>
        <w:t>3</w:t>
      </w:r>
      <w:r w:rsidRPr="000E09F7">
        <w:t>)) and other calcium carbonate (CaCO</w:t>
      </w:r>
      <w:r w:rsidRPr="000E09F7">
        <w:rPr>
          <w:color w:val="000000"/>
          <w:vertAlign w:val="subscript"/>
        </w:rPr>
        <w:t>3</w:t>
      </w:r>
      <w:r w:rsidRPr="000E09F7">
        <w:t>) feedstocks; and</w:t>
      </w:r>
    </w:p>
    <w:p w14:paraId="493C2E72" w14:textId="77777777" w:rsidR="00834DF6" w:rsidRPr="000E09F7" w:rsidRDefault="00834DF6" w:rsidP="00834DF6">
      <w:pPr>
        <w:pStyle w:val="tPara"/>
      </w:pPr>
      <w:r w:rsidRPr="000E09F7">
        <w:tab/>
        <w:t>(b)</w:t>
      </w:r>
      <w:r w:rsidRPr="000E09F7">
        <w:tab/>
        <w:t>any of the following:</w:t>
      </w:r>
    </w:p>
    <w:p w14:paraId="493C2E73" w14:textId="77777777" w:rsidR="00834DF6" w:rsidRPr="000E09F7" w:rsidRDefault="00834DF6" w:rsidP="00834DF6">
      <w:pPr>
        <w:pStyle w:val="tSubpara"/>
      </w:pPr>
      <w:r w:rsidRPr="000E09F7">
        <w:tab/>
        <w:t>(</w:t>
      </w:r>
      <w:proofErr w:type="spellStart"/>
      <w:r w:rsidRPr="000E09F7">
        <w:t>i</w:t>
      </w:r>
      <w:proofErr w:type="spellEnd"/>
      <w:r w:rsidRPr="000E09F7">
        <w:t>)</w:t>
      </w:r>
      <w:r w:rsidRPr="000E09F7">
        <w:tab/>
        <w:t>clay;</w:t>
      </w:r>
    </w:p>
    <w:p w14:paraId="493C2E74" w14:textId="77777777" w:rsidR="00834DF6" w:rsidRPr="000E09F7" w:rsidRDefault="00834DF6" w:rsidP="00834DF6">
      <w:pPr>
        <w:pStyle w:val="tSubpara"/>
      </w:pPr>
      <w:r w:rsidRPr="000E09F7">
        <w:tab/>
        <w:t>(ii)</w:t>
      </w:r>
      <w:r w:rsidRPr="000E09F7">
        <w:tab/>
        <w:t>clay mixed with 1 or more feedstocks that contain 1 or more of the following:</w:t>
      </w:r>
    </w:p>
    <w:p w14:paraId="493C2E75" w14:textId="77777777" w:rsidR="00834DF6" w:rsidRPr="000E09F7" w:rsidRDefault="00834DF6" w:rsidP="00834DF6">
      <w:pPr>
        <w:pStyle w:val="tSubsub"/>
      </w:pPr>
      <w:r w:rsidRPr="000E09F7">
        <w:tab/>
        <w:t>(A)</w:t>
      </w:r>
      <w:r w:rsidRPr="000E09F7">
        <w:tab/>
        <w:t>silicon dioxide (SiO</w:t>
      </w:r>
      <w:r w:rsidRPr="000E09F7">
        <w:rPr>
          <w:color w:val="000000"/>
          <w:vertAlign w:val="subscript"/>
        </w:rPr>
        <w:t>2</w:t>
      </w:r>
      <w:r w:rsidRPr="000E09F7">
        <w:t>);</w:t>
      </w:r>
    </w:p>
    <w:p w14:paraId="493C2E76" w14:textId="77777777" w:rsidR="00834DF6" w:rsidRPr="000E09F7" w:rsidRDefault="00834DF6" w:rsidP="00834DF6">
      <w:pPr>
        <w:pStyle w:val="tSubsub"/>
      </w:pPr>
      <w:r w:rsidRPr="000E09F7">
        <w:tab/>
        <w:t>(B)</w:t>
      </w:r>
      <w:r w:rsidRPr="000E09F7">
        <w:tab/>
        <w:t>iron (Fe);</w:t>
      </w:r>
    </w:p>
    <w:p w14:paraId="493C2E77" w14:textId="77777777" w:rsidR="00834DF6" w:rsidRPr="000E09F7" w:rsidRDefault="00834DF6" w:rsidP="00834DF6">
      <w:pPr>
        <w:pStyle w:val="tSubsub"/>
      </w:pPr>
      <w:r w:rsidRPr="000E09F7">
        <w:tab/>
        <w:t>(C)</w:t>
      </w:r>
      <w:r w:rsidRPr="000E09F7">
        <w:tab/>
        <w:t>aluminium oxide (alumina (Al</w:t>
      </w:r>
      <w:r w:rsidRPr="000E09F7">
        <w:rPr>
          <w:color w:val="000000"/>
          <w:vertAlign w:val="subscript"/>
        </w:rPr>
        <w:t>2</w:t>
      </w:r>
      <w:r w:rsidRPr="000E09F7">
        <w:t>O</w:t>
      </w:r>
      <w:r w:rsidRPr="000E09F7">
        <w:rPr>
          <w:color w:val="000000"/>
          <w:vertAlign w:val="subscript"/>
        </w:rPr>
        <w:t>3</w:t>
      </w:r>
      <w:r w:rsidRPr="000E09F7">
        <w:t>));</w:t>
      </w:r>
    </w:p>
    <w:p w14:paraId="493C2E78" w14:textId="77777777" w:rsidR="00834DF6" w:rsidRPr="000E09F7" w:rsidRDefault="00834DF6" w:rsidP="00834DF6">
      <w:pPr>
        <w:pStyle w:val="tSubpara"/>
      </w:pPr>
      <w:r w:rsidRPr="000E09F7">
        <w:tab/>
        <w:t>(iii)</w:t>
      </w:r>
      <w:r w:rsidRPr="000E09F7">
        <w:tab/>
        <w:t>1 or more feedstocks that, when combined, contain all of the following:</w:t>
      </w:r>
    </w:p>
    <w:p w14:paraId="493C2E79" w14:textId="3214B3FB" w:rsidR="00834DF6" w:rsidRPr="000E09F7" w:rsidRDefault="00834DF6" w:rsidP="00834DF6">
      <w:pPr>
        <w:pStyle w:val="tSubsub"/>
      </w:pPr>
      <w:r w:rsidRPr="000E09F7">
        <w:tab/>
        <w:t>(A)</w:t>
      </w:r>
      <w:r w:rsidRPr="000E09F7">
        <w:tab/>
        <w:t>silicon dioxide (SiO</w:t>
      </w:r>
      <w:r w:rsidRPr="000E09F7">
        <w:rPr>
          <w:color w:val="000000"/>
          <w:vertAlign w:val="subscript"/>
        </w:rPr>
        <w:t>2</w:t>
      </w:r>
      <w:r w:rsidR="00ED35E8" w:rsidRPr="000E09F7">
        <w:t xml:space="preserve">); </w:t>
      </w:r>
    </w:p>
    <w:p w14:paraId="493C2E7A" w14:textId="219CBC0B" w:rsidR="00834DF6" w:rsidRPr="000E09F7" w:rsidRDefault="00ED35E8" w:rsidP="00834DF6">
      <w:pPr>
        <w:pStyle w:val="tSubsub"/>
      </w:pPr>
      <w:r w:rsidRPr="000E09F7">
        <w:tab/>
        <w:t>(B)</w:t>
      </w:r>
      <w:r w:rsidRPr="000E09F7">
        <w:tab/>
        <w:t xml:space="preserve">iron (Fe); </w:t>
      </w:r>
    </w:p>
    <w:p w14:paraId="493C2E7B" w14:textId="77777777" w:rsidR="00834DF6" w:rsidRPr="000E09F7" w:rsidRDefault="00834DF6" w:rsidP="00834DF6">
      <w:pPr>
        <w:pStyle w:val="tSubsub"/>
      </w:pPr>
      <w:r w:rsidRPr="000E09F7">
        <w:tab/>
        <w:t>(C)</w:t>
      </w:r>
      <w:r w:rsidRPr="000E09F7">
        <w:tab/>
        <w:t>aluminium oxide (alumina (Al</w:t>
      </w:r>
      <w:r w:rsidRPr="000E09F7">
        <w:rPr>
          <w:color w:val="000000"/>
          <w:vertAlign w:val="subscript"/>
        </w:rPr>
        <w:t>2</w:t>
      </w:r>
      <w:r w:rsidRPr="000E09F7">
        <w:t>O</w:t>
      </w:r>
      <w:r w:rsidRPr="000E09F7">
        <w:rPr>
          <w:color w:val="000000"/>
          <w:vertAlign w:val="subscript"/>
        </w:rPr>
        <w:t>3</w:t>
      </w:r>
      <w:r w:rsidRPr="000E09F7">
        <w:t>));</w:t>
      </w:r>
    </w:p>
    <w:p w14:paraId="493C2E7C" w14:textId="77777777" w:rsidR="00834DF6" w:rsidRPr="000E09F7" w:rsidRDefault="00834DF6" w:rsidP="008013C4">
      <w:pPr>
        <w:pStyle w:val="subsection2"/>
      </w:pPr>
      <w:r w:rsidRPr="000E09F7">
        <w:t>that are fused together at a temperature above 1000 °C into Portland cement clinker.</w:t>
      </w:r>
    </w:p>
    <w:p w14:paraId="493C2E7D" w14:textId="77777777" w:rsidR="00BA624B" w:rsidRPr="000E09F7" w:rsidRDefault="00BA624B" w:rsidP="00BA624B">
      <w:pPr>
        <w:pStyle w:val="h3Div"/>
      </w:pPr>
      <w:r w:rsidRPr="000E09F7">
        <w:rPr>
          <w:rStyle w:val="CharDivNo"/>
        </w:rPr>
        <w:t>Division 2</w:t>
      </w:r>
      <w:r w:rsidRPr="000E09F7">
        <w:t>—</w:t>
      </w:r>
      <w:r w:rsidR="00B609AB" w:rsidRPr="000E09F7">
        <w:t>Clinker and cement production variables</w:t>
      </w:r>
      <w:r w:rsidRPr="000E09F7">
        <w:t xml:space="preserve"> </w:t>
      </w:r>
    </w:p>
    <w:p w14:paraId="493C2E7E" w14:textId="515226E1" w:rsidR="00BA624B" w:rsidRPr="000E09F7" w:rsidRDefault="00ED35E8" w:rsidP="00BA624B">
      <w:pPr>
        <w:pStyle w:val="h5Section"/>
      </w:pPr>
      <w:r w:rsidRPr="000E09F7">
        <w:t>63</w:t>
      </w:r>
      <w:r w:rsidR="00BA624B" w:rsidRPr="000E09F7">
        <w:t xml:space="preserve">  Clinker n</w:t>
      </w:r>
      <w:r w:rsidR="00834DF6" w:rsidRPr="000E09F7">
        <w:t>ot used by facility to make cem</w:t>
      </w:r>
      <w:r w:rsidR="00BA624B" w:rsidRPr="000E09F7">
        <w:t>ent</w:t>
      </w:r>
    </w:p>
    <w:p w14:paraId="493C2E7F" w14:textId="77777777" w:rsidR="00BA624B" w:rsidRPr="000E09F7" w:rsidRDefault="00BA624B" w:rsidP="00BA624B">
      <w:pPr>
        <w:pStyle w:val="tMain"/>
      </w:pPr>
      <w:r w:rsidRPr="000E09F7">
        <w:tab/>
        <w:t>(1)</w:t>
      </w:r>
      <w:r w:rsidRPr="000E09F7">
        <w:tab/>
        <w:t xml:space="preserve">Tonnes of </w:t>
      </w:r>
      <w:r w:rsidR="00834DF6" w:rsidRPr="000E09F7">
        <w:t>Portland cement clinker</w:t>
      </w:r>
      <w:r w:rsidR="00126B55" w:rsidRPr="000E09F7">
        <w:t xml:space="preserve"> on a dry weight basis</w:t>
      </w:r>
      <w:r w:rsidR="00834DF6" w:rsidRPr="000E09F7">
        <w:t xml:space="preserve"> that:</w:t>
      </w:r>
    </w:p>
    <w:p w14:paraId="493C2E80" w14:textId="77777777" w:rsidR="00834DF6" w:rsidRPr="000E09F7" w:rsidRDefault="00CC7772" w:rsidP="00834DF6">
      <w:pPr>
        <w:pStyle w:val="tPara"/>
      </w:pPr>
      <w:r w:rsidRPr="000E09F7">
        <w:tab/>
        <w:t>(a)</w:t>
      </w:r>
      <w:r w:rsidRPr="000E09F7">
        <w:tab/>
        <w:t>is</w:t>
      </w:r>
      <w:r w:rsidR="00834DF6" w:rsidRPr="000E09F7">
        <w:t xml:space="preserve"> produced as part of carrying on the clinker production activity at the facility; and</w:t>
      </w:r>
    </w:p>
    <w:p w14:paraId="493C2E81" w14:textId="77777777" w:rsidR="00D567D9" w:rsidRPr="000E09F7" w:rsidRDefault="00834DF6" w:rsidP="00834DF6">
      <w:pPr>
        <w:pStyle w:val="tPara"/>
      </w:pPr>
      <w:r w:rsidRPr="000E09F7">
        <w:tab/>
        <w:t>(b)</w:t>
      </w:r>
      <w:r w:rsidRPr="000E09F7">
        <w:tab/>
      </w:r>
      <w:r w:rsidR="00CC7772" w:rsidRPr="000E09F7">
        <w:t>is</w:t>
      </w:r>
      <w:r w:rsidRPr="000E09F7">
        <w:t xml:space="preserve"> exported from the facility</w:t>
      </w:r>
      <w:r w:rsidR="00D567D9" w:rsidRPr="000E09F7">
        <w:t xml:space="preserve"> or allocated for export from the facility (whether the export will occur within or after the reporting year);</w:t>
      </w:r>
      <w:r w:rsidRPr="000E09F7">
        <w:t xml:space="preserve"> and</w:t>
      </w:r>
    </w:p>
    <w:p w14:paraId="493C2E82" w14:textId="77777777" w:rsidR="00834DF6" w:rsidRPr="000E09F7" w:rsidRDefault="00D567D9" w:rsidP="00834DF6">
      <w:pPr>
        <w:pStyle w:val="tPara"/>
      </w:pPr>
      <w:r w:rsidRPr="000E09F7">
        <w:tab/>
        <w:t>(c)</w:t>
      </w:r>
      <w:r w:rsidRPr="000E09F7">
        <w:tab/>
      </w:r>
      <w:r w:rsidR="00CC7772" w:rsidRPr="000E09F7">
        <w:t>is</w:t>
      </w:r>
      <w:r w:rsidRPr="000E09F7">
        <w:t xml:space="preserve"> </w:t>
      </w:r>
      <w:r w:rsidR="00834DF6" w:rsidRPr="000E09F7">
        <w:t>not used to make cement at the facility; and</w:t>
      </w:r>
    </w:p>
    <w:p w14:paraId="493C2E83" w14:textId="77777777" w:rsidR="00834DF6" w:rsidRPr="000E09F7" w:rsidRDefault="00EE09E8" w:rsidP="00834DF6">
      <w:pPr>
        <w:pStyle w:val="tPara"/>
      </w:pPr>
      <w:r w:rsidRPr="000E09F7">
        <w:tab/>
        <w:t>(d</w:t>
      </w:r>
      <w:r w:rsidR="00CC7772" w:rsidRPr="000E09F7">
        <w:t>)</w:t>
      </w:r>
      <w:r w:rsidR="00CC7772" w:rsidRPr="000E09F7">
        <w:tab/>
        <w:t>is</w:t>
      </w:r>
      <w:r w:rsidR="00834DF6" w:rsidRPr="000E09F7">
        <w:t xml:space="preserve"> of saleable quality.</w:t>
      </w:r>
    </w:p>
    <w:p w14:paraId="493C2E84" w14:textId="77777777" w:rsidR="00834DF6" w:rsidRPr="000E09F7" w:rsidRDefault="00BA624B" w:rsidP="00BA624B">
      <w:pPr>
        <w:pStyle w:val="tMain"/>
      </w:pPr>
      <w:r w:rsidRPr="000E09F7">
        <w:tab/>
        <w:t>(2)</w:t>
      </w:r>
      <w:r w:rsidRPr="000E09F7">
        <w:tab/>
        <w:t>The metric in subsection (1) is applicable to a facility that</w:t>
      </w:r>
      <w:r w:rsidR="00834DF6" w:rsidRPr="000E09F7">
        <w:t>:</w:t>
      </w:r>
    </w:p>
    <w:p w14:paraId="493C2E85" w14:textId="77777777" w:rsidR="00834DF6" w:rsidRPr="000E09F7" w:rsidRDefault="00834DF6" w:rsidP="00834DF6">
      <w:pPr>
        <w:pStyle w:val="tPara"/>
      </w:pPr>
      <w:r w:rsidRPr="000E09F7">
        <w:tab/>
        <w:t>(a)</w:t>
      </w:r>
      <w:r w:rsidRPr="000E09F7">
        <w:tab/>
        <w:t>conducts the clinker production activity at the facility; and</w:t>
      </w:r>
    </w:p>
    <w:p w14:paraId="493C2E86" w14:textId="4F197AAC" w:rsidR="00834DF6" w:rsidRPr="000E09F7" w:rsidRDefault="00834DF6" w:rsidP="00834DF6">
      <w:pPr>
        <w:pStyle w:val="tPara"/>
      </w:pPr>
      <w:r w:rsidRPr="000E09F7">
        <w:tab/>
        <w:t>(b)</w:t>
      </w:r>
      <w:r w:rsidRPr="000E09F7">
        <w:tab/>
      </w:r>
      <w:r w:rsidR="00297A73" w:rsidRPr="000E09F7">
        <w:t>if the metric in section 64</w:t>
      </w:r>
      <w:r w:rsidR="008013C4" w:rsidRPr="000E09F7">
        <w:t xml:space="preserve"> of this Schedule</w:t>
      </w:r>
      <w:r w:rsidRPr="000E09F7">
        <w:t xml:space="preserve"> is applicable to the facility—also uses that prescribed production variable.</w:t>
      </w:r>
    </w:p>
    <w:p w14:paraId="493C2E87" w14:textId="191D2ADC" w:rsidR="00BA624B" w:rsidRPr="000E09F7" w:rsidRDefault="00BA624B" w:rsidP="00BA624B">
      <w:pPr>
        <w:pStyle w:val="tMain"/>
      </w:pPr>
      <w:r w:rsidRPr="000E09F7">
        <w:tab/>
        <w:t>(3)</w:t>
      </w:r>
      <w:r w:rsidRPr="000E09F7">
        <w:tab/>
        <w:t xml:space="preserve">The default emissions intensity is </w:t>
      </w:r>
      <w:r w:rsidR="00E917D5" w:rsidRPr="000E09F7">
        <w:t>0.841</w:t>
      </w:r>
      <w:r w:rsidRPr="000E09F7">
        <w:t xml:space="preserve"> t CO</w:t>
      </w:r>
      <w:r w:rsidRPr="000E09F7">
        <w:rPr>
          <w:vertAlign w:val="subscript"/>
        </w:rPr>
        <w:t>2</w:t>
      </w:r>
      <w:r w:rsidRPr="000E09F7">
        <w:t xml:space="preserve">-e per </w:t>
      </w:r>
      <w:r w:rsidR="00834DF6" w:rsidRPr="000E09F7">
        <w:t>tonne of Portland cement clinker.</w:t>
      </w:r>
    </w:p>
    <w:p w14:paraId="493C2E88" w14:textId="3C94D449" w:rsidR="00BA624B" w:rsidRPr="000E09F7" w:rsidRDefault="00ED35E8" w:rsidP="00BA624B">
      <w:pPr>
        <w:pStyle w:val="h5Section"/>
      </w:pPr>
      <w:r w:rsidRPr="000E09F7">
        <w:t>64</w:t>
      </w:r>
      <w:r w:rsidR="00BA624B" w:rsidRPr="000E09F7">
        <w:t xml:space="preserve">  </w:t>
      </w:r>
      <w:r w:rsidR="001C5CD2" w:rsidRPr="000E09F7">
        <w:t>Cement produced from clinker at a facility</w:t>
      </w:r>
    </w:p>
    <w:p w14:paraId="493C2E89" w14:textId="77777777" w:rsidR="00BA624B" w:rsidRPr="000E09F7" w:rsidRDefault="00BA624B" w:rsidP="00BA624B">
      <w:pPr>
        <w:pStyle w:val="tMain"/>
      </w:pPr>
      <w:r w:rsidRPr="000E09F7">
        <w:tab/>
        <w:t>(1)</w:t>
      </w:r>
      <w:r w:rsidRPr="000E09F7">
        <w:tab/>
      </w:r>
      <w:r w:rsidR="001C5CD2" w:rsidRPr="000E09F7">
        <w:t xml:space="preserve">Tonnes of cement </w:t>
      </w:r>
      <w:r w:rsidR="00126B55" w:rsidRPr="000E09F7">
        <w:t xml:space="preserve">on a dry weight basis </w:t>
      </w:r>
      <w:r w:rsidR="001C5CD2" w:rsidRPr="000E09F7">
        <w:t>that:</w:t>
      </w:r>
    </w:p>
    <w:p w14:paraId="493C2E8A" w14:textId="77777777" w:rsidR="001C5CD2" w:rsidRPr="000E09F7" w:rsidRDefault="001C5CD2" w:rsidP="001C5CD2">
      <w:pPr>
        <w:pStyle w:val="tPara"/>
      </w:pPr>
      <w:r w:rsidRPr="000E09F7">
        <w:tab/>
        <w:t>(a)</w:t>
      </w:r>
      <w:r w:rsidRPr="000E09F7">
        <w:tab/>
        <w:t xml:space="preserve">is produced </w:t>
      </w:r>
      <w:r w:rsidR="009F6CCC" w:rsidRPr="000E09F7">
        <w:t xml:space="preserve">as part of carrying out the cement production activity </w:t>
      </w:r>
      <w:r w:rsidRPr="000E09F7">
        <w:t>at the facility; and</w:t>
      </w:r>
    </w:p>
    <w:p w14:paraId="493C2E8B" w14:textId="77777777" w:rsidR="001C5CD2" w:rsidRPr="000E09F7" w:rsidRDefault="001C5CD2" w:rsidP="001C5CD2">
      <w:pPr>
        <w:pStyle w:val="tPara"/>
      </w:pPr>
      <w:r w:rsidRPr="000E09F7">
        <w:tab/>
        <w:t>(b)</w:t>
      </w:r>
      <w:r w:rsidRPr="000E09F7">
        <w:tab/>
        <w:t>is attributable to Portland cement clinker produced as part of carrying on the clinker production activity at the facility in accordance with subsection (4); and</w:t>
      </w:r>
    </w:p>
    <w:p w14:paraId="493C2E8C" w14:textId="77777777" w:rsidR="00BA624B" w:rsidRPr="000E09F7" w:rsidRDefault="001C5CD2" w:rsidP="001C5CD2">
      <w:pPr>
        <w:pStyle w:val="tPara"/>
      </w:pPr>
      <w:r w:rsidRPr="000E09F7">
        <w:tab/>
        <w:t>(c)</w:t>
      </w:r>
      <w:r w:rsidRPr="000E09F7">
        <w:tab/>
        <w:t>is of saleable quality.</w:t>
      </w:r>
    </w:p>
    <w:p w14:paraId="493C2E8D" w14:textId="77777777" w:rsidR="001C5CD2" w:rsidRPr="000E09F7" w:rsidRDefault="001C5CD2" w:rsidP="001C5CD2">
      <w:pPr>
        <w:pStyle w:val="tMain"/>
      </w:pPr>
      <w:r w:rsidRPr="000E09F7">
        <w:tab/>
        <w:t>(2)</w:t>
      </w:r>
      <w:r w:rsidRPr="000E09F7">
        <w:tab/>
        <w:t>The metric in subsection (1) is applicable to a facility that:</w:t>
      </w:r>
    </w:p>
    <w:p w14:paraId="493C2E8E" w14:textId="77777777" w:rsidR="001C5CD2" w:rsidRPr="000E09F7" w:rsidRDefault="001C5CD2" w:rsidP="001C5CD2">
      <w:pPr>
        <w:pStyle w:val="tPara"/>
      </w:pPr>
      <w:r w:rsidRPr="000E09F7">
        <w:tab/>
        <w:t>(a)</w:t>
      </w:r>
      <w:r w:rsidRPr="000E09F7">
        <w:tab/>
        <w:t>conducts the clinker production activity at the facility; and</w:t>
      </w:r>
    </w:p>
    <w:p w14:paraId="493C2E8F" w14:textId="77777777" w:rsidR="009F6CCC" w:rsidRPr="000E09F7" w:rsidRDefault="009F6CCC" w:rsidP="001C5CD2">
      <w:pPr>
        <w:pStyle w:val="tPara"/>
      </w:pPr>
      <w:r w:rsidRPr="000E09F7">
        <w:tab/>
        <w:t>(b)</w:t>
      </w:r>
      <w:r w:rsidRPr="000E09F7">
        <w:tab/>
      </w:r>
      <w:r w:rsidR="00126B55" w:rsidRPr="000E09F7">
        <w:t>conducts the activity of producing cement through the physical transformation of</w:t>
      </w:r>
      <w:r w:rsidRPr="000E09F7">
        <w:t xml:space="preserve"> Portland cement clinker into cement through a process of comminution with gypsum or other additives (the </w:t>
      </w:r>
      <w:r w:rsidRPr="000E09F7">
        <w:rPr>
          <w:b/>
          <w:i/>
        </w:rPr>
        <w:t>cement production activity</w:t>
      </w:r>
      <w:r w:rsidRPr="000E09F7">
        <w:t>);</w:t>
      </w:r>
      <w:r w:rsidR="00126B55" w:rsidRPr="000E09F7">
        <w:t xml:space="preserve"> and</w:t>
      </w:r>
    </w:p>
    <w:p w14:paraId="493C2E90" w14:textId="2311160B" w:rsidR="001C5CD2" w:rsidRPr="000E09F7" w:rsidRDefault="00EE09E8" w:rsidP="001C5CD2">
      <w:pPr>
        <w:pStyle w:val="tPara"/>
      </w:pPr>
      <w:r w:rsidRPr="000E09F7">
        <w:tab/>
        <w:t>(c</w:t>
      </w:r>
      <w:r w:rsidR="001C5CD2" w:rsidRPr="000E09F7">
        <w:t>)</w:t>
      </w:r>
      <w:r w:rsidR="001C5CD2" w:rsidRPr="000E09F7">
        <w:tab/>
      </w:r>
      <w:r w:rsidR="00297A73" w:rsidRPr="000E09F7">
        <w:t>if the metric in section 63</w:t>
      </w:r>
      <w:r w:rsidR="001C5CD2" w:rsidRPr="000E09F7">
        <w:t xml:space="preserve"> is applicable to the facility—also uses that prescribed production variable.</w:t>
      </w:r>
    </w:p>
    <w:p w14:paraId="493C2E91" w14:textId="5B7E0B60" w:rsidR="00BA624B" w:rsidRPr="000E09F7" w:rsidRDefault="00BA624B" w:rsidP="00BA624B">
      <w:pPr>
        <w:pStyle w:val="tMain"/>
      </w:pPr>
      <w:r w:rsidRPr="000E09F7">
        <w:tab/>
        <w:t>(3)</w:t>
      </w:r>
      <w:r w:rsidRPr="000E09F7">
        <w:tab/>
        <w:t xml:space="preserve">The default emissions intensity is </w:t>
      </w:r>
      <w:r w:rsidR="00E917D5" w:rsidRPr="000E09F7">
        <w:t>0.708</w:t>
      </w:r>
      <w:r w:rsidRPr="000E09F7">
        <w:t xml:space="preserve"> t CO</w:t>
      </w:r>
      <w:r w:rsidRPr="000E09F7">
        <w:rPr>
          <w:vertAlign w:val="subscript"/>
        </w:rPr>
        <w:t>2</w:t>
      </w:r>
      <w:r w:rsidRPr="000E09F7">
        <w:t xml:space="preserve">-e per </w:t>
      </w:r>
      <w:r w:rsidR="001C5CD2" w:rsidRPr="000E09F7">
        <w:t>tonne of cement</w:t>
      </w:r>
      <w:r w:rsidRPr="000E09F7">
        <w:t>.</w:t>
      </w:r>
    </w:p>
    <w:p w14:paraId="493C2E92" w14:textId="77777777" w:rsidR="00BA624B" w:rsidRPr="000E09F7" w:rsidRDefault="00BA624B" w:rsidP="00BA624B">
      <w:pPr>
        <w:pStyle w:val="tMain"/>
      </w:pPr>
      <w:r w:rsidRPr="000E09F7">
        <w:tab/>
        <w:t>(4)</w:t>
      </w:r>
      <w:r w:rsidRPr="000E09F7">
        <w:tab/>
        <w:t xml:space="preserve">For subsection (1) </w:t>
      </w:r>
      <w:r w:rsidR="001C5CD2" w:rsidRPr="000E09F7">
        <w:t>cement is attributable to Portland cement clinker produced as part of carrying on the clinker production activity at the facility</w:t>
      </w:r>
      <w:r w:rsidRPr="000E09F7">
        <w:t xml:space="preserve"> in accordance with the following equation:</w:t>
      </w:r>
    </w:p>
    <w:p w14:paraId="493C2E93" w14:textId="77777777" w:rsidR="00BA624B" w:rsidRPr="000E09F7" w:rsidRDefault="00BA624B" w:rsidP="00BA624B">
      <w:pPr>
        <w:pStyle w:val="ListParagraph"/>
        <w:spacing w:after="120" w:line="254" w:lineRule="auto"/>
        <w:ind w:left="1494"/>
        <w:contextualSpacing w:val="0"/>
        <w:rPr>
          <w:rFonts w:ascii="Arial" w:hAnsi="Arial" w:cs="Arial"/>
        </w:rPr>
      </w:pPr>
      <w:r w:rsidRPr="000E09F7">
        <w:tab/>
      </w:r>
      <m:oMath>
        <m:r>
          <m:rPr>
            <m:sty m:val="p"/>
          </m:rPr>
          <w:rPr>
            <w:rFonts w:ascii="Cambria Math" w:hAnsi="Cambria Math" w:cstheme="minorHAnsi"/>
          </w:rPr>
          <m:t xml:space="preserve"> </m:t>
        </m:r>
        <m:sSub>
          <m:sSubPr>
            <m:ctrlPr>
              <w:rPr>
                <w:rFonts w:ascii="Cambria Math" w:hAnsi="Cambria Math" w:cstheme="minorHAnsi"/>
                <w:iCs/>
              </w:rPr>
            </m:ctrlPr>
          </m:sSubPr>
          <m:e>
            <m:r>
              <m:rPr>
                <m:sty m:val="p"/>
              </m:rPr>
              <w:rPr>
                <w:rFonts w:ascii="Cambria Math" w:hAnsi="Cambria Math" w:cstheme="minorHAnsi"/>
              </w:rPr>
              <m:t>Ce</m:t>
            </m:r>
          </m:e>
          <m:sub>
            <m:r>
              <m:rPr>
                <m:sty m:val="p"/>
              </m:rPr>
              <w:rPr>
                <w:rFonts w:ascii="Cambria Math" w:hAnsi="Cambria Math" w:cstheme="minorHAnsi"/>
              </w:rPr>
              <m:t>a</m:t>
            </m:r>
          </m:sub>
        </m:sSub>
        <m:r>
          <m:rPr>
            <m:sty m:val="p"/>
          </m:rPr>
          <w:rPr>
            <w:rFonts w:ascii="Cambria Math" w:hAnsi="Cambria Math" w:cstheme="minorHAnsi"/>
          </w:rPr>
          <m:t>=</m:t>
        </m:r>
        <m:sSub>
          <m:sSubPr>
            <m:ctrlPr>
              <w:rPr>
                <w:rFonts w:ascii="Cambria Math" w:hAnsi="Cambria Math" w:cstheme="minorHAnsi"/>
                <w:iCs/>
              </w:rPr>
            </m:ctrlPr>
          </m:sSubPr>
          <m:e>
            <m:r>
              <m:rPr>
                <m:sty m:val="p"/>
              </m:rPr>
              <w:rPr>
                <w:rFonts w:ascii="Cambria Math" w:hAnsi="Cambria Math" w:cstheme="minorHAnsi"/>
              </w:rPr>
              <m:t>Ce</m:t>
            </m:r>
          </m:e>
          <m:sub>
            <m:r>
              <m:rPr>
                <m:sty m:val="p"/>
              </m:rPr>
              <w:rPr>
                <w:rFonts w:ascii="Cambria Math" w:hAnsi="Cambria Math" w:cstheme="minorHAnsi"/>
              </w:rPr>
              <m:t>f</m:t>
            </m:r>
          </m:sub>
        </m:sSub>
        <m:r>
          <w:rPr>
            <w:rFonts w:ascii="Cambria Math" w:hAnsi="Cambria Math" w:cstheme="minorHAnsi"/>
          </w:rPr>
          <m:t xml:space="preserve"> </m:t>
        </m:r>
        <m:r>
          <m:rPr>
            <m:sty m:val="p"/>
          </m:rPr>
          <w:rPr>
            <w:rFonts w:ascii="Cambria Math" w:hAnsi="Cambria Math" w:cstheme="minorHAnsi"/>
          </w:rPr>
          <m:t xml:space="preserve">× </m:t>
        </m:r>
        <m:f>
          <m:fPr>
            <m:ctrlPr>
              <w:rPr>
                <w:rFonts w:ascii="Cambria Math" w:hAnsi="Cambria Math" w:cstheme="minorHAnsi"/>
                <w:iCs/>
              </w:rPr>
            </m:ctrlPr>
          </m:fPr>
          <m:num>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f</m:t>
                </m:r>
              </m:sub>
            </m:sSub>
          </m:num>
          <m:den>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 xml:space="preserve">f </m:t>
                </m:r>
              </m:sub>
            </m:sSub>
            <m:r>
              <w:rPr>
                <w:rFonts w:ascii="Cambria Math" w:hAnsi="Cambria Math" w:cstheme="minorHAnsi"/>
              </w:rPr>
              <m:t xml:space="preserve">+ </m:t>
            </m:r>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i</m:t>
                </m:r>
              </m:sub>
            </m:sSub>
            <m:r>
              <w:rPr>
                <w:rFonts w:ascii="Cambria Math" w:hAnsi="Cambria Math" w:cstheme="minorHAnsi"/>
              </w:rPr>
              <m:t xml:space="preserve"> </m:t>
            </m:r>
          </m:den>
        </m:f>
      </m:oMath>
    </w:p>
    <w:p w14:paraId="493C2E94" w14:textId="77777777" w:rsidR="00BA624B" w:rsidRPr="000E09F7" w:rsidRDefault="00BA624B" w:rsidP="00BA624B">
      <w:pPr>
        <w:pStyle w:val="tMain"/>
        <w:rPr>
          <w:bCs/>
          <w:iCs/>
          <w:szCs w:val="22"/>
          <w:shd w:val="clear" w:color="auto" w:fill="FFFFFF"/>
        </w:rPr>
      </w:pPr>
      <w:r w:rsidRPr="000E09F7">
        <w:rPr>
          <w:bCs/>
          <w:iCs/>
          <w:szCs w:val="22"/>
          <w:shd w:val="clear" w:color="auto" w:fill="FFFFFF"/>
        </w:rPr>
        <w:tab/>
      </w:r>
      <w:r w:rsidRPr="000E09F7">
        <w:rPr>
          <w:bCs/>
          <w:iCs/>
          <w:szCs w:val="22"/>
          <w:shd w:val="clear" w:color="auto" w:fill="FFFFFF"/>
        </w:rPr>
        <w:tab/>
        <w:t>where:</w:t>
      </w:r>
    </w:p>
    <w:p w14:paraId="493C2E95" w14:textId="77777777" w:rsidR="00BA624B" w:rsidRPr="000E09F7" w:rsidRDefault="00BA624B" w:rsidP="00BA624B">
      <w:pPr>
        <w:pStyle w:val="tMain"/>
        <w:rPr>
          <w:bCs/>
          <w:iCs/>
          <w:szCs w:val="22"/>
          <w:shd w:val="clear" w:color="auto" w:fill="FFFFFF"/>
        </w:rPr>
      </w:pPr>
      <w:r w:rsidRPr="000E09F7">
        <w:rPr>
          <w:bCs/>
          <w:iCs/>
          <w:szCs w:val="22"/>
          <w:shd w:val="clear" w:color="auto" w:fill="FFFFFF"/>
        </w:rPr>
        <w:tab/>
      </w:r>
      <w:r w:rsidRPr="000E09F7">
        <w:rPr>
          <w:bCs/>
          <w:iCs/>
          <w:szCs w:val="22"/>
          <w:shd w:val="clear" w:color="auto" w:fill="FFFFFF"/>
        </w:rPr>
        <w:tab/>
      </w:r>
      <w:proofErr w:type="spellStart"/>
      <w:r w:rsidR="00D32F3E" w:rsidRPr="000E09F7">
        <w:rPr>
          <w:b/>
          <w:bCs/>
          <w:i/>
          <w:iCs/>
          <w:szCs w:val="22"/>
          <w:shd w:val="clear" w:color="auto" w:fill="FFFFFF"/>
        </w:rPr>
        <w:t>Ce</w:t>
      </w:r>
      <w:r w:rsidR="00D32F3E" w:rsidRPr="000E09F7">
        <w:rPr>
          <w:b/>
          <w:bCs/>
          <w:i/>
          <w:iCs/>
          <w:szCs w:val="22"/>
          <w:shd w:val="clear" w:color="auto" w:fill="FFFFFF"/>
          <w:vertAlign w:val="subscript"/>
        </w:rPr>
        <w:t>a</w:t>
      </w:r>
      <w:proofErr w:type="spellEnd"/>
      <w:r w:rsidRPr="000E09F7">
        <w:rPr>
          <w:bCs/>
          <w:iCs/>
          <w:szCs w:val="22"/>
          <w:shd w:val="clear" w:color="auto" w:fill="FFFFFF"/>
        </w:rPr>
        <w:t xml:space="preserve"> is the </w:t>
      </w:r>
      <w:r w:rsidR="00640E0B" w:rsidRPr="000E09F7">
        <w:t>cement</w:t>
      </w:r>
      <w:r w:rsidR="00D32F3E" w:rsidRPr="000E09F7">
        <w:t xml:space="preserve"> attributable to Portland cement clinker produced as part of carrying on the clinker production activity at the facility, in tonnes.</w:t>
      </w:r>
    </w:p>
    <w:p w14:paraId="493C2E96" w14:textId="77777777" w:rsidR="00D32F3E" w:rsidRPr="000E09F7" w:rsidRDefault="00D32F3E" w:rsidP="00D32F3E">
      <w:pPr>
        <w:pStyle w:val="tMain"/>
      </w:pPr>
      <w:r w:rsidRPr="000E09F7">
        <w:rPr>
          <w:bCs/>
          <w:iCs/>
          <w:szCs w:val="22"/>
          <w:shd w:val="clear" w:color="auto" w:fill="FFFFFF"/>
        </w:rPr>
        <w:tab/>
      </w:r>
      <w:r w:rsidRPr="000E09F7">
        <w:rPr>
          <w:bCs/>
          <w:iCs/>
          <w:szCs w:val="22"/>
          <w:shd w:val="clear" w:color="auto" w:fill="FFFFFF"/>
        </w:rPr>
        <w:tab/>
      </w:r>
      <w:proofErr w:type="spellStart"/>
      <w:r w:rsidRPr="000E09F7">
        <w:rPr>
          <w:b/>
          <w:bCs/>
          <w:i/>
          <w:iCs/>
          <w:szCs w:val="22"/>
          <w:shd w:val="clear" w:color="auto" w:fill="FFFFFF"/>
        </w:rPr>
        <w:t>Ce</w:t>
      </w:r>
      <w:r w:rsidRPr="000E09F7">
        <w:rPr>
          <w:b/>
          <w:bCs/>
          <w:i/>
          <w:iCs/>
          <w:szCs w:val="22"/>
          <w:shd w:val="clear" w:color="auto" w:fill="FFFFFF"/>
          <w:vertAlign w:val="subscript"/>
        </w:rPr>
        <w:t>f</w:t>
      </w:r>
      <w:proofErr w:type="spellEnd"/>
      <w:r w:rsidRPr="000E09F7">
        <w:rPr>
          <w:bCs/>
          <w:iCs/>
          <w:szCs w:val="22"/>
          <w:shd w:val="clear" w:color="auto" w:fill="FFFFFF"/>
        </w:rPr>
        <w:t xml:space="preserve"> is the total amount of </w:t>
      </w:r>
      <w:r w:rsidRPr="000E09F7">
        <w:t>cement p</w:t>
      </w:r>
      <w:r w:rsidR="00D567D9" w:rsidRPr="000E09F7">
        <w:t>roduced at the facility (f) in the</w:t>
      </w:r>
      <w:r w:rsidRPr="000E09F7">
        <w:t xml:space="preserve"> reporting year, in tonnes</w:t>
      </w:r>
      <w:r w:rsidR="00B609AB" w:rsidRPr="000E09F7">
        <w:t>, that is of saleable quality</w:t>
      </w:r>
      <w:r w:rsidRPr="000E09F7">
        <w:t>.</w:t>
      </w:r>
    </w:p>
    <w:p w14:paraId="493C2E97" w14:textId="22EE0F34" w:rsidR="00D32F3E" w:rsidRPr="000E09F7" w:rsidRDefault="00D32F3E" w:rsidP="00D32F3E">
      <w:pPr>
        <w:pStyle w:val="tMain"/>
      </w:pPr>
      <w:r w:rsidRPr="000E09F7">
        <w:rPr>
          <w:bCs/>
          <w:iCs/>
          <w:szCs w:val="22"/>
          <w:shd w:val="clear" w:color="auto" w:fill="FFFFFF"/>
        </w:rPr>
        <w:tab/>
      </w:r>
      <w:r w:rsidRPr="000E09F7">
        <w:rPr>
          <w:bCs/>
          <w:iCs/>
          <w:szCs w:val="22"/>
          <w:shd w:val="clear" w:color="auto" w:fill="FFFFFF"/>
        </w:rPr>
        <w:tab/>
      </w:r>
      <w:proofErr w:type="spellStart"/>
      <w:r w:rsidRPr="000E09F7">
        <w:rPr>
          <w:b/>
          <w:bCs/>
          <w:i/>
          <w:iCs/>
          <w:szCs w:val="22"/>
          <w:shd w:val="clear" w:color="auto" w:fill="FFFFFF"/>
        </w:rPr>
        <w:t>Cl</w:t>
      </w:r>
      <w:r w:rsidRPr="000E09F7">
        <w:rPr>
          <w:b/>
          <w:bCs/>
          <w:i/>
          <w:iCs/>
          <w:szCs w:val="22"/>
          <w:shd w:val="clear" w:color="auto" w:fill="FFFFFF"/>
          <w:vertAlign w:val="subscript"/>
        </w:rPr>
        <w:t>f</w:t>
      </w:r>
      <w:proofErr w:type="spellEnd"/>
      <w:r w:rsidRPr="000E09F7">
        <w:rPr>
          <w:bCs/>
          <w:iCs/>
          <w:szCs w:val="22"/>
          <w:shd w:val="clear" w:color="auto" w:fill="FFFFFF"/>
        </w:rPr>
        <w:t xml:space="preserve"> is the amount of Portland cement clinker, in tonnes,</w:t>
      </w:r>
      <w:r w:rsidRPr="000E09F7">
        <w:t xml:space="preserve"> produced as part of carrying on the clinker production activity a</w:t>
      </w:r>
      <w:r w:rsidR="00D567D9" w:rsidRPr="000E09F7">
        <w:t xml:space="preserve">t the facility (f) </w:t>
      </w:r>
      <w:r w:rsidR="00CC7772" w:rsidRPr="000E09F7">
        <w:t xml:space="preserve">in the reporting year </w:t>
      </w:r>
      <w:r w:rsidR="00D567D9" w:rsidRPr="000E09F7">
        <w:t xml:space="preserve">and used, or intended to be used, </w:t>
      </w:r>
      <w:r w:rsidRPr="000E09F7">
        <w:t>to produce cement at the facility, not including any tonnes of Portland cement clinker coun</w:t>
      </w:r>
      <w:r w:rsidR="00297A73" w:rsidRPr="000E09F7">
        <w:t>ted for the metric in section 63</w:t>
      </w:r>
      <w:r w:rsidRPr="000E09F7">
        <w:t xml:space="preserve"> of this Schedule.</w:t>
      </w:r>
    </w:p>
    <w:p w14:paraId="493C2E98" w14:textId="77777777" w:rsidR="00516F8E" w:rsidRPr="000E09F7" w:rsidRDefault="00D32F3E" w:rsidP="008013C4">
      <w:pPr>
        <w:pStyle w:val="tMain"/>
      </w:pPr>
      <w:r w:rsidRPr="000E09F7">
        <w:rPr>
          <w:bCs/>
          <w:iCs/>
          <w:szCs w:val="22"/>
          <w:shd w:val="clear" w:color="auto" w:fill="FFFFFF"/>
        </w:rPr>
        <w:tab/>
      </w:r>
      <w:r w:rsidRPr="000E09F7">
        <w:rPr>
          <w:bCs/>
          <w:iCs/>
          <w:szCs w:val="22"/>
          <w:shd w:val="clear" w:color="auto" w:fill="FFFFFF"/>
        </w:rPr>
        <w:tab/>
      </w:r>
      <w:proofErr w:type="spellStart"/>
      <w:r w:rsidRPr="000E09F7">
        <w:rPr>
          <w:b/>
          <w:bCs/>
          <w:i/>
          <w:iCs/>
          <w:szCs w:val="22"/>
          <w:shd w:val="clear" w:color="auto" w:fill="FFFFFF"/>
        </w:rPr>
        <w:t>Cl</w:t>
      </w:r>
      <w:r w:rsidRPr="000E09F7">
        <w:rPr>
          <w:b/>
          <w:bCs/>
          <w:i/>
          <w:iCs/>
          <w:szCs w:val="22"/>
          <w:shd w:val="clear" w:color="auto" w:fill="FFFFFF"/>
          <w:vertAlign w:val="subscript"/>
        </w:rPr>
        <w:t>i</w:t>
      </w:r>
      <w:proofErr w:type="spellEnd"/>
      <w:r w:rsidRPr="000E09F7">
        <w:rPr>
          <w:bCs/>
          <w:iCs/>
          <w:szCs w:val="22"/>
          <w:shd w:val="clear" w:color="auto" w:fill="FFFFFF"/>
        </w:rPr>
        <w:t xml:space="preserve"> is the amount of Portland cement clinker, in tonnes,</w:t>
      </w:r>
      <w:r w:rsidRPr="000E09F7">
        <w:t xml:space="preserve"> not covered by </w:t>
      </w:r>
      <w:proofErr w:type="spellStart"/>
      <w:r w:rsidRPr="000E09F7">
        <w:rPr>
          <w:bCs/>
          <w:iCs/>
          <w:szCs w:val="22"/>
          <w:shd w:val="clear" w:color="auto" w:fill="FFFFFF"/>
        </w:rPr>
        <w:t>Cl</w:t>
      </w:r>
      <w:r w:rsidRPr="000E09F7">
        <w:rPr>
          <w:bCs/>
          <w:iCs/>
          <w:szCs w:val="22"/>
          <w:shd w:val="clear" w:color="auto" w:fill="FFFFFF"/>
          <w:vertAlign w:val="subscript"/>
        </w:rPr>
        <w:t>f</w:t>
      </w:r>
      <w:proofErr w:type="spellEnd"/>
      <w:r w:rsidRPr="000E09F7">
        <w:rPr>
          <w:bCs/>
          <w:iCs/>
          <w:szCs w:val="22"/>
          <w:shd w:val="clear" w:color="auto" w:fill="FFFFFF"/>
        </w:rPr>
        <w:t xml:space="preserve"> </w:t>
      </w:r>
      <w:r w:rsidRPr="000E09F7">
        <w:t xml:space="preserve">and </w:t>
      </w:r>
      <w:r w:rsidR="00D567D9" w:rsidRPr="000E09F7">
        <w:t>imported in the</w:t>
      </w:r>
      <w:r w:rsidRPr="000E09F7">
        <w:t xml:space="preserve"> reporting year to produce cement at the facility (whether or not the Portland cement clinker was produced in or outside of Australia).</w:t>
      </w:r>
    </w:p>
    <w:p w14:paraId="493C2E99" w14:textId="77777777" w:rsidR="00B609AB" w:rsidRPr="000E09F7" w:rsidRDefault="00B609AB" w:rsidP="00B609AB">
      <w:pPr>
        <w:pStyle w:val="tMain"/>
      </w:pPr>
      <w:r w:rsidRPr="000E09F7">
        <w:tab/>
      </w:r>
      <w:r w:rsidR="00EE09E8" w:rsidRPr="000E09F7">
        <w:t>(5</w:t>
      </w:r>
      <w:r w:rsidRPr="000E09F7">
        <w:t>)</w:t>
      </w:r>
      <w:r w:rsidRPr="000E09F7">
        <w:tab/>
        <w:t>For p</w:t>
      </w:r>
      <w:r w:rsidR="008013C4" w:rsidRPr="000E09F7">
        <w:t>aragraphs 4.</w:t>
      </w:r>
      <w:r w:rsidRPr="000E09F7">
        <w:t xml:space="preserve">23C(2)(b) and 4.23D(3)(b) of the NGER Regulations, the following information must be included in a report under the Act in calculating the amount of the prescribed (annually adjusted) production variable for a reporting year: </w:t>
      </w:r>
    </w:p>
    <w:p w14:paraId="493C2E9A" w14:textId="77777777" w:rsidR="00B609AB" w:rsidRPr="000E09F7" w:rsidRDefault="00B609AB" w:rsidP="00B609AB">
      <w:pPr>
        <w:pStyle w:val="tPara"/>
      </w:pPr>
      <w:r w:rsidRPr="000E09F7">
        <w:tab/>
        <w:t>(a)</w:t>
      </w:r>
      <w:r w:rsidRPr="000E09F7">
        <w:tab/>
        <w:t>the total amount of Portland cement clinker produced at a facility in the reporting year (whether or not it is used, exported from the facility or stockpiled); and</w:t>
      </w:r>
    </w:p>
    <w:p w14:paraId="493C2E9B" w14:textId="77777777" w:rsidR="00B609AB" w:rsidRPr="000E09F7" w:rsidRDefault="00B609AB" w:rsidP="00C70695">
      <w:pPr>
        <w:pStyle w:val="tPara"/>
      </w:pPr>
      <w:r w:rsidRPr="000E09F7">
        <w:tab/>
        <w:t>(b)</w:t>
      </w:r>
      <w:r w:rsidRPr="000E09F7">
        <w:tab/>
        <w:t>the value of each variable in the equation in subsection (4).</w:t>
      </w:r>
    </w:p>
    <w:p w14:paraId="493C2E9C" w14:textId="77777777" w:rsidR="00126B55" w:rsidRPr="000E09F7" w:rsidRDefault="00CC7772" w:rsidP="00126B55">
      <w:pPr>
        <w:pStyle w:val="h3Div"/>
      </w:pPr>
      <w:r w:rsidRPr="000E09F7">
        <w:rPr>
          <w:rStyle w:val="CharDivNo"/>
        </w:rPr>
        <w:t>Division 3</w:t>
      </w:r>
      <w:r w:rsidR="00126B55" w:rsidRPr="000E09F7">
        <w:t xml:space="preserve">—Lime  </w:t>
      </w:r>
    </w:p>
    <w:p w14:paraId="493C2E9D" w14:textId="17057D83" w:rsidR="00126B55" w:rsidRPr="000E09F7" w:rsidRDefault="00ED35E8" w:rsidP="00126B55">
      <w:pPr>
        <w:pStyle w:val="h5Section"/>
      </w:pPr>
      <w:r w:rsidRPr="000E09F7">
        <w:t>65</w:t>
      </w:r>
      <w:r w:rsidR="00126B55" w:rsidRPr="000E09F7">
        <w:t xml:space="preserve">  Lime</w:t>
      </w:r>
    </w:p>
    <w:p w14:paraId="493C2E9E" w14:textId="77777777" w:rsidR="00126B55" w:rsidRPr="000E09F7" w:rsidRDefault="00126B55" w:rsidP="00126B55">
      <w:pPr>
        <w:pStyle w:val="tMain"/>
      </w:pPr>
      <w:r w:rsidRPr="000E09F7">
        <w:tab/>
        <w:t>(1)</w:t>
      </w:r>
      <w:r w:rsidRPr="000E09F7">
        <w:tab/>
        <w:t>Tonnes of lime on a dry weight basis that:</w:t>
      </w:r>
    </w:p>
    <w:p w14:paraId="493C2E9F" w14:textId="77777777" w:rsidR="00126B55" w:rsidRPr="000E09F7" w:rsidRDefault="00CC7772" w:rsidP="00126B55">
      <w:pPr>
        <w:pStyle w:val="tPara"/>
      </w:pPr>
      <w:r w:rsidRPr="000E09F7">
        <w:tab/>
        <w:t>(a)</w:t>
      </w:r>
      <w:r w:rsidRPr="000E09F7">
        <w:tab/>
        <w:t>is</w:t>
      </w:r>
      <w:r w:rsidR="00126B55" w:rsidRPr="000E09F7">
        <w:t xml:space="preserve"> produced as part of carrying on the lime production activity at the facility; and</w:t>
      </w:r>
    </w:p>
    <w:p w14:paraId="493C2EA0" w14:textId="77777777" w:rsidR="00126B55" w:rsidRPr="000E09F7" w:rsidRDefault="00126B55" w:rsidP="00126B55">
      <w:pPr>
        <w:pStyle w:val="tPara"/>
      </w:pPr>
      <w:r w:rsidRPr="000E09F7">
        <w:tab/>
        <w:t>(b)</w:t>
      </w:r>
      <w:r w:rsidRPr="000E09F7">
        <w:tab/>
      </w:r>
      <w:r w:rsidR="00CC7772" w:rsidRPr="000E09F7">
        <w:t>has</w:t>
      </w:r>
      <w:r w:rsidRPr="000E09F7">
        <w:t xml:space="preserve"> a concentration of either or both of calcium oxide (</w:t>
      </w:r>
      <w:proofErr w:type="spellStart"/>
      <w:r w:rsidRPr="000E09F7">
        <w:t>CaO</w:t>
      </w:r>
      <w:proofErr w:type="spellEnd"/>
      <w:r w:rsidRPr="000E09F7">
        <w:t>) and magnesium oxide (</w:t>
      </w:r>
      <w:proofErr w:type="spellStart"/>
      <w:r w:rsidRPr="000E09F7">
        <w:t>MgO</w:t>
      </w:r>
      <w:proofErr w:type="spellEnd"/>
      <w:r w:rsidRPr="000E09F7">
        <w:t>) equal to or greater than 60%</w:t>
      </w:r>
      <w:r w:rsidR="00141D94" w:rsidRPr="000E09F7">
        <w:t xml:space="preserve"> by mass</w:t>
      </w:r>
      <w:r w:rsidRPr="000E09F7">
        <w:t>; and</w:t>
      </w:r>
    </w:p>
    <w:p w14:paraId="1FF06795" w14:textId="461BADD1" w:rsidR="00867CCD" w:rsidRPr="000E09F7" w:rsidRDefault="00867CCD" w:rsidP="00867CCD">
      <w:pPr>
        <w:pStyle w:val="tPara"/>
      </w:pPr>
      <w:r w:rsidRPr="000E09F7">
        <w:tab/>
        <w:t xml:space="preserve">(c) </w:t>
      </w:r>
      <w:r w:rsidRPr="000E09F7">
        <w:tab/>
        <w:t>is not counted for another production variable in this Schedule; and</w:t>
      </w:r>
    </w:p>
    <w:p w14:paraId="493C2EA1" w14:textId="6278F2E3" w:rsidR="00126B55" w:rsidRPr="000E09F7" w:rsidRDefault="00867CCD" w:rsidP="00126B55">
      <w:pPr>
        <w:pStyle w:val="tPara"/>
      </w:pPr>
      <w:r w:rsidRPr="000E09F7">
        <w:tab/>
        <w:t>(d</w:t>
      </w:r>
      <w:r w:rsidR="00CC7772" w:rsidRPr="000E09F7">
        <w:t>)</w:t>
      </w:r>
      <w:r w:rsidR="00CC7772" w:rsidRPr="000E09F7">
        <w:tab/>
        <w:t>is</w:t>
      </w:r>
      <w:r w:rsidR="00126B55" w:rsidRPr="000E09F7">
        <w:t xml:space="preserve"> of saleable quality.</w:t>
      </w:r>
    </w:p>
    <w:p w14:paraId="493C2EA2" w14:textId="77777777" w:rsidR="00126B55" w:rsidRPr="000E09F7" w:rsidRDefault="00126B55" w:rsidP="00126B55">
      <w:pPr>
        <w:pStyle w:val="tMain"/>
      </w:pPr>
      <w:r w:rsidRPr="000E09F7">
        <w:tab/>
        <w:t>(2)</w:t>
      </w:r>
      <w:r w:rsidRPr="000E09F7">
        <w:tab/>
        <w:t>The metric in subsection (1) is applicable to a facility that conducts the activity of producing lime through the physical and chemical transformation, through the calcining process, of calcium and magnesium sources (such as calcium carbonate (CaCO</w:t>
      </w:r>
      <w:r w:rsidRPr="000E09F7">
        <w:rPr>
          <w:color w:val="000000"/>
          <w:vertAlign w:val="subscript"/>
        </w:rPr>
        <w:t>3</w:t>
      </w:r>
      <w:r w:rsidRPr="000E09F7">
        <w:t>) and magnesium carbonate (MgCO</w:t>
      </w:r>
      <w:r w:rsidRPr="000E09F7">
        <w:rPr>
          <w:color w:val="000000"/>
          <w:vertAlign w:val="subscript"/>
        </w:rPr>
        <w:t>3</w:t>
      </w:r>
      <w:r w:rsidRPr="000E09F7">
        <w:t>)) into lime that has a concentration of either or both of calcium oxide (</w:t>
      </w:r>
      <w:proofErr w:type="spellStart"/>
      <w:r w:rsidRPr="000E09F7">
        <w:t>CaO</w:t>
      </w:r>
      <w:proofErr w:type="spellEnd"/>
      <w:r w:rsidRPr="000E09F7">
        <w:t>) and magnesium oxide (</w:t>
      </w:r>
      <w:proofErr w:type="spellStart"/>
      <w:r w:rsidRPr="000E09F7">
        <w:t>MgO</w:t>
      </w:r>
      <w:proofErr w:type="spellEnd"/>
      <w:r w:rsidRPr="000E09F7">
        <w:t>) equal to or greater than 60%</w:t>
      </w:r>
      <w:r w:rsidR="00141D94" w:rsidRPr="000E09F7">
        <w:t xml:space="preserve"> by mass</w:t>
      </w:r>
      <w:r w:rsidRPr="000E09F7">
        <w:t xml:space="preserve"> (the </w:t>
      </w:r>
      <w:r w:rsidRPr="000E09F7">
        <w:rPr>
          <w:b/>
          <w:i/>
        </w:rPr>
        <w:t>lime production activity</w:t>
      </w:r>
      <w:r w:rsidRPr="000E09F7">
        <w:t>).</w:t>
      </w:r>
    </w:p>
    <w:p w14:paraId="493C2EA3" w14:textId="1AC24DDC" w:rsidR="00516F8E" w:rsidRPr="000E09F7" w:rsidRDefault="00126B55" w:rsidP="000421F4">
      <w:pPr>
        <w:pStyle w:val="tMain"/>
      </w:pPr>
      <w:r w:rsidRPr="000E09F7">
        <w:tab/>
        <w:t>(3)</w:t>
      </w:r>
      <w:r w:rsidRPr="000E09F7">
        <w:tab/>
        <w:t xml:space="preserve">The default emissions intensity is </w:t>
      </w:r>
      <w:r w:rsidR="00E917D5" w:rsidRPr="000E09F7">
        <w:t>1.13</w:t>
      </w:r>
      <w:r w:rsidRPr="000E09F7">
        <w:t xml:space="preserve"> t CO</w:t>
      </w:r>
      <w:r w:rsidRPr="000E09F7">
        <w:rPr>
          <w:vertAlign w:val="subscript"/>
        </w:rPr>
        <w:t>2</w:t>
      </w:r>
      <w:r w:rsidRPr="000E09F7">
        <w:t xml:space="preserve">-e per </w:t>
      </w:r>
      <w:r w:rsidR="000421F4" w:rsidRPr="000E09F7">
        <w:t>tonne of lime.</w:t>
      </w:r>
    </w:p>
    <w:p w14:paraId="493C2EA4" w14:textId="074B0D97" w:rsidR="00B0631F" w:rsidRPr="000E09F7" w:rsidRDefault="00ED35E8" w:rsidP="00B0631F">
      <w:pPr>
        <w:pStyle w:val="h2Part"/>
      </w:pPr>
      <w:r w:rsidRPr="000E09F7">
        <w:rPr>
          <w:rStyle w:val="CharPartNo"/>
        </w:rPr>
        <w:t>Part 30</w:t>
      </w:r>
      <w:r w:rsidR="00B0631F" w:rsidRPr="000E09F7">
        <w:rPr>
          <w:rStyle w:val="CharPartNo"/>
        </w:rPr>
        <w:t>—</w:t>
      </w:r>
      <w:r w:rsidR="00B0631F" w:rsidRPr="000E09F7">
        <w:rPr>
          <w:rStyle w:val="CharPartText"/>
        </w:rPr>
        <w:t>Non-metallic mineral quarrying</w:t>
      </w:r>
      <w:r w:rsidR="00B0631F" w:rsidRPr="000E09F7">
        <w:rPr>
          <w:rStyle w:val="CharDivNo"/>
        </w:rPr>
        <w:t xml:space="preserve"> </w:t>
      </w:r>
      <w:r w:rsidR="00B0631F" w:rsidRPr="000E09F7">
        <w:rPr>
          <w:rStyle w:val="CharDivText"/>
        </w:rPr>
        <w:t xml:space="preserve"> </w:t>
      </w:r>
    </w:p>
    <w:p w14:paraId="493C2EA5" w14:textId="27BF0FEF" w:rsidR="00B0631F" w:rsidRPr="000E09F7" w:rsidRDefault="00ED35E8" w:rsidP="00B0631F">
      <w:pPr>
        <w:pStyle w:val="h5Section"/>
      </w:pPr>
      <w:r w:rsidRPr="000E09F7">
        <w:t>66</w:t>
      </w:r>
      <w:r w:rsidR="00B0631F" w:rsidRPr="000E09F7">
        <w:t xml:space="preserve">  Quarried rock</w:t>
      </w:r>
    </w:p>
    <w:p w14:paraId="493C2EA6" w14:textId="77777777" w:rsidR="00B0631F" w:rsidRPr="000E09F7" w:rsidRDefault="00B0631F" w:rsidP="00B0631F">
      <w:pPr>
        <w:pStyle w:val="tMain"/>
      </w:pPr>
      <w:r w:rsidRPr="000E09F7">
        <w:tab/>
        <w:t>(1)</w:t>
      </w:r>
      <w:r w:rsidRPr="000E09F7">
        <w:tab/>
        <w:t>Tonnes of quarried rock that:</w:t>
      </w:r>
    </w:p>
    <w:p w14:paraId="493C2EA7" w14:textId="77777777" w:rsidR="00B0631F" w:rsidRPr="000E09F7" w:rsidRDefault="00B0631F" w:rsidP="00B0631F">
      <w:pPr>
        <w:pStyle w:val="tPara"/>
      </w:pPr>
      <w:r w:rsidRPr="000E09F7">
        <w:tab/>
        <w:t>(a)</w:t>
      </w:r>
      <w:r w:rsidRPr="000E09F7">
        <w:tab/>
        <w:t>contains 1 or more minerals that are not metals; and</w:t>
      </w:r>
    </w:p>
    <w:p w14:paraId="493C2EA8" w14:textId="77777777" w:rsidR="00B0631F" w:rsidRPr="000E09F7" w:rsidRDefault="00B0631F" w:rsidP="00B0631F">
      <w:pPr>
        <w:pStyle w:val="tPara"/>
      </w:pPr>
      <w:r w:rsidRPr="000E09F7">
        <w:tab/>
        <w:t>(b)</w:t>
      </w:r>
      <w:r w:rsidRPr="000E09F7">
        <w:tab/>
        <w:t>is produced as part of carrying on the non-metallic mineral quarrying activity at the facility; and</w:t>
      </w:r>
    </w:p>
    <w:p w14:paraId="493C2EA9" w14:textId="77777777" w:rsidR="00B0631F" w:rsidRPr="000E09F7" w:rsidRDefault="00B0631F" w:rsidP="00B0631F">
      <w:pPr>
        <w:pStyle w:val="tPara"/>
      </w:pPr>
      <w:r w:rsidRPr="000E09F7">
        <w:tab/>
        <w:t>(c)</w:t>
      </w:r>
      <w:r w:rsidRPr="000E09F7">
        <w:tab/>
        <w:t>is either:</w:t>
      </w:r>
    </w:p>
    <w:p w14:paraId="493C2EAA" w14:textId="0182D7C4" w:rsidR="00B0631F" w:rsidRPr="000E09F7" w:rsidRDefault="00B0631F" w:rsidP="00B0631F">
      <w:pPr>
        <w:pStyle w:val="tSubpara"/>
      </w:pPr>
      <w:r w:rsidRPr="000E09F7">
        <w:tab/>
        <w:t>(</w:t>
      </w:r>
      <w:proofErr w:type="spellStart"/>
      <w:r w:rsidRPr="000E09F7">
        <w:t>i</w:t>
      </w:r>
      <w:proofErr w:type="spellEnd"/>
      <w:r w:rsidRPr="000E09F7">
        <w:t>)</w:t>
      </w:r>
      <w:r w:rsidRPr="000E09F7">
        <w:tab/>
        <w:t xml:space="preserve">of saleable quality </w:t>
      </w:r>
      <w:r w:rsidR="00967043" w:rsidRPr="000E09F7">
        <w:t>a</w:t>
      </w:r>
      <w:r w:rsidR="00E917D5" w:rsidRPr="000E09F7">
        <w:t>t</w:t>
      </w:r>
      <w:r w:rsidR="00967043" w:rsidRPr="000E09F7">
        <w:t xml:space="preserve"> the mine</w:t>
      </w:r>
      <w:r w:rsidRPr="000E09F7">
        <w:t>; or</w:t>
      </w:r>
    </w:p>
    <w:p w14:paraId="493C2EAB" w14:textId="77777777" w:rsidR="00B0631F" w:rsidRPr="000E09F7" w:rsidRDefault="00B0631F" w:rsidP="00B0631F">
      <w:pPr>
        <w:pStyle w:val="tSubpara"/>
      </w:pPr>
      <w:r w:rsidRPr="000E09F7">
        <w:tab/>
        <w:t>(ii)</w:t>
      </w:r>
      <w:r w:rsidRPr="000E09F7">
        <w:tab/>
        <w:t>suitable as a feed source of 1 or more non-metallic minerals for production of other processed products; and</w:t>
      </w:r>
    </w:p>
    <w:p w14:paraId="493C2EAC" w14:textId="77777777" w:rsidR="00B0631F" w:rsidRPr="000E09F7" w:rsidRDefault="00B0631F" w:rsidP="00B0631F">
      <w:pPr>
        <w:pStyle w:val="tPara"/>
      </w:pPr>
      <w:r w:rsidRPr="000E09F7">
        <w:tab/>
        <w:t>(d)</w:t>
      </w:r>
      <w:r w:rsidRPr="000E09F7">
        <w:tab/>
        <w:t>has not been counted for another production variable at the facility; and</w:t>
      </w:r>
    </w:p>
    <w:p w14:paraId="493C2EAD" w14:textId="77777777" w:rsidR="00B0631F" w:rsidRPr="000E09F7" w:rsidRDefault="00B0631F" w:rsidP="00B0631F">
      <w:pPr>
        <w:pStyle w:val="tPara"/>
      </w:pPr>
      <w:r w:rsidRPr="000E09F7">
        <w:tab/>
        <w:t>(e)</w:t>
      </w:r>
      <w:r w:rsidRPr="000E09F7">
        <w:tab/>
        <w:t>is not eligible to be a production variable mentioned in Parts 13 to 18 of this Schedule.</w:t>
      </w:r>
    </w:p>
    <w:p w14:paraId="493C2EAE" w14:textId="77777777" w:rsidR="00B0631F" w:rsidRPr="000E09F7" w:rsidRDefault="00B0631F" w:rsidP="00B0631F">
      <w:pPr>
        <w:pStyle w:val="tMain"/>
      </w:pPr>
      <w:r w:rsidRPr="000E09F7">
        <w:tab/>
        <w:t>(2)</w:t>
      </w:r>
      <w:r w:rsidRPr="000E09F7">
        <w:tab/>
        <w:t xml:space="preserve">The metric in subsection (1) is applicable to a facility that conducts the activity of quarrying non-metallic minerals through: </w:t>
      </w:r>
    </w:p>
    <w:p w14:paraId="493C2EAF" w14:textId="77777777" w:rsidR="00B0631F" w:rsidRPr="000E09F7" w:rsidRDefault="00B0631F" w:rsidP="00B0631F">
      <w:pPr>
        <w:pStyle w:val="tPara"/>
      </w:pPr>
      <w:r w:rsidRPr="000E09F7">
        <w:tab/>
        <w:t>(a)</w:t>
      </w:r>
      <w:r w:rsidRPr="000E09F7">
        <w:tab/>
        <w:t xml:space="preserve">the physical extraction of non-metallic rock containing 1 or more minerals that are not metals; and </w:t>
      </w:r>
    </w:p>
    <w:p w14:paraId="493C2EB0" w14:textId="77777777" w:rsidR="00B0631F" w:rsidRPr="000E09F7" w:rsidRDefault="00B0631F" w:rsidP="00B0631F">
      <w:pPr>
        <w:pStyle w:val="tPara"/>
      </w:pPr>
      <w:r w:rsidRPr="000E09F7">
        <w:tab/>
        <w:t>(b)</w:t>
      </w:r>
      <w:r w:rsidRPr="000E09F7">
        <w:tab/>
        <w:t>the processing of the extracted rock to produce a</w:t>
      </w:r>
      <w:r w:rsidR="00967043" w:rsidRPr="000E09F7">
        <w:t xml:space="preserve"> non-metallic mineral</w:t>
      </w:r>
      <w:r w:rsidRPr="000E09F7">
        <w:t xml:space="preserve"> product or feedstock material, such as aggregates for the construction industry. </w:t>
      </w:r>
    </w:p>
    <w:p w14:paraId="493C2EB1" w14:textId="77777777" w:rsidR="00B0631F" w:rsidRPr="000E09F7" w:rsidRDefault="00B0631F" w:rsidP="00B0631F">
      <w:pPr>
        <w:pStyle w:val="tMain"/>
      </w:pPr>
      <w:r w:rsidRPr="000E09F7">
        <w:tab/>
        <w:t>(3)</w:t>
      </w:r>
      <w:r w:rsidRPr="000E09F7">
        <w:tab/>
        <w:t xml:space="preserve">The activity in subsection (2) is the </w:t>
      </w:r>
      <w:r w:rsidRPr="000E09F7">
        <w:rPr>
          <w:b/>
          <w:i/>
        </w:rPr>
        <w:t>non-metallic mineral quarrying activity</w:t>
      </w:r>
      <w:r w:rsidRPr="000E09F7">
        <w:t>.</w:t>
      </w:r>
    </w:p>
    <w:p w14:paraId="2A712F3F" w14:textId="77777777" w:rsidR="00023B7A" w:rsidRPr="000E09F7"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sidRPr="000E09F7">
        <w:rPr>
          <w:rFonts w:eastAsia="Calibri" w:cs="Arial"/>
          <w:iCs/>
          <w:sz w:val="20"/>
          <w:szCs w:val="22"/>
          <w:lang w:eastAsia="en-US"/>
        </w:rPr>
        <w:tab/>
        <w:t>Note:</w:t>
      </w:r>
      <w:r w:rsidRPr="000E09F7">
        <w:rPr>
          <w:rFonts w:eastAsia="Calibri" w:cs="Arial"/>
          <w:iCs/>
          <w:sz w:val="20"/>
          <w:szCs w:val="22"/>
          <w:lang w:eastAsia="en-US"/>
        </w:rPr>
        <w:tab/>
        <w:t>The default emissions intensity for this prescribed production variable is yet to be calculated and specified in the Schedule.</w:t>
      </w:r>
    </w:p>
    <w:p w14:paraId="493C2EB3" w14:textId="0D06CF5F" w:rsidR="00532C21" w:rsidRPr="000E09F7" w:rsidRDefault="00532C21" w:rsidP="00532C21">
      <w:pPr>
        <w:pStyle w:val="h2Part"/>
      </w:pPr>
      <w:r w:rsidRPr="000E09F7">
        <w:rPr>
          <w:rStyle w:val="CharPartNo"/>
        </w:rPr>
        <w:t>Part 3</w:t>
      </w:r>
      <w:r w:rsidR="00ED35E8" w:rsidRPr="000E09F7">
        <w:rPr>
          <w:rStyle w:val="CharPartNo"/>
        </w:rPr>
        <w:t>1</w:t>
      </w:r>
      <w:r w:rsidRPr="000E09F7">
        <w:rPr>
          <w:rStyle w:val="CharPartNo"/>
        </w:rPr>
        <w:t>—</w:t>
      </w:r>
      <w:r w:rsidR="00331763" w:rsidRPr="000E09F7">
        <w:rPr>
          <w:rStyle w:val="CharPartText"/>
        </w:rPr>
        <w:t>Silicon</w:t>
      </w:r>
      <w:r w:rsidRPr="000E09F7">
        <w:rPr>
          <w:rStyle w:val="CharDivNo"/>
        </w:rPr>
        <w:t xml:space="preserve"> </w:t>
      </w:r>
      <w:r w:rsidRPr="000E09F7">
        <w:rPr>
          <w:rStyle w:val="CharDivText"/>
        </w:rPr>
        <w:t xml:space="preserve"> </w:t>
      </w:r>
    </w:p>
    <w:p w14:paraId="493C2EB4" w14:textId="25F57929" w:rsidR="00532C21" w:rsidRPr="000E09F7" w:rsidRDefault="00ED35E8" w:rsidP="00532C21">
      <w:pPr>
        <w:pStyle w:val="h5Section"/>
      </w:pPr>
      <w:r w:rsidRPr="000E09F7">
        <w:t>67</w:t>
      </w:r>
      <w:r w:rsidR="00532C21" w:rsidRPr="000E09F7">
        <w:t xml:space="preserve">  </w:t>
      </w:r>
      <w:r w:rsidR="00331763" w:rsidRPr="000E09F7">
        <w:t>Silicon</w:t>
      </w:r>
    </w:p>
    <w:p w14:paraId="493C2EB5" w14:textId="77777777" w:rsidR="00532C21" w:rsidRPr="000E09F7" w:rsidRDefault="00532C21" w:rsidP="00532C21">
      <w:pPr>
        <w:pStyle w:val="tMain"/>
      </w:pPr>
      <w:r w:rsidRPr="000E09F7">
        <w:tab/>
        <w:t>(1)</w:t>
      </w:r>
      <w:r w:rsidRPr="000E09F7">
        <w:tab/>
        <w:t xml:space="preserve">Tonnes of </w:t>
      </w:r>
      <w:r w:rsidR="00331763" w:rsidRPr="000E09F7">
        <w:t>silicon (Si)</w:t>
      </w:r>
      <w:r w:rsidRPr="000E09F7">
        <w:t xml:space="preserve"> that:</w:t>
      </w:r>
    </w:p>
    <w:p w14:paraId="493C2EB6" w14:textId="77777777" w:rsidR="00331763" w:rsidRPr="000E09F7" w:rsidRDefault="00532C21" w:rsidP="00331763">
      <w:pPr>
        <w:pStyle w:val="tPara"/>
      </w:pPr>
      <w:r w:rsidRPr="000E09F7">
        <w:tab/>
        <w:t>(a)</w:t>
      </w:r>
      <w:r w:rsidRPr="000E09F7">
        <w:tab/>
      </w:r>
      <w:r w:rsidR="00331763" w:rsidRPr="000E09F7">
        <w:t>has a concentration of silicon equal to or greater than 98%</w:t>
      </w:r>
      <w:r w:rsidR="00141D94" w:rsidRPr="000E09F7">
        <w:t xml:space="preserve"> by mass</w:t>
      </w:r>
      <w:r w:rsidR="00331763" w:rsidRPr="000E09F7">
        <w:t xml:space="preserve">; and </w:t>
      </w:r>
    </w:p>
    <w:p w14:paraId="493C2EB7" w14:textId="77777777" w:rsidR="00331763" w:rsidRPr="000E09F7" w:rsidRDefault="00331763" w:rsidP="00331763">
      <w:pPr>
        <w:pStyle w:val="tPara"/>
      </w:pPr>
      <w:r w:rsidRPr="000E09F7">
        <w:tab/>
        <w:t>(b)</w:t>
      </w:r>
      <w:r w:rsidRPr="000E09F7">
        <w:tab/>
        <w:t>is produced as part of carrying on the silicon production activity at the facility; and</w:t>
      </w:r>
    </w:p>
    <w:p w14:paraId="493C2EB8" w14:textId="77777777" w:rsidR="00331763" w:rsidRDefault="00331763" w:rsidP="00331763">
      <w:pPr>
        <w:pStyle w:val="tPara"/>
      </w:pPr>
      <w:r w:rsidRPr="000E09F7">
        <w:tab/>
        <w:t>(c)</w:t>
      </w:r>
      <w:r w:rsidRPr="000E09F7">
        <w:tab/>
        <w:t>is of saleable quality.</w:t>
      </w:r>
    </w:p>
    <w:p w14:paraId="493C2EB9" w14:textId="77777777" w:rsidR="00331763" w:rsidRDefault="00532C21" w:rsidP="00331763">
      <w:pPr>
        <w:pStyle w:val="tMain"/>
      </w:pPr>
      <w:r w:rsidRPr="00DD2453">
        <w:tab/>
      </w:r>
      <w:r>
        <w:t>(2)</w:t>
      </w:r>
      <w:r w:rsidRPr="00DD2453">
        <w:tab/>
      </w:r>
      <w:r w:rsidR="00331763" w:rsidRPr="00331763">
        <w:t>The metric in subsection (1) is applicable to a facility that conducts the activity of producing silicon through the chemical transformation of silica (silicon dioxide (SiO</w:t>
      </w:r>
      <w:r w:rsidR="00331763">
        <w:rPr>
          <w:vertAlign w:val="subscript"/>
        </w:rPr>
        <w:t>2</w:t>
      </w:r>
      <w:r w:rsidR="00331763" w:rsidRPr="00331763">
        <w:t>)) to produce silicon with a concentration of silicon equal to or greater than 98%</w:t>
      </w:r>
      <w:r w:rsidR="00141D94">
        <w:t xml:space="preserve"> by mass</w:t>
      </w:r>
      <w:r w:rsidR="00331763" w:rsidRPr="00331763">
        <w:t xml:space="preserve">, conducted in accordance with the overall chemical equation: </w:t>
      </w:r>
    </w:p>
    <w:p w14:paraId="493C2EBA" w14:textId="77777777" w:rsidR="00532C21" w:rsidRPr="00331763" w:rsidRDefault="00532C21" w:rsidP="00331763">
      <w:pPr>
        <w:pStyle w:val="tPara"/>
        <w:rPr>
          <w:szCs w:val="22"/>
        </w:rPr>
      </w:pPr>
      <w:r>
        <w:tab/>
      </w:r>
      <w:r>
        <w:tab/>
      </w:r>
      <w:r w:rsidR="00331763" w:rsidRPr="00331763">
        <w:rPr>
          <w:szCs w:val="22"/>
        </w:rPr>
        <w:t>SiO</w:t>
      </w:r>
      <w:r w:rsidR="00331763" w:rsidRPr="00331763">
        <w:rPr>
          <w:szCs w:val="22"/>
          <w:vertAlign w:val="subscript"/>
        </w:rPr>
        <w:t>2</w:t>
      </w:r>
      <w:r w:rsidR="00331763" w:rsidRPr="00331763">
        <w:rPr>
          <w:szCs w:val="22"/>
        </w:rPr>
        <w:t>(s)</w:t>
      </w:r>
      <w:r w:rsidR="00331763">
        <w:rPr>
          <w:szCs w:val="22"/>
        </w:rPr>
        <w:t xml:space="preserve"> </w:t>
      </w:r>
      <w:r w:rsidR="00331763" w:rsidRPr="00331763">
        <w:rPr>
          <w:szCs w:val="22"/>
        </w:rPr>
        <w:t>+</w:t>
      </w:r>
      <w:r w:rsidR="00331763">
        <w:rPr>
          <w:szCs w:val="22"/>
        </w:rPr>
        <w:t xml:space="preserve"> </w:t>
      </w:r>
      <w:r w:rsidR="00331763" w:rsidRPr="00331763">
        <w:rPr>
          <w:szCs w:val="22"/>
        </w:rPr>
        <w:t>2C(s) → Si(s) +</w:t>
      </w:r>
      <w:r w:rsidR="00331763">
        <w:rPr>
          <w:szCs w:val="22"/>
        </w:rPr>
        <w:t xml:space="preserve"> 2CO(g)</w:t>
      </w:r>
    </w:p>
    <w:p w14:paraId="493C2EBB" w14:textId="77777777" w:rsidR="00532C21" w:rsidRPr="00356912" w:rsidRDefault="00532C21" w:rsidP="00532C21">
      <w:pPr>
        <w:pStyle w:val="tMain"/>
      </w:pPr>
      <w:r w:rsidRPr="00DD2453">
        <w:tab/>
      </w:r>
      <w:r>
        <w:t>(3)</w:t>
      </w:r>
      <w:r w:rsidRPr="00DD2453">
        <w:tab/>
        <w:t xml:space="preserve">The activity in subsection (2) is the </w:t>
      </w:r>
      <w:r w:rsidR="00331763">
        <w:rPr>
          <w:b/>
          <w:i/>
        </w:rPr>
        <w:t>silicon production activity</w:t>
      </w:r>
      <w:r w:rsidRPr="00DD2453">
        <w:t>.</w:t>
      </w:r>
    </w:p>
    <w:p w14:paraId="493C2EBC" w14:textId="3175E0C8" w:rsidR="00532C21" w:rsidRDefault="00532C21" w:rsidP="008D1AA7">
      <w:pPr>
        <w:pStyle w:val="tMain"/>
      </w:pPr>
      <w:r w:rsidRPr="00DD2453">
        <w:tab/>
      </w:r>
      <w:r>
        <w:t>(4)</w:t>
      </w:r>
      <w:r w:rsidRPr="00DD2453">
        <w:tab/>
        <w:t xml:space="preserve">The default emissions intensity is </w:t>
      </w:r>
      <w:r w:rsidR="00E917D5">
        <w:t>1.92</w:t>
      </w:r>
      <w:r w:rsidRPr="00DD2453">
        <w:t xml:space="preserve"> t CO</w:t>
      </w:r>
      <w:r w:rsidRPr="00DD2453">
        <w:rPr>
          <w:vertAlign w:val="subscript"/>
        </w:rPr>
        <w:t>2</w:t>
      </w:r>
      <w:r w:rsidRPr="00DD2453">
        <w:t xml:space="preserve">-e per tonne of </w:t>
      </w:r>
      <w:r w:rsidR="00331763">
        <w:t>silicon</w:t>
      </w:r>
      <w:r w:rsidRPr="00DD2453">
        <w:t xml:space="preserve">. </w:t>
      </w:r>
    </w:p>
    <w:p w14:paraId="493C2EBD" w14:textId="250E7C2E" w:rsidR="008D1AA7" w:rsidRDefault="008D1AA7" w:rsidP="008D1AA7">
      <w:pPr>
        <w:pStyle w:val="h2Part"/>
      </w:pPr>
      <w:r>
        <w:rPr>
          <w:rStyle w:val="CharPartNo"/>
        </w:rPr>
        <w:t>Part 3</w:t>
      </w:r>
      <w:r w:rsidR="00ED35E8">
        <w:rPr>
          <w:rStyle w:val="CharPartNo"/>
        </w:rPr>
        <w:t>2</w:t>
      </w:r>
      <w:r w:rsidRPr="00DD2453">
        <w:rPr>
          <w:rStyle w:val="CharPartNo"/>
        </w:rPr>
        <w:t>—</w:t>
      </w:r>
      <w:r>
        <w:rPr>
          <w:rStyle w:val="CharPartText"/>
        </w:rPr>
        <w:t>Lead bullion</w:t>
      </w:r>
    </w:p>
    <w:p w14:paraId="493C2EBE" w14:textId="0EEEA657" w:rsidR="008D1AA7" w:rsidRPr="00DD2453" w:rsidRDefault="00ED35E8" w:rsidP="008D1AA7">
      <w:pPr>
        <w:pStyle w:val="h5Section"/>
      </w:pPr>
      <w:r>
        <w:t>68</w:t>
      </w:r>
      <w:r w:rsidR="008D1AA7" w:rsidRPr="00DD2453">
        <w:t xml:space="preserve">  </w:t>
      </w:r>
      <w:r w:rsidR="008D1AA7">
        <w:t>Lead bullion</w:t>
      </w:r>
    </w:p>
    <w:p w14:paraId="493C2EBF" w14:textId="77777777" w:rsidR="008D1AA7" w:rsidRPr="00356912" w:rsidRDefault="008D1AA7" w:rsidP="008D1AA7">
      <w:pPr>
        <w:pStyle w:val="tMain"/>
      </w:pPr>
      <w:r w:rsidRPr="00DD2453">
        <w:tab/>
      </w:r>
      <w:r>
        <w:t>(1)</w:t>
      </w:r>
      <w:r w:rsidR="000421F4">
        <w:tab/>
        <w:t>Tonnes of</w:t>
      </w:r>
      <w:r>
        <w:t xml:space="preserve"> lead </w:t>
      </w:r>
      <w:r w:rsidR="000421F4">
        <w:t xml:space="preserve">bullion </w:t>
      </w:r>
      <w:r w:rsidRPr="00356912">
        <w:t>that:</w:t>
      </w:r>
    </w:p>
    <w:p w14:paraId="493C2EC0" w14:textId="77777777" w:rsidR="008D1AA7" w:rsidRDefault="008D1AA7" w:rsidP="008D1AA7">
      <w:pPr>
        <w:pStyle w:val="tPara"/>
      </w:pPr>
      <w:r w:rsidRPr="00356912">
        <w:tab/>
        <w:t>(a)</w:t>
      </w:r>
      <w:r w:rsidRPr="00356912">
        <w:tab/>
      </w:r>
      <w:r>
        <w:t>has a concentration of lead (</w:t>
      </w:r>
      <w:proofErr w:type="spellStart"/>
      <w:r>
        <w:t>pb</w:t>
      </w:r>
      <w:proofErr w:type="spellEnd"/>
      <w:r>
        <w:t>) equal to or greater than 99%</w:t>
      </w:r>
      <w:r w:rsidR="00141D94">
        <w:t xml:space="preserve"> by mass</w:t>
      </w:r>
      <w:r>
        <w:t xml:space="preserve">; and </w:t>
      </w:r>
    </w:p>
    <w:p w14:paraId="493C2EC1" w14:textId="77777777" w:rsidR="008D1AA7" w:rsidRDefault="008D1AA7" w:rsidP="008D1AA7">
      <w:pPr>
        <w:pStyle w:val="tPara"/>
      </w:pPr>
      <w:r>
        <w:tab/>
        <w:t>(b)</w:t>
      </w:r>
      <w:r>
        <w:tab/>
        <w:t>is produced as part of carrying on the lead bullion production activity at the facility; and</w:t>
      </w:r>
    </w:p>
    <w:p w14:paraId="493C2EC2" w14:textId="77777777" w:rsidR="008D1AA7" w:rsidRDefault="008D1AA7" w:rsidP="008D1AA7">
      <w:pPr>
        <w:pStyle w:val="tPara"/>
      </w:pPr>
      <w:r>
        <w:tab/>
        <w:t>(c)</w:t>
      </w:r>
      <w:r>
        <w:tab/>
        <w:t>is of saleable quality.</w:t>
      </w:r>
    </w:p>
    <w:p w14:paraId="493C2EC3" w14:textId="470315F8" w:rsidR="008D1AA7" w:rsidRDefault="008D1AA7" w:rsidP="008D1AA7">
      <w:pPr>
        <w:pStyle w:val="tMain"/>
      </w:pPr>
      <w:r w:rsidRPr="00DD2453">
        <w:tab/>
      </w:r>
      <w:r>
        <w:t>(2)</w:t>
      </w:r>
      <w:r w:rsidRPr="00DD2453">
        <w:tab/>
      </w:r>
      <w:r w:rsidRPr="008D1AA7">
        <w:t xml:space="preserve">The metric in subsection (1) is applicable to a facility that conducts the activity of producing lead bullion through the chemical transformation of concentrated </w:t>
      </w:r>
      <w:r w:rsidR="00CF2D41" w:rsidRPr="008D1AA7">
        <w:t>minerali</w:t>
      </w:r>
      <w:r w:rsidR="00CF2D41">
        <w:t>s</w:t>
      </w:r>
      <w:r w:rsidR="00CF2D41" w:rsidRPr="008D1AA7">
        <w:t xml:space="preserve">ed </w:t>
      </w:r>
      <w:r w:rsidRPr="008D1AA7">
        <w:t>lead compounds</w:t>
      </w:r>
      <w:r w:rsidR="003B6D48">
        <w:t>,</w:t>
      </w:r>
      <w:r w:rsidRPr="008D1AA7">
        <w:t xml:space="preserve"> with or without additional lead bearing secondary materials</w:t>
      </w:r>
      <w:r w:rsidR="003B6D48">
        <w:t>, into lead bullion</w:t>
      </w:r>
      <w:r w:rsidRPr="008D1AA7">
        <w:t xml:space="preserve"> (the</w:t>
      </w:r>
      <w:r w:rsidRPr="008D1AA7">
        <w:rPr>
          <w:b/>
          <w:i/>
        </w:rPr>
        <w:t xml:space="preserve"> lead bullion production activity</w:t>
      </w:r>
      <w:r w:rsidRPr="008D1AA7">
        <w:t>).</w:t>
      </w:r>
    </w:p>
    <w:p w14:paraId="1249108B" w14:textId="77777777" w:rsidR="00093D64" w:rsidRPr="00023B7A" w:rsidRDefault="00093D64" w:rsidP="00093D64">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EC5" w14:textId="2A5C9834" w:rsidR="008D1AA7" w:rsidRDefault="00ED35E8" w:rsidP="008D1AA7">
      <w:pPr>
        <w:pStyle w:val="h2Part"/>
      </w:pPr>
      <w:r>
        <w:rPr>
          <w:rStyle w:val="CharPartNo"/>
        </w:rPr>
        <w:t>Part 33</w:t>
      </w:r>
      <w:r w:rsidR="008D1AA7" w:rsidRPr="00DD2453">
        <w:rPr>
          <w:rStyle w:val="CharPartNo"/>
        </w:rPr>
        <w:t>—</w:t>
      </w:r>
      <w:r w:rsidR="008D1AA7">
        <w:rPr>
          <w:rStyle w:val="CharPartNo"/>
        </w:rPr>
        <w:t xml:space="preserve">Refined </w:t>
      </w:r>
      <w:r w:rsidR="008D1AA7">
        <w:rPr>
          <w:rStyle w:val="CharPartText"/>
        </w:rPr>
        <w:t>lead</w:t>
      </w:r>
    </w:p>
    <w:p w14:paraId="493C2EC6" w14:textId="07B109F6" w:rsidR="008D1AA7" w:rsidRPr="00DD2453" w:rsidRDefault="00ED35E8" w:rsidP="008D1AA7">
      <w:pPr>
        <w:pStyle w:val="h5Section"/>
      </w:pPr>
      <w:r>
        <w:t>69</w:t>
      </w:r>
      <w:r w:rsidR="008D1AA7" w:rsidRPr="00DD2453">
        <w:t xml:space="preserve">  </w:t>
      </w:r>
      <w:r w:rsidR="008D1AA7">
        <w:t>Refined lead</w:t>
      </w:r>
    </w:p>
    <w:p w14:paraId="493C2EC7" w14:textId="77777777" w:rsidR="008D1AA7" w:rsidRPr="00356912" w:rsidRDefault="008D1AA7" w:rsidP="008D1AA7">
      <w:pPr>
        <w:pStyle w:val="tMain"/>
      </w:pPr>
      <w:r w:rsidRPr="00DD2453">
        <w:tab/>
      </w:r>
      <w:r>
        <w:t>(1)</w:t>
      </w:r>
      <w:r w:rsidRPr="00DD2453">
        <w:tab/>
        <w:t xml:space="preserve">Tonnes of </w:t>
      </w:r>
      <w:r>
        <w:t xml:space="preserve">refined lead </w:t>
      </w:r>
      <w:r w:rsidRPr="00356912">
        <w:t>that:</w:t>
      </w:r>
    </w:p>
    <w:p w14:paraId="493C2EC8" w14:textId="77777777" w:rsidR="008D1AA7" w:rsidRDefault="008D1AA7" w:rsidP="008D1AA7">
      <w:pPr>
        <w:pStyle w:val="tPara"/>
      </w:pPr>
      <w:r w:rsidRPr="00356912">
        <w:tab/>
        <w:t>(a)</w:t>
      </w:r>
      <w:r w:rsidRPr="00356912">
        <w:tab/>
      </w:r>
      <w:r>
        <w:t>has a concentration of lead (</w:t>
      </w:r>
      <w:proofErr w:type="spellStart"/>
      <w:r>
        <w:t>pb</w:t>
      </w:r>
      <w:proofErr w:type="spellEnd"/>
      <w:r>
        <w:t>) equal to or greater than 99.97%</w:t>
      </w:r>
      <w:r w:rsidR="00141D94">
        <w:t xml:space="preserve"> by mass</w:t>
      </w:r>
      <w:r>
        <w:t xml:space="preserve">; and </w:t>
      </w:r>
    </w:p>
    <w:p w14:paraId="493C2EC9" w14:textId="77777777" w:rsidR="008D1AA7" w:rsidRDefault="008D1AA7" w:rsidP="008D1AA7">
      <w:pPr>
        <w:pStyle w:val="tPara"/>
      </w:pPr>
      <w:r>
        <w:tab/>
        <w:t>(b)</w:t>
      </w:r>
      <w:r>
        <w:tab/>
        <w:t>is produced as part of carrying on the refined lead production activity at the facility; and</w:t>
      </w:r>
    </w:p>
    <w:p w14:paraId="493C2ECA" w14:textId="77777777" w:rsidR="008D1AA7" w:rsidRDefault="008D1AA7" w:rsidP="008D1AA7">
      <w:pPr>
        <w:pStyle w:val="tPara"/>
      </w:pPr>
      <w:r>
        <w:tab/>
        <w:t>(c)</w:t>
      </w:r>
      <w:r>
        <w:tab/>
        <w:t>is of saleable quality.</w:t>
      </w:r>
    </w:p>
    <w:p w14:paraId="493C2ECB" w14:textId="5C6E9DBD" w:rsidR="008D1AA7" w:rsidRDefault="008D1AA7" w:rsidP="008D1AA7">
      <w:pPr>
        <w:pStyle w:val="tMain"/>
      </w:pPr>
      <w:r w:rsidRPr="00DD2453">
        <w:tab/>
      </w:r>
      <w:r>
        <w:t>(2)</w:t>
      </w:r>
      <w:r w:rsidRPr="00DD2453">
        <w:tab/>
      </w:r>
      <w:r w:rsidRPr="008D1AA7">
        <w:t xml:space="preserve">The metric in subsection (1) is applicable to a facility that conducts the activity of producing refined lead through the chemical transformation of concentrated </w:t>
      </w:r>
      <w:r w:rsidR="00CF2D41" w:rsidRPr="008D1AA7">
        <w:t>minerali</w:t>
      </w:r>
      <w:r w:rsidR="00CF2D41">
        <w:t>s</w:t>
      </w:r>
      <w:r w:rsidR="00CF2D41" w:rsidRPr="008D1AA7">
        <w:t xml:space="preserve">ed </w:t>
      </w:r>
      <w:r w:rsidRPr="008D1AA7">
        <w:t>lead compounds</w:t>
      </w:r>
      <w:r w:rsidR="003B6D48">
        <w:t>,</w:t>
      </w:r>
      <w:r w:rsidRPr="008D1AA7">
        <w:t xml:space="preserve"> with or without additional lead bearing secondary materials</w:t>
      </w:r>
      <w:r w:rsidR="003B6D48">
        <w:t>, into refined lead</w:t>
      </w:r>
      <w:r w:rsidRPr="008D1AA7">
        <w:t xml:space="preserve"> (the </w:t>
      </w:r>
      <w:r w:rsidRPr="008D1AA7">
        <w:rPr>
          <w:b/>
          <w:i/>
        </w:rPr>
        <w:t>refined lead production activity</w:t>
      </w:r>
      <w:r w:rsidRPr="008D1AA7">
        <w:t xml:space="preserve">).  </w:t>
      </w:r>
    </w:p>
    <w:p w14:paraId="493C2ECC" w14:textId="77777777" w:rsidR="008D1AA7" w:rsidRPr="008D1AA7" w:rsidRDefault="008D1AA7" w:rsidP="008D1AA7">
      <w:pPr>
        <w:pStyle w:val="nMain"/>
        <w:rPr>
          <w:snapToGrid w:val="0"/>
          <w:lang w:eastAsia="en-US"/>
        </w:rPr>
      </w:pPr>
      <w:r>
        <w:rPr>
          <w:snapToGrid w:val="0"/>
          <w:lang w:eastAsia="en-US"/>
        </w:rPr>
        <w:t>Note:</w:t>
      </w:r>
      <w:r>
        <w:rPr>
          <w:snapToGrid w:val="0"/>
          <w:lang w:eastAsia="en-US"/>
        </w:rPr>
        <w:tab/>
      </w:r>
      <w:r w:rsidRPr="008D1AA7">
        <w:rPr>
          <w:snapToGrid w:val="0"/>
          <w:lang w:eastAsia="en-US"/>
        </w:rPr>
        <w:t xml:space="preserve">The blasting and sintering processes used in the activity may also treat </w:t>
      </w:r>
      <w:r>
        <w:rPr>
          <w:snapToGrid w:val="0"/>
          <w:lang w:eastAsia="en-US"/>
        </w:rPr>
        <w:t xml:space="preserve">either or both of </w:t>
      </w:r>
      <w:r w:rsidRPr="008D1AA7">
        <w:rPr>
          <w:snapToGrid w:val="0"/>
          <w:lang w:eastAsia="en-US"/>
        </w:rPr>
        <w:t>concentrated m</w:t>
      </w:r>
      <w:r>
        <w:rPr>
          <w:snapToGrid w:val="0"/>
          <w:lang w:eastAsia="en-US"/>
        </w:rPr>
        <w:t>ineralised zinc compounds and</w:t>
      </w:r>
      <w:r w:rsidRPr="008D1AA7">
        <w:rPr>
          <w:snapToGrid w:val="0"/>
          <w:lang w:eastAsia="en-US"/>
        </w:rPr>
        <w:t xml:space="preserve"> zinc bearing secondary materials</w:t>
      </w:r>
      <w:r>
        <w:rPr>
          <w:snapToGrid w:val="0"/>
          <w:lang w:eastAsia="en-US"/>
        </w:rPr>
        <w:t>.</w:t>
      </w:r>
    </w:p>
    <w:p w14:paraId="493C2ECD" w14:textId="50C703CF" w:rsidR="008D1AA7" w:rsidRDefault="008D1AA7" w:rsidP="008D1AA7">
      <w:pPr>
        <w:pStyle w:val="tMain"/>
      </w:pPr>
      <w:r w:rsidRPr="00DD2453">
        <w:tab/>
      </w:r>
      <w:r>
        <w:t>(3)</w:t>
      </w:r>
      <w:r w:rsidRPr="00DD2453">
        <w:tab/>
        <w:t xml:space="preserve">The default emissions intensity is </w:t>
      </w:r>
      <w:r w:rsidR="00E917D5">
        <w:t>1.21</w:t>
      </w:r>
      <w:r w:rsidRPr="00DD2453">
        <w:t xml:space="preserve"> t CO</w:t>
      </w:r>
      <w:r w:rsidRPr="00DD2453">
        <w:rPr>
          <w:vertAlign w:val="subscript"/>
        </w:rPr>
        <w:t>2</w:t>
      </w:r>
      <w:r w:rsidRPr="00DD2453">
        <w:t xml:space="preserve">-e per tonne of </w:t>
      </w:r>
      <w:r w:rsidR="0033550A">
        <w:t>refined lead</w:t>
      </w:r>
      <w:r w:rsidRPr="00DD2453">
        <w:t xml:space="preserve">. </w:t>
      </w:r>
    </w:p>
    <w:p w14:paraId="493C2ECE" w14:textId="04FAD101" w:rsidR="0033550A" w:rsidRDefault="00ED35E8" w:rsidP="0033550A">
      <w:pPr>
        <w:pStyle w:val="h2Part"/>
      </w:pPr>
      <w:r>
        <w:rPr>
          <w:rStyle w:val="CharPartNo"/>
        </w:rPr>
        <w:t>Part 34</w:t>
      </w:r>
      <w:r w:rsidR="0033550A" w:rsidRPr="00DD2453">
        <w:rPr>
          <w:rStyle w:val="CharPartNo"/>
        </w:rPr>
        <w:t>—</w:t>
      </w:r>
      <w:r w:rsidR="0033550A">
        <w:rPr>
          <w:rStyle w:val="CharPartNo"/>
        </w:rPr>
        <w:t>Zin</w:t>
      </w:r>
      <w:r w:rsidR="00E917D5">
        <w:rPr>
          <w:rStyle w:val="CharPartNo"/>
        </w:rPr>
        <w:t>c</w:t>
      </w:r>
      <w:r w:rsidR="0033550A">
        <w:rPr>
          <w:rStyle w:val="CharPartNo"/>
        </w:rPr>
        <w:t xml:space="preserve"> in fume</w:t>
      </w:r>
    </w:p>
    <w:p w14:paraId="493C2ECF" w14:textId="4E0AFBEE" w:rsidR="0033550A" w:rsidRPr="00DD2453" w:rsidRDefault="00ED35E8" w:rsidP="0033550A">
      <w:pPr>
        <w:pStyle w:val="h5Section"/>
      </w:pPr>
      <w:r>
        <w:t>70</w:t>
      </w:r>
      <w:r w:rsidR="0033550A" w:rsidRPr="00DD2453">
        <w:t xml:space="preserve">  </w:t>
      </w:r>
      <w:r w:rsidR="0033550A">
        <w:t>Zin</w:t>
      </w:r>
      <w:r w:rsidR="00E917D5">
        <w:t>c</w:t>
      </w:r>
      <w:r w:rsidR="0033550A">
        <w:t xml:space="preserve"> in fume</w:t>
      </w:r>
    </w:p>
    <w:p w14:paraId="493C2ED0" w14:textId="1AFBA162" w:rsidR="0033550A" w:rsidRPr="00356912" w:rsidRDefault="0033550A" w:rsidP="0033550A">
      <w:pPr>
        <w:pStyle w:val="tMain"/>
      </w:pPr>
      <w:r w:rsidRPr="00DD2453">
        <w:tab/>
      </w:r>
      <w:r>
        <w:t>(1)</w:t>
      </w:r>
      <w:r w:rsidRPr="00DD2453">
        <w:tab/>
        <w:t xml:space="preserve">Tonnes of </w:t>
      </w:r>
      <w:r>
        <w:t>zin</w:t>
      </w:r>
      <w:r w:rsidR="00E917D5">
        <w:t>c</w:t>
      </w:r>
      <w:r>
        <w:t xml:space="preserve"> in fume </w:t>
      </w:r>
      <w:r w:rsidRPr="00356912">
        <w:t>that:</w:t>
      </w:r>
    </w:p>
    <w:p w14:paraId="493C2ED1" w14:textId="77777777" w:rsidR="0033550A" w:rsidRDefault="0033550A" w:rsidP="0033550A">
      <w:pPr>
        <w:pStyle w:val="tPara"/>
      </w:pPr>
      <w:r w:rsidRPr="00356912">
        <w:tab/>
        <w:t>(a)</w:t>
      </w:r>
      <w:r w:rsidRPr="00356912">
        <w:tab/>
      </w:r>
      <w:r>
        <w:t>has a concentration of zinc (Zn) equal to or greater than 60%</w:t>
      </w:r>
      <w:r w:rsidR="00141D94">
        <w:t xml:space="preserve"> by mass</w:t>
      </w:r>
      <w:r>
        <w:t xml:space="preserve">; and </w:t>
      </w:r>
    </w:p>
    <w:p w14:paraId="493C2ED2" w14:textId="426AF894" w:rsidR="0033550A" w:rsidRDefault="0033550A" w:rsidP="0033550A">
      <w:pPr>
        <w:pStyle w:val="tPara"/>
      </w:pPr>
      <w:r>
        <w:tab/>
        <w:t>(b)</w:t>
      </w:r>
      <w:r>
        <w:tab/>
        <w:t>is produced as part of carrying on the zin</w:t>
      </w:r>
      <w:r w:rsidR="00E917D5">
        <w:t>c</w:t>
      </w:r>
      <w:r>
        <w:t xml:space="preserve"> in fume production activity at the facility; and</w:t>
      </w:r>
    </w:p>
    <w:p w14:paraId="493C2ED3" w14:textId="77777777" w:rsidR="0033550A" w:rsidRDefault="0033550A" w:rsidP="0033550A">
      <w:pPr>
        <w:pStyle w:val="tPara"/>
      </w:pPr>
      <w:r>
        <w:tab/>
        <w:t>(c)</w:t>
      </w:r>
      <w:r>
        <w:tab/>
        <w:t>is of saleable quality.</w:t>
      </w:r>
    </w:p>
    <w:p w14:paraId="493C2ED4" w14:textId="77777777" w:rsidR="0033550A" w:rsidRDefault="0033550A" w:rsidP="0033550A">
      <w:pPr>
        <w:pStyle w:val="tMain"/>
      </w:pPr>
      <w:r w:rsidRPr="00DD2453">
        <w:tab/>
      </w:r>
      <w:r>
        <w:t>(2)</w:t>
      </w:r>
      <w:r w:rsidRPr="00DD2453">
        <w:tab/>
      </w:r>
      <w:r w:rsidRPr="0033550A">
        <w:t xml:space="preserve">The metric in subsection (1) is applicable to a facility that conducts the activity of producing zinc in fume through the </w:t>
      </w:r>
      <w:r>
        <w:t xml:space="preserve">chemical transformation </w:t>
      </w:r>
      <w:r w:rsidR="003B6D48" w:rsidRPr="0033550A">
        <w:t xml:space="preserve">in a slag </w:t>
      </w:r>
      <w:proofErr w:type="spellStart"/>
      <w:r w:rsidR="003B6D48" w:rsidRPr="0033550A">
        <w:t>fumer</w:t>
      </w:r>
      <w:proofErr w:type="spellEnd"/>
      <w:r w:rsidR="003B6D48" w:rsidRPr="0033550A">
        <w:t xml:space="preserve"> </w:t>
      </w:r>
      <w:r>
        <w:t>of zinc-</w:t>
      </w:r>
      <w:r w:rsidRPr="0033550A">
        <w:t>containing residues and wastes</w:t>
      </w:r>
      <w:r w:rsidR="003B6D48">
        <w:t xml:space="preserve"> to produce zinc in fume</w:t>
      </w:r>
      <w:r w:rsidRPr="0033550A">
        <w:t xml:space="preserve"> (the </w:t>
      </w:r>
      <w:r w:rsidRPr="0033550A">
        <w:rPr>
          <w:b/>
          <w:i/>
        </w:rPr>
        <w:t>zinc in fume production activity</w:t>
      </w:r>
      <w:r w:rsidRPr="0033550A">
        <w:t>).</w:t>
      </w:r>
    </w:p>
    <w:p w14:paraId="493C2ED5" w14:textId="1564C7F1" w:rsidR="008D1AA7" w:rsidRDefault="0033550A" w:rsidP="0091774C">
      <w:pPr>
        <w:pStyle w:val="tMain"/>
      </w:pPr>
      <w:r w:rsidRPr="00DD2453">
        <w:tab/>
      </w:r>
      <w:r>
        <w:t>(3)</w:t>
      </w:r>
      <w:r w:rsidRPr="00DD2453">
        <w:tab/>
        <w:t xml:space="preserve">The default emissions intensity is </w:t>
      </w:r>
      <w:r w:rsidR="00E917D5">
        <w:t>3.34</w:t>
      </w:r>
      <w:r w:rsidR="00E917D5" w:rsidRPr="00DD2453">
        <w:t xml:space="preserve"> </w:t>
      </w:r>
      <w:r w:rsidRPr="00DD2453">
        <w:t>t CO</w:t>
      </w:r>
      <w:r w:rsidRPr="00DD2453">
        <w:rPr>
          <w:vertAlign w:val="subscript"/>
        </w:rPr>
        <w:t>2</w:t>
      </w:r>
      <w:r w:rsidRPr="00DD2453">
        <w:t xml:space="preserve">-e per tonne of </w:t>
      </w:r>
      <w:r>
        <w:t>zin</w:t>
      </w:r>
      <w:r w:rsidR="00E917D5">
        <w:t>c</w:t>
      </w:r>
      <w:r>
        <w:t xml:space="preserve"> in fume</w:t>
      </w:r>
      <w:r w:rsidRPr="00DD2453">
        <w:t xml:space="preserve">. </w:t>
      </w:r>
    </w:p>
    <w:p w14:paraId="493C2ED6" w14:textId="5985AC15" w:rsidR="00D84FBC" w:rsidRDefault="00D84FBC" w:rsidP="00D84FBC">
      <w:pPr>
        <w:pStyle w:val="h2Part"/>
      </w:pPr>
      <w:r>
        <w:rPr>
          <w:rStyle w:val="CharPartNo"/>
        </w:rPr>
        <w:t>Part 3</w:t>
      </w:r>
      <w:r w:rsidR="00ED35E8">
        <w:rPr>
          <w:rStyle w:val="CharPartNo"/>
        </w:rPr>
        <w:t>5</w:t>
      </w:r>
      <w:r w:rsidRPr="00DD2453">
        <w:rPr>
          <w:rStyle w:val="CharPartNo"/>
        </w:rPr>
        <w:t>—</w:t>
      </w:r>
      <w:r>
        <w:rPr>
          <w:szCs w:val="22"/>
        </w:rPr>
        <w:t>C</w:t>
      </w:r>
      <w:r w:rsidRPr="00F84B60">
        <w:rPr>
          <w:szCs w:val="22"/>
        </w:rPr>
        <w:t>austic calcined magnesia</w:t>
      </w:r>
    </w:p>
    <w:p w14:paraId="493C2ED7" w14:textId="58608A12" w:rsidR="00D84FBC" w:rsidRPr="00DD2453" w:rsidRDefault="00D84FBC" w:rsidP="00D84FBC">
      <w:pPr>
        <w:pStyle w:val="h5Section"/>
      </w:pPr>
      <w:r>
        <w:t>7</w:t>
      </w:r>
      <w:r w:rsidR="00ED35E8">
        <w:t>1</w:t>
      </w:r>
      <w:r w:rsidRPr="00DD2453">
        <w:t xml:space="preserve">  </w:t>
      </w:r>
      <w:r>
        <w:rPr>
          <w:szCs w:val="22"/>
        </w:rPr>
        <w:t>C</w:t>
      </w:r>
      <w:r w:rsidRPr="00F84B60">
        <w:rPr>
          <w:szCs w:val="22"/>
        </w:rPr>
        <w:t>austic calcined magnesia</w:t>
      </w:r>
    </w:p>
    <w:p w14:paraId="493C2ED8" w14:textId="77777777" w:rsidR="00D84FBC" w:rsidRPr="00356912" w:rsidRDefault="00D84FBC" w:rsidP="00D84FBC">
      <w:pPr>
        <w:pStyle w:val="tMain"/>
      </w:pPr>
      <w:r w:rsidRPr="00DD2453">
        <w:tab/>
      </w:r>
      <w:r>
        <w:t>(1)</w:t>
      </w:r>
      <w:r w:rsidRPr="00DD2453">
        <w:tab/>
        <w:t xml:space="preserve">Tonnes of </w:t>
      </w:r>
      <w:r w:rsidRPr="00F84B60">
        <w:rPr>
          <w:szCs w:val="22"/>
        </w:rPr>
        <w:t xml:space="preserve">caustic calcined magnesia </w:t>
      </w:r>
      <w:r w:rsidRPr="00356912">
        <w:t>that:</w:t>
      </w:r>
    </w:p>
    <w:p w14:paraId="493C2ED9" w14:textId="77777777" w:rsidR="00D84FBC" w:rsidRDefault="00D84FBC" w:rsidP="00D84FBC">
      <w:pPr>
        <w:pStyle w:val="tPara"/>
      </w:pPr>
      <w:r w:rsidRPr="00356912">
        <w:tab/>
        <w:t>(a)</w:t>
      </w:r>
      <w:r w:rsidRPr="00356912">
        <w:tab/>
      </w:r>
      <w:r>
        <w:t>has a minimum magnesium oxide (</w:t>
      </w:r>
      <w:proofErr w:type="spellStart"/>
      <w:r>
        <w:t>MgO</w:t>
      </w:r>
      <w:proofErr w:type="spellEnd"/>
      <w:r>
        <w:t>) content of 75% by mass; and</w:t>
      </w:r>
    </w:p>
    <w:p w14:paraId="493C2EDA" w14:textId="77777777" w:rsidR="00D84FBC" w:rsidRDefault="00D84FBC" w:rsidP="00D84FBC">
      <w:pPr>
        <w:pStyle w:val="tPara"/>
      </w:pPr>
      <w:r>
        <w:tab/>
        <w:t>(b)</w:t>
      </w:r>
      <w:r>
        <w:tab/>
        <w:t>is burne</w:t>
      </w:r>
      <w:r w:rsidR="00425E7D">
        <w:t>d between 650°C and 1200°C;</w:t>
      </w:r>
      <w:r>
        <w:t xml:space="preserve"> and </w:t>
      </w:r>
    </w:p>
    <w:p w14:paraId="493C2EDB" w14:textId="1AD9B926" w:rsidR="00D84FBC" w:rsidRDefault="00D84FBC" w:rsidP="00D84FBC">
      <w:pPr>
        <w:pStyle w:val="tPara"/>
      </w:pPr>
      <w:r>
        <w:tab/>
        <w:t>(c)</w:t>
      </w:r>
      <w:r>
        <w:tab/>
        <w:t xml:space="preserve">is produced as part of carrying on the </w:t>
      </w:r>
      <w:r w:rsidRPr="00F84B60">
        <w:rPr>
          <w:szCs w:val="22"/>
        </w:rPr>
        <w:t xml:space="preserve">magnesia </w:t>
      </w:r>
      <w:r>
        <w:t>production activity at the facility; and</w:t>
      </w:r>
    </w:p>
    <w:p w14:paraId="493C2EDC" w14:textId="77777777" w:rsidR="00425E7D" w:rsidRDefault="00D84FBC" w:rsidP="00425E7D">
      <w:pPr>
        <w:pStyle w:val="tPara"/>
      </w:pPr>
      <w:r>
        <w:tab/>
        <w:t>(d)</w:t>
      </w:r>
      <w:r>
        <w:tab/>
        <w:t>is of saleable quality.</w:t>
      </w:r>
    </w:p>
    <w:p w14:paraId="493C2EDD" w14:textId="77777777" w:rsidR="00425E7D" w:rsidRPr="00425E7D" w:rsidRDefault="00425E7D" w:rsidP="00425E7D">
      <w:pPr>
        <w:pStyle w:val="nMain"/>
        <w:rPr>
          <w:snapToGrid w:val="0"/>
          <w:lang w:eastAsia="en-US"/>
        </w:rPr>
      </w:pPr>
      <w:r>
        <w:rPr>
          <w:snapToGrid w:val="0"/>
          <w:lang w:eastAsia="en-US"/>
        </w:rPr>
        <w:t>Note:</w:t>
      </w:r>
      <w:r>
        <w:rPr>
          <w:snapToGrid w:val="0"/>
          <w:lang w:eastAsia="en-US"/>
        </w:rPr>
        <w:tab/>
        <w:t>Due to the definition of saleable quality,</w:t>
      </w:r>
      <w:r w:rsidRPr="00425E7D">
        <w:rPr>
          <w:snapToGrid w:val="0"/>
          <w:lang w:eastAsia="en-US"/>
        </w:rPr>
        <w:t xml:space="preserve"> inputs </w:t>
      </w:r>
      <w:r>
        <w:rPr>
          <w:snapToGrid w:val="0"/>
          <w:lang w:eastAsia="en-US"/>
        </w:rPr>
        <w:t xml:space="preserve">that </w:t>
      </w:r>
      <w:r w:rsidRPr="00425E7D">
        <w:rPr>
          <w:snapToGrid w:val="0"/>
          <w:lang w:eastAsia="en-US"/>
        </w:rPr>
        <w:t>are transformed into saleable magnesia which is then re-calcined</w:t>
      </w:r>
      <w:r>
        <w:rPr>
          <w:snapToGrid w:val="0"/>
          <w:lang w:eastAsia="en-US"/>
        </w:rPr>
        <w:t xml:space="preserve"> are only</w:t>
      </w:r>
      <w:r w:rsidRPr="00425E7D">
        <w:rPr>
          <w:snapToGrid w:val="0"/>
          <w:lang w:eastAsia="en-US"/>
        </w:rPr>
        <w:t xml:space="preserve"> </w:t>
      </w:r>
      <w:r>
        <w:rPr>
          <w:snapToGrid w:val="0"/>
          <w:lang w:eastAsia="en-US"/>
        </w:rPr>
        <w:t>counted once.</w:t>
      </w:r>
    </w:p>
    <w:p w14:paraId="493C2EDE" w14:textId="77777777" w:rsidR="00D84FBC" w:rsidRDefault="00D84FBC" w:rsidP="00D84FBC">
      <w:pPr>
        <w:pStyle w:val="tMain"/>
      </w:pPr>
      <w:r w:rsidRPr="00DD2453">
        <w:tab/>
      </w:r>
      <w:r>
        <w:t>(2)</w:t>
      </w:r>
      <w:r w:rsidRPr="00DD2453">
        <w:tab/>
      </w:r>
      <w:r w:rsidR="00425E7D" w:rsidRPr="00425E7D">
        <w:t>The metric in subsection (1) is applicable to a facility that conducts the activity of producing caustic calcined magnesia through the physical and chemical transformation of magnesite (magnesium carbonate (MgCO</w:t>
      </w:r>
      <w:r w:rsidR="00425E7D" w:rsidRPr="00425E7D">
        <w:rPr>
          <w:vertAlign w:val="subscript"/>
        </w:rPr>
        <w:t>3</w:t>
      </w:r>
      <w:r w:rsidR="00425E7D" w:rsidRPr="00425E7D">
        <w:t>)) in a furnace</w:t>
      </w:r>
      <w:r w:rsidR="00425E7D">
        <w:t xml:space="preserve"> into caustic calcined magnesia </w:t>
      </w:r>
      <w:r w:rsidR="00425E7D" w:rsidRPr="00425E7D">
        <w:t xml:space="preserve">(the </w:t>
      </w:r>
      <w:r w:rsidR="00425E7D" w:rsidRPr="00425E7D">
        <w:rPr>
          <w:b/>
          <w:i/>
        </w:rPr>
        <w:t>magnesia production activity</w:t>
      </w:r>
      <w:r w:rsidR="00425E7D" w:rsidRPr="00425E7D">
        <w:t xml:space="preserve">). </w:t>
      </w:r>
    </w:p>
    <w:p w14:paraId="493C2EDF" w14:textId="4FA2B787" w:rsidR="00425E7D" w:rsidRDefault="00044C87" w:rsidP="00044C87">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00425E7D" w:rsidRPr="00044C87">
        <w:rPr>
          <w:rFonts w:eastAsia="Calibri" w:cs="Arial"/>
          <w:iCs/>
          <w:sz w:val="20"/>
          <w:szCs w:val="22"/>
          <w:lang w:eastAsia="en-US"/>
        </w:rPr>
        <w:t>Note:</w:t>
      </w:r>
      <w:r w:rsidR="00425E7D" w:rsidRPr="00044C87">
        <w:rPr>
          <w:rFonts w:eastAsia="Calibri" w:cs="Arial"/>
          <w:iCs/>
          <w:sz w:val="20"/>
          <w:szCs w:val="22"/>
          <w:lang w:eastAsia="en-US"/>
        </w:rPr>
        <w:tab/>
        <w:t xml:space="preserve">Caustic calcined magnesia may also be transformed into </w:t>
      </w:r>
      <w:proofErr w:type="spellStart"/>
      <w:r w:rsidR="00425E7D" w:rsidRPr="00044C87">
        <w:rPr>
          <w:rFonts w:eastAsia="Calibri" w:cs="Arial"/>
          <w:iCs/>
          <w:sz w:val="20"/>
          <w:szCs w:val="22"/>
          <w:lang w:eastAsia="en-US"/>
        </w:rPr>
        <w:t>deadburned</w:t>
      </w:r>
      <w:proofErr w:type="spellEnd"/>
      <w:r w:rsidR="00425E7D" w:rsidRPr="00044C87">
        <w:rPr>
          <w:rFonts w:eastAsia="Calibri" w:cs="Arial"/>
          <w:iCs/>
          <w:sz w:val="20"/>
          <w:szCs w:val="22"/>
          <w:lang w:eastAsia="en-US"/>
        </w:rPr>
        <w:t xml:space="preserve"> magnesia and </w:t>
      </w:r>
      <w:proofErr w:type="spellStart"/>
      <w:r w:rsidR="00425E7D" w:rsidRPr="00044C87">
        <w:rPr>
          <w:rFonts w:eastAsia="Calibri" w:cs="Arial"/>
          <w:iCs/>
          <w:sz w:val="20"/>
          <w:szCs w:val="22"/>
          <w:lang w:eastAsia="en-US"/>
        </w:rPr>
        <w:t>electrofused</w:t>
      </w:r>
      <w:proofErr w:type="spellEnd"/>
      <w:r w:rsidR="00425E7D" w:rsidRPr="00044C87">
        <w:rPr>
          <w:rFonts w:eastAsia="Calibri" w:cs="Arial"/>
          <w:iCs/>
          <w:sz w:val="20"/>
          <w:szCs w:val="22"/>
          <w:lang w:eastAsia="en-US"/>
        </w:rPr>
        <w:t xml:space="preserve"> magnesia at the facility</w:t>
      </w:r>
      <w:r w:rsidR="00C8007F" w:rsidRPr="00044C87">
        <w:rPr>
          <w:rFonts w:eastAsia="Calibri" w:cs="Arial"/>
          <w:iCs/>
          <w:sz w:val="20"/>
          <w:szCs w:val="22"/>
          <w:lang w:eastAsia="en-US"/>
        </w:rPr>
        <w:t>, which involves burning or fusing at higher temperatures than in paragraph (1)(b)</w:t>
      </w:r>
      <w:r w:rsidR="00425E7D" w:rsidRPr="00044C87">
        <w:rPr>
          <w:rFonts w:eastAsia="Calibri" w:cs="Arial"/>
          <w:iCs/>
          <w:sz w:val="20"/>
          <w:szCs w:val="22"/>
          <w:lang w:eastAsia="en-US"/>
        </w:rPr>
        <w:t>.</w:t>
      </w:r>
    </w:p>
    <w:p w14:paraId="6A5B3AA3" w14:textId="54B68934" w:rsidR="002E297B" w:rsidRDefault="002E297B" w:rsidP="002E297B">
      <w:pPr>
        <w:pStyle w:val="tMain"/>
      </w:pPr>
      <w:r w:rsidRPr="00DD2453">
        <w:tab/>
      </w:r>
      <w:r>
        <w:t>(3)</w:t>
      </w:r>
      <w:r w:rsidRPr="00DD2453">
        <w:tab/>
        <w:t xml:space="preserve">The default emissions intensity is </w:t>
      </w:r>
      <w:r>
        <w:t xml:space="preserve">1.51 </w:t>
      </w:r>
      <w:r w:rsidRPr="00DD2453">
        <w:t>t CO</w:t>
      </w:r>
      <w:r w:rsidRPr="00DD2453">
        <w:rPr>
          <w:vertAlign w:val="subscript"/>
        </w:rPr>
        <w:t>2</w:t>
      </w:r>
      <w:r w:rsidRPr="00DD2453">
        <w:t xml:space="preserve">-e per tonne of </w:t>
      </w:r>
      <w:r>
        <w:t>caustic calcined magnesia</w:t>
      </w:r>
      <w:r w:rsidRPr="00DD2453">
        <w:t xml:space="preserve">. </w:t>
      </w:r>
    </w:p>
    <w:p w14:paraId="493C2EE1" w14:textId="1CE0E5F8" w:rsidR="00D24541" w:rsidRDefault="00ED35E8" w:rsidP="00D24541">
      <w:pPr>
        <w:pStyle w:val="h2Part"/>
      </w:pPr>
      <w:r>
        <w:rPr>
          <w:rStyle w:val="CharPartNo"/>
        </w:rPr>
        <w:t>Part 36</w:t>
      </w:r>
      <w:r w:rsidR="00D24541" w:rsidRPr="00DD2453">
        <w:rPr>
          <w:rStyle w:val="CharPartNo"/>
        </w:rPr>
        <w:t>—</w:t>
      </w:r>
      <w:r w:rsidR="00D24541">
        <w:rPr>
          <w:szCs w:val="22"/>
        </w:rPr>
        <w:t>Copper anode</w:t>
      </w:r>
    </w:p>
    <w:p w14:paraId="493C2EE2" w14:textId="618A6AA1" w:rsidR="00D24541" w:rsidRPr="00DD2453" w:rsidRDefault="00ED35E8" w:rsidP="00D24541">
      <w:pPr>
        <w:pStyle w:val="h5Section"/>
      </w:pPr>
      <w:r>
        <w:t>72</w:t>
      </w:r>
      <w:r w:rsidR="00D24541" w:rsidRPr="00DD2453">
        <w:t xml:space="preserve">  </w:t>
      </w:r>
      <w:r w:rsidR="00D24541">
        <w:rPr>
          <w:szCs w:val="22"/>
        </w:rPr>
        <w:t>Copper anode</w:t>
      </w:r>
    </w:p>
    <w:p w14:paraId="493C2EE3" w14:textId="77777777" w:rsidR="00D24541" w:rsidRPr="00356912" w:rsidRDefault="00D24541" w:rsidP="00D24541">
      <w:pPr>
        <w:pStyle w:val="tMain"/>
      </w:pPr>
      <w:r w:rsidRPr="00DD2453">
        <w:tab/>
      </w:r>
      <w:r>
        <w:t>(1)</w:t>
      </w:r>
      <w:r w:rsidRPr="00DD2453">
        <w:tab/>
        <w:t xml:space="preserve">Tonnes of </w:t>
      </w:r>
      <w:r>
        <w:rPr>
          <w:szCs w:val="22"/>
        </w:rPr>
        <w:t>copper anode</w:t>
      </w:r>
      <w:r w:rsidRPr="00F84B60">
        <w:rPr>
          <w:szCs w:val="22"/>
        </w:rPr>
        <w:t xml:space="preserve"> </w:t>
      </w:r>
      <w:r w:rsidRPr="00356912">
        <w:t>that:</w:t>
      </w:r>
    </w:p>
    <w:p w14:paraId="493C2EE4" w14:textId="77777777" w:rsidR="00D24541" w:rsidRDefault="00D24541" w:rsidP="00D24541">
      <w:pPr>
        <w:pStyle w:val="tPara"/>
      </w:pPr>
      <w:r w:rsidRPr="00356912">
        <w:tab/>
        <w:t>(a)</w:t>
      </w:r>
      <w:r w:rsidRPr="00356912">
        <w:tab/>
      </w:r>
      <w:r>
        <w:t xml:space="preserve">has a concentration </w:t>
      </w:r>
      <w:r w:rsidR="0014047A">
        <w:t xml:space="preserve">of copper (Cu) </w:t>
      </w:r>
      <w:r>
        <w:t>between 99</w:t>
      </w:r>
      <w:r w:rsidR="000421F4">
        <w:t>%</w:t>
      </w:r>
      <w:r>
        <w:t xml:space="preserve"> and 99.9%</w:t>
      </w:r>
      <w:r w:rsidR="00141D94">
        <w:t xml:space="preserve"> by mass</w:t>
      </w:r>
      <w:r>
        <w:t>; and</w:t>
      </w:r>
    </w:p>
    <w:p w14:paraId="493C2EE5" w14:textId="77777777" w:rsidR="00D24541" w:rsidRDefault="00D24541" w:rsidP="00D24541">
      <w:pPr>
        <w:pStyle w:val="tPara"/>
      </w:pPr>
      <w:r>
        <w:tab/>
        <w:t>(b)</w:t>
      </w:r>
      <w:r>
        <w:tab/>
        <w:t>is produced as part of carrying on the copper anode production activity at the facility; and</w:t>
      </w:r>
    </w:p>
    <w:p w14:paraId="493C2EE6" w14:textId="77777777" w:rsidR="00D24541" w:rsidRDefault="00D24541" w:rsidP="00D24541">
      <w:pPr>
        <w:pStyle w:val="tPara"/>
      </w:pPr>
      <w:r>
        <w:tab/>
        <w:t>(c)</w:t>
      </w:r>
      <w:r>
        <w:tab/>
        <w:t>is of saleable quality.</w:t>
      </w:r>
    </w:p>
    <w:p w14:paraId="493C2EE7" w14:textId="77777777" w:rsidR="00D24541" w:rsidRDefault="00D24541" w:rsidP="00D24541">
      <w:pPr>
        <w:pStyle w:val="tMain"/>
      </w:pPr>
      <w:r w:rsidRPr="00DD2453">
        <w:tab/>
      </w:r>
      <w:r>
        <w:t>(2)</w:t>
      </w:r>
      <w:r w:rsidRPr="00DD2453">
        <w:tab/>
      </w:r>
      <w:r w:rsidRPr="00D24541">
        <w:t>The metric in subsection (1) is applicable to a facility that conducts the activity of producing copper anode through the physical and chemical transformation of copper sulphide concentrates in a smelter</w:t>
      </w:r>
      <w:r>
        <w:t xml:space="preserve"> to produce copper anodes</w:t>
      </w:r>
      <w:r w:rsidRPr="00D24541">
        <w:t xml:space="preserve"> (the </w:t>
      </w:r>
      <w:r w:rsidRPr="0091774C">
        <w:rPr>
          <w:b/>
          <w:i/>
        </w:rPr>
        <w:t>copper anode production activity</w:t>
      </w:r>
      <w:r w:rsidRPr="00D24541">
        <w:t xml:space="preserve">). </w:t>
      </w:r>
    </w:p>
    <w:p w14:paraId="493C2EE8" w14:textId="510B4BEC" w:rsidR="00D24541" w:rsidRPr="00487CB7" w:rsidRDefault="00487CB7" w:rsidP="00487CB7">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00D24541" w:rsidRPr="00487CB7">
        <w:rPr>
          <w:rFonts w:eastAsia="Calibri" w:cs="Arial"/>
          <w:iCs/>
          <w:sz w:val="20"/>
          <w:szCs w:val="22"/>
          <w:lang w:eastAsia="en-US"/>
        </w:rPr>
        <w:t>Note:</w:t>
      </w:r>
      <w:r w:rsidR="00D24541" w:rsidRPr="00487CB7">
        <w:rPr>
          <w:rFonts w:eastAsia="Calibri" w:cs="Arial"/>
          <w:iCs/>
          <w:sz w:val="20"/>
          <w:szCs w:val="22"/>
          <w:lang w:eastAsia="en-US"/>
        </w:rPr>
        <w:tab/>
        <w:t>Copper anode is often an input into the production of copper cathode at the same facility.</w:t>
      </w:r>
    </w:p>
    <w:p w14:paraId="493C2EE9" w14:textId="3DB064B0" w:rsidR="00D24541" w:rsidRDefault="00D24541" w:rsidP="00D24541">
      <w:pPr>
        <w:pStyle w:val="tMain"/>
      </w:pPr>
      <w:r w:rsidRPr="00DD2453">
        <w:tab/>
      </w:r>
      <w:r>
        <w:t>(3)</w:t>
      </w:r>
      <w:r w:rsidRPr="00DD2453">
        <w:tab/>
        <w:t xml:space="preserve">The default emissions intensity is </w:t>
      </w:r>
      <w:r w:rsidR="00E917D5">
        <w:t>0.677</w:t>
      </w:r>
      <w:r w:rsidRPr="00DD2453">
        <w:t xml:space="preserve"> t CO</w:t>
      </w:r>
      <w:r w:rsidRPr="00DD2453">
        <w:rPr>
          <w:vertAlign w:val="subscript"/>
        </w:rPr>
        <w:t>2</w:t>
      </w:r>
      <w:r w:rsidRPr="00DD2453">
        <w:t xml:space="preserve">-e per tonne of </w:t>
      </w:r>
      <w:r>
        <w:t>copper anode</w:t>
      </w:r>
      <w:r w:rsidRPr="00DD2453">
        <w:t xml:space="preserve">. </w:t>
      </w:r>
    </w:p>
    <w:p w14:paraId="493C2EEA" w14:textId="73F7C59B" w:rsidR="00A2263A" w:rsidRDefault="00ED35E8" w:rsidP="00A2263A">
      <w:pPr>
        <w:pStyle w:val="h2Part"/>
      </w:pPr>
      <w:r>
        <w:rPr>
          <w:rStyle w:val="CharPartNo"/>
        </w:rPr>
        <w:t>Part 37</w:t>
      </w:r>
      <w:r w:rsidR="00A2263A" w:rsidRPr="00DD2453">
        <w:rPr>
          <w:rStyle w:val="CharPartNo"/>
        </w:rPr>
        <w:t>—</w:t>
      </w:r>
      <w:r w:rsidR="00A2263A">
        <w:rPr>
          <w:szCs w:val="22"/>
        </w:rPr>
        <w:t>Manganese sinter</w:t>
      </w:r>
    </w:p>
    <w:p w14:paraId="493C2EEB" w14:textId="51AD2783" w:rsidR="00A2263A" w:rsidRPr="00DD2453" w:rsidRDefault="00ED35E8" w:rsidP="00A2263A">
      <w:pPr>
        <w:pStyle w:val="h5Section"/>
      </w:pPr>
      <w:r>
        <w:t>73</w:t>
      </w:r>
      <w:r w:rsidR="00A2263A" w:rsidRPr="00DD2453">
        <w:t xml:space="preserve">  </w:t>
      </w:r>
      <w:r w:rsidR="00A2263A">
        <w:rPr>
          <w:szCs w:val="22"/>
        </w:rPr>
        <w:t>Manganese sinter</w:t>
      </w:r>
    </w:p>
    <w:p w14:paraId="493C2EEC" w14:textId="77777777" w:rsidR="00A2263A" w:rsidRPr="00356912" w:rsidRDefault="00A2263A" w:rsidP="00A2263A">
      <w:pPr>
        <w:pStyle w:val="tMain"/>
      </w:pPr>
      <w:r w:rsidRPr="00DD2453">
        <w:tab/>
      </w:r>
      <w:r>
        <w:t>(1)</w:t>
      </w:r>
      <w:r w:rsidRPr="00DD2453">
        <w:tab/>
        <w:t xml:space="preserve">Tonnes of </w:t>
      </w:r>
      <w:r>
        <w:rPr>
          <w:szCs w:val="22"/>
        </w:rPr>
        <w:t>manganese sinter</w:t>
      </w:r>
      <w:r w:rsidRPr="00F84B60">
        <w:rPr>
          <w:szCs w:val="22"/>
        </w:rPr>
        <w:t xml:space="preserve"> </w:t>
      </w:r>
      <w:r w:rsidRPr="00356912">
        <w:t>that:</w:t>
      </w:r>
    </w:p>
    <w:p w14:paraId="493C2EED" w14:textId="77777777" w:rsidR="00A2263A" w:rsidRDefault="00A2263A" w:rsidP="00A2263A">
      <w:pPr>
        <w:pStyle w:val="tPara"/>
      </w:pPr>
      <w:r w:rsidRPr="00356912">
        <w:tab/>
        <w:t>(a)</w:t>
      </w:r>
      <w:r w:rsidRPr="00356912">
        <w:tab/>
      </w:r>
      <w:r>
        <w:t xml:space="preserve">has a minimum concentration </w:t>
      </w:r>
      <w:r w:rsidR="0014047A">
        <w:t>of manganese (</w:t>
      </w:r>
      <w:proofErr w:type="spellStart"/>
      <w:r w:rsidR="0014047A">
        <w:t>Mn</w:t>
      </w:r>
      <w:proofErr w:type="spellEnd"/>
      <w:r w:rsidR="0014047A">
        <w:t>) of 40% by mass</w:t>
      </w:r>
      <w:r w:rsidR="0091774C">
        <w:t>;</w:t>
      </w:r>
      <w:r>
        <w:t xml:space="preserve"> and</w:t>
      </w:r>
    </w:p>
    <w:p w14:paraId="493C2EEE" w14:textId="77777777" w:rsidR="00A2263A" w:rsidRDefault="00A2263A" w:rsidP="00A2263A">
      <w:pPr>
        <w:pStyle w:val="tPara"/>
      </w:pPr>
      <w:r>
        <w:tab/>
        <w:t>(b)</w:t>
      </w:r>
      <w:r>
        <w:tab/>
        <w:t xml:space="preserve">is produced as part of carrying on the </w:t>
      </w:r>
      <w:r w:rsidR="0014047A">
        <w:t>manganese sinter</w:t>
      </w:r>
      <w:r>
        <w:t xml:space="preserve"> production activity at the facility; and</w:t>
      </w:r>
    </w:p>
    <w:p w14:paraId="493C2EEF" w14:textId="77777777" w:rsidR="00A2263A" w:rsidRDefault="00A2263A" w:rsidP="00A2263A">
      <w:pPr>
        <w:pStyle w:val="tPara"/>
      </w:pPr>
      <w:r>
        <w:tab/>
        <w:t>(c)</w:t>
      </w:r>
      <w:r>
        <w:tab/>
        <w:t>is of saleable quality.</w:t>
      </w:r>
    </w:p>
    <w:p w14:paraId="493C2EF0" w14:textId="77777777" w:rsidR="00A2263A" w:rsidRDefault="00A2263A" w:rsidP="00A2263A">
      <w:pPr>
        <w:pStyle w:val="tMain"/>
      </w:pPr>
      <w:r w:rsidRPr="00DD2453">
        <w:tab/>
      </w:r>
      <w:r>
        <w:t>(2)</w:t>
      </w:r>
      <w:r w:rsidRPr="00DD2453">
        <w:tab/>
      </w:r>
      <w:r w:rsidR="0014047A" w:rsidRPr="0014047A">
        <w:t xml:space="preserve">The metric in subsection (1) is applicable to a facility that conducts the activity of producing manganese sinter through the physical and chemical transformation of small particles of manganese ore by sintering </w:t>
      </w:r>
      <w:r w:rsidR="0014047A">
        <w:t xml:space="preserve">into manganese sinter </w:t>
      </w:r>
      <w:r w:rsidR="0014047A" w:rsidRPr="0014047A">
        <w:t xml:space="preserve">(the </w:t>
      </w:r>
      <w:r w:rsidR="0014047A" w:rsidRPr="0014047A">
        <w:rPr>
          <w:b/>
          <w:i/>
        </w:rPr>
        <w:t>manganese sinter production activity</w:t>
      </w:r>
      <w:r w:rsidR="0014047A" w:rsidRPr="0014047A">
        <w:t xml:space="preserve">). </w:t>
      </w:r>
    </w:p>
    <w:p w14:paraId="1AF28566" w14:textId="0A85F522" w:rsidR="00366331" w:rsidRPr="00366331" w:rsidRDefault="00487CB7" w:rsidP="00366331">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00A2263A" w:rsidRPr="00487CB7">
        <w:rPr>
          <w:rFonts w:eastAsia="Calibri" w:cs="Arial"/>
          <w:iCs/>
          <w:sz w:val="20"/>
          <w:szCs w:val="22"/>
          <w:lang w:eastAsia="en-US"/>
        </w:rPr>
        <w:t>Note:</w:t>
      </w:r>
      <w:r w:rsidR="00A2263A" w:rsidRPr="00487CB7">
        <w:rPr>
          <w:rFonts w:eastAsia="Calibri" w:cs="Arial"/>
          <w:iCs/>
          <w:sz w:val="20"/>
          <w:szCs w:val="22"/>
          <w:lang w:eastAsia="en-US"/>
        </w:rPr>
        <w:tab/>
      </w:r>
      <w:r w:rsidR="0014047A" w:rsidRPr="00487CB7">
        <w:rPr>
          <w:rFonts w:eastAsia="Calibri" w:cs="Arial"/>
          <w:iCs/>
          <w:sz w:val="20"/>
          <w:szCs w:val="22"/>
          <w:lang w:eastAsia="en-US"/>
        </w:rPr>
        <w:t>Manganese sinter</w:t>
      </w:r>
      <w:r w:rsidR="00A2263A" w:rsidRPr="00487CB7">
        <w:rPr>
          <w:rFonts w:eastAsia="Calibri" w:cs="Arial"/>
          <w:iCs/>
          <w:sz w:val="20"/>
          <w:szCs w:val="22"/>
          <w:lang w:eastAsia="en-US"/>
        </w:rPr>
        <w:t xml:space="preserve"> is often an input into </w:t>
      </w:r>
      <w:r w:rsidR="0014047A" w:rsidRPr="00487CB7">
        <w:rPr>
          <w:rFonts w:eastAsia="Calibri" w:cs="Arial"/>
          <w:iCs/>
          <w:sz w:val="20"/>
          <w:szCs w:val="22"/>
          <w:lang w:eastAsia="en-US"/>
        </w:rPr>
        <w:t>an electric arc furnace</w:t>
      </w:r>
      <w:r w:rsidR="00A2263A" w:rsidRPr="00487CB7">
        <w:rPr>
          <w:rFonts w:eastAsia="Calibri" w:cs="Arial"/>
          <w:iCs/>
          <w:sz w:val="20"/>
          <w:szCs w:val="22"/>
          <w:lang w:eastAsia="en-US"/>
        </w:rPr>
        <w:t>.</w:t>
      </w:r>
    </w:p>
    <w:p w14:paraId="78991EB7" w14:textId="7F94EC50" w:rsidR="00366331" w:rsidRDefault="00366331" w:rsidP="00366331">
      <w:pPr>
        <w:pStyle w:val="tMain"/>
      </w:pPr>
      <w:r w:rsidRPr="00DD2453">
        <w:tab/>
      </w:r>
      <w:r>
        <w:t>(3)</w:t>
      </w:r>
      <w:r w:rsidRPr="00DD2453">
        <w:tab/>
        <w:t>The</w:t>
      </w:r>
      <w:r>
        <w:t xml:space="preserve"> default emissions intensity is 0.242</w:t>
      </w:r>
      <w:r w:rsidRPr="00DD2453">
        <w:t xml:space="preserve"> t CO</w:t>
      </w:r>
      <w:r w:rsidRPr="00DD2453">
        <w:rPr>
          <w:vertAlign w:val="subscript"/>
        </w:rPr>
        <w:t>2</w:t>
      </w:r>
      <w:r w:rsidRPr="00DD2453">
        <w:t xml:space="preserve">-e per tonne of </w:t>
      </w:r>
      <w:r>
        <w:t>manganese sinter</w:t>
      </w:r>
      <w:r w:rsidRPr="00DD2453">
        <w:t xml:space="preserve">. </w:t>
      </w:r>
    </w:p>
    <w:p w14:paraId="493C2EF3" w14:textId="4981D922" w:rsidR="00457DA7" w:rsidRDefault="00ED35E8" w:rsidP="00457DA7">
      <w:pPr>
        <w:pStyle w:val="h2Part"/>
      </w:pPr>
      <w:r>
        <w:rPr>
          <w:rStyle w:val="CharPartNo"/>
        </w:rPr>
        <w:t>Part 38</w:t>
      </w:r>
      <w:r w:rsidR="00457DA7" w:rsidRPr="00DD2453">
        <w:rPr>
          <w:rStyle w:val="CharPartNo"/>
        </w:rPr>
        <w:t>—</w:t>
      </w:r>
      <w:r w:rsidR="00457DA7">
        <w:rPr>
          <w:rStyle w:val="CharPartNo"/>
        </w:rPr>
        <w:t>Ferro</w:t>
      </w:r>
      <w:r w:rsidR="00457DA7">
        <w:rPr>
          <w:szCs w:val="22"/>
        </w:rPr>
        <w:t>manganese alloy</w:t>
      </w:r>
    </w:p>
    <w:p w14:paraId="493C2EF4" w14:textId="77777777" w:rsidR="00457DA7" w:rsidRPr="00DD2453" w:rsidRDefault="00457DA7" w:rsidP="00457DA7">
      <w:pPr>
        <w:pStyle w:val="h5Section"/>
      </w:pPr>
      <w:r>
        <w:t>74</w:t>
      </w:r>
      <w:r w:rsidRPr="00DD2453">
        <w:t xml:space="preserve">  </w:t>
      </w:r>
      <w:r>
        <w:rPr>
          <w:szCs w:val="22"/>
        </w:rPr>
        <w:t>Ferromanganese alloy</w:t>
      </w:r>
    </w:p>
    <w:p w14:paraId="493C2EF5" w14:textId="77777777" w:rsidR="00457DA7" w:rsidRPr="00356912" w:rsidRDefault="00457DA7" w:rsidP="00457DA7">
      <w:pPr>
        <w:pStyle w:val="tMain"/>
      </w:pPr>
      <w:r w:rsidRPr="00DD2453">
        <w:tab/>
      </w:r>
      <w:r>
        <w:t>(1)</w:t>
      </w:r>
      <w:r w:rsidRPr="00DD2453">
        <w:tab/>
        <w:t xml:space="preserve">Tonnes of </w:t>
      </w:r>
      <w:r>
        <w:t>ferro</w:t>
      </w:r>
      <w:r>
        <w:rPr>
          <w:szCs w:val="22"/>
        </w:rPr>
        <w:t>manganese alloy</w:t>
      </w:r>
      <w:r w:rsidRPr="00F84B60">
        <w:rPr>
          <w:szCs w:val="22"/>
        </w:rPr>
        <w:t xml:space="preserve"> </w:t>
      </w:r>
      <w:r w:rsidRPr="00356912">
        <w:t>that:</w:t>
      </w:r>
    </w:p>
    <w:p w14:paraId="493C2EF6" w14:textId="77777777" w:rsidR="00457DA7" w:rsidRDefault="00457DA7" w:rsidP="00457DA7">
      <w:pPr>
        <w:pStyle w:val="tPara"/>
      </w:pPr>
      <w:r w:rsidRPr="00356912">
        <w:tab/>
        <w:t>(a)</w:t>
      </w:r>
      <w:r w:rsidRPr="00356912">
        <w:tab/>
      </w:r>
      <w:r>
        <w:t>has a minimum concentration of manganese (</w:t>
      </w:r>
      <w:proofErr w:type="spellStart"/>
      <w:r>
        <w:t>Mn</w:t>
      </w:r>
      <w:proofErr w:type="spellEnd"/>
      <w:r>
        <w:t>) of 67% by mass</w:t>
      </w:r>
      <w:r w:rsidR="00CC62DA">
        <w:t>;</w:t>
      </w:r>
      <w:r>
        <w:t xml:space="preserve"> and</w:t>
      </w:r>
    </w:p>
    <w:p w14:paraId="493C2EF7" w14:textId="77777777" w:rsidR="00457DA7" w:rsidRDefault="00457DA7" w:rsidP="00457DA7">
      <w:pPr>
        <w:pStyle w:val="tPara"/>
      </w:pPr>
      <w:r>
        <w:tab/>
        <w:t>(b)</w:t>
      </w:r>
      <w:r>
        <w:tab/>
        <w:t>is produced as part of carrying on the ferromanganese production activity at the facility; and</w:t>
      </w:r>
    </w:p>
    <w:p w14:paraId="493C2EF8" w14:textId="77777777" w:rsidR="00457DA7" w:rsidRDefault="00457DA7" w:rsidP="00457DA7">
      <w:pPr>
        <w:pStyle w:val="tPara"/>
      </w:pPr>
      <w:r>
        <w:tab/>
        <w:t>(c)</w:t>
      </w:r>
      <w:r>
        <w:tab/>
        <w:t>is of saleable quality.</w:t>
      </w:r>
    </w:p>
    <w:p w14:paraId="7C2F06CD" w14:textId="27ACE3E0" w:rsidR="00366331" w:rsidRDefault="00457DA7" w:rsidP="00366331">
      <w:pPr>
        <w:pStyle w:val="tMain"/>
      </w:pPr>
      <w:r w:rsidRPr="00DD2453">
        <w:tab/>
      </w:r>
      <w:r>
        <w:t>(2)</w:t>
      </w:r>
      <w:r w:rsidRPr="00DD2453">
        <w:tab/>
      </w:r>
      <w:r w:rsidR="00CC62DA" w:rsidRPr="00CC62DA">
        <w:t>The metric in subsection (1) is applicable to a facility that conducts the activity o</w:t>
      </w:r>
      <w:r w:rsidR="000C2AAC">
        <w:t>f producing ferromanganese</w:t>
      </w:r>
      <w:r w:rsidR="00CC62DA" w:rsidRPr="00CC62DA">
        <w:t xml:space="preserve"> through the physical and chemical transformation of manganese ore or sinter</w:t>
      </w:r>
      <w:r w:rsidR="00CC62DA">
        <w:t xml:space="preserve"> into ferromanganese alloy</w:t>
      </w:r>
      <w:r w:rsidR="00CC62DA" w:rsidRPr="00CC62DA">
        <w:t xml:space="preserve"> (the </w:t>
      </w:r>
      <w:r w:rsidR="00CC62DA" w:rsidRPr="00CC62DA">
        <w:rPr>
          <w:b/>
          <w:i/>
        </w:rPr>
        <w:t>ferromanganese</w:t>
      </w:r>
      <w:r w:rsidR="000C2AAC">
        <w:rPr>
          <w:b/>
          <w:i/>
        </w:rPr>
        <w:t xml:space="preserve"> p</w:t>
      </w:r>
      <w:r w:rsidR="00CC62DA" w:rsidRPr="00CC62DA">
        <w:rPr>
          <w:b/>
          <w:i/>
        </w:rPr>
        <w:t>roduction activity</w:t>
      </w:r>
      <w:r w:rsidR="00CC62DA" w:rsidRPr="00CC62DA">
        <w:t>).</w:t>
      </w:r>
    </w:p>
    <w:p w14:paraId="3324D930" w14:textId="1EC5D277" w:rsidR="00366331" w:rsidRDefault="00366331" w:rsidP="00366331">
      <w:pPr>
        <w:pStyle w:val="tMain"/>
      </w:pPr>
      <w:r w:rsidRPr="00DD2453">
        <w:tab/>
      </w:r>
      <w:r>
        <w:t>(3)</w:t>
      </w:r>
      <w:r w:rsidRPr="00DD2453">
        <w:tab/>
        <w:t xml:space="preserve">The default emissions intensity is </w:t>
      </w:r>
      <w:r w:rsidRPr="00366331">
        <w:t>1.30</w:t>
      </w:r>
      <w:r w:rsidRPr="00DD2453">
        <w:t xml:space="preserve"> t CO</w:t>
      </w:r>
      <w:r w:rsidRPr="00DD2453">
        <w:rPr>
          <w:vertAlign w:val="subscript"/>
        </w:rPr>
        <w:t>2</w:t>
      </w:r>
      <w:r w:rsidRPr="00DD2453">
        <w:t xml:space="preserve">-e per tonne of </w:t>
      </w:r>
      <w:r>
        <w:t>ferromanganese alloy</w:t>
      </w:r>
      <w:r w:rsidRPr="00DD2453">
        <w:t xml:space="preserve">. </w:t>
      </w:r>
    </w:p>
    <w:p w14:paraId="493C2EFB" w14:textId="17F4FA39" w:rsidR="000C2AAC" w:rsidRDefault="00ED35E8" w:rsidP="000C2AAC">
      <w:pPr>
        <w:pStyle w:val="h2Part"/>
      </w:pPr>
      <w:r>
        <w:rPr>
          <w:rStyle w:val="CharPartNo"/>
        </w:rPr>
        <w:t>Part 39</w:t>
      </w:r>
      <w:r w:rsidR="000C2AAC" w:rsidRPr="00DD2453">
        <w:rPr>
          <w:rStyle w:val="CharPartNo"/>
        </w:rPr>
        <w:t>—</w:t>
      </w:r>
      <w:r w:rsidR="000C2AAC">
        <w:rPr>
          <w:rStyle w:val="CharPartNo"/>
        </w:rPr>
        <w:t>Silico</w:t>
      </w:r>
      <w:r w:rsidR="000C2AAC">
        <w:rPr>
          <w:szCs w:val="22"/>
        </w:rPr>
        <w:t>manganese alloy</w:t>
      </w:r>
    </w:p>
    <w:p w14:paraId="493C2EFC" w14:textId="77777777" w:rsidR="000C2AAC" w:rsidRPr="00DD2453" w:rsidRDefault="000C2AAC" w:rsidP="000C2AAC">
      <w:pPr>
        <w:pStyle w:val="h5Section"/>
      </w:pPr>
      <w:r>
        <w:t>75</w:t>
      </w:r>
      <w:r w:rsidRPr="00DD2453">
        <w:t xml:space="preserve">  </w:t>
      </w:r>
      <w:r>
        <w:rPr>
          <w:szCs w:val="22"/>
        </w:rPr>
        <w:t>Silicomanganese alloy</w:t>
      </w:r>
    </w:p>
    <w:p w14:paraId="493C2EFD" w14:textId="77777777" w:rsidR="000C2AAC" w:rsidRPr="00356912" w:rsidRDefault="000C2AAC" w:rsidP="000C2AAC">
      <w:pPr>
        <w:pStyle w:val="tMain"/>
      </w:pPr>
      <w:r w:rsidRPr="00DD2453">
        <w:tab/>
      </w:r>
      <w:r>
        <w:t>(1)</w:t>
      </w:r>
      <w:r w:rsidRPr="00DD2453">
        <w:tab/>
        <w:t xml:space="preserve">Tonnes of </w:t>
      </w:r>
      <w:r>
        <w:t>silico</w:t>
      </w:r>
      <w:r>
        <w:rPr>
          <w:szCs w:val="22"/>
        </w:rPr>
        <w:t>manganese alloy</w:t>
      </w:r>
      <w:r w:rsidRPr="00F84B60">
        <w:rPr>
          <w:szCs w:val="22"/>
        </w:rPr>
        <w:t xml:space="preserve"> </w:t>
      </w:r>
      <w:r w:rsidRPr="00356912">
        <w:t>that:</w:t>
      </w:r>
    </w:p>
    <w:p w14:paraId="493C2EFE" w14:textId="77777777" w:rsidR="000C2AAC" w:rsidRDefault="000C2AAC" w:rsidP="000C2AAC">
      <w:pPr>
        <w:pStyle w:val="tPara"/>
      </w:pPr>
      <w:r w:rsidRPr="00356912">
        <w:tab/>
        <w:t>(a)</w:t>
      </w:r>
      <w:r w:rsidRPr="00356912">
        <w:tab/>
      </w:r>
      <w:r>
        <w:t>has a minimum concentration of manganese (</w:t>
      </w:r>
      <w:proofErr w:type="spellStart"/>
      <w:r>
        <w:t>Mn</w:t>
      </w:r>
      <w:proofErr w:type="spellEnd"/>
      <w:r>
        <w:t>) of 60% by mass; and</w:t>
      </w:r>
    </w:p>
    <w:p w14:paraId="493C2EFF" w14:textId="77777777" w:rsidR="000C2AAC" w:rsidRDefault="000C2AAC" w:rsidP="000C2AAC">
      <w:pPr>
        <w:pStyle w:val="tPara"/>
      </w:pPr>
      <w:r>
        <w:tab/>
        <w:t>(b</w:t>
      </w:r>
      <w:r w:rsidRPr="00356912">
        <w:t>)</w:t>
      </w:r>
      <w:r w:rsidRPr="00356912">
        <w:tab/>
      </w:r>
      <w:r>
        <w:t>has a minimum concentration of silicon (Si) of 12% by mass; and</w:t>
      </w:r>
    </w:p>
    <w:p w14:paraId="493C2F00" w14:textId="77777777" w:rsidR="000C2AAC" w:rsidRDefault="000C2AAC" w:rsidP="000C2AAC">
      <w:pPr>
        <w:pStyle w:val="tPara"/>
      </w:pPr>
      <w:r>
        <w:tab/>
        <w:t>(c)</w:t>
      </w:r>
      <w:r>
        <w:tab/>
        <w:t>is produced as part of carrying on the silicomanganese production activity at the facility; and</w:t>
      </w:r>
    </w:p>
    <w:p w14:paraId="493C2F01" w14:textId="77777777" w:rsidR="000C2AAC" w:rsidRDefault="000C2AAC" w:rsidP="000C2AAC">
      <w:pPr>
        <w:pStyle w:val="tPara"/>
      </w:pPr>
      <w:r>
        <w:tab/>
        <w:t>(d)</w:t>
      </w:r>
      <w:r>
        <w:tab/>
        <w:t>is of saleable quality.</w:t>
      </w:r>
    </w:p>
    <w:p w14:paraId="2AF15076" w14:textId="0B9E38F3" w:rsidR="00366331" w:rsidRDefault="000C2AAC" w:rsidP="00366331">
      <w:pPr>
        <w:pStyle w:val="tMain"/>
      </w:pPr>
      <w:r w:rsidRPr="00DD2453">
        <w:tab/>
      </w:r>
      <w:r>
        <w:t>(2)</w:t>
      </w:r>
      <w:r w:rsidRPr="00DD2453">
        <w:tab/>
      </w:r>
      <w:r w:rsidRPr="00CC62DA">
        <w:t>The metric in subsection (1) is applicable to a facility that conducts</w:t>
      </w:r>
      <w:r>
        <w:t xml:space="preserve"> the activity of producing silicomanganese</w:t>
      </w:r>
      <w:r w:rsidRPr="00CC62DA">
        <w:t xml:space="preserve"> through the physical and chemical transformation of </w:t>
      </w:r>
      <w:r>
        <w:t xml:space="preserve">one or more of </w:t>
      </w:r>
      <w:r w:rsidRPr="00CC62DA">
        <w:t>manganese ore</w:t>
      </w:r>
      <w:r>
        <w:t>, manganese</w:t>
      </w:r>
      <w:r w:rsidRPr="00CC62DA">
        <w:t xml:space="preserve"> sinter</w:t>
      </w:r>
      <w:r>
        <w:t xml:space="preserve"> and ferromanganese slag produced at the facility into silicomanganese alloy</w:t>
      </w:r>
      <w:r w:rsidRPr="00CC62DA">
        <w:t xml:space="preserve"> (the </w:t>
      </w:r>
      <w:r>
        <w:rPr>
          <w:b/>
          <w:i/>
        </w:rPr>
        <w:t>silico</w:t>
      </w:r>
      <w:r w:rsidRPr="00CC62DA">
        <w:rPr>
          <w:b/>
          <w:i/>
        </w:rPr>
        <w:t>manganese production activity</w:t>
      </w:r>
      <w:r w:rsidRPr="00CC62DA">
        <w:t>).</w:t>
      </w:r>
    </w:p>
    <w:p w14:paraId="06A88FB8" w14:textId="3F8C2C86" w:rsidR="00366331" w:rsidRDefault="00366331" w:rsidP="00366331">
      <w:pPr>
        <w:pStyle w:val="tMain"/>
      </w:pPr>
      <w:r w:rsidRPr="00DD2453">
        <w:tab/>
      </w:r>
      <w:r>
        <w:t>(3)</w:t>
      </w:r>
      <w:r w:rsidRPr="00DD2453">
        <w:tab/>
        <w:t xml:space="preserve">The default emissions intensity is </w:t>
      </w:r>
      <w:r>
        <w:t xml:space="preserve">1.70 </w:t>
      </w:r>
      <w:r w:rsidRPr="00DD2453">
        <w:t>t CO</w:t>
      </w:r>
      <w:r w:rsidRPr="00DD2453">
        <w:rPr>
          <w:vertAlign w:val="subscript"/>
        </w:rPr>
        <w:t>2</w:t>
      </w:r>
      <w:r w:rsidRPr="00DD2453">
        <w:t xml:space="preserve">-e per tonne of </w:t>
      </w:r>
      <w:r>
        <w:t>silicomanganese alloy</w:t>
      </w:r>
      <w:r w:rsidRPr="00DD2453">
        <w:t xml:space="preserve">. </w:t>
      </w:r>
    </w:p>
    <w:p w14:paraId="493C2F04" w14:textId="4BF500B8" w:rsidR="00FC633C" w:rsidRDefault="00ED35E8" w:rsidP="00FC633C">
      <w:pPr>
        <w:pStyle w:val="h2Part"/>
        <w:rPr>
          <w:rStyle w:val="CharDivText"/>
        </w:rPr>
      </w:pPr>
      <w:r>
        <w:rPr>
          <w:rStyle w:val="CharPartNo"/>
        </w:rPr>
        <w:t>Part 40</w:t>
      </w:r>
      <w:r w:rsidR="00FC633C" w:rsidRPr="00DD2453">
        <w:rPr>
          <w:rStyle w:val="CharPartNo"/>
        </w:rPr>
        <w:t>—</w:t>
      </w:r>
      <w:r w:rsidR="00F23CDA">
        <w:rPr>
          <w:rStyle w:val="CharPartText"/>
        </w:rPr>
        <w:t>Nickel manufacturing</w:t>
      </w:r>
      <w:r w:rsidR="00FC633C" w:rsidRPr="00DD2453">
        <w:rPr>
          <w:rStyle w:val="CharDivNo"/>
        </w:rPr>
        <w:t xml:space="preserve"> </w:t>
      </w:r>
      <w:r w:rsidR="00FC633C" w:rsidRPr="00DD2453">
        <w:rPr>
          <w:rStyle w:val="CharDivText"/>
        </w:rPr>
        <w:t xml:space="preserve"> </w:t>
      </w:r>
    </w:p>
    <w:p w14:paraId="493C2F05" w14:textId="77777777" w:rsidR="00FC633C" w:rsidRPr="0056196C" w:rsidRDefault="00FC633C" w:rsidP="00FC633C">
      <w:pPr>
        <w:pStyle w:val="h3Div"/>
      </w:pPr>
      <w:r w:rsidRPr="00DD2453">
        <w:rPr>
          <w:rStyle w:val="CharDivNo"/>
        </w:rPr>
        <w:t>Division 1</w:t>
      </w:r>
      <w:r w:rsidRPr="00DD2453">
        <w:t>—</w:t>
      </w:r>
      <w:r>
        <w:t>Definitions</w:t>
      </w:r>
      <w:r w:rsidRPr="00DD2453">
        <w:t xml:space="preserve"> </w:t>
      </w:r>
    </w:p>
    <w:p w14:paraId="493C2F06" w14:textId="77777777" w:rsidR="00FC633C" w:rsidRPr="00DD2453" w:rsidRDefault="00FC633C" w:rsidP="00FC633C">
      <w:pPr>
        <w:pStyle w:val="h5Section"/>
      </w:pPr>
      <w:r>
        <w:t>76</w:t>
      </w:r>
      <w:r w:rsidRPr="00DD2453">
        <w:t xml:space="preserve">  </w:t>
      </w:r>
      <w:r>
        <w:t>Definitions</w:t>
      </w:r>
    </w:p>
    <w:p w14:paraId="493C2F07" w14:textId="77777777" w:rsidR="00FC633C" w:rsidRDefault="00FC633C" w:rsidP="00FC633C">
      <w:pPr>
        <w:pStyle w:val="tMain"/>
      </w:pPr>
      <w:r w:rsidRPr="00DD2453">
        <w:tab/>
      </w:r>
      <w:r>
        <w:t>(1)</w:t>
      </w:r>
      <w:r w:rsidRPr="00DD2453">
        <w:tab/>
      </w:r>
      <w:r>
        <w:t>In this Part:</w:t>
      </w:r>
    </w:p>
    <w:p w14:paraId="493C2F08" w14:textId="77777777" w:rsidR="00FC633C" w:rsidRPr="00FC633C" w:rsidRDefault="00FC633C" w:rsidP="00FC633C">
      <w:pPr>
        <w:pStyle w:val="tMain"/>
      </w:pPr>
      <w:r>
        <w:tab/>
      </w:r>
      <w:r>
        <w:tab/>
      </w:r>
      <w:r>
        <w:rPr>
          <w:b/>
          <w:i/>
        </w:rPr>
        <w:t>intermediate nickel products</w:t>
      </w:r>
      <w:r w:rsidRPr="00FC633C">
        <w:t xml:space="preserve"> mean</w:t>
      </w:r>
      <w:r>
        <w:t>s any of the following</w:t>
      </w:r>
      <w:r w:rsidRPr="00FC633C">
        <w:t>:</w:t>
      </w:r>
    </w:p>
    <w:p w14:paraId="493C2F09" w14:textId="77777777" w:rsidR="00FC633C" w:rsidRPr="00FC633C" w:rsidRDefault="00FC633C" w:rsidP="00FC633C">
      <w:pPr>
        <w:pStyle w:val="tPara"/>
      </w:pPr>
      <w:r>
        <w:tab/>
        <w:t>(a)</w:t>
      </w:r>
      <w:r>
        <w:tab/>
      </w:r>
      <w:r w:rsidRPr="00FC633C">
        <w:t>nickel matte;</w:t>
      </w:r>
    </w:p>
    <w:p w14:paraId="493C2F0A" w14:textId="2DA0B8DA" w:rsidR="00FC633C" w:rsidRDefault="00FC633C" w:rsidP="00FC633C">
      <w:pPr>
        <w:pStyle w:val="tPara"/>
      </w:pPr>
      <w:r>
        <w:tab/>
        <w:t>(b)</w:t>
      </w:r>
      <w:r>
        <w:tab/>
      </w:r>
      <w:r w:rsidRPr="00FC633C">
        <w:t xml:space="preserve">mixed nickel-cobalt hydroxide precipitate </w:t>
      </w:r>
      <w:r>
        <w:t xml:space="preserve">that has a concentration of nickel </w:t>
      </w:r>
      <w:r w:rsidRPr="00FC633C">
        <w:t xml:space="preserve">between </w:t>
      </w:r>
      <w:r w:rsidR="004B2125">
        <w:t>35</w:t>
      </w:r>
      <w:r>
        <w:t>%</w:t>
      </w:r>
      <w:r w:rsidRPr="00FC633C">
        <w:t xml:space="preserve"> and 47% (inclusive) </w:t>
      </w:r>
      <w:r w:rsidR="00141D94">
        <w:t>by</w:t>
      </w:r>
      <w:r w:rsidRPr="00FC633C">
        <w:t xml:space="preserve"> mass;</w:t>
      </w:r>
    </w:p>
    <w:p w14:paraId="493C2F0B" w14:textId="77777777" w:rsidR="00831894" w:rsidRPr="00FC633C" w:rsidRDefault="00831894" w:rsidP="00FC633C">
      <w:pPr>
        <w:pStyle w:val="tPara"/>
      </w:pPr>
      <w:r>
        <w:tab/>
        <w:t>(c)</w:t>
      </w:r>
      <w:r>
        <w:tab/>
        <w:t>mixed nickel-cobalt sulphide precipitate that has a concentration of nickel between 43 and 57% (inclusive) by mass;</w:t>
      </w:r>
    </w:p>
    <w:p w14:paraId="493C2F0C" w14:textId="77777777" w:rsidR="00FC633C" w:rsidRPr="00FC633C" w:rsidRDefault="006805E2" w:rsidP="00FC633C">
      <w:pPr>
        <w:pStyle w:val="tPara"/>
      </w:pPr>
      <w:r>
        <w:tab/>
        <w:t>(d</w:t>
      </w:r>
      <w:r w:rsidR="00FC633C">
        <w:t>)</w:t>
      </w:r>
      <w:r w:rsidR="00FC633C">
        <w:tab/>
        <w:t xml:space="preserve">basic nickel carbonate </w:t>
      </w:r>
      <w:r w:rsidR="00FC633C" w:rsidRPr="00356912">
        <w:t>(Ni</w:t>
      </w:r>
      <w:r w:rsidR="00FC633C" w:rsidRPr="00356912">
        <w:rPr>
          <w:vertAlign w:val="subscript"/>
        </w:rPr>
        <w:t>3</w:t>
      </w:r>
      <w:r w:rsidR="00FC633C" w:rsidRPr="00356912">
        <w:t>(CO</w:t>
      </w:r>
      <w:r w:rsidR="00FC633C" w:rsidRPr="00356912">
        <w:rPr>
          <w:vertAlign w:val="subscript"/>
        </w:rPr>
        <w:t>3</w:t>
      </w:r>
      <w:r w:rsidR="00FC633C" w:rsidRPr="00356912">
        <w:t>)(OH)</w:t>
      </w:r>
      <w:r w:rsidR="00FC633C" w:rsidRPr="00356912">
        <w:rPr>
          <w:vertAlign w:val="subscript"/>
        </w:rPr>
        <w:t>4</w:t>
      </w:r>
      <w:r w:rsidR="00FC633C">
        <w:t>) that has a concentration of nickel</w:t>
      </w:r>
      <w:r w:rsidR="00FC633C" w:rsidRPr="00FC633C">
        <w:t xml:space="preserve"> between 40</w:t>
      </w:r>
      <w:r w:rsidR="00FC633C">
        <w:t>%</w:t>
      </w:r>
      <w:r w:rsidR="00FC633C" w:rsidRPr="00FC633C">
        <w:t xml:space="preserve"> and 45% (inclusive) </w:t>
      </w:r>
      <w:r w:rsidR="00141D94">
        <w:t>by</w:t>
      </w:r>
      <w:r w:rsidR="00FC633C" w:rsidRPr="00FC633C">
        <w:t xml:space="preserve"> mass; </w:t>
      </w:r>
    </w:p>
    <w:p w14:paraId="493C2F0D" w14:textId="77777777" w:rsidR="00831894" w:rsidRDefault="00101FC3" w:rsidP="00831894">
      <w:pPr>
        <w:pStyle w:val="tPara"/>
      </w:pPr>
      <w:r>
        <w:tab/>
        <w:t>(e</w:t>
      </w:r>
      <w:r w:rsidR="00831894">
        <w:t>)</w:t>
      </w:r>
      <w:r w:rsidR="00831894">
        <w:tab/>
        <w:t>crude nickel sulphate that has a concentration of nickel equal to or greater than 21% by mass.</w:t>
      </w:r>
    </w:p>
    <w:p w14:paraId="493C2F0E" w14:textId="77777777" w:rsidR="00F23CDA" w:rsidRPr="00FC633C" w:rsidRDefault="00F23CDA" w:rsidP="00F23CDA">
      <w:pPr>
        <w:pStyle w:val="tMain"/>
      </w:pPr>
      <w:r>
        <w:tab/>
      </w:r>
      <w:r>
        <w:tab/>
      </w:r>
      <w:r w:rsidRPr="00F23CDA">
        <w:rPr>
          <w:b/>
          <w:i/>
        </w:rPr>
        <w:t>imported intermediate nickel products</w:t>
      </w:r>
      <w:r>
        <w:t>, for a facility, means an intermediate nickel product not produced at the facility.</w:t>
      </w:r>
    </w:p>
    <w:p w14:paraId="493C2F0F" w14:textId="77777777" w:rsidR="00FC633C" w:rsidRPr="00FC633C" w:rsidRDefault="00FC633C" w:rsidP="00FC633C">
      <w:pPr>
        <w:pStyle w:val="tMain"/>
      </w:pPr>
      <w:r>
        <w:rPr>
          <w:b/>
          <w:bCs/>
          <w:i/>
          <w:iCs/>
        </w:rPr>
        <w:tab/>
      </w:r>
      <w:r>
        <w:rPr>
          <w:b/>
          <w:bCs/>
          <w:i/>
          <w:iCs/>
        </w:rPr>
        <w:tab/>
      </w:r>
      <w:r w:rsidRPr="00FC633C">
        <w:rPr>
          <w:b/>
          <w:bCs/>
          <w:i/>
          <w:iCs/>
        </w:rPr>
        <w:t>n</w:t>
      </w:r>
      <w:proofErr w:type="spellStart"/>
      <w:r w:rsidRPr="00FC633C">
        <w:rPr>
          <w:b/>
          <w:bCs/>
          <w:i/>
          <w:iCs/>
          <w:lang w:val="en-GB"/>
        </w:rPr>
        <w:t>ickel</w:t>
      </w:r>
      <w:proofErr w:type="spellEnd"/>
      <w:r w:rsidRPr="00FC633C">
        <w:rPr>
          <w:b/>
          <w:bCs/>
          <w:i/>
          <w:iCs/>
          <w:lang w:val="en-GB"/>
        </w:rPr>
        <w:t xml:space="preserve"> </w:t>
      </w:r>
      <w:r>
        <w:rPr>
          <w:b/>
          <w:bCs/>
          <w:i/>
          <w:iCs/>
          <w:lang w:val="en-GB"/>
        </w:rPr>
        <w:t>bearing inputs</w:t>
      </w:r>
      <w:r w:rsidRPr="00FC633C">
        <w:rPr>
          <w:lang w:val="en-GB"/>
        </w:rPr>
        <w:t xml:space="preserve"> </w:t>
      </w:r>
      <w:r w:rsidRPr="00FC633C">
        <w:t>mean</w:t>
      </w:r>
      <w:r>
        <w:t>s any of the following</w:t>
      </w:r>
      <w:r w:rsidRPr="00FC633C">
        <w:t>:</w:t>
      </w:r>
    </w:p>
    <w:p w14:paraId="493C2F10" w14:textId="77777777" w:rsidR="00FC633C" w:rsidRDefault="00101FC3" w:rsidP="00101FC3">
      <w:pPr>
        <w:pStyle w:val="tPara"/>
      </w:pPr>
      <w:r w:rsidRPr="00101FC3">
        <w:tab/>
        <w:t>(</w:t>
      </w:r>
      <w:r>
        <w:t>a)</w:t>
      </w:r>
      <w:r>
        <w:tab/>
      </w:r>
      <w:r w:rsidR="00FC633C" w:rsidRPr="00FC633C">
        <w:t>mineralised nickel ores (including laterite or sulphide</w:t>
      </w:r>
      <w:r w:rsidR="00FC633C">
        <w:t xml:space="preserve"> ores</w:t>
      </w:r>
      <w:r w:rsidR="00FC633C" w:rsidRPr="00FC633C">
        <w:t>);</w:t>
      </w:r>
    </w:p>
    <w:p w14:paraId="493C2F11" w14:textId="77777777" w:rsidR="00101FC3" w:rsidRPr="00FC633C" w:rsidRDefault="00101FC3" w:rsidP="00101FC3">
      <w:pPr>
        <w:pStyle w:val="tPara"/>
      </w:pPr>
      <w:r>
        <w:tab/>
        <w:t>(b)</w:t>
      </w:r>
      <w:r>
        <w:tab/>
      </w:r>
      <w:r w:rsidRPr="00FC633C">
        <w:t>n</w:t>
      </w:r>
      <w:r>
        <w:t>ickel sulphide concentrates;</w:t>
      </w:r>
    </w:p>
    <w:p w14:paraId="493C2F12" w14:textId="77777777" w:rsidR="00FC633C" w:rsidRPr="00FC633C" w:rsidRDefault="00101FC3" w:rsidP="00FC633C">
      <w:pPr>
        <w:pStyle w:val="tPara"/>
      </w:pPr>
      <w:r>
        <w:tab/>
        <w:t>(c</w:t>
      </w:r>
      <w:r w:rsidR="00FC633C">
        <w:t>)</w:t>
      </w:r>
      <w:r w:rsidR="00FC633C">
        <w:tab/>
      </w:r>
      <w:r>
        <w:t xml:space="preserve">other </w:t>
      </w:r>
      <w:r w:rsidR="00FC633C" w:rsidRPr="00FC633C">
        <w:t xml:space="preserve">nickel </w:t>
      </w:r>
      <w:r w:rsidR="00FC633C">
        <w:t>containing concentrates that have</w:t>
      </w:r>
      <w:r w:rsidR="00FC633C" w:rsidRPr="00FC633C">
        <w:t xml:space="preserve"> no</w:t>
      </w:r>
      <w:r w:rsidR="00FC633C">
        <w:t>t undergone secondary processing</w:t>
      </w:r>
      <w:r w:rsidR="00FC633C" w:rsidRPr="00FC633C">
        <w:t>;</w:t>
      </w:r>
    </w:p>
    <w:p w14:paraId="493C2F13" w14:textId="77777777" w:rsidR="00FC633C" w:rsidRPr="00FC633C" w:rsidRDefault="00101FC3" w:rsidP="00FC633C">
      <w:pPr>
        <w:pStyle w:val="tPara"/>
      </w:pPr>
      <w:r>
        <w:tab/>
        <w:t>(d</w:t>
      </w:r>
      <w:r w:rsidR="00FC633C">
        <w:t>)</w:t>
      </w:r>
      <w:r w:rsidR="00FC633C">
        <w:tab/>
      </w:r>
      <w:r w:rsidR="00FC633C" w:rsidRPr="00FC633C">
        <w:t>low grade nickel waste products that require equivalent processing to mineralised nickel ores.</w:t>
      </w:r>
    </w:p>
    <w:p w14:paraId="493C2F14" w14:textId="77777777" w:rsidR="00FC633C" w:rsidRPr="00FC633C" w:rsidRDefault="00FC633C" w:rsidP="00FC633C">
      <w:pPr>
        <w:pStyle w:val="tMain"/>
        <w:rPr>
          <w:b/>
          <w:bCs/>
          <w:i/>
          <w:iCs/>
          <w:lang w:val="en-GB"/>
        </w:rPr>
      </w:pPr>
      <w:r w:rsidRPr="00FC633C">
        <w:rPr>
          <w:b/>
          <w:bCs/>
          <w:i/>
          <w:iCs/>
          <w:lang w:val="en-GB"/>
        </w:rPr>
        <w:tab/>
      </w:r>
      <w:r>
        <w:rPr>
          <w:b/>
          <w:bCs/>
          <w:i/>
          <w:iCs/>
          <w:lang w:val="en-GB"/>
        </w:rPr>
        <w:tab/>
        <w:t>primary nickel products</w:t>
      </w:r>
      <w:r w:rsidRPr="00FC633C">
        <w:rPr>
          <w:b/>
          <w:bCs/>
          <w:i/>
          <w:iCs/>
          <w:lang w:val="en-GB"/>
        </w:rPr>
        <w:t xml:space="preserve"> </w:t>
      </w:r>
      <w:r w:rsidRPr="00FC633C">
        <w:rPr>
          <w:bCs/>
          <w:iCs/>
          <w:lang w:val="en-GB"/>
        </w:rPr>
        <w:t>mean</w:t>
      </w:r>
      <w:r>
        <w:rPr>
          <w:bCs/>
          <w:iCs/>
          <w:lang w:val="en-GB"/>
        </w:rPr>
        <w:t>s any of the following</w:t>
      </w:r>
      <w:r w:rsidRPr="00FC633C">
        <w:rPr>
          <w:bCs/>
          <w:iCs/>
          <w:lang w:val="en-GB"/>
        </w:rPr>
        <w:t>:</w:t>
      </w:r>
    </w:p>
    <w:p w14:paraId="493C2F15" w14:textId="77777777" w:rsidR="00FC633C" w:rsidRPr="00FC633C" w:rsidRDefault="00FC633C" w:rsidP="00FC633C">
      <w:pPr>
        <w:pStyle w:val="tPara"/>
      </w:pPr>
      <w:r>
        <w:tab/>
        <w:t>(a)</w:t>
      </w:r>
      <w:r>
        <w:tab/>
        <w:t xml:space="preserve">basic nickel carbonate </w:t>
      </w:r>
      <w:r w:rsidRPr="00356912">
        <w:t>(Ni</w:t>
      </w:r>
      <w:r w:rsidRPr="00356912">
        <w:rPr>
          <w:vertAlign w:val="subscript"/>
        </w:rPr>
        <w:t>3</w:t>
      </w:r>
      <w:r w:rsidRPr="00356912">
        <w:t>(CO</w:t>
      </w:r>
      <w:r w:rsidRPr="00356912">
        <w:rPr>
          <w:vertAlign w:val="subscript"/>
        </w:rPr>
        <w:t>3</w:t>
      </w:r>
      <w:r w:rsidRPr="00356912">
        <w:t>)(OH)</w:t>
      </w:r>
      <w:r w:rsidRPr="00356912">
        <w:rPr>
          <w:vertAlign w:val="subscript"/>
        </w:rPr>
        <w:t>4</w:t>
      </w:r>
      <w:r>
        <w:t>) that has a concentration of nickel</w:t>
      </w:r>
      <w:r w:rsidRPr="00FC633C">
        <w:t xml:space="preserve"> equal to or greater than 50% </w:t>
      </w:r>
      <w:r w:rsidR="00141D94">
        <w:t>by</w:t>
      </w:r>
      <w:r w:rsidRPr="00FC633C">
        <w:t xml:space="preserve"> mass;</w:t>
      </w:r>
    </w:p>
    <w:p w14:paraId="493C2F16" w14:textId="77777777" w:rsidR="00FC633C" w:rsidRPr="00FC633C" w:rsidRDefault="00FC633C" w:rsidP="00FC633C">
      <w:pPr>
        <w:pStyle w:val="tPara"/>
      </w:pPr>
      <w:r>
        <w:tab/>
        <w:t>(b)</w:t>
      </w:r>
      <w:r>
        <w:tab/>
        <w:t>nickel oxide (</w:t>
      </w:r>
      <w:proofErr w:type="spellStart"/>
      <w:r>
        <w:t>NiO</w:t>
      </w:r>
      <w:proofErr w:type="spellEnd"/>
      <w:r>
        <w:t>) that has a concentration of nickel</w:t>
      </w:r>
      <w:r w:rsidRPr="00FC633C">
        <w:t xml:space="preserve"> equal to or greater than 78% </w:t>
      </w:r>
      <w:r w:rsidR="00141D94">
        <w:t>by</w:t>
      </w:r>
      <w:r w:rsidRPr="00FC633C">
        <w:t xml:space="preserve"> mass;  </w:t>
      </w:r>
    </w:p>
    <w:p w14:paraId="493C2F17" w14:textId="77777777" w:rsidR="00FC633C" w:rsidRPr="00FC633C" w:rsidRDefault="00FC633C" w:rsidP="00FC633C">
      <w:pPr>
        <w:pStyle w:val="tPara"/>
      </w:pPr>
      <w:r>
        <w:tab/>
        <w:t>(c)</w:t>
      </w:r>
      <w:r>
        <w:tab/>
      </w:r>
      <w:r w:rsidRPr="00FC633C">
        <w:t>nickel sulphate hexahydrate (NiSO</w:t>
      </w:r>
      <w:r w:rsidRPr="00FC633C">
        <w:rPr>
          <w:vertAlign w:val="subscript"/>
        </w:rPr>
        <w:t>4</w:t>
      </w:r>
      <w:r w:rsidRPr="00FC633C">
        <w:t>.6H</w:t>
      </w:r>
      <w:r w:rsidRPr="00FC633C">
        <w:rPr>
          <w:vertAlign w:val="subscript"/>
        </w:rPr>
        <w:t>2</w:t>
      </w:r>
      <w:r>
        <w:t>O</w:t>
      </w:r>
      <w:r w:rsidR="000421F4">
        <w:t>) that has a concentration of nickel</w:t>
      </w:r>
      <w:r w:rsidRPr="00FC633C">
        <w:t xml:space="preserve"> equal to or greater than 22%</w:t>
      </w:r>
      <w:r>
        <w:t xml:space="preserve"> </w:t>
      </w:r>
      <w:r w:rsidR="00141D94">
        <w:t>by</w:t>
      </w:r>
      <w:r>
        <w:t xml:space="preserve"> mass;</w:t>
      </w:r>
    </w:p>
    <w:p w14:paraId="493C2F18" w14:textId="77777777" w:rsidR="00FC633C" w:rsidRPr="00FC633C" w:rsidRDefault="00FC633C" w:rsidP="00FC633C">
      <w:pPr>
        <w:pStyle w:val="tPara"/>
      </w:pPr>
      <w:r>
        <w:tab/>
        <w:t>(d)</w:t>
      </w:r>
      <w:r>
        <w:tab/>
        <w:t>other nickel products that have a concentration of nickel</w:t>
      </w:r>
      <w:r w:rsidRPr="00FC633C">
        <w:t xml:space="preserve"> equal to or greater than 98% </w:t>
      </w:r>
      <w:r w:rsidR="00141D94">
        <w:t>by</w:t>
      </w:r>
      <w:r w:rsidRPr="00FC633C">
        <w:t xml:space="preserve"> mass</w:t>
      </w:r>
      <w:r>
        <w:t>.</w:t>
      </w:r>
    </w:p>
    <w:p w14:paraId="493C2F19" w14:textId="77777777" w:rsidR="00FC633C" w:rsidRPr="00356912" w:rsidRDefault="00FC633C" w:rsidP="00FC633C">
      <w:pPr>
        <w:pStyle w:val="tMain"/>
      </w:pPr>
      <w:r>
        <w:tab/>
        <w:t>(2)</w:t>
      </w:r>
      <w:r w:rsidRPr="00DD2453">
        <w:tab/>
      </w:r>
      <w:r>
        <w:t xml:space="preserve">In this Part the activity of </w:t>
      </w:r>
      <w:r>
        <w:rPr>
          <w:b/>
          <w:i/>
        </w:rPr>
        <w:t xml:space="preserve">nickel manufacturing </w:t>
      </w:r>
      <w:r w:rsidRPr="00356912">
        <w:t>is the physical and chemical transformation of</w:t>
      </w:r>
      <w:r>
        <w:t xml:space="preserve"> either or both of</w:t>
      </w:r>
      <w:r w:rsidRPr="00356912">
        <w:t>:</w:t>
      </w:r>
    </w:p>
    <w:p w14:paraId="493C2F1A" w14:textId="77777777" w:rsidR="00FC633C" w:rsidRDefault="00FC633C" w:rsidP="00FC633C">
      <w:pPr>
        <w:pStyle w:val="tPara"/>
      </w:pPr>
      <w:r w:rsidRPr="00356912">
        <w:tab/>
        <w:t>(a)</w:t>
      </w:r>
      <w:r w:rsidRPr="00356912">
        <w:tab/>
      </w:r>
      <w:r>
        <w:t>nickel bearing inputs into intermediate nickel products or primary nickel products; and</w:t>
      </w:r>
    </w:p>
    <w:p w14:paraId="493C2F1B" w14:textId="77777777" w:rsidR="00FC633C" w:rsidRPr="008013C4" w:rsidRDefault="00FC633C" w:rsidP="00FC633C">
      <w:pPr>
        <w:pStyle w:val="tPara"/>
      </w:pPr>
      <w:r>
        <w:tab/>
        <w:t>(b)</w:t>
      </w:r>
      <w:r>
        <w:tab/>
        <w:t>intermediate nickel products into primary nickel products.</w:t>
      </w:r>
    </w:p>
    <w:p w14:paraId="493C2F1C" w14:textId="77777777" w:rsidR="00FC633C" w:rsidRDefault="00FC633C" w:rsidP="00F23CDA">
      <w:pPr>
        <w:pStyle w:val="h3Div"/>
      </w:pPr>
      <w:r>
        <w:rPr>
          <w:rStyle w:val="CharDivNo"/>
        </w:rPr>
        <w:t>Division 2</w:t>
      </w:r>
      <w:r w:rsidRPr="00DD2453">
        <w:t>—</w:t>
      </w:r>
      <w:r>
        <w:t>Nickel production variables</w:t>
      </w:r>
      <w:r w:rsidRPr="00DD2453">
        <w:t xml:space="preserve"> </w:t>
      </w:r>
    </w:p>
    <w:p w14:paraId="493C2F1D" w14:textId="77777777" w:rsidR="00FC633C" w:rsidRPr="00DD2453" w:rsidRDefault="00FC633C" w:rsidP="00FC633C">
      <w:pPr>
        <w:pStyle w:val="h5Section"/>
      </w:pPr>
      <w:r>
        <w:t>77</w:t>
      </w:r>
      <w:r w:rsidRPr="00DD2453">
        <w:t xml:space="preserve">  </w:t>
      </w:r>
      <w:r>
        <w:t>Primary nickel products from nickel bearing inputs</w:t>
      </w:r>
    </w:p>
    <w:p w14:paraId="493C2F1E" w14:textId="77777777" w:rsidR="000421F4" w:rsidRDefault="00FC633C" w:rsidP="00FC633C">
      <w:pPr>
        <w:pStyle w:val="tMain"/>
      </w:pPr>
      <w:r w:rsidRPr="00DD2453">
        <w:tab/>
      </w:r>
      <w:r>
        <w:t>(1)</w:t>
      </w:r>
      <w:r w:rsidRPr="00DD2453">
        <w:tab/>
      </w:r>
      <w:r>
        <w:t>Tonnes of 100% equivalent nickel</w:t>
      </w:r>
      <w:r w:rsidR="000421F4">
        <w:t xml:space="preserve"> that:</w:t>
      </w:r>
      <w:r>
        <w:t xml:space="preserve"> </w:t>
      </w:r>
    </w:p>
    <w:p w14:paraId="493C2F1F" w14:textId="77777777" w:rsidR="00FC633C" w:rsidRDefault="000421F4" w:rsidP="000421F4">
      <w:pPr>
        <w:pStyle w:val="tPara"/>
      </w:pPr>
      <w:r>
        <w:tab/>
        <w:t>(a)</w:t>
      </w:r>
      <w:r>
        <w:tab/>
        <w:t xml:space="preserve">is </w:t>
      </w:r>
      <w:r w:rsidR="00FC633C">
        <w:t>contained within primary nickel products that:</w:t>
      </w:r>
    </w:p>
    <w:p w14:paraId="493C2F20" w14:textId="77777777" w:rsidR="00FC633C" w:rsidRPr="00356912" w:rsidRDefault="000421F4" w:rsidP="000421F4">
      <w:pPr>
        <w:pStyle w:val="tSubpara"/>
      </w:pPr>
      <w:r>
        <w:tab/>
        <w:t>(</w:t>
      </w:r>
      <w:proofErr w:type="spellStart"/>
      <w:r>
        <w:t>i</w:t>
      </w:r>
      <w:proofErr w:type="spellEnd"/>
      <w:r w:rsidR="00FC633C">
        <w:t>)</w:t>
      </w:r>
      <w:r w:rsidR="00FC633C">
        <w:tab/>
        <w:t>are produced from nickel bearing inputs</w:t>
      </w:r>
      <w:r w:rsidR="00FC633C" w:rsidRPr="00356912">
        <w:t xml:space="preserve"> </w:t>
      </w:r>
      <w:r w:rsidR="00FC633C">
        <w:t>as part of</w:t>
      </w:r>
      <w:r w:rsidR="00FC633C" w:rsidRPr="00356912">
        <w:t xml:space="preserve"> carrying on the </w:t>
      </w:r>
      <w:r w:rsidR="00FC633C">
        <w:t>nickel manufacturing</w:t>
      </w:r>
      <w:r w:rsidR="00FC633C" w:rsidRPr="00356912">
        <w:t xml:space="preserve"> activity</w:t>
      </w:r>
      <w:r w:rsidR="00FC633C">
        <w:t xml:space="preserve"> at the facility</w:t>
      </w:r>
      <w:r w:rsidR="00FC633C" w:rsidRPr="00356912">
        <w:t>; and</w:t>
      </w:r>
    </w:p>
    <w:p w14:paraId="493C2F21" w14:textId="77777777" w:rsidR="00FC633C" w:rsidRDefault="000421F4" w:rsidP="000421F4">
      <w:pPr>
        <w:pStyle w:val="tSubpara"/>
      </w:pPr>
      <w:r>
        <w:tab/>
        <w:t>(ii</w:t>
      </w:r>
      <w:r w:rsidR="00FC633C">
        <w:t>)</w:t>
      </w:r>
      <w:r w:rsidR="00FC633C">
        <w:tab/>
        <w:t>are</w:t>
      </w:r>
      <w:r>
        <w:t xml:space="preserve"> of saleable quality; and</w:t>
      </w:r>
    </w:p>
    <w:p w14:paraId="493C2F22" w14:textId="77777777" w:rsidR="000421F4" w:rsidRPr="00DD2453" w:rsidRDefault="000421F4" w:rsidP="00FC633C">
      <w:pPr>
        <w:pStyle w:val="tPara"/>
      </w:pPr>
      <w:r>
        <w:tab/>
        <w:t>(b)</w:t>
      </w:r>
      <w:r>
        <w:tab/>
        <w:t>has not been counted in relation to the intermediate nickel product production variable at the facility.</w:t>
      </w:r>
    </w:p>
    <w:p w14:paraId="493C2F23" w14:textId="77777777" w:rsidR="00FC633C" w:rsidRPr="00356912" w:rsidRDefault="00FC633C" w:rsidP="00FC633C">
      <w:pPr>
        <w:pStyle w:val="tMain"/>
      </w:pPr>
      <w:r w:rsidRPr="00DD2453">
        <w:tab/>
      </w:r>
      <w:r>
        <w:t>(2)</w:t>
      </w:r>
      <w:r w:rsidRPr="00DD2453">
        <w:tab/>
        <w:t>The metric in subsection (1) is applicable to a facility that</w:t>
      </w:r>
      <w:r>
        <w:t xml:space="preserve"> conducts the nickel manufacturing activity</w:t>
      </w:r>
    </w:p>
    <w:p w14:paraId="493C2F24" w14:textId="103E5C73" w:rsidR="00FC633C" w:rsidRDefault="00FC633C" w:rsidP="00FC633C">
      <w:pPr>
        <w:pStyle w:val="tMain"/>
      </w:pPr>
      <w:r w:rsidRPr="00DD2453">
        <w:tab/>
      </w:r>
      <w:r>
        <w:t>(3)</w:t>
      </w:r>
      <w:r w:rsidRPr="00DD2453">
        <w:tab/>
        <w:t xml:space="preserve">The default emissions intensity is </w:t>
      </w:r>
      <w:r w:rsidR="00E917D5">
        <w:t>8.78</w:t>
      </w:r>
      <w:r w:rsidR="00E917D5" w:rsidRPr="00DD2453">
        <w:t xml:space="preserve"> </w:t>
      </w:r>
      <w:r w:rsidRPr="00DD2453">
        <w:t>t CO</w:t>
      </w:r>
      <w:r w:rsidRPr="00DD2453">
        <w:rPr>
          <w:vertAlign w:val="subscript"/>
        </w:rPr>
        <w:t>2</w:t>
      </w:r>
      <w:r w:rsidRPr="00DD2453">
        <w:t xml:space="preserve">-e per </w:t>
      </w:r>
      <w:r>
        <w:t>tonne of 100% equivalent nickel.</w:t>
      </w:r>
    </w:p>
    <w:p w14:paraId="493C2F25" w14:textId="77777777" w:rsidR="00FC633C" w:rsidRPr="00DD2453" w:rsidRDefault="00FC633C" w:rsidP="00FC633C">
      <w:pPr>
        <w:pStyle w:val="h5Section"/>
      </w:pPr>
      <w:r>
        <w:t>78</w:t>
      </w:r>
      <w:r w:rsidRPr="00DD2453">
        <w:t xml:space="preserve">  </w:t>
      </w:r>
      <w:r>
        <w:t>Primary nickel products from</w:t>
      </w:r>
      <w:r w:rsidR="00F23CDA">
        <w:t xml:space="preserve"> imported</w:t>
      </w:r>
      <w:r>
        <w:t xml:space="preserve"> intermediate nickel products</w:t>
      </w:r>
    </w:p>
    <w:p w14:paraId="493C2F26" w14:textId="77777777" w:rsidR="00FC633C" w:rsidRDefault="00FC633C" w:rsidP="00FC633C">
      <w:pPr>
        <w:pStyle w:val="tMain"/>
      </w:pPr>
      <w:r w:rsidRPr="00DD2453">
        <w:tab/>
      </w:r>
      <w:r>
        <w:t>(1)</w:t>
      </w:r>
      <w:r w:rsidRPr="00DD2453">
        <w:tab/>
      </w:r>
      <w:r>
        <w:t>Tonnes of 100% equivalent nickel contained within primary nickel products that:</w:t>
      </w:r>
    </w:p>
    <w:p w14:paraId="493C2F27" w14:textId="77777777" w:rsidR="00FC633C" w:rsidRPr="00356912" w:rsidRDefault="00FC633C" w:rsidP="00FC633C">
      <w:pPr>
        <w:pStyle w:val="tPara"/>
      </w:pPr>
      <w:r>
        <w:tab/>
        <w:t>(a)</w:t>
      </w:r>
      <w:r>
        <w:tab/>
        <w:t xml:space="preserve">are produced from </w:t>
      </w:r>
      <w:r w:rsidR="00F23CDA">
        <w:t xml:space="preserve">imported </w:t>
      </w:r>
      <w:r>
        <w:t>intermediate nickel products</w:t>
      </w:r>
      <w:r w:rsidRPr="00356912">
        <w:t xml:space="preserve"> </w:t>
      </w:r>
      <w:r>
        <w:t>as part of</w:t>
      </w:r>
      <w:r w:rsidRPr="00356912">
        <w:t xml:space="preserve"> carrying on the </w:t>
      </w:r>
      <w:r>
        <w:t>nickel manufacturing</w:t>
      </w:r>
      <w:r w:rsidRPr="00356912">
        <w:t xml:space="preserve"> activity</w:t>
      </w:r>
      <w:r>
        <w:t xml:space="preserve"> at the facility</w:t>
      </w:r>
      <w:r w:rsidRPr="00356912">
        <w:t>; and</w:t>
      </w:r>
    </w:p>
    <w:p w14:paraId="493C2F28" w14:textId="77777777" w:rsidR="00FC633C" w:rsidRPr="00DD2453" w:rsidRDefault="000421F4" w:rsidP="00FC633C">
      <w:pPr>
        <w:pStyle w:val="tPara"/>
      </w:pPr>
      <w:r>
        <w:tab/>
        <w:t>(b</w:t>
      </w:r>
      <w:r w:rsidR="00FC633C">
        <w:t>)</w:t>
      </w:r>
      <w:r w:rsidR="00FC633C">
        <w:tab/>
        <w:t>are</w:t>
      </w:r>
      <w:r w:rsidR="00FC633C" w:rsidRPr="00356912">
        <w:t xml:space="preserve"> of saleable quality.</w:t>
      </w:r>
    </w:p>
    <w:p w14:paraId="493C2F29" w14:textId="77777777" w:rsidR="00FC633C" w:rsidRPr="00356912" w:rsidRDefault="00FC633C" w:rsidP="00FC633C">
      <w:pPr>
        <w:pStyle w:val="tMain"/>
      </w:pPr>
      <w:r w:rsidRPr="00DD2453">
        <w:tab/>
      </w:r>
      <w:r>
        <w:t>(2)</w:t>
      </w:r>
      <w:r w:rsidRPr="00DD2453">
        <w:tab/>
        <w:t>The metric in subsection (1) is applicable to a facility that</w:t>
      </w:r>
      <w:r>
        <w:t xml:space="preserve"> conducts the nickel manufacturing activity</w:t>
      </w:r>
      <w:r w:rsidR="000421F4">
        <w:t>.</w:t>
      </w:r>
    </w:p>
    <w:p w14:paraId="493C2F2A" w14:textId="5888B94C" w:rsidR="00FC633C" w:rsidRDefault="00FC633C" w:rsidP="00F23CDA">
      <w:pPr>
        <w:pStyle w:val="tMain"/>
      </w:pPr>
      <w:r w:rsidRPr="00DD2453">
        <w:tab/>
      </w:r>
      <w:r>
        <w:t>(3)</w:t>
      </w:r>
      <w:r w:rsidRPr="00DD2453">
        <w:tab/>
        <w:t xml:space="preserve">The default emissions intensity is </w:t>
      </w:r>
      <w:r w:rsidR="00E917D5">
        <w:t>2.52</w:t>
      </w:r>
      <w:r w:rsidRPr="00DD2453">
        <w:t xml:space="preserve"> t CO</w:t>
      </w:r>
      <w:r w:rsidRPr="00DD2453">
        <w:rPr>
          <w:vertAlign w:val="subscript"/>
        </w:rPr>
        <w:t>2</w:t>
      </w:r>
      <w:r w:rsidRPr="00DD2453">
        <w:t xml:space="preserve">-e per </w:t>
      </w:r>
      <w:r>
        <w:t>t</w:t>
      </w:r>
      <w:r w:rsidR="00F23CDA">
        <w:t>onne of 100% equivalent nickel.</w:t>
      </w:r>
    </w:p>
    <w:p w14:paraId="493C2F2B" w14:textId="77777777" w:rsidR="00F23CDA" w:rsidRPr="00DD2453" w:rsidRDefault="000421F4" w:rsidP="00F23CDA">
      <w:pPr>
        <w:pStyle w:val="h5Section"/>
      </w:pPr>
      <w:r>
        <w:t>79</w:t>
      </w:r>
      <w:r w:rsidR="00F23CDA" w:rsidRPr="00DD2453">
        <w:t xml:space="preserve">  </w:t>
      </w:r>
      <w:r w:rsidR="00F23CDA">
        <w:t>Intermediate nickel products from nickel bearing inputs</w:t>
      </w:r>
    </w:p>
    <w:p w14:paraId="493C2F2C" w14:textId="77777777" w:rsidR="00F23CDA" w:rsidRDefault="00F23CDA" w:rsidP="00F23CDA">
      <w:pPr>
        <w:pStyle w:val="tMain"/>
      </w:pPr>
      <w:r w:rsidRPr="00DD2453">
        <w:tab/>
      </w:r>
      <w:r>
        <w:t>(1)</w:t>
      </w:r>
      <w:r w:rsidRPr="00DD2453">
        <w:tab/>
      </w:r>
      <w:r>
        <w:t>Tonnes of 100% equivalent nickel contained within intermediate nickel products that:</w:t>
      </w:r>
    </w:p>
    <w:p w14:paraId="493C2F2D" w14:textId="77777777" w:rsidR="00F23CDA" w:rsidRDefault="00F23CDA" w:rsidP="00F23CDA">
      <w:pPr>
        <w:pStyle w:val="tPara"/>
      </w:pPr>
      <w:r>
        <w:tab/>
        <w:t>(a)</w:t>
      </w:r>
      <w:r>
        <w:tab/>
        <w:t>are produced from nickel bearing inputs</w:t>
      </w:r>
      <w:r w:rsidRPr="00356912">
        <w:t xml:space="preserve"> </w:t>
      </w:r>
      <w:r>
        <w:t>as part of</w:t>
      </w:r>
      <w:r w:rsidRPr="00356912">
        <w:t xml:space="preserve"> carrying on the </w:t>
      </w:r>
      <w:r>
        <w:t>nickel manufacturing</w:t>
      </w:r>
      <w:r w:rsidRPr="00356912">
        <w:t xml:space="preserve"> activity</w:t>
      </w:r>
      <w:r>
        <w:t xml:space="preserve"> at the facility</w:t>
      </w:r>
      <w:r w:rsidRPr="00356912">
        <w:t>; and</w:t>
      </w:r>
    </w:p>
    <w:p w14:paraId="493C2F2E" w14:textId="77777777" w:rsidR="00F23CDA" w:rsidRPr="00356912" w:rsidRDefault="00F23CDA" w:rsidP="00F23CDA">
      <w:pPr>
        <w:pStyle w:val="tPara"/>
      </w:pPr>
      <w:r>
        <w:tab/>
        <w:t>(b)</w:t>
      </w:r>
      <w:r>
        <w:tab/>
        <w:t>are not</w:t>
      </w:r>
      <w:r w:rsidR="000421F4">
        <w:t>, and are not intended to be,</w:t>
      </w:r>
      <w:r>
        <w:t xml:space="preserve"> transformed into primary nickel products at the facility; and</w:t>
      </w:r>
    </w:p>
    <w:p w14:paraId="493C2F2F" w14:textId="77777777" w:rsidR="00F23CDA" w:rsidRPr="00DD2453" w:rsidRDefault="00F23CDA" w:rsidP="00F23CDA">
      <w:pPr>
        <w:pStyle w:val="tPara"/>
      </w:pPr>
      <w:r>
        <w:tab/>
        <w:t>(c)</w:t>
      </w:r>
      <w:r>
        <w:tab/>
        <w:t>are</w:t>
      </w:r>
      <w:r w:rsidRPr="00356912">
        <w:t xml:space="preserve"> of saleable quality.</w:t>
      </w:r>
    </w:p>
    <w:p w14:paraId="493C2F30" w14:textId="77777777" w:rsidR="00F23CDA" w:rsidRPr="00356912" w:rsidRDefault="00F23CDA" w:rsidP="00F23CDA">
      <w:pPr>
        <w:pStyle w:val="tMain"/>
      </w:pPr>
      <w:r w:rsidRPr="00DD2453">
        <w:tab/>
      </w:r>
      <w:r>
        <w:t>(2)</w:t>
      </w:r>
      <w:r w:rsidRPr="00DD2453">
        <w:tab/>
        <w:t>The metric in subsection (1) is applicable to a facility that</w:t>
      </w:r>
      <w:r>
        <w:t xml:space="preserve"> conducts the nickel manufacturing activity</w:t>
      </w:r>
      <w:r w:rsidR="000421F4">
        <w:t>.</w:t>
      </w:r>
    </w:p>
    <w:p w14:paraId="493C2F31" w14:textId="086F65DD" w:rsidR="00F23CDA" w:rsidRDefault="00F23CDA" w:rsidP="00F23CDA">
      <w:pPr>
        <w:pStyle w:val="tMain"/>
      </w:pPr>
      <w:r w:rsidRPr="00DD2453">
        <w:tab/>
      </w:r>
      <w:r>
        <w:t>(3)</w:t>
      </w:r>
      <w:r w:rsidRPr="00DD2453">
        <w:tab/>
        <w:t xml:space="preserve">The default emissions intensity is </w:t>
      </w:r>
      <w:r w:rsidR="00E917D5">
        <w:t>1.76</w:t>
      </w:r>
      <w:r w:rsidRPr="00DD2453">
        <w:t xml:space="preserve"> t CO</w:t>
      </w:r>
      <w:r w:rsidRPr="00DD2453">
        <w:rPr>
          <w:vertAlign w:val="subscript"/>
        </w:rPr>
        <w:t>2</w:t>
      </w:r>
      <w:r w:rsidRPr="00DD2453">
        <w:t xml:space="preserve">-e per </w:t>
      </w:r>
      <w:r>
        <w:t>tonne of 100% equivalent nickel.</w:t>
      </w:r>
    </w:p>
    <w:p w14:paraId="493C2F32" w14:textId="7D38675F" w:rsidR="00F24004" w:rsidRDefault="00ED35E8" w:rsidP="00F24004">
      <w:pPr>
        <w:pStyle w:val="h2Part"/>
        <w:rPr>
          <w:rStyle w:val="CharDivText"/>
        </w:rPr>
      </w:pPr>
      <w:r>
        <w:rPr>
          <w:rStyle w:val="CharPartNo"/>
        </w:rPr>
        <w:t>Part 41</w:t>
      </w:r>
      <w:r w:rsidR="00F24004" w:rsidRPr="00DD2453">
        <w:rPr>
          <w:rStyle w:val="CharPartNo"/>
        </w:rPr>
        <w:t>—</w:t>
      </w:r>
      <w:r w:rsidR="00F24004">
        <w:rPr>
          <w:rStyle w:val="CharPartText"/>
        </w:rPr>
        <w:t>Pulp and paper production</w:t>
      </w:r>
      <w:r w:rsidR="00F24004" w:rsidRPr="00DD2453">
        <w:rPr>
          <w:rStyle w:val="CharPartText"/>
        </w:rPr>
        <w:t xml:space="preserve"> </w:t>
      </w:r>
      <w:r w:rsidR="00F24004" w:rsidRPr="00DD2453">
        <w:rPr>
          <w:rStyle w:val="CharDivNo"/>
        </w:rPr>
        <w:t xml:space="preserve"> </w:t>
      </w:r>
      <w:r w:rsidR="00F24004" w:rsidRPr="00DD2453">
        <w:rPr>
          <w:rStyle w:val="CharDivText"/>
        </w:rPr>
        <w:t xml:space="preserve"> </w:t>
      </w:r>
    </w:p>
    <w:p w14:paraId="493C2F33" w14:textId="77777777" w:rsidR="00F24004" w:rsidRPr="0056196C" w:rsidRDefault="00F24004" w:rsidP="00F24004">
      <w:pPr>
        <w:pStyle w:val="h3Div"/>
      </w:pPr>
      <w:r w:rsidRPr="00DD2453">
        <w:rPr>
          <w:rStyle w:val="CharDivNo"/>
        </w:rPr>
        <w:t>Division 1</w:t>
      </w:r>
      <w:r w:rsidRPr="00DD2453">
        <w:t>—</w:t>
      </w:r>
      <w:r>
        <w:t>Definitions</w:t>
      </w:r>
      <w:r w:rsidRPr="00DD2453">
        <w:t xml:space="preserve"> </w:t>
      </w:r>
    </w:p>
    <w:p w14:paraId="493C2F34" w14:textId="77777777" w:rsidR="00F24004" w:rsidRPr="00DD2453" w:rsidRDefault="00F24004" w:rsidP="00F24004">
      <w:pPr>
        <w:pStyle w:val="h5Section"/>
      </w:pPr>
      <w:r>
        <w:t>80</w:t>
      </w:r>
      <w:r w:rsidRPr="00DD2453">
        <w:t xml:space="preserve">  </w:t>
      </w:r>
      <w:r>
        <w:t>Definitions</w:t>
      </w:r>
    </w:p>
    <w:p w14:paraId="493C2F35" w14:textId="77777777" w:rsidR="008A7C58" w:rsidRDefault="00F24004" w:rsidP="008A7C58">
      <w:pPr>
        <w:pStyle w:val="tMain"/>
      </w:pPr>
      <w:r w:rsidRPr="00DD2453">
        <w:tab/>
      </w:r>
      <w:r w:rsidRPr="00DD2453">
        <w:tab/>
      </w:r>
      <w:r>
        <w:t>In this Part:</w:t>
      </w:r>
      <w:r w:rsidR="008A7C58" w:rsidRPr="008A7C58">
        <w:t xml:space="preserve"> </w:t>
      </w:r>
    </w:p>
    <w:p w14:paraId="493C2F36" w14:textId="77777777" w:rsidR="008A7C58" w:rsidRPr="008A7C58" w:rsidRDefault="008A7C58" w:rsidP="008A7C58">
      <w:pPr>
        <w:pStyle w:val="tDefn"/>
        <w:rPr>
          <w:bCs/>
          <w:iCs/>
          <w:szCs w:val="22"/>
          <w:shd w:val="clear" w:color="auto" w:fill="FFFFFF"/>
        </w:rPr>
      </w:pPr>
      <w:r>
        <w:rPr>
          <w:b/>
          <w:bCs/>
          <w:i/>
          <w:iCs/>
          <w:szCs w:val="22"/>
          <w:shd w:val="clear" w:color="auto" w:fill="FFFFFF"/>
        </w:rPr>
        <w:t>newsprint manufacturing activity</w:t>
      </w:r>
      <w:r>
        <w:rPr>
          <w:bCs/>
          <w:iCs/>
          <w:szCs w:val="22"/>
          <w:shd w:val="clear" w:color="auto" w:fill="FFFFFF"/>
        </w:rPr>
        <w:t>—see section 84.</w:t>
      </w:r>
    </w:p>
    <w:p w14:paraId="493C2F37" w14:textId="77777777" w:rsidR="008A7C58" w:rsidRPr="008A7C58" w:rsidRDefault="008A7C58" w:rsidP="008A7C58">
      <w:pPr>
        <w:pStyle w:val="tDefn"/>
        <w:rPr>
          <w:bCs/>
          <w:iCs/>
          <w:szCs w:val="22"/>
          <w:shd w:val="clear" w:color="auto" w:fill="FFFFFF"/>
        </w:rPr>
      </w:pPr>
      <w:r>
        <w:rPr>
          <w:b/>
          <w:bCs/>
          <w:i/>
          <w:iCs/>
          <w:szCs w:val="22"/>
          <w:shd w:val="clear" w:color="auto" w:fill="FFFFFF"/>
        </w:rPr>
        <w:t>packaging and industrial paper manufacturing activity</w:t>
      </w:r>
      <w:r>
        <w:rPr>
          <w:bCs/>
          <w:iCs/>
          <w:szCs w:val="22"/>
          <w:shd w:val="clear" w:color="auto" w:fill="FFFFFF"/>
        </w:rPr>
        <w:t>—see section 82.</w:t>
      </w:r>
    </w:p>
    <w:p w14:paraId="493C2F38" w14:textId="77777777" w:rsidR="008A7C58" w:rsidRPr="008A7C58" w:rsidRDefault="008A7C58" w:rsidP="008A7C58">
      <w:pPr>
        <w:pStyle w:val="tDefn"/>
        <w:rPr>
          <w:bCs/>
          <w:iCs/>
          <w:szCs w:val="22"/>
          <w:shd w:val="clear" w:color="auto" w:fill="FFFFFF"/>
        </w:rPr>
      </w:pPr>
      <w:r>
        <w:rPr>
          <w:b/>
          <w:bCs/>
          <w:i/>
          <w:iCs/>
          <w:szCs w:val="22"/>
          <w:shd w:val="clear" w:color="auto" w:fill="FFFFFF"/>
        </w:rPr>
        <w:t>printing and writing paper manufacturing activity</w:t>
      </w:r>
      <w:r>
        <w:rPr>
          <w:bCs/>
          <w:iCs/>
          <w:szCs w:val="22"/>
          <w:shd w:val="clear" w:color="auto" w:fill="FFFFFF"/>
        </w:rPr>
        <w:t>—see section 83.</w:t>
      </w:r>
    </w:p>
    <w:p w14:paraId="493C2F39" w14:textId="77777777" w:rsidR="008A7C58" w:rsidRPr="008A7C58" w:rsidRDefault="008A7C58" w:rsidP="008A7C58">
      <w:pPr>
        <w:pStyle w:val="tDefn"/>
        <w:rPr>
          <w:bCs/>
          <w:iCs/>
          <w:szCs w:val="22"/>
          <w:shd w:val="clear" w:color="auto" w:fill="FFFFFF"/>
        </w:rPr>
      </w:pPr>
      <w:r>
        <w:rPr>
          <w:b/>
          <w:bCs/>
          <w:i/>
          <w:iCs/>
          <w:szCs w:val="22"/>
          <w:shd w:val="clear" w:color="auto" w:fill="FFFFFF"/>
        </w:rPr>
        <w:t>pulp production activity</w:t>
      </w:r>
      <w:r>
        <w:rPr>
          <w:bCs/>
          <w:iCs/>
          <w:szCs w:val="22"/>
          <w:shd w:val="clear" w:color="auto" w:fill="FFFFFF"/>
        </w:rPr>
        <w:t>—see section 85.</w:t>
      </w:r>
    </w:p>
    <w:p w14:paraId="493C2F3A" w14:textId="77777777" w:rsidR="008A7C58" w:rsidRPr="008A7C58" w:rsidRDefault="008A7C58" w:rsidP="008A7C58">
      <w:pPr>
        <w:pStyle w:val="tDefn"/>
        <w:rPr>
          <w:bCs/>
          <w:i/>
          <w:iCs/>
          <w:szCs w:val="22"/>
          <w:shd w:val="clear" w:color="auto" w:fill="FFFFFF"/>
        </w:rPr>
      </w:pPr>
      <w:r>
        <w:rPr>
          <w:b/>
          <w:bCs/>
          <w:i/>
          <w:iCs/>
          <w:szCs w:val="22"/>
          <w:shd w:val="clear" w:color="auto" w:fill="FFFFFF"/>
        </w:rPr>
        <w:t>tissue paper manufacturing</w:t>
      </w:r>
      <w:r w:rsidRPr="008A7C58">
        <w:rPr>
          <w:b/>
          <w:bCs/>
          <w:i/>
          <w:iCs/>
          <w:szCs w:val="22"/>
          <w:shd w:val="clear" w:color="auto" w:fill="FFFFFF"/>
        </w:rPr>
        <w:t xml:space="preserve"> activity</w:t>
      </w:r>
      <w:r w:rsidRPr="008A7C58">
        <w:rPr>
          <w:bCs/>
          <w:iCs/>
          <w:szCs w:val="22"/>
          <w:shd w:val="clear" w:color="auto" w:fill="FFFFFF"/>
        </w:rPr>
        <w:t>—see section 81.</w:t>
      </w:r>
      <w:r>
        <w:rPr>
          <w:bCs/>
          <w:i/>
          <w:iCs/>
          <w:szCs w:val="22"/>
          <w:shd w:val="clear" w:color="auto" w:fill="FFFFFF"/>
        </w:rPr>
        <w:t xml:space="preserve"> </w:t>
      </w:r>
    </w:p>
    <w:p w14:paraId="493C2F3B" w14:textId="77777777" w:rsidR="00F24004" w:rsidRPr="00F24004" w:rsidRDefault="00F24004" w:rsidP="00F24004">
      <w:pPr>
        <w:pStyle w:val="h3Div"/>
      </w:pPr>
      <w:r>
        <w:rPr>
          <w:rStyle w:val="CharDivNo"/>
        </w:rPr>
        <w:t>Division 2</w:t>
      </w:r>
      <w:r w:rsidRPr="00DD2453">
        <w:t>—</w:t>
      </w:r>
      <w:r>
        <w:t xml:space="preserve">Tissue paper </w:t>
      </w:r>
    </w:p>
    <w:p w14:paraId="493C2F3C" w14:textId="77777777" w:rsidR="00F24004" w:rsidRPr="00DD2453" w:rsidRDefault="00F24004" w:rsidP="00F24004">
      <w:pPr>
        <w:pStyle w:val="h5Section"/>
      </w:pPr>
      <w:r>
        <w:t>81</w:t>
      </w:r>
      <w:r w:rsidRPr="00DD2453">
        <w:t xml:space="preserve">  </w:t>
      </w:r>
      <w:r>
        <w:t>Tissue paper</w:t>
      </w:r>
    </w:p>
    <w:p w14:paraId="493C2F3D" w14:textId="77777777" w:rsidR="00F24004" w:rsidRDefault="00F24004" w:rsidP="00F24004">
      <w:pPr>
        <w:pStyle w:val="tMain"/>
      </w:pPr>
      <w:r w:rsidRPr="00DD2453">
        <w:tab/>
      </w:r>
      <w:r>
        <w:t>(1)</w:t>
      </w:r>
      <w:r w:rsidRPr="00DD2453">
        <w:tab/>
      </w:r>
      <w:r>
        <w:t>Tonnes of rolls of uncoated tissue paper that:</w:t>
      </w:r>
    </w:p>
    <w:p w14:paraId="493C2F3E" w14:textId="77777777" w:rsidR="00F24004" w:rsidRDefault="00F24004" w:rsidP="00F24004">
      <w:pPr>
        <w:pStyle w:val="tPara"/>
      </w:pPr>
      <w:r>
        <w:tab/>
        <w:t>(a)</w:t>
      </w:r>
      <w:r>
        <w:tab/>
        <w:t xml:space="preserve">has a </w:t>
      </w:r>
      <w:proofErr w:type="spellStart"/>
      <w:r>
        <w:t>grammage</w:t>
      </w:r>
      <w:proofErr w:type="spellEnd"/>
      <w:r>
        <w:t xml:space="preserve"> range of 13 g/m</w:t>
      </w:r>
      <w:r w:rsidRPr="00F24004">
        <w:rPr>
          <w:vertAlign w:val="superscript"/>
        </w:rPr>
        <w:t>2</w:t>
      </w:r>
      <w:r>
        <w:t xml:space="preserve"> to 75 g/m</w:t>
      </w:r>
      <w:r w:rsidRPr="00F24004">
        <w:rPr>
          <w:vertAlign w:val="superscript"/>
        </w:rPr>
        <w:t>2</w:t>
      </w:r>
      <w:r>
        <w:t>; and</w:t>
      </w:r>
    </w:p>
    <w:p w14:paraId="493C2F3F" w14:textId="77777777" w:rsidR="00F24004" w:rsidRDefault="00F24004" w:rsidP="00F24004">
      <w:pPr>
        <w:pStyle w:val="tPara"/>
      </w:pPr>
      <w:r>
        <w:tab/>
        <w:t>(b)</w:t>
      </w:r>
      <w:r>
        <w:tab/>
        <w:t>has a moisture content in the range of 4% to 11% by mass; and</w:t>
      </w:r>
    </w:p>
    <w:p w14:paraId="493C2F40" w14:textId="77777777" w:rsidR="00F24004" w:rsidRDefault="00F24004" w:rsidP="00F24004">
      <w:pPr>
        <w:pStyle w:val="tPara"/>
      </w:pPr>
      <w:r>
        <w:tab/>
        <w:t>(c)</w:t>
      </w:r>
      <w:r>
        <w:tab/>
        <w:t>is generally useable in sanitary products such as facial tissue, paper towel, bathroom tissue and napkins; and</w:t>
      </w:r>
    </w:p>
    <w:p w14:paraId="493C2F41" w14:textId="77777777" w:rsidR="00F24004" w:rsidRDefault="00F24004" w:rsidP="00F24004">
      <w:pPr>
        <w:pStyle w:val="tPara"/>
      </w:pPr>
      <w:r>
        <w:tab/>
        <w:t>(d)</w:t>
      </w:r>
      <w:r>
        <w:tab/>
        <w:t>has not been counted for another production variable at the facility;</w:t>
      </w:r>
      <w:r w:rsidR="008A7C58">
        <w:t xml:space="preserve"> and</w:t>
      </w:r>
    </w:p>
    <w:p w14:paraId="493C2F42" w14:textId="77777777" w:rsidR="00F24004" w:rsidRDefault="00F24004" w:rsidP="00F24004">
      <w:pPr>
        <w:pStyle w:val="tPara"/>
      </w:pPr>
      <w:r>
        <w:tab/>
        <w:t>(e)</w:t>
      </w:r>
      <w:r>
        <w:tab/>
        <w:t>is produced as part of carrying on the tissue paper manufacturing activity at the facility; and</w:t>
      </w:r>
    </w:p>
    <w:p w14:paraId="493C2F43" w14:textId="77777777" w:rsidR="00F24004" w:rsidRDefault="00F24004" w:rsidP="00F24004">
      <w:pPr>
        <w:pStyle w:val="tPara"/>
      </w:pPr>
      <w:r>
        <w:tab/>
        <w:t>(f)</w:t>
      </w:r>
      <w:r>
        <w:tab/>
        <w:t>is of saleable quality.</w:t>
      </w:r>
    </w:p>
    <w:p w14:paraId="493C2F44" w14:textId="77777777" w:rsidR="00F24004" w:rsidRDefault="00F24004" w:rsidP="00F24004">
      <w:pPr>
        <w:pStyle w:val="tMain"/>
      </w:pPr>
      <w:r w:rsidRPr="00DD2453">
        <w:tab/>
      </w:r>
      <w:r>
        <w:t>(2)</w:t>
      </w:r>
      <w:r w:rsidRPr="00DD2453">
        <w:tab/>
        <w:t>The metric in subsection (1) is applicable to a facility that</w:t>
      </w:r>
      <w:r>
        <w:t xml:space="preserve"> conducts the activity of producing rolls of uncoated tissue paper through the physical or chemical transformation of any or all of wood chips, sawdust, wood pulp and recovered paper into rolls of uncoated tissue paper that:</w:t>
      </w:r>
    </w:p>
    <w:p w14:paraId="493C2F45" w14:textId="77777777" w:rsidR="00F24004" w:rsidRDefault="00F24004" w:rsidP="00F24004">
      <w:pPr>
        <w:pStyle w:val="tPara"/>
      </w:pPr>
      <w:r>
        <w:tab/>
        <w:t>(a)</w:t>
      </w:r>
      <w:r>
        <w:tab/>
        <w:t xml:space="preserve">has a </w:t>
      </w:r>
      <w:proofErr w:type="spellStart"/>
      <w:r>
        <w:t>grammage</w:t>
      </w:r>
      <w:proofErr w:type="spellEnd"/>
      <w:r>
        <w:t xml:space="preserve"> range of 13 g/m</w:t>
      </w:r>
      <w:r w:rsidRPr="00F24004">
        <w:rPr>
          <w:vertAlign w:val="superscript"/>
        </w:rPr>
        <w:t>2</w:t>
      </w:r>
      <w:r>
        <w:t xml:space="preserve"> to 75 g/m</w:t>
      </w:r>
      <w:r w:rsidRPr="00F24004">
        <w:rPr>
          <w:vertAlign w:val="superscript"/>
        </w:rPr>
        <w:t>2</w:t>
      </w:r>
      <w:r>
        <w:t>; and</w:t>
      </w:r>
    </w:p>
    <w:p w14:paraId="493C2F46" w14:textId="77777777" w:rsidR="00F24004" w:rsidRDefault="00F24004" w:rsidP="00F24004">
      <w:pPr>
        <w:pStyle w:val="tPara"/>
      </w:pPr>
      <w:r>
        <w:tab/>
        <w:t>(b)</w:t>
      </w:r>
      <w:r>
        <w:tab/>
        <w:t>has a moisture content in the range of 4% to 11% by mass; and</w:t>
      </w:r>
    </w:p>
    <w:p w14:paraId="493C2F47" w14:textId="77777777" w:rsidR="00F24004" w:rsidRDefault="00F24004" w:rsidP="00F24004">
      <w:pPr>
        <w:pStyle w:val="tPara"/>
      </w:pPr>
      <w:r>
        <w:tab/>
        <w:t>(c)</w:t>
      </w:r>
      <w:r>
        <w:tab/>
        <w:t>is generally useable in sanitary products such as facial tissue, paper towel, bathroom tissue and napkins; and</w:t>
      </w:r>
    </w:p>
    <w:p w14:paraId="493C2F48" w14:textId="77777777" w:rsidR="00F24004" w:rsidRPr="00F24004" w:rsidRDefault="00F24004" w:rsidP="00F24004">
      <w:pPr>
        <w:pStyle w:val="tPara"/>
      </w:pPr>
      <w:r>
        <w:tab/>
        <w:t>(d)</w:t>
      </w:r>
      <w:r>
        <w:tab/>
        <w:t>is of saleable quality.</w:t>
      </w:r>
    </w:p>
    <w:p w14:paraId="493C2F49" w14:textId="77777777" w:rsidR="00F24004" w:rsidRDefault="00F24004" w:rsidP="00F24004">
      <w:pPr>
        <w:pStyle w:val="tMain"/>
      </w:pPr>
      <w:r w:rsidRPr="00DD2453">
        <w:tab/>
      </w:r>
      <w:r>
        <w:t>(3)</w:t>
      </w:r>
      <w:r w:rsidRPr="00DD2453">
        <w:tab/>
        <w:t xml:space="preserve">The activity in subsection (2) is the </w:t>
      </w:r>
      <w:r>
        <w:rPr>
          <w:b/>
          <w:i/>
        </w:rPr>
        <w:t>tissue paper manufacturing activity</w:t>
      </w:r>
      <w:r w:rsidRPr="00DD2453">
        <w:t>.</w:t>
      </w:r>
    </w:p>
    <w:p w14:paraId="0209EB6D" w14:textId="77777777" w:rsidR="00023B7A" w:rsidRPr="00023B7A"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F4B" w14:textId="77777777" w:rsidR="00F24004" w:rsidRPr="00F24004" w:rsidRDefault="00F24004" w:rsidP="00F24004">
      <w:pPr>
        <w:pStyle w:val="h3Div"/>
      </w:pPr>
      <w:r>
        <w:rPr>
          <w:rStyle w:val="CharDivNo"/>
        </w:rPr>
        <w:t>Division 3</w:t>
      </w:r>
      <w:r w:rsidRPr="00DD2453">
        <w:t>—</w:t>
      </w:r>
      <w:r>
        <w:t>P</w:t>
      </w:r>
      <w:r w:rsidRPr="00F24004">
        <w:t xml:space="preserve">ackaging and industrial paper </w:t>
      </w:r>
    </w:p>
    <w:p w14:paraId="493C2F4C" w14:textId="77777777" w:rsidR="00F24004" w:rsidRPr="00DD2453" w:rsidRDefault="00F24004" w:rsidP="00F24004">
      <w:pPr>
        <w:pStyle w:val="h5Section"/>
      </w:pPr>
      <w:r>
        <w:t>82</w:t>
      </w:r>
      <w:r w:rsidRPr="00DD2453">
        <w:t xml:space="preserve">  </w:t>
      </w:r>
      <w:r>
        <w:t>Packaging and industrial paper</w:t>
      </w:r>
    </w:p>
    <w:p w14:paraId="493C2F4D" w14:textId="77777777" w:rsidR="00F24004" w:rsidRDefault="00F24004" w:rsidP="00F24004">
      <w:pPr>
        <w:pStyle w:val="tMain"/>
      </w:pPr>
      <w:r w:rsidRPr="00DD2453">
        <w:tab/>
      </w:r>
      <w:r>
        <w:t>(1)</w:t>
      </w:r>
      <w:r w:rsidRPr="00DD2453">
        <w:tab/>
      </w:r>
      <w:r>
        <w:t xml:space="preserve">Tonnes of rolls of </w:t>
      </w:r>
      <w:r w:rsidRPr="00F24004">
        <w:t xml:space="preserve">packaging and industrial </w:t>
      </w:r>
      <w:r>
        <w:t>paper that:</w:t>
      </w:r>
    </w:p>
    <w:p w14:paraId="493C2F4E" w14:textId="77777777" w:rsidR="00F24004" w:rsidRPr="00F24004" w:rsidRDefault="00F24004" w:rsidP="00F24004">
      <w:pPr>
        <w:pStyle w:val="tPara"/>
      </w:pPr>
      <w:r>
        <w:tab/>
        <w:t>(a)</w:t>
      </w:r>
      <w:r>
        <w:tab/>
      </w:r>
      <w:r w:rsidRPr="00F24004">
        <w:t xml:space="preserve">is produced from wholly or partially unbleached input fibre; and </w:t>
      </w:r>
    </w:p>
    <w:p w14:paraId="493C2F4F" w14:textId="77777777" w:rsidR="00F24004" w:rsidRPr="00F24004" w:rsidRDefault="00F24004" w:rsidP="00F24004">
      <w:pPr>
        <w:pStyle w:val="tPara"/>
      </w:pPr>
      <w:r>
        <w:tab/>
        <w:t>(b)</w:t>
      </w:r>
      <w:r>
        <w:tab/>
      </w:r>
      <w:r w:rsidRPr="00F24004">
        <w:t xml:space="preserve">has a </w:t>
      </w:r>
      <w:proofErr w:type="spellStart"/>
      <w:r w:rsidRPr="00F24004">
        <w:t>grammage</w:t>
      </w:r>
      <w:proofErr w:type="spellEnd"/>
      <w:r w:rsidRPr="00F24004">
        <w:t xml:space="preserve"> range of 30 g/m</w:t>
      </w:r>
      <w:r w:rsidRPr="00F24004">
        <w:rPr>
          <w:vertAlign w:val="superscript"/>
        </w:rPr>
        <w:t>2</w:t>
      </w:r>
      <w:r w:rsidRPr="00F24004">
        <w:t xml:space="preserve"> to 500 g/m</w:t>
      </w:r>
      <w:r w:rsidRPr="00F24004">
        <w:rPr>
          <w:vertAlign w:val="superscript"/>
        </w:rPr>
        <w:t>2</w:t>
      </w:r>
      <w:r w:rsidRPr="00F24004">
        <w:t xml:space="preserve">; and </w:t>
      </w:r>
    </w:p>
    <w:p w14:paraId="493C2F50" w14:textId="77777777" w:rsidR="00F24004" w:rsidRPr="00F24004" w:rsidRDefault="00F24004" w:rsidP="00F24004">
      <w:pPr>
        <w:pStyle w:val="tPara"/>
      </w:pPr>
      <w:r>
        <w:tab/>
        <w:t>(c)</w:t>
      </w:r>
      <w:r>
        <w:tab/>
      </w:r>
      <w:r w:rsidRPr="00F24004">
        <w:t xml:space="preserve">has a moisture content in the range of 4% to 11% by mass; and </w:t>
      </w:r>
    </w:p>
    <w:p w14:paraId="493C2F51" w14:textId="77777777" w:rsidR="00F24004" w:rsidRPr="00F24004" w:rsidRDefault="00F24004" w:rsidP="00F24004">
      <w:pPr>
        <w:pStyle w:val="tPara"/>
      </w:pPr>
      <w:r>
        <w:tab/>
        <w:t>(d)</w:t>
      </w:r>
      <w:r>
        <w:tab/>
      </w:r>
      <w:r w:rsidRPr="00F24004">
        <w:t>is uncoated; and</w:t>
      </w:r>
    </w:p>
    <w:p w14:paraId="493C2F52" w14:textId="77777777" w:rsidR="00F24004" w:rsidRPr="00F24004" w:rsidRDefault="00F24004" w:rsidP="00F24004">
      <w:pPr>
        <w:pStyle w:val="tPara"/>
      </w:pPr>
      <w:r>
        <w:tab/>
        <w:t>(e)</w:t>
      </w:r>
      <w:r>
        <w:tab/>
      </w:r>
      <w:r w:rsidRPr="00F24004">
        <w:t xml:space="preserve">is generally useable as a packaging or industrial paper, including products such as </w:t>
      </w:r>
      <w:proofErr w:type="spellStart"/>
      <w:r w:rsidRPr="00F24004">
        <w:t>kraft</w:t>
      </w:r>
      <w:proofErr w:type="spellEnd"/>
      <w:r w:rsidRPr="00F24004">
        <w:t xml:space="preserve"> liner, recycled or multiply liner, medium, sack and bag paper, wrapping paper, plasterboard liner, horticultural paper and building paper; and</w:t>
      </w:r>
    </w:p>
    <w:p w14:paraId="493C2F53" w14:textId="77777777" w:rsidR="00F24004" w:rsidRPr="00F24004" w:rsidRDefault="00F24004" w:rsidP="00F24004">
      <w:pPr>
        <w:pStyle w:val="tPara"/>
      </w:pPr>
      <w:r>
        <w:tab/>
        <w:t>(f)</w:t>
      </w:r>
      <w:r>
        <w:tab/>
      </w:r>
      <w:r w:rsidRPr="00F24004">
        <w:t>has not been counted for another production variable at the facility;</w:t>
      </w:r>
      <w:r w:rsidR="00DE43E6">
        <w:t xml:space="preserve"> and</w:t>
      </w:r>
    </w:p>
    <w:p w14:paraId="493C2F54" w14:textId="77777777" w:rsidR="00F24004" w:rsidRPr="00F24004" w:rsidRDefault="00F24004" w:rsidP="00F24004">
      <w:pPr>
        <w:pStyle w:val="tPara"/>
      </w:pPr>
      <w:r>
        <w:tab/>
        <w:t>(g)</w:t>
      </w:r>
      <w:r>
        <w:tab/>
      </w:r>
      <w:r w:rsidRPr="00F24004">
        <w:t>is produced as part of carrying on the packaging and industrial paper manufacturing activity at the facility; and</w:t>
      </w:r>
    </w:p>
    <w:p w14:paraId="493C2F55" w14:textId="77777777" w:rsidR="00F24004" w:rsidRPr="00F24004" w:rsidRDefault="00F24004" w:rsidP="00F24004">
      <w:pPr>
        <w:pStyle w:val="tPara"/>
      </w:pPr>
      <w:r>
        <w:tab/>
        <w:t>(h)</w:t>
      </w:r>
      <w:r>
        <w:tab/>
      </w:r>
      <w:r w:rsidRPr="00F24004">
        <w:t>is of saleable quality.</w:t>
      </w:r>
    </w:p>
    <w:p w14:paraId="493C2F56" w14:textId="77777777" w:rsidR="00F24004" w:rsidRDefault="00F24004" w:rsidP="00F24004">
      <w:pPr>
        <w:pStyle w:val="tMain"/>
      </w:pPr>
      <w:r w:rsidRPr="00DD2453">
        <w:tab/>
      </w:r>
      <w:r>
        <w:t>(2)</w:t>
      </w:r>
      <w:r w:rsidRPr="00DD2453">
        <w:tab/>
        <w:t xml:space="preserve">The metric in subsection (1) is applicable to a </w:t>
      </w:r>
      <w:r w:rsidRPr="00F24004">
        <w:t>facility that conducts the activity of producing rolls of packaging and industrial paper through physical or chemical transformation of any or all of wood chips, sawdust, wood pulp and recovered paper into packaging and industrial paper that:</w:t>
      </w:r>
    </w:p>
    <w:p w14:paraId="493C2F57" w14:textId="77777777" w:rsidR="00F24004" w:rsidRPr="00F24004" w:rsidRDefault="00F24004" w:rsidP="00F24004">
      <w:pPr>
        <w:pStyle w:val="tPara"/>
      </w:pPr>
      <w:r>
        <w:tab/>
        <w:t>(a)</w:t>
      </w:r>
      <w:r>
        <w:tab/>
      </w:r>
      <w:r w:rsidRPr="00F24004">
        <w:t xml:space="preserve">is produced from wholly or partially unbleached input fibre; and </w:t>
      </w:r>
    </w:p>
    <w:p w14:paraId="493C2F58" w14:textId="77777777" w:rsidR="00F24004" w:rsidRPr="00F24004" w:rsidRDefault="00F24004" w:rsidP="00F24004">
      <w:pPr>
        <w:pStyle w:val="tPara"/>
      </w:pPr>
      <w:r>
        <w:tab/>
        <w:t>(b)</w:t>
      </w:r>
      <w:r>
        <w:tab/>
      </w:r>
      <w:r w:rsidRPr="00F24004">
        <w:t xml:space="preserve">has a </w:t>
      </w:r>
      <w:proofErr w:type="spellStart"/>
      <w:r w:rsidRPr="00F24004">
        <w:t>grammage</w:t>
      </w:r>
      <w:proofErr w:type="spellEnd"/>
      <w:r w:rsidRPr="00F24004">
        <w:t xml:space="preserve"> range of 30 g/m</w:t>
      </w:r>
      <w:r w:rsidRPr="00F24004">
        <w:rPr>
          <w:vertAlign w:val="superscript"/>
        </w:rPr>
        <w:t>2</w:t>
      </w:r>
      <w:r w:rsidRPr="00F24004">
        <w:t xml:space="preserve"> to 500 g/m</w:t>
      </w:r>
      <w:r w:rsidRPr="00F24004">
        <w:rPr>
          <w:vertAlign w:val="superscript"/>
        </w:rPr>
        <w:t>2</w:t>
      </w:r>
      <w:r w:rsidRPr="00F24004">
        <w:t xml:space="preserve">; and </w:t>
      </w:r>
    </w:p>
    <w:p w14:paraId="493C2F59" w14:textId="77777777" w:rsidR="00F24004" w:rsidRPr="00F24004" w:rsidRDefault="00F24004" w:rsidP="00F24004">
      <w:pPr>
        <w:pStyle w:val="tPara"/>
      </w:pPr>
      <w:r>
        <w:tab/>
        <w:t>(c)</w:t>
      </w:r>
      <w:r>
        <w:tab/>
      </w:r>
      <w:r w:rsidRPr="00F24004">
        <w:t xml:space="preserve">has a moisture content in the range of 4% to 11% by mass; and </w:t>
      </w:r>
    </w:p>
    <w:p w14:paraId="493C2F5A" w14:textId="77777777" w:rsidR="00F24004" w:rsidRPr="00F24004" w:rsidRDefault="00F24004" w:rsidP="00F24004">
      <w:pPr>
        <w:pStyle w:val="tPara"/>
      </w:pPr>
      <w:r>
        <w:tab/>
        <w:t>(d)</w:t>
      </w:r>
      <w:r>
        <w:tab/>
      </w:r>
      <w:r w:rsidRPr="00F24004">
        <w:t>is uncoated; and</w:t>
      </w:r>
    </w:p>
    <w:p w14:paraId="493C2F5B" w14:textId="77777777" w:rsidR="00F24004" w:rsidRPr="00F24004" w:rsidRDefault="00F24004" w:rsidP="00DE43E6">
      <w:pPr>
        <w:pStyle w:val="tPara"/>
      </w:pPr>
      <w:r>
        <w:tab/>
        <w:t>(e)</w:t>
      </w:r>
      <w:r>
        <w:tab/>
      </w:r>
      <w:r w:rsidRPr="00F24004">
        <w:t xml:space="preserve">is generally useable as a packaging or industrial paper, including products such as </w:t>
      </w:r>
      <w:proofErr w:type="spellStart"/>
      <w:r w:rsidRPr="00F24004">
        <w:t>kraft</w:t>
      </w:r>
      <w:proofErr w:type="spellEnd"/>
      <w:r w:rsidRPr="00F24004">
        <w:t xml:space="preserve"> liner, recycled or multiply liner, medium, sack and bag paper, wrapping paper, plasterboard liner, horticultural paper and building paper; and</w:t>
      </w:r>
    </w:p>
    <w:p w14:paraId="493C2F5C" w14:textId="77777777" w:rsidR="00F24004" w:rsidRPr="00F24004" w:rsidRDefault="00F24004" w:rsidP="00F24004">
      <w:pPr>
        <w:pStyle w:val="tPara"/>
      </w:pPr>
      <w:r>
        <w:tab/>
      </w:r>
      <w:r w:rsidR="00DE43E6">
        <w:t>(f</w:t>
      </w:r>
      <w:r>
        <w:t>)</w:t>
      </w:r>
      <w:r>
        <w:tab/>
      </w:r>
      <w:r w:rsidRPr="00F24004">
        <w:t>is of saleable quality.</w:t>
      </w:r>
    </w:p>
    <w:p w14:paraId="493C2F5D" w14:textId="77777777" w:rsidR="00F24004" w:rsidRDefault="00F24004" w:rsidP="00F24004">
      <w:pPr>
        <w:pStyle w:val="tMain"/>
      </w:pPr>
      <w:r w:rsidRPr="00DD2453">
        <w:tab/>
      </w:r>
      <w:r>
        <w:t>(3)</w:t>
      </w:r>
      <w:r w:rsidRPr="00DD2453">
        <w:tab/>
        <w:t xml:space="preserve">The activity in subsection (2) is the </w:t>
      </w:r>
      <w:r>
        <w:rPr>
          <w:b/>
          <w:i/>
        </w:rPr>
        <w:t>packaging and industrial paper manufacturing activity</w:t>
      </w:r>
      <w:r w:rsidRPr="00DD2453">
        <w:t>.</w:t>
      </w:r>
    </w:p>
    <w:p w14:paraId="51996DC4" w14:textId="77777777" w:rsidR="00023B7A" w:rsidRPr="00023B7A"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F5F" w14:textId="77777777" w:rsidR="008A7C58" w:rsidRDefault="008A7C58" w:rsidP="008A7C58">
      <w:pPr>
        <w:pStyle w:val="h3Div"/>
      </w:pPr>
      <w:r>
        <w:rPr>
          <w:rStyle w:val="CharDivNo"/>
        </w:rPr>
        <w:t>Division 4</w:t>
      </w:r>
      <w:r w:rsidRPr="00DD2453">
        <w:t>—</w:t>
      </w:r>
      <w:r>
        <w:t>Printing and writing</w:t>
      </w:r>
      <w:r w:rsidRPr="00F24004">
        <w:t xml:space="preserve"> paper </w:t>
      </w:r>
    </w:p>
    <w:p w14:paraId="493C2F60" w14:textId="77777777" w:rsidR="00F24004" w:rsidRPr="00DD2453" w:rsidRDefault="00F24004" w:rsidP="00F24004">
      <w:pPr>
        <w:pStyle w:val="h5Section"/>
      </w:pPr>
      <w:r>
        <w:t>83</w:t>
      </w:r>
      <w:r w:rsidRPr="00DD2453">
        <w:t xml:space="preserve">  </w:t>
      </w:r>
      <w:r w:rsidR="008A7C58">
        <w:t>Printing and writing paper</w:t>
      </w:r>
    </w:p>
    <w:p w14:paraId="493C2F61" w14:textId="5D61B550" w:rsidR="00F24004" w:rsidRDefault="00F24004" w:rsidP="00F24004">
      <w:pPr>
        <w:pStyle w:val="tMain"/>
      </w:pPr>
      <w:r w:rsidRPr="00DD2453">
        <w:tab/>
      </w:r>
      <w:r>
        <w:t>(1)</w:t>
      </w:r>
      <w:r w:rsidRPr="00DD2453">
        <w:tab/>
      </w:r>
      <w:r>
        <w:t xml:space="preserve">Tonnes of rolls of </w:t>
      </w:r>
      <w:r w:rsidR="002807F0">
        <w:t xml:space="preserve">coated or </w:t>
      </w:r>
      <w:r>
        <w:t>uncoated printing and writing paper that:</w:t>
      </w:r>
    </w:p>
    <w:p w14:paraId="493C2F62" w14:textId="77777777" w:rsidR="00F24004" w:rsidRPr="00F24004" w:rsidRDefault="00F24004" w:rsidP="00F24004">
      <w:pPr>
        <w:pStyle w:val="tPara"/>
      </w:pPr>
      <w:r>
        <w:tab/>
        <w:t>(a)</w:t>
      </w:r>
      <w:r>
        <w:tab/>
      </w:r>
      <w:r w:rsidRPr="00F24004">
        <w:t xml:space="preserve">is produced from 100% bleached or brightened input fibre; and </w:t>
      </w:r>
    </w:p>
    <w:p w14:paraId="493C2F63" w14:textId="77777777" w:rsidR="00F24004" w:rsidRPr="00F24004" w:rsidRDefault="00F24004" w:rsidP="00F24004">
      <w:pPr>
        <w:pStyle w:val="tPara"/>
      </w:pPr>
      <w:r>
        <w:tab/>
        <w:t>(b)</w:t>
      </w:r>
      <w:r>
        <w:tab/>
      </w:r>
      <w:r w:rsidRPr="00F24004">
        <w:t xml:space="preserve">has a </w:t>
      </w:r>
      <w:proofErr w:type="spellStart"/>
      <w:r w:rsidRPr="00F24004">
        <w:t>grammage</w:t>
      </w:r>
      <w:proofErr w:type="spellEnd"/>
      <w:r w:rsidRPr="00F24004">
        <w:t xml:space="preserve"> range of 42 g/m</w:t>
      </w:r>
      <w:r w:rsidRPr="008A7C58">
        <w:rPr>
          <w:vertAlign w:val="superscript"/>
        </w:rPr>
        <w:t>2</w:t>
      </w:r>
      <w:r w:rsidRPr="00F24004">
        <w:t xml:space="preserve"> to 350 g/m</w:t>
      </w:r>
      <w:r w:rsidRPr="008A7C58">
        <w:rPr>
          <w:vertAlign w:val="superscript"/>
        </w:rPr>
        <w:t>2</w:t>
      </w:r>
      <w:r w:rsidRPr="00F24004">
        <w:t xml:space="preserve">; and </w:t>
      </w:r>
    </w:p>
    <w:p w14:paraId="493C2F64" w14:textId="77777777" w:rsidR="00F24004" w:rsidRPr="00F24004" w:rsidRDefault="00F24004" w:rsidP="00F24004">
      <w:pPr>
        <w:pStyle w:val="tPara"/>
      </w:pPr>
      <w:r>
        <w:tab/>
        <w:t>(c)</w:t>
      </w:r>
      <w:r>
        <w:tab/>
      </w:r>
      <w:r w:rsidRPr="00F24004">
        <w:t xml:space="preserve">has a moisture content in the range of 4% to 11% by mass; and </w:t>
      </w:r>
    </w:p>
    <w:p w14:paraId="493C2F65" w14:textId="77777777" w:rsidR="00F24004" w:rsidRPr="00F24004" w:rsidRDefault="00F24004" w:rsidP="00F24004">
      <w:pPr>
        <w:pStyle w:val="tPara"/>
      </w:pPr>
      <w:r>
        <w:tab/>
        <w:t>(d)</w:t>
      </w:r>
      <w:r>
        <w:tab/>
      </w:r>
      <w:r w:rsidRPr="00F24004">
        <w:t xml:space="preserve">is generally useable as a printing and writing paper product, including products such as offset paper, copy paper, laser printing paper, magazine paper, filing card paper, </w:t>
      </w:r>
      <w:proofErr w:type="spellStart"/>
      <w:r w:rsidRPr="00F24004">
        <w:t>manilla</w:t>
      </w:r>
      <w:proofErr w:type="spellEnd"/>
      <w:r w:rsidRPr="00F24004">
        <w:t>, book printing paper, envelope paper, forms paper, scholastic paper, cheque paper and security paper; and</w:t>
      </w:r>
    </w:p>
    <w:p w14:paraId="493C2F66" w14:textId="77777777" w:rsidR="00F24004" w:rsidRPr="00F24004" w:rsidRDefault="00F24004" w:rsidP="00F24004">
      <w:pPr>
        <w:pStyle w:val="tPara"/>
      </w:pPr>
      <w:r>
        <w:tab/>
        <w:t>(e)</w:t>
      </w:r>
      <w:r>
        <w:tab/>
      </w:r>
      <w:r w:rsidRPr="00F24004">
        <w:t>has not been counted for another production variable at the facility;</w:t>
      </w:r>
      <w:r>
        <w:t xml:space="preserve"> and</w:t>
      </w:r>
    </w:p>
    <w:p w14:paraId="493C2F67" w14:textId="77777777" w:rsidR="00F24004" w:rsidRDefault="00F24004" w:rsidP="00F24004">
      <w:pPr>
        <w:pStyle w:val="tPara"/>
      </w:pPr>
      <w:r>
        <w:tab/>
        <w:t>(f)</w:t>
      </w:r>
      <w:r>
        <w:tab/>
      </w:r>
      <w:r w:rsidRPr="00F24004">
        <w:t>is produced as part of carrying on the printing and writing paper manufacturing activity at the fa</w:t>
      </w:r>
      <w:r>
        <w:t>cility; and</w:t>
      </w:r>
    </w:p>
    <w:p w14:paraId="493C2F68" w14:textId="77777777" w:rsidR="00F24004" w:rsidRDefault="00F24004" w:rsidP="00F24004">
      <w:pPr>
        <w:pStyle w:val="tPara"/>
      </w:pPr>
      <w:r>
        <w:tab/>
        <w:t>(g)</w:t>
      </w:r>
      <w:r>
        <w:tab/>
        <w:t>is of saleable quality.</w:t>
      </w:r>
    </w:p>
    <w:p w14:paraId="493C2F69" w14:textId="77777777" w:rsidR="00F24004" w:rsidRDefault="00F24004" w:rsidP="00F24004">
      <w:pPr>
        <w:pStyle w:val="tMain"/>
      </w:pPr>
      <w:r w:rsidRPr="00DD2453">
        <w:tab/>
      </w:r>
      <w:r>
        <w:t>(2)</w:t>
      </w:r>
      <w:r w:rsidRPr="00DD2453">
        <w:tab/>
        <w:t>The metric in subsection (1) is applicable to a facility that</w:t>
      </w:r>
      <w:r>
        <w:t xml:space="preserve"> </w:t>
      </w:r>
      <w:r w:rsidRPr="00F24004">
        <w:rPr>
          <w:lang w:val="en-US"/>
        </w:rPr>
        <w:t xml:space="preserve">conducts the activity of producing </w:t>
      </w:r>
      <w:r w:rsidRPr="00F24004">
        <w:t xml:space="preserve">rolls of coated or uncoated printing and writing paper </w:t>
      </w:r>
      <w:r w:rsidRPr="00F24004">
        <w:rPr>
          <w:lang w:val="en-US"/>
        </w:rPr>
        <w:t>through</w:t>
      </w:r>
      <w:r w:rsidRPr="00F24004">
        <w:t xml:space="preserve"> physical or chemical transformation of any or all of wood chips, sawdust, wood pulp and recovered paper into rolls of coated or uncoated printing and writing paper that:</w:t>
      </w:r>
    </w:p>
    <w:p w14:paraId="493C2F6A" w14:textId="77777777" w:rsidR="00F24004" w:rsidRPr="00F24004" w:rsidRDefault="00F24004" w:rsidP="00F24004">
      <w:pPr>
        <w:pStyle w:val="tPara"/>
      </w:pPr>
      <w:r>
        <w:tab/>
        <w:t>(a)</w:t>
      </w:r>
      <w:r>
        <w:tab/>
      </w:r>
      <w:r w:rsidRPr="00F24004">
        <w:t xml:space="preserve">is produced from 100% bleached or brightened input fibre; and </w:t>
      </w:r>
    </w:p>
    <w:p w14:paraId="493C2F6B" w14:textId="77777777" w:rsidR="00F24004" w:rsidRPr="00F24004" w:rsidRDefault="00F24004" w:rsidP="00F24004">
      <w:pPr>
        <w:pStyle w:val="tPara"/>
      </w:pPr>
      <w:r>
        <w:tab/>
        <w:t>(b)</w:t>
      </w:r>
      <w:r>
        <w:tab/>
      </w:r>
      <w:r w:rsidRPr="00F24004">
        <w:t xml:space="preserve">has a </w:t>
      </w:r>
      <w:proofErr w:type="spellStart"/>
      <w:r w:rsidRPr="00F24004">
        <w:t>grammage</w:t>
      </w:r>
      <w:proofErr w:type="spellEnd"/>
      <w:r w:rsidRPr="00F24004">
        <w:t xml:space="preserve"> range of 42 g/m</w:t>
      </w:r>
      <w:r w:rsidRPr="008A7C58">
        <w:rPr>
          <w:vertAlign w:val="superscript"/>
        </w:rPr>
        <w:t>2</w:t>
      </w:r>
      <w:r w:rsidRPr="00F24004">
        <w:t xml:space="preserve"> to 350 g/m</w:t>
      </w:r>
      <w:r w:rsidRPr="008A7C58">
        <w:rPr>
          <w:vertAlign w:val="superscript"/>
        </w:rPr>
        <w:t>2</w:t>
      </w:r>
      <w:r w:rsidRPr="00F24004">
        <w:t xml:space="preserve">; and </w:t>
      </w:r>
    </w:p>
    <w:p w14:paraId="493C2F6C" w14:textId="77777777" w:rsidR="00F24004" w:rsidRPr="00F24004" w:rsidRDefault="00F24004" w:rsidP="00F24004">
      <w:pPr>
        <w:pStyle w:val="tPara"/>
      </w:pPr>
      <w:r>
        <w:tab/>
        <w:t>(c)</w:t>
      </w:r>
      <w:r>
        <w:tab/>
      </w:r>
      <w:r w:rsidRPr="00F24004">
        <w:t xml:space="preserve">has a moisture content in the range of 4% to 11% by mass; and </w:t>
      </w:r>
    </w:p>
    <w:p w14:paraId="493C2F6D" w14:textId="77777777" w:rsidR="00F24004" w:rsidRDefault="00F24004" w:rsidP="00F24004">
      <w:pPr>
        <w:pStyle w:val="tPara"/>
      </w:pPr>
      <w:r>
        <w:tab/>
        <w:t>(d)</w:t>
      </w:r>
      <w:r>
        <w:tab/>
      </w:r>
      <w:r w:rsidRPr="00F24004">
        <w:t xml:space="preserve">is generally useable as a printing and writing paper product, including products such as offset paper, copy paper, laser printing paper, magazine paper, filing card paper, </w:t>
      </w:r>
      <w:proofErr w:type="spellStart"/>
      <w:r w:rsidRPr="00F24004">
        <w:t>manilla</w:t>
      </w:r>
      <w:proofErr w:type="spellEnd"/>
      <w:r w:rsidRPr="00F24004">
        <w:t>, book printing paper, envelope paper, forms paper, scholastic paper, cheque paper and security paper; and</w:t>
      </w:r>
    </w:p>
    <w:p w14:paraId="493C2F6E" w14:textId="77777777" w:rsidR="00F24004" w:rsidRDefault="00F24004" w:rsidP="00F24004">
      <w:pPr>
        <w:pStyle w:val="tPara"/>
      </w:pPr>
      <w:r>
        <w:tab/>
        <w:t>(e)</w:t>
      </w:r>
      <w:r>
        <w:tab/>
        <w:t>is of saleable quality.</w:t>
      </w:r>
    </w:p>
    <w:p w14:paraId="493C2F6F" w14:textId="77777777" w:rsidR="00F24004" w:rsidRDefault="00F24004" w:rsidP="00F24004">
      <w:pPr>
        <w:pStyle w:val="tMain"/>
      </w:pPr>
      <w:r w:rsidRPr="00DD2453">
        <w:tab/>
      </w:r>
      <w:r>
        <w:t>(3)</w:t>
      </w:r>
      <w:r w:rsidRPr="00DD2453">
        <w:tab/>
        <w:t xml:space="preserve">The activity in subsection (2) is the </w:t>
      </w:r>
      <w:r w:rsidR="008A7C58">
        <w:rPr>
          <w:b/>
          <w:i/>
        </w:rPr>
        <w:t>printing and writing paper</w:t>
      </w:r>
      <w:r>
        <w:rPr>
          <w:b/>
          <w:i/>
        </w:rPr>
        <w:t xml:space="preserve"> manufacturing activity</w:t>
      </w:r>
      <w:r w:rsidRPr="00DD2453">
        <w:t>.</w:t>
      </w:r>
    </w:p>
    <w:p w14:paraId="0614E8C0" w14:textId="77777777" w:rsidR="00023B7A" w:rsidRPr="00023B7A"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F71" w14:textId="091E6776" w:rsidR="008A7C58" w:rsidRDefault="00163697" w:rsidP="008A7C58">
      <w:pPr>
        <w:pStyle w:val="h3Div"/>
      </w:pPr>
      <w:r>
        <w:rPr>
          <w:rStyle w:val="CharDivNo"/>
        </w:rPr>
        <w:t>Division 5</w:t>
      </w:r>
      <w:r w:rsidR="008A7C58" w:rsidRPr="00DD2453">
        <w:t>—</w:t>
      </w:r>
      <w:r w:rsidR="008A7C58">
        <w:t>Newsprint</w:t>
      </w:r>
      <w:r w:rsidR="008A7C58" w:rsidRPr="00F24004">
        <w:t xml:space="preserve"> </w:t>
      </w:r>
    </w:p>
    <w:p w14:paraId="493C2F72" w14:textId="77777777" w:rsidR="008A7C58" w:rsidRPr="00DD2453" w:rsidRDefault="008A7C58" w:rsidP="008A7C58">
      <w:pPr>
        <w:pStyle w:val="h5Section"/>
      </w:pPr>
      <w:r>
        <w:t>84</w:t>
      </w:r>
      <w:r w:rsidRPr="00DD2453">
        <w:t xml:space="preserve">  </w:t>
      </w:r>
      <w:r>
        <w:t>Newsprint</w:t>
      </w:r>
    </w:p>
    <w:p w14:paraId="493C2F73" w14:textId="77777777" w:rsidR="008A7C58" w:rsidRDefault="008A7C58" w:rsidP="008A7C58">
      <w:pPr>
        <w:pStyle w:val="tMain"/>
      </w:pPr>
      <w:r w:rsidRPr="00DD2453">
        <w:tab/>
      </w:r>
      <w:r>
        <w:t>(1)</w:t>
      </w:r>
      <w:r w:rsidRPr="00DD2453">
        <w:tab/>
      </w:r>
      <w:r>
        <w:t>Tonnes of rolls of uncoated newsprint that:</w:t>
      </w:r>
    </w:p>
    <w:p w14:paraId="493C2F74" w14:textId="77777777" w:rsidR="008A7C58" w:rsidRPr="008A7C58" w:rsidRDefault="008A7C58" w:rsidP="008A7C58">
      <w:pPr>
        <w:pStyle w:val="tPara"/>
      </w:pPr>
      <w:r>
        <w:tab/>
        <w:t>(a)</w:t>
      </w:r>
      <w:r>
        <w:tab/>
      </w:r>
      <w:r w:rsidRPr="008A7C58">
        <w:t xml:space="preserve">has a </w:t>
      </w:r>
      <w:proofErr w:type="spellStart"/>
      <w:r w:rsidRPr="008A7C58">
        <w:t>grammage</w:t>
      </w:r>
      <w:proofErr w:type="spellEnd"/>
      <w:r w:rsidRPr="008A7C58">
        <w:t xml:space="preserve"> range of 30 g/m</w:t>
      </w:r>
      <w:r w:rsidRPr="00DE43E6">
        <w:rPr>
          <w:vertAlign w:val="superscript"/>
        </w:rPr>
        <w:t>2</w:t>
      </w:r>
      <w:r w:rsidRPr="008A7C58">
        <w:t xml:space="preserve"> to 80 g/m</w:t>
      </w:r>
      <w:r w:rsidRPr="00DE43E6">
        <w:rPr>
          <w:vertAlign w:val="superscript"/>
        </w:rPr>
        <w:t>2</w:t>
      </w:r>
      <w:r w:rsidRPr="008A7C58">
        <w:t xml:space="preserve">; and </w:t>
      </w:r>
    </w:p>
    <w:p w14:paraId="493C2F75" w14:textId="77777777" w:rsidR="008A7C58" w:rsidRPr="008A7C58" w:rsidRDefault="008A7C58" w:rsidP="008A7C58">
      <w:pPr>
        <w:pStyle w:val="tPara"/>
      </w:pPr>
      <w:r>
        <w:tab/>
        <w:t>(b)</w:t>
      </w:r>
      <w:r>
        <w:tab/>
      </w:r>
      <w:r w:rsidRPr="008A7C58">
        <w:t xml:space="preserve">has a moisture content range of 4% to 11% by mass; and </w:t>
      </w:r>
    </w:p>
    <w:p w14:paraId="493C2F76" w14:textId="77777777" w:rsidR="008A7C58" w:rsidRPr="008A7C58" w:rsidRDefault="008A7C58" w:rsidP="008A7C58">
      <w:pPr>
        <w:pStyle w:val="tPara"/>
      </w:pPr>
      <w:r>
        <w:tab/>
        <w:t>(c)</w:t>
      </w:r>
      <w:r>
        <w:tab/>
      </w:r>
      <w:r w:rsidRPr="008A7C58">
        <w:t>is generally usable for newspaper or publication products; and</w:t>
      </w:r>
    </w:p>
    <w:p w14:paraId="493C2F77" w14:textId="77777777" w:rsidR="008A7C58" w:rsidRPr="008A7C58" w:rsidRDefault="008A7C58" w:rsidP="008A7C58">
      <w:pPr>
        <w:pStyle w:val="tPara"/>
      </w:pPr>
      <w:r>
        <w:tab/>
        <w:t>(d)</w:t>
      </w:r>
      <w:r>
        <w:tab/>
      </w:r>
      <w:r w:rsidRPr="008A7C58">
        <w:t>has not been counted for another production variable at the facility;</w:t>
      </w:r>
    </w:p>
    <w:p w14:paraId="493C2F78" w14:textId="77777777" w:rsidR="008A7C58" w:rsidRPr="008A7C58" w:rsidRDefault="008A7C58" w:rsidP="008A7C58">
      <w:pPr>
        <w:pStyle w:val="tPara"/>
      </w:pPr>
      <w:r>
        <w:tab/>
        <w:t>(e)</w:t>
      </w:r>
      <w:r>
        <w:tab/>
      </w:r>
      <w:r w:rsidRPr="008A7C58">
        <w:t>is produced as part of carrying on the newsprint manufacturi</w:t>
      </w:r>
      <w:r>
        <w:t>ng activity at the facility.</w:t>
      </w:r>
    </w:p>
    <w:p w14:paraId="493C2F79" w14:textId="77777777" w:rsidR="008A7C58" w:rsidRDefault="008A7C58" w:rsidP="008A7C58">
      <w:pPr>
        <w:pStyle w:val="tMain"/>
      </w:pPr>
      <w:r w:rsidRPr="00DD2453">
        <w:tab/>
      </w:r>
      <w:r>
        <w:t>(2)</w:t>
      </w:r>
      <w:r w:rsidRPr="00DD2453">
        <w:tab/>
        <w:t>The metric in subsection (1) is applicable to a facility that</w:t>
      </w:r>
      <w:r>
        <w:t xml:space="preserve"> </w:t>
      </w:r>
      <w:r w:rsidRPr="008A7C58">
        <w:rPr>
          <w:lang w:val="en-US"/>
        </w:rPr>
        <w:t xml:space="preserve">conducts the activity of producing </w:t>
      </w:r>
      <w:r w:rsidRPr="008A7C58">
        <w:t>rolls of uncoated newsprint through the chemical and physical transformation, using an integrated process, of any or all of woodchips, sawdust, wood pulp and recovered paper into rolls of uncoated newsprint that:</w:t>
      </w:r>
    </w:p>
    <w:p w14:paraId="493C2F7A" w14:textId="77777777" w:rsidR="008A7C58" w:rsidRPr="008A7C58" w:rsidRDefault="008A7C58" w:rsidP="008A7C58">
      <w:pPr>
        <w:pStyle w:val="tPara"/>
      </w:pPr>
      <w:r>
        <w:tab/>
        <w:t>(a)</w:t>
      </w:r>
      <w:r>
        <w:tab/>
      </w:r>
      <w:r w:rsidRPr="008A7C58">
        <w:t xml:space="preserve">has a </w:t>
      </w:r>
      <w:proofErr w:type="spellStart"/>
      <w:r w:rsidRPr="008A7C58">
        <w:t>grammage</w:t>
      </w:r>
      <w:proofErr w:type="spellEnd"/>
      <w:r w:rsidRPr="008A7C58">
        <w:t xml:space="preserve"> range of 30 g/m</w:t>
      </w:r>
      <w:r w:rsidRPr="00DE43E6">
        <w:rPr>
          <w:vertAlign w:val="superscript"/>
        </w:rPr>
        <w:t>2</w:t>
      </w:r>
      <w:r w:rsidRPr="008A7C58">
        <w:t xml:space="preserve"> to 80 g/m</w:t>
      </w:r>
      <w:r w:rsidRPr="00DE43E6">
        <w:rPr>
          <w:vertAlign w:val="superscript"/>
        </w:rPr>
        <w:t>2</w:t>
      </w:r>
      <w:r w:rsidRPr="008A7C58">
        <w:t xml:space="preserve">; and </w:t>
      </w:r>
    </w:p>
    <w:p w14:paraId="493C2F7B" w14:textId="77777777" w:rsidR="008A7C58" w:rsidRPr="008A7C58" w:rsidRDefault="008A7C58" w:rsidP="008A7C58">
      <w:pPr>
        <w:pStyle w:val="tPara"/>
      </w:pPr>
      <w:r>
        <w:tab/>
        <w:t>(b)</w:t>
      </w:r>
      <w:r>
        <w:tab/>
      </w:r>
      <w:r w:rsidRPr="008A7C58">
        <w:t xml:space="preserve">has a moisture content range of 4% to 11% by mass; and </w:t>
      </w:r>
    </w:p>
    <w:p w14:paraId="493C2F7C" w14:textId="77777777" w:rsidR="008A7C58" w:rsidRPr="008A7C58" w:rsidRDefault="008A7C58" w:rsidP="008A7C58">
      <w:pPr>
        <w:pStyle w:val="tPara"/>
      </w:pPr>
      <w:r>
        <w:tab/>
        <w:t>(c)</w:t>
      </w:r>
      <w:r>
        <w:tab/>
      </w:r>
      <w:r w:rsidRPr="008A7C58">
        <w:t>is generally usable for newspa</w:t>
      </w:r>
      <w:r>
        <w:t>per or publication products.</w:t>
      </w:r>
    </w:p>
    <w:p w14:paraId="493C2F7D" w14:textId="77777777" w:rsidR="008A7C58" w:rsidRDefault="008A7C58" w:rsidP="008A7C58">
      <w:pPr>
        <w:pStyle w:val="tMain"/>
      </w:pPr>
      <w:r w:rsidRPr="00DD2453">
        <w:tab/>
      </w:r>
      <w:r>
        <w:t>(3)</w:t>
      </w:r>
      <w:r w:rsidRPr="00DD2453">
        <w:tab/>
        <w:t xml:space="preserve">The activity in subsection (2) is the </w:t>
      </w:r>
      <w:r>
        <w:rPr>
          <w:b/>
          <w:i/>
        </w:rPr>
        <w:t>newsprint manufacturing activity</w:t>
      </w:r>
      <w:r w:rsidRPr="00DD2453">
        <w:t>.</w:t>
      </w:r>
    </w:p>
    <w:p w14:paraId="6B31D17C" w14:textId="77777777" w:rsidR="00023B7A" w:rsidRPr="00023B7A"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F7F" w14:textId="69325650" w:rsidR="008A7C58" w:rsidRDefault="00163697" w:rsidP="008A7C58">
      <w:pPr>
        <w:pStyle w:val="h3Div"/>
      </w:pPr>
      <w:r>
        <w:rPr>
          <w:rStyle w:val="CharDivNo"/>
        </w:rPr>
        <w:t>Division 6</w:t>
      </w:r>
      <w:r w:rsidR="008A7C58" w:rsidRPr="00DD2453">
        <w:t>—</w:t>
      </w:r>
      <w:r w:rsidR="008A7C58">
        <w:t>Pulp</w:t>
      </w:r>
      <w:r w:rsidR="008A7C58" w:rsidRPr="00F24004">
        <w:t xml:space="preserve"> </w:t>
      </w:r>
    </w:p>
    <w:p w14:paraId="493C2F80" w14:textId="77777777" w:rsidR="008A7C58" w:rsidRPr="00DD2453" w:rsidRDefault="008A7C58" w:rsidP="008A7C58">
      <w:pPr>
        <w:pStyle w:val="h5Section"/>
      </w:pPr>
      <w:r>
        <w:t>85</w:t>
      </w:r>
      <w:r w:rsidRPr="00DD2453">
        <w:t xml:space="preserve">  </w:t>
      </w:r>
      <w:r>
        <w:t>Pulp</w:t>
      </w:r>
    </w:p>
    <w:p w14:paraId="493C2F81" w14:textId="77777777" w:rsidR="008A7C58" w:rsidRDefault="008A7C58" w:rsidP="008A7C58">
      <w:pPr>
        <w:pStyle w:val="tMain"/>
      </w:pPr>
      <w:r w:rsidRPr="00DD2453">
        <w:tab/>
      </w:r>
      <w:r>
        <w:t>(1)</w:t>
      </w:r>
      <w:r w:rsidRPr="00DD2453">
        <w:tab/>
      </w:r>
      <w:r>
        <w:t>Tonnes of wet or dry pulp that:</w:t>
      </w:r>
    </w:p>
    <w:p w14:paraId="493C2F82" w14:textId="77777777" w:rsidR="008A7C58" w:rsidRDefault="008A7C58" w:rsidP="008A7C58">
      <w:pPr>
        <w:pStyle w:val="tPara"/>
      </w:pPr>
      <w:r>
        <w:tab/>
        <w:t>(a)</w:t>
      </w:r>
      <w:r>
        <w:tab/>
        <w:t>is generally useable in one or more of:</w:t>
      </w:r>
    </w:p>
    <w:p w14:paraId="493C2F83" w14:textId="77777777" w:rsidR="008A7C58" w:rsidRDefault="008A7C58" w:rsidP="008A7C58">
      <w:pPr>
        <w:pStyle w:val="tSubpara"/>
      </w:pPr>
      <w:r>
        <w:tab/>
        <w:t>(</w:t>
      </w:r>
      <w:proofErr w:type="spellStart"/>
      <w:r>
        <w:t>i</w:t>
      </w:r>
      <w:proofErr w:type="spellEnd"/>
      <w:r>
        <w:t>)</w:t>
      </w:r>
      <w:r>
        <w:tab/>
        <w:t>paper manufacturing;</w:t>
      </w:r>
    </w:p>
    <w:p w14:paraId="493C2F84" w14:textId="77777777" w:rsidR="008A7C58" w:rsidRDefault="008A7C58" w:rsidP="008A7C58">
      <w:pPr>
        <w:pStyle w:val="tSubpara"/>
      </w:pPr>
      <w:r>
        <w:tab/>
        <w:t>(ii)</w:t>
      </w:r>
      <w:r>
        <w:tab/>
        <w:t>packaging and cardboard manufacturing;</w:t>
      </w:r>
    </w:p>
    <w:p w14:paraId="493C2F85" w14:textId="77777777" w:rsidR="008A7C58" w:rsidRDefault="008A7C58" w:rsidP="008A7C58">
      <w:pPr>
        <w:pStyle w:val="tSubpara"/>
      </w:pPr>
      <w:r>
        <w:tab/>
        <w:t>(iii)</w:t>
      </w:r>
      <w:r>
        <w:tab/>
        <w:t xml:space="preserve">newsprint manufacturing; </w:t>
      </w:r>
    </w:p>
    <w:p w14:paraId="493C2F86" w14:textId="77777777" w:rsidR="008A7C58" w:rsidRDefault="008A7C58" w:rsidP="008A7C58">
      <w:pPr>
        <w:pStyle w:val="tSubpara"/>
      </w:pPr>
      <w:r>
        <w:tab/>
        <w:t>(iv)</w:t>
      </w:r>
      <w:r>
        <w:tab/>
        <w:t xml:space="preserve">tissue paper manufacturing; </w:t>
      </w:r>
    </w:p>
    <w:p w14:paraId="493C2F87" w14:textId="77777777" w:rsidR="008A7C58" w:rsidRDefault="008A7C58" w:rsidP="008A7C58">
      <w:pPr>
        <w:pStyle w:val="tSubpara"/>
      </w:pPr>
      <w:r>
        <w:tab/>
        <w:t>(v)</w:t>
      </w:r>
      <w:r>
        <w:tab/>
        <w:t>the production of sanitary products (such as a fluff pulp layer in sanitary products); and</w:t>
      </w:r>
    </w:p>
    <w:p w14:paraId="493C2F88" w14:textId="77777777" w:rsidR="008A7C58" w:rsidRDefault="008A7C58" w:rsidP="008A7C58">
      <w:pPr>
        <w:pStyle w:val="tPara"/>
      </w:pPr>
      <w:r>
        <w:tab/>
        <w:t>(b)</w:t>
      </w:r>
      <w:r>
        <w:tab/>
        <w:t>is measured according to ordinary measurement rules applicable in the industry; and</w:t>
      </w:r>
    </w:p>
    <w:p w14:paraId="493C2F89" w14:textId="77777777" w:rsidR="008A7C58" w:rsidRDefault="008A7C58" w:rsidP="008A7C58">
      <w:pPr>
        <w:pStyle w:val="tPara"/>
      </w:pPr>
      <w:r>
        <w:tab/>
        <w:t>(c)</w:t>
      </w:r>
      <w:r>
        <w:tab/>
        <w:t>if wet pulp—is converted to an air dried basis; and</w:t>
      </w:r>
    </w:p>
    <w:p w14:paraId="493C2F8A" w14:textId="77777777" w:rsidR="008A7C58" w:rsidRDefault="008A7C58" w:rsidP="008A7C58">
      <w:pPr>
        <w:pStyle w:val="tPara"/>
        <w:rPr>
          <w:rStyle w:val="CharDivText"/>
        </w:rPr>
      </w:pPr>
      <w:r>
        <w:tab/>
        <w:t>(d)</w:t>
      </w:r>
      <w:r>
        <w:tab/>
      </w:r>
      <w:r w:rsidRPr="008A7C58">
        <w:t xml:space="preserve">is produced as part of carrying on the </w:t>
      </w:r>
      <w:r>
        <w:t>pulp production activity at the facility.</w:t>
      </w:r>
    </w:p>
    <w:p w14:paraId="493C2F8B" w14:textId="3CEA379B" w:rsidR="008A7C58" w:rsidRPr="00044C87" w:rsidRDefault="00044C87" w:rsidP="00044C87">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008A7C58" w:rsidRPr="00044C87">
        <w:rPr>
          <w:rFonts w:eastAsia="Calibri" w:cs="Arial"/>
          <w:iCs/>
          <w:sz w:val="20"/>
          <w:szCs w:val="22"/>
          <w:lang w:eastAsia="en-US"/>
        </w:rPr>
        <w:t>Note:</w:t>
      </w:r>
      <w:r w:rsidR="008A7C58" w:rsidRPr="00044C87">
        <w:rPr>
          <w:rFonts w:eastAsia="Calibri" w:cs="Arial"/>
          <w:iCs/>
          <w:sz w:val="20"/>
          <w:szCs w:val="22"/>
          <w:lang w:eastAsia="en-US"/>
        </w:rPr>
        <w:tab/>
        <w:t>The quantity of pulp is generally converted to an air dried basis by adjusting the relevant tonnes to their mass with a moisture content of 10% (without drying the relevant wet pulp product).</w:t>
      </w:r>
    </w:p>
    <w:p w14:paraId="493C2F8C" w14:textId="77777777" w:rsidR="008A7C58" w:rsidRDefault="008A7C58" w:rsidP="008A7C58">
      <w:pPr>
        <w:pStyle w:val="tMain"/>
      </w:pPr>
      <w:r w:rsidRPr="00DD2453">
        <w:tab/>
      </w:r>
      <w:r>
        <w:t>(2)</w:t>
      </w:r>
      <w:r w:rsidRPr="00DD2453">
        <w:tab/>
        <w:t>The metric in subsection (1) is applicable to a facility that</w:t>
      </w:r>
      <w:r>
        <w:t xml:space="preserve"> </w:t>
      </w:r>
      <w:r w:rsidRPr="008A7C58">
        <w:rPr>
          <w:lang w:val="en-US"/>
        </w:rPr>
        <w:t>conducts the activity of producing pulp</w:t>
      </w:r>
      <w:r w:rsidRPr="008A7C58">
        <w:t xml:space="preserve"> </w:t>
      </w:r>
      <w:r w:rsidRPr="008A7C58">
        <w:rPr>
          <w:lang w:val="en-US"/>
        </w:rPr>
        <w:t xml:space="preserve">through the </w:t>
      </w:r>
      <w:r w:rsidRPr="008A7C58">
        <w:t>physical or chemical transformation of any or all of wood chips, sawdust, wood pulp and recovered paper into wet or dry pulp that is generally usable in one or more of the following:</w:t>
      </w:r>
    </w:p>
    <w:p w14:paraId="493C2F8D" w14:textId="77777777" w:rsidR="008A7C58" w:rsidRDefault="008A7C58" w:rsidP="008A7C58">
      <w:pPr>
        <w:pStyle w:val="tPara"/>
      </w:pPr>
      <w:r>
        <w:tab/>
        <w:t>(a)</w:t>
      </w:r>
      <w:r>
        <w:tab/>
        <w:t>paper manufacturing;</w:t>
      </w:r>
    </w:p>
    <w:p w14:paraId="493C2F8E" w14:textId="77777777" w:rsidR="008A7C58" w:rsidRDefault="008A7C58" w:rsidP="008A7C58">
      <w:pPr>
        <w:pStyle w:val="tPara"/>
      </w:pPr>
      <w:r>
        <w:tab/>
        <w:t>(b)</w:t>
      </w:r>
      <w:r>
        <w:tab/>
        <w:t>packaging and cardboard manufacturing;</w:t>
      </w:r>
    </w:p>
    <w:p w14:paraId="493C2F8F" w14:textId="77777777" w:rsidR="008A7C58" w:rsidRDefault="008A7C58" w:rsidP="008A7C58">
      <w:pPr>
        <w:pStyle w:val="tPara"/>
      </w:pPr>
      <w:r>
        <w:tab/>
        <w:t>(c)</w:t>
      </w:r>
      <w:r>
        <w:tab/>
        <w:t xml:space="preserve">newsprint manufacturing; </w:t>
      </w:r>
    </w:p>
    <w:p w14:paraId="493C2F90" w14:textId="77777777" w:rsidR="008A7C58" w:rsidRDefault="008A7C58" w:rsidP="008A7C58">
      <w:pPr>
        <w:pStyle w:val="tPara"/>
      </w:pPr>
      <w:r>
        <w:tab/>
        <w:t>(d)</w:t>
      </w:r>
      <w:r>
        <w:tab/>
        <w:t xml:space="preserve">tissue paper manufacturing; </w:t>
      </w:r>
    </w:p>
    <w:p w14:paraId="493C2F91" w14:textId="77777777" w:rsidR="008A7C58" w:rsidRDefault="008A7C58" w:rsidP="008A7C58">
      <w:pPr>
        <w:pStyle w:val="tPara"/>
      </w:pPr>
      <w:r>
        <w:tab/>
        <w:t>(e)</w:t>
      </w:r>
      <w:r>
        <w:tab/>
        <w:t>the production of sanitary products (such as a fluff pulp layer in sanitary products).</w:t>
      </w:r>
    </w:p>
    <w:p w14:paraId="493C2F92" w14:textId="77777777" w:rsidR="008A7C58" w:rsidRDefault="008A7C58" w:rsidP="008A7C58">
      <w:pPr>
        <w:pStyle w:val="tMain"/>
      </w:pPr>
      <w:r w:rsidRPr="00DD2453">
        <w:tab/>
      </w:r>
      <w:r>
        <w:t>(3)</w:t>
      </w:r>
      <w:r w:rsidRPr="00DD2453">
        <w:tab/>
        <w:t xml:space="preserve">The activity in subsection (2) is the </w:t>
      </w:r>
      <w:r>
        <w:rPr>
          <w:b/>
          <w:i/>
        </w:rPr>
        <w:t>pulp production activity</w:t>
      </w:r>
      <w:r w:rsidRPr="00DD2453">
        <w:t>.</w:t>
      </w:r>
    </w:p>
    <w:p w14:paraId="713E63AD" w14:textId="77777777" w:rsidR="00023B7A" w:rsidRPr="00023B7A"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F95" w14:textId="77777777" w:rsidR="000C0F32" w:rsidRPr="00DD2453" w:rsidRDefault="000C0F32" w:rsidP="000C0F32">
      <w:pPr>
        <w:pStyle w:val="ActHead6"/>
        <w:pageBreakBefore/>
      </w:pPr>
      <w:r>
        <w:rPr>
          <w:rStyle w:val="CharAmSchNo"/>
        </w:rPr>
        <w:t>Schedule 2</w:t>
      </w:r>
      <w:r w:rsidRPr="00DD2453">
        <w:t>—</w:t>
      </w:r>
      <w:r>
        <w:rPr>
          <w:rStyle w:val="CharAmSchText"/>
        </w:rPr>
        <w:t>Update to Global Warming Potentials</w:t>
      </w:r>
    </w:p>
    <w:p w14:paraId="493C2F96" w14:textId="77777777" w:rsidR="000C0F32" w:rsidRPr="00DD2453" w:rsidRDefault="000C0F32" w:rsidP="000C0F32">
      <w:pPr>
        <w:pStyle w:val="ActHead9"/>
      </w:pPr>
      <w:r w:rsidRPr="00DD2453">
        <w:t xml:space="preserve">National Greenhouse and Energy Reporting (Safeguard Mechanism) Rule 2015 </w:t>
      </w:r>
    </w:p>
    <w:p w14:paraId="493C2F97" w14:textId="77777777" w:rsidR="000C0F32" w:rsidRPr="00DD2453" w:rsidRDefault="000C0F32" w:rsidP="000C0F32">
      <w:pPr>
        <w:pStyle w:val="ItemHead"/>
      </w:pPr>
      <w:r w:rsidRPr="00DD2453">
        <w:t xml:space="preserve">1  </w:t>
      </w:r>
      <w:r>
        <w:t>After section 81</w:t>
      </w:r>
    </w:p>
    <w:p w14:paraId="493C2F98" w14:textId="77777777" w:rsidR="000C0F32" w:rsidRPr="000C0F32" w:rsidRDefault="000C0F32" w:rsidP="00A60F5B">
      <w:pPr>
        <w:pStyle w:val="Item"/>
      </w:pPr>
      <w:r>
        <w:t>Add:</w:t>
      </w:r>
    </w:p>
    <w:p w14:paraId="493C2F99" w14:textId="77777777" w:rsidR="000C0F32" w:rsidRPr="00447854" w:rsidRDefault="000C0F32" w:rsidP="000C0F32">
      <w:pPr>
        <w:pStyle w:val="h3Div"/>
      </w:pPr>
      <w:bookmarkStart w:id="12" w:name="_Toc39838764"/>
      <w:r>
        <w:t>Division 3</w:t>
      </w:r>
      <w:r w:rsidRPr="0063657F">
        <w:t>—</w:t>
      </w:r>
      <w:r>
        <w:t xml:space="preserve">Application and transitional provisions relating to the </w:t>
      </w:r>
      <w:r w:rsidRPr="00DD2453">
        <w:rPr>
          <w:i/>
        </w:rPr>
        <w:t>National Greenhouse and Energy Reporting (Safeguard Mechanism) Amendment (</w:t>
      </w:r>
      <w:r>
        <w:rPr>
          <w:i/>
        </w:rPr>
        <w:t>Additional Prescribed Production Variables</w:t>
      </w:r>
      <w:r w:rsidRPr="00DD2453">
        <w:rPr>
          <w:i/>
        </w:rPr>
        <w:t>) Rule 2020</w:t>
      </w:r>
      <w:bookmarkEnd w:id="12"/>
      <w:r>
        <w:rPr>
          <w:i/>
        </w:rPr>
        <w:t xml:space="preserve"> </w:t>
      </w:r>
    </w:p>
    <w:p w14:paraId="493C2F9A" w14:textId="77777777" w:rsidR="000C0F32" w:rsidRPr="0063657F" w:rsidRDefault="00A60F5B" w:rsidP="000C0F32">
      <w:pPr>
        <w:pStyle w:val="h5Section"/>
      </w:pPr>
      <w:bookmarkStart w:id="13" w:name="_Toc39838765"/>
      <w:r>
        <w:t>82</w:t>
      </w:r>
      <w:r w:rsidR="000C0F32">
        <w:t xml:space="preserve"> </w:t>
      </w:r>
      <w:bookmarkEnd w:id="13"/>
      <w:r w:rsidR="000C0F32">
        <w:t>Default emissions intensities for financial year beginning on 1 July 2019</w:t>
      </w:r>
    </w:p>
    <w:p w14:paraId="493C2F9B" w14:textId="0D78A295" w:rsidR="000C0F32" w:rsidRDefault="000C0F32" w:rsidP="000C0F32">
      <w:pPr>
        <w:pStyle w:val="tMain"/>
        <w:rPr>
          <w:rStyle w:val="CharDivText"/>
        </w:rPr>
      </w:pPr>
      <w:r w:rsidRPr="0063657F">
        <w:tab/>
      </w:r>
      <w:r w:rsidRPr="0063657F">
        <w:tab/>
      </w:r>
      <w:r>
        <w:t>If a default emissions intensity is being used in relation to a baseline emissions number for the financial year beginning on 1 July 2019, the default emissions intensity is to be determined as</w:t>
      </w:r>
      <w:r w:rsidR="00A60F5B">
        <w:t xml:space="preserve"> the value</w:t>
      </w:r>
      <w:r>
        <w:t xml:space="preserve"> in force immediately before the commencement of Schedule 2 of the </w:t>
      </w:r>
      <w:r w:rsidRPr="000C0F32">
        <w:rPr>
          <w:i/>
        </w:rPr>
        <w:t>National Greenhouse and Energy Reporting (Safeguard Mechanism) Amendment (Additional Prescribed Production Variables) Rule 2020.</w:t>
      </w:r>
    </w:p>
    <w:p w14:paraId="493C2F9C" w14:textId="44EEBBDD" w:rsidR="00A60F5B" w:rsidRPr="0063657F" w:rsidRDefault="00A60F5B" w:rsidP="00A60F5B">
      <w:pPr>
        <w:pStyle w:val="h5Section"/>
      </w:pPr>
      <w:r>
        <w:t xml:space="preserve">83 Default emissions intensities </w:t>
      </w:r>
      <w:r w:rsidR="00B622FF">
        <w:t xml:space="preserve">and calculated-emissions baseline determinations </w:t>
      </w:r>
      <w:r>
        <w:t>for financial year beginning on 1 July 2020</w:t>
      </w:r>
    </w:p>
    <w:p w14:paraId="493C2F9D" w14:textId="77777777" w:rsidR="00A60F5B" w:rsidRDefault="00A60F5B" w:rsidP="00A60F5B">
      <w:pPr>
        <w:pStyle w:val="tMain"/>
        <w:rPr>
          <w:rStyle w:val="CharDivText"/>
        </w:rPr>
      </w:pPr>
      <w:r w:rsidRPr="0063657F">
        <w:tab/>
      </w:r>
      <w:r w:rsidR="00C75615">
        <w:t>(1)</w:t>
      </w:r>
      <w:r w:rsidRPr="0063657F">
        <w:tab/>
      </w:r>
      <w:r>
        <w:t xml:space="preserve">If a default emissions intensity is being used in relation to a baseline emissions number for the financial year beginning on 1 July 2020, the default emissions intensity is to be determined as the value in force immediately after the commencement of Schedule 2 of the </w:t>
      </w:r>
      <w:r w:rsidRPr="000C0F32">
        <w:rPr>
          <w:i/>
        </w:rPr>
        <w:t>National Greenhouse and Energy Reporting (Safeguard Mechanism) Amendment (Additional Prescribed Production Variables) Rule 2020.</w:t>
      </w:r>
    </w:p>
    <w:p w14:paraId="493C2F9E" w14:textId="77777777" w:rsidR="00A60F5B" w:rsidRDefault="00A60F5B" w:rsidP="00A60F5B">
      <w:pPr>
        <w:pStyle w:val="nMain"/>
        <w:rPr>
          <w:snapToGrid w:val="0"/>
          <w:lang w:eastAsia="en-US"/>
        </w:rPr>
      </w:pPr>
      <w:r w:rsidRPr="00DD2453">
        <w:rPr>
          <w:snapToGrid w:val="0"/>
          <w:lang w:eastAsia="en-US"/>
        </w:rPr>
        <w:t>Note:</w:t>
      </w:r>
      <w:r w:rsidRPr="00DD2453">
        <w:rPr>
          <w:snapToGrid w:val="0"/>
          <w:lang w:eastAsia="en-US"/>
        </w:rPr>
        <w:tab/>
      </w:r>
      <w:r>
        <w:rPr>
          <w:snapToGrid w:val="0"/>
          <w:lang w:eastAsia="en-US"/>
        </w:rPr>
        <w:t>This applies instead of subsection 44(3B) for the financial year beginning on 1 July 2020</w:t>
      </w:r>
      <w:r w:rsidRPr="00DD2453">
        <w:rPr>
          <w:snapToGrid w:val="0"/>
          <w:lang w:eastAsia="en-US"/>
        </w:rPr>
        <w:t>.</w:t>
      </w:r>
    </w:p>
    <w:p w14:paraId="493C2F9F" w14:textId="156B92E4" w:rsidR="00C75615" w:rsidRDefault="00C75615" w:rsidP="00C75615">
      <w:pPr>
        <w:pStyle w:val="tMain"/>
      </w:pPr>
      <w:r>
        <w:tab/>
        <w:t>(2)</w:t>
      </w:r>
      <w:r>
        <w:tab/>
        <w:t>If a calculated-emissions ba</w:t>
      </w:r>
      <w:r w:rsidR="009C0069">
        <w:t>seline determination</w:t>
      </w:r>
      <w:r w:rsidR="00B622FF">
        <w:t xml:space="preserve"> is</w:t>
      </w:r>
      <w:r w:rsidR="009C0069">
        <w:t xml:space="preserve"> in force for the financial year beginning</w:t>
      </w:r>
      <w:r>
        <w:t xml:space="preserve"> 1 July 2020 and was not updated under section 56 to reflect the change in carbon dioxide equivalence, the Regulator must update that determination</w:t>
      </w:r>
      <w:r w:rsidR="00487CB7">
        <w:t xml:space="preserve"> under section 56</w:t>
      </w:r>
      <w:r>
        <w:t xml:space="preserve"> based on the values of </w:t>
      </w:r>
      <w:r w:rsidR="00B622FF">
        <w:t>any relevant default emissions intensities</w:t>
      </w:r>
      <w:r>
        <w:t xml:space="preserve"> in force immediately after the commencement of Schedule 2 of the </w:t>
      </w:r>
      <w:r w:rsidRPr="00C75615">
        <w:rPr>
          <w:i/>
        </w:rPr>
        <w:t>National Greenhouse and Energy Reporting (Safeguard Mechanism) Amendment (Additional Prescribed Production Variables) Rule 2020</w:t>
      </w:r>
      <w:r w:rsidRPr="00C75615">
        <w:t>.</w:t>
      </w:r>
    </w:p>
    <w:p w14:paraId="493C2FA0" w14:textId="77777777" w:rsidR="004B421C" w:rsidRPr="0063657F" w:rsidRDefault="004B421C" w:rsidP="004B421C">
      <w:pPr>
        <w:pStyle w:val="h5Section"/>
      </w:pPr>
      <w:r>
        <w:t>84 Calculated-emissions baseline determinations applying from 1 July 2019</w:t>
      </w:r>
    </w:p>
    <w:p w14:paraId="493C2FA1" w14:textId="77777777" w:rsidR="004B421C" w:rsidRDefault="004B421C" w:rsidP="004B421C">
      <w:pPr>
        <w:pStyle w:val="tMain"/>
        <w:rPr>
          <w:snapToGrid w:val="0"/>
          <w:lang w:eastAsia="en-US"/>
        </w:rPr>
      </w:pPr>
      <w:r w:rsidRPr="0063657F">
        <w:tab/>
      </w:r>
      <w:r>
        <w:t>(1)</w:t>
      </w:r>
      <w:r w:rsidRPr="0063657F">
        <w:tab/>
      </w:r>
      <w:r>
        <w:t xml:space="preserve">If a calculated-emissions baseline determination for a facility is made commencing from 1 July 2019 using the carbon dioxide equivalence of greenhouse gases in force on 1 July 2020 for an estimated emissions intensity, the responsible emitter for the facility may apply to the Regulator to adjust the baseline emissions number for the financial year beginning on 1 July 2019 to apply the carbon dioxide equivalence of the relevant greenhouse gases as in force on 1 July 2019. </w:t>
      </w:r>
    </w:p>
    <w:p w14:paraId="493C2FA2" w14:textId="77777777" w:rsidR="004B421C" w:rsidRDefault="004B421C" w:rsidP="004B421C">
      <w:pPr>
        <w:pStyle w:val="tMain"/>
      </w:pPr>
      <w:r>
        <w:tab/>
        <w:t>(2)</w:t>
      </w:r>
      <w:r>
        <w:tab/>
        <w:t>After considering an application under subsection (1), the Regulator may amend the determination in respect of the financial year beginning on 1 July 2019</w:t>
      </w:r>
      <w:r w:rsidRPr="00C75615">
        <w:t>.</w:t>
      </w:r>
    </w:p>
    <w:p w14:paraId="493C2FA3" w14:textId="77777777" w:rsidR="004B421C" w:rsidRPr="00DD2453" w:rsidRDefault="004B421C" w:rsidP="004B421C">
      <w:pPr>
        <w:pStyle w:val="tMain"/>
      </w:pPr>
      <w:r>
        <w:tab/>
        <w:t>(3)</w:t>
      </w:r>
      <w:r w:rsidRPr="0063657F">
        <w:tab/>
        <w:t>An applic</w:t>
      </w:r>
      <w:r>
        <w:t xml:space="preserve">ation under subsection (1) must </w:t>
      </w:r>
      <w:r w:rsidRPr="0063657F">
        <w:t>be given in a manner and form approved, in writing, by the Regulator</w:t>
      </w:r>
      <w:r>
        <w:t xml:space="preserve"> and can be made before the making of the determination.</w:t>
      </w:r>
    </w:p>
    <w:p w14:paraId="493C2FA4" w14:textId="2060084B" w:rsidR="00AA7165" w:rsidRPr="00DD2453" w:rsidRDefault="00AA7165" w:rsidP="00AA7165">
      <w:pPr>
        <w:pStyle w:val="ItemHead"/>
      </w:pPr>
      <w:r>
        <w:t>2</w:t>
      </w:r>
      <w:r w:rsidRPr="00DD2453">
        <w:t xml:space="preserve">  </w:t>
      </w:r>
      <w:r w:rsidR="00871F03">
        <w:t>Subsection 7</w:t>
      </w:r>
      <w:r>
        <w:t>(3) of Schedule 2</w:t>
      </w:r>
    </w:p>
    <w:p w14:paraId="493C2FA5" w14:textId="1AA16842" w:rsidR="00AA7165" w:rsidRDefault="00871F03" w:rsidP="00AA7165">
      <w:pPr>
        <w:pStyle w:val="Item"/>
        <w:ind w:firstLine="141"/>
      </w:pPr>
      <w:r>
        <w:t>Omit “1.86”, substitute “1.85</w:t>
      </w:r>
      <w:r w:rsidR="00AA7165">
        <w:t>”.</w:t>
      </w:r>
    </w:p>
    <w:p w14:paraId="4FE0DE33" w14:textId="1772B712" w:rsidR="00871F03" w:rsidRPr="00DD2453" w:rsidRDefault="00871F03" w:rsidP="00871F03">
      <w:pPr>
        <w:pStyle w:val="ItemHead"/>
      </w:pPr>
      <w:r>
        <w:t>3</w:t>
      </w:r>
      <w:r w:rsidRPr="00DD2453">
        <w:t xml:space="preserve">  </w:t>
      </w:r>
      <w:r>
        <w:t>Subsection 10(3) of Schedule 2</w:t>
      </w:r>
    </w:p>
    <w:p w14:paraId="00B93827" w14:textId="1C234DBF" w:rsidR="00871F03" w:rsidRDefault="00871F03" w:rsidP="00871F03">
      <w:pPr>
        <w:pStyle w:val="Item"/>
        <w:ind w:firstLine="141"/>
      </w:pPr>
      <w:r>
        <w:t>Omit “</w:t>
      </w:r>
      <w:r w:rsidR="00BE3641">
        <w:t>0.3</w:t>
      </w:r>
      <w:r>
        <w:t>52”, substitute “0.315”.</w:t>
      </w:r>
    </w:p>
    <w:p w14:paraId="570961C3" w14:textId="6C543672" w:rsidR="00871F03" w:rsidRPr="00DD2453" w:rsidRDefault="00871F03" w:rsidP="00871F03">
      <w:pPr>
        <w:pStyle w:val="ItemHead"/>
      </w:pPr>
      <w:r>
        <w:t>4</w:t>
      </w:r>
      <w:r w:rsidRPr="00DD2453">
        <w:t xml:space="preserve">  </w:t>
      </w:r>
      <w:r w:rsidR="002E297B">
        <w:t>Subsection 22(4</w:t>
      </w:r>
      <w:r>
        <w:t>) of Schedule 2</w:t>
      </w:r>
    </w:p>
    <w:p w14:paraId="1DF85ED1" w14:textId="358E533A" w:rsidR="00871F03" w:rsidRDefault="00BE3641" w:rsidP="00871F03">
      <w:pPr>
        <w:pStyle w:val="Item"/>
        <w:ind w:firstLine="141"/>
      </w:pPr>
      <w:r>
        <w:t>Omit “0.00402</w:t>
      </w:r>
      <w:r w:rsidR="00871F03">
        <w:t>”, substitute “0.00401”.</w:t>
      </w:r>
    </w:p>
    <w:p w14:paraId="64B5415A" w14:textId="7DB08B32" w:rsidR="006C577C" w:rsidRPr="00DD2453" w:rsidRDefault="002A5817" w:rsidP="006C577C">
      <w:pPr>
        <w:pStyle w:val="ItemHead"/>
      </w:pPr>
      <w:r>
        <w:t>5</w:t>
      </w:r>
      <w:r w:rsidR="006C577C" w:rsidRPr="00DD2453">
        <w:t xml:space="preserve">  </w:t>
      </w:r>
      <w:r w:rsidR="006C577C">
        <w:t>Subsection 49(3) of Schedule 2</w:t>
      </w:r>
    </w:p>
    <w:p w14:paraId="1899151B" w14:textId="686B1D98" w:rsidR="006C577C" w:rsidRDefault="006C577C" w:rsidP="006C577C">
      <w:pPr>
        <w:pStyle w:val="Item"/>
        <w:ind w:firstLine="141"/>
      </w:pPr>
      <w:r>
        <w:t>Omit “0.00000527”, substitute “5.29 × 10</w:t>
      </w:r>
      <w:r w:rsidRPr="006C577C">
        <w:rPr>
          <w:vertAlign w:val="superscript"/>
        </w:rPr>
        <w:t>-6</w:t>
      </w:r>
      <w:r>
        <w:t>”.</w:t>
      </w:r>
    </w:p>
    <w:p w14:paraId="4B4CE863" w14:textId="37B379E7" w:rsidR="008E5B5E" w:rsidRPr="00DD2453" w:rsidRDefault="002A5817" w:rsidP="008E5B5E">
      <w:pPr>
        <w:pStyle w:val="ItemHead"/>
      </w:pPr>
      <w:r>
        <w:t>6</w:t>
      </w:r>
      <w:r w:rsidR="008E5B5E" w:rsidRPr="00DD2453">
        <w:t xml:space="preserve">  </w:t>
      </w:r>
      <w:r w:rsidR="008E5B5E">
        <w:t>Subsection 50(3) of Schedule 2</w:t>
      </w:r>
    </w:p>
    <w:p w14:paraId="4FC4C881" w14:textId="0889E350" w:rsidR="008E5B5E" w:rsidRPr="008E5B5E" w:rsidRDefault="008E5B5E" w:rsidP="008E5B5E">
      <w:pPr>
        <w:pStyle w:val="Item"/>
        <w:ind w:firstLine="141"/>
      </w:pPr>
      <w:r>
        <w:t>Omit “0.0000163”, substitute “1.63 × 10</w:t>
      </w:r>
      <w:r>
        <w:rPr>
          <w:vertAlign w:val="superscript"/>
        </w:rPr>
        <w:t>-5</w:t>
      </w:r>
      <w:r>
        <w:t>”.</w:t>
      </w:r>
    </w:p>
    <w:p w14:paraId="3644F031" w14:textId="09DE2553" w:rsidR="006C577C" w:rsidRPr="00DD2453" w:rsidRDefault="002A5817" w:rsidP="006C577C">
      <w:pPr>
        <w:pStyle w:val="ItemHead"/>
      </w:pPr>
      <w:r>
        <w:t>7</w:t>
      </w:r>
      <w:r w:rsidR="006C577C" w:rsidRPr="00DD2453">
        <w:t xml:space="preserve">  </w:t>
      </w:r>
      <w:r w:rsidR="006C577C">
        <w:t>Subsection 51(3) of Schedule 2</w:t>
      </w:r>
    </w:p>
    <w:p w14:paraId="0DBF4B77" w14:textId="02B742E4" w:rsidR="006C577C" w:rsidRDefault="006C577C" w:rsidP="006C577C">
      <w:pPr>
        <w:pStyle w:val="Item"/>
        <w:ind w:firstLine="141"/>
      </w:pPr>
      <w:r>
        <w:t>Omit “0.0000204”, substitute “2.05 × 10</w:t>
      </w:r>
      <w:r>
        <w:rPr>
          <w:vertAlign w:val="superscript"/>
        </w:rPr>
        <w:t>-5</w:t>
      </w:r>
      <w:r>
        <w:t>”.</w:t>
      </w:r>
    </w:p>
    <w:p w14:paraId="1A5CC946" w14:textId="0BDE2306" w:rsidR="006C577C" w:rsidRPr="00DD2453" w:rsidRDefault="002A5817" w:rsidP="006C577C">
      <w:pPr>
        <w:pStyle w:val="ItemHead"/>
      </w:pPr>
      <w:r>
        <w:t>8</w:t>
      </w:r>
      <w:r w:rsidR="006C577C" w:rsidRPr="00DD2453">
        <w:t xml:space="preserve">  </w:t>
      </w:r>
      <w:r w:rsidR="006C577C">
        <w:t>Subsection 52(3) of Schedule 2</w:t>
      </w:r>
    </w:p>
    <w:p w14:paraId="74A24005" w14:textId="2BD12DFA" w:rsidR="006C577C" w:rsidRDefault="006C577C" w:rsidP="006C577C">
      <w:pPr>
        <w:pStyle w:val="Item"/>
        <w:ind w:firstLine="141"/>
      </w:pPr>
      <w:r>
        <w:t>Omit “0.0000710”, substitute “7.12 × 10</w:t>
      </w:r>
      <w:r>
        <w:rPr>
          <w:vertAlign w:val="superscript"/>
        </w:rPr>
        <w:t>-5</w:t>
      </w:r>
      <w:r>
        <w:t>”.</w:t>
      </w:r>
    </w:p>
    <w:p w14:paraId="57CC033A" w14:textId="629148C1" w:rsidR="006C577C" w:rsidRPr="00DD2453" w:rsidRDefault="002A5817" w:rsidP="006C577C">
      <w:pPr>
        <w:pStyle w:val="ItemHead"/>
      </w:pPr>
      <w:r>
        <w:t>9</w:t>
      </w:r>
      <w:r w:rsidR="006C577C" w:rsidRPr="00DD2453">
        <w:t xml:space="preserve">  </w:t>
      </w:r>
      <w:r w:rsidR="006C577C">
        <w:t>Subsection 55(3) of Schedule 2</w:t>
      </w:r>
    </w:p>
    <w:p w14:paraId="48A4B3E4" w14:textId="3105D42C" w:rsidR="006C577C" w:rsidRDefault="006C577C" w:rsidP="006C577C">
      <w:pPr>
        <w:pStyle w:val="Item"/>
        <w:ind w:firstLine="141"/>
      </w:pPr>
      <w:r>
        <w:t>Omit “0.000103”, substitute “1.04 × 10</w:t>
      </w:r>
      <w:r>
        <w:rPr>
          <w:vertAlign w:val="superscript"/>
        </w:rPr>
        <w:t>-4</w:t>
      </w:r>
      <w:r>
        <w:t>”.</w:t>
      </w:r>
    </w:p>
    <w:p w14:paraId="7FF9028A" w14:textId="0B1A7836" w:rsidR="00401B59" w:rsidRPr="00DD2453" w:rsidRDefault="002A5817" w:rsidP="00401B59">
      <w:pPr>
        <w:pStyle w:val="ItemHead"/>
      </w:pPr>
      <w:r>
        <w:t>10</w:t>
      </w:r>
      <w:r w:rsidR="00401B59" w:rsidRPr="00DD2453">
        <w:t xml:space="preserve">  </w:t>
      </w:r>
      <w:r w:rsidR="00401B59">
        <w:t>Subsection 55A(3) of Schedule 2</w:t>
      </w:r>
    </w:p>
    <w:p w14:paraId="50C0653F" w14:textId="2E149D68" w:rsidR="00401B59" w:rsidRPr="00401B59" w:rsidRDefault="00401B59" w:rsidP="00401B59">
      <w:pPr>
        <w:pStyle w:val="Item"/>
        <w:ind w:firstLine="141"/>
      </w:pPr>
      <w:r>
        <w:t>Omit “5.4 × 10</w:t>
      </w:r>
      <w:r w:rsidRPr="006C577C">
        <w:rPr>
          <w:vertAlign w:val="superscript"/>
        </w:rPr>
        <w:t>-6</w:t>
      </w:r>
      <w:r>
        <w:t>”, substitute “5.39 × 10</w:t>
      </w:r>
      <w:r w:rsidRPr="006C577C">
        <w:rPr>
          <w:vertAlign w:val="superscript"/>
        </w:rPr>
        <w:t>-6</w:t>
      </w:r>
      <w:r>
        <w:t>”.</w:t>
      </w:r>
    </w:p>
    <w:p w14:paraId="684AAD2A" w14:textId="5481C5F9" w:rsidR="00401B59" w:rsidRPr="00DD2453" w:rsidRDefault="008E5B5E" w:rsidP="00401B59">
      <w:pPr>
        <w:pStyle w:val="ItemHead"/>
      </w:pPr>
      <w:r>
        <w:t>1</w:t>
      </w:r>
      <w:r w:rsidR="002A5817">
        <w:t>1</w:t>
      </w:r>
      <w:r w:rsidR="00401B59" w:rsidRPr="00DD2453">
        <w:t xml:space="preserve">  </w:t>
      </w:r>
      <w:r w:rsidR="00401B59">
        <w:t>Paragraph 56(3)(a) of Schedule 2</w:t>
      </w:r>
    </w:p>
    <w:p w14:paraId="13E20BE3" w14:textId="7216E57B" w:rsidR="00401B59" w:rsidRDefault="00401B59" w:rsidP="00401B59">
      <w:pPr>
        <w:pStyle w:val="Item"/>
        <w:ind w:firstLine="141"/>
      </w:pPr>
      <w:r>
        <w:t>Omit “0.459”, substitute “0.513”.</w:t>
      </w:r>
    </w:p>
    <w:p w14:paraId="7BDBCF72" w14:textId="131E560F" w:rsidR="00401B59" w:rsidRPr="00DD2453" w:rsidRDefault="008E5B5E" w:rsidP="00401B59">
      <w:pPr>
        <w:pStyle w:val="ItemHead"/>
      </w:pPr>
      <w:r>
        <w:t>1</w:t>
      </w:r>
      <w:r w:rsidR="002A5817">
        <w:t>2</w:t>
      </w:r>
      <w:r w:rsidR="00401B59" w:rsidRPr="00DD2453">
        <w:t xml:space="preserve">  </w:t>
      </w:r>
      <w:r w:rsidR="00401B59">
        <w:t>Paragraph 56(3)(b) of Schedule 2</w:t>
      </w:r>
    </w:p>
    <w:p w14:paraId="12DD888B" w14:textId="57F025BA" w:rsidR="006C577C" w:rsidRPr="006C577C" w:rsidRDefault="00401B59" w:rsidP="00401B59">
      <w:pPr>
        <w:pStyle w:val="Item"/>
        <w:ind w:firstLine="141"/>
      </w:pPr>
      <w:r>
        <w:t>Omit “5.03”, substitute “4.48”.</w:t>
      </w:r>
    </w:p>
    <w:p w14:paraId="124248E0" w14:textId="1331EA13" w:rsidR="00401B59" w:rsidRPr="00DD2453" w:rsidRDefault="008E5B5E" w:rsidP="00401B59">
      <w:pPr>
        <w:pStyle w:val="ItemHead"/>
      </w:pPr>
      <w:r>
        <w:t>1</w:t>
      </w:r>
      <w:r w:rsidR="002A5817">
        <w:t>3</w:t>
      </w:r>
      <w:r w:rsidR="00401B59" w:rsidRPr="00DD2453">
        <w:t xml:space="preserve">  </w:t>
      </w:r>
      <w:r w:rsidR="00401B59">
        <w:t>Subsection 57(3) of Schedule 2</w:t>
      </w:r>
    </w:p>
    <w:p w14:paraId="4B8DCF76" w14:textId="430DB19D" w:rsidR="006C577C" w:rsidRPr="006C577C" w:rsidRDefault="00401B59" w:rsidP="00401B59">
      <w:pPr>
        <w:pStyle w:val="Item"/>
        <w:ind w:firstLine="141"/>
      </w:pPr>
      <w:r>
        <w:t>Omit “0.538”, substitute “0.539”.</w:t>
      </w:r>
    </w:p>
    <w:p w14:paraId="57FF1AD8" w14:textId="43AC4C2F" w:rsidR="00401B59" w:rsidRPr="00DD2453" w:rsidRDefault="002A5817" w:rsidP="00401B59">
      <w:pPr>
        <w:pStyle w:val="ItemHead"/>
      </w:pPr>
      <w:r>
        <w:t>14</w:t>
      </w:r>
      <w:r w:rsidR="00401B59" w:rsidRPr="00DD2453">
        <w:t xml:space="preserve">  </w:t>
      </w:r>
      <w:r w:rsidR="00401B59">
        <w:t>Subsection 58(3) of Schedule 2</w:t>
      </w:r>
    </w:p>
    <w:p w14:paraId="493C2FA6" w14:textId="341F0E92" w:rsidR="00AA7165" w:rsidRPr="00AA7165" w:rsidRDefault="00401B59" w:rsidP="00401B59">
      <w:pPr>
        <w:pStyle w:val="Item"/>
      </w:pPr>
      <w:r>
        <w:t>Omit “0.227”, substitute “0.254”.</w:t>
      </w:r>
    </w:p>
    <w:p w14:paraId="790E62AE" w14:textId="6CAE84D2" w:rsidR="00401B59" w:rsidRPr="00DD2453" w:rsidRDefault="008E5B5E" w:rsidP="00401B59">
      <w:pPr>
        <w:pStyle w:val="ItemHead"/>
      </w:pPr>
      <w:r>
        <w:t>1</w:t>
      </w:r>
      <w:r w:rsidR="002A5817">
        <w:t>5</w:t>
      </w:r>
      <w:r w:rsidR="00401B59" w:rsidRPr="00DD2453">
        <w:t xml:space="preserve">  </w:t>
      </w:r>
      <w:r w:rsidR="00401B59">
        <w:t>Subsection 60(3) of Schedule 2</w:t>
      </w:r>
    </w:p>
    <w:p w14:paraId="3959C50A" w14:textId="6481DCB0" w:rsidR="00E5206D" w:rsidRDefault="00401B59" w:rsidP="00401B59">
      <w:pPr>
        <w:pStyle w:val="Item"/>
      </w:pPr>
      <w:r>
        <w:t>Omit “</w:t>
      </w:r>
      <w:r w:rsidR="00BE3641">
        <w:t>10</w:t>
      </w:r>
      <w:r>
        <w:t>.42”, substitute “11.62”.</w:t>
      </w:r>
    </w:p>
    <w:p w14:paraId="6B35C7D5" w14:textId="38D0DAB7" w:rsidR="000D2F5D" w:rsidRPr="00DD2453" w:rsidRDefault="002A5817" w:rsidP="000D2F5D">
      <w:pPr>
        <w:pStyle w:val="ItemHead"/>
      </w:pPr>
      <w:r>
        <w:t>16</w:t>
      </w:r>
      <w:r w:rsidR="000D2F5D" w:rsidRPr="00DD2453">
        <w:t xml:space="preserve">  </w:t>
      </w:r>
      <w:r w:rsidR="000D2F5D">
        <w:t>Subsection 4(6) of Schedule 3</w:t>
      </w:r>
    </w:p>
    <w:p w14:paraId="09401E3C" w14:textId="56A1AA10" w:rsidR="000D2F5D" w:rsidRDefault="000D2F5D" w:rsidP="000D2F5D">
      <w:pPr>
        <w:pStyle w:val="Item"/>
      </w:pPr>
      <w:r>
        <w:t>Omit “0.136”, substitute “0.138”.</w:t>
      </w:r>
    </w:p>
    <w:p w14:paraId="43E8E3A7" w14:textId="77777777" w:rsidR="00E5206D" w:rsidRDefault="00E5206D" w:rsidP="00AA7165">
      <w:pPr>
        <w:pStyle w:val="ttExplainTemplate"/>
        <w:rPr>
          <w:color w:val="auto"/>
        </w:rPr>
      </w:pPr>
    </w:p>
    <w:p w14:paraId="58726165" w14:textId="77777777" w:rsidR="00E5206D" w:rsidRPr="00DD2453" w:rsidRDefault="00E5206D" w:rsidP="00AA7165">
      <w:pPr>
        <w:pStyle w:val="ttExplainTemplate"/>
        <w:rPr>
          <w:color w:val="auto"/>
        </w:rPr>
      </w:pPr>
    </w:p>
    <w:sectPr w:rsidR="00E5206D" w:rsidRPr="00DD2453" w:rsidSect="00B1356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C2FAC" w14:textId="77777777" w:rsidR="00795E3A" w:rsidRDefault="00795E3A">
      <w:r>
        <w:separator/>
      </w:r>
    </w:p>
  </w:endnote>
  <w:endnote w:type="continuationSeparator" w:id="0">
    <w:p w14:paraId="493C2FAD" w14:textId="77777777" w:rsidR="00795E3A" w:rsidRDefault="0079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FB0" w14:textId="77777777" w:rsidR="00795E3A" w:rsidRPr="00E33C1C" w:rsidRDefault="00795E3A" w:rsidP="00B71663">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6432" behindDoc="1" locked="0" layoutInCell="1" allowOverlap="1" wp14:anchorId="493C2FD1" wp14:editId="493C2FD2">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93C2FD7" w14:textId="77777777" w:rsidR="00795E3A" w:rsidRPr="00581211" w:rsidRDefault="00795E3A"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C2FD1" id="_x0000_t202" coordsize="21600,21600" o:spt="202" path="m,l,21600r21600,l21600,xe">
              <v:stroke joinstyle="miter"/>
              <v:path gradientshapeok="t" o:connecttype="rect"/>
            </v:shapetype>
            <v:shape id="Text Box 23" o:spid="_x0000_s1028" type="#_x0000_t202" style="position:absolute;margin-left:0;margin-top:793.7pt;width:347.25pt;height:3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Bh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77HQhRBs9TlA9rJalQzesIZ&#10;Pm8QzII5f80sJhCUmKr+CkslNUpFbyVKam2/v6YPeKQKp6gtTDSU7bc1s6g0+VlhZIyzPA8jMG7y&#10;0dEQG/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T3EGEHAwAAygYAAA4AAAAAAAAAAAAAAAAALgIAAGRycy9lMm9Eb2Mu&#10;eG1sUEsBAi0AFAAGAAgAAAAhADwCUpLfAAAACgEAAA8AAAAAAAAAAAAAAAAAYQUAAGRycy9kb3du&#10;cmV2LnhtbFBLBQYAAAAABAAEAPMAAABtBgAAAAA=&#10;" stroked="f">
              <v:stroke joinstyle="round"/>
              <v:path arrowok="t"/>
              <v:textbox>
                <w:txbxContent>
                  <w:p w14:paraId="493C2FD7" w14:textId="77777777" w:rsidR="00795E3A" w:rsidRPr="00581211" w:rsidRDefault="00795E3A"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95E3A" w:rsidRPr="006A2E3F" w14:paraId="493C2FB4" w14:textId="77777777" w:rsidTr="00B71663">
      <w:tc>
        <w:tcPr>
          <w:tcW w:w="709" w:type="dxa"/>
          <w:tcBorders>
            <w:top w:val="nil"/>
            <w:left w:val="nil"/>
            <w:bottom w:val="nil"/>
            <w:right w:val="nil"/>
          </w:tcBorders>
          <w:shd w:val="clear" w:color="auto" w:fill="auto"/>
        </w:tcPr>
        <w:p w14:paraId="493C2FB1" w14:textId="77777777" w:rsidR="00795E3A" w:rsidRPr="006A2E3F" w:rsidRDefault="00795E3A" w:rsidP="00B71663">
          <w:pPr>
            <w:spacing w:line="0" w:lineRule="atLeast"/>
            <w:rPr>
              <w:sz w:val="18"/>
            </w:rPr>
          </w:pPr>
          <w:r w:rsidRPr="006A2E3F">
            <w:rPr>
              <w:i/>
              <w:sz w:val="18"/>
            </w:rPr>
            <w:fldChar w:fldCharType="begin"/>
          </w:r>
          <w:r w:rsidRPr="006A2E3F">
            <w:rPr>
              <w:i/>
              <w:sz w:val="18"/>
            </w:rPr>
            <w:instrText xml:space="preserve"> PAGE </w:instrText>
          </w:r>
          <w:r w:rsidRPr="006A2E3F">
            <w:rPr>
              <w:i/>
              <w:sz w:val="18"/>
            </w:rPr>
            <w:fldChar w:fldCharType="separate"/>
          </w:r>
          <w:r w:rsidRPr="006A2E3F">
            <w:rPr>
              <w:i/>
              <w:noProof/>
              <w:sz w:val="18"/>
            </w:rPr>
            <w:t>xi</w:t>
          </w:r>
          <w:r w:rsidRPr="006A2E3F">
            <w:rPr>
              <w:i/>
              <w:sz w:val="18"/>
            </w:rPr>
            <w:fldChar w:fldCharType="end"/>
          </w:r>
        </w:p>
      </w:tc>
      <w:tc>
        <w:tcPr>
          <w:tcW w:w="6379" w:type="dxa"/>
          <w:tcBorders>
            <w:top w:val="nil"/>
            <w:left w:val="nil"/>
            <w:bottom w:val="nil"/>
            <w:right w:val="nil"/>
          </w:tcBorders>
          <w:shd w:val="clear" w:color="auto" w:fill="auto"/>
        </w:tcPr>
        <w:p w14:paraId="493C2FB2" w14:textId="77777777" w:rsidR="00795E3A" w:rsidRPr="006A2E3F" w:rsidRDefault="00795E3A" w:rsidP="00B71663">
          <w:pPr>
            <w:spacing w:line="0" w:lineRule="atLeast"/>
            <w:jc w:val="center"/>
            <w:rPr>
              <w:sz w:val="18"/>
            </w:rPr>
          </w:pPr>
          <w:r w:rsidRPr="006A2E3F">
            <w:rPr>
              <w:i/>
              <w:sz w:val="18"/>
            </w:rPr>
            <w:fldChar w:fldCharType="begin"/>
          </w:r>
          <w:r w:rsidRPr="006A2E3F">
            <w:rPr>
              <w:i/>
              <w:sz w:val="18"/>
            </w:rPr>
            <w:instrText xml:space="preserve"> DOCPROPERTY ShortT </w:instrText>
          </w:r>
          <w:r w:rsidRPr="006A2E3F">
            <w:rPr>
              <w:i/>
              <w:sz w:val="18"/>
            </w:rPr>
            <w:fldChar w:fldCharType="separate"/>
          </w:r>
          <w:r w:rsidRPr="006A2E3F">
            <w:rPr>
              <w:i/>
              <w:sz w:val="18"/>
            </w:rPr>
            <w:t>Renewable Energy (Electricity) Amendment (2018 Measures No. 1) Regulations 2018</w:t>
          </w:r>
          <w:r w:rsidRPr="006A2E3F">
            <w:rPr>
              <w:i/>
              <w:sz w:val="18"/>
            </w:rPr>
            <w:fldChar w:fldCharType="end"/>
          </w:r>
        </w:p>
      </w:tc>
      <w:tc>
        <w:tcPr>
          <w:tcW w:w="1383" w:type="dxa"/>
          <w:tcBorders>
            <w:top w:val="nil"/>
            <w:left w:val="nil"/>
            <w:bottom w:val="nil"/>
            <w:right w:val="nil"/>
          </w:tcBorders>
          <w:shd w:val="clear" w:color="auto" w:fill="auto"/>
        </w:tcPr>
        <w:p w14:paraId="493C2FB3" w14:textId="77777777" w:rsidR="00795E3A" w:rsidRPr="006A2E3F" w:rsidRDefault="00795E3A" w:rsidP="00B71663">
          <w:pPr>
            <w:spacing w:line="0" w:lineRule="atLeast"/>
            <w:jc w:val="right"/>
            <w:rPr>
              <w:sz w:val="18"/>
            </w:rPr>
          </w:pPr>
        </w:p>
      </w:tc>
    </w:tr>
    <w:tr w:rsidR="00795E3A" w:rsidRPr="006A2E3F" w14:paraId="493C2FB6" w14:textId="77777777" w:rsidTr="00B71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493C2FB5" w14:textId="77777777" w:rsidR="00795E3A" w:rsidRPr="006A2E3F" w:rsidRDefault="00795E3A" w:rsidP="00B71663">
          <w:pPr>
            <w:jc w:val="right"/>
            <w:rPr>
              <w:sz w:val="18"/>
            </w:rPr>
          </w:pPr>
          <w:r w:rsidRPr="006A2E3F">
            <w:rPr>
              <w:i/>
              <w:noProof/>
              <w:sz w:val="18"/>
            </w:rPr>
            <w:t>I18GH113.v11.docx</w:t>
          </w:r>
          <w:r w:rsidRPr="006A2E3F">
            <w:rPr>
              <w:i/>
              <w:sz w:val="18"/>
            </w:rPr>
            <w:t xml:space="preserve"> </w:t>
          </w:r>
          <w:r w:rsidRPr="006A2E3F">
            <w:rPr>
              <w:i/>
              <w:noProof/>
              <w:sz w:val="18"/>
            </w:rPr>
            <w:t>28/8/2018 12:08 PM</w:t>
          </w:r>
        </w:p>
      </w:tc>
    </w:tr>
  </w:tbl>
  <w:p w14:paraId="493C2FB7" w14:textId="77777777" w:rsidR="00795E3A" w:rsidRPr="00ED79B6" w:rsidRDefault="00795E3A" w:rsidP="00B71663">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FB8" w14:textId="77777777" w:rsidR="00795E3A" w:rsidRPr="00E33C1C" w:rsidRDefault="00795E3A" w:rsidP="00B71663">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5408" behindDoc="1" locked="0" layoutInCell="1" allowOverlap="1" wp14:anchorId="493C2FD3" wp14:editId="493C2FD4">
              <wp:simplePos x="0" y="0"/>
              <wp:positionH relativeFrom="column">
                <wp:align>center</wp:align>
              </wp:positionH>
              <wp:positionV relativeFrom="page">
                <wp:posOffset>10079990</wp:posOffset>
              </wp:positionV>
              <wp:extent cx="4410075" cy="4000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93C2FD8" w14:textId="77777777" w:rsidR="00795E3A" w:rsidRPr="00581211" w:rsidRDefault="00795E3A" w:rsidP="00B71663">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C2FD3" id="_x0000_t202" coordsize="21600,21600" o:spt="202" path="m,l,21600r21600,l21600,xe">
              <v:stroke joinstyle="miter"/>
              <v:path gradientshapeok="t" o:connecttype="rect"/>
            </v:shapetype>
            <v:shape id="Text Box 22" o:spid="_x0000_s1029" type="#_x0000_t202" style="position:absolute;margin-left:0;margin-top:793.7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1y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fA81yCAMAAMoGAAAOAAAAAAAAAAAAAAAAAC4CAABkcnMvZTJvRG9j&#10;LnhtbFBLAQItABQABgAIAAAAIQA8AlKS3wAAAAoBAAAPAAAAAAAAAAAAAAAAAGIFAABkcnMvZG93&#10;bnJldi54bWxQSwUGAAAAAAQABADzAAAAbgYAAAAA&#10;" stroked="f">
              <v:stroke joinstyle="round"/>
              <v:path arrowok="t"/>
              <v:textbox>
                <w:txbxContent>
                  <w:p w14:paraId="493C2FD8" w14:textId="77777777" w:rsidR="00795E3A" w:rsidRPr="00581211" w:rsidRDefault="00795E3A" w:rsidP="00B71663">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795E3A" w:rsidRPr="006A2E3F" w14:paraId="493C2FBC" w14:textId="77777777" w:rsidTr="00B71663">
      <w:tc>
        <w:tcPr>
          <w:tcW w:w="1383" w:type="dxa"/>
          <w:tcBorders>
            <w:top w:val="nil"/>
            <w:left w:val="nil"/>
            <w:bottom w:val="nil"/>
            <w:right w:val="nil"/>
          </w:tcBorders>
          <w:shd w:val="clear" w:color="auto" w:fill="auto"/>
        </w:tcPr>
        <w:p w14:paraId="493C2FB9" w14:textId="77777777" w:rsidR="00795E3A" w:rsidRPr="006A2E3F" w:rsidRDefault="00795E3A" w:rsidP="00B71663">
          <w:pPr>
            <w:spacing w:line="0" w:lineRule="atLeast"/>
            <w:rPr>
              <w:sz w:val="18"/>
            </w:rPr>
          </w:pPr>
        </w:p>
      </w:tc>
      <w:tc>
        <w:tcPr>
          <w:tcW w:w="6379" w:type="dxa"/>
          <w:tcBorders>
            <w:top w:val="nil"/>
            <w:left w:val="nil"/>
            <w:bottom w:val="nil"/>
            <w:right w:val="nil"/>
          </w:tcBorders>
          <w:shd w:val="clear" w:color="auto" w:fill="auto"/>
        </w:tcPr>
        <w:p w14:paraId="493C2FBA" w14:textId="5D681DA0" w:rsidR="00795E3A" w:rsidRPr="00E265CF" w:rsidRDefault="00795E3A" w:rsidP="00B71663">
          <w:pPr>
            <w:spacing w:line="0" w:lineRule="atLeast"/>
            <w:jc w:val="center"/>
            <w:rPr>
              <w:i/>
              <w:sz w:val="18"/>
            </w:rPr>
          </w:pPr>
          <w:r w:rsidRPr="002970DB">
            <w:rPr>
              <w:i/>
              <w:sz w:val="18"/>
            </w:rPr>
            <w:t>National Greenhouse and Energy Reporting (Safeguard Mechanism) Amendment (</w:t>
          </w:r>
          <w:r>
            <w:rPr>
              <w:i/>
              <w:sz w:val="18"/>
            </w:rPr>
            <w:t xml:space="preserve">Additional </w:t>
          </w:r>
          <w:r w:rsidRPr="002970DB">
            <w:rPr>
              <w:i/>
              <w:sz w:val="18"/>
            </w:rPr>
            <w:t>Prescribed Production Variables) Rule 2020</w:t>
          </w:r>
        </w:p>
      </w:tc>
      <w:tc>
        <w:tcPr>
          <w:tcW w:w="710" w:type="dxa"/>
          <w:tcBorders>
            <w:top w:val="nil"/>
            <w:left w:val="nil"/>
            <w:bottom w:val="nil"/>
            <w:right w:val="nil"/>
          </w:tcBorders>
          <w:shd w:val="clear" w:color="auto" w:fill="auto"/>
        </w:tcPr>
        <w:p w14:paraId="493C2FBB" w14:textId="77777777" w:rsidR="00795E3A" w:rsidRPr="006A2E3F" w:rsidRDefault="00795E3A" w:rsidP="00B71663">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495B2B">
            <w:rPr>
              <w:i/>
              <w:noProof/>
              <w:sz w:val="18"/>
            </w:rPr>
            <w:t>i</w:t>
          </w:r>
          <w:r w:rsidRPr="006A2E3F">
            <w:rPr>
              <w:i/>
              <w:sz w:val="18"/>
            </w:rPr>
            <w:fldChar w:fldCharType="end"/>
          </w:r>
        </w:p>
      </w:tc>
    </w:tr>
  </w:tbl>
  <w:p w14:paraId="493C2FBD" w14:textId="77777777" w:rsidR="00795E3A" w:rsidRPr="00ED79B6" w:rsidRDefault="00795E3A" w:rsidP="00B71663">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FC1" w14:textId="77777777" w:rsidR="00795E3A" w:rsidRDefault="00795E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795E3A" w:rsidRPr="006A2E3F" w14:paraId="493C2FC5" w14:textId="77777777" w:rsidTr="00B71663">
      <w:tc>
        <w:tcPr>
          <w:tcW w:w="1383" w:type="dxa"/>
          <w:tcBorders>
            <w:top w:val="nil"/>
            <w:left w:val="nil"/>
            <w:bottom w:val="nil"/>
            <w:right w:val="nil"/>
          </w:tcBorders>
          <w:shd w:val="clear" w:color="auto" w:fill="auto"/>
        </w:tcPr>
        <w:p w14:paraId="493C2FC2" w14:textId="77777777" w:rsidR="00795E3A" w:rsidRPr="006A2E3F" w:rsidRDefault="00795E3A" w:rsidP="00B71663">
          <w:pPr>
            <w:spacing w:line="0" w:lineRule="atLeast"/>
            <w:rPr>
              <w:sz w:val="18"/>
            </w:rPr>
          </w:pPr>
        </w:p>
      </w:tc>
      <w:tc>
        <w:tcPr>
          <w:tcW w:w="6379" w:type="dxa"/>
          <w:tcBorders>
            <w:top w:val="nil"/>
            <w:left w:val="nil"/>
            <w:bottom w:val="nil"/>
            <w:right w:val="nil"/>
          </w:tcBorders>
          <w:shd w:val="clear" w:color="auto" w:fill="auto"/>
        </w:tcPr>
        <w:p w14:paraId="493C2FC3" w14:textId="77777777" w:rsidR="00795E3A" w:rsidRPr="00E265CF" w:rsidRDefault="00795E3A" w:rsidP="00B71663">
          <w:pPr>
            <w:spacing w:line="0" w:lineRule="atLeast"/>
            <w:jc w:val="center"/>
            <w:rPr>
              <w:i/>
              <w:sz w:val="18"/>
            </w:rPr>
          </w:pPr>
          <w:r w:rsidRPr="002970DB">
            <w:rPr>
              <w:i/>
              <w:sz w:val="18"/>
            </w:rPr>
            <w:t>National Greenhouse and Energy Reporting (Safeguard Mechanism) Amendment (</w:t>
          </w:r>
          <w:r>
            <w:rPr>
              <w:i/>
              <w:sz w:val="18"/>
            </w:rPr>
            <w:t xml:space="preserve">Additional </w:t>
          </w:r>
          <w:r w:rsidRPr="002970DB">
            <w:rPr>
              <w:i/>
              <w:sz w:val="18"/>
            </w:rPr>
            <w:t>Prescribed Production Variables) Rule 2020</w:t>
          </w:r>
        </w:p>
      </w:tc>
      <w:tc>
        <w:tcPr>
          <w:tcW w:w="710" w:type="dxa"/>
          <w:tcBorders>
            <w:top w:val="nil"/>
            <w:left w:val="nil"/>
            <w:bottom w:val="nil"/>
            <w:right w:val="nil"/>
          </w:tcBorders>
          <w:shd w:val="clear" w:color="auto" w:fill="auto"/>
        </w:tcPr>
        <w:p w14:paraId="493C2FC4" w14:textId="77777777" w:rsidR="00795E3A" w:rsidRPr="006A2E3F" w:rsidRDefault="00795E3A" w:rsidP="00B71663">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495B2B">
            <w:rPr>
              <w:i/>
              <w:noProof/>
              <w:sz w:val="18"/>
            </w:rPr>
            <w:t>3</w:t>
          </w:r>
          <w:r w:rsidRPr="006A2E3F">
            <w:rPr>
              <w:i/>
              <w:sz w:val="18"/>
            </w:rPr>
            <w:fldChar w:fldCharType="end"/>
          </w:r>
        </w:p>
      </w:tc>
    </w:tr>
  </w:tbl>
  <w:p w14:paraId="493C2FC6" w14:textId="77777777" w:rsidR="00795E3A" w:rsidRPr="00B71663" w:rsidRDefault="00795E3A" w:rsidP="00B716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795E3A" w:rsidRPr="006A2E3F" w14:paraId="493C2FCB" w14:textId="77777777" w:rsidTr="00B71663">
      <w:tc>
        <w:tcPr>
          <w:tcW w:w="1383" w:type="dxa"/>
          <w:tcBorders>
            <w:top w:val="nil"/>
            <w:left w:val="nil"/>
            <w:bottom w:val="nil"/>
            <w:right w:val="nil"/>
          </w:tcBorders>
          <w:shd w:val="clear" w:color="auto" w:fill="auto"/>
        </w:tcPr>
        <w:p w14:paraId="493C2FC8" w14:textId="77777777" w:rsidR="00795E3A" w:rsidRPr="006A2E3F" w:rsidRDefault="00795E3A" w:rsidP="00B71663">
          <w:pPr>
            <w:spacing w:line="0" w:lineRule="atLeast"/>
            <w:rPr>
              <w:sz w:val="18"/>
            </w:rPr>
          </w:pPr>
        </w:p>
      </w:tc>
      <w:tc>
        <w:tcPr>
          <w:tcW w:w="6379" w:type="dxa"/>
          <w:tcBorders>
            <w:top w:val="nil"/>
            <w:left w:val="nil"/>
            <w:bottom w:val="nil"/>
            <w:right w:val="nil"/>
          </w:tcBorders>
          <w:shd w:val="clear" w:color="auto" w:fill="auto"/>
        </w:tcPr>
        <w:p w14:paraId="493C2FC9" w14:textId="77777777" w:rsidR="00795E3A" w:rsidRPr="00E265CF" w:rsidRDefault="00795E3A" w:rsidP="00B71663">
          <w:pPr>
            <w:spacing w:line="0" w:lineRule="atLeast"/>
            <w:jc w:val="center"/>
            <w:rPr>
              <w:i/>
              <w:sz w:val="18"/>
            </w:rPr>
          </w:pPr>
          <w:r w:rsidRPr="002970DB">
            <w:rPr>
              <w:i/>
              <w:sz w:val="18"/>
            </w:rPr>
            <w:t>National Greenhouse and Energy Reporting (Safeguard Mechanism) Amendment (</w:t>
          </w:r>
          <w:r>
            <w:rPr>
              <w:i/>
              <w:sz w:val="18"/>
            </w:rPr>
            <w:t xml:space="preserve">Additional </w:t>
          </w:r>
          <w:r w:rsidRPr="002970DB">
            <w:rPr>
              <w:i/>
              <w:sz w:val="18"/>
            </w:rPr>
            <w:t>Prescribed Production Variables) Rule 2020</w:t>
          </w:r>
        </w:p>
      </w:tc>
      <w:tc>
        <w:tcPr>
          <w:tcW w:w="710" w:type="dxa"/>
          <w:tcBorders>
            <w:top w:val="nil"/>
            <w:left w:val="nil"/>
            <w:bottom w:val="nil"/>
            <w:right w:val="nil"/>
          </w:tcBorders>
          <w:shd w:val="clear" w:color="auto" w:fill="auto"/>
        </w:tcPr>
        <w:p w14:paraId="493C2FCA" w14:textId="77777777" w:rsidR="00795E3A" w:rsidRPr="006A2E3F" w:rsidRDefault="00795E3A" w:rsidP="00B71663">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495B2B">
            <w:rPr>
              <w:i/>
              <w:noProof/>
              <w:sz w:val="18"/>
            </w:rPr>
            <w:t>2</w:t>
          </w:r>
          <w:r w:rsidRPr="006A2E3F">
            <w:rPr>
              <w:i/>
              <w:sz w:val="18"/>
            </w:rPr>
            <w:fldChar w:fldCharType="end"/>
          </w:r>
        </w:p>
      </w:tc>
    </w:tr>
  </w:tbl>
  <w:p w14:paraId="493C2FCC" w14:textId="77777777" w:rsidR="00795E3A" w:rsidRDefault="00795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C2FAA" w14:textId="77777777" w:rsidR="00795E3A" w:rsidRDefault="00795E3A">
      <w:r>
        <w:separator/>
      </w:r>
    </w:p>
  </w:footnote>
  <w:footnote w:type="continuationSeparator" w:id="0">
    <w:p w14:paraId="493C2FAB" w14:textId="77777777" w:rsidR="00795E3A" w:rsidRDefault="00795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FAE" w14:textId="77777777" w:rsidR="00795E3A" w:rsidRPr="00ED79B6" w:rsidRDefault="00795E3A" w:rsidP="00B71663">
    <w:pPr>
      <w:pBdr>
        <w:bottom w:val="single" w:sz="6" w:space="1" w:color="auto"/>
      </w:pBdr>
      <w:spacing w:before="1000"/>
    </w:pPr>
    <w:r>
      <w:rPr>
        <w:noProof/>
        <w:lang w:eastAsia="en-AU"/>
      </w:rPr>
      <mc:AlternateContent>
        <mc:Choice Requires="wps">
          <w:drawing>
            <wp:anchor distT="0" distB="0" distL="114300" distR="114300" simplePos="0" relativeHeight="251662336" behindDoc="1" locked="0" layoutInCell="1" allowOverlap="1" wp14:anchorId="493C2FCD" wp14:editId="493C2FCE">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93C2FD5" w14:textId="77777777" w:rsidR="00795E3A" w:rsidRPr="00581211" w:rsidRDefault="00795E3A"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C2FCD" id="_x0000_t202" coordsize="21600,21600" o:spt="202" path="m,l,21600r21600,l21600,xe">
              <v:stroke joinstyle="miter"/>
              <v:path gradientshapeok="t" o:connecttype="rect"/>
            </v:shapetype>
            <v:shape id="Text Box 17" o:spid="_x0000_s1026"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aFsQ7QMDAADDBgAADgAAAAAAAAAAAAAAAAAuAgAAZHJzL2Uyb0RvYy54bWxQSwEC&#10;LQAUAAYACAAAACEA5grfutwAAAAGAQAADwAAAAAAAAAAAAAAAABdBQAAZHJzL2Rvd25yZXYueG1s&#10;UEsFBgAAAAAEAAQA8wAAAGYGAAAAAA==&#10;" stroked="f">
              <v:stroke joinstyle="round"/>
              <v:path arrowok="t"/>
              <v:textbox>
                <w:txbxContent>
                  <w:p w14:paraId="493C2FD5" w14:textId="77777777" w:rsidR="00795E3A" w:rsidRPr="00581211" w:rsidRDefault="00795E3A"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FAF" w14:textId="67901B71" w:rsidR="00795E3A" w:rsidRPr="00ED35E8" w:rsidRDefault="00795E3A" w:rsidP="00ED35E8">
    <w:pPr>
      <w:pStyle w:val="Header"/>
      <w:rPr>
        <w:sz w:val="32"/>
        <w:szCs w:val="32"/>
      </w:rPr>
    </w:pPr>
    <w:r>
      <w:rPr>
        <w:noProof/>
      </w:rPr>
      <mc:AlternateContent>
        <mc:Choice Requires="wps">
          <w:drawing>
            <wp:anchor distT="0" distB="0" distL="114300" distR="114300" simplePos="0" relativeHeight="251661312" behindDoc="1" locked="0" layoutInCell="1" allowOverlap="1" wp14:anchorId="493C2FCF" wp14:editId="493C2FD0">
              <wp:simplePos x="0" y="0"/>
              <wp:positionH relativeFrom="column">
                <wp:align>center</wp:align>
              </wp:positionH>
              <wp:positionV relativeFrom="page">
                <wp:posOffset>143510</wp:posOffset>
              </wp:positionV>
              <wp:extent cx="4410075" cy="4000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93C2FD6" w14:textId="77777777" w:rsidR="00795E3A" w:rsidRPr="00581211" w:rsidRDefault="00795E3A" w:rsidP="00B71663">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C2FCF" id="_x0000_t202" coordsize="21600,21600" o:spt="202" path="m,l,21600r21600,l21600,xe">
              <v:stroke joinstyle="miter"/>
              <v:path gradientshapeok="t" o:connecttype="rect"/>
            </v:shapetype>
            <v:shape id="Text Box 16" o:spid="_x0000_s1027" type="#_x0000_t202" style="position:absolute;left:0;text-align:left;margin-left:0;margin-top:11.3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fq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qux0IUQbPQxRbtZDWqGT3hDJ/V&#10;CGbOnL9lFhMISkxVf4OllBqloncSJZW239/SBzxShVPUFiYayvbbillUmvyiMDLGWZ6HERg3+WDU&#10;x8Y+P1k8P1Gr5lKjY7L4uigGvJd7sbS6ecDwPQ9eccQUh+8pRdN04qXv5iyGNxfn5xGEoWeYn6s7&#10;w/dTJCTxvn1g1uy624PNa72ffWzyqsk7bKhwpc9XXpd1nABPrCITYYOBGXOyG+5hIj/fR9TTX9Dp&#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C+7H6gYDAADKBgAADgAAAAAAAAAAAAAAAAAuAgAAZHJzL2Uyb0RvYy54bWxQ&#10;SwECLQAUAAYACAAAACEA5grfutwAAAAGAQAADwAAAAAAAAAAAAAAAABgBQAAZHJzL2Rvd25yZXYu&#10;eG1sUEsFBgAAAAAEAAQA8wAAAGkGAAAAAA==&#10;" stroked="f">
              <v:stroke joinstyle="round"/>
              <v:path arrowok="t"/>
              <v:textbox>
                <w:txbxContent>
                  <w:p w14:paraId="493C2FD6" w14:textId="77777777" w:rsidR="00795E3A" w:rsidRPr="00581211" w:rsidRDefault="00795E3A" w:rsidP="00B71663">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FBE" w14:textId="77777777" w:rsidR="00795E3A" w:rsidRPr="00ED79B6" w:rsidRDefault="00795E3A" w:rsidP="00B7166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FBF" w14:textId="77777777" w:rsidR="00795E3A" w:rsidRDefault="00795E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FC0" w14:textId="77777777" w:rsidR="00795E3A" w:rsidRDefault="00795E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FC7" w14:textId="77777777" w:rsidR="00795E3A" w:rsidRPr="009341A7" w:rsidRDefault="00795E3A">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23726EB"/>
    <w:multiLevelType w:val="hybridMultilevel"/>
    <w:tmpl w:val="F698C37C"/>
    <w:lvl w:ilvl="0" w:tplc="06D807CC">
      <w:start w:val="1"/>
      <w:numFmt w:val="lowerLetter"/>
      <w:pStyle w:val="Output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 w15:restartNumberingAfterBreak="0">
    <w:nsid w:val="15A7595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D97E11"/>
    <w:multiLevelType w:val="hybridMultilevel"/>
    <w:tmpl w:val="5B8EEAF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81FDE"/>
    <w:multiLevelType w:val="hybridMultilevel"/>
    <w:tmpl w:val="6AEA163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C552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5E7FE6"/>
    <w:multiLevelType w:val="hybridMultilevel"/>
    <w:tmpl w:val="8124D1C0"/>
    <w:lvl w:ilvl="0" w:tplc="EB027456">
      <w:start w:val="1"/>
      <w:numFmt w:val="lowerLetter"/>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8" w15:restartNumberingAfterBreak="0">
    <w:nsid w:val="2F242C74"/>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2" w15:restartNumberingAfterBreak="0">
    <w:nsid w:val="42266120"/>
    <w:multiLevelType w:val="hybridMultilevel"/>
    <w:tmpl w:val="8D603CCE"/>
    <w:lvl w:ilvl="0" w:tplc="95402366">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13"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2F6127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4F1E027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51B66C0F"/>
    <w:multiLevelType w:val="hybridMultilevel"/>
    <w:tmpl w:val="A3B26698"/>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4463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6D125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76833AF"/>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9" w15:restartNumberingAfterBreak="0">
    <w:nsid w:val="7D6B41E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16"/>
  </w:num>
  <w:num w:numId="4">
    <w:abstractNumId w:val="5"/>
  </w:num>
  <w:num w:numId="5">
    <w:abstractNumId w:val="15"/>
  </w:num>
  <w:num w:numId="6">
    <w:abstractNumId w:val="28"/>
  </w:num>
  <w:num w:numId="7">
    <w:abstractNumId w:val="14"/>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5"/>
  </w:num>
  <w:num w:numId="12">
    <w:abstractNumId w:val="3"/>
  </w:num>
  <w:num w:numId="13">
    <w:abstractNumId w:val="6"/>
  </w:num>
  <w:num w:numId="14">
    <w:abstractNumId w:val="29"/>
  </w:num>
  <w:num w:numId="15">
    <w:abstractNumId w:val="19"/>
  </w:num>
  <w:num w:numId="1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1AFE"/>
    <w:rsid w:val="00002024"/>
    <w:rsid w:val="00002F4F"/>
    <w:rsid w:val="000039D7"/>
    <w:rsid w:val="00005E43"/>
    <w:rsid w:val="000116E4"/>
    <w:rsid w:val="00012088"/>
    <w:rsid w:val="00012B72"/>
    <w:rsid w:val="00014257"/>
    <w:rsid w:val="00023B7A"/>
    <w:rsid w:val="000248C7"/>
    <w:rsid w:val="00024D88"/>
    <w:rsid w:val="000258A0"/>
    <w:rsid w:val="00030526"/>
    <w:rsid w:val="00031189"/>
    <w:rsid w:val="000320F2"/>
    <w:rsid w:val="00034714"/>
    <w:rsid w:val="00036779"/>
    <w:rsid w:val="00036984"/>
    <w:rsid w:val="0003757F"/>
    <w:rsid w:val="0003764D"/>
    <w:rsid w:val="00041037"/>
    <w:rsid w:val="00041E62"/>
    <w:rsid w:val="000421F4"/>
    <w:rsid w:val="000428FB"/>
    <w:rsid w:val="0004373B"/>
    <w:rsid w:val="0004479F"/>
    <w:rsid w:val="00044C87"/>
    <w:rsid w:val="00044D8C"/>
    <w:rsid w:val="000453D0"/>
    <w:rsid w:val="00046216"/>
    <w:rsid w:val="00050664"/>
    <w:rsid w:val="00051826"/>
    <w:rsid w:val="00051EA8"/>
    <w:rsid w:val="0005423E"/>
    <w:rsid w:val="00056020"/>
    <w:rsid w:val="0005626C"/>
    <w:rsid w:val="00057DAD"/>
    <w:rsid w:val="00060287"/>
    <w:rsid w:val="00063C97"/>
    <w:rsid w:val="00064F51"/>
    <w:rsid w:val="00066A91"/>
    <w:rsid w:val="000731B2"/>
    <w:rsid w:val="00074AB4"/>
    <w:rsid w:val="000813F8"/>
    <w:rsid w:val="00082BCD"/>
    <w:rsid w:val="000870BE"/>
    <w:rsid w:val="0008712C"/>
    <w:rsid w:val="00090D8B"/>
    <w:rsid w:val="00093D64"/>
    <w:rsid w:val="000967FA"/>
    <w:rsid w:val="00097203"/>
    <w:rsid w:val="000974E1"/>
    <w:rsid w:val="000978C5"/>
    <w:rsid w:val="000A0DD5"/>
    <w:rsid w:val="000A25C2"/>
    <w:rsid w:val="000A4314"/>
    <w:rsid w:val="000A71D4"/>
    <w:rsid w:val="000A7903"/>
    <w:rsid w:val="000B042A"/>
    <w:rsid w:val="000B081B"/>
    <w:rsid w:val="000B177D"/>
    <w:rsid w:val="000B2B15"/>
    <w:rsid w:val="000B4DA5"/>
    <w:rsid w:val="000B5DCB"/>
    <w:rsid w:val="000C0F32"/>
    <w:rsid w:val="000C11C3"/>
    <w:rsid w:val="000C1C3E"/>
    <w:rsid w:val="000C2287"/>
    <w:rsid w:val="000C2440"/>
    <w:rsid w:val="000C2AAC"/>
    <w:rsid w:val="000C3687"/>
    <w:rsid w:val="000C61CF"/>
    <w:rsid w:val="000D2D22"/>
    <w:rsid w:val="000D2F5D"/>
    <w:rsid w:val="000D2FFA"/>
    <w:rsid w:val="000D40E2"/>
    <w:rsid w:val="000D5C7F"/>
    <w:rsid w:val="000D5F02"/>
    <w:rsid w:val="000D628D"/>
    <w:rsid w:val="000D7125"/>
    <w:rsid w:val="000D7205"/>
    <w:rsid w:val="000E09F7"/>
    <w:rsid w:val="000E2406"/>
    <w:rsid w:val="000E2AF3"/>
    <w:rsid w:val="000E2E9E"/>
    <w:rsid w:val="000E409F"/>
    <w:rsid w:val="000E4D39"/>
    <w:rsid w:val="000E6F9C"/>
    <w:rsid w:val="000E750C"/>
    <w:rsid w:val="000F0319"/>
    <w:rsid w:val="000F081D"/>
    <w:rsid w:val="000F2EBE"/>
    <w:rsid w:val="000F31F8"/>
    <w:rsid w:val="000F34EC"/>
    <w:rsid w:val="000F39FE"/>
    <w:rsid w:val="000F4353"/>
    <w:rsid w:val="000F4EBB"/>
    <w:rsid w:val="00100B97"/>
    <w:rsid w:val="00100C79"/>
    <w:rsid w:val="00101FC3"/>
    <w:rsid w:val="00102896"/>
    <w:rsid w:val="00105530"/>
    <w:rsid w:val="00107E81"/>
    <w:rsid w:val="00107FE7"/>
    <w:rsid w:val="001104D5"/>
    <w:rsid w:val="0011193D"/>
    <w:rsid w:val="0011343D"/>
    <w:rsid w:val="001217A0"/>
    <w:rsid w:val="00121A23"/>
    <w:rsid w:val="00123118"/>
    <w:rsid w:val="00123931"/>
    <w:rsid w:val="001243FC"/>
    <w:rsid w:val="00124559"/>
    <w:rsid w:val="001245D0"/>
    <w:rsid w:val="00126B55"/>
    <w:rsid w:val="001300B0"/>
    <w:rsid w:val="001369B9"/>
    <w:rsid w:val="00137A06"/>
    <w:rsid w:val="0014047A"/>
    <w:rsid w:val="00140EBC"/>
    <w:rsid w:val="00141D94"/>
    <w:rsid w:val="00142EC4"/>
    <w:rsid w:val="0014387D"/>
    <w:rsid w:val="001443B4"/>
    <w:rsid w:val="00144E82"/>
    <w:rsid w:val="00145180"/>
    <w:rsid w:val="00145B47"/>
    <w:rsid w:val="001476F6"/>
    <w:rsid w:val="001532D6"/>
    <w:rsid w:val="00154AA1"/>
    <w:rsid w:val="00160FE5"/>
    <w:rsid w:val="00163697"/>
    <w:rsid w:val="001667E6"/>
    <w:rsid w:val="00166E32"/>
    <w:rsid w:val="00170675"/>
    <w:rsid w:val="00172839"/>
    <w:rsid w:val="00174847"/>
    <w:rsid w:val="0017505D"/>
    <w:rsid w:val="001776B2"/>
    <w:rsid w:val="0018156B"/>
    <w:rsid w:val="00182E3C"/>
    <w:rsid w:val="00182E6C"/>
    <w:rsid w:val="00184268"/>
    <w:rsid w:val="00184B5E"/>
    <w:rsid w:val="0019023B"/>
    <w:rsid w:val="00190AB5"/>
    <w:rsid w:val="001923BC"/>
    <w:rsid w:val="00194039"/>
    <w:rsid w:val="00195069"/>
    <w:rsid w:val="00196C16"/>
    <w:rsid w:val="00196DA5"/>
    <w:rsid w:val="001979DC"/>
    <w:rsid w:val="001A15AC"/>
    <w:rsid w:val="001A34B5"/>
    <w:rsid w:val="001A562A"/>
    <w:rsid w:val="001A5CB2"/>
    <w:rsid w:val="001B0571"/>
    <w:rsid w:val="001B0B41"/>
    <w:rsid w:val="001B2D72"/>
    <w:rsid w:val="001B4173"/>
    <w:rsid w:val="001B644D"/>
    <w:rsid w:val="001B7250"/>
    <w:rsid w:val="001B7C15"/>
    <w:rsid w:val="001C0768"/>
    <w:rsid w:val="001C1A73"/>
    <w:rsid w:val="001C1E6C"/>
    <w:rsid w:val="001C3392"/>
    <w:rsid w:val="001C3788"/>
    <w:rsid w:val="001C5C04"/>
    <w:rsid w:val="001C5CD2"/>
    <w:rsid w:val="001C6AD2"/>
    <w:rsid w:val="001D07AE"/>
    <w:rsid w:val="001D3573"/>
    <w:rsid w:val="001D63C1"/>
    <w:rsid w:val="001E0960"/>
    <w:rsid w:val="001E1B02"/>
    <w:rsid w:val="001E4824"/>
    <w:rsid w:val="001E647F"/>
    <w:rsid w:val="001F373E"/>
    <w:rsid w:val="001F43D4"/>
    <w:rsid w:val="001F50EC"/>
    <w:rsid w:val="001F5AF2"/>
    <w:rsid w:val="001F6BD1"/>
    <w:rsid w:val="00201A33"/>
    <w:rsid w:val="00207589"/>
    <w:rsid w:val="00210328"/>
    <w:rsid w:val="00210C28"/>
    <w:rsid w:val="002113DE"/>
    <w:rsid w:val="0021145F"/>
    <w:rsid w:val="00211CC7"/>
    <w:rsid w:val="002131D1"/>
    <w:rsid w:val="002133A9"/>
    <w:rsid w:val="00213788"/>
    <w:rsid w:val="002146BA"/>
    <w:rsid w:val="0021764C"/>
    <w:rsid w:val="00217A90"/>
    <w:rsid w:val="00217C89"/>
    <w:rsid w:val="00220F1C"/>
    <w:rsid w:val="002221BC"/>
    <w:rsid w:val="00223A01"/>
    <w:rsid w:val="00225D68"/>
    <w:rsid w:val="0022621E"/>
    <w:rsid w:val="002274CF"/>
    <w:rsid w:val="002309B3"/>
    <w:rsid w:val="00232329"/>
    <w:rsid w:val="00233BC0"/>
    <w:rsid w:val="00234173"/>
    <w:rsid w:val="00235E1E"/>
    <w:rsid w:val="00240E9E"/>
    <w:rsid w:val="0024155A"/>
    <w:rsid w:val="00241798"/>
    <w:rsid w:val="002432A9"/>
    <w:rsid w:val="00243924"/>
    <w:rsid w:val="00245513"/>
    <w:rsid w:val="00246A83"/>
    <w:rsid w:val="00246C4C"/>
    <w:rsid w:val="002472BC"/>
    <w:rsid w:val="00252009"/>
    <w:rsid w:val="00254817"/>
    <w:rsid w:val="00255070"/>
    <w:rsid w:val="00257896"/>
    <w:rsid w:val="00264064"/>
    <w:rsid w:val="00265192"/>
    <w:rsid w:val="00266DC8"/>
    <w:rsid w:val="00271C30"/>
    <w:rsid w:val="00274E2B"/>
    <w:rsid w:val="0028069B"/>
    <w:rsid w:val="002807F0"/>
    <w:rsid w:val="00280B8E"/>
    <w:rsid w:val="0028237F"/>
    <w:rsid w:val="002832F4"/>
    <w:rsid w:val="0028502C"/>
    <w:rsid w:val="002851EC"/>
    <w:rsid w:val="002863D0"/>
    <w:rsid w:val="00293143"/>
    <w:rsid w:val="00293320"/>
    <w:rsid w:val="00294058"/>
    <w:rsid w:val="00294245"/>
    <w:rsid w:val="00294DE8"/>
    <w:rsid w:val="00295E3A"/>
    <w:rsid w:val="00295E90"/>
    <w:rsid w:val="00297A73"/>
    <w:rsid w:val="002A0596"/>
    <w:rsid w:val="002A0C97"/>
    <w:rsid w:val="002A18C9"/>
    <w:rsid w:val="002A289D"/>
    <w:rsid w:val="002A3283"/>
    <w:rsid w:val="002A5322"/>
    <w:rsid w:val="002A5817"/>
    <w:rsid w:val="002A6992"/>
    <w:rsid w:val="002A7A88"/>
    <w:rsid w:val="002A7E6F"/>
    <w:rsid w:val="002B0EAC"/>
    <w:rsid w:val="002B3521"/>
    <w:rsid w:val="002B3F5C"/>
    <w:rsid w:val="002B72B0"/>
    <w:rsid w:val="002C3465"/>
    <w:rsid w:val="002C34C7"/>
    <w:rsid w:val="002C3A65"/>
    <w:rsid w:val="002D2AD4"/>
    <w:rsid w:val="002E297B"/>
    <w:rsid w:val="002E2E64"/>
    <w:rsid w:val="002E39E0"/>
    <w:rsid w:val="002E5013"/>
    <w:rsid w:val="002E7EE0"/>
    <w:rsid w:val="002F0C47"/>
    <w:rsid w:val="002F242B"/>
    <w:rsid w:val="002F31A3"/>
    <w:rsid w:val="002F4A68"/>
    <w:rsid w:val="002F4BFA"/>
    <w:rsid w:val="002F664A"/>
    <w:rsid w:val="00301367"/>
    <w:rsid w:val="00301C22"/>
    <w:rsid w:val="00306EFA"/>
    <w:rsid w:val="0031117B"/>
    <w:rsid w:val="003127F8"/>
    <w:rsid w:val="00314007"/>
    <w:rsid w:val="00321884"/>
    <w:rsid w:val="00322CCD"/>
    <w:rsid w:val="003257CA"/>
    <w:rsid w:val="0032598E"/>
    <w:rsid w:val="00326353"/>
    <w:rsid w:val="00327822"/>
    <w:rsid w:val="00331757"/>
    <w:rsid w:val="00331763"/>
    <w:rsid w:val="0033258A"/>
    <w:rsid w:val="00332C68"/>
    <w:rsid w:val="00333A4F"/>
    <w:rsid w:val="00334707"/>
    <w:rsid w:val="0033550A"/>
    <w:rsid w:val="00335540"/>
    <w:rsid w:val="00340AA4"/>
    <w:rsid w:val="0034447C"/>
    <w:rsid w:val="0034760F"/>
    <w:rsid w:val="00347C4B"/>
    <w:rsid w:val="00350078"/>
    <w:rsid w:val="0035186D"/>
    <w:rsid w:val="00352B83"/>
    <w:rsid w:val="00354E4F"/>
    <w:rsid w:val="0035531A"/>
    <w:rsid w:val="00355890"/>
    <w:rsid w:val="00360344"/>
    <w:rsid w:val="0036095D"/>
    <w:rsid w:val="00364922"/>
    <w:rsid w:val="00366331"/>
    <w:rsid w:val="00367F1E"/>
    <w:rsid w:val="00370563"/>
    <w:rsid w:val="00371E2D"/>
    <w:rsid w:val="00377DAC"/>
    <w:rsid w:val="00380FB2"/>
    <w:rsid w:val="00382276"/>
    <w:rsid w:val="003846F6"/>
    <w:rsid w:val="0038492C"/>
    <w:rsid w:val="0039016F"/>
    <w:rsid w:val="00390A97"/>
    <w:rsid w:val="00390B03"/>
    <w:rsid w:val="00391F24"/>
    <w:rsid w:val="0039367F"/>
    <w:rsid w:val="003939A2"/>
    <w:rsid w:val="0039749E"/>
    <w:rsid w:val="003A080E"/>
    <w:rsid w:val="003A34AE"/>
    <w:rsid w:val="003A4CFF"/>
    <w:rsid w:val="003A6158"/>
    <w:rsid w:val="003A644D"/>
    <w:rsid w:val="003A72A8"/>
    <w:rsid w:val="003B01A1"/>
    <w:rsid w:val="003B114C"/>
    <w:rsid w:val="003B3DB9"/>
    <w:rsid w:val="003B3E94"/>
    <w:rsid w:val="003B4E23"/>
    <w:rsid w:val="003B4F0A"/>
    <w:rsid w:val="003B6D48"/>
    <w:rsid w:val="003B7386"/>
    <w:rsid w:val="003B777A"/>
    <w:rsid w:val="003C03A1"/>
    <w:rsid w:val="003C1E61"/>
    <w:rsid w:val="003C22E1"/>
    <w:rsid w:val="003C25AF"/>
    <w:rsid w:val="003C32EE"/>
    <w:rsid w:val="003C452F"/>
    <w:rsid w:val="003D1B6D"/>
    <w:rsid w:val="003D1FE2"/>
    <w:rsid w:val="003D2489"/>
    <w:rsid w:val="003D6899"/>
    <w:rsid w:val="003D7C75"/>
    <w:rsid w:val="003E070E"/>
    <w:rsid w:val="003E0AF3"/>
    <w:rsid w:val="003E1765"/>
    <w:rsid w:val="003E21B2"/>
    <w:rsid w:val="003E2DCB"/>
    <w:rsid w:val="003E3108"/>
    <w:rsid w:val="003E352A"/>
    <w:rsid w:val="003E49CC"/>
    <w:rsid w:val="003E5FBD"/>
    <w:rsid w:val="003E6641"/>
    <w:rsid w:val="003E7BF9"/>
    <w:rsid w:val="003F58A1"/>
    <w:rsid w:val="003F5C6E"/>
    <w:rsid w:val="003F61C0"/>
    <w:rsid w:val="003F7EF1"/>
    <w:rsid w:val="00400862"/>
    <w:rsid w:val="0040186F"/>
    <w:rsid w:val="00401B59"/>
    <w:rsid w:val="00402812"/>
    <w:rsid w:val="004040B2"/>
    <w:rsid w:val="00404E41"/>
    <w:rsid w:val="0040665C"/>
    <w:rsid w:val="00406C4A"/>
    <w:rsid w:val="004077A2"/>
    <w:rsid w:val="00407A73"/>
    <w:rsid w:val="00407C26"/>
    <w:rsid w:val="00412EE5"/>
    <w:rsid w:val="00416635"/>
    <w:rsid w:val="004209C2"/>
    <w:rsid w:val="00423DA5"/>
    <w:rsid w:val="00424D74"/>
    <w:rsid w:val="00425E7D"/>
    <w:rsid w:val="00426469"/>
    <w:rsid w:val="00426D83"/>
    <w:rsid w:val="0043083F"/>
    <w:rsid w:val="00430D5F"/>
    <w:rsid w:val="00431919"/>
    <w:rsid w:val="004327A6"/>
    <w:rsid w:val="00433AE2"/>
    <w:rsid w:val="00435726"/>
    <w:rsid w:val="00435DA0"/>
    <w:rsid w:val="00436098"/>
    <w:rsid w:val="00436219"/>
    <w:rsid w:val="00436C5C"/>
    <w:rsid w:val="004411EA"/>
    <w:rsid w:val="00441379"/>
    <w:rsid w:val="00442227"/>
    <w:rsid w:val="004428F7"/>
    <w:rsid w:val="00442D45"/>
    <w:rsid w:val="00443AB1"/>
    <w:rsid w:val="00444507"/>
    <w:rsid w:val="00444584"/>
    <w:rsid w:val="0044481F"/>
    <w:rsid w:val="004503EC"/>
    <w:rsid w:val="00452C13"/>
    <w:rsid w:val="00457DA7"/>
    <w:rsid w:val="00462B0B"/>
    <w:rsid w:val="00463E97"/>
    <w:rsid w:val="004652C0"/>
    <w:rsid w:val="00475CF2"/>
    <w:rsid w:val="00475FC0"/>
    <w:rsid w:val="00476141"/>
    <w:rsid w:val="0047656B"/>
    <w:rsid w:val="00476C74"/>
    <w:rsid w:val="00477BB5"/>
    <w:rsid w:val="004803D4"/>
    <w:rsid w:val="00487B34"/>
    <w:rsid w:val="00487CB7"/>
    <w:rsid w:val="00490FF2"/>
    <w:rsid w:val="00491433"/>
    <w:rsid w:val="004938A3"/>
    <w:rsid w:val="00495B2B"/>
    <w:rsid w:val="004971E4"/>
    <w:rsid w:val="004A37E5"/>
    <w:rsid w:val="004A495E"/>
    <w:rsid w:val="004B2125"/>
    <w:rsid w:val="004B421C"/>
    <w:rsid w:val="004B4EA7"/>
    <w:rsid w:val="004B52CE"/>
    <w:rsid w:val="004B5B4A"/>
    <w:rsid w:val="004B644E"/>
    <w:rsid w:val="004C1309"/>
    <w:rsid w:val="004C144E"/>
    <w:rsid w:val="004C1A87"/>
    <w:rsid w:val="004C59F8"/>
    <w:rsid w:val="004C5AFE"/>
    <w:rsid w:val="004C6902"/>
    <w:rsid w:val="004D12C4"/>
    <w:rsid w:val="004D256F"/>
    <w:rsid w:val="004E1067"/>
    <w:rsid w:val="004F0122"/>
    <w:rsid w:val="004F17F7"/>
    <w:rsid w:val="004F2436"/>
    <w:rsid w:val="004F2FAE"/>
    <w:rsid w:val="004F516D"/>
    <w:rsid w:val="004F5362"/>
    <w:rsid w:val="004F6E2A"/>
    <w:rsid w:val="004F7DC4"/>
    <w:rsid w:val="00500012"/>
    <w:rsid w:val="005001B6"/>
    <w:rsid w:val="00502DD0"/>
    <w:rsid w:val="0050462C"/>
    <w:rsid w:val="00505FCA"/>
    <w:rsid w:val="00507791"/>
    <w:rsid w:val="00511EAF"/>
    <w:rsid w:val="00516BAD"/>
    <w:rsid w:val="00516F8E"/>
    <w:rsid w:val="00517E97"/>
    <w:rsid w:val="005207D6"/>
    <w:rsid w:val="00520CFD"/>
    <w:rsid w:val="00520D89"/>
    <w:rsid w:val="00521933"/>
    <w:rsid w:val="00522D4B"/>
    <w:rsid w:val="005276E4"/>
    <w:rsid w:val="00531C0C"/>
    <w:rsid w:val="00532C21"/>
    <w:rsid w:val="00532D74"/>
    <w:rsid w:val="005352DD"/>
    <w:rsid w:val="00535D4B"/>
    <w:rsid w:val="00536929"/>
    <w:rsid w:val="00537B4E"/>
    <w:rsid w:val="00540465"/>
    <w:rsid w:val="00540960"/>
    <w:rsid w:val="00547C80"/>
    <w:rsid w:val="00547E30"/>
    <w:rsid w:val="00552D24"/>
    <w:rsid w:val="0055370A"/>
    <w:rsid w:val="00554B06"/>
    <w:rsid w:val="005556A2"/>
    <w:rsid w:val="00561037"/>
    <w:rsid w:val="0056196C"/>
    <w:rsid w:val="00562634"/>
    <w:rsid w:val="005667F0"/>
    <w:rsid w:val="00567B06"/>
    <w:rsid w:val="00571ACA"/>
    <w:rsid w:val="00571E68"/>
    <w:rsid w:val="00574D2B"/>
    <w:rsid w:val="0057505D"/>
    <w:rsid w:val="00581C0E"/>
    <w:rsid w:val="00582C28"/>
    <w:rsid w:val="00582F11"/>
    <w:rsid w:val="00583629"/>
    <w:rsid w:val="0058479C"/>
    <w:rsid w:val="00584F3F"/>
    <w:rsid w:val="0058653A"/>
    <w:rsid w:val="00586C23"/>
    <w:rsid w:val="00591AD6"/>
    <w:rsid w:val="00592607"/>
    <w:rsid w:val="00594537"/>
    <w:rsid w:val="00595849"/>
    <w:rsid w:val="00596D38"/>
    <w:rsid w:val="005A0240"/>
    <w:rsid w:val="005A0814"/>
    <w:rsid w:val="005A0EF1"/>
    <w:rsid w:val="005A6272"/>
    <w:rsid w:val="005A6EA9"/>
    <w:rsid w:val="005B15E4"/>
    <w:rsid w:val="005B29AD"/>
    <w:rsid w:val="005B42FE"/>
    <w:rsid w:val="005B5048"/>
    <w:rsid w:val="005B52E3"/>
    <w:rsid w:val="005B5536"/>
    <w:rsid w:val="005B56BF"/>
    <w:rsid w:val="005B63B2"/>
    <w:rsid w:val="005B7033"/>
    <w:rsid w:val="005C1148"/>
    <w:rsid w:val="005D1FCA"/>
    <w:rsid w:val="005D4CA5"/>
    <w:rsid w:val="005D7C25"/>
    <w:rsid w:val="005E017E"/>
    <w:rsid w:val="005E0910"/>
    <w:rsid w:val="005E138B"/>
    <w:rsid w:val="005E4601"/>
    <w:rsid w:val="005E736A"/>
    <w:rsid w:val="005F1C54"/>
    <w:rsid w:val="005F1DF4"/>
    <w:rsid w:val="005F253E"/>
    <w:rsid w:val="005F27EF"/>
    <w:rsid w:val="005F5E3B"/>
    <w:rsid w:val="005F60DB"/>
    <w:rsid w:val="006006CF"/>
    <w:rsid w:val="00602E88"/>
    <w:rsid w:val="00603EA5"/>
    <w:rsid w:val="00604125"/>
    <w:rsid w:val="00605ADC"/>
    <w:rsid w:val="00606ADD"/>
    <w:rsid w:val="00610DA3"/>
    <w:rsid w:val="006122E1"/>
    <w:rsid w:val="006147BE"/>
    <w:rsid w:val="006161F8"/>
    <w:rsid w:val="00616491"/>
    <w:rsid w:val="00621256"/>
    <w:rsid w:val="00623FA5"/>
    <w:rsid w:val="0062440A"/>
    <w:rsid w:val="0062512C"/>
    <w:rsid w:val="0062551D"/>
    <w:rsid w:val="00630E07"/>
    <w:rsid w:val="0063445A"/>
    <w:rsid w:val="00635A53"/>
    <w:rsid w:val="00636348"/>
    <w:rsid w:val="006376CC"/>
    <w:rsid w:val="0064072C"/>
    <w:rsid w:val="00640E0B"/>
    <w:rsid w:val="00641007"/>
    <w:rsid w:val="00642695"/>
    <w:rsid w:val="00642C1E"/>
    <w:rsid w:val="006448E4"/>
    <w:rsid w:val="00645F37"/>
    <w:rsid w:val="0064647A"/>
    <w:rsid w:val="0064667D"/>
    <w:rsid w:val="00646D73"/>
    <w:rsid w:val="00647E87"/>
    <w:rsid w:val="0065130D"/>
    <w:rsid w:val="00652BBE"/>
    <w:rsid w:val="0065413D"/>
    <w:rsid w:val="00654FF7"/>
    <w:rsid w:val="006574AB"/>
    <w:rsid w:val="006617ED"/>
    <w:rsid w:val="00662B72"/>
    <w:rsid w:val="00663241"/>
    <w:rsid w:val="006638A9"/>
    <w:rsid w:val="00663ADA"/>
    <w:rsid w:val="00665AEC"/>
    <w:rsid w:val="00666AB2"/>
    <w:rsid w:val="0066733F"/>
    <w:rsid w:val="006738A8"/>
    <w:rsid w:val="006775C7"/>
    <w:rsid w:val="006800C1"/>
    <w:rsid w:val="006805E2"/>
    <w:rsid w:val="0068239C"/>
    <w:rsid w:val="006829B7"/>
    <w:rsid w:val="006838D2"/>
    <w:rsid w:val="0068442B"/>
    <w:rsid w:val="00685DC9"/>
    <w:rsid w:val="0068754D"/>
    <w:rsid w:val="00692892"/>
    <w:rsid w:val="006948D4"/>
    <w:rsid w:val="006961BC"/>
    <w:rsid w:val="006A0D8C"/>
    <w:rsid w:val="006A0E83"/>
    <w:rsid w:val="006A1924"/>
    <w:rsid w:val="006A37A5"/>
    <w:rsid w:val="006A44B5"/>
    <w:rsid w:val="006A45FF"/>
    <w:rsid w:val="006A6C6E"/>
    <w:rsid w:val="006B07F9"/>
    <w:rsid w:val="006B17DB"/>
    <w:rsid w:val="006B3141"/>
    <w:rsid w:val="006B3A1B"/>
    <w:rsid w:val="006B404D"/>
    <w:rsid w:val="006B4B86"/>
    <w:rsid w:val="006B7B5E"/>
    <w:rsid w:val="006C030F"/>
    <w:rsid w:val="006C1EA8"/>
    <w:rsid w:val="006C2838"/>
    <w:rsid w:val="006C40AF"/>
    <w:rsid w:val="006C4A30"/>
    <w:rsid w:val="006C577C"/>
    <w:rsid w:val="006C7992"/>
    <w:rsid w:val="006C7EEA"/>
    <w:rsid w:val="006D0A68"/>
    <w:rsid w:val="006D315F"/>
    <w:rsid w:val="006D6000"/>
    <w:rsid w:val="006D7611"/>
    <w:rsid w:val="006E12A9"/>
    <w:rsid w:val="006E1CDF"/>
    <w:rsid w:val="006E2406"/>
    <w:rsid w:val="006E2F5B"/>
    <w:rsid w:val="006E702C"/>
    <w:rsid w:val="006F05FC"/>
    <w:rsid w:val="006F166C"/>
    <w:rsid w:val="006F1BB4"/>
    <w:rsid w:val="006F335D"/>
    <w:rsid w:val="006F39FC"/>
    <w:rsid w:val="006F3F95"/>
    <w:rsid w:val="006F45B5"/>
    <w:rsid w:val="006F59B9"/>
    <w:rsid w:val="006F6CBF"/>
    <w:rsid w:val="006F711B"/>
    <w:rsid w:val="006F7EF6"/>
    <w:rsid w:val="00700043"/>
    <w:rsid w:val="00701FD7"/>
    <w:rsid w:val="007042B4"/>
    <w:rsid w:val="00711DAC"/>
    <w:rsid w:val="00713995"/>
    <w:rsid w:val="007166C5"/>
    <w:rsid w:val="00720B8F"/>
    <w:rsid w:val="00722E06"/>
    <w:rsid w:val="00723CD9"/>
    <w:rsid w:val="0072459D"/>
    <w:rsid w:val="007249E6"/>
    <w:rsid w:val="00725D73"/>
    <w:rsid w:val="00726437"/>
    <w:rsid w:val="0072656B"/>
    <w:rsid w:val="007275FE"/>
    <w:rsid w:val="0073065D"/>
    <w:rsid w:val="00730DC0"/>
    <w:rsid w:val="007330A3"/>
    <w:rsid w:val="007351F3"/>
    <w:rsid w:val="00736AF2"/>
    <w:rsid w:val="00736F58"/>
    <w:rsid w:val="00741738"/>
    <w:rsid w:val="0074675F"/>
    <w:rsid w:val="00746DC8"/>
    <w:rsid w:val="00747AD3"/>
    <w:rsid w:val="00754E6A"/>
    <w:rsid w:val="007551B7"/>
    <w:rsid w:val="007557A9"/>
    <w:rsid w:val="007560A6"/>
    <w:rsid w:val="00757A8F"/>
    <w:rsid w:val="00757BFF"/>
    <w:rsid w:val="007629C6"/>
    <w:rsid w:val="007661CD"/>
    <w:rsid w:val="00767F90"/>
    <w:rsid w:val="007701BF"/>
    <w:rsid w:val="0077116C"/>
    <w:rsid w:val="0077308C"/>
    <w:rsid w:val="00774156"/>
    <w:rsid w:val="0077541E"/>
    <w:rsid w:val="00775C14"/>
    <w:rsid w:val="007760FD"/>
    <w:rsid w:val="0077667F"/>
    <w:rsid w:val="00777BB6"/>
    <w:rsid w:val="00784B48"/>
    <w:rsid w:val="00785341"/>
    <w:rsid w:val="007856B2"/>
    <w:rsid w:val="0079328C"/>
    <w:rsid w:val="007934F1"/>
    <w:rsid w:val="00793902"/>
    <w:rsid w:val="00793E67"/>
    <w:rsid w:val="00795E3A"/>
    <w:rsid w:val="007963EC"/>
    <w:rsid w:val="00797355"/>
    <w:rsid w:val="007A15D9"/>
    <w:rsid w:val="007A2B63"/>
    <w:rsid w:val="007A337B"/>
    <w:rsid w:val="007A4C5E"/>
    <w:rsid w:val="007A5A4C"/>
    <w:rsid w:val="007A6FD4"/>
    <w:rsid w:val="007B0407"/>
    <w:rsid w:val="007B1945"/>
    <w:rsid w:val="007B1C64"/>
    <w:rsid w:val="007B5D87"/>
    <w:rsid w:val="007C1C1D"/>
    <w:rsid w:val="007C302E"/>
    <w:rsid w:val="007C31EF"/>
    <w:rsid w:val="007C5D94"/>
    <w:rsid w:val="007C6401"/>
    <w:rsid w:val="007C6E3D"/>
    <w:rsid w:val="007D1AAE"/>
    <w:rsid w:val="007D330F"/>
    <w:rsid w:val="007D6E07"/>
    <w:rsid w:val="007D7127"/>
    <w:rsid w:val="007D7184"/>
    <w:rsid w:val="007D729A"/>
    <w:rsid w:val="007D74B0"/>
    <w:rsid w:val="007D798D"/>
    <w:rsid w:val="007E238A"/>
    <w:rsid w:val="007E2D1A"/>
    <w:rsid w:val="007E5313"/>
    <w:rsid w:val="007E5CFA"/>
    <w:rsid w:val="007E6966"/>
    <w:rsid w:val="007E6C92"/>
    <w:rsid w:val="007E753F"/>
    <w:rsid w:val="007F096A"/>
    <w:rsid w:val="007F11B3"/>
    <w:rsid w:val="007F310C"/>
    <w:rsid w:val="007F4157"/>
    <w:rsid w:val="007F434A"/>
    <w:rsid w:val="007F62BB"/>
    <w:rsid w:val="007F75FE"/>
    <w:rsid w:val="0080020C"/>
    <w:rsid w:val="008013C4"/>
    <w:rsid w:val="008017F8"/>
    <w:rsid w:val="00805150"/>
    <w:rsid w:val="0080541C"/>
    <w:rsid w:val="00806905"/>
    <w:rsid w:val="008077BA"/>
    <w:rsid w:val="00810255"/>
    <w:rsid w:val="00811B4F"/>
    <w:rsid w:val="00812F65"/>
    <w:rsid w:val="00813F1A"/>
    <w:rsid w:val="008145A8"/>
    <w:rsid w:val="0081483E"/>
    <w:rsid w:val="00814DB1"/>
    <w:rsid w:val="0081779B"/>
    <w:rsid w:val="008205BA"/>
    <w:rsid w:val="00821543"/>
    <w:rsid w:val="0082171E"/>
    <w:rsid w:val="00821AA9"/>
    <w:rsid w:val="00822056"/>
    <w:rsid w:val="00824B62"/>
    <w:rsid w:val="00831894"/>
    <w:rsid w:val="00831BAE"/>
    <w:rsid w:val="0083235A"/>
    <w:rsid w:val="008327E4"/>
    <w:rsid w:val="00832BF7"/>
    <w:rsid w:val="00834DF6"/>
    <w:rsid w:val="0084663A"/>
    <w:rsid w:val="008473D0"/>
    <w:rsid w:val="008511E4"/>
    <w:rsid w:val="00851E2D"/>
    <w:rsid w:val="00852453"/>
    <w:rsid w:val="00852794"/>
    <w:rsid w:val="00853F99"/>
    <w:rsid w:val="00855DE5"/>
    <w:rsid w:val="00856141"/>
    <w:rsid w:val="00856E2A"/>
    <w:rsid w:val="00857B4E"/>
    <w:rsid w:val="00862F94"/>
    <w:rsid w:val="00863979"/>
    <w:rsid w:val="00866271"/>
    <w:rsid w:val="008671B1"/>
    <w:rsid w:val="008678EB"/>
    <w:rsid w:val="00867CCD"/>
    <w:rsid w:val="00870824"/>
    <w:rsid w:val="00871F03"/>
    <w:rsid w:val="00872A40"/>
    <w:rsid w:val="00873E84"/>
    <w:rsid w:val="00876AE2"/>
    <w:rsid w:val="008802A3"/>
    <w:rsid w:val="00880AB9"/>
    <w:rsid w:val="00882123"/>
    <w:rsid w:val="00882528"/>
    <w:rsid w:val="008858BF"/>
    <w:rsid w:val="00886D9E"/>
    <w:rsid w:val="008920B1"/>
    <w:rsid w:val="00894B53"/>
    <w:rsid w:val="00895A75"/>
    <w:rsid w:val="008A1585"/>
    <w:rsid w:val="008A17E3"/>
    <w:rsid w:val="008A28B4"/>
    <w:rsid w:val="008A32B9"/>
    <w:rsid w:val="008A4262"/>
    <w:rsid w:val="008A7C58"/>
    <w:rsid w:val="008B23EF"/>
    <w:rsid w:val="008B3176"/>
    <w:rsid w:val="008B3541"/>
    <w:rsid w:val="008B3830"/>
    <w:rsid w:val="008B3BA5"/>
    <w:rsid w:val="008B5D95"/>
    <w:rsid w:val="008C0D14"/>
    <w:rsid w:val="008C1C74"/>
    <w:rsid w:val="008C341B"/>
    <w:rsid w:val="008C4E0A"/>
    <w:rsid w:val="008C6C78"/>
    <w:rsid w:val="008C7668"/>
    <w:rsid w:val="008D1AA7"/>
    <w:rsid w:val="008D3B2B"/>
    <w:rsid w:val="008D3DC2"/>
    <w:rsid w:val="008D4E5F"/>
    <w:rsid w:val="008D6654"/>
    <w:rsid w:val="008D6A9D"/>
    <w:rsid w:val="008E1C73"/>
    <w:rsid w:val="008E23A4"/>
    <w:rsid w:val="008E24DA"/>
    <w:rsid w:val="008E38D7"/>
    <w:rsid w:val="008E5B5E"/>
    <w:rsid w:val="008F20FB"/>
    <w:rsid w:val="008F3A94"/>
    <w:rsid w:val="008F4AF1"/>
    <w:rsid w:val="008F54B7"/>
    <w:rsid w:val="008F58D2"/>
    <w:rsid w:val="008F5E93"/>
    <w:rsid w:val="00902A2B"/>
    <w:rsid w:val="00903370"/>
    <w:rsid w:val="00904115"/>
    <w:rsid w:val="0090466A"/>
    <w:rsid w:val="00905441"/>
    <w:rsid w:val="00910CDE"/>
    <w:rsid w:val="009121A5"/>
    <w:rsid w:val="00912F84"/>
    <w:rsid w:val="00913D7D"/>
    <w:rsid w:val="00915D39"/>
    <w:rsid w:val="0091668E"/>
    <w:rsid w:val="0091674D"/>
    <w:rsid w:val="00917469"/>
    <w:rsid w:val="0091774C"/>
    <w:rsid w:val="009218BA"/>
    <w:rsid w:val="00923573"/>
    <w:rsid w:val="0092464E"/>
    <w:rsid w:val="009249F0"/>
    <w:rsid w:val="00924F49"/>
    <w:rsid w:val="00926332"/>
    <w:rsid w:val="00927383"/>
    <w:rsid w:val="00927FDF"/>
    <w:rsid w:val="00931772"/>
    <w:rsid w:val="009317A2"/>
    <w:rsid w:val="0093199E"/>
    <w:rsid w:val="009319D5"/>
    <w:rsid w:val="00933869"/>
    <w:rsid w:val="009341A7"/>
    <w:rsid w:val="0093569B"/>
    <w:rsid w:val="009359F9"/>
    <w:rsid w:val="009422EA"/>
    <w:rsid w:val="009439FD"/>
    <w:rsid w:val="00945645"/>
    <w:rsid w:val="00950AE5"/>
    <w:rsid w:val="00952109"/>
    <w:rsid w:val="0095384A"/>
    <w:rsid w:val="00953ABB"/>
    <w:rsid w:val="00953DDA"/>
    <w:rsid w:val="00962A76"/>
    <w:rsid w:val="00963690"/>
    <w:rsid w:val="009646BA"/>
    <w:rsid w:val="00964948"/>
    <w:rsid w:val="00967043"/>
    <w:rsid w:val="009676EF"/>
    <w:rsid w:val="009679CE"/>
    <w:rsid w:val="00970AA8"/>
    <w:rsid w:val="00971434"/>
    <w:rsid w:val="009745FC"/>
    <w:rsid w:val="00974EE4"/>
    <w:rsid w:val="009768DD"/>
    <w:rsid w:val="0097758B"/>
    <w:rsid w:val="009778BB"/>
    <w:rsid w:val="00980EA3"/>
    <w:rsid w:val="009817E2"/>
    <w:rsid w:val="009818F6"/>
    <w:rsid w:val="00981B44"/>
    <w:rsid w:val="00982D68"/>
    <w:rsid w:val="0098596B"/>
    <w:rsid w:val="009907E1"/>
    <w:rsid w:val="009917F3"/>
    <w:rsid w:val="00993854"/>
    <w:rsid w:val="009940A5"/>
    <w:rsid w:val="00996158"/>
    <w:rsid w:val="009A0F10"/>
    <w:rsid w:val="009A25D3"/>
    <w:rsid w:val="009A274B"/>
    <w:rsid w:val="009A3392"/>
    <w:rsid w:val="009A3C6D"/>
    <w:rsid w:val="009B0BA1"/>
    <w:rsid w:val="009B1D56"/>
    <w:rsid w:val="009B36F4"/>
    <w:rsid w:val="009B4188"/>
    <w:rsid w:val="009B4A3E"/>
    <w:rsid w:val="009B758E"/>
    <w:rsid w:val="009C0069"/>
    <w:rsid w:val="009C2745"/>
    <w:rsid w:val="009C6946"/>
    <w:rsid w:val="009C6F1A"/>
    <w:rsid w:val="009D02F2"/>
    <w:rsid w:val="009D0428"/>
    <w:rsid w:val="009D07FA"/>
    <w:rsid w:val="009D3E1A"/>
    <w:rsid w:val="009D4F99"/>
    <w:rsid w:val="009D5A21"/>
    <w:rsid w:val="009D7DF2"/>
    <w:rsid w:val="009E012E"/>
    <w:rsid w:val="009E0309"/>
    <w:rsid w:val="009E1396"/>
    <w:rsid w:val="009E5AE6"/>
    <w:rsid w:val="009E5F58"/>
    <w:rsid w:val="009E7EF5"/>
    <w:rsid w:val="009F02DE"/>
    <w:rsid w:val="009F3A92"/>
    <w:rsid w:val="009F6098"/>
    <w:rsid w:val="009F6BF2"/>
    <w:rsid w:val="009F6CCC"/>
    <w:rsid w:val="009F75F7"/>
    <w:rsid w:val="00A0120A"/>
    <w:rsid w:val="00A01E95"/>
    <w:rsid w:val="00A01F70"/>
    <w:rsid w:val="00A0391F"/>
    <w:rsid w:val="00A03D2A"/>
    <w:rsid w:val="00A1077C"/>
    <w:rsid w:val="00A11B2F"/>
    <w:rsid w:val="00A11EA3"/>
    <w:rsid w:val="00A14C78"/>
    <w:rsid w:val="00A170DC"/>
    <w:rsid w:val="00A17D95"/>
    <w:rsid w:val="00A20C49"/>
    <w:rsid w:val="00A2263A"/>
    <w:rsid w:val="00A22771"/>
    <w:rsid w:val="00A22C2F"/>
    <w:rsid w:val="00A2382C"/>
    <w:rsid w:val="00A24756"/>
    <w:rsid w:val="00A252F3"/>
    <w:rsid w:val="00A265A4"/>
    <w:rsid w:val="00A31916"/>
    <w:rsid w:val="00A3509A"/>
    <w:rsid w:val="00A362C4"/>
    <w:rsid w:val="00A3639A"/>
    <w:rsid w:val="00A36816"/>
    <w:rsid w:val="00A41D37"/>
    <w:rsid w:val="00A42666"/>
    <w:rsid w:val="00A42F93"/>
    <w:rsid w:val="00A44801"/>
    <w:rsid w:val="00A44F49"/>
    <w:rsid w:val="00A45265"/>
    <w:rsid w:val="00A45FFB"/>
    <w:rsid w:val="00A46D59"/>
    <w:rsid w:val="00A50D23"/>
    <w:rsid w:val="00A511D4"/>
    <w:rsid w:val="00A5656D"/>
    <w:rsid w:val="00A56B83"/>
    <w:rsid w:val="00A607E1"/>
    <w:rsid w:val="00A60A98"/>
    <w:rsid w:val="00A60F5B"/>
    <w:rsid w:val="00A66511"/>
    <w:rsid w:val="00A67FE0"/>
    <w:rsid w:val="00A7333B"/>
    <w:rsid w:val="00A7572D"/>
    <w:rsid w:val="00A77A5B"/>
    <w:rsid w:val="00A80659"/>
    <w:rsid w:val="00A810C3"/>
    <w:rsid w:val="00A81153"/>
    <w:rsid w:val="00A81275"/>
    <w:rsid w:val="00A81445"/>
    <w:rsid w:val="00A81C2C"/>
    <w:rsid w:val="00A82DA0"/>
    <w:rsid w:val="00A8320B"/>
    <w:rsid w:val="00A853AC"/>
    <w:rsid w:val="00A8563B"/>
    <w:rsid w:val="00A87458"/>
    <w:rsid w:val="00A874C1"/>
    <w:rsid w:val="00A9421A"/>
    <w:rsid w:val="00A97217"/>
    <w:rsid w:val="00AA1056"/>
    <w:rsid w:val="00AA1B9A"/>
    <w:rsid w:val="00AA27E9"/>
    <w:rsid w:val="00AA7165"/>
    <w:rsid w:val="00AA795C"/>
    <w:rsid w:val="00AB20E2"/>
    <w:rsid w:val="00AB24D7"/>
    <w:rsid w:val="00AB3A76"/>
    <w:rsid w:val="00AB55B1"/>
    <w:rsid w:val="00AB6123"/>
    <w:rsid w:val="00AB78A7"/>
    <w:rsid w:val="00AC386C"/>
    <w:rsid w:val="00AC4663"/>
    <w:rsid w:val="00AC5CE2"/>
    <w:rsid w:val="00AC7BFF"/>
    <w:rsid w:val="00AD012D"/>
    <w:rsid w:val="00AD2D6F"/>
    <w:rsid w:val="00AD2EFF"/>
    <w:rsid w:val="00AD69C3"/>
    <w:rsid w:val="00AD6B86"/>
    <w:rsid w:val="00AD7BE4"/>
    <w:rsid w:val="00AD7C65"/>
    <w:rsid w:val="00AE0494"/>
    <w:rsid w:val="00AE0499"/>
    <w:rsid w:val="00AE4A1A"/>
    <w:rsid w:val="00AE5361"/>
    <w:rsid w:val="00AF0943"/>
    <w:rsid w:val="00AF1FE5"/>
    <w:rsid w:val="00AF2EE9"/>
    <w:rsid w:val="00AF61A3"/>
    <w:rsid w:val="00B009EF"/>
    <w:rsid w:val="00B0289B"/>
    <w:rsid w:val="00B035A6"/>
    <w:rsid w:val="00B035DD"/>
    <w:rsid w:val="00B03609"/>
    <w:rsid w:val="00B041FA"/>
    <w:rsid w:val="00B0477A"/>
    <w:rsid w:val="00B0631F"/>
    <w:rsid w:val="00B07066"/>
    <w:rsid w:val="00B11161"/>
    <w:rsid w:val="00B11DFD"/>
    <w:rsid w:val="00B1217F"/>
    <w:rsid w:val="00B12B69"/>
    <w:rsid w:val="00B131A2"/>
    <w:rsid w:val="00B13564"/>
    <w:rsid w:val="00B14C0F"/>
    <w:rsid w:val="00B213B0"/>
    <w:rsid w:val="00B2141D"/>
    <w:rsid w:val="00B21D84"/>
    <w:rsid w:val="00B242D8"/>
    <w:rsid w:val="00B26513"/>
    <w:rsid w:val="00B31215"/>
    <w:rsid w:val="00B34972"/>
    <w:rsid w:val="00B34B31"/>
    <w:rsid w:val="00B3769C"/>
    <w:rsid w:val="00B37798"/>
    <w:rsid w:val="00B40751"/>
    <w:rsid w:val="00B427F4"/>
    <w:rsid w:val="00B429AE"/>
    <w:rsid w:val="00B435E8"/>
    <w:rsid w:val="00B4554B"/>
    <w:rsid w:val="00B47BAC"/>
    <w:rsid w:val="00B50554"/>
    <w:rsid w:val="00B515EC"/>
    <w:rsid w:val="00B52136"/>
    <w:rsid w:val="00B561ED"/>
    <w:rsid w:val="00B56A5E"/>
    <w:rsid w:val="00B57BDA"/>
    <w:rsid w:val="00B609AB"/>
    <w:rsid w:val="00B622FF"/>
    <w:rsid w:val="00B63CFC"/>
    <w:rsid w:val="00B64C24"/>
    <w:rsid w:val="00B65044"/>
    <w:rsid w:val="00B66073"/>
    <w:rsid w:val="00B67AB5"/>
    <w:rsid w:val="00B67F74"/>
    <w:rsid w:val="00B71663"/>
    <w:rsid w:val="00B7460E"/>
    <w:rsid w:val="00B74803"/>
    <w:rsid w:val="00B74C48"/>
    <w:rsid w:val="00B81F73"/>
    <w:rsid w:val="00B83263"/>
    <w:rsid w:val="00B83E51"/>
    <w:rsid w:val="00B85F75"/>
    <w:rsid w:val="00B9319C"/>
    <w:rsid w:val="00B9396B"/>
    <w:rsid w:val="00B93FBD"/>
    <w:rsid w:val="00B949E1"/>
    <w:rsid w:val="00B95097"/>
    <w:rsid w:val="00B9612D"/>
    <w:rsid w:val="00B9645B"/>
    <w:rsid w:val="00B9648D"/>
    <w:rsid w:val="00B97EC5"/>
    <w:rsid w:val="00BA538F"/>
    <w:rsid w:val="00BA624B"/>
    <w:rsid w:val="00BB001E"/>
    <w:rsid w:val="00BB0081"/>
    <w:rsid w:val="00BB66BB"/>
    <w:rsid w:val="00BB6C06"/>
    <w:rsid w:val="00BC08D8"/>
    <w:rsid w:val="00BC1CEF"/>
    <w:rsid w:val="00BC29E9"/>
    <w:rsid w:val="00BC5541"/>
    <w:rsid w:val="00BC5BAD"/>
    <w:rsid w:val="00BD028E"/>
    <w:rsid w:val="00BD1DEF"/>
    <w:rsid w:val="00BD3EFC"/>
    <w:rsid w:val="00BD4771"/>
    <w:rsid w:val="00BE2F59"/>
    <w:rsid w:val="00BE3641"/>
    <w:rsid w:val="00BE3866"/>
    <w:rsid w:val="00BE4B17"/>
    <w:rsid w:val="00BE4D1D"/>
    <w:rsid w:val="00BE5C95"/>
    <w:rsid w:val="00BE5ECB"/>
    <w:rsid w:val="00BE65FE"/>
    <w:rsid w:val="00BF0B49"/>
    <w:rsid w:val="00BF19CA"/>
    <w:rsid w:val="00BF267A"/>
    <w:rsid w:val="00BF2980"/>
    <w:rsid w:val="00BF30A7"/>
    <w:rsid w:val="00BF3138"/>
    <w:rsid w:val="00BF3151"/>
    <w:rsid w:val="00BF5A69"/>
    <w:rsid w:val="00BF650C"/>
    <w:rsid w:val="00C015F9"/>
    <w:rsid w:val="00C0452A"/>
    <w:rsid w:val="00C10D9D"/>
    <w:rsid w:val="00C110A5"/>
    <w:rsid w:val="00C133C3"/>
    <w:rsid w:val="00C14DA2"/>
    <w:rsid w:val="00C15DA4"/>
    <w:rsid w:val="00C15E51"/>
    <w:rsid w:val="00C16F75"/>
    <w:rsid w:val="00C24192"/>
    <w:rsid w:val="00C24200"/>
    <w:rsid w:val="00C24437"/>
    <w:rsid w:val="00C25DDA"/>
    <w:rsid w:val="00C30B6A"/>
    <w:rsid w:val="00C32253"/>
    <w:rsid w:val="00C3317E"/>
    <w:rsid w:val="00C354F5"/>
    <w:rsid w:val="00C4311A"/>
    <w:rsid w:val="00C448DB"/>
    <w:rsid w:val="00C46149"/>
    <w:rsid w:val="00C4706E"/>
    <w:rsid w:val="00C4756B"/>
    <w:rsid w:val="00C47E88"/>
    <w:rsid w:val="00C51861"/>
    <w:rsid w:val="00C53AF7"/>
    <w:rsid w:val="00C5453E"/>
    <w:rsid w:val="00C55764"/>
    <w:rsid w:val="00C557D7"/>
    <w:rsid w:val="00C55AEA"/>
    <w:rsid w:val="00C62EBD"/>
    <w:rsid w:val="00C65A78"/>
    <w:rsid w:val="00C70056"/>
    <w:rsid w:val="00C70695"/>
    <w:rsid w:val="00C70745"/>
    <w:rsid w:val="00C70F97"/>
    <w:rsid w:val="00C7275C"/>
    <w:rsid w:val="00C746A5"/>
    <w:rsid w:val="00C75615"/>
    <w:rsid w:val="00C7571B"/>
    <w:rsid w:val="00C75BDA"/>
    <w:rsid w:val="00C760AE"/>
    <w:rsid w:val="00C8007F"/>
    <w:rsid w:val="00C823F0"/>
    <w:rsid w:val="00C84119"/>
    <w:rsid w:val="00C84FA2"/>
    <w:rsid w:val="00C857AB"/>
    <w:rsid w:val="00C94EDE"/>
    <w:rsid w:val="00C9544E"/>
    <w:rsid w:val="00C958CD"/>
    <w:rsid w:val="00CA18FA"/>
    <w:rsid w:val="00CA38F1"/>
    <w:rsid w:val="00CA63C6"/>
    <w:rsid w:val="00CA6694"/>
    <w:rsid w:val="00CA7091"/>
    <w:rsid w:val="00CA72BF"/>
    <w:rsid w:val="00CA74B9"/>
    <w:rsid w:val="00CB0DAA"/>
    <w:rsid w:val="00CB1905"/>
    <w:rsid w:val="00CB5128"/>
    <w:rsid w:val="00CB6981"/>
    <w:rsid w:val="00CB70CA"/>
    <w:rsid w:val="00CC0A47"/>
    <w:rsid w:val="00CC0C7A"/>
    <w:rsid w:val="00CC1713"/>
    <w:rsid w:val="00CC1C01"/>
    <w:rsid w:val="00CC488F"/>
    <w:rsid w:val="00CC4FB2"/>
    <w:rsid w:val="00CC525F"/>
    <w:rsid w:val="00CC62DA"/>
    <w:rsid w:val="00CC66AF"/>
    <w:rsid w:val="00CC7772"/>
    <w:rsid w:val="00CC7A76"/>
    <w:rsid w:val="00CC7D50"/>
    <w:rsid w:val="00CD1FCF"/>
    <w:rsid w:val="00CD3640"/>
    <w:rsid w:val="00CD41FC"/>
    <w:rsid w:val="00CD52AD"/>
    <w:rsid w:val="00CD718B"/>
    <w:rsid w:val="00CD7982"/>
    <w:rsid w:val="00CE0E1B"/>
    <w:rsid w:val="00CE4770"/>
    <w:rsid w:val="00CE53C6"/>
    <w:rsid w:val="00CF0278"/>
    <w:rsid w:val="00CF0D0C"/>
    <w:rsid w:val="00CF1717"/>
    <w:rsid w:val="00CF2D41"/>
    <w:rsid w:val="00CF5959"/>
    <w:rsid w:val="00D037C8"/>
    <w:rsid w:val="00D0650B"/>
    <w:rsid w:val="00D07184"/>
    <w:rsid w:val="00D11105"/>
    <w:rsid w:val="00D11416"/>
    <w:rsid w:val="00D1186A"/>
    <w:rsid w:val="00D11A96"/>
    <w:rsid w:val="00D130AB"/>
    <w:rsid w:val="00D14715"/>
    <w:rsid w:val="00D14D2D"/>
    <w:rsid w:val="00D15268"/>
    <w:rsid w:val="00D1660C"/>
    <w:rsid w:val="00D17C79"/>
    <w:rsid w:val="00D22A70"/>
    <w:rsid w:val="00D24541"/>
    <w:rsid w:val="00D24F56"/>
    <w:rsid w:val="00D27AE6"/>
    <w:rsid w:val="00D32349"/>
    <w:rsid w:val="00D3242A"/>
    <w:rsid w:val="00D32F3E"/>
    <w:rsid w:val="00D33F88"/>
    <w:rsid w:val="00D34349"/>
    <w:rsid w:val="00D36752"/>
    <w:rsid w:val="00D36E5F"/>
    <w:rsid w:val="00D43EB2"/>
    <w:rsid w:val="00D44FB2"/>
    <w:rsid w:val="00D45207"/>
    <w:rsid w:val="00D45CD7"/>
    <w:rsid w:val="00D47CC9"/>
    <w:rsid w:val="00D518B9"/>
    <w:rsid w:val="00D5358F"/>
    <w:rsid w:val="00D567D9"/>
    <w:rsid w:val="00D57F98"/>
    <w:rsid w:val="00D613F8"/>
    <w:rsid w:val="00D62499"/>
    <w:rsid w:val="00D65D78"/>
    <w:rsid w:val="00D67B29"/>
    <w:rsid w:val="00D71798"/>
    <w:rsid w:val="00D7186D"/>
    <w:rsid w:val="00D74CD2"/>
    <w:rsid w:val="00D76605"/>
    <w:rsid w:val="00D76B53"/>
    <w:rsid w:val="00D77B2A"/>
    <w:rsid w:val="00D80172"/>
    <w:rsid w:val="00D8416D"/>
    <w:rsid w:val="00D84CA3"/>
    <w:rsid w:val="00D84FBC"/>
    <w:rsid w:val="00D868F7"/>
    <w:rsid w:val="00D87FA9"/>
    <w:rsid w:val="00D91AFB"/>
    <w:rsid w:val="00D924D1"/>
    <w:rsid w:val="00D93C72"/>
    <w:rsid w:val="00D95B92"/>
    <w:rsid w:val="00DA0446"/>
    <w:rsid w:val="00DA58CC"/>
    <w:rsid w:val="00DA741B"/>
    <w:rsid w:val="00DB1A24"/>
    <w:rsid w:val="00DB33AC"/>
    <w:rsid w:val="00DB51E8"/>
    <w:rsid w:val="00DB58E8"/>
    <w:rsid w:val="00DB6A32"/>
    <w:rsid w:val="00DC1DD3"/>
    <w:rsid w:val="00DC26AB"/>
    <w:rsid w:val="00DC3573"/>
    <w:rsid w:val="00DC518B"/>
    <w:rsid w:val="00DC51B8"/>
    <w:rsid w:val="00DC5316"/>
    <w:rsid w:val="00DC5391"/>
    <w:rsid w:val="00DC7F39"/>
    <w:rsid w:val="00DD179D"/>
    <w:rsid w:val="00DD1855"/>
    <w:rsid w:val="00DD19B7"/>
    <w:rsid w:val="00DD2247"/>
    <w:rsid w:val="00DD2453"/>
    <w:rsid w:val="00DD320E"/>
    <w:rsid w:val="00DD409F"/>
    <w:rsid w:val="00DD68F4"/>
    <w:rsid w:val="00DD6B5F"/>
    <w:rsid w:val="00DD7FCE"/>
    <w:rsid w:val="00DE0439"/>
    <w:rsid w:val="00DE2A48"/>
    <w:rsid w:val="00DE398E"/>
    <w:rsid w:val="00DE43E6"/>
    <w:rsid w:val="00DE4BCF"/>
    <w:rsid w:val="00DE4D9D"/>
    <w:rsid w:val="00DE54F4"/>
    <w:rsid w:val="00DE65AA"/>
    <w:rsid w:val="00DE6D67"/>
    <w:rsid w:val="00DE781C"/>
    <w:rsid w:val="00DF4B1F"/>
    <w:rsid w:val="00DF4BAC"/>
    <w:rsid w:val="00DF6B41"/>
    <w:rsid w:val="00DF6D02"/>
    <w:rsid w:val="00DF7294"/>
    <w:rsid w:val="00E03555"/>
    <w:rsid w:val="00E05CDC"/>
    <w:rsid w:val="00E062EC"/>
    <w:rsid w:val="00E071E3"/>
    <w:rsid w:val="00E1180C"/>
    <w:rsid w:val="00E126A8"/>
    <w:rsid w:val="00E12B77"/>
    <w:rsid w:val="00E1350C"/>
    <w:rsid w:val="00E1642F"/>
    <w:rsid w:val="00E17D5C"/>
    <w:rsid w:val="00E21569"/>
    <w:rsid w:val="00E219B7"/>
    <w:rsid w:val="00E223E4"/>
    <w:rsid w:val="00E24EB7"/>
    <w:rsid w:val="00E2567C"/>
    <w:rsid w:val="00E2756B"/>
    <w:rsid w:val="00E27E6C"/>
    <w:rsid w:val="00E3004D"/>
    <w:rsid w:val="00E3018C"/>
    <w:rsid w:val="00E435F1"/>
    <w:rsid w:val="00E4507D"/>
    <w:rsid w:val="00E456B7"/>
    <w:rsid w:val="00E4575A"/>
    <w:rsid w:val="00E4776F"/>
    <w:rsid w:val="00E47DAC"/>
    <w:rsid w:val="00E500A9"/>
    <w:rsid w:val="00E51637"/>
    <w:rsid w:val="00E517CE"/>
    <w:rsid w:val="00E5206D"/>
    <w:rsid w:val="00E52D53"/>
    <w:rsid w:val="00E53AD8"/>
    <w:rsid w:val="00E61DB3"/>
    <w:rsid w:val="00E66C13"/>
    <w:rsid w:val="00E67D61"/>
    <w:rsid w:val="00E70D20"/>
    <w:rsid w:val="00E71606"/>
    <w:rsid w:val="00E71E7D"/>
    <w:rsid w:val="00E721F7"/>
    <w:rsid w:val="00E751CC"/>
    <w:rsid w:val="00E75C0C"/>
    <w:rsid w:val="00E76371"/>
    <w:rsid w:val="00E77A18"/>
    <w:rsid w:val="00E8306F"/>
    <w:rsid w:val="00E85790"/>
    <w:rsid w:val="00E86541"/>
    <w:rsid w:val="00E86BC7"/>
    <w:rsid w:val="00E86D84"/>
    <w:rsid w:val="00E91055"/>
    <w:rsid w:val="00E917D5"/>
    <w:rsid w:val="00E91CA9"/>
    <w:rsid w:val="00E929A7"/>
    <w:rsid w:val="00E95A42"/>
    <w:rsid w:val="00E95AD0"/>
    <w:rsid w:val="00E9774A"/>
    <w:rsid w:val="00E97D00"/>
    <w:rsid w:val="00EA1C89"/>
    <w:rsid w:val="00EA24EF"/>
    <w:rsid w:val="00EA2681"/>
    <w:rsid w:val="00EA561C"/>
    <w:rsid w:val="00EA6EB5"/>
    <w:rsid w:val="00EB46A7"/>
    <w:rsid w:val="00EB580C"/>
    <w:rsid w:val="00EB6664"/>
    <w:rsid w:val="00EB69BC"/>
    <w:rsid w:val="00EC0C9D"/>
    <w:rsid w:val="00EC1DDF"/>
    <w:rsid w:val="00EC3426"/>
    <w:rsid w:val="00EC4093"/>
    <w:rsid w:val="00EC4E1C"/>
    <w:rsid w:val="00EC69E0"/>
    <w:rsid w:val="00EC77DD"/>
    <w:rsid w:val="00ED045B"/>
    <w:rsid w:val="00ED30B6"/>
    <w:rsid w:val="00ED35E8"/>
    <w:rsid w:val="00ED3F58"/>
    <w:rsid w:val="00ED5114"/>
    <w:rsid w:val="00ED7A59"/>
    <w:rsid w:val="00EE0535"/>
    <w:rsid w:val="00EE09E8"/>
    <w:rsid w:val="00EE21DA"/>
    <w:rsid w:val="00EE22FE"/>
    <w:rsid w:val="00EE252D"/>
    <w:rsid w:val="00EE2680"/>
    <w:rsid w:val="00EE2814"/>
    <w:rsid w:val="00EE2A83"/>
    <w:rsid w:val="00EE680B"/>
    <w:rsid w:val="00EF0F4C"/>
    <w:rsid w:val="00EF158B"/>
    <w:rsid w:val="00EF2A67"/>
    <w:rsid w:val="00EF3ED7"/>
    <w:rsid w:val="00EF577F"/>
    <w:rsid w:val="00F00132"/>
    <w:rsid w:val="00F00AF4"/>
    <w:rsid w:val="00F01417"/>
    <w:rsid w:val="00F02887"/>
    <w:rsid w:val="00F036E7"/>
    <w:rsid w:val="00F05AF8"/>
    <w:rsid w:val="00F063D8"/>
    <w:rsid w:val="00F071AA"/>
    <w:rsid w:val="00F07FCE"/>
    <w:rsid w:val="00F1019A"/>
    <w:rsid w:val="00F10AF5"/>
    <w:rsid w:val="00F11AA5"/>
    <w:rsid w:val="00F12A41"/>
    <w:rsid w:val="00F15B1E"/>
    <w:rsid w:val="00F228D4"/>
    <w:rsid w:val="00F23209"/>
    <w:rsid w:val="00F23CDA"/>
    <w:rsid w:val="00F24004"/>
    <w:rsid w:val="00F24565"/>
    <w:rsid w:val="00F258D4"/>
    <w:rsid w:val="00F26D31"/>
    <w:rsid w:val="00F27A4B"/>
    <w:rsid w:val="00F32661"/>
    <w:rsid w:val="00F34012"/>
    <w:rsid w:val="00F363D1"/>
    <w:rsid w:val="00F36BF5"/>
    <w:rsid w:val="00F36BF7"/>
    <w:rsid w:val="00F40499"/>
    <w:rsid w:val="00F44F07"/>
    <w:rsid w:val="00F47AAB"/>
    <w:rsid w:val="00F51D71"/>
    <w:rsid w:val="00F53F72"/>
    <w:rsid w:val="00F54777"/>
    <w:rsid w:val="00F55476"/>
    <w:rsid w:val="00F56B03"/>
    <w:rsid w:val="00F57842"/>
    <w:rsid w:val="00F57D56"/>
    <w:rsid w:val="00F65F54"/>
    <w:rsid w:val="00F66427"/>
    <w:rsid w:val="00F67704"/>
    <w:rsid w:val="00F70555"/>
    <w:rsid w:val="00F7166E"/>
    <w:rsid w:val="00F71C56"/>
    <w:rsid w:val="00F72871"/>
    <w:rsid w:val="00F72BBC"/>
    <w:rsid w:val="00F74A75"/>
    <w:rsid w:val="00F75E3A"/>
    <w:rsid w:val="00F76C83"/>
    <w:rsid w:val="00F81A21"/>
    <w:rsid w:val="00F8292D"/>
    <w:rsid w:val="00F82AEF"/>
    <w:rsid w:val="00F8533F"/>
    <w:rsid w:val="00F86579"/>
    <w:rsid w:val="00F86E27"/>
    <w:rsid w:val="00F874F7"/>
    <w:rsid w:val="00F87CFE"/>
    <w:rsid w:val="00F87E5A"/>
    <w:rsid w:val="00F9005A"/>
    <w:rsid w:val="00F91213"/>
    <w:rsid w:val="00F91E13"/>
    <w:rsid w:val="00F97067"/>
    <w:rsid w:val="00F9743A"/>
    <w:rsid w:val="00FA019E"/>
    <w:rsid w:val="00FA0339"/>
    <w:rsid w:val="00FA07AA"/>
    <w:rsid w:val="00FA59B5"/>
    <w:rsid w:val="00FA5BB2"/>
    <w:rsid w:val="00FB0858"/>
    <w:rsid w:val="00FB0F73"/>
    <w:rsid w:val="00FB2137"/>
    <w:rsid w:val="00FB3D86"/>
    <w:rsid w:val="00FB4484"/>
    <w:rsid w:val="00FB7A97"/>
    <w:rsid w:val="00FC08C9"/>
    <w:rsid w:val="00FC10AD"/>
    <w:rsid w:val="00FC172D"/>
    <w:rsid w:val="00FC2581"/>
    <w:rsid w:val="00FC289C"/>
    <w:rsid w:val="00FC3534"/>
    <w:rsid w:val="00FC49E8"/>
    <w:rsid w:val="00FC6116"/>
    <w:rsid w:val="00FC633C"/>
    <w:rsid w:val="00FC7871"/>
    <w:rsid w:val="00FD1BA2"/>
    <w:rsid w:val="00FD279E"/>
    <w:rsid w:val="00FD3A91"/>
    <w:rsid w:val="00FD3F90"/>
    <w:rsid w:val="00FD4259"/>
    <w:rsid w:val="00FD5602"/>
    <w:rsid w:val="00FD6428"/>
    <w:rsid w:val="00FD6C39"/>
    <w:rsid w:val="00FD7512"/>
    <w:rsid w:val="00FE005B"/>
    <w:rsid w:val="00FE1423"/>
    <w:rsid w:val="00FE522A"/>
    <w:rsid w:val="00FE63E0"/>
    <w:rsid w:val="00FF11E0"/>
    <w:rsid w:val="00FF167D"/>
    <w:rsid w:val="00FF1EB0"/>
    <w:rsid w:val="00FF25D2"/>
    <w:rsid w:val="00FF5B30"/>
    <w:rsid w:val="00FF7232"/>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93C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1"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aliases w:val="H1"/>
    <w:basedOn w:val="Normal"/>
    <w:next w:val="Normal"/>
    <w:link w:val="Heading1Char"/>
    <w:uiPriority w:val="9"/>
    <w:qFormat/>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uiPriority w:val="99"/>
    <w:semiHidden/>
    <w:rsid w:val="00F71C56"/>
    <w:rPr>
      <w:rFonts w:ascii="Arial" w:hAnsi="Arial" w:cs="Arial"/>
      <w:b w:val="0"/>
      <w:i w:val="0"/>
      <w:sz w:val="22"/>
      <w:vertAlign w:val="superscript"/>
    </w:rPr>
  </w:style>
  <w:style w:type="paragraph" w:styleId="FootnoteText">
    <w:name w:val="footnote text"/>
    <w:basedOn w:val="Normal"/>
    <w:link w:val="FootnoteTextChar"/>
    <w:uiPriority w:val="99"/>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link w:val="ActHead5Char"/>
    <w:uiPriority w:val="99"/>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Bullet Number"/>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qFormat/>
    <w:rsid w:val="00D67B29"/>
  </w:style>
  <w:style w:type="character" w:customStyle="1" w:styleId="CharAmPartText">
    <w:name w:val="CharAmPartText"/>
    <w:basedOn w:val="OPCCharBase"/>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
    <w:basedOn w:val="OPCParaBase"/>
    <w:rsid w:val="00F67704"/>
    <w:pPr>
      <w:tabs>
        <w:tab w:val="left" w:pos="709"/>
      </w:tabs>
      <w:spacing w:before="120" w:line="240" w:lineRule="auto"/>
      <w:ind w:left="709" w:hanging="709"/>
    </w:pPr>
    <w:rPr>
      <w:sz w:val="18"/>
    </w:rPr>
  </w:style>
  <w:style w:type="paragraph" w:customStyle="1" w:styleId="nPara">
    <w:name w:val="n_Para"/>
    <w:aliases w:val="n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uiPriority w:val="99"/>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Subsection"/>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definition">
    <w:name w:val="definition"/>
    <w:basedOn w:val="Normal"/>
    <w:rsid w:val="00264064"/>
    <w:pPr>
      <w:spacing w:before="100" w:beforeAutospacing="1" w:after="100" w:afterAutospacing="1" w:line="240" w:lineRule="auto"/>
    </w:pPr>
    <w:rPr>
      <w:rFonts w:eastAsia="Times New Roman"/>
      <w:sz w:val="24"/>
      <w:szCs w:val="24"/>
      <w:lang w:val="en-GB" w:eastAsia="en-GB"/>
    </w:rPr>
  </w:style>
  <w:style w:type="paragraph" w:customStyle="1" w:styleId="acthead5">
    <w:name w:val="acthead5"/>
    <w:basedOn w:val="Normal"/>
    <w:rsid w:val="00264064"/>
    <w:pPr>
      <w:spacing w:before="100" w:beforeAutospacing="1" w:after="100" w:afterAutospacing="1" w:line="240" w:lineRule="auto"/>
    </w:pPr>
    <w:rPr>
      <w:rFonts w:eastAsia="Times New Roman"/>
      <w:sz w:val="24"/>
      <w:szCs w:val="24"/>
      <w:lang w:val="en-GB" w:eastAsia="en-GB"/>
    </w:rPr>
  </w:style>
  <w:style w:type="character" w:customStyle="1" w:styleId="charsectno0">
    <w:name w:val="charsectno"/>
    <w:basedOn w:val="DefaultParagraphFont"/>
    <w:rsid w:val="00264064"/>
  </w:style>
  <w:style w:type="paragraph" w:customStyle="1" w:styleId="notetext">
    <w:name w:val="notetext"/>
    <w:basedOn w:val="Normal"/>
    <w:rsid w:val="00264064"/>
    <w:pPr>
      <w:spacing w:before="100" w:beforeAutospacing="1" w:after="100" w:afterAutospacing="1" w:line="240" w:lineRule="auto"/>
    </w:pPr>
    <w:rPr>
      <w:rFonts w:eastAsia="Times New Roman"/>
      <w:sz w:val="24"/>
      <w:szCs w:val="24"/>
      <w:lang w:val="en-GB" w:eastAsia="en-GB"/>
    </w:rPr>
  </w:style>
  <w:style w:type="character" w:customStyle="1" w:styleId="subsectionChar">
    <w:name w:val="subsection Char"/>
    <w:aliases w:val="ss Char"/>
    <w:basedOn w:val="DefaultParagraphFont"/>
    <w:link w:val="tMain"/>
    <w:locked/>
    <w:rsid w:val="00160FE5"/>
    <w:rPr>
      <w:sz w:val="22"/>
    </w:rPr>
  </w:style>
  <w:style w:type="character" w:customStyle="1" w:styleId="paragraphChar">
    <w:name w:val="paragraph Char"/>
    <w:aliases w:val="a Char"/>
    <w:basedOn w:val="DefaultParagraphFont"/>
    <w:link w:val="tPara"/>
    <w:rsid w:val="00160FE5"/>
    <w:rPr>
      <w:sz w:val="22"/>
    </w:rPr>
  </w:style>
  <w:style w:type="character" w:customStyle="1" w:styleId="notetextChar">
    <w:name w:val="note(text) Char"/>
    <w:aliases w:val="n Char"/>
    <w:basedOn w:val="DefaultParagraphFont"/>
    <w:link w:val="nMain"/>
    <w:rsid w:val="00160FE5"/>
    <w:rPr>
      <w:sz w:val="18"/>
    </w:rPr>
  </w:style>
  <w:style w:type="table" w:styleId="TableContemporary">
    <w:name w:val="Table Contemporary"/>
    <w:basedOn w:val="TableNormal"/>
    <w:rsid w:val="00757A8F"/>
    <w:rPr>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ctHead5Char">
    <w:name w:val="ActHead 5 Char"/>
    <w:aliases w:val="s Char"/>
    <w:link w:val="h5Section"/>
    <w:rsid w:val="00757A8F"/>
    <w:rPr>
      <w:b/>
      <w:kern w:val="28"/>
      <w:sz w:val="24"/>
    </w:rPr>
  </w:style>
  <w:style w:type="character" w:customStyle="1" w:styleId="lrzxr">
    <w:name w:val="lrzxr"/>
    <w:basedOn w:val="DefaultParagraphFont"/>
    <w:rsid w:val="00E86541"/>
  </w:style>
  <w:style w:type="paragraph" w:customStyle="1" w:styleId="Body">
    <w:name w:val="Body"/>
    <w:aliases w:val="b"/>
    <w:basedOn w:val="Normal"/>
    <w:link w:val="BodyChar"/>
    <w:rsid w:val="00E12B77"/>
    <w:pPr>
      <w:spacing w:before="60" w:after="120" w:line="280" w:lineRule="atLeast"/>
      <w:ind w:left="567"/>
    </w:pPr>
    <w:rPr>
      <w:rFonts w:ascii="Arial" w:eastAsia="Times New Roman" w:hAnsi="Arial"/>
      <w:sz w:val="20"/>
      <w:szCs w:val="24"/>
    </w:rPr>
  </w:style>
  <w:style w:type="character" w:customStyle="1" w:styleId="BodyChar">
    <w:name w:val="Body Char"/>
    <w:link w:val="Body"/>
    <w:rsid w:val="00E12B77"/>
    <w:rPr>
      <w:rFonts w:ascii="Arial" w:hAnsi="Arial"/>
      <w:szCs w:val="24"/>
      <w:lang w:eastAsia="en-US"/>
    </w:rPr>
  </w:style>
  <w:style w:type="paragraph" w:customStyle="1" w:styleId="paragraphsub">
    <w:name w:val="paragraphsub"/>
    <w:basedOn w:val="Normal"/>
    <w:rsid w:val="00360344"/>
    <w:pPr>
      <w:spacing w:before="100" w:beforeAutospacing="1" w:after="100" w:afterAutospacing="1" w:line="240" w:lineRule="auto"/>
    </w:pPr>
    <w:rPr>
      <w:rFonts w:eastAsia="Times New Roman"/>
      <w:sz w:val="24"/>
      <w:szCs w:val="24"/>
      <w:lang w:val="en-GB" w:eastAsia="en-GB"/>
    </w:rPr>
  </w:style>
  <w:style w:type="paragraph" w:customStyle="1" w:styleId="paragraphsub-sub">
    <w:name w:val="paragraphsub-sub"/>
    <w:basedOn w:val="Normal"/>
    <w:rsid w:val="00360344"/>
    <w:pPr>
      <w:spacing w:before="100" w:beforeAutospacing="1" w:after="100" w:afterAutospacing="1" w:line="240" w:lineRule="auto"/>
    </w:pPr>
    <w:rPr>
      <w:rFonts w:eastAsia="Times New Roman"/>
      <w:sz w:val="24"/>
      <w:szCs w:val="24"/>
      <w:lang w:val="en-GB" w:eastAsia="en-GB"/>
    </w:rPr>
  </w:style>
  <w:style w:type="paragraph" w:customStyle="1" w:styleId="Outputnumber">
    <w:name w:val="Output number"/>
    <w:basedOn w:val="Normal"/>
    <w:link w:val="OutputnumberChar"/>
    <w:qFormat/>
    <w:rsid w:val="002C3A65"/>
    <w:pPr>
      <w:spacing w:before="180" w:after="100" w:line="280" w:lineRule="atLeast"/>
      <w:ind w:left="1080" w:hanging="360"/>
    </w:pPr>
    <w:rPr>
      <w:rFonts w:asciiTheme="minorHAnsi" w:eastAsia="Times New Roman" w:hAnsiTheme="minorHAnsi"/>
      <w:lang w:eastAsia="en-AU"/>
    </w:rPr>
  </w:style>
  <w:style w:type="character" w:customStyle="1" w:styleId="OutputnumberChar">
    <w:name w:val="Output number Char"/>
    <w:basedOn w:val="DefaultParagraphFont"/>
    <w:link w:val="Outputnumber"/>
    <w:locked/>
    <w:rsid w:val="002C3A65"/>
    <w:rPr>
      <w:rFonts w:asciiTheme="minorHAnsi" w:hAnsiTheme="minorHAnsi"/>
      <w:sz w:val="22"/>
    </w:rPr>
  </w:style>
  <w:style w:type="paragraph" w:customStyle="1" w:styleId="Outputletter">
    <w:name w:val="Output letter"/>
    <w:basedOn w:val="Normal"/>
    <w:link w:val="OutputletterChar"/>
    <w:qFormat/>
    <w:rsid w:val="002C3A65"/>
    <w:pPr>
      <w:numPr>
        <w:numId w:val="1"/>
      </w:numPr>
      <w:tabs>
        <w:tab w:val="right" w:pos="2127"/>
      </w:tabs>
      <w:spacing w:before="40" w:after="100" w:line="280" w:lineRule="atLeast"/>
    </w:pPr>
    <w:rPr>
      <w:rFonts w:asciiTheme="minorHAnsi" w:eastAsia="Times New Roman" w:hAnsiTheme="minorHAnsi"/>
      <w:lang w:eastAsia="en-AU"/>
    </w:rPr>
  </w:style>
  <w:style w:type="character" w:customStyle="1" w:styleId="OutputletterChar">
    <w:name w:val="Output letter Char"/>
    <w:basedOn w:val="DefaultParagraphFont"/>
    <w:link w:val="Outputletter"/>
    <w:rsid w:val="002C3A65"/>
    <w:rPr>
      <w:rFonts w:asciiTheme="minorHAnsi" w:hAnsiTheme="minorHAnsi"/>
      <w:sz w:val="22"/>
    </w:rPr>
  </w:style>
  <w:style w:type="character" w:styleId="CommentReference">
    <w:name w:val="annotation reference"/>
    <w:basedOn w:val="DefaultParagraphFont"/>
    <w:uiPriority w:val="99"/>
    <w:semiHidden/>
    <w:unhideWhenUsed/>
    <w:rsid w:val="008A7C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2880">
      <w:bodyDiv w:val="1"/>
      <w:marLeft w:val="0"/>
      <w:marRight w:val="0"/>
      <w:marTop w:val="0"/>
      <w:marBottom w:val="0"/>
      <w:divBdr>
        <w:top w:val="none" w:sz="0" w:space="0" w:color="auto"/>
        <w:left w:val="none" w:sz="0" w:space="0" w:color="auto"/>
        <w:bottom w:val="none" w:sz="0" w:space="0" w:color="auto"/>
        <w:right w:val="none" w:sz="0" w:space="0" w:color="auto"/>
      </w:divBdr>
    </w:div>
    <w:div w:id="102191833">
      <w:bodyDiv w:val="1"/>
      <w:marLeft w:val="0"/>
      <w:marRight w:val="0"/>
      <w:marTop w:val="0"/>
      <w:marBottom w:val="0"/>
      <w:divBdr>
        <w:top w:val="none" w:sz="0" w:space="0" w:color="auto"/>
        <w:left w:val="none" w:sz="0" w:space="0" w:color="auto"/>
        <w:bottom w:val="none" w:sz="0" w:space="0" w:color="auto"/>
        <w:right w:val="none" w:sz="0" w:space="0" w:color="auto"/>
      </w:divBdr>
    </w:div>
    <w:div w:id="107235649">
      <w:bodyDiv w:val="1"/>
      <w:marLeft w:val="0"/>
      <w:marRight w:val="0"/>
      <w:marTop w:val="0"/>
      <w:marBottom w:val="0"/>
      <w:divBdr>
        <w:top w:val="none" w:sz="0" w:space="0" w:color="auto"/>
        <w:left w:val="none" w:sz="0" w:space="0" w:color="auto"/>
        <w:bottom w:val="none" w:sz="0" w:space="0" w:color="auto"/>
        <w:right w:val="none" w:sz="0" w:space="0" w:color="auto"/>
      </w:divBdr>
      <w:divsChild>
        <w:div w:id="372005678">
          <w:marLeft w:val="0"/>
          <w:marRight w:val="0"/>
          <w:marTop w:val="0"/>
          <w:marBottom w:val="0"/>
          <w:divBdr>
            <w:top w:val="none" w:sz="0" w:space="0" w:color="auto"/>
            <w:left w:val="none" w:sz="0" w:space="0" w:color="auto"/>
            <w:bottom w:val="none" w:sz="0" w:space="0" w:color="auto"/>
            <w:right w:val="none" w:sz="0" w:space="0" w:color="auto"/>
          </w:divBdr>
          <w:divsChild>
            <w:div w:id="796604270">
              <w:marLeft w:val="0"/>
              <w:marRight w:val="0"/>
              <w:marTop w:val="0"/>
              <w:marBottom w:val="0"/>
              <w:divBdr>
                <w:top w:val="none" w:sz="0" w:space="0" w:color="auto"/>
                <w:left w:val="none" w:sz="0" w:space="0" w:color="auto"/>
                <w:bottom w:val="none" w:sz="0" w:space="0" w:color="auto"/>
                <w:right w:val="none" w:sz="0" w:space="0" w:color="auto"/>
              </w:divBdr>
              <w:divsChild>
                <w:div w:id="1818955414">
                  <w:marLeft w:val="0"/>
                  <w:marRight w:val="0"/>
                  <w:marTop w:val="0"/>
                  <w:marBottom w:val="0"/>
                  <w:divBdr>
                    <w:top w:val="none" w:sz="0" w:space="0" w:color="auto"/>
                    <w:left w:val="none" w:sz="0" w:space="0" w:color="auto"/>
                    <w:bottom w:val="none" w:sz="0" w:space="0" w:color="auto"/>
                    <w:right w:val="none" w:sz="0" w:space="0" w:color="auto"/>
                  </w:divBdr>
                  <w:divsChild>
                    <w:div w:id="739912887">
                      <w:marLeft w:val="0"/>
                      <w:marRight w:val="0"/>
                      <w:marTop w:val="0"/>
                      <w:marBottom w:val="0"/>
                      <w:divBdr>
                        <w:top w:val="none" w:sz="0" w:space="0" w:color="auto"/>
                        <w:left w:val="none" w:sz="0" w:space="0" w:color="auto"/>
                        <w:bottom w:val="none" w:sz="0" w:space="0" w:color="auto"/>
                        <w:right w:val="none" w:sz="0" w:space="0" w:color="auto"/>
                      </w:divBdr>
                      <w:divsChild>
                        <w:div w:id="521283134">
                          <w:marLeft w:val="0"/>
                          <w:marRight w:val="0"/>
                          <w:marTop w:val="0"/>
                          <w:marBottom w:val="0"/>
                          <w:divBdr>
                            <w:top w:val="none" w:sz="0" w:space="0" w:color="auto"/>
                            <w:left w:val="none" w:sz="0" w:space="0" w:color="auto"/>
                            <w:bottom w:val="none" w:sz="0" w:space="0" w:color="auto"/>
                            <w:right w:val="none" w:sz="0" w:space="0" w:color="auto"/>
                          </w:divBdr>
                          <w:divsChild>
                            <w:div w:id="521555057">
                              <w:marLeft w:val="0"/>
                              <w:marRight w:val="0"/>
                              <w:marTop w:val="0"/>
                              <w:marBottom w:val="0"/>
                              <w:divBdr>
                                <w:top w:val="none" w:sz="0" w:space="0" w:color="auto"/>
                                <w:left w:val="none" w:sz="0" w:space="0" w:color="auto"/>
                                <w:bottom w:val="none" w:sz="0" w:space="0" w:color="auto"/>
                                <w:right w:val="none" w:sz="0" w:space="0" w:color="auto"/>
                              </w:divBdr>
                              <w:divsChild>
                                <w:div w:id="1658457767">
                                  <w:marLeft w:val="0"/>
                                  <w:marRight w:val="0"/>
                                  <w:marTop w:val="0"/>
                                  <w:marBottom w:val="0"/>
                                  <w:divBdr>
                                    <w:top w:val="none" w:sz="0" w:space="0" w:color="auto"/>
                                    <w:left w:val="none" w:sz="0" w:space="0" w:color="auto"/>
                                    <w:bottom w:val="none" w:sz="0" w:space="0" w:color="auto"/>
                                    <w:right w:val="none" w:sz="0" w:space="0" w:color="auto"/>
                                  </w:divBdr>
                                  <w:divsChild>
                                    <w:div w:id="1950772324">
                                      <w:marLeft w:val="0"/>
                                      <w:marRight w:val="0"/>
                                      <w:marTop w:val="0"/>
                                      <w:marBottom w:val="0"/>
                                      <w:divBdr>
                                        <w:top w:val="none" w:sz="0" w:space="0" w:color="auto"/>
                                        <w:left w:val="none" w:sz="0" w:space="0" w:color="auto"/>
                                        <w:bottom w:val="none" w:sz="0" w:space="0" w:color="auto"/>
                                        <w:right w:val="none" w:sz="0" w:space="0" w:color="auto"/>
                                      </w:divBdr>
                                      <w:divsChild>
                                        <w:div w:id="2043283983">
                                          <w:marLeft w:val="0"/>
                                          <w:marRight w:val="0"/>
                                          <w:marTop w:val="0"/>
                                          <w:marBottom w:val="0"/>
                                          <w:divBdr>
                                            <w:top w:val="none" w:sz="0" w:space="0" w:color="auto"/>
                                            <w:left w:val="none" w:sz="0" w:space="0" w:color="auto"/>
                                            <w:bottom w:val="none" w:sz="0" w:space="0" w:color="auto"/>
                                            <w:right w:val="none" w:sz="0" w:space="0" w:color="auto"/>
                                          </w:divBdr>
                                          <w:divsChild>
                                            <w:div w:id="852379773">
                                              <w:marLeft w:val="0"/>
                                              <w:marRight w:val="0"/>
                                              <w:marTop w:val="0"/>
                                              <w:marBottom w:val="0"/>
                                              <w:divBdr>
                                                <w:top w:val="none" w:sz="0" w:space="0" w:color="auto"/>
                                                <w:left w:val="none" w:sz="0" w:space="0" w:color="auto"/>
                                                <w:bottom w:val="none" w:sz="0" w:space="0" w:color="auto"/>
                                                <w:right w:val="none" w:sz="0" w:space="0" w:color="auto"/>
                                              </w:divBdr>
                                              <w:divsChild>
                                                <w:div w:id="1184975491">
                                                  <w:marLeft w:val="0"/>
                                                  <w:marRight w:val="0"/>
                                                  <w:marTop w:val="0"/>
                                                  <w:marBottom w:val="0"/>
                                                  <w:divBdr>
                                                    <w:top w:val="none" w:sz="0" w:space="0" w:color="auto"/>
                                                    <w:left w:val="none" w:sz="0" w:space="0" w:color="auto"/>
                                                    <w:bottom w:val="none" w:sz="0" w:space="0" w:color="auto"/>
                                                    <w:right w:val="none" w:sz="0" w:space="0" w:color="auto"/>
                                                  </w:divBdr>
                                                  <w:divsChild>
                                                    <w:div w:id="1417553551">
                                                      <w:marLeft w:val="0"/>
                                                      <w:marRight w:val="0"/>
                                                      <w:marTop w:val="0"/>
                                                      <w:marBottom w:val="0"/>
                                                      <w:divBdr>
                                                        <w:top w:val="none" w:sz="0" w:space="0" w:color="auto"/>
                                                        <w:left w:val="none" w:sz="0" w:space="0" w:color="auto"/>
                                                        <w:bottom w:val="none" w:sz="0" w:space="0" w:color="auto"/>
                                                        <w:right w:val="none" w:sz="0" w:space="0" w:color="auto"/>
                                                      </w:divBdr>
                                                      <w:divsChild>
                                                        <w:div w:id="19377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4251896">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526139146">
      <w:bodyDiv w:val="1"/>
      <w:marLeft w:val="0"/>
      <w:marRight w:val="0"/>
      <w:marTop w:val="0"/>
      <w:marBottom w:val="0"/>
      <w:divBdr>
        <w:top w:val="none" w:sz="0" w:space="0" w:color="auto"/>
        <w:left w:val="none" w:sz="0" w:space="0" w:color="auto"/>
        <w:bottom w:val="none" w:sz="0" w:space="0" w:color="auto"/>
        <w:right w:val="none" w:sz="0" w:space="0" w:color="auto"/>
      </w:divBdr>
    </w:div>
    <w:div w:id="888958922">
      <w:bodyDiv w:val="1"/>
      <w:marLeft w:val="0"/>
      <w:marRight w:val="0"/>
      <w:marTop w:val="0"/>
      <w:marBottom w:val="0"/>
      <w:divBdr>
        <w:top w:val="none" w:sz="0" w:space="0" w:color="auto"/>
        <w:left w:val="none" w:sz="0" w:space="0" w:color="auto"/>
        <w:bottom w:val="none" w:sz="0" w:space="0" w:color="auto"/>
        <w:right w:val="none" w:sz="0" w:space="0" w:color="auto"/>
      </w:divBdr>
    </w:div>
    <w:div w:id="907303696">
      <w:bodyDiv w:val="1"/>
      <w:marLeft w:val="0"/>
      <w:marRight w:val="0"/>
      <w:marTop w:val="0"/>
      <w:marBottom w:val="0"/>
      <w:divBdr>
        <w:top w:val="none" w:sz="0" w:space="0" w:color="auto"/>
        <w:left w:val="none" w:sz="0" w:space="0" w:color="auto"/>
        <w:bottom w:val="none" w:sz="0" w:space="0" w:color="auto"/>
        <w:right w:val="none" w:sz="0" w:space="0" w:color="auto"/>
      </w:divBdr>
    </w:div>
    <w:div w:id="950428864">
      <w:bodyDiv w:val="1"/>
      <w:marLeft w:val="0"/>
      <w:marRight w:val="0"/>
      <w:marTop w:val="0"/>
      <w:marBottom w:val="0"/>
      <w:divBdr>
        <w:top w:val="none" w:sz="0" w:space="0" w:color="auto"/>
        <w:left w:val="none" w:sz="0" w:space="0" w:color="auto"/>
        <w:bottom w:val="none" w:sz="0" w:space="0" w:color="auto"/>
        <w:right w:val="none" w:sz="0" w:space="0" w:color="auto"/>
      </w:divBdr>
    </w:div>
    <w:div w:id="964578614">
      <w:bodyDiv w:val="1"/>
      <w:marLeft w:val="0"/>
      <w:marRight w:val="0"/>
      <w:marTop w:val="0"/>
      <w:marBottom w:val="0"/>
      <w:divBdr>
        <w:top w:val="none" w:sz="0" w:space="0" w:color="auto"/>
        <w:left w:val="none" w:sz="0" w:space="0" w:color="auto"/>
        <w:bottom w:val="none" w:sz="0" w:space="0" w:color="auto"/>
        <w:right w:val="none" w:sz="0" w:space="0" w:color="auto"/>
      </w:divBdr>
      <w:divsChild>
        <w:div w:id="18632524">
          <w:marLeft w:val="0"/>
          <w:marRight w:val="0"/>
          <w:marTop w:val="0"/>
          <w:marBottom w:val="0"/>
          <w:divBdr>
            <w:top w:val="none" w:sz="0" w:space="0" w:color="auto"/>
            <w:left w:val="none" w:sz="0" w:space="0" w:color="auto"/>
            <w:bottom w:val="none" w:sz="0" w:space="0" w:color="auto"/>
            <w:right w:val="none" w:sz="0" w:space="0" w:color="auto"/>
          </w:divBdr>
          <w:divsChild>
            <w:div w:id="1336952673">
              <w:marLeft w:val="0"/>
              <w:marRight w:val="0"/>
              <w:marTop w:val="0"/>
              <w:marBottom w:val="0"/>
              <w:divBdr>
                <w:top w:val="none" w:sz="0" w:space="0" w:color="auto"/>
                <w:left w:val="none" w:sz="0" w:space="0" w:color="auto"/>
                <w:bottom w:val="none" w:sz="0" w:space="0" w:color="auto"/>
                <w:right w:val="none" w:sz="0" w:space="0" w:color="auto"/>
              </w:divBdr>
              <w:divsChild>
                <w:div w:id="1216812272">
                  <w:marLeft w:val="0"/>
                  <w:marRight w:val="0"/>
                  <w:marTop w:val="0"/>
                  <w:marBottom w:val="0"/>
                  <w:divBdr>
                    <w:top w:val="none" w:sz="0" w:space="0" w:color="auto"/>
                    <w:left w:val="none" w:sz="0" w:space="0" w:color="auto"/>
                    <w:bottom w:val="none" w:sz="0" w:space="0" w:color="auto"/>
                    <w:right w:val="none" w:sz="0" w:space="0" w:color="auto"/>
                  </w:divBdr>
                  <w:divsChild>
                    <w:div w:id="1038626494">
                      <w:marLeft w:val="0"/>
                      <w:marRight w:val="0"/>
                      <w:marTop w:val="0"/>
                      <w:marBottom w:val="0"/>
                      <w:divBdr>
                        <w:top w:val="none" w:sz="0" w:space="0" w:color="auto"/>
                        <w:left w:val="none" w:sz="0" w:space="0" w:color="auto"/>
                        <w:bottom w:val="none" w:sz="0" w:space="0" w:color="auto"/>
                        <w:right w:val="none" w:sz="0" w:space="0" w:color="auto"/>
                      </w:divBdr>
                      <w:divsChild>
                        <w:div w:id="2067489393">
                          <w:marLeft w:val="0"/>
                          <w:marRight w:val="0"/>
                          <w:marTop w:val="0"/>
                          <w:marBottom w:val="0"/>
                          <w:divBdr>
                            <w:top w:val="none" w:sz="0" w:space="0" w:color="auto"/>
                            <w:left w:val="none" w:sz="0" w:space="0" w:color="auto"/>
                            <w:bottom w:val="none" w:sz="0" w:space="0" w:color="auto"/>
                            <w:right w:val="none" w:sz="0" w:space="0" w:color="auto"/>
                          </w:divBdr>
                          <w:divsChild>
                            <w:div w:id="114369942">
                              <w:marLeft w:val="0"/>
                              <w:marRight w:val="0"/>
                              <w:marTop w:val="0"/>
                              <w:marBottom w:val="0"/>
                              <w:divBdr>
                                <w:top w:val="none" w:sz="0" w:space="0" w:color="auto"/>
                                <w:left w:val="none" w:sz="0" w:space="0" w:color="auto"/>
                                <w:bottom w:val="none" w:sz="0" w:space="0" w:color="auto"/>
                                <w:right w:val="none" w:sz="0" w:space="0" w:color="auto"/>
                              </w:divBdr>
                              <w:divsChild>
                                <w:div w:id="856315260">
                                  <w:marLeft w:val="0"/>
                                  <w:marRight w:val="0"/>
                                  <w:marTop w:val="0"/>
                                  <w:marBottom w:val="0"/>
                                  <w:divBdr>
                                    <w:top w:val="none" w:sz="0" w:space="0" w:color="auto"/>
                                    <w:left w:val="none" w:sz="0" w:space="0" w:color="auto"/>
                                    <w:bottom w:val="none" w:sz="0" w:space="0" w:color="auto"/>
                                    <w:right w:val="none" w:sz="0" w:space="0" w:color="auto"/>
                                  </w:divBdr>
                                  <w:divsChild>
                                    <w:div w:id="337076055">
                                      <w:marLeft w:val="0"/>
                                      <w:marRight w:val="0"/>
                                      <w:marTop w:val="0"/>
                                      <w:marBottom w:val="0"/>
                                      <w:divBdr>
                                        <w:top w:val="none" w:sz="0" w:space="0" w:color="auto"/>
                                        <w:left w:val="none" w:sz="0" w:space="0" w:color="auto"/>
                                        <w:bottom w:val="none" w:sz="0" w:space="0" w:color="auto"/>
                                        <w:right w:val="none" w:sz="0" w:space="0" w:color="auto"/>
                                      </w:divBdr>
                                      <w:divsChild>
                                        <w:div w:id="1648509517">
                                          <w:marLeft w:val="0"/>
                                          <w:marRight w:val="0"/>
                                          <w:marTop w:val="0"/>
                                          <w:marBottom w:val="0"/>
                                          <w:divBdr>
                                            <w:top w:val="none" w:sz="0" w:space="0" w:color="auto"/>
                                            <w:left w:val="none" w:sz="0" w:space="0" w:color="auto"/>
                                            <w:bottom w:val="none" w:sz="0" w:space="0" w:color="auto"/>
                                            <w:right w:val="none" w:sz="0" w:space="0" w:color="auto"/>
                                          </w:divBdr>
                                          <w:divsChild>
                                            <w:div w:id="114643646">
                                              <w:marLeft w:val="0"/>
                                              <w:marRight w:val="0"/>
                                              <w:marTop w:val="0"/>
                                              <w:marBottom w:val="0"/>
                                              <w:divBdr>
                                                <w:top w:val="none" w:sz="0" w:space="0" w:color="auto"/>
                                                <w:left w:val="none" w:sz="0" w:space="0" w:color="auto"/>
                                                <w:bottom w:val="none" w:sz="0" w:space="0" w:color="auto"/>
                                                <w:right w:val="none" w:sz="0" w:space="0" w:color="auto"/>
                                              </w:divBdr>
                                              <w:divsChild>
                                                <w:div w:id="1842236685">
                                                  <w:marLeft w:val="0"/>
                                                  <w:marRight w:val="0"/>
                                                  <w:marTop w:val="0"/>
                                                  <w:marBottom w:val="0"/>
                                                  <w:divBdr>
                                                    <w:top w:val="none" w:sz="0" w:space="0" w:color="auto"/>
                                                    <w:left w:val="none" w:sz="0" w:space="0" w:color="auto"/>
                                                    <w:bottom w:val="none" w:sz="0" w:space="0" w:color="auto"/>
                                                    <w:right w:val="none" w:sz="0" w:space="0" w:color="auto"/>
                                                  </w:divBdr>
                                                  <w:divsChild>
                                                    <w:div w:id="950356590">
                                                      <w:marLeft w:val="0"/>
                                                      <w:marRight w:val="0"/>
                                                      <w:marTop w:val="0"/>
                                                      <w:marBottom w:val="0"/>
                                                      <w:divBdr>
                                                        <w:top w:val="none" w:sz="0" w:space="0" w:color="auto"/>
                                                        <w:left w:val="none" w:sz="0" w:space="0" w:color="auto"/>
                                                        <w:bottom w:val="none" w:sz="0" w:space="0" w:color="auto"/>
                                                        <w:right w:val="none" w:sz="0" w:space="0" w:color="auto"/>
                                                      </w:divBdr>
                                                      <w:divsChild>
                                                        <w:div w:id="5427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9748878">
      <w:bodyDiv w:val="1"/>
      <w:marLeft w:val="0"/>
      <w:marRight w:val="0"/>
      <w:marTop w:val="0"/>
      <w:marBottom w:val="0"/>
      <w:divBdr>
        <w:top w:val="none" w:sz="0" w:space="0" w:color="auto"/>
        <w:left w:val="none" w:sz="0" w:space="0" w:color="auto"/>
        <w:bottom w:val="none" w:sz="0" w:space="0" w:color="auto"/>
        <w:right w:val="none" w:sz="0" w:space="0" w:color="auto"/>
      </w:divBdr>
    </w:div>
    <w:div w:id="1069958692">
      <w:bodyDiv w:val="1"/>
      <w:marLeft w:val="0"/>
      <w:marRight w:val="0"/>
      <w:marTop w:val="0"/>
      <w:marBottom w:val="0"/>
      <w:divBdr>
        <w:top w:val="none" w:sz="0" w:space="0" w:color="auto"/>
        <w:left w:val="none" w:sz="0" w:space="0" w:color="auto"/>
        <w:bottom w:val="none" w:sz="0" w:space="0" w:color="auto"/>
        <w:right w:val="none" w:sz="0" w:space="0" w:color="auto"/>
      </w:divBdr>
    </w:div>
    <w:div w:id="1227110109">
      <w:bodyDiv w:val="1"/>
      <w:marLeft w:val="0"/>
      <w:marRight w:val="0"/>
      <w:marTop w:val="0"/>
      <w:marBottom w:val="0"/>
      <w:divBdr>
        <w:top w:val="none" w:sz="0" w:space="0" w:color="auto"/>
        <w:left w:val="none" w:sz="0" w:space="0" w:color="auto"/>
        <w:bottom w:val="none" w:sz="0" w:space="0" w:color="auto"/>
        <w:right w:val="none" w:sz="0" w:space="0" w:color="auto"/>
      </w:divBdr>
      <w:divsChild>
        <w:div w:id="1574270082">
          <w:marLeft w:val="0"/>
          <w:marRight w:val="0"/>
          <w:marTop w:val="0"/>
          <w:marBottom w:val="0"/>
          <w:divBdr>
            <w:top w:val="none" w:sz="0" w:space="0" w:color="auto"/>
            <w:left w:val="none" w:sz="0" w:space="0" w:color="auto"/>
            <w:bottom w:val="none" w:sz="0" w:space="0" w:color="auto"/>
            <w:right w:val="none" w:sz="0" w:space="0" w:color="auto"/>
          </w:divBdr>
          <w:divsChild>
            <w:div w:id="2091150756">
              <w:marLeft w:val="0"/>
              <w:marRight w:val="0"/>
              <w:marTop w:val="0"/>
              <w:marBottom w:val="0"/>
              <w:divBdr>
                <w:top w:val="none" w:sz="0" w:space="0" w:color="auto"/>
                <w:left w:val="none" w:sz="0" w:space="0" w:color="auto"/>
                <w:bottom w:val="none" w:sz="0" w:space="0" w:color="auto"/>
                <w:right w:val="none" w:sz="0" w:space="0" w:color="auto"/>
              </w:divBdr>
              <w:divsChild>
                <w:div w:id="1941838369">
                  <w:marLeft w:val="0"/>
                  <w:marRight w:val="0"/>
                  <w:marTop w:val="0"/>
                  <w:marBottom w:val="0"/>
                  <w:divBdr>
                    <w:top w:val="none" w:sz="0" w:space="0" w:color="auto"/>
                    <w:left w:val="none" w:sz="0" w:space="0" w:color="auto"/>
                    <w:bottom w:val="none" w:sz="0" w:space="0" w:color="auto"/>
                    <w:right w:val="none" w:sz="0" w:space="0" w:color="auto"/>
                  </w:divBdr>
                  <w:divsChild>
                    <w:div w:id="1227688950">
                      <w:marLeft w:val="0"/>
                      <w:marRight w:val="0"/>
                      <w:marTop w:val="0"/>
                      <w:marBottom w:val="0"/>
                      <w:divBdr>
                        <w:top w:val="none" w:sz="0" w:space="0" w:color="auto"/>
                        <w:left w:val="none" w:sz="0" w:space="0" w:color="auto"/>
                        <w:bottom w:val="none" w:sz="0" w:space="0" w:color="auto"/>
                        <w:right w:val="none" w:sz="0" w:space="0" w:color="auto"/>
                      </w:divBdr>
                      <w:divsChild>
                        <w:div w:id="1480804018">
                          <w:marLeft w:val="0"/>
                          <w:marRight w:val="0"/>
                          <w:marTop w:val="0"/>
                          <w:marBottom w:val="0"/>
                          <w:divBdr>
                            <w:top w:val="none" w:sz="0" w:space="0" w:color="auto"/>
                            <w:left w:val="none" w:sz="0" w:space="0" w:color="auto"/>
                            <w:bottom w:val="none" w:sz="0" w:space="0" w:color="auto"/>
                            <w:right w:val="none" w:sz="0" w:space="0" w:color="auto"/>
                          </w:divBdr>
                          <w:divsChild>
                            <w:div w:id="2013487163">
                              <w:marLeft w:val="0"/>
                              <w:marRight w:val="0"/>
                              <w:marTop w:val="0"/>
                              <w:marBottom w:val="0"/>
                              <w:divBdr>
                                <w:top w:val="none" w:sz="0" w:space="0" w:color="auto"/>
                                <w:left w:val="none" w:sz="0" w:space="0" w:color="auto"/>
                                <w:bottom w:val="none" w:sz="0" w:space="0" w:color="auto"/>
                                <w:right w:val="none" w:sz="0" w:space="0" w:color="auto"/>
                              </w:divBdr>
                              <w:divsChild>
                                <w:div w:id="1766224687">
                                  <w:marLeft w:val="0"/>
                                  <w:marRight w:val="0"/>
                                  <w:marTop w:val="0"/>
                                  <w:marBottom w:val="0"/>
                                  <w:divBdr>
                                    <w:top w:val="none" w:sz="0" w:space="0" w:color="auto"/>
                                    <w:left w:val="none" w:sz="0" w:space="0" w:color="auto"/>
                                    <w:bottom w:val="none" w:sz="0" w:space="0" w:color="auto"/>
                                    <w:right w:val="none" w:sz="0" w:space="0" w:color="auto"/>
                                  </w:divBdr>
                                  <w:divsChild>
                                    <w:div w:id="1519393843">
                                      <w:marLeft w:val="0"/>
                                      <w:marRight w:val="0"/>
                                      <w:marTop w:val="0"/>
                                      <w:marBottom w:val="0"/>
                                      <w:divBdr>
                                        <w:top w:val="none" w:sz="0" w:space="0" w:color="auto"/>
                                        <w:left w:val="none" w:sz="0" w:space="0" w:color="auto"/>
                                        <w:bottom w:val="none" w:sz="0" w:space="0" w:color="auto"/>
                                        <w:right w:val="none" w:sz="0" w:space="0" w:color="auto"/>
                                      </w:divBdr>
                                      <w:divsChild>
                                        <w:div w:id="1281035197">
                                          <w:marLeft w:val="0"/>
                                          <w:marRight w:val="0"/>
                                          <w:marTop w:val="0"/>
                                          <w:marBottom w:val="0"/>
                                          <w:divBdr>
                                            <w:top w:val="none" w:sz="0" w:space="0" w:color="auto"/>
                                            <w:left w:val="none" w:sz="0" w:space="0" w:color="auto"/>
                                            <w:bottom w:val="none" w:sz="0" w:space="0" w:color="auto"/>
                                            <w:right w:val="none" w:sz="0" w:space="0" w:color="auto"/>
                                          </w:divBdr>
                                          <w:divsChild>
                                            <w:div w:id="338895066">
                                              <w:marLeft w:val="0"/>
                                              <w:marRight w:val="0"/>
                                              <w:marTop w:val="0"/>
                                              <w:marBottom w:val="0"/>
                                              <w:divBdr>
                                                <w:top w:val="none" w:sz="0" w:space="0" w:color="auto"/>
                                                <w:left w:val="none" w:sz="0" w:space="0" w:color="auto"/>
                                                <w:bottom w:val="none" w:sz="0" w:space="0" w:color="auto"/>
                                                <w:right w:val="none" w:sz="0" w:space="0" w:color="auto"/>
                                              </w:divBdr>
                                              <w:divsChild>
                                                <w:div w:id="1595283348">
                                                  <w:marLeft w:val="0"/>
                                                  <w:marRight w:val="0"/>
                                                  <w:marTop w:val="0"/>
                                                  <w:marBottom w:val="0"/>
                                                  <w:divBdr>
                                                    <w:top w:val="none" w:sz="0" w:space="0" w:color="auto"/>
                                                    <w:left w:val="none" w:sz="0" w:space="0" w:color="auto"/>
                                                    <w:bottom w:val="none" w:sz="0" w:space="0" w:color="auto"/>
                                                    <w:right w:val="none" w:sz="0" w:space="0" w:color="auto"/>
                                                  </w:divBdr>
                                                  <w:divsChild>
                                                    <w:div w:id="758983462">
                                                      <w:marLeft w:val="0"/>
                                                      <w:marRight w:val="0"/>
                                                      <w:marTop w:val="0"/>
                                                      <w:marBottom w:val="0"/>
                                                      <w:divBdr>
                                                        <w:top w:val="none" w:sz="0" w:space="0" w:color="auto"/>
                                                        <w:left w:val="none" w:sz="0" w:space="0" w:color="auto"/>
                                                        <w:bottom w:val="none" w:sz="0" w:space="0" w:color="auto"/>
                                                        <w:right w:val="none" w:sz="0" w:space="0" w:color="auto"/>
                                                      </w:divBdr>
                                                      <w:divsChild>
                                                        <w:div w:id="19996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4307579">
      <w:bodyDiv w:val="1"/>
      <w:marLeft w:val="0"/>
      <w:marRight w:val="0"/>
      <w:marTop w:val="0"/>
      <w:marBottom w:val="0"/>
      <w:divBdr>
        <w:top w:val="none" w:sz="0" w:space="0" w:color="auto"/>
        <w:left w:val="none" w:sz="0" w:space="0" w:color="auto"/>
        <w:bottom w:val="none" w:sz="0" w:space="0" w:color="auto"/>
        <w:right w:val="none" w:sz="0" w:space="0" w:color="auto"/>
      </w:divBdr>
      <w:divsChild>
        <w:div w:id="2057774442">
          <w:marLeft w:val="0"/>
          <w:marRight w:val="0"/>
          <w:marTop w:val="0"/>
          <w:marBottom w:val="0"/>
          <w:divBdr>
            <w:top w:val="none" w:sz="0" w:space="0" w:color="auto"/>
            <w:left w:val="none" w:sz="0" w:space="0" w:color="auto"/>
            <w:bottom w:val="none" w:sz="0" w:space="0" w:color="auto"/>
            <w:right w:val="none" w:sz="0" w:space="0" w:color="auto"/>
          </w:divBdr>
          <w:divsChild>
            <w:div w:id="1307854866">
              <w:marLeft w:val="0"/>
              <w:marRight w:val="0"/>
              <w:marTop w:val="0"/>
              <w:marBottom w:val="0"/>
              <w:divBdr>
                <w:top w:val="none" w:sz="0" w:space="0" w:color="auto"/>
                <w:left w:val="none" w:sz="0" w:space="0" w:color="auto"/>
                <w:bottom w:val="none" w:sz="0" w:space="0" w:color="auto"/>
                <w:right w:val="none" w:sz="0" w:space="0" w:color="auto"/>
              </w:divBdr>
              <w:divsChild>
                <w:div w:id="1693338878">
                  <w:marLeft w:val="0"/>
                  <w:marRight w:val="0"/>
                  <w:marTop w:val="0"/>
                  <w:marBottom w:val="0"/>
                  <w:divBdr>
                    <w:top w:val="none" w:sz="0" w:space="0" w:color="auto"/>
                    <w:left w:val="none" w:sz="0" w:space="0" w:color="auto"/>
                    <w:bottom w:val="none" w:sz="0" w:space="0" w:color="auto"/>
                    <w:right w:val="none" w:sz="0" w:space="0" w:color="auto"/>
                  </w:divBdr>
                  <w:divsChild>
                    <w:div w:id="641810629">
                      <w:marLeft w:val="0"/>
                      <w:marRight w:val="0"/>
                      <w:marTop w:val="0"/>
                      <w:marBottom w:val="0"/>
                      <w:divBdr>
                        <w:top w:val="none" w:sz="0" w:space="0" w:color="auto"/>
                        <w:left w:val="none" w:sz="0" w:space="0" w:color="auto"/>
                        <w:bottom w:val="none" w:sz="0" w:space="0" w:color="auto"/>
                        <w:right w:val="none" w:sz="0" w:space="0" w:color="auto"/>
                      </w:divBdr>
                      <w:divsChild>
                        <w:div w:id="404373756">
                          <w:marLeft w:val="0"/>
                          <w:marRight w:val="0"/>
                          <w:marTop w:val="0"/>
                          <w:marBottom w:val="0"/>
                          <w:divBdr>
                            <w:top w:val="none" w:sz="0" w:space="0" w:color="auto"/>
                            <w:left w:val="none" w:sz="0" w:space="0" w:color="auto"/>
                            <w:bottom w:val="none" w:sz="0" w:space="0" w:color="auto"/>
                            <w:right w:val="none" w:sz="0" w:space="0" w:color="auto"/>
                          </w:divBdr>
                          <w:divsChild>
                            <w:div w:id="415634053">
                              <w:marLeft w:val="0"/>
                              <w:marRight w:val="0"/>
                              <w:marTop w:val="0"/>
                              <w:marBottom w:val="0"/>
                              <w:divBdr>
                                <w:top w:val="none" w:sz="0" w:space="0" w:color="auto"/>
                                <w:left w:val="none" w:sz="0" w:space="0" w:color="auto"/>
                                <w:bottom w:val="none" w:sz="0" w:space="0" w:color="auto"/>
                                <w:right w:val="none" w:sz="0" w:space="0" w:color="auto"/>
                              </w:divBdr>
                              <w:divsChild>
                                <w:div w:id="578566329">
                                  <w:marLeft w:val="0"/>
                                  <w:marRight w:val="0"/>
                                  <w:marTop w:val="0"/>
                                  <w:marBottom w:val="0"/>
                                  <w:divBdr>
                                    <w:top w:val="none" w:sz="0" w:space="0" w:color="auto"/>
                                    <w:left w:val="none" w:sz="0" w:space="0" w:color="auto"/>
                                    <w:bottom w:val="none" w:sz="0" w:space="0" w:color="auto"/>
                                    <w:right w:val="none" w:sz="0" w:space="0" w:color="auto"/>
                                  </w:divBdr>
                                  <w:divsChild>
                                    <w:div w:id="472673679">
                                      <w:marLeft w:val="0"/>
                                      <w:marRight w:val="0"/>
                                      <w:marTop w:val="0"/>
                                      <w:marBottom w:val="0"/>
                                      <w:divBdr>
                                        <w:top w:val="none" w:sz="0" w:space="0" w:color="auto"/>
                                        <w:left w:val="none" w:sz="0" w:space="0" w:color="auto"/>
                                        <w:bottom w:val="none" w:sz="0" w:space="0" w:color="auto"/>
                                        <w:right w:val="none" w:sz="0" w:space="0" w:color="auto"/>
                                      </w:divBdr>
                                      <w:divsChild>
                                        <w:div w:id="119149236">
                                          <w:marLeft w:val="0"/>
                                          <w:marRight w:val="0"/>
                                          <w:marTop w:val="0"/>
                                          <w:marBottom w:val="0"/>
                                          <w:divBdr>
                                            <w:top w:val="none" w:sz="0" w:space="0" w:color="auto"/>
                                            <w:left w:val="none" w:sz="0" w:space="0" w:color="auto"/>
                                            <w:bottom w:val="none" w:sz="0" w:space="0" w:color="auto"/>
                                            <w:right w:val="none" w:sz="0" w:space="0" w:color="auto"/>
                                          </w:divBdr>
                                          <w:divsChild>
                                            <w:div w:id="1802765185">
                                              <w:marLeft w:val="0"/>
                                              <w:marRight w:val="0"/>
                                              <w:marTop w:val="0"/>
                                              <w:marBottom w:val="0"/>
                                              <w:divBdr>
                                                <w:top w:val="none" w:sz="0" w:space="0" w:color="auto"/>
                                                <w:left w:val="none" w:sz="0" w:space="0" w:color="auto"/>
                                                <w:bottom w:val="none" w:sz="0" w:space="0" w:color="auto"/>
                                                <w:right w:val="none" w:sz="0" w:space="0" w:color="auto"/>
                                              </w:divBdr>
                                              <w:divsChild>
                                                <w:div w:id="808471573">
                                                  <w:marLeft w:val="0"/>
                                                  <w:marRight w:val="0"/>
                                                  <w:marTop w:val="0"/>
                                                  <w:marBottom w:val="0"/>
                                                  <w:divBdr>
                                                    <w:top w:val="none" w:sz="0" w:space="0" w:color="auto"/>
                                                    <w:left w:val="none" w:sz="0" w:space="0" w:color="auto"/>
                                                    <w:bottom w:val="none" w:sz="0" w:space="0" w:color="auto"/>
                                                    <w:right w:val="none" w:sz="0" w:space="0" w:color="auto"/>
                                                  </w:divBdr>
                                                  <w:divsChild>
                                                    <w:div w:id="1247182461">
                                                      <w:marLeft w:val="0"/>
                                                      <w:marRight w:val="0"/>
                                                      <w:marTop w:val="0"/>
                                                      <w:marBottom w:val="0"/>
                                                      <w:divBdr>
                                                        <w:top w:val="none" w:sz="0" w:space="0" w:color="auto"/>
                                                        <w:left w:val="none" w:sz="0" w:space="0" w:color="auto"/>
                                                        <w:bottom w:val="none" w:sz="0" w:space="0" w:color="auto"/>
                                                        <w:right w:val="none" w:sz="0" w:space="0" w:color="auto"/>
                                                      </w:divBdr>
                                                      <w:divsChild>
                                                        <w:div w:id="15435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8393855">
      <w:bodyDiv w:val="1"/>
      <w:marLeft w:val="0"/>
      <w:marRight w:val="0"/>
      <w:marTop w:val="0"/>
      <w:marBottom w:val="0"/>
      <w:divBdr>
        <w:top w:val="none" w:sz="0" w:space="0" w:color="auto"/>
        <w:left w:val="none" w:sz="0" w:space="0" w:color="auto"/>
        <w:bottom w:val="none" w:sz="0" w:space="0" w:color="auto"/>
        <w:right w:val="none" w:sz="0" w:space="0" w:color="auto"/>
      </w:divBdr>
      <w:divsChild>
        <w:div w:id="268852747">
          <w:marLeft w:val="0"/>
          <w:marRight w:val="0"/>
          <w:marTop w:val="0"/>
          <w:marBottom w:val="0"/>
          <w:divBdr>
            <w:top w:val="none" w:sz="0" w:space="0" w:color="auto"/>
            <w:left w:val="none" w:sz="0" w:space="0" w:color="auto"/>
            <w:bottom w:val="none" w:sz="0" w:space="0" w:color="auto"/>
            <w:right w:val="none" w:sz="0" w:space="0" w:color="auto"/>
          </w:divBdr>
          <w:divsChild>
            <w:div w:id="283579721">
              <w:marLeft w:val="0"/>
              <w:marRight w:val="0"/>
              <w:marTop w:val="0"/>
              <w:marBottom w:val="0"/>
              <w:divBdr>
                <w:top w:val="none" w:sz="0" w:space="0" w:color="auto"/>
                <w:left w:val="none" w:sz="0" w:space="0" w:color="auto"/>
                <w:bottom w:val="none" w:sz="0" w:space="0" w:color="auto"/>
                <w:right w:val="none" w:sz="0" w:space="0" w:color="auto"/>
              </w:divBdr>
              <w:divsChild>
                <w:div w:id="1498226427">
                  <w:marLeft w:val="0"/>
                  <w:marRight w:val="0"/>
                  <w:marTop w:val="0"/>
                  <w:marBottom w:val="0"/>
                  <w:divBdr>
                    <w:top w:val="none" w:sz="0" w:space="0" w:color="auto"/>
                    <w:left w:val="none" w:sz="0" w:space="0" w:color="auto"/>
                    <w:bottom w:val="none" w:sz="0" w:space="0" w:color="auto"/>
                    <w:right w:val="none" w:sz="0" w:space="0" w:color="auto"/>
                  </w:divBdr>
                  <w:divsChild>
                    <w:div w:id="850071792">
                      <w:marLeft w:val="0"/>
                      <w:marRight w:val="0"/>
                      <w:marTop w:val="0"/>
                      <w:marBottom w:val="0"/>
                      <w:divBdr>
                        <w:top w:val="none" w:sz="0" w:space="0" w:color="auto"/>
                        <w:left w:val="none" w:sz="0" w:space="0" w:color="auto"/>
                        <w:bottom w:val="none" w:sz="0" w:space="0" w:color="auto"/>
                        <w:right w:val="none" w:sz="0" w:space="0" w:color="auto"/>
                      </w:divBdr>
                      <w:divsChild>
                        <w:div w:id="1759718714">
                          <w:marLeft w:val="0"/>
                          <w:marRight w:val="0"/>
                          <w:marTop w:val="0"/>
                          <w:marBottom w:val="0"/>
                          <w:divBdr>
                            <w:top w:val="none" w:sz="0" w:space="0" w:color="auto"/>
                            <w:left w:val="none" w:sz="0" w:space="0" w:color="auto"/>
                            <w:bottom w:val="none" w:sz="0" w:space="0" w:color="auto"/>
                            <w:right w:val="none" w:sz="0" w:space="0" w:color="auto"/>
                          </w:divBdr>
                          <w:divsChild>
                            <w:div w:id="863902187">
                              <w:marLeft w:val="0"/>
                              <w:marRight w:val="0"/>
                              <w:marTop w:val="0"/>
                              <w:marBottom w:val="0"/>
                              <w:divBdr>
                                <w:top w:val="none" w:sz="0" w:space="0" w:color="auto"/>
                                <w:left w:val="none" w:sz="0" w:space="0" w:color="auto"/>
                                <w:bottom w:val="none" w:sz="0" w:space="0" w:color="auto"/>
                                <w:right w:val="none" w:sz="0" w:space="0" w:color="auto"/>
                              </w:divBdr>
                              <w:divsChild>
                                <w:div w:id="1138643468">
                                  <w:marLeft w:val="0"/>
                                  <w:marRight w:val="0"/>
                                  <w:marTop w:val="0"/>
                                  <w:marBottom w:val="0"/>
                                  <w:divBdr>
                                    <w:top w:val="none" w:sz="0" w:space="0" w:color="auto"/>
                                    <w:left w:val="none" w:sz="0" w:space="0" w:color="auto"/>
                                    <w:bottom w:val="none" w:sz="0" w:space="0" w:color="auto"/>
                                    <w:right w:val="none" w:sz="0" w:space="0" w:color="auto"/>
                                  </w:divBdr>
                                  <w:divsChild>
                                    <w:div w:id="820848978">
                                      <w:marLeft w:val="0"/>
                                      <w:marRight w:val="0"/>
                                      <w:marTop w:val="0"/>
                                      <w:marBottom w:val="0"/>
                                      <w:divBdr>
                                        <w:top w:val="none" w:sz="0" w:space="0" w:color="auto"/>
                                        <w:left w:val="none" w:sz="0" w:space="0" w:color="auto"/>
                                        <w:bottom w:val="none" w:sz="0" w:space="0" w:color="auto"/>
                                        <w:right w:val="none" w:sz="0" w:space="0" w:color="auto"/>
                                      </w:divBdr>
                                      <w:divsChild>
                                        <w:div w:id="690842860">
                                          <w:marLeft w:val="0"/>
                                          <w:marRight w:val="0"/>
                                          <w:marTop w:val="0"/>
                                          <w:marBottom w:val="0"/>
                                          <w:divBdr>
                                            <w:top w:val="none" w:sz="0" w:space="0" w:color="auto"/>
                                            <w:left w:val="none" w:sz="0" w:space="0" w:color="auto"/>
                                            <w:bottom w:val="none" w:sz="0" w:space="0" w:color="auto"/>
                                            <w:right w:val="none" w:sz="0" w:space="0" w:color="auto"/>
                                          </w:divBdr>
                                          <w:divsChild>
                                            <w:div w:id="510098542">
                                              <w:marLeft w:val="0"/>
                                              <w:marRight w:val="0"/>
                                              <w:marTop w:val="0"/>
                                              <w:marBottom w:val="0"/>
                                              <w:divBdr>
                                                <w:top w:val="none" w:sz="0" w:space="0" w:color="auto"/>
                                                <w:left w:val="none" w:sz="0" w:space="0" w:color="auto"/>
                                                <w:bottom w:val="none" w:sz="0" w:space="0" w:color="auto"/>
                                                <w:right w:val="none" w:sz="0" w:space="0" w:color="auto"/>
                                              </w:divBdr>
                                              <w:divsChild>
                                                <w:div w:id="452750001">
                                                  <w:marLeft w:val="0"/>
                                                  <w:marRight w:val="0"/>
                                                  <w:marTop w:val="0"/>
                                                  <w:marBottom w:val="0"/>
                                                  <w:divBdr>
                                                    <w:top w:val="none" w:sz="0" w:space="0" w:color="auto"/>
                                                    <w:left w:val="none" w:sz="0" w:space="0" w:color="auto"/>
                                                    <w:bottom w:val="none" w:sz="0" w:space="0" w:color="auto"/>
                                                    <w:right w:val="none" w:sz="0" w:space="0" w:color="auto"/>
                                                  </w:divBdr>
                                                  <w:divsChild>
                                                    <w:div w:id="229386113">
                                                      <w:marLeft w:val="0"/>
                                                      <w:marRight w:val="0"/>
                                                      <w:marTop w:val="0"/>
                                                      <w:marBottom w:val="0"/>
                                                      <w:divBdr>
                                                        <w:top w:val="none" w:sz="0" w:space="0" w:color="auto"/>
                                                        <w:left w:val="none" w:sz="0" w:space="0" w:color="auto"/>
                                                        <w:bottom w:val="none" w:sz="0" w:space="0" w:color="auto"/>
                                                        <w:right w:val="none" w:sz="0" w:space="0" w:color="auto"/>
                                                      </w:divBdr>
                                                      <w:divsChild>
                                                        <w:div w:id="20969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949869">
      <w:bodyDiv w:val="1"/>
      <w:marLeft w:val="0"/>
      <w:marRight w:val="0"/>
      <w:marTop w:val="0"/>
      <w:marBottom w:val="0"/>
      <w:divBdr>
        <w:top w:val="none" w:sz="0" w:space="0" w:color="auto"/>
        <w:left w:val="none" w:sz="0" w:space="0" w:color="auto"/>
        <w:bottom w:val="none" w:sz="0" w:space="0" w:color="auto"/>
        <w:right w:val="none" w:sz="0" w:space="0" w:color="auto"/>
      </w:divBdr>
    </w:div>
    <w:div w:id="1879584752">
      <w:bodyDiv w:val="1"/>
      <w:marLeft w:val="0"/>
      <w:marRight w:val="0"/>
      <w:marTop w:val="0"/>
      <w:marBottom w:val="0"/>
      <w:divBdr>
        <w:top w:val="none" w:sz="0" w:space="0" w:color="auto"/>
        <w:left w:val="none" w:sz="0" w:space="0" w:color="auto"/>
        <w:bottom w:val="none" w:sz="0" w:space="0" w:color="auto"/>
        <w:right w:val="none" w:sz="0" w:space="0" w:color="auto"/>
      </w:divBdr>
    </w:div>
    <w:div w:id="1919823080">
      <w:bodyDiv w:val="1"/>
      <w:marLeft w:val="0"/>
      <w:marRight w:val="0"/>
      <w:marTop w:val="0"/>
      <w:marBottom w:val="0"/>
      <w:divBdr>
        <w:top w:val="none" w:sz="0" w:space="0" w:color="auto"/>
        <w:left w:val="none" w:sz="0" w:space="0" w:color="auto"/>
        <w:bottom w:val="none" w:sz="0" w:space="0" w:color="auto"/>
        <w:right w:val="none" w:sz="0" w:space="0" w:color="auto"/>
      </w:divBdr>
    </w:div>
    <w:div w:id="1967466932">
      <w:bodyDiv w:val="1"/>
      <w:marLeft w:val="0"/>
      <w:marRight w:val="0"/>
      <w:marTop w:val="0"/>
      <w:marBottom w:val="0"/>
      <w:divBdr>
        <w:top w:val="none" w:sz="0" w:space="0" w:color="auto"/>
        <w:left w:val="none" w:sz="0" w:space="0" w:color="auto"/>
        <w:bottom w:val="none" w:sz="0" w:space="0" w:color="auto"/>
        <w:right w:val="none" w:sz="0" w:space="0" w:color="auto"/>
      </w:divBdr>
      <w:divsChild>
        <w:div w:id="67583947">
          <w:marLeft w:val="0"/>
          <w:marRight w:val="0"/>
          <w:marTop w:val="0"/>
          <w:marBottom w:val="0"/>
          <w:divBdr>
            <w:top w:val="none" w:sz="0" w:space="0" w:color="auto"/>
            <w:left w:val="none" w:sz="0" w:space="0" w:color="auto"/>
            <w:bottom w:val="none" w:sz="0" w:space="0" w:color="auto"/>
            <w:right w:val="none" w:sz="0" w:space="0" w:color="auto"/>
          </w:divBdr>
          <w:divsChild>
            <w:div w:id="7951426">
              <w:marLeft w:val="0"/>
              <w:marRight w:val="0"/>
              <w:marTop w:val="0"/>
              <w:marBottom w:val="0"/>
              <w:divBdr>
                <w:top w:val="none" w:sz="0" w:space="0" w:color="auto"/>
                <w:left w:val="none" w:sz="0" w:space="0" w:color="auto"/>
                <w:bottom w:val="none" w:sz="0" w:space="0" w:color="auto"/>
                <w:right w:val="none" w:sz="0" w:space="0" w:color="auto"/>
              </w:divBdr>
              <w:divsChild>
                <w:div w:id="1181773378">
                  <w:marLeft w:val="0"/>
                  <w:marRight w:val="0"/>
                  <w:marTop w:val="0"/>
                  <w:marBottom w:val="0"/>
                  <w:divBdr>
                    <w:top w:val="none" w:sz="0" w:space="0" w:color="auto"/>
                    <w:left w:val="none" w:sz="0" w:space="0" w:color="auto"/>
                    <w:bottom w:val="none" w:sz="0" w:space="0" w:color="auto"/>
                    <w:right w:val="none" w:sz="0" w:space="0" w:color="auto"/>
                  </w:divBdr>
                  <w:divsChild>
                    <w:div w:id="1404184787">
                      <w:marLeft w:val="0"/>
                      <w:marRight w:val="0"/>
                      <w:marTop w:val="0"/>
                      <w:marBottom w:val="0"/>
                      <w:divBdr>
                        <w:top w:val="none" w:sz="0" w:space="0" w:color="auto"/>
                        <w:left w:val="none" w:sz="0" w:space="0" w:color="auto"/>
                        <w:bottom w:val="none" w:sz="0" w:space="0" w:color="auto"/>
                        <w:right w:val="none" w:sz="0" w:space="0" w:color="auto"/>
                      </w:divBdr>
                      <w:divsChild>
                        <w:div w:id="839155246">
                          <w:marLeft w:val="0"/>
                          <w:marRight w:val="0"/>
                          <w:marTop w:val="0"/>
                          <w:marBottom w:val="0"/>
                          <w:divBdr>
                            <w:top w:val="none" w:sz="0" w:space="0" w:color="auto"/>
                            <w:left w:val="none" w:sz="0" w:space="0" w:color="auto"/>
                            <w:bottom w:val="none" w:sz="0" w:space="0" w:color="auto"/>
                            <w:right w:val="none" w:sz="0" w:space="0" w:color="auto"/>
                          </w:divBdr>
                          <w:divsChild>
                            <w:div w:id="1051534657">
                              <w:marLeft w:val="0"/>
                              <w:marRight w:val="0"/>
                              <w:marTop w:val="0"/>
                              <w:marBottom w:val="0"/>
                              <w:divBdr>
                                <w:top w:val="none" w:sz="0" w:space="0" w:color="auto"/>
                                <w:left w:val="none" w:sz="0" w:space="0" w:color="auto"/>
                                <w:bottom w:val="none" w:sz="0" w:space="0" w:color="auto"/>
                                <w:right w:val="none" w:sz="0" w:space="0" w:color="auto"/>
                              </w:divBdr>
                              <w:divsChild>
                                <w:div w:id="1848783096">
                                  <w:marLeft w:val="0"/>
                                  <w:marRight w:val="0"/>
                                  <w:marTop w:val="0"/>
                                  <w:marBottom w:val="0"/>
                                  <w:divBdr>
                                    <w:top w:val="none" w:sz="0" w:space="0" w:color="auto"/>
                                    <w:left w:val="none" w:sz="0" w:space="0" w:color="auto"/>
                                    <w:bottom w:val="none" w:sz="0" w:space="0" w:color="auto"/>
                                    <w:right w:val="none" w:sz="0" w:space="0" w:color="auto"/>
                                  </w:divBdr>
                                  <w:divsChild>
                                    <w:div w:id="2144694299">
                                      <w:marLeft w:val="0"/>
                                      <w:marRight w:val="0"/>
                                      <w:marTop w:val="0"/>
                                      <w:marBottom w:val="0"/>
                                      <w:divBdr>
                                        <w:top w:val="none" w:sz="0" w:space="0" w:color="auto"/>
                                        <w:left w:val="none" w:sz="0" w:space="0" w:color="auto"/>
                                        <w:bottom w:val="none" w:sz="0" w:space="0" w:color="auto"/>
                                        <w:right w:val="none" w:sz="0" w:space="0" w:color="auto"/>
                                      </w:divBdr>
                                      <w:divsChild>
                                        <w:div w:id="1149519543">
                                          <w:marLeft w:val="0"/>
                                          <w:marRight w:val="0"/>
                                          <w:marTop w:val="0"/>
                                          <w:marBottom w:val="0"/>
                                          <w:divBdr>
                                            <w:top w:val="none" w:sz="0" w:space="0" w:color="auto"/>
                                            <w:left w:val="none" w:sz="0" w:space="0" w:color="auto"/>
                                            <w:bottom w:val="none" w:sz="0" w:space="0" w:color="auto"/>
                                            <w:right w:val="none" w:sz="0" w:space="0" w:color="auto"/>
                                          </w:divBdr>
                                          <w:divsChild>
                                            <w:div w:id="1669551025">
                                              <w:marLeft w:val="0"/>
                                              <w:marRight w:val="0"/>
                                              <w:marTop w:val="0"/>
                                              <w:marBottom w:val="0"/>
                                              <w:divBdr>
                                                <w:top w:val="none" w:sz="0" w:space="0" w:color="auto"/>
                                                <w:left w:val="none" w:sz="0" w:space="0" w:color="auto"/>
                                                <w:bottom w:val="none" w:sz="0" w:space="0" w:color="auto"/>
                                                <w:right w:val="none" w:sz="0" w:space="0" w:color="auto"/>
                                              </w:divBdr>
                                              <w:divsChild>
                                                <w:div w:id="361172111">
                                                  <w:marLeft w:val="0"/>
                                                  <w:marRight w:val="0"/>
                                                  <w:marTop w:val="0"/>
                                                  <w:marBottom w:val="0"/>
                                                  <w:divBdr>
                                                    <w:top w:val="none" w:sz="0" w:space="0" w:color="auto"/>
                                                    <w:left w:val="none" w:sz="0" w:space="0" w:color="auto"/>
                                                    <w:bottom w:val="none" w:sz="0" w:space="0" w:color="auto"/>
                                                    <w:right w:val="none" w:sz="0" w:space="0" w:color="auto"/>
                                                  </w:divBdr>
                                                  <w:divsChild>
                                                    <w:div w:id="1760786094">
                                                      <w:marLeft w:val="0"/>
                                                      <w:marRight w:val="0"/>
                                                      <w:marTop w:val="0"/>
                                                      <w:marBottom w:val="0"/>
                                                      <w:divBdr>
                                                        <w:top w:val="none" w:sz="0" w:space="0" w:color="auto"/>
                                                        <w:left w:val="none" w:sz="0" w:space="0" w:color="auto"/>
                                                        <w:bottom w:val="none" w:sz="0" w:space="0" w:color="auto"/>
                                                        <w:right w:val="none" w:sz="0" w:space="0" w:color="auto"/>
                                                      </w:divBdr>
                                                      <w:divsChild>
                                                        <w:div w:id="343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992917">
      <w:bodyDiv w:val="1"/>
      <w:marLeft w:val="0"/>
      <w:marRight w:val="0"/>
      <w:marTop w:val="0"/>
      <w:marBottom w:val="0"/>
      <w:divBdr>
        <w:top w:val="none" w:sz="0" w:space="0" w:color="auto"/>
        <w:left w:val="none" w:sz="0" w:space="0" w:color="auto"/>
        <w:bottom w:val="none" w:sz="0" w:space="0" w:color="auto"/>
        <w:right w:val="none" w:sz="0" w:space="0" w:color="auto"/>
      </w:divBdr>
      <w:divsChild>
        <w:div w:id="468983640">
          <w:marLeft w:val="0"/>
          <w:marRight w:val="0"/>
          <w:marTop w:val="0"/>
          <w:marBottom w:val="0"/>
          <w:divBdr>
            <w:top w:val="none" w:sz="0" w:space="0" w:color="auto"/>
            <w:left w:val="none" w:sz="0" w:space="0" w:color="auto"/>
            <w:bottom w:val="none" w:sz="0" w:space="0" w:color="auto"/>
            <w:right w:val="none" w:sz="0" w:space="0" w:color="auto"/>
          </w:divBdr>
          <w:divsChild>
            <w:div w:id="614869766">
              <w:marLeft w:val="0"/>
              <w:marRight w:val="0"/>
              <w:marTop w:val="0"/>
              <w:marBottom w:val="0"/>
              <w:divBdr>
                <w:top w:val="none" w:sz="0" w:space="0" w:color="auto"/>
                <w:left w:val="none" w:sz="0" w:space="0" w:color="auto"/>
                <w:bottom w:val="none" w:sz="0" w:space="0" w:color="auto"/>
                <w:right w:val="none" w:sz="0" w:space="0" w:color="auto"/>
              </w:divBdr>
              <w:divsChild>
                <w:div w:id="1819295873">
                  <w:marLeft w:val="0"/>
                  <w:marRight w:val="0"/>
                  <w:marTop w:val="0"/>
                  <w:marBottom w:val="0"/>
                  <w:divBdr>
                    <w:top w:val="none" w:sz="0" w:space="0" w:color="auto"/>
                    <w:left w:val="none" w:sz="0" w:space="0" w:color="auto"/>
                    <w:bottom w:val="none" w:sz="0" w:space="0" w:color="auto"/>
                    <w:right w:val="none" w:sz="0" w:space="0" w:color="auto"/>
                  </w:divBdr>
                  <w:divsChild>
                    <w:div w:id="217589322">
                      <w:marLeft w:val="0"/>
                      <w:marRight w:val="0"/>
                      <w:marTop w:val="0"/>
                      <w:marBottom w:val="0"/>
                      <w:divBdr>
                        <w:top w:val="none" w:sz="0" w:space="0" w:color="auto"/>
                        <w:left w:val="none" w:sz="0" w:space="0" w:color="auto"/>
                        <w:bottom w:val="none" w:sz="0" w:space="0" w:color="auto"/>
                        <w:right w:val="none" w:sz="0" w:space="0" w:color="auto"/>
                      </w:divBdr>
                      <w:divsChild>
                        <w:div w:id="1325284957">
                          <w:marLeft w:val="0"/>
                          <w:marRight w:val="0"/>
                          <w:marTop w:val="0"/>
                          <w:marBottom w:val="0"/>
                          <w:divBdr>
                            <w:top w:val="none" w:sz="0" w:space="0" w:color="auto"/>
                            <w:left w:val="none" w:sz="0" w:space="0" w:color="auto"/>
                            <w:bottom w:val="none" w:sz="0" w:space="0" w:color="auto"/>
                            <w:right w:val="none" w:sz="0" w:space="0" w:color="auto"/>
                          </w:divBdr>
                          <w:divsChild>
                            <w:div w:id="1443651696">
                              <w:marLeft w:val="0"/>
                              <w:marRight w:val="0"/>
                              <w:marTop w:val="0"/>
                              <w:marBottom w:val="0"/>
                              <w:divBdr>
                                <w:top w:val="none" w:sz="0" w:space="0" w:color="auto"/>
                                <w:left w:val="none" w:sz="0" w:space="0" w:color="auto"/>
                                <w:bottom w:val="none" w:sz="0" w:space="0" w:color="auto"/>
                                <w:right w:val="none" w:sz="0" w:space="0" w:color="auto"/>
                              </w:divBdr>
                              <w:divsChild>
                                <w:div w:id="1457018374">
                                  <w:marLeft w:val="0"/>
                                  <w:marRight w:val="0"/>
                                  <w:marTop w:val="0"/>
                                  <w:marBottom w:val="0"/>
                                  <w:divBdr>
                                    <w:top w:val="none" w:sz="0" w:space="0" w:color="auto"/>
                                    <w:left w:val="none" w:sz="0" w:space="0" w:color="auto"/>
                                    <w:bottom w:val="none" w:sz="0" w:space="0" w:color="auto"/>
                                    <w:right w:val="none" w:sz="0" w:space="0" w:color="auto"/>
                                  </w:divBdr>
                                  <w:divsChild>
                                    <w:div w:id="319430040">
                                      <w:marLeft w:val="0"/>
                                      <w:marRight w:val="0"/>
                                      <w:marTop w:val="0"/>
                                      <w:marBottom w:val="0"/>
                                      <w:divBdr>
                                        <w:top w:val="none" w:sz="0" w:space="0" w:color="auto"/>
                                        <w:left w:val="none" w:sz="0" w:space="0" w:color="auto"/>
                                        <w:bottom w:val="none" w:sz="0" w:space="0" w:color="auto"/>
                                        <w:right w:val="none" w:sz="0" w:space="0" w:color="auto"/>
                                      </w:divBdr>
                                      <w:divsChild>
                                        <w:div w:id="757482524">
                                          <w:marLeft w:val="0"/>
                                          <w:marRight w:val="0"/>
                                          <w:marTop w:val="0"/>
                                          <w:marBottom w:val="0"/>
                                          <w:divBdr>
                                            <w:top w:val="none" w:sz="0" w:space="0" w:color="auto"/>
                                            <w:left w:val="none" w:sz="0" w:space="0" w:color="auto"/>
                                            <w:bottom w:val="none" w:sz="0" w:space="0" w:color="auto"/>
                                            <w:right w:val="none" w:sz="0" w:space="0" w:color="auto"/>
                                          </w:divBdr>
                                          <w:divsChild>
                                            <w:div w:id="264775477">
                                              <w:marLeft w:val="0"/>
                                              <w:marRight w:val="0"/>
                                              <w:marTop w:val="0"/>
                                              <w:marBottom w:val="0"/>
                                              <w:divBdr>
                                                <w:top w:val="none" w:sz="0" w:space="0" w:color="auto"/>
                                                <w:left w:val="none" w:sz="0" w:space="0" w:color="auto"/>
                                                <w:bottom w:val="none" w:sz="0" w:space="0" w:color="auto"/>
                                                <w:right w:val="none" w:sz="0" w:space="0" w:color="auto"/>
                                              </w:divBdr>
                                              <w:divsChild>
                                                <w:div w:id="1949465983">
                                                  <w:marLeft w:val="0"/>
                                                  <w:marRight w:val="0"/>
                                                  <w:marTop w:val="0"/>
                                                  <w:marBottom w:val="0"/>
                                                  <w:divBdr>
                                                    <w:top w:val="none" w:sz="0" w:space="0" w:color="auto"/>
                                                    <w:left w:val="none" w:sz="0" w:space="0" w:color="auto"/>
                                                    <w:bottom w:val="none" w:sz="0" w:space="0" w:color="auto"/>
                                                    <w:right w:val="none" w:sz="0" w:space="0" w:color="auto"/>
                                                  </w:divBdr>
                                                  <w:divsChild>
                                                    <w:div w:id="400756236">
                                                      <w:marLeft w:val="0"/>
                                                      <w:marRight w:val="0"/>
                                                      <w:marTop w:val="0"/>
                                                      <w:marBottom w:val="0"/>
                                                      <w:divBdr>
                                                        <w:top w:val="none" w:sz="0" w:space="0" w:color="auto"/>
                                                        <w:left w:val="none" w:sz="0" w:space="0" w:color="auto"/>
                                                        <w:bottom w:val="none" w:sz="0" w:space="0" w:color="auto"/>
                                                        <w:right w:val="none" w:sz="0" w:space="0" w:color="auto"/>
                                                      </w:divBdr>
                                                      <w:divsChild>
                                                        <w:div w:id="6544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864DA0F-571F-483C-9A68-438D997BC8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A9FE4C4B79DCF4F9A427A74A588B7F4" ma:contentTypeVersion="" ma:contentTypeDescription="PDMS Document Site Content Type" ma:contentTypeScope="" ma:versionID="8bc791fe7dc2fb581877a7160d9985fd">
  <xsd:schema xmlns:xsd="http://www.w3.org/2001/XMLSchema" xmlns:xs="http://www.w3.org/2001/XMLSchema" xmlns:p="http://schemas.microsoft.com/office/2006/metadata/properties" xmlns:ns2="6864DA0F-571F-483C-9A68-438D997BC8A6" targetNamespace="http://schemas.microsoft.com/office/2006/metadata/properties" ma:root="true" ma:fieldsID="18e28fd31065d43803a96505d518db8c" ns2:_="">
    <xsd:import namespace="6864DA0F-571F-483C-9A68-438D997BC8A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DA0F-571F-483C-9A68-438D997BC8A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F4B20-AC7C-4539-A2E8-7E39553F9E5E}">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6864DA0F-571F-483C-9A68-438D997BC8A6"/>
    <ds:schemaRef ds:uri="http://www.w3.org/XML/1998/namespace"/>
  </ds:schemaRefs>
</ds:datastoreItem>
</file>

<file path=customXml/itemProps2.xml><?xml version="1.0" encoding="utf-8"?>
<ds:datastoreItem xmlns:ds="http://schemas.openxmlformats.org/officeDocument/2006/customXml" ds:itemID="{86C5182F-3711-413B-BAC8-55B336CF5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4DA0F-571F-483C-9A68-438D997BC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D8DF3-CB24-4BCE-AEA3-B646788A6BE4}">
  <ds:schemaRefs>
    <ds:schemaRef ds:uri="http://schemas.microsoft.com/sharepoint/v3/contenttype/forms"/>
  </ds:schemaRefs>
</ds:datastoreItem>
</file>

<file path=customXml/itemProps4.xml><?xml version="1.0" encoding="utf-8"?>
<ds:datastoreItem xmlns:ds="http://schemas.openxmlformats.org/officeDocument/2006/customXml" ds:itemID="{DA2FD441-271D-4EDF-834B-1837B8DD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7375</Words>
  <Characters>39787</Characters>
  <Application>Microsoft Office Word</Application>
  <DocSecurity>4</DocSecurity>
  <Lines>331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2020-09-30T02:18:00Z</dcterms:created>
  <dcterms:modified xsi:type="dcterms:W3CDTF">2020-09-30T02:18:00Z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ontentTypeId">
    <vt:lpwstr>0x010100266966F133664895A6EE3632470D45F5002A9FE4C4B79DCF4F9A427A74A588B7F4</vt:lpwstr>
  </property>
  <property fmtid="{D5CDD505-2E9C-101B-9397-08002B2CF9AE}" pid="7" name="_CopySource">
    <vt:lpwstr/>
  </property>
  <property fmtid="{D5CDD505-2E9C-101B-9397-08002B2CF9AE}" pid="8" name="DocHub_Year">
    <vt:lpwstr>18;#2020|6a3660c5-15bd-4052-a0a1-6237663b7600</vt:lpwstr>
  </property>
  <property fmtid="{D5CDD505-2E9C-101B-9397-08002B2CF9AE}" pid="9" name="DocHub_DocumentType">
    <vt:lpwstr>50;#Brief|b7e64b99-5aaf-414e-afb1-f6ec93007836</vt:lpwstr>
  </property>
  <property fmtid="{D5CDD505-2E9C-101B-9397-08002B2CF9AE}" pid="10" name="DocHub_SecurityClassification">
    <vt:lpwstr>26;#OFFICIAL:Sensitive|11f6fb0b-52ce-4109-8f7f-521b2a62f692</vt:lpwstr>
  </property>
  <property fmtid="{D5CDD505-2E9C-101B-9397-08002B2CF9AE}" pid="11" name="DocHub_Keywords">
    <vt:lpwstr>234;#Safeguard Mechanism|462066da-c297-4969-b9e8-878ecfcc0dda;#274;#Production Variables|7bc31d71-1043-454c-bc57-d46c1403821d</vt:lpwstr>
  </property>
  <property fmtid="{D5CDD505-2E9C-101B-9397-08002B2CF9AE}" pid="12" name="DocHub_WorkActivity">
    <vt:lpwstr>184;#Legislation and Regulation|6cbc66f5-f4a2-4565-a58b-d5f2d2ac9bd0</vt:lpwstr>
  </property>
</Properties>
</file>