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66680" w:rsidRDefault="00193461" w:rsidP="0020300C">
      <w:pPr>
        <w:rPr>
          <w:sz w:val="28"/>
        </w:rPr>
      </w:pPr>
      <w:r w:rsidRPr="00D66680">
        <w:rPr>
          <w:noProof/>
          <w:lang w:eastAsia="en-AU"/>
        </w:rPr>
        <w:drawing>
          <wp:inline distT="0" distB="0" distL="0" distR="0" wp14:anchorId="75DC92AE" wp14:editId="29F406D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66680" w:rsidRDefault="0048364F" w:rsidP="0048364F">
      <w:pPr>
        <w:rPr>
          <w:sz w:val="19"/>
        </w:rPr>
      </w:pPr>
    </w:p>
    <w:p w:rsidR="0048364F" w:rsidRPr="00D66680" w:rsidRDefault="00446CDC" w:rsidP="0048364F">
      <w:pPr>
        <w:pStyle w:val="ShortT"/>
      </w:pPr>
      <w:r w:rsidRPr="00D66680">
        <w:t xml:space="preserve">National Consumer Credit Protection Amendment (Responsible Lending Obligations) </w:t>
      </w:r>
      <w:r w:rsidR="00B7265E">
        <w:t>Regulations 2</w:t>
      </w:r>
      <w:r w:rsidRPr="00D66680">
        <w:t>020</w:t>
      </w:r>
    </w:p>
    <w:p w:rsidR="00446CDC" w:rsidRPr="00D66680" w:rsidRDefault="00446CDC" w:rsidP="007517B8">
      <w:pPr>
        <w:pStyle w:val="SignCoverPageStart"/>
        <w:spacing w:before="240"/>
        <w:rPr>
          <w:szCs w:val="22"/>
        </w:rPr>
      </w:pPr>
      <w:r w:rsidRPr="00D66680">
        <w:rPr>
          <w:szCs w:val="22"/>
        </w:rPr>
        <w:t>I, General the Honourable David Hurley AC DSC (Retd), Governor</w:t>
      </w:r>
      <w:r w:rsidR="00B7265E">
        <w:rPr>
          <w:szCs w:val="22"/>
        </w:rPr>
        <w:noBreakHyphen/>
      </w:r>
      <w:r w:rsidRPr="00D66680">
        <w:rPr>
          <w:szCs w:val="22"/>
        </w:rPr>
        <w:t>General of the Commonwealth of Australia, acting with the advice of the Federal Executive Council, make the following regulations.</w:t>
      </w:r>
    </w:p>
    <w:p w:rsidR="00446CDC" w:rsidRPr="00D66680" w:rsidRDefault="00446CD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D66680">
        <w:rPr>
          <w:szCs w:val="22"/>
        </w:rPr>
        <w:t xml:space="preserve">Dated </w:t>
      </w:r>
      <w:bookmarkStart w:id="0" w:name="BKCheck15B_1"/>
      <w:bookmarkEnd w:id="0"/>
      <w:r w:rsidRPr="00D66680">
        <w:rPr>
          <w:szCs w:val="22"/>
        </w:rPr>
        <w:fldChar w:fldCharType="begin"/>
      </w:r>
      <w:r w:rsidRPr="00D66680">
        <w:rPr>
          <w:szCs w:val="22"/>
        </w:rPr>
        <w:instrText xml:space="preserve"> DOCPROPERTY  DateMade </w:instrText>
      </w:r>
      <w:r w:rsidRPr="00D66680">
        <w:rPr>
          <w:szCs w:val="22"/>
        </w:rPr>
        <w:fldChar w:fldCharType="separate"/>
      </w:r>
      <w:r w:rsidR="006C7529">
        <w:rPr>
          <w:szCs w:val="22"/>
        </w:rPr>
        <w:t>01 October 2020</w:t>
      </w:r>
      <w:r w:rsidRPr="00D66680">
        <w:rPr>
          <w:szCs w:val="22"/>
        </w:rPr>
        <w:fldChar w:fldCharType="end"/>
      </w:r>
    </w:p>
    <w:p w:rsidR="00446CDC" w:rsidRPr="00D66680" w:rsidRDefault="00446CD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66680">
        <w:rPr>
          <w:szCs w:val="22"/>
        </w:rPr>
        <w:t>David Hurley</w:t>
      </w:r>
    </w:p>
    <w:p w:rsidR="00446CDC" w:rsidRPr="00D66680" w:rsidRDefault="00446CD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66680">
        <w:rPr>
          <w:szCs w:val="22"/>
        </w:rPr>
        <w:t>Governor</w:t>
      </w:r>
      <w:r w:rsidR="00B7265E">
        <w:rPr>
          <w:szCs w:val="22"/>
        </w:rPr>
        <w:noBreakHyphen/>
      </w:r>
      <w:r w:rsidRPr="00D66680">
        <w:rPr>
          <w:szCs w:val="22"/>
        </w:rPr>
        <w:t>General</w:t>
      </w:r>
    </w:p>
    <w:p w:rsidR="00446CDC" w:rsidRPr="00D66680" w:rsidRDefault="00446CD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66680">
        <w:rPr>
          <w:szCs w:val="22"/>
        </w:rPr>
        <w:t>By His Excellency’s Command</w:t>
      </w:r>
    </w:p>
    <w:p w:rsidR="00446CDC" w:rsidRPr="00D66680" w:rsidRDefault="00446CD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66680">
        <w:rPr>
          <w:szCs w:val="22"/>
        </w:rPr>
        <w:t>Josh Frydenberg</w:t>
      </w:r>
    </w:p>
    <w:p w:rsidR="00446CDC" w:rsidRPr="00D66680" w:rsidRDefault="00446CDC" w:rsidP="007517B8">
      <w:pPr>
        <w:pStyle w:val="SignCoverPageEnd"/>
        <w:rPr>
          <w:szCs w:val="22"/>
        </w:rPr>
      </w:pPr>
      <w:r w:rsidRPr="00D66680">
        <w:rPr>
          <w:szCs w:val="22"/>
        </w:rPr>
        <w:t>Treasurer</w:t>
      </w:r>
    </w:p>
    <w:p w:rsidR="00446CDC" w:rsidRPr="00D66680" w:rsidRDefault="00446CDC" w:rsidP="007517B8"/>
    <w:p w:rsidR="00446CDC" w:rsidRPr="00D66680" w:rsidRDefault="00446CDC" w:rsidP="007517B8"/>
    <w:p w:rsidR="00446CDC" w:rsidRPr="00D66680" w:rsidRDefault="00446CDC" w:rsidP="007517B8"/>
    <w:p w:rsidR="0048364F" w:rsidRPr="00BE59F0" w:rsidRDefault="0048364F" w:rsidP="0048364F">
      <w:pPr>
        <w:pStyle w:val="Header"/>
        <w:tabs>
          <w:tab w:val="clear" w:pos="4150"/>
          <w:tab w:val="clear" w:pos="8307"/>
        </w:tabs>
      </w:pPr>
      <w:r w:rsidRPr="00BE59F0">
        <w:rPr>
          <w:rStyle w:val="CharAmSchNo"/>
        </w:rPr>
        <w:t xml:space="preserve"> </w:t>
      </w:r>
      <w:r w:rsidRPr="00BE59F0">
        <w:rPr>
          <w:rStyle w:val="CharAmSchText"/>
        </w:rPr>
        <w:t xml:space="preserve"> </w:t>
      </w:r>
    </w:p>
    <w:p w:rsidR="0048364F" w:rsidRPr="00BE59F0" w:rsidRDefault="0048364F" w:rsidP="0048364F">
      <w:pPr>
        <w:pStyle w:val="Header"/>
        <w:tabs>
          <w:tab w:val="clear" w:pos="4150"/>
          <w:tab w:val="clear" w:pos="8307"/>
        </w:tabs>
      </w:pPr>
      <w:r w:rsidRPr="00BE59F0">
        <w:rPr>
          <w:rStyle w:val="CharAmPartNo"/>
        </w:rPr>
        <w:t xml:space="preserve"> </w:t>
      </w:r>
      <w:r w:rsidRPr="00BE59F0">
        <w:rPr>
          <w:rStyle w:val="CharAmPartText"/>
        </w:rPr>
        <w:t xml:space="preserve"> </w:t>
      </w:r>
    </w:p>
    <w:p w:rsidR="0048364F" w:rsidRPr="00D66680" w:rsidRDefault="0048364F" w:rsidP="0048364F">
      <w:pPr>
        <w:sectPr w:rsidR="0048364F" w:rsidRPr="00D66680" w:rsidSect="00FE3A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66680" w:rsidRDefault="0048364F" w:rsidP="0048364F">
      <w:pPr>
        <w:outlineLvl w:val="0"/>
        <w:rPr>
          <w:sz w:val="36"/>
        </w:rPr>
      </w:pPr>
      <w:r w:rsidRPr="00D66680">
        <w:rPr>
          <w:sz w:val="36"/>
        </w:rPr>
        <w:lastRenderedPageBreak/>
        <w:t>Contents</w:t>
      </w:r>
    </w:p>
    <w:bookmarkStart w:id="1" w:name="BKCheck15B_2"/>
    <w:bookmarkEnd w:id="1"/>
    <w:p w:rsidR="00B7265E" w:rsidRDefault="00B726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7265E">
        <w:rPr>
          <w:noProof/>
        </w:rPr>
        <w:tab/>
      </w:r>
      <w:r w:rsidRPr="00B7265E">
        <w:rPr>
          <w:noProof/>
        </w:rPr>
        <w:fldChar w:fldCharType="begin"/>
      </w:r>
      <w:r w:rsidRPr="00B7265E">
        <w:rPr>
          <w:noProof/>
        </w:rPr>
        <w:instrText xml:space="preserve"> PAGEREF _Toc50362444 \h </w:instrText>
      </w:r>
      <w:r w:rsidRPr="00B7265E">
        <w:rPr>
          <w:noProof/>
        </w:rPr>
      </w:r>
      <w:r w:rsidRPr="00B7265E">
        <w:rPr>
          <w:noProof/>
        </w:rPr>
        <w:fldChar w:fldCharType="separate"/>
      </w:r>
      <w:r w:rsidR="006C7529">
        <w:rPr>
          <w:noProof/>
        </w:rPr>
        <w:t>1</w:t>
      </w:r>
      <w:r w:rsidRPr="00B7265E">
        <w:rPr>
          <w:noProof/>
        </w:rPr>
        <w:fldChar w:fldCharType="end"/>
      </w:r>
    </w:p>
    <w:p w:rsidR="00B7265E" w:rsidRDefault="00B726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7265E">
        <w:rPr>
          <w:noProof/>
        </w:rPr>
        <w:tab/>
      </w:r>
      <w:r w:rsidRPr="00B7265E">
        <w:rPr>
          <w:noProof/>
        </w:rPr>
        <w:fldChar w:fldCharType="begin"/>
      </w:r>
      <w:r w:rsidRPr="00B7265E">
        <w:rPr>
          <w:noProof/>
        </w:rPr>
        <w:instrText xml:space="preserve"> PAGEREF _Toc50362445 \h </w:instrText>
      </w:r>
      <w:r w:rsidRPr="00B7265E">
        <w:rPr>
          <w:noProof/>
        </w:rPr>
      </w:r>
      <w:r w:rsidRPr="00B7265E">
        <w:rPr>
          <w:noProof/>
        </w:rPr>
        <w:fldChar w:fldCharType="separate"/>
      </w:r>
      <w:r w:rsidR="006C7529">
        <w:rPr>
          <w:noProof/>
        </w:rPr>
        <w:t>1</w:t>
      </w:r>
      <w:r w:rsidRPr="00B7265E">
        <w:rPr>
          <w:noProof/>
        </w:rPr>
        <w:fldChar w:fldCharType="end"/>
      </w:r>
    </w:p>
    <w:p w:rsidR="00B7265E" w:rsidRDefault="00B726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7265E">
        <w:rPr>
          <w:noProof/>
        </w:rPr>
        <w:tab/>
      </w:r>
      <w:r w:rsidRPr="00B7265E">
        <w:rPr>
          <w:noProof/>
        </w:rPr>
        <w:fldChar w:fldCharType="begin"/>
      </w:r>
      <w:r w:rsidRPr="00B7265E">
        <w:rPr>
          <w:noProof/>
        </w:rPr>
        <w:instrText xml:space="preserve"> PAGEREF _Toc50362446 \h </w:instrText>
      </w:r>
      <w:r w:rsidRPr="00B7265E">
        <w:rPr>
          <w:noProof/>
        </w:rPr>
      </w:r>
      <w:r w:rsidRPr="00B7265E">
        <w:rPr>
          <w:noProof/>
        </w:rPr>
        <w:fldChar w:fldCharType="separate"/>
      </w:r>
      <w:r w:rsidR="006C7529">
        <w:rPr>
          <w:noProof/>
        </w:rPr>
        <w:t>1</w:t>
      </w:r>
      <w:r w:rsidRPr="00B7265E">
        <w:rPr>
          <w:noProof/>
        </w:rPr>
        <w:fldChar w:fldCharType="end"/>
      </w:r>
    </w:p>
    <w:p w:rsidR="00B7265E" w:rsidRDefault="00B726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B7265E">
        <w:rPr>
          <w:noProof/>
        </w:rPr>
        <w:tab/>
      </w:r>
      <w:r w:rsidRPr="00B7265E">
        <w:rPr>
          <w:noProof/>
        </w:rPr>
        <w:fldChar w:fldCharType="begin"/>
      </w:r>
      <w:r w:rsidRPr="00B7265E">
        <w:rPr>
          <w:noProof/>
        </w:rPr>
        <w:instrText xml:space="preserve"> PAGEREF _Toc50362447 \h </w:instrText>
      </w:r>
      <w:r w:rsidRPr="00B7265E">
        <w:rPr>
          <w:noProof/>
        </w:rPr>
      </w:r>
      <w:r w:rsidRPr="00B7265E">
        <w:rPr>
          <w:noProof/>
        </w:rPr>
        <w:fldChar w:fldCharType="separate"/>
      </w:r>
      <w:r w:rsidR="006C7529">
        <w:rPr>
          <w:noProof/>
        </w:rPr>
        <w:t>1</w:t>
      </w:r>
      <w:r w:rsidRPr="00B7265E">
        <w:rPr>
          <w:noProof/>
        </w:rPr>
        <w:fldChar w:fldCharType="end"/>
      </w:r>
    </w:p>
    <w:p w:rsidR="00B7265E" w:rsidRDefault="00B7265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7265E">
        <w:rPr>
          <w:b w:val="0"/>
          <w:noProof/>
          <w:sz w:val="18"/>
        </w:rPr>
        <w:tab/>
      </w:r>
      <w:r w:rsidRPr="00B7265E">
        <w:rPr>
          <w:b w:val="0"/>
          <w:noProof/>
          <w:sz w:val="18"/>
        </w:rPr>
        <w:fldChar w:fldCharType="begin"/>
      </w:r>
      <w:r w:rsidRPr="00B7265E">
        <w:rPr>
          <w:b w:val="0"/>
          <w:noProof/>
          <w:sz w:val="18"/>
        </w:rPr>
        <w:instrText xml:space="preserve"> PAGEREF _Toc50362448 \h </w:instrText>
      </w:r>
      <w:r w:rsidRPr="00B7265E">
        <w:rPr>
          <w:b w:val="0"/>
          <w:noProof/>
          <w:sz w:val="18"/>
        </w:rPr>
      </w:r>
      <w:r w:rsidRPr="00B7265E">
        <w:rPr>
          <w:b w:val="0"/>
          <w:noProof/>
          <w:sz w:val="18"/>
        </w:rPr>
        <w:fldChar w:fldCharType="separate"/>
      </w:r>
      <w:r w:rsidR="006C7529">
        <w:rPr>
          <w:b w:val="0"/>
          <w:noProof/>
          <w:sz w:val="18"/>
        </w:rPr>
        <w:t>2</w:t>
      </w:r>
      <w:r w:rsidRPr="00B7265E">
        <w:rPr>
          <w:b w:val="0"/>
          <w:noProof/>
          <w:sz w:val="18"/>
        </w:rPr>
        <w:fldChar w:fldCharType="end"/>
      </w:r>
    </w:p>
    <w:p w:rsidR="00B7265E" w:rsidRDefault="00B726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Consumer Credit Protection Regulations 2010</w:t>
      </w:r>
      <w:r w:rsidRPr="00B7265E">
        <w:rPr>
          <w:i w:val="0"/>
          <w:noProof/>
          <w:sz w:val="18"/>
        </w:rPr>
        <w:tab/>
      </w:r>
      <w:r w:rsidRPr="00B7265E">
        <w:rPr>
          <w:i w:val="0"/>
          <w:noProof/>
          <w:sz w:val="18"/>
        </w:rPr>
        <w:fldChar w:fldCharType="begin"/>
      </w:r>
      <w:r w:rsidRPr="00B7265E">
        <w:rPr>
          <w:i w:val="0"/>
          <w:noProof/>
          <w:sz w:val="18"/>
        </w:rPr>
        <w:instrText xml:space="preserve"> PAGEREF _Toc50362449 \h </w:instrText>
      </w:r>
      <w:r w:rsidRPr="00B7265E">
        <w:rPr>
          <w:i w:val="0"/>
          <w:noProof/>
          <w:sz w:val="18"/>
        </w:rPr>
      </w:r>
      <w:r w:rsidRPr="00B7265E">
        <w:rPr>
          <w:i w:val="0"/>
          <w:noProof/>
          <w:sz w:val="18"/>
        </w:rPr>
        <w:fldChar w:fldCharType="separate"/>
      </w:r>
      <w:r w:rsidR="006C7529">
        <w:rPr>
          <w:i w:val="0"/>
          <w:noProof/>
          <w:sz w:val="18"/>
        </w:rPr>
        <w:t>2</w:t>
      </w:r>
      <w:r w:rsidRPr="00B7265E">
        <w:rPr>
          <w:i w:val="0"/>
          <w:noProof/>
          <w:sz w:val="18"/>
        </w:rPr>
        <w:fldChar w:fldCharType="end"/>
      </w:r>
    </w:p>
    <w:p w:rsidR="0048364F" w:rsidRPr="00D66680" w:rsidRDefault="00B7265E" w:rsidP="0048364F">
      <w:r>
        <w:fldChar w:fldCharType="end"/>
      </w:r>
    </w:p>
    <w:p w:rsidR="0048364F" w:rsidRPr="00D66680" w:rsidRDefault="0048364F" w:rsidP="0048364F">
      <w:pPr>
        <w:sectPr w:rsidR="0048364F" w:rsidRPr="00D66680" w:rsidSect="00FE3AB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66680" w:rsidRDefault="0048364F" w:rsidP="0048364F">
      <w:pPr>
        <w:pStyle w:val="ActHead5"/>
      </w:pPr>
      <w:bookmarkStart w:id="2" w:name="_Toc50362444"/>
      <w:r w:rsidRPr="00BE59F0">
        <w:rPr>
          <w:rStyle w:val="CharSectno"/>
        </w:rPr>
        <w:lastRenderedPageBreak/>
        <w:t>1</w:t>
      </w:r>
      <w:r w:rsidRPr="00D66680">
        <w:t xml:space="preserve">  </w:t>
      </w:r>
      <w:r w:rsidR="004F676E" w:rsidRPr="00D66680">
        <w:t>Name</w:t>
      </w:r>
      <w:bookmarkEnd w:id="2"/>
    </w:p>
    <w:p w:rsidR="0048364F" w:rsidRPr="00D66680" w:rsidRDefault="0048364F" w:rsidP="0048364F">
      <w:pPr>
        <w:pStyle w:val="subsection"/>
      </w:pPr>
      <w:r w:rsidRPr="00D66680">
        <w:tab/>
      </w:r>
      <w:r w:rsidRPr="00D66680">
        <w:tab/>
      </w:r>
      <w:r w:rsidR="00446CDC" w:rsidRPr="00D66680">
        <w:t>This instrument is</w:t>
      </w:r>
      <w:r w:rsidRPr="00D66680">
        <w:t xml:space="preserve"> the </w:t>
      </w:r>
      <w:bookmarkStart w:id="3" w:name="BKCheck15B_3"/>
      <w:bookmarkEnd w:id="3"/>
      <w:r w:rsidR="00414ADE" w:rsidRPr="00D66680">
        <w:rPr>
          <w:i/>
        </w:rPr>
        <w:fldChar w:fldCharType="begin"/>
      </w:r>
      <w:r w:rsidR="00414ADE" w:rsidRPr="00D66680">
        <w:rPr>
          <w:i/>
        </w:rPr>
        <w:instrText xml:space="preserve"> STYLEREF  ShortT </w:instrText>
      </w:r>
      <w:r w:rsidR="00414ADE" w:rsidRPr="00D66680">
        <w:rPr>
          <w:i/>
        </w:rPr>
        <w:fldChar w:fldCharType="separate"/>
      </w:r>
      <w:r w:rsidR="006C7529">
        <w:rPr>
          <w:i/>
          <w:noProof/>
        </w:rPr>
        <w:t>National Consumer Credit Protection Amendment (Responsible Lending Obligations) Regulations 2020</w:t>
      </w:r>
      <w:r w:rsidR="00414ADE" w:rsidRPr="00D66680">
        <w:rPr>
          <w:i/>
        </w:rPr>
        <w:fldChar w:fldCharType="end"/>
      </w:r>
      <w:r w:rsidRPr="00D66680">
        <w:t>.</w:t>
      </w:r>
    </w:p>
    <w:p w:rsidR="004F676E" w:rsidRPr="00D66680" w:rsidRDefault="0048364F" w:rsidP="005452CC">
      <w:pPr>
        <w:pStyle w:val="ActHead5"/>
      </w:pPr>
      <w:bookmarkStart w:id="4" w:name="_Toc50362445"/>
      <w:r w:rsidRPr="00BE59F0">
        <w:rPr>
          <w:rStyle w:val="CharSectno"/>
        </w:rPr>
        <w:t>2</w:t>
      </w:r>
      <w:r w:rsidRPr="00D66680">
        <w:t xml:space="preserve">  Commencement</w:t>
      </w:r>
      <w:bookmarkEnd w:id="4"/>
    </w:p>
    <w:p w:rsidR="005452CC" w:rsidRPr="00D66680" w:rsidRDefault="005452CC" w:rsidP="00593449">
      <w:pPr>
        <w:pStyle w:val="subsection"/>
      </w:pPr>
      <w:bookmarkStart w:id="5" w:name="_GoBack"/>
      <w:r w:rsidRPr="00D66680">
        <w:tab/>
        <w:t>(1)</w:t>
      </w:r>
      <w:r w:rsidRPr="00D66680">
        <w:tab/>
        <w:t xml:space="preserve">Each provision of </w:t>
      </w:r>
      <w:r w:rsidR="00446CDC" w:rsidRPr="00D66680">
        <w:t>this instrument</w:t>
      </w:r>
      <w:r w:rsidRPr="00D66680">
        <w:t xml:space="preserve"> specified in column 1 of the table commences, or is taken to have commenced, in accordance with column 2 of the table. Any other statement in column 2 has effect according to its terms.</w:t>
      </w:r>
      <w:bookmarkEnd w:id="5"/>
    </w:p>
    <w:p w:rsidR="005452CC" w:rsidRPr="00D66680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66680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66680" w:rsidRDefault="005452CC" w:rsidP="00612709">
            <w:pPr>
              <w:pStyle w:val="TableHeading"/>
            </w:pPr>
            <w:r w:rsidRPr="00D66680">
              <w:t>Commencement information</w:t>
            </w:r>
          </w:p>
        </w:tc>
      </w:tr>
      <w:tr w:rsidR="005452CC" w:rsidRPr="00D66680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66680" w:rsidRDefault="005452CC" w:rsidP="00612709">
            <w:pPr>
              <w:pStyle w:val="TableHeading"/>
            </w:pPr>
            <w:r w:rsidRPr="00D6668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66680" w:rsidRDefault="005452CC" w:rsidP="00612709">
            <w:pPr>
              <w:pStyle w:val="TableHeading"/>
            </w:pPr>
            <w:r w:rsidRPr="00D6668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66680" w:rsidRDefault="005452CC" w:rsidP="00612709">
            <w:pPr>
              <w:pStyle w:val="TableHeading"/>
            </w:pPr>
            <w:r w:rsidRPr="00D66680">
              <w:t>Column 3</w:t>
            </w:r>
          </w:p>
        </w:tc>
      </w:tr>
      <w:tr w:rsidR="005452CC" w:rsidRPr="00D66680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66680" w:rsidRDefault="005452CC" w:rsidP="00612709">
            <w:pPr>
              <w:pStyle w:val="TableHeading"/>
            </w:pPr>
            <w:r w:rsidRPr="00D6668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66680" w:rsidRDefault="005452CC" w:rsidP="00612709">
            <w:pPr>
              <w:pStyle w:val="TableHeading"/>
            </w:pPr>
            <w:r w:rsidRPr="00D6668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66680" w:rsidRDefault="005452CC" w:rsidP="00612709">
            <w:pPr>
              <w:pStyle w:val="TableHeading"/>
            </w:pPr>
            <w:r w:rsidRPr="00D66680">
              <w:t>Date/Details</w:t>
            </w:r>
          </w:p>
        </w:tc>
      </w:tr>
      <w:tr w:rsidR="005452CC" w:rsidRPr="00D66680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66680" w:rsidRDefault="005452CC" w:rsidP="00AD7252">
            <w:pPr>
              <w:pStyle w:val="Tabletext"/>
            </w:pPr>
            <w:r w:rsidRPr="00D66680">
              <w:t xml:space="preserve">1.  </w:t>
            </w:r>
            <w:r w:rsidR="00AD7252" w:rsidRPr="00D66680">
              <w:t xml:space="preserve">The whole of </w:t>
            </w:r>
            <w:r w:rsidR="00446CDC" w:rsidRPr="00D6668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66680" w:rsidRDefault="00E96469" w:rsidP="005452CC">
            <w:pPr>
              <w:pStyle w:val="Tabletext"/>
            </w:pPr>
            <w:r w:rsidRPr="00D66680">
              <w:t>3 October</w:t>
            </w:r>
            <w:r w:rsidR="00815C5D" w:rsidRPr="00D66680">
              <w:t xml:space="preserve"> 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D66680" w:rsidRDefault="00E96469">
            <w:pPr>
              <w:pStyle w:val="Tabletext"/>
            </w:pPr>
            <w:r w:rsidRPr="00D66680">
              <w:t>3 October</w:t>
            </w:r>
            <w:r w:rsidR="00815C5D" w:rsidRPr="00D66680">
              <w:t xml:space="preserve"> 2020</w:t>
            </w:r>
          </w:p>
        </w:tc>
      </w:tr>
    </w:tbl>
    <w:p w:rsidR="005452CC" w:rsidRPr="00D66680" w:rsidRDefault="005452CC" w:rsidP="00D21F74">
      <w:pPr>
        <w:pStyle w:val="notetext"/>
      </w:pPr>
      <w:r w:rsidRPr="00D66680">
        <w:rPr>
          <w:snapToGrid w:val="0"/>
          <w:lang w:eastAsia="en-US"/>
        </w:rPr>
        <w:t>Note:</w:t>
      </w:r>
      <w:r w:rsidRPr="00D66680">
        <w:rPr>
          <w:snapToGrid w:val="0"/>
          <w:lang w:eastAsia="en-US"/>
        </w:rPr>
        <w:tab/>
        <w:t xml:space="preserve">This table relates only to the provisions of </w:t>
      </w:r>
      <w:r w:rsidR="00446CDC" w:rsidRPr="00D66680">
        <w:rPr>
          <w:snapToGrid w:val="0"/>
          <w:lang w:eastAsia="en-US"/>
        </w:rPr>
        <w:t>this instrument</w:t>
      </w:r>
      <w:r w:rsidRPr="00D66680">
        <w:t xml:space="preserve"> </w:t>
      </w:r>
      <w:r w:rsidRPr="00D66680">
        <w:rPr>
          <w:snapToGrid w:val="0"/>
          <w:lang w:eastAsia="en-US"/>
        </w:rPr>
        <w:t xml:space="preserve">as originally made. It will not be amended to deal with any later amendments of </w:t>
      </w:r>
      <w:r w:rsidR="00446CDC" w:rsidRPr="00D66680">
        <w:rPr>
          <w:snapToGrid w:val="0"/>
          <w:lang w:eastAsia="en-US"/>
        </w:rPr>
        <w:t>this instrument</w:t>
      </w:r>
      <w:r w:rsidRPr="00D66680">
        <w:rPr>
          <w:snapToGrid w:val="0"/>
          <w:lang w:eastAsia="en-US"/>
        </w:rPr>
        <w:t>.</w:t>
      </w:r>
    </w:p>
    <w:p w:rsidR="005452CC" w:rsidRPr="00D66680" w:rsidRDefault="005452CC" w:rsidP="004F676E">
      <w:pPr>
        <w:pStyle w:val="subsection"/>
      </w:pPr>
      <w:r w:rsidRPr="00D66680">
        <w:tab/>
        <w:t>(2)</w:t>
      </w:r>
      <w:r w:rsidRPr="00D66680">
        <w:tab/>
        <w:t xml:space="preserve">Any information in column 3 of the table is not part of </w:t>
      </w:r>
      <w:r w:rsidR="00446CDC" w:rsidRPr="00D66680">
        <w:t>this instrument</w:t>
      </w:r>
      <w:r w:rsidRPr="00D66680">
        <w:t xml:space="preserve">. Information may be inserted in this column, or information in it may be edited, in any published version of </w:t>
      </w:r>
      <w:r w:rsidR="00446CDC" w:rsidRPr="00D66680">
        <w:t>this instrument</w:t>
      </w:r>
      <w:r w:rsidRPr="00D66680">
        <w:t>.</w:t>
      </w:r>
    </w:p>
    <w:p w:rsidR="00BF6650" w:rsidRPr="00D66680" w:rsidRDefault="00BF6650" w:rsidP="00BF6650">
      <w:pPr>
        <w:pStyle w:val="ActHead5"/>
      </w:pPr>
      <w:bookmarkStart w:id="6" w:name="_Toc50362446"/>
      <w:r w:rsidRPr="00BE59F0">
        <w:rPr>
          <w:rStyle w:val="CharSectno"/>
        </w:rPr>
        <w:t>3</w:t>
      </w:r>
      <w:r w:rsidRPr="00D66680">
        <w:t xml:space="preserve">  Authority</w:t>
      </w:r>
      <w:bookmarkEnd w:id="6"/>
    </w:p>
    <w:p w:rsidR="00BF6650" w:rsidRPr="00D66680" w:rsidRDefault="00BF6650" w:rsidP="00BF6650">
      <w:pPr>
        <w:pStyle w:val="subsection"/>
      </w:pPr>
      <w:r w:rsidRPr="00D66680">
        <w:tab/>
      </w:r>
      <w:r w:rsidRPr="00D66680">
        <w:tab/>
      </w:r>
      <w:r w:rsidR="00446CDC" w:rsidRPr="00D66680">
        <w:t>This instrument is</w:t>
      </w:r>
      <w:r w:rsidRPr="00D66680">
        <w:t xml:space="preserve"> made under the </w:t>
      </w:r>
      <w:r w:rsidR="00446CDC" w:rsidRPr="00D66680">
        <w:rPr>
          <w:i/>
        </w:rPr>
        <w:t>National Consumer Credit Protection Act 2009</w:t>
      </w:r>
      <w:r w:rsidR="00546FA3" w:rsidRPr="00D66680">
        <w:rPr>
          <w:i/>
        </w:rPr>
        <w:t>.</w:t>
      </w:r>
    </w:p>
    <w:p w:rsidR="00557C7A" w:rsidRPr="00D66680" w:rsidRDefault="00BF6650" w:rsidP="00557C7A">
      <w:pPr>
        <w:pStyle w:val="ActHead5"/>
      </w:pPr>
      <w:bookmarkStart w:id="7" w:name="_Toc50362447"/>
      <w:r w:rsidRPr="00BE59F0">
        <w:rPr>
          <w:rStyle w:val="CharSectno"/>
        </w:rPr>
        <w:t>4</w:t>
      </w:r>
      <w:r w:rsidR="00557C7A" w:rsidRPr="00D66680">
        <w:t xml:space="preserve">  </w:t>
      </w:r>
      <w:r w:rsidR="00083F48" w:rsidRPr="00D66680">
        <w:t>Schedules</w:t>
      </w:r>
      <w:bookmarkEnd w:id="7"/>
    </w:p>
    <w:p w:rsidR="00557C7A" w:rsidRPr="00D66680" w:rsidRDefault="00557C7A" w:rsidP="00557C7A">
      <w:pPr>
        <w:pStyle w:val="subsection"/>
      </w:pPr>
      <w:r w:rsidRPr="00D66680">
        <w:tab/>
      </w:r>
      <w:r w:rsidRPr="00D66680">
        <w:tab/>
      </w:r>
      <w:r w:rsidR="00083F48" w:rsidRPr="00D66680">
        <w:t xml:space="preserve">Each </w:t>
      </w:r>
      <w:r w:rsidR="00160BD7" w:rsidRPr="00D66680">
        <w:t>instrument</w:t>
      </w:r>
      <w:r w:rsidR="00083F48" w:rsidRPr="00D66680">
        <w:t xml:space="preserve"> that is specified in a Schedule to </w:t>
      </w:r>
      <w:r w:rsidR="00446CDC" w:rsidRPr="00D66680">
        <w:t>this instrument</w:t>
      </w:r>
      <w:r w:rsidR="00083F48" w:rsidRPr="00D66680">
        <w:t xml:space="preserve"> is amended or repealed as set out in the applicable items in the Schedule concerned, and any other item in a Schedule to </w:t>
      </w:r>
      <w:r w:rsidR="00446CDC" w:rsidRPr="00D66680">
        <w:t>this instrument</w:t>
      </w:r>
      <w:r w:rsidR="00083F48" w:rsidRPr="00D66680">
        <w:t xml:space="preserve"> has effect according to its terms.</w:t>
      </w:r>
    </w:p>
    <w:p w:rsidR="0048364F" w:rsidRPr="00D66680" w:rsidRDefault="0048364F" w:rsidP="009C5989">
      <w:pPr>
        <w:pStyle w:val="ActHead6"/>
        <w:pageBreakBefore/>
      </w:pPr>
      <w:bookmarkStart w:id="8" w:name="_Toc50362448"/>
      <w:bookmarkStart w:id="9" w:name="opcAmSched"/>
      <w:bookmarkStart w:id="10" w:name="opcCurrentFind"/>
      <w:r w:rsidRPr="00BE59F0">
        <w:rPr>
          <w:rStyle w:val="CharAmSchNo"/>
        </w:rPr>
        <w:t>Schedule 1</w:t>
      </w:r>
      <w:r w:rsidRPr="00D66680">
        <w:t>—</w:t>
      </w:r>
      <w:r w:rsidR="00460499" w:rsidRPr="00BE59F0">
        <w:rPr>
          <w:rStyle w:val="CharAmSchText"/>
        </w:rPr>
        <w:t>Amendments</w:t>
      </w:r>
      <w:bookmarkEnd w:id="8"/>
    </w:p>
    <w:bookmarkEnd w:id="9"/>
    <w:bookmarkEnd w:id="10"/>
    <w:p w:rsidR="00446CDC" w:rsidRPr="00BE59F0" w:rsidRDefault="00446CDC" w:rsidP="00446CDC">
      <w:pPr>
        <w:pStyle w:val="Header"/>
      </w:pPr>
      <w:r w:rsidRPr="00BE59F0">
        <w:rPr>
          <w:rStyle w:val="CharAmPartNo"/>
        </w:rPr>
        <w:t xml:space="preserve"> </w:t>
      </w:r>
      <w:r w:rsidRPr="00BE59F0">
        <w:rPr>
          <w:rStyle w:val="CharAmPartText"/>
        </w:rPr>
        <w:t xml:space="preserve"> </w:t>
      </w:r>
    </w:p>
    <w:p w:rsidR="00446CDC" w:rsidRPr="00D66680" w:rsidRDefault="00446CDC" w:rsidP="00446CDC">
      <w:pPr>
        <w:pStyle w:val="ActHead9"/>
      </w:pPr>
      <w:bookmarkStart w:id="11" w:name="_Toc50362449"/>
      <w:r w:rsidRPr="00D66680">
        <w:t xml:space="preserve">National Consumer Credit Protection </w:t>
      </w:r>
      <w:r w:rsidR="00B7265E">
        <w:t>Regulations 2</w:t>
      </w:r>
      <w:r w:rsidRPr="00D66680">
        <w:t>010</w:t>
      </w:r>
      <w:bookmarkEnd w:id="11"/>
    </w:p>
    <w:p w:rsidR="00446CDC" w:rsidRPr="00D66680" w:rsidRDefault="00446CDC" w:rsidP="00446CDC">
      <w:pPr>
        <w:pStyle w:val="ItemHead"/>
      </w:pPr>
      <w:r w:rsidRPr="00D66680">
        <w:t xml:space="preserve">1  </w:t>
      </w:r>
      <w:r w:rsidR="0037547F" w:rsidRPr="00D66680">
        <w:t>Regulation</w:t>
      </w:r>
      <w:r w:rsidR="00E96469" w:rsidRPr="00D66680">
        <w:t> 2</w:t>
      </w:r>
      <w:r w:rsidR="00EE4DAE" w:rsidRPr="00D66680">
        <w:t>8RA</w:t>
      </w:r>
    </w:p>
    <w:p w:rsidR="00446CDC" w:rsidRPr="00D66680" w:rsidRDefault="00EE4DAE" w:rsidP="00446CDC">
      <w:pPr>
        <w:pStyle w:val="Item"/>
      </w:pPr>
      <w:r w:rsidRPr="00D66680">
        <w:t xml:space="preserve">Repeal the </w:t>
      </w:r>
      <w:r w:rsidR="0037547F" w:rsidRPr="00D66680">
        <w:t>regulation</w:t>
      </w:r>
      <w:r w:rsidRPr="00D66680">
        <w:t>, substitute</w:t>
      </w:r>
      <w:r w:rsidR="00446CDC" w:rsidRPr="00D66680">
        <w:t>:</w:t>
      </w:r>
    </w:p>
    <w:p w:rsidR="00446CDC" w:rsidRPr="00D66680" w:rsidRDefault="00EE4DAE" w:rsidP="00446CDC">
      <w:pPr>
        <w:pStyle w:val="ActHead5"/>
      </w:pPr>
      <w:bookmarkStart w:id="12" w:name="_Toc50362450"/>
      <w:r w:rsidRPr="00BE59F0">
        <w:rPr>
          <w:rStyle w:val="CharSectno"/>
        </w:rPr>
        <w:t>28R</w:t>
      </w:r>
      <w:r w:rsidR="008150E2" w:rsidRPr="00BE59F0">
        <w:rPr>
          <w:rStyle w:val="CharSectno"/>
        </w:rPr>
        <w:t>B</w:t>
      </w:r>
      <w:r w:rsidR="00446CDC" w:rsidRPr="00D66680">
        <w:t xml:space="preserve">  </w:t>
      </w:r>
      <w:r w:rsidR="00E822FB" w:rsidRPr="00D66680">
        <w:t>E</w:t>
      </w:r>
      <w:r w:rsidR="00446CDC" w:rsidRPr="00D66680">
        <w:t xml:space="preserve">xemption relating to the </w:t>
      </w:r>
      <w:r w:rsidR="00446CDC" w:rsidRPr="00D66680">
        <w:rPr>
          <w:noProof/>
        </w:rPr>
        <w:t>coronavirus economic response</w:t>
      </w:r>
      <w:bookmarkEnd w:id="12"/>
    </w:p>
    <w:p w:rsidR="00446CDC" w:rsidRPr="00D66680" w:rsidRDefault="00446CDC" w:rsidP="00446CDC">
      <w:pPr>
        <w:pStyle w:val="SubsectionHead"/>
      </w:pPr>
      <w:r w:rsidRPr="00D66680">
        <w:t>Licensees providing credit assistance in relation to applications for credit contracts, or increases to credit limits</w:t>
      </w:r>
    </w:p>
    <w:p w:rsidR="00446CDC" w:rsidRPr="00D66680" w:rsidRDefault="00446CDC" w:rsidP="00446CDC">
      <w:pPr>
        <w:pStyle w:val="subsection"/>
      </w:pPr>
      <w:r w:rsidRPr="00D66680">
        <w:tab/>
        <w:t>(1)</w:t>
      </w:r>
      <w:r w:rsidRPr="00D66680">
        <w:tab/>
        <w:t>For the purposes of paragraph 164(a) of the Act, a person that is a licensee is exempted from Divisions 4 and 6 of Part 3</w:t>
      </w:r>
      <w:r w:rsidR="00B7265E">
        <w:noBreakHyphen/>
      </w:r>
      <w:r w:rsidRPr="00D66680">
        <w:t>1 of the Act (other than subsection 115(2) and sections 119 and 124 of the Act) in relation to conduct engaged in by the person on a day in relation to a consumer if:</w:t>
      </w:r>
    </w:p>
    <w:p w:rsidR="00446CDC" w:rsidRPr="00D66680" w:rsidRDefault="00446CDC" w:rsidP="00446CDC">
      <w:pPr>
        <w:pStyle w:val="paragraph"/>
      </w:pPr>
      <w:r w:rsidRPr="00D66680">
        <w:tab/>
        <w:t>(a)</w:t>
      </w:r>
      <w:r w:rsidRPr="00D66680">
        <w:tab/>
        <w:t xml:space="preserve">the day occurs in the </w:t>
      </w:r>
      <w:r w:rsidRPr="00D66680">
        <w:rPr>
          <w:noProof/>
        </w:rPr>
        <w:t>exemption</w:t>
      </w:r>
      <w:r w:rsidRPr="00D66680">
        <w:t xml:space="preserve"> period (see subregulation (7)); and</w:t>
      </w:r>
    </w:p>
    <w:p w:rsidR="00446CDC" w:rsidRPr="00D66680" w:rsidRDefault="00446CDC" w:rsidP="00446CDC">
      <w:pPr>
        <w:pStyle w:val="paragraph"/>
      </w:pPr>
      <w:r w:rsidRPr="00D66680">
        <w:tab/>
        <w:t>(b)</w:t>
      </w:r>
      <w:r w:rsidRPr="00D66680">
        <w:tab/>
        <w:t>the conduct consists of providing credit assistance to the consumer in relation to an application by the consumer to:</w:t>
      </w:r>
    </w:p>
    <w:p w:rsidR="00446CDC" w:rsidRPr="00D66680" w:rsidRDefault="00446CDC" w:rsidP="00446CDC">
      <w:pPr>
        <w:pStyle w:val="paragraphsub"/>
      </w:pPr>
      <w:r w:rsidRPr="00D66680">
        <w:tab/>
        <w:t>(i)</w:t>
      </w:r>
      <w:r w:rsidRPr="00D66680">
        <w:tab/>
        <w:t>enter into a credit contract with a credit provider (see paragraphs 115(1)(a) and 123(1)(a) of the Act); or</w:t>
      </w:r>
    </w:p>
    <w:p w:rsidR="00446CDC" w:rsidRPr="00D66680" w:rsidRDefault="00446CDC" w:rsidP="00446CDC">
      <w:pPr>
        <w:pStyle w:val="paragraphsub"/>
      </w:pPr>
      <w:r w:rsidRPr="00D66680">
        <w:tab/>
        <w:t>(ii)</w:t>
      </w:r>
      <w:r w:rsidRPr="00D66680">
        <w:tab/>
        <w:t>increase the credit limit of a credit contract between the consumer and a credit provider (see paragraphs 115(1)(b) and 123(1)(b) of the Act); and</w:t>
      </w:r>
    </w:p>
    <w:p w:rsidR="00446CDC" w:rsidRPr="00D66680" w:rsidRDefault="00446CDC" w:rsidP="00446CDC">
      <w:pPr>
        <w:pStyle w:val="paragraph"/>
      </w:pPr>
      <w:r w:rsidRPr="00D66680">
        <w:tab/>
        <w:t>(c)</w:t>
      </w:r>
      <w:r w:rsidRPr="00D66680">
        <w:tab/>
        <w:t>the credit to be provided, or intended to be provided, under:</w:t>
      </w:r>
    </w:p>
    <w:p w:rsidR="00446CDC" w:rsidRPr="00D66680" w:rsidRDefault="00446CDC" w:rsidP="00446CDC">
      <w:pPr>
        <w:pStyle w:val="paragraphsub"/>
      </w:pPr>
      <w:r w:rsidRPr="00D66680">
        <w:tab/>
        <w:t>(i)</w:t>
      </w:r>
      <w:r w:rsidRPr="00D66680">
        <w:tab/>
        <w:t>the credit contract; or</w:t>
      </w:r>
    </w:p>
    <w:p w:rsidR="00446CDC" w:rsidRPr="00D66680" w:rsidRDefault="00446CDC" w:rsidP="00446CDC">
      <w:pPr>
        <w:pStyle w:val="paragraphsub"/>
      </w:pPr>
      <w:r w:rsidRPr="00D66680">
        <w:tab/>
        <w:t>(ii)</w:t>
      </w:r>
      <w:r w:rsidRPr="00D66680">
        <w:tab/>
        <w:t>the increase to the credit limit of the credit contract;</w:t>
      </w:r>
    </w:p>
    <w:p w:rsidR="00D460AC" w:rsidRPr="00D66680" w:rsidRDefault="00446CDC" w:rsidP="00446CDC">
      <w:pPr>
        <w:pStyle w:val="paragraph"/>
      </w:pPr>
      <w:r w:rsidRPr="00D66680">
        <w:tab/>
      </w:r>
      <w:r w:rsidRPr="00D66680">
        <w:tab/>
        <w:t xml:space="preserve">is </w:t>
      </w:r>
      <w:r w:rsidR="00904D99" w:rsidRPr="00D66680">
        <w:t xml:space="preserve">genuinely </w:t>
      </w:r>
      <w:r w:rsidRPr="00D66680">
        <w:t>for the purposes</w:t>
      </w:r>
      <w:r w:rsidR="00904D99" w:rsidRPr="00D66680">
        <w:t xml:space="preserve"> </w:t>
      </w:r>
      <w:r w:rsidRPr="00D66680">
        <w:t>of a small business operated by the consumer (wh</w:t>
      </w:r>
      <w:r w:rsidR="00EE4DAE" w:rsidRPr="00D66680">
        <w:t>ether alone or with others)</w:t>
      </w:r>
      <w:r w:rsidR="00D460AC" w:rsidRPr="00D66680">
        <w:t>; and</w:t>
      </w:r>
    </w:p>
    <w:p w:rsidR="00C979A4" w:rsidRPr="00D66680" w:rsidRDefault="00D460AC" w:rsidP="00446CDC">
      <w:pPr>
        <w:pStyle w:val="paragraph"/>
      </w:pPr>
      <w:r w:rsidRPr="00D66680">
        <w:tab/>
        <w:t>(d)</w:t>
      </w:r>
      <w:r w:rsidRPr="00D66680">
        <w:tab/>
        <w:t>those purposes are not merely minor or incidental</w:t>
      </w:r>
      <w:r w:rsidR="00D26E46" w:rsidRPr="00D66680">
        <w:t xml:space="preserve"> in relation</w:t>
      </w:r>
      <w:r w:rsidRPr="00D66680">
        <w:t xml:space="preserve"> to</w:t>
      </w:r>
      <w:r w:rsidR="00C979A4" w:rsidRPr="00D66680">
        <w:t>:</w:t>
      </w:r>
    </w:p>
    <w:p w:rsidR="00C979A4" w:rsidRPr="00D66680" w:rsidRDefault="00C979A4" w:rsidP="00C979A4">
      <w:pPr>
        <w:pStyle w:val="paragraphsub"/>
      </w:pPr>
      <w:r w:rsidRPr="00D66680">
        <w:tab/>
        <w:t>(i)</w:t>
      </w:r>
      <w:r w:rsidRPr="00D66680">
        <w:tab/>
        <w:t xml:space="preserve">if </w:t>
      </w:r>
      <w:r w:rsidR="004A7093" w:rsidRPr="00D66680">
        <w:t>subparagraph (</w:t>
      </w:r>
      <w:r w:rsidRPr="00D66680">
        <w:t xml:space="preserve">c)(i) applies—the overall </w:t>
      </w:r>
      <w:r w:rsidR="001B5BF9" w:rsidRPr="00D66680">
        <w:t>purposes of the credit contract; or</w:t>
      </w:r>
    </w:p>
    <w:p w:rsidR="00446CDC" w:rsidRPr="00D66680" w:rsidRDefault="00C979A4" w:rsidP="00C979A4">
      <w:pPr>
        <w:pStyle w:val="paragraphsub"/>
      </w:pPr>
      <w:r w:rsidRPr="00D66680">
        <w:tab/>
        <w:t>(ii)</w:t>
      </w:r>
      <w:r w:rsidRPr="00D66680">
        <w:tab/>
        <w:t xml:space="preserve">if </w:t>
      </w:r>
      <w:r w:rsidR="004A7093" w:rsidRPr="00D66680">
        <w:t>subparagraph (</w:t>
      </w:r>
      <w:r w:rsidRPr="00D66680">
        <w:t>c)(ii) applies—</w:t>
      </w:r>
      <w:r w:rsidR="00D460AC" w:rsidRPr="00D66680">
        <w:t xml:space="preserve">the overall purposes of </w:t>
      </w:r>
      <w:r w:rsidR="00001922" w:rsidRPr="00D66680">
        <w:t xml:space="preserve">the </w:t>
      </w:r>
      <w:r w:rsidRPr="00D66680">
        <w:t>increase mentioned in that subparagraph</w:t>
      </w:r>
      <w:r w:rsidR="00EE4DAE" w:rsidRPr="00D66680">
        <w:t>.</w:t>
      </w:r>
    </w:p>
    <w:p w:rsidR="00446CDC" w:rsidRPr="00D66680" w:rsidRDefault="00446CDC" w:rsidP="00446CDC">
      <w:pPr>
        <w:pStyle w:val="SubsectionHead"/>
      </w:pPr>
      <w:r w:rsidRPr="00D66680">
        <w:t>Licensees providing credit assistance in relation to remaining in credit contracts</w:t>
      </w:r>
    </w:p>
    <w:p w:rsidR="00446CDC" w:rsidRPr="00D66680" w:rsidRDefault="00446CDC" w:rsidP="00446CDC">
      <w:pPr>
        <w:pStyle w:val="subsection"/>
      </w:pPr>
      <w:r w:rsidRPr="00D66680">
        <w:tab/>
        <w:t>(2)</w:t>
      </w:r>
      <w:r w:rsidRPr="00D66680">
        <w:tab/>
        <w:t>For the purposes of paragraph 164(a) of the Act, a person that is a licensee is exempted from subsection 115(2) and sections 119 and 124 of the Act in relation to conduct engaged in by the person on a day in relation to a consumer if:</w:t>
      </w:r>
    </w:p>
    <w:p w:rsidR="00446CDC" w:rsidRPr="00D66680" w:rsidRDefault="00446CDC" w:rsidP="00446CDC">
      <w:pPr>
        <w:pStyle w:val="paragraph"/>
      </w:pPr>
      <w:r w:rsidRPr="00D66680">
        <w:tab/>
        <w:t>(a)</w:t>
      </w:r>
      <w:r w:rsidRPr="00D66680">
        <w:tab/>
        <w:t xml:space="preserve">the day occurs in the </w:t>
      </w:r>
      <w:r w:rsidRPr="00D66680">
        <w:rPr>
          <w:noProof/>
        </w:rPr>
        <w:t>exemption</w:t>
      </w:r>
      <w:r w:rsidRPr="00D66680">
        <w:t xml:space="preserve"> period (see subregulation (7)); and</w:t>
      </w:r>
    </w:p>
    <w:p w:rsidR="00446CDC" w:rsidRPr="00D66680" w:rsidRDefault="00446CDC" w:rsidP="00446CDC">
      <w:pPr>
        <w:pStyle w:val="paragraph"/>
      </w:pPr>
      <w:r w:rsidRPr="00D66680">
        <w:tab/>
        <w:t>(b)</w:t>
      </w:r>
      <w:r w:rsidRPr="00D66680">
        <w:tab/>
        <w:t>the conduct consists of providing credit assistance to the consumer by suggesting that the consumer remain in a credit contract with a credit provider (see subsections 115(2) and 124(1) of the Act); and</w:t>
      </w:r>
    </w:p>
    <w:p w:rsidR="00446CDC" w:rsidRPr="00D66680" w:rsidRDefault="00446CDC" w:rsidP="00446CDC">
      <w:pPr>
        <w:pStyle w:val="paragraph"/>
      </w:pPr>
      <w:r w:rsidRPr="00D66680">
        <w:tab/>
        <w:t>(c)</w:t>
      </w:r>
      <w:r w:rsidRPr="00D66680">
        <w:tab/>
        <w:t>any of the following apply:</w:t>
      </w:r>
    </w:p>
    <w:p w:rsidR="00446CDC" w:rsidRPr="00D66680" w:rsidRDefault="00446CDC" w:rsidP="00446CDC">
      <w:pPr>
        <w:pStyle w:val="paragraphsub"/>
      </w:pPr>
      <w:r w:rsidRPr="00D66680">
        <w:tab/>
        <w:t>(i)</w:t>
      </w:r>
      <w:r w:rsidRPr="00D66680">
        <w:tab/>
        <w:t xml:space="preserve">the credit provided under the credit contract was </w:t>
      </w:r>
      <w:r w:rsidR="00904D99" w:rsidRPr="00D66680">
        <w:t>genuinely for the purposes</w:t>
      </w:r>
      <w:r w:rsidRPr="00D66680">
        <w:t xml:space="preserve"> of a small business operated by the consumer (whether alone or with others);</w:t>
      </w:r>
    </w:p>
    <w:p w:rsidR="00446CDC" w:rsidRPr="00D66680" w:rsidRDefault="00446CDC" w:rsidP="00446CDC">
      <w:pPr>
        <w:pStyle w:val="paragraphsub"/>
      </w:pPr>
      <w:r w:rsidRPr="00D66680">
        <w:tab/>
        <w:t>(ii)</w:t>
      </w:r>
      <w:r w:rsidRPr="00D66680">
        <w:tab/>
        <w:t xml:space="preserve">if the credit limit of the credit contract was increased one or more times—the credit provided under at least one of the increased limits was </w:t>
      </w:r>
      <w:r w:rsidR="00904D99" w:rsidRPr="00D66680">
        <w:t>genuinely for the purposes</w:t>
      </w:r>
      <w:r w:rsidRPr="00D66680">
        <w:t xml:space="preserve"> of a small business operated by the consumer (whether alone or with others);</w:t>
      </w:r>
    </w:p>
    <w:p w:rsidR="00D460AC" w:rsidRPr="00D66680" w:rsidRDefault="00446CDC" w:rsidP="00D460AC">
      <w:pPr>
        <w:pStyle w:val="paragraphsub"/>
      </w:pPr>
      <w:r w:rsidRPr="00D66680">
        <w:tab/>
        <w:t>(iii)</w:t>
      </w:r>
      <w:r w:rsidRPr="00D66680">
        <w:tab/>
        <w:t xml:space="preserve">if any remaining credit is available under the credit contract—the consumer intends for all or part of the remaining credit to be applied </w:t>
      </w:r>
      <w:r w:rsidR="00904D99" w:rsidRPr="00D66680">
        <w:t>genuinely for the purposes</w:t>
      </w:r>
      <w:r w:rsidRPr="00D66680">
        <w:t xml:space="preserve"> of a small business operated by the consumer (whether alone or with others)</w:t>
      </w:r>
      <w:r w:rsidR="00D460AC" w:rsidRPr="00D66680">
        <w:t>; and</w:t>
      </w:r>
    </w:p>
    <w:p w:rsidR="005D2931" w:rsidRPr="00D66680" w:rsidRDefault="005D2931" w:rsidP="005D2931">
      <w:pPr>
        <w:pStyle w:val="paragraph"/>
      </w:pPr>
      <w:r w:rsidRPr="00D66680">
        <w:tab/>
        <w:t>(d)</w:t>
      </w:r>
      <w:r w:rsidRPr="00D66680">
        <w:tab/>
        <w:t>those purposes are not merely minor or incidental in relation to:</w:t>
      </w:r>
    </w:p>
    <w:p w:rsidR="005D2931" w:rsidRPr="00D66680" w:rsidRDefault="005D2931" w:rsidP="005D2931">
      <w:pPr>
        <w:pStyle w:val="paragraphsub"/>
      </w:pPr>
      <w:r w:rsidRPr="00D66680">
        <w:tab/>
        <w:t>(i)</w:t>
      </w:r>
      <w:r w:rsidRPr="00D66680">
        <w:tab/>
        <w:t xml:space="preserve">if </w:t>
      </w:r>
      <w:r w:rsidR="004A7093" w:rsidRPr="00D66680">
        <w:t>subparagraph (</w:t>
      </w:r>
      <w:r w:rsidRPr="00D66680">
        <w:t>c)(i) applies—the overall purposes of the credit contract; or</w:t>
      </w:r>
    </w:p>
    <w:p w:rsidR="005D2931" w:rsidRPr="00D66680" w:rsidRDefault="005D2931" w:rsidP="005D2931">
      <w:pPr>
        <w:pStyle w:val="paragraphsub"/>
      </w:pPr>
      <w:r w:rsidRPr="00D66680">
        <w:tab/>
        <w:t>(ii)</w:t>
      </w:r>
      <w:r w:rsidRPr="00D66680">
        <w:tab/>
        <w:t xml:space="preserve">if </w:t>
      </w:r>
      <w:r w:rsidR="004A7093" w:rsidRPr="00D66680">
        <w:t>subparagraph (</w:t>
      </w:r>
      <w:r w:rsidRPr="00D66680">
        <w:t>c)(ii) applies—the overall purposes of the increase mentioned in that subparagraph; or</w:t>
      </w:r>
    </w:p>
    <w:p w:rsidR="005D2931" w:rsidRPr="00D66680" w:rsidRDefault="005D2931" w:rsidP="005D2931">
      <w:pPr>
        <w:pStyle w:val="paragraphsub"/>
      </w:pPr>
      <w:r w:rsidRPr="00D66680">
        <w:tab/>
        <w:t>(iii)</w:t>
      </w:r>
      <w:r w:rsidRPr="00D66680">
        <w:tab/>
        <w:t xml:space="preserve">if </w:t>
      </w:r>
      <w:r w:rsidR="004A7093" w:rsidRPr="00D66680">
        <w:t>subparagraph (</w:t>
      </w:r>
      <w:r w:rsidRPr="00D66680">
        <w:t>c)(iii) applies—the overall purposes of the remaining credit mentioned in that subparagraph.</w:t>
      </w:r>
    </w:p>
    <w:p w:rsidR="00446CDC" w:rsidRPr="00D66680" w:rsidRDefault="00446CDC" w:rsidP="00446CDC">
      <w:pPr>
        <w:pStyle w:val="SubsectionHead"/>
      </w:pPr>
      <w:r w:rsidRPr="00D66680">
        <w:t>Licensees or exempt special purpose funding entities that are credit providers under credit contracts</w:t>
      </w:r>
    </w:p>
    <w:p w:rsidR="00446CDC" w:rsidRPr="00D66680" w:rsidRDefault="00446CDC" w:rsidP="00446CDC">
      <w:pPr>
        <w:pStyle w:val="subsection"/>
      </w:pPr>
      <w:r w:rsidRPr="00D66680">
        <w:tab/>
        <w:t>(3)</w:t>
      </w:r>
      <w:r w:rsidRPr="00D66680">
        <w:tab/>
        <w:t>For the purposes of paragraph 164(a) of the Act, a person that is a licensee or an exempt special purpose funding entity is exempted from Divisions 3 and 4 of Part 3</w:t>
      </w:r>
      <w:r w:rsidR="00B7265E">
        <w:noBreakHyphen/>
      </w:r>
      <w:r w:rsidRPr="00D66680">
        <w:t>2 of the Act in relation to conduct engaged in by the person on a day in relation to a consumer if:</w:t>
      </w:r>
    </w:p>
    <w:p w:rsidR="00446CDC" w:rsidRPr="00D66680" w:rsidRDefault="00446CDC" w:rsidP="00446CDC">
      <w:pPr>
        <w:pStyle w:val="paragraph"/>
      </w:pPr>
      <w:r w:rsidRPr="00D66680">
        <w:tab/>
        <w:t>(a)</w:t>
      </w:r>
      <w:r w:rsidRPr="00D66680">
        <w:tab/>
        <w:t xml:space="preserve">the day occurs in the </w:t>
      </w:r>
      <w:r w:rsidRPr="00D66680">
        <w:rPr>
          <w:noProof/>
        </w:rPr>
        <w:t>exemption</w:t>
      </w:r>
      <w:r w:rsidRPr="00D66680">
        <w:t xml:space="preserve"> period (see subregulation (7)); and</w:t>
      </w:r>
    </w:p>
    <w:p w:rsidR="00446CDC" w:rsidRPr="00D66680" w:rsidRDefault="00446CDC" w:rsidP="00446CDC">
      <w:pPr>
        <w:pStyle w:val="paragraph"/>
      </w:pPr>
      <w:r w:rsidRPr="00D66680">
        <w:tab/>
        <w:t>(b)</w:t>
      </w:r>
      <w:r w:rsidRPr="00D66680">
        <w:tab/>
        <w:t>the conduct consists of:</w:t>
      </w:r>
    </w:p>
    <w:p w:rsidR="00446CDC" w:rsidRPr="00D66680" w:rsidRDefault="00446CDC" w:rsidP="00446CDC">
      <w:pPr>
        <w:pStyle w:val="paragraphsub"/>
      </w:pPr>
      <w:r w:rsidRPr="00D66680">
        <w:tab/>
        <w:t>(i)</w:t>
      </w:r>
      <w:r w:rsidRPr="00D66680">
        <w:tab/>
        <w:t>entering into a credit contract with the consumer (see paragraphs 128(a) and 133(1)(a) of the Act); or</w:t>
      </w:r>
    </w:p>
    <w:p w:rsidR="00446CDC" w:rsidRPr="00D66680" w:rsidRDefault="00446CDC" w:rsidP="00446CDC">
      <w:pPr>
        <w:pStyle w:val="paragraphsub"/>
      </w:pPr>
      <w:r w:rsidRPr="00D66680">
        <w:tab/>
        <w:t>(ii)</w:t>
      </w:r>
      <w:r w:rsidRPr="00D66680">
        <w:tab/>
        <w:t>making representations to the consumer in relation to entering into a credit contract with the consumer (see paragraph 128(aa) of the Act); or</w:t>
      </w:r>
    </w:p>
    <w:p w:rsidR="00446CDC" w:rsidRPr="00D66680" w:rsidRDefault="00446CDC" w:rsidP="00446CDC">
      <w:pPr>
        <w:pStyle w:val="paragraphsub"/>
      </w:pPr>
      <w:r w:rsidRPr="00D66680">
        <w:tab/>
        <w:t>(iii)</w:t>
      </w:r>
      <w:r w:rsidRPr="00D66680">
        <w:tab/>
        <w:t>increasing the credit limit of a credit contract with the consumer (see paragraphs 128(b) and 133(1)(b) of the Act); or</w:t>
      </w:r>
    </w:p>
    <w:p w:rsidR="00446CDC" w:rsidRPr="00D66680" w:rsidRDefault="00446CDC" w:rsidP="00446CDC">
      <w:pPr>
        <w:pStyle w:val="paragraphsub"/>
      </w:pPr>
      <w:r w:rsidRPr="00D66680">
        <w:tab/>
        <w:t>(iv)</w:t>
      </w:r>
      <w:r w:rsidRPr="00D66680">
        <w:tab/>
        <w:t>making representations to the consumer in relation to increasing the credit limit of a credit contract with the consumer (see paragraph 128(ba) of the Act); and</w:t>
      </w:r>
    </w:p>
    <w:p w:rsidR="00446CDC" w:rsidRPr="00D66680" w:rsidRDefault="00446CDC" w:rsidP="00446CDC">
      <w:pPr>
        <w:pStyle w:val="paragraph"/>
      </w:pPr>
      <w:r w:rsidRPr="00D66680">
        <w:tab/>
        <w:t>(c)</w:t>
      </w:r>
      <w:r w:rsidRPr="00D66680">
        <w:tab/>
        <w:t>the credit to be provided, or intended to be provided, by the person to the consumer under:</w:t>
      </w:r>
    </w:p>
    <w:p w:rsidR="00446CDC" w:rsidRPr="00D66680" w:rsidRDefault="00446CDC" w:rsidP="00446CDC">
      <w:pPr>
        <w:pStyle w:val="paragraphsub"/>
      </w:pPr>
      <w:r w:rsidRPr="00D66680">
        <w:tab/>
        <w:t>(i)</w:t>
      </w:r>
      <w:r w:rsidRPr="00D66680">
        <w:tab/>
        <w:t>the credit contract; or</w:t>
      </w:r>
    </w:p>
    <w:p w:rsidR="00446CDC" w:rsidRPr="00D66680" w:rsidRDefault="00446CDC" w:rsidP="00446CDC">
      <w:pPr>
        <w:pStyle w:val="paragraphsub"/>
      </w:pPr>
      <w:r w:rsidRPr="00D66680">
        <w:tab/>
        <w:t>(ii)</w:t>
      </w:r>
      <w:r w:rsidRPr="00D66680">
        <w:tab/>
        <w:t>the increase to the credit limit of the credit contract;</w:t>
      </w:r>
    </w:p>
    <w:p w:rsidR="00D460AC" w:rsidRPr="00D66680" w:rsidRDefault="00446CDC" w:rsidP="00D460AC">
      <w:pPr>
        <w:pStyle w:val="paragraph"/>
      </w:pPr>
      <w:r w:rsidRPr="00D66680">
        <w:tab/>
      </w:r>
      <w:r w:rsidRPr="00D66680">
        <w:tab/>
        <w:t xml:space="preserve">is </w:t>
      </w:r>
      <w:r w:rsidR="00904D99" w:rsidRPr="00D66680">
        <w:t>genuinely for the purposes</w:t>
      </w:r>
      <w:r w:rsidRPr="00D66680">
        <w:t xml:space="preserve"> of a small business operated by the consumer (whether alone or with others)</w:t>
      </w:r>
      <w:r w:rsidR="00D460AC" w:rsidRPr="00D66680">
        <w:t>; and</w:t>
      </w:r>
    </w:p>
    <w:p w:rsidR="00C979A4" w:rsidRPr="00D66680" w:rsidRDefault="00C979A4" w:rsidP="00C979A4">
      <w:pPr>
        <w:pStyle w:val="paragraph"/>
      </w:pPr>
      <w:r w:rsidRPr="00D66680">
        <w:tab/>
        <w:t>(d)</w:t>
      </w:r>
      <w:r w:rsidRPr="00D66680">
        <w:tab/>
        <w:t>those purposes are not merely minor or incidental in relation to:</w:t>
      </w:r>
    </w:p>
    <w:p w:rsidR="00C979A4" w:rsidRPr="00D66680" w:rsidRDefault="00C979A4" w:rsidP="00C979A4">
      <w:pPr>
        <w:pStyle w:val="paragraphsub"/>
      </w:pPr>
      <w:r w:rsidRPr="00D66680">
        <w:tab/>
        <w:t>(i)</w:t>
      </w:r>
      <w:r w:rsidRPr="00D66680">
        <w:tab/>
        <w:t xml:space="preserve">if </w:t>
      </w:r>
      <w:r w:rsidR="004A7093" w:rsidRPr="00D66680">
        <w:t>subparagraph (</w:t>
      </w:r>
      <w:r w:rsidRPr="00D66680">
        <w:t>c)(i) applies—the overall purposes of the credit contr</w:t>
      </w:r>
      <w:r w:rsidR="001B5BF9" w:rsidRPr="00D66680">
        <w:t>act; or</w:t>
      </w:r>
    </w:p>
    <w:p w:rsidR="00C979A4" w:rsidRPr="00D66680" w:rsidRDefault="00C979A4" w:rsidP="00C979A4">
      <w:pPr>
        <w:pStyle w:val="paragraphsub"/>
      </w:pPr>
      <w:r w:rsidRPr="00D66680">
        <w:tab/>
        <w:t>(ii)</w:t>
      </w:r>
      <w:r w:rsidRPr="00D66680">
        <w:tab/>
        <w:t xml:space="preserve">if </w:t>
      </w:r>
      <w:r w:rsidR="004A7093" w:rsidRPr="00D66680">
        <w:t>subparagraph (</w:t>
      </w:r>
      <w:r w:rsidRPr="00D66680">
        <w:t xml:space="preserve">c)(ii) applies—the overall purposes of </w:t>
      </w:r>
      <w:r w:rsidR="00001922" w:rsidRPr="00D66680">
        <w:t xml:space="preserve">the </w:t>
      </w:r>
      <w:r w:rsidRPr="00D66680">
        <w:t>increase mentioned in that subparagraph.</w:t>
      </w:r>
    </w:p>
    <w:p w:rsidR="00446CDC" w:rsidRPr="00D66680" w:rsidRDefault="00446CDC" w:rsidP="00446CDC">
      <w:pPr>
        <w:pStyle w:val="SubsectionHead"/>
      </w:pPr>
      <w:r w:rsidRPr="00D66680">
        <w:t>Licensees providing credit assistance in relation to applications for consumer leases</w:t>
      </w:r>
    </w:p>
    <w:p w:rsidR="00446CDC" w:rsidRPr="00D66680" w:rsidRDefault="00446CDC" w:rsidP="00446CDC">
      <w:pPr>
        <w:pStyle w:val="subsection"/>
      </w:pPr>
      <w:r w:rsidRPr="00D66680">
        <w:tab/>
        <w:t>(4)</w:t>
      </w:r>
      <w:r w:rsidRPr="00D66680">
        <w:tab/>
        <w:t>For the purposes of paragraph 164(a) of the Act, a person that is a licensee is exempted from Divisions 4 and 6 of Part 3</w:t>
      </w:r>
      <w:r w:rsidR="00B7265E">
        <w:noBreakHyphen/>
      </w:r>
      <w:r w:rsidRPr="00D66680">
        <w:t>3 of the Act (other than subsection 138(2) and sections 142 and 147 of the Act) in relation to conduct engaged in by the person on a day in relation to a consumer if:</w:t>
      </w:r>
    </w:p>
    <w:p w:rsidR="00446CDC" w:rsidRPr="00D66680" w:rsidRDefault="00446CDC" w:rsidP="00446CDC">
      <w:pPr>
        <w:pStyle w:val="paragraph"/>
      </w:pPr>
      <w:r w:rsidRPr="00D66680">
        <w:tab/>
        <w:t>(a)</w:t>
      </w:r>
      <w:r w:rsidRPr="00D66680">
        <w:tab/>
        <w:t xml:space="preserve">the day occurs in the </w:t>
      </w:r>
      <w:r w:rsidRPr="00D66680">
        <w:rPr>
          <w:noProof/>
        </w:rPr>
        <w:t>exemption</w:t>
      </w:r>
      <w:r w:rsidRPr="00D66680">
        <w:t xml:space="preserve"> period (see subregulation (7)); and</w:t>
      </w:r>
    </w:p>
    <w:p w:rsidR="00446CDC" w:rsidRPr="00D66680" w:rsidRDefault="00446CDC" w:rsidP="00446CDC">
      <w:pPr>
        <w:pStyle w:val="paragraph"/>
      </w:pPr>
      <w:r w:rsidRPr="00D66680">
        <w:tab/>
        <w:t>(b)</w:t>
      </w:r>
      <w:r w:rsidRPr="00D66680">
        <w:tab/>
        <w:t>the conduct consists of providing credit assistance to the consumer in relation to an application by the consumer to enter into a consumer lease with a lessor (see subsections 138(1) and 146(1) of the Act); and</w:t>
      </w:r>
    </w:p>
    <w:p w:rsidR="00D460AC" w:rsidRPr="00D66680" w:rsidRDefault="00446CDC" w:rsidP="00D460AC">
      <w:pPr>
        <w:pStyle w:val="paragraph"/>
      </w:pPr>
      <w:r w:rsidRPr="00D66680">
        <w:tab/>
        <w:t>(c)</w:t>
      </w:r>
      <w:r w:rsidRPr="00D66680">
        <w:tab/>
        <w:t xml:space="preserve">the goods to be hired under the consumer lease are </w:t>
      </w:r>
      <w:r w:rsidR="00904D99" w:rsidRPr="00D66680">
        <w:t>genuinely for the purposes</w:t>
      </w:r>
      <w:r w:rsidRPr="00D66680">
        <w:t xml:space="preserve"> of a small business operated by the consumer (whether alone or with others)</w:t>
      </w:r>
      <w:r w:rsidR="00D460AC" w:rsidRPr="00D66680">
        <w:t>; and</w:t>
      </w:r>
    </w:p>
    <w:p w:rsidR="00D460AC" w:rsidRPr="00D66680" w:rsidRDefault="00D460AC" w:rsidP="00446CDC">
      <w:pPr>
        <w:pStyle w:val="paragraph"/>
      </w:pPr>
      <w:r w:rsidRPr="00D66680">
        <w:tab/>
        <w:t>(d)</w:t>
      </w:r>
      <w:r w:rsidRPr="00D66680">
        <w:tab/>
        <w:t xml:space="preserve">those purposes are not merely minor or incidental </w:t>
      </w:r>
      <w:r w:rsidR="00D26E46" w:rsidRPr="00D66680">
        <w:t xml:space="preserve">in relation </w:t>
      </w:r>
      <w:r w:rsidRPr="00D66680">
        <w:t>to the overall purposes of the consumer lease.</w:t>
      </w:r>
    </w:p>
    <w:p w:rsidR="00446CDC" w:rsidRPr="00D66680" w:rsidRDefault="00446CDC" w:rsidP="00446CDC">
      <w:pPr>
        <w:pStyle w:val="SubsectionHead"/>
      </w:pPr>
      <w:r w:rsidRPr="00D66680">
        <w:t>Licensees providing credit assistance in relation to remaining in consumer leases</w:t>
      </w:r>
    </w:p>
    <w:p w:rsidR="00446CDC" w:rsidRPr="00D66680" w:rsidRDefault="00446CDC" w:rsidP="00446CDC">
      <w:pPr>
        <w:pStyle w:val="subsection"/>
      </w:pPr>
      <w:r w:rsidRPr="00D66680">
        <w:tab/>
        <w:t>(5)</w:t>
      </w:r>
      <w:r w:rsidRPr="00D66680">
        <w:tab/>
        <w:t>For the purposes of paragraph 164(a) of the Act, a person that is a licensee is exempted from subsection 138(2) and sections 142 and 147 of the Act in relation to conduct engaged in by the person on a day in relation to a consumer if:</w:t>
      </w:r>
    </w:p>
    <w:p w:rsidR="00446CDC" w:rsidRPr="00D66680" w:rsidRDefault="00446CDC" w:rsidP="00446CDC">
      <w:pPr>
        <w:pStyle w:val="paragraph"/>
      </w:pPr>
      <w:r w:rsidRPr="00D66680">
        <w:tab/>
        <w:t>(a)</w:t>
      </w:r>
      <w:r w:rsidRPr="00D66680">
        <w:tab/>
        <w:t xml:space="preserve">the day occurs in the </w:t>
      </w:r>
      <w:r w:rsidRPr="00D66680">
        <w:rPr>
          <w:noProof/>
        </w:rPr>
        <w:t>exemption</w:t>
      </w:r>
      <w:r w:rsidRPr="00D66680">
        <w:t xml:space="preserve"> period (see subregulation (7)); and</w:t>
      </w:r>
    </w:p>
    <w:p w:rsidR="00446CDC" w:rsidRPr="00D66680" w:rsidRDefault="00446CDC" w:rsidP="00446CDC">
      <w:pPr>
        <w:pStyle w:val="paragraph"/>
      </w:pPr>
      <w:r w:rsidRPr="00D66680">
        <w:tab/>
        <w:t>(b)</w:t>
      </w:r>
      <w:r w:rsidRPr="00D66680">
        <w:tab/>
        <w:t>the conduct consists of providing credit assistance to the consumer by suggesting that the consumer remain in a consumer lease with a lessor (see subsections 138(2) and 147(1) of the Act); and</w:t>
      </w:r>
    </w:p>
    <w:p w:rsidR="00446CDC" w:rsidRPr="00D66680" w:rsidRDefault="00446CDC" w:rsidP="00446CDC">
      <w:pPr>
        <w:pStyle w:val="paragraph"/>
      </w:pPr>
      <w:r w:rsidRPr="00D66680">
        <w:tab/>
        <w:t>(c)</w:t>
      </w:r>
      <w:r w:rsidRPr="00D66680">
        <w:tab/>
        <w:t>either:</w:t>
      </w:r>
    </w:p>
    <w:p w:rsidR="00446CDC" w:rsidRPr="00D66680" w:rsidRDefault="00446CDC" w:rsidP="00446CDC">
      <w:pPr>
        <w:pStyle w:val="paragraphsub"/>
      </w:pPr>
      <w:r w:rsidRPr="00D66680">
        <w:tab/>
        <w:t>(i)</w:t>
      </w:r>
      <w:r w:rsidRPr="00D66680">
        <w:tab/>
        <w:t xml:space="preserve">the goods hired under the consumer lease were </w:t>
      </w:r>
      <w:r w:rsidR="00904D99" w:rsidRPr="00D66680">
        <w:t>genuinely for the purposes</w:t>
      </w:r>
      <w:r w:rsidRPr="00D66680">
        <w:t xml:space="preserve"> of a small business operated by the consumer (whether alone or with others); or</w:t>
      </w:r>
    </w:p>
    <w:p w:rsidR="00D460AC" w:rsidRPr="00D66680" w:rsidRDefault="00446CDC" w:rsidP="00D460AC">
      <w:pPr>
        <w:pStyle w:val="paragraphsub"/>
      </w:pPr>
      <w:r w:rsidRPr="00D66680">
        <w:tab/>
        <w:t>(ii)</w:t>
      </w:r>
      <w:r w:rsidRPr="00D66680">
        <w:tab/>
        <w:t xml:space="preserve">the consumer intends for all or some of the goods hired under the consumer lease to be used </w:t>
      </w:r>
      <w:r w:rsidR="00904D99" w:rsidRPr="00D66680">
        <w:t>genuinely for the purposes</w:t>
      </w:r>
      <w:r w:rsidRPr="00D66680">
        <w:t xml:space="preserve"> of a small business operated by the consumer (whether alone or with others)</w:t>
      </w:r>
      <w:r w:rsidR="00D460AC" w:rsidRPr="00D66680">
        <w:t>; and</w:t>
      </w:r>
    </w:p>
    <w:p w:rsidR="00D460AC" w:rsidRPr="00D66680" w:rsidRDefault="00D460AC" w:rsidP="00D460AC">
      <w:pPr>
        <w:pStyle w:val="paragraph"/>
      </w:pPr>
      <w:r w:rsidRPr="00D66680">
        <w:tab/>
        <w:t>(d)</w:t>
      </w:r>
      <w:r w:rsidRPr="00D66680">
        <w:tab/>
        <w:t xml:space="preserve">those purposes are not merely minor or incidental </w:t>
      </w:r>
      <w:r w:rsidR="00D26E46" w:rsidRPr="00D66680">
        <w:t xml:space="preserve">in relation </w:t>
      </w:r>
      <w:r w:rsidRPr="00D66680">
        <w:t>to the overall purposes of the consumer lease.</w:t>
      </w:r>
    </w:p>
    <w:p w:rsidR="00446CDC" w:rsidRPr="00D66680" w:rsidRDefault="00446CDC" w:rsidP="00446CDC">
      <w:pPr>
        <w:pStyle w:val="SubsectionHead"/>
      </w:pPr>
      <w:r w:rsidRPr="00D66680">
        <w:t>Licensees or exempt special purpose funding entities that are lessors under consumer leases</w:t>
      </w:r>
    </w:p>
    <w:p w:rsidR="00446CDC" w:rsidRPr="00D66680" w:rsidRDefault="00446CDC" w:rsidP="00446CDC">
      <w:pPr>
        <w:pStyle w:val="subsection"/>
      </w:pPr>
      <w:r w:rsidRPr="00D66680">
        <w:tab/>
        <w:t>(6)</w:t>
      </w:r>
      <w:r w:rsidRPr="00D66680">
        <w:tab/>
        <w:t>For the purposes of paragraph 164(a) of the Act, a person that is a licensee or an exempt special purpose funding entity is exempted from Divisions 3 and 4 of Part 3</w:t>
      </w:r>
      <w:r w:rsidR="00B7265E">
        <w:noBreakHyphen/>
      </w:r>
      <w:r w:rsidRPr="00D66680">
        <w:t>4 of the Act in relation to conduct engaged in by the person on a day in relation to a consumer if:</w:t>
      </w:r>
    </w:p>
    <w:p w:rsidR="00446CDC" w:rsidRPr="00D66680" w:rsidRDefault="00446CDC" w:rsidP="00446CDC">
      <w:pPr>
        <w:pStyle w:val="paragraph"/>
      </w:pPr>
      <w:r w:rsidRPr="00D66680">
        <w:tab/>
        <w:t>(a)</w:t>
      </w:r>
      <w:r w:rsidRPr="00D66680">
        <w:tab/>
        <w:t xml:space="preserve">the day occurs in the </w:t>
      </w:r>
      <w:r w:rsidRPr="00D66680">
        <w:rPr>
          <w:noProof/>
        </w:rPr>
        <w:t>exemption</w:t>
      </w:r>
      <w:r w:rsidRPr="00D66680">
        <w:t xml:space="preserve"> period (see subregulation (7)); and</w:t>
      </w:r>
    </w:p>
    <w:p w:rsidR="00446CDC" w:rsidRPr="00D66680" w:rsidRDefault="00446CDC" w:rsidP="00446CDC">
      <w:pPr>
        <w:pStyle w:val="paragraph"/>
      </w:pPr>
      <w:r w:rsidRPr="00D66680">
        <w:tab/>
        <w:t>(b)</w:t>
      </w:r>
      <w:r w:rsidRPr="00D66680">
        <w:tab/>
        <w:t>the conduct consists of:</w:t>
      </w:r>
    </w:p>
    <w:p w:rsidR="00446CDC" w:rsidRPr="00D66680" w:rsidRDefault="00446CDC" w:rsidP="00446CDC">
      <w:pPr>
        <w:pStyle w:val="paragraphsub"/>
      </w:pPr>
      <w:r w:rsidRPr="00D66680">
        <w:tab/>
        <w:t>(i)</w:t>
      </w:r>
      <w:r w:rsidRPr="00D66680">
        <w:tab/>
        <w:t>entering into a consumer lease with the consumer (see paragraph 151(a) and subsection 156(1) of the Act); or</w:t>
      </w:r>
    </w:p>
    <w:p w:rsidR="00446CDC" w:rsidRPr="00D66680" w:rsidRDefault="00446CDC" w:rsidP="00446CDC">
      <w:pPr>
        <w:pStyle w:val="paragraphsub"/>
      </w:pPr>
      <w:r w:rsidRPr="00D66680">
        <w:tab/>
        <w:t>(ii)</w:t>
      </w:r>
      <w:r w:rsidRPr="00D66680">
        <w:tab/>
        <w:t>making representations to the consumer in relation to entering a consumer lease with the consumer (see paragraph 151(b) of the Act); and</w:t>
      </w:r>
    </w:p>
    <w:p w:rsidR="00D460AC" w:rsidRPr="00D66680" w:rsidRDefault="00446CDC" w:rsidP="00D460AC">
      <w:pPr>
        <w:pStyle w:val="paragraph"/>
      </w:pPr>
      <w:r w:rsidRPr="00D66680">
        <w:tab/>
        <w:t>(c)</w:t>
      </w:r>
      <w:r w:rsidRPr="00D66680">
        <w:tab/>
        <w:t xml:space="preserve">the goods to be hired under the consumer lease are </w:t>
      </w:r>
      <w:r w:rsidR="00904D99" w:rsidRPr="00D66680">
        <w:t>genuinely for the purposes</w:t>
      </w:r>
      <w:r w:rsidRPr="00D66680">
        <w:t xml:space="preserve"> of a small business operated by the consumer (whether alone or with others)</w:t>
      </w:r>
      <w:r w:rsidR="00D460AC" w:rsidRPr="00D66680">
        <w:t>; and</w:t>
      </w:r>
    </w:p>
    <w:p w:rsidR="00D460AC" w:rsidRPr="00D66680" w:rsidRDefault="00D460AC" w:rsidP="00446CDC">
      <w:pPr>
        <w:pStyle w:val="paragraph"/>
      </w:pPr>
      <w:r w:rsidRPr="00D66680">
        <w:tab/>
        <w:t>(d)</w:t>
      </w:r>
      <w:r w:rsidRPr="00D66680">
        <w:tab/>
        <w:t xml:space="preserve">those purposes are not merely minor or incidental </w:t>
      </w:r>
      <w:r w:rsidR="00D26E46" w:rsidRPr="00D66680">
        <w:t xml:space="preserve">in relation </w:t>
      </w:r>
      <w:r w:rsidRPr="00D66680">
        <w:t>to the overall purposes of the consumer lease.</w:t>
      </w:r>
    </w:p>
    <w:p w:rsidR="00446CDC" w:rsidRPr="00D66680" w:rsidRDefault="00446CDC" w:rsidP="00446CDC">
      <w:pPr>
        <w:pStyle w:val="SubsectionHead"/>
      </w:pPr>
      <w:r w:rsidRPr="00D66680">
        <w:t>Definitions</w:t>
      </w:r>
    </w:p>
    <w:p w:rsidR="00446CDC" w:rsidRPr="00D66680" w:rsidRDefault="00446CDC" w:rsidP="00446CDC">
      <w:pPr>
        <w:pStyle w:val="subsection"/>
      </w:pPr>
      <w:r w:rsidRPr="00D66680">
        <w:tab/>
        <w:t>(7)</w:t>
      </w:r>
      <w:r w:rsidRPr="00D66680">
        <w:tab/>
        <w:t>In this regulation:</w:t>
      </w:r>
    </w:p>
    <w:p w:rsidR="00446CDC" w:rsidRPr="00D66680" w:rsidRDefault="00446CDC" w:rsidP="00446CDC">
      <w:pPr>
        <w:pStyle w:val="Definition"/>
      </w:pPr>
      <w:r w:rsidRPr="00D66680">
        <w:rPr>
          <w:b/>
          <w:i/>
          <w:noProof/>
        </w:rPr>
        <w:t>exemption</w:t>
      </w:r>
      <w:r w:rsidRPr="00D66680">
        <w:rPr>
          <w:b/>
          <w:i/>
        </w:rPr>
        <w:t xml:space="preserve"> period</w:t>
      </w:r>
      <w:r w:rsidRPr="00D66680">
        <w:t xml:space="preserve"> means the period that:</w:t>
      </w:r>
    </w:p>
    <w:p w:rsidR="00446CDC" w:rsidRPr="00D66680" w:rsidRDefault="00446CDC" w:rsidP="00446CDC">
      <w:pPr>
        <w:pStyle w:val="paragraph"/>
      </w:pPr>
      <w:r w:rsidRPr="00D66680">
        <w:tab/>
        <w:t>(a)</w:t>
      </w:r>
      <w:r w:rsidRPr="00D66680">
        <w:tab/>
        <w:t xml:space="preserve">starts </w:t>
      </w:r>
      <w:r w:rsidR="00EE4DAE" w:rsidRPr="00D66680">
        <w:t xml:space="preserve">on </w:t>
      </w:r>
      <w:r w:rsidR="00E96469" w:rsidRPr="00D66680">
        <w:t>3 October</w:t>
      </w:r>
      <w:r w:rsidR="00EE4DAE" w:rsidRPr="00D66680">
        <w:t xml:space="preserve"> 2020</w:t>
      </w:r>
      <w:r w:rsidRPr="00D66680">
        <w:t>; and</w:t>
      </w:r>
    </w:p>
    <w:p w:rsidR="00446CDC" w:rsidRPr="00D66680" w:rsidRDefault="00446CDC" w:rsidP="00446CDC">
      <w:pPr>
        <w:pStyle w:val="paragraph"/>
      </w:pPr>
      <w:r w:rsidRPr="00D66680">
        <w:tab/>
        <w:t>(b)</w:t>
      </w:r>
      <w:r w:rsidRPr="00D66680">
        <w:tab/>
        <w:t xml:space="preserve">ends </w:t>
      </w:r>
      <w:r w:rsidR="00F03374" w:rsidRPr="00D66680">
        <w:t xml:space="preserve">on </w:t>
      </w:r>
      <w:r w:rsidR="00E96469" w:rsidRPr="00D66680">
        <w:t>2 </w:t>
      </w:r>
      <w:r w:rsidR="00940B7A">
        <w:t>April</w:t>
      </w:r>
      <w:r w:rsidR="00F03374" w:rsidRPr="00D66680">
        <w:t xml:space="preserve"> 2021</w:t>
      </w:r>
      <w:r w:rsidRPr="00D66680">
        <w:t>.</w:t>
      </w:r>
    </w:p>
    <w:p w:rsidR="00446CDC" w:rsidRPr="00D66680" w:rsidRDefault="00446CDC" w:rsidP="00446CDC">
      <w:pPr>
        <w:pStyle w:val="Definition"/>
      </w:pPr>
      <w:r w:rsidRPr="00D66680">
        <w:rPr>
          <w:b/>
          <w:i/>
        </w:rPr>
        <w:t>small business</w:t>
      </w:r>
      <w:r w:rsidRPr="00D66680">
        <w:t xml:space="preserve"> has the same meaning as in section 5 of the </w:t>
      </w:r>
      <w:r w:rsidRPr="00D66680">
        <w:rPr>
          <w:i/>
        </w:rPr>
        <w:t>Australian Small Business and Family Enterprise Ombudsman Act 2015</w:t>
      </w:r>
      <w:r w:rsidRPr="00D66680">
        <w:t>.</w:t>
      </w:r>
    </w:p>
    <w:p w:rsidR="00446CDC" w:rsidRPr="00D66680" w:rsidRDefault="00446CDC" w:rsidP="00446CDC">
      <w:pPr>
        <w:pStyle w:val="SubsectionHead"/>
      </w:pPr>
      <w:r w:rsidRPr="00D66680">
        <w:t>Sunset of this regulation</w:t>
      </w:r>
    </w:p>
    <w:p w:rsidR="0084172C" w:rsidRPr="00D66680" w:rsidRDefault="00446CDC" w:rsidP="00815C5D">
      <w:pPr>
        <w:pStyle w:val="subsection"/>
      </w:pPr>
      <w:r w:rsidRPr="00D66680">
        <w:tab/>
        <w:t>(8)</w:t>
      </w:r>
      <w:r w:rsidRPr="00D66680">
        <w:tab/>
        <w:t xml:space="preserve">This regulation is repealed on </w:t>
      </w:r>
      <w:r w:rsidR="005D2931" w:rsidRPr="00D66680">
        <w:t>3</w:t>
      </w:r>
      <w:r w:rsidR="00D26E46" w:rsidRPr="00D66680">
        <w:t> </w:t>
      </w:r>
      <w:r w:rsidR="00940B7A">
        <w:t>October</w:t>
      </w:r>
      <w:r w:rsidR="00EE4DAE" w:rsidRPr="00D66680">
        <w:t xml:space="preserve"> 202</w:t>
      </w:r>
      <w:r w:rsidR="00940B7A">
        <w:t>1</w:t>
      </w:r>
      <w:r w:rsidRPr="00D66680">
        <w:t>.</w:t>
      </w:r>
    </w:p>
    <w:sectPr w:rsidR="0084172C" w:rsidRPr="00D66680" w:rsidSect="00FE3AB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CDC" w:rsidRDefault="00446CDC" w:rsidP="0048364F">
      <w:pPr>
        <w:spacing w:line="240" w:lineRule="auto"/>
      </w:pPr>
      <w:r>
        <w:separator/>
      </w:r>
    </w:p>
  </w:endnote>
  <w:endnote w:type="continuationSeparator" w:id="0">
    <w:p w:rsidR="00446CDC" w:rsidRDefault="00446CD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E3ABC" w:rsidRDefault="00FE3ABC" w:rsidP="00FE3AB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E3ABC">
      <w:rPr>
        <w:i/>
        <w:sz w:val="18"/>
      </w:rPr>
      <w:t>OPC64797 -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FE3ABC" w:rsidRDefault="00FE3ABC" w:rsidP="00FE3ABC">
    <w:pPr>
      <w:rPr>
        <w:rFonts w:cs="Times New Roman"/>
        <w:i/>
        <w:sz w:val="18"/>
      </w:rPr>
    </w:pPr>
    <w:r w:rsidRPr="00FE3ABC">
      <w:rPr>
        <w:rFonts w:cs="Times New Roman"/>
        <w:i/>
        <w:sz w:val="18"/>
      </w:rPr>
      <w:t>OPC64797 -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E3ABC" w:rsidRDefault="00FE3ABC" w:rsidP="00FE3AB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E3ABC">
      <w:rPr>
        <w:i/>
        <w:sz w:val="18"/>
      </w:rPr>
      <w:t>OPC64797 -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0904F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1A41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7529">
            <w:rPr>
              <w:i/>
              <w:sz w:val="18"/>
            </w:rPr>
            <w:t>National Consumer Credit Protection Amendment (Responsible Lending Obligations)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FE3ABC" w:rsidRDefault="00FE3ABC" w:rsidP="00FE3ABC">
    <w:pPr>
      <w:rPr>
        <w:rFonts w:cs="Times New Roman"/>
        <w:i/>
        <w:sz w:val="18"/>
      </w:rPr>
    </w:pPr>
    <w:r w:rsidRPr="00FE3ABC">
      <w:rPr>
        <w:rFonts w:cs="Times New Roman"/>
        <w:i/>
        <w:sz w:val="18"/>
      </w:rPr>
      <w:t>OPC64797 -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0904F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7529">
            <w:rPr>
              <w:i/>
              <w:sz w:val="18"/>
            </w:rPr>
            <w:t>National Consumer Credit Protection Amendment (Responsible Lending Obligations)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45C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FE3ABC" w:rsidRDefault="00FE3ABC" w:rsidP="00FE3ABC">
    <w:pPr>
      <w:rPr>
        <w:rFonts w:cs="Times New Roman"/>
        <w:i/>
        <w:sz w:val="18"/>
      </w:rPr>
    </w:pPr>
    <w:r w:rsidRPr="00FE3ABC">
      <w:rPr>
        <w:rFonts w:cs="Times New Roman"/>
        <w:i/>
        <w:sz w:val="18"/>
      </w:rPr>
      <w:t>OPC64797 -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0904F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41E41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7529">
            <w:rPr>
              <w:i/>
              <w:sz w:val="18"/>
            </w:rPr>
            <w:t>National Consumer Credit Protection Amendment (Responsible Lending Obligations)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FE3ABC" w:rsidRDefault="00FE3ABC" w:rsidP="00FE3ABC">
    <w:pPr>
      <w:rPr>
        <w:rFonts w:cs="Times New Roman"/>
        <w:i/>
        <w:sz w:val="18"/>
      </w:rPr>
    </w:pPr>
    <w:r w:rsidRPr="00FE3ABC">
      <w:rPr>
        <w:rFonts w:cs="Times New Roman"/>
        <w:i/>
        <w:sz w:val="18"/>
      </w:rPr>
      <w:t>OPC64797 -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7529">
            <w:rPr>
              <w:i/>
              <w:sz w:val="18"/>
            </w:rPr>
            <w:t>National Consumer Credit Protection Amendment (Responsible Lending Obligations)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45C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FE3ABC" w:rsidRDefault="00FE3ABC" w:rsidP="00FE3ABC">
    <w:pPr>
      <w:rPr>
        <w:rFonts w:cs="Times New Roman"/>
        <w:i/>
        <w:sz w:val="18"/>
      </w:rPr>
    </w:pPr>
    <w:r w:rsidRPr="00FE3ABC">
      <w:rPr>
        <w:rFonts w:cs="Times New Roman"/>
        <w:i/>
        <w:sz w:val="18"/>
      </w:rPr>
      <w:t>OPC64797 -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7529">
            <w:rPr>
              <w:i/>
              <w:sz w:val="18"/>
            </w:rPr>
            <w:t>National Consumer Credit Protection Amendment (Responsible Lending Obligations)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1A4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FE3ABC" w:rsidRDefault="00FE3ABC" w:rsidP="00FE3ABC">
    <w:pPr>
      <w:rPr>
        <w:rFonts w:cs="Times New Roman"/>
        <w:i/>
        <w:sz w:val="18"/>
      </w:rPr>
    </w:pPr>
    <w:r w:rsidRPr="00FE3ABC">
      <w:rPr>
        <w:rFonts w:cs="Times New Roman"/>
        <w:i/>
        <w:sz w:val="18"/>
      </w:rPr>
      <w:t>OPC64797 -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CDC" w:rsidRDefault="00446CDC" w:rsidP="0048364F">
      <w:pPr>
        <w:spacing w:line="240" w:lineRule="auto"/>
      </w:pPr>
      <w:r>
        <w:separator/>
      </w:r>
    </w:p>
  </w:footnote>
  <w:footnote w:type="continuationSeparator" w:id="0">
    <w:p w:rsidR="00446CDC" w:rsidRDefault="00446CD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41E41">
      <w:rPr>
        <w:b/>
        <w:sz w:val="20"/>
      </w:rPr>
      <w:fldChar w:fldCharType="separate"/>
    </w:r>
    <w:r w:rsidR="00B41E4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B41E41">
      <w:rPr>
        <w:sz w:val="20"/>
      </w:rPr>
      <w:fldChar w:fldCharType="separate"/>
    </w:r>
    <w:r w:rsidR="00B41E41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96DB561-F224-469D-B524-9D227FF9E450}"/>
    <w:docVar w:name="dgnword-eventsink" w:val="367814272"/>
  </w:docVars>
  <w:rsids>
    <w:rsidRoot w:val="00446CDC"/>
    <w:rsid w:val="00000263"/>
    <w:rsid w:val="00001922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904F4"/>
    <w:rsid w:val="000A7DF9"/>
    <w:rsid w:val="000C0FC7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298A"/>
    <w:rsid w:val="001B5BF9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547F"/>
    <w:rsid w:val="003A15AC"/>
    <w:rsid w:val="003A56EB"/>
    <w:rsid w:val="003B0627"/>
    <w:rsid w:val="003C5F2B"/>
    <w:rsid w:val="003D0BFE"/>
    <w:rsid w:val="003D5700"/>
    <w:rsid w:val="003E762B"/>
    <w:rsid w:val="003F0F5A"/>
    <w:rsid w:val="00400A30"/>
    <w:rsid w:val="004022CA"/>
    <w:rsid w:val="004116CD"/>
    <w:rsid w:val="00414ADE"/>
    <w:rsid w:val="004245C5"/>
    <w:rsid w:val="00424CA9"/>
    <w:rsid w:val="004257BB"/>
    <w:rsid w:val="004261D9"/>
    <w:rsid w:val="0044291A"/>
    <w:rsid w:val="00446CDC"/>
    <w:rsid w:val="00460499"/>
    <w:rsid w:val="00474835"/>
    <w:rsid w:val="004819C7"/>
    <w:rsid w:val="0048364F"/>
    <w:rsid w:val="00490F2E"/>
    <w:rsid w:val="00496DB3"/>
    <w:rsid w:val="00496F97"/>
    <w:rsid w:val="004A53EA"/>
    <w:rsid w:val="004A7093"/>
    <w:rsid w:val="004B0154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2931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529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6229"/>
    <w:rsid w:val="007A115D"/>
    <w:rsid w:val="007A35E6"/>
    <w:rsid w:val="007A6863"/>
    <w:rsid w:val="007D45C1"/>
    <w:rsid w:val="007E7D4A"/>
    <w:rsid w:val="007F48ED"/>
    <w:rsid w:val="007F7947"/>
    <w:rsid w:val="00812F45"/>
    <w:rsid w:val="008150E2"/>
    <w:rsid w:val="00815C5D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04D99"/>
    <w:rsid w:val="00922764"/>
    <w:rsid w:val="00932377"/>
    <w:rsid w:val="009408EA"/>
    <w:rsid w:val="00940B7A"/>
    <w:rsid w:val="00943102"/>
    <w:rsid w:val="0094523D"/>
    <w:rsid w:val="009559E6"/>
    <w:rsid w:val="00976A63"/>
    <w:rsid w:val="00983419"/>
    <w:rsid w:val="009A1A46"/>
    <w:rsid w:val="009C3431"/>
    <w:rsid w:val="009C5989"/>
    <w:rsid w:val="009D031A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41E41"/>
    <w:rsid w:val="00B52663"/>
    <w:rsid w:val="00B56DCB"/>
    <w:rsid w:val="00B71C12"/>
    <w:rsid w:val="00B7265E"/>
    <w:rsid w:val="00B76386"/>
    <w:rsid w:val="00B770D2"/>
    <w:rsid w:val="00BA47A3"/>
    <w:rsid w:val="00BA5026"/>
    <w:rsid w:val="00BA7F34"/>
    <w:rsid w:val="00BB6E79"/>
    <w:rsid w:val="00BE3B31"/>
    <w:rsid w:val="00BE59F0"/>
    <w:rsid w:val="00BE719A"/>
    <w:rsid w:val="00BE720A"/>
    <w:rsid w:val="00BF50BB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979A4"/>
    <w:rsid w:val="00CA7844"/>
    <w:rsid w:val="00CB58EF"/>
    <w:rsid w:val="00CE7D64"/>
    <w:rsid w:val="00CF0BB2"/>
    <w:rsid w:val="00D13441"/>
    <w:rsid w:val="00D20665"/>
    <w:rsid w:val="00D243A3"/>
    <w:rsid w:val="00D26E46"/>
    <w:rsid w:val="00D3200B"/>
    <w:rsid w:val="00D33440"/>
    <w:rsid w:val="00D460AC"/>
    <w:rsid w:val="00D52EFE"/>
    <w:rsid w:val="00D56A0D"/>
    <w:rsid w:val="00D63EF6"/>
    <w:rsid w:val="00D66518"/>
    <w:rsid w:val="00D66680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22FB"/>
    <w:rsid w:val="00E87699"/>
    <w:rsid w:val="00E92E27"/>
    <w:rsid w:val="00E9586B"/>
    <w:rsid w:val="00E96469"/>
    <w:rsid w:val="00E97334"/>
    <w:rsid w:val="00EA0D36"/>
    <w:rsid w:val="00EA55CC"/>
    <w:rsid w:val="00ED4928"/>
    <w:rsid w:val="00EE3749"/>
    <w:rsid w:val="00EE4DAE"/>
    <w:rsid w:val="00EE6190"/>
    <w:rsid w:val="00EF2E3A"/>
    <w:rsid w:val="00EF6402"/>
    <w:rsid w:val="00F025DF"/>
    <w:rsid w:val="00F03374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A7C03"/>
    <w:rsid w:val="00FB1A41"/>
    <w:rsid w:val="00FE0781"/>
    <w:rsid w:val="00FE3AB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265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65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65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265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265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265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7265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7265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7265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7265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7265E"/>
  </w:style>
  <w:style w:type="paragraph" w:customStyle="1" w:styleId="OPCParaBase">
    <w:name w:val="OPCParaBase"/>
    <w:qFormat/>
    <w:rsid w:val="00B7265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7265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7265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7265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7265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7265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7265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7265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7265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7265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7265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7265E"/>
  </w:style>
  <w:style w:type="paragraph" w:customStyle="1" w:styleId="Blocks">
    <w:name w:val="Blocks"/>
    <w:aliases w:val="bb"/>
    <w:basedOn w:val="OPCParaBase"/>
    <w:qFormat/>
    <w:rsid w:val="00B7265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726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7265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7265E"/>
    <w:rPr>
      <w:i/>
    </w:rPr>
  </w:style>
  <w:style w:type="paragraph" w:customStyle="1" w:styleId="BoxList">
    <w:name w:val="BoxList"/>
    <w:aliases w:val="bl"/>
    <w:basedOn w:val="BoxText"/>
    <w:qFormat/>
    <w:rsid w:val="00B7265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7265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7265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7265E"/>
    <w:pPr>
      <w:ind w:left="1985" w:hanging="851"/>
    </w:pPr>
  </w:style>
  <w:style w:type="character" w:customStyle="1" w:styleId="CharAmPartNo">
    <w:name w:val="CharAmPartNo"/>
    <w:basedOn w:val="OPCCharBase"/>
    <w:qFormat/>
    <w:rsid w:val="00B7265E"/>
  </w:style>
  <w:style w:type="character" w:customStyle="1" w:styleId="CharAmPartText">
    <w:name w:val="CharAmPartText"/>
    <w:basedOn w:val="OPCCharBase"/>
    <w:qFormat/>
    <w:rsid w:val="00B7265E"/>
  </w:style>
  <w:style w:type="character" w:customStyle="1" w:styleId="CharAmSchNo">
    <w:name w:val="CharAmSchNo"/>
    <w:basedOn w:val="OPCCharBase"/>
    <w:qFormat/>
    <w:rsid w:val="00B7265E"/>
  </w:style>
  <w:style w:type="character" w:customStyle="1" w:styleId="CharAmSchText">
    <w:name w:val="CharAmSchText"/>
    <w:basedOn w:val="OPCCharBase"/>
    <w:qFormat/>
    <w:rsid w:val="00B7265E"/>
  </w:style>
  <w:style w:type="character" w:customStyle="1" w:styleId="CharBoldItalic">
    <w:name w:val="CharBoldItalic"/>
    <w:basedOn w:val="OPCCharBase"/>
    <w:uiPriority w:val="1"/>
    <w:qFormat/>
    <w:rsid w:val="00B7265E"/>
    <w:rPr>
      <w:b/>
      <w:i/>
    </w:rPr>
  </w:style>
  <w:style w:type="character" w:customStyle="1" w:styleId="CharChapNo">
    <w:name w:val="CharChapNo"/>
    <w:basedOn w:val="OPCCharBase"/>
    <w:uiPriority w:val="1"/>
    <w:qFormat/>
    <w:rsid w:val="00B7265E"/>
  </w:style>
  <w:style w:type="character" w:customStyle="1" w:styleId="CharChapText">
    <w:name w:val="CharChapText"/>
    <w:basedOn w:val="OPCCharBase"/>
    <w:uiPriority w:val="1"/>
    <w:qFormat/>
    <w:rsid w:val="00B7265E"/>
  </w:style>
  <w:style w:type="character" w:customStyle="1" w:styleId="CharDivNo">
    <w:name w:val="CharDivNo"/>
    <w:basedOn w:val="OPCCharBase"/>
    <w:uiPriority w:val="1"/>
    <w:qFormat/>
    <w:rsid w:val="00B7265E"/>
  </w:style>
  <w:style w:type="character" w:customStyle="1" w:styleId="CharDivText">
    <w:name w:val="CharDivText"/>
    <w:basedOn w:val="OPCCharBase"/>
    <w:uiPriority w:val="1"/>
    <w:qFormat/>
    <w:rsid w:val="00B7265E"/>
  </w:style>
  <w:style w:type="character" w:customStyle="1" w:styleId="CharItalic">
    <w:name w:val="CharItalic"/>
    <w:basedOn w:val="OPCCharBase"/>
    <w:uiPriority w:val="1"/>
    <w:qFormat/>
    <w:rsid w:val="00B7265E"/>
    <w:rPr>
      <w:i/>
    </w:rPr>
  </w:style>
  <w:style w:type="character" w:customStyle="1" w:styleId="CharPartNo">
    <w:name w:val="CharPartNo"/>
    <w:basedOn w:val="OPCCharBase"/>
    <w:uiPriority w:val="1"/>
    <w:qFormat/>
    <w:rsid w:val="00B7265E"/>
  </w:style>
  <w:style w:type="character" w:customStyle="1" w:styleId="CharPartText">
    <w:name w:val="CharPartText"/>
    <w:basedOn w:val="OPCCharBase"/>
    <w:uiPriority w:val="1"/>
    <w:qFormat/>
    <w:rsid w:val="00B7265E"/>
  </w:style>
  <w:style w:type="character" w:customStyle="1" w:styleId="CharSectno">
    <w:name w:val="CharSectno"/>
    <w:basedOn w:val="OPCCharBase"/>
    <w:qFormat/>
    <w:rsid w:val="00B7265E"/>
  </w:style>
  <w:style w:type="character" w:customStyle="1" w:styleId="CharSubdNo">
    <w:name w:val="CharSubdNo"/>
    <w:basedOn w:val="OPCCharBase"/>
    <w:uiPriority w:val="1"/>
    <w:qFormat/>
    <w:rsid w:val="00B7265E"/>
  </w:style>
  <w:style w:type="character" w:customStyle="1" w:styleId="CharSubdText">
    <w:name w:val="CharSubdText"/>
    <w:basedOn w:val="OPCCharBase"/>
    <w:uiPriority w:val="1"/>
    <w:qFormat/>
    <w:rsid w:val="00B7265E"/>
  </w:style>
  <w:style w:type="paragraph" w:customStyle="1" w:styleId="CTA--">
    <w:name w:val="CTA --"/>
    <w:basedOn w:val="OPCParaBase"/>
    <w:next w:val="Normal"/>
    <w:rsid w:val="00B7265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7265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7265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7265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7265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7265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7265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7265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7265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7265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7265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7265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7265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7265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7265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7265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7265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7265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7265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7265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7265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7265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7265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7265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7265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7265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7265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7265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7265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7265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7265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7265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7265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7265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7265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7265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7265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7265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7265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7265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7265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7265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7265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7265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7265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7265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7265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7265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7265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7265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7265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726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7265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7265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7265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7265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7265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7265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7265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7265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7265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7265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7265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7265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7265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7265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7265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7265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7265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7265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7265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7265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7265E"/>
    <w:rPr>
      <w:sz w:val="16"/>
    </w:rPr>
  </w:style>
  <w:style w:type="table" w:customStyle="1" w:styleId="CFlag">
    <w:name w:val="CFlag"/>
    <w:basedOn w:val="TableNormal"/>
    <w:uiPriority w:val="99"/>
    <w:rsid w:val="00B7265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726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26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7265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7265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7265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7265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7265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7265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7265E"/>
    <w:pPr>
      <w:spacing w:before="120"/>
    </w:pPr>
  </w:style>
  <w:style w:type="paragraph" w:customStyle="1" w:styleId="CompiledActNo">
    <w:name w:val="CompiledActNo"/>
    <w:basedOn w:val="OPCParaBase"/>
    <w:next w:val="Normal"/>
    <w:rsid w:val="00B7265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7265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7265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7265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7265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7265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7265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7265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7265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7265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7265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7265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7265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7265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7265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7265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7265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7265E"/>
  </w:style>
  <w:style w:type="character" w:customStyle="1" w:styleId="CharSubPartNoCASA">
    <w:name w:val="CharSubPartNo(CASA)"/>
    <w:basedOn w:val="OPCCharBase"/>
    <w:uiPriority w:val="1"/>
    <w:rsid w:val="00B7265E"/>
  </w:style>
  <w:style w:type="paragraph" w:customStyle="1" w:styleId="ENoteTTIndentHeadingSub">
    <w:name w:val="ENoteTTIndentHeadingSub"/>
    <w:aliases w:val="enTTHis"/>
    <w:basedOn w:val="OPCParaBase"/>
    <w:rsid w:val="00B7265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7265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7265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7265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7265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7265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726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7265E"/>
    <w:rPr>
      <w:sz w:val="22"/>
    </w:rPr>
  </w:style>
  <w:style w:type="paragraph" w:customStyle="1" w:styleId="SOTextNote">
    <w:name w:val="SO TextNote"/>
    <w:aliases w:val="sont"/>
    <w:basedOn w:val="SOText"/>
    <w:qFormat/>
    <w:rsid w:val="00B7265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7265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7265E"/>
    <w:rPr>
      <w:sz w:val="22"/>
    </w:rPr>
  </w:style>
  <w:style w:type="paragraph" w:customStyle="1" w:styleId="FileName">
    <w:name w:val="FileName"/>
    <w:basedOn w:val="Normal"/>
    <w:rsid w:val="00B7265E"/>
  </w:style>
  <w:style w:type="paragraph" w:customStyle="1" w:styleId="TableHeading">
    <w:name w:val="TableHeading"/>
    <w:aliases w:val="th"/>
    <w:basedOn w:val="OPCParaBase"/>
    <w:next w:val="Tabletext"/>
    <w:rsid w:val="00B7265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7265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7265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7265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7265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7265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7265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7265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7265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726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7265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7265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7265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7265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726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26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265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7265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7265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7265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7265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7265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726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7265E"/>
  </w:style>
  <w:style w:type="character" w:customStyle="1" w:styleId="charlegsubtitle1">
    <w:name w:val="charlegsubtitle1"/>
    <w:basedOn w:val="DefaultParagraphFont"/>
    <w:rsid w:val="00B7265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7265E"/>
    <w:pPr>
      <w:ind w:left="240" w:hanging="240"/>
    </w:pPr>
  </w:style>
  <w:style w:type="paragraph" w:styleId="Index2">
    <w:name w:val="index 2"/>
    <w:basedOn w:val="Normal"/>
    <w:next w:val="Normal"/>
    <w:autoRedefine/>
    <w:rsid w:val="00B7265E"/>
    <w:pPr>
      <w:ind w:left="480" w:hanging="240"/>
    </w:pPr>
  </w:style>
  <w:style w:type="paragraph" w:styleId="Index3">
    <w:name w:val="index 3"/>
    <w:basedOn w:val="Normal"/>
    <w:next w:val="Normal"/>
    <w:autoRedefine/>
    <w:rsid w:val="00B7265E"/>
    <w:pPr>
      <w:ind w:left="720" w:hanging="240"/>
    </w:pPr>
  </w:style>
  <w:style w:type="paragraph" w:styleId="Index4">
    <w:name w:val="index 4"/>
    <w:basedOn w:val="Normal"/>
    <w:next w:val="Normal"/>
    <w:autoRedefine/>
    <w:rsid w:val="00B7265E"/>
    <w:pPr>
      <w:ind w:left="960" w:hanging="240"/>
    </w:pPr>
  </w:style>
  <w:style w:type="paragraph" w:styleId="Index5">
    <w:name w:val="index 5"/>
    <w:basedOn w:val="Normal"/>
    <w:next w:val="Normal"/>
    <w:autoRedefine/>
    <w:rsid w:val="00B7265E"/>
    <w:pPr>
      <w:ind w:left="1200" w:hanging="240"/>
    </w:pPr>
  </w:style>
  <w:style w:type="paragraph" w:styleId="Index6">
    <w:name w:val="index 6"/>
    <w:basedOn w:val="Normal"/>
    <w:next w:val="Normal"/>
    <w:autoRedefine/>
    <w:rsid w:val="00B7265E"/>
    <w:pPr>
      <w:ind w:left="1440" w:hanging="240"/>
    </w:pPr>
  </w:style>
  <w:style w:type="paragraph" w:styleId="Index7">
    <w:name w:val="index 7"/>
    <w:basedOn w:val="Normal"/>
    <w:next w:val="Normal"/>
    <w:autoRedefine/>
    <w:rsid w:val="00B7265E"/>
    <w:pPr>
      <w:ind w:left="1680" w:hanging="240"/>
    </w:pPr>
  </w:style>
  <w:style w:type="paragraph" w:styleId="Index8">
    <w:name w:val="index 8"/>
    <w:basedOn w:val="Normal"/>
    <w:next w:val="Normal"/>
    <w:autoRedefine/>
    <w:rsid w:val="00B7265E"/>
    <w:pPr>
      <w:ind w:left="1920" w:hanging="240"/>
    </w:pPr>
  </w:style>
  <w:style w:type="paragraph" w:styleId="Index9">
    <w:name w:val="index 9"/>
    <w:basedOn w:val="Normal"/>
    <w:next w:val="Normal"/>
    <w:autoRedefine/>
    <w:rsid w:val="00B7265E"/>
    <w:pPr>
      <w:ind w:left="2160" w:hanging="240"/>
    </w:pPr>
  </w:style>
  <w:style w:type="paragraph" w:styleId="NormalIndent">
    <w:name w:val="Normal Indent"/>
    <w:basedOn w:val="Normal"/>
    <w:rsid w:val="00B7265E"/>
    <w:pPr>
      <w:ind w:left="720"/>
    </w:pPr>
  </w:style>
  <w:style w:type="paragraph" w:styleId="FootnoteText">
    <w:name w:val="footnote text"/>
    <w:basedOn w:val="Normal"/>
    <w:link w:val="FootnoteTextChar"/>
    <w:rsid w:val="00B7265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7265E"/>
  </w:style>
  <w:style w:type="paragraph" w:styleId="CommentText">
    <w:name w:val="annotation text"/>
    <w:basedOn w:val="Normal"/>
    <w:link w:val="CommentTextChar"/>
    <w:rsid w:val="00B7265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265E"/>
  </w:style>
  <w:style w:type="paragraph" w:styleId="IndexHeading">
    <w:name w:val="index heading"/>
    <w:basedOn w:val="Normal"/>
    <w:next w:val="Index1"/>
    <w:rsid w:val="00B7265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7265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7265E"/>
    <w:pPr>
      <w:ind w:left="480" w:hanging="480"/>
    </w:pPr>
  </w:style>
  <w:style w:type="paragraph" w:styleId="EnvelopeAddress">
    <w:name w:val="envelope address"/>
    <w:basedOn w:val="Normal"/>
    <w:rsid w:val="00B7265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7265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7265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7265E"/>
    <w:rPr>
      <w:sz w:val="16"/>
      <w:szCs w:val="16"/>
    </w:rPr>
  </w:style>
  <w:style w:type="character" w:styleId="PageNumber">
    <w:name w:val="page number"/>
    <w:basedOn w:val="DefaultParagraphFont"/>
    <w:rsid w:val="00B7265E"/>
  </w:style>
  <w:style w:type="character" w:styleId="EndnoteReference">
    <w:name w:val="endnote reference"/>
    <w:basedOn w:val="DefaultParagraphFont"/>
    <w:rsid w:val="00B7265E"/>
    <w:rPr>
      <w:vertAlign w:val="superscript"/>
    </w:rPr>
  </w:style>
  <w:style w:type="paragraph" w:styleId="EndnoteText">
    <w:name w:val="endnote text"/>
    <w:basedOn w:val="Normal"/>
    <w:link w:val="EndnoteTextChar"/>
    <w:rsid w:val="00B7265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7265E"/>
  </w:style>
  <w:style w:type="paragraph" w:styleId="TableofAuthorities">
    <w:name w:val="table of authorities"/>
    <w:basedOn w:val="Normal"/>
    <w:next w:val="Normal"/>
    <w:rsid w:val="00B7265E"/>
    <w:pPr>
      <w:ind w:left="240" w:hanging="240"/>
    </w:pPr>
  </w:style>
  <w:style w:type="paragraph" w:styleId="MacroText">
    <w:name w:val="macro"/>
    <w:link w:val="MacroTextChar"/>
    <w:rsid w:val="00B726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7265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7265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7265E"/>
    <w:pPr>
      <w:ind w:left="283" w:hanging="283"/>
    </w:pPr>
  </w:style>
  <w:style w:type="paragraph" w:styleId="ListBullet">
    <w:name w:val="List Bullet"/>
    <w:basedOn w:val="Normal"/>
    <w:autoRedefine/>
    <w:rsid w:val="00B7265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7265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7265E"/>
    <w:pPr>
      <w:ind w:left="566" w:hanging="283"/>
    </w:pPr>
  </w:style>
  <w:style w:type="paragraph" w:styleId="List3">
    <w:name w:val="List 3"/>
    <w:basedOn w:val="Normal"/>
    <w:rsid w:val="00B7265E"/>
    <w:pPr>
      <w:ind w:left="849" w:hanging="283"/>
    </w:pPr>
  </w:style>
  <w:style w:type="paragraph" w:styleId="List4">
    <w:name w:val="List 4"/>
    <w:basedOn w:val="Normal"/>
    <w:rsid w:val="00B7265E"/>
    <w:pPr>
      <w:ind w:left="1132" w:hanging="283"/>
    </w:pPr>
  </w:style>
  <w:style w:type="paragraph" w:styleId="List5">
    <w:name w:val="List 5"/>
    <w:basedOn w:val="Normal"/>
    <w:rsid w:val="00B7265E"/>
    <w:pPr>
      <w:ind w:left="1415" w:hanging="283"/>
    </w:pPr>
  </w:style>
  <w:style w:type="paragraph" w:styleId="ListBullet2">
    <w:name w:val="List Bullet 2"/>
    <w:basedOn w:val="Normal"/>
    <w:autoRedefine/>
    <w:rsid w:val="00B7265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7265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7265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7265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7265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7265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7265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7265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7265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7265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7265E"/>
    <w:pPr>
      <w:ind w:left="4252"/>
    </w:pPr>
  </w:style>
  <w:style w:type="character" w:customStyle="1" w:styleId="ClosingChar">
    <w:name w:val="Closing Char"/>
    <w:basedOn w:val="DefaultParagraphFont"/>
    <w:link w:val="Closing"/>
    <w:rsid w:val="00B7265E"/>
    <w:rPr>
      <w:sz w:val="22"/>
    </w:rPr>
  </w:style>
  <w:style w:type="paragraph" w:styleId="Signature">
    <w:name w:val="Signature"/>
    <w:basedOn w:val="Normal"/>
    <w:link w:val="SignatureChar"/>
    <w:rsid w:val="00B7265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7265E"/>
    <w:rPr>
      <w:sz w:val="22"/>
    </w:rPr>
  </w:style>
  <w:style w:type="paragraph" w:styleId="BodyText">
    <w:name w:val="Body Text"/>
    <w:basedOn w:val="Normal"/>
    <w:link w:val="BodyTextChar"/>
    <w:rsid w:val="00B7265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7265E"/>
    <w:rPr>
      <w:sz w:val="22"/>
    </w:rPr>
  </w:style>
  <w:style w:type="paragraph" w:styleId="BodyTextIndent">
    <w:name w:val="Body Text Indent"/>
    <w:basedOn w:val="Normal"/>
    <w:link w:val="BodyTextIndentChar"/>
    <w:rsid w:val="00B7265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7265E"/>
    <w:rPr>
      <w:sz w:val="22"/>
    </w:rPr>
  </w:style>
  <w:style w:type="paragraph" w:styleId="ListContinue">
    <w:name w:val="List Continue"/>
    <w:basedOn w:val="Normal"/>
    <w:rsid w:val="00B7265E"/>
    <w:pPr>
      <w:spacing w:after="120"/>
      <w:ind w:left="283"/>
    </w:pPr>
  </w:style>
  <w:style w:type="paragraph" w:styleId="ListContinue2">
    <w:name w:val="List Continue 2"/>
    <w:basedOn w:val="Normal"/>
    <w:rsid w:val="00B7265E"/>
    <w:pPr>
      <w:spacing w:after="120"/>
      <w:ind w:left="566"/>
    </w:pPr>
  </w:style>
  <w:style w:type="paragraph" w:styleId="ListContinue3">
    <w:name w:val="List Continue 3"/>
    <w:basedOn w:val="Normal"/>
    <w:rsid w:val="00B7265E"/>
    <w:pPr>
      <w:spacing w:after="120"/>
      <w:ind w:left="849"/>
    </w:pPr>
  </w:style>
  <w:style w:type="paragraph" w:styleId="ListContinue4">
    <w:name w:val="List Continue 4"/>
    <w:basedOn w:val="Normal"/>
    <w:rsid w:val="00B7265E"/>
    <w:pPr>
      <w:spacing w:after="120"/>
      <w:ind w:left="1132"/>
    </w:pPr>
  </w:style>
  <w:style w:type="paragraph" w:styleId="ListContinue5">
    <w:name w:val="List Continue 5"/>
    <w:basedOn w:val="Normal"/>
    <w:rsid w:val="00B7265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726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7265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7265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7265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7265E"/>
  </w:style>
  <w:style w:type="character" w:customStyle="1" w:styleId="SalutationChar">
    <w:name w:val="Salutation Char"/>
    <w:basedOn w:val="DefaultParagraphFont"/>
    <w:link w:val="Salutation"/>
    <w:rsid w:val="00B7265E"/>
    <w:rPr>
      <w:sz w:val="22"/>
    </w:rPr>
  </w:style>
  <w:style w:type="paragraph" w:styleId="Date">
    <w:name w:val="Date"/>
    <w:basedOn w:val="Normal"/>
    <w:next w:val="Normal"/>
    <w:link w:val="DateChar"/>
    <w:rsid w:val="00B7265E"/>
  </w:style>
  <w:style w:type="character" w:customStyle="1" w:styleId="DateChar">
    <w:name w:val="Date Char"/>
    <w:basedOn w:val="DefaultParagraphFont"/>
    <w:link w:val="Date"/>
    <w:rsid w:val="00B7265E"/>
    <w:rPr>
      <w:sz w:val="22"/>
    </w:rPr>
  </w:style>
  <w:style w:type="paragraph" w:styleId="BodyTextFirstIndent">
    <w:name w:val="Body Text First Indent"/>
    <w:basedOn w:val="BodyText"/>
    <w:link w:val="BodyTextFirstIndentChar"/>
    <w:rsid w:val="00B7265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7265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7265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7265E"/>
    <w:rPr>
      <w:sz w:val="22"/>
    </w:rPr>
  </w:style>
  <w:style w:type="paragraph" w:styleId="BodyText2">
    <w:name w:val="Body Text 2"/>
    <w:basedOn w:val="Normal"/>
    <w:link w:val="BodyText2Char"/>
    <w:rsid w:val="00B726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7265E"/>
    <w:rPr>
      <w:sz w:val="22"/>
    </w:rPr>
  </w:style>
  <w:style w:type="paragraph" w:styleId="BodyText3">
    <w:name w:val="Body Text 3"/>
    <w:basedOn w:val="Normal"/>
    <w:link w:val="BodyText3Char"/>
    <w:rsid w:val="00B726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7265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7265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7265E"/>
    <w:rPr>
      <w:sz w:val="22"/>
    </w:rPr>
  </w:style>
  <w:style w:type="paragraph" w:styleId="BodyTextIndent3">
    <w:name w:val="Body Text Indent 3"/>
    <w:basedOn w:val="Normal"/>
    <w:link w:val="BodyTextIndent3Char"/>
    <w:rsid w:val="00B7265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7265E"/>
    <w:rPr>
      <w:sz w:val="16"/>
      <w:szCs w:val="16"/>
    </w:rPr>
  </w:style>
  <w:style w:type="paragraph" w:styleId="BlockText">
    <w:name w:val="Block Text"/>
    <w:basedOn w:val="Normal"/>
    <w:rsid w:val="00B7265E"/>
    <w:pPr>
      <w:spacing w:after="120"/>
      <w:ind w:left="1440" w:right="1440"/>
    </w:pPr>
  </w:style>
  <w:style w:type="character" w:styleId="Hyperlink">
    <w:name w:val="Hyperlink"/>
    <w:basedOn w:val="DefaultParagraphFont"/>
    <w:rsid w:val="00B7265E"/>
    <w:rPr>
      <w:color w:val="0000FF"/>
      <w:u w:val="single"/>
    </w:rPr>
  </w:style>
  <w:style w:type="character" w:styleId="FollowedHyperlink">
    <w:name w:val="FollowedHyperlink"/>
    <w:basedOn w:val="DefaultParagraphFont"/>
    <w:rsid w:val="00B7265E"/>
    <w:rPr>
      <w:color w:val="800080"/>
      <w:u w:val="single"/>
    </w:rPr>
  </w:style>
  <w:style w:type="character" w:styleId="Strong">
    <w:name w:val="Strong"/>
    <w:basedOn w:val="DefaultParagraphFont"/>
    <w:qFormat/>
    <w:rsid w:val="00B7265E"/>
    <w:rPr>
      <w:b/>
      <w:bCs/>
    </w:rPr>
  </w:style>
  <w:style w:type="character" w:styleId="Emphasis">
    <w:name w:val="Emphasis"/>
    <w:basedOn w:val="DefaultParagraphFont"/>
    <w:qFormat/>
    <w:rsid w:val="00B7265E"/>
    <w:rPr>
      <w:i/>
      <w:iCs/>
    </w:rPr>
  </w:style>
  <w:style w:type="paragraph" w:styleId="DocumentMap">
    <w:name w:val="Document Map"/>
    <w:basedOn w:val="Normal"/>
    <w:link w:val="DocumentMapChar"/>
    <w:rsid w:val="00B7265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7265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7265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7265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7265E"/>
  </w:style>
  <w:style w:type="character" w:customStyle="1" w:styleId="E-mailSignatureChar">
    <w:name w:val="E-mail Signature Char"/>
    <w:basedOn w:val="DefaultParagraphFont"/>
    <w:link w:val="E-mailSignature"/>
    <w:rsid w:val="00B7265E"/>
    <w:rPr>
      <w:sz w:val="22"/>
    </w:rPr>
  </w:style>
  <w:style w:type="paragraph" w:styleId="NormalWeb">
    <w:name w:val="Normal (Web)"/>
    <w:basedOn w:val="Normal"/>
    <w:rsid w:val="00B7265E"/>
  </w:style>
  <w:style w:type="character" w:styleId="HTMLAcronym">
    <w:name w:val="HTML Acronym"/>
    <w:basedOn w:val="DefaultParagraphFont"/>
    <w:rsid w:val="00B7265E"/>
  </w:style>
  <w:style w:type="paragraph" w:styleId="HTMLAddress">
    <w:name w:val="HTML Address"/>
    <w:basedOn w:val="Normal"/>
    <w:link w:val="HTMLAddressChar"/>
    <w:rsid w:val="00B7265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7265E"/>
    <w:rPr>
      <w:i/>
      <w:iCs/>
      <w:sz w:val="22"/>
    </w:rPr>
  </w:style>
  <w:style w:type="character" w:styleId="HTMLCite">
    <w:name w:val="HTML Cite"/>
    <w:basedOn w:val="DefaultParagraphFont"/>
    <w:rsid w:val="00B7265E"/>
    <w:rPr>
      <w:i/>
      <w:iCs/>
    </w:rPr>
  </w:style>
  <w:style w:type="character" w:styleId="HTMLCode">
    <w:name w:val="HTML Code"/>
    <w:basedOn w:val="DefaultParagraphFont"/>
    <w:rsid w:val="00B7265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7265E"/>
    <w:rPr>
      <w:i/>
      <w:iCs/>
    </w:rPr>
  </w:style>
  <w:style w:type="character" w:styleId="HTMLKeyboard">
    <w:name w:val="HTML Keyboard"/>
    <w:basedOn w:val="DefaultParagraphFont"/>
    <w:rsid w:val="00B7265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7265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7265E"/>
    <w:rPr>
      <w:rFonts w:ascii="Courier New" w:hAnsi="Courier New" w:cs="Courier New"/>
    </w:rPr>
  </w:style>
  <w:style w:type="character" w:styleId="HTMLSample">
    <w:name w:val="HTML Sample"/>
    <w:basedOn w:val="DefaultParagraphFont"/>
    <w:rsid w:val="00B7265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7265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7265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72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265E"/>
    <w:rPr>
      <w:b/>
      <w:bCs/>
    </w:rPr>
  </w:style>
  <w:style w:type="numbering" w:styleId="1ai">
    <w:name w:val="Outline List 1"/>
    <w:basedOn w:val="NoList"/>
    <w:rsid w:val="00B7265E"/>
    <w:pPr>
      <w:numPr>
        <w:numId w:val="14"/>
      </w:numPr>
    </w:pPr>
  </w:style>
  <w:style w:type="numbering" w:styleId="111111">
    <w:name w:val="Outline List 2"/>
    <w:basedOn w:val="NoList"/>
    <w:rsid w:val="00B7265E"/>
    <w:pPr>
      <w:numPr>
        <w:numId w:val="15"/>
      </w:numPr>
    </w:pPr>
  </w:style>
  <w:style w:type="numbering" w:styleId="ArticleSection">
    <w:name w:val="Outline List 3"/>
    <w:basedOn w:val="NoList"/>
    <w:rsid w:val="00B7265E"/>
    <w:pPr>
      <w:numPr>
        <w:numId w:val="17"/>
      </w:numPr>
    </w:pPr>
  </w:style>
  <w:style w:type="table" w:styleId="TableSimple1">
    <w:name w:val="Table Simple 1"/>
    <w:basedOn w:val="TableNormal"/>
    <w:rsid w:val="00B7265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7265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726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7265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7265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7265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7265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7265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7265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7265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7265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7265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7265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7265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7265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7265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7265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7265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7265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726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726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7265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7265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7265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7265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7265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726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7265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7265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7265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7265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7265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7265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7265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7265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7265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7265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7265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7265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7265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7265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7265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7265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7265E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265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65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65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265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265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265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7265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7265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7265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7265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7265E"/>
  </w:style>
  <w:style w:type="paragraph" w:customStyle="1" w:styleId="OPCParaBase">
    <w:name w:val="OPCParaBase"/>
    <w:qFormat/>
    <w:rsid w:val="00B7265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7265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7265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7265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7265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7265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7265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7265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7265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7265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7265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7265E"/>
  </w:style>
  <w:style w:type="paragraph" w:customStyle="1" w:styleId="Blocks">
    <w:name w:val="Blocks"/>
    <w:aliases w:val="bb"/>
    <w:basedOn w:val="OPCParaBase"/>
    <w:qFormat/>
    <w:rsid w:val="00B7265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726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7265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7265E"/>
    <w:rPr>
      <w:i/>
    </w:rPr>
  </w:style>
  <w:style w:type="paragraph" w:customStyle="1" w:styleId="BoxList">
    <w:name w:val="BoxList"/>
    <w:aliases w:val="bl"/>
    <w:basedOn w:val="BoxText"/>
    <w:qFormat/>
    <w:rsid w:val="00B7265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7265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7265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7265E"/>
    <w:pPr>
      <w:ind w:left="1985" w:hanging="851"/>
    </w:pPr>
  </w:style>
  <w:style w:type="character" w:customStyle="1" w:styleId="CharAmPartNo">
    <w:name w:val="CharAmPartNo"/>
    <w:basedOn w:val="OPCCharBase"/>
    <w:qFormat/>
    <w:rsid w:val="00B7265E"/>
  </w:style>
  <w:style w:type="character" w:customStyle="1" w:styleId="CharAmPartText">
    <w:name w:val="CharAmPartText"/>
    <w:basedOn w:val="OPCCharBase"/>
    <w:qFormat/>
    <w:rsid w:val="00B7265E"/>
  </w:style>
  <w:style w:type="character" w:customStyle="1" w:styleId="CharAmSchNo">
    <w:name w:val="CharAmSchNo"/>
    <w:basedOn w:val="OPCCharBase"/>
    <w:qFormat/>
    <w:rsid w:val="00B7265E"/>
  </w:style>
  <w:style w:type="character" w:customStyle="1" w:styleId="CharAmSchText">
    <w:name w:val="CharAmSchText"/>
    <w:basedOn w:val="OPCCharBase"/>
    <w:qFormat/>
    <w:rsid w:val="00B7265E"/>
  </w:style>
  <w:style w:type="character" w:customStyle="1" w:styleId="CharBoldItalic">
    <w:name w:val="CharBoldItalic"/>
    <w:basedOn w:val="OPCCharBase"/>
    <w:uiPriority w:val="1"/>
    <w:qFormat/>
    <w:rsid w:val="00B7265E"/>
    <w:rPr>
      <w:b/>
      <w:i/>
    </w:rPr>
  </w:style>
  <w:style w:type="character" w:customStyle="1" w:styleId="CharChapNo">
    <w:name w:val="CharChapNo"/>
    <w:basedOn w:val="OPCCharBase"/>
    <w:uiPriority w:val="1"/>
    <w:qFormat/>
    <w:rsid w:val="00B7265E"/>
  </w:style>
  <w:style w:type="character" w:customStyle="1" w:styleId="CharChapText">
    <w:name w:val="CharChapText"/>
    <w:basedOn w:val="OPCCharBase"/>
    <w:uiPriority w:val="1"/>
    <w:qFormat/>
    <w:rsid w:val="00B7265E"/>
  </w:style>
  <w:style w:type="character" w:customStyle="1" w:styleId="CharDivNo">
    <w:name w:val="CharDivNo"/>
    <w:basedOn w:val="OPCCharBase"/>
    <w:uiPriority w:val="1"/>
    <w:qFormat/>
    <w:rsid w:val="00B7265E"/>
  </w:style>
  <w:style w:type="character" w:customStyle="1" w:styleId="CharDivText">
    <w:name w:val="CharDivText"/>
    <w:basedOn w:val="OPCCharBase"/>
    <w:uiPriority w:val="1"/>
    <w:qFormat/>
    <w:rsid w:val="00B7265E"/>
  </w:style>
  <w:style w:type="character" w:customStyle="1" w:styleId="CharItalic">
    <w:name w:val="CharItalic"/>
    <w:basedOn w:val="OPCCharBase"/>
    <w:uiPriority w:val="1"/>
    <w:qFormat/>
    <w:rsid w:val="00B7265E"/>
    <w:rPr>
      <w:i/>
    </w:rPr>
  </w:style>
  <w:style w:type="character" w:customStyle="1" w:styleId="CharPartNo">
    <w:name w:val="CharPartNo"/>
    <w:basedOn w:val="OPCCharBase"/>
    <w:uiPriority w:val="1"/>
    <w:qFormat/>
    <w:rsid w:val="00B7265E"/>
  </w:style>
  <w:style w:type="character" w:customStyle="1" w:styleId="CharPartText">
    <w:name w:val="CharPartText"/>
    <w:basedOn w:val="OPCCharBase"/>
    <w:uiPriority w:val="1"/>
    <w:qFormat/>
    <w:rsid w:val="00B7265E"/>
  </w:style>
  <w:style w:type="character" w:customStyle="1" w:styleId="CharSectno">
    <w:name w:val="CharSectno"/>
    <w:basedOn w:val="OPCCharBase"/>
    <w:qFormat/>
    <w:rsid w:val="00B7265E"/>
  </w:style>
  <w:style w:type="character" w:customStyle="1" w:styleId="CharSubdNo">
    <w:name w:val="CharSubdNo"/>
    <w:basedOn w:val="OPCCharBase"/>
    <w:uiPriority w:val="1"/>
    <w:qFormat/>
    <w:rsid w:val="00B7265E"/>
  </w:style>
  <w:style w:type="character" w:customStyle="1" w:styleId="CharSubdText">
    <w:name w:val="CharSubdText"/>
    <w:basedOn w:val="OPCCharBase"/>
    <w:uiPriority w:val="1"/>
    <w:qFormat/>
    <w:rsid w:val="00B7265E"/>
  </w:style>
  <w:style w:type="paragraph" w:customStyle="1" w:styleId="CTA--">
    <w:name w:val="CTA --"/>
    <w:basedOn w:val="OPCParaBase"/>
    <w:next w:val="Normal"/>
    <w:rsid w:val="00B7265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7265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7265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7265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7265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7265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7265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7265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7265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7265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7265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7265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7265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7265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7265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7265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7265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7265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7265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7265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7265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7265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7265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7265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7265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7265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7265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7265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7265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7265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7265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7265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7265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7265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7265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7265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7265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7265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7265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7265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7265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7265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7265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7265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7265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7265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7265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7265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7265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7265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7265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726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7265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7265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7265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7265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7265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7265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7265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7265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7265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7265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7265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7265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7265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7265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7265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7265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7265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7265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7265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7265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7265E"/>
    <w:rPr>
      <w:sz w:val="16"/>
    </w:rPr>
  </w:style>
  <w:style w:type="table" w:customStyle="1" w:styleId="CFlag">
    <w:name w:val="CFlag"/>
    <w:basedOn w:val="TableNormal"/>
    <w:uiPriority w:val="99"/>
    <w:rsid w:val="00B7265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726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26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7265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7265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7265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7265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7265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7265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7265E"/>
    <w:pPr>
      <w:spacing w:before="120"/>
    </w:pPr>
  </w:style>
  <w:style w:type="paragraph" w:customStyle="1" w:styleId="CompiledActNo">
    <w:name w:val="CompiledActNo"/>
    <w:basedOn w:val="OPCParaBase"/>
    <w:next w:val="Normal"/>
    <w:rsid w:val="00B7265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7265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7265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7265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7265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7265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7265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7265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7265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7265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7265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7265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7265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7265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7265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7265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7265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7265E"/>
  </w:style>
  <w:style w:type="character" w:customStyle="1" w:styleId="CharSubPartNoCASA">
    <w:name w:val="CharSubPartNo(CASA)"/>
    <w:basedOn w:val="OPCCharBase"/>
    <w:uiPriority w:val="1"/>
    <w:rsid w:val="00B7265E"/>
  </w:style>
  <w:style w:type="paragraph" w:customStyle="1" w:styleId="ENoteTTIndentHeadingSub">
    <w:name w:val="ENoteTTIndentHeadingSub"/>
    <w:aliases w:val="enTTHis"/>
    <w:basedOn w:val="OPCParaBase"/>
    <w:rsid w:val="00B7265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7265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7265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7265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7265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7265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726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7265E"/>
    <w:rPr>
      <w:sz w:val="22"/>
    </w:rPr>
  </w:style>
  <w:style w:type="paragraph" w:customStyle="1" w:styleId="SOTextNote">
    <w:name w:val="SO TextNote"/>
    <w:aliases w:val="sont"/>
    <w:basedOn w:val="SOText"/>
    <w:qFormat/>
    <w:rsid w:val="00B7265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7265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7265E"/>
    <w:rPr>
      <w:sz w:val="22"/>
    </w:rPr>
  </w:style>
  <w:style w:type="paragraph" w:customStyle="1" w:styleId="FileName">
    <w:name w:val="FileName"/>
    <w:basedOn w:val="Normal"/>
    <w:rsid w:val="00B7265E"/>
  </w:style>
  <w:style w:type="paragraph" w:customStyle="1" w:styleId="TableHeading">
    <w:name w:val="TableHeading"/>
    <w:aliases w:val="th"/>
    <w:basedOn w:val="OPCParaBase"/>
    <w:next w:val="Tabletext"/>
    <w:rsid w:val="00B7265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7265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7265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7265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7265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7265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7265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7265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7265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726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7265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7265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7265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7265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726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26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265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7265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7265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7265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7265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7265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726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7265E"/>
  </w:style>
  <w:style w:type="character" w:customStyle="1" w:styleId="charlegsubtitle1">
    <w:name w:val="charlegsubtitle1"/>
    <w:basedOn w:val="DefaultParagraphFont"/>
    <w:rsid w:val="00B7265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7265E"/>
    <w:pPr>
      <w:ind w:left="240" w:hanging="240"/>
    </w:pPr>
  </w:style>
  <w:style w:type="paragraph" w:styleId="Index2">
    <w:name w:val="index 2"/>
    <w:basedOn w:val="Normal"/>
    <w:next w:val="Normal"/>
    <w:autoRedefine/>
    <w:rsid w:val="00B7265E"/>
    <w:pPr>
      <w:ind w:left="480" w:hanging="240"/>
    </w:pPr>
  </w:style>
  <w:style w:type="paragraph" w:styleId="Index3">
    <w:name w:val="index 3"/>
    <w:basedOn w:val="Normal"/>
    <w:next w:val="Normal"/>
    <w:autoRedefine/>
    <w:rsid w:val="00B7265E"/>
    <w:pPr>
      <w:ind w:left="720" w:hanging="240"/>
    </w:pPr>
  </w:style>
  <w:style w:type="paragraph" w:styleId="Index4">
    <w:name w:val="index 4"/>
    <w:basedOn w:val="Normal"/>
    <w:next w:val="Normal"/>
    <w:autoRedefine/>
    <w:rsid w:val="00B7265E"/>
    <w:pPr>
      <w:ind w:left="960" w:hanging="240"/>
    </w:pPr>
  </w:style>
  <w:style w:type="paragraph" w:styleId="Index5">
    <w:name w:val="index 5"/>
    <w:basedOn w:val="Normal"/>
    <w:next w:val="Normal"/>
    <w:autoRedefine/>
    <w:rsid w:val="00B7265E"/>
    <w:pPr>
      <w:ind w:left="1200" w:hanging="240"/>
    </w:pPr>
  </w:style>
  <w:style w:type="paragraph" w:styleId="Index6">
    <w:name w:val="index 6"/>
    <w:basedOn w:val="Normal"/>
    <w:next w:val="Normal"/>
    <w:autoRedefine/>
    <w:rsid w:val="00B7265E"/>
    <w:pPr>
      <w:ind w:left="1440" w:hanging="240"/>
    </w:pPr>
  </w:style>
  <w:style w:type="paragraph" w:styleId="Index7">
    <w:name w:val="index 7"/>
    <w:basedOn w:val="Normal"/>
    <w:next w:val="Normal"/>
    <w:autoRedefine/>
    <w:rsid w:val="00B7265E"/>
    <w:pPr>
      <w:ind w:left="1680" w:hanging="240"/>
    </w:pPr>
  </w:style>
  <w:style w:type="paragraph" w:styleId="Index8">
    <w:name w:val="index 8"/>
    <w:basedOn w:val="Normal"/>
    <w:next w:val="Normal"/>
    <w:autoRedefine/>
    <w:rsid w:val="00B7265E"/>
    <w:pPr>
      <w:ind w:left="1920" w:hanging="240"/>
    </w:pPr>
  </w:style>
  <w:style w:type="paragraph" w:styleId="Index9">
    <w:name w:val="index 9"/>
    <w:basedOn w:val="Normal"/>
    <w:next w:val="Normal"/>
    <w:autoRedefine/>
    <w:rsid w:val="00B7265E"/>
    <w:pPr>
      <w:ind w:left="2160" w:hanging="240"/>
    </w:pPr>
  </w:style>
  <w:style w:type="paragraph" w:styleId="NormalIndent">
    <w:name w:val="Normal Indent"/>
    <w:basedOn w:val="Normal"/>
    <w:rsid w:val="00B7265E"/>
    <w:pPr>
      <w:ind w:left="720"/>
    </w:pPr>
  </w:style>
  <w:style w:type="paragraph" w:styleId="FootnoteText">
    <w:name w:val="footnote text"/>
    <w:basedOn w:val="Normal"/>
    <w:link w:val="FootnoteTextChar"/>
    <w:rsid w:val="00B7265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7265E"/>
  </w:style>
  <w:style w:type="paragraph" w:styleId="CommentText">
    <w:name w:val="annotation text"/>
    <w:basedOn w:val="Normal"/>
    <w:link w:val="CommentTextChar"/>
    <w:rsid w:val="00B7265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265E"/>
  </w:style>
  <w:style w:type="paragraph" w:styleId="IndexHeading">
    <w:name w:val="index heading"/>
    <w:basedOn w:val="Normal"/>
    <w:next w:val="Index1"/>
    <w:rsid w:val="00B7265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7265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7265E"/>
    <w:pPr>
      <w:ind w:left="480" w:hanging="480"/>
    </w:pPr>
  </w:style>
  <w:style w:type="paragraph" w:styleId="EnvelopeAddress">
    <w:name w:val="envelope address"/>
    <w:basedOn w:val="Normal"/>
    <w:rsid w:val="00B7265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7265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7265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7265E"/>
    <w:rPr>
      <w:sz w:val="16"/>
      <w:szCs w:val="16"/>
    </w:rPr>
  </w:style>
  <w:style w:type="character" w:styleId="PageNumber">
    <w:name w:val="page number"/>
    <w:basedOn w:val="DefaultParagraphFont"/>
    <w:rsid w:val="00B7265E"/>
  </w:style>
  <w:style w:type="character" w:styleId="EndnoteReference">
    <w:name w:val="endnote reference"/>
    <w:basedOn w:val="DefaultParagraphFont"/>
    <w:rsid w:val="00B7265E"/>
    <w:rPr>
      <w:vertAlign w:val="superscript"/>
    </w:rPr>
  </w:style>
  <w:style w:type="paragraph" w:styleId="EndnoteText">
    <w:name w:val="endnote text"/>
    <w:basedOn w:val="Normal"/>
    <w:link w:val="EndnoteTextChar"/>
    <w:rsid w:val="00B7265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7265E"/>
  </w:style>
  <w:style w:type="paragraph" w:styleId="TableofAuthorities">
    <w:name w:val="table of authorities"/>
    <w:basedOn w:val="Normal"/>
    <w:next w:val="Normal"/>
    <w:rsid w:val="00B7265E"/>
    <w:pPr>
      <w:ind w:left="240" w:hanging="240"/>
    </w:pPr>
  </w:style>
  <w:style w:type="paragraph" w:styleId="MacroText">
    <w:name w:val="macro"/>
    <w:link w:val="MacroTextChar"/>
    <w:rsid w:val="00B726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7265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7265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7265E"/>
    <w:pPr>
      <w:ind w:left="283" w:hanging="283"/>
    </w:pPr>
  </w:style>
  <w:style w:type="paragraph" w:styleId="ListBullet">
    <w:name w:val="List Bullet"/>
    <w:basedOn w:val="Normal"/>
    <w:autoRedefine/>
    <w:rsid w:val="00B7265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7265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7265E"/>
    <w:pPr>
      <w:ind w:left="566" w:hanging="283"/>
    </w:pPr>
  </w:style>
  <w:style w:type="paragraph" w:styleId="List3">
    <w:name w:val="List 3"/>
    <w:basedOn w:val="Normal"/>
    <w:rsid w:val="00B7265E"/>
    <w:pPr>
      <w:ind w:left="849" w:hanging="283"/>
    </w:pPr>
  </w:style>
  <w:style w:type="paragraph" w:styleId="List4">
    <w:name w:val="List 4"/>
    <w:basedOn w:val="Normal"/>
    <w:rsid w:val="00B7265E"/>
    <w:pPr>
      <w:ind w:left="1132" w:hanging="283"/>
    </w:pPr>
  </w:style>
  <w:style w:type="paragraph" w:styleId="List5">
    <w:name w:val="List 5"/>
    <w:basedOn w:val="Normal"/>
    <w:rsid w:val="00B7265E"/>
    <w:pPr>
      <w:ind w:left="1415" w:hanging="283"/>
    </w:pPr>
  </w:style>
  <w:style w:type="paragraph" w:styleId="ListBullet2">
    <w:name w:val="List Bullet 2"/>
    <w:basedOn w:val="Normal"/>
    <w:autoRedefine/>
    <w:rsid w:val="00B7265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7265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7265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7265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7265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7265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7265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7265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7265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7265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7265E"/>
    <w:pPr>
      <w:ind w:left="4252"/>
    </w:pPr>
  </w:style>
  <w:style w:type="character" w:customStyle="1" w:styleId="ClosingChar">
    <w:name w:val="Closing Char"/>
    <w:basedOn w:val="DefaultParagraphFont"/>
    <w:link w:val="Closing"/>
    <w:rsid w:val="00B7265E"/>
    <w:rPr>
      <w:sz w:val="22"/>
    </w:rPr>
  </w:style>
  <w:style w:type="paragraph" w:styleId="Signature">
    <w:name w:val="Signature"/>
    <w:basedOn w:val="Normal"/>
    <w:link w:val="SignatureChar"/>
    <w:rsid w:val="00B7265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7265E"/>
    <w:rPr>
      <w:sz w:val="22"/>
    </w:rPr>
  </w:style>
  <w:style w:type="paragraph" w:styleId="BodyText">
    <w:name w:val="Body Text"/>
    <w:basedOn w:val="Normal"/>
    <w:link w:val="BodyTextChar"/>
    <w:rsid w:val="00B7265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7265E"/>
    <w:rPr>
      <w:sz w:val="22"/>
    </w:rPr>
  </w:style>
  <w:style w:type="paragraph" w:styleId="BodyTextIndent">
    <w:name w:val="Body Text Indent"/>
    <w:basedOn w:val="Normal"/>
    <w:link w:val="BodyTextIndentChar"/>
    <w:rsid w:val="00B7265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7265E"/>
    <w:rPr>
      <w:sz w:val="22"/>
    </w:rPr>
  </w:style>
  <w:style w:type="paragraph" w:styleId="ListContinue">
    <w:name w:val="List Continue"/>
    <w:basedOn w:val="Normal"/>
    <w:rsid w:val="00B7265E"/>
    <w:pPr>
      <w:spacing w:after="120"/>
      <w:ind w:left="283"/>
    </w:pPr>
  </w:style>
  <w:style w:type="paragraph" w:styleId="ListContinue2">
    <w:name w:val="List Continue 2"/>
    <w:basedOn w:val="Normal"/>
    <w:rsid w:val="00B7265E"/>
    <w:pPr>
      <w:spacing w:after="120"/>
      <w:ind w:left="566"/>
    </w:pPr>
  </w:style>
  <w:style w:type="paragraph" w:styleId="ListContinue3">
    <w:name w:val="List Continue 3"/>
    <w:basedOn w:val="Normal"/>
    <w:rsid w:val="00B7265E"/>
    <w:pPr>
      <w:spacing w:after="120"/>
      <w:ind w:left="849"/>
    </w:pPr>
  </w:style>
  <w:style w:type="paragraph" w:styleId="ListContinue4">
    <w:name w:val="List Continue 4"/>
    <w:basedOn w:val="Normal"/>
    <w:rsid w:val="00B7265E"/>
    <w:pPr>
      <w:spacing w:after="120"/>
      <w:ind w:left="1132"/>
    </w:pPr>
  </w:style>
  <w:style w:type="paragraph" w:styleId="ListContinue5">
    <w:name w:val="List Continue 5"/>
    <w:basedOn w:val="Normal"/>
    <w:rsid w:val="00B7265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726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7265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7265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7265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7265E"/>
  </w:style>
  <w:style w:type="character" w:customStyle="1" w:styleId="SalutationChar">
    <w:name w:val="Salutation Char"/>
    <w:basedOn w:val="DefaultParagraphFont"/>
    <w:link w:val="Salutation"/>
    <w:rsid w:val="00B7265E"/>
    <w:rPr>
      <w:sz w:val="22"/>
    </w:rPr>
  </w:style>
  <w:style w:type="paragraph" w:styleId="Date">
    <w:name w:val="Date"/>
    <w:basedOn w:val="Normal"/>
    <w:next w:val="Normal"/>
    <w:link w:val="DateChar"/>
    <w:rsid w:val="00B7265E"/>
  </w:style>
  <w:style w:type="character" w:customStyle="1" w:styleId="DateChar">
    <w:name w:val="Date Char"/>
    <w:basedOn w:val="DefaultParagraphFont"/>
    <w:link w:val="Date"/>
    <w:rsid w:val="00B7265E"/>
    <w:rPr>
      <w:sz w:val="22"/>
    </w:rPr>
  </w:style>
  <w:style w:type="paragraph" w:styleId="BodyTextFirstIndent">
    <w:name w:val="Body Text First Indent"/>
    <w:basedOn w:val="BodyText"/>
    <w:link w:val="BodyTextFirstIndentChar"/>
    <w:rsid w:val="00B7265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7265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7265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7265E"/>
    <w:rPr>
      <w:sz w:val="22"/>
    </w:rPr>
  </w:style>
  <w:style w:type="paragraph" w:styleId="BodyText2">
    <w:name w:val="Body Text 2"/>
    <w:basedOn w:val="Normal"/>
    <w:link w:val="BodyText2Char"/>
    <w:rsid w:val="00B726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7265E"/>
    <w:rPr>
      <w:sz w:val="22"/>
    </w:rPr>
  </w:style>
  <w:style w:type="paragraph" w:styleId="BodyText3">
    <w:name w:val="Body Text 3"/>
    <w:basedOn w:val="Normal"/>
    <w:link w:val="BodyText3Char"/>
    <w:rsid w:val="00B726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7265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7265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7265E"/>
    <w:rPr>
      <w:sz w:val="22"/>
    </w:rPr>
  </w:style>
  <w:style w:type="paragraph" w:styleId="BodyTextIndent3">
    <w:name w:val="Body Text Indent 3"/>
    <w:basedOn w:val="Normal"/>
    <w:link w:val="BodyTextIndent3Char"/>
    <w:rsid w:val="00B7265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7265E"/>
    <w:rPr>
      <w:sz w:val="16"/>
      <w:szCs w:val="16"/>
    </w:rPr>
  </w:style>
  <w:style w:type="paragraph" w:styleId="BlockText">
    <w:name w:val="Block Text"/>
    <w:basedOn w:val="Normal"/>
    <w:rsid w:val="00B7265E"/>
    <w:pPr>
      <w:spacing w:after="120"/>
      <w:ind w:left="1440" w:right="1440"/>
    </w:pPr>
  </w:style>
  <w:style w:type="character" w:styleId="Hyperlink">
    <w:name w:val="Hyperlink"/>
    <w:basedOn w:val="DefaultParagraphFont"/>
    <w:rsid w:val="00B7265E"/>
    <w:rPr>
      <w:color w:val="0000FF"/>
      <w:u w:val="single"/>
    </w:rPr>
  </w:style>
  <w:style w:type="character" w:styleId="FollowedHyperlink">
    <w:name w:val="FollowedHyperlink"/>
    <w:basedOn w:val="DefaultParagraphFont"/>
    <w:rsid w:val="00B7265E"/>
    <w:rPr>
      <w:color w:val="800080"/>
      <w:u w:val="single"/>
    </w:rPr>
  </w:style>
  <w:style w:type="character" w:styleId="Strong">
    <w:name w:val="Strong"/>
    <w:basedOn w:val="DefaultParagraphFont"/>
    <w:qFormat/>
    <w:rsid w:val="00B7265E"/>
    <w:rPr>
      <w:b/>
      <w:bCs/>
    </w:rPr>
  </w:style>
  <w:style w:type="character" w:styleId="Emphasis">
    <w:name w:val="Emphasis"/>
    <w:basedOn w:val="DefaultParagraphFont"/>
    <w:qFormat/>
    <w:rsid w:val="00B7265E"/>
    <w:rPr>
      <w:i/>
      <w:iCs/>
    </w:rPr>
  </w:style>
  <w:style w:type="paragraph" w:styleId="DocumentMap">
    <w:name w:val="Document Map"/>
    <w:basedOn w:val="Normal"/>
    <w:link w:val="DocumentMapChar"/>
    <w:rsid w:val="00B7265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7265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7265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7265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7265E"/>
  </w:style>
  <w:style w:type="character" w:customStyle="1" w:styleId="E-mailSignatureChar">
    <w:name w:val="E-mail Signature Char"/>
    <w:basedOn w:val="DefaultParagraphFont"/>
    <w:link w:val="E-mailSignature"/>
    <w:rsid w:val="00B7265E"/>
    <w:rPr>
      <w:sz w:val="22"/>
    </w:rPr>
  </w:style>
  <w:style w:type="paragraph" w:styleId="NormalWeb">
    <w:name w:val="Normal (Web)"/>
    <w:basedOn w:val="Normal"/>
    <w:rsid w:val="00B7265E"/>
  </w:style>
  <w:style w:type="character" w:styleId="HTMLAcronym">
    <w:name w:val="HTML Acronym"/>
    <w:basedOn w:val="DefaultParagraphFont"/>
    <w:rsid w:val="00B7265E"/>
  </w:style>
  <w:style w:type="paragraph" w:styleId="HTMLAddress">
    <w:name w:val="HTML Address"/>
    <w:basedOn w:val="Normal"/>
    <w:link w:val="HTMLAddressChar"/>
    <w:rsid w:val="00B7265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7265E"/>
    <w:rPr>
      <w:i/>
      <w:iCs/>
      <w:sz w:val="22"/>
    </w:rPr>
  </w:style>
  <w:style w:type="character" w:styleId="HTMLCite">
    <w:name w:val="HTML Cite"/>
    <w:basedOn w:val="DefaultParagraphFont"/>
    <w:rsid w:val="00B7265E"/>
    <w:rPr>
      <w:i/>
      <w:iCs/>
    </w:rPr>
  </w:style>
  <w:style w:type="character" w:styleId="HTMLCode">
    <w:name w:val="HTML Code"/>
    <w:basedOn w:val="DefaultParagraphFont"/>
    <w:rsid w:val="00B7265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7265E"/>
    <w:rPr>
      <w:i/>
      <w:iCs/>
    </w:rPr>
  </w:style>
  <w:style w:type="character" w:styleId="HTMLKeyboard">
    <w:name w:val="HTML Keyboard"/>
    <w:basedOn w:val="DefaultParagraphFont"/>
    <w:rsid w:val="00B7265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7265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7265E"/>
    <w:rPr>
      <w:rFonts w:ascii="Courier New" w:hAnsi="Courier New" w:cs="Courier New"/>
    </w:rPr>
  </w:style>
  <w:style w:type="character" w:styleId="HTMLSample">
    <w:name w:val="HTML Sample"/>
    <w:basedOn w:val="DefaultParagraphFont"/>
    <w:rsid w:val="00B7265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7265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7265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72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265E"/>
    <w:rPr>
      <w:b/>
      <w:bCs/>
    </w:rPr>
  </w:style>
  <w:style w:type="numbering" w:styleId="1ai">
    <w:name w:val="Outline List 1"/>
    <w:basedOn w:val="NoList"/>
    <w:rsid w:val="00B7265E"/>
    <w:pPr>
      <w:numPr>
        <w:numId w:val="14"/>
      </w:numPr>
    </w:pPr>
  </w:style>
  <w:style w:type="numbering" w:styleId="111111">
    <w:name w:val="Outline List 2"/>
    <w:basedOn w:val="NoList"/>
    <w:rsid w:val="00B7265E"/>
    <w:pPr>
      <w:numPr>
        <w:numId w:val="15"/>
      </w:numPr>
    </w:pPr>
  </w:style>
  <w:style w:type="numbering" w:styleId="ArticleSection">
    <w:name w:val="Outline List 3"/>
    <w:basedOn w:val="NoList"/>
    <w:rsid w:val="00B7265E"/>
    <w:pPr>
      <w:numPr>
        <w:numId w:val="17"/>
      </w:numPr>
    </w:pPr>
  </w:style>
  <w:style w:type="table" w:styleId="TableSimple1">
    <w:name w:val="Table Simple 1"/>
    <w:basedOn w:val="TableNormal"/>
    <w:rsid w:val="00B7265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7265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726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7265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7265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7265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7265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7265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7265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7265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7265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7265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7265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7265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7265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7265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7265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7265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7265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726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726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7265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7265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7265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7265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7265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726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7265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7265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7265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7265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7265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7265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7265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7265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7265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7265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7265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7265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7265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7265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7265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7265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7265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1676</Words>
  <Characters>8287</Characters>
  <Application>Microsoft Office Word</Application>
  <DocSecurity>0</DocSecurity>
  <PresentationFormat/>
  <Lines>207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Consumer Credit Protection Amendment (Responsible Lending Obligations) Regulations 2020</vt:lpstr>
    </vt:vector>
  </TitlesOfParts>
  <Manager/>
  <Company/>
  <LinksUpToDate>false</LinksUpToDate>
  <CharactersWithSpaces>9923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2020-09-04T03:37:00Z</cp:lastPrinted>
  <dcterms:created xsi:type="dcterms:W3CDTF">2020-09-28T02:48:00Z</dcterms:created>
  <dcterms:modified xsi:type="dcterms:W3CDTF">2020-09-28T02:48:00Z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National Consumer Credit Protection Amendment (Responsible Lending Obligations)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01 October 2020</vt:lpwstr>
  </property>
  <property fmtid="{D5CDD505-2E9C-101B-9397-08002B2CF9AE}" pid="10" name="ID">
    <vt:lpwstr>OPC64797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01 October 2020</vt:lpwstr>
  </property>
</Properties>
</file>