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83CEB" w14:textId="77777777" w:rsidR="00BA63EA" w:rsidRDefault="00BA63EA"/>
    <w:p w14:paraId="4C65E899" w14:textId="77777777" w:rsidR="00BA63EA" w:rsidRDefault="00BA63EA" w:rsidP="00BA63EA">
      <w:pPr>
        <w:pStyle w:val="Heading1"/>
      </w:pPr>
    </w:p>
    <w:p w14:paraId="7C991EA1" w14:textId="77777777" w:rsidR="00BA63EA" w:rsidRDefault="00BA63EA" w:rsidP="00BA63EA">
      <w:pPr>
        <w:pStyle w:val="Heading1"/>
      </w:pPr>
    </w:p>
    <w:p w14:paraId="1938F9A8" w14:textId="77777777" w:rsidR="00BA63EA" w:rsidRDefault="00BA63EA" w:rsidP="00BA63EA">
      <w:pPr>
        <w:pStyle w:val="Heading1"/>
      </w:pPr>
    </w:p>
    <w:p w14:paraId="39CE5C8D" w14:textId="77777777" w:rsidR="00BA63EA" w:rsidRDefault="00BA63EA" w:rsidP="00BA63EA">
      <w:pPr>
        <w:pStyle w:val="Heading1"/>
      </w:pPr>
    </w:p>
    <w:p w14:paraId="3CC161BE" w14:textId="77777777" w:rsidR="00BA63EA" w:rsidRDefault="00BA63EA" w:rsidP="00BA63EA">
      <w:pPr>
        <w:pStyle w:val="Heading1"/>
      </w:pPr>
    </w:p>
    <w:p w14:paraId="61CF8BAA" w14:textId="77777777" w:rsidR="00BA63EA" w:rsidRPr="00BA63EA" w:rsidRDefault="00BA63EA" w:rsidP="00BA63EA">
      <w:pPr>
        <w:pStyle w:val="Heading1"/>
        <w:rPr>
          <w:sz w:val="44"/>
        </w:rPr>
      </w:pPr>
      <w:bookmarkStart w:id="0" w:name="_Toc51766250"/>
      <w:r w:rsidRPr="00BA63EA">
        <w:rPr>
          <w:sz w:val="44"/>
        </w:rPr>
        <w:t>Explanatory Statement</w:t>
      </w:r>
      <w:bookmarkEnd w:id="0"/>
    </w:p>
    <w:p w14:paraId="722DEA32" w14:textId="3F5E4F00" w:rsidR="00BA63EA" w:rsidRPr="009443B8" w:rsidRDefault="00BA63EA" w:rsidP="007C4CAC">
      <w:pPr>
        <w:rPr>
          <w:i/>
          <w:color w:val="410099" w:themeColor="accent1"/>
          <w:sz w:val="28"/>
        </w:rPr>
      </w:pPr>
      <w:r w:rsidRPr="009443B8">
        <w:rPr>
          <w:i/>
          <w:color w:val="410099" w:themeColor="accent1"/>
          <w:sz w:val="28"/>
        </w:rPr>
        <w:t xml:space="preserve">Competition and Consumer (Consumer Data Right) </w:t>
      </w:r>
      <w:r w:rsidR="00BB2F1A" w:rsidRPr="009443B8">
        <w:rPr>
          <w:i/>
          <w:color w:val="410099" w:themeColor="accent1"/>
          <w:sz w:val="28"/>
        </w:rPr>
        <w:t>Amendment</w:t>
      </w:r>
      <w:r w:rsidRPr="009443B8">
        <w:rPr>
          <w:i/>
          <w:color w:val="410099" w:themeColor="accent1"/>
          <w:sz w:val="28"/>
        </w:rPr>
        <w:t xml:space="preserve"> Rules </w:t>
      </w:r>
      <w:r w:rsidR="00BB2F1A" w:rsidRPr="009443B8">
        <w:rPr>
          <w:i/>
          <w:color w:val="410099" w:themeColor="accent1"/>
          <w:sz w:val="28"/>
        </w:rPr>
        <w:t xml:space="preserve">(No. 2) </w:t>
      </w:r>
      <w:r w:rsidRPr="009443B8">
        <w:rPr>
          <w:i/>
          <w:color w:val="410099" w:themeColor="accent1"/>
          <w:sz w:val="28"/>
        </w:rPr>
        <w:t>2020</w:t>
      </w:r>
    </w:p>
    <w:p w14:paraId="667E8084" w14:textId="77777777" w:rsidR="00BA63EA" w:rsidRPr="007C4CAC" w:rsidRDefault="00BA63EA" w:rsidP="007C4CAC">
      <w:pPr>
        <w:rPr>
          <w:b/>
          <w:sz w:val="24"/>
        </w:rPr>
      </w:pPr>
      <w:r w:rsidRPr="007C4CAC">
        <w:rPr>
          <w:b/>
          <w:sz w:val="24"/>
        </w:rPr>
        <w:t>Prepared by the Australian Competition and Consumer Commission</w:t>
      </w:r>
    </w:p>
    <w:p w14:paraId="1E1527A4" w14:textId="77777777" w:rsidR="00BA63EA" w:rsidRDefault="00BA63EA">
      <w:r w:rsidRPr="00BA63EA">
        <w:br w:type="column"/>
      </w:r>
    </w:p>
    <w:sdt>
      <w:sdtPr>
        <w:rPr>
          <w:rFonts w:ascii="Arial" w:eastAsiaTheme="minorHAnsi" w:hAnsi="Arial" w:cstheme="minorBidi"/>
          <w:bCs w:val="0"/>
          <w:color w:val="auto"/>
          <w:sz w:val="22"/>
          <w:szCs w:val="22"/>
          <w:lang w:val="en-AU" w:eastAsia="en-US"/>
        </w:rPr>
        <w:id w:val="-1646739909"/>
        <w:docPartObj>
          <w:docPartGallery w:val="Table of Contents"/>
          <w:docPartUnique/>
        </w:docPartObj>
      </w:sdtPr>
      <w:sdtEndPr>
        <w:rPr>
          <w:b/>
          <w:noProof/>
        </w:rPr>
      </w:sdtEndPr>
      <w:sdtContent>
        <w:p w14:paraId="2C9E7055" w14:textId="77777777" w:rsidR="00BA63EA" w:rsidRDefault="00BA63EA">
          <w:pPr>
            <w:pStyle w:val="TOCHeading"/>
          </w:pPr>
          <w:r>
            <w:t>Contents</w:t>
          </w:r>
        </w:p>
        <w:p w14:paraId="5C2C40B2" w14:textId="5ED77486" w:rsidR="007F3BC0" w:rsidRDefault="00BA63EA">
          <w:pPr>
            <w:pStyle w:val="TOC1"/>
            <w:rPr>
              <w:rFonts w:asciiTheme="minorHAnsi" w:eastAsiaTheme="minorEastAsia" w:hAnsiTheme="minorHAnsi"/>
              <w:lang w:val="en-AU" w:eastAsia="en-AU"/>
            </w:rPr>
          </w:pPr>
          <w:r>
            <w:fldChar w:fldCharType="begin"/>
          </w:r>
          <w:r>
            <w:instrText xml:space="preserve"> TOC \o "1-3" \h \z \u </w:instrText>
          </w:r>
          <w:r>
            <w:fldChar w:fldCharType="separate"/>
          </w:r>
          <w:hyperlink w:anchor="_Toc51766250" w:history="1">
            <w:r w:rsidR="007F3BC0" w:rsidRPr="006D3541">
              <w:rPr>
                <w:rStyle w:val="Hyperlink"/>
              </w:rPr>
              <w:t>Explanatory Statement</w:t>
            </w:r>
            <w:r w:rsidR="007F3BC0">
              <w:rPr>
                <w:webHidden/>
              </w:rPr>
              <w:tab/>
            </w:r>
            <w:r w:rsidR="007F3BC0">
              <w:rPr>
                <w:webHidden/>
              </w:rPr>
              <w:fldChar w:fldCharType="begin"/>
            </w:r>
            <w:r w:rsidR="007F3BC0">
              <w:rPr>
                <w:webHidden/>
              </w:rPr>
              <w:instrText xml:space="preserve"> PAGEREF _Toc51766250 \h </w:instrText>
            </w:r>
            <w:r w:rsidR="007F3BC0">
              <w:rPr>
                <w:webHidden/>
              </w:rPr>
            </w:r>
            <w:r w:rsidR="007F3BC0">
              <w:rPr>
                <w:webHidden/>
              </w:rPr>
              <w:fldChar w:fldCharType="separate"/>
            </w:r>
            <w:r w:rsidR="007F3BC0">
              <w:rPr>
                <w:webHidden/>
              </w:rPr>
              <w:t>1</w:t>
            </w:r>
            <w:r w:rsidR="007F3BC0">
              <w:rPr>
                <w:webHidden/>
              </w:rPr>
              <w:fldChar w:fldCharType="end"/>
            </w:r>
          </w:hyperlink>
        </w:p>
        <w:p w14:paraId="28BAD989" w14:textId="19CA007C" w:rsidR="007F3BC0" w:rsidRDefault="00EF40FF">
          <w:pPr>
            <w:pStyle w:val="TOC1"/>
            <w:rPr>
              <w:rFonts w:asciiTheme="minorHAnsi" w:eastAsiaTheme="minorEastAsia" w:hAnsiTheme="minorHAnsi"/>
              <w:lang w:val="en-AU" w:eastAsia="en-AU"/>
            </w:rPr>
          </w:pPr>
          <w:hyperlink w:anchor="_Toc51766251" w:history="1">
            <w:r w:rsidR="007F3BC0" w:rsidRPr="006D3541">
              <w:rPr>
                <w:rStyle w:val="Hyperlink"/>
              </w:rPr>
              <w:t xml:space="preserve">Explanatory Statement: </w:t>
            </w:r>
            <w:r w:rsidR="007F3BC0" w:rsidRPr="006D3541">
              <w:rPr>
                <w:rStyle w:val="Hyperlink"/>
                <w:i/>
              </w:rPr>
              <w:t>Competition and Consumer (Consumer Data Right) Amendment Rules (No. 2) 2020</w:t>
            </w:r>
            <w:r w:rsidR="007F3BC0">
              <w:rPr>
                <w:webHidden/>
              </w:rPr>
              <w:tab/>
            </w:r>
            <w:r w:rsidR="007F3BC0">
              <w:rPr>
                <w:webHidden/>
              </w:rPr>
              <w:fldChar w:fldCharType="begin"/>
            </w:r>
            <w:r w:rsidR="007F3BC0">
              <w:rPr>
                <w:webHidden/>
              </w:rPr>
              <w:instrText xml:space="preserve"> PAGEREF _Toc51766251 \h </w:instrText>
            </w:r>
            <w:r w:rsidR="007F3BC0">
              <w:rPr>
                <w:webHidden/>
              </w:rPr>
            </w:r>
            <w:r w:rsidR="007F3BC0">
              <w:rPr>
                <w:webHidden/>
              </w:rPr>
              <w:fldChar w:fldCharType="separate"/>
            </w:r>
            <w:r w:rsidR="007F3BC0">
              <w:rPr>
                <w:webHidden/>
              </w:rPr>
              <w:t>3</w:t>
            </w:r>
            <w:r w:rsidR="007F3BC0">
              <w:rPr>
                <w:webHidden/>
              </w:rPr>
              <w:fldChar w:fldCharType="end"/>
            </w:r>
          </w:hyperlink>
        </w:p>
        <w:p w14:paraId="233833B0" w14:textId="329CD54F" w:rsidR="007F3BC0" w:rsidRDefault="00EF40FF">
          <w:pPr>
            <w:pStyle w:val="TOC2"/>
            <w:rPr>
              <w:rFonts w:asciiTheme="minorHAnsi" w:eastAsiaTheme="minorEastAsia" w:hAnsiTheme="minorHAnsi"/>
              <w:lang w:eastAsia="en-AU"/>
            </w:rPr>
          </w:pPr>
          <w:hyperlink w:anchor="_Toc51766252" w:history="1">
            <w:r w:rsidR="007F3BC0" w:rsidRPr="006D3541">
              <w:rPr>
                <w:rStyle w:val="Hyperlink"/>
              </w:rPr>
              <w:t>Background</w:t>
            </w:r>
            <w:r w:rsidR="007F3BC0">
              <w:rPr>
                <w:webHidden/>
              </w:rPr>
              <w:tab/>
            </w:r>
            <w:r w:rsidR="007F3BC0">
              <w:rPr>
                <w:webHidden/>
              </w:rPr>
              <w:fldChar w:fldCharType="begin"/>
            </w:r>
            <w:r w:rsidR="007F3BC0">
              <w:rPr>
                <w:webHidden/>
              </w:rPr>
              <w:instrText xml:space="preserve"> PAGEREF _Toc51766252 \h </w:instrText>
            </w:r>
            <w:r w:rsidR="007F3BC0">
              <w:rPr>
                <w:webHidden/>
              </w:rPr>
            </w:r>
            <w:r w:rsidR="007F3BC0">
              <w:rPr>
                <w:webHidden/>
              </w:rPr>
              <w:fldChar w:fldCharType="separate"/>
            </w:r>
            <w:r w:rsidR="007F3BC0">
              <w:rPr>
                <w:webHidden/>
              </w:rPr>
              <w:t>3</w:t>
            </w:r>
            <w:r w:rsidR="007F3BC0">
              <w:rPr>
                <w:webHidden/>
              </w:rPr>
              <w:fldChar w:fldCharType="end"/>
            </w:r>
          </w:hyperlink>
        </w:p>
        <w:p w14:paraId="3E23B563" w14:textId="2FAD0D71" w:rsidR="007F3BC0" w:rsidRDefault="00EF40FF">
          <w:pPr>
            <w:pStyle w:val="TOC2"/>
            <w:rPr>
              <w:rFonts w:asciiTheme="minorHAnsi" w:eastAsiaTheme="minorEastAsia" w:hAnsiTheme="minorHAnsi"/>
              <w:lang w:eastAsia="en-AU"/>
            </w:rPr>
          </w:pPr>
          <w:hyperlink w:anchor="_Toc51766253" w:history="1">
            <w:r w:rsidR="007F3BC0" w:rsidRPr="006D3541">
              <w:rPr>
                <w:rStyle w:val="Hyperlink"/>
              </w:rPr>
              <w:t>Purpose</w:t>
            </w:r>
            <w:r w:rsidR="007F3BC0">
              <w:rPr>
                <w:webHidden/>
              </w:rPr>
              <w:tab/>
            </w:r>
            <w:r w:rsidR="007F3BC0">
              <w:rPr>
                <w:webHidden/>
              </w:rPr>
              <w:fldChar w:fldCharType="begin"/>
            </w:r>
            <w:r w:rsidR="007F3BC0">
              <w:rPr>
                <w:webHidden/>
              </w:rPr>
              <w:instrText xml:space="preserve"> PAGEREF _Toc51766253 \h </w:instrText>
            </w:r>
            <w:r w:rsidR="007F3BC0">
              <w:rPr>
                <w:webHidden/>
              </w:rPr>
            </w:r>
            <w:r w:rsidR="007F3BC0">
              <w:rPr>
                <w:webHidden/>
              </w:rPr>
              <w:fldChar w:fldCharType="separate"/>
            </w:r>
            <w:r w:rsidR="007F3BC0">
              <w:rPr>
                <w:webHidden/>
              </w:rPr>
              <w:t>3</w:t>
            </w:r>
            <w:r w:rsidR="007F3BC0">
              <w:rPr>
                <w:webHidden/>
              </w:rPr>
              <w:fldChar w:fldCharType="end"/>
            </w:r>
          </w:hyperlink>
        </w:p>
        <w:p w14:paraId="744FC47A" w14:textId="40A29E42" w:rsidR="007F3BC0" w:rsidRDefault="00EF40FF">
          <w:pPr>
            <w:pStyle w:val="TOC2"/>
            <w:rPr>
              <w:rFonts w:asciiTheme="minorHAnsi" w:eastAsiaTheme="minorEastAsia" w:hAnsiTheme="minorHAnsi"/>
              <w:lang w:eastAsia="en-AU"/>
            </w:rPr>
          </w:pPr>
          <w:hyperlink w:anchor="_Toc51766259" w:history="1">
            <w:r w:rsidR="007F3BC0" w:rsidRPr="006D3541">
              <w:rPr>
                <w:rStyle w:val="Hyperlink"/>
              </w:rPr>
              <w:t>Authority for making the Amending Instrument</w:t>
            </w:r>
            <w:r w:rsidR="007F3BC0">
              <w:rPr>
                <w:webHidden/>
              </w:rPr>
              <w:tab/>
            </w:r>
            <w:r w:rsidR="007F3BC0">
              <w:rPr>
                <w:webHidden/>
              </w:rPr>
              <w:fldChar w:fldCharType="begin"/>
            </w:r>
            <w:r w:rsidR="007F3BC0">
              <w:rPr>
                <w:webHidden/>
              </w:rPr>
              <w:instrText xml:space="preserve"> PAGEREF _Toc51766259 \h </w:instrText>
            </w:r>
            <w:r w:rsidR="007F3BC0">
              <w:rPr>
                <w:webHidden/>
              </w:rPr>
            </w:r>
            <w:r w:rsidR="007F3BC0">
              <w:rPr>
                <w:webHidden/>
              </w:rPr>
              <w:fldChar w:fldCharType="separate"/>
            </w:r>
            <w:r w:rsidR="007F3BC0">
              <w:rPr>
                <w:webHidden/>
              </w:rPr>
              <w:t>4</w:t>
            </w:r>
            <w:r w:rsidR="007F3BC0">
              <w:rPr>
                <w:webHidden/>
              </w:rPr>
              <w:fldChar w:fldCharType="end"/>
            </w:r>
          </w:hyperlink>
        </w:p>
        <w:p w14:paraId="333171A9" w14:textId="67EF3A60" w:rsidR="007F3BC0" w:rsidRDefault="00EF40FF">
          <w:pPr>
            <w:pStyle w:val="TOC2"/>
            <w:rPr>
              <w:rFonts w:asciiTheme="minorHAnsi" w:eastAsiaTheme="minorEastAsia" w:hAnsiTheme="minorHAnsi"/>
              <w:lang w:eastAsia="en-AU"/>
            </w:rPr>
          </w:pPr>
          <w:hyperlink w:anchor="_Toc51766260" w:history="1">
            <w:r w:rsidR="007F3BC0" w:rsidRPr="006D3541">
              <w:rPr>
                <w:rStyle w:val="Hyperlink"/>
              </w:rPr>
              <w:t>Statement of compatibility with human rights</w:t>
            </w:r>
            <w:r w:rsidR="007F3BC0">
              <w:rPr>
                <w:webHidden/>
              </w:rPr>
              <w:tab/>
            </w:r>
            <w:r w:rsidR="007F3BC0">
              <w:rPr>
                <w:webHidden/>
              </w:rPr>
              <w:fldChar w:fldCharType="begin"/>
            </w:r>
            <w:r w:rsidR="007F3BC0">
              <w:rPr>
                <w:webHidden/>
              </w:rPr>
              <w:instrText xml:space="preserve"> PAGEREF _Toc51766260 \h </w:instrText>
            </w:r>
            <w:r w:rsidR="007F3BC0">
              <w:rPr>
                <w:webHidden/>
              </w:rPr>
            </w:r>
            <w:r w:rsidR="007F3BC0">
              <w:rPr>
                <w:webHidden/>
              </w:rPr>
              <w:fldChar w:fldCharType="separate"/>
            </w:r>
            <w:r w:rsidR="007F3BC0">
              <w:rPr>
                <w:webHidden/>
              </w:rPr>
              <w:t>6</w:t>
            </w:r>
            <w:r w:rsidR="007F3BC0">
              <w:rPr>
                <w:webHidden/>
              </w:rPr>
              <w:fldChar w:fldCharType="end"/>
            </w:r>
          </w:hyperlink>
        </w:p>
        <w:p w14:paraId="6832C098" w14:textId="0A7C142E" w:rsidR="007F3BC0" w:rsidRDefault="00EF40FF">
          <w:pPr>
            <w:pStyle w:val="TOC2"/>
            <w:rPr>
              <w:rFonts w:asciiTheme="minorHAnsi" w:eastAsiaTheme="minorEastAsia" w:hAnsiTheme="minorHAnsi"/>
              <w:lang w:eastAsia="en-AU"/>
            </w:rPr>
          </w:pPr>
          <w:hyperlink w:anchor="_Toc51766263" w:history="1">
            <w:r w:rsidR="007F3BC0" w:rsidRPr="006D3541">
              <w:rPr>
                <w:rStyle w:val="Hyperlink"/>
              </w:rPr>
              <w:t>Privacy impact assessment</w:t>
            </w:r>
            <w:r w:rsidR="007F3BC0">
              <w:rPr>
                <w:webHidden/>
              </w:rPr>
              <w:tab/>
            </w:r>
            <w:r w:rsidR="007F3BC0">
              <w:rPr>
                <w:webHidden/>
              </w:rPr>
              <w:fldChar w:fldCharType="begin"/>
            </w:r>
            <w:r w:rsidR="007F3BC0">
              <w:rPr>
                <w:webHidden/>
              </w:rPr>
              <w:instrText xml:space="preserve"> PAGEREF _Toc51766263 \h </w:instrText>
            </w:r>
            <w:r w:rsidR="007F3BC0">
              <w:rPr>
                <w:webHidden/>
              </w:rPr>
            </w:r>
            <w:r w:rsidR="007F3BC0">
              <w:rPr>
                <w:webHidden/>
              </w:rPr>
              <w:fldChar w:fldCharType="separate"/>
            </w:r>
            <w:r w:rsidR="007F3BC0">
              <w:rPr>
                <w:webHidden/>
              </w:rPr>
              <w:t>6</w:t>
            </w:r>
            <w:r w:rsidR="007F3BC0">
              <w:rPr>
                <w:webHidden/>
              </w:rPr>
              <w:fldChar w:fldCharType="end"/>
            </w:r>
          </w:hyperlink>
        </w:p>
        <w:p w14:paraId="7E1385FE" w14:textId="00AAB7E1" w:rsidR="007F3BC0" w:rsidRDefault="00EF40FF">
          <w:pPr>
            <w:pStyle w:val="TOC2"/>
            <w:rPr>
              <w:rFonts w:asciiTheme="minorHAnsi" w:eastAsiaTheme="minorEastAsia" w:hAnsiTheme="minorHAnsi"/>
              <w:lang w:eastAsia="en-AU"/>
            </w:rPr>
          </w:pPr>
          <w:hyperlink w:anchor="_Toc51766264" w:history="1">
            <w:r w:rsidR="007F3BC0" w:rsidRPr="006D3541">
              <w:rPr>
                <w:rStyle w:val="Hyperlink"/>
              </w:rPr>
              <w:t>Regulatory impact analysis</w:t>
            </w:r>
            <w:r w:rsidR="007F3BC0">
              <w:rPr>
                <w:webHidden/>
              </w:rPr>
              <w:tab/>
            </w:r>
            <w:r w:rsidR="007F3BC0">
              <w:rPr>
                <w:webHidden/>
              </w:rPr>
              <w:fldChar w:fldCharType="begin"/>
            </w:r>
            <w:r w:rsidR="007F3BC0">
              <w:rPr>
                <w:webHidden/>
              </w:rPr>
              <w:instrText xml:space="preserve"> PAGEREF _Toc51766264 \h </w:instrText>
            </w:r>
            <w:r w:rsidR="007F3BC0">
              <w:rPr>
                <w:webHidden/>
              </w:rPr>
            </w:r>
            <w:r w:rsidR="007F3BC0">
              <w:rPr>
                <w:webHidden/>
              </w:rPr>
              <w:fldChar w:fldCharType="separate"/>
            </w:r>
            <w:r w:rsidR="007F3BC0">
              <w:rPr>
                <w:webHidden/>
              </w:rPr>
              <w:t>6</w:t>
            </w:r>
            <w:r w:rsidR="007F3BC0">
              <w:rPr>
                <w:webHidden/>
              </w:rPr>
              <w:fldChar w:fldCharType="end"/>
            </w:r>
          </w:hyperlink>
        </w:p>
        <w:p w14:paraId="4E086E5D" w14:textId="5F0FF27A" w:rsidR="007F3BC0" w:rsidRDefault="00EF40FF">
          <w:pPr>
            <w:pStyle w:val="TOC2"/>
            <w:rPr>
              <w:rFonts w:asciiTheme="minorHAnsi" w:eastAsiaTheme="minorEastAsia" w:hAnsiTheme="minorHAnsi"/>
              <w:lang w:eastAsia="en-AU"/>
            </w:rPr>
          </w:pPr>
          <w:hyperlink w:anchor="_Toc51766265" w:history="1">
            <w:r w:rsidR="007F3BC0" w:rsidRPr="006D3541">
              <w:rPr>
                <w:rStyle w:val="Hyperlink"/>
              </w:rPr>
              <w:t>Consultation</w:t>
            </w:r>
            <w:r w:rsidR="007F3BC0">
              <w:rPr>
                <w:webHidden/>
              </w:rPr>
              <w:tab/>
            </w:r>
            <w:r w:rsidR="007F3BC0">
              <w:rPr>
                <w:webHidden/>
              </w:rPr>
              <w:fldChar w:fldCharType="begin"/>
            </w:r>
            <w:r w:rsidR="007F3BC0">
              <w:rPr>
                <w:webHidden/>
              </w:rPr>
              <w:instrText xml:space="preserve"> PAGEREF _Toc51766265 \h </w:instrText>
            </w:r>
            <w:r w:rsidR="007F3BC0">
              <w:rPr>
                <w:webHidden/>
              </w:rPr>
            </w:r>
            <w:r w:rsidR="007F3BC0">
              <w:rPr>
                <w:webHidden/>
              </w:rPr>
              <w:fldChar w:fldCharType="separate"/>
            </w:r>
            <w:r w:rsidR="007F3BC0">
              <w:rPr>
                <w:webHidden/>
              </w:rPr>
              <w:t>6</w:t>
            </w:r>
            <w:r w:rsidR="007F3BC0">
              <w:rPr>
                <w:webHidden/>
              </w:rPr>
              <w:fldChar w:fldCharType="end"/>
            </w:r>
          </w:hyperlink>
        </w:p>
        <w:p w14:paraId="347EC0D3" w14:textId="20BD6DDC" w:rsidR="007F3BC0" w:rsidRDefault="00EF40FF">
          <w:pPr>
            <w:pStyle w:val="TOC1"/>
            <w:rPr>
              <w:rFonts w:asciiTheme="minorHAnsi" w:eastAsiaTheme="minorEastAsia" w:hAnsiTheme="minorHAnsi"/>
              <w:lang w:val="en-AU" w:eastAsia="en-AU"/>
            </w:rPr>
          </w:pPr>
          <w:hyperlink w:anchor="_Toc51766266" w:history="1">
            <w:r w:rsidR="007F3BC0" w:rsidRPr="006D3541">
              <w:rPr>
                <w:rStyle w:val="Hyperlink"/>
              </w:rPr>
              <w:t>Explanatory Notes</w:t>
            </w:r>
            <w:r w:rsidR="007F3BC0">
              <w:rPr>
                <w:webHidden/>
              </w:rPr>
              <w:tab/>
            </w:r>
            <w:r w:rsidR="007F3BC0">
              <w:rPr>
                <w:webHidden/>
              </w:rPr>
              <w:fldChar w:fldCharType="begin"/>
            </w:r>
            <w:r w:rsidR="007F3BC0">
              <w:rPr>
                <w:webHidden/>
              </w:rPr>
              <w:instrText xml:space="preserve"> PAGEREF _Toc51766266 \h </w:instrText>
            </w:r>
            <w:r w:rsidR="007F3BC0">
              <w:rPr>
                <w:webHidden/>
              </w:rPr>
            </w:r>
            <w:r w:rsidR="007F3BC0">
              <w:rPr>
                <w:webHidden/>
              </w:rPr>
              <w:fldChar w:fldCharType="separate"/>
            </w:r>
            <w:r w:rsidR="007F3BC0">
              <w:rPr>
                <w:webHidden/>
              </w:rPr>
              <w:t>8</w:t>
            </w:r>
            <w:r w:rsidR="007F3BC0">
              <w:rPr>
                <w:webHidden/>
              </w:rPr>
              <w:fldChar w:fldCharType="end"/>
            </w:r>
          </w:hyperlink>
        </w:p>
        <w:p w14:paraId="47C12987" w14:textId="32CC2174" w:rsidR="00BA63EA" w:rsidRDefault="00BA63EA">
          <w:r>
            <w:rPr>
              <w:b/>
              <w:bCs/>
              <w:noProof/>
            </w:rPr>
            <w:fldChar w:fldCharType="end"/>
          </w:r>
        </w:p>
      </w:sdtContent>
    </w:sdt>
    <w:p w14:paraId="5862EC05" w14:textId="77777777" w:rsidR="00157FF9" w:rsidRDefault="00157FF9"/>
    <w:p w14:paraId="33A69A7D" w14:textId="5274D528" w:rsidR="007C4CAC" w:rsidRDefault="00BA63EA" w:rsidP="00234EF7">
      <w:pPr>
        <w:pStyle w:val="Heading1"/>
      </w:pPr>
      <w:r>
        <w:br w:type="column"/>
      </w:r>
      <w:bookmarkStart w:id="1" w:name="_Toc51766251"/>
      <w:r w:rsidR="007C4CAC">
        <w:lastRenderedPageBreak/>
        <w:t xml:space="preserve">Explanatory Statement: </w:t>
      </w:r>
      <w:r w:rsidR="007C4CAC" w:rsidRPr="00234EF7">
        <w:rPr>
          <w:i/>
        </w:rPr>
        <w:t xml:space="preserve">Competition and Consumer (Consumer Data Right) </w:t>
      </w:r>
      <w:r w:rsidR="00967405" w:rsidRPr="00234EF7">
        <w:rPr>
          <w:i/>
        </w:rPr>
        <w:t xml:space="preserve">Amendment </w:t>
      </w:r>
      <w:r w:rsidR="007C4CAC" w:rsidRPr="00234EF7">
        <w:rPr>
          <w:i/>
        </w:rPr>
        <w:t xml:space="preserve">Rules </w:t>
      </w:r>
      <w:r w:rsidR="00967405" w:rsidRPr="00234EF7">
        <w:rPr>
          <w:i/>
        </w:rPr>
        <w:t xml:space="preserve">(No. 2) </w:t>
      </w:r>
      <w:r w:rsidR="007C4CAC" w:rsidRPr="00234EF7">
        <w:rPr>
          <w:i/>
        </w:rPr>
        <w:t>2020</w:t>
      </w:r>
      <w:bookmarkEnd w:id="1"/>
    </w:p>
    <w:p w14:paraId="76C2138B" w14:textId="675E9C7F" w:rsidR="00E75D35" w:rsidRDefault="00354B83" w:rsidP="00B112BE">
      <w:pPr>
        <w:pStyle w:val="Heading2"/>
        <w:spacing w:after="240" w:line="240" w:lineRule="auto"/>
      </w:pPr>
      <w:bookmarkStart w:id="2" w:name="_Toc51766252"/>
      <w:r>
        <w:t>Background</w:t>
      </w:r>
      <w:bookmarkEnd w:id="2"/>
    </w:p>
    <w:p w14:paraId="795DE09E" w14:textId="6F996B5A" w:rsidR="00053AF2" w:rsidRPr="000E3D59" w:rsidRDefault="00053AF2" w:rsidP="00234EF7">
      <w:pPr>
        <w:pStyle w:val="ListParagraph"/>
        <w:rPr>
          <w:sz w:val="22"/>
        </w:rPr>
      </w:pPr>
      <w:r w:rsidRPr="000E3D59">
        <w:rPr>
          <w:sz w:val="22"/>
        </w:rPr>
        <w:t xml:space="preserve">This Explanatory Statement accompanies the </w:t>
      </w:r>
      <w:r w:rsidRPr="000E3D59">
        <w:rPr>
          <w:i/>
          <w:sz w:val="22"/>
        </w:rPr>
        <w:t>Competition and Consumer (Consumer D</w:t>
      </w:r>
      <w:r w:rsidR="00107221" w:rsidRPr="000E3D59">
        <w:rPr>
          <w:i/>
          <w:sz w:val="22"/>
        </w:rPr>
        <w:t>ata Right) Amendment Rules (No.2</w:t>
      </w:r>
      <w:r w:rsidRPr="000E3D59">
        <w:rPr>
          <w:i/>
          <w:sz w:val="22"/>
        </w:rPr>
        <w:t>) 2020</w:t>
      </w:r>
      <w:r w:rsidRPr="000E3D59">
        <w:rPr>
          <w:sz w:val="22"/>
        </w:rPr>
        <w:t xml:space="preserve"> (</w:t>
      </w:r>
      <w:r w:rsidRPr="000E3D59">
        <w:rPr>
          <w:b/>
          <w:sz w:val="22"/>
        </w:rPr>
        <w:t>Amending Instrument</w:t>
      </w:r>
      <w:r w:rsidRPr="000E3D59">
        <w:rPr>
          <w:sz w:val="22"/>
        </w:rPr>
        <w:t xml:space="preserve">) which amends the </w:t>
      </w:r>
      <w:r w:rsidRPr="000E3D59">
        <w:rPr>
          <w:i/>
          <w:sz w:val="22"/>
        </w:rPr>
        <w:t>Competition and Consumer (Consumer Data Right) Rules 2020</w:t>
      </w:r>
      <w:r w:rsidRPr="000E3D59">
        <w:rPr>
          <w:sz w:val="22"/>
        </w:rPr>
        <w:t xml:space="preserve"> (</w:t>
      </w:r>
      <w:r w:rsidRPr="000E3D59">
        <w:rPr>
          <w:b/>
          <w:sz w:val="22"/>
        </w:rPr>
        <w:t>Rules</w:t>
      </w:r>
      <w:r w:rsidRPr="000E3D59">
        <w:rPr>
          <w:sz w:val="22"/>
        </w:rPr>
        <w:t>).</w:t>
      </w:r>
    </w:p>
    <w:p w14:paraId="38FBCD11" w14:textId="335DE1AB" w:rsidR="00967405" w:rsidRPr="000E3D59" w:rsidRDefault="00053AF2" w:rsidP="00234EF7">
      <w:pPr>
        <w:pStyle w:val="ListParagraph"/>
        <w:rPr>
          <w:sz w:val="22"/>
        </w:rPr>
      </w:pPr>
      <w:r w:rsidRPr="000E3D59">
        <w:rPr>
          <w:sz w:val="22"/>
        </w:rPr>
        <w:t>The Rules are a critical component of the Consumer Data Right (</w:t>
      </w:r>
      <w:r w:rsidRPr="000E3D59">
        <w:rPr>
          <w:b/>
          <w:sz w:val="22"/>
        </w:rPr>
        <w:t>CDR</w:t>
      </w:r>
      <w:r w:rsidRPr="000E3D59">
        <w:rPr>
          <w:sz w:val="22"/>
        </w:rPr>
        <w:t xml:space="preserve">) regime, an economy-wide reform that gives consumers the ability to safely, efficiently and </w:t>
      </w:r>
      <w:r w:rsidR="00967405" w:rsidRPr="000E3D59">
        <w:rPr>
          <w:sz w:val="22"/>
        </w:rPr>
        <w:t>conveniently a</w:t>
      </w:r>
      <w:r w:rsidRPr="000E3D59">
        <w:rPr>
          <w:sz w:val="22"/>
        </w:rPr>
        <w:t>ccess specified data held about them. This data is held by businesses (data holders) and consumers may requ</w:t>
      </w:r>
      <w:r w:rsidR="00544032" w:rsidRPr="000E3D59">
        <w:rPr>
          <w:sz w:val="22"/>
        </w:rPr>
        <w:t>est that data be disclosed to</w:t>
      </w:r>
      <w:r w:rsidR="00B112BE" w:rsidRPr="000E3D59">
        <w:rPr>
          <w:sz w:val="22"/>
        </w:rPr>
        <w:t xml:space="preserve"> </w:t>
      </w:r>
      <w:r w:rsidRPr="000E3D59">
        <w:rPr>
          <w:sz w:val="22"/>
        </w:rPr>
        <w:t>accredited data recipients.</w:t>
      </w:r>
    </w:p>
    <w:p w14:paraId="1F2BDD04" w14:textId="77777777" w:rsidR="00E56EA1" w:rsidRDefault="00E56EA1" w:rsidP="00E56EA1">
      <w:pPr>
        <w:pStyle w:val="Heading2"/>
        <w:spacing w:after="240" w:line="240" w:lineRule="auto"/>
      </w:pPr>
      <w:bookmarkStart w:id="3" w:name="_Toc51766253"/>
      <w:r>
        <w:t>Purpose</w:t>
      </w:r>
      <w:bookmarkEnd w:id="3"/>
      <w:r>
        <w:t xml:space="preserve"> </w:t>
      </w:r>
    </w:p>
    <w:p w14:paraId="171E5A01" w14:textId="7F9F1D09" w:rsidR="00E56EA1" w:rsidRDefault="00E56EA1" w:rsidP="00234EF7">
      <w:pPr>
        <w:pStyle w:val="ListParagraph"/>
        <w:rPr>
          <w:sz w:val="22"/>
        </w:rPr>
      </w:pPr>
      <w:r w:rsidRPr="000E3D59">
        <w:rPr>
          <w:sz w:val="22"/>
        </w:rPr>
        <w:t>The primary purpose of the Amending Instrument is to permit the use of accredited intermediaries to collect</w:t>
      </w:r>
      <w:r w:rsidR="008F0F9C" w:rsidRPr="000E3D59">
        <w:rPr>
          <w:sz w:val="22"/>
        </w:rPr>
        <w:t xml:space="preserve"> CDR</w:t>
      </w:r>
      <w:r w:rsidRPr="000E3D59">
        <w:rPr>
          <w:sz w:val="22"/>
        </w:rPr>
        <w:t xml:space="preserve"> data, through an expansion of the rules relating to </w:t>
      </w:r>
      <w:r w:rsidR="00213B9E" w:rsidRPr="000E3D59">
        <w:rPr>
          <w:sz w:val="22"/>
        </w:rPr>
        <w:t>CDR outsourcing arrangements.</w:t>
      </w:r>
    </w:p>
    <w:p w14:paraId="1629DEF4" w14:textId="3C9D2948" w:rsidR="001A2D4C" w:rsidRPr="00EF40FF" w:rsidRDefault="001A2D4C" w:rsidP="00EF40FF">
      <w:pPr>
        <w:pStyle w:val="ListParagraph"/>
        <w:rPr>
          <w:sz w:val="22"/>
        </w:rPr>
      </w:pPr>
      <w:r>
        <w:rPr>
          <w:sz w:val="22"/>
        </w:rPr>
        <w:t>When consulting on proposed rules in June (see paragraph</w:t>
      </w:r>
      <w:r w:rsidR="000E3D59">
        <w:rPr>
          <w:sz w:val="22"/>
        </w:rPr>
        <w:t>s</w:t>
      </w:r>
      <w:r>
        <w:rPr>
          <w:sz w:val="22"/>
        </w:rPr>
        <w:t xml:space="preserve"> </w:t>
      </w:r>
      <w:r w:rsidR="000E3D59">
        <w:rPr>
          <w:sz w:val="22"/>
        </w:rPr>
        <w:t>31-33</w:t>
      </w:r>
      <w:r>
        <w:rPr>
          <w:sz w:val="22"/>
        </w:rPr>
        <w:t xml:space="preserve"> below), the draft amendments were described as the ‘Combined Accredited Person’ rules.</w:t>
      </w:r>
      <w:r w:rsidRPr="008544E2">
        <w:rPr>
          <w:sz w:val="22"/>
        </w:rPr>
        <w:t xml:space="preserve"> </w:t>
      </w:r>
      <w:r>
        <w:rPr>
          <w:sz w:val="22"/>
        </w:rPr>
        <w:t xml:space="preserve">Having regard to the feedback received during consultation, the Amended Rules take the approach of making provision for </w:t>
      </w:r>
      <w:r w:rsidR="00D9583A">
        <w:rPr>
          <w:sz w:val="22"/>
        </w:rPr>
        <w:t>collection of CDR data on behalf of an accredited person in the existing CDR outsourcing rules</w:t>
      </w:r>
      <w:r>
        <w:rPr>
          <w:sz w:val="22"/>
        </w:rPr>
        <w:t>.</w:t>
      </w:r>
    </w:p>
    <w:p w14:paraId="17D2F4A9" w14:textId="4E94A199" w:rsidR="00073F38" w:rsidRPr="000E3D59" w:rsidRDefault="00D00D7B" w:rsidP="00073F38">
      <w:pPr>
        <w:pStyle w:val="Heading3"/>
        <w:spacing w:after="240"/>
        <w:rPr>
          <w:sz w:val="22"/>
        </w:rPr>
      </w:pPr>
      <w:bookmarkStart w:id="4" w:name="_Toc51766254"/>
      <w:r w:rsidRPr="000E3D59">
        <w:rPr>
          <w:sz w:val="22"/>
        </w:rPr>
        <w:t>C</w:t>
      </w:r>
      <w:r w:rsidR="00073F38" w:rsidRPr="000E3D59">
        <w:rPr>
          <w:sz w:val="22"/>
        </w:rPr>
        <w:t>hanges to CDR outsourcing arrangements</w:t>
      </w:r>
      <w:bookmarkEnd w:id="4"/>
      <w:r w:rsidR="001A2D4C">
        <w:rPr>
          <w:sz w:val="22"/>
        </w:rPr>
        <w:t xml:space="preserve"> to include collection arrangements</w:t>
      </w:r>
    </w:p>
    <w:p w14:paraId="319E3355" w14:textId="7954965C" w:rsidR="00073F38" w:rsidRPr="000E3D59" w:rsidRDefault="00073F38" w:rsidP="00073F38">
      <w:pPr>
        <w:pStyle w:val="ListParagraph"/>
        <w:rPr>
          <w:sz w:val="22"/>
        </w:rPr>
      </w:pPr>
      <w:r w:rsidRPr="000E3D59">
        <w:rPr>
          <w:sz w:val="22"/>
        </w:rPr>
        <w:t xml:space="preserve">A CDR outsourcing arrangement is an arrangement where a consumer-facing </w:t>
      </w:r>
      <w:r w:rsidR="006951C2" w:rsidRPr="000E3D59">
        <w:rPr>
          <w:sz w:val="22"/>
        </w:rPr>
        <w:t xml:space="preserve">accredited data recipient </w:t>
      </w:r>
      <w:r w:rsidRPr="000E3D59">
        <w:rPr>
          <w:sz w:val="22"/>
        </w:rPr>
        <w:t>(</w:t>
      </w:r>
      <w:r w:rsidRPr="000E3D59">
        <w:rPr>
          <w:b/>
          <w:sz w:val="22"/>
        </w:rPr>
        <w:t>the principal</w:t>
      </w:r>
      <w:r w:rsidRPr="000E3D59">
        <w:rPr>
          <w:sz w:val="22"/>
        </w:rPr>
        <w:t>) engages the services of another</w:t>
      </w:r>
      <w:r w:rsidR="006951C2" w:rsidRPr="000E3D59">
        <w:rPr>
          <w:sz w:val="22"/>
        </w:rPr>
        <w:t xml:space="preserve"> party</w:t>
      </w:r>
      <w:r w:rsidRPr="000E3D59">
        <w:rPr>
          <w:sz w:val="22"/>
        </w:rPr>
        <w:t xml:space="preserve"> (</w:t>
      </w:r>
      <w:r w:rsidRPr="000E3D59">
        <w:rPr>
          <w:b/>
          <w:sz w:val="22"/>
        </w:rPr>
        <w:t>the provider</w:t>
      </w:r>
      <w:r w:rsidRPr="000E3D59">
        <w:rPr>
          <w:sz w:val="22"/>
        </w:rPr>
        <w:t xml:space="preserve">), to enable or assist in the delivery of a good or service to a CDR consumer. </w:t>
      </w:r>
    </w:p>
    <w:p w14:paraId="18058495" w14:textId="3D193F75" w:rsidR="00213B9E" w:rsidRPr="000E3D59" w:rsidRDefault="00213B9E" w:rsidP="009D20F3">
      <w:pPr>
        <w:pStyle w:val="ListParagraph"/>
        <w:rPr>
          <w:sz w:val="22"/>
        </w:rPr>
      </w:pPr>
      <w:r w:rsidRPr="000E3D59">
        <w:rPr>
          <w:sz w:val="22"/>
        </w:rPr>
        <w:t xml:space="preserve">Prior to these amendments, </w:t>
      </w:r>
      <w:r w:rsidR="00073F38" w:rsidRPr="000E3D59">
        <w:rPr>
          <w:sz w:val="22"/>
        </w:rPr>
        <w:t xml:space="preserve">the rules permitted CDR outsourcing </w:t>
      </w:r>
      <w:r w:rsidR="00CF354C" w:rsidRPr="000E3D59">
        <w:rPr>
          <w:sz w:val="22"/>
        </w:rPr>
        <w:t xml:space="preserve">arrangements </w:t>
      </w:r>
      <w:r w:rsidR="00D00D7B" w:rsidRPr="000E3D59">
        <w:rPr>
          <w:sz w:val="22"/>
        </w:rPr>
        <w:t xml:space="preserve">to cover </w:t>
      </w:r>
      <w:r w:rsidR="00CF354C" w:rsidRPr="000E3D59">
        <w:rPr>
          <w:sz w:val="22"/>
        </w:rPr>
        <w:t>disclo</w:t>
      </w:r>
      <w:r w:rsidR="00D00D7B" w:rsidRPr="000E3D59">
        <w:rPr>
          <w:sz w:val="22"/>
        </w:rPr>
        <w:t>sure of</w:t>
      </w:r>
      <w:r w:rsidR="00CF354C" w:rsidRPr="000E3D59">
        <w:rPr>
          <w:sz w:val="22"/>
        </w:rPr>
        <w:t xml:space="preserve"> CDR data </w:t>
      </w:r>
      <w:r w:rsidR="00D00D7B" w:rsidRPr="000E3D59">
        <w:rPr>
          <w:sz w:val="22"/>
        </w:rPr>
        <w:t xml:space="preserve">by the principal to the provider; </w:t>
      </w:r>
      <w:r w:rsidR="00CF354C" w:rsidRPr="000E3D59">
        <w:rPr>
          <w:sz w:val="22"/>
        </w:rPr>
        <w:t xml:space="preserve">and use or </w:t>
      </w:r>
      <w:r w:rsidR="00EB0FD3" w:rsidRPr="000E3D59">
        <w:rPr>
          <w:sz w:val="22"/>
        </w:rPr>
        <w:t xml:space="preserve">disclosure </w:t>
      </w:r>
      <w:r w:rsidR="00D00D7B" w:rsidRPr="000E3D59">
        <w:rPr>
          <w:sz w:val="22"/>
        </w:rPr>
        <w:t xml:space="preserve">of CDR </w:t>
      </w:r>
      <w:r w:rsidR="00CF354C" w:rsidRPr="000E3D59">
        <w:rPr>
          <w:sz w:val="22"/>
        </w:rPr>
        <w:t xml:space="preserve">data </w:t>
      </w:r>
      <w:r w:rsidR="00D00D7B" w:rsidRPr="000E3D59">
        <w:rPr>
          <w:sz w:val="22"/>
        </w:rPr>
        <w:t xml:space="preserve">by the provider </w:t>
      </w:r>
      <w:r w:rsidR="00CF354C" w:rsidRPr="000E3D59">
        <w:rPr>
          <w:sz w:val="22"/>
        </w:rPr>
        <w:t>on behalf of the principal</w:t>
      </w:r>
      <w:r w:rsidR="00073F38" w:rsidRPr="000E3D59">
        <w:rPr>
          <w:sz w:val="22"/>
        </w:rPr>
        <w:t xml:space="preserve">. </w:t>
      </w:r>
    </w:p>
    <w:p w14:paraId="294905DA" w14:textId="06D3F612" w:rsidR="00E56EA1" w:rsidRPr="000E3D59" w:rsidRDefault="00213B9E" w:rsidP="00F8287B">
      <w:pPr>
        <w:pStyle w:val="ListParagraph"/>
        <w:rPr>
          <w:sz w:val="22"/>
        </w:rPr>
      </w:pPr>
      <w:r w:rsidRPr="000E3D59">
        <w:rPr>
          <w:sz w:val="22"/>
        </w:rPr>
        <w:t xml:space="preserve">The </w:t>
      </w:r>
      <w:r w:rsidR="00073F38" w:rsidRPr="000E3D59">
        <w:rPr>
          <w:sz w:val="22"/>
        </w:rPr>
        <w:t>Amend</w:t>
      </w:r>
      <w:r w:rsidR="00853621" w:rsidRPr="000E3D59">
        <w:rPr>
          <w:sz w:val="22"/>
        </w:rPr>
        <w:t>ing</w:t>
      </w:r>
      <w:r w:rsidR="00073F38" w:rsidRPr="000E3D59">
        <w:rPr>
          <w:sz w:val="22"/>
        </w:rPr>
        <w:t xml:space="preserve"> </w:t>
      </w:r>
      <w:r w:rsidR="00853621" w:rsidRPr="000E3D59">
        <w:rPr>
          <w:sz w:val="22"/>
        </w:rPr>
        <w:t xml:space="preserve">Instrument </w:t>
      </w:r>
      <w:r w:rsidR="006951C2" w:rsidRPr="000E3D59">
        <w:rPr>
          <w:sz w:val="22"/>
        </w:rPr>
        <w:t>expand</w:t>
      </w:r>
      <w:r w:rsidR="00073F38" w:rsidRPr="000E3D59">
        <w:rPr>
          <w:sz w:val="22"/>
        </w:rPr>
        <w:t xml:space="preserve"> CDR outsourcing arrangements </w:t>
      </w:r>
      <w:r w:rsidR="00A94CC5" w:rsidRPr="000E3D59">
        <w:rPr>
          <w:sz w:val="22"/>
        </w:rPr>
        <w:t xml:space="preserve">to include the </w:t>
      </w:r>
      <w:r w:rsidR="00D00D7B" w:rsidRPr="000E3D59">
        <w:rPr>
          <w:sz w:val="22"/>
        </w:rPr>
        <w:t xml:space="preserve">collection of CDR </w:t>
      </w:r>
      <w:r w:rsidR="00CF354C" w:rsidRPr="000E3D59">
        <w:rPr>
          <w:sz w:val="22"/>
        </w:rPr>
        <w:t xml:space="preserve">data </w:t>
      </w:r>
      <w:r w:rsidR="00D00D7B" w:rsidRPr="000E3D59">
        <w:rPr>
          <w:sz w:val="22"/>
        </w:rPr>
        <w:t xml:space="preserve">on behalf of </w:t>
      </w:r>
      <w:r w:rsidR="006951C2" w:rsidRPr="000E3D59">
        <w:rPr>
          <w:sz w:val="22"/>
        </w:rPr>
        <w:t>an accredited data recipient (the principal)</w:t>
      </w:r>
      <w:r w:rsidR="00D00D7B" w:rsidRPr="000E3D59">
        <w:rPr>
          <w:sz w:val="22"/>
        </w:rPr>
        <w:t xml:space="preserve">. </w:t>
      </w:r>
      <w:r w:rsidRPr="000E3D59">
        <w:rPr>
          <w:sz w:val="22"/>
        </w:rPr>
        <w:t xml:space="preserve">Where the </w:t>
      </w:r>
      <w:r w:rsidR="00D00D7B" w:rsidRPr="000E3D59">
        <w:rPr>
          <w:sz w:val="22"/>
        </w:rPr>
        <w:t xml:space="preserve">CDR </w:t>
      </w:r>
      <w:r w:rsidRPr="000E3D59">
        <w:rPr>
          <w:sz w:val="22"/>
        </w:rPr>
        <w:t xml:space="preserve">outsourcing arrangement </w:t>
      </w:r>
      <w:r w:rsidR="00D00D7B" w:rsidRPr="000E3D59">
        <w:rPr>
          <w:sz w:val="22"/>
        </w:rPr>
        <w:t xml:space="preserve">encompasses </w:t>
      </w:r>
      <w:r w:rsidRPr="000E3D59">
        <w:rPr>
          <w:sz w:val="22"/>
        </w:rPr>
        <w:t xml:space="preserve">collection, the </w:t>
      </w:r>
      <w:r w:rsidR="006951C2" w:rsidRPr="000E3D59">
        <w:rPr>
          <w:sz w:val="22"/>
        </w:rPr>
        <w:t xml:space="preserve">collecting </w:t>
      </w:r>
      <w:r w:rsidRPr="000E3D59">
        <w:rPr>
          <w:sz w:val="22"/>
        </w:rPr>
        <w:t xml:space="preserve">provider </w:t>
      </w:r>
      <w:r w:rsidR="00A94CC5" w:rsidRPr="000E3D59">
        <w:rPr>
          <w:sz w:val="22"/>
        </w:rPr>
        <w:t xml:space="preserve">must </w:t>
      </w:r>
      <w:r w:rsidRPr="000E3D59">
        <w:rPr>
          <w:sz w:val="22"/>
        </w:rPr>
        <w:t>be accredited</w:t>
      </w:r>
      <w:r w:rsidR="00A94CC5" w:rsidRPr="000E3D59">
        <w:rPr>
          <w:sz w:val="22"/>
        </w:rPr>
        <w:t xml:space="preserve"> at the unrestricted level</w:t>
      </w:r>
      <w:r w:rsidRPr="000E3D59">
        <w:rPr>
          <w:sz w:val="22"/>
        </w:rPr>
        <w:t xml:space="preserve">. </w:t>
      </w:r>
    </w:p>
    <w:p w14:paraId="6A3698AB" w14:textId="6E2B5522" w:rsidR="00D00D7B" w:rsidRPr="000E3D59" w:rsidRDefault="00D00D7B" w:rsidP="00D00D7B">
      <w:pPr>
        <w:pStyle w:val="Heading3"/>
        <w:spacing w:after="240"/>
        <w:rPr>
          <w:sz w:val="22"/>
        </w:rPr>
      </w:pPr>
      <w:bookmarkStart w:id="5" w:name="_Toc51766255"/>
      <w:r w:rsidRPr="000E3D59">
        <w:rPr>
          <w:sz w:val="22"/>
        </w:rPr>
        <w:t>Transparency for consumers</w:t>
      </w:r>
      <w:bookmarkEnd w:id="5"/>
    </w:p>
    <w:p w14:paraId="0718A7CA" w14:textId="2FEE242B" w:rsidR="003D79FF" w:rsidRPr="000E3D59" w:rsidRDefault="003D79FF" w:rsidP="00D00D7B">
      <w:pPr>
        <w:pStyle w:val="ListParagraph"/>
        <w:rPr>
          <w:sz w:val="22"/>
        </w:rPr>
      </w:pPr>
      <w:r w:rsidRPr="000E3D59">
        <w:rPr>
          <w:sz w:val="22"/>
        </w:rPr>
        <w:t xml:space="preserve">The </w:t>
      </w:r>
      <w:r w:rsidR="006A6231" w:rsidRPr="000E3D59">
        <w:rPr>
          <w:sz w:val="22"/>
        </w:rPr>
        <w:t>Rules as amended (</w:t>
      </w:r>
      <w:r w:rsidRPr="000E3D59">
        <w:rPr>
          <w:b/>
          <w:sz w:val="22"/>
        </w:rPr>
        <w:t>Amend</w:t>
      </w:r>
      <w:r w:rsidR="006A6231" w:rsidRPr="000E3D59">
        <w:rPr>
          <w:b/>
          <w:sz w:val="22"/>
        </w:rPr>
        <w:t>ed</w:t>
      </w:r>
      <w:r w:rsidRPr="000E3D59">
        <w:rPr>
          <w:b/>
          <w:sz w:val="22"/>
        </w:rPr>
        <w:t xml:space="preserve"> Rules</w:t>
      </w:r>
      <w:r w:rsidR="006A6231" w:rsidRPr="000E3D59">
        <w:rPr>
          <w:sz w:val="22"/>
        </w:rPr>
        <w:t>)</w:t>
      </w:r>
      <w:r w:rsidRPr="000E3D59">
        <w:rPr>
          <w:sz w:val="22"/>
        </w:rPr>
        <w:t xml:space="preserve"> maintain the requirement for consumers to be </w:t>
      </w:r>
      <w:r w:rsidR="00245B15" w:rsidRPr="000E3D59">
        <w:rPr>
          <w:sz w:val="22"/>
        </w:rPr>
        <w:t xml:space="preserve">given information during the consent process </w:t>
      </w:r>
      <w:r w:rsidRPr="000E3D59">
        <w:rPr>
          <w:sz w:val="22"/>
        </w:rPr>
        <w:t>about the use of outsourced service providers</w:t>
      </w:r>
      <w:r w:rsidR="007C712C" w:rsidRPr="000E3D59">
        <w:rPr>
          <w:sz w:val="22"/>
        </w:rPr>
        <w:t xml:space="preserve"> (via the principal’s Privacy Safeguard 1 Policy, rule 7.2)</w:t>
      </w:r>
      <w:r w:rsidRPr="000E3D59">
        <w:rPr>
          <w:sz w:val="22"/>
        </w:rPr>
        <w:t>. This includes</w:t>
      </w:r>
      <w:r w:rsidR="00245B15" w:rsidRPr="000E3D59">
        <w:rPr>
          <w:sz w:val="22"/>
        </w:rPr>
        <w:t xml:space="preserve"> the name and, if applicable, the accreditation number of </w:t>
      </w:r>
      <w:r w:rsidR="00A94CC5" w:rsidRPr="000E3D59">
        <w:rPr>
          <w:sz w:val="22"/>
        </w:rPr>
        <w:t xml:space="preserve">the </w:t>
      </w:r>
      <w:r w:rsidRPr="000E3D59">
        <w:rPr>
          <w:sz w:val="22"/>
        </w:rPr>
        <w:t xml:space="preserve">outsourced service providers who may collect data or to whom data may be disclosed. As such, when consent is given to the principal, that consent </w:t>
      </w:r>
      <w:r w:rsidR="00245B15" w:rsidRPr="000E3D59">
        <w:rPr>
          <w:sz w:val="22"/>
        </w:rPr>
        <w:t xml:space="preserve">encompasses </w:t>
      </w:r>
      <w:r w:rsidRPr="000E3D59">
        <w:rPr>
          <w:sz w:val="22"/>
        </w:rPr>
        <w:t>the principal’s use of outsourced service providers.</w:t>
      </w:r>
    </w:p>
    <w:p w14:paraId="5379233A" w14:textId="3F7C37D8" w:rsidR="00D00D7B" w:rsidRPr="000E3D59" w:rsidRDefault="003D79FF" w:rsidP="00D00D7B">
      <w:pPr>
        <w:pStyle w:val="ListParagraph"/>
        <w:rPr>
          <w:sz w:val="22"/>
        </w:rPr>
      </w:pPr>
      <w:r w:rsidRPr="000E3D59">
        <w:rPr>
          <w:sz w:val="22"/>
        </w:rPr>
        <w:t xml:space="preserve">As the customer-facing entity, the principal </w:t>
      </w:r>
      <w:r w:rsidR="00D00D7B" w:rsidRPr="000E3D59">
        <w:rPr>
          <w:sz w:val="22"/>
        </w:rPr>
        <w:t>is responsible for providing the dashboard</w:t>
      </w:r>
      <w:r w:rsidR="006A48C1" w:rsidRPr="000E3D59">
        <w:rPr>
          <w:sz w:val="22"/>
        </w:rPr>
        <w:t xml:space="preserve"> and complying with the dashboard requirements for accredited data recipients, which remain unchanged. </w:t>
      </w:r>
    </w:p>
    <w:p w14:paraId="1B772752" w14:textId="45BAB83A" w:rsidR="006A48C1" w:rsidRPr="000E3D59" w:rsidRDefault="00B354BC" w:rsidP="00D00D7B">
      <w:pPr>
        <w:pStyle w:val="ListParagraph"/>
        <w:rPr>
          <w:sz w:val="22"/>
        </w:rPr>
      </w:pPr>
      <w:r w:rsidRPr="000E3D59">
        <w:rPr>
          <w:sz w:val="22"/>
        </w:rPr>
        <w:lastRenderedPageBreak/>
        <w:t>A</w:t>
      </w:r>
      <w:r w:rsidR="006A48C1" w:rsidRPr="000E3D59">
        <w:rPr>
          <w:sz w:val="22"/>
        </w:rPr>
        <w:t xml:space="preserve"> provider </w:t>
      </w:r>
      <w:r w:rsidR="00F94EE0" w:rsidRPr="000E3D59">
        <w:rPr>
          <w:sz w:val="22"/>
        </w:rPr>
        <w:t xml:space="preserve">who is also </w:t>
      </w:r>
      <w:r w:rsidR="007C712C" w:rsidRPr="000E3D59">
        <w:rPr>
          <w:sz w:val="22"/>
        </w:rPr>
        <w:t xml:space="preserve">an </w:t>
      </w:r>
      <w:r w:rsidRPr="000E3D59">
        <w:rPr>
          <w:sz w:val="22"/>
        </w:rPr>
        <w:t>accredited data recipient</w:t>
      </w:r>
      <w:r w:rsidR="006A48C1" w:rsidRPr="000E3D59">
        <w:rPr>
          <w:sz w:val="22"/>
        </w:rPr>
        <w:t xml:space="preserve"> </w:t>
      </w:r>
      <w:r w:rsidR="00F94EE0" w:rsidRPr="000E3D59">
        <w:rPr>
          <w:sz w:val="22"/>
        </w:rPr>
        <w:t xml:space="preserve">is </w:t>
      </w:r>
      <w:r w:rsidR="006A48C1" w:rsidRPr="000E3D59">
        <w:rPr>
          <w:sz w:val="22"/>
        </w:rPr>
        <w:t xml:space="preserve">also required to have its own Privacy Safeguard 1 policy. </w:t>
      </w:r>
    </w:p>
    <w:p w14:paraId="3CA107C9" w14:textId="438BEE02" w:rsidR="00D00D7B" w:rsidRPr="000E3D59" w:rsidRDefault="00D00D7B" w:rsidP="00D00D7B">
      <w:pPr>
        <w:pStyle w:val="Heading3"/>
        <w:spacing w:after="240"/>
        <w:rPr>
          <w:sz w:val="22"/>
        </w:rPr>
      </w:pPr>
      <w:bookmarkStart w:id="6" w:name="_Toc51766256"/>
      <w:r w:rsidRPr="000E3D59">
        <w:rPr>
          <w:sz w:val="22"/>
        </w:rPr>
        <w:t>Obligations of the parties</w:t>
      </w:r>
      <w:bookmarkEnd w:id="6"/>
    </w:p>
    <w:p w14:paraId="5AA6C932" w14:textId="0FC7EA9F" w:rsidR="00B32023" w:rsidRPr="000E3D59" w:rsidRDefault="00B32023" w:rsidP="00B32023">
      <w:pPr>
        <w:pStyle w:val="ListParagraph"/>
        <w:rPr>
          <w:sz w:val="22"/>
        </w:rPr>
      </w:pPr>
      <w:r w:rsidRPr="000E3D59">
        <w:rPr>
          <w:sz w:val="22"/>
        </w:rPr>
        <w:t xml:space="preserve">As accredited persons, both the principal and provider </w:t>
      </w:r>
      <w:r w:rsidR="00EB0FD3" w:rsidRPr="000E3D59">
        <w:rPr>
          <w:sz w:val="22"/>
        </w:rPr>
        <w:t>have</w:t>
      </w:r>
      <w:r w:rsidRPr="000E3D59">
        <w:rPr>
          <w:sz w:val="22"/>
        </w:rPr>
        <w:t xml:space="preserve"> certain obligations imposed under the rules in relation to CDR data. </w:t>
      </w:r>
    </w:p>
    <w:p w14:paraId="23170388" w14:textId="5A9CF40F" w:rsidR="00B32023" w:rsidRPr="00D7647B" w:rsidRDefault="00B32023" w:rsidP="000636A3">
      <w:pPr>
        <w:pStyle w:val="ListParagraph"/>
        <w:rPr>
          <w:sz w:val="22"/>
        </w:rPr>
      </w:pPr>
      <w:r w:rsidRPr="000E3D59">
        <w:rPr>
          <w:sz w:val="22"/>
        </w:rPr>
        <w:t xml:space="preserve">However, some obligations are modified in the context of CDR outsourcing arrangements. </w:t>
      </w:r>
      <w:r w:rsidR="00853621" w:rsidRPr="000E3D59">
        <w:rPr>
          <w:sz w:val="22"/>
        </w:rPr>
        <w:t>The a</w:t>
      </w:r>
      <w:r w:rsidRPr="000E3D59">
        <w:rPr>
          <w:sz w:val="22"/>
        </w:rPr>
        <w:t>mend</w:t>
      </w:r>
      <w:r w:rsidR="00853621" w:rsidRPr="000E3D59">
        <w:rPr>
          <w:sz w:val="22"/>
        </w:rPr>
        <w:t>ment to</w:t>
      </w:r>
      <w:r w:rsidRPr="000E3D59">
        <w:rPr>
          <w:sz w:val="22"/>
        </w:rPr>
        <w:t xml:space="preserve"> rule 1.7(5) clarifies that certain obligations in relation to </w:t>
      </w:r>
      <w:r w:rsidRPr="000E3D59">
        <w:rPr>
          <w:rFonts w:eastAsiaTheme="majorEastAsia" w:cs="Arial"/>
          <w:sz w:val="22"/>
        </w:rPr>
        <w:t>making consumer data requests, collecting consumer data, obtaining consents, providing consumer dashboards, and using or disclosing CDR data do not apply to the provider, even if the provider is accredited</w:t>
      </w:r>
      <w:r w:rsidRPr="00D7647B">
        <w:rPr>
          <w:rFonts w:eastAsiaTheme="majorEastAsia" w:cs="Arial"/>
          <w:sz w:val="22"/>
        </w:rPr>
        <w:t xml:space="preserve">. </w:t>
      </w:r>
      <w:r w:rsidR="00D7647B">
        <w:rPr>
          <w:rFonts w:eastAsiaTheme="majorEastAsia" w:cs="Arial"/>
          <w:sz w:val="22"/>
        </w:rPr>
        <w:t xml:space="preserve">The purpose of this amendment is to clarify that these are the obligations of the principal in a CDR outsourcing arrangement. </w:t>
      </w:r>
      <w:r w:rsidRPr="00D7647B">
        <w:rPr>
          <w:rFonts w:eastAsiaTheme="majorEastAsia" w:cs="Arial"/>
          <w:sz w:val="22"/>
        </w:rPr>
        <w:t xml:space="preserve">In addition, </w:t>
      </w:r>
      <w:r w:rsidR="00853621" w:rsidRPr="00D7647B">
        <w:rPr>
          <w:rFonts w:eastAsiaTheme="majorEastAsia" w:cs="Arial"/>
          <w:sz w:val="22"/>
        </w:rPr>
        <w:t xml:space="preserve">the </w:t>
      </w:r>
      <w:r w:rsidRPr="00D7647B">
        <w:rPr>
          <w:rFonts w:eastAsiaTheme="majorEastAsia" w:cs="Arial"/>
          <w:sz w:val="22"/>
        </w:rPr>
        <w:t>a</w:t>
      </w:r>
      <w:r w:rsidRPr="00D7647B">
        <w:rPr>
          <w:sz w:val="22"/>
        </w:rPr>
        <w:t>mend</w:t>
      </w:r>
      <w:r w:rsidR="00853621" w:rsidRPr="00D7647B">
        <w:rPr>
          <w:sz w:val="22"/>
        </w:rPr>
        <w:t>ment to</w:t>
      </w:r>
      <w:r w:rsidRPr="00D7647B">
        <w:rPr>
          <w:sz w:val="22"/>
        </w:rPr>
        <w:t xml:space="preserve"> rule 1.16(1) imposes an obligation on the principal to ensure that a provider complies with </w:t>
      </w:r>
      <w:r w:rsidR="007C712C" w:rsidRPr="00D7647B">
        <w:rPr>
          <w:sz w:val="22"/>
        </w:rPr>
        <w:t>the provider’s</w:t>
      </w:r>
      <w:r w:rsidRPr="00D7647B">
        <w:rPr>
          <w:sz w:val="22"/>
        </w:rPr>
        <w:t xml:space="preserve"> requirements</w:t>
      </w:r>
      <w:r w:rsidR="00EB0FD3" w:rsidRPr="00D7647B">
        <w:rPr>
          <w:sz w:val="22"/>
        </w:rPr>
        <w:t xml:space="preserve"> under an outsourcing arrangement including in relation to collection</w:t>
      </w:r>
      <w:r w:rsidRPr="00D7647B">
        <w:rPr>
          <w:sz w:val="22"/>
        </w:rPr>
        <w:t>.</w:t>
      </w:r>
    </w:p>
    <w:p w14:paraId="08E9EAE1" w14:textId="038089EA" w:rsidR="00B354BC" w:rsidRPr="000E3D59" w:rsidRDefault="00B32023" w:rsidP="007C712C">
      <w:pPr>
        <w:pStyle w:val="ListParagraph"/>
        <w:rPr>
          <w:sz w:val="22"/>
        </w:rPr>
      </w:pPr>
      <w:r w:rsidRPr="000E3D59">
        <w:rPr>
          <w:sz w:val="22"/>
        </w:rPr>
        <w:t>As accredited persons, both the principal and provide</w:t>
      </w:r>
      <w:r w:rsidR="00853621" w:rsidRPr="000E3D59">
        <w:rPr>
          <w:sz w:val="22"/>
        </w:rPr>
        <w:t>r</w:t>
      </w:r>
      <w:r w:rsidRPr="000E3D59">
        <w:rPr>
          <w:sz w:val="22"/>
        </w:rPr>
        <w:t xml:space="preserve"> are subject to the Privacy Safeguards set out in the </w:t>
      </w:r>
      <w:r w:rsidRPr="000E3D59">
        <w:rPr>
          <w:i/>
          <w:sz w:val="22"/>
        </w:rPr>
        <w:t>Competition and Consumer Act</w:t>
      </w:r>
      <w:r w:rsidRPr="000E3D59">
        <w:rPr>
          <w:sz w:val="22"/>
        </w:rPr>
        <w:t xml:space="preserve"> </w:t>
      </w:r>
      <w:r w:rsidR="00853621" w:rsidRPr="000E3D59">
        <w:rPr>
          <w:i/>
          <w:sz w:val="22"/>
        </w:rPr>
        <w:t>2010</w:t>
      </w:r>
      <w:r w:rsidR="00853621" w:rsidRPr="000E3D59">
        <w:rPr>
          <w:sz w:val="22"/>
        </w:rPr>
        <w:t xml:space="preserve"> (Cth) </w:t>
      </w:r>
      <w:r w:rsidR="00FF26C5" w:rsidRPr="000E3D59">
        <w:rPr>
          <w:sz w:val="22"/>
        </w:rPr>
        <w:t>(</w:t>
      </w:r>
      <w:r w:rsidR="00FF26C5" w:rsidRPr="000E3D59">
        <w:rPr>
          <w:b/>
          <w:sz w:val="22"/>
        </w:rPr>
        <w:t>Competition and Consumer Act</w:t>
      </w:r>
      <w:r w:rsidR="00FF26C5" w:rsidRPr="000E3D59">
        <w:rPr>
          <w:sz w:val="22"/>
        </w:rPr>
        <w:t xml:space="preserve">) </w:t>
      </w:r>
      <w:r w:rsidR="00B354BC" w:rsidRPr="000E3D59">
        <w:rPr>
          <w:sz w:val="22"/>
        </w:rPr>
        <w:t>sections 56ED</w:t>
      </w:r>
      <w:r w:rsidR="00B354BC" w:rsidRPr="000E3D59">
        <w:rPr>
          <w:sz w:val="22"/>
        </w:rPr>
        <w:noBreakHyphen/>
        <w:t xml:space="preserve">56EO. In particular, as Privacy Safeguard 3 </w:t>
      </w:r>
      <w:r w:rsidR="007C712C" w:rsidRPr="000E3D59">
        <w:rPr>
          <w:sz w:val="22"/>
        </w:rPr>
        <w:t xml:space="preserve">(soliciting CDR data from CDR participants) </w:t>
      </w:r>
      <w:r w:rsidR="00B354BC" w:rsidRPr="000E3D59">
        <w:rPr>
          <w:sz w:val="22"/>
        </w:rPr>
        <w:t xml:space="preserve">and </w:t>
      </w:r>
      <w:r w:rsidR="00EB0FD3" w:rsidRPr="000E3D59">
        <w:rPr>
          <w:sz w:val="22"/>
        </w:rPr>
        <w:t xml:space="preserve">Privacy Safeguard </w:t>
      </w:r>
      <w:r w:rsidR="00B354BC" w:rsidRPr="000E3D59">
        <w:rPr>
          <w:sz w:val="22"/>
        </w:rPr>
        <w:t xml:space="preserve">4 </w:t>
      </w:r>
      <w:r w:rsidR="007C712C" w:rsidRPr="000E3D59">
        <w:rPr>
          <w:sz w:val="22"/>
        </w:rPr>
        <w:t xml:space="preserve">(dealing with unsolicited CDR data from CDR participants) </w:t>
      </w:r>
      <w:r w:rsidR="00B354BC" w:rsidRPr="000E3D59">
        <w:rPr>
          <w:sz w:val="22"/>
        </w:rPr>
        <w:t xml:space="preserve">apply to accredited persons, they will apply to both the principal and the provider. </w:t>
      </w:r>
    </w:p>
    <w:p w14:paraId="30AE14C9" w14:textId="4D26B516" w:rsidR="00B32023" w:rsidRPr="000E3D59" w:rsidRDefault="00B354BC" w:rsidP="00B32023">
      <w:pPr>
        <w:pStyle w:val="ListParagraph"/>
        <w:rPr>
          <w:sz w:val="22"/>
        </w:rPr>
      </w:pPr>
      <w:r w:rsidRPr="000E3D59">
        <w:rPr>
          <w:sz w:val="22"/>
        </w:rPr>
        <w:t xml:space="preserve">The </w:t>
      </w:r>
      <w:r w:rsidR="006A6231" w:rsidRPr="000E3D59">
        <w:rPr>
          <w:sz w:val="22"/>
        </w:rPr>
        <w:t>Amending Instrument</w:t>
      </w:r>
      <w:r w:rsidRPr="000E3D59">
        <w:rPr>
          <w:sz w:val="22"/>
        </w:rPr>
        <w:t xml:space="preserve"> clarif</w:t>
      </w:r>
      <w:r w:rsidR="006A6231" w:rsidRPr="000E3D59">
        <w:rPr>
          <w:sz w:val="22"/>
        </w:rPr>
        <w:t>ies</w:t>
      </w:r>
      <w:r w:rsidRPr="000E3D59">
        <w:rPr>
          <w:sz w:val="22"/>
        </w:rPr>
        <w:t xml:space="preserve"> the operation of certain Privacy Safeguards in the context of CDR outsourcing arrangements where both parties are accredited. Notably, </w:t>
      </w:r>
      <w:r w:rsidR="00853621" w:rsidRPr="000E3D59">
        <w:rPr>
          <w:sz w:val="22"/>
        </w:rPr>
        <w:t xml:space="preserve">the amendment to </w:t>
      </w:r>
      <w:r w:rsidRPr="000E3D59">
        <w:rPr>
          <w:sz w:val="22"/>
        </w:rPr>
        <w:t xml:space="preserve">rule 1.16(2) clarifies the operation of Privacy Safeguards 5, 10 and 11. </w:t>
      </w:r>
      <w:r w:rsidR="001064C3" w:rsidRPr="000E3D59">
        <w:rPr>
          <w:sz w:val="22"/>
        </w:rPr>
        <w:t>The rules relating to Privacy Safeguard 12 (rules 7.11</w:t>
      </w:r>
      <w:r w:rsidR="001064C3" w:rsidRPr="000E3D59">
        <w:rPr>
          <w:sz w:val="22"/>
        </w:rPr>
        <w:noBreakHyphen/>
        <w:t>7.13) remain unchanged, as they already accommodate outsourced service providers.</w:t>
      </w:r>
      <w:r w:rsidR="00834CEC" w:rsidRPr="000E3D59">
        <w:rPr>
          <w:sz w:val="22"/>
        </w:rPr>
        <w:t xml:space="preserve"> However, as noted in paragraph 16 below, two new minimum information security controls are added to the requirements in Schedule 2.</w:t>
      </w:r>
    </w:p>
    <w:p w14:paraId="00408462" w14:textId="52DD90FE" w:rsidR="00D00D7B" w:rsidRPr="000E3D59" w:rsidRDefault="00D00D7B" w:rsidP="00D00D7B">
      <w:pPr>
        <w:pStyle w:val="Heading3"/>
        <w:spacing w:after="240"/>
        <w:rPr>
          <w:sz w:val="22"/>
        </w:rPr>
      </w:pPr>
      <w:bookmarkStart w:id="7" w:name="_Toc51766257"/>
      <w:r w:rsidRPr="000E3D59">
        <w:rPr>
          <w:sz w:val="22"/>
        </w:rPr>
        <w:t>Liability</w:t>
      </w:r>
      <w:bookmarkEnd w:id="7"/>
    </w:p>
    <w:p w14:paraId="46235893" w14:textId="206252A1" w:rsidR="00D00D7B" w:rsidRPr="000E3D59" w:rsidRDefault="0065033A" w:rsidP="005308B5">
      <w:pPr>
        <w:pStyle w:val="ListParagraph"/>
        <w:rPr>
          <w:sz w:val="22"/>
        </w:rPr>
      </w:pPr>
      <w:r w:rsidRPr="000E3D59">
        <w:rPr>
          <w:sz w:val="22"/>
        </w:rPr>
        <w:t xml:space="preserve">The </w:t>
      </w:r>
      <w:r w:rsidR="006A6231" w:rsidRPr="000E3D59">
        <w:rPr>
          <w:sz w:val="22"/>
        </w:rPr>
        <w:t>Amended</w:t>
      </w:r>
      <w:r w:rsidRPr="000E3D59">
        <w:rPr>
          <w:sz w:val="22"/>
        </w:rPr>
        <w:t xml:space="preserve"> </w:t>
      </w:r>
      <w:r w:rsidR="006A6231" w:rsidRPr="000E3D59">
        <w:rPr>
          <w:sz w:val="22"/>
        </w:rPr>
        <w:t xml:space="preserve">Rules </w:t>
      </w:r>
      <w:r w:rsidRPr="000E3D59">
        <w:rPr>
          <w:sz w:val="22"/>
        </w:rPr>
        <w:t>retain the position that</w:t>
      </w:r>
      <w:r w:rsidR="006A6231" w:rsidRPr="000E3D59">
        <w:rPr>
          <w:sz w:val="22"/>
        </w:rPr>
        <w:t>, where a CDR outsourcing arrangement is in place,</w:t>
      </w:r>
      <w:r w:rsidRPr="000E3D59">
        <w:rPr>
          <w:sz w:val="22"/>
        </w:rPr>
        <w:t xml:space="preserve"> use or disclosure of CDR data </w:t>
      </w:r>
      <w:r w:rsidR="00D00D7B" w:rsidRPr="000E3D59">
        <w:rPr>
          <w:sz w:val="22"/>
        </w:rPr>
        <w:t>by the provider, whether or not in accordance with the arrangement, is also taken to be by the principal</w:t>
      </w:r>
      <w:r w:rsidRPr="000E3D59">
        <w:rPr>
          <w:sz w:val="22"/>
        </w:rPr>
        <w:t xml:space="preserve"> (rule 7.6)</w:t>
      </w:r>
      <w:r w:rsidR="00D00D7B" w:rsidRPr="000E3D59">
        <w:rPr>
          <w:sz w:val="22"/>
        </w:rPr>
        <w:t>.</w:t>
      </w:r>
    </w:p>
    <w:p w14:paraId="4E17C07E" w14:textId="7656C5BF" w:rsidR="00D00D7B" w:rsidRPr="000E3D59" w:rsidRDefault="0065033A" w:rsidP="00D00D7B">
      <w:pPr>
        <w:pStyle w:val="ListParagraph"/>
        <w:rPr>
          <w:sz w:val="22"/>
        </w:rPr>
      </w:pPr>
      <w:r w:rsidRPr="000E3D59">
        <w:rPr>
          <w:sz w:val="22"/>
        </w:rPr>
        <w:t>In addition, section 84(2) of t</w:t>
      </w:r>
      <w:r w:rsidR="005B1643" w:rsidRPr="000E3D59">
        <w:rPr>
          <w:sz w:val="22"/>
        </w:rPr>
        <w:t>he Competition and Consumer Act</w:t>
      </w:r>
      <w:r w:rsidR="008F0F9C" w:rsidRPr="000E3D59">
        <w:rPr>
          <w:sz w:val="22"/>
        </w:rPr>
        <w:t xml:space="preserve"> </w:t>
      </w:r>
      <w:r w:rsidRPr="000E3D59">
        <w:rPr>
          <w:sz w:val="22"/>
        </w:rPr>
        <w:t>may also apply such that conduct engaged in by the provider on behalf of the principal may be deemed to be conduct engaged in by the principal.</w:t>
      </w:r>
    </w:p>
    <w:p w14:paraId="661A9649" w14:textId="65A9EF3F" w:rsidR="00D00D7B" w:rsidRPr="000E3D59" w:rsidRDefault="00D00D7B" w:rsidP="00D00D7B">
      <w:pPr>
        <w:pStyle w:val="Heading3"/>
        <w:spacing w:after="240"/>
        <w:rPr>
          <w:sz w:val="22"/>
        </w:rPr>
      </w:pPr>
      <w:bookmarkStart w:id="8" w:name="_Toc51766258"/>
      <w:r w:rsidRPr="000E3D59">
        <w:rPr>
          <w:sz w:val="22"/>
        </w:rPr>
        <w:t>Changes to minimum information security controls</w:t>
      </w:r>
      <w:bookmarkEnd w:id="8"/>
    </w:p>
    <w:p w14:paraId="3108CEE7" w14:textId="469FF160" w:rsidR="005D16BC" w:rsidRPr="00CE0D9D" w:rsidRDefault="008F0F9C" w:rsidP="000455F9">
      <w:pPr>
        <w:pStyle w:val="ListParagraph"/>
        <w:rPr>
          <w:sz w:val="22"/>
        </w:rPr>
      </w:pPr>
      <w:r w:rsidRPr="00CE0D9D">
        <w:rPr>
          <w:sz w:val="22"/>
        </w:rPr>
        <w:t>T</w:t>
      </w:r>
      <w:r w:rsidR="005D16BC" w:rsidRPr="00CE0D9D">
        <w:rPr>
          <w:sz w:val="22"/>
        </w:rPr>
        <w:t xml:space="preserve">he Amending Instrument inserts two new minimum information security controls relating to </w:t>
      </w:r>
      <w:r w:rsidR="000E3D59" w:rsidRPr="00CE0D9D">
        <w:rPr>
          <w:sz w:val="22"/>
        </w:rPr>
        <w:t>encryption</w:t>
      </w:r>
      <w:r w:rsidR="005D16BC" w:rsidRPr="00CE0D9D">
        <w:rPr>
          <w:sz w:val="22"/>
        </w:rPr>
        <w:t xml:space="preserve"> in transit and data segregation</w:t>
      </w:r>
      <w:r w:rsidR="007F5DC9" w:rsidRPr="00CE0D9D">
        <w:rPr>
          <w:sz w:val="22"/>
        </w:rPr>
        <w:t xml:space="preserve"> and which are relevant to CDR outsourcing arrangements generally</w:t>
      </w:r>
      <w:r w:rsidR="000E3D59" w:rsidRPr="00CE0D9D">
        <w:rPr>
          <w:sz w:val="22"/>
        </w:rPr>
        <w:t>.</w:t>
      </w:r>
      <w:r w:rsidR="00CE0D9D">
        <w:rPr>
          <w:sz w:val="22"/>
        </w:rPr>
        <w:t xml:space="preserve"> </w:t>
      </w:r>
      <w:r w:rsidR="000455F9" w:rsidRPr="00CE0D9D">
        <w:rPr>
          <w:sz w:val="22"/>
        </w:rPr>
        <w:t xml:space="preserve">The encryption in transit control requires accredited data recipients to </w:t>
      </w:r>
      <w:r w:rsidR="000455F9">
        <w:rPr>
          <w:sz w:val="22"/>
        </w:rPr>
        <w:t>i</w:t>
      </w:r>
      <w:r w:rsidR="000455F9" w:rsidRPr="00CE0D9D">
        <w:rPr>
          <w:sz w:val="22"/>
        </w:rPr>
        <w:t>mplement robust network security controls to protect data in transit</w:t>
      </w:r>
      <w:r w:rsidR="000455F9">
        <w:rPr>
          <w:sz w:val="22"/>
        </w:rPr>
        <w:t xml:space="preserve">, including for </w:t>
      </w:r>
      <w:r w:rsidR="000455F9" w:rsidRPr="00CE0D9D">
        <w:rPr>
          <w:sz w:val="22"/>
        </w:rPr>
        <w:t>CDR data that is disclosed to an outsourced service provider (and then by that provider). The data segregation control requires CDR data that is held by providers on behalf of a principal to be segregated, such as through physical or logical segregation, from data held on behalf of others.</w:t>
      </w:r>
    </w:p>
    <w:p w14:paraId="4DD370BA" w14:textId="4C943036" w:rsidR="000D7928" w:rsidRPr="009E7212" w:rsidRDefault="000D7928" w:rsidP="000D7928">
      <w:pPr>
        <w:pStyle w:val="Heading2"/>
        <w:spacing w:after="240" w:line="240" w:lineRule="auto"/>
      </w:pPr>
      <w:bookmarkStart w:id="9" w:name="_Toc51766259"/>
      <w:r w:rsidRPr="008F0F9C">
        <w:t>Authority for making the Amending Instrument</w:t>
      </w:r>
      <w:bookmarkEnd w:id="9"/>
    </w:p>
    <w:p w14:paraId="43986B5C" w14:textId="010B28BE" w:rsidR="000D7928" w:rsidRPr="000E3D59" w:rsidRDefault="000D7928" w:rsidP="00234EF7">
      <w:pPr>
        <w:pStyle w:val="ListParagraph"/>
        <w:rPr>
          <w:sz w:val="22"/>
        </w:rPr>
      </w:pPr>
      <w:r w:rsidRPr="000E3D59">
        <w:rPr>
          <w:sz w:val="22"/>
        </w:rPr>
        <w:t>The Amending Instrument was made under section 56BA of the Competition and Consumer Act which enables the ACCC to make consumer data rules and</w:t>
      </w:r>
      <w:r w:rsidR="00834CEC" w:rsidRPr="000E3D59">
        <w:rPr>
          <w:sz w:val="22"/>
        </w:rPr>
        <w:t>,</w:t>
      </w:r>
      <w:r w:rsidRPr="000E3D59">
        <w:rPr>
          <w:sz w:val="22"/>
        </w:rPr>
        <w:t xml:space="preserve"> </w:t>
      </w:r>
      <w:r w:rsidR="00834CEC" w:rsidRPr="000E3D59">
        <w:rPr>
          <w:sz w:val="22"/>
        </w:rPr>
        <w:t>relying</w:t>
      </w:r>
      <w:r w:rsidRPr="000E3D59">
        <w:rPr>
          <w:sz w:val="22"/>
        </w:rPr>
        <w:t xml:space="preserve"> on </w:t>
      </w:r>
      <w:r w:rsidRPr="000E3D59">
        <w:rPr>
          <w:sz w:val="22"/>
        </w:rPr>
        <w:lastRenderedPageBreak/>
        <w:t xml:space="preserve">subsection 33(3) of the </w:t>
      </w:r>
      <w:r w:rsidRPr="000E3D59">
        <w:rPr>
          <w:i/>
          <w:sz w:val="22"/>
        </w:rPr>
        <w:t>Acts Interpretation Act 1901</w:t>
      </w:r>
      <w:r w:rsidRPr="000E3D59">
        <w:rPr>
          <w:sz w:val="22"/>
        </w:rPr>
        <w:t xml:space="preserve"> </w:t>
      </w:r>
      <w:r w:rsidR="00834CEC" w:rsidRPr="000E3D59">
        <w:rPr>
          <w:sz w:val="22"/>
        </w:rPr>
        <w:t xml:space="preserve">includes the power </w:t>
      </w:r>
      <w:r w:rsidRPr="000E3D59">
        <w:rPr>
          <w:sz w:val="22"/>
        </w:rPr>
        <w:t xml:space="preserve">to amend the rules. </w:t>
      </w:r>
    </w:p>
    <w:p w14:paraId="495B6F74" w14:textId="7DCB4436" w:rsidR="000D7928" w:rsidRPr="000E3D59" w:rsidRDefault="00E56EA1" w:rsidP="00234EF7">
      <w:pPr>
        <w:pStyle w:val="ListParagraph"/>
        <w:rPr>
          <w:sz w:val="22"/>
        </w:rPr>
      </w:pPr>
      <w:r w:rsidRPr="000E3D59">
        <w:rPr>
          <w:sz w:val="22"/>
        </w:rPr>
        <w:t>T</w:t>
      </w:r>
      <w:r w:rsidR="000D7928" w:rsidRPr="000E3D59">
        <w:rPr>
          <w:sz w:val="22"/>
        </w:rPr>
        <w:t xml:space="preserve">he Minister consented to the ACCC making the Amending Instrument in accordance with section 56BR of the </w:t>
      </w:r>
      <w:r w:rsidR="00834CEC" w:rsidRPr="000E3D59">
        <w:rPr>
          <w:sz w:val="22"/>
        </w:rPr>
        <w:t xml:space="preserve">Competition and Consumer </w:t>
      </w:r>
      <w:r w:rsidR="000D7928" w:rsidRPr="000E3D59">
        <w:rPr>
          <w:sz w:val="22"/>
        </w:rPr>
        <w:t>Act.</w:t>
      </w:r>
    </w:p>
    <w:p w14:paraId="53CF9679" w14:textId="7C7CDD72" w:rsidR="000D7928" w:rsidRPr="000E3D59" w:rsidRDefault="000D7928" w:rsidP="00234EF7">
      <w:pPr>
        <w:pStyle w:val="ListParagraph"/>
        <w:rPr>
          <w:sz w:val="22"/>
        </w:rPr>
      </w:pPr>
      <w:r w:rsidRPr="000E3D59">
        <w:rPr>
          <w:sz w:val="22"/>
        </w:rPr>
        <w:t xml:space="preserve">Before making consumer data rules, </w:t>
      </w:r>
      <w:r w:rsidR="00834CEC" w:rsidRPr="000E3D59">
        <w:rPr>
          <w:sz w:val="22"/>
        </w:rPr>
        <w:t>s</w:t>
      </w:r>
      <w:r w:rsidRPr="000E3D59">
        <w:rPr>
          <w:sz w:val="22"/>
        </w:rPr>
        <w:t xml:space="preserve">ection 56BP of the </w:t>
      </w:r>
      <w:r w:rsidR="00834CEC" w:rsidRPr="000E3D59">
        <w:rPr>
          <w:sz w:val="22"/>
        </w:rPr>
        <w:t xml:space="preserve">Competition and Consumer </w:t>
      </w:r>
      <w:r w:rsidRPr="000E3D59">
        <w:rPr>
          <w:sz w:val="22"/>
        </w:rPr>
        <w:t xml:space="preserve">Act requires the ACCC to have regard to certain matters outlined in </w:t>
      </w:r>
      <w:r w:rsidR="00834CEC" w:rsidRPr="000E3D59">
        <w:rPr>
          <w:sz w:val="22"/>
        </w:rPr>
        <w:t>s</w:t>
      </w:r>
      <w:r w:rsidRPr="000E3D59">
        <w:rPr>
          <w:sz w:val="22"/>
        </w:rPr>
        <w:t xml:space="preserve">ection 56AD. These include the likely effect of the rules on the interests of consumers, the efficiency of relevant markets, the privacy and confidentiality of consumers’ information, and the regulatory impact of the rules. The process for making the Amending Instrument involved consideration of the matters outlined in section 56AD, including through public consultation on draft amendments. </w:t>
      </w:r>
    </w:p>
    <w:p w14:paraId="17F6DD23" w14:textId="2D3CDF9D" w:rsidR="00E1794E" w:rsidRDefault="00E1794E" w:rsidP="00B112BE">
      <w:pPr>
        <w:pStyle w:val="Heading2"/>
        <w:spacing w:after="240" w:line="240" w:lineRule="auto"/>
      </w:pPr>
      <w:bookmarkStart w:id="10" w:name="_Toc51766260"/>
      <w:r>
        <w:t>Statement of compat</w:t>
      </w:r>
      <w:r w:rsidR="00837BCC">
        <w:t>i</w:t>
      </w:r>
      <w:r>
        <w:t>bility with human rights</w:t>
      </w:r>
      <w:bookmarkEnd w:id="10"/>
    </w:p>
    <w:p w14:paraId="6B53E251" w14:textId="150DB6DF" w:rsidR="00356A3E" w:rsidRPr="000E3D59" w:rsidRDefault="00356A3E" w:rsidP="00234EF7">
      <w:pPr>
        <w:pStyle w:val="ListParagraph"/>
        <w:rPr>
          <w:sz w:val="22"/>
        </w:rPr>
      </w:pPr>
      <w:r w:rsidRPr="000E3D59">
        <w:rPr>
          <w:sz w:val="22"/>
        </w:rPr>
        <w:t xml:space="preserve">This statement is prepared in accordance with Part 3 of the </w:t>
      </w:r>
      <w:r w:rsidRPr="000E3D59">
        <w:rPr>
          <w:i/>
          <w:sz w:val="22"/>
        </w:rPr>
        <w:t>Human Rights (Parliamentary Scrutiny) Act 2011</w:t>
      </w:r>
      <w:r w:rsidR="00901DED" w:rsidRPr="000E3D59">
        <w:rPr>
          <w:sz w:val="22"/>
        </w:rPr>
        <w:t xml:space="preserve"> (Cth)</w:t>
      </w:r>
      <w:r w:rsidRPr="000E3D59">
        <w:rPr>
          <w:sz w:val="22"/>
        </w:rPr>
        <w:t>.</w:t>
      </w:r>
    </w:p>
    <w:p w14:paraId="1DA115B1" w14:textId="02F919C8" w:rsidR="00356A3E" w:rsidRPr="000E3D59" w:rsidRDefault="00356A3E" w:rsidP="00234EF7">
      <w:pPr>
        <w:pStyle w:val="ListParagraph"/>
        <w:rPr>
          <w:sz w:val="22"/>
        </w:rPr>
      </w:pPr>
      <w:r w:rsidRPr="000E3D59">
        <w:rPr>
          <w:sz w:val="22"/>
        </w:rPr>
        <w:t>The Amending Instrument is compatible with the human rights and freedoms recognised or declared in the international instruments listed in section 3 of the Human Rights (Parliamentary Scrutiny) Act 2011.</w:t>
      </w:r>
    </w:p>
    <w:p w14:paraId="295ECE79" w14:textId="2EAAE7C3" w:rsidR="00356A3E" w:rsidRPr="000E3D59" w:rsidRDefault="00356A3E" w:rsidP="00B112BE">
      <w:pPr>
        <w:pStyle w:val="Heading3"/>
        <w:spacing w:after="240"/>
        <w:rPr>
          <w:sz w:val="22"/>
        </w:rPr>
      </w:pPr>
      <w:bookmarkStart w:id="11" w:name="_Toc51766261"/>
      <w:r w:rsidRPr="000E3D59">
        <w:rPr>
          <w:sz w:val="22"/>
        </w:rPr>
        <w:t>Human right implications</w:t>
      </w:r>
      <w:bookmarkEnd w:id="11"/>
    </w:p>
    <w:p w14:paraId="261EF18F" w14:textId="244E4D89" w:rsidR="005B658B" w:rsidRPr="000E3D59" w:rsidRDefault="00356A3E" w:rsidP="00AB53AB">
      <w:pPr>
        <w:pStyle w:val="ListParagraph"/>
        <w:rPr>
          <w:sz w:val="22"/>
        </w:rPr>
      </w:pPr>
      <w:r w:rsidRPr="000E3D59">
        <w:rPr>
          <w:sz w:val="22"/>
        </w:rPr>
        <w:t xml:space="preserve">The Amending Instrument is consistent with the </w:t>
      </w:r>
      <w:r w:rsidR="00AB53AB" w:rsidRPr="000E3D59">
        <w:rPr>
          <w:sz w:val="22"/>
        </w:rPr>
        <w:t>right to protection from unlawful or arbitrary interference with privacy under Article 17 of the International Covenant on Civil and Political Rights (</w:t>
      </w:r>
      <w:r w:rsidR="00AB53AB" w:rsidRPr="000E3D59">
        <w:rPr>
          <w:b/>
          <w:sz w:val="22"/>
        </w:rPr>
        <w:t>ICCPR</w:t>
      </w:r>
      <w:r w:rsidR="00AB53AB" w:rsidRPr="000E3D59">
        <w:rPr>
          <w:sz w:val="22"/>
        </w:rPr>
        <w:t>).</w:t>
      </w:r>
    </w:p>
    <w:p w14:paraId="6E4F18D5" w14:textId="2DBEE79B" w:rsidR="002D07FD" w:rsidRPr="000E3D59" w:rsidRDefault="002D07FD" w:rsidP="009F218C">
      <w:pPr>
        <w:pStyle w:val="ListParagraph"/>
        <w:rPr>
          <w:sz w:val="22"/>
        </w:rPr>
      </w:pPr>
      <w:r w:rsidRPr="000E3D59">
        <w:rPr>
          <w:sz w:val="22"/>
        </w:rPr>
        <w:t xml:space="preserve">Amended Rules 1.10 and 1.16 </w:t>
      </w:r>
      <w:r w:rsidR="002A2B62" w:rsidRPr="000E3D59">
        <w:rPr>
          <w:sz w:val="22"/>
        </w:rPr>
        <w:t xml:space="preserve">set out the framework of </w:t>
      </w:r>
      <w:r w:rsidRPr="000E3D59">
        <w:rPr>
          <w:sz w:val="22"/>
        </w:rPr>
        <w:t xml:space="preserve">obligations and responsibilities of </w:t>
      </w:r>
      <w:r w:rsidR="002A2B62" w:rsidRPr="000E3D59">
        <w:rPr>
          <w:sz w:val="22"/>
        </w:rPr>
        <w:t>accredited persons in CDR outsourcing arrangements.</w:t>
      </w:r>
      <w:r w:rsidRPr="000E3D59">
        <w:rPr>
          <w:sz w:val="22"/>
        </w:rPr>
        <w:t xml:space="preserve"> These </w:t>
      </w:r>
      <w:r w:rsidR="00EB0FD3" w:rsidRPr="000E3D59">
        <w:rPr>
          <w:sz w:val="22"/>
        </w:rPr>
        <w:t xml:space="preserve">provisions </w:t>
      </w:r>
      <w:r w:rsidRPr="000E3D59">
        <w:rPr>
          <w:sz w:val="22"/>
        </w:rPr>
        <w:t xml:space="preserve">protect against unlawful or arbitrary interference with </w:t>
      </w:r>
      <w:r w:rsidR="002A2B62" w:rsidRPr="000E3D59">
        <w:rPr>
          <w:sz w:val="22"/>
        </w:rPr>
        <w:t xml:space="preserve">privacy. </w:t>
      </w:r>
    </w:p>
    <w:p w14:paraId="20EE4ECB" w14:textId="74533039" w:rsidR="000A3607" w:rsidRPr="000E3D59" w:rsidRDefault="000A3607" w:rsidP="002A2B62">
      <w:pPr>
        <w:pStyle w:val="ListParagraph"/>
        <w:rPr>
          <w:sz w:val="22"/>
        </w:rPr>
      </w:pPr>
      <w:r w:rsidRPr="000E3D59">
        <w:rPr>
          <w:sz w:val="22"/>
        </w:rPr>
        <w:t>Amended Rules 1.6(11), 1.7(1), 1.7(4)</w:t>
      </w:r>
      <w:r w:rsidR="00775258" w:rsidRPr="000E3D59">
        <w:rPr>
          <w:sz w:val="22"/>
        </w:rPr>
        <w:t>,</w:t>
      </w:r>
      <w:r w:rsidRPr="000E3D59">
        <w:rPr>
          <w:sz w:val="22"/>
        </w:rPr>
        <w:t xml:space="preserve"> </w:t>
      </w:r>
      <w:r w:rsidR="00B41916" w:rsidRPr="000E3D59">
        <w:rPr>
          <w:sz w:val="22"/>
        </w:rPr>
        <w:t xml:space="preserve">1.7(5), </w:t>
      </w:r>
      <w:r w:rsidRPr="000E3D59">
        <w:rPr>
          <w:sz w:val="22"/>
        </w:rPr>
        <w:t>1.16</w:t>
      </w:r>
      <w:r w:rsidR="00775258" w:rsidRPr="000E3D59">
        <w:rPr>
          <w:sz w:val="22"/>
        </w:rPr>
        <w:t xml:space="preserve">, 1.18(c), 4.11(3)(f), 7.2(4)(b), 7.4, 7.5(1)(d), 7.5(1)(e), 7.5(3)(c), </w:t>
      </w:r>
      <w:r w:rsidR="00886FA9" w:rsidRPr="000E3D59">
        <w:rPr>
          <w:sz w:val="22"/>
        </w:rPr>
        <w:t>7.6(2) and (3), 7.9, 7.10(1), 7.12(</w:t>
      </w:r>
      <w:r w:rsidR="002A2B62" w:rsidRPr="000E3D59">
        <w:rPr>
          <w:sz w:val="22"/>
        </w:rPr>
        <w:t xml:space="preserve">2)(b), 9.3(2)(i)(i) and 9.8(e) are intended to bring the operation of those provisions in line with the broader purpose of the Amending Instrument. As such, the effect of these </w:t>
      </w:r>
      <w:r w:rsidR="006A6231" w:rsidRPr="000E3D59">
        <w:rPr>
          <w:sz w:val="22"/>
        </w:rPr>
        <w:t>A</w:t>
      </w:r>
      <w:r w:rsidR="002A2B62" w:rsidRPr="000E3D59">
        <w:rPr>
          <w:sz w:val="22"/>
        </w:rPr>
        <w:t xml:space="preserve">mended </w:t>
      </w:r>
      <w:r w:rsidR="006A6231" w:rsidRPr="000E3D59">
        <w:rPr>
          <w:sz w:val="22"/>
        </w:rPr>
        <w:t>R</w:t>
      </w:r>
      <w:r w:rsidR="002A2B62" w:rsidRPr="000E3D59">
        <w:rPr>
          <w:sz w:val="22"/>
        </w:rPr>
        <w:t xml:space="preserve">ules is to ensure that the overall operation of the rules remains in line with the protections afforded by </w:t>
      </w:r>
      <w:r w:rsidR="00FC6E65" w:rsidRPr="000E3D59">
        <w:rPr>
          <w:sz w:val="22"/>
        </w:rPr>
        <w:t xml:space="preserve">Article 17. </w:t>
      </w:r>
    </w:p>
    <w:p w14:paraId="177EDF0A" w14:textId="180F536F" w:rsidR="002D07FD" w:rsidRPr="000E3D59" w:rsidRDefault="002D07FD" w:rsidP="00234EF7">
      <w:pPr>
        <w:pStyle w:val="ListParagraph"/>
        <w:rPr>
          <w:sz w:val="22"/>
        </w:rPr>
      </w:pPr>
      <w:r w:rsidRPr="000E3D59">
        <w:rPr>
          <w:sz w:val="22"/>
        </w:rPr>
        <w:t xml:space="preserve">Amendments to clause 2.2 of Schedule 2 </w:t>
      </w:r>
      <w:r w:rsidR="005B658B" w:rsidRPr="000E3D59">
        <w:rPr>
          <w:sz w:val="22"/>
        </w:rPr>
        <w:t xml:space="preserve">add to the existing framework for minimum information security controls and as such provide additional protections in relation to privacy. </w:t>
      </w:r>
    </w:p>
    <w:p w14:paraId="626B4728" w14:textId="60DC6E34" w:rsidR="00356A3E" w:rsidRPr="000E3D59" w:rsidRDefault="00356A3E" w:rsidP="00B112BE">
      <w:pPr>
        <w:pStyle w:val="Heading3"/>
        <w:spacing w:after="240"/>
        <w:rPr>
          <w:sz w:val="22"/>
        </w:rPr>
      </w:pPr>
      <w:bookmarkStart w:id="12" w:name="_Toc51766262"/>
      <w:r w:rsidRPr="000E3D59">
        <w:rPr>
          <w:sz w:val="22"/>
        </w:rPr>
        <w:t>Conclusion</w:t>
      </w:r>
      <w:bookmarkEnd w:id="12"/>
    </w:p>
    <w:p w14:paraId="59A96049" w14:textId="56407C9B" w:rsidR="00356A3E" w:rsidRPr="000E3D59" w:rsidRDefault="00356A3E" w:rsidP="00234EF7">
      <w:pPr>
        <w:pStyle w:val="ListParagraph"/>
        <w:rPr>
          <w:sz w:val="22"/>
        </w:rPr>
      </w:pPr>
      <w:r w:rsidRPr="000E3D59">
        <w:rPr>
          <w:sz w:val="22"/>
        </w:rPr>
        <w:t>The Amending Instrument is compatible with human rights and freedoms.</w:t>
      </w:r>
    </w:p>
    <w:p w14:paraId="10537359" w14:textId="1C5EB9A2" w:rsidR="00874851" w:rsidRDefault="00073F38" w:rsidP="00874851">
      <w:pPr>
        <w:pStyle w:val="Heading2"/>
        <w:spacing w:after="240" w:line="240" w:lineRule="auto"/>
      </w:pPr>
      <w:bookmarkStart w:id="13" w:name="_Toc51766263"/>
      <w:r>
        <w:t>Privacy impact assessment</w:t>
      </w:r>
      <w:bookmarkEnd w:id="13"/>
    </w:p>
    <w:p w14:paraId="1C03DD8D" w14:textId="22034595" w:rsidR="00874851" w:rsidRPr="000E3D59" w:rsidRDefault="00874851" w:rsidP="007711C9">
      <w:pPr>
        <w:pStyle w:val="ListParagraph"/>
        <w:rPr>
          <w:sz w:val="22"/>
        </w:rPr>
      </w:pPr>
      <w:r w:rsidRPr="000E3D59">
        <w:rPr>
          <w:sz w:val="22"/>
        </w:rPr>
        <w:t>A</w:t>
      </w:r>
      <w:r w:rsidR="00BC0B3A" w:rsidRPr="000E3D59">
        <w:rPr>
          <w:sz w:val="22"/>
        </w:rPr>
        <w:t>n</w:t>
      </w:r>
      <w:r w:rsidRPr="000E3D59">
        <w:rPr>
          <w:sz w:val="22"/>
        </w:rPr>
        <w:t xml:space="preserve"> </w:t>
      </w:r>
      <w:r w:rsidR="00BC0B3A" w:rsidRPr="000E3D59">
        <w:rPr>
          <w:sz w:val="22"/>
        </w:rPr>
        <w:t xml:space="preserve">independently prepared </w:t>
      </w:r>
      <w:r w:rsidRPr="000E3D59">
        <w:rPr>
          <w:sz w:val="22"/>
        </w:rPr>
        <w:t xml:space="preserve">draft </w:t>
      </w:r>
      <w:r w:rsidR="00BC0B3A" w:rsidRPr="000E3D59">
        <w:rPr>
          <w:sz w:val="22"/>
        </w:rPr>
        <w:t xml:space="preserve">of the </w:t>
      </w:r>
      <w:r w:rsidRPr="000E3D59">
        <w:rPr>
          <w:sz w:val="22"/>
        </w:rPr>
        <w:t xml:space="preserve">Privacy Impact Assessment report was </w:t>
      </w:r>
      <w:r w:rsidR="00BC0B3A" w:rsidRPr="000E3D59">
        <w:rPr>
          <w:sz w:val="22"/>
        </w:rPr>
        <w:t xml:space="preserve">released for consultation alongside the draft rules on 22 June 2020. </w:t>
      </w:r>
      <w:r w:rsidR="007711C9" w:rsidRPr="000E3D59">
        <w:rPr>
          <w:sz w:val="22"/>
        </w:rPr>
        <w:t>This was prepared as an update to the Privacy Impact Assessment dated March 2019, published by The Treasury.</w:t>
      </w:r>
    </w:p>
    <w:p w14:paraId="5B572E55" w14:textId="04D9BE40" w:rsidR="00874851" w:rsidRPr="000E3D59" w:rsidRDefault="00874851" w:rsidP="00234EF7">
      <w:pPr>
        <w:pStyle w:val="ListParagraph"/>
        <w:rPr>
          <w:sz w:val="22"/>
        </w:rPr>
      </w:pPr>
      <w:r w:rsidRPr="000E3D59">
        <w:rPr>
          <w:sz w:val="22"/>
        </w:rPr>
        <w:t xml:space="preserve">A final Privacy Impact Assessment report </w:t>
      </w:r>
      <w:r w:rsidR="006A6231" w:rsidRPr="000E3D59">
        <w:rPr>
          <w:sz w:val="22"/>
        </w:rPr>
        <w:t>will</w:t>
      </w:r>
      <w:r w:rsidRPr="000E3D59">
        <w:rPr>
          <w:sz w:val="22"/>
        </w:rPr>
        <w:t xml:space="preserve"> </w:t>
      </w:r>
      <w:r w:rsidR="004B45C5">
        <w:rPr>
          <w:sz w:val="22"/>
        </w:rPr>
        <w:t>be</w:t>
      </w:r>
      <w:r w:rsidR="004B45C5" w:rsidRPr="000E3D59">
        <w:rPr>
          <w:sz w:val="22"/>
        </w:rPr>
        <w:t xml:space="preserve"> </w:t>
      </w:r>
      <w:r w:rsidR="00BC0B3A" w:rsidRPr="000E3D59">
        <w:rPr>
          <w:sz w:val="22"/>
        </w:rPr>
        <w:t xml:space="preserve">published </w:t>
      </w:r>
      <w:r w:rsidR="004B45C5">
        <w:rPr>
          <w:sz w:val="22"/>
        </w:rPr>
        <w:t>on the ACCC’s website</w:t>
      </w:r>
    </w:p>
    <w:p w14:paraId="19D74DA1" w14:textId="77777777" w:rsidR="00EF40FF" w:rsidRDefault="00EF40FF">
      <w:pPr>
        <w:rPr>
          <w:rFonts w:eastAsiaTheme="majorEastAsia" w:cstheme="majorBidi"/>
          <w:bCs/>
          <w:color w:val="410099" w:themeColor="accent1"/>
          <w:sz w:val="28"/>
          <w:szCs w:val="26"/>
        </w:rPr>
      </w:pPr>
      <w:bookmarkStart w:id="14" w:name="_Toc51766264"/>
      <w:r>
        <w:br w:type="page"/>
      </w:r>
    </w:p>
    <w:p w14:paraId="60C02E43" w14:textId="28066ED9" w:rsidR="00874851" w:rsidRDefault="00874851" w:rsidP="00874851">
      <w:pPr>
        <w:pStyle w:val="Heading2"/>
        <w:spacing w:after="240" w:line="240" w:lineRule="auto"/>
      </w:pPr>
      <w:r>
        <w:lastRenderedPageBreak/>
        <w:t>Regulatory impact analysis</w:t>
      </w:r>
      <w:bookmarkEnd w:id="14"/>
      <w:r w:rsidRPr="00356A3E">
        <w:rPr>
          <w:sz w:val="24"/>
        </w:rPr>
        <w:t xml:space="preserve"> </w:t>
      </w:r>
    </w:p>
    <w:p w14:paraId="19998388" w14:textId="7ACFB6C0" w:rsidR="002214D0" w:rsidRPr="000E3D59" w:rsidRDefault="00BC0B3A" w:rsidP="00243EAC">
      <w:pPr>
        <w:pStyle w:val="ListParagraph"/>
        <w:rPr>
          <w:sz w:val="22"/>
        </w:rPr>
      </w:pPr>
      <w:r w:rsidRPr="000E3D59">
        <w:rPr>
          <w:sz w:val="22"/>
        </w:rPr>
        <w:t xml:space="preserve">The </w:t>
      </w:r>
      <w:r w:rsidR="006A6231" w:rsidRPr="000E3D59">
        <w:rPr>
          <w:sz w:val="22"/>
        </w:rPr>
        <w:t xml:space="preserve">Amending Instrument </w:t>
      </w:r>
      <w:r w:rsidRPr="000E3D59">
        <w:rPr>
          <w:sz w:val="22"/>
        </w:rPr>
        <w:t>fall</w:t>
      </w:r>
      <w:r w:rsidR="006A6231" w:rsidRPr="000E3D59">
        <w:rPr>
          <w:sz w:val="22"/>
        </w:rPr>
        <w:t>s</w:t>
      </w:r>
      <w:r w:rsidRPr="000E3D59">
        <w:rPr>
          <w:sz w:val="22"/>
        </w:rPr>
        <w:t xml:space="preserve"> within the scope of the regulation impact assessment undertaken </w:t>
      </w:r>
      <w:r w:rsidR="007F14BD" w:rsidRPr="000E3D59">
        <w:rPr>
          <w:sz w:val="22"/>
        </w:rPr>
        <w:t>at the time of making the</w:t>
      </w:r>
      <w:r w:rsidR="00D9583A">
        <w:rPr>
          <w:sz w:val="22"/>
        </w:rPr>
        <w:t xml:space="preserve"> Rules</w:t>
      </w:r>
      <w:r w:rsidR="007F14BD" w:rsidRPr="000E3D59">
        <w:rPr>
          <w:i/>
          <w:sz w:val="22"/>
        </w:rPr>
        <w:t>.</w:t>
      </w:r>
      <w:r w:rsidR="007F14BD" w:rsidRPr="000E3D59">
        <w:rPr>
          <w:sz w:val="22"/>
        </w:rPr>
        <w:t xml:space="preserve"> </w:t>
      </w:r>
      <w:r w:rsidR="00874851" w:rsidRPr="000E3D59">
        <w:rPr>
          <w:sz w:val="22"/>
        </w:rPr>
        <w:t xml:space="preserve">The </w:t>
      </w:r>
      <w:r w:rsidR="00D9583A">
        <w:rPr>
          <w:sz w:val="22"/>
        </w:rPr>
        <w:t>A</w:t>
      </w:r>
      <w:r w:rsidR="007F14BD" w:rsidRPr="000E3D59">
        <w:rPr>
          <w:sz w:val="22"/>
        </w:rPr>
        <w:t>mend</w:t>
      </w:r>
      <w:r w:rsidR="00D9583A">
        <w:rPr>
          <w:sz w:val="22"/>
        </w:rPr>
        <w:t>ed</w:t>
      </w:r>
      <w:r w:rsidR="007F14BD" w:rsidRPr="000E3D59">
        <w:rPr>
          <w:sz w:val="22"/>
        </w:rPr>
        <w:t xml:space="preserve"> </w:t>
      </w:r>
      <w:r w:rsidR="00D9583A">
        <w:rPr>
          <w:sz w:val="22"/>
        </w:rPr>
        <w:t>R</w:t>
      </w:r>
      <w:r w:rsidR="007F14BD" w:rsidRPr="000E3D59">
        <w:rPr>
          <w:sz w:val="22"/>
        </w:rPr>
        <w:t xml:space="preserve">ules </w:t>
      </w:r>
      <w:r w:rsidR="00874851" w:rsidRPr="000E3D59">
        <w:rPr>
          <w:sz w:val="22"/>
        </w:rPr>
        <w:t xml:space="preserve">do not depart significantly from the original </w:t>
      </w:r>
      <w:r w:rsidR="007F14BD" w:rsidRPr="000E3D59">
        <w:rPr>
          <w:sz w:val="22"/>
        </w:rPr>
        <w:t xml:space="preserve">consideration. </w:t>
      </w:r>
      <w:bookmarkStart w:id="15" w:name="_Toc43288983"/>
      <w:r w:rsidR="00243EAC" w:rsidRPr="000E3D59">
        <w:rPr>
          <w:sz w:val="22"/>
        </w:rPr>
        <w:t xml:space="preserve">On this basis, the Office of Best Practice Regulation advised that a Regulation Impact Statement was not required (OBPR reference ID 24996).  </w:t>
      </w:r>
    </w:p>
    <w:p w14:paraId="3157B626" w14:textId="77777777" w:rsidR="002214D0" w:rsidRPr="00356A3E" w:rsidRDefault="002214D0" w:rsidP="002214D0">
      <w:pPr>
        <w:pStyle w:val="Heading2"/>
        <w:spacing w:after="240" w:line="240" w:lineRule="auto"/>
      </w:pPr>
      <w:bookmarkStart w:id="16" w:name="_Toc51766265"/>
      <w:r w:rsidRPr="00356A3E">
        <w:t>Consultation</w:t>
      </w:r>
      <w:bookmarkEnd w:id="16"/>
    </w:p>
    <w:p w14:paraId="0CF39D0F" w14:textId="0DA2F018" w:rsidR="002214D0" w:rsidRPr="000E3D59" w:rsidRDefault="002214D0" w:rsidP="00234EF7">
      <w:pPr>
        <w:pStyle w:val="ListParagraph"/>
        <w:rPr>
          <w:sz w:val="22"/>
        </w:rPr>
      </w:pPr>
      <w:r w:rsidRPr="000E3D59">
        <w:rPr>
          <w:sz w:val="22"/>
        </w:rPr>
        <w:t>Draft rules were released for consultation on 22 June 2020, for a period of 28 days. In addition, the ACCC held an online workshop on 14 July 2020 about the design and technical implementation of the draft rules.</w:t>
      </w:r>
      <w:r w:rsidR="001A2D4C">
        <w:rPr>
          <w:sz w:val="22"/>
        </w:rPr>
        <w:t xml:space="preserve"> </w:t>
      </w:r>
    </w:p>
    <w:p w14:paraId="78DD0656" w14:textId="18FDDC1F" w:rsidR="002214D0" w:rsidRPr="000E3D59" w:rsidRDefault="002214D0" w:rsidP="00234EF7">
      <w:pPr>
        <w:pStyle w:val="ListParagraph"/>
        <w:rPr>
          <w:sz w:val="22"/>
        </w:rPr>
      </w:pPr>
      <w:r w:rsidRPr="000E3D59">
        <w:rPr>
          <w:sz w:val="22"/>
        </w:rPr>
        <w:t xml:space="preserve">The ACCC also consulted with the Information Commissioner. </w:t>
      </w:r>
    </w:p>
    <w:p w14:paraId="524912CB" w14:textId="77777777" w:rsidR="002214D0" w:rsidRPr="000E3D59" w:rsidRDefault="002214D0" w:rsidP="00234EF7">
      <w:pPr>
        <w:pStyle w:val="ListParagraph"/>
        <w:rPr>
          <w:sz w:val="22"/>
        </w:rPr>
      </w:pPr>
      <w:r w:rsidRPr="000E3D59">
        <w:rPr>
          <w:sz w:val="22"/>
        </w:rPr>
        <w:t>This satisfies the consultation requirements specified in section 56BQ of the Competition and Consumer Act.</w:t>
      </w:r>
    </w:p>
    <w:p w14:paraId="5F332FD0" w14:textId="77777777" w:rsidR="002214D0" w:rsidRPr="000E3D59" w:rsidRDefault="002214D0">
      <w:pPr>
        <w:rPr>
          <w:rFonts w:ascii="Palatino Linotype" w:eastAsiaTheme="majorEastAsia" w:hAnsi="Palatino Linotype" w:cstheme="majorBidi"/>
          <w:bCs/>
          <w:color w:val="410099" w:themeColor="accent1"/>
        </w:rPr>
      </w:pPr>
      <w:r w:rsidRPr="00D10C25">
        <w:br w:type="page"/>
      </w:r>
    </w:p>
    <w:p w14:paraId="47D2EEAD" w14:textId="711574EA" w:rsidR="00467034" w:rsidRPr="00467034" w:rsidRDefault="00467034" w:rsidP="00467034">
      <w:pPr>
        <w:pStyle w:val="Heading1"/>
      </w:pPr>
      <w:bookmarkStart w:id="17" w:name="_Toc51766266"/>
      <w:r w:rsidRPr="00467034">
        <w:lastRenderedPageBreak/>
        <w:t>Explanatory Notes</w:t>
      </w:r>
      <w:bookmarkEnd w:id="15"/>
      <w:bookmarkEnd w:id="17"/>
    </w:p>
    <w:p w14:paraId="35A2B436" w14:textId="1E5E2971" w:rsidR="00D9583A" w:rsidRDefault="00D9583A" w:rsidP="00467034">
      <w:pPr>
        <w:tabs>
          <w:tab w:val="left" w:pos="680"/>
        </w:tabs>
        <w:spacing w:before="240"/>
        <w:rPr>
          <w:rFonts w:eastAsiaTheme="majorEastAsia" w:cs="Arial"/>
          <w:sz w:val="24"/>
          <w:szCs w:val="24"/>
        </w:rPr>
      </w:pPr>
      <w:r w:rsidRPr="000E3D59">
        <w:rPr>
          <w:rFonts w:eastAsiaTheme="majorEastAsia" w:cs="Arial"/>
          <w:sz w:val="24"/>
          <w:szCs w:val="24"/>
        </w:rPr>
        <w:t>Clauses 1 to 4</w:t>
      </w:r>
    </w:p>
    <w:p w14:paraId="1D68A4E7" w14:textId="04910921" w:rsidR="00D9583A" w:rsidRPr="000E3D59" w:rsidRDefault="00D9583A" w:rsidP="000E3D59">
      <w:pPr>
        <w:numPr>
          <w:ilvl w:val="0"/>
          <w:numId w:val="12"/>
        </w:numPr>
        <w:tabs>
          <w:tab w:val="left" w:pos="680"/>
          <w:tab w:val="left" w:pos="1021"/>
        </w:tabs>
        <w:spacing w:before="240" w:line="240" w:lineRule="atLeast"/>
        <w:ind w:left="680" w:hanging="680"/>
        <w:rPr>
          <w:rFonts w:eastAsiaTheme="majorEastAsia" w:cs="Arial"/>
        </w:rPr>
      </w:pPr>
      <w:r w:rsidRPr="000E3D59">
        <w:rPr>
          <w:rFonts w:eastAsiaTheme="majorEastAsia" w:cs="Arial"/>
        </w:rPr>
        <w:t>Clauses 1, 3 and 4 of the Amending Instrument provide for the name and authority for the making of the instrument and the amendments to be made (as set out in Schedule 1).</w:t>
      </w:r>
    </w:p>
    <w:p w14:paraId="4B17DD5A" w14:textId="67D83C5D" w:rsidR="00D9583A" w:rsidRPr="000E3D59" w:rsidRDefault="00D9583A" w:rsidP="000E3D59">
      <w:pPr>
        <w:numPr>
          <w:ilvl w:val="0"/>
          <w:numId w:val="12"/>
        </w:numPr>
        <w:tabs>
          <w:tab w:val="left" w:pos="680"/>
          <w:tab w:val="left" w:pos="1021"/>
        </w:tabs>
        <w:spacing w:before="240" w:line="240" w:lineRule="atLeast"/>
        <w:ind w:left="680" w:hanging="680"/>
        <w:rPr>
          <w:rFonts w:eastAsiaTheme="majorEastAsia" w:cs="Arial"/>
        </w:rPr>
      </w:pPr>
      <w:r w:rsidRPr="000E3D59">
        <w:rPr>
          <w:rFonts w:eastAsiaTheme="majorEastAsia" w:cs="Arial"/>
        </w:rPr>
        <w:t>Clause 2 provide for the Amended Rules to commence the day after the Amending Instrument is registered on the Federal Register of Legislation.</w:t>
      </w:r>
      <w:r>
        <w:rPr>
          <w:rFonts w:eastAsiaTheme="majorEastAsia" w:cs="Arial"/>
        </w:rPr>
        <w:t xml:space="preserve"> The Amended Rules will </w:t>
      </w:r>
      <w:r w:rsidR="004B45C5">
        <w:rPr>
          <w:rFonts w:eastAsiaTheme="majorEastAsia" w:cs="Arial"/>
        </w:rPr>
        <w:t>require technical implementation</w:t>
      </w:r>
      <w:r>
        <w:rPr>
          <w:rFonts w:eastAsiaTheme="majorEastAsia" w:cs="Arial"/>
        </w:rPr>
        <w:t xml:space="preserve"> in the Register of Accredited Persons (the </w:t>
      </w:r>
      <w:r w:rsidRPr="000E3D59">
        <w:rPr>
          <w:rFonts w:eastAsiaTheme="majorEastAsia" w:cs="Arial"/>
          <w:b/>
        </w:rPr>
        <w:t>Register</w:t>
      </w:r>
      <w:r>
        <w:rPr>
          <w:rFonts w:eastAsiaTheme="majorEastAsia" w:cs="Arial"/>
        </w:rPr>
        <w:t xml:space="preserve">) that the ACCC maintains in its capacity as the Accreditation Registrar. The ACCC expects that the Amended Rules will be </w:t>
      </w:r>
      <w:r w:rsidR="004B45C5">
        <w:rPr>
          <w:rFonts w:eastAsiaTheme="majorEastAsia" w:cs="Arial"/>
        </w:rPr>
        <w:t>implemented and supported</w:t>
      </w:r>
      <w:r>
        <w:rPr>
          <w:rFonts w:eastAsiaTheme="majorEastAsia" w:cs="Arial"/>
        </w:rPr>
        <w:t xml:space="preserve"> in the Register by early November 2020 and will publish details about this via the ACCC’s CDR newsletters.</w:t>
      </w:r>
    </w:p>
    <w:p w14:paraId="131829B8" w14:textId="28B31C7C" w:rsidR="00D9583A" w:rsidRPr="000E3D59" w:rsidRDefault="00D9583A" w:rsidP="00467034">
      <w:pPr>
        <w:tabs>
          <w:tab w:val="left" w:pos="680"/>
        </w:tabs>
        <w:spacing w:before="240"/>
        <w:rPr>
          <w:rFonts w:eastAsiaTheme="majorEastAsia" w:cs="Arial"/>
          <w:sz w:val="24"/>
          <w:szCs w:val="24"/>
        </w:rPr>
      </w:pPr>
      <w:r w:rsidRPr="000E3D59">
        <w:rPr>
          <w:rFonts w:eastAsiaTheme="majorEastAsia" w:cs="Arial"/>
          <w:sz w:val="24"/>
          <w:szCs w:val="24"/>
        </w:rPr>
        <w:t>Schedule 1 - Amendments</w:t>
      </w:r>
    </w:p>
    <w:p w14:paraId="0FD50A3F" w14:textId="77777777" w:rsidR="000E3D59" w:rsidRPr="00467034" w:rsidRDefault="000E3D59" w:rsidP="000E3D59">
      <w:pPr>
        <w:tabs>
          <w:tab w:val="left" w:pos="680"/>
        </w:tabs>
        <w:spacing w:before="240"/>
        <w:rPr>
          <w:rFonts w:eastAsiaTheme="majorEastAsia" w:cs="Arial"/>
          <w:i/>
          <w:szCs w:val="26"/>
        </w:rPr>
      </w:pPr>
      <w:r w:rsidRPr="00467034">
        <w:rPr>
          <w:rFonts w:eastAsiaTheme="majorEastAsia" w:cs="Arial"/>
          <w:i/>
          <w:szCs w:val="26"/>
        </w:rPr>
        <w:t>Items 1 and 2: Amendments to rules 1.6(11) and 1.7(1) — Add references to service data</w:t>
      </w:r>
    </w:p>
    <w:p w14:paraId="7AF6D592" w14:textId="4A174350" w:rsidR="000E3D59" w:rsidRPr="00467034" w:rsidRDefault="000E3D59" w:rsidP="000E3D59">
      <w:pPr>
        <w:numPr>
          <w:ilvl w:val="0"/>
          <w:numId w:val="12"/>
        </w:numPr>
        <w:tabs>
          <w:tab w:val="left" w:pos="680"/>
          <w:tab w:val="left" w:pos="1021"/>
        </w:tabs>
        <w:spacing w:before="240" w:line="240" w:lineRule="atLeast"/>
        <w:ind w:left="680" w:hanging="680"/>
        <w:rPr>
          <w:rFonts w:eastAsiaTheme="majorEastAsia" w:cs="Arial"/>
          <w:szCs w:val="26"/>
        </w:rPr>
      </w:pPr>
      <w:r w:rsidRPr="00467034">
        <w:rPr>
          <w:rFonts w:eastAsiaTheme="majorEastAsia" w:cs="Arial"/>
          <w:szCs w:val="26"/>
        </w:rPr>
        <w:t xml:space="preserve">Items 1 and 2 amend rules 1.6 ‘Overview of these rules’ and 1.7 ‘Interpretation’ to include references to ‘service data’, </w:t>
      </w:r>
      <w:r>
        <w:rPr>
          <w:rFonts w:eastAsiaTheme="majorEastAsia" w:cs="Arial"/>
          <w:szCs w:val="26"/>
        </w:rPr>
        <w:t>consequential to the amendments in</w:t>
      </w:r>
      <w:r w:rsidRPr="00467034">
        <w:rPr>
          <w:rFonts w:eastAsiaTheme="majorEastAsia" w:cs="Arial"/>
          <w:szCs w:val="26"/>
        </w:rPr>
        <w:t xml:space="preserve"> item 4.</w:t>
      </w:r>
    </w:p>
    <w:p w14:paraId="6A6C3534" w14:textId="797E3C6F" w:rsidR="000E3D59" w:rsidRPr="00467034" w:rsidRDefault="000E3D59" w:rsidP="000E3D59">
      <w:pPr>
        <w:tabs>
          <w:tab w:val="left" w:pos="680"/>
        </w:tabs>
        <w:spacing w:before="240"/>
        <w:rPr>
          <w:rFonts w:eastAsiaTheme="majorEastAsia" w:cs="Arial"/>
          <w:i/>
          <w:szCs w:val="26"/>
        </w:rPr>
      </w:pPr>
      <w:r w:rsidRPr="00467034">
        <w:rPr>
          <w:rFonts w:eastAsiaTheme="majorEastAsia" w:cs="Arial"/>
          <w:i/>
          <w:szCs w:val="26"/>
        </w:rPr>
        <w:t>It</w:t>
      </w:r>
      <w:bookmarkStart w:id="18" w:name="_GoBack"/>
      <w:bookmarkEnd w:id="18"/>
      <w:r w:rsidRPr="00467034">
        <w:rPr>
          <w:rFonts w:eastAsiaTheme="majorEastAsia" w:cs="Arial"/>
          <w:i/>
          <w:szCs w:val="26"/>
        </w:rPr>
        <w:t xml:space="preserve">em 3: </w:t>
      </w:r>
      <w:r>
        <w:rPr>
          <w:rFonts w:eastAsiaTheme="majorEastAsia" w:cs="Arial"/>
          <w:i/>
          <w:szCs w:val="26"/>
        </w:rPr>
        <w:t>After</w:t>
      </w:r>
      <w:r w:rsidRPr="00467034">
        <w:rPr>
          <w:rFonts w:eastAsiaTheme="majorEastAsia" w:cs="Arial"/>
          <w:i/>
          <w:szCs w:val="26"/>
        </w:rPr>
        <w:t xml:space="preserve"> rule 1.7</w:t>
      </w:r>
      <w:r>
        <w:rPr>
          <w:rFonts w:eastAsiaTheme="majorEastAsia" w:cs="Arial"/>
          <w:i/>
          <w:szCs w:val="26"/>
        </w:rPr>
        <w:t>(4)</w:t>
      </w:r>
      <w:r w:rsidRPr="00467034">
        <w:rPr>
          <w:rFonts w:eastAsiaTheme="majorEastAsia" w:cs="Arial"/>
          <w:i/>
          <w:szCs w:val="26"/>
        </w:rPr>
        <w:t xml:space="preserve"> — Clarify references to accredited persons</w:t>
      </w:r>
    </w:p>
    <w:p w14:paraId="5441ECC6" w14:textId="77777777" w:rsidR="000E3D59" w:rsidRPr="00467034" w:rsidRDefault="000E3D59" w:rsidP="000E3D59">
      <w:pPr>
        <w:numPr>
          <w:ilvl w:val="0"/>
          <w:numId w:val="12"/>
        </w:numPr>
        <w:tabs>
          <w:tab w:val="left" w:pos="680"/>
          <w:tab w:val="left" w:pos="1021"/>
        </w:tabs>
        <w:spacing w:before="240" w:line="240" w:lineRule="atLeast"/>
        <w:ind w:left="680" w:hanging="680"/>
        <w:rPr>
          <w:rFonts w:eastAsiaTheme="majorEastAsia" w:cs="Arial"/>
          <w:szCs w:val="26"/>
        </w:rPr>
      </w:pPr>
      <w:r w:rsidRPr="00467034">
        <w:rPr>
          <w:rFonts w:eastAsiaTheme="majorEastAsia" w:cs="Arial"/>
          <w:szCs w:val="26"/>
        </w:rPr>
        <w:t xml:space="preserve">Item 3 inserts rule 1.7(5), which stipulates that certain references to ‘accredited persons’ throughout the rules do not apply to accredited persons acting in their capacity as a provider in a CDR outsourcing arrangement. This includes rules relating to making consumer data requests, collecting consumer data, obtaining consents, providing consumer dashboards, and using or disclosing CDR data. </w:t>
      </w:r>
    </w:p>
    <w:p w14:paraId="021B3174" w14:textId="3DE847D2" w:rsidR="00467034" w:rsidRPr="00467034" w:rsidRDefault="00467034" w:rsidP="00467034">
      <w:pPr>
        <w:tabs>
          <w:tab w:val="left" w:pos="680"/>
        </w:tabs>
        <w:spacing w:before="240"/>
        <w:rPr>
          <w:rFonts w:eastAsiaTheme="majorEastAsia" w:cs="Arial"/>
          <w:i/>
          <w:szCs w:val="26"/>
        </w:rPr>
      </w:pPr>
      <w:r w:rsidRPr="00467034">
        <w:rPr>
          <w:rFonts w:eastAsiaTheme="majorEastAsia" w:cs="Arial"/>
          <w:i/>
          <w:szCs w:val="26"/>
        </w:rPr>
        <w:t>Item 4: Amendment to rule 1.10 — New definitions</w:t>
      </w:r>
    </w:p>
    <w:p w14:paraId="215E10E5" w14:textId="3198F8B6" w:rsidR="0042710F" w:rsidRPr="0042710F" w:rsidRDefault="00467034" w:rsidP="0042710F">
      <w:pPr>
        <w:numPr>
          <w:ilvl w:val="0"/>
          <w:numId w:val="12"/>
        </w:numPr>
        <w:tabs>
          <w:tab w:val="left" w:pos="680"/>
          <w:tab w:val="left" w:pos="1021"/>
        </w:tabs>
        <w:spacing w:before="240" w:line="240" w:lineRule="atLeast"/>
        <w:ind w:left="680" w:hanging="680"/>
        <w:rPr>
          <w:rFonts w:eastAsiaTheme="majorEastAsia" w:cs="Arial"/>
          <w:szCs w:val="26"/>
        </w:rPr>
      </w:pPr>
      <w:r w:rsidRPr="0042710F">
        <w:rPr>
          <w:rFonts w:eastAsiaTheme="majorEastAsia" w:cs="Arial"/>
          <w:szCs w:val="26"/>
        </w:rPr>
        <w:t xml:space="preserve">Item 4 repeals and replaces rule 1.10. This amendment replaces the meaning of ‘outsourced service provider’ and ‘CDR outsourcing arrangement’ in subrules 1.10(1) and 1.10(2) respectively. </w:t>
      </w:r>
      <w:r w:rsidR="0042710F" w:rsidRPr="0042710F">
        <w:rPr>
          <w:rFonts w:eastAsiaTheme="majorEastAsia" w:cs="Arial"/>
          <w:szCs w:val="26"/>
        </w:rPr>
        <w:t>This has the effect of allowing an accredited person to enter into a</w:t>
      </w:r>
      <w:r w:rsidR="005B1643">
        <w:rPr>
          <w:rFonts w:eastAsiaTheme="majorEastAsia" w:cs="Arial"/>
          <w:szCs w:val="26"/>
        </w:rPr>
        <w:t xml:space="preserve"> CDR outsourcing arrangement</w:t>
      </w:r>
      <w:r w:rsidR="0042710F" w:rsidRPr="0042710F">
        <w:rPr>
          <w:rFonts w:eastAsiaTheme="majorEastAsia" w:cs="Arial"/>
          <w:szCs w:val="26"/>
        </w:rPr>
        <w:t xml:space="preserve"> as an outsourced service provider (a ‘provider’), in order to collect CDR data on behalf of another accredited party (a ‘principal’).</w:t>
      </w:r>
    </w:p>
    <w:p w14:paraId="33131777" w14:textId="5E18EBFB" w:rsidR="00467034" w:rsidRPr="00467034" w:rsidRDefault="00467034" w:rsidP="00467034">
      <w:pPr>
        <w:numPr>
          <w:ilvl w:val="0"/>
          <w:numId w:val="12"/>
        </w:numPr>
        <w:tabs>
          <w:tab w:val="left" w:pos="680"/>
          <w:tab w:val="left" w:pos="1021"/>
        </w:tabs>
        <w:spacing w:before="240" w:line="240" w:lineRule="atLeast"/>
        <w:ind w:left="680" w:hanging="680"/>
        <w:rPr>
          <w:rFonts w:eastAsiaTheme="majorEastAsia" w:cs="Arial"/>
          <w:szCs w:val="26"/>
        </w:rPr>
      </w:pPr>
      <w:r w:rsidRPr="00467034">
        <w:rPr>
          <w:rFonts w:eastAsiaTheme="majorEastAsia" w:cs="Arial"/>
          <w:szCs w:val="26"/>
        </w:rPr>
        <w:t xml:space="preserve">The amendment </w:t>
      </w:r>
      <w:r w:rsidR="002741EC">
        <w:rPr>
          <w:rFonts w:eastAsiaTheme="majorEastAsia" w:cs="Arial"/>
          <w:szCs w:val="26"/>
        </w:rPr>
        <w:t xml:space="preserve">in this item </w:t>
      </w:r>
      <w:r w:rsidRPr="00467034">
        <w:rPr>
          <w:rFonts w:eastAsiaTheme="majorEastAsia" w:cs="Arial"/>
          <w:szCs w:val="26"/>
        </w:rPr>
        <w:t xml:space="preserve">also defines the term ‘service data’ in subrule 1.10(4), to </w:t>
      </w:r>
      <w:r w:rsidR="002741EC">
        <w:rPr>
          <w:rFonts w:eastAsiaTheme="majorEastAsia" w:cs="Arial"/>
          <w:szCs w:val="26"/>
        </w:rPr>
        <w:t>mean</w:t>
      </w:r>
      <w:r w:rsidRPr="00467034">
        <w:rPr>
          <w:rFonts w:eastAsiaTheme="majorEastAsia" w:cs="Arial"/>
          <w:szCs w:val="26"/>
        </w:rPr>
        <w:t xml:space="preserve"> CDR data that is obtained pursuant to a CDR outsourcing arrangement</w:t>
      </w:r>
      <w:r w:rsidR="000D0F84">
        <w:rPr>
          <w:rFonts w:eastAsiaTheme="majorEastAsia" w:cs="Arial"/>
          <w:szCs w:val="26"/>
        </w:rPr>
        <w:t>. This includes CDR data collected by a provider on behalf of a principal and CDR data disclosed to a CDR provider by a principal as well as any data that is derived, indirectly or directly, from this collected or disclosed data</w:t>
      </w:r>
      <w:r w:rsidRPr="00467034">
        <w:rPr>
          <w:rFonts w:eastAsiaTheme="majorEastAsia" w:cs="Arial"/>
          <w:szCs w:val="26"/>
        </w:rPr>
        <w:t xml:space="preserve">. </w:t>
      </w:r>
    </w:p>
    <w:p w14:paraId="7E78039F" w14:textId="77777777" w:rsidR="00467034" w:rsidRPr="00467034" w:rsidRDefault="00467034" w:rsidP="00467034">
      <w:pPr>
        <w:tabs>
          <w:tab w:val="left" w:pos="680"/>
        </w:tabs>
        <w:spacing w:before="240"/>
        <w:rPr>
          <w:rFonts w:eastAsiaTheme="majorEastAsia" w:cs="Arial"/>
          <w:i/>
          <w:szCs w:val="26"/>
        </w:rPr>
      </w:pPr>
      <w:r w:rsidRPr="00467034">
        <w:rPr>
          <w:rFonts w:eastAsiaTheme="majorEastAsia" w:cs="Arial"/>
          <w:i/>
          <w:szCs w:val="26"/>
        </w:rPr>
        <w:t>Item 5: Amendment to rule 1.16 — Update and clarify obligations</w:t>
      </w:r>
    </w:p>
    <w:p w14:paraId="5D2FF155" w14:textId="77777777" w:rsidR="00467034" w:rsidRPr="00467034" w:rsidRDefault="00467034" w:rsidP="00467034">
      <w:pPr>
        <w:numPr>
          <w:ilvl w:val="0"/>
          <w:numId w:val="12"/>
        </w:numPr>
        <w:tabs>
          <w:tab w:val="left" w:pos="680"/>
          <w:tab w:val="left" w:pos="1021"/>
        </w:tabs>
        <w:spacing w:before="240" w:line="240" w:lineRule="atLeast"/>
        <w:ind w:left="680" w:hanging="680"/>
        <w:rPr>
          <w:rFonts w:eastAsiaTheme="majorEastAsia" w:cs="Arial"/>
          <w:szCs w:val="26"/>
        </w:rPr>
      </w:pPr>
      <w:r w:rsidRPr="00467034">
        <w:rPr>
          <w:rFonts w:eastAsiaTheme="majorEastAsia" w:cs="Arial"/>
          <w:szCs w:val="26"/>
        </w:rPr>
        <w:t xml:space="preserve">Item 5 repeals and replaces rule 1.16, which specifies the obligations of a principal in a CDR outsourcing arrangement. The amendment preserves, in subrule 1.16(1), the position that the principal is responsible for ensuring that an outsourced service provider complies with its requirements under a CDR outsourcing arrangement. </w:t>
      </w:r>
    </w:p>
    <w:p w14:paraId="134A2C6A" w14:textId="13727494" w:rsidR="00467034" w:rsidRPr="00467034" w:rsidRDefault="00467034" w:rsidP="00467034">
      <w:pPr>
        <w:numPr>
          <w:ilvl w:val="0"/>
          <w:numId w:val="12"/>
        </w:numPr>
        <w:tabs>
          <w:tab w:val="left" w:pos="680"/>
          <w:tab w:val="left" w:pos="1021"/>
        </w:tabs>
        <w:spacing w:before="240" w:line="240" w:lineRule="atLeast"/>
        <w:ind w:left="680" w:hanging="680"/>
        <w:rPr>
          <w:rFonts w:eastAsiaTheme="majorEastAsia" w:cs="Arial"/>
          <w:szCs w:val="26"/>
        </w:rPr>
      </w:pPr>
      <w:r w:rsidRPr="00467034">
        <w:rPr>
          <w:rFonts w:eastAsiaTheme="majorEastAsia" w:cs="Arial"/>
          <w:szCs w:val="26"/>
        </w:rPr>
        <w:t xml:space="preserve">The amendment also specifies in subrule 1.16(2) the intended operation of certain rules relating to the Privacy Safeguards. The intention of this amendment is to clarify that </w:t>
      </w:r>
      <w:r w:rsidR="005B1643">
        <w:rPr>
          <w:rFonts w:eastAsiaTheme="majorEastAsia" w:cs="Arial"/>
          <w:szCs w:val="26"/>
        </w:rPr>
        <w:t>references to accredited persons in those rules are references to the principal.</w:t>
      </w:r>
      <w:r w:rsidRPr="00467034">
        <w:rPr>
          <w:rFonts w:eastAsiaTheme="majorEastAsia" w:cs="Arial"/>
          <w:szCs w:val="26"/>
        </w:rPr>
        <w:t xml:space="preserve"> </w:t>
      </w:r>
    </w:p>
    <w:p w14:paraId="78A0777E" w14:textId="77777777" w:rsidR="00467034" w:rsidRPr="00467034" w:rsidRDefault="00467034" w:rsidP="00467034">
      <w:pPr>
        <w:tabs>
          <w:tab w:val="left" w:pos="680"/>
        </w:tabs>
        <w:spacing w:before="240"/>
        <w:rPr>
          <w:rFonts w:eastAsiaTheme="majorEastAsia" w:cs="Arial"/>
          <w:i/>
          <w:szCs w:val="26"/>
        </w:rPr>
      </w:pPr>
      <w:r w:rsidRPr="00467034">
        <w:rPr>
          <w:rFonts w:eastAsiaTheme="majorEastAsia" w:cs="Arial"/>
          <w:i/>
          <w:szCs w:val="26"/>
        </w:rPr>
        <w:lastRenderedPageBreak/>
        <w:t>Items 6, 7, 18: Amendments to rules 1.18(c), 4.11(3)(f) and 9.3(2)(i)(i) — Expand to include acts of collection</w:t>
      </w:r>
    </w:p>
    <w:p w14:paraId="3F151722" w14:textId="72BA6085" w:rsidR="00467034" w:rsidRPr="00467034" w:rsidRDefault="00467034" w:rsidP="00467034">
      <w:pPr>
        <w:numPr>
          <w:ilvl w:val="0"/>
          <w:numId w:val="12"/>
        </w:numPr>
        <w:tabs>
          <w:tab w:val="left" w:pos="680"/>
          <w:tab w:val="left" w:pos="1021"/>
        </w:tabs>
        <w:spacing w:before="240" w:line="240" w:lineRule="atLeast"/>
        <w:ind w:left="680" w:hanging="680"/>
        <w:rPr>
          <w:rFonts w:eastAsiaTheme="majorEastAsia" w:cs="Arial"/>
          <w:szCs w:val="26"/>
        </w:rPr>
      </w:pPr>
      <w:r w:rsidRPr="00467034">
        <w:rPr>
          <w:rFonts w:eastAsiaTheme="majorEastAsia" w:cs="Arial"/>
          <w:szCs w:val="26"/>
        </w:rPr>
        <w:t xml:space="preserve">Items 6, 7 and 18 are amendments to rules 1.18(c), 4.11(3)(f) and 9.3(2)(i)(i), </w:t>
      </w:r>
      <w:r w:rsidR="00D10C25">
        <w:rPr>
          <w:rFonts w:eastAsiaTheme="majorEastAsia" w:cs="Arial"/>
          <w:szCs w:val="26"/>
        </w:rPr>
        <w:t>in which are consequential to</w:t>
      </w:r>
      <w:r w:rsidRPr="00467034">
        <w:rPr>
          <w:rFonts w:eastAsiaTheme="majorEastAsia" w:cs="Arial"/>
          <w:szCs w:val="26"/>
        </w:rPr>
        <w:t xml:space="preserve"> the amendment in item 4. The scope of those provisions </w:t>
      </w:r>
      <w:r w:rsidR="002741EC">
        <w:rPr>
          <w:rFonts w:eastAsiaTheme="majorEastAsia" w:cs="Arial"/>
          <w:szCs w:val="26"/>
        </w:rPr>
        <w:t xml:space="preserve">was previously limited to disclosure of CDR data to an outsourced service provider, and has </w:t>
      </w:r>
      <w:r w:rsidRPr="00467034">
        <w:rPr>
          <w:rFonts w:eastAsiaTheme="majorEastAsia" w:cs="Arial"/>
          <w:szCs w:val="26"/>
        </w:rPr>
        <w:t xml:space="preserve">been broadened to cover collection </w:t>
      </w:r>
      <w:r w:rsidR="002741EC">
        <w:rPr>
          <w:rFonts w:eastAsiaTheme="majorEastAsia" w:cs="Arial"/>
          <w:szCs w:val="26"/>
        </w:rPr>
        <w:t xml:space="preserve">of CDR data </w:t>
      </w:r>
      <w:r w:rsidRPr="00467034">
        <w:rPr>
          <w:rFonts w:eastAsiaTheme="majorEastAsia" w:cs="Arial"/>
          <w:szCs w:val="26"/>
        </w:rPr>
        <w:t>by</w:t>
      </w:r>
      <w:r w:rsidR="002741EC">
        <w:rPr>
          <w:rFonts w:eastAsiaTheme="majorEastAsia" w:cs="Arial"/>
          <w:szCs w:val="26"/>
        </w:rPr>
        <w:t xml:space="preserve"> </w:t>
      </w:r>
      <w:r w:rsidRPr="00467034">
        <w:rPr>
          <w:rFonts w:eastAsiaTheme="majorEastAsia" w:cs="Arial"/>
          <w:szCs w:val="26"/>
        </w:rPr>
        <w:t xml:space="preserve">an outsourced service provider. </w:t>
      </w:r>
    </w:p>
    <w:p w14:paraId="27253EA8" w14:textId="77777777" w:rsidR="00467034" w:rsidRPr="00467034" w:rsidRDefault="00467034" w:rsidP="00467034">
      <w:pPr>
        <w:tabs>
          <w:tab w:val="left" w:pos="680"/>
        </w:tabs>
        <w:spacing w:before="240"/>
        <w:rPr>
          <w:rFonts w:eastAsiaTheme="majorEastAsia" w:cs="Arial"/>
          <w:i/>
          <w:szCs w:val="26"/>
        </w:rPr>
      </w:pPr>
      <w:r w:rsidRPr="00467034">
        <w:rPr>
          <w:rFonts w:eastAsiaTheme="majorEastAsia" w:cs="Arial"/>
          <w:i/>
          <w:szCs w:val="26"/>
        </w:rPr>
        <w:t xml:space="preserve">Items 8, 9, 11, 13 and 17: Amendments to rules 4.11(3)(f), 7.2(4)(b), 7.5(1)(d), 7.5(3)(c), 7.12(2)(b) — Clarify references to outsourced service providers </w:t>
      </w:r>
    </w:p>
    <w:p w14:paraId="5AE17B8F" w14:textId="124E058F" w:rsidR="00467034" w:rsidRDefault="00467034" w:rsidP="00467034">
      <w:pPr>
        <w:numPr>
          <w:ilvl w:val="0"/>
          <w:numId w:val="12"/>
        </w:numPr>
        <w:tabs>
          <w:tab w:val="left" w:pos="680"/>
          <w:tab w:val="left" w:pos="1021"/>
        </w:tabs>
        <w:spacing w:before="240" w:line="240" w:lineRule="atLeast"/>
        <w:ind w:left="680" w:hanging="680"/>
        <w:rPr>
          <w:rFonts w:eastAsiaTheme="majorEastAsia" w:cs="Arial"/>
          <w:szCs w:val="26"/>
        </w:rPr>
      </w:pPr>
      <w:r w:rsidRPr="00467034">
        <w:rPr>
          <w:rFonts w:eastAsiaTheme="majorEastAsia" w:cs="Arial"/>
          <w:szCs w:val="26"/>
        </w:rPr>
        <w:t xml:space="preserve">The minor amendments in items 8, 9, 11, 13 and 17 insert text to make clear that references to outsourced service providers in rules 4.11(3)(f), 7.2(4)(b), 7.5(1)(d), 7.5(3)(c) and 7.12(2)(b) are references to outsourced service providers of an accredited person. </w:t>
      </w:r>
    </w:p>
    <w:p w14:paraId="5637F26D" w14:textId="65761566" w:rsidR="00BE5E67" w:rsidRPr="00C611C1" w:rsidRDefault="00BE5E67" w:rsidP="00467034">
      <w:pPr>
        <w:numPr>
          <w:ilvl w:val="0"/>
          <w:numId w:val="12"/>
        </w:numPr>
        <w:tabs>
          <w:tab w:val="left" w:pos="680"/>
          <w:tab w:val="left" w:pos="1021"/>
        </w:tabs>
        <w:spacing w:before="240" w:line="240" w:lineRule="atLeast"/>
        <w:ind w:left="680" w:hanging="680"/>
        <w:rPr>
          <w:rFonts w:eastAsiaTheme="majorEastAsia" w:cs="Arial"/>
          <w:szCs w:val="26"/>
        </w:rPr>
      </w:pPr>
      <w:r w:rsidRPr="00C611C1">
        <w:rPr>
          <w:rFonts w:eastAsiaTheme="majorEastAsia" w:cs="Arial"/>
          <w:szCs w:val="26"/>
        </w:rPr>
        <w:t xml:space="preserve">This is because the definition of ‘CDR outsourcing arrangement’, as </w:t>
      </w:r>
      <w:r w:rsidR="007F58C6" w:rsidRPr="00C611C1">
        <w:rPr>
          <w:rFonts w:eastAsiaTheme="majorEastAsia" w:cs="Arial"/>
          <w:szCs w:val="26"/>
        </w:rPr>
        <w:t>amended</w:t>
      </w:r>
      <w:r w:rsidRPr="00C611C1">
        <w:rPr>
          <w:rFonts w:eastAsiaTheme="majorEastAsia" w:cs="Arial"/>
          <w:szCs w:val="26"/>
        </w:rPr>
        <w:t xml:space="preserve"> </w:t>
      </w:r>
      <w:r w:rsidR="00F05BAE" w:rsidRPr="00C611C1">
        <w:rPr>
          <w:rFonts w:eastAsiaTheme="majorEastAsia" w:cs="Arial"/>
          <w:szCs w:val="26"/>
        </w:rPr>
        <w:t>in</w:t>
      </w:r>
      <w:r w:rsidRPr="00C611C1">
        <w:rPr>
          <w:rFonts w:eastAsiaTheme="majorEastAsia" w:cs="Arial"/>
          <w:szCs w:val="26"/>
        </w:rPr>
        <w:t xml:space="preserve"> rule</w:t>
      </w:r>
      <w:r w:rsidR="00482CC1" w:rsidRPr="00C611C1">
        <w:rPr>
          <w:rFonts w:eastAsiaTheme="majorEastAsia" w:cs="Arial"/>
          <w:szCs w:val="26"/>
        </w:rPr>
        <w:t> </w:t>
      </w:r>
      <w:r w:rsidRPr="00C611C1">
        <w:rPr>
          <w:rFonts w:eastAsiaTheme="majorEastAsia" w:cs="Arial"/>
          <w:szCs w:val="26"/>
        </w:rPr>
        <w:t xml:space="preserve">1.10 by item 4, includes arrangements where neither </w:t>
      </w:r>
      <w:r w:rsidR="0042710F" w:rsidRPr="00C611C1">
        <w:rPr>
          <w:rFonts w:eastAsiaTheme="majorEastAsia" w:cs="Arial"/>
          <w:szCs w:val="26"/>
        </w:rPr>
        <w:t xml:space="preserve">party is accredited. </w:t>
      </w:r>
    </w:p>
    <w:p w14:paraId="174E1690" w14:textId="77777777" w:rsidR="00467034" w:rsidRPr="00C611C1" w:rsidRDefault="00467034" w:rsidP="00467034">
      <w:pPr>
        <w:tabs>
          <w:tab w:val="left" w:pos="680"/>
        </w:tabs>
        <w:spacing w:before="240"/>
        <w:rPr>
          <w:rFonts w:eastAsiaTheme="majorEastAsia" w:cs="Arial"/>
          <w:i/>
          <w:szCs w:val="26"/>
        </w:rPr>
      </w:pPr>
      <w:r w:rsidRPr="00C611C1">
        <w:rPr>
          <w:rFonts w:eastAsiaTheme="majorEastAsia" w:cs="Arial"/>
          <w:i/>
          <w:szCs w:val="26"/>
        </w:rPr>
        <w:t>Items 10, 15 and 16: Amendments to the notes of rules 7.4, 7.9 and 7.10(1) — Insert cross</w:t>
      </w:r>
      <w:r w:rsidRPr="00C611C1">
        <w:rPr>
          <w:rFonts w:eastAsiaTheme="majorEastAsia" w:cs="Arial"/>
          <w:i/>
          <w:szCs w:val="26"/>
        </w:rPr>
        <w:noBreakHyphen/>
        <w:t>references to rule 1.16</w:t>
      </w:r>
    </w:p>
    <w:p w14:paraId="29C43E39" w14:textId="77777777" w:rsidR="00467034" w:rsidRPr="00C611C1" w:rsidRDefault="00467034" w:rsidP="00467034">
      <w:pPr>
        <w:numPr>
          <w:ilvl w:val="0"/>
          <w:numId w:val="12"/>
        </w:numPr>
        <w:tabs>
          <w:tab w:val="left" w:pos="680"/>
          <w:tab w:val="left" w:pos="1021"/>
        </w:tabs>
        <w:spacing w:before="240" w:line="240" w:lineRule="atLeast"/>
        <w:ind w:left="680" w:hanging="680"/>
        <w:rPr>
          <w:rFonts w:eastAsiaTheme="majorEastAsia" w:cs="Arial"/>
          <w:szCs w:val="26"/>
        </w:rPr>
      </w:pPr>
      <w:r w:rsidRPr="00C611C1">
        <w:rPr>
          <w:rFonts w:eastAsiaTheme="majorEastAsia" w:cs="Arial"/>
          <w:szCs w:val="26"/>
        </w:rPr>
        <w:t>Items 10, 15 and 16 insert notes at the end of rules 7.4, 7.9 and 7.10(1) to cross</w:t>
      </w:r>
      <w:r w:rsidRPr="00C611C1">
        <w:rPr>
          <w:rFonts w:eastAsiaTheme="majorEastAsia" w:cs="Arial"/>
          <w:szCs w:val="26"/>
        </w:rPr>
        <w:noBreakHyphen/>
        <w:t xml:space="preserve">reference rule 1.16. </w:t>
      </w:r>
    </w:p>
    <w:p w14:paraId="6893D51D" w14:textId="77777777" w:rsidR="00467034" w:rsidRPr="00C611C1" w:rsidRDefault="00467034" w:rsidP="00467034">
      <w:pPr>
        <w:tabs>
          <w:tab w:val="left" w:pos="680"/>
        </w:tabs>
        <w:spacing w:before="240"/>
        <w:rPr>
          <w:rFonts w:eastAsiaTheme="majorEastAsia" w:cs="Arial"/>
          <w:i/>
          <w:szCs w:val="26"/>
        </w:rPr>
      </w:pPr>
      <w:r w:rsidRPr="00C611C1">
        <w:rPr>
          <w:rFonts w:eastAsiaTheme="majorEastAsia" w:cs="Arial"/>
          <w:i/>
          <w:szCs w:val="26"/>
        </w:rPr>
        <w:t>Item 19: Amendments to rule 9.8(e) — Update cross-reference to subrule 1.16(1)</w:t>
      </w:r>
    </w:p>
    <w:p w14:paraId="0A63B386" w14:textId="1BA43C60" w:rsidR="00467034" w:rsidRPr="00C611C1" w:rsidRDefault="00467034" w:rsidP="00467034">
      <w:pPr>
        <w:numPr>
          <w:ilvl w:val="0"/>
          <w:numId w:val="12"/>
        </w:numPr>
        <w:tabs>
          <w:tab w:val="left" w:pos="680"/>
          <w:tab w:val="left" w:pos="1021"/>
        </w:tabs>
        <w:spacing w:before="240" w:line="240" w:lineRule="atLeast"/>
        <w:ind w:left="680" w:hanging="680"/>
        <w:rPr>
          <w:rFonts w:eastAsiaTheme="majorEastAsia" w:cs="Arial"/>
          <w:szCs w:val="26"/>
        </w:rPr>
      </w:pPr>
      <w:r w:rsidRPr="00C611C1">
        <w:rPr>
          <w:rFonts w:eastAsiaTheme="majorEastAsia" w:cs="Arial"/>
          <w:szCs w:val="26"/>
        </w:rPr>
        <w:t xml:space="preserve">Following the amendment in item 5, </w:t>
      </w:r>
      <w:r w:rsidR="00D10C25" w:rsidRPr="00C611C1">
        <w:rPr>
          <w:rFonts w:eastAsiaTheme="majorEastAsia" w:cs="Arial"/>
          <w:szCs w:val="26"/>
        </w:rPr>
        <w:t>i</w:t>
      </w:r>
      <w:r w:rsidRPr="00C611C1">
        <w:rPr>
          <w:rFonts w:eastAsiaTheme="majorEastAsia" w:cs="Arial"/>
          <w:szCs w:val="26"/>
        </w:rPr>
        <w:t xml:space="preserve">tem 19 updates the cross-reference in this paragraph to refer to subrule 1.16(1). </w:t>
      </w:r>
    </w:p>
    <w:p w14:paraId="2DEAC411" w14:textId="77777777" w:rsidR="00467034" w:rsidRPr="00C611C1" w:rsidRDefault="00467034" w:rsidP="00467034">
      <w:pPr>
        <w:tabs>
          <w:tab w:val="left" w:pos="680"/>
        </w:tabs>
        <w:spacing w:before="240"/>
        <w:rPr>
          <w:rFonts w:eastAsiaTheme="majorEastAsia" w:cs="Arial"/>
          <w:i/>
          <w:szCs w:val="26"/>
        </w:rPr>
      </w:pPr>
      <w:r w:rsidRPr="00C611C1">
        <w:rPr>
          <w:rFonts w:eastAsiaTheme="majorEastAsia" w:cs="Arial"/>
          <w:i/>
          <w:szCs w:val="26"/>
        </w:rPr>
        <w:t>Items 20 and 21: Amendments to Clause 2.2 of Schedule 2 — Insert new Minimum Information Security Controls</w:t>
      </w:r>
    </w:p>
    <w:p w14:paraId="22709658" w14:textId="2073BE79" w:rsidR="00467034" w:rsidRPr="00467034" w:rsidRDefault="00467034" w:rsidP="00467034">
      <w:pPr>
        <w:numPr>
          <w:ilvl w:val="0"/>
          <w:numId w:val="12"/>
        </w:numPr>
        <w:tabs>
          <w:tab w:val="left" w:pos="680"/>
          <w:tab w:val="left" w:pos="1021"/>
        </w:tabs>
        <w:spacing w:before="240" w:line="240" w:lineRule="atLeast"/>
        <w:ind w:left="680" w:hanging="680"/>
        <w:rPr>
          <w:rFonts w:eastAsiaTheme="majorEastAsia" w:cs="Arial"/>
          <w:szCs w:val="26"/>
        </w:rPr>
      </w:pPr>
      <w:r w:rsidRPr="00C611C1">
        <w:rPr>
          <w:rFonts w:eastAsiaTheme="majorEastAsia" w:cs="Arial"/>
          <w:szCs w:val="26"/>
        </w:rPr>
        <w:t xml:space="preserve">Items 20 and 21 insert two new minimum information security controls into Clause 2.2 of Schedule 2. These controls relate to encryption in transit and data segregation. </w:t>
      </w:r>
      <w:r w:rsidR="007F5DC9" w:rsidRPr="00C611C1">
        <w:t>The data in transit control makes provision for a data standard to be made in the future for this purpose but where there is no standard, the default requirement is to protect data in transit in accordance with industry</w:t>
      </w:r>
      <w:r w:rsidR="007F5DC9">
        <w:t xml:space="preserve"> best practice.</w:t>
      </w:r>
    </w:p>
    <w:sectPr w:rsidR="00467034" w:rsidRPr="00467034" w:rsidSect="00B62438">
      <w:footerReference w:type="first" r:id="rId9"/>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B11F4" w14:textId="77777777" w:rsidR="000C12BD" w:rsidRDefault="000C12BD" w:rsidP="004B4412">
      <w:pPr>
        <w:spacing w:before="0"/>
      </w:pPr>
      <w:r>
        <w:separator/>
      </w:r>
    </w:p>
  </w:endnote>
  <w:endnote w:type="continuationSeparator" w:id="0">
    <w:p w14:paraId="531A8B43" w14:textId="77777777" w:rsidR="000C12BD" w:rsidRDefault="000C12BD"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AC00F" w14:textId="77777777" w:rsidR="00691616" w:rsidRDefault="00691616">
    <w:pPr>
      <w:pStyle w:val="Footer"/>
    </w:pPr>
  </w:p>
  <w:p w14:paraId="7106FCBA" w14:textId="77777777" w:rsidR="00691616" w:rsidRDefault="00691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55746" w14:textId="77777777" w:rsidR="000C12BD" w:rsidRDefault="000C12BD" w:rsidP="004B4412">
      <w:pPr>
        <w:spacing w:before="0"/>
      </w:pPr>
      <w:r>
        <w:separator/>
      </w:r>
    </w:p>
  </w:footnote>
  <w:footnote w:type="continuationSeparator" w:id="0">
    <w:p w14:paraId="475D053B" w14:textId="77777777" w:rsidR="000C12BD" w:rsidRDefault="000C12BD" w:rsidP="004B441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2EB2126"/>
    <w:multiLevelType w:val="hybridMultilevel"/>
    <w:tmpl w:val="C206F428"/>
    <w:lvl w:ilvl="0" w:tplc="79FA0300">
      <w:start w:val="1"/>
      <w:numFmt w:val="decimal"/>
      <w:lvlText w:val="%1."/>
      <w:lvlJc w:val="left"/>
      <w:pPr>
        <w:ind w:left="1134" w:hanging="774"/>
      </w:pPr>
      <w:rPr>
        <w:rFonts w:hint="default"/>
        <w:b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6743EF2"/>
    <w:multiLevelType w:val="hybridMultilevel"/>
    <w:tmpl w:val="8AB24E70"/>
    <w:lvl w:ilvl="0" w:tplc="79FA0300">
      <w:start w:val="1"/>
      <w:numFmt w:val="decimal"/>
      <w:lvlText w:val="%1."/>
      <w:lvlJc w:val="left"/>
      <w:pPr>
        <w:ind w:left="1134" w:hanging="774"/>
      </w:pPr>
      <w:rPr>
        <w:rFonts w:hint="default"/>
        <w:b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821079F"/>
    <w:multiLevelType w:val="hybridMultilevel"/>
    <w:tmpl w:val="F3CA5662"/>
    <w:lvl w:ilvl="0" w:tplc="4EC8BA90">
      <w:start w:val="1"/>
      <w:numFmt w:val="decimal"/>
      <w:pStyle w:val="ListParagraph"/>
      <w:lvlText w:val="%1."/>
      <w:lvlJc w:val="left"/>
      <w:pPr>
        <w:ind w:left="1134" w:hanging="77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9E96B67"/>
    <w:multiLevelType w:val="hybridMultilevel"/>
    <w:tmpl w:val="33EC58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DD2542B"/>
    <w:multiLevelType w:val="hybridMultilevel"/>
    <w:tmpl w:val="7C60E1FC"/>
    <w:lvl w:ilvl="0" w:tplc="021E8868">
      <w:start w:val="1"/>
      <w:numFmt w:val="decimal"/>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6" w15:restartNumberingAfterBreak="0">
    <w:nsid w:val="18896B29"/>
    <w:multiLevelType w:val="hybridMultilevel"/>
    <w:tmpl w:val="884440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8" w15:restartNumberingAfterBreak="0">
    <w:nsid w:val="24A74CF8"/>
    <w:multiLevelType w:val="hybridMultilevel"/>
    <w:tmpl w:val="A2D082CC"/>
    <w:lvl w:ilvl="0" w:tplc="79FA0300">
      <w:start w:val="1"/>
      <w:numFmt w:val="decimal"/>
      <w:lvlText w:val="%1."/>
      <w:lvlJc w:val="left"/>
      <w:pPr>
        <w:ind w:left="1134" w:hanging="774"/>
      </w:pPr>
      <w:rPr>
        <w:rFonts w:hint="default"/>
        <w:b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30A4222"/>
    <w:multiLevelType w:val="hybridMultilevel"/>
    <w:tmpl w:val="83D0699A"/>
    <w:lvl w:ilvl="0" w:tplc="B86C905A">
      <w:start w:val="1"/>
      <w:numFmt w:val="decimal"/>
      <w:lvlText w:val="%1."/>
      <w:lvlJc w:val="left"/>
      <w:pPr>
        <w:ind w:left="1134" w:hanging="77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1"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2"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4" w15:restartNumberingAfterBreak="0">
    <w:nsid w:val="44FE7B61"/>
    <w:multiLevelType w:val="hybridMultilevel"/>
    <w:tmpl w:val="C206F428"/>
    <w:lvl w:ilvl="0" w:tplc="79FA0300">
      <w:start w:val="1"/>
      <w:numFmt w:val="decimal"/>
      <w:lvlText w:val="%1."/>
      <w:lvlJc w:val="left"/>
      <w:pPr>
        <w:ind w:left="1134" w:hanging="774"/>
      </w:pPr>
      <w:rPr>
        <w:rFonts w:hint="default"/>
        <w:b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7"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0" w15:restartNumberingAfterBreak="0">
    <w:nsid w:val="678516BE"/>
    <w:multiLevelType w:val="hybridMultilevel"/>
    <w:tmpl w:val="3E6E7C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9D445DB"/>
    <w:multiLevelType w:val="hybridMultilevel"/>
    <w:tmpl w:val="A2D082CC"/>
    <w:lvl w:ilvl="0" w:tplc="79FA0300">
      <w:start w:val="1"/>
      <w:numFmt w:val="decimal"/>
      <w:lvlText w:val="%1."/>
      <w:lvlJc w:val="left"/>
      <w:pPr>
        <w:ind w:left="1134" w:hanging="774"/>
      </w:pPr>
      <w:rPr>
        <w:rFonts w:hint="default"/>
        <w:b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A627EDC"/>
    <w:multiLevelType w:val="hybridMultilevel"/>
    <w:tmpl w:val="128A88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C7231C5"/>
    <w:multiLevelType w:val="hybridMultilevel"/>
    <w:tmpl w:val="4E78DEBA"/>
    <w:lvl w:ilvl="0" w:tplc="B86C905A">
      <w:start w:val="1"/>
      <w:numFmt w:val="decimal"/>
      <w:lvlText w:val="%1."/>
      <w:lvlJc w:val="left"/>
      <w:pPr>
        <w:ind w:left="1134" w:hanging="77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35"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36"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37" w15:restartNumberingAfterBreak="0">
    <w:nsid w:val="78EF40E3"/>
    <w:multiLevelType w:val="hybridMultilevel"/>
    <w:tmpl w:val="EACEA19A"/>
    <w:lvl w:ilvl="0" w:tplc="B86C905A">
      <w:start w:val="1"/>
      <w:numFmt w:val="decimal"/>
      <w:lvlText w:val="%1."/>
      <w:lvlJc w:val="left"/>
      <w:pPr>
        <w:ind w:left="1134" w:hanging="77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A5B43FD"/>
    <w:multiLevelType w:val="hybridMultilevel"/>
    <w:tmpl w:val="A2D082CC"/>
    <w:lvl w:ilvl="0" w:tplc="79FA0300">
      <w:start w:val="1"/>
      <w:numFmt w:val="decimal"/>
      <w:lvlText w:val="%1."/>
      <w:lvlJc w:val="left"/>
      <w:pPr>
        <w:ind w:left="1134" w:hanging="774"/>
      </w:pPr>
      <w:rPr>
        <w:rFonts w:hint="default"/>
        <w:b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40" w15:restartNumberingAfterBreak="0">
    <w:nsid w:val="7DAA351C"/>
    <w:multiLevelType w:val="hybridMultilevel"/>
    <w:tmpl w:val="08924662"/>
    <w:lvl w:ilvl="0" w:tplc="3A02AE66">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41"/>
  </w:num>
  <w:num w:numId="3">
    <w:abstractNumId w:val="7"/>
  </w:num>
  <w:num w:numId="4">
    <w:abstractNumId w:val="6"/>
  </w:num>
  <w:num w:numId="5">
    <w:abstractNumId w:val="5"/>
  </w:num>
  <w:num w:numId="6">
    <w:abstractNumId w:val="4"/>
  </w:num>
  <w:num w:numId="7">
    <w:abstractNumId w:val="1"/>
  </w:num>
  <w:num w:numId="8">
    <w:abstractNumId w:val="0"/>
  </w:num>
  <w:num w:numId="9">
    <w:abstractNumId w:val="29"/>
  </w:num>
  <w:num w:numId="10">
    <w:abstractNumId w:val="22"/>
  </w:num>
  <w:num w:numId="11">
    <w:abstractNumId w:val="13"/>
  </w:num>
  <w:num w:numId="12">
    <w:abstractNumId w:val="17"/>
  </w:num>
  <w:num w:numId="13">
    <w:abstractNumId w:val="21"/>
  </w:num>
  <w:num w:numId="14">
    <w:abstractNumId w:val="2"/>
  </w:num>
  <w:num w:numId="15">
    <w:abstractNumId w:val="34"/>
  </w:num>
  <w:num w:numId="16">
    <w:abstractNumId w:val="39"/>
  </w:num>
  <w:num w:numId="17">
    <w:abstractNumId w:val="36"/>
  </w:num>
  <w:num w:numId="18">
    <w:abstractNumId w:val="26"/>
  </w:num>
  <w:num w:numId="19">
    <w:abstractNumId w:val="20"/>
  </w:num>
  <w:num w:numId="20">
    <w:abstractNumId w:val="23"/>
  </w:num>
  <w:num w:numId="21">
    <w:abstractNumId w:val="35"/>
  </w:num>
  <w:num w:numId="22">
    <w:abstractNumId w:val="27"/>
  </w:num>
  <w:num w:numId="23">
    <w:abstractNumId w:val="8"/>
  </w:num>
  <w:num w:numId="24">
    <w:abstractNumId w:val="3"/>
  </w:num>
  <w:num w:numId="25">
    <w:abstractNumId w:val="25"/>
  </w:num>
  <w:num w:numId="26">
    <w:abstractNumId w:val="15"/>
  </w:num>
  <w:num w:numId="27">
    <w:abstractNumId w:val="28"/>
  </w:num>
  <w:num w:numId="28">
    <w:abstractNumId w:val="40"/>
  </w:num>
  <w:num w:numId="29">
    <w:abstractNumId w:val="18"/>
  </w:num>
  <w:num w:numId="30">
    <w:abstractNumId w:val="30"/>
  </w:num>
  <w:num w:numId="31">
    <w:abstractNumId w:val="16"/>
  </w:num>
  <w:num w:numId="32">
    <w:abstractNumId w:val="32"/>
  </w:num>
  <w:num w:numId="33">
    <w:abstractNumId w:val="12"/>
  </w:num>
  <w:num w:numId="34">
    <w:abstractNumId w:val="19"/>
  </w:num>
  <w:num w:numId="35">
    <w:abstractNumId w:val="33"/>
  </w:num>
  <w:num w:numId="36">
    <w:abstractNumId w:val="37"/>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24"/>
  </w:num>
  <w:num w:numId="40">
    <w:abstractNumId w:val="9"/>
  </w:num>
  <w:num w:numId="41">
    <w:abstractNumId w:val="38"/>
  </w:num>
  <w:num w:numId="42">
    <w:abstractNumId w:val="11"/>
  </w:num>
  <w:num w:numId="43">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rrentname" w:val="\\homesharecl\HomeDrives\dsmit\Desktop\Normal.dotm"/>
  </w:docVars>
  <w:rsids>
    <w:rsidRoot w:val="00B60B8D"/>
    <w:rsid w:val="000011EF"/>
    <w:rsid w:val="00010B02"/>
    <w:rsid w:val="0002115F"/>
    <w:rsid w:val="00021202"/>
    <w:rsid w:val="000225C4"/>
    <w:rsid w:val="0002508C"/>
    <w:rsid w:val="0003578C"/>
    <w:rsid w:val="00042ABB"/>
    <w:rsid w:val="000455F9"/>
    <w:rsid w:val="00053AF2"/>
    <w:rsid w:val="00063247"/>
    <w:rsid w:val="00066195"/>
    <w:rsid w:val="00070D91"/>
    <w:rsid w:val="00070F9F"/>
    <w:rsid w:val="0007137B"/>
    <w:rsid w:val="000715C8"/>
    <w:rsid w:val="00073F38"/>
    <w:rsid w:val="00085663"/>
    <w:rsid w:val="00085EBF"/>
    <w:rsid w:val="00086EDE"/>
    <w:rsid w:val="000A3607"/>
    <w:rsid w:val="000C12BD"/>
    <w:rsid w:val="000D0F84"/>
    <w:rsid w:val="000D122C"/>
    <w:rsid w:val="000D7928"/>
    <w:rsid w:val="000E1819"/>
    <w:rsid w:val="000E3D59"/>
    <w:rsid w:val="000E6C72"/>
    <w:rsid w:val="000F2368"/>
    <w:rsid w:val="001064C3"/>
    <w:rsid w:val="00107221"/>
    <w:rsid w:val="00116EB2"/>
    <w:rsid w:val="00124609"/>
    <w:rsid w:val="001573E4"/>
    <w:rsid w:val="00157FF9"/>
    <w:rsid w:val="00160756"/>
    <w:rsid w:val="0017232E"/>
    <w:rsid w:val="00174102"/>
    <w:rsid w:val="00180157"/>
    <w:rsid w:val="00180652"/>
    <w:rsid w:val="00181223"/>
    <w:rsid w:val="00186F77"/>
    <w:rsid w:val="001922C2"/>
    <w:rsid w:val="001926A4"/>
    <w:rsid w:val="001A0C76"/>
    <w:rsid w:val="001A2D4C"/>
    <w:rsid w:val="001A3A19"/>
    <w:rsid w:val="001A3C6C"/>
    <w:rsid w:val="001A76DE"/>
    <w:rsid w:val="001B246B"/>
    <w:rsid w:val="001B45A0"/>
    <w:rsid w:val="001C18EE"/>
    <w:rsid w:val="001C3D6D"/>
    <w:rsid w:val="001D055E"/>
    <w:rsid w:val="001E372E"/>
    <w:rsid w:val="001F492E"/>
    <w:rsid w:val="001F6DA3"/>
    <w:rsid w:val="0020556E"/>
    <w:rsid w:val="00212737"/>
    <w:rsid w:val="00213B9E"/>
    <w:rsid w:val="00220C70"/>
    <w:rsid w:val="002214D0"/>
    <w:rsid w:val="00224DB9"/>
    <w:rsid w:val="00234EF7"/>
    <w:rsid w:val="00243EAC"/>
    <w:rsid w:val="00245B15"/>
    <w:rsid w:val="002473E7"/>
    <w:rsid w:val="00251745"/>
    <w:rsid w:val="00263AC0"/>
    <w:rsid w:val="0026772D"/>
    <w:rsid w:val="002741EC"/>
    <w:rsid w:val="00286874"/>
    <w:rsid w:val="002927A1"/>
    <w:rsid w:val="00296B65"/>
    <w:rsid w:val="002A2B62"/>
    <w:rsid w:val="002A7DEF"/>
    <w:rsid w:val="002D07FD"/>
    <w:rsid w:val="002F0DDE"/>
    <w:rsid w:val="002F307F"/>
    <w:rsid w:val="002F7986"/>
    <w:rsid w:val="00303C4A"/>
    <w:rsid w:val="00307F6D"/>
    <w:rsid w:val="003177A2"/>
    <w:rsid w:val="003271B5"/>
    <w:rsid w:val="003301BA"/>
    <w:rsid w:val="00330CA0"/>
    <w:rsid w:val="00331264"/>
    <w:rsid w:val="00334C8D"/>
    <w:rsid w:val="00340655"/>
    <w:rsid w:val="003459E6"/>
    <w:rsid w:val="003518B3"/>
    <w:rsid w:val="00354B83"/>
    <w:rsid w:val="00356A3E"/>
    <w:rsid w:val="00356E19"/>
    <w:rsid w:val="00361B2C"/>
    <w:rsid w:val="00371641"/>
    <w:rsid w:val="00371C58"/>
    <w:rsid w:val="00373C0C"/>
    <w:rsid w:val="003846F1"/>
    <w:rsid w:val="00391C4A"/>
    <w:rsid w:val="003A673F"/>
    <w:rsid w:val="003B3CBD"/>
    <w:rsid w:val="003B5A70"/>
    <w:rsid w:val="003C1C90"/>
    <w:rsid w:val="003C303F"/>
    <w:rsid w:val="003D5DD3"/>
    <w:rsid w:val="003D79FF"/>
    <w:rsid w:val="0041638D"/>
    <w:rsid w:val="0042710F"/>
    <w:rsid w:val="00467034"/>
    <w:rsid w:val="00474466"/>
    <w:rsid w:val="00475DDE"/>
    <w:rsid w:val="00476012"/>
    <w:rsid w:val="00480B4B"/>
    <w:rsid w:val="00482CC1"/>
    <w:rsid w:val="00485DC4"/>
    <w:rsid w:val="004A6559"/>
    <w:rsid w:val="004B07C9"/>
    <w:rsid w:val="004B4412"/>
    <w:rsid w:val="004B45C5"/>
    <w:rsid w:val="004C348C"/>
    <w:rsid w:val="004D1733"/>
    <w:rsid w:val="004D55BA"/>
    <w:rsid w:val="004E58CC"/>
    <w:rsid w:val="005038DB"/>
    <w:rsid w:val="00514BEE"/>
    <w:rsid w:val="005175F2"/>
    <w:rsid w:val="0052379B"/>
    <w:rsid w:val="00525194"/>
    <w:rsid w:val="00530128"/>
    <w:rsid w:val="00532467"/>
    <w:rsid w:val="00534151"/>
    <w:rsid w:val="00544032"/>
    <w:rsid w:val="00547BA2"/>
    <w:rsid w:val="00547CCF"/>
    <w:rsid w:val="00564A4D"/>
    <w:rsid w:val="00571B35"/>
    <w:rsid w:val="00571C9F"/>
    <w:rsid w:val="00577A09"/>
    <w:rsid w:val="00580B78"/>
    <w:rsid w:val="00584D8F"/>
    <w:rsid w:val="00587F73"/>
    <w:rsid w:val="00596D42"/>
    <w:rsid w:val="005A404D"/>
    <w:rsid w:val="005B1643"/>
    <w:rsid w:val="005B1E3C"/>
    <w:rsid w:val="005B658B"/>
    <w:rsid w:val="005C24AC"/>
    <w:rsid w:val="005C26CC"/>
    <w:rsid w:val="005D16BC"/>
    <w:rsid w:val="005E43FB"/>
    <w:rsid w:val="005E6C0E"/>
    <w:rsid w:val="005F45A2"/>
    <w:rsid w:val="00615C6B"/>
    <w:rsid w:val="00616194"/>
    <w:rsid w:val="00632D6D"/>
    <w:rsid w:val="0064103C"/>
    <w:rsid w:val="00642C3E"/>
    <w:rsid w:val="00646025"/>
    <w:rsid w:val="0065033A"/>
    <w:rsid w:val="00650BEF"/>
    <w:rsid w:val="00663DAD"/>
    <w:rsid w:val="00676679"/>
    <w:rsid w:val="00691616"/>
    <w:rsid w:val="006951C2"/>
    <w:rsid w:val="006A48C1"/>
    <w:rsid w:val="006A6231"/>
    <w:rsid w:val="006B4C49"/>
    <w:rsid w:val="006B4CF9"/>
    <w:rsid w:val="006B7AC8"/>
    <w:rsid w:val="006C32B3"/>
    <w:rsid w:val="006C4F27"/>
    <w:rsid w:val="006D550F"/>
    <w:rsid w:val="006D77F3"/>
    <w:rsid w:val="006F418F"/>
    <w:rsid w:val="00701CAB"/>
    <w:rsid w:val="00707563"/>
    <w:rsid w:val="0072348C"/>
    <w:rsid w:val="00724A37"/>
    <w:rsid w:val="007303C3"/>
    <w:rsid w:val="00743223"/>
    <w:rsid w:val="00746E01"/>
    <w:rsid w:val="00756C00"/>
    <w:rsid w:val="00762C62"/>
    <w:rsid w:val="00763E5D"/>
    <w:rsid w:val="00767740"/>
    <w:rsid w:val="007711C9"/>
    <w:rsid w:val="00775258"/>
    <w:rsid w:val="00775671"/>
    <w:rsid w:val="00777EE6"/>
    <w:rsid w:val="00782EEA"/>
    <w:rsid w:val="007B2C72"/>
    <w:rsid w:val="007B3556"/>
    <w:rsid w:val="007B57AF"/>
    <w:rsid w:val="007C1C53"/>
    <w:rsid w:val="007C4CAC"/>
    <w:rsid w:val="007C712C"/>
    <w:rsid w:val="007E26A9"/>
    <w:rsid w:val="007E4904"/>
    <w:rsid w:val="007E4CB5"/>
    <w:rsid w:val="007F066B"/>
    <w:rsid w:val="007F14BD"/>
    <w:rsid w:val="007F3BC0"/>
    <w:rsid w:val="007F58C6"/>
    <w:rsid w:val="007F5DC9"/>
    <w:rsid w:val="007F7929"/>
    <w:rsid w:val="008033C4"/>
    <w:rsid w:val="00806C88"/>
    <w:rsid w:val="0081034E"/>
    <w:rsid w:val="0082076D"/>
    <w:rsid w:val="00825764"/>
    <w:rsid w:val="008344F6"/>
    <w:rsid w:val="00834CEC"/>
    <w:rsid w:val="0083510F"/>
    <w:rsid w:val="00837BCC"/>
    <w:rsid w:val="00851209"/>
    <w:rsid w:val="00853621"/>
    <w:rsid w:val="00874851"/>
    <w:rsid w:val="0088007E"/>
    <w:rsid w:val="008837AC"/>
    <w:rsid w:val="00886FA9"/>
    <w:rsid w:val="008945B4"/>
    <w:rsid w:val="00897CF5"/>
    <w:rsid w:val="008A587D"/>
    <w:rsid w:val="008C5486"/>
    <w:rsid w:val="008E7031"/>
    <w:rsid w:val="008F0F9C"/>
    <w:rsid w:val="00901DED"/>
    <w:rsid w:val="00922C95"/>
    <w:rsid w:val="009233EE"/>
    <w:rsid w:val="0092489A"/>
    <w:rsid w:val="0093685A"/>
    <w:rsid w:val="009443B8"/>
    <w:rsid w:val="00952A9B"/>
    <w:rsid w:val="009661DE"/>
    <w:rsid w:val="00967405"/>
    <w:rsid w:val="00972592"/>
    <w:rsid w:val="00977BF1"/>
    <w:rsid w:val="009856B7"/>
    <w:rsid w:val="0098602B"/>
    <w:rsid w:val="00991B3B"/>
    <w:rsid w:val="009962BA"/>
    <w:rsid w:val="00996B5F"/>
    <w:rsid w:val="009B74B0"/>
    <w:rsid w:val="009C7A50"/>
    <w:rsid w:val="009D4414"/>
    <w:rsid w:val="009D6B46"/>
    <w:rsid w:val="009E7212"/>
    <w:rsid w:val="009F4940"/>
    <w:rsid w:val="00A0248C"/>
    <w:rsid w:val="00A026B5"/>
    <w:rsid w:val="00A05832"/>
    <w:rsid w:val="00A1665B"/>
    <w:rsid w:val="00A323D9"/>
    <w:rsid w:val="00A43F3E"/>
    <w:rsid w:val="00A4478A"/>
    <w:rsid w:val="00A44852"/>
    <w:rsid w:val="00A45C5A"/>
    <w:rsid w:val="00A57D04"/>
    <w:rsid w:val="00A60A26"/>
    <w:rsid w:val="00A6115F"/>
    <w:rsid w:val="00A61598"/>
    <w:rsid w:val="00A7581C"/>
    <w:rsid w:val="00A84F46"/>
    <w:rsid w:val="00A871F4"/>
    <w:rsid w:val="00A94CC5"/>
    <w:rsid w:val="00AB53AB"/>
    <w:rsid w:val="00AC1B2C"/>
    <w:rsid w:val="00AC3264"/>
    <w:rsid w:val="00AC3E35"/>
    <w:rsid w:val="00AC6F01"/>
    <w:rsid w:val="00AE0FE2"/>
    <w:rsid w:val="00AE1BF1"/>
    <w:rsid w:val="00AF0DD2"/>
    <w:rsid w:val="00B10314"/>
    <w:rsid w:val="00B112BE"/>
    <w:rsid w:val="00B13048"/>
    <w:rsid w:val="00B15998"/>
    <w:rsid w:val="00B1716D"/>
    <w:rsid w:val="00B17A1D"/>
    <w:rsid w:val="00B207A0"/>
    <w:rsid w:val="00B30841"/>
    <w:rsid w:val="00B32023"/>
    <w:rsid w:val="00B3300C"/>
    <w:rsid w:val="00B354BC"/>
    <w:rsid w:val="00B41916"/>
    <w:rsid w:val="00B56E03"/>
    <w:rsid w:val="00B60B8D"/>
    <w:rsid w:val="00B60F5D"/>
    <w:rsid w:val="00B62438"/>
    <w:rsid w:val="00B64FB0"/>
    <w:rsid w:val="00B67E91"/>
    <w:rsid w:val="00B8080B"/>
    <w:rsid w:val="00B841AF"/>
    <w:rsid w:val="00B87C39"/>
    <w:rsid w:val="00BA4665"/>
    <w:rsid w:val="00BA63EA"/>
    <w:rsid w:val="00BA7DDA"/>
    <w:rsid w:val="00BB2F1A"/>
    <w:rsid w:val="00BB2FB2"/>
    <w:rsid w:val="00BB3304"/>
    <w:rsid w:val="00BC0B3A"/>
    <w:rsid w:val="00BD024B"/>
    <w:rsid w:val="00BD3446"/>
    <w:rsid w:val="00BE0328"/>
    <w:rsid w:val="00BE1F1B"/>
    <w:rsid w:val="00BE47B5"/>
    <w:rsid w:val="00BE4C99"/>
    <w:rsid w:val="00BE5E67"/>
    <w:rsid w:val="00BF0204"/>
    <w:rsid w:val="00C043E6"/>
    <w:rsid w:val="00C058AB"/>
    <w:rsid w:val="00C06739"/>
    <w:rsid w:val="00C3768A"/>
    <w:rsid w:val="00C4422B"/>
    <w:rsid w:val="00C44BA6"/>
    <w:rsid w:val="00C4603F"/>
    <w:rsid w:val="00C51723"/>
    <w:rsid w:val="00C538A9"/>
    <w:rsid w:val="00C53B5A"/>
    <w:rsid w:val="00C54F5A"/>
    <w:rsid w:val="00C611C1"/>
    <w:rsid w:val="00C755AD"/>
    <w:rsid w:val="00C835E5"/>
    <w:rsid w:val="00C86679"/>
    <w:rsid w:val="00CB4632"/>
    <w:rsid w:val="00CB666B"/>
    <w:rsid w:val="00CC72E7"/>
    <w:rsid w:val="00CE0D9D"/>
    <w:rsid w:val="00CE6A05"/>
    <w:rsid w:val="00CF354C"/>
    <w:rsid w:val="00CF799E"/>
    <w:rsid w:val="00D00D7B"/>
    <w:rsid w:val="00D01CF0"/>
    <w:rsid w:val="00D0442A"/>
    <w:rsid w:val="00D10C25"/>
    <w:rsid w:val="00D203E1"/>
    <w:rsid w:val="00D23723"/>
    <w:rsid w:val="00D521D5"/>
    <w:rsid w:val="00D544B8"/>
    <w:rsid w:val="00D61388"/>
    <w:rsid w:val="00D61A54"/>
    <w:rsid w:val="00D64DEA"/>
    <w:rsid w:val="00D7647B"/>
    <w:rsid w:val="00D80893"/>
    <w:rsid w:val="00D83D53"/>
    <w:rsid w:val="00D92CF1"/>
    <w:rsid w:val="00D92D38"/>
    <w:rsid w:val="00D950F5"/>
    <w:rsid w:val="00D9583A"/>
    <w:rsid w:val="00DA0A8B"/>
    <w:rsid w:val="00DB0F93"/>
    <w:rsid w:val="00DB1316"/>
    <w:rsid w:val="00DC542F"/>
    <w:rsid w:val="00DC6740"/>
    <w:rsid w:val="00DC7981"/>
    <w:rsid w:val="00DE4EFA"/>
    <w:rsid w:val="00DE5520"/>
    <w:rsid w:val="00E04818"/>
    <w:rsid w:val="00E06442"/>
    <w:rsid w:val="00E1072D"/>
    <w:rsid w:val="00E1794E"/>
    <w:rsid w:val="00E2268A"/>
    <w:rsid w:val="00E23993"/>
    <w:rsid w:val="00E25B8C"/>
    <w:rsid w:val="00E27642"/>
    <w:rsid w:val="00E4674F"/>
    <w:rsid w:val="00E564D0"/>
    <w:rsid w:val="00E56EA1"/>
    <w:rsid w:val="00E65C85"/>
    <w:rsid w:val="00E66199"/>
    <w:rsid w:val="00E755EC"/>
    <w:rsid w:val="00E75D35"/>
    <w:rsid w:val="00E7624D"/>
    <w:rsid w:val="00E815B2"/>
    <w:rsid w:val="00E842A2"/>
    <w:rsid w:val="00EA3D42"/>
    <w:rsid w:val="00EA6B1B"/>
    <w:rsid w:val="00EB0FD3"/>
    <w:rsid w:val="00EB4859"/>
    <w:rsid w:val="00EE28F3"/>
    <w:rsid w:val="00EF40FF"/>
    <w:rsid w:val="00EF5110"/>
    <w:rsid w:val="00F05BAE"/>
    <w:rsid w:val="00F15882"/>
    <w:rsid w:val="00F20BD3"/>
    <w:rsid w:val="00F373A5"/>
    <w:rsid w:val="00F474C0"/>
    <w:rsid w:val="00F47559"/>
    <w:rsid w:val="00F60BE4"/>
    <w:rsid w:val="00F61B84"/>
    <w:rsid w:val="00F64C7B"/>
    <w:rsid w:val="00F676DD"/>
    <w:rsid w:val="00F75A26"/>
    <w:rsid w:val="00F77970"/>
    <w:rsid w:val="00F83FAD"/>
    <w:rsid w:val="00F91DC6"/>
    <w:rsid w:val="00F94EE0"/>
    <w:rsid w:val="00F952A0"/>
    <w:rsid w:val="00FA3C7F"/>
    <w:rsid w:val="00FA4E09"/>
    <w:rsid w:val="00FB52D7"/>
    <w:rsid w:val="00FB74E2"/>
    <w:rsid w:val="00FC6E65"/>
    <w:rsid w:val="00FD5614"/>
    <w:rsid w:val="00FE0BE1"/>
    <w:rsid w:val="00FE1DE9"/>
    <w:rsid w:val="00FE39C2"/>
    <w:rsid w:val="00FE64AE"/>
    <w:rsid w:val="00FE69D4"/>
    <w:rsid w:val="00FF26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CD1B1"/>
  <w15:chartTrackingRefBased/>
  <w15:docId w15:val="{D5A3AE05-3258-4104-8483-46F67FC8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lsdException w:name="footnote text" w:semiHidden="1" w:uiPriority="2"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E27642"/>
    <w:pPr>
      <w:spacing w:before="240"/>
      <w:outlineLvl w:val="0"/>
    </w:pPr>
    <w:rPr>
      <w:rFonts w:ascii="Palatino Linotype" w:eastAsiaTheme="majorEastAsia" w:hAnsi="Palatino Linotype" w:cstheme="majorBidi"/>
      <w:bCs/>
      <w:color w:val="410099" w:themeColor="accent1"/>
      <w:sz w:val="36"/>
      <w:szCs w:val="28"/>
    </w:rPr>
  </w:style>
  <w:style w:type="paragraph" w:styleId="Heading2">
    <w:name w:val="heading 2"/>
    <w:next w:val="Normal"/>
    <w:link w:val="Heading2Char"/>
    <w:qFormat/>
    <w:rsid w:val="00E27642"/>
    <w:pPr>
      <w:spacing w:line="240" w:lineRule="atLeast"/>
      <w:outlineLvl w:val="1"/>
    </w:pPr>
    <w:rPr>
      <w:rFonts w:ascii="Arial" w:eastAsiaTheme="majorEastAsia" w:hAnsi="Arial" w:cstheme="majorBidi"/>
      <w:bCs/>
      <w:color w:val="410099" w:themeColor="accent1"/>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E27642"/>
    <w:pPr>
      <w:spacing w:before="240"/>
      <w:outlineLvl w:val="3"/>
    </w:pPr>
    <w:rPr>
      <w:rFonts w:eastAsiaTheme="majorEastAsia" w:cstheme="majorBidi"/>
      <w:b/>
      <w:bCs/>
      <w:i/>
      <w:iCs/>
      <w:color w:val="410099" w:themeColor="accent1"/>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0004C"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410099"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7642"/>
    <w:rPr>
      <w:rFonts w:ascii="Palatino Linotype" w:eastAsiaTheme="majorEastAsia" w:hAnsi="Palatino Linotype" w:cstheme="majorBidi"/>
      <w:bCs/>
      <w:color w:val="410099" w:themeColor="accent1"/>
      <w:sz w:val="36"/>
      <w:szCs w:val="28"/>
    </w:rPr>
  </w:style>
  <w:style w:type="character" w:customStyle="1" w:styleId="Heading2Char">
    <w:name w:val="Heading 2 Char"/>
    <w:basedOn w:val="DefaultParagraphFont"/>
    <w:link w:val="Heading2"/>
    <w:rsid w:val="00E27642"/>
    <w:rPr>
      <w:rFonts w:ascii="Arial" w:eastAsiaTheme="majorEastAsia" w:hAnsi="Arial" w:cstheme="majorBidi"/>
      <w:bCs/>
      <w:color w:val="410099" w:themeColor="accent1"/>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E27642"/>
    <w:rPr>
      <w:rFonts w:ascii="Arial" w:eastAsiaTheme="majorEastAsia" w:hAnsi="Arial" w:cstheme="majorBidi"/>
      <w:b/>
      <w:bCs/>
      <w:i/>
      <w:iCs/>
      <w:color w:val="410099" w:themeColor="accent1"/>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0004C"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E27642"/>
    <w:pPr>
      <w:spacing w:before="520" w:after="120"/>
    </w:pPr>
    <w:rPr>
      <w:rFonts w:ascii="Palatino Linotype" w:hAnsi="Palatino Linotype"/>
      <w:color w:val="410099" w:themeColor="accent1"/>
      <w:sz w:val="52"/>
      <w:szCs w:val="52"/>
    </w:rPr>
  </w:style>
  <w:style w:type="character" w:customStyle="1" w:styleId="ChaptertitleChar">
    <w:name w:val="Chapter title Char"/>
    <w:basedOn w:val="DefaultParagraphFont"/>
    <w:link w:val="Chaptertitle"/>
    <w:rsid w:val="00E27642"/>
    <w:rPr>
      <w:rFonts w:ascii="Palatino Linotype" w:hAnsi="Palatino Linotype"/>
      <w:color w:val="410099" w:themeColor="accen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E27642"/>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E27642"/>
    <w:rPr>
      <w:rFonts w:ascii="Arial" w:hAnsi="Arial"/>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uiPriority w:val="99"/>
    <w:qFormat/>
    <w:rsid w:val="00F61B84"/>
    <w:pPr>
      <w:numPr>
        <w:numId w:val="12"/>
      </w:numPr>
      <w:tabs>
        <w:tab w:val="left" w:pos="680"/>
      </w:tabs>
    </w:pPr>
  </w:style>
  <w:style w:type="paragraph" w:customStyle="1" w:styleId="Numbered11">
    <w:name w:val="Numbered 1.1"/>
    <w:basedOn w:val="Heading2"/>
    <w:next w:val="Normal"/>
    <w:uiPriority w:val="99"/>
    <w:qFormat/>
    <w:rsid w:val="00A323D9"/>
    <w:pPr>
      <w:numPr>
        <w:ilvl w:val="1"/>
        <w:numId w:val="12"/>
      </w:numPr>
      <w:tabs>
        <w:tab w:val="left" w:pos="1021"/>
      </w:tabs>
    </w:pPr>
    <w:rPr>
      <w:rFonts w:cs="Arial"/>
    </w:rPr>
  </w:style>
  <w:style w:type="paragraph" w:customStyle="1" w:styleId="Numbered111">
    <w:name w:val="Numbered 1.1.1"/>
    <w:basedOn w:val="Heading3"/>
    <w:next w:val="Normal"/>
    <w:uiPriority w:val="99"/>
    <w:qFormat/>
    <w:rsid w:val="00F61B84"/>
    <w:pPr>
      <w:numPr>
        <w:ilvl w:val="2"/>
        <w:numId w:val="12"/>
      </w:numPr>
      <w:tabs>
        <w:tab w:val="left" w:pos="1361"/>
      </w:tabs>
      <w:contextualSpacing/>
    </w:pPr>
  </w:style>
  <w:style w:type="paragraph" w:customStyle="1" w:styleId="Numbered1111">
    <w:name w:val="Numbered 1.1.1.1"/>
    <w:basedOn w:val="Heading4"/>
    <w:next w:val="Normal"/>
    <w:uiPriority w:val="99"/>
    <w:rsid w:val="00F61B84"/>
    <w:pPr>
      <w:numPr>
        <w:ilvl w:val="3"/>
        <w:numId w:val="12"/>
      </w:numPr>
      <w:tabs>
        <w:tab w:val="left" w:pos="1361"/>
      </w:tabs>
    </w:pPr>
  </w:style>
  <w:style w:type="paragraph" w:customStyle="1" w:styleId="Numbered11111">
    <w:name w:val="Numbered 1.1.1.1.1"/>
    <w:basedOn w:val="Heading5"/>
    <w:next w:val="Normal"/>
    <w:uiPriority w:val="2"/>
    <w:rsid w:val="00F61B84"/>
    <w:pPr>
      <w:numPr>
        <w:ilvl w:val="4"/>
        <w:numId w:val="12"/>
      </w:numPr>
      <w:tabs>
        <w:tab w:val="left" w:pos="1701"/>
      </w:tabs>
    </w:pPr>
  </w:style>
  <w:style w:type="paragraph" w:customStyle="1" w:styleId="Numbered111111">
    <w:name w:val="Numbered 1.1.1.1.1.1"/>
    <w:basedOn w:val="Heading6"/>
    <w:next w:val="Normal"/>
    <w:uiPriority w:val="2"/>
    <w:rsid w:val="00F61B84"/>
    <w:pPr>
      <w:numPr>
        <w:ilvl w:val="5"/>
        <w:numId w:val="12"/>
      </w:numPr>
      <w:tabs>
        <w:tab w:val="left" w:pos="1701"/>
      </w:tabs>
    </w:pPr>
  </w:style>
  <w:style w:type="paragraph" w:styleId="Header">
    <w:name w:val="header"/>
    <w:basedOn w:val="Normal"/>
    <w:link w:val="HeaderChar"/>
    <w:uiPriority w:val="99"/>
    <w:unhideWhenUsed/>
    <w:qFormat/>
    <w:rsid w:val="00E27642"/>
    <w:pPr>
      <w:tabs>
        <w:tab w:val="center" w:pos="4513"/>
        <w:tab w:val="right" w:pos="9026"/>
      </w:tabs>
      <w:spacing w:after="120"/>
    </w:pPr>
    <w:rPr>
      <w:sz w:val="18"/>
    </w:rPr>
  </w:style>
  <w:style w:type="character" w:customStyle="1" w:styleId="HeaderChar">
    <w:name w:val="Header Char"/>
    <w:basedOn w:val="DefaultParagraphFont"/>
    <w:link w:val="Header"/>
    <w:uiPriority w:val="99"/>
    <w:rsid w:val="00E27642"/>
    <w:rPr>
      <w:rFonts w:ascii="Arial" w:hAnsi="Arial"/>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27642"/>
    <w:pPr>
      <w:spacing w:after="120"/>
      <w:contextualSpacing/>
    </w:pPr>
    <w:rPr>
      <w:rFonts w:ascii="Palatino Linotype" w:hAnsi="Palatino Linotype"/>
      <w:b/>
      <w:color w:val="362F52" w:themeColor="accent3"/>
      <w:sz w:val="24"/>
      <w:szCs w:val="24"/>
    </w:rPr>
  </w:style>
  <w:style w:type="character" w:customStyle="1" w:styleId="PullquoteheadingChar">
    <w:name w:val="Pull quote heading Char"/>
    <w:basedOn w:val="DefaultParagraphFont"/>
    <w:link w:val="Pullquoteheading"/>
    <w:uiPriority w:val="1"/>
    <w:rsid w:val="00E27642"/>
    <w:rPr>
      <w:rFonts w:ascii="Palatino Linotype" w:hAnsi="Palatino Linotype"/>
      <w:b/>
      <w:color w:val="362F52" w:themeColor="accent3"/>
      <w:sz w:val="24"/>
      <w:szCs w:val="24"/>
    </w:rPr>
  </w:style>
  <w:style w:type="paragraph" w:customStyle="1" w:styleId="Pullquotetext">
    <w:name w:val="Pull quote text"/>
    <w:link w:val="PullquotetextChar"/>
    <w:uiPriority w:val="1"/>
    <w:rsid w:val="00E27642"/>
    <w:pPr>
      <w:spacing w:before="120"/>
    </w:pPr>
    <w:rPr>
      <w:rFonts w:ascii="Palatino Linotype" w:hAnsi="Palatino Linotype"/>
      <w:color w:val="362F52" w:themeColor="accent3"/>
      <w:szCs w:val="24"/>
    </w:rPr>
  </w:style>
  <w:style w:type="character" w:customStyle="1" w:styleId="PullquotetextChar">
    <w:name w:val="Pull quote text Char"/>
    <w:basedOn w:val="PullquoteheadingChar"/>
    <w:link w:val="Pullquotetext"/>
    <w:uiPriority w:val="1"/>
    <w:rsid w:val="00E27642"/>
    <w:rPr>
      <w:rFonts w:ascii="Palatino Linotype" w:hAnsi="Palatino Linotype"/>
      <w:b w:val="0"/>
      <w:color w:val="362F52" w:themeColor="accent3"/>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93685A"/>
    <w:pPr>
      <w:spacing w:before="480" w:after="120" w:line="276" w:lineRule="auto"/>
    </w:pPr>
    <w:rPr>
      <w:rFonts w:ascii="Palatino Linotype" w:eastAsiaTheme="majorEastAsia" w:hAnsi="Palatino Linotype" w:cstheme="majorBidi"/>
      <w:bCs/>
      <w:color w:val="410099" w:themeColor="accent1"/>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E27642"/>
    <w:pPr>
      <w:tabs>
        <w:tab w:val="center" w:pos="4513"/>
        <w:tab w:val="right" w:pos="9026"/>
      </w:tabs>
      <w:spacing w:after="120"/>
    </w:pPr>
    <w:rPr>
      <w:sz w:val="18"/>
    </w:rPr>
  </w:style>
  <w:style w:type="character" w:customStyle="1" w:styleId="FooterChar">
    <w:name w:val="Footer Char"/>
    <w:basedOn w:val="DefaultParagraphFont"/>
    <w:link w:val="Footer"/>
    <w:uiPriority w:val="99"/>
    <w:rsid w:val="00E27642"/>
    <w:rPr>
      <w:rFonts w:ascii="Arial" w:hAnsi="Arial"/>
      <w:sz w:val="18"/>
    </w:rPr>
  </w:style>
  <w:style w:type="paragraph" w:styleId="ListParagraph">
    <w:name w:val="List Paragraph"/>
    <w:basedOn w:val="Normal"/>
    <w:uiPriority w:val="34"/>
    <w:qFormat/>
    <w:rsid w:val="00234EF7"/>
    <w:pPr>
      <w:numPr>
        <w:numId w:val="42"/>
      </w:numPr>
      <w:tabs>
        <w:tab w:val="left" w:pos="709"/>
      </w:tabs>
      <w:spacing w:before="120"/>
      <w:ind w:left="709" w:hanging="709"/>
    </w:pPr>
    <w:rPr>
      <w:sz w:val="24"/>
    </w:r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410099"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pPr>
  </w:style>
  <w:style w:type="paragraph" w:customStyle="1" w:styleId="Numbered11111111">
    <w:name w:val="Numbered 1.1.1.1.1.1.1.1"/>
    <w:basedOn w:val="Heading8"/>
    <w:next w:val="Normal"/>
    <w:uiPriority w:val="2"/>
    <w:rsid w:val="00F61B84"/>
    <w:pPr>
      <w:numPr>
        <w:ilvl w:val="7"/>
        <w:numId w:val="12"/>
      </w:numPr>
      <w:tabs>
        <w:tab w:val="left" w:pos="2041"/>
      </w:tabs>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00072" w:themeColor="accent1" w:themeShade="BF"/>
    </w:rPr>
    <w:tblPr>
      <w:tblStyleRowBandSize w:val="1"/>
      <w:tblStyleColBandSize w:val="1"/>
      <w:tblBorders>
        <w:top w:val="single" w:sz="8" w:space="0" w:color="410099" w:themeColor="accent1"/>
        <w:bottom w:val="single" w:sz="8" w:space="0" w:color="410099" w:themeColor="accent1"/>
      </w:tblBorders>
    </w:tblPr>
    <w:tblStylePr w:type="fir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la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A6FF" w:themeFill="accent1" w:themeFillTint="3F"/>
      </w:tcPr>
    </w:tblStylePr>
    <w:tblStylePr w:type="band1Horz">
      <w:tblPr/>
      <w:tcPr>
        <w:tcBorders>
          <w:left w:val="nil"/>
          <w:right w:val="nil"/>
          <w:insideH w:val="nil"/>
          <w:insideV w:val="nil"/>
        </w:tcBorders>
        <w:shd w:val="clear" w:color="auto" w:fill="CCA6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blBorders>
    </w:tblPr>
    <w:tcPr>
      <w:vAlign w:val="center"/>
    </w:tcPr>
    <w:tblStylePr w:type="fir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l2br w:val="nil"/>
          <w:tr2bl w:val="nil"/>
        </w:tcBorders>
      </w:tcPr>
    </w:tblStylePr>
    <w:tblStylePr w:type="la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28233D" w:themeColor="accent3" w:themeShade="BF"/>
    </w:rPr>
    <w:tblPr>
      <w:tblStyleRowBandSize w:val="1"/>
      <w:tblStyleColBandSize w:val="1"/>
      <w:tblBorders>
        <w:top w:val="single" w:sz="8" w:space="0" w:color="362F52" w:themeColor="accent3"/>
        <w:bottom w:val="single" w:sz="8" w:space="0" w:color="362F52" w:themeColor="accent3"/>
      </w:tblBorders>
    </w:tblPr>
    <w:tblStylePr w:type="fir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la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3DC" w:themeFill="accent3" w:themeFillTint="3F"/>
      </w:tcPr>
    </w:tblStylePr>
    <w:tblStylePr w:type="band1Horz">
      <w:tblPr/>
      <w:tcPr>
        <w:tcBorders>
          <w:left w:val="nil"/>
          <w:right w:val="nil"/>
          <w:insideH w:val="nil"/>
          <w:insideV w:val="nil"/>
        </w:tcBorders>
        <w:shd w:val="clear" w:color="auto" w:fill="C8C3DC"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insideH w:val="single" w:sz="8" w:space="0" w:color="FF7600" w:themeColor="accent6"/>
        <w:insideV w:val="single" w:sz="8" w:space="0" w:color="FF76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18" w:space="0" w:color="FF7600" w:themeColor="accent6"/>
          <w:right w:val="single" w:sz="8" w:space="0" w:color="FF7600" w:themeColor="accent6"/>
          <w:insideH w:val="nil"/>
          <w:insideV w:val="single" w:sz="8" w:space="0" w:color="FF76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insideH w:val="nil"/>
          <w:insideV w:val="single" w:sz="8" w:space="0" w:color="FF76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shd w:val="clear" w:color="auto" w:fill="FFDDC0" w:themeFill="accent6" w:themeFillTint="3F"/>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shd w:val="clear" w:color="auto" w:fill="FFDDC0" w:themeFill="accent6" w:themeFillTint="3F"/>
      </w:tcPr>
    </w:tblStylePr>
    <w:tblStylePr w:type="band2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single" w:sz="8" w:space="0" w:color="6600F2" w:themeColor="accent1" w:themeTint="BF"/>
      </w:tblBorders>
    </w:tblPr>
    <w:tblStylePr w:type="firstRow">
      <w:pPr>
        <w:spacing w:before="0" w:after="0" w:line="240" w:lineRule="auto"/>
      </w:pPr>
      <w:rPr>
        <w:b/>
        <w:bCs/>
        <w:color w:val="FFFFFF" w:themeColor="background1"/>
      </w:rPr>
      <w:tblPr/>
      <w:tcPr>
        <w:tc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shd w:val="clear" w:color="auto" w:fill="410099" w:themeFill="accent1"/>
      </w:tcPr>
    </w:tblStylePr>
    <w:tblStylePr w:type="lastRow">
      <w:pPr>
        <w:spacing w:before="0" w:after="0" w:line="240" w:lineRule="auto"/>
      </w:pPr>
      <w:rPr>
        <w:b/>
        <w:bCs/>
      </w:rPr>
      <w:tblPr/>
      <w:tcPr>
        <w:tcBorders>
          <w:top w:val="double" w:sz="6"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A6FF" w:themeFill="accent1" w:themeFillTint="3F"/>
      </w:tcPr>
    </w:tblStylePr>
    <w:tblStylePr w:type="band1Horz">
      <w:tblPr/>
      <w:tcPr>
        <w:tcBorders>
          <w:insideH w:val="nil"/>
          <w:insideV w:val="nil"/>
        </w:tcBorders>
        <w:shd w:val="clear" w:color="auto" w:fill="CCA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single" w:sz="8" w:space="0" w:color="49E6E0" w:themeColor="accent2" w:themeTint="BF"/>
      </w:tblBorders>
    </w:tblPr>
    <w:tblStylePr w:type="firstRow">
      <w:pPr>
        <w:spacing w:before="0" w:after="0" w:line="240" w:lineRule="auto"/>
      </w:pPr>
      <w:rPr>
        <w:b/>
        <w:bCs/>
        <w:color w:val="FFFFFF" w:themeColor="background1"/>
      </w:rPr>
      <w:tblPr/>
      <w:tcPr>
        <w:tc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shd w:val="clear" w:color="auto" w:fill="1CCFC9" w:themeFill="accent2"/>
      </w:tcPr>
    </w:tblStylePr>
    <w:tblStylePr w:type="lastRow">
      <w:pPr>
        <w:spacing w:before="0" w:after="0" w:line="240" w:lineRule="auto"/>
      </w:pPr>
      <w:rPr>
        <w:b/>
        <w:bCs/>
      </w:rPr>
      <w:tblPr/>
      <w:tcPr>
        <w:tcBorders>
          <w:top w:val="double" w:sz="6"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7F5" w:themeFill="accent2" w:themeFillTint="3F"/>
      </w:tcPr>
    </w:tblStylePr>
    <w:tblStylePr w:type="band1Horz">
      <w:tblPr/>
      <w:tcPr>
        <w:tcBorders>
          <w:insideH w:val="nil"/>
          <w:insideV w:val="nil"/>
        </w:tcBorders>
        <w:shd w:val="clear" w:color="auto" w:fill="C3F7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single" w:sz="8" w:space="0" w:color="5D518E" w:themeColor="accent3" w:themeTint="BF"/>
      </w:tblBorders>
    </w:tblPr>
    <w:tblStylePr w:type="firstRow">
      <w:pPr>
        <w:spacing w:before="0" w:after="0" w:line="240" w:lineRule="auto"/>
      </w:pPr>
      <w:rPr>
        <w:b/>
        <w:bCs/>
        <w:color w:val="FFFFFF" w:themeColor="background1"/>
      </w:rPr>
      <w:tblPr/>
      <w:tcPr>
        <w:tc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shd w:val="clear" w:color="auto" w:fill="362F52" w:themeFill="accent3"/>
      </w:tcPr>
    </w:tblStylePr>
    <w:tblStylePr w:type="lastRow">
      <w:pPr>
        <w:spacing w:before="0" w:after="0" w:line="240" w:lineRule="auto"/>
      </w:pPr>
      <w:rPr>
        <w:b/>
        <w:bCs/>
      </w:rPr>
      <w:tblPr/>
      <w:tcPr>
        <w:tcBorders>
          <w:top w:val="double" w:sz="6"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8C3DC" w:themeFill="accent3" w:themeFillTint="3F"/>
      </w:tcPr>
    </w:tblStylePr>
    <w:tblStylePr w:type="band1Horz">
      <w:tblPr/>
      <w:tcPr>
        <w:tcBorders>
          <w:insideH w:val="nil"/>
          <w:insideV w:val="nil"/>
        </w:tcBorders>
        <w:shd w:val="clear" w:color="auto" w:fill="C8C3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single" w:sz="8" w:space="0" w:color="A8B5FF" w:themeColor="accent4" w:themeTint="BF"/>
      </w:tblBorders>
    </w:tblPr>
    <w:tblStylePr w:type="firstRow">
      <w:pPr>
        <w:spacing w:before="0" w:after="0" w:line="240" w:lineRule="auto"/>
      </w:pPr>
      <w:rPr>
        <w:b/>
        <w:bCs/>
        <w:color w:val="FFFFFF" w:themeColor="background1"/>
      </w:rPr>
      <w:tblPr/>
      <w:tcPr>
        <w:tc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shd w:val="clear" w:color="auto" w:fill="8B9EFF" w:themeFill="accent4"/>
      </w:tcPr>
    </w:tblStylePr>
    <w:tblStylePr w:type="lastRow">
      <w:pPr>
        <w:spacing w:before="0" w:after="0" w:line="240" w:lineRule="auto"/>
      </w:pPr>
      <w:rPr>
        <w:b/>
        <w:bCs/>
      </w:rPr>
      <w:tblPr/>
      <w:tcPr>
        <w:tcBorders>
          <w:top w:val="double" w:sz="6"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E6FF" w:themeFill="accent4" w:themeFillTint="3F"/>
      </w:tcPr>
    </w:tblStylePr>
    <w:tblStylePr w:type="band1Horz">
      <w:tblPr/>
      <w:tcPr>
        <w:tcBorders>
          <w:insideH w:val="nil"/>
          <w:insideV w:val="nil"/>
        </w:tcBorders>
        <w:shd w:val="clear" w:color="auto" w:fill="E2E6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single" w:sz="8" w:space="0" w:color="FFD341" w:themeColor="accent5" w:themeTint="BF"/>
      </w:tblBorders>
    </w:tblPr>
    <w:tblStylePr w:type="firstRow">
      <w:pPr>
        <w:spacing w:before="0" w:after="0" w:line="240" w:lineRule="auto"/>
      </w:pPr>
      <w:rPr>
        <w:b/>
        <w:bCs/>
        <w:color w:val="FFFFFF" w:themeColor="background1"/>
      </w:rPr>
      <w:tblPr/>
      <w:tcPr>
        <w:tc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shd w:val="clear" w:color="auto" w:fill="FFC502" w:themeFill="accent5"/>
      </w:tcPr>
    </w:tblStylePr>
    <w:tblStylePr w:type="lastRow">
      <w:pPr>
        <w:spacing w:before="0" w:after="0" w:line="240" w:lineRule="auto"/>
      </w:pPr>
      <w:rPr>
        <w:b/>
        <w:bCs/>
      </w:rPr>
      <w:tblPr/>
      <w:tcPr>
        <w:tcBorders>
          <w:top w:val="double" w:sz="6"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0C0" w:themeFill="accent5" w:themeFillTint="3F"/>
      </w:tcPr>
    </w:tblStylePr>
    <w:tblStylePr w:type="band1Horz">
      <w:tblPr/>
      <w:tcPr>
        <w:tcBorders>
          <w:insideH w:val="nil"/>
          <w:insideV w:val="nil"/>
        </w:tcBorders>
        <w:shd w:val="clear" w:color="auto" w:fill="FFF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C09300" w:themeColor="accent5" w:themeShade="BF"/>
    </w:rPr>
    <w:tblPr>
      <w:tblStyleRowBandSize w:val="1"/>
      <w:tblStyleColBandSize w:val="1"/>
      <w:tblBorders>
        <w:top w:val="single" w:sz="8" w:space="0" w:color="FFC502" w:themeColor="accent5"/>
        <w:bottom w:val="single" w:sz="8" w:space="0" w:color="FFC502" w:themeColor="accent5"/>
      </w:tblBorders>
    </w:tblPr>
    <w:tblStylePr w:type="fir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la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0" w:themeFill="accent5" w:themeFillTint="3F"/>
      </w:tcPr>
    </w:tblStylePr>
    <w:tblStylePr w:type="band1Horz">
      <w:tblPr/>
      <w:tcPr>
        <w:tcBorders>
          <w:left w:val="nil"/>
          <w:right w:val="nil"/>
          <w:insideH w:val="nil"/>
          <w:insideV w:val="nil"/>
        </w:tcBorders>
        <w:shd w:val="clear" w:color="auto" w:fill="FFF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insideH w:val="single" w:sz="8" w:space="0" w:color="362F52" w:themeColor="accent3"/>
        <w:insideV w:val="single" w:sz="8" w:space="0" w:color="362F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18" w:space="0" w:color="362F52" w:themeColor="accent3"/>
          <w:right w:val="single" w:sz="8" w:space="0" w:color="362F52" w:themeColor="accent3"/>
          <w:insideH w:val="nil"/>
          <w:insideV w:val="single" w:sz="8" w:space="0" w:color="362F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insideH w:val="nil"/>
          <w:insideV w:val="single" w:sz="8" w:space="0" w:color="362F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shd w:val="clear" w:color="auto" w:fill="C8C3DC" w:themeFill="accent3" w:themeFillTint="3F"/>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shd w:val="clear" w:color="auto" w:fill="C8C3DC" w:themeFill="accent3" w:themeFillTint="3F"/>
      </w:tcPr>
    </w:tblStylePr>
    <w:tblStylePr w:type="band2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A323D9"/>
    <w:pPr>
      <w:spacing w:before="720" w:after="120"/>
      <w:contextualSpacing/>
    </w:pPr>
    <w:rPr>
      <w:rFonts w:ascii="Palatino Linotype" w:eastAsiaTheme="majorEastAsia" w:hAnsi="Palatino Linotype" w:cstheme="majorBidi"/>
      <w:color w:val="410099" w:themeColor="accent1"/>
      <w:spacing w:val="5"/>
      <w:kern w:val="28"/>
      <w:sz w:val="72"/>
      <w:szCs w:val="52"/>
    </w:rPr>
  </w:style>
  <w:style w:type="character" w:customStyle="1" w:styleId="TitleChar">
    <w:name w:val="Title Char"/>
    <w:basedOn w:val="DefaultParagraphFont"/>
    <w:link w:val="Title"/>
    <w:uiPriority w:val="10"/>
    <w:rsid w:val="00A323D9"/>
    <w:rPr>
      <w:rFonts w:ascii="Palatino Linotype" w:eastAsiaTheme="majorEastAsia" w:hAnsi="Palatino Linotype" w:cstheme="majorBidi"/>
      <w:color w:val="410099" w:themeColor="accent1"/>
      <w:spacing w:val="5"/>
      <w:kern w:val="28"/>
      <w:sz w:val="72"/>
      <w:szCs w:val="52"/>
    </w:rPr>
  </w:style>
  <w:style w:type="paragraph" w:customStyle="1" w:styleId="CoverDate">
    <w:name w:val="Cover Date"/>
    <w:rsid w:val="00E27642"/>
    <w:rPr>
      <w:rFonts w:ascii="Palatino Linotype" w:hAnsi="Palatino Linotype"/>
      <w:color w:val="362F52" w:themeColor="accent3"/>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tblBorders>
    </w:tblPr>
    <w:tblStylePr w:type="firstRow">
      <w:pPr>
        <w:spacing w:before="0" w:after="0" w:line="240" w:lineRule="auto"/>
      </w:pPr>
      <w:rPr>
        <w:b/>
        <w:bCs/>
        <w:color w:val="FFFFFF" w:themeColor="background1"/>
      </w:rPr>
      <w:tblPr/>
      <w:tcPr>
        <w:shd w:val="clear" w:color="auto" w:fill="410099" w:themeFill="accent1"/>
      </w:tcPr>
    </w:tblStylePr>
    <w:tblStylePr w:type="lastRow">
      <w:pPr>
        <w:spacing w:before="0" w:after="0" w:line="240" w:lineRule="auto"/>
      </w:pPr>
      <w:rPr>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tcBorders>
      </w:tcPr>
    </w:tblStylePr>
    <w:tblStylePr w:type="firstCol">
      <w:rPr>
        <w:b/>
        <w:bCs/>
      </w:rPr>
    </w:tblStylePr>
    <w:tblStylePr w:type="lastCol">
      <w:rPr>
        <w:b/>
        <w:bCs/>
      </w:r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tblBorders>
    </w:tblPr>
    <w:tblStylePr w:type="firstRow">
      <w:pPr>
        <w:spacing w:before="0" w:after="0" w:line="240" w:lineRule="auto"/>
      </w:pPr>
      <w:rPr>
        <w:b/>
        <w:bCs/>
        <w:color w:val="FFFFFF" w:themeColor="background1"/>
      </w:rPr>
      <w:tblPr/>
      <w:tcPr>
        <w:shd w:val="clear" w:color="auto" w:fill="362F52" w:themeFill="accent3"/>
      </w:tcPr>
    </w:tblStylePr>
    <w:tblStylePr w:type="lastRow">
      <w:pPr>
        <w:spacing w:before="0" w:after="0" w:line="240" w:lineRule="auto"/>
      </w:pPr>
      <w:rPr>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tcBorders>
      </w:tcPr>
    </w:tblStylePr>
    <w:tblStylePr w:type="firstCol">
      <w:rPr>
        <w:b/>
        <w:bCs/>
      </w:rPr>
    </w:tblStylePr>
    <w:tblStylePr w:type="lastCol">
      <w:rPr>
        <w:b/>
        <w:bCs/>
      </w:r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tblBorders>
    </w:tblPr>
    <w:tblStylePr w:type="firstRow">
      <w:pPr>
        <w:spacing w:before="0" w:after="0" w:line="240" w:lineRule="auto"/>
      </w:pPr>
      <w:rPr>
        <w:b/>
        <w:bCs/>
        <w:color w:val="auto"/>
      </w:rPr>
      <w:tblPr/>
      <w:tcPr>
        <w:shd w:val="clear" w:color="auto" w:fill="FFC502" w:themeFill="accent5"/>
      </w:tcPr>
    </w:tblStylePr>
    <w:tblStylePr w:type="lastRow">
      <w:pPr>
        <w:spacing w:before="0" w:after="0" w:line="240" w:lineRule="auto"/>
      </w:pPr>
      <w:rPr>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tcBorders>
      </w:tcPr>
    </w:tblStylePr>
    <w:tblStylePr w:type="firstCol">
      <w:rPr>
        <w:b/>
        <w:bCs/>
      </w:rPr>
    </w:tblStylePr>
    <w:tblStylePr w:type="lastCol">
      <w:rPr>
        <w:b/>
        <w:bCs/>
      </w:r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E27642"/>
    <w:pPr>
      <w:spacing w:before="360" w:after="120"/>
    </w:pPr>
    <w:rPr>
      <w:rFonts w:ascii="Palatino Linotype" w:hAnsi="Palatino Linotype"/>
      <w:color w:val="410099" w:themeColor="accent1"/>
      <w:sz w:val="52"/>
      <w:szCs w:val="52"/>
    </w:rPr>
  </w:style>
  <w:style w:type="character" w:customStyle="1" w:styleId="SubtitleChar">
    <w:name w:val="Subtitle Char"/>
    <w:basedOn w:val="DefaultParagraphFont"/>
    <w:link w:val="Subtitle"/>
    <w:uiPriority w:val="11"/>
    <w:rsid w:val="00E27642"/>
    <w:rPr>
      <w:rFonts w:ascii="Palatino Linotype" w:hAnsi="Palatino Linotype"/>
      <w:color w:val="410099" w:themeColor="accent1"/>
      <w:sz w:val="52"/>
      <w:szCs w:val="52"/>
    </w:rPr>
  </w:style>
  <w:style w:type="table" w:styleId="LightShading-Accent4">
    <w:name w:val="Light Shading Accent 4"/>
    <w:basedOn w:val="TableNormal"/>
    <w:uiPriority w:val="60"/>
    <w:rsid w:val="00746E01"/>
    <w:pPr>
      <w:spacing w:before="0"/>
    </w:pPr>
    <w:rPr>
      <w:color w:val="284AFF" w:themeColor="accent4" w:themeShade="BF"/>
    </w:rPr>
    <w:tblPr>
      <w:tblStyleRowBandSize w:val="1"/>
      <w:tblStyleColBandSize w:val="1"/>
      <w:tblBorders>
        <w:top w:val="single" w:sz="8" w:space="0" w:color="8B9EFF" w:themeColor="accent4"/>
        <w:bottom w:val="single" w:sz="8" w:space="0" w:color="8B9EFF" w:themeColor="accent4"/>
      </w:tblBorders>
    </w:tblPr>
    <w:tblStylePr w:type="fir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la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6FF" w:themeFill="accent4" w:themeFillTint="3F"/>
      </w:tcPr>
    </w:tblStylePr>
    <w:tblStylePr w:type="band1Horz">
      <w:tblPr/>
      <w:tcPr>
        <w:tcBorders>
          <w:left w:val="nil"/>
          <w:right w:val="nil"/>
          <w:insideH w:val="nil"/>
          <w:insideV w:val="nil"/>
        </w:tcBorders>
        <w:shd w:val="clear" w:color="auto" w:fill="E2E6FF" w:themeFill="accent4" w:themeFillTint="3F"/>
      </w:tcPr>
    </w:tblStylePr>
  </w:style>
  <w:style w:type="table" w:styleId="LightShading-Accent6">
    <w:name w:val="Light Shading Accent 6"/>
    <w:basedOn w:val="TableNormal"/>
    <w:uiPriority w:val="60"/>
    <w:rsid w:val="00746E01"/>
    <w:pPr>
      <w:spacing w:before="0"/>
    </w:pPr>
    <w:rPr>
      <w:color w:val="BF5800" w:themeColor="accent6" w:themeShade="BF"/>
    </w:rPr>
    <w:tblPr>
      <w:tblStyleRowBandSize w:val="1"/>
      <w:tblStyleColBandSize w:val="1"/>
      <w:tblBorders>
        <w:top w:val="single" w:sz="8" w:space="0" w:color="FF7600" w:themeColor="accent6"/>
        <w:bottom w:val="single" w:sz="8" w:space="0" w:color="FF7600" w:themeColor="accent6"/>
      </w:tblBorders>
    </w:tblPr>
    <w:tblStylePr w:type="fir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la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tblBorders>
    </w:tblPr>
    <w:tblStylePr w:type="firstRow">
      <w:pPr>
        <w:spacing w:before="0" w:after="0" w:line="240" w:lineRule="auto"/>
      </w:pPr>
      <w:rPr>
        <w:b/>
        <w:bCs/>
        <w:color w:val="FFFFFF" w:themeColor="background1"/>
      </w:rPr>
      <w:tblPr/>
      <w:tcPr>
        <w:shd w:val="clear" w:color="auto" w:fill="1CCFC9" w:themeFill="accent2"/>
      </w:tcPr>
    </w:tblStylePr>
    <w:tblStylePr w:type="lastRow">
      <w:pPr>
        <w:spacing w:before="0" w:after="0" w:line="240" w:lineRule="auto"/>
      </w:pPr>
      <w:rPr>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tcBorders>
      </w:tcPr>
    </w:tblStylePr>
    <w:tblStylePr w:type="firstCol">
      <w:rPr>
        <w:b/>
        <w:bCs/>
      </w:rPr>
    </w:tblStylePr>
    <w:tblStylePr w:type="lastCol">
      <w:rPr>
        <w:b/>
        <w:bCs/>
      </w:r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tblBorders>
    </w:tblPr>
    <w:tblStylePr w:type="firstRow">
      <w:pPr>
        <w:spacing w:before="0" w:after="0" w:line="240" w:lineRule="auto"/>
      </w:pPr>
      <w:rPr>
        <w:b/>
        <w:bCs/>
        <w:color w:val="FFFFFF" w:themeColor="background1"/>
      </w:rPr>
      <w:tblPr/>
      <w:tcPr>
        <w:shd w:val="clear" w:color="auto" w:fill="8B9EFF" w:themeFill="accent4"/>
      </w:tcPr>
    </w:tblStylePr>
    <w:tblStylePr w:type="lastRow">
      <w:pPr>
        <w:spacing w:before="0" w:after="0" w:line="240" w:lineRule="auto"/>
      </w:pPr>
      <w:rPr>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tcBorders>
      </w:tcPr>
    </w:tblStylePr>
    <w:tblStylePr w:type="firstCol">
      <w:rPr>
        <w:b/>
        <w:bCs/>
      </w:rPr>
    </w:tblStylePr>
    <w:tblStylePr w:type="lastCol">
      <w:rPr>
        <w:b/>
        <w:bCs/>
      </w:r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tblBorders>
    </w:tblPr>
    <w:tblStylePr w:type="firstRow">
      <w:pPr>
        <w:spacing w:before="0" w:after="0" w:line="240" w:lineRule="auto"/>
      </w:pPr>
      <w:rPr>
        <w:b/>
        <w:bCs/>
        <w:color w:val="FFFFFF" w:themeColor="background1"/>
      </w:rPr>
      <w:tblPr/>
      <w:tcPr>
        <w:shd w:val="clear" w:color="auto" w:fill="FF7600" w:themeFill="accent6"/>
      </w:tcPr>
    </w:tblStylePr>
    <w:tblStylePr w:type="lastRow">
      <w:pPr>
        <w:spacing w:before="0" w:after="0" w:line="240" w:lineRule="auto"/>
      </w:pPr>
      <w:rPr>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tcBorders>
      </w:tcPr>
    </w:tblStylePr>
    <w:tblStylePr w:type="firstCol">
      <w:rPr>
        <w:b/>
        <w:bCs/>
      </w:rPr>
    </w:tblStylePr>
    <w:tblStylePr w:type="lastCol">
      <w:rPr>
        <w:b/>
        <w:bCs/>
      </w:r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insideH w:val="single" w:sz="8" w:space="0" w:color="410099" w:themeColor="accent1"/>
        <w:insideV w:val="single" w:sz="8" w:space="0" w:color="41009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18" w:space="0" w:color="410099" w:themeColor="accent1"/>
          <w:right w:val="single" w:sz="8" w:space="0" w:color="410099" w:themeColor="accent1"/>
          <w:insideH w:val="nil"/>
          <w:insideV w:val="single" w:sz="8" w:space="0" w:color="4100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insideH w:val="nil"/>
          <w:insideV w:val="single" w:sz="8" w:space="0" w:color="4100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shd w:val="clear" w:color="auto" w:fill="CCA6FF" w:themeFill="accent1" w:themeFillTint="3F"/>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shd w:val="clear" w:color="auto" w:fill="CCA6FF" w:themeFill="accent1" w:themeFillTint="3F"/>
      </w:tcPr>
    </w:tblStylePr>
    <w:tblStylePr w:type="band2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insideH w:val="single" w:sz="8" w:space="0" w:color="1CCFC9" w:themeColor="accent2"/>
        <w:insideV w:val="single" w:sz="8" w:space="0" w:color="1CCFC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18" w:space="0" w:color="1CCFC9" w:themeColor="accent2"/>
          <w:right w:val="single" w:sz="8" w:space="0" w:color="1CCFC9" w:themeColor="accent2"/>
          <w:insideH w:val="nil"/>
          <w:insideV w:val="single" w:sz="8" w:space="0" w:color="1CCFC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insideH w:val="nil"/>
          <w:insideV w:val="single" w:sz="8" w:space="0" w:color="1CCFC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shd w:val="clear" w:color="auto" w:fill="C3F7F5" w:themeFill="accent2" w:themeFillTint="3F"/>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shd w:val="clear" w:color="auto" w:fill="C3F7F5" w:themeFill="accent2" w:themeFillTint="3F"/>
      </w:tcPr>
    </w:tblStylePr>
    <w:tblStylePr w:type="band2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insideH w:val="single" w:sz="8" w:space="0" w:color="8B9EFF" w:themeColor="accent4"/>
        <w:insideV w:val="single" w:sz="8" w:space="0" w:color="8B9E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18" w:space="0" w:color="8B9EFF" w:themeColor="accent4"/>
          <w:right w:val="single" w:sz="8" w:space="0" w:color="8B9EFF" w:themeColor="accent4"/>
          <w:insideH w:val="nil"/>
          <w:insideV w:val="single" w:sz="8" w:space="0" w:color="8B9E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insideH w:val="nil"/>
          <w:insideV w:val="single" w:sz="8" w:space="0" w:color="8B9E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shd w:val="clear" w:color="auto" w:fill="E2E6FF" w:themeFill="accent4" w:themeFillTint="3F"/>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shd w:val="clear" w:color="auto" w:fill="E2E6FF" w:themeFill="accent4" w:themeFillTint="3F"/>
      </w:tcPr>
    </w:tblStylePr>
    <w:tblStylePr w:type="band2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insideH w:val="single" w:sz="8" w:space="0" w:color="FFC502" w:themeColor="accent5"/>
        <w:insideV w:val="single" w:sz="8" w:space="0" w:color="FFC5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18" w:space="0" w:color="FFC502" w:themeColor="accent5"/>
          <w:right w:val="single" w:sz="8" w:space="0" w:color="FFC502" w:themeColor="accent5"/>
          <w:insideH w:val="nil"/>
          <w:insideV w:val="single" w:sz="8" w:space="0" w:color="FFC5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insideH w:val="nil"/>
          <w:insideV w:val="single" w:sz="8" w:space="0" w:color="FFC5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shd w:val="clear" w:color="auto" w:fill="FFF0C0" w:themeFill="accent5" w:themeFillTint="3F"/>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shd w:val="clear" w:color="auto" w:fill="FFF0C0" w:themeFill="accent5" w:themeFillTint="3F"/>
      </w:tcPr>
    </w:tblStylePr>
    <w:tblStylePr w:type="band2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uiPriority w:val="99"/>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E27642"/>
    <w:rPr>
      <w:smallCaps/>
      <w:color w:val="410099" w:themeColor="accent1"/>
      <w:u w:val="single"/>
    </w:rPr>
  </w:style>
  <w:style w:type="paragraph" w:customStyle="1" w:styleId="ListLegal">
    <w:name w:val="List Legal"/>
    <w:basedOn w:val="ListParagraph"/>
    <w:rsid w:val="00CF799E"/>
    <w:pPr>
      <w:numPr>
        <w:numId w:val="25"/>
      </w:numPr>
      <w:tabs>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character" w:styleId="CommentReference">
    <w:name w:val="annotation reference"/>
    <w:basedOn w:val="DefaultParagraphFont"/>
    <w:uiPriority w:val="99"/>
    <w:semiHidden/>
    <w:unhideWhenUsed/>
    <w:rsid w:val="00EB4859"/>
    <w:rPr>
      <w:sz w:val="16"/>
      <w:szCs w:val="16"/>
    </w:rPr>
  </w:style>
  <w:style w:type="paragraph" w:styleId="CommentText">
    <w:name w:val="annotation text"/>
    <w:basedOn w:val="Normal"/>
    <w:link w:val="CommentTextChar"/>
    <w:uiPriority w:val="99"/>
    <w:semiHidden/>
    <w:unhideWhenUsed/>
    <w:rsid w:val="00EB4859"/>
    <w:rPr>
      <w:sz w:val="20"/>
      <w:szCs w:val="20"/>
    </w:rPr>
  </w:style>
  <w:style w:type="character" w:customStyle="1" w:styleId="CommentTextChar">
    <w:name w:val="Comment Text Char"/>
    <w:basedOn w:val="DefaultParagraphFont"/>
    <w:link w:val="CommentText"/>
    <w:uiPriority w:val="99"/>
    <w:semiHidden/>
    <w:rsid w:val="00EB485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B4859"/>
    <w:rPr>
      <w:b/>
      <w:bCs/>
    </w:rPr>
  </w:style>
  <w:style w:type="character" w:customStyle="1" w:styleId="CommentSubjectChar">
    <w:name w:val="Comment Subject Char"/>
    <w:basedOn w:val="CommentTextChar"/>
    <w:link w:val="CommentSubject"/>
    <w:uiPriority w:val="99"/>
    <w:semiHidden/>
    <w:rsid w:val="00EB4859"/>
    <w:rPr>
      <w:rFonts w:ascii="Arial" w:hAnsi="Arial"/>
      <w:b/>
      <w:bCs/>
      <w:sz w:val="20"/>
      <w:szCs w:val="20"/>
    </w:rPr>
  </w:style>
  <w:style w:type="character" w:styleId="FollowedHyperlink">
    <w:name w:val="FollowedHyperlink"/>
    <w:basedOn w:val="DefaultParagraphFont"/>
    <w:uiPriority w:val="99"/>
    <w:semiHidden/>
    <w:unhideWhenUsed/>
    <w:rsid w:val="00053AF2"/>
    <w:rPr>
      <w:color w:val="800080" w:themeColor="followedHyperlink"/>
      <w:u w:val="single"/>
    </w:rPr>
  </w:style>
  <w:style w:type="paragraph" w:customStyle="1" w:styleId="Default">
    <w:name w:val="Default"/>
    <w:rsid w:val="000011EF"/>
    <w:pPr>
      <w:autoSpaceDE w:val="0"/>
      <w:autoSpaceDN w:val="0"/>
      <w:adjustRightInd w:val="0"/>
      <w:spacing w:before="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4262">
      <w:bodyDiv w:val="1"/>
      <w:marLeft w:val="0"/>
      <w:marRight w:val="0"/>
      <w:marTop w:val="0"/>
      <w:marBottom w:val="0"/>
      <w:divBdr>
        <w:top w:val="none" w:sz="0" w:space="0" w:color="auto"/>
        <w:left w:val="none" w:sz="0" w:space="0" w:color="auto"/>
        <w:bottom w:val="none" w:sz="0" w:space="0" w:color="auto"/>
        <w:right w:val="none" w:sz="0" w:space="0" w:color="auto"/>
      </w:divBdr>
    </w:div>
    <w:div w:id="111633479">
      <w:bodyDiv w:val="1"/>
      <w:marLeft w:val="0"/>
      <w:marRight w:val="0"/>
      <w:marTop w:val="0"/>
      <w:marBottom w:val="0"/>
      <w:divBdr>
        <w:top w:val="none" w:sz="0" w:space="0" w:color="auto"/>
        <w:left w:val="none" w:sz="0" w:space="0" w:color="auto"/>
        <w:bottom w:val="none" w:sz="0" w:space="0" w:color="auto"/>
        <w:right w:val="none" w:sz="0" w:space="0" w:color="auto"/>
      </w:divBdr>
    </w:div>
    <w:div w:id="987975800">
      <w:bodyDiv w:val="1"/>
      <w:marLeft w:val="0"/>
      <w:marRight w:val="0"/>
      <w:marTop w:val="0"/>
      <w:marBottom w:val="0"/>
      <w:divBdr>
        <w:top w:val="none" w:sz="0" w:space="0" w:color="auto"/>
        <w:left w:val="none" w:sz="0" w:space="0" w:color="auto"/>
        <w:bottom w:val="none" w:sz="0" w:space="0" w:color="auto"/>
        <w:right w:val="none" w:sz="0" w:space="0" w:color="auto"/>
      </w:divBdr>
    </w:div>
    <w:div w:id="1037509356">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337806295">
      <w:bodyDiv w:val="1"/>
      <w:marLeft w:val="0"/>
      <w:marRight w:val="0"/>
      <w:marTop w:val="0"/>
      <w:marBottom w:val="0"/>
      <w:divBdr>
        <w:top w:val="none" w:sz="0" w:space="0" w:color="auto"/>
        <w:left w:val="none" w:sz="0" w:space="0" w:color="auto"/>
        <w:bottom w:val="none" w:sz="0" w:space="0" w:color="auto"/>
        <w:right w:val="none" w:sz="0" w:space="0" w:color="auto"/>
      </w:divBdr>
    </w:div>
    <w:div w:id="1575432027">
      <w:bodyDiv w:val="1"/>
      <w:marLeft w:val="0"/>
      <w:marRight w:val="0"/>
      <w:marTop w:val="0"/>
      <w:marBottom w:val="0"/>
      <w:divBdr>
        <w:top w:val="none" w:sz="0" w:space="0" w:color="auto"/>
        <w:left w:val="none" w:sz="0" w:space="0" w:color="auto"/>
        <w:bottom w:val="none" w:sz="0" w:space="0" w:color="auto"/>
        <w:right w:val="none" w:sz="0" w:space="0" w:color="auto"/>
      </w:divBdr>
    </w:div>
    <w:div w:id="1604804241">
      <w:bodyDiv w:val="1"/>
      <w:marLeft w:val="0"/>
      <w:marRight w:val="0"/>
      <w:marTop w:val="0"/>
      <w:marBottom w:val="0"/>
      <w:divBdr>
        <w:top w:val="none" w:sz="0" w:space="0" w:color="auto"/>
        <w:left w:val="none" w:sz="0" w:space="0" w:color="auto"/>
        <w:bottom w:val="none" w:sz="0" w:space="0" w:color="auto"/>
        <w:right w:val="none" w:sz="0" w:space="0" w:color="auto"/>
      </w:divBdr>
    </w:div>
    <w:div w:id="179563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heme1">
  <a:themeElements>
    <a:clrScheme name="ACCC">
      <a:dk1>
        <a:sysClr val="windowText" lastClr="000000"/>
      </a:dk1>
      <a:lt1>
        <a:sysClr val="window" lastClr="FFFFFF"/>
      </a:lt1>
      <a:dk2>
        <a:srgbClr val="003591"/>
      </a:dk2>
      <a:lt2>
        <a:srgbClr val="D5D6D2"/>
      </a:lt2>
      <a:accent1>
        <a:srgbClr val="410099"/>
      </a:accent1>
      <a:accent2>
        <a:srgbClr val="1CCFC9"/>
      </a:accent2>
      <a:accent3>
        <a:srgbClr val="362F52"/>
      </a:accent3>
      <a:accent4>
        <a:srgbClr val="8B9EFF"/>
      </a:accent4>
      <a:accent5>
        <a:srgbClr val="FFC502"/>
      </a:accent5>
      <a:accent6>
        <a:srgbClr val="FF7600"/>
      </a:accent6>
      <a:hlink>
        <a:srgbClr val="0000FF"/>
      </a:hlink>
      <a:folHlink>
        <a:srgbClr val="800080"/>
      </a:folHlink>
    </a:clrScheme>
    <a:fontScheme name="ACCC">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B3ACF9-38BB-4EBB-8FFA-FE09E7254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3677</TotalTime>
  <Pages>8</Pages>
  <Words>2336</Words>
  <Characters>13320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15625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Noakes, Sam</dc:creator>
  <cp:keywords/>
  <dc:description/>
  <cp:lastModifiedBy>Nguyen, Bonnie</cp:lastModifiedBy>
  <cp:revision>71</cp:revision>
  <dcterms:created xsi:type="dcterms:W3CDTF">2020-09-08T23:29:00Z</dcterms:created>
  <dcterms:modified xsi:type="dcterms:W3CDTF">2020-10-01T00:11:00Z</dcterms:modified>
</cp:coreProperties>
</file>