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D7" w:rsidRDefault="007B7F6C">
      <w:pPr>
        <w:spacing w:before="73" w:after="0" w:line="240" w:lineRule="auto"/>
        <w:ind w:left="3043" w:right="3022"/>
        <w:jc w:val="center"/>
        <w:rPr>
          <w:rFonts w:ascii="Arial" w:eastAsia="Arial" w:hAnsi="Arial" w:cs="Arial"/>
        </w:rPr>
      </w:pPr>
      <w:r>
        <w:rPr>
          <w:rFonts w:ascii="Arial" w:eastAsia="Arial" w:hAnsi="Arial" w:cs="Arial"/>
          <w:b/>
          <w:bCs/>
          <w:spacing w:val="-1"/>
        </w:rPr>
        <w:t>EXP</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3"/>
        </w:rPr>
        <w:t>O</w:t>
      </w:r>
      <w:r>
        <w:rPr>
          <w:rFonts w:ascii="Arial" w:eastAsia="Arial" w:hAnsi="Arial" w:cs="Arial"/>
          <w:b/>
          <w:bCs/>
          <w:spacing w:val="-1"/>
        </w:rPr>
        <w:t>R</w:t>
      </w:r>
      <w:r>
        <w:rPr>
          <w:rFonts w:ascii="Arial" w:eastAsia="Arial" w:hAnsi="Arial" w:cs="Arial"/>
          <w:b/>
          <w:bCs/>
        </w:rPr>
        <w:t xml:space="preserve">Y </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EM</w:t>
      </w:r>
      <w:r>
        <w:rPr>
          <w:rFonts w:ascii="Arial" w:eastAsia="Arial" w:hAnsi="Arial" w:cs="Arial"/>
          <w:b/>
          <w:bCs/>
          <w:spacing w:val="-1"/>
        </w:rPr>
        <w:t>EN</w:t>
      </w:r>
      <w:r>
        <w:rPr>
          <w:rFonts w:ascii="Arial" w:eastAsia="Arial" w:hAnsi="Arial" w:cs="Arial"/>
          <w:b/>
          <w:bCs/>
        </w:rPr>
        <w:t>T</w:t>
      </w:r>
    </w:p>
    <w:p w:rsidR="00340DD7" w:rsidRDefault="00340DD7">
      <w:pPr>
        <w:spacing w:before="14" w:after="0" w:line="240" w:lineRule="exact"/>
        <w:rPr>
          <w:sz w:val="24"/>
          <w:szCs w:val="24"/>
        </w:rPr>
      </w:pPr>
    </w:p>
    <w:p w:rsidR="00340DD7" w:rsidRPr="00690549" w:rsidRDefault="007B7F6C" w:rsidP="005600B8">
      <w:pPr>
        <w:spacing w:after="0" w:line="240" w:lineRule="auto"/>
        <w:ind w:left="850" w:right="850"/>
        <w:jc w:val="center"/>
        <w:rPr>
          <w:rFonts w:ascii="Times New Roman" w:eastAsia="Arial" w:hAnsi="Times New Roman" w:cs="Times New Roman"/>
          <w:sz w:val="24"/>
          <w:szCs w:val="24"/>
        </w:rPr>
      </w:pP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ssu</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d by</w:t>
      </w:r>
      <w:r w:rsidRPr="00690549">
        <w:rPr>
          <w:rFonts w:ascii="Times New Roman" w:eastAsia="Arial" w:hAnsi="Times New Roman" w:cs="Times New Roman"/>
          <w:spacing w:val="-3"/>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 a</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y</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pacing w:val="-3"/>
          <w:sz w:val="24"/>
          <w:szCs w:val="24"/>
        </w:rPr>
        <w:t>d</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tr</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f</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3"/>
          <w:sz w:val="24"/>
          <w:szCs w:val="24"/>
        </w:rPr>
        <w:t>C</w:t>
      </w:r>
      <w:r w:rsidR="00BC39C7">
        <w:rPr>
          <w:rFonts w:ascii="Times New Roman" w:eastAsia="Arial" w:hAnsi="Times New Roman" w:cs="Times New Roman"/>
          <w:sz w:val="24"/>
          <w:szCs w:val="24"/>
        </w:rPr>
        <w:t>ocos (Keeling) Islands</w:t>
      </w:r>
    </w:p>
    <w:p w:rsidR="00340DD7" w:rsidRPr="00690549" w:rsidRDefault="00340DD7">
      <w:pPr>
        <w:spacing w:before="13" w:after="0" w:line="240" w:lineRule="exact"/>
        <w:rPr>
          <w:rFonts w:ascii="Times New Roman" w:hAnsi="Times New Roman" w:cs="Times New Roman"/>
          <w:sz w:val="24"/>
          <w:szCs w:val="24"/>
        </w:rPr>
      </w:pPr>
    </w:p>
    <w:p w:rsidR="00340DD7" w:rsidRPr="00690549" w:rsidRDefault="007B7F6C" w:rsidP="005600B8">
      <w:pPr>
        <w:spacing w:after="0" w:line="240" w:lineRule="auto"/>
        <w:ind w:left="2835" w:right="2835"/>
        <w:jc w:val="center"/>
        <w:rPr>
          <w:rFonts w:ascii="Times New Roman" w:eastAsia="Arial" w:hAnsi="Times New Roman" w:cs="Times New Roman"/>
          <w:sz w:val="24"/>
          <w:szCs w:val="24"/>
        </w:rPr>
      </w:pPr>
      <w:r w:rsidRPr="00690549">
        <w:rPr>
          <w:rFonts w:ascii="Times New Roman" w:eastAsia="Arial" w:hAnsi="Times New Roman" w:cs="Times New Roman"/>
          <w:i/>
          <w:spacing w:val="-1"/>
          <w:sz w:val="24"/>
          <w:szCs w:val="24"/>
        </w:rPr>
        <w:t>C</w:t>
      </w:r>
      <w:r w:rsidR="00BC39C7">
        <w:rPr>
          <w:rFonts w:ascii="Times New Roman" w:eastAsia="Arial" w:hAnsi="Times New Roman" w:cs="Times New Roman"/>
          <w:i/>
          <w:sz w:val="24"/>
          <w:szCs w:val="24"/>
        </w:rPr>
        <w:t>ocos (Keeling) Islands</w:t>
      </w:r>
      <w:r w:rsidRPr="00690549">
        <w:rPr>
          <w:rFonts w:ascii="Times New Roman" w:eastAsia="Arial" w:hAnsi="Times New Roman" w:cs="Times New Roman"/>
          <w:i/>
          <w:sz w:val="24"/>
          <w:szCs w:val="24"/>
        </w:rPr>
        <w:t xml:space="preserve"> Act 1</w:t>
      </w:r>
      <w:r w:rsidRPr="00690549">
        <w:rPr>
          <w:rFonts w:ascii="Times New Roman" w:eastAsia="Arial" w:hAnsi="Times New Roman" w:cs="Times New Roman"/>
          <w:i/>
          <w:spacing w:val="-1"/>
          <w:sz w:val="24"/>
          <w:szCs w:val="24"/>
        </w:rPr>
        <w:t>9</w:t>
      </w:r>
      <w:r w:rsidRPr="00690549">
        <w:rPr>
          <w:rFonts w:ascii="Times New Roman" w:eastAsia="Arial" w:hAnsi="Times New Roman" w:cs="Times New Roman"/>
          <w:i/>
          <w:spacing w:val="-3"/>
          <w:sz w:val="24"/>
          <w:szCs w:val="24"/>
        </w:rPr>
        <w:t>5</w:t>
      </w:r>
      <w:r w:rsidR="00BC39C7">
        <w:rPr>
          <w:rFonts w:ascii="Times New Roman" w:eastAsia="Arial" w:hAnsi="Times New Roman" w:cs="Times New Roman"/>
          <w:i/>
          <w:sz w:val="24"/>
          <w:szCs w:val="24"/>
        </w:rPr>
        <w:t>5</w:t>
      </w:r>
    </w:p>
    <w:p w:rsidR="00340DD7" w:rsidRPr="00690549" w:rsidRDefault="007B7F6C" w:rsidP="005600B8">
      <w:pPr>
        <w:spacing w:before="1" w:after="0" w:line="240" w:lineRule="auto"/>
        <w:ind w:left="1531" w:right="1531"/>
        <w:jc w:val="center"/>
        <w:rPr>
          <w:rFonts w:ascii="Times New Roman" w:eastAsia="Arial" w:hAnsi="Times New Roman" w:cs="Times New Roman"/>
          <w:sz w:val="24"/>
          <w:szCs w:val="24"/>
        </w:rPr>
      </w:pPr>
      <w:r w:rsidRPr="00690549">
        <w:rPr>
          <w:rFonts w:ascii="Times New Roman" w:eastAsia="Arial" w:hAnsi="Times New Roman" w:cs="Times New Roman"/>
          <w:i/>
          <w:spacing w:val="-1"/>
          <w:sz w:val="24"/>
          <w:szCs w:val="24"/>
        </w:rPr>
        <w:t>C</w:t>
      </w:r>
      <w:r w:rsidR="00A43B94">
        <w:rPr>
          <w:rFonts w:ascii="Times New Roman" w:eastAsia="Arial" w:hAnsi="Times New Roman" w:cs="Times New Roman"/>
          <w:i/>
          <w:sz w:val="24"/>
          <w:szCs w:val="24"/>
        </w:rPr>
        <w:t>ocos (Keeling)</w:t>
      </w:r>
      <w:r w:rsidRPr="00690549">
        <w:rPr>
          <w:rFonts w:ascii="Times New Roman" w:eastAsia="Arial" w:hAnsi="Times New Roman" w:cs="Times New Roman"/>
          <w:i/>
          <w:spacing w:val="-2"/>
          <w:sz w:val="24"/>
          <w:szCs w:val="24"/>
        </w:rPr>
        <w:t xml:space="preserve"> </w:t>
      </w:r>
      <w:r w:rsidRPr="00690549">
        <w:rPr>
          <w:rFonts w:ascii="Times New Roman" w:eastAsia="Arial" w:hAnsi="Times New Roman" w:cs="Times New Roman"/>
          <w:i/>
          <w:spacing w:val="-1"/>
          <w:sz w:val="24"/>
          <w:szCs w:val="24"/>
        </w:rPr>
        <w:t>I</w:t>
      </w:r>
      <w:r w:rsidRPr="00690549">
        <w:rPr>
          <w:rFonts w:ascii="Times New Roman" w:eastAsia="Arial" w:hAnsi="Times New Roman" w:cs="Times New Roman"/>
          <w:i/>
          <w:sz w:val="24"/>
          <w:szCs w:val="24"/>
        </w:rPr>
        <w:t>s</w:t>
      </w:r>
      <w:r w:rsidRPr="00690549">
        <w:rPr>
          <w:rFonts w:ascii="Times New Roman" w:eastAsia="Arial" w:hAnsi="Times New Roman" w:cs="Times New Roman"/>
          <w:i/>
          <w:spacing w:val="-1"/>
          <w:sz w:val="24"/>
          <w:szCs w:val="24"/>
        </w:rPr>
        <w:t>l</w:t>
      </w:r>
      <w:r w:rsidRPr="00690549">
        <w:rPr>
          <w:rFonts w:ascii="Times New Roman" w:eastAsia="Arial" w:hAnsi="Times New Roman" w:cs="Times New Roman"/>
          <w:i/>
          <w:sz w:val="24"/>
          <w:szCs w:val="24"/>
        </w:rPr>
        <w:t>a</w:t>
      </w:r>
      <w:r w:rsidRPr="00690549">
        <w:rPr>
          <w:rFonts w:ascii="Times New Roman" w:eastAsia="Arial" w:hAnsi="Times New Roman" w:cs="Times New Roman"/>
          <w:i/>
          <w:spacing w:val="-1"/>
          <w:sz w:val="24"/>
          <w:szCs w:val="24"/>
        </w:rPr>
        <w:t>n</w:t>
      </w:r>
      <w:r w:rsidRPr="00690549">
        <w:rPr>
          <w:rFonts w:ascii="Times New Roman" w:eastAsia="Arial" w:hAnsi="Times New Roman" w:cs="Times New Roman"/>
          <w:i/>
          <w:sz w:val="24"/>
          <w:szCs w:val="24"/>
        </w:rPr>
        <w:t>d</w:t>
      </w:r>
      <w:r w:rsidR="00A43B94">
        <w:rPr>
          <w:rFonts w:ascii="Times New Roman" w:eastAsia="Arial" w:hAnsi="Times New Roman" w:cs="Times New Roman"/>
          <w:i/>
          <w:sz w:val="24"/>
          <w:szCs w:val="24"/>
        </w:rPr>
        <w:t>s</w:t>
      </w:r>
      <w:r w:rsidRPr="00690549">
        <w:rPr>
          <w:rFonts w:ascii="Times New Roman" w:eastAsia="Arial" w:hAnsi="Times New Roman" w:cs="Times New Roman"/>
          <w:i/>
          <w:spacing w:val="2"/>
          <w:sz w:val="24"/>
          <w:szCs w:val="24"/>
        </w:rPr>
        <w:t xml:space="preserve"> </w:t>
      </w:r>
      <w:r w:rsidRPr="00690549">
        <w:rPr>
          <w:rFonts w:ascii="Times New Roman" w:eastAsia="Arial" w:hAnsi="Times New Roman" w:cs="Times New Roman"/>
          <w:i/>
          <w:spacing w:val="-1"/>
          <w:sz w:val="24"/>
          <w:szCs w:val="24"/>
        </w:rPr>
        <w:t>U</w:t>
      </w:r>
      <w:r w:rsidRPr="00690549">
        <w:rPr>
          <w:rFonts w:ascii="Times New Roman" w:eastAsia="Arial" w:hAnsi="Times New Roman" w:cs="Times New Roman"/>
          <w:i/>
          <w:spacing w:val="1"/>
          <w:sz w:val="24"/>
          <w:szCs w:val="24"/>
        </w:rPr>
        <w:t>t</w:t>
      </w:r>
      <w:r w:rsidRPr="00690549">
        <w:rPr>
          <w:rFonts w:ascii="Times New Roman" w:eastAsia="Arial" w:hAnsi="Times New Roman" w:cs="Times New Roman"/>
          <w:i/>
          <w:spacing w:val="-1"/>
          <w:sz w:val="24"/>
          <w:szCs w:val="24"/>
        </w:rPr>
        <w:t>ili</w:t>
      </w:r>
      <w:r w:rsidRPr="00690549">
        <w:rPr>
          <w:rFonts w:ascii="Times New Roman" w:eastAsia="Arial" w:hAnsi="Times New Roman" w:cs="Times New Roman"/>
          <w:i/>
          <w:spacing w:val="1"/>
          <w:sz w:val="24"/>
          <w:szCs w:val="24"/>
        </w:rPr>
        <w:t>t</w:t>
      </w:r>
      <w:r w:rsidRPr="00690549">
        <w:rPr>
          <w:rFonts w:ascii="Times New Roman" w:eastAsia="Arial" w:hAnsi="Times New Roman" w:cs="Times New Roman"/>
          <w:i/>
          <w:spacing w:val="-1"/>
          <w:sz w:val="24"/>
          <w:szCs w:val="24"/>
        </w:rPr>
        <w:t>i</w:t>
      </w:r>
      <w:r w:rsidRPr="00690549">
        <w:rPr>
          <w:rFonts w:ascii="Times New Roman" w:eastAsia="Arial" w:hAnsi="Times New Roman" w:cs="Times New Roman"/>
          <w:i/>
          <w:sz w:val="24"/>
          <w:szCs w:val="24"/>
        </w:rPr>
        <w:t>es and S</w:t>
      </w:r>
      <w:r w:rsidRPr="00690549">
        <w:rPr>
          <w:rFonts w:ascii="Times New Roman" w:eastAsia="Arial" w:hAnsi="Times New Roman" w:cs="Times New Roman"/>
          <w:i/>
          <w:spacing w:val="-1"/>
          <w:sz w:val="24"/>
          <w:szCs w:val="24"/>
        </w:rPr>
        <w:t>e</w:t>
      </w:r>
      <w:r w:rsidRPr="00690549">
        <w:rPr>
          <w:rFonts w:ascii="Times New Roman" w:eastAsia="Arial" w:hAnsi="Times New Roman" w:cs="Times New Roman"/>
          <w:i/>
          <w:spacing w:val="-2"/>
          <w:sz w:val="24"/>
          <w:szCs w:val="24"/>
        </w:rPr>
        <w:t>r</w:t>
      </w:r>
      <w:r w:rsidRPr="00690549">
        <w:rPr>
          <w:rFonts w:ascii="Times New Roman" w:eastAsia="Arial" w:hAnsi="Times New Roman" w:cs="Times New Roman"/>
          <w:i/>
          <w:sz w:val="24"/>
          <w:szCs w:val="24"/>
        </w:rPr>
        <w:t>v</w:t>
      </w:r>
      <w:r w:rsidRPr="00690549">
        <w:rPr>
          <w:rFonts w:ascii="Times New Roman" w:eastAsia="Arial" w:hAnsi="Times New Roman" w:cs="Times New Roman"/>
          <w:i/>
          <w:spacing w:val="-1"/>
          <w:sz w:val="24"/>
          <w:szCs w:val="24"/>
        </w:rPr>
        <w:t>i</w:t>
      </w:r>
      <w:r w:rsidRPr="00690549">
        <w:rPr>
          <w:rFonts w:ascii="Times New Roman" w:eastAsia="Arial" w:hAnsi="Times New Roman" w:cs="Times New Roman"/>
          <w:i/>
          <w:sz w:val="24"/>
          <w:szCs w:val="24"/>
        </w:rPr>
        <w:t>ces</w:t>
      </w:r>
      <w:r w:rsidRPr="00690549">
        <w:rPr>
          <w:rFonts w:ascii="Times New Roman" w:eastAsia="Arial" w:hAnsi="Times New Roman" w:cs="Times New Roman"/>
          <w:i/>
          <w:spacing w:val="-2"/>
          <w:sz w:val="24"/>
          <w:szCs w:val="24"/>
        </w:rPr>
        <w:t xml:space="preserve"> </w:t>
      </w:r>
      <w:r w:rsidRPr="00690549">
        <w:rPr>
          <w:rFonts w:ascii="Times New Roman" w:eastAsia="Arial" w:hAnsi="Times New Roman" w:cs="Times New Roman"/>
          <w:i/>
          <w:spacing w:val="1"/>
          <w:sz w:val="24"/>
          <w:szCs w:val="24"/>
        </w:rPr>
        <w:t>Or</w:t>
      </w:r>
      <w:r w:rsidRPr="00690549">
        <w:rPr>
          <w:rFonts w:ascii="Times New Roman" w:eastAsia="Arial" w:hAnsi="Times New Roman" w:cs="Times New Roman"/>
          <w:i/>
          <w:sz w:val="24"/>
          <w:szCs w:val="24"/>
        </w:rPr>
        <w:t>d</w:t>
      </w:r>
      <w:r w:rsidRPr="00690549">
        <w:rPr>
          <w:rFonts w:ascii="Times New Roman" w:eastAsia="Arial" w:hAnsi="Times New Roman" w:cs="Times New Roman"/>
          <w:i/>
          <w:spacing w:val="-1"/>
          <w:sz w:val="24"/>
          <w:szCs w:val="24"/>
        </w:rPr>
        <w:t>i</w:t>
      </w:r>
      <w:r w:rsidRPr="00690549">
        <w:rPr>
          <w:rFonts w:ascii="Times New Roman" w:eastAsia="Arial" w:hAnsi="Times New Roman" w:cs="Times New Roman"/>
          <w:i/>
          <w:sz w:val="24"/>
          <w:szCs w:val="24"/>
        </w:rPr>
        <w:t>n</w:t>
      </w:r>
      <w:r w:rsidRPr="00690549">
        <w:rPr>
          <w:rFonts w:ascii="Times New Roman" w:eastAsia="Arial" w:hAnsi="Times New Roman" w:cs="Times New Roman"/>
          <w:i/>
          <w:spacing w:val="-1"/>
          <w:sz w:val="24"/>
          <w:szCs w:val="24"/>
        </w:rPr>
        <w:t>a</w:t>
      </w:r>
      <w:r w:rsidRPr="00690549">
        <w:rPr>
          <w:rFonts w:ascii="Times New Roman" w:eastAsia="Arial" w:hAnsi="Times New Roman" w:cs="Times New Roman"/>
          <w:i/>
          <w:sz w:val="24"/>
          <w:szCs w:val="24"/>
        </w:rPr>
        <w:t>nce</w:t>
      </w:r>
      <w:r w:rsidRPr="00690549">
        <w:rPr>
          <w:rFonts w:ascii="Times New Roman" w:eastAsia="Arial" w:hAnsi="Times New Roman" w:cs="Times New Roman"/>
          <w:i/>
          <w:spacing w:val="-2"/>
          <w:sz w:val="24"/>
          <w:szCs w:val="24"/>
        </w:rPr>
        <w:t xml:space="preserve"> </w:t>
      </w:r>
      <w:r w:rsidRPr="00690549">
        <w:rPr>
          <w:rFonts w:ascii="Times New Roman" w:eastAsia="Arial" w:hAnsi="Times New Roman" w:cs="Times New Roman"/>
          <w:i/>
          <w:sz w:val="24"/>
          <w:szCs w:val="24"/>
        </w:rPr>
        <w:t>2</w:t>
      </w:r>
      <w:r w:rsidRPr="00690549">
        <w:rPr>
          <w:rFonts w:ascii="Times New Roman" w:eastAsia="Arial" w:hAnsi="Times New Roman" w:cs="Times New Roman"/>
          <w:i/>
          <w:spacing w:val="-1"/>
          <w:sz w:val="24"/>
          <w:szCs w:val="24"/>
        </w:rPr>
        <w:t>0</w:t>
      </w:r>
      <w:r w:rsidRPr="00690549">
        <w:rPr>
          <w:rFonts w:ascii="Times New Roman" w:eastAsia="Arial" w:hAnsi="Times New Roman" w:cs="Times New Roman"/>
          <w:i/>
          <w:sz w:val="24"/>
          <w:szCs w:val="24"/>
        </w:rPr>
        <w:t>16</w:t>
      </w:r>
    </w:p>
    <w:p w:rsidR="00340DD7" w:rsidRPr="00690549" w:rsidRDefault="00340DD7">
      <w:pPr>
        <w:spacing w:before="13" w:after="0" w:line="240" w:lineRule="exact"/>
        <w:rPr>
          <w:rFonts w:ascii="Times New Roman" w:hAnsi="Times New Roman" w:cs="Times New Roman"/>
          <w:sz w:val="24"/>
          <w:szCs w:val="24"/>
        </w:rPr>
      </w:pPr>
    </w:p>
    <w:p w:rsidR="00340DD7" w:rsidRPr="00690549" w:rsidRDefault="00C725B9" w:rsidP="00562D23">
      <w:pPr>
        <w:spacing w:before="32" w:after="0" w:line="241" w:lineRule="auto"/>
        <w:ind w:left="100" w:right="155"/>
        <w:rPr>
          <w:rFonts w:ascii="Times New Roman" w:eastAsia="Arial" w:hAnsi="Times New Roman" w:cs="Times New Roman"/>
          <w:b/>
          <w:spacing w:val="2"/>
          <w:sz w:val="24"/>
          <w:szCs w:val="24"/>
        </w:rPr>
      </w:pPr>
      <w:r w:rsidRPr="00690549">
        <w:rPr>
          <w:rFonts w:ascii="Times New Roman" w:eastAsia="Arial" w:hAnsi="Times New Roman" w:cs="Times New Roman"/>
          <w:b/>
          <w:spacing w:val="2"/>
          <w:sz w:val="24"/>
          <w:szCs w:val="24"/>
        </w:rPr>
        <w:t>C</w:t>
      </w:r>
      <w:r w:rsidR="000D2E34">
        <w:rPr>
          <w:rFonts w:ascii="Times New Roman" w:eastAsia="Arial" w:hAnsi="Times New Roman" w:cs="Times New Roman"/>
          <w:b/>
          <w:spacing w:val="2"/>
          <w:sz w:val="24"/>
          <w:szCs w:val="24"/>
        </w:rPr>
        <w:t>ocos (Keeling)</w:t>
      </w:r>
      <w:r w:rsidRPr="00690549">
        <w:rPr>
          <w:rFonts w:ascii="Times New Roman" w:eastAsia="Arial" w:hAnsi="Times New Roman" w:cs="Times New Roman"/>
          <w:b/>
          <w:spacing w:val="2"/>
          <w:sz w:val="24"/>
          <w:szCs w:val="24"/>
        </w:rPr>
        <w:t xml:space="preserve"> Island</w:t>
      </w:r>
      <w:r w:rsidR="000D2E34">
        <w:rPr>
          <w:rFonts w:ascii="Times New Roman" w:eastAsia="Arial" w:hAnsi="Times New Roman" w:cs="Times New Roman"/>
          <w:b/>
          <w:spacing w:val="2"/>
          <w:sz w:val="24"/>
          <w:szCs w:val="24"/>
        </w:rPr>
        <w:t>s</w:t>
      </w:r>
      <w:r w:rsidRPr="00690549">
        <w:rPr>
          <w:rFonts w:ascii="Times New Roman" w:eastAsia="Arial" w:hAnsi="Times New Roman" w:cs="Times New Roman"/>
          <w:b/>
          <w:spacing w:val="2"/>
          <w:sz w:val="24"/>
          <w:szCs w:val="24"/>
        </w:rPr>
        <w:t xml:space="preserve"> Utilities and Services (Electricity Supply and Services Fees) Amendment (20</w:t>
      </w:r>
      <w:r w:rsidR="00336094" w:rsidRPr="00690549">
        <w:rPr>
          <w:rFonts w:ascii="Times New Roman" w:eastAsia="Arial" w:hAnsi="Times New Roman" w:cs="Times New Roman"/>
          <w:b/>
          <w:spacing w:val="2"/>
          <w:sz w:val="24"/>
          <w:szCs w:val="24"/>
        </w:rPr>
        <w:t>20</w:t>
      </w:r>
      <w:r w:rsidRPr="00690549">
        <w:rPr>
          <w:rFonts w:ascii="Times New Roman" w:eastAsia="Arial" w:hAnsi="Times New Roman" w:cs="Times New Roman"/>
          <w:b/>
          <w:spacing w:val="2"/>
          <w:sz w:val="24"/>
          <w:szCs w:val="24"/>
        </w:rPr>
        <w:t xml:space="preserve"> M</w:t>
      </w:r>
      <w:r w:rsidR="00336094" w:rsidRPr="00690549">
        <w:rPr>
          <w:rFonts w:ascii="Times New Roman" w:eastAsia="Arial" w:hAnsi="Times New Roman" w:cs="Times New Roman"/>
          <w:b/>
          <w:spacing w:val="2"/>
          <w:sz w:val="24"/>
          <w:szCs w:val="24"/>
        </w:rPr>
        <w:t>easures No. 1) Determination 2020</w:t>
      </w:r>
    </w:p>
    <w:p w:rsidR="00C725B9" w:rsidRPr="00690549" w:rsidRDefault="00C725B9">
      <w:pPr>
        <w:spacing w:before="13" w:after="0" w:line="240" w:lineRule="exact"/>
        <w:rPr>
          <w:rFonts w:ascii="Times New Roman" w:hAnsi="Times New Roman" w:cs="Times New Roman"/>
          <w:sz w:val="24"/>
          <w:szCs w:val="24"/>
        </w:rPr>
      </w:pPr>
    </w:p>
    <w:p w:rsidR="00340DD7" w:rsidRPr="00690549" w:rsidRDefault="007B7F6C" w:rsidP="00FC4B26">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Authority</w:t>
      </w:r>
    </w:p>
    <w:p w:rsidR="00340DD7" w:rsidRPr="00690549" w:rsidRDefault="007B7F6C" w:rsidP="00FC4B26">
      <w:pPr>
        <w:spacing w:before="32" w:after="0" w:line="239" w:lineRule="auto"/>
        <w:ind w:right="48"/>
        <w:rPr>
          <w:rFonts w:ascii="Times New Roman" w:eastAsia="Arial" w:hAnsi="Times New Roman" w:cs="Times New Roman"/>
          <w:sz w:val="24"/>
          <w:szCs w:val="24"/>
        </w:rPr>
      </w:pPr>
      <w:r w:rsidRPr="00690549">
        <w:rPr>
          <w:rFonts w:ascii="Times New Roman" w:eastAsia="Arial" w:hAnsi="Times New Roman" w:cs="Times New Roman"/>
          <w:spacing w:val="-1"/>
          <w:sz w:val="24"/>
          <w:szCs w:val="24"/>
        </w:rPr>
        <w:t>S</w:t>
      </w:r>
      <w:r w:rsidRPr="00690549">
        <w:rPr>
          <w:rFonts w:ascii="Times New Roman" w:eastAsia="Arial" w:hAnsi="Times New Roman" w:cs="Times New Roman"/>
          <w:sz w:val="24"/>
          <w:szCs w:val="24"/>
        </w:rPr>
        <w:t>ecti</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6</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1"/>
          <w:sz w:val="24"/>
          <w:szCs w:val="24"/>
        </w:rPr>
        <w:t>C</w:t>
      </w:r>
      <w:r w:rsidR="00346C02">
        <w:rPr>
          <w:rFonts w:ascii="Times New Roman" w:eastAsia="Arial" w:hAnsi="Times New Roman" w:cs="Times New Roman"/>
          <w:sz w:val="24"/>
          <w:szCs w:val="24"/>
        </w:rPr>
        <w:t>ocos (Keeling) Islands</w:t>
      </w:r>
      <w:r w:rsidRPr="00690549">
        <w:rPr>
          <w:rFonts w:ascii="Times New Roman" w:eastAsia="Arial" w:hAnsi="Times New Roman" w:cs="Times New Roman"/>
          <w:sz w:val="24"/>
          <w:szCs w:val="24"/>
        </w:rPr>
        <w:t xml:space="preserve"> </w:t>
      </w:r>
      <w:r w:rsidRPr="00690549">
        <w:rPr>
          <w:rFonts w:ascii="Times New Roman" w:eastAsia="Arial" w:hAnsi="Times New Roman" w:cs="Times New Roman"/>
          <w:spacing w:val="-1"/>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3"/>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ces</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Or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nce 2016</w:t>
      </w:r>
      <w:r w:rsidRPr="00690549">
        <w:rPr>
          <w:rFonts w:ascii="Times New Roman" w:eastAsia="Arial" w:hAnsi="Times New Roman" w:cs="Times New Roman"/>
          <w:i/>
          <w:spacing w:val="-2"/>
          <w:sz w:val="24"/>
          <w:szCs w:val="24"/>
        </w:rPr>
        <w:t xml:space="preserve"> </w:t>
      </w:r>
      <w:r w:rsidRPr="00690549">
        <w:rPr>
          <w:rFonts w:ascii="Times New Roman" w:eastAsia="Arial" w:hAnsi="Times New Roman" w:cs="Times New Roman"/>
          <w:spacing w:val="1"/>
          <w:sz w:val="24"/>
          <w:szCs w:val="24"/>
        </w:rPr>
        <w:t>(</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w:t>
      </w:r>
      <w:r w:rsidRPr="00690549">
        <w:rPr>
          <w:rFonts w:ascii="Times New Roman" w:eastAsia="Arial" w:hAnsi="Times New Roman" w:cs="Times New Roman"/>
          <w:spacing w:val="-1"/>
          <w:sz w:val="24"/>
          <w:szCs w:val="24"/>
        </w:rPr>
        <w:t>e</w:t>
      </w:r>
      <w:r w:rsidR="00B6185C" w:rsidRPr="00690549">
        <w:rPr>
          <w:rFonts w:ascii="Times New Roman" w:eastAsia="Arial" w:hAnsi="Times New Roman" w:cs="Times New Roman"/>
          <w:spacing w:val="-1"/>
          <w:sz w:val="24"/>
          <w:szCs w:val="24"/>
        </w:rPr>
        <w:t>)</w:t>
      </w:r>
      <w:r w:rsidRPr="00690549">
        <w:rPr>
          <w:rFonts w:ascii="Times New Roman" w:eastAsia="Arial" w:hAnsi="Times New Roman" w:cs="Times New Roman"/>
          <w:sz w:val="24"/>
          <w:szCs w:val="24"/>
        </w:rPr>
        <w:t xml:space="preserve"> </w:t>
      </w:r>
      <w:proofErr w:type="spellStart"/>
      <w:r w:rsidRPr="00690549">
        <w:rPr>
          <w:rFonts w:ascii="Times New Roman" w:eastAsia="Arial" w:hAnsi="Times New Roman" w:cs="Times New Roman"/>
          <w:sz w:val="24"/>
          <w:szCs w:val="24"/>
        </w:rPr>
        <w:t>a</w:t>
      </w:r>
      <w:r w:rsidRPr="00690549">
        <w:rPr>
          <w:rFonts w:ascii="Times New Roman" w:eastAsia="Arial" w:hAnsi="Times New Roman" w:cs="Times New Roman"/>
          <w:spacing w:val="-1"/>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ses</w:t>
      </w:r>
      <w:proofErr w:type="spellEnd"/>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dmi</w:t>
      </w:r>
      <w:r w:rsidRPr="00690549">
        <w:rPr>
          <w:rFonts w:ascii="Times New Roman" w:eastAsia="Arial" w:hAnsi="Times New Roman" w:cs="Times New Roman"/>
          <w:spacing w:val="-1"/>
          <w:sz w:val="24"/>
          <w:szCs w:val="24"/>
        </w:rPr>
        <w:t>ni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2"/>
          <w:sz w:val="24"/>
          <w:szCs w:val="24"/>
        </w:rPr>
        <w:t>r</w:t>
      </w:r>
      <w:r w:rsidRPr="00690549">
        <w:rPr>
          <w:rFonts w:ascii="Times New Roman" w:eastAsia="Arial" w:hAnsi="Times New Roman" w:cs="Times New Roman"/>
          <w:sz w:val="24"/>
          <w:szCs w:val="24"/>
        </w:rPr>
        <w:t xml:space="preserve">ator </w:t>
      </w:r>
      <w:r w:rsidR="001A5769" w:rsidRPr="00690549">
        <w:rPr>
          <w:rFonts w:ascii="Times New Roman" w:eastAsia="Arial" w:hAnsi="Times New Roman" w:cs="Times New Roman"/>
          <w:sz w:val="24"/>
          <w:szCs w:val="24"/>
        </w:rPr>
        <w:t xml:space="preserve">of </w:t>
      </w:r>
      <w:r w:rsidR="007C5C24" w:rsidRPr="00690549">
        <w:rPr>
          <w:rFonts w:ascii="Times New Roman" w:eastAsia="Arial" w:hAnsi="Times New Roman" w:cs="Times New Roman"/>
          <w:sz w:val="24"/>
          <w:szCs w:val="24"/>
        </w:rPr>
        <w:t xml:space="preserve">the </w:t>
      </w:r>
      <w:r w:rsidR="00B6185C" w:rsidRPr="00690549">
        <w:rPr>
          <w:rFonts w:ascii="Times New Roman" w:eastAsia="Arial" w:hAnsi="Times New Roman" w:cs="Times New Roman"/>
          <w:sz w:val="24"/>
          <w:szCs w:val="24"/>
        </w:rPr>
        <w:t xml:space="preserve">Territory of </w:t>
      </w:r>
      <w:r w:rsidR="001A5769" w:rsidRPr="00690549">
        <w:rPr>
          <w:rFonts w:ascii="Times New Roman" w:eastAsia="Arial" w:hAnsi="Times New Roman" w:cs="Times New Roman"/>
          <w:sz w:val="24"/>
          <w:szCs w:val="24"/>
        </w:rPr>
        <w:t>C</w:t>
      </w:r>
      <w:r w:rsidR="00346C02">
        <w:rPr>
          <w:rFonts w:ascii="Times New Roman" w:eastAsia="Arial" w:hAnsi="Times New Roman" w:cs="Times New Roman"/>
          <w:sz w:val="24"/>
          <w:szCs w:val="24"/>
        </w:rPr>
        <w:t>ocos (Keeling) Islands</w:t>
      </w:r>
      <w:r w:rsidR="001A5769" w:rsidRPr="00690549">
        <w:rPr>
          <w:rFonts w:ascii="Times New Roman" w:eastAsia="Arial" w:hAnsi="Times New Roman" w:cs="Times New Roman"/>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2"/>
          <w:sz w:val="24"/>
          <w:szCs w:val="24"/>
        </w:rPr>
        <w:t>k</w:t>
      </w:r>
      <w:r w:rsidRPr="00690549">
        <w:rPr>
          <w:rFonts w:ascii="Times New Roman" w:eastAsia="Arial" w:hAnsi="Times New Roman" w:cs="Times New Roman"/>
          <w:sz w:val="24"/>
          <w:szCs w:val="24"/>
        </w:rPr>
        <w:t>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pro</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3"/>
          <w:sz w:val="24"/>
          <w:szCs w:val="24"/>
        </w:rPr>
        <w:t>f</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r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 su</w:t>
      </w:r>
      <w:r w:rsidRPr="00690549">
        <w:rPr>
          <w:rFonts w:ascii="Times New Roman" w:eastAsia="Arial" w:hAnsi="Times New Roman" w:cs="Times New Roman"/>
          <w:spacing w:val="-1"/>
          <w:sz w:val="24"/>
          <w:szCs w:val="24"/>
        </w:rPr>
        <w:t>p</w:t>
      </w:r>
      <w:r w:rsidRPr="00690549">
        <w:rPr>
          <w:rFonts w:ascii="Times New Roman" w:eastAsia="Arial" w:hAnsi="Times New Roman" w:cs="Times New Roman"/>
          <w:sz w:val="24"/>
          <w:szCs w:val="24"/>
        </w:rPr>
        <w:t>p</w:t>
      </w:r>
      <w:r w:rsidRPr="00690549">
        <w:rPr>
          <w:rFonts w:ascii="Times New Roman" w:eastAsia="Arial" w:hAnsi="Times New Roman" w:cs="Times New Roman"/>
          <w:spacing w:val="-1"/>
          <w:sz w:val="24"/>
          <w:szCs w:val="24"/>
        </w:rPr>
        <w:t>l</w:t>
      </w:r>
      <w:r w:rsidRPr="00690549">
        <w:rPr>
          <w:rFonts w:ascii="Times New Roman" w:eastAsia="Arial" w:hAnsi="Times New Roman" w:cs="Times New Roman"/>
          <w:sz w:val="24"/>
          <w:szCs w:val="24"/>
        </w:rPr>
        <w:t>y</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f</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2"/>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 xml:space="preserve">ces </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 xml:space="preserve">n </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e</w:t>
      </w:r>
      <w:r w:rsidRPr="00690549">
        <w:rPr>
          <w:rFonts w:ascii="Times New Roman" w:eastAsia="Arial" w:hAnsi="Times New Roman" w:cs="Times New Roman"/>
          <w:spacing w:val="-1"/>
          <w:sz w:val="24"/>
          <w:szCs w:val="24"/>
        </w:rPr>
        <w:t>l</w:t>
      </w:r>
      <w:r w:rsidRPr="00690549">
        <w:rPr>
          <w:rFonts w:ascii="Times New Roman" w:eastAsia="Arial" w:hAnsi="Times New Roman" w:cs="Times New Roman"/>
          <w:sz w:val="24"/>
          <w:szCs w:val="24"/>
        </w:rPr>
        <w:t>ati</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z w:val="24"/>
          <w:szCs w:val="24"/>
        </w:rPr>
        <w:t>n</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amo</w:t>
      </w:r>
      <w:r w:rsidRPr="00690549">
        <w:rPr>
          <w:rFonts w:ascii="Times New Roman" w:eastAsia="Arial" w:hAnsi="Times New Roman" w:cs="Times New Roman"/>
          <w:spacing w:val="-3"/>
          <w:sz w:val="24"/>
          <w:szCs w:val="24"/>
        </w:rPr>
        <w:t>n</w:t>
      </w:r>
      <w:r w:rsidRPr="00690549">
        <w:rPr>
          <w:rFonts w:ascii="Times New Roman" w:eastAsia="Arial" w:hAnsi="Times New Roman" w:cs="Times New Roman"/>
          <w:sz w:val="24"/>
          <w:szCs w:val="24"/>
        </w:rPr>
        <w:t>g</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o</w:t>
      </w:r>
      <w:r w:rsidRPr="00690549">
        <w:rPr>
          <w:rFonts w:ascii="Times New Roman" w:eastAsia="Arial" w:hAnsi="Times New Roman" w:cs="Times New Roman"/>
          <w:spacing w:val="-2"/>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r</w:t>
      </w:r>
      <w:r w:rsidR="006F06A5">
        <w:rPr>
          <w:rFonts w:ascii="Times New Roman" w:eastAsia="Arial" w:hAnsi="Times New Roman" w:cs="Times New Roman"/>
          <w:sz w:val="24"/>
          <w:szCs w:val="24"/>
        </w:rPr>
        <w:t>s</w:t>
      </w:r>
      <w:r w:rsidRPr="00690549">
        <w:rPr>
          <w:rFonts w:ascii="Times New Roman" w:eastAsia="Arial" w:hAnsi="Times New Roman" w:cs="Times New Roman"/>
          <w:sz w:val="24"/>
          <w:szCs w:val="24"/>
        </w:rPr>
        <w:t>,</w:t>
      </w:r>
      <w:r w:rsidRPr="00690549">
        <w:rPr>
          <w:rFonts w:ascii="Times New Roman" w:eastAsia="Arial" w:hAnsi="Times New Roman" w:cs="Times New Roman"/>
          <w:spacing w:val="2"/>
          <w:sz w:val="24"/>
          <w:szCs w:val="24"/>
        </w:rPr>
        <w:t xml:space="preserve"> </w:t>
      </w:r>
      <w:r w:rsidR="00650350" w:rsidRPr="00690549">
        <w:rPr>
          <w:rFonts w:ascii="Times New Roman" w:eastAsia="Arial" w:hAnsi="Times New Roman" w:cs="Times New Roman"/>
          <w:spacing w:val="2"/>
          <w:sz w:val="24"/>
          <w:szCs w:val="24"/>
        </w:rPr>
        <w:t xml:space="preserve">the supply of </w:t>
      </w:r>
      <w:r w:rsidR="00667C49" w:rsidRPr="00690549">
        <w:rPr>
          <w:rFonts w:ascii="Times New Roman" w:eastAsia="Arial" w:hAnsi="Times New Roman" w:cs="Times New Roman"/>
          <w:spacing w:val="-3"/>
          <w:sz w:val="24"/>
          <w:szCs w:val="24"/>
        </w:rPr>
        <w:t xml:space="preserve">electricity </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1"/>
          <w:sz w:val="24"/>
          <w:szCs w:val="24"/>
        </w:rPr>
        <w:t xml:space="preserve"> </w:t>
      </w:r>
      <w:r w:rsidR="00346C02">
        <w:rPr>
          <w:rFonts w:ascii="Times New Roman" w:eastAsia="Arial" w:hAnsi="Times New Roman" w:cs="Times New Roman"/>
          <w:sz w:val="24"/>
          <w:szCs w:val="24"/>
        </w:rPr>
        <w:t>Cocos (Keeling)</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3"/>
          <w:sz w:val="24"/>
          <w:szCs w:val="24"/>
        </w:rPr>
        <w:t>l</w:t>
      </w:r>
      <w:r w:rsidRPr="00690549">
        <w:rPr>
          <w:rFonts w:ascii="Times New Roman" w:eastAsia="Arial" w:hAnsi="Times New Roman" w:cs="Times New Roman"/>
          <w:sz w:val="24"/>
          <w:szCs w:val="24"/>
        </w:rPr>
        <w:t>a</w:t>
      </w:r>
      <w:r w:rsidRPr="00690549">
        <w:rPr>
          <w:rFonts w:ascii="Times New Roman" w:eastAsia="Arial" w:hAnsi="Times New Roman" w:cs="Times New Roman"/>
          <w:spacing w:val="-1"/>
          <w:sz w:val="24"/>
          <w:szCs w:val="24"/>
        </w:rPr>
        <w:t>n</w:t>
      </w:r>
      <w:r w:rsidRPr="00690549">
        <w:rPr>
          <w:rFonts w:ascii="Times New Roman" w:eastAsia="Arial" w:hAnsi="Times New Roman" w:cs="Times New Roman"/>
          <w:sz w:val="24"/>
          <w:szCs w:val="24"/>
        </w:rPr>
        <w:t>d</w:t>
      </w:r>
      <w:r w:rsidR="00346C02">
        <w:rPr>
          <w:rFonts w:ascii="Times New Roman" w:eastAsia="Arial" w:hAnsi="Times New Roman" w:cs="Times New Roman"/>
          <w:sz w:val="24"/>
          <w:szCs w:val="24"/>
        </w:rPr>
        <w:t>s</w:t>
      </w:r>
      <w:r w:rsidRPr="00690549">
        <w:rPr>
          <w:rFonts w:ascii="Times New Roman" w:eastAsia="Arial" w:hAnsi="Times New Roman" w:cs="Times New Roman"/>
          <w:sz w:val="24"/>
          <w:szCs w:val="24"/>
        </w:rPr>
        <w:t>.</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S</w:t>
      </w:r>
      <w:r w:rsidRPr="00690549">
        <w:rPr>
          <w:rFonts w:ascii="Times New Roman" w:eastAsia="Arial" w:hAnsi="Times New Roman" w:cs="Times New Roman"/>
          <w:sz w:val="24"/>
          <w:szCs w:val="24"/>
        </w:rPr>
        <w:t>e</w:t>
      </w:r>
      <w:r w:rsidRPr="00690549">
        <w:rPr>
          <w:rFonts w:ascii="Times New Roman" w:eastAsia="Arial" w:hAnsi="Times New Roman" w:cs="Times New Roman"/>
          <w:spacing w:val="-3"/>
          <w:sz w:val="24"/>
          <w:szCs w:val="24"/>
        </w:rPr>
        <w:t>c</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7</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Or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pro</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 xml:space="preserve">t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pacing w:val="-3"/>
          <w:sz w:val="24"/>
          <w:szCs w:val="24"/>
        </w:rPr>
        <w:t>d</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tr</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00667C49" w:rsidRPr="00690549">
        <w:rPr>
          <w:rFonts w:ascii="Times New Roman" w:eastAsia="Arial" w:hAnsi="Times New Roman" w:cs="Times New Roman"/>
          <w:spacing w:val="-1"/>
          <w:sz w:val="24"/>
          <w:szCs w:val="24"/>
        </w:rPr>
        <w:t>may</w:t>
      </w:r>
      <w:r w:rsidRPr="00690549">
        <w:rPr>
          <w:rFonts w:ascii="Times New Roman" w:eastAsia="Arial" w:hAnsi="Times New Roman" w:cs="Times New Roman"/>
          <w:sz w:val="24"/>
          <w:szCs w:val="24"/>
        </w:rPr>
        <w:t xml:space="preserve"> impose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a</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f</w:t>
      </w:r>
      <w:r w:rsidRPr="00690549">
        <w:rPr>
          <w:rFonts w:ascii="Times New Roman" w:eastAsia="Arial" w:hAnsi="Times New Roman" w:cs="Times New Roman"/>
          <w:sz w:val="24"/>
          <w:szCs w:val="24"/>
        </w:rPr>
        <w:t>ee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f</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w:t>
      </w:r>
      <w:r w:rsidRPr="00690549">
        <w:rPr>
          <w:rFonts w:ascii="Times New Roman" w:eastAsia="Arial" w:hAnsi="Times New Roman" w:cs="Times New Roman"/>
          <w:spacing w:val="-2"/>
          <w:sz w:val="24"/>
          <w:szCs w:val="24"/>
        </w:rPr>
        <w:t>r</w:t>
      </w:r>
      <w:r w:rsidRPr="00690549">
        <w:rPr>
          <w:rFonts w:ascii="Times New Roman" w:eastAsia="Arial" w:hAnsi="Times New Roman" w:cs="Times New Roman"/>
          <w:sz w:val="24"/>
          <w:szCs w:val="24"/>
        </w:rPr>
        <w:t>o</w:t>
      </w:r>
      <w:r w:rsidRPr="00690549">
        <w:rPr>
          <w:rFonts w:ascii="Times New Roman" w:eastAsia="Arial" w:hAnsi="Times New Roman" w:cs="Times New Roman"/>
          <w:spacing w:val="-3"/>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 of</w:t>
      </w:r>
      <w:r w:rsidRPr="00690549">
        <w:rPr>
          <w:rFonts w:ascii="Times New Roman" w:eastAsia="Arial" w:hAnsi="Times New Roman" w:cs="Times New Roman"/>
          <w:spacing w:val="4"/>
          <w:sz w:val="24"/>
          <w:szCs w:val="24"/>
        </w:rPr>
        <w:t xml:space="preserve"> </w:t>
      </w:r>
      <w:r w:rsidRPr="00690549">
        <w:rPr>
          <w:rFonts w:ascii="Times New Roman" w:eastAsia="Arial" w:hAnsi="Times New Roman" w:cs="Times New Roman"/>
          <w:sz w:val="24"/>
          <w:szCs w:val="24"/>
        </w:rPr>
        <w:t>s</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z w:val="24"/>
          <w:szCs w:val="24"/>
        </w:rPr>
        <w:t>ch uti</w:t>
      </w:r>
      <w:r w:rsidRPr="00690549">
        <w:rPr>
          <w:rFonts w:ascii="Times New Roman" w:eastAsia="Arial" w:hAnsi="Times New Roman" w:cs="Times New Roman"/>
          <w:spacing w:val="-1"/>
          <w:sz w:val="24"/>
          <w:szCs w:val="24"/>
        </w:rPr>
        <w:t>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2"/>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00667C49" w:rsidRPr="00690549">
        <w:rPr>
          <w:rFonts w:ascii="Times New Roman" w:eastAsia="Arial" w:hAnsi="Times New Roman" w:cs="Times New Roman"/>
          <w:sz w:val="24"/>
          <w:szCs w:val="24"/>
        </w:rPr>
        <w:t>ces, determined through a legislative instrument.</w:t>
      </w:r>
    </w:p>
    <w:p w:rsidR="00340DD7" w:rsidRPr="00690549" w:rsidRDefault="00340DD7">
      <w:pPr>
        <w:spacing w:before="14" w:after="0" w:line="240" w:lineRule="exact"/>
        <w:rPr>
          <w:rFonts w:ascii="Times New Roman" w:hAnsi="Times New Roman" w:cs="Times New Roman"/>
          <w:sz w:val="24"/>
          <w:szCs w:val="24"/>
        </w:rPr>
      </w:pPr>
    </w:p>
    <w:p w:rsidR="00340DD7" w:rsidRPr="00690549" w:rsidRDefault="007B7F6C" w:rsidP="00690549">
      <w:pPr>
        <w:spacing w:after="0" w:line="248" w:lineRule="exact"/>
        <w:ind w:right="-20"/>
        <w:rPr>
          <w:rFonts w:ascii="Times New Roman" w:eastAsia="Arial" w:hAnsi="Times New Roman" w:cs="Times New Roman"/>
          <w:sz w:val="24"/>
          <w:szCs w:val="24"/>
        </w:rPr>
      </w:pPr>
      <w:r w:rsidRPr="00690549">
        <w:rPr>
          <w:rFonts w:ascii="Times New Roman" w:eastAsia="Arial" w:hAnsi="Times New Roman" w:cs="Times New Roman"/>
          <w:i/>
          <w:sz w:val="24"/>
          <w:szCs w:val="24"/>
          <w:u w:val="single"/>
        </w:rPr>
        <w:t xml:space="preserve">Purpose and </w:t>
      </w:r>
      <w:r w:rsidR="006F06A5">
        <w:rPr>
          <w:rFonts w:ascii="Times New Roman" w:eastAsia="Arial" w:hAnsi="Times New Roman" w:cs="Times New Roman"/>
          <w:i/>
          <w:sz w:val="24"/>
          <w:szCs w:val="24"/>
          <w:u w:val="single"/>
        </w:rPr>
        <w:t>o</w:t>
      </w:r>
      <w:r w:rsidRPr="00690549">
        <w:rPr>
          <w:rFonts w:ascii="Times New Roman" w:eastAsia="Arial" w:hAnsi="Times New Roman" w:cs="Times New Roman"/>
          <w:i/>
          <w:sz w:val="24"/>
          <w:szCs w:val="24"/>
          <w:u w:val="single"/>
        </w:rPr>
        <w:t>peration</w:t>
      </w:r>
    </w:p>
    <w:p w:rsidR="00340DD7" w:rsidRPr="00690549" w:rsidRDefault="00340DD7">
      <w:pPr>
        <w:spacing w:before="6" w:after="0" w:line="220" w:lineRule="exact"/>
        <w:rPr>
          <w:rFonts w:ascii="Times New Roman" w:hAnsi="Times New Roman" w:cs="Times New Roman"/>
          <w:sz w:val="24"/>
          <w:szCs w:val="24"/>
        </w:rPr>
      </w:pPr>
    </w:p>
    <w:p w:rsidR="00AD69E8" w:rsidRPr="00690549" w:rsidRDefault="00AD69E8"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The C</w:t>
      </w:r>
      <w:r w:rsidR="00346C02">
        <w:rPr>
          <w:rFonts w:ascii="Times New Roman" w:eastAsia="Arial" w:hAnsi="Times New Roman" w:cs="Times New Roman"/>
          <w:spacing w:val="-1"/>
          <w:sz w:val="24"/>
          <w:szCs w:val="24"/>
        </w:rPr>
        <w:t>ocos (Keeling)</w:t>
      </w:r>
      <w:r w:rsidRPr="00690549">
        <w:rPr>
          <w:rFonts w:ascii="Times New Roman" w:eastAsia="Arial" w:hAnsi="Times New Roman" w:cs="Times New Roman"/>
          <w:spacing w:val="-1"/>
          <w:sz w:val="24"/>
          <w:szCs w:val="24"/>
        </w:rPr>
        <w:t xml:space="preserve"> Island</w:t>
      </w:r>
      <w:r w:rsidR="00346C02">
        <w:rPr>
          <w:rFonts w:ascii="Times New Roman" w:eastAsia="Arial" w:hAnsi="Times New Roman" w:cs="Times New Roman"/>
          <w:spacing w:val="-1"/>
          <w:sz w:val="24"/>
          <w:szCs w:val="24"/>
        </w:rPr>
        <w:t>s</w:t>
      </w:r>
      <w:r w:rsidRPr="00690549">
        <w:rPr>
          <w:rFonts w:ascii="Times New Roman" w:eastAsia="Arial" w:hAnsi="Times New Roman" w:cs="Times New Roman"/>
          <w:spacing w:val="-1"/>
          <w:sz w:val="24"/>
          <w:szCs w:val="24"/>
        </w:rPr>
        <w:t xml:space="preserve"> Utilities and Services (Electricity Supply and Services Fees) Amendment (20</w:t>
      </w:r>
      <w:r w:rsidR="00336094" w:rsidRPr="00690549">
        <w:rPr>
          <w:rFonts w:ascii="Times New Roman" w:eastAsia="Arial" w:hAnsi="Times New Roman" w:cs="Times New Roman"/>
          <w:spacing w:val="-1"/>
          <w:sz w:val="24"/>
          <w:szCs w:val="24"/>
        </w:rPr>
        <w:t>20</w:t>
      </w:r>
      <w:r w:rsidRPr="00690549">
        <w:rPr>
          <w:rFonts w:ascii="Times New Roman" w:eastAsia="Arial" w:hAnsi="Times New Roman" w:cs="Times New Roman"/>
          <w:spacing w:val="-1"/>
          <w:sz w:val="24"/>
          <w:szCs w:val="24"/>
        </w:rPr>
        <w:t xml:space="preserve"> Measures No. 1) Determination 20</w:t>
      </w:r>
      <w:r w:rsidR="00336094" w:rsidRPr="00690549">
        <w:rPr>
          <w:rFonts w:ascii="Times New Roman" w:eastAsia="Arial" w:hAnsi="Times New Roman" w:cs="Times New Roman"/>
          <w:spacing w:val="-1"/>
          <w:sz w:val="24"/>
          <w:szCs w:val="24"/>
        </w:rPr>
        <w:t>20</w:t>
      </w:r>
      <w:r w:rsidRPr="00690549">
        <w:rPr>
          <w:rFonts w:ascii="Times New Roman" w:eastAsia="Arial" w:hAnsi="Times New Roman" w:cs="Times New Roman"/>
          <w:spacing w:val="-1"/>
          <w:sz w:val="24"/>
          <w:szCs w:val="24"/>
        </w:rPr>
        <w:t xml:space="preserve"> (</w:t>
      </w:r>
      <w:r w:rsidR="005D4C15" w:rsidRPr="00690549">
        <w:rPr>
          <w:rFonts w:ascii="Times New Roman" w:eastAsia="Arial" w:hAnsi="Times New Roman" w:cs="Times New Roman"/>
          <w:spacing w:val="-1"/>
          <w:sz w:val="24"/>
          <w:szCs w:val="24"/>
        </w:rPr>
        <w:t>the</w:t>
      </w:r>
      <w:r w:rsidR="00B21B16" w:rsidRPr="00690549">
        <w:rPr>
          <w:rFonts w:ascii="Times New Roman" w:eastAsia="Arial" w:hAnsi="Times New Roman" w:cs="Times New Roman"/>
          <w:spacing w:val="-1"/>
          <w:sz w:val="24"/>
          <w:szCs w:val="24"/>
        </w:rPr>
        <w:t xml:space="preserve"> </w:t>
      </w:r>
      <w:r w:rsidR="00C725B9"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 xml:space="preserve">Determination) amends the </w:t>
      </w:r>
      <w:r w:rsidR="007B7F6C" w:rsidRPr="00690549">
        <w:rPr>
          <w:rFonts w:ascii="Times New Roman" w:eastAsia="Arial" w:hAnsi="Times New Roman" w:cs="Times New Roman"/>
          <w:spacing w:val="-1"/>
          <w:sz w:val="24"/>
          <w:szCs w:val="24"/>
        </w:rPr>
        <w:t>C</w:t>
      </w:r>
      <w:r w:rsidR="00346C02">
        <w:rPr>
          <w:rFonts w:ascii="Times New Roman" w:eastAsia="Arial" w:hAnsi="Times New Roman" w:cs="Times New Roman"/>
          <w:spacing w:val="-1"/>
          <w:sz w:val="24"/>
          <w:szCs w:val="24"/>
        </w:rPr>
        <w:t>ocos (Keeling)</w:t>
      </w:r>
      <w:r w:rsidR="007B7F6C" w:rsidRPr="00690549">
        <w:rPr>
          <w:rFonts w:ascii="Times New Roman" w:eastAsia="Arial" w:hAnsi="Times New Roman" w:cs="Times New Roman"/>
          <w:spacing w:val="-1"/>
          <w:sz w:val="24"/>
          <w:szCs w:val="24"/>
        </w:rPr>
        <w:t xml:space="preserve"> Island</w:t>
      </w:r>
      <w:r w:rsidR="00346C02">
        <w:rPr>
          <w:rFonts w:ascii="Times New Roman" w:eastAsia="Arial" w:hAnsi="Times New Roman" w:cs="Times New Roman"/>
          <w:spacing w:val="-1"/>
          <w:sz w:val="24"/>
          <w:szCs w:val="24"/>
        </w:rPr>
        <w:t>s</w:t>
      </w:r>
      <w:r w:rsidR="007B7F6C" w:rsidRPr="00690549">
        <w:rPr>
          <w:rFonts w:ascii="Times New Roman" w:eastAsia="Arial" w:hAnsi="Times New Roman" w:cs="Times New Roman"/>
          <w:spacing w:val="-1"/>
          <w:sz w:val="24"/>
          <w:szCs w:val="24"/>
        </w:rPr>
        <w:t xml:space="preserve"> Utilities and Services (Electricity Supply and Services Fees) Determination</w:t>
      </w:r>
      <w:r w:rsidR="006F06A5">
        <w:rPr>
          <w:rFonts w:ascii="Times New Roman" w:eastAsia="Arial" w:hAnsi="Times New Roman" w:cs="Times New Roman"/>
          <w:spacing w:val="-1"/>
          <w:sz w:val="24"/>
          <w:szCs w:val="24"/>
        </w:rPr>
        <w:t> </w:t>
      </w:r>
      <w:r w:rsidR="007B7F6C" w:rsidRPr="00690549">
        <w:rPr>
          <w:rFonts w:ascii="Times New Roman" w:eastAsia="Arial" w:hAnsi="Times New Roman" w:cs="Times New Roman"/>
          <w:spacing w:val="-1"/>
          <w:sz w:val="24"/>
          <w:szCs w:val="24"/>
        </w:rPr>
        <w:t>2016 (</w:t>
      </w:r>
      <w:r w:rsidR="00603D17" w:rsidRPr="00690549">
        <w:rPr>
          <w:rFonts w:ascii="Times New Roman" w:eastAsia="Arial" w:hAnsi="Times New Roman" w:cs="Times New Roman"/>
          <w:spacing w:val="-1"/>
          <w:sz w:val="24"/>
          <w:szCs w:val="24"/>
        </w:rPr>
        <w:t xml:space="preserve">the </w:t>
      </w:r>
      <w:r w:rsidRPr="00690549">
        <w:rPr>
          <w:rFonts w:ascii="Times New Roman" w:eastAsia="Arial" w:hAnsi="Times New Roman" w:cs="Times New Roman"/>
          <w:spacing w:val="-1"/>
          <w:sz w:val="24"/>
          <w:szCs w:val="24"/>
        </w:rPr>
        <w:t xml:space="preserve">Principal </w:t>
      </w:r>
      <w:r w:rsidR="007B7F6C" w:rsidRPr="00690549">
        <w:rPr>
          <w:rFonts w:ascii="Times New Roman" w:eastAsia="Arial" w:hAnsi="Times New Roman" w:cs="Times New Roman"/>
          <w:spacing w:val="-1"/>
          <w:sz w:val="24"/>
          <w:szCs w:val="24"/>
        </w:rPr>
        <w:t>Determination)</w:t>
      </w:r>
      <w:r w:rsidRPr="00690549">
        <w:rPr>
          <w:rFonts w:ascii="Times New Roman" w:eastAsia="Arial" w:hAnsi="Times New Roman" w:cs="Times New Roman"/>
          <w:spacing w:val="-1"/>
          <w:sz w:val="24"/>
          <w:szCs w:val="24"/>
        </w:rPr>
        <w:t>.</w:t>
      </w:r>
    </w:p>
    <w:p w:rsidR="00D81F36" w:rsidRPr="00690549" w:rsidRDefault="00D81F36" w:rsidP="00690549">
      <w:pPr>
        <w:spacing w:before="32" w:after="0" w:line="239" w:lineRule="auto"/>
        <w:ind w:right="48"/>
        <w:rPr>
          <w:rFonts w:ascii="Times New Roman" w:eastAsia="Arial" w:hAnsi="Times New Roman" w:cs="Times New Roman"/>
          <w:spacing w:val="-1"/>
          <w:sz w:val="24"/>
          <w:szCs w:val="24"/>
        </w:rPr>
      </w:pPr>
    </w:p>
    <w:p w:rsidR="005D4C15" w:rsidRPr="00690549" w:rsidRDefault="00AD69E8"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The</w:t>
      </w:r>
      <w:r w:rsidR="00C725B9" w:rsidRPr="00690549">
        <w:rPr>
          <w:rFonts w:ascii="Times New Roman" w:eastAsia="Arial" w:hAnsi="Times New Roman" w:cs="Times New Roman"/>
          <w:spacing w:val="-1"/>
          <w:sz w:val="24"/>
          <w:szCs w:val="24"/>
        </w:rPr>
        <w:t xml:space="preserve"> </w:t>
      </w:r>
      <w:r w:rsidR="00B6185C"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Determination updates</w:t>
      </w:r>
      <w:r w:rsidR="007B7F6C" w:rsidRPr="00690549">
        <w:rPr>
          <w:rFonts w:ascii="Times New Roman" w:eastAsia="Arial" w:hAnsi="Times New Roman" w:cs="Times New Roman"/>
          <w:spacing w:val="-1"/>
          <w:sz w:val="24"/>
          <w:szCs w:val="24"/>
        </w:rPr>
        <w:t xml:space="preserve"> the fees payable </w:t>
      </w:r>
      <w:r w:rsidR="00E25B1F" w:rsidRPr="00690549">
        <w:rPr>
          <w:rFonts w:ascii="Times New Roman" w:eastAsia="Arial" w:hAnsi="Times New Roman" w:cs="Times New Roman"/>
          <w:spacing w:val="-1"/>
          <w:sz w:val="24"/>
          <w:szCs w:val="24"/>
        </w:rPr>
        <w:t>for</w:t>
      </w:r>
      <w:r w:rsidR="007B7F6C" w:rsidRPr="00690549">
        <w:rPr>
          <w:rFonts w:ascii="Times New Roman" w:eastAsia="Arial" w:hAnsi="Times New Roman" w:cs="Times New Roman"/>
          <w:spacing w:val="-1"/>
          <w:sz w:val="24"/>
          <w:szCs w:val="24"/>
        </w:rPr>
        <w:t xml:space="preserve"> the supply</w:t>
      </w:r>
      <w:r w:rsidR="0094242F" w:rsidRPr="00690549">
        <w:rPr>
          <w:rFonts w:ascii="Times New Roman" w:eastAsia="Arial" w:hAnsi="Times New Roman" w:cs="Times New Roman"/>
          <w:spacing w:val="-1"/>
          <w:sz w:val="24"/>
          <w:szCs w:val="24"/>
        </w:rPr>
        <w:t xml:space="preserve"> of electricity</w:t>
      </w:r>
      <w:r w:rsidR="007B7F6C" w:rsidRPr="00690549">
        <w:rPr>
          <w:rFonts w:ascii="Times New Roman" w:eastAsia="Arial" w:hAnsi="Times New Roman" w:cs="Times New Roman"/>
          <w:spacing w:val="-1"/>
          <w:sz w:val="24"/>
          <w:szCs w:val="24"/>
        </w:rPr>
        <w:t xml:space="preserve"> </w:t>
      </w:r>
      <w:r w:rsidR="00650350" w:rsidRPr="00690549">
        <w:rPr>
          <w:rFonts w:ascii="Times New Roman" w:eastAsia="Arial" w:hAnsi="Times New Roman" w:cs="Times New Roman"/>
          <w:spacing w:val="-1"/>
          <w:sz w:val="24"/>
          <w:szCs w:val="24"/>
        </w:rPr>
        <w:t xml:space="preserve">and </w:t>
      </w:r>
      <w:r w:rsidR="0094242F" w:rsidRPr="00690549">
        <w:rPr>
          <w:rFonts w:ascii="Times New Roman" w:eastAsia="Arial" w:hAnsi="Times New Roman" w:cs="Times New Roman"/>
          <w:spacing w:val="-1"/>
          <w:sz w:val="24"/>
          <w:szCs w:val="24"/>
        </w:rPr>
        <w:t>services related to electricity</w:t>
      </w:r>
      <w:r w:rsidR="00D75EC5" w:rsidRPr="00690549">
        <w:rPr>
          <w:rFonts w:ascii="Times New Roman" w:eastAsia="Arial" w:hAnsi="Times New Roman" w:cs="Times New Roman"/>
          <w:spacing w:val="-1"/>
          <w:sz w:val="24"/>
          <w:szCs w:val="24"/>
        </w:rPr>
        <w:t xml:space="preserve"> supply</w:t>
      </w:r>
      <w:r w:rsidR="0094242F" w:rsidRPr="00690549">
        <w:rPr>
          <w:rFonts w:ascii="Times New Roman" w:eastAsia="Arial" w:hAnsi="Times New Roman" w:cs="Times New Roman"/>
          <w:spacing w:val="-1"/>
          <w:sz w:val="24"/>
          <w:szCs w:val="24"/>
        </w:rPr>
        <w:t>.</w:t>
      </w:r>
      <w:r w:rsidRPr="00690549">
        <w:rPr>
          <w:rFonts w:ascii="Times New Roman" w:eastAsia="Arial" w:hAnsi="Times New Roman" w:cs="Times New Roman"/>
          <w:spacing w:val="-1"/>
          <w:sz w:val="24"/>
          <w:szCs w:val="24"/>
        </w:rPr>
        <w:t xml:space="preserve"> </w:t>
      </w:r>
    </w:p>
    <w:p w:rsidR="00603D17" w:rsidRPr="00690549" w:rsidRDefault="00603D17" w:rsidP="00F44AF1">
      <w:pPr>
        <w:spacing w:before="32" w:after="0" w:line="239" w:lineRule="auto"/>
        <w:ind w:left="100" w:right="68"/>
        <w:rPr>
          <w:rFonts w:ascii="Times New Roman" w:eastAsia="Arial" w:hAnsi="Times New Roman" w:cs="Times New Roman"/>
          <w:i/>
          <w:spacing w:val="1"/>
          <w:position w:val="-1"/>
          <w:sz w:val="24"/>
          <w:szCs w:val="24"/>
          <w:u w:val="single" w:color="000000"/>
        </w:rPr>
      </w:pPr>
    </w:p>
    <w:p w:rsidR="00340DD7" w:rsidRPr="00690549"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 xml:space="preserve">Impact and </w:t>
      </w:r>
      <w:r w:rsidR="006F06A5">
        <w:rPr>
          <w:rFonts w:ascii="Times New Roman" w:eastAsia="Arial" w:hAnsi="Times New Roman" w:cs="Times New Roman"/>
          <w:i/>
          <w:sz w:val="24"/>
          <w:szCs w:val="24"/>
          <w:u w:val="single"/>
        </w:rPr>
        <w:t>e</w:t>
      </w:r>
      <w:r w:rsidRPr="00690549">
        <w:rPr>
          <w:rFonts w:ascii="Times New Roman" w:eastAsia="Arial" w:hAnsi="Times New Roman" w:cs="Times New Roman"/>
          <w:i/>
          <w:sz w:val="24"/>
          <w:szCs w:val="24"/>
          <w:u w:val="single"/>
        </w:rPr>
        <w:t>ffect</w:t>
      </w:r>
    </w:p>
    <w:p w:rsidR="00340DD7" w:rsidRPr="00690549" w:rsidRDefault="00340DD7">
      <w:pPr>
        <w:spacing w:before="6" w:after="0" w:line="220" w:lineRule="exact"/>
        <w:rPr>
          <w:rFonts w:ascii="Times New Roman" w:hAnsi="Times New Roman" w:cs="Times New Roman"/>
          <w:sz w:val="24"/>
          <w:szCs w:val="24"/>
        </w:rPr>
      </w:pPr>
    </w:p>
    <w:p w:rsidR="005D4C15" w:rsidRPr="00690549" w:rsidRDefault="007B7F6C"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This </w:t>
      </w:r>
      <w:r w:rsidR="00144275"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 xml:space="preserve">Determination will not create any additional regulatory impact on consumers of </w:t>
      </w:r>
      <w:r w:rsidR="00D651E8" w:rsidRPr="00690549">
        <w:rPr>
          <w:rFonts w:ascii="Times New Roman" w:eastAsia="Arial" w:hAnsi="Times New Roman" w:cs="Times New Roman"/>
          <w:spacing w:val="-1"/>
          <w:sz w:val="24"/>
          <w:szCs w:val="24"/>
        </w:rPr>
        <w:t>electricity</w:t>
      </w:r>
      <w:r w:rsidRPr="00690549">
        <w:rPr>
          <w:rFonts w:ascii="Times New Roman" w:eastAsia="Arial" w:hAnsi="Times New Roman" w:cs="Times New Roman"/>
          <w:spacing w:val="-1"/>
          <w:sz w:val="24"/>
          <w:szCs w:val="24"/>
        </w:rPr>
        <w:t xml:space="preserve"> and </w:t>
      </w:r>
      <w:r w:rsidR="000C554C" w:rsidRPr="00690549">
        <w:rPr>
          <w:rFonts w:ascii="Times New Roman" w:eastAsia="Arial" w:hAnsi="Times New Roman" w:cs="Times New Roman"/>
          <w:spacing w:val="-1"/>
          <w:sz w:val="24"/>
          <w:szCs w:val="24"/>
        </w:rPr>
        <w:t xml:space="preserve">related </w:t>
      </w:r>
      <w:r w:rsidRPr="00690549">
        <w:rPr>
          <w:rFonts w:ascii="Times New Roman" w:eastAsia="Arial" w:hAnsi="Times New Roman" w:cs="Times New Roman"/>
          <w:spacing w:val="-1"/>
          <w:sz w:val="24"/>
          <w:szCs w:val="24"/>
        </w:rPr>
        <w:t>services.</w:t>
      </w:r>
    </w:p>
    <w:p w:rsidR="005D4C15" w:rsidRPr="00690549" w:rsidRDefault="005D4C15" w:rsidP="00690549">
      <w:pPr>
        <w:spacing w:before="32" w:after="0" w:line="239" w:lineRule="auto"/>
        <w:ind w:right="48"/>
        <w:rPr>
          <w:rFonts w:ascii="Times New Roman" w:eastAsia="Arial" w:hAnsi="Times New Roman" w:cs="Times New Roman"/>
          <w:spacing w:val="-1"/>
          <w:sz w:val="24"/>
          <w:szCs w:val="24"/>
        </w:rPr>
      </w:pPr>
    </w:p>
    <w:p w:rsidR="005864C6" w:rsidRPr="00690549" w:rsidRDefault="007C5C24"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increase in fees outlined in this Amendment Determination will have a minor financial impact on consumers.  </w:t>
      </w:r>
      <w:r w:rsidR="0052795D" w:rsidRPr="00690549">
        <w:rPr>
          <w:rFonts w:ascii="Times New Roman" w:eastAsia="Arial" w:hAnsi="Times New Roman" w:cs="Times New Roman"/>
          <w:spacing w:val="-1"/>
          <w:sz w:val="24"/>
          <w:szCs w:val="24"/>
        </w:rPr>
        <w:t>Of the six tariffs applied</w:t>
      </w:r>
      <w:r w:rsidR="00997F65" w:rsidRPr="00690549">
        <w:rPr>
          <w:rFonts w:ascii="Times New Roman" w:eastAsia="Arial" w:hAnsi="Times New Roman" w:cs="Times New Roman"/>
          <w:spacing w:val="-1"/>
          <w:sz w:val="24"/>
          <w:szCs w:val="24"/>
        </w:rPr>
        <w:t xml:space="preserve"> on C</w:t>
      </w:r>
      <w:r w:rsidR="000D2E34">
        <w:rPr>
          <w:rFonts w:ascii="Times New Roman" w:eastAsia="Arial" w:hAnsi="Times New Roman" w:cs="Times New Roman"/>
          <w:spacing w:val="-1"/>
          <w:sz w:val="24"/>
          <w:szCs w:val="24"/>
        </w:rPr>
        <w:t>ocos (Keeling) Islands</w:t>
      </w:r>
      <w:r w:rsidR="00997F65" w:rsidRPr="00690549">
        <w:rPr>
          <w:rFonts w:ascii="Times New Roman" w:eastAsia="Arial" w:hAnsi="Times New Roman" w:cs="Times New Roman"/>
          <w:spacing w:val="-1"/>
          <w:sz w:val="24"/>
          <w:szCs w:val="24"/>
        </w:rPr>
        <w:t xml:space="preserve">, the Business Tariff (L2) increases by 3.70%, the Residential Tariff (A2) </w:t>
      </w:r>
      <w:r w:rsidR="0054417A">
        <w:rPr>
          <w:rFonts w:ascii="Times New Roman" w:eastAsia="Arial" w:hAnsi="Times New Roman" w:cs="Times New Roman"/>
          <w:spacing w:val="-1"/>
          <w:sz w:val="24"/>
          <w:szCs w:val="24"/>
        </w:rPr>
        <w:t xml:space="preserve">did not </w:t>
      </w:r>
      <w:r w:rsidR="00997F65" w:rsidRPr="00690549">
        <w:rPr>
          <w:rFonts w:ascii="Times New Roman" w:eastAsia="Arial" w:hAnsi="Times New Roman" w:cs="Times New Roman"/>
          <w:spacing w:val="-1"/>
          <w:sz w:val="24"/>
          <w:szCs w:val="24"/>
        </w:rPr>
        <w:t xml:space="preserve">increase, the Community Services Tariff (C2) increases by 2.50%, the Charitable Residential Tariff (D2) increases by 1.80%, the Business/Residential Tariff (K2) increases by 3.10% and the Government Tariff (N2) </w:t>
      </w:r>
      <w:r w:rsidR="0054417A">
        <w:rPr>
          <w:rFonts w:ascii="Times New Roman" w:eastAsia="Arial" w:hAnsi="Times New Roman" w:cs="Times New Roman"/>
          <w:spacing w:val="-1"/>
          <w:sz w:val="24"/>
          <w:szCs w:val="24"/>
        </w:rPr>
        <w:t xml:space="preserve">did not </w:t>
      </w:r>
      <w:r w:rsidR="00997F65" w:rsidRPr="00690549">
        <w:rPr>
          <w:rFonts w:ascii="Times New Roman" w:eastAsia="Arial" w:hAnsi="Times New Roman" w:cs="Times New Roman"/>
          <w:spacing w:val="-1"/>
          <w:sz w:val="24"/>
          <w:szCs w:val="24"/>
        </w:rPr>
        <w:t>increase.</w:t>
      </w:r>
    </w:p>
    <w:p w:rsidR="007C5C24" w:rsidRPr="00690549" w:rsidRDefault="007C5C24" w:rsidP="00690549">
      <w:pPr>
        <w:spacing w:before="32" w:after="0" w:line="239" w:lineRule="auto"/>
        <w:ind w:right="48"/>
        <w:rPr>
          <w:rFonts w:ascii="Times New Roman" w:eastAsia="Arial" w:hAnsi="Times New Roman" w:cs="Times New Roman"/>
          <w:spacing w:val="-1"/>
          <w:sz w:val="24"/>
          <w:szCs w:val="24"/>
        </w:rPr>
      </w:pPr>
    </w:p>
    <w:p w:rsidR="007C5C24" w:rsidRPr="00690549" w:rsidRDefault="007C5C24"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Service fees, covering items including account establishment, meter installation and meter testing</w:t>
      </w:r>
      <w:r w:rsidR="006F06A5">
        <w:rPr>
          <w:rFonts w:ascii="Times New Roman" w:eastAsia="Arial" w:hAnsi="Times New Roman" w:cs="Times New Roman"/>
          <w:spacing w:val="-1"/>
          <w:sz w:val="24"/>
          <w:szCs w:val="24"/>
        </w:rPr>
        <w:t>,</w:t>
      </w:r>
      <w:r w:rsidRPr="00690549">
        <w:rPr>
          <w:rFonts w:ascii="Times New Roman" w:eastAsia="Arial" w:hAnsi="Times New Roman" w:cs="Times New Roman"/>
          <w:spacing w:val="-1"/>
          <w:sz w:val="24"/>
          <w:szCs w:val="24"/>
        </w:rPr>
        <w:t xml:space="preserve"> increase between 0% and 1.69%.</w:t>
      </w:r>
    </w:p>
    <w:p w:rsidR="005D4C15" w:rsidRPr="00690549" w:rsidRDefault="005D4C15">
      <w:pPr>
        <w:spacing w:before="12" w:after="0" w:line="240" w:lineRule="exact"/>
        <w:rPr>
          <w:rFonts w:ascii="Times New Roman" w:hAnsi="Times New Roman" w:cs="Times New Roman"/>
          <w:sz w:val="24"/>
          <w:szCs w:val="24"/>
        </w:rPr>
      </w:pPr>
    </w:p>
    <w:p w:rsidR="00340DD7" w:rsidRPr="00690549"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 xml:space="preserve">Basis for </w:t>
      </w:r>
      <w:r w:rsidR="006F06A5">
        <w:rPr>
          <w:rFonts w:ascii="Times New Roman" w:eastAsia="Arial" w:hAnsi="Times New Roman" w:cs="Times New Roman"/>
          <w:i/>
          <w:sz w:val="24"/>
          <w:szCs w:val="24"/>
          <w:u w:val="single"/>
        </w:rPr>
        <w:t>d</w:t>
      </w:r>
      <w:r w:rsidRPr="00690549">
        <w:rPr>
          <w:rFonts w:ascii="Times New Roman" w:eastAsia="Arial" w:hAnsi="Times New Roman" w:cs="Times New Roman"/>
          <w:i/>
          <w:sz w:val="24"/>
          <w:szCs w:val="24"/>
          <w:u w:val="single"/>
        </w:rPr>
        <w:t xml:space="preserve">etermining </w:t>
      </w:r>
      <w:r w:rsidR="006F06A5">
        <w:rPr>
          <w:rFonts w:ascii="Times New Roman" w:eastAsia="Arial" w:hAnsi="Times New Roman" w:cs="Times New Roman"/>
          <w:i/>
          <w:sz w:val="24"/>
          <w:szCs w:val="24"/>
          <w:u w:val="single"/>
        </w:rPr>
        <w:t>f</w:t>
      </w:r>
      <w:r w:rsidRPr="00690549">
        <w:rPr>
          <w:rFonts w:ascii="Times New Roman" w:eastAsia="Arial" w:hAnsi="Times New Roman" w:cs="Times New Roman"/>
          <w:i/>
          <w:sz w:val="24"/>
          <w:szCs w:val="24"/>
          <w:u w:val="single"/>
        </w:rPr>
        <w:t>ees</w:t>
      </w:r>
    </w:p>
    <w:p w:rsidR="00340DD7" w:rsidRPr="00690549" w:rsidRDefault="00340DD7">
      <w:pPr>
        <w:spacing w:before="3" w:after="0" w:line="220" w:lineRule="exact"/>
        <w:rPr>
          <w:rFonts w:ascii="Times New Roman" w:hAnsi="Times New Roman" w:cs="Times New Roman"/>
          <w:sz w:val="24"/>
          <w:szCs w:val="24"/>
        </w:rPr>
      </w:pPr>
    </w:p>
    <w:p w:rsidR="00D86464" w:rsidRPr="00690549" w:rsidRDefault="001D20E4"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w:t>
      </w:r>
      <w:r w:rsidR="00DB7B62" w:rsidRPr="00690549">
        <w:rPr>
          <w:rFonts w:ascii="Times New Roman" w:eastAsia="Arial" w:hAnsi="Times New Roman" w:cs="Times New Roman"/>
          <w:spacing w:val="-1"/>
          <w:sz w:val="24"/>
          <w:szCs w:val="24"/>
        </w:rPr>
        <w:t>Department of Infrastructure</w:t>
      </w:r>
      <w:r w:rsidR="007E5B3A" w:rsidRPr="00690549">
        <w:rPr>
          <w:rFonts w:ascii="Times New Roman" w:eastAsia="Arial" w:hAnsi="Times New Roman" w:cs="Times New Roman"/>
          <w:spacing w:val="-1"/>
          <w:sz w:val="24"/>
          <w:szCs w:val="24"/>
        </w:rPr>
        <w:t>,</w:t>
      </w:r>
      <w:r w:rsidR="00336094" w:rsidRPr="00690549">
        <w:rPr>
          <w:rFonts w:ascii="Times New Roman" w:eastAsia="Arial" w:hAnsi="Times New Roman" w:cs="Times New Roman"/>
          <w:spacing w:val="-1"/>
          <w:sz w:val="24"/>
          <w:szCs w:val="24"/>
        </w:rPr>
        <w:t xml:space="preserve"> Transport, </w:t>
      </w:r>
      <w:r w:rsidR="00DB7B62" w:rsidRPr="00690549">
        <w:rPr>
          <w:rFonts w:ascii="Times New Roman" w:eastAsia="Arial" w:hAnsi="Times New Roman" w:cs="Times New Roman"/>
          <w:spacing w:val="-1"/>
          <w:sz w:val="24"/>
          <w:szCs w:val="24"/>
        </w:rPr>
        <w:t>Regional Development</w:t>
      </w:r>
      <w:r w:rsidR="00336094" w:rsidRPr="00690549">
        <w:rPr>
          <w:rFonts w:ascii="Times New Roman" w:eastAsia="Arial" w:hAnsi="Times New Roman" w:cs="Times New Roman"/>
          <w:spacing w:val="-1"/>
          <w:sz w:val="24"/>
          <w:szCs w:val="24"/>
        </w:rPr>
        <w:t xml:space="preserve"> and Communications</w:t>
      </w:r>
      <w:r w:rsidR="00EF1C10">
        <w:rPr>
          <w:rFonts w:ascii="Times New Roman" w:eastAsia="Arial" w:hAnsi="Times New Roman" w:cs="Times New Roman"/>
          <w:spacing w:val="-1"/>
          <w:sz w:val="24"/>
          <w:szCs w:val="24"/>
        </w:rPr>
        <w:t xml:space="preserve"> (the Department)</w:t>
      </w:r>
      <w:r w:rsidR="007E5B3A" w:rsidRPr="00690549">
        <w:rPr>
          <w:rFonts w:ascii="Times New Roman" w:eastAsia="Arial" w:hAnsi="Times New Roman" w:cs="Times New Roman"/>
          <w:spacing w:val="-1"/>
          <w:sz w:val="24"/>
          <w:szCs w:val="24"/>
        </w:rPr>
        <w:t xml:space="preserve"> </w:t>
      </w:r>
      <w:r w:rsidR="00D86464" w:rsidRPr="00690549">
        <w:rPr>
          <w:rFonts w:ascii="Times New Roman" w:eastAsia="Arial" w:hAnsi="Times New Roman" w:cs="Times New Roman"/>
          <w:spacing w:val="-1"/>
          <w:sz w:val="24"/>
          <w:szCs w:val="24"/>
        </w:rPr>
        <w:t xml:space="preserve">is responsible for the </w:t>
      </w:r>
      <w:r w:rsidRPr="00690549">
        <w:rPr>
          <w:rFonts w:ascii="Times New Roman" w:eastAsia="Arial" w:hAnsi="Times New Roman" w:cs="Times New Roman"/>
          <w:spacing w:val="-1"/>
          <w:sz w:val="24"/>
          <w:szCs w:val="24"/>
        </w:rPr>
        <w:t>generat</w:t>
      </w:r>
      <w:r w:rsidR="00D86464" w:rsidRPr="00690549">
        <w:rPr>
          <w:rFonts w:ascii="Times New Roman" w:eastAsia="Arial" w:hAnsi="Times New Roman" w:cs="Times New Roman"/>
          <w:spacing w:val="-1"/>
          <w:sz w:val="24"/>
          <w:szCs w:val="24"/>
        </w:rPr>
        <w:t xml:space="preserve">ion, </w:t>
      </w:r>
      <w:r w:rsidR="0093218A" w:rsidRPr="00690549">
        <w:rPr>
          <w:rFonts w:ascii="Times New Roman" w:eastAsia="Arial" w:hAnsi="Times New Roman" w:cs="Times New Roman"/>
          <w:spacing w:val="-1"/>
          <w:sz w:val="24"/>
          <w:szCs w:val="24"/>
        </w:rPr>
        <w:t>distribut</w:t>
      </w:r>
      <w:r w:rsidR="00D86464" w:rsidRPr="00690549">
        <w:rPr>
          <w:rFonts w:ascii="Times New Roman" w:eastAsia="Arial" w:hAnsi="Times New Roman" w:cs="Times New Roman"/>
          <w:spacing w:val="-1"/>
          <w:sz w:val="24"/>
          <w:szCs w:val="24"/>
        </w:rPr>
        <w:t xml:space="preserve">ion and retail </w:t>
      </w:r>
      <w:r w:rsidR="00D86464" w:rsidRPr="00690549">
        <w:rPr>
          <w:rFonts w:ascii="Times New Roman" w:eastAsia="Arial" w:hAnsi="Times New Roman" w:cs="Times New Roman"/>
          <w:spacing w:val="-1"/>
          <w:sz w:val="24"/>
          <w:szCs w:val="24"/>
        </w:rPr>
        <w:lastRenderedPageBreak/>
        <w:t>sale of</w:t>
      </w:r>
      <w:r w:rsidR="0093218A" w:rsidRPr="00690549">
        <w:rPr>
          <w:rFonts w:ascii="Times New Roman" w:eastAsia="Arial" w:hAnsi="Times New Roman" w:cs="Times New Roman"/>
          <w:spacing w:val="-1"/>
          <w:sz w:val="24"/>
          <w:szCs w:val="24"/>
        </w:rPr>
        <w:t xml:space="preserve"> electricity to C</w:t>
      </w:r>
      <w:r w:rsidR="00346C02">
        <w:rPr>
          <w:rFonts w:ascii="Times New Roman" w:eastAsia="Arial" w:hAnsi="Times New Roman" w:cs="Times New Roman"/>
          <w:spacing w:val="-1"/>
          <w:sz w:val="24"/>
          <w:szCs w:val="24"/>
        </w:rPr>
        <w:t>ocos (Keeling) Islands</w:t>
      </w:r>
      <w:r w:rsidR="005D4C15" w:rsidRPr="00690549">
        <w:rPr>
          <w:rFonts w:ascii="Times New Roman" w:eastAsia="Arial" w:hAnsi="Times New Roman" w:cs="Times New Roman"/>
          <w:spacing w:val="-1"/>
          <w:sz w:val="24"/>
          <w:szCs w:val="24"/>
        </w:rPr>
        <w:t xml:space="preserve"> </w:t>
      </w:r>
      <w:r w:rsidR="00D86464" w:rsidRPr="00690549">
        <w:rPr>
          <w:rFonts w:ascii="Times New Roman" w:eastAsia="Arial" w:hAnsi="Times New Roman" w:cs="Times New Roman"/>
          <w:spacing w:val="-1"/>
          <w:sz w:val="24"/>
          <w:szCs w:val="24"/>
        </w:rPr>
        <w:t>c</w:t>
      </w:r>
      <w:r w:rsidR="005D4C15" w:rsidRPr="00690549">
        <w:rPr>
          <w:rFonts w:ascii="Times New Roman" w:eastAsia="Arial" w:hAnsi="Times New Roman" w:cs="Times New Roman"/>
          <w:spacing w:val="-1"/>
          <w:sz w:val="24"/>
          <w:szCs w:val="24"/>
        </w:rPr>
        <w:t>onsumers</w:t>
      </w:r>
      <w:r w:rsidR="0093218A" w:rsidRPr="00690549">
        <w:rPr>
          <w:rFonts w:ascii="Times New Roman" w:eastAsia="Arial" w:hAnsi="Times New Roman" w:cs="Times New Roman"/>
          <w:spacing w:val="-1"/>
          <w:sz w:val="24"/>
          <w:szCs w:val="24"/>
        </w:rPr>
        <w:t>.</w:t>
      </w:r>
    </w:p>
    <w:p w:rsidR="003973D5" w:rsidRPr="00690549" w:rsidRDefault="003973D5" w:rsidP="00690549">
      <w:pPr>
        <w:spacing w:before="32" w:after="0" w:line="239" w:lineRule="auto"/>
        <w:ind w:right="48"/>
        <w:rPr>
          <w:rFonts w:ascii="Times New Roman" w:eastAsia="Arial" w:hAnsi="Times New Roman" w:cs="Times New Roman"/>
          <w:spacing w:val="-1"/>
          <w:sz w:val="24"/>
          <w:szCs w:val="24"/>
        </w:rPr>
      </w:pPr>
    </w:p>
    <w:p w:rsidR="00D86464" w:rsidRPr="00690549" w:rsidRDefault="003973D5"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It is Australian Government policy that, wherever possible, </w:t>
      </w:r>
      <w:r w:rsidR="00BF3DF8" w:rsidRPr="00690549">
        <w:rPr>
          <w:rFonts w:ascii="Times New Roman" w:eastAsia="Arial" w:hAnsi="Times New Roman" w:cs="Times New Roman"/>
          <w:spacing w:val="-1"/>
          <w:sz w:val="24"/>
          <w:szCs w:val="24"/>
        </w:rPr>
        <w:t>there should be parity in cost of provision of state-type services on C</w:t>
      </w:r>
      <w:r w:rsidR="00346C02">
        <w:rPr>
          <w:rFonts w:ascii="Times New Roman" w:eastAsia="Arial" w:hAnsi="Times New Roman" w:cs="Times New Roman"/>
          <w:spacing w:val="-1"/>
          <w:sz w:val="24"/>
          <w:szCs w:val="24"/>
        </w:rPr>
        <w:t>ocos Keeling</w:t>
      </w:r>
      <w:r w:rsidR="00BF3DF8" w:rsidRPr="00690549">
        <w:rPr>
          <w:rFonts w:ascii="Times New Roman" w:eastAsia="Arial" w:hAnsi="Times New Roman" w:cs="Times New Roman"/>
          <w:spacing w:val="-1"/>
          <w:sz w:val="24"/>
          <w:szCs w:val="24"/>
        </w:rPr>
        <w:t xml:space="preserve"> Island</w:t>
      </w:r>
      <w:r w:rsidR="00346C02">
        <w:rPr>
          <w:rFonts w:ascii="Times New Roman" w:eastAsia="Arial" w:hAnsi="Times New Roman" w:cs="Times New Roman"/>
          <w:spacing w:val="-1"/>
          <w:sz w:val="24"/>
          <w:szCs w:val="24"/>
        </w:rPr>
        <w:t>s</w:t>
      </w:r>
      <w:r w:rsidR="00BF3DF8" w:rsidRPr="00690549">
        <w:rPr>
          <w:rFonts w:ascii="Times New Roman" w:eastAsia="Arial" w:hAnsi="Times New Roman" w:cs="Times New Roman"/>
          <w:spacing w:val="-1"/>
          <w:sz w:val="24"/>
          <w:szCs w:val="24"/>
        </w:rPr>
        <w:t xml:space="preserve"> to those applied in similar remote Australian mainland locations. </w:t>
      </w:r>
      <w:r w:rsidR="00D86464" w:rsidRPr="00690549">
        <w:rPr>
          <w:rFonts w:ascii="Times New Roman" w:eastAsia="Arial" w:hAnsi="Times New Roman" w:cs="Times New Roman"/>
          <w:spacing w:val="-1"/>
          <w:sz w:val="24"/>
          <w:szCs w:val="24"/>
        </w:rPr>
        <w:t>While the Australian Government aims for full cost recovery across its range of operations, it is acknowledged that for some locations this may not be achievable. C</w:t>
      </w:r>
      <w:r w:rsidR="00A43B94">
        <w:rPr>
          <w:rFonts w:ascii="Times New Roman" w:eastAsia="Arial" w:hAnsi="Times New Roman" w:cs="Times New Roman"/>
          <w:spacing w:val="-1"/>
          <w:sz w:val="24"/>
          <w:szCs w:val="24"/>
        </w:rPr>
        <w:t>ocos (K</w:t>
      </w:r>
      <w:r w:rsidR="00346C02">
        <w:rPr>
          <w:rFonts w:ascii="Times New Roman" w:eastAsia="Arial" w:hAnsi="Times New Roman" w:cs="Times New Roman"/>
          <w:spacing w:val="-1"/>
          <w:sz w:val="24"/>
          <w:szCs w:val="24"/>
        </w:rPr>
        <w:t>eeling)</w:t>
      </w:r>
      <w:r w:rsidR="00D86464" w:rsidRPr="00690549">
        <w:rPr>
          <w:rFonts w:ascii="Times New Roman" w:eastAsia="Arial" w:hAnsi="Times New Roman" w:cs="Times New Roman"/>
          <w:spacing w:val="-1"/>
          <w:sz w:val="24"/>
          <w:szCs w:val="24"/>
        </w:rPr>
        <w:t xml:space="preserve"> Island</w:t>
      </w:r>
      <w:r w:rsidR="00346C02">
        <w:rPr>
          <w:rFonts w:ascii="Times New Roman" w:eastAsia="Arial" w:hAnsi="Times New Roman" w:cs="Times New Roman"/>
          <w:spacing w:val="-1"/>
          <w:sz w:val="24"/>
          <w:szCs w:val="24"/>
        </w:rPr>
        <w:t>s</w:t>
      </w:r>
      <w:r w:rsidR="00D86464" w:rsidRPr="00690549">
        <w:rPr>
          <w:rFonts w:ascii="Times New Roman" w:eastAsia="Arial" w:hAnsi="Times New Roman" w:cs="Times New Roman"/>
          <w:spacing w:val="-1"/>
          <w:sz w:val="24"/>
          <w:szCs w:val="24"/>
        </w:rPr>
        <w:t xml:space="preserve"> is a</w:t>
      </w:r>
      <w:r w:rsidR="00346C02">
        <w:rPr>
          <w:rFonts w:ascii="Times New Roman" w:eastAsia="Arial" w:hAnsi="Times New Roman" w:cs="Times New Roman"/>
          <w:spacing w:val="-1"/>
          <w:sz w:val="24"/>
          <w:szCs w:val="24"/>
        </w:rPr>
        <w:t xml:space="preserve"> location</w:t>
      </w:r>
      <w:r w:rsidR="00D86464" w:rsidRPr="00690549">
        <w:rPr>
          <w:rFonts w:ascii="Times New Roman" w:eastAsia="Arial" w:hAnsi="Times New Roman" w:cs="Times New Roman"/>
          <w:spacing w:val="-1"/>
          <w:sz w:val="24"/>
          <w:szCs w:val="24"/>
        </w:rPr>
        <w:t xml:space="preserve"> where recouped fees for electricity are currently less than the cost of supply.</w:t>
      </w:r>
    </w:p>
    <w:p w:rsidR="001D20E4" w:rsidRPr="00690549" w:rsidRDefault="001D20E4" w:rsidP="00690549">
      <w:pPr>
        <w:spacing w:before="32" w:after="0" w:line="239" w:lineRule="auto"/>
        <w:ind w:right="48"/>
        <w:rPr>
          <w:rFonts w:ascii="Times New Roman" w:eastAsia="Arial" w:hAnsi="Times New Roman" w:cs="Times New Roman"/>
          <w:spacing w:val="-1"/>
          <w:sz w:val="24"/>
          <w:szCs w:val="24"/>
        </w:rPr>
      </w:pPr>
    </w:p>
    <w:p w:rsidR="00D651E8" w:rsidRPr="00690549" w:rsidRDefault="000827D5" w:rsidP="00690549">
      <w:pPr>
        <w:spacing w:before="32" w:after="0" w:line="239" w:lineRule="auto"/>
        <w:ind w:right="48"/>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The Department has re-assessed the appropriate level of fees for the supply of electricity, and t</w:t>
      </w:r>
      <w:r w:rsidR="006E5BAC" w:rsidRPr="00690549">
        <w:rPr>
          <w:rFonts w:ascii="Times New Roman" w:eastAsia="Arial" w:hAnsi="Times New Roman" w:cs="Times New Roman"/>
          <w:spacing w:val="-1"/>
          <w:sz w:val="24"/>
          <w:szCs w:val="24"/>
        </w:rPr>
        <w:t>o achieve parity in cost of provision</w:t>
      </w:r>
      <w:r w:rsidR="00E55ED8" w:rsidRPr="00690549">
        <w:rPr>
          <w:rFonts w:ascii="Times New Roman" w:eastAsia="Arial" w:hAnsi="Times New Roman" w:cs="Times New Roman"/>
          <w:spacing w:val="-1"/>
          <w:sz w:val="24"/>
          <w:szCs w:val="24"/>
        </w:rPr>
        <w:t>, t</w:t>
      </w:r>
      <w:r w:rsidR="00D651E8" w:rsidRPr="00690549">
        <w:rPr>
          <w:rFonts w:ascii="Times New Roman" w:eastAsia="Arial" w:hAnsi="Times New Roman" w:cs="Times New Roman"/>
          <w:spacing w:val="-1"/>
          <w:sz w:val="24"/>
          <w:szCs w:val="24"/>
        </w:rPr>
        <w:t xml:space="preserve">he </w:t>
      </w:r>
      <w:r w:rsidR="00E55ED8" w:rsidRPr="00690549">
        <w:rPr>
          <w:rFonts w:ascii="Times New Roman" w:eastAsia="Arial" w:hAnsi="Times New Roman" w:cs="Times New Roman"/>
          <w:spacing w:val="-1"/>
          <w:sz w:val="24"/>
          <w:szCs w:val="24"/>
        </w:rPr>
        <w:t>e</w:t>
      </w:r>
      <w:r w:rsidR="00D651E8" w:rsidRPr="00690549">
        <w:rPr>
          <w:rFonts w:ascii="Times New Roman" w:eastAsia="Arial" w:hAnsi="Times New Roman" w:cs="Times New Roman"/>
          <w:spacing w:val="-1"/>
          <w:sz w:val="24"/>
          <w:szCs w:val="24"/>
        </w:rPr>
        <w:t xml:space="preserve">lectricity supply and service fees </w:t>
      </w:r>
      <w:r w:rsidR="00E55ED8" w:rsidRPr="00690549">
        <w:rPr>
          <w:rFonts w:ascii="Times New Roman" w:eastAsia="Arial" w:hAnsi="Times New Roman" w:cs="Times New Roman"/>
          <w:spacing w:val="-1"/>
          <w:sz w:val="24"/>
          <w:szCs w:val="24"/>
        </w:rPr>
        <w:t>on C</w:t>
      </w:r>
      <w:r w:rsidR="001D04F2">
        <w:rPr>
          <w:rFonts w:ascii="Times New Roman" w:eastAsia="Arial" w:hAnsi="Times New Roman" w:cs="Times New Roman"/>
          <w:spacing w:val="-1"/>
          <w:sz w:val="24"/>
          <w:szCs w:val="24"/>
        </w:rPr>
        <w:t>ocos (Keeling)</w:t>
      </w:r>
      <w:r w:rsidR="00E55ED8" w:rsidRPr="00690549">
        <w:rPr>
          <w:rFonts w:ascii="Times New Roman" w:eastAsia="Arial" w:hAnsi="Times New Roman" w:cs="Times New Roman"/>
          <w:spacing w:val="-1"/>
          <w:sz w:val="24"/>
          <w:szCs w:val="24"/>
        </w:rPr>
        <w:t xml:space="preserve"> Island</w:t>
      </w:r>
      <w:r w:rsidR="001D04F2">
        <w:rPr>
          <w:rFonts w:ascii="Times New Roman" w:eastAsia="Arial" w:hAnsi="Times New Roman" w:cs="Times New Roman"/>
          <w:spacing w:val="-1"/>
          <w:sz w:val="24"/>
          <w:szCs w:val="24"/>
        </w:rPr>
        <w:t>s</w:t>
      </w:r>
      <w:r w:rsidR="00E55ED8" w:rsidRPr="00690549">
        <w:rPr>
          <w:rFonts w:ascii="Times New Roman" w:eastAsia="Arial" w:hAnsi="Times New Roman" w:cs="Times New Roman"/>
          <w:spacing w:val="-1"/>
          <w:sz w:val="24"/>
          <w:szCs w:val="24"/>
        </w:rPr>
        <w:t xml:space="preserve"> </w:t>
      </w:r>
      <w:r w:rsidR="00D651E8" w:rsidRPr="00690549">
        <w:rPr>
          <w:rFonts w:ascii="Times New Roman" w:eastAsia="Arial" w:hAnsi="Times New Roman" w:cs="Times New Roman"/>
          <w:spacing w:val="-1"/>
          <w:sz w:val="24"/>
          <w:szCs w:val="24"/>
        </w:rPr>
        <w:t xml:space="preserve">are </w:t>
      </w:r>
      <w:r w:rsidR="00D86464" w:rsidRPr="00690549">
        <w:rPr>
          <w:rFonts w:ascii="Times New Roman" w:eastAsia="Arial" w:hAnsi="Times New Roman" w:cs="Times New Roman"/>
          <w:spacing w:val="-1"/>
          <w:sz w:val="24"/>
          <w:szCs w:val="24"/>
        </w:rPr>
        <w:t xml:space="preserve">set by consideration </w:t>
      </w:r>
      <w:r w:rsidR="006E5BAC" w:rsidRPr="00690549">
        <w:rPr>
          <w:rFonts w:ascii="Times New Roman" w:eastAsia="Arial" w:hAnsi="Times New Roman" w:cs="Times New Roman"/>
          <w:spacing w:val="-1"/>
          <w:sz w:val="24"/>
          <w:szCs w:val="24"/>
        </w:rPr>
        <w:t>of</w:t>
      </w:r>
      <w:r w:rsidR="00BF3DF8" w:rsidRPr="00690549">
        <w:rPr>
          <w:rFonts w:ascii="Times New Roman" w:eastAsia="Arial" w:hAnsi="Times New Roman" w:cs="Times New Roman"/>
          <w:spacing w:val="-1"/>
          <w:sz w:val="24"/>
          <w:szCs w:val="24"/>
        </w:rPr>
        <w:t xml:space="preserve"> those charged by Horizon Power</w:t>
      </w:r>
      <w:r w:rsidR="00605245" w:rsidRPr="00690549">
        <w:rPr>
          <w:rFonts w:ascii="Times New Roman" w:eastAsia="Arial" w:hAnsi="Times New Roman" w:cs="Times New Roman"/>
          <w:spacing w:val="-1"/>
          <w:sz w:val="24"/>
          <w:szCs w:val="24"/>
        </w:rPr>
        <w:t xml:space="preserve">. Horizon Power is </w:t>
      </w:r>
      <w:r w:rsidR="006E5BAC" w:rsidRPr="00690549">
        <w:rPr>
          <w:rFonts w:ascii="Times New Roman" w:eastAsia="Arial" w:hAnsi="Times New Roman" w:cs="Times New Roman"/>
          <w:spacing w:val="-1"/>
          <w:sz w:val="24"/>
          <w:szCs w:val="24"/>
        </w:rPr>
        <w:t xml:space="preserve">owned by the Western Australian government and is responsible for the generation, distribution and retail sale of electricity to consumers </w:t>
      </w:r>
      <w:r w:rsidR="00605245" w:rsidRPr="00690549">
        <w:rPr>
          <w:rFonts w:ascii="Times New Roman" w:eastAsia="Arial" w:hAnsi="Times New Roman" w:cs="Times New Roman"/>
          <w:spacing w:val="-1"/>
          <w:sz w:val="24"/>
          <w:szCs w:val="24"/>
        </w:rPr>
        <w:t xml:space="preserve">across regional and remote Western Australia. </w:t>
      </w:r>
      <w:r w:rsidR="001622D5" w:rsidRPr="00690549">
        <w:rPr>
          <w:rFonts w:ascii="Times New Roman" w:eastAsia="Arial" w:hAnsi="Times New Roman" w:cs="Times New Roman"/>
          <w:spacing w:val="-1"/>
          <w:sz w:val="24"/>
          <w:szCs w:val="24"/>
        </w:rPr>
        <w:t xml:space="preserve">The fees and charges of Horizon Power are </w:t>
      </w:r>
      <w:proofErr w:type="spellStart"/>
      <w:r w:rsidR="001622D5" w:rsidRPr="00690549">
        <w:rPr>
          <w:rFonts w:ascii="Times New Roman" w:eastAsia="Arial" w:hAnsi="Times New Roman" w:cs="Times New Roman"/>
          <w:spacing w:val="-1"/>
          <w:sz w:val="24"/>
          <w:szCs w:val="24"/>
        </w:rPr>
        <w:t>scrutinised</w:t>
      </w:r>
      <w:proofErr w:type="spellEnd"/>
      <w:r w:rsidR="001622D5" w:rsidRPr="00690549">
        <w:rPr>
          <w:rFonts w:ascii="Times New Roman" w:eastAsia="Arial" w:hAnsi="Times New Roman" w:cs="Times New Roman"/>
          <w:spacing w:val="-1"/>
          <w:sz w:val="24"/>
          <w:szCs w:val="24"/>
        </w:rPr>
        <w:t xml:space="preserve"> </w:t>
      </w:r>
      <w:r w:rsidR="00EF1C10">
        <w:rPr>
          <w:rFonts w:ascii="Times New Roman" w:eastAsia="Arial" w:hAnsi="Times New Roman" w:cs="Times New Roman"/>
          <w:spacing w:val="-1"/>
          <w:sz w:val="24"/>
          <w:szCs w:val="24"/>
        </w:rPr>
        <w:t>by</w:t>
      </w:r>
      <w:r w:rsidR="00EF1C10" w:rsidRPr="00690549">
        <w:rPr>
          <w:rFonts w:ascii="Times New Roman" w:eastAsia="Arial" w:hAnsi="Times New Roman" w:cs="Times New Roman"/>
          <w:spacing w:val="-1"/>
          <w:sz w:val="24"/>
          <w:szCs w:val="24"/>
        </w:rPr>
        <w:t xml:space="preserve"> </w:t>
      </w:r>
      <w:r w:rsidR="001622D5" w:rsidRPr="00690549">
        <w:rPr>
          <w:rFonts w:ascii="Times New Roman" w:eastAsia="Arial" w:hAnsi="Times New Roman" w:cs="Times New Roman"/>
          <w:spacing w:val="-1"/>
          <w:sz w:val="24"/>
          <w:szCs w:val="24"/>
        </w:rPr>
        <w:t>the Wester</w:t>
      </w:r>
      <w:bookmarkStart w:id="0" w:name="_GoBack"/>
      <w:bookmarkEnd w:id="0"/>
      <w:r w:rsidR="001622D5" w:rsidRPr="00690549">
        <w:rPr>
          <w:rFonts w:ascii="Times New Roman" w:eastAsia="Arial" w:hAnsi="Times New Roman" w:cs="Times New Roman"/>
          <w:spacing w:val="-1"/>
          <w:sz w:val="24"/>
          <w:szCs w:val="24"/>
        </w:rPr>
        <w:t xml:space="preserve">n Australian </w:t>
      </w:r>
      <w:r w:rsidR="00EF1C10">
        <w:rPr>
          <w:rFonts w:ascii="Times New Roman" w:eastAsia="Arial" w:hAnsi="Times New Roman" w:cs="Times New Roman"/>
          <w:spacing w:val="-1"/>
          <w:sz w:val="24"/>
          <w:szCs w:val="24"/>
        </w:rPr>
        <w:t>Government</w:t>
      </w:r>
      <w:r w:rsidR="001622D5" w:rsidRPr="00690549">
        <w:rPr>
          <w:rFonts w:ascii="Times New Roman" w:eastAsia="Arial" w:hAnsi="Times New Roman" w:cs="Times New Roman"/>
          <w:spacing w:val="-1"/>
          <w:sz w:val="24"/>
          <w:szCs w:val="24"/>
        </w:rPr>
        <w:t xml:space="preserve">. This process includes the consideration of the cost of service delivery ahead of approval through the Western Australian </w:t>
      </w:r>
      <w:r w:rsidR="006F06A5">
        <w:rPr>
          <w:rFonts w:ascii="Times New Roman" w:eastAsia="Arial" w:hAnsi="Times New Roman" w:cs="Times New Roman"/>
          <w:spacing w:val="-1"/>
          <w:sz w:val="24"/>
          <w:szCs w:val="24"/>
        </w:rPr>
        <w:t>p</w:t>
      </w:r>
      <w:r w:rsidR="001622D5" w:rsidRPr="00690549">
        <w:rPr>
          <w:rFonts w:ascii="Times New Roman" w:eastAsia="Arial" w:hAnsi="Times New Roman" w:cs="Times New Roman"/>
          <w:spacing w:val="-1"/>
          <w:sz w:val="24"/>
          <w:szCs w:val="24"/>
        </w:rPr>
        <w:t xml:space="preserve">arliamentary system. </w:t>
      </w:r>
      <w:r w:rsidR="00BF3D75" w:rsidRPr="00690549">
        <w:rPr>
          <w:rFonts w:ascii="Times New Roman" w:eastAsia="Arial" w:hAnsi="Times New Roman" w:cs="Times New Roman"/>
          <w:spacing w:val="-1"/>
          <w:sz w:val="24"/>
          <w:szCs w:val="24"/>
        </w:rPr>
        <w:t xml:space="preserve">This </w:t>
      </w:r>
      <w:r w:rsidR="001622D5" w:rsidRPr="00690549">
        <w:rPr>
          <w:rFonts w:ascii="Times New Roman" w:eastAsia="Arial" w:hAnsi="Times New Roman" w:cs="Times New Roman"/>
          <w:spacing w:val="-1"/>
          <w:sz w:val="24"/>
          <w:szCs w:val="24"/>
        </w:rPr>
        <w:t xml:space="preserve">alignment of fee structure </w:t>
      </w:r>
      <w:r w:rsidR="00BF3D75" w:rsidRPr="00690549">
        <w:rPr>
          <w:rFonts w:ascii="Times New Roman" w:eastAsia="Arial" w:hAnsi="Times New Roman" w:cs="Times New Roman"/>
          <w:spacing w:val="-1"/>
          <w:sz w:val="24"/>
          <w:szCs w:val="24"/>
        </w:rPr>
        <w:t xml:space="preserve">does not include the </w:t>
      </w:r>
      <w:r w:rsidR="00337237" w:rsidRPr="00690549">
        <w:rPr>
          <w:rFonts w:ascii="Times New Roman" w:eastAsia="Arial" w:hAnsi="Times New Roman" w:cs="Times New Roman"/>
          <w:spacing w:val="-1"/>
          <w:sz w:val="24"/>
          <w:szCs w:val="24"/>
        </w:rPr>
        <w:t xml:space="preserve">GST </w:t>
      </w:r>
      <w:r w:rsidR="00245BCB" w:rsidRPr="00690549">
        <w:rPr>
          <w:rFonts w:ascii="Times New Roman" w:eastAsia="Arial" w:hAnsi="Times New Roman" w:cs="Times New Roman"/>
          <w:spacing w:val="-1"/>
          <w:sz w:val="24"/>
          <w:szCs w:val="24"/>
        </w:rPr>
        <w:t>component, which</w:t>
      </w:r>
      <w:r w:rsidR="00337237" w:rsidRPr="00690549">
        <w:rPr>
          <w:rFonts w:ascii="Times New Roman" w:eastAsia="Arial" w:hAnsi="Times New Roman" w:cs="Times New Roman"/>
          <w:spacing w:val="-1"/>
          <w:sz w:val="24"/>
          <w:szCs w:val="24"/>
        </w:rPr>
        <w:t xml:space="preserve"> is </w:t>
      </w:r>
      <w:r w:rsidR="00356C4C" w:rsidRPr="00690549">
        <w:rPr>
          <w:rFonts w:ascii="Times New Roman" w:eastAsia="Arial" w:hAnsi="Times New Roman" w:cs="Times New Roman"/>
          <w:spacing w:val="-1"/>
          <w:sz w:val="24"/>
          <w:szCs w:val="24"/>
        </w:rPr>
        <w:t xml:space="preserve">not </w:t>
      </w:r>
      <w:r w:rsidR="00337237" w:rsidRPr="00690549">
        <w:rPr>
          <w:rFonts w:ascii="Times New Roman" w:eastAsia="Arial" w:hAnsi="Times New Roman" w:cs="Times New Roman"/>
          <w:spacing w:val="-1"/>
          <w:sz w:val="24"/>
          <w:szCs w:val="24"/>
        </w:rPr>
        <w:t>appli</w:t>
      </w:r>
      <w:r w:rsidR="00356C4C" w:rsidRPr="00690549">
        <w:rPr>
          <w:rFonts w:ascii="Times New Roman" w:eastAsia="Arial" w:hAnsi="Times New Roman" w:cs="Times New Roman"/>
          <w:spacing w:val="-1"/>
          <w:sz w:val="24"/>
          <w:szCs w:val="24"/>
        </w:rPr>
        <w:t>cable</w:t>
      </w:r>
      <w:r w:rsidR="00337237" w:rsidRPr="00690549">
        <w:rPr>
          <w:rFonts w:ascii="Times New Roman" w:eastAsia="Arial" w:hAnsi="Times New Roman" w:cs="Times New Roman"/>
          <w:spacing w:val="-1"/>
          <w:sz w:val="24"/>
          <w:szCs w:val="24"/>
        </w:rPr>
        <w:t xml:space="preserve"> on C</w:t>
      </w:r>
      <w:r w:rsidR="006A6D0C">
        <w:rPr>
          <w:rFonts w:ascii="Times New Roman" w:eastAsia="Arial" w:hAnsi="Times New Roman" w:cs="Times New Roman"/>
          <w:spacing w:val="-1"/>
          <w:sz w:val="24"/>
          <w:szCs w:val="24"/>
        </w:rPr>
        <w:t>ocos (Keeling)</w:t>
      </w:r>
      <w:r w:rsidR="00337237" w:rsidRPr="00690549">
        <w:rPr>
          <w:rFonts w:ascii="Times New Roman" w:eastAsia="Arial" w:hAnsi="Times New Roman" w:cs="Times New Roman"/>
          <w:spacing w:val="-1"/>
          <w:sz w:val="24"/>
          <w:szCs w:val="24"/>
        </w:rPr>
        <w:t xml:space="preserve"> Island</w:t>
      </w:r>
      <w:r w:rsidR="006A6D0C">
        <w:rPr>
          <w:rFonts w:ascii="Times New Roman" w:eastAsia="Arial" w:hAnsi="Times New Roman" w:cs="Times New Roman"/>
          <w:spacing w:val="-1"/>
          <w:sz w:val="24"/>
          <w:szCs w:val="24"/>
        </w:rPr>
        <w:t>s</w:t>
      </w:r>
      <w:r w:rsidR="00337237" w:rsidRPr="00690549">
        <w:rPr>
          <w:rFonts w:ascii="Times New Roman" w:eastAsia="Arial" w:hAnsi="Times New Roman" w:cs="Times New Roman"/>
          <w:spacing w:val="-1"/>
          <w:sz w:val="24"/>
          <w:szCs w:val="24"/>
        </w:rPr>
        <w:t>.</w:t>
      </w:r>
      <w:r w:rsidR="006A2A94" w:rsidRPr="00690549">
        <w:rPr>
          <w:rFonts w:ascii="Times New Roman" w:eastAsia="Arial" w:hAnsi="Times New Roman" w:cs="Times New Roman"/>
          <w:spacing w:val="-1"/>
          <w:sz w:val="24"/>
          <w:szCs w:val="24"/>
        </w:rPr>
        <w:t xml:space="preserve"> </w:t>
      </w:r>
    </w:p>
    <w:p w:rsidR="00D651E8" w:rsidRPr="00690549" w:rsidRDefault="00D651E8" w:rsidP="001823E0">
      <w:pPr>
        <w:spacing w:before="37" w:after="0" w:line="252" w:lineRule="exact"/>
        <w:ind w:left="100" w:right="48"/>
        <w:rPr>
          <w:rFonts w:ascii="Times New Roman" w:eastAsia="Arial" w:hAnsi="Times New Roman" w:cs="Times New Roman"/>
          <w:spacing w:val="2"/>
          <w:sz w:val="24"/>
          <w:szCs w:val="24"/>
        </w:rPr>
      </w:pPr>
    </w:p>
    <w:p w:rsidR="001D20E4" w:rsidRPr="00690549" w:rsidRDefault="001D20E4"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Regulat</w:t>
      </w:r>
      <w:r w:rsidR="006F06A5">
        <w:rPr>
          <w:rFonts w:ascii="Times New Roman" w:eastAsia="Arial" w:hAnsi="Times New Roman" w:cs="Times New Roman"/>
          <w:i/>
          <w:sz w:val="24"/>
          <w:szCs w:val="24"/>
          <w:u w:val="single"/>
        </w:rPr>
        <w:t>ion</w:t>
      </w:r>
      <w:r w:rsidRPr="00690549">
        <w:rPr>
          <w:rFonts w:ascii="Times New Roman" w:eastAsia="Arial" w:hAnsi="Times New Roman" w:cs="Times New Roman"/>
          <w:i/>
          <w:sz w:val="24"/>
          <w:szCs w:val="24"/>
          <w:u w:val="single"/>
        </w:rPr>
        <w:t xml:space="preserve"> Impact Statement</w:t>
      </w:r>
    </w:p>
    <w:p w:rsidR="001D20E4" w:rsidRPr="00690549" w:rsidRDefault="001D20E4" w:rsidP="00DB7B62">
      <w:pPr>
        <w:spacing w:before="37" w:after="0" w:line="252" w:lineRule="exact"/>
        <w:ind w:left="100" w:right="48"/>
        <w:rPr>
          <w:rFonts w:ascii="Times New Roman" w:eastAsia="Arial" w:hAnsi="Times New Roman" w:cs="Times New Roman"/>
          <w:spacing w:val="2"/>
          <w:sz w:val="24"/>
          <w:szCs w:val="24"/>
        </w:rPr>
      </w:pPr>
    </w:p>
    <w:p w:rsidR="001D20E4" w:rsidRPr="00690549" w:rsidRDefault="00B21B1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Office of Best Practice Regulation considers the proposal is likely to have no more than minor regulatory impacts on business, community </w:t>
      </w:r>
      <w:proofErr w:type="spellStart"/>
      <w:r w:rsidRPr="00690549">
        <w:rPr>
          <w:rFonts w:ascii="Times New Roman" w:eastAsia="Arial" w:hAnsi="Times New Roman" w:cs="Times New Roman"/>
          <w:spacing w:val="-1"/>
          <w:sz w:val="24"/>
          <w:szCs w:val="24"/>
        </w:rPr>
        <w:t>organisations</w:t>
      </w:r>
      <w:proofErr w:type="spellEnd"/>
      <w:r w:rsidRPr="00690549">
        <w:rPr>
          <w:rFonts w:ascii="Times New Roman" w:eastAsia="Arial" w:hAnsi="Times New Roman" w:cs="Times New Roman"/>
          <w:spacing w:val="-1"/>
          <w:sz w:val="24"/>
          <w:szCs w:val="24"/>
        </w:rPr>
        <w:t xml:space="preserve"> or individuals. In addition, it understands that the matter will not be considered by Cabinet, and so the preparation of a Regulation Impact Statement is not required.</w:t>
      </w:r>
    </w:p>
    <w:p w:rsidR="00B21B16" w:rsidRPr="00690549" w:rsidRDefault="00B21B16" w:rsidP="00DB7B62">
      <w:pPr>
        <w:spacing w:after="0" w:line="248" w:lineRule="exact"/>
        <w:ind w:left="100" w:right="-20"/>
        <w:rPr>
          <w:rFonts w:ascii="Times New Roman" w:eastAsia="Arial" w:hAnsi="Times New Roman" w:cs="Times New Roman"/>
          <w:i/>
          <w:spacing w:val="-1"/>
          <w:position w:val="-1"/>
          <w:sz w:val="24"/>
          <w:szCs w:val="24"/>
          <w:u w:val="single" w:color="000000"/>
        </w:rPr>
      </w:pPr>
    </w:p>
    <w:p w:rsidR="001D20E4" w:rsidRPr="00690549" w:rsidRDefault="001D20E4" w:rsidP="00690549">
      <w:pPr>
        <w:spacing w:after="0" w:line="248" w:lineRule="exact"/>
        <w:ind w:right="-20"/>
        <w:rPr>
          <w:rFonts w:ascii="Times New Roman" w:eastAsia="Arial" w:hAnsi="Times New Roman" w:cs="Times New Roman"/>
          <w:i/>
          <w:spacing w:val="-1"/>
          <w:position w:val="-1"/>
          <w:sz w:val="24"/>
          <w:szCs w:val="24"/>
          <w:u w:val="single" w:color="000000"/>
        </w:rPr>
      </w:pPr>
      <w:r w:rsidRPr="00690549">
        <w:rPr>
          <w:rFonts w:ascii="Times New Roman" w:eastAsia="Arial" w:hAnsi="Times New Roman" w:cs="Times New Roman"/>
          <w:i/>
          <w:sz w:val="24"/>
          <w:szCs w:val="24"/>
          <w:u w:val="single"/>
        </w:rPr>
        <w:t xml:space="preserve">Conditions to be </w:t>
      </w:r>
      <w:r w:rsidR="006F06A5">
        <w:rPr>
          <w:rFonts w:ascii="Times New Roman" w:eastAsia="Arial" w:hAnsi="Times New Roman" w:cs="Times New Roman"/>
          <w:i/>
          <w:sz w:val="24"/>
          <w:szCs w:val="24"/>
          <w:u w:val="single"/>
        </w:rPr>
        <w:t>s</w:t>
      </w:r>
      <w:r w:rsidRPr="00690549">
        <w:rPr>
          <w:rFonts w:ascii="Times New Roman" w:eastAsia="Arial" w:hAnsi="Times New Roman" w:cs="Times New Roman"/>
          <w:i/>
          <w:sz w:val="24"/>
          <w:szCs w:val="24"/>
          <w:u w:val="single"/>
        </w:rPr>
        <w:t>atisfied</w:t>
      </w:r>
    </w:p>
    <w:p w:rsidR="007C5C24" w:rsidRPr="00690549" w:rsidRDefault="007C5C24" w:rsidP="007C5C24">
      <w:pPr>
        <w:spacing w:after="0" w:line="248" w:lineRule="exact"/>
        <w:ind w:left="100" w:right="-20"/>
        <w:rPr>
          <w:rFonts w:ascii="Times New Roman" w:eastAsia="Arial" w:hAnsi="Times New Roman" w:cs="Times New Roman"/>
          <w:i/>
          <w:spacing w:val="-1"/>
          <w:position w:val="-1"/>
          <w:sz w:val="24"/>
          <w:szCs w:val="24"/>
          <w:u w:val="single" w:color="000000"/>
        </w:rPr>
      </w:pPr>
    </w:p>
    <w:p w:rsidR="001D20E4" w:rsidRPr="00690549" w:rsidRDefault="001D20E4"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Ordinance does not specify conditions that need to be satisfied before power to make the </w:t>
      </w:r>
      <w:r w:rsidR="00FF4443"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Determination may be exercised.</w:t>
      </w:r>
    </w:p>
    <w:p w:rsidR="001D20E4" w:rsidRPr="00690549" w:rsidRDefault="001D20E4" w:rsidP="00DB7B62">
      <w:pPr>
        <w:spacing w:before="37" w:after="0" w:line="252" w:lineRule="exact"/>
        <w:ind w:left="100" w:right="48"/>
        <w:rPr>
          <w:rFonts w:ascii="Times New Roman" w:eastAsia="Arial" w:hAnsi="Times New Roman" w:cs="Times New Roman"/>
          <w:spacing w:val="2"/>
          <w:sz w:val="24"/>
          <w:szCs w:val="24"/>
        </w:rPr>
      </w:pPr>
    </w:p>
    <w:p w:rsidR="00340DD7" w:rsidRPr="00690549"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Consultation</w:t>
      </w:r>
    </w:p>
    <w:p w:rsidR="00340DD7" w:rsidRPr="00690549" w:rsidRDefault="00340DD7">
      <w:pPr>
        <w:spacing w:before="6" w:after="0" w:line="220" w:lineRule="exact"/>
        <w:rPr>
          <w:rFonts w:ascii="Times New Roman" w:hAnsi="Times New Roman" w:cs="Times New Roman"/>
          <w:sz w:val="24"/>
          <w:szCs w:val="24"/>
        </w:rPr>
      </w:pPr>
    </w:p>
    <w:p w:rsidR="00AD69E8" w:rsidRPr="00690549" w:rsidRDefault="00B21B1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There was no </w:t>
      </w:r>
      <w:r w:rsidR="00B604DB" w:rsidRPr="00690549">
        <w:rPr>
          <w:rFonts w:ascii="Times New Roman" w:eastAsia="Arial" w:hAnsi="Times New Roman" w:cs="Times New Roman"/>
          <w:spacing w:val="-1"/>
          <w:sz w:val="24"/>
          <w:szCs w:val="24"/>
        </w:rPr>
        <w:t>c</w:t>
      </w:r>
      <w:r w:rsidR="00FF4443" w:rsidRPr="00690549">
        <w:rPr>
          <w:rFonts w:ascii="Times New Roman" w:eastAsia="Arial" w:hAnsi="Times New Roman" w:cs="Times New Roman"/>
          <w:spacing w:val="-1"/>
          <w:sz w:val="24"/>
          <w:szCs w:val="24"/>
        </w:rPr>
        <w:t xml:space="preserve">onsultation </w:t>
      </w:r>
      <w:r w:rsidR="00B604DB" w:rsidRPr="00690549">
        <w:rPr>
          <w:rFonts w:ascii="Times New Roman" w:eastAsia="Arial" w:hAnsi="Times New Roman" w:cs="Times New Roman"/>
          <w:spacing w:val="-1"/>
          <w:sz w:val="24"/>
          <w:szCs w:val="24"/>
        </w:rPr>
        <w:t xml:space="preserve">with </w:t>
      </w:r>
      <w:r w:rsidR="00FF4443" w:rsidRPr="00690549">
        <w:rPr>
          <w:rFonts w:ascii="Times New Roman" w:eastAsia="Arial" w:hAnsi="Times New Roman" w:cs="Times New Roman"/>
          <w:spacing w:val="-1"/>
          <w:sz w:val="24"/>
          <w:szCs w:val="24"/>
        </w:rPr>
        <w:t>residents of C</w:t>
      </w:r>
      <w:r w:rsidR="001D04F2">
        <w:rPr>
          <w:rFonts w:ascii="Times New Roman" w:eastAsia="Arial" w:hAnsi="Times New Roman" w:cs="Times New Roman"/>
          <w:spacing w:val="-1"/>
          <w:sz w:val="24"/>
          <w:szCs w:val="24"/>
        </w:rPr>
        <w:t>ocos (Keeling) Islands</w:t>
      </w:r>
      <w:r w:rsidR="00FF4443" w:rsidRPr="00690549">
        <w:rPr>
          <w:rFonts w:ascii="Times New Roman" w:eastAsia="Arial" w:hAnsi="Times New Roman" w:cs="Times New Roman"/>
          <w:spacing w:val="-1"/>
          <w:sz w:val="24"/>
          <w:szCs w:val="24"/>
        </w:rPr>
        <w:t xml:space="preserve"> as the Amendment Determination is administrative in nature and reflects the ongoing changes to the cost of operating this service. </w:t>
      </w:r>
      <w:r w:rsidR="007C5C24" w:rsidRPr="00690549">
        <w:rPr>
          <w:rFonts w:ascii="Times New Roman" w:eastAsia="Arial" w:hAnsi="Times New Roman" w:cs="Times New Roman"/>
          <w:spacing w:val="-1"/>
          <w:sz w:val="24"/>
          <w:szCs w:val="24"/>
        </w:rPr>
        <w:t>However, a Community Bulletin about the changes will be prepared</w:t>
      </w:r>
      <w:r w:rsidR="001622D5" w:rsidRPr="00690549">
        <w:rPr>
          <w:rFonts w:ascii="Times New Roman" w:eastAsia="Arial" w:hAnsi="Times New Roman" w:cs="Times New Roman"/>
          <w:spacing w:val="-1"/>
          <w:sz w:val="24"/>
          <w:szCs w:val="24"/>
        </w:rPr>
        <w:t xml:space="preserve"> for release when the Administrator approves the changes.</w:t>
      </w:r>
    </w:p>
    <w:p w:rsidR="00245BCB" w:rsidRPr="00690549" w:rsidRDefault="00245BCB">
      <w:pPr>
        <w:spacing w:before="37" w:after="0" w:line="252" w:lineRule="exact"/>
        <w:ind w:left="100" w:right="48"/>
        <w:rPr>
          <w:rFonts w:ascii="Times New Roman" w:eastAsia="Arial" w:hAnsi="Times New Roman" w:cs="Times New Roman"/>
          <w:sz w:val="24"/>
          <w:szCs w:val="24"/>
        </w:rPr>
      </w:pPr>
    </w:p>
    <w:p w:rsidR="00A93DD7" w:rsidRDefault="007E505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w:t>
      </w:r>
    </w:p>
    <w:p w:rsidR="00A93DD7" w:rsidRDefault="00A93DD7">
      <w:pPr>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br w:type="page"/>
      </w:r>
    </w:p>
    <w:p w:rsidR="007E5056" w:rsidRPr="00690549" w:rsidRDefault="007E5056" w:rsidP="00690549">
      <w:pPr>
        <w:spacing w:before="32" w:after="0" w:line="239" w:lineRule="auto"/>
        <w:ind w:right="48"/>
        <w:rPr>
          <w:rFonts w:ascii="Times New Roman" w:eastAsia="Arial" w:hAnsi="Times New Roman" w:cs="Times New Roman"/>
          <w:spacing w:val="-1"/>
          <w:sz w:val="24"/>
          <w:szCs w:val="24"/>
        </w:rPr>
      </w:pPr>
    </w:p>
    <w:p w:rsidR="00340DD7" w:rsidRPr="00EA34EC" w:rsidRDefault="00340DD7">
      <w:pPr>
        <w:spacing w:before="13" w:after="0" w:line="240" w:lineRule="exact"/>
        <w:rPr>
          <w:rFonts w:ascii="Times New Roman" w:hAnsi="Times New Roman" w:cs="Times New Roman"/>
          <w:sz w:val="24"/>
          <w:szCs w:val="24"/>
        </w:rPr>
      </w:pPr>
    </w:p>
    <w:p w:rsidR="00F33312" w:rsidRPr="00EA34EC" w:rsidRDefault="00F33312">
      <w:pPr>
        <w:rPr>
          <w:rFonts w:ascii="Times New Roman" w:eastAsia="Arial" w:hAnsi="Times New Roman" w:cs="Times New Roman"/>
          <w:i/>
          <w:sz w:val="24"/>
          <w:szCs w:val="24"/>
          <w:u w:val="single"/>
        </w:rPr>
      </w:pPr>
    </w:p>
    <w:p w:rsidR="00F33312" w:rsidRPr="00EA34EC" w:rsidRDefault="007B7F6C" w:rsidP="00EA34EC">
      <w:pPr>
        <w:spacing w:after="0" w:line="248" w:lineRule="exact"/>
        <w:ind w:right="-20"/>
        <w:rPr>
          <w:rFonts w:ascii="Times New Roman" w:eastAsia="Arial" w:hAnsi="Times New Roman" w:cs="Times New Roman"/>
          <w:i/>
          <w:sz w:val="24"/>
          <w:szCs w:val="24"/>
          <w:u w:val="single"/>
        </w:rPr>
      </w:pPr>
      <w:r w:rsidRPr="00EA34EC">
        <w:rPr>
          <w:rFonts w:ascii="Times New Roman" w:eastAsia="Arial" w:hAnsi="Times New Roman" w:cs="Times New Roman"/>
          <w:i/>
          <w:sz w:val="24"/>
          <w:szCs w:val="24"/>
          <w:u w:val="single"/>
        </w:rPr>
        <w:t>Detail</w:t>
      </w:r>
      <w:r w:rsidR="00F33312" w:rsidRPr="00EA34EC">
        <w:rPr>
          <w:rFonts w:ascii="Times New Roman" w:eastAsia="Arial" w:hAnsi="Times New Roman" w:cs="Times New Roman"/>
          <w:i/>
          <w:sz w:val="24"/>
          <w:szCs w:val="24"/>
          <w:u w:val="single"/>
        </w:rPr>
        <w:t>s of the C</w:t>
      </w:r>
      <w:r w:rsidR="001D04F2">
        <w:rPr>
          <w:rFonts w:ascii="Times New Roman" w:eastAsia="Arial" w:hAnsi="Times New Roman" w:cs="Times New Roman"/>
          <w:i/>
          <w:sz w:val="24"/>
          <w:szCs w:val="24"/>
          <w:u w:val="single"/>
        </w:rPr>
        <w:t>ocos (Keeling) Islands</w:t>
      </w:r>
      <w:r w:rsidR="00F33312" w:rsidRPr="00EA34EC">
        <w:rPr>
          <w:rFonts w:ascii="Times New Roman" w:eastAsia="Arial" w:hAnsi="Times New Roman" w:cs="Times New Roman"/>
          <w:i/>
          <w:sz w:val="24"/>
          <w:szCs w:val="24"/>
          <w:u w:val="single"/>
        </w:rPr>
        <w:t xml:space="preserve"> Utilities and Services (Electricity Supply and Services Fees) Amendment (2020 Measures No. 1) Determination 2020</w:t>
      </w:r>
    </w:p>
    <w:p w:rsidR="00340DD7" w:rsidRPr="00EA34EC" w:rsidRDefault="00340DD7" w:rsidP="00EA34EC">
      <w:pPr>
        <w:spacing w:after="0" w:line="248" w:lineRule="exact"/>
        <w:ind w:right="-20"/>
        <w:rPr>
          <w:rFonts w:ascii="Times New Roman" w:hAnsi="Times New Roman" w:cs="Times New Roman"/>
          <w:sz w:val="24"/>
          <w:szCs w:val="24"/>
        </w:rPr>
      </w:pPr>
    </w:p>
    <w:p w:rsidR="00340DD7" w:rsidRPr="00EA34EC" w:rsidRDefault="00340DD7">
      <w:pPr>
        <w:spacing w:before="6" w:after="0" w:line="220" w:lineRule="exact"/>
        <w:rPr>
          <w:rFonts w:ascii="Times New Roman" w:hAnsi="Times New Roman" w:cs="Times New Roman"/>
          <w:sz w:val="24"/>
          <w:szCs w:val="24"/>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Section 1 – Name</w:t>
      </w:r>
    </w:p>
    <w:p w:rsidR="00340DD7" w:rsidRPr="00EA34EC" w:rsidRDefault="00340DD7">
      <w:pPr>
        <w:spacing w:before="6"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the name of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 xml:space="preserve">Determination is the </w:t>
      </w:r>
      <w:r w:rsidR="00AD69E8" w:rsidRPr="00EA34EC">
        <w:rPr>
          <w:rFonts w:ascii="Times New Roman" w:eastAsia="Arial" w:hAnsi="Times New Roman" w:cs="Times New Roman"/>
          <w:spacing w:val="-1"/>
          <w:sz w:val="24"/>
          <w:szCs w:val="24"/>
        </w:rPr>
        <w:t>C</w:t>
      </w:r>
      <w:r w:rsidR="001D04F2">
        <w:rPr>
          <w:rFonts w:ascii="Times New Roman" w:eastAsia="Arial" w:hAnsi="Times New Roman" w:cs="Times New Roman"/>
          <w:spacing w:val="-1"/>
          <w:sz w:val="24"/>
          <w:szCs w:val="24"/>
        </w:rPr>
        <w:t>ocos (Keeling)</w:t>
      </w:r>
      <w:r w:rsidR="00AD69E8" w:rsidRPr="00EA34EC">
        <w:rPr>
          <w:rFonts w:ascii="Times New Roman" w:eastAsia="Arial" w:hAnsi="Times New Roman" w:cs="Times New Roman"/>
          <w:spacing w:val="-1"/>
          <w:sz w:val="24"/>
          <w:szCs w:val="24"/>
        </w:rPr>
        <w:t xml:space="preserve"> Island</w:t>
      </w:r>
      <w:r w:rsidR="001D04F2">
        <w:rPr>
          <w:rFonts w:ascii="Times New Roman" w:eastAsia="Arial" w:hAnsi="Times New Roman" w:cs="Times New Roman"/>
          <w:spacing w:val="-1"/>
          <w:sz w:val="24"/>
          <w:szCs w:val="24"/>
        </w:rPr>
        <w:t>s</w:t>
      </w:r>
      <w:r w:rsidR="00AD69E8" w:rsidRPr="00EA34EC">
        <w:rPr>
          <w:rFonts w:ascii="Times New Roman" w:eastAsia="Arial" w:hAnsi="Times New Roman" w:cs="Times New Roman"/>
          <w:spacing w:val="-1"/>
          <w:sz w:val="24"/>
          <w:szCs w:val="24"/>
        </w:rPr>
        <w:t xml:space="preserve"> Utilities and Services (Electricity Supply and Services Fees) Amendment (20</w:t>
      </w:r>
      <w:r w:rsidR="00336094" w:rsidRPr="00EA34EC">
        <w:rPr>
          <w:rFonts w:ascii="Times New Roman" w:eastAsia="Arial" w:hAnsi="Times New Roman" w:cs="Times New Roman"/>
          <w:spacing w:val="-1"/>
          <w:sz w:val="24"/>
          <w:szCs w:val="24"/>
        </w:rPr>
        <w:t>20</w:t>
      </w:r>
      <w:r w:rsidR="00AD69E8" w:rsidRPr="00EA34EC">
        <w:rPr>
          <w:rFonts w:ascii="Times New Roman" w:eastAsia="Arial" w:hAnsi="Times New Roman" w:cs="Times New Roman"/>
          <w:spacing w:val="-1"/>
          <w:sz w:val="24"/>
          <w:szCs w:val="24"/>
        </w:rPr>
        <w:t xml:space="preserve"> M</w:t>
      </w:r>
      <w:r w:rsidR="002D473C" w:rsidRPr="00EA34EC">
        <w:rPr>
          <w:rFonts w:ascii="Times New Roman" w:eastAsia="Arial" w:hAnsi="Times New Roman" w:cs="Times New Roman"/>
          <w:spacing w:val="-1"/>
          <w:sz w:val="24"/>
          <w:szCs w:val="24"/>
        </w:rPr>
        <w:t>easures No.</w:t>
      </w:r>
      <w:r w:rsidR="004F0037">
        <w:rPr>
          <w:rFonts w:ascii="Times New Roman" w:eastAsia="Arial" w:hAnsi="Times New Roman" w:cs="Times New Roman"/>
          <w:spacing w:val="-1"/>
          <w:sz w:val="24"/>
          <w:szCs w:val="24"/>
        </w:rPr>
        <w:t> </w:t>
      </w:r>
      <w:r w:rsidR="002D473C" w:rsidRPr="00EA34EC">
        <w:rPr>
          <w:rFonts w:ascii="Times New Roman" w:eastAsia="Arial" w:hAnsi="Times New Roman" w:cs="Times New Roman"/>
          <w:spacing w:val="-1"/>
          <w:sz w:val="24"/>
          <w:szCs w:val="24"/>
        </w:rPr>
        <w:t>1) Determination 2020</w:t>
      </w:r>
      <w:r w:rsidR="006A2A94" w:rsidRPr="00EA34EC">
        <w:rPr>
          <w:rFonts w:ascii="Times New Roman" w:eastAsia="Arial" w:hAnsi="Times New Roman" w:cs="Times New Roman"/>
          <w:spacing w:val="-1"/>
          <w:sz w:val="24"/>
          <w:szCs w:val="24"/>
        </w:rPr>
        <w:t>.</w:t>
      </w:r>
    </w:p>
    <w:p w:rsidR="00340DD7" w:rsidRPr="00EA34EC" w:rsidRDefault="00340DD7" w:rsidP="00EA34EC">
      <w:pPr>
        <w:spacing w:after="0" w:line="248" w:lineRule="exact"/>
        <w:ind w:right="-20"/>
        <w:rPr>
          <w:rFonts w:ascii="Times New Roman" w:eastAsia="Arial" w:hAnsi="Times New Roman" w:cs="Times New Roman"/>
          <w:sz w:val="24"/>
          <w:szCs w:val="24"/>
          <w:u w:val="single"/>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Section 2 – Commencement</w:t>
      </w:r>
    </w:p>
    <w:p w:rsidR="00340DD7" w:rsidRPr="00EA34EC" w:rsidRDefault="00340DD7">
      <w:pPr>
        <w:spacing w:before="6"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 xml:space="preserve">Determination is to commence on </w:t>
      </w:r>
      <w:r w:rsidR="00D51DBF" w:rsidRPr="00EA34EC">
        <w:rPr>
          <w:rFonts w:ascii="Times New Roman" w:eastAsia="Arial" w:hAnsi="Times New Roman" w:cs="Times New Roman"/>
          <w:spacing w:val="-1"/>
          <w:sz w:val="24"/>
          <w:szCs w:val="24"/>
        </w:rPr>
        <w:t xml:space="preserve">1 </w:t>
      </w:r>
      <w:r w:rsidR="00336094" w:rsidRPr="00EA34EC">
        <w:rPr>
          <w:rFonts w:ascii="Times New Roman" w:eastAsia="Arial" w:hAnsi="Times New Roman" w:cs="Times New Roman"/>
          <w:spacing w:val="-1"/>
          <w:sz w:val="24"/>
          <w:szCs w:val="24"/>
        </w:rPr>
        <w:t>November 2020</w:t>
      </w:r>
      <w:r w:rsidRPr="00EA34EC">
        <w:rPr>
          <w:rFonts w:ascii="Times New Roman" w:eastAsia="Arial" w:hAnsi="Times New Roman" w:cs="Times New Roman"/>
          <w:spacing w:val="-1"/>
          <w:sz w:val="24"/>
          <w:szCs w:val="24"/>
        </w:rPr>
        <w:t>.</w:t>
      </w:r>
    </w:p>
    <w:p w:rsidR="00340DD7" w:rsidRPr="00EA34EC" w:rsidRDefault="00340DD7">
      <w:pPr>
        <w:spacing w:before="13" w:after="0" w:line="240" w:lineRule="exact"/>
        <w:rPr>
          <w:rFonts w:ascii="Times New Roman" w:hAnsi="Times New Roman" w:cs="Times New Roman"/>
          <w:sz w:val="24"/>
          <w:szCs w:val="24"/>
        </w:rPr>
      </w:pPr>
    </w:p>
    <w:p w:rsidR="00340DD7" w:rsidRPr="00EA34EC" w:rsidRDefault="007B7F6C" w:rsidP="00EA34EC">
      <w:pPr>
        <w:spacing w:after="0" w:line="248" w:lineRule="exact"/>
        <w:ind w:right="-20"/>
        <w:rPr>
          <w:rFonts w:ascii="Times New Roman" w:eastAsia="Arial" w:hAnsi="Times New Roman" w:cs="Times New Roman"/>
          <w:sz w:val="24"/>
          <w:szCs w:val="24"/>
        </w:rPr>
      </w:pPr>
      <w:r w:rsidRPr="00EA34EC">
        <w:rPr>
          <w:rFonts w:ascii="Times New Roman" w:eastAsia="Arial" w:hAnsi="Times New Roman" w:cs="Times New Roman"/>
          <w:sz w:val="24"/>
          <w:szCs w:val="24"/>
          <w:u w:val="single"/>
        </w:rPr>
        <w:t>Section 3 – Authority</w:t>
      </w:r>
    </w:p>
    <w:p w:rsidR="00340DD7" w:rsidRPr="00EA34EC" w:rsidRDefault="00340DD7">
      <w:pPr>
        <w:spacing w:before="3"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Determination is made under paragraph 7(2)(a)</w:t>
      </w:r>
      <w:r w:rsidR="00337237" w:rsidRPr="00EA34EC">
        <w:rPr>
          <w:rFonts w:ascii="Times New Roman" w:eastAsia="Arial" w:hAnsi="Times New Roman" w:cs="Times New Roman"/>
          <w:spacing w:val="-1"/>
          <w:sz w:val="24"/>
          <w:szCs w:val="24"/>
        </w:rPr>
        <w:t xml:space="preserve"> of</w:t>
      </w:r>
      <w:r w:rsidRPr="00EA34EC">
        <w:rPr>
          <w:rFonts w:ascii="Times New Roman" w:eastAsia="Arial" w:hAnsi="Times New Roman" w:cs="Times New Roman"/>
          <w:spacing w:val="-1"/>
          <w:sz w:val="24"/>
          <w:szCs w:val="24"/>
        </w:rPr>
        <w:t xml:space="preserve"> the C</w:t>
      </w:r>
      <w:r w:rsidR="001D04F2">
        <w:rPr>
          <w:rFonts w:ascii="Times New Roman" w:eastAsia="Arial" w:hAnsi="Times New Roman" w:cs="Times New Roman"/>
          <w:spacing w:val="-1"/>
          <w:sz w:val="24"/>
          <w:szCs w:val="24"/>
        </w:rPr>
        <w:t>ocos (Keeling)</w:t>
      </w:r>
      <w:r w:rsidR="00337237" w:rsidRPr="00EA34EC">
        <w:rPr>
          <w:rFonts w:ascii="Times New Roman" w:eastAsia="Arial" w:hAnsi="Times New Roman" w:cs="Times New Roman"/>
          <w:spacing w:val="-1"/>
          <w:sz w:val="24"/>
          <w:szCs w:val="24"/>
        </w:rPr>
        <w:t xml:space="preserve"> </w:t>
      </w:r>
      <w:r w:rsidRPr="00EA34EC">
        <w:rPr>
          <w:rFonts w:ascii="Times New Roman" w:eastAsia="Arial" w:hAnsi="Times New Roman" w:cs="Times New Roman"/>
          <w:spacing w:val="-1"/>
          <w:sz w:val="24"/>
          <w:szCs w:val="24"/>
        </w:rPr>
        <w:t>Island</w:t>
      </w:r>
      <w:r w:rsidR="001D04F2">
        <w:rPr>
          <w:rFonts w:ascii="Times New Roman" w:eastAsia="Arial" w:hAnsi="Times New Roman" w:cs="Times New Roman"/>
          <w:spacing w:val="-1"/>
          <w:sz w:val="24"/>
          <w:szCs w:val="24"/>
        </w:rPr>
        <w:t>s</w:t>
      </w:r>
      <w:r w:rsidRPr="00EA34EC">
        <w:rPr>
          <w:rFonts w:ascii="Times New Roman" w:eastAsia="Arial" w:hAnsi="Times New Roman" w:cs="Times New Roman"/>
          <w:spacing w:val="-1"/>
          <w:sz w:val="24"/>
          <w:szCs w:val="24"/>
        </w:rPr>
        <w:t xml:space="preserve"> Utilities and Services Ordinance 2016.</w:t>
      </w:r>
    </w:p>
    <w:p w:rsidR="00340DD7" w:rsidRPr="00A1777A" w:rsidRDefault="00340DD7">
      <w:pPr>
        <w:spacing w:before="13" w:after="0" w:line="240" w:lineRule="exact"/>
        <w:rPr>
          <w:rFonts w:ascii="Times New Roman" w:hAnsi="Times New Roman" w:cs="Times New Roman"/>
          <w:sz w:val="24"/>
          <w:szCs w:val="24"/>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 xml:space="preserve">Section 4 – </w:t>
      </w:r>
      <w:r w:rsidR="00AD69E8" w:rsidRPr="00EA34EC">
        <w:rPr>
          <w:rFonts w:ascii="Times New Roman" w:eastAsia="Arial" w:hAnsi="Times New Roman" w:cs="Times New Roman"/>
          <w:sz w:val="24"/>
          <w:szCs w:val="24"/>
          <w:u w:val="single"/>
        </w:rPr>
        <w:t>Schedules</w:t>
      </w:r>
    </w:p>
    <w:p w:rsidR="00340DD7" w:rsidRPr="00EA34EC" w:rsidRDefault="00340DD7">
      <w:pPr>
        <w:spacing w:before="3" w:after="0" w:line="220" w:lineRule="exact"/>
        <w:rPr>
          <w:rFonts w:ascii="Times New Roman" w:hAnsi="Times New Roman" w:cs="Times New Roman"/>
          <w:sz w:val="24"/>
          <w:szCs w:val="24"/>
        </w:rPr>
      </w:pPr>
    </w:p>
    <w:p w:rsidR="00340DD7" w:rsidRPr="00EA34EC" w:rsidRDefault="00AD69E8"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ED7842" w:rsidRPr="00EA34EC" w:rsidRDefault="00ED7842">
      <w:pPr>
        <w:spacing w:before="2" w:after="0" w:line="240" w:lineRule="auto"/>
        <w:ind w:left="100" w:right="-20"/>
        <w:rPr>
          <w:rFonts w:ascii="Times New Roman" w:eastAsia="Arial" w:hAnsi="Times New Roman" w:cs="Times New Roman"/>
        </w:rPr>
      </w:pPr>
    </w:p>
    <w:p w:rsidR="00340DD7" w:rsidRPr="00EA34EC" w:rsidRDefault="000944C5" w:rsidP="00EA34EC">
      <w:pPr>
        <w:rPr>
          <w:rFonts w:ascii="Times New Roman" w:hAnsi="Times New Roman" w:cs="Times New Roman"/>
        </w:rPr>
      </w:pPr>
      <w:r w:rsidRPr="00EA34EC">
        <w:rPr>
          <w:rFonts w:ascii="Times New Roman" w:eastAsia="Arial" w:hAnsi="Times New Roman" w:cs="Times New Roman"/>
          <w:sz w:val="24"/>
          <w:szCs w:val="24"/>
          <w:u w:val="single"/>
        </w:rPr>
        <w:t>Schedule 1 - Amendments</w:t>
      </w:r>
    </w:p>
    <w:p w:rsidR="004F0037" w:rsidRPr="00EA34EC" w:rsidRDefault="004F0037" w:rsidP="00EA34EC">
      <w:pPr>
        <w:spacing w:before="32" w:after="0" w:line="239" w:lineRule="auto"/>
        <w:ind w:right="48"/>
        <w:rPr>
          <w:rFonts w:ascii="Times New Roman" w:eastAsia="Arial" w:hAnsi="Times New Roman" w:cs="Times New Roman"/>
          <w:i/>
          <w:spacing w:val="-1"/>
          <w:sz w:val="24"/>
          <w:szCs w:val="24"/>
        </w:rPr>
      </w:pPr>
      <w:r w:rsidRPr="00EA34EC">
        <w:rPr>
          <w:rFonts w:ascii="Times New Roman" w:eastAsia="Arial" w:hAnsi="Times New Roman" w:cs="Times New Roman"/>
          <w:i/>
          <w:spacing w:val="-1"/>
          <w:sz w:val="24"/>
          <w:szCs w:val="24"/>
        </w:rPr>
        <w:t>C</w:t>
      </w:r>
      <w:r w:rsidR="001D04F2">
        <w:rPr>
          <w:rFonts w:ascii="Times New Roman" w:eastAsia="Arial" w:hAnsi="Times New Roman" w:cs="Times New Roman"/>
          <w:i/>
          <w:spacing w:val="-1"/>
          <w:sz w:val="24"/>
          <w:szCs w:val="24"/>
        </w:rPr>
        <w:t>ocos (Keeling)</w:t>
      </w:r>
      <w:r w:rsidRPr="00EA34EC">
        <w:rPr>
          <w:rFonts w:ascii="Times New Roman" w:eastAsia="Arial" w:hAnsi="Times New Roman" w:cs="Times New Roman"/>
          <w:i/>
          <w:spacing w:val="-1"/>
          <w:sz w:val="24"/>
          <w:szCs w:val="24"/>
        </w:rPr>
        <w:t xml:space="preserve"> Island</w:t>
      </w:r>
      <w:r w:rsidR="001D04F2">
        <w:rPr>
          <w:rFonts w:ascii="Times New Roman" w:eastAsia="Arial" w:hAnsi="Times New Roman" w:cs="Times New Roman"/>
          <w:i/>
          <w:spacing w:val="-1"/>
          <w:sz w:val="24"/>
          <w:szCs w:val="24"/>
        </w:rPr>
        <w:t>s</w:t>
      </w:r>
      <w:r w:rsidRPr="00EA34EC">
        <w:rPr>
          <w:rFonts w:ascii="Times New Roman" w:eastAsia="Arial" w:hAnsi="Times New Roman" w:cs="Times New Roman"/>
          <w:i/>
          <w:spacing w:val="-1"/>
          <w:sz w:val="24"/>
          <w:szCs w:val="24"/>
        </w:rPr>
        <w:t xml:space="preserve"> Utilities and Services (Electricity Supply and Services Fees) Determination 2016</w:t>
      </w:r>
    </w:p>
    <w:p w:rsidR="004F0037" w:rsidRDefault="004F0037" w:rsidP="00370965">
      <w:pPr>
        <w:spacing w:before="32" w:after="0" w:line="248" w:lineRule="exact"/>
        <w:ind w:left="100" w:right="-20"/>
        <w:rPr>
          <w:rFonts w:ascii="Times New Roman" w:eastAsia="Arial" w:hAnsi="Times New Roman" w:cs="Times New Roman"/>
          <w:spacing w:val="2"/>
          <w:sz w:val="24"/>
          <w:szCs w:val="24"/>
        </w:rPr>
      </w:pPr>
    </w:p>
    <w:p w:rsidR="00370965" w:rsidRPr="00EA34EC" w:rsidRDefault="00370965" w:rsidP="00EA34EC">
      <w:pPr>
        <w:spacing w:after="0" w:line="248" w:lineRule="exact"/>
        <w:ind w:right="-20"/>
        <w:rPr>
          <w:rFonts w:ascii="Times New Roman" w:eastAsia="Arial" w:hAnsi="Times New Roman" w:cs="Times New Roman"/>
          <w:b/>
          <w:sz w:val="24"/>
          <w:szCs w:val="24"/>
        </w:rPr>
      </w:pPr>
      <w:r w:rsidRPr="00EA34EC">
        <w:rPr>
          <w:rFonts w:ascii="Times New Roman" w:eastAsia="Arial" w:hAnsi="Times New Roman" w:cs="Times New Roman"/>
          <w:b/>
          <w:sz w:val="24"/>
          <w:szCs w:val="24"/>
        </w:rPr>
        <w:t>Clause 1</w:t>
      </w:r>
    </w:p>
    <w:p w:rsidR="00326E44" w:rsidRPr="00EA34EC" w:rsidRDefault="00326E44" w:rsidP="00EA34EC">
      <w:pPr>
        <w:spacing w:before="32" w:after="0" w:line="239" w:lineRule="auto"/>
        <w:ind w:right="48"/>
        <w:rPr>
          <w:rFonts w:ascii="Times New Roman" w:eastAsia="Arial" w:hAnsi="Times New Roman" w:cs="Times New Roman"/>
          <w:spacing w:val="-1"/>
          <w:sz w:val="24"/>
          <w:szCs w:val="24"/>
        </w:rPr>
      </w:pPr>
    </w:p>
    <w:p w:rsidR="007C4379" w:rsidRPr="00EA34EC" w:rsidRDefault="00CA4BA2"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Clause </w:t>
      </w:r>
      <w:r w:rsidR="002D473C" w:rsidRPr="00EA34EC">
        <w:rPr>
          <w:rFonts w:ascii="Times New Roman" w:eastAsia="Arial" w:hAnsi="Times New Roman" w:cs="Times New Roman"/>
          <w:spacing w:val="-1"/>
          <w:sz w:val="24"/>
          <w:szCs w:val="24"/>
        </w:rPr>
        <w:t>1</w:t>
      </w:r>
      <w:r w:rsidRPr="00EA34EC">
        <w:rPr>
          <w:rFonts w:ascii="Times New Roman" w:eastAsia="Arial" w:hAnsi="Times New Roman" w:cs="Times New Roman"/>
          <w:spacing w:val="-1"/>
          <w:sz w:val="24"/>
          <w:szCs w:val="24"/>
        </w:rPr>
        <w:t xml:space="preserve"> amends subsection 6(2) of the </w:t>
      </w:r>
      <w:r w:rsidR="00EE354B" w:rsidRPr="00EA34EC">
        <w:rPr>
          <w:rFonts w:ascii="Times New Roman" w:eastAsia="Arial" w:hAnsi="Times New Roman" w:cs="Times New Roman"/>
          <w:spacing w:val="-1"/>
          <w:sz w:val="24"/>
          <w:szCs w:val="24"/>
        </w:rPr>
        <w:t>C</w:t>
      </w:r>
      <w:r w:rsidR="001D04F2">
        <w:rPr>
          <w:rFonts w:ascii="Times New Roman" w:eastAsia="Arial" w:hAnsi="Times New Roman" w:cs="Times New Roman"/>
          <w:spacing w:val="-1"/>
          <w:sz w:val="24"/>
          <w:szCs w:val="24"/>
        </w:rPr>
        <w:t>oco</w:t>
      </w:r>
      <w:r w:rsidR="00EE354B" w:rsidRPr="00EA34EC">
        <w:rPr>
          <w:rFonts w:ascii="Times New Roman" w:eastAsia="Arial" w:hAnsi="Times New Roman" w:cs="Times New Roman"/>
          <w:spacing w:val="-1"/>
          <w:sz w:val="24"/>
          <w:szCs w:val="24"/>
        </w:rPr>
        <w:t xml:space="preserve">s </w:t>
      </w:r>
      <w:r w:rsidR="001D04F2">
        <w:rPr>
          <w:rFonts w:ascii="Times New Roman" w:eastAsia="Arial" w:hAnsi="Times New Roman" w:cs="Times New Roman"/>
          <w:spacing w:val="-1"/>
          <w:sz w:val="24"/>
          <w:szCs w:val="24"/>
        </w:rPr>
        <w:t xml:space="preserve">(Keeling) </w:t>
      </w:r>
      <w:r w:rsidR="00EE354B" w:rsidRPr="00EA34EC">
        <w:rPr>
          <w:rFonts w:ascii="Times New Roman" w:eastAsia="Arial" w:hAnsi="Times New Roman" w:cs="Times New Roman"/>
          <w:spacing w:val="-1"/>
          <w:sz w:val="24"/>
          <w:szCs w:val="24"/>
        </w:rPr>
        <w:t>Island</w:t>
      </w:r>
      <w:r w:rsidR="001D04F2">
        <w:rPr>
          <w:rFonts w:ascii="Times New Roman" w:eastAsia="Arial" w:hAnsi="Times New Roman" w:cs="Times New Roman"/>
          <w:spacing w:val="-1"/>
          <w:sz w:val="24"/>
          <w:szCs w:val="24"/>
        </w:rPr>
        <w:t>s</w:t>
      </w:r>
      <w:r w:rsidR="00EE354B" w:rsidRPr="00EA34EC">
        <w:rPr>
          <w:rFonts w:ascii="Times New Roman" w:eastAsia="Arial" w:hAnsi="Times New Roman" w:cs="Times New Roman"/>
          <w:spacing w:val="-1"/>
          <w:sz w:val="24"/>
          <w:szCs w:val="24"/>
        </w:rPr>
        <w:t xml:space="preserve"> Utilities and Services (Electricity Supply and Services Fees) Determination 2016</w:t>
      </w:r>
      <w:r w:rsidR="00EE354B">
        <w:rPr>
          <w:rFonts w:ascii="Times New Roman" w:eastAsia="Arial" w:hAnsi="Times New Roman" w:cs="Times New Roman"/>
          <w:spacing w:val="-1"/>
          <w:sz w:val="24"/>
          <w:szCs w:val="24"/>
        </w:rPr>
        <w:t xml:space="preserve"> by omitting “1 </w:t>
      </w:r>
      <w:r w:rsidR="00EE354B" w:rsidRPr="00F10160">
        <w:rPr>
          <w:rFonts w:ascii="Times New Roman" w:eastAsia="Arial" w:hAnsi="Times New Roman" w:cs="Times New Roman"/>
          <w:spacing w:val="-1"/>
          <w:sz w:val="24"/>
          <w:szCs w:val="24"/>
        </w:rPr>
        <w:t>November 20</w:t>
      </w:r>
      <w:r w:rsidR="00EE354B">
        <w:rPr>
          <w:rFonts w:ascii="Times New Roman" w:eastAsia="Arial" w:hAnsi="Times New Roman" w:cs="Times New Roman"/>
          <w:spacing w:val="-1"/>
          <w:sz w:val="24"/>
          <w:szCs w:val="24"/>
        </w:rPr>
        <w:t xml:space="preserve">19” and substituting </w:t>
      </w:r>
      <w:r w:rsidR="00EE354B" w:rsidRPr="00314FAD">
        <w:rPr>
          <w:rFonts w:ascii="Times New Roman" w:eastAsia="Arial" w:hAnsi="Times New Roman" w:cs="Times New Roman"/>
          <w:spacing w:val="-1"/>
          <w:sz w:val="24"/>
          <w:szCs w:val="24"/>
        </w:rPr>
        <w:t>“</w:t>
      </w:r>
      <w:r w:rsidR="00BE72C0" w:rsidRPr="00314FAD">
        <w:rPr>
          <w:rFonts w:ascii="Times New Roman" w:eastAsia="Arial" w:hAnsi="Times New Roman" w:cs="Times New Roman"/>
          <w:spacing w:val="-1"/>
          <w:sz w:val="24"/>
          <w:szCs w:val="24"/>
        </w:rPr>
        <w:t>1</w:t>
      </w:r>
      <w:r w:rsidR="00F903BB">
        <w:rPr>
          <w:rFonts w:ascii="Times New Roman" w:eastAsia="Arial" w:hAnsi="Times New Roman" w:cs="Times New Roman"/>
          <w:spacing w:val="-1"/>
          <w:sz w:val="24"/>
          <w:szCs w:val="24"/>
        </w:rPr>
        <w:t xml:space="preserve"> </w:t>
      </w:r>
      <w:r w:rsidR="00EE354B" w:rsidRPr="00314FAD">
        <w:rPr>
          <w:rFonts w:ascii="Times New Roman" w:eastAsia="Arial" w:hAnsi="Times New Roman" w:cs="Times New Roman"/>
          <w:spacing w:val="-1"/>
          <w:sz w:val="24"/>
          <w:szCs w:val="24"/>
        </w:rPr>
        <w:t>November</w:t>
      </w:r>
      <w:r w:rsidR="00EE354B" w:rsidRPr="00F10160">
        <w:rPr>
          <w:rFonts w:ascii="Times New Roman" w:eastAsia="Arial" w:hAnsi="Times New Roman" w:cs="Times New Roman"/>
          <w:spacing w:val="-1"/>
          <w:sz w:val="24"/>
          <w:szCs w:val="24"/>
        </w:rPr>
        <w:t xml:space="preserve"> 2020</w:t>
      </w:r>
      <w:r w:rsidR="00EE354B">
        <w:rPr>
          <w:rFonts w:ascii="Times New Roman" w:eastAsia="Arial" w:hAnsi="Times New Roman" w:cs="Times New Roman"/>
          <w:spacing w:val="-1"/>
          <w:sz w:val="24"/>
          <w:szCs w:val="24"/>
        </w:rPr>
        <w:t>”.</w:t>
      </w:r>
    </w:p>
    <w:p w:rsidR="00340DD7" w:rsidRPr="00EA34EC" w:rsidRDefault="00340DD7">
      <w:pPr>
        <w:spacing w:before="14" w:after="0" w:line="240" w:lineRule="exact"/>
        <w:rPr>
          <w:rFonts w:ascii="Times New Roman" w:eastAsia="Arial" w:hAnsi="Times New Roman" w:cs="Times New Roman"/>
          <w:spacing w:val="2"/>
          <w:sz w:val="24"/>
          <w:szCs w:val="24"/>
        </w:rPr>
      </w:pPr>
    </w:p>
    <w:p w:rsidR="00217172" w:rsidRDefault="002D473C" w:rsidP="00EA34EC">
      <w:pPr>
        <w:spacing w:after="0" w:line="248" w:lineRule="exact"/>
        <w:ind w:right="-20"/>
        <w:rPr>
          <w:rFonts w:ascii="Times New Roman" w:eastAsia="Arial" w:hAnsi="Times New Roman" w:cs="Times New Roman"/>
          <w:b/>
          <w:sz w:val="24"/>
          <w:szCs w:val="24"/>
        </w:rPr>
      </w:pPr>
      <w:r w:rsidRPr="00EA34EC">
        <w:rPr>
          <w:rFonts w:ascii="Times New Roman" w:eastAsia="Arial" w:hAnsi="Times New Roman" w:cs="Times New Roman"/>
          <w:b/>
          <w:sz w:val="24"/>
          <w:szCs w:val="24"/>
        </w:rPr>
        <w:t>Clause 2</w:t>
      </w:r>
    </w:p>
    <w:p w:rsidR="004F0037" w:rsidRPr="00EA34EC" w:rsidRDefault="004F0037" w:rsidP="00EA34EC">
      <w:pPr>
        <w:spacing w:after="0" w:line="248" w:lineRule="exact"/>
        <w:ind w:right="-20"/>
        <w:rPr>
          <w:rFonts w:ascii="Times New Roman" w:eastAsia="Arial" w:hAnsi="Times New Roman" w:cs="Times New Roman"/>
          <w:b/>
          <w:sz w:val="24"/>
          <w:szCs w:val="24"/>
        </w:rPr>
      </w:pPr>
    </w:p>
    <w:p w:rsidR="00D46B2F" w:rsidRPr="00EA34EC" w:rsidRDefault="00B94771"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Clause </w:t>
      </w:r>
      <w:r w:rsidR="002D473C" w:rsidRPr="00EA34EC">
        <w:rPr>
          <w:rFonts w:ascii="Times New Roman" w:eastAsia="Arial" w:hAnsi="Times New Roman" w:cs="Times New Roman"/>
          <w:spacing w:val="-1"/>
          <w:sz w:val="24"/>
          <w:szCs w:val="24"/>
        </w:rPr>
        <w:t>2</w:t>
      </w:r>
      <w:r w:rsidRPr="00EA34EC">
        <w:rPr>
          <w:rFonts w:ascii="Times New Roman" w:eastAsia="Arial" w:hAnsi="Times New Roman" w:cs="Times New Roman"/>
          <w:spacing w:val="-1"/>
          <w:sz w:val="24"/>
          <w:szCs w:val="24"/>
        </w:rPr>
        <w:t xml:space="preserve"> repeals</w:t>
      </w:r>
      <w:r w:rsidR="004B76DE">
        <w:rPr>
          <w:rFonts w:ascii="Times New Roman" w:eastAsia="Arial" w:hAnsi="Times New Roman" w:cs="Times New Roman"/>
          <w:spacing w:val="-1"/>
          <w:sz w:val="24"/>
          <w:szCs w:val="24"/>
        </w:rPr>
        <w:t xml:space="preserve"> and substitutes fees</w:t>
      </w:r>
      <w:r w:rsidR="00053797" w:rsidRPr="00EA34EC">
        <w:rPr>
          <w:rFonts w:ascii="Times New Roman" w:eastAsia="Arial" w:hAnsi="Times New Roman" w:cs="Times New Roman"/>
          <w:spacing w:val="-1"/>
          <w:sz w:val="24"/>
          <w:szCs w:val="24"/>
        </w:rPr>
        <w:t xml:space="preserve"> for </w:t>
      </w:r>
      <w:r w:rsidR="002D473C" w:rsidRPr="00EA34EC">
        <w:rPr>
          <w:rFonts w:ascii="Times New Roman" w:eastAsia="Arial" w:hAnsi="Times New Roman" w:cs="Times New Roman"/>
          <w:spacing w:val="-1"/>
          <w:sz w:val="24"/>
          <w:szCs w:val="24"/>
        </w:rPr>
        <w:t>line items</w:t>
      </w:r>
      <w:r w:rsidR="00053797" w:rsidRPr="00EA34EC">
        <w:rPr>
          <w:rFonts w:ascii="Times New Roman" w:eastAsia="Arial" w:hAnsi="Times New Roman" w:cs="Times New Roman"/>
          <w:spacing w:val="-1"/>
          <w:sz w:val="24"/>
          <w:szCs w:val="24"/>
        </w:rPr>
        <w:t xml:space="preserve"> </w:t>
      </w:r>
      <w:r w:rsidR="00741AA2">
        <w:rPr>
          <w:rFonts w:ascii="Times New Roman" w:eastAsia="Arial" w:hAnsi="Times New Roman" w:cs="Times New Roman"/>
          <w:spacing w:val="-1"/>
          <w:sz w:val="24"/>
          <w:szCs w:val="24"/>
        </w:rPr>
        <w:t xml:space="preserve">2 to 5 </w:t>
      </w:r>
      <w:r w:rsidR="00053797" w:rsidRPr="00EA34EC">
        <w:rPr>
          <w:rFonts w:ascii="Times New Roman" w:eastAsia="Arial" w:hAnsi="Times New Roman" w:cs="Times New Roman"/>
          <w:spacing w:val="-1"/>
          <w:sz w:val="24"/>
          <w:szCs w:val="24"/>
        </w:rPr>
        <w:t>in the</w:t>
      </w:r>
      <w:r w:rsidRPr="00EA34EC">
        <w:rPr>
          <w:rFonts w:ascii="Times New Roman" w:eastAsia="Arial" w:hAnsi="Times New Roman" w:cs="Times New Roman"/>
          <w:spacing w:val="-1"/>
          <w:sz w:val="24"/>
          <w:szCs w:val="24"/>
        </w:rPr>
        <w:t xml:space="preserve"> table shown at Schedule 1</w:t>
      </w:r>
      <w:r w:rsidR="00B627E2" w:rsidRPr="00EA34EC">
        <w:rPr>
          <w:rFonts w:ascii="Times New Roman" w:eastAsia="Arial" w:hAnsi="Times New Roman" w:cs="Times New Roman"/>
          <w:spacing w:val="-1"/>
          <w:sz w:val="24"/>
          <w:szCs w:val="24"/>
        </w:rPr>
        <w:t xml:space="preserve"> (Fixed fees for the supply of electricity) </w:t>
      </w:r>
      <w:r w:rsidRPr="00EA34EC">
        <w:rPr>
          <w:rFonts w:ascii="Times New Roman" w:eastAsia="Arial" w:hAnsi="Times New Roman" w:cs="Times New Roman"/>
          <w:spacing w:val="-1"/>
          <w:sz w:val="24"/>
          <w:szCs w:val="24"/>
        </w:rPr>
        <w:t xml:space="preserve">of the </w:t>
      </w:r>
      <w:r w:rsidR="00FB2BB3" w:rsidRPr="00EA34EC">
        <w:rPr>
          <w:rFonts w:ascii="Times New Roman" w:eastAsia="Arial" w:hAnsi="Times New Roman" w:cs="Times New Roman"/>
          <w:spacing w:val="-1"/>
          <w:sz w:val="24"/>
          <w:szCs w:val="24"/>
        </w:rPr>
        <w:t>Princip</w:t>
      </w:r>
      <w:r w:rsidR="00FB2BB3">
        <w:rPr>
          <w:rFonts w:ascii="Times New Roman" w:eastAsia="Arial" w:hAnsi="Times New Roman" w:cs="Times New Roman"/>
          <w:spacing w:val="-1"/>
          <w:sz w:val="24"/>
          <w:szCs w:val="24"/>
        </w:rPr>
        <w:t>al</w:t>
      </w:r>
      <w:r w:rsidR="00FB2BB3" w:rsidRPr="00EA34EC">
        <w:rPr>
          <w:rFonts w:ascii="Times New Roman" w:eastAsia="Arial" w:hAnsi="Times New Roman" w:cs="Times New Roman"/>
          <w:spacing w:val="-1"/>
          <w:sz w:val="24"/>
          <w:szCs w:val="24"/>
        </w:rPr>
        <w:t xml:space="preserve"> </w:t>
      </w:r>
      <w:r w:rsidRPr="00EA34EC">
        <w:rPr>
          <w:rFonts w:ascii="Times New Roman" w:eastAsia="Arial" w:hAnsi="Times New Roman" w:cs="Times New Roman"/>
          <w:spacing w:val="-1"/>
          <w:sz w:val="24"/>
          <w:szCs w:val="24"/>
        </w:rPr>
        <w:t>Determination</w:t>
      </w:r>
      <w:r w:rsidR="004B76DE">
        <w:rPr>
          <w:rFonts w:ascii="Times New Roman" w:eastAsia="Arial" w:hAnsi="Times New Roman" w:cs="Times New Roman"/>
          <w:spacing w:val="-1"/>
          <w:sz w:val="24"/>
          <w:szCs w:val="24"/>
        </w:rPr>
        <w:t xml:space="preserve">. </w:t>
      </w:r>
      <w:r w:rsidR="00D71580" w:rsidRPr="00EA34EC">
        <w:rPr>
          <w:rFonts w:ascii="Times New Roman" w:eastAsia="Arial" w:hAnsi="Times New Roman" w:cs="Times New Roman"/>
          <w:spacing w:val="-1"/>
          <w:sz w:val="24"/>
          <w:szCs w:val="24"/>
        </w:rPr>
        <w:t>The fees increase</w:t>
      </w:r>
      <w:r w:rsidR="00040E67">
        <w:rPr>
          <w:rFonts w:ascii="Times New Roman" w:eastAsia="Arial" w:hAnsi="Times New Roman" w:cs="Times New Roman"/>
          <w:spacing w:val="-1"/>
          <w:sz w:val="24"/>
          <w:szCs w:val="24"/>
        </w:rPr>
        <w:t xml:space="preserve"> </w:t>
      </w:r>
      <w:r w:rsidR="00D71580" w:rsidRPr="00EA34EC">
        <w:rPr>
          <w:rFonts w:ascii="Times New Roman" w:eastAsia="Arial" w:hAnsi="Times New Roman" w:cs="Times New Roman"/>
          <w:spacing w:val="-1"/>
          <w:sz w:val="24"/>
          <w:szCs w:val="24"/>
        </w:rPr>
        <w:t xml:space="preserve">the supply </w:t>
      </w:r>
      <w:r w:rsidR="002B5946" w:rsidRPr="00EA34EC">
        <w:rPr>
          <w:rFonts w:ascii="Times New Roman" w:eastAsia="Arial" w:hAnsi="Times New Roman" w:cs="Times New Roman"/>
          <w:spacing w:val="-1"/>
          <w:sz w:val="24"/>
          <w:szCs w:val="24"/>
        </w:rPr>
        <w:t xml:space="preserve">fee </w:t>
      </w:r>
      <w:r w:rsidR="00D46B2F" w:rsidRPr="00EA34EC">
        <w:rPr>
          <w:rFonts w:ascii="Times New Roman" w:eastAsia="Arial" w:hAnsi="Times New Roman" w:cs="Times New Roman"/>
          <w:spacing w:val="-1"/>
          <w:sz w:val="24"/>
          <w:szCs w:val="24"/>
        </w:rPr>
        <w:t xml:space="preserve">ranging from </w:t>
      </w:r>
      <w:r w:rsidR="00D37A0C" w:rsidRPr="00EA34EC">
        <w:rPr>
          <w:rFonts w:ascii="Times New Roman" w:eastAsia="Arial" w:hAnsi="Times New Roman" w:cs="Times New Roman"/>
          <w:spacing w:val="-1"/>
          <w:sz w:val="24"/>
          <w:szCs w:val="24"/>
        </w:rPr>
        <w:t>1.80%</w:t>
      </w:r>
      <w:r w:rsidR="00322B35" w:rsidRPr="00EA34EC">
        <w:rPr>
          <w:rFonts w:ascii="Times New Roman" w:eastAsia="Arial" w:hAnsi="Times New Roman" w:cs="Times New Roman"/>
          <w:spacing w:val="-1"/>
          <w:sz w:val="24"/>
          <w:szCs w:val="24"/>
        </w:rPr>
        <w:t xml:space="preserve"> </w:t>
      </w:r>
      <w:r w:rsidR="00D46B2F" w:rsidRPr="00EA34EC">
        <w:rPr>
          <w:rFonts w:ascii="Times New Roman" w:eastAsia="Arial" w:hAnsi="Times New Roman" w:cs="Times New Roman"/>
          <w:spacing w:val="-1"/>
          <w:sz w:val="24"/>
          <w:szCs w:val="24"/>
        </w:rPr>
        <w:t xml:space="preserve">to </w:t>
      </w:r>
      <w:r w:rsidR="008E2FA0" w:rsidRPr="00EA34EC">
        <w:rPr>
          <w:rFonts w:ascii="Times New Roman" w:eastAsia="Arial" w:hAnsi="Times New Roman" w:cs="Times New Roman"/>
          <w:spacing w:val="-1"/>
          <w:sz w:val="24"/>
          <w:szCs w:val="24"/>
        </w:rPr>
        <w:t>3.70</w:t>
      </w:r>
      <w:r w:rsidR="00D46B2F" w:rsidRPr="00EA34EC">
        <w:rPr>
          <w:rFonts w:ascii="Times New Roman" w:eastAsia="Arial" w:hAnsi="Times New Roman" w:cs="Times New Roman"/>
          <w:spacing w:val="-1"/>
          <w:sz w:val="24"/>
          <w:szCs w:val="24"/>
        </w:rPr>
        <w:t>%</w:t>
      </w:r>
      <w:r w:rsidR="004B76DE">
        <w:rPr>
          <w:rFonts w:ascii="Times New Roman" w:eastAsia="Arial" w:hAnsi="Times New Roman" w:cs="Times New Roman"/>
          <w:spacing w:val="-1"/>
          <w:sz w:val="24"/>
          <w:szCs w:val="24"/>
        </w:rPr>
        <w:t xml:space="preserve"> for items 2 to 5. There were no increases made to Residential</w:t>
      </w:r>
      <w:r w:rsidR="00690549">
        <w:rPr>
          <w:rFonts w:ascii="Times New Roman" w:eastAsia="Arial" w:hAnsi="Times New Roman" w:cs="Times New Roman"/>
          <w:spacing w:val="-1"/>
          <w:sz w:val="24"/>
          <w:szCs w:val="24"/>
        </w:rPr>
        <w:t xml:space="preserve"> A2</w:t>
      </w:r>
      <w:r w:rsidR="004B76DE">
        <w:rPr>
          <w:rFonts w:ascii="Times New Roman" w:eastAsia="Arial" w:hAnsi="Times New Roman" w:cs="Times New Roman"/>
          <w:spacing w:val="-1"/>
          <w:sz w:val="24"/>
          <w:szCs w:val="24"/>
        </w:rPr>
        <w:t xml:space="preserve"> and Government </w:t>
      </w:r>
      <w:r w:rsidR="00690549">
        <w:rPr>
          <w:rFonts w:ascii="Times New Roman" w:eastAsia="Arial" w:hAnsi="Times New Roman" w:cs="Times New Roman"/>
          <w:spacing w:val="-1"/>
          <w:sz w:val="24"/>
          <w:szCs w:val="24"/>
        </w:rPr>
        <w:t>f</w:t>
      </w:r>
      <w:r w:rsidR="004B76DE">
        <w:rPr>
          <w:rFonts w:ascii="Times New Roman" w:eastAsia="Arial" w:hAnsi="Times New Roman" w:cs="Times New Roman"/>
          <w:spacing w:val="-1"/>
          <w:sz w:val="24"/>
          <w:szCs w:val="24"/>
        </w:rPr>
        <w:t>ees</w:t>
      </w:r>
      <w:r w:rsidR="00690549">
        <w:rPr>
          <w:rFonts w:ascii="Times New Roman" w:eastAsia="Arial" w:hAnsi="Times New Roman" w:cs="Times New Roman"/>
          <w:spacing w:val="-1"/>
          <w:sz w:val="24"/>
          <w:szCs w:val="24"/>
        </w:rPr>
        <w:t xml:space="preserve"> N2</w:t>
      </w:r>
      <w:r w:rsidR="004B76DE">
        <w:rPr>
          <w:rFonts w:ascii="Times New Roman" w:eastAsia="Arial" w:hAnsi="Times New Roman" w:cs="Times New Roman"/>
          <w:spacing w:val="-1"/>
          <w:sz w:val="24"/>
          <w:szCs w:val="24"/>
        </w:rPr>
        <w:t xml:space="preserve">.  </w:t>
      </w:r>
    </w:p>
    <w:p w:rsidR="00D46B2F" w:rsidRPr="00EA34EC" w:rsidRDefault="00D46B2F" w:rsidP="00B94771">
      <w:pPr>
        <w:spacing w:before="32" w:after="0" w:line="240" w:lineRule="auto"/>
        <w:ind w:left="100" w:right="254"/>
        <w:rPr>
          <w:rFonts w:ascii="Times New Roman" w:eastAsia="Arial" w:hAnsi="Times New Roman" w:cs="Times New Roman"/>
          <w:spacing w:val="-1"/>
        </w:rPr>
      </w:pPr>
    </w:p>
    <w:tbl>
      <w:tblPr>
        <w:tblW w:w="5157"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99"/>
        <w:gridCol w:w="3547"/>
        <w:gridCol w:w="1559"/>
        <w:gridCol w:w="1138"/>
        <w:gridCol w:w="1275"/>
        <w:gridCol w:w="1412"/>
      </w:tblGrid>
      <w:tr w:rsidR="00054584" w:rsidRPr="00FC4B26" w:rsidTr="00307BEC">
        <w:trPr>
          <w:tblHeader/>
        </w:trPr>
        <w:tc>
          <w:tcPr>
            <w:tcW w:w="314" w:type="pct"/>
            <w:tcBorders>
              <w:top w:val="single" w:sz="12" w:space="0" w:color="auto"/>
              <w:bottom w:val="single" w:sz="4" w:space="0" w:color="auto"/>
            </w:tcBorders>
          </w:tcPr>
          <w:p w:rsidR="00054584" w:rsidRPr="00F75307" w:rsidRDefault="00054584" w:rsidP="00BD4887">
            <w:pPr>
              <w:pStyle w:val="yFootnotesection"/>
              <w:rPr>
                <w:b/>
              </w:rPr>
            </w:pPr>
          </w:p>
        </w:tc>
        <w:tc>
          <w:tcPr>
            <w:tcW w:w="4686" w:type="pct"/>
            <w:gridSpan w:val="5"/>
            <w:tcBorders>
              <w:top w:val="single" w:sz="12" w:space="0" w:color="auto"/>
              <w:bottom w:val="single" w:sz="4" w:space="0" w:color="auto"/>
            </w:tcBorders>
            <w:shd w:val="clear" w:color="auto" w:fill="auto"/>
          </w:tcPr>
          <w:p w:rsidR="00054584" w:rsidRPr="00F75307" w:rsidRDefault="00054584" w:rsidP="00BD4887">
            <w:pPr>
              <w:pStyle w:val="yFootnotesection"/>
              <w:rPr>
                <w:b/>
                <w:i w:val="0"/>
              </w:rPr>
            </w:pPr>
            <w:r w:rsidRPr="00F75307">
              <w:rPr>
                <w:b/>
                <w:i w:val="0"/>
              </w:rPr>
              <w:t>Schedule</w:t>
            </w:r>
            <w:r w:rsidR="00F903BB">
              <w:rPr>
                <w:b/>
                <w:i w:val="0"/>
              </w:rPr>
              <w:t xml:space="preserve"> </w:t>
            </w:r>
            <w:r w:rsidRPr="00F75307">
              <w:rPr>
                <w:b/>
                <w:i w:val="0"/>
              </w:rPr>
              <w:t>1 - Fixed fees for the supply of electricity</w:t>
            </w:r>
          </w:p>
        </w:tc>
      </w:tr>
      <w:tr w:rsidR="00307BEC" w:rsidRPr="00FC4B26" w:rsidTr="00307BE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314" w:type="pct"/>
            <w:tcBorders>
              <w:top w:val="single" w:sz="4" w:space="0" w:color="auto"/>
              <w:bottom w:val="single" w:sz="4" w:space="0" w:color="auto"/>
            </w:tcBorders>
          </w:tcPr>
          <w:p w:rsidR="00054584" w:rsidRPr="0045542D" w:rsidRDefault="00054584" w:rsidP="00BD4887">
            <w:pPr>
              <w:pStyle w:val="yFootnotesection"/>
              <w:rPr>
                <w:b/>
                <w:bCs/>
                <w:i w:val="0"/>
                <w:lang w:val="en-US"/>
              </w:rPr>
            </w:pPr>
            <w:r w:rsidRPr="0045542D">
              <w:rPr>
                <w:b/>
                <w:bCs/>
                <w:i w:val="0"/>
                <w:lang w:val="en-US"/>
              </w:rPr>
              <w:t>Item</w:t>
            </w:r>
          </w:p>
        </w:tc>
        <w:tc>
          <w:tcPr>
            <w:tcW w:w="1861" w:type="pct"/>
            <w:tcBorders>
              <w:top w:val="single" w:sz="4" w:space="0" w:color="auto"/>
              <w:bottom w:val="single" w:sz="4" w:space="0" w:color="auto"/>
            </w:tcBorders>
            <w:noWrap/>
            <w:tcMar>
              <w:top w:w="0" w:type="dxa"/>
              <w:left w:w="28" w:type="dxa"/>
              <w:bottom w:w="0" w:type="dxa"/>
              <w:right w:w="28" w:type="dxa"/>
            </w:tcMar>
            <w:vAlign w:val="center"/>
            <w:hideMark/>
          </w:tcPr>
          <w:p w:rsidR="00054584" w:rsidRPr="0045542D" w:rsidRDefault="001C0734" w:rsidP="00BD4887">
            <w:pPr>
              <w:pStyle w:val="yFootnotesection"/>
              <w:rPr>
                <w:b/>
                <w:bCs/>
                <w:i w:val="0"/>
                <w:lang w:val="en-US"/>
              </w:rPr>
            </w:pPr>
            <w:r>
              <w:rPr>
                <w:b/>
                <w:bCs/>
                <w:i w:val="0"/>
                <w:lang w:val="en-US"/>
              </w:rPr>
              <w:t>Category of premises</w:t>
            </w:r>
          </w:p>
        </w:tc>
        <w:tc>
          <w:tcPr>
            <w:tcW w:w="818" w:type="pct"/>
            <w:tcBorders>
              <w:top w:val="single" w:sz="4" w:space="0" w:color="auto"/>
              <w:bottom w:val="single" w:sz="4" w:space="0" w:color="auto"/>
            </w:tcBorders>
            <w:noWrap/>
            <w:vAlign w:val="center"/>
            <w:hideMark/>
          </w:tcPr>
          <w:p w:rsidR="00054584" w:rsidRPr="0045542D" w:rsidRDefault="00F75307" w:rsidP="00040E67">
            <w:pPr>
              <w:pStyle w:val="yFootnotesection"/>
              <w:jc w:val="center"/>
              <w:rPr>
                <w:b/>
                <w:bCs/>
                <w:i w:val="0"/>
                <w:lang w:val="en-US"/>
              </w:rPr>
            </w:pPr>
            <w:r>
              <w:rPr>
                <w:b/>
                <w:bCs/>
                <w:i w:val="0"/>
                <w:lang w:val="en-US"/>
              </w:rPr>
              <w:t>Units</w:t>
            </w:r>
          </w:p>
        </w:tc>
        <w:tc>
          <w:tcPr>
            <w:tcW w:w="597" w:type="pct"/>
            <w:tcBorders>
              <w:top w:val="single" w:sz="4" w:space="0" w:color="auto"/>
              <w:bottom w:val="single" w:sz="4" w:space="0" w:color="auto"/>
            </w:tcBorders>
            <w:vAlign w:val="center"/>
            <w:hideMark/>
          </w:tcPr>
          <w:p w:rsidR="00054584" w:rsidRPr="0045542D" w:rsidRDefault="00054584" w:rsidP="00217172">
            <w:pPr>
              <w:pStyle w:val="yFootnotesection"/>
              <w:jc w:val="center"/>
              <w:rPr>
                <w:rFonts w:eastAsia="Arial"/>
                <w:b/>
                <w:bCs/>
                <w:i w:val="0"/>
                <w:spacing w:val="1"/>
                <w:lang w:val="en-US"/>
              </w:rPr>
            </w:pPr>
            <w:r w:rsidRPr="0045542D">
              <w:rPr>
                <w:b/>
                <w:bCs/>
                <w:i w:val="0"/>
                <w:lang w:val="en-US"/>
              </w:rPr>
              <w:t>Previous</w:t>
            </w:r>
          </w:p>
        </w:tc>
        <w:tc>
          <w:tcPr>
            <w:tcW w:w="669" w:type="pct"/>
            <w:tcBorders>
              <w:top w:val="single" w:sz="4" w:space="0" w:color="auto"/>
              <w:bottom w:val="single" w:sz="4" w:space="0" w:color="auto"/>
            </w:tcBorders>
            <w:tcMar>
              <w:top w:w="0" w:type="dxa"/>
              <w:left w:w="28" w:type="dxa"/>
              <w:bottom w:w="0" w:type="dxa"/>
              <w:right w:w="28" w:type="dxa"/>
            </w:tcMar>
            <w:vAlign w:val="center"/>
            <w:hideMark/>
          </w:tcPr>
          <w:p w:rsidR="00054584" w:rsidRPr="0045542D" w:rsidRDefault="00054584" w:rsidP="00217172">
            <w:pPr>
              <w:pStyle w:val="yFootnotesection"/>
              <w:jc w:val="center"/>
              <w:rPr>
                <w:b/>
                <w:bCs/>
                <w:i w:val="0"/>
                <w:lang w:val="en-US"/>
              </w:rPr>
            </w:pPr>
            <w:r w:rsidRPr="0045542D">
              <w:rPr>
                <w:b/>
                <w:bCs/>
                <w:i w:val="0"/>
                <w:lang w:val="en-US"/>
              </w:rPr>
              <w:t>Current</w:t>
            </w:r>
          </w:p>
        </w:tc>
        <w:tc>
          <w:tcPr>
            <w:tcW w:w="741" w:type="pct"/>
            <w:tcBorders>
              <w:top w:val="single" w:sz="4" w:space="0" w:color="auto"/>
              <w:bottom w:val="single" w:sz="4" w:space="0" w:color="auto"/>
            </w:tcBorders>
            <w:tcMar>
              <w:top w:w="0" w:type="dxa"/>
              <w:left w:w="28" w:type="dxa"/>
              <w:bottom w:w="0" w:type="dxa"/>
              <w:right w:w="28" w:type="dxa"/>
            </w:tcMar>
            <w:vAlign w:val="center"/>
            <w:hideMark/>
          </w:tcPr>
          <w:p w:rsidR="00054584" w:rsidRPr="0045542D" w:rsidRDefault="00054584" w:rsidP="00217172">
            <w:pPr>
              <w:pStyle w:val="yFootnotesection"/>
              <w:tabs>
                <w:tab w:val="clear" w:pos="893"/>
              </w:tabs>
              <w:jc w:val="center"/>
              <w:rPr>
                <w:b/>
                <w:bCs/>
                <w:i w:val="0"/>
                <w:lang w:val="en-US"/>
              </w:rPr>
            </w:pPr>
            <w:r w:rsidRPr="0045542D">
              <w:rPr>
                <w:b/>
                <w:bCs/>
                <w:i w:val="0"/>
                <w:lang w:val="en-US"/>
              </w:rPr>
              <w:t>Variance</w:t>
            </w:r>
          </w:p>
        </w:tc>
      </w:tr>
      <w:tr w:rsidR="00307BEC" w:rsidRPr="00FC4B26" w:rsidTr="00804CDD">
        <w:tblPrEx>
          <w:tblCellMar>
            <w:left w:w="0" w:type="dxa"/>
            <w:right w:w="0" w:type="dxa"/>
          </w:tblCellMar>
        </w:tblPrEx>
        <w:trPr>
          <w:trHeight w:val="195"/>
        </w:trPr>
        <w:tc>
          <w:tcPr>
            <w:tcW w:w="314" w:type="pct"/>
            <w:tcBorders>
              <w:top w:val="nil"/>
              <w:bottom w:val="single" w:sz="4" w:space="0" w:color="auto"/>
            </w:tcBorders>
          </w:tcPr>
          <w:p w:rsidR="00054584" w:rsidRPr="0045542D" w:rsidRDefault="00054584" w:rsidP="00054584">
            <w:pPr>
              <w:pStyle w:val="yFootnotesection"/>
              <w:jc w:val="center"/>
              <w:rPr>
                <w:bCs/>
                <w:i w:val="0"/>
                <w:lang w:val="en-US"/>
              </w:rPr>
            </w:pPr>
            <w:r w:rsidRPr="0045542D">
              <w:rPr>
                <w:bCs/>
                <w:i w:val="0"/>
                <w:lang w:val="en-US"/>
              </w:rPr>
              <w:t>2</w:t>
            </w:r>
          </w:p>
        </w:tc>
        <w:tc>
          <w:tcPr>
            <w:tcW w:w="1861" w:type="pct"/>
            <w:tcBorders>
              <w:top w:val="nil"/>
              <w:bottom w:val="single" w:sz="4" w:space="0" w:color="auto"/>
            </w:tcBorders>
            <w:noWrap/>
            <w:tcMar>
              <w:top w:w="0" w:type="dxa"/>
              <w:left w:w="28" w:type="dxa"/>
              <w:bottom w:w="0" w:type="dxa"/>
              <w:right w:w="28" w:type="dxa"/>
            </w:tcMar>
            <w:vAlign w:val="bottom"/>
            <w:hideMark/>
          </w:tcPr>
          <w:p w:rsidR="00054584" w:rsidRPr="0045542D" w:rsidRDefault="00054584" w:rsidP="00F8150E">
            <w:pPr>
              <w:pStyle w:val="yFootnotesection"/>
              <w:rPr>
                <w:bCs/>
                <w:i w:val="0"/>
                <w:lang w:val="en-US"/>
              </w:rPr>
            </w:pPr>
            <w:r w:rsidRPr="0045542D">
              <w:rPr>
                <w:bCs/>
                <w:i w:val="0"/>
                <w:lang w:val="en-US"/>
              </w:rPr>
              <w:t xml:space="preserve">Community </w:t>
            </w:r>
            <w:r w:rsidR="00900993">
              <w:rPr>
                <w:bCs/>
                <w:i w:val="0"/>
                <w:lang w:val="en-US"/>
              </w:rPr>
              <w:t>s</w:t>
            </w:r>
            <w:r w:rsidRPr="0045542D">
              <w:rPr>
                <w:bCs/>
                <w:i w:val="0"/>
                <w:lang w:val="en-US"/>
              </w:rPr>
              <w:t>ervice C2</w:t>
            </w:r>
          </w:p>
        </w:tc>
        <w:tc>
          <w:tcPr>
            <w:tcW w:w="818" w:type="pct"/>
            <w:tcBorders>
              <w:top w:val="nil"/>
              <w:bottom w:val="single" w:sz="4" w:space="0" w:color="auto"/>
            </w:tcBorders>
            <w:noWrap/>
            <w:tcMar>
              <w:top w:w="0" w:type="dxa"/>
              <w:left w:w="0" w:type="dxa"/>
              <w:bottom w:w="0" w:type="dxa"/>
              <w:right w:w="57" w:type="dxa"/>
            </w:tcMar>
            <w:vAlign w:val="bottom"/>
          </w:tcPr>
          <w:p w:rsidR="00054584" w:rsidRPr="0045542D" w:rsidRDefault="00054584" w:rsidP="00307BEC">
            <w:pPr>
              <w:pStyle w:val="yFootnotesection"/>
              <w:jc w:val="center"/>
              <w:rPr>
                <w:b/>
                <w:bCs/>
                <w:i w:val="0"/>
                <w:lang w:val="en-US"/>
              </w:rPr>
            </w:pPr>
            <w:r w:rsidRPr="0045542D">
              <w:rPr>
                <w:i w:val="0"/>
                <w:lang w:val="en-US"/>
              </w:rPr>
              <w:t>cents per day</w:t>
            </w:r>
          </w:p>
        </w:tc>
        <w:tc>
          <w:tcPr>
            <w:tcW w:w="597" w:type="pct"/>
            <w:tcBorders>
              <w:top w:val="nil"/>
              <w:bottom w:val="single" w:sz="4" w:space="0" w:color="auto"/>
            </w:tcBorders>
            <w:noWrap/>
            <w:tcMar>
              <w:top w:w="0" w:type="dxa"/>
              <w:left w:w="0" w:type="dxa"/>
              <w:bottom w:w="0" w:type="dxa"/>
              <w:right w:w="57" w:type="dxa"/>
            </w:tcMar>
            <w:vAlign w:val="bottom"/>
          </w:tcPr>
          <w:p w:rsidR="00054584" w:rsidRPr="0045542D" w:rsidRDefault="00054584" w:rsidP="00040E67">
            <w:pPr>
              <w:pStyle w:val="yFootnotesection"/>
              <w:jc w:val="center"/>
              <w:rPr>
                <w:i w:val="0"/>
                <w:lang w:val="en-US"/>
              </w:rPr>
            </w:pPr>
            <w:r w:rsidRPr="0045542D">
              <w:rPr>
                <w:i w:val="0"/>
                <w:lang w:val="en-US"/>
              </w:rPr>
              <w:t>88.4349</w:t>
            </w:r>
          </w:p>
        </w:tc>
        <w:tc>
          <w:tcPr>
            <w:tcW w:w="669" w:type="pct"/>
            <w:tcBorders>
              <w:top w:val="nil"/>
              <w:bottom w:val="single" w:sz="4" w:space="0" w:color="auto"/>
            </w:tcBorders>
            <w:tcMar>
              <w:top w:w="0" w:type="dxa"/>
              <w:left w:w="28" w:type="dxa"/>
              <w:bottom w:w="0" w:type="dxa"/>
              <w:right w:w="28" w:type="dxa"/>
            </w:tcMar>
            <w:vAlign w:val="bottom"/>
          </w:tcPr>
          <w:p w:rsidR="00054584" w:rsidRPr="0045542D" w:rsidRDefault="00054584" w:rsidP="00040E67">
            <w:pPr>
              <w:pStyle w:val="yFootnotesection"/>
              <w:jc w:val="center"/>
              <w:rPr>
                <w:i w:val="0"/>
                <w:lang w:val="en-US"/>
              </w:rPr>
            </w:pPr>
            <w:r w:rsidRPr="0045542D">
              <w:rPr>
                <w:i w:val="0"/>
                <w:lang w:val="en-US"/>
              </w:rPr>
              <w:t>90.6458</w:t>
            </w:r>
          </w:p>
        </w:tc>
        <w:tc>
          <w:tcPr>
            <w:tcW w:w="741" w:type="pct"/>
            <w:tcBorders>
              <w:top w:val="nil"/>
              <w:bottom w:val="single" w:sz="4" w:space="0" w:color="auto"/>
            </w:tcBorders>
            <w:tcMar>
              <w:top w:w="0" w:type="dxa"/>
              <w:left w:w="28" w:type="dxa"/>
              <w:bottom w:w="0" w:type="dxa"/>
              <w:right w:w="28" w:type="dxa"/>
            </w:tcMar>
            <w:vAlign w:val="bottom"/>
          </w:tcPr>
          <w:p w:rsidR="00054584" w:rsidRPr="0045542D" w:rsidRDefault="00054584" w:rsidP="00307BEC">
            <w:pPr>
              <w:pStyle w:val="yFootnotesection"/>
              <w:tabs>
                <w:tab w:val="clear" w:pos="893"/>
              </w:tabs>
              <w:ind w:left="0" w:firstLine="0"/>
              <w:jc w:val="center"/>
              <w:rPr>
                <w:bCs/>
                <w:i w:val="0"/>
                <w:lang w:val="en-US"/>
              </w:rPr>
            </w:pPr>
            <w:r w:rsidRPr="0045542D">
              <w:rPr>
                <w:bCs/>
                <w:i w:val="0"/>
                <w:lang w:val="en-US"/>
              </w:rPr>
              <w:t>2.50% Increase</w:t>
            </w:r>
          </w:p>
        </w:tc>
      </w:tr>
      <w:tr w:rsidR="00307BEC" w:rsidRPr="00FC4B26" w:rsidTr="00C1612F">
        <w:tblPrEx>
          <w:tblCellMar>
            <w:left w:w="0" w:type="dxa"/>
            <w:right w:w="0" w:type="dxa"/>
          </w:tblCellMar>
        </w:tblPrEx>
        <w:trPr>
          <w:trHeight w:val="400"/>
        </w:trPr>
        <w:tc>
          <w:tcPr>
            <w:tcW w:w="314" w:type="pct"/>
            <w:tcBorders>
              <w:top w:val="single" w:sz="4" w:space="0" w:color="auto"/>
              <w:bottom w:val="single" w:sz="4" w:space="0" w:color="auto"/>
            </w:tcBorders>
          </w:tcPr>
          <w:p w:rsidR="00054584" w:rsidRPr="0045542D" w:rsidRDefault="00054584" w:rsidP="00054584">
            <w:pPr>
              <w:pStyle w:val="yFootnotesection"/>
              <w:jc w:val="center"/>
              <w:rPr>
                <w:bCs/>
                <w:i w:val="0"/>
                <w:lang w:val="en-US"/>
              </w:rPr>
            </w:pPr>
            <w:r w:rsidRPr="0045542D">
              <w:rPr>
                <w:bCs/>
                <w:i w:val="0"/>
                <w:lang w:val="en-US"/>
              </w:rPr>
              <w:t>3</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rsidR="00054584" w:rsidRPr="0045542D" w:rsidRDefault="00054584" w:rsidP="00F8150E">
            <w:pPr>
              <w:pStyle w:val="yFootnotesection"/>
              <w:rPr>
                <w:bCs/>
                <w:i w:val="0"/>
                <w:lang w:val="en-US"/>
              </w:rPr>
            </w:pPr>
            <w:r w:rsidRPr="0045542D">
              <w:rPr>
                <w:bCs/>
                <w:i w:val="0"/>
                <w:lang w:val="en-US"/>
              </w:rPr>
              <w:t xml:space="preserve">Charitable </w:t>
            </w:r>
            <w:r w:rsidR="00900993">
              <w:rPr>
                <w:bCs/>
                <w:i w:val="0"/>
                <w:lang w:val="en-US"/>
              </w:rPr>
              <w:t>r</w:t>
            </w:r>
            <w:r w:rsidRPr="0045542D">
              <w:rPr>
                <w:bCs/>
                <w:i w:val="0"/>
                <w:lang w:val="en-US"/>
              </w:rPr>
              <w:t>esidential</w:t>
            </w:r>
            <w:r w:rsidR="00900993">
              <w:rPr>
                <w:bCs/>
                <w:i w:val="0"/>
                <w:lang w:val="en-US"/>
              </w:rPr>
              <w:t xml:space="preserve"> </w:t>
            </w:r>
            <w:r w:rsidRPr="0045542D">
              <w:rPr>
                <w:bCs/>
                <w:i w:val="0"/>
                <w:lang w:val="en-US"/>
              </w:rPr>
              <w:t xml:space="preserve">D2 </w:t>
            </w:r>
          </w:p>
        </w:tc>
        <w:tc>
          <w:tcPr>
            <w:tcW w:w="818" w:type="pct"/>
            <w:tcBorders>
              <w:top w:val="single" w:sz="4" w:space="0" w:color="auto"/>
              <w:bottom w:val="single" w:sz="4" w:space="0" w:color="auto"/>
            </w:tcBorders>
            <w:noWrap/>
            <w:tcMar>
              <w:top w:w="0" w:type="dxa"/>
              <w:left w:w="0" w:type="dxa"/>
              <w:bottom w:w="0" w:type="dxa"/>
              <w:right w:w="57" w:type="dxa"/>
            </w:tcMar>
            <w:vAlign w:val="bottom"/>
          </w:tcPr>
          <w:p w:rsidR="00054584" w:rsidRPr="0045542D" w:rsidRDefault="00054584" w:rsidP="00307BEC">
            <w:pPr>
              <w:pStyle w:val="yFootnotesection"/>
              <w:jc w:val="center"/>
              <w:rPr>
                <w:b/>
                <w:bCs/>
                <w:i w:val="0"/>
                <w:lang w:val="en-US"/>
              </w:rPr>
            </w:pPr>
            <w:r w:rsidRPr="0045542D">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rsidR="00054584" w:rsidRPr="0045542D" w:rsidRDefault="00054584" w:rsidP="00040E67">
            <w:pPr>
              <w:pStyle w:val="yFootnotesection"/>
              <w:jc w:val="center"/>
              <w:rPr>
                <w:i w:val="0"/>
                <w:lang w:val="en-US"/>
              </w:rPr>
            </w:pPr>
            <w:r w:rsidRPr="0045542D">
              <w:rPr>
                <w:i w:val="0"/>
                <w:lang w:val="en-US"/>
              </w:rPr>
              <w:t>87.8310</w:t>
            </w:r>
          </w:p>
        </w:tc>
        <w:tc>
          <w:tcPr>
            <w:tcW w:w="669" w:type="pct"/>
            <w:tcBorders>
              <w:top w:val="single" w:sz="4" w:space="0" w:color="auto"/>
              <w:bottom w:val="single" w:sz="4" w:space="0" w:color="auto"/>
            </w:tcBorders>
            <w:tcMar>
              <w:top w:w="0" w:type="dxa"/>
              <w:left w:w="28" w:type="dxa"/>
              <w:bottom w:w="0" w:type="dxa"/>
              <w:right w:w="28" w:type="dxa"/>
            </w:tcMar>
            <w:vAlign w:val="bottom"/>
          </w:tcPr>
          <w:p w:rsidR="00054584" w:rsidRPr="0045542D" w:rsidRDefault="00054584" w:rsidP="00040E67">
            <w:pPr>
              <w:pStyle w:val="yFootnotesection"/>
              <w:jc w:val="center"/>
              <w:rPr>
                <w:i w:val="0"/>
                <w:lang w:val="en-US"/>
              </w:rPr>
            </w:pPr>
            <w:r w:rsidRPr="0045542D">
              <w:rPr>
                <w:i w:val="0"/>
                <w:lang w:val="en-US"/>
              </w:rPr>
              <w:t>89.41</w:t>
            </w:r>
            <w:r w:rsidR="00900993">
              <w:rPr>
                <w:i w:val="0"/>
                <w:lang w:val="en-US"/>
              </w:rPr>
              <w:t>20</w:t>
            </w:r>
          </w:p>
        </w:tc>
        <w:tc>
          <w:tcPr>
            <w:tcW w:w="741" w:type="pct"/>
            <w:tcBorders>
              <w:top w:val="single" w:sz="4" w:space="0" w:color="auto"/>
              <w:bottom w:val="single" w:sz="4" w:space="0" w:color="auto"/>
            </w:tcBorders>
            <w:tcMar>
              <w:top w:w="0" w:type="dxa"/>
              <w:left w:w="28" w:type="dxa"/>
              <w:bottom w:w="0" w:type="dxa"/>
              <w:right w:w="28" w:type="dxa"/>
            </w:tcMar>
            <w:vAlign w:val="bottom"/>
          </w:tcPr>
          <w:p w:rsidR="00054584" w:rsidRPr="0045542D" w:rsidRDefault="00054584" w:rsidP="00307BEC">
            <w:pPr>
              <w:pStyle w:val="yFootnotesection"/>
              <w:tabs>
                <w:tab w:val="clear" w:pos="893"/>
              </w:tabs>
              <w:ind w:left="0" w:firstLine="0"/>
              <w:jc w:val="center"/>
              <w:rPr>
                <w:bCs/>
                <w:i w:val="0"/>
                <w:lang w:val="en-US"/>
              </w:rPr>
            </w:pPr>
            <w:r w:rsidRPr="0045542D">
              <w:rPr>
                <w:bCs/>
                <w:i w:val="0"/>
                <w:lang w:val="en-US"/>
              </w:rPr>
              <w:t>1.80% Increase</w:t>
            </w:r>
          </w:p>
        </w:tc>
      </w:tr>
      <w:tr w:rsidR="00307BEC" w:rsidRPr="00FC4B26" w:rsidTr="00C1612F">
        <w:tblPrEx>
          <w:tblCellMar>
            <w:left w:w="0" w:type="dxa"/>
            <w:right w:w="0" w:type="dxa"/>
          </w:tblCellMar>
        </w:tblPrEx>
        <w:trPr>
          <w:trHeight w:val="227"/>
        </w:trPr>
        <w:tc>
          <w:tcPr>
            <w:tcW w:w="314" w:type="pct"/>
            <w:tcBorders>
              <w:top w:val="single" w:sz="4" w:space="0" w:color="auto"/>
              <w:bottom w:val="single" w:sz="4" w:space="0" w:color="auto"/>
            </w:tcBorders>
          </w:tcPr>
          <w:p w:rsidR="00054584" w:rsidRPr="00EA34EC" w:rsidRDefault="00054584" w:rsidP="00054584">
            <w:pPr>
              <w:pStyle w:val="yFootnotesection"/>
              <w:jc w:val="center"/>
              <w:rPr>
                <w:bCs/>
                <w:i w:val="0"/>
                <w:lang w:val="en-US"/>
              </w:rPr>
            </w:pPr>
            <w:r w:rsidRPr="00EA34EC">
              <w:rPr>
                <w:bCs/>
                <w:i w:val="0"/>
                <w:lang w:val="en-US"/>
              </w:rPr>
              <w:lastRenderedPageBreak/>
              <w:t>4</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rsidR="00054584" w:rsidRPr="00EA34EC" w:rsidRDefault="00054584" w:rsidP="00F8150E">
            <w:pPr>
              <w:pStyle w:val="yFootnotesection"/>
              <w:rPr>
                <w:bCs/>
                <w:i w:val="0"/>
                <w:lang w:val="en-US"/>
              </w:rPr>
            </w:pPr>
            <w:r w:rsidRPr="00EA34EC">
              <w:rPr>
                <w:bCs/>
                <w:i w:val="0"/>
                <w:lang w:val="en-US"/>
              </w:rPr>
              <w:t>Business</w:t>
            </w:r>
            <w:r w:rsidR="00900993">
              <w:rPr>
                <w:bCs/>
                <w:i w:val="0"/>
                <w:lang w:val="en-US"/>
              </w:rPr>
              <w:t>/r</w:t>
            </w:r>
            <w:r w:rsidRPr="00EA34EC">
              <w:rPr>
                <w:bCs/>
                <w:i w:val="0"/>
                <w:lang w:val="en-US"/>
              </w:rPr>
              <w:t>esidential K2</w:t>
            </w:r>
          </w:p>
        </w:tc>
        <w:tc>
          <w:tcPr>
            <w:tcW w:w="818" w:type="pct"/>
            <w:tcBorders>
              <w:top w:val="single" w:sz="4" w:space="0" w:color="auto"/>
              <w:bottom w:val="single" w:sz="4" w:space="0" w:color="auto"/>
            </w:tcBorders>
            <w:noWrap/>
            <w:tcMar>
              <w:top w:w="0" w:type="dxa"/>
              <w:left w:w="0" w:type="dxa"/>
              <w:bottom w:w="0" w:type="dxa"/>
              <w:right w:w="57" w:type="dxa"/>
            </w:tcMar>
            <w:vAlign w:val="bottom"/>
          </w:tcPr>
          <w:p w:rsidR="00054584" w:rsidRPr="00EA34EC" w:rsidRDefault="00054584" w:rsidP="00040E67">
            <w:pPr>
              <w:pStyle w:val="yFootnotesection"/>
              <w:jc w:val="center"/>
              <w:rPr>
                <w:b/>
                <w:bCs/>
                <w:i w:val="0"/>
                <w:lang w:val="en-US"/>
              </w:rPr>
            </w:pPr>
            <w:r w:rsidRPr="00EA34EC">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rsidR="00054584" w:rsidRPr="00EA34EC" w:rsidRDefault="00054584" w:rsidP="00040E67">
            <w:pPr>
              <w:pStyle w:val="yFootnotesection"/>
              <w:jc w:val="center"/>
              <w:rPr>
                <w:i w:val="0"/>
                <w:lang w:val="en-US"/>
              </w:rPr>
            </w:pPr>
            <w:r w:rsidRPr="00EA34EC">
              <w:rPr>
                <w:i w:val="0"/>
                <w:lang w:val="en-US"/>
              </w:rPr>
              <w:t>160.7818</w:t>
            </w:r>
          </w:p>
        </w:tc>
        <w:tc>
          <w:tcPr>
            <w:tcW w:w="669" w:type="pct"/>
            <w:tcBorders>
              <w:top w:val="single" w:sz="4" w:space="0" w:color="auto"/>
              <w:bottom w:val="single" w:sz="4" w:space="0" w:color="auto"/>
            </w:tcBorders>
            <w:tcMar>
              <w:top w:w="0" w:type="dxa"/>
              <w:left w:w="28" w:type="dxa"/>
              <w:bottom w:w="0" w:type="dxa"/>
              <w:right w:w="28" w:type="dxa"/>
            </w:tcMar>
            <w:vAlign w:val="bottom"/>
          </w:tcPr>
          <w:p w:rsidR="00054584" w:rsidRPr="00EA34EC" w:rsidRDefault="00054584" w:rsidP="00040E67">
            <w:pPr>
              <w:pStyle w:val="yFootnotesection"/>
              <w:jc w:val="center"/>
              <w:rPr>
                <w:i w:val="0"/>
                <w:lang w:val="en-US"/>
              </w:rPr>
            </w:pPr>
            <w:r w:rsidRPr="00EA34EC">
              <w:rPr>
                <w:i w:val="0"/>
                <w:lang w:val="en-US"/>
              </w:rPr>
              <w:t>165.7636</w:t>
            </w:r>
          </w:p>
        </w:tc>
        <w:tc>
          <w:tcPr>
            <w:tcW w:w="741" w:type="pct"/>
            <w:tcBorders>
              <w:top w:val="single" w:sz="4" w:space="0" w:color="auto"/>
              <w:bottom w:val="single" w:sz="4" w:space="0" w:color="auto"/>
            </w:tcBorders>
            <w:tcMar>
              <w:top w:w="0" w:type="dxa"/>
              <w:left w:w="28" w:type="dxa"/>
              <w:bottom w:w="0" w:type="dxa"/>
              <w:right w:w="28" w:type="dxa"/>
            </w:tcMar>
            <w:vAlign w:val="bottom"/>
          </w:tcPr>
          <w:p w:rsidR="00054584" w:rsidRPr="00EA34EC" w:rsidRDefault="00054584" w:rsidP="00307BEC">
            <w:pPr>
              <w:pStyle w:val="yFootnotesection"/>
              <w:tabs>
                <w:tab w:val="clear" w:pos="893"/>
              </w:tabs>
              <w:ind w:left="0" w:firstLine="0"/>
              <w:jc w:val="center"/>
              <w:rPr>
                <w:bCs/>
                <w:i w:val="0"/>
                <w:lang w:val="en-US"/>
              </w:rPr>
            </w:pPr>
            <w:r w:rsidRPr="00EA34EC">
              <w:rPr>
                <w:bCs/>
                <w:i w:val="0"/>
                <w:lang w:val="en-US"/>
              </w:rPr>
              <w:t>3.10% Increase</w:t>
            </w:r>
          </w:p>
        </w:tc>
      </w:tr>
      <w:tr w:rsidR="00307BEC" w:rsidRPr="00FC4B26" w:rsidTr="00C1612F">
        <w:tblPrEx>
          <w:tblCellMar>
            <w:left w:w="0" w:type="dxa"/>
            <w:right w:w="0" w:type="dxa"/>
          </w:tblCellMar>
        </w:tblPrEx>
        <w:trPr>
          <w:trHeight w:val="227"/>
        </w:trPr>
        <w:tc>
          <w:tcPr>
            <w:tcW w:w="314" w:type="pct"/>
            <w:tcBorders>
              <w:top w:val="single" w:sz="4" w:space="0" w:color="auto"/>
              <w:left w:val="nil"/>
              <w:bottom w:val="single" w:sz="12" w:space="0" w:color="auto"/>
            </w:tcBorders>
          </w:tcPr>
          <w:p w:rsidR="00054584" w:rsidRPr="00EA34EC" w:rsidRDefault="00054584" w:rsidP="00054584">
            <w:pPr>
              <w:pStyle w:val="yFootnotesection"/>
              <w:jc w:val="center"/>
              <w:rPr>
                <w:bCs/>
                <w:i w:val="0"/>
                <w:lang w:val="en-US"/>
              </w:rPr>
            </w:pPr>
            <w:r w:rsidRPr="00EA34EC">
              <w:rPr>
                <w:bCs/>
                <w:i w:val="0"/>
                <w:lang w:val="en-US"/>
              </w:rPr>
              <w:t>5</w:t>
            </w:r>
          </w:p>
        </w:tc>
        <w:tc>
          <w:tcPr>
            <w:tcW w:w="1861" w:type="pct"/>
            <w:tcBorders>
              <w:top w:val="single" w:sz="4" w:space="0" w:color="auto"/>
              <w:bottom w:val="single" w:sz="12" w:space="0" w:color="auto"/>
            </w:tcBorders>
            <w:noWrap/>
            <w:tcMar>
              <w:top w:w="0" w:type="dxa"/>
              <w:left w:w="28" w:type="dxa"/>
              <w:bottom w:w="0" w:type="dxa"/>
              <w:right w:w="28" w:type="dxa"/>
            </w:tcMar>
            <w:vAlign w:val="bottom"/>
            <w:hideMark/>
          </w:tcPr>
          <w:p w:rsidR="00054584" w:rsidRPr="00EA34EC" w:rsidRDefault="00054584" w:rsidP="00F8150E">
            <w:pPr>
              <w:pStyle w:val="yFootnotesection"/>
              <w:rPr>
                <w:bCs/>
                <w:i w:val="0"/>
                <w:lang w:val="en-US"/>
              </w:rPr>
            </w:pPr>
            <w:r w:rsidRPr="00EA34EC">
              <w:rPr>
                <w:bCs/>
                <w:i w:val="0"/>
                <w:lang w:val="en-US"/>
              </w:rPr>
              <w:t>Business </w:t>
            </w:r>
            <w:r w:rsidR="00900993">
              <w:rPr>
                <w:bCs/>
                <w:i w:val="0"/>
                <w:lang w:val="en-US"/>
              </w:rPr>
              <w:t xml:space="preserve">and local government </w:t>
            </w:r>
            <w:r w:rsidRPr="00EA34EC">
              <w:rPr>
                <w:bCs/>
                <w:i w:val="0"/>
                <w:lang w:val="en-US"/>
              </w:rPr>
              <w:t>L2</w:t>
            </w:r>
          </w:p>
        </w:tc>
        <w:tc>
          <w:tcPr>
            <w:tcW w:w="818" w:type="pct"/>
            <w:tcBorders>
              <w:top w:val="single" w:sz="4" w:space="0" w:color="auto"/>
              <w:bottom w:val="single" w:sz="12" w:space="0" w:color="auto"/>
            </w:tcBorders>
            <w:noWrap/>
            <w:tcMar>
              <w:top w:w="0" w:type="dxa"/>
              <w:left w:w="0" w:type="dxa"/>
              <w:bottom w:w="0" w:type="dxa"/>
              <w:right w:w="57" w:type="dxa"/>
            </w:tcMar>
            <w:vAlign w:val="bottom"/>
          </w:tcPr>
          <w:p w:rsidR="00054584" w:rsidRPr="00EA34EC" w:rsidRDefault="00054584" w:rsidP="00040E67">
            <w:pPr>
              <w:pStyle w:val="yFootnotesection"/>
              <w:jc w:val="center"/>
              <w:rPr>
                <w:b/>
                <w:bCs/>
                <w:i w:val="0"/>
                <w:lang w:val="en-US"/>
              </w:rPr>
            </w:pPr>
            <w:r w:rsidRPr="00EA34EC">
              <w:rPr>
                <w:i w:val="0"/>
                <w:lang w:val="en-US"/>
              </w:rPr>
              <w:t>cents per day</w:t>
            </w:r>
          </w:p>
        </w:tc>
        <w:tc>
          <w:tcPr>
            <w:tcW w:w="597" w:type="pct"/>
            <w:tcBorders>
              <w:top w:val="single" w:sz="4" w:space="0" w:color="auto"/>
              <w:bottom w:val="single" w:sz="12" w:space="0" w:color="auto"/>
            </w:tcBorders>
            <w:noWrap/>
            <w:tcMar>
              <w:top w:w="0" w:type="dxa"/>
              <w:left w:w="0" w:type="dxa"/>
              <w:bottom w:w="0" w:type="dxa"/>
              <w:right w:w="57" w:type="dxa"/>
            </w:tcMar>
            <w:vAlign w:val="bottom"/>
          </w:tcPr>
          <w:p w:rsidR="00054584" w:rsidRPr="00EA34EC" w:rsidRDefault="00054584" w:rsidP="00040E67">
            <w:pPr>
              <w:pStyle w:val="yFootnotesection"/>
              <w:jc w:val="center"/>
              <w:rPr>
                <w:i w:val="0"/>
                <w:lang w:val="en-US"/>
              </w:rPr>
            </w:pPr>
            <w:r w:rsidRPr="00EA34EC">
              <w:rPr>
                <w:i w:val="0"/>
                <w:lang w:val="en-US"/>
              </w:rPr>
              <w:t>161.7182</w:t>
            </w:r>
          </w:p>
        </w:tc>
        <w:tc>
          <w:tcPr>
            <w:tcW w:w="669" w:type="pct"/>
            <w:tcBorders>
              <w:top w:val="single" w:sz="4" w:space="0" w:color="auto"/>
              <w:bottom w:val="single" w:sz="12" w:space="0" w:color="auto"/>
            </w:tcBorders>
            <w:tcMar>
              <w:top w:w="0" w:type="dxa"/>
              <w:left w:w="28" w:type="dxa"/>
              <w:bottom w:w="0" w:type="dxa"/>
              <w:right w:w="28" w:type="dxa"/>
            </w:tcMar>
            <w:vAlign w:val="bottom"/>
          </w:tcPr>
          <w:p w:rsidR="00054584" w:rsidRPr="00EA34EC" w:rsidRDefault="00054584" w:rsidP="00040E67">
            <w:pPr>
              <w:pStyle w:val="yFootnotesection"/>
              <w:jc w:val="center"/>
              <w:rPr>
                <w:i w:val="0"/>
                <w:lang w:val="en-US"/>
              </w:rPr>
            </w:pPr>
            <w:r w:rsidRPr="00EA34EC">
              <w:rPr>
                <w:i w:val="0"/>
                <w:lang w:val="en-US"/>
              </w:rPr>
              <w:t>167.6791</w:t>
            </w:r>
          </w:p>
        </w:tc>
        <w:tc>
          <w:tcPr>
            <w:tcW w:w="741" w:type="pct"/>
            <w:tcBorders>
              <w:top w:val="single" w:sz="4" w:space="0" w:color="auto"/>
              <w:bottom w:val="single" w:sz="12" w:space="0" w:color="auto"/>
            </w:tcBorders>
          </w:tcPr>
          <w:p w:rsidR="00054584" w:rsidRPr="00EA34EC" w:rsidRDefault="00054584" w:rsidP="00307BEC">
            <w:pPr>
              <w:pStyle w:val="yFootnotesection"/>
              <w:tabs>
                <w:tab w:val="clear" w:pos="893"/>
              </w:tabs>
              <w:ind w:left="0" w:firstLine="0"/>
              <w:jc w:val="center"/>
              <w:rPr>
                <w:i w:val="0"/>
                <w:lang w:val="en-US"/>
              </w:rPr>
            </w:pPr>
            <w:r w:rsidRPr="00EA34EC">
              <w:rPr>
                <w:i w:val="0"/>
                <w:lang w:val="en-US"/>
              </w:rPr>
              <w:t>3.70% Increase</w:t>
            </w:r>
          </w:p>
        </w:tc>
      </w:tr>
    </w:tbl>
    <w:p w:rsidR="00A93DD7" w:rsidRDefault="00A93DD7" w:rsidP="00EA34EC">
      <w:pPr>
        <w:spacing w:after="0" w:line="248" w:lineRule="exact"/>
        <w:ind w:right="-20"/>
        <w:rPr>
          <w:rFonts w:ascii="Times New Roman" w:eastAsia="Arial" w:hAnsi="Times New Roman" w:cs="Times New Roman"/>
          <w:b/>
          <w:sz w:val="24"/>
          <w:szCs w:val="24"/>
        </w:rPr>
      </w:pPr>
    </w:p>
    <w:p w:rsidR="008E2FA0" w:rsidRPr="00EA34EC" w:rsidRDefault="008E2FA0" w:rsidP="00EA34EC">
      <w:pPr>
        <w:spacing w:after="0" w:line="248" w:lineRule="exact"/>
        <w:ind w:right="-20"/>
        <w:rPr>
          <w:rFonts w:ascii="Times New Roman" w:eastAsia="Arial" w:hAnsi="Times New Roman" w:cs="Times New Roman"/>
          <w:b/>
          <w:sz w:val="24"/>
          <w:szCs w:val="24"/>
        </w:rPr>
      </w:pPr>
      <w:r w:rsidRPr="00EA34EC">
        <w:rPr>
          <w:rFonts w:ascii="Times New Roman" w:eastAsia="Arial" w:hAnsi="Times New Roman" w:cs="Times New Roman"/>
          <w:b/>
          <w:sz w:val="24"/>
          <w:szCs w:val="24"/>
        </w:rPr>
        <w:t xml:space="preserve">Clause </w:t>
      </w:r>
      <w:r w:rsidR="002B5946" w:rsidRPr="00EA34EC">
        <w:rPr>
          <w:rFonts w:ascii="Times New Roman" w:eastAsia="Arial" w:hAnsi="Times New Roman" w:cs="Times New Roman"/>
          <w:b/>
          <w:sz w:val="24"/>
          <w:szCs w:val="24"/>
        </w:rPr>
        <w:t>3</w:t>
      </w:r>
    </w:p>
    <w:p w:rsidR="00CB2BE2" w:rsidRPr="00F10160" w:rsidRDefault="00CB2BE2" w:rsidP="00CB2BE2">
      <w:pPr>
        <w:spacing w:before="32" w:after="0" w:line="239" w:lineRule="auto"/>
        <w:ind w:right="48"/>
        <w:rPr>
          <w:rFonts w:ascii="Times New Roman" w:eastAsia="Arial" w:hAnsi="Times New Roman" w:cs="Times New Roman"/>
          <w:spacing w:val="-1"/>
          <w:sz w:val="24"/>
          <w:szCs w:val="24"/>
        </w:rPr>
      </w:pPr>
      <w:r w:rsidRPr="00F10160">
        <w:rPr>
          <w:rFonts w:ascii="Times New Roman" w:eastAsia="Arial" w:hAnsi="Times New Roman" w:cs="Times New Roman"/>
          <w:spacing w:val="-1"/>
          <w:sz w:val="24"/>
          <w:szCs w:val="24"/>
        </w:rPr>
        <w:t xml:space="preserve">Clause </w:t>
      </w:r>
      <w:r>
        <w:rPr>
          <w:rFonts w:ascii="Times New Roman" w:eastAsia="Arial" w:hAnsi="Times New Roman" w:cs="Times New Roman"/>
          <w:spacing w:val="-1"/>
          <w:sz w:val="24"/>
          <w:szCs w:val="24"/>
        </w:rPr>
        <w:t>3</w:t>
      </w:r>
      <w:r w:rsidRPr="00F10160">
        <w:rPr>
          <w:rFonts w:ascii="Times New Roman" w:eastAsia="Arial" w:hAnsi="Times New Roman" w:cs="Times New Roman"/>
          <w:spacing w:val="-1"/>
          <w:sz w:val="24"/>
          <w:szCs w:val="24"/>
        </w:rPr>
        <w:t xml:space="preserve"> repeals</w:t>
      </w:r>
      <w:r>
        <w:rPr>
          <w:rFonts w:ascii="Times New Roman" w:eastAsia="Arial" w:hAnsi="Times New Roman" w:cs="Times New Roman"/>
          <w:spacing w:val="-1"/>
          <w:sz w:val="24"/>
          <w:szCs w:val="24"/>
        </w:rPr>
        <w:t xml:space="preserve"> and substitutes fees</w:t>
      </w:r>
      <w:r w:rsidRPr="00F10160">
        <w:rPr>
          <w:rFonts w:ascii="Times New Roman" w:eastAsia="Arial" w:hAnsi="Times New Roman" w:cs="Times New Roman"/>
          <w:spacing w:val="-1"/>
          <w:sz w:val="24"/>
          <w:szCs w:val="24"/>
        </w:rPr>
        <w:t xml:space="preserve"> for line items</w:t>
      </w:r>
      <w:r w:rsidR="00741AA2">
        <w:rPr>
          <w:rFonts w:ascii="Times New Roman" w:eastAsia="Arial" w:hAnsi="Times New Roman" w:cs="Times New Roman"/>
          <w:spacing w:val="-1"/>
          <w:sz w:val="24"/>
          <w:szCs w:val="24"/>
        </w:rPr>
        <w:t xml:space="preserve"> 2 to 5</w:t>
      </w:r>
      <w:r w:rsidRPr="00F10160">
        <w:rPr>
          <w:rFonts w:ascii="Times New Roman" w:eastAsia="Arial" w:hAnsi="Times New Roman" w:cs="Times New Roman"/>
          <w:spacing w:val="-1"/>
          <w:sz w:val="24"/>
          <w:szCs w:val="24"/>
        </w:rPr>
        <w:t xml:space="preserve"> </w:t>
      </w:r>
      <w:r w:rsidR="00314FAD">
        <w:rPr>
          <w:rFonts w:ascii="Times New Roman" w:eastAsia="Arial" w:hAnsi="Times New Roman" w:cs="Times New Roman"/>
          <w:spacing w:val="-1"/>
          <w:sz w:val="24"/>
          <w:szCs w:val="24"/>
        </w:rPr>
        <w:t>in the table shown at Schedule 2</w:t>
      </w:r>
      <w:r w:rsidRPr="00F10160">
        <w:rPr>
          <w:rFonts w:ascii="Times New Roman" w:eastAsia="Arial" w:hAnsi="Times New Roman" w:cs="Times New Roman"/>
          <w:spacing w:val="-1"/>
          <w:sz w:val="24"/>
          <w:szCs w:val="24"/>
        </w:rPr>
        <w:t xml:space="preserve"> (</w:t>
      </w:r>
      <w:r w:rsidR="00FB2BB3">
        <w:rPr>
          <w:rFonts w:ascii="Times New Roman" w:eastAsia="Arial" w:hAnsi="Times New Roman" w:cs="Times New Roman"/>
          <w:spacing w:val="-1"/>
          <w:sz w:val="24"/>
          <w:szCs w:val="24"/>
        </w:rPr>
        <w:t>Consumption fee</w:t>
      </w:r>
      <w:r w:rsidR="00741AA2">
        <w:rPr>
          <w:rFonts w:ascii="Times New Roman" w:eastAsia="Arial" w:hAnsi="Times New Roman" w:cs="Times New Roman"/>
          <w:spacing w:val="-1"/>
          <w:sz w:val="24"/>
          <w:szCs w:val="24"/>
        </w:rPr>
        <w:t>s for the supply of electricity</w:t>
      </w:r>
      <w:r w:rsidRPr="00F10160">
        <w:rPr>
          <w:rFonts w:ascii="Times New Roman" w:eastAsia="Arial" w:hAnsi="Times New Roman" w:cs="Times New Roman"/>
          <w:spacing w:val="-1"/>
          <w:sz w:val="24"/>
          <w:szCs w:val="24"/>
        </w:rPr>
        <w:t>) of the Princip</w:t>
      </w:r>
      <w:r w:rsidR="00FB2BB3">
        <w:rPr>
          <w:rFonts w:ascii="Times New Roman" w:eastAsia="Arial" w:hAnsi="Times New Roman" w:cs="Times New Roman"/>
          <w:spacing w:val="-1"/>
          <w:sz w:val="24"/>
          <w:szCs w:val="24"/>
        </w:rPr>
        <w:t xml:space="preserve">al </w:t>
      </w:r>
      <w:r w:rsidRPr="00F10160">
        <w:rPr>
          <w:rFonts w:ascii="Times New Roman" w:eastAsia="Arial" w:hAnsi="Times New Roman" w:cs="Times New Roman"/>
          <w:spacing w:val="-1"/>
          <w:sz w:val="24"/>
          <w:szCs w:val="24"/>
        </w:rPr>
        <w:t>Determination</w:t>
      </w:r>
      <w:r>
        <w:rPr>
          <w:rFonts w:ascii="Times New Roman" w:eastAsia="Arial" w:hAnsi="Times New Roman" w:cs="Times New Roman"/>
          <w:spacing w:val="-1"/>
          <w:sz w:val="24"/>
          <w:szCs w:val="24"/>
        </w:rPr>
        <w:t xml:space="preserve">. </w:t>
      </w:r>
      <w:r w:rsidR="00314FAD">
        <w:rPr>
          <w:rFonts w:ascii="Times New Roman" w:eastAsia="Arial" w:hAnsi="Times New Roman" w:cs="Times New Roman"/>
          <w:spacing w:val="-1"/>
          <w:sz w:val="24"/>
          <w:szCs w:val="24"/>
        </w:rPr>
        <w:t>The fee</w:t>
      </w:r>
      <w:r w:rsidRPr="00F10160">
        <w:rPr>
          <w:rFonts w:ascii="Times New Roman" w:eastAsia="Arial" w:hAnsi="Times New Roman" w:cs="Times New Roman"/>
          <w:spacing w:val="-1"/>
          <w:sz w:val="24"/>
          <w:szCs w:val="24"/>
        </w:rPr>
        <w:t xml:space="preserve"> inc</w:t>
      </w:r>
      <w:r w:rsidR="00314FAD">
        <w:rPr>
          <w:rFonts w:ascii="Times New Roman" w:eastAsia="Arial" w:hAnsi="Times New Roman" w:cs="Times New Roman"/>
          <w:spacing w:val="-1"/>
          <w:sz w:val="24"/>
          <w:szCs w:val="24"/>
        </w:rPr>
        <w:t>reases of the supply fee range</w:t>
      </w:r>
      <w:r w:rsidRPr="00F10160">
        <w:rPr>
          <w:rFonts w:ascii="Times New Roman" w:eastAsia="Arial" w:hAnsi="Times New Roman" w:cs="Times New Roman"/>
          <w:spacing w:val="-1"/>
          <w:sz w:val="24"/>
          <w:szCs w:val="24"/>
        </w:rPr>
        <w:t xml:space="preserve"> from 1.80% to 3.70%</w:t>
      </w:r>
      <w:r w:rsidR="00FB2BB3">
        <w:rPr>
          <w:rFonts w:ascii="Times New Roman" w:eastAsia="Arial" w:hAnsi="Times New Roman" w:cs="Times New Roman"/>
          <w:spacing w:val="-1"/>
          <w:sz w:val="24"/>
          <w:szCs w:val="24"/>
        </w:rPr>
        <w:t xml:space="preserve"> for items 2 to </w:t>
      </w:r>
      <w:r>
        <w:rPr>
          <w:rFonts w:ascii="Times New Roman" w:eastAsia="Arial" w:hAnsi="Times New Roman" w:cs="Times New Roman"/>
          <w:spacing w:val="-1"/>
          <w:sz w:val="24"/>
          <w:szCs w:val="24"/>
        </w:rPr>
        <w:t>5. There were no increases made to Residential</w:t>
      </w:r>
      <w:r w:rsidR="00690549">
        <w:rPr>
          <w:rFonts w:ascii="Times New Roman" w:eastAsia="Arial" w:hAnsi="Times New Roman" w:cs="Times New Roman"/>
          <w:spacing w:val="-1"/>
          <w:sz w:val="24"/>
          <w:szCs w:val="24"/>
        </w:rPr>
        <w:t xml:space="preserve"> A2 </w:t>
      </w:r>
      <w:r>
        <w:rPr>
          <w:rFonts w:ascii="Times New Roman" w:eastAsia="Arial" w:hAnsi="Times New Roman" w:cs="Times New Roman"/>
          <w:spacing w:val="-1"/>
          <w:sz w:val="24"/>
          <w:szCs w:val="24"/>
        </w:rPr>
        <w:t xml:space="preserve">and Government </w:t>
      </w:r>
      <w:r w:rsidR="00690549">
        <w:rPr>
          <w:rFonts w:ascii="Times New Roman" w:eastAsia="Arial" w:hAnsi="Times New Roman" w:cs="Times New Roman"/>
          <w:spacing w:val="-1"/>
          <w:sz w:val="24"/>
          <w:szCs w:val="24"/>
        </w:rPr>
        <w:t>N2 f</w:t>
      </w:r>
      <w:r>
        <w:rPr>
          <w:rFonts w:ascii="Times New Roman" w:eastAsia="Arial" w:hAnsi="Times New Roman" w:cs="Times New Roman"/>
          <w:spacing w:val="-1"/>
          <w:sz w:val="24"/>
          <w:szCs w:val="24"/>
        </w:rPr>
        <w:t xml:space="preserve">ees.  </w:t>
      </w:r>
    </w:p>
    <w:p w:rsidR="00B94771" w:rsidRPr="00EA34EC" w:rsidRDefault="00B94771" w:rsidP="00B94771">
      <w:pPr>
        <w:spacing w:before="32" w:after="0" w:line="240" w:lineRule="auto"/>
        <w:ind w:left="100" w:right="254"/>
        <w:rPr>
          <w:rFonts w:ascii="Times New Roman" w:eastAsia="Arial" w:hAnsi="Times New Roman" w:cs="Times New Roman"/>
          <w:spacing w:val="-1"/>
        </w:rPr>
      </w:pPr>
    </w:p>
    <w:tbl>
      <w:tblPr>
        <w:tblW w:w="5155" w:type="pct"/>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
        <w:gridCol w:w="535"/>
        <w:gridCol w:w="21"/>
        <w:gridCol w:w="3271"/>
        <w:gridCol w:w="1985"/>
        <w:gridCol w:w="1134"/>
        <w:gridCol w:w="1134"/>
        <w:gridCol w:w="1387"/>
        <w:gridCol w:w="30"/>
      </w:tblGrid>
      <w:tr w:rsidR="00307BEC" w:rsidRPr="00FC4B26" w:rsidTr="00314FAD">
        <w:trPr>
          <w:gridAfter w:val="1"/>
          <w:wAfter w:w="16" w:type="pct"/>
          <w:tblHeader/>
        </w:trPr>
        <w:tc>
          <w:tcPr>
            <w:tcW w:w="296" w:type="pct"/>
            <w:gridSpan w:val="2"/>
            <w:tcBorders>
              <w:top w:val="single" w:sz="12" w:space="0" w:color="auto"/>
              <w:bottom w:val="single" w:sz="6" w:space="0" w:color="auto"/>
            </w:tcBorders>
          </w:tcPr>
          <w:p w:rsidR="00054584" w:rsidRPr="00EA34EC" w:rsidRDefault="00054584" w:rsidP="00BD4887">
            <w:pPr>
              <w:spacing w:before="32" w:after="0" w:line="240" w:lineRule="auto"/>
              <w:ind w:left="100" w:right="-20"/>
              <w:rPr>
                <w:rFonts w:ascii="Times New Roman" w:eastAsia="Arial" w:hAnsi="Times New Roman" w:cs="Times New Roman"/>
                <w:b/>
                <w:spacing w:val="1"/>
                <w:lang w:val="en-AU"/>
              </w:rPr>
            </w:pPr>
          </w:p>
        </w:tc>
        <w:tc>
          <w:tcPr>
            <w:tcW w:w="4688" w:type="pct"/>
            <w:gridSpan w:val="6"/>
            <w:tcBorders>
              <w:top w:val="single" w:sz="12" w:space="0" w:color="auto"/>
              <w:bottom w:val="single" w:sz="6" w:space="0" w:color="auto"/>
            </w:tcBorders>
            <w:shd w:val="clear" w:color="auto" w:fill="auto"/>
          </w:tcPr>
          <w:p w:rsidR="00054584" w:rsidRPr="00EA34EC" w:rsidRDefault="00054584" w:rsidP="00BD4887">
            <w:pPr>
              <w:spacing w:before="32" w:after="0" w:line="240" w:lineRule="auto"/>
              <w:ind w:left="100" w:right="-20"/>
              <w:rPr>
                <w:rFonts w:ascii="Times New Roman" w:eastAsia="Arial" w:hAnsi="Times New Roman" w:cs="Times New Roman"/>
                <w:b/>
                <w:spacing w:val="1"/>
                <w:lang w:val="en-AU"/>
              </w:rPr>
            </w:pPr>
            <w:r w:rsidRPr="00EA34EC">
              <w:rPr>
                <w:rFonts w:ascii="Times New Roman" w:eastAsia="Arial" w:hAnsi="Times New Roman" w:cs="Times New Roman"/>
                <w:b/>
                <w:spacing w:val="1"/>
                <w:lang w:val="en-AU"/>
              </w:rPr>
              <w:t>Schedule 2 - Consumption fees for the supply of electricity</w:t>
            </w:r>
          </w:p>
        </w:tc>
      </w:tr>
      <w:tr w:rsidR="00F75307" w:rsidRPr="00EA34EC"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Before w:val="1"/>
          <w:wBefore w:w="15" w:type="pct"/>
          <w:trHeight w:val="350"/>
        </w:trPr>
        <w:tc>
          <w:tcPr>
            <w:tcW w:w="292" w:type="pct"/>
            <w:gridSpan w:val="2"/>
            <w:tcBorders>
              <w:top w:val="single" w:sz="4" w:space="0" w:color="auto"/>
              <w:bottom w:val="single" w:sz="4" w:space="0" w:color="auto"/>
            </w:tcBorders>
            <w:vAlign w:val="center"/>
          </w:tcPr>
          <w:p w:rsidR="00F75307" w:rsidRPr="00EA34EC" w:rsidRDefault="00F75307" w:rsidP="00270308">
            <w:pPr>
              <w:spacing w:before="32" w:after="0" w:line="240" w:lineRule="auto"/>
              <w:ind w:left="4" w:right="-20"/>
              <w:jc w:val="center"/>
              <w:rPr>
                <w:rFonts w:ascii="Times New Roman" w:eastAsia="Arial" w:hAnsi="Times New Roman" w:cs="Times New Roman"/>
                <w:b/>
                <w:bCs/>
                <w:spacing w:val="1"/>
              </w:rPr>
            </w:pPr>
            <w:r w:rsidRPr="00EA34EC">
              <w:rPr>
                <w:rFonts w:ascii="Times New Roman" w:eastAsia="Arial" w:hAnsi="Times New Roman" w:cs="Times New Roman"/>
                <w:b/>
                <w:bCs/>
                <w:spacing w:val="1"/>
              </w:rPr>
              <w:t>Item</w:t>
            </w:r>
          </w:p>
        </w:tc>
        <w:tc>
          <w:tcPr>
            <w:tcW w:w="1717" w:type="pct"/>
            <w:tcBorders>
              <w:top w:val="single" w:sz="4" w:space="0" w:color="auto"/>
              <w:bottom w:val="single" w:sz="4" w:space="0" w:color="auto"/>
            </w:tcBorders>
            <w:noWrap/>
            <w:tcMar>
              <w:top w:w="0" w:type="dxa"/>
              <w:left w:w="28" w:type="dxa"/>
              <w:bottom w:w="0" w:type="dxa"/>
              <w:right w:w="28" w:type="dxa"/>
            </w:tcMar>
            <w:vAlign w:val="center"/>
            <w:hideMark/>
          </w:tcPr>
          <w:p w:rsidR="00F75307" w:rsidRPr="00EA34EC" w:rsidRDefault="001C0734" w:rsidP="00270308">
            <w:pPr>
              <w:spacing w:before="32" w:after="0" w:line="240" w:lineRule="auto"/>
              <w:ind w:left="100" w:right="-20"/>
              <w:rPr>
                <w:rFonts w:ascii="Times New Roman" w:eastAsia="Arial" w:hAnsi="Times New Roman" w:cs="Times New Roman"/>
                <w:b/>
                <w:bCs/>
                <w:spacing w:val="1"/>
              </w:rPr>
            </w:pPr>
            <w:r>
              <w:rPr>
                <w:rFonts w:ascii="Times New Roman" w:eastAsia="Arial" w:hAnsi="Times New Roman" w:cs="Times New Roman"/>
                <w:b/>
                <w:bCs/>
                <w:spacing w:val="1"/>
              </w:rPr>
              <w:t>Category of premises</w:t>
            </w:r>
          </w:p>
        </w:tc>
        <w:tc>
          <w:tcPr>
            <w:tcW w:w="1042" w:type="pct"/>
            <w:tcBorders>
              <w:top w:val="single" w:sz="4" w:space="0" w:color="auto"/>
              <w:bottom w:val="single" w:sz="4" w:space="0" w:color="auto"/>
            </w:tcBorders>
            <w:noWrap/>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Pr>
                <w:rFonts w:ascii="Times New Roman" w:eastAsia="Arial" w:hAnsi="Times New Roman" w:cs="Times New Roman"/>
                <w:b/>
                <w:bCs/>
                <w:spacing w:val="1"/>
              </w:rPr>
              <w:t>Units</w:t>
            </w:r>
          </w:p>
        </w:tc>
        <w:tc>
          <w:tcPr>
            <w:tcW w:w="595" w:type="pct"/>
            <w:tcBorders>
              <w:top w:val="single" w:sz="4" w:space="0" w:color="auto"/>
              <w:bottom w:val="single" w:sz="4" w:space="0" w:color="auto"/>
            </w:tcBorders>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Previous</w:t>
            </w:r>
          </w:p>
        </w:tc>
        <w:tc>
          <w:tcPr>
            <w:tcW w:w="595" w:type="pct"/>
            <w:tcBorders>
              <w:top w:val="single" w:sz="4" w:space="0" w:color="auto"/>
              <w:bottom w:val="single" w:sz="4" w:space="0" w:color="auto"/>
            </w:tcBorders>
            <w:tcMar>
              <w:top w:w="0" w:type="dxa"/>
              <w:left w:w="28" w:type="dxa"/>
              <w:bottom w:w="0" w:type="dxa"/>
              <w:right w:w="28" w:type="dxa"/>
            </w:tcMar>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Current</w:t>
            </w:r>
          </w:p>
        </w:tc>
        <w:tc>
          <w:tcPr>
            <w:tcW w:w="744" w:type="pct"/>
            <w:gridSpan w:val="2"/>
            <w:tcBorders>
              <w:top w:val="single" w:sz="4" w:space="0" w:color="auto"/>
              <w:bottom w:val="single" w:sz="4" w:space="0" w:color="auto"/>
            </w:tcBorders>
            <w:tcMar>
              <w:top w:w="0" w:type="dxa"/>
              <w:left w:w="28" w:type="dxa"/>
              <w:bottom w:w="0" w:type="dxa"/>
              <w:right w:w="28" w:type="dxa"/>
            </w:tcMar>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Variance</w:t>
            </w:r>
          </w:p>
        </w:tc>
      </w:tr>
      <w:tr w:rsidR="00314FAD" w:rsidRPr="00FC4B26"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199"/>
        </w:trPr>
        <w:tc>
          <w:tcPr>
            <w:tcW w:w="296" w:type="pct"/>
            <w:gridSpan w:val="2"/>
            <w:vAlign w:val="center"/>
          </w:tcPr>
          <w:p w:rsidR="00054584" w:rsidRPr="00322D34" w:rsidRDefault="00307BEC" w:rsidP="00322B35">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2</w:t>
            </w:r>
          </w:p>
        </w:tc>
        <w:tc>
          <w:tcPr>
            <w:tcW w:w="1728" w:type="pct"/>
            <w:gridSpan w:val="2"/>
            <w:noWrap/>
            <w:tcMar>
              <w:top w:w="0" w:type="dxa"/>
              <w:left w:w="28" w:type="dxa"/>
              <w:bottom w:w="0" w:type="dxa"/>
              <w:right w:w="28" w:type="dxa"/>
            </w:tcMar>
            <w:vAlign w:val="center"/>
            <w:hideMark/>
          </w:tcPr>
          <w:p w:rsidR="00054584" w:rsidRPr="00322D34" w:rsidRDefault="00054584" w:rsidP="00307BEC">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Community Service C2</w:t>
            </w:r>
          </w:p>
        </w:tc>
        <w:tc>
          <w:tcPr>
            <w:tcW w:w="1042" w:type="pct"/>
            <w:noWrap/>
            <w:tcMar>
              <w:top w:w="0" w:type="dxa"/>
              <w:left w:w="0" w:type="dxa"/>
              <w:bottom w:w="0" w:type="dxa"/>
              <w:right w:w="57" w:type="dxa"/>
            </w:tcMar>
            <w:vAlign w:val="bottom"/>
          </w:tcPr>
          <w:p w:rsidR="00054584" w:rsidRDefault="00314FAD" w:rsidP="00307BEC">
            <w:pPr>
              <w:spacing w:before="32" w:after="0" w:line="240" w:lineRule="auto"/>
              <w:ind w:right="-20"/>
              <w:rPr>
                <w:rFonts w:ascii="Times New Roman" w:eastAsia="Arial" w:hAnsi="Times New Roman" w:cs="Times New Roman"/>
                <w:bCs/>
                <w:spacing w:val="1"/>
              </w:rPr>
            </w:pPr>
            <w:r w:rsidRPr="00314FAD">
              <w:rPr>
                <w:rFonts w:ascii="Times New Roman" w:eastAsia="Arial" w:hAnsi="Times New Roman" w:cs="Times New Roman"/>
                <w:bCs/>
                <w:spacing w:val="1"/>
              </w:rPr>
              <w:t>For each day the sum of the following</w:t>
            </w:r>
            <w:r>
              <w:rPr>
                <w:rFonts w:ascii="Times New Roman" w:eastAsia="Arial" w:hAnsi="Times New Roman" w:cs="Times New Roman"/>
                <w:bCs/>
                <w:spacing w:val="1"/>
              </w:rPr>
              <w:t>:</w:t>
            </w:r>
          </w:p>
          <w:p w:rsidR="00CB61B6" w:rsidRPr="00314FAD" w:rsidRDefault="00CB61B6" w:rsidP="00307BEC">
            <w:pPr>
              <w:spacing w:before="32" w:after="0" w:line="240" w:lineRule="auto"/>
              <w:ind w:right="-20"/>
              <w:rPr>
                <w:rFonts w:ascii="Times New Roman" w:eastAsia="Arial" w:hAnsi="Times New Roman" w:cs="Times New Roman"/>
                <w:bCs/>
                <w:spacing w:val="1"/>
              </w:rPr>
            </w:pPr>
          </w:p>
        </w:tc>
        <w:tc>
          <w:tcPr>
            <w:tcW w:w="595" w:type="pct"/>
            <w:noWrap/>
            <w:tcMar>
              <w:top w:w="0" w:type="dxa"/>
              <w:left w:w="0" w:type="dxa"/>
              <w:bottom w:w="0" w:type="dxa"/>
              <w:right w:w="57" w:type="dxa"/>
            </w:tcMar>
            <w:vAlign w:val="bottom"/>
          </w:tcPr>
          <w:p w:rsidR="00054584" w:rsidRPr="00EA34EC" w:rsidRDefault="00054584" w:rsidP="00307BEC">
            <w:pPr>
              <w:spacing w:before="32" w:after="0" w:line="240" w:lineRule="auto"/>
              <w:ind w:right="-20"/>
              <w:rPr>
                <w:rFonts w:ascii="Times New Roman" w:eastAsia="Arial" w:hAnsi="Times New Roman" w:cs="Times New Roman"/>
                <w:spacing w:val="1"/>
              </w:rPr>
            </w:pPr>
          </w:p>
        </w:tc>
        <w:tc>
          <w:tcPr>
            <w:tcW w:w="595" w:type="pct"/>
            <w:tcMar>
              <w:top w:w="0" w:type="dxa"/>
              <w:left w:w="28" w:type="dxa"/>
              <w:bottom w:w="0" w:type="dxa"/>
              <w:right w:w="28" w:type="dxa"/>
            </w:tcMar>
            <w:vAlign w:val="bottom"/>
          </w:tcPr>
          <w:p w:rsidR="00054584" w:rsidRPr="00EA34EC" w:rsidRDefault="00054584" w:rsidP="00307BEC">
            <w:pPr>
              <w:spacing w:before="32" w:after="0" w:line="240" w:lineRule="auto"/>
              <w:ind w:right="-20"/>
              <w:rPr>
                <w:rFonts w:ascii="Times New Roman" w:eastAsia="Arial" w:hAnsi="Times New Roman" w:cs="Times New Roman"/>
                <w:spacing w:val="1"/>
              </w:rPr>
            </w:pPr>
          </w:p>
        </w:tc>
        <w:tc>
          <w:tcPr>
            <w:tcW w:w="728" w:type="pct"/>
            <w:tcMar>
              <w:top w:w="0" w:type="dxa"/>
              <w:left w:w="28" w:type="dxa"/>
              <w:bottom w:w="0" w:type="dxa"/>
              <w:right w:w="28" w:type="dxa"/>
            </w:tcMar>
            <w:vAlign w:val="bottom"/>
          </w:tcPr>
          <w:p w:rsidR="00054584" w:rsidRDefault="00054584" w:rsidP="00307BEC">
            <w:pPr>
              <w:spacing w:before="32" w:after="0" w:line="240" w:lineRule="auto"/>
              <w:ind w:right="-20"/>
              <w:rPr>
                <w:rFonts w:ascii="Times New Roman" w:eastAsia="Arial" w:hAnsi="Times New Roman" w:cs="Times New Roman"/>
                <w:bCs/>
                <w:spacing w:val="1"/>
              </w:rPr>
            </w:pPr>
          </w:p>
          <w:p w:rsidR="006C3D6E" w:rsidRPr="00EA34EC" w:rsidRDefault="006C3D6E" w:rsidP="00307BEC">
            <w:pPr>
              <w:spacing w:before="32" w:after="0" w:line="240" w:lineRule="auto"/>
              <w:ind w:right="-20"/>
              <w:rPr>
                <w:rFonts w:ascii="Times New Roman" w:eastAsia="Arial" w:hAnsi="Times New Roman" w:cs="Times New Roman"/>
                <w:bCs/>
                <w:spacing w:val="1"/>
              </w:rPr>
            </w:pPr>
          </w:p>
        </w:tc>
      </w:tr>
      <w:tr w:rsidR="00314FAD" w:rsidRPr="00FC4B26" w:rsidTr="00FB7AA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center"/>
          </w:tcPr>
          <w:p w:rsidR="00054584" w:rsidRPr="00EA34EC" w:rsidRDefault="00307BEC" w:rsidP="00322B35">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1728" w:type="pct"/>
            <w:gridSpan w:val="2"/>
            <w:noWrap/>
            <w:tcMar>
              <w:top w:w="0" w:type="dxa"/>
              <w:left w:w="28" w:type="dxa"/>
              <w:bottom w:w="0" w:type="dxa"/>
              <w:right w:w="28" w:type="dxa"/>
            </w:tcMar>
            <w:vAlign w:val="center"/>
            <w:hideMark/>
          </w:tcPr>
          <w:p w:rsidR="00054584" w:rsidRPr="00EA34EC" w:rsidRDefault="00054584" w:rsidP="00EF1C10">
            <w:pPr>
              <w:spacing w:before="32" w:after="0" w:line="240" w:lineRule="auto"/>
              <w:ind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rsidR="00054584" w:rsidRPr="00EA34EC" w:rsidRDefault="00CB61B6" w:rsidP="00B627E2">
            <w:pPr>
              <w:spacing w:before="32" w:after="0" w:line="240" w:lineRule="auto"/>
              <w:ind w:left="100" w:right="-20"/>
              <w:rPr>
                <w:rFonts w:ascii="Times New Roman" w:eastAsia="Arial" w:hAnsi="Times New Roman" w:cs="Times New Roman"/>
                <w:spacing w:val="1"/>
              </w:rPr>
            </w:pPr>
            <w:r w:rsidRPr="00EA34EC">
              <w:rPr>
                <w:rFonts w:ascii="Times New Roman" w:eastAsia="Arial" w:hAnsi="Times New Roman" w:cs="Times New Roman"/>
                <w:spacing w:val="1"/>
              </w:rPr>
              <w:t xml:space="preserve">for the first 20 units </w:t>
            </w:r>
            <w:r>
              <w:rPr>
                <w:rFonts w:ascii="Times New Roman" w:eastAsia="Arial" w:hAnsi="Times New Roman" w:cs="Times New Roman"/>
                <w:spacing w:val="1"/>
              </w:rPr>
              <w:t>consumed</w:t>
            </w:r>
            <w:r w:rsidR="006C3D6E">
              <w:rPr>
                <w:rFonts w:ascii="Times New Roman" w:eastAsia="Arial" w:hAnsi="Times New Roman" w:cs="Times New Roman"/>
                <w:spacing w:val="1"/>
              </w:rPr>
              <w:t xml:space="preserve">, </w:t>
            </w:r>
            <w:r w:rsidR="00054584" w:rsidRPr="00EA34EC">
              <w:rPr>
                <w:rFonts w:ascii="Times New Roman" w:eastAsia="Arial" w:hAnsi="Times New Roman" w:cs="Times New Roman"/>
                <w:spacing w:val="1"/>
              </w:rPr>
              <w:t>cents per unit</w:t>
            </w:r>
          </w:p>
        </w:tc>
        <w:tc>
          <w:tcPr>
            <w:tcW w:w="595" w:type="pct"/>
            <w:noWrap/>
            <w:tcMar>
              <w:top w:w="0" w:type="dxa"/>
              <w:left w:w="0" w:type="dxa"/>
              <w:bottom w:w="0" w:type="dxa"/>
              <w:right w:w="57" w:type="dxa"/>
            </w:tcMar>
            <w:vAlign w:val="bottom"/>
          </w:tcPr>
          <w:p w:rsidR="00054584" w:rsidRPr="00EA34EC" w:rsidRDefault="00054584" w:rsidP="00B627E2">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20.6615</w:t>
            </w:r>
          </w:p>
        </w:tc>
        <w:tc>
          <w:tcPr>
            <w:tcW w:w="595" w:type="pct"/>
            <w:tcMar>
              <w:top w:w="0" w:type="dxa"/>
              <w:left w:w="28" w:type="dxa"/>
              <w:bottom w:w="0" w:type="dxa"/>
              <w:right w:w="28" w:type="dxa"/>
            </w:tcMar>
            <w:vAlign w:val="bottom"/>
          </w:tcPr>
          <w:p w:rsidR="00054584" w:rsidRPr="00EA34EC" w:rsidRDefault="00054584" w:rsidP="00B627E2">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21.1780</w:t>
            </w:r>
          </w:p>
        </w:tc>
        <w:tc>
          <w:tcPr>
            <w:tcW w:w="728" w:type="pct"/>
            <w:tcMar>
              <w:top w:w="0" w:type="dxa"/>
              <w:left w:w="28" w:type="dxa"/>
              <w:bottom w:w="0" w:type="dxa"/>
              <w:right w:w="28" w:type="dxa"/>
            </w:tcMar>
          </w:tcPr>
          <w:p w:rsidR="006C3D6E" w:rsidRDefault="006C3D6E" w:rsidP="00B064AB">
            <w:pPr>
              <w:spacing w:before="32" w:after="0" w:line="240" w:lineRule="auto"/>
              <w:ind w:left="100" w:right="-20"/>
              <w:jc w:val="center"/>
              <w:rPr>
                <w:rFonts w:ascii="Times New Roman" w:eastAsia="Arial" w:hAnsi="Times New Roman" w:cs="Times New Roman"/>
                <w:spacing w:val="1"/>
              </w:rPr>
            </w:pPr>
          </w:p>
          <w:p w:rsidR="00054584" w:rsidRPr="00EA34EC" w:rsidRDefault="00054584" w:rsidP="00B064AB">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2.50% Increase</w:t>
            </w:r>
          </w:p>
        </w:tc>
      </w:tr>
      <w:tr w:rsidR="00CB61B6" w:rsidRPr="00FC4B26" w:rsidTr="00FB7AA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center"/>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1728" w:type="pct"/>
            <w:gridSpan w:val="2"/>
            <w:noWrap/>
            <w:tcMar>
              <w:top w:w="0" w:type="dxa"/>
              <w:left w:w="28" w:type="dxa"/>
              <w:bottom w:w="0" w:type="dxa"/>
              <w:right w:w="28" w:type="dxa"/>
            </w:tcMar>
            <w:vAlign w:val="center"/>
          </w:tcPr>
          <w:p w:rsidR="00CB61B6" w:rsidRPr="00EA34EC" w:rsidRDefault="00CB61B6" w:rsidP="00CB61B6">
            <w:pPr>
              <w:spacing w:before="32" w:after="0" w:line="240" w:lineRule="auto"/>
              <w:ind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rsidR="00CB61B6" w:rsidRPr="00EA34EC" w:rsidRDefault="00CB61B6" w:rsidP="00CB61B6">
            <w:pPr>
              <w:spacing w:before="32" w:after="0" w:line="240" w:lineRule="auto"/>
              <w:ind w:left="100" w:right="-20"/>
              <w:rPr>
                <w:rFonts w:ascii="Times New Roman" w:eastAsia="Arial" w:hAnsi="Times New Roman" w:cs="Times New Roman"/>
                <w:spacing w:val="1"/>
              </w:rPr>
            </w:pPr>
            <w:r w:rsidRPr="00EA34EC">
              <w:rPr>
                <w:rFonts w:ascii="Times New Roman" w:eastAsia="Arial" w:hAnsi="Times New Roman" w:cs="Times New Roman"/>
                <w:spacing w:val="1"/>
              </w:rPr>
              <w:t>f</w:t>
            </w:r>
            <w:r>
              <w:rPr>
                <w:rFonts w:ascii="Times New Roman" w:eastAsia="Arial" w:hAnsi="Times New Roman" w:cs="Times New Roman"/>
                <w:spacing w:val="1"/>
              </w:rPr>
              <w:t>or</w:t>
            </w:r>
            <w:r w:rsidRPr="00EA34EC">
              <w:rPr>
                <w:rFonts w:ascii="Times New Roman" w:eastAsia="Arial" w:hAnsi="Times New Roman" w:cs="Times New Roman"/>
                <w:spacing w:val="1"/>
              </w:rPr>
              <w:t xml:space="preserve"> </w:t>
            </w:r>
            <w:r>
              <w:rPr>
                <w:rFonts w:ascii="Times New Roman" w:eastAsia="Arial" w:hAnsi="Times New Roman" w:cs="Times New Roman"/>
                <w:spacing w:val="1"/>
              </w:rPr>
              <w:t>the</w:t>
            </w:r>
            <w:r w:rsidRPr="00EA34EC">
              <w:rPr>
                <w:rFonts w:ascii="Times New Roman" w:eastAsia="Arial" w:hAnsi="Times New Roman" w:cs="Times New Roman"/>
                <w:spacing w:val="1"/>
              </w:rPr>
              <w:t xml:space="preserve"> </w:t>
            </w:r>
            <w:r>
              <w:rPr>
                <w:rFonts w:ascii="Times New Roman" w:eastAsia="Arial" w:hAnsi="Times New Roman" w:cs="Times New Roman"/>
                <w:spacing w:val="1"/>
              </w:rPr>
              <w:t xml:space="preserve">next </w:t>
            </w:r>
            <w:r w:rsidRPr="00EA34EC">
              <w:rPr>
                <w:rFonts w:ascii="Times New Roman" w:eastAsia="Arial" w:hAnsi="Times New Roman" w:cs="Times New Roman"/>
                <w:spacing w:val="1"/>
              </w:rPr>
              <w:t>1</w:t>
            </w:r>
            <w:r>
              <w:rPr>
                <w:rFonts w:ascii="Times New Roman" w:eastAsia="Arial" w:hAnsi="Times New Roman" w:cs="Times New Roman"/>
                <w:spacing w:val="1"/>
              </w:rPr>
              <w:t>,</w:t>
            </w:r>
            <w:r w:rsidRPr="00EA34EC">
              <w:rPr>
                <w:rFonts w:ascii="Times New Roman" w:eastAsia="Arial" w:hAnsi="Times New Roman" w:cs="Times New Roman"/>
                <w:spacing w:val="1"/>
              </w:rPr>
              <w:t xml:space="preserve">650 units </w:t>
            </w:r>
            <w:r>
              <w:rPr>
                <w:rFonts w:ascii="Times New Roman" w:eastAsia="Arial" w:hAnsi="Times New Roman" w:cs="Times New Roman"/>
                <w:spacing w:val="1"/>
              </w:rPr>
              <w:t>consumed</w:t>
            </w:r>
            <w:r w:rsidR="006C3D6E">
              <w:rPr>
                <w:rFonts w:ascii="Times New Roman" w:eastAsia="Arial" w:hAnsi="Times New Roman" w:cs="Times New Roman"/>
                <w:spacing w:val="1"/>
              </w:rPr>
              <w:t xml:space="preserve">, </w:t>
            </w:r>
            <w:r>
              <w:rPr>
                <w:rFonts w:ascii="Times New Roman" w:eastAsia="Arial" w:hAnsi="Times New Roman" w:cs="Times New Roman"/>
                <w:spacing w:val="1"/>
              </w:rPr>
              <w:t xml:space="preserve"> cents per unit</w:t>
            </w:r>
          </w:p>
        </w:tc>
        <w:tc>
          <w:tcPr>
            <w:tcW w:w="595" w:type="pct"/>
            <w:noWrap/>
            <w:tcMar>
              <w:top w:w="0" w:type="dxa"/>
              <w:left w:w="0" w:type="dxa"/>
              <w:bottom w:w="0" w:type="dxa"/>
              <w:right w:w="57"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22.0444</w:t>
            </w:r>
          </w:p>
        </w:tc>
        <w:tc>
          <w:tcPr>
            <w:tcW w:w="595" w:type="pct"/>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22.5955</w:t>
            </w:r>
          </w:p>
        </w:tc>
        <w:tc>
          <w:tcPr>
            <w:tcW w:w="728" w:type="pct"/>
            <w:tcMar>
              <w:top w:w="0" w:type="dxa"/>
              <w:left w:w="28" w:type="dxa"/>
              <w:bottom w:w="0" w:type="dxa"/>
              <w:right w:w="28" w:type="dxa"/>
            </w:tcMar>
          </w:tcPr>
          <w:p w:rsidR="00CB61B6" w:rsidRDefault="00CB61B6" w:rsidP="00CB61B6">
            <w:pPr>
              <w:spacing w:before="32" w:after="0" w:line="240" w:lineRule="auto"/>
              <w:ind w:left="100" w:right="-20"/>
              <w:jc w:val="center"/>
              <w:rPr>
                <w:rFonts w:ascii="Times New Roman" w:eastAsia="Arial" w:hAnsi="Times New Roman" w:cs="Times New Roman"/>
                <w:spacing w:val="1"/>
              </w:rPr>
            </w:pPr>
          </w:p>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2.50% Increase</w:t>
            </w:r>
          </w:p>
        </w:tc>
      </w:tr>
      <w:tr w:rsidR="00CB61B6" w:rsidRPr="00FC4B26" w:rsidTr="00FB7AA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bottom w:val="single" w:sz="4" w:space="0" w:color="auto"/>
            </w:tcBorders>
            <w:vAlign w:val="center"/>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(c)</w:t>
            </w:r>
          </w:p>
        </w:tc>
        <w:tc>
          <w:tcPr>
            <w:tcW w:w="1728" w:type="pct"/>
            <w:gridSpan w:val="2"/>
            <w:tcBorders>
              <w:bottom w:val="single" w:sz="4" w:space="0" w:color="auto"/>
            </w:tcBorders>
            <w:noWrap/>
            <w:tcMar>
              <w:top w:w="0" w:type="dxa"/>
              <w:left w:w="28" w:type="dxa"/>
              <w:bottom w:w="0" w:type="dxa"/>
              <w:right w:w="28" w:type="dxa"/>
            </w:tcMar>
            <w:vAlign w:val="center"/>
            <w:hideMark/>
          </w:tcPr>
          <w:p w:rsidR="00CB61B6" w:rsidRPr="00EA34EC" w:rsidRDefault="00CB61B6" w:rsidP="00CB61B6">
            <w:pPr>
              <w:spacing w:before="32" w:after="0" w:line="240" w:lineRule="auto"/>
              <w:ind w:right="-20"/>
              <w:rPr>
                <w:rFonts w:ascii="Times New Roman" w:eastAsia="Arial" w:hAnsi="Times New Roman" w:cs="Times New Roman"/>
                <w:spacing w:val="1"/>
              </w:rPr>
            </w:pPr>
          </w:p>
        </w:tc>
        <w:tc>
          <w:tcPr>
            <w:tcW w:w="1042" w:type="pct"/>
            <w:tcBorders>
              <w:bottom w:val="single" w:sz="4" w:space="0" w:color="auto"/>
            </w:tcBorders>
            <w:noWrap/>
            <w:tcMar>
              <w:top w:w="0" w:type="dxa"/>
              <w:left w:w="0" w:type="dxa"/>
              <w:bottom w:w="0" w:type="dxa"/>
              <w:right w:w="57" w:type="dxa"/>
            </w:tcMar>
            <w:vAlign w:val="bottom"/>
            <w:hideMark/>
          </w:tcPr>
          <w:p w:rsidR="00CB61B6" w:rsidRPr="00EA34EC" w:rsidRDefault="00CB61B6" w:rsidP="00CB61B6">
            <w:pPr>
              <w:spacing w:before="32" w:after="0" w:line="240" w:lineRule="auto"/>
              <w:ind w:left="100" w:right="-20"/>
              <w:rPr>
                <w:rFonts w:ascii="Times New Roman" w:eastAsia="Arial" w:hAnsi="Times New Roman" w:cs="Times New Roman"/>
                <w:spacing w:val="1"/>
              </w:rPr>
            </w:pPr>
            <w:r>
              <w:rPr>
                <w:rFonts w:ascii="Times New Roman" w:eastAsia="Arial" w:hAnsi="Times New Roman" w:cs="Times New Roman"/>
                <w:spacing w:val="1"/>
              </w:rPr>
              <w:t>for each subsequent unit</w:t>
            </w:r>
            <w:r w:rsidRPr="00EA34EC">
              <w:rPr>
                <w:rFonts w:ascii="Times New Roman" w:eastAsia="Arial" w:hAnsi="Times New Roman" w:cs="Times New Roman"/>
                <w:spacing w:val="1"/>
              </w:rPr>
              <w:t xml:space="preserve"> </w:t>
            </w:r>
            <w:r>
              <w:rPr>
                <w:rFonts w:ascii="Times New Roman" w:eastAsia="Arial" w:hAnsi="Times New Roman" w:cs="Times New Roman"/>
                <w:spacing w:val="1"/>
              </w:rPr>
              <w:t>consumed</w:t>
            </w:r>
            <w:r w:rsidR="006C3D6E">
              <w:rPr>
                <w:rFonts w:ascii="Times New Roman" w:eastAsia="Arial" w:hAnsi="Times New Roman" w:cs="Times New Roman"/>
                <w:spacing w:val="1"/>
              </w:rPr>
              <w:t xml:space="preserve">, </w:t>
            </w:r>
            <w:r w:rsidRPr="00EA34EC">
              <w:rPr>
                <w:rFonts w:ascii="Times New Roman" w:eastAsia="Arial" w:hAnsi="Times New Roman" w:cs="Times New Roman"/>
                <w:spacing w:val="1"/>
              </w:rPr>
              <w:t>cents per unit</w:t>
            </w:r>
          </w:p>
        </w:tc>
        <w:tc>
          <w:tcPr>
            <w:tcW w:w="595" w:type="pct"/>
            <w:tcBorders>
              <w:bottom w:val="single" w:sz="4" w:space="0" w:color="auto"/>
            </w:tcBorders>
            <w:noWrap/>
            <w:tcMar>
              <w:top w:w="0" w:type="dxa"/>
              <w:left w:w="0" w:type="dxa"/>
              <w:bottom w:w="0" w:type="dxa"/>
              <w:right w:w="57"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21.0272</w:t>
            </w:r>
          </w:p>
        </w:tc>
        <w:tc>
          <w:tcPr>
            <w:tcW w:w="595" w:type="pct"/>
            <w:tcBorders>
              <w:bottom w:val="single" w:sz="4" w:space="0" w:color="auto"/>
            </w:tcBorders>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21.5528</w:t>
            </w:r>
          </w:p>
        </w:tc>
        <w:tc>
          <w:tcPr>
            <w:tcW w:w="728" w:type="pct"/>
            <w:tcBorders>
              <w:bottom w:val="single" w:sz="4" w:space="0" w:color="auto"/>
            </w:tcBorders>
            <w:tcMar>
              <w:top w:w="0" w:type="dxa"/>
              <w:left w:w="28" w:type="dxa"/>
              <w:bottom w:w="0" w:type="dxa"/>
              <w:right w:w="28" w:type="dxa"/>
            </w:tcMar>
          </w:tcPr>
          <w:p w:rsidR="00CB61B6" w:rsidRDefault="00CB61B6" w:rsidP="00CB61B6">
            <w:pPr>
              <w:spacing w:before="32" w:after="0" w:line="240" w:lineRule="auto"/>
              <w:ind w:left="100" w:right="-20"/>
              <w:jc w:val="center"/>
              <w:rPr>
                <w:rFonts w:ascii="Times New Roman" w:eastAsia="Arial" w:hAnsi="Times New Roman" w:cs="Times New Roman"/>
                <w:spacing w:val="1"/>
              </w:rPr>
            </w:pPr>
          </w:p>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2.50% Increase</w:t>
            </w:r>
          </w:p>
        </w:tc>
      </w:tr>
      <w:tr w:rsidR="00CB61B6" w:rsidRPr="00EA34EC"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top w:val="single" w:sz="4" w:space="0" w:color="auto"/>
            </w:tcBorders>
          </w:tcPr>
          <w:p w:rsidR="00CB61B6" w:rsidRPr="00322D34" w:rsidRDefault="00CB61B6" w:rsidP="00CB61B6">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3</w:t>
            </w:r>
          </w:p>
        </w:tc>
        <w:tc>
          <w:tcPr>
            <w:tcW w:w="1728" w:type="pct"/>
            <w:gridSpan w:val="2"/>
            <w:tcBorders>
              <w:top w:val="single" w:sz="4" w:space="0" w:color="auto"/>
            </w:tcBorders>
            <w:noWrap/>
            <w:tcMar>
              <w:top w:w="0" w:type="dxa"/>
              <w:left w:w="28" w:type="dxa"/>
              <w:bottom w:w="0" w:type="dxa"/>
              <w:right w:w="28" w:type="dxa"/>
            </w:tcMar>
            <w:vAlign w:val="center"/>
            <w:hideMark/>
          </w:tcPr>
          <w:p w:rsidR="00CB61B6" w:rsidRPr="00322D34" w:rsidRDefault="00CB61B6" w:rsidP="00CB61B6">
            <w:pPr>
              <w:spacing w:before="32" w:after="0" w:line="240" w:lineRule="auto"/>
              <w:ind w:left="100" w:right="-20"/>
              <w:rPr>
                <w:rFonts w:ascii="Times New Roman" w:eastAsia="Arial" w:hAnsi="Times New Roman" w:cs="Times New Roman"/>
                <w:bCs/>
                <w:spacing w:val="1"/>
              </w:rPr>
            </w:pPr>
            <w:r w:rsidRPr="00322D34">
              <w:rPr>
                <w:rFonts w:ascii="Times New Roman" w:eastAsia="Arial" w:hAnsi="Times New Roman" w:cs="Times New Roman"/>
                <w:bCs/>
                <w:spacing w:val="1"/>
              </w:rPr>
              <w:t xml:space="preserve">Charitable Residential D2 </w:t>
            </w:r>
          </w:p>
          <w:p w:rsidR="00CB61B6" w:rsidRPr="00322D34" w:rsidRDefault="00CB61B6" w:rsidP="00CB61B6">
            <w:pPr>
              <w:spacing w:before="32" w:after="0" w:line="240" w:lineRule="auto"/>
              <w:ind w:left="100" w:right="-20"/>
              <w:rPr>
                <w:rFonts w:ascii="Times New Roman" w:eastAsia="Arial" w:hAnsi="Times New Roman" w:cs="Times New Roman"/>
                <w:bCs/>
                <w:spacing w:val="1"/>
              </w:rPr>
            </w:pPr>
          </w:p>
        </w:tc>
        <w:tc>
          <w:tcPr>
            <w:tcW w:w="1042" w:type="pct"/>
            <w:tcBorders>
              <w:top w:val="single" w:sz="4" w:space="0" w:color="auto"/>
            </w:tcBorders>
            <w:noWrap/>
            <w:tcMar>
              <w:top w:w="0" w:type="dxa"/>
              <w:left w:w="0" w:type="dxa"/>
              <w:bottom w:w="0" w:type="dxa"/>
              <w:right w:w="57" w:type="dxa"/>
            </w:tcMar>
          </w:tcPr>
          <w:p w:rsidR="00CB61B6" w:rsidRPr="0045542D" w:rsidRDefault="00CB61B6" w:rsidP="00CB61B6">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spacing w:val="1"/>
              </w:rPr>
              <w:t>cents per unit</w:t>
            </w:r>
          </w:p>
        </w:tc>
        <w:tc>
          <w:tcPr>
            <w:tcW w:w="595" w:type="pct"/>
            <w:tcBorders>
              <w:top w:val="single" w:sz="4" w:space="0" w:color="auto"/>
            </w:tcBorders>
            <w:noWrap/>
            <w:tcMar>
              <w:top w:w="0" w:type="dxa"/>
              <w:left w:w="0" w:type="dxa"/>
              <w:bottom w:w="0" w:type="dxa"/>
              <w:right w:w="57" w:type="dxa"/>
            </w:tcMar>
          </w:tcPr>
          <w:p w:rsidR="00CB61B6" w:rsidRPr="0045542D" w:rsidRDefault="00CB61B6" w:rsidP="00CB61B6">
            <w:pPr>
              <w:spacing w:before="32" w:after="0" w:line="240" w:lineRule="auto"/>
              <w:ind w:left="100" w:right="-20"/>
              <w:jc w:val="center"/>
              <w:rPr>
                <w:rFonts w:ascii="Times New Roman" w:eastAsia="Arial" w:hAnsi="Times New Roman" w:cs="Times New Roman"/>
                <w:spacing w:val="1"/>
              </w:rPr>
            </w:pPr>
            <w:r w:rsidRPr="0045542D">
              <w:rPr>
                <w:rFonts w:ascii="Times New Roman" w:eastAsia="Arial" w:hAnsi="Times New Roman" w:cs="Times New Roman"/>
                <w:spacing w:val="1"/>
              </w:rPr>
              <w:t>22.3144</w:t>
            </w:r>
          </w:p>
        </w:tc>
        <w:tc>
          <w:tcPr>
            <w:tcW w:w="595" w:type="pct"/>
            <w:tcBorders>
              <w:top w:val="single" w:sz="4" w:space="0" w:color="auto"/>
            </w:tcBorders>
            <w:tcMar>
              <w:top w:w="0" w:type="dxa"/>
              <w:left w:w="28" w:type="dxa"/>
              <w:bottom w:w="0" w:type="dxa"/>
              <w:right w:w="28" w:type="dxa"/>
            </w:tcMar>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22.7160</w:t>
            </w:r>
          </w:p>
        </w:tc>
        <w:tc>
          <w:tcPr>
            <w:tcW w:w="728" w:type="pct"/>
            <w:tcBorders>
              <w:top w:val="single" w:sz="4" w:space="0" w:color="auto"/>
            </w:tcBorders>
            <w:tcMar>
              <w:top w:w="0" w:type="dxa"/>
              <w:left w:w="28" w:type="dxa"/>
              <w:bottom w:w="0" w:type="dxa"/>
              <w:right w:w="28" w:type="dxa"/>
            </w:tcMar>
          </w:tcPr>
          <w:p w:rsidR="00CB61B6" w:rsidRPr="00EA34EC" w:rsidRDefault="00CB61B6" w:rsidP="00CB61B6">
            <w:pPr>
              <w:spacing w:before="32" w:after="0" w:line="240" w:lineRule="auto"/>
              <w:ind w:left="100" w:right="-20"/>
              <w:jc w:val="center"/>
              <w:rPr>
                <w:rFonts w:ascii="Times New Roman" w:eastAsia="Arial" w:hAnsi="Times New Roman" w:cs="Times New Roman"/>
                <w:bCs/>
                <w:spacing w:val="1"/>
              </w:rPr>
            </w:pPr>
            <w:r w:rsidRPr="00EA34EC">
              <w:rPr>
                <w:rFonts w:ascii="Times New Roman" w:eastAsia="Arial" w:hAnsi="Times New Roman" w:cs="Times New Roman"/>
                <w:bCs/>
                <w:spacing w:val="1"/>
              </w:rPr>
              <w:t>1.80% Increase</w:t>
            </w:r>
          </w:p>
        </w:tc>
      </w:tr>
      <w:tr w:rsidR="00CB61B6" w:rsidRPr="00FC4B26" w:rsidTr="00FB7AA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top w:val="single" w:sz="4" w:space="0" w:color="auto"/>
            </w:tcBorders>
            <w:vAlign w:val="center"/>
          </w:tcPr>
          <w:p w:rsidR="00CB61B6" w:rsidRPr="00322D34" w:rsidRDefault="00CB61B6" w:rsidP="00CB61B6">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4</w:t>
            </w:r>
          </w:p>
        </w:tc>
        <w:tc>
          <w:tcPr>
            <w:tcW w:w="1728" w:type="pct"/>
            <w:gridSpan w:val="2"/>
            <w:tcBorders>
              <w:top w:val="single" w:sz="4" w:space="0" w:color="auto"/>
            </w:tcBorders>
            <w:noWrap/>
            <w:tcMar>
              <w:top w:w="0" w:type="dxa"/>
              <w:left w:w="28" w:type="dxa"/>
              <w:bottom w:w="0" w:type="dxa"/>
              <w:right w:w="28" w:type="dxa"/>
            </w:tcMar>
            <w:vAlign w:val="center"/>
            <w:hideMark/>
          </w:tcPr>
          <w:p w:rsidR="00CB61B6" w:rsidRPr="00322D34" w:rsidRDefault="00CB61B6" w:rsidP="00CB61B6">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Business / Residential K2</w:t>
            </w:r>
          </w:p>
        </w:tc>
        <w:tc>
          <w:tcPr>
            <w:tcW w:w="1042" w:type="pct"/>
            <w:tcBorders>
              <w:top w:val="single" w:sz="4" w:space="0" w:color="auto"/>
            </w:tcBorders>
            <w:noWrap/>
            <w:tcMar>
              <w:top w:w="0" w:type="dxa"/>
              <w:left w:w="0" w:type="dxa"/>
              <w:bottom w:w="0" w:type="dxa"/>
              <w:right w:w="57" w:type="dxa"/>
            </w:tcMar>
            <w:vAlign w:val="bottom"/>
          </w:tcPr>
          <w:p w:rsidR="00CB61B6" w:rsidRPr="00314FAD" w:rsidRDefault="00CB61B6" w:rsidP="00CB61B6">
            <w:pPr>
              <w:spacing w:before="32" w:after="0" w:line="240" w:lineRule="auto"/>
              <w:ind w:right="-20"/>
              <w:rPr>
                <w:rFonts w:ascii="Times New Roman" w:eastAsia="Arial" w:hAnsi="Times New Roman" w:cs="Times New Roman"/>
                <w:bCs/>
                <w:spacing w:val="1"/>
              </w:rPr>
            </w:pPr>
            <w:r w:rsidRPr="00314FAD">
              <w:rPr>
                <w:rFonts w:ascii="Times New Roman" w:eastAsia="Arial" w:hAnsi="Times New Roman" w:cs="Times New Roman"/>
                <w:bCs/>
                <w:spacing w:val="1"/>
              </w:rPr>
              <w:t>For each day the sum of the following</w:t>
            </w:r>
            <w:r>
              <w:rPr>
                <w:rFonts w:ascii="Times New Roman" w:eastAsia="Arial" w:hAnsi="Times New Roman" w:cs="Times New Roman"/>
                <w:bCs/>
                <w:spacing w:val="1"/>
              </w:rPr>
              <w:t>:</w:t>
            </w:r>
          </w:p>
        </w:tc>
        <w:tc>
          <w:tcPr>
            <w:tcW w:w="595" w:type="pct"/>
            <w:tcBorders>
              <w:top w:val="single" w:sz="4" w:space="0" w:color="auto"/>
            </w:tcBorders>
            <w:noWrap/>
            <w:tcMar>
              <w:top w:w="0" w:type="dxa"/>
              <w:left w:w="0" w:type="dxa"/>
              <w:bottom w:w="0" w:type="dxa"/>
              <w:right w:w="57"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p>
        </w:tc>
        <w:tc>
          <w:tcPr>
            <w:tcW w:w="595" w:type="pct"/>
            <w:tcBorders>
              <w:top w:val="single" w:sz="4" w:space="0" w:color="auto"/>
            </w:tcBorders>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p>
        </w:tc>
        <w:tc>
          <w:tcPr>
            <w:tcW w:w="728" w:type="pct"/>
            <w:tcBorders>
              <w:top w:val="single" w:sz="4" w:space="0" w:color="auto"/>
            </w:tcBorders>
            <w:tcMar>
              <w:top w:w="0" w:type="dxa"/>
              <w:left w:w="28" w:type="dxa"/>
              <w:bottom w:w="0" w:type="dxa"/>
              <w:right w:w="28" w:type="dxa"/>
            </w:tcMar>
            <w:vAlign w:val="bottom"/>
          </w:tcPr>
          <w:p w:rsidR="00CB61B6" w:rsidRPr="00EA34EC" w:rsidRDefault="00CB61B6" w:rsidP="00CB61B6">
            <w:pPr>
              <w:spacing w:before="32" w:after="0" w:line="240" w:lineRule="auto"/>
              <w:ind w:left="100" w:right="-20"/>
              <w:rPr>
                <w:rFonts w:ascii="Times New Roman" w:eastAsia="Arial" w:hAnsi="Times New Roman" w:cs="Times New Roman"/>
                <w:bCs/>
                <w:spacing w:val="1"/>
              </w:rPr>
            </w:pPr>
          </w:p>
        </w:tc>
      </w:tr>
      <w:tr w:rsidR="00CB61B6" w:rsidRPr="00FC4B26"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1728" w:type="pct"/>
            <w:gridSpan w:val="2"/>
            <w:noWrap/>
            <w:tcMar>
              <w:top w:w="0" w:type="dxa"/>
              <w:left w:w="28" w:type="dxa"/>
              <w:bottom w:w="0" w:type="dxa"/>
              <w:right w:w="28" w:type="dxa"/>
            </w:tcMar>
            <w:vAlign w:val="bottom"/>
            <w:hideMark/>
          </w:tcPr>
          <w:p w:rsidR="00CB61B6" w:rsidRPr="00EA34EC" w:rsidRDefault="00CB61B6" w:rsidP="00CB61B6">
            <w:pPr>
              <w:spacing w:before="32" w:after="0" w:line="240" w:lineRule="auto"/>
              <w:ind w:left="100"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rsidR="00FB7AA1" w:rsidRDefault="00FB7AA1" w:rsidP="00FB7AA1">
            <w:pPr>
              <w:spacing w:before="32" w:after="0" w:line="240" w:lineRule="auto"/>
              <w:ind w:right="-20"/>
              <w:rPr>
                <w:rFonts w:ascii="Times New Roman" w:eastAsia="Arial" w:hAnsi="Times New Roman" w:cs="Times New Roman"/>
                <w:spacing w:val="1"/>
              </w:rPr>
            </w:pPr>
          </w:p>
          <w:p w:rsidR="00CB61B6" w:rsidRPr="00EA34EC" w:rsidRDefault="006C3D6E" w:rsidP="00FB7AA1">
            <w:pPr>
              <w:spacing w:before="32" w:after="0" w:line="240" w:lineRule="auto"/>
              <w:ind w:right="-20"/>
              <w:rPr>
                <w:rFonts w:ascii="Times New Roman" w:eastAsia="Arial" w:hAnsi="Times New Roman" w:cs="Times New Roman"/>
                <w:spacing w:val="1"/>
              </w:rPr>
            </w:pPr>
            <w:r w:rsidRPr="00EA34EC">
              <w:rPr>
                <w:rFonts w:ascii="Times New Roman" w:eastAsia="Arial" w:hAnsi="Times New Roman" w:cs="Times New Roman"/>
                <w:spacing w:val="1"/>
              </w:rPr>
              <w:t xml:space="preserve">for the first 20 units </w:t>
            </w:r>
            <w:r>
              <w:rPr>
                <w:rFonts w:ascii="Times New Roman" w:eastAsia="Arial" w:hAnsi="Times New Roman" w:cs="Times New Roman"/>
                <w:spacing w:val="1"/>
              </w:rPr>
              <w:t>consumed,</w:t>
            </w:r>
            <w:r w:rsidRPr="00EA34EC">
              <w:rPr>
                <w:rFonts w:ascii="Times New Roman" w:eastAsia="Arial" w:hAnsi="Times New Roman" w:cs="Times New Roman"/>
                <w:spacing w:val="1"/>
              </w:rPr>
              <w:t xml:space="preserve"> </w:t>
            </w:r>
            <w:r w:rsidR="00CB61B6" w:rsidRPr="00EA34EC">
              <w:rPr>
                <w:rFonts w:ascii="Times New Roman" w:eastAsia="Arial" w:hAnsi="Times New Roman" w:cs="Times New Roman"/>
                <w:spacing w:val="1"/>
              </w:rPr>
              <w:t>cents per unit</w:t>
            </w:r>
          </w:p>
        </w:tc>
        <w:tc>
          <w:tcPr>
            <w:tcW w:w="595" w:type="pct"/>
            <w:noWrap/>
            <w:tcMar>
              <w:top w:w="0" w:type="dxa"/>
              <w:left w:w="0" w:type="dxa"/>
              <w:bottom w:w="0" w:type="dxa"/>
              <w:right w:w="57"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26.5503</w:t>
            </w:r>
          </w:p>
        </w:tc>
        <w:tc>
          <w:tcPr>
            <w:tcW w:w="595" w:type="pct"/>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27.3734</w:t>
            </w:r>
          </w:p>
        </w:tc>
        <w:tc>
          <w:tcPr>
            <w:tcW w:w="728" w:type="pct"/>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bCs/>
                <w:spacing w:val="1"/>
              </w:rPr>
            </w:pPr>
            <w:r w:rsidRPr="00EA34EC">
              <w:rPr>
                <w:rFonts w:ascii="Times New Roman" w:eastAsia="Arial" w:hAnsi="Times New Roman" w:cs="Times New Roman"/>
                <w:bCs/>
                <w:spacing w:val="1"/>
              </w:rPr>
              <w:t>3.10% Increase</w:t>
            </w:r>
          </w:p>
        </w:tc>
      </w:tr>
      <w:tr w:rsidR="00CB61B6" w:rsidRPr="00FC4B26"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1728" w:type="pct"/>
            <w:gridSpan w:val="2"/>
            <w:noWrap/>
            <w:tcMar>
              <w:top w:w="0" w:type="dxa"/>
              <w:left w:w="28" w:type="dxa"/>
              <w:bottom w:w="0" w:type="dxa"/>
              <w:right w:w="28" w:type="dxa"/>
            </w:tcMar>
            <w:vAlign w:val="bottom"/>
            <w:hideMark/>
          </w:tcPr>
          <w:p w:rsidR="00CB61B6" w:rsidRPr="00EA34EC" w:rsidRDefault="00CB61B6" w:rsidP="00FB7AA1">
            <w:pPr>
              <w:spacing w:before="32" w:after="0" w:line="240" w:lineRule="auto"/>
              <w:ind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rsidR="00CB61B6" w:rsidRPr="00EA34EC" w:rsidRDefault="006C3D6E" w:rsidP="00FB7AA1">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 xml:space="preserve">for the next </w:t>
            </w:r>
            <w:r w:rsidRPr="00EA34EC">
              <w:rPr>
                <w:rFonts w:ascii="Times New Roman" w:eastAsia="Arial" w:hAnsi="Times New Roman" w:cs="Times New Roman"/>
                <w:spacing w:val="1"/>
              </w:rPr>
              <w:t>1</w:t>
            </w:r>
            <w:r>
              <w:rPr>
                <w:rFonts w:ascii="Times New Roman" w:eastAsia="Arial" w:hAnsi="Times New Roman" w:cs="Times New Roman"/>
                <w:spacing w:val="1"/>
              </w:rPr>
              <w:t>,</w:t>
            </w:r>
            <w:r w:rsidRPr="00EA34EC">
              <w:rPr>
                <w:rFonts w:ascii="Times New Roman" w:eastAsia="Arial" w:hAnsi="Times New Roman" w:cs="Times New Roman"/>
                <w:spacing w:val="1"/>
              </w:rPr>
              <w:t>6</w:t>
            </w:r>
            <w:r>
              <w:rPr>
                <w:rFonts w:ascii="Times New Roman" w:eastAsia="Arial" w:hAnsi="Times New Roman" w:cs="Times New Roman"/>
                <w:spacing w:val="1"/>
              </w:rPr>
              <w:t>3</w:t>
            </w:r>
            <w:r w:rsidRPr="00EA34EC">
              <w:rPr>
                <w:rFonts w:ascii="Times New Roman" w:eastAsia="Arial" w:hAnsi="Times New Roman" w:cs="Times New Roman"/>
                <w:spacing w:val="1"/>
              </w:rPr>
              <w:t xml:space="preserve">0 units </w:t>
            </w:r>
            <w:r>
              <w:rPr>
                <w:rFonts w:ascii="Times New Roman" w:eastAsia="Arial" w:hAnsi="Times New Roman" w:cs="Times New Roman"/>
                <w:spacing w:val="1"/>
              </w:rPr>
              <w:t>consumed,</w:t>
            </w:r>
            <w:r w:rsidRPr="00EA34EC">
              <w:rPr>
                <w:rFonts w:ascii="Times New Roman" w:eastAsia="Arial" w:hAnsi="Times New Roman" w:cs="Times New Roman"/>
                <w:spacing w:val="1"/>
              </w:rPr>
              <w:t xml:space="preserve"> </w:t>
            </w:r>
            <w:r w:rsidR="00CB61B6" w:rsidRPr="00EA34EC">
              <w:rPr>
                <w:rFonts w:ascii="Times New Roman" w:eastAsia="Arial" w:hAnsi="Times New Roman" w:cs="Times New Roman"/>
                <w:spacing w:val="1"/>
              </w:rPr>
              <w:t>cents per unit</w:t>
            </w:r>
          </w:p>
        </w:tc>
        <w:tc>
          <w:tcPr>
            <w:tcW w:w="595" w:type="pct"/>
            <w:noWrap/>
            <w:tcMar>
              <w:top w:w="0" w:type="dxa"/>
              <w:left w:w="0" w:type="dxa"/>
              <w:bottom w:w="0" w:type="dxa"/>
              <w:right w:w="57"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25.0201</w:t>
            </w:r>
          </w:p>
        </w:tc>
        <w:tc>
          <w:tcPr>
            <w:tcW w:w="595" w:type="pct"/>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25.7957</w:t>
            </w:r>
          </w:p>
        </w:tc>
        <w:tc>
          <w:tcPr>
            <w:tcW w:w="728" w:type="pct"/>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bCs/>
                <w:spacing w:val="1"/>
              </w:rPr>
            </w:pPr>
            <w:r w:rsidRPr="00EA34EC">
              <w:rPr>
                <w:rFonts w:ascii="Times New Roman" w:eastAsia="Arial" w:hAnsi="Times New Roman" w:cs="Times New Roman"/>
                <w:bCs/>
                <w:spacing w:val="1"/>
              </w:rPr>
              <w:t>3.10% Increase</w:t>
            </w:r>
          </w:p>
        </w:tc>
      </w:tr>
      <w:tr w:rsidR="00CB61B6" w:rsidRPr="00FC4B26" w:rsidTr="00FB7AA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center"/>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(c)</w:t>
            </w:r>
          </w:p>
        </w:tc>
        <w:tc>
          <w:tcPr>
            <w:tcW w:w="1728" w:type="pct"/>
            <w:gridSpan w:val="2"/>
            <w:noWrap/>
            <w:tcMar>
              <w:top w:w="0" w:type="dxa"/>
              <w:left w:w="28" w:type="dxa"/>
              <w:bottom w:w="0" w:type="dxa"/>
              <w:right w:w="28" w:type="dxa"/>
            </w:tcMar>
            <w:vAlign w:val="bottom"/>
            <w:hideMark/>
          </w:tcPr>
          <w:p w:rsidR="00CB61B6" w:rsidRPr="00EA34EC" w:rsidRDefault="00CB61B6" w:rsidP="00FB7AA1">
            <w:pPr>
              <w:spacing w:before="32" w:after="0" w:line="240" w:lineRule="auto"/>
              <w:ind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rsidR="00CB61B6" w:rsidRPr="00EA34EC" w:rsidRDefault="006C3D6E" w:rsidP="00FB7AA1">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for each subsequent unit consumed,</w:t>
            </w:r>
            <w:r w:rsidRPr="00EA34EC">
              <w:rPr>
                <w:rFonts w:ascii="Times New Roman" w:eastAsia="Arial" w:hAnsi="Times New Roman" w:cs="Times New Roman"/>
                <w:spacing w:val="1"/>
              </w:rPr>
              <w:t xml:space="preserve"> </w:t>
            </w:r>
            <w:r w:rsidR="00CB61B6" w:rsidRPr="00EA34EC">
              <w:rPr>
                <w:rFonts w:ascii="Times New Roman" w:eastAsia="Arial" w:hAnsi="Times New Roman" w:cs="Times New Roman"/>
                <w:spacing w:val="1"/>
              </w:rPr>
              <w:t>cents per unit</w:t>
            </w:r>
          </w:p>
        </w:tc>
        <w:tc>
          <w:tcPr>
            <w:tcW w:w="595" w:type="pct"/>
            <w:noWrap/>
            <w:tcMar>
              <w:top w:w="0" w:type="dxa"/>
              <w:left w:w="0" w:type="dxa"/>
              <w:bottom w:w="0" w:type="dxa"/>
              <w:right w:w="57"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28.2093</w:t>
            </w:r>
          </w:p>
        </w:tc>
        <w:tc>
          <w:tcPr>
            <w:tcW w:w="595" w:type="pct"/>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29.0837</w:t>
            </w:r>
          </w:p>
        </w:tc>
        <w:tc>
          <w:tcPr>
            <w:tcW w:w="728" w:type="pct"/>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bCs/>
                <w:spacing w:val="1"/>
              </w:rPr>
            </w:pPr>
            <w:r w:rsidRPr="00EA34EC">
              <w:rPr>
                <w:rFonts w:ascii="Times New Roman" w:eastAsia="Arial" w:hAnsi="Times New Roman" w:cs="Times New Roman"/>
                <w:bCs/>
                <w:spacing w:val="1"/>
              </w:rPr>
              <w:t>3.10% Increase</w:t>
            </w:r>
          </w:p>
        </w:tc>
      </w:tr>
      <w:tr w:rsidR="00CB61B6" w:rsidRPr="00FC4B26"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top w:val="single" w:sz="4" w:space="0" w:color="auto"/>
            </w:tcBorders>
            <w:vAlign w:val="bottom"/>
          </w:tcPr>
          <w:p w:rsidR="00CB61B6" w:rsidRPr="00322D34" w:rsidRDefault="00CB61B6" w:rsidP="00CB61B6">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5</w:t>
            </w:r>
          </w:p>
        </w:tc>
        <w:tc>
          <w:tcPr>
            <w:tcW w:w="1728" w:type="pct"/>
            <w:gridSpan w:val="2"/>
            <w:tcBorders>
              <w:top w:val="single" w:sz="4" w:space="0" w:color="auto"/>
            </w:tcBorders>
            <w:noWrap/>
            <w:tcMar>
              <w:top w:w="0" w:type="dxa"/>
              <w:left w:w="28" w:type="dxa"/>
              <w:bottom w:w="0" w:type="dxa"/>
              <w:right w:w="28" w:type="dxa"/>
            </w:tcMar>
            <w:vAlign w:val="bottom"/>
            <w:hideMark/>
          </w:tcPr>
          <w:p w:rsidR="00CB61B6" w:rsidRPr="00322D34" w:rsidRDefault="00CB61B6" w:rsidP="00CB61B6">
            <w:pPr>
              <w:spacing w:before="32" w:after="0" w:line="240" w:lineRule="auto"/>
              <w:ind w:left="100" w:right="-20"/>
              <w:rPr>
                <w:rFonts w:ascii="Times New Roman" w:eastAsia="Arial" w:hAnsi="Times New Roman" w:cs="Times New Roman"/>
                <w:bCs/>
                <w:spacing w:val="1"/>
              </w:rPr>
            </w:pPr>
            <w:r w:rsidRPr="00322D34">
              <w:rPr>
                <w:rFonts w:ascii="Times New Roman" w:eastAsia="Arial" w:hAnsi="Times New Roman" w:cs="Times New Roman"/>
                <w:bCs/>
                <w:spacing w:val="1"/>
              </w:rPr>
              <w:t>Business and local government L2</w:t>
            </w:r>
          </w:p>
        </w:tc>
        <w:tc>
          <w:tcPr>
            <w:tcW w:w="1042" w:type="pct"/>
            <w:tcBorders>
              <w:top w:val="single" w:sz="4" w:space="0" w:color="auto"/>
            </w:tcBorders>
            <w:noWrap/>
            <w:tcMar>
              <w:top w:w="0" w:type="dxa"/>
              <w:left w:w="0" w:type="dxa"/>
              <w:bottom w:w="0" w:type="dxa"/>
              <w:right w:w="57" w:type="dxa"/>
            </w:tcMar>
            <w:vAlign w:val="bottom"/>
          </w:tcPr>
          <w:p w:rsidR="00CB61B6" w:rsidRPr="00314FAD" w:rsidRDefault="00CB61B6" w:rsidP="00CB61B6">
            <w:pPr>
              <w:spacing w:before="32" w:after="0" w:line="240" w:lineRule="auto"/>
              <w:ind w:right="-20"/>
              <w:rPr>
                <w:rFonts w:ascii="Times New Roman" w:eastAsia="Arial" w:hAnsi="Times New Roman" w:cs="Times New Roman"/>
                <w:bCs/>
                <w:spacing w:val="1"/>
              </w:rPr>
            </w:pPr>
            <w:r w:rsidRPr="00314FAD">
              <w:rPr>
                <w:rFonts w:ascii="Times New Roman" w:eastAsia="Arial" w:hAnsi="Times New Roman" w:cs="Times New Roman"/>
                <w:bCs/>
                <w:spacing w:val="1"/>
              </w:rPr>
              <w:t>For each day the sum of the following</w:t>
            </w:r>
            <w:r>
              <w:rPr>
                <w:rFonts w:ascii="Times New Roman" w:eastAsia="Arial" w:hAnsi="Times New Roman" w:cs="Times New Roman"/>
                <w:bCs/>
                <w:spacing w:val="1"/>
              </w:rPr>
              <w:t>:</w:t>
            </w:r>
          </w:p>
        </w:tc>
        <w:tc>
          <w:tcPr>
            <w:tcW w:w="595" w:type="pct"/>
            <w:tcBorders>
              <w:top w:val="single" w:sz="4" w:space="0" w:color="auto"/>
            </w:tcBorders>
            <w:noWrap/>
            <w:tcMar>
              <w:top w:w="0" w:type="dxa"/>
              <w:left w:w="0" w:type="dxa"/>
              <w:bottom w:w="0" w:type="dxa"/>
              <w:right w:w="57"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p>
        </w:tc>
        <w:tc>
          <w:tcPr>
            <w:tcW w:w="595" w:type="pct"/>
            <w:tcBorders>
              <w:top w:val="single" w:sz="4" w:space="0" w:color="auto"/>
            </w:tcBorders>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p>
        </w:tc>
        <w:tc>
          <w:tcPr>
            <w:tcW w:w="728" w:type="pct"/>
            <w:tcBorders>
              <w:top w:val="single" w:sz="4" w:space="0" w:color="auto"/>
            </w:tcBorders>
            <w:vAlign w:val="center"/>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p>
        </w:tc>
      </w:tr>
      <w:tr w:rsidR="00CB61B6" w:rsidRPr="00FC4B26" w:rsidTr="00FB7AA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vAlign w:val="center"/>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1728" w:type="pct"/>
            <w:gridSpan w:val="2"/>
            <w:noWrap/>
            <w:tcMar>
              <w:top w:w="0" w:type="dxa"/>
              <w:left w:w="28" w:type="dxa"/>
              <w:bottom w:w="0" w:type="dxa"/>
              <w:right w:w="28" w:type="dxa"/>
            </w:tcMar>
            <w:vAlign w:val="center"/>
            <w:hideMark/>
          </w:tcPr>
          <w:p w:rsidR="00CB61B6" w:rsidRDefault="00CB61B6" w:rsidP="00FB7AA1">
            <w:pPr>
              <w:spacing w:before="32" w:after="0" w:line="240" w:lineRule="auto"/>
              <w:ind w:right="-20"/>
              <w:rPr>
                <w:rFonts w:ascii="Times New Roman" w:eastAsia="Arial" w:hAnsi="Times New Roman" w:cs="Times New Roman"/>
                <w:spacing w:val="1"/>
              </w:rPr>
            </w:pPr>
          </w:p>
          <w:p w:rsidR="00FB7AA1" w:rsidRPr="00EA34EC" w:rsidRDefault="00FB7AA1" w:rsidP="00CB61B6">
            <w:pPr>
              <w:spacing w:before="32" w:after="0" w:line="240" w:lineRule="auto"/>
              <w:ind w:left="100"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rsidR="00FB7AA1" w:rsidRDefault="00FB7AA1" w:rsidP="00FB7AA1">
            <w:pPr>
              <w:spacing w:before="32" w:after="0" w:line="240" w:lineRule="auto"/>
              <w:ind w:right="-20"/>
              <w:rPr>
                <w:rFonts w:ascii="Times New Roman" w:eastAsia="Arial" w:hAnsi="Times New Roman" w:cs="Times New Roman"/>
                <w:spacing w:val="1"/>
              </w:rPr>
            </w:pPr>
          </w:p>
          <w:p w:rsidR="00FB7AA1" w:rsidRPr="00EA34EC" w:rsidRDefault="006C3D6E" w:rsidP="00FB7AA1">
            <w:pPr>
              <w:spacing w:before="32" w:after="0" w:line="240" w:lineRule="auto"/>
              <w:ind w:right="-20"/>
              <w:rPr>
                <w:rFonts w:ascii="Times New Roman" w:eastAsia="Arial" w:hAnsi="Times New Roman" w:cs="Times New Roman"/>
                <w:spacing w:val="1"/>
              </w:rPr>
            </w:pPr>
            <w:r w:rsidRPr="00EA34EC">
              <w:rPr>
                <w:rFonts w:ascii="Times New Roman" w:eastAsia="Arial" w:hAnsi="Times New Roman" w:cs="Times New Roman"/>
                <w:spacing w:val="1"/>
              </w:rPr>
              <w:t>for the first 1</w:t>
            </w:r>
            <w:r>
              <w:rPr>
                <w:rFonts w:ascii="Times New Roman" w:eastAsia="Arial" w:hAnsi="Times New Roman" w:cs="Times New Roman"/>
                <w:spacing w:val="1"/>
              </w:rPr>
              <w:t>,</w:t>
            </w:r>
            <w:r w:rsidRPr="00EA34EC">
              <w:rPr>
                <w:rFonts w:ascii="Times New Roman" w:eastAsia="Arial" w:hAnsi="Times New Roman" w:cs="Times New Roman"/>
                <w:spacing w:val="1"/>
              </w:rPr>
              <w:t xml:space="preserve">650 units </w:t>
            </w:r>
            <w:r>
              <w:rPr>
                <w:rFonts w:ascii="Times New Roman" w:eastAsia="Arial" w:hAnsi="Times New Roman" w:cs="Times New Roman"/>
                <w:spacing w:val="1"/>
              </w:rPr>
              <w:t>consumed,</w:t>
            </w:r>
            <w:r w:rsidRPr="00EA34EC">
              <w:rPr>
                <w:rFonts w:ascii="Times New Roman" w:eastAsia="Arial" w:hAnsi="Times New Roman" w:cs="Times New Roman"/>
                <w:spacing w:val="1"/>
              </w:rPr>
              <w:t xml:space="preserve"> </w:t>
            </w:r>
            <w:r w:rsidR="00CB61B6" w:rsidRPr="00EA34EC">
              <w:rPr>
                <w:rFonts w:ascii="Times New Roman" w:eastAsia="Arial" w:hAnsi="Times New Roman" w:cs="Times New Roman"/>
                <w:spacing w:val="1"/>
              </w:rPr>
              <w:t>cents per unit</w:t>
            </w:r>
          </w:p>
        </w:tc>
        <w:tc>
          <w:tcPr>
            <w:tcW w:w="595" w:type="pct"/>
            <w:noWrap/>
            <w:tcMar>
              <w:top w:w="0" w:type="dxa"/>
              <w:left w:w="0" w:type="dxa"/>
              <w:bottom w:w="0" w:type="dxa"/>
              <w:right w:w="57"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25.1657</w:t>
            </w:r>
          </w:p>
        </w:tc>
        <w:tc>
          <w:tcPr>
            <w:tcW w:w="595" w:type="pct"/>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26.0968</w:t>
            </w:r>
          </w:p>
        </w:tc>
        <w:tc>
          <w:tcPr>
            <w:tcW w:w="728" w:type="pct"/>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3.70% Increase</w:t>
            </w:r>
          </w:p>
        </w:tc>
      </w:tr>
      <w:tr w:rsidR="00CB61B6" w:rsidRPr="00FC4B26" w:rsidTr="00FB7AA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bottom w:val="single" w:sz="12" w:space="0" w:color="auto"/>
            </w:tcBorders>
            <w:vAlign w:val="center"/>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1728" w:type="pct"/>
            <w:gridSpan w:val="2"/>
            <w:tcBorders>
              <w:bottom w:val="single" w:sz="12" w:space="0" w:color="auto"/>
            </w:tcBorders>
            <w:noWrap/>
            <w:tcMar>
              <w:top w:w="0" w:type="dxa"/>
              <w:left w:w="28" w:type="dxa"/>
              <w:bottom w:w="0" w:type="dxa"/>
              <w:right w:w="28" w:type="dxa"/>
            </w:tcMar>
            <w:vAlign w:val="center"/>
            <w:hideMark/>
          </w:tcPr>
          <w:p w:rsidR="00CB61B6" w:rsidRPr="00EA34EC" w:rsidRDefault="00CB61B6" w:rsidP="00CB61B6">
            <w:pPr>
              <w:spacing w:before="32" w:after="0" w:line="240" w:lineRule="auto"/>
              <w:ind w:left="100" w:right="-20"/>
              <w:rPr>
                <w:rFonts w:ascii="Times New Roman" w:eastAsia="Arial" w:hAnsi="Times New Roman" w:cs="Times New Roman"/>
                <w:spacing w:val="1"/>
              </w:rPr>
            </w:pPr>
          </w:p>
        </w:tc>
        <w:tc>
          <w:tcPr>
            <w:tcW w:w="1042" w:type="pct"/>
            <w:tcBorders>
              <w:bottom w:val="single" w:sz="12" w:space="0" w:color="auto"/>
            </w:tcBorders>
            <w:noWrap/>
            <w:tcMar>
              <w:top w:w="0" w:type="dxa"/>
              <w:left w:w="0" w:type="dxa"/>
              <w:bottom w:w="0" w:type="dxa"/>
              <w:right w:w="57" w:type="dxa"/>
            </w:tcMar>
            <w:vAlign w:val="bottom"/>
            <w:hideMark/>
          </w:tcPr>
          <w:p w:rsidR="00CB61B6" w:rsidRPr="00EA34EC" w:rsidRDefault="006C3D6E" w:rsidP="00FB7AA1">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for each subsequent unit consumed,</w:t>
            </w:r>
            <w:r w:rsidRPr="00EA34EC">
              <w:rPr>
                <w:rFonts w:ascii="Times New Roman" w:eastAsia="Arial" w:hAnsi="Times New Roman" w:cs="Times New Roman"/>
                <w:spacing w:val="1"/>
              </w:rPr>
              <w:t xml:space="preserve"> </w:t>
            </w:r>
            <w:r w:rsidR="00CB61B6" w:rsidRPr="00EA34EC">
              <w:rPr>
                <w:rFonts w:ascii="Times New Roman" w:eastAsia="Arial" w:hAnsi="Times New Roman" w:cs="Times New Roman"/>
                <w:spacing w:val="1"/>
              </w:rPr>
              <w:t>cents per unit</w:t>
            </w:r>
          </w:p>
        </w:tc>
        <w:tc>
          <w:tcPr>
            <w:tcW w:w="595" w:type="pct"/>
            <w:tcBorders>
              <w:bottom w:val="single" w:sz="12" w:space="0" w:color="auto"/>
            </w:tcBorders>
            <w:noWrap/>
            <w:tcMar>
              <w:top w:w="0" w:type="dxa"/>
              <w:left w:w="0" w:type="dxa"/>
              <w:bottom w:w="0" w:type="dxa"/>
              <w:right w:w="57"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28.3735</w:t>
            </w:r>
          </w:p>
        </w:tc>
        <w:tc>
          <w:tcPr>
            <w:tcW w:w="595" w:type="pct"/>
            <w:tcBorders>
              <w:bottom w:val="single" w:sz="12" w:space="0" w:color="auto"/>
            </w:tcBorders>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29.4233</w:t>
            </w:r>
          </w:p>
        </w:tc>
        <w:tc>
          <w:tcPr>
            <w:tcW w:w="728" w:type="pct"/>
            <w:tcBorders>
              <w:bottom w:val="single" w:sz="12" w:space="0" w:color="auto"/>
            </w:tcBorders>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3.70% Increase</w:t>
            </w:r>
          </w:p>
        </w:tc>
      </w:tr>
      <w:tr w:rsidR="00CB61B6" w:rsidRPr="00FC4B26" w:rsidTr="006C3D6E">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6" w:type="pct"/>
          <w:trHeight w:val="227"/>
        </w:trPr>
        <w:tc>
          <w:tcPr>
            <w:tcW w:w="296" w:type="pct"/>
            <w:gridSpan w:val="2"/>
            <w:tcBorders>
              <w:top w:val="single" w:sz="12" w:space="0" w:color="auto"/>
            </w:tcBorders>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p>
        </w:tc>
        <w:tc>
          <w:tcPr>
            <w:tcW w:w="1728" w:type="pct"/>
            <w:gridSpan w:val="2"/>
            <w:tcBorders>
              <w:top w:val="single" w:sz="12" w:space="0" w:color="auto"/>
            </w:tcBorders>
            <w:noWrap/>
            <w:tcMar>
              <w:top w:w="0" w:type="dxa"/>
              <w:left w:w="28" w:type="dxa"/>
              <w:bottom w:w="0" w:type="dxa"/>
              <w:right w:w="28" w:type="dxa"/>
            </w:tcMar>
            <w:vAlign w:val="bottom"/>
          </w:tcPr>
          <w:p w:rsidR="00CB61B6" w:rsidRPr="00EA34EC" w:rsidRDefault="00CB61B6" w:rsidP="00CB61B6">
            <w:pPr>
              <w:spacing w:before="32" w:after="0" w:line="240" w:lineRule="auto"/>
              <w:ind w:left="100" w:right="-20"/>
              <w:rPr>
                <w:rFonts w:ascii="Times New Roman" w:eastAsia="Arial" w:hAnsi="Times New Roman" w:cs="Times New Roman"/>
                <w:spacing w:val="1"/>
              </w:rPr>
            </w:pPr>
          </w:p>
        </w:tc>
        <w:tc>
          <w:tcPr>
            <w:tcW w:w="1042" w:type="pct"/>
            <w:tcBorders>
              <w:top w:val="single" w:sz="12" w:space="0" w:color="auto"/>
            </w:tcBorders>
            <w:noWrap/>
            <w:tcMar>
              <w:top w:w="0" w:type="dxa"/>
              <w:left w:w="0" w:type="dxa"/>
              <w:bottom w:w="0" w:type="dxa"/>
              <w:right w:w="57" w:type="dxa"/>
            </w:tcMar>
            <w:vAlign w:val="bottom"/>
          </w:tcPr>
          <w:p w:rsidR="00CB61B6" w:rsidRPr="00EA34EC" w:rsidRDefault="00CB61B6" w:rsidP="00CB61B6">
            <w:pPr>
              <w:spacing w:before="32" w:after="0" w:line="240" w:lineRule="auto"/>
              <w:ind w:left="100" w:right="-20"/>
              <w:rPr>
                <w:rFonts w:ascii="Times New Roman" w:eastAsia="Arial" w:hAnsi="Times New Roman" w:cs="Times New Roman"/>
                <w:spacing w:val="1"/>
              </w:rPr>
            </w:pPr>
          </w:p>
        </w:tc>
        <w:tc>
          <w:tcPr>
            <w:tcW w:w="595" w:type="pct"/>
            <w:tcBorders>
              <w:top w:val="single" w:sz="12" w:space="0" w:color="auto"/>
            </w:tcBorders>
            <w:noWrap/>
            <w:tcMar>
              <w:top w:w="0" w:type="dxa"/>
              <w:left w:w="0" w:type="dxa"/>
              <w:bottom w:w="0" w:type="dxa"/>
              <w:right w:w="57"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p>
        </w:tc>
        <w:tc>
          <w:tcPr>
            <w:tcW w:w="595" w:type="pct"/>
            <w:tcBorders>
              <w:top w:val="single" w:sz="12" w:space="0" w:color="auto"/>
            </w:tcBorders>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p>
        </w:tc>
        <w:tc>
          <w:tcPr>
            <w:tcW w:w="728" w:type="pct"/>
            <w:tcBorders>
              <w:top w:val="single" w:sz="12" w:space="0" w:color="auto"/>
            </w:tcBorders>
            <w:tcMar>
              <w:top w:w="0" w:type="dxa"/>
              <w:left w:w="28" w:type="dxa"/>
              <w:bottom w:w="0" w:type="dxa"/>
              <w:right w:w="28" w:type="dxa"/>
            </w:tcMar>
            <w:vAlign w:val="bottom"/>
          </w:tcPr>
          <w:p w:rsidR="00CB61B6" w:rsidRPr="00EA34EC" w:rsidRDefault="00CB61B6" w:rsidP="00CB61B6">
            <w:pPr>
              <w:spacing w:before="32" w:after="0" w:line="240" w:lineRule="auto"/>
              <w:ind w:left="100" w:right="-20"/>
              <w:jc w:val="center"/>
              <w:rPr>
                <w:rFonts w:ascii="Times New Roman" w:eastAsia="Arial" w:hAnsi="Times New Roman" w:cs="Times New Roman"/>
                <w:spacing w:val="1"/>
              </w:rPr>
            </w:pPr>
          </w:p>
        </w:tc>
      </w:tr>
    </w:tbl>
    <w:p w:rsidR="008E2FA0" w:rsidRPr="00EA34EC" w:rsidRDefault="008E2FA0" w:rsidP="00EA34EC">
      <w:pPr>
        <w:spacing w:after="0" w:line="248" w:lineRule="exact"/>
        <w:ind w:right="-20"/>
        <w:rPr>
          <w:rFonts w:ascii="Times New Roman" w:eastAsia="Arial" w:hAnsi="Times New Roman" w:cs="Times New Roman"/>
          <w:b/>
          <w:sz w:val="24"/>
          <w:szCs w:val="24"/>
        </w:rPr>
      </w:pPr>
      <w:r w:rsidRPr="00EA34EC">
        <w:rPr>
          <w:rFonts w:ascii="Times New Roman" w:eastAsia="Arial" w:hAnsi="Times New Roman" w:cs="Times New Roman"/>
          <w:b/>
          <w:sz w:val="24"/>
          <w:szCs w:val="24"/>
        </w:rPr>
        <w:t xml:space="preserve">Clause </w:t>
      </w:r>
      <w:r w:rsidR="00B064AB" w:rsidRPr="00EA34EC">
        <w:rPr>
          <w:rFonts w:ascii="Times New Roman" w:eastAsia="Arial" w:hAnsi="Times New Roman" w:cs="Times New Roman"/>
          <w:b/>
          <w:sz w:val="24"/>
          <w:szCs w:val="24"/>
        </w:rPr>
        <w:t>4</w:t>
      </w:r>
      <w:r w:rsidR="001A56FA" w:rsidRPr="00EA34EC">
        <w:rPr>
          <w:rFonts w:ascii="Times New Roman" w:eastAsia="Arial" w:hAnsi="Times New Roman" w:cs="Times New Roman"/>
          <w:b/>
          <w:sz w:val="24"/>
          <w:szCs w:val="24"/>
        </w:rPr>
        <w:t xml:space="preserve"> and Clause 5</w:t>
      </w:r>
    </w:p>
    <w:p w:rsidR="00BE50B1" w:rsidRDefault="00BE50B1" w:rsidP="00EA34EC">
      <w:pPr>
        <w:spacing w:before="32" w:after="0" w:line="239" w:lineRule="auto"/>
        <w:ind w:right="48"/>
        <w:rPr>
          <w:rFonts w:ascii="Times New Roman" w:eastAsia="Arial" w:hAnsi="Times New Roman" w:cs="Times New Roman"/>
          <w:spacing w:val="-1"/>
          <w:sz w:val="24"/>
          <w:szCs w:val="24"/>
        </w:rPr>
      </w:pPr>
    </w:p>
    <w:p w:rsidR="00BE50B1" w:rsidRDefault="00BE50B1" w:rsidP="00BE50B1">
      <w:pPr>
        <w:spacing w:before="32" w:after="0" w:line="239" w:lineRule="auto"/>
        <w:ind w:right="48"/>
        <w:rPr>
          <w:rFonts w:ascii="Times New Roman" w:eastAsia="Arial" w:hAnsi="Times New Roman" w:cs="Times New Roman"/>
          <w:spacing w:val="-1"/>
          <w:sz w:val="24"/>
          <w:szCs w:val="24"/>
        </w:rPr>
      </w:pPr>
      <w:r w:rsidRPr="00CA3FA5">
        <w:rPr>
          <w:rFonts w:ascii="Times New Roman" w:eastAsia="Arial" w:hAnsi="Times New Roman" w:cs="Times New Roman"/>
          <w:spacing w:val="-1"/>
          <w:sz w:val="24"/>
          <w:szCs w:val="24"/>
        </w:rPr>
        <w:t>Clause 4 and clause 5 repeals and substitutes the fees for line items 1</w:t>
      </w:r>
      <w:r w:rsidR="00CA3FA5" w:rsidRPr="00CA3FA5">
        <w:rPr>
          <w:rFonts w:ascii="Times New Roman" w:eastAsia="Arial" w:hAnsi="Times New Roman" w:cs="Times New Roman"/>
          <w:spacing w:val="-1"/>
          <w:sz w:val="24"/>
          <w:szCs w:val="24"/>
        </w:rPr>
        <w:t xml:space="preserve"> to 7</w:t>
      </w:r>
      <w:r w:rsidRPr="00CA3FA5">
        <w:rPr>
          <w:rFonts w:ascii="Times New Roman" w:eastAsia="Arial" w:hAnsi="Times New Roman" w:cs="Times New Roman"/>
          <w:spacing w:val="-1"/>
          <w:sz w:val="24"/>
          <w:szCs w:val="24"/>
        </w:rPr>
        <w:t xml:space="preserve"> in the table at Schedule 3 (Fixed fees for services related to the supply of electricity) of the Principal Determination. The fixed fees for the services at line items 6 and 7 in the table have not increased, these </w:t>
      </w:r>
      <w:r w:rsidR="0065658B" w:rsidRPr="00CA3FA5">
        <w:rPr>
          <w:rFonts w:ascii="Times New Roman" w:eastAsia="Arial" w:hAnsi="Times New Roman" w:cs="Times New Roman"/>
          <w:spacing w:val="-1"/>
          <w:sz w:val="24"/>
          <w:szCs w:val="24"/>
        </w:rPr>
        <w:t xml:space="preserve">services were previously </w:t>
      </w:r>
      <w:r w:rsidR="00CA3FA5" w:rsidRPr="00CA3FA5">
        <w:rPr>
          <w:rFonts w:ascii="Times New Roman" w:eastAsia="Arial" w:hAnsi="Times New Roman" w:cs="Times New Roman"/>
          <w:spacing w:val="-1"/>
          <w:sz w:val="24"/>
          <w:szCs w:val="24"/>
        </w:rPr>
        <w:t xml:space="preserve">listed </w:t>
      </w:r>
      <w:r w:rsidR="0065658B" w:rsidRPr="00CA3FA5">
        <w:rPr>
          <w:rFonts w:ascii="Times New Roman" w:eastAsia="Arial" w:hAnsi="Times New Roman" w:cs="Times New Roman"/>
          <w:spacing w:val="-1"/>
          <w:sz w:val="24"/>
          <w:szCs w:val="24"/>
        </w:rPr>
        <w:t>items 7</w:t>
      </w:r>
      <w:r w:rsidR="00CA3FA5" w:rsidRPr="00CA3FA5">
        <w:rPr>
          <w:rFonts w:ascii="Times New Roman" w:eastAsia="Arial" w:hAnsi="Times New Roman" w:cs="Times New Roman"/>
          <w:spacing w:val="-1"/>
          <w:sz w:val="24"/>
          <w:szCs w:val="24"/>
        </w:rPr>
        <w:t xml:space="preserve"> and 8</w:t>
      </w:r>
      <w:r w:rsidR="0065658B" w:rsidRPr="00CA3FA5">
        <w:rPr>
          <w:rFonts w:ascii="Times New Roman" w:eastAsia="Arial" w:hAnsi="Times New Roman" w:cs="Times New Roman"/>
          <w:spacing w:val="-1"/>
          <w:sz w:val="24"/>
          <w:szCs w:val="24"/>
        </w:rPr>
        <w:t>.</w:t>
      </w:r>
      <w:r w:rsidRPr="00CA3FA5">
        <w:rPr>
          <w:rFonts w:ascii="Times New Roman" w:eastAsia="Arial" w:hAnsi="Times New Roman" w:cs="Times New Roman"/>
          <w:spacing w:val="-1"/>
          <w:sz w:val="24"/>
          <w:szCs w:val="24"/>
        </w:rPr>
        <w:t xml:space="preserve"> The fees show increases in the services related to the supply of electricity ranging from 1.44% to 1.69%.</w:t>
      </w:r>
    </w:p>
    <w:p w:rsidR="00BE50B1" w:rsidRPr="00EA34EC" w:rsidRDefault="00BE50B1" w:rsidP="00EA34EC">
      <w:pPr>
        <w:spacing w:before="32" w:after="0" w:line="239" w:lineRule="auto"/>
        <w:ind w:right="48"/>
        <w:rPr>
          <w:rFonts w:ascii="Times New Roman" w:eastAsia="Arial" w:hAnsi="Times New Roman" w:cs="Times New Roman"/>
          <w:spacing w:val="-1"/>
          <w:sz w:val="24"/>
          <w:szCs w:val="24"/>
        </w:rPr>
      </w:pPr>
    </w:p>
    <w:p w:rsidR="00C465EA" w:rsidRPr="00EA34EC" w:rsidRDefault="00C465EA" w:rsidP="00B94771">
      <w:pPr>
        <w:spacing w:before="32" w:after="0" w:line="240" w:lineRule="auto"/>
        <w:ind w:left="100" w:right="254"/>
        <w:rPr>
          <w:rFonts w:ascii="Times New Roman" w:eastAsia="Arial" w:hAnsi="Times New Roman" w:cs="Times New Roman"/>
          <w:spacing w:val="-1"/>
        </w:rPr>
      </w:pPr>
    </w:p>
    <w:tbl>
      <w:tblPr>
        <w:tblW w:w="5139" w:type="pct"/>
        <w:tblInd w:w="1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59"/>
        <w:gridCol w:w="4126"/>
        <w:gridCol w:w="1274"/>
        <w:gridCol w:w="1134"/>
        <w:gridCol w:w="991"/>
        <w:gridCol w:w="1413"/>
      </w:tblGrid>
      <w:tr w:rsidR="00B9385F" w:rsidRPr="00FC4B26" w:rsidTr="00A34338">
        <w:trPr>
          <w:tblHeader/>
        </w:trPr>
        <w:tc>
          <w:tcPr>
            <w:tcW w:w="294" w:type="pct"/>
            <w:tcBorders>
              <w:top w:val="single" w:sz="12" w:space="0" w:color="auto"/>
              <w:bottom w:val="single" w:sz="4" w:space="0" w:color="auto"/>
            </w:tcBorders>
          </w:tcPr>
          <w:p w:rsidR="00CC0F88" w:rsidRPr="00EA34EC" w:rsidRDefault="00CC0F88" w:rsidP="00D86464">
            <w:pPr>
              <w:spacing w:before="32" w:after="0" w:line="240" w:lineRule="auto"/>
              <w:ind w:left="100" w:right="-20"/>
              <w:rPr>
                <w:rFonts w:ascii="Times New Roman" w:eastAsia="Arial" w:hAnsi="Times New Roman" w:cs="Times New Roman"/>
                <w:b/>
                <w:spacing w:val="1"/>
                <w:lang w:val="en-AU"/>
              </w:rPr>
            </w:pPr>
          </w:p>
        </w:tc>
        <w:tc>
          <w:tcPr>
            <w:tcW w:w="4706" w:type="pct"/>
            <w:gridSpan w:val="5"/>
            <w:tcBorders>
              <w:top w:val="single" w:sz="12" w:space="0" w:color="auto"/>
              <w:bottom w:val="single" w:sz="4" w:space="0" w:color="auto"/>
            </w:tcBorders>
            <w:shd w:val="clear" w:color="auto" w:fill="auto"/>
          </w:tcPr>
          <w:p w:rsidR="00CC0F88" w:rsidRPr="00EA34EC" w:rsidRDefault="008077EC" w:rsidP="00D4062C">
            <w:pPr>
              <w:spacing w:before="32" w:after="0" w:line="240" w:lineRule="auto"/>
              <w:ind w:right="-20"/>
              <w:rPr>
                <w:rFonts w:ascii="Times New Roman" w:eastAsia="Arial" w:hAnsi="Times New Roman" w:cs="Times New Roman"/>
                <w:b/>
                <w:spacing w:val="1"/>
                <w:lang w:val="en-AU"/>
              </w:rPr>
            </w:pPr>
            <w:r w:rsidRPr="00EA34EC">
              <w:rPr>
                <w:rFonts w:ascii="Times New Roman" w:eastAsia="Arial" w:hAnsi="Times New Roman" w:cs="Times New Roman"/>
                <w:b/>
                <w:spacing w:val="1"/>
                <w:lang w:val="en-AU"/>
              </w:rPr>
              <w:t xml:space="preserve">Schedule 3 - </w:t>
            </w:r>
            <w:r w:rsidR="00CC0F88" w:rsidRPr="00EA34EC">
              <w:rPr>
                <w:rFonts w:ascii="Times New Roman" w:eastAsia="Arial" w:hAnsi="Times New Roman" w:cs="Times New Roman"/>
                <w:b/>
                <w:spacing w:val="1"/>
                <w:lang w:val="en-AU"/>
              </w:rPr>
              <w:t>Fixed fees for services related to the supply of electricity</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94" w:type="pct"/>
            <w:tcBorders>
              <w:top w:val="single" w:sz="4" w:space="0" w:color="auto"/>
              <w:bottom w:val="single" w:sz="4" w:space="0" w:color="auto"/>
            </w:tcBorders>
            <w:vAlign w:val="center"/>
          </w:tcPr>
          <w:p w:rsidR="00CC0F88" w:rsidRPr="00EA34EC" w:rsidRDefault="00CC0F88" w:rsidP="00B9385F">
            <w:pPr>
              <w:spacing w:before="32" w:after="0" w:line="240" w:lineRule="auto"/>
              <w:ind w:left="4" w:right="-20"/>
              <w:jc w:val="center"/>
              <w:rPr>
                <w:rFonts w:ascii="Times New Roman" w:eastAsia="Arial" w:hAnsi="Times New Roman" w:cs="Times New Roman"/>
                <w:b/>
                <w:bCs/>
                <w:spacing w:val="1"/>
              </w:rPr>
            </w:pPr>
            <w:r w:rsidRPr="00EA34EC">
              <w:rPr>
                <w:rFonts w:ascii="Times New Roman" w:eastAsia="Arial" w:hAnsi="Times New Roman" w:cs="Times New Roman"/>
                <w:b/>
                <w:bCs/>
                <w:spacing w:val="1"/>
              </w:rPr>
              <w:t>Item</w:t>
            </w:r>
          </w:p>
        </w:tc>
        <w:tc>
          <w:tcPr>
            <w:tcW w:w="2172" w:type="pct"/>
            <w:tcBorders>
              <w:top w:val="single" w:sz="4" w:space="0" w:color="auto"/>
              <w:bottom w:val="single" w:sz="4" w:space="0" w:color="auto"/>
            </w:tcBorders>
            <w:noWrap/>
            <w:tcMar>
              <w:top w:w="0" w:type="dxa"/>
              <w:left w:w="28" w:type="dxa"/>
              <w:bottom w:w="0" w:type="dxa"/>
              <w:right w:w="28" w:type="dxa"/>
            </w:tcMar>
            <w:vAlign w:val="center"/>
            <w:hideMark/>
          </w:tcPr>
          <w:p w:rsidR="00CC0F88" w:rsidRPr="00EA34EC" w:rsidRDefault="00AB2785" w:rsidP="00D86464">
            <w:pPr>
              <w:spacing w:before="32" w:after="0" w:line="240" w:lineRule="auto"/>
              <w:ind w:left="100" w:right="-20"/>
              <w:rPr>
                <w:rFonts w:ascii="Times New Roman" w:eastAsia="Arial" w:hAnsi="Times New Roman" w:cs="Times New Roman"/>
                <w:b/>
                <w:bCs/>
                <w:spacing w:val="1"/>
              </w:rPr>
            </w:pPr>
            <w:r>
              <w:rPr>
                <w:rFonts w:ascii="Times New Roman" w:eastAsia="Arial" w:hAnsi="Times New Roman" w:cs="Times New Roman"/>
                <w:b/>
                <w:bCs/>
                <w:spacing w:val="1"/>
              </w:rPr>
              <w:t>Service</w:t>
            </w:r>
          </w:p>
        </w:tc>
        <w:tc>
          <w:tcPr>
            <w:tcW w:w="671" w:type="pct"/>
            <w:tcBorders>
              <w:top w:val="single" w:sz="4" w:space="0" w:color="auto"/>
              <w:bottom w:val="single" w:sz="4" w:space="0" w:color="auto"/>
            </w:tcBorders>
            <w:noWrap/>
            <w:vAlign w:val="center"/>
            <w:hideMark/>
          </w:tcPr>
          <w:p w:rsidR="00CC0F88" w:rsidRPr="00EA34EC" w:rsidRDefault="00F75307" w:rsidP="00A2035B">
            <w:pPr>
              <w:spacing w:before="32" w:after="0" w:line="240" w:lineRule="auto"/>
              <w:ind w:left="100" w:right="-20"/>
              <w:jc w:val="center"/>
              <w:rPr>
                <w:rFonts w:ascii="Times New Roman" w:eastAsia="Arial" w:hAnsi="Times New Roman" w:cs="Times New Roman"/>
                <w:b/>
                <w:bCs/>
                <w:spacing w:val="1"/>
              </w:rPr>
            </w:pPr>
            <w:r>
              <w:rPr>
                <w:rFonts w:ascii="Times New Roman" w:eastAsia="Arial" w:hAnsi="Times New Roman" w:cs="Times New Roman"/>
                <w:b/>
                <w:bCs/>
                <w:spacing w:val="1"/>
              </w:rPr>
              <w:t>Units</w:t>
            </w:r>
          </w:p>
        </w:tc>
        <w:tc>
          <w:tcPr>
            <w:tcW w:w="597" w:type="pct"/>
            <w:tcBorders>
              <w:top w:val="single" w:sz="4" w:space="0" w:color="auto"/>
              <w:bottom w:val="single" w:sz="4" w:space="0" w:color="auto"/>
            </w:tcBorders>
            <w:vAlign w:val="center"/>
            <w:hideMark/>
          </w:tcPr>
          <w:p w:rsidR="00CC0F88" w:rsidRPr="00EA34EC" w:rsidRDefault="00CC0F88" w:rsidP="00D8646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Previous</w:t>
            </w:r>
          </w:p>
        </w:tc>
        <w:tc>
          <w:tcPr>
            <w:tcW w:w="522" w:type="pct"/>
            <w:tcBorders>
              <w:top w:val="single" w:sz="4" w:space="0" w:color="auto"/>
              <w:bottom w:val="single" w:sz="4" w:space="0" w:color="auto"/>
            </w:tcBorders>
            <w:tcMar>
              <w:top w:w="0" w:type="dxa"/>
              <w:left w:w="28" w:type="dxa"/>
              <w:bottom w:w="0" w:type="dxa"/>
              <w:right w:w="28" w:type="dxa"/>
            </w:tcMar>
            <w:vAlign w:val="center"/>
            <w:hideMark/>
          </w:tcPr>
          <w:p w:rsidR="00CC0F88" w:rsidRPr="00EA34EC" w:rsidRDefault="00CC0F88" w:rsidP="00D8646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Current</w:t>
            </w:r>
          </w:p>
        </w:tc>
        <w:tc>
          <w:tcPr>
            <w:tcW w:w="744" w:type="pct"/>
            <w:tcBorders>
              <w:top w:val="single" w:sz="4" w:space="0" w:color="auto"/>
              <w:bottom w:val="single" w:sz="4" w:space="0" w:color="auto"/>
            </w:tcBorders>
            <w:tcMar>
              <w:top w:w="0" w:type="dxa"/>
              <w:left w:w="28" w:type="dxa"/>
              <w:bottom w:w="0" w:type="dxa"/>
              <w:right w:w="28" w:type="dxa"/>
            </w:tcMar>
            <w:vAlign w:val="center"/>
            <w:hideMark/>
          </w:tcPr>
          <w:p w:rsidR="00CC0F88" w:rsidRPr="00EA34EC" w:rsidRDefault="00CC0F88" w:rsidP="00D8646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Variance</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94" w:type="pct"/>
            <w:tcBorders>
              <w:top w:val="single" w:sz="4" w:space="0" w:color="auto"/>
              <w:bottom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bCs/>
                <w:spacing w:val="1"/>
              </w:rPr>
            </w:pPr>
            <w:r w:rsidRPr="00EA34EC">
              <w:rPr>
                <w:rFonts w:ascii="Times New Roman" w:eastAsia="Arial" w:hAnsi="Times New Roman" w:cs="Times New Roman"/>
                <w:bCs/>
                <w:spacing w:val="1"/>
              </w:rPr>
              <w:t>1</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rsidR="00CC0F88" w:rsidRPr="00322D34" w:rsidRDefault="00CC0F88" w:rsidP="00B9385F">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 xml:space="preserve">Account establishment fee </w:t>
            </w:r>
          </w:p>
          <w:p w:rsidR="00CC0F88" w:rsidRPr="00EA34EC" w:rsidRDefault="00CC0F88" w:rsidP="00B9385F">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(for all new connections)</w:t>
            </w:r>
          </w:p>
        </w:tc>
        <w:tc>
          <w:tcPr>
            <w:tcW w:w="671" w:type="pct"/>
            <w:tcBorders>
              <w:top w:val="single" w:sz="4" w:space="0" w:color="auto"/>
              <w:bottom w:val="single" w:sz="4" w:space="0" w:color="auto"/>
            </w:tcBorders>
            <w:noWrap/>
            <w:tcMar>
              <w:top w:w="0" w:type="dxa"/>
              <w:left w:w="0" w:type="dxa"/>
              <w:bottom w:w="0" w:type="dxa"/>
              <w:right w:w="57" w:type="dxa"/>
            </w:tcMar>
            <w:vAlign w:val="bottom"/>
          </w:tcPr>
          <w:p w:rsidR="00CC0F88" w:rsidRPr="00EA34EC" w:rsidRDefault="00CC0F88" w:rsidP="00D4062C">
            <w:pPr>
              <w:spacing w:before="32" w:after="0" w:line="240" w:lineRule="auto"/>
              <w:ind w:left="141" w:right="-20"/>
              <w:rPr>
                <w:rFonts w:ascii="Times New Roman" w:eastAsia="Arial" w:hAnsi="Times New Roman" w:cs="Times New Roman"/>
                <w:bCs/>
                <w:spacing w:val="1"/>
              </w:rPr>
            </w:pPr>
            <w:r w:rsidRPr="00EA34EC">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tcMar>
              <w:top w:w="0" w:type="dxa"/>
              <w:left w:w="0" w:type="dxa"/>
              <w:bottom w:w="0" w:type="dxa"/>
              <w:right w:w="57" w:type="dxa"/>
            </w:tcMar>
            <w:vAlign w:val="center"/>
          </w:tcPr>
          <w:p w:rsidR="00CC0F88" w:rsidRPr="00EA34EC" w:rsidRDefault="00CC0F88" w:rsidP="009F4D1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Cs/>
                <w:spacing w:val="1"/>
              </w:rPr>
              <w:t>$21.45</w:t>
            </w:r>
          </w:p>
        </w:tc>
        <w:tc>
          <w:tcPr>
            <w:tcW w:w="522"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CC0F88" w:rsidP="00E9325D">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$21.82</w:t>
            </w:r>
          </w:p>
        </w:tc>
        <w:tc>
          <w:tcPr>
            <w:tcW w:w="744"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CC0F88" w:rsidP="00E9325D">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1.69% Increase</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2</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rsidR="00CC0F88" w:rsidRPr="00322D34" w:rsidRDefault="00CC0F88" w:rsidP="00B9385F">
            <w:pPr>
              <w:spacing w:before="32" w:after="0" w:line="240" w:lineRule="auto"/>
              <w:ind w:right="-20"/>
              <w:rPr>
                <w:rFonts w:ascii="Times New Roman" w:eastAsia="Arial" w:hAnsi="Times New Roman" w:cs="Times New Roman"/>
                <w:spacing w:val="1"/>
              </w:rPr>
            </w:pPr>
            <w:r w:rsidRPr="00322D34">
              <w:rPr>
                <w:rFonts w:ascii="Times New Roman" w:eastAsia="Arial" w:hAnsi="Times New Roman" w:cs="Times New Roman"/>
                <w:spacing w:val="1"/>
              </w:rPr>
              <w:t>Installation of a 3 phase residential meter</w:t>
            </w:r>
            <w:r w:rsidR="003631B1">
              <w:rPr>
                <w:rFonts w:ascii="Times New Roman" w:eastAsia="Arial" w:hAnsi="Times New Roman" w:cs="Times New Roman"/>
                <w:spacing w:val="1"/>
              </w:rPr>
              <w:t xml:space="preserve"> (new installation or replacement of a single phase meter)</w:t>
            </w:r>
          </w:p>
        </w:tc>
        <w:tc>
          <w:tcPr>
            <w:tcW w:w="671" w:type="pct"/>
            <w:tcBorders>
              <w:top w:val="single" w:sz="4" w:space="0" w:color="auto"/>
              <w:bottom w:val="single" w:sz="4" w:space="0" w:color="auto"/>
            </w:tcBorders>
            <w:noWrap/>
            <w:tcMar>
              <w:top w:w="0" w:type="dxa"/>
              <w:left w:w="0" w:type="dxa"/>
              <w:bottom w:w="0" w:type="dxa"/>
              <w:right w:w="57" w:type="dxa"/>
            </w:tcMar>
            <w:vAlign w:val="bottom"/>
          </w:tcPr>
          <w:p w:rsidR="00CC0F88" w:rsidRPr="00EA34EC" w:rsidRDefault="00CC0F88" w:rsidP="00D4062C">
            <w:pPr>
              <w:spacing w:before="32" w:after="0" w:line="240" w:lineRule="auto"/>
              <w:ind w:left="141" w:right="-20"/>
              <w:rPr>
                <w:rFonts w:ascii="Times New Roman" w:eastAsia="Arial" w:hAnsi="Times New Roman" w:cs="Times New Roman"/>
                <w:spacing w:val="1"/>
              </w:rPr>
            </w:pPr>
            <w:r w:rsidRPr="00EA34EC">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spacing w:val="1"/>
              </w:rPr>
            </w:pPr>
            <w:r w:rsidRPr="00EA34EC">
              <w:rPr>
                <w:rFonts w:ascii="Times New Roman" w:eastAsia="Arial" w:hAnsi="Times New Roman" w:cs="Times New Roman"/>
                <w:spacing w:val="1"/>
              </w:rPr>
              <w:t>$819.09</w:t>
            </w:r>
          </w:p>
        </w:tc>
        <w:tc>
          <w:tcPr>
            <w:tcW w:w="522"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CC0F88" w:rsidP="006E0389">
            <w:pPr>
              <w:spacing w:before="32" w:after="0" w:line="240" w:lineRule="auto"/>
              <w:ind w:left="100" w:right="-20"/>
              <w:rPr>
                <w:rFonts w:ascii="Times New Roman" w:eastAsia="Arial" w:hAnsi="Times New Roman" w:cs="Times New Roman"/>
                <w:spacing w:val="1"/>
              </w:rPr>
            </w:pPr>
            <w:r w:rsidRPr="00EA34EC">
              <w:rPr>
                <w:rFonts w:ascii="Times New Roman" w:eastAsia="Arial" w:hAnsi="Times New Roman" w:cs="Times New Roman"/>
                <w:spacing w:val="1"/>
              </w:rPr>
              <w:t>$830.91</w:t>
            </w:r>
          </w:p>
        </w:tc>
        <w:tc>
          <w:tcPr>
            <w:tcW w:w="744"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CC0F88" w:rsidP="006E0389">
            <w:pPr>
              <w:spacing w:before="32" w:after="0" w:line="240" w:lineRule="auto"/>
              <w:ind w:left="100" w:right="-20"/>
              <w:rPr>
                <w:rFonts w:ascii="Times New Roman" w:eastAsia="Arial" w:hAnsi="Times New Roman" w:cs="Times New Roman"/>
                <w:spacing w:val="1"/>
              </w:rPr>
            </w:pPr>
            <w:r w:rsidRPr="00EA34EC">
              <w:rPr>
                <w:rFonts w:ascii="Times New Roman" w:eastAsia="Arial" w:hAnsi="Times New Roman" w:cs="Times New Roman"/>
                <w:spacing w:val="1"/>
              </w:rPr>
              <w:t>1.44% Increase</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4</w:t>
            </w:r>
          </w:p>
        </w:tc>
        <w:tc>
          <w:tcPr>
            <w:tcW w:w="2172" w:type="pct"/>
            <w:tcBorders>
              <w:top w:val="single" w:sz="4" w:space="0" w:color="auto"/>
            </w:tcBorders>
            <w:noWrap/>
            <w:tcMar>
              <w:top w:w="0" w:type="dxa"/>
              <w:left w:w="28" w:type="dxa"/>
              <w:bottom w:w="0" w:type="dxa"/>
              <w:right w:w="28" w:type="dxa"/>
            </w:tcMar>
            <w:vAlign w:val="center"/>
          </w:tcPr>
          <w:p w:rsidR="00CC0F88" w:rsidRPr="00322D34" w:rsidRDefault="00CC0F88" w:rsidP="001A56FA">
            <w:pPr>
              <w:spacing w:before="32" w:after="0" w:line="240" w:lineRule="auto"/>
              <w:ind w:left="100" w:right="-20"/>
              <w:rPr>
                <w:rFonts w:ascii="Times New Roman" w:eastAsia="Arial" w:hAnsi="Times New Roman" w:cs="Times New Roman"/>
                <w:bCs/>
                <w:spacing w:val="1"/>
              </w:rPr>
            </w:pPr>
            <w:r w:rsidRPr="00322D34">
              <w:rPr>
                <w:rFonts w:ascii="Times New Roman" w:eastAsia="Arial" w:hAnsi="Times New Roman" w:cs="Times New Roman"/>
                <w:spacing w:val="1"/>
              </w:rPr>
              <w:t>Connection of temporary supply:</w:t>
            </w:r>
          </w:p>
        </w:tc>
        <w:tc>
          <w:tcPr>
            <w:tcW w:w="671" w:type="pct"/>
            <w:tcBorders>
              <w:top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bCs/>
                <w:spacing w:val="1"/>
              </w:rPr>
            </w:pPr>
          </w:p>
        </w:tc>
        <w:tc>
          <w:tcPr>
            <w:tcW w:w="597" w:type="pct"/>
            <w:tcBorders>
              <w:top w:val="single" w:sz="4" w:space="0" w:color="auto"/>
            </w:tcBorders>
            <w:noWrap/>
            <w:tcMar>
              <w:top w:w="0" w:type="dxa"/>
              <w:left w:w="0" w:type="dxa"/>
              <w:bottom w:w="0" w:type="dxa"/>
              <w:right w:w="57"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522"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744"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r>
      <w:tr w:rsidR="00B9385F" w:rsidRPr="00FC4B26" w:rsidTr="000B509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vAlign w:val="center"/>
          </w:tcPr>
          <w:p w:rsidR="00CC0F88" w:rsidRPr="00EA34EC" w:rsidRDefault="008077EC" w:rsidP="00B9385F">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2172" w:type="pct"/>
            <w:noWrap/>
            <w:tcMar>
              <w:top w:w="0" w:type="dxa"/>
              <w:left w:w="28" w:type="dxa"/>
              <w:bottom w:w="0" w:type="dxa"/>
              <w:right w:w="28" w:type="dxa"/>
            </w:tcMar>
            <w:vAlign w:val="center"/>
          </w:tcPr>
          <w:p w:rsidR="00CC0F88" w:rsidRPr="00EA34EC" w:rsidRDefault="00D4062C" w:rsidP="003631B1">
            <w:pPr>
              <w:spacing w:before="32" w:after="0" w:line="240" w:lineRule="auto"/>
              <w:ind w:right="-20"/>
              <w:rPr>
                <w:rFonts w:ascii="Times New Roman" w:eastAsia="Arial" w:hAnsi="Times New Roman" w:cs="Times New Roman"/>
                <w:spacing w:val="1"/>
              </w:rPr>
            </w:pPr>
            <w:r w:rsidRPr="00EA34EC">
              <w:rPr>
                <w:rFonts w:ascii="Times New Roman" w:eastAsia="Arial" w:hAnsi="Times New Roman" w:cs="Times New Roman"/>
                <w:spacing w:val="1"/>
              </w:rPr>
              <w:t>S</w:t>
            </w:r>
            <w:r w:rsidR="00CC0F88" w:rsidRPr="00EA34EC">
              <w:rPr>
                <w:rFonts w:ascii="Times New Roman" w:eastAsia="Arial" w:hAnsi="Times New Roman" w:cs="Times New Roman"/>
                <w:spacing w:val="1"/>
              </w:rPr>
              <w:t xml:space="preserve">ingle phase  </w:t>
            </w:r>
          </w:p>
        </w:tc>
        <w:tc>
          <w:tcPr>
            <w:tcW w:w="671" w:type="pct"/>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bCs/>
                <w:spacing w:val="1"/>
              </w:rPr>
            </w:pPr>
            <w:r w:rsidRPr="00EA34EC">
              <w:rPr>
                <w:rFonts w:ascii="Times New Roman" w:eastAsia="Arial" w:hAnsi="Times New Roman" w:cs="Times New Roman"/>
                <w:bCs/>
                <w:spacing w:val="1"/>
              </w:rPr>
              <w:t>Dollars per instance</w:t>
            </w:r>
          </w:p>
        </w:tc>
        <w:tc>
          <w:tcPr>
            <w:tcW w:w="597" w:type="pct"/>
            <w:noWrap/>
            <w:tcMar>
              <w:top w:w="0" w:type="dxa"/>
              <w:left w:w="0" w:type="dxa"/>
              <w:bottom w:w="0" w:type="dxa"/>
              <w:right w:w="57" w:type="dxa"/>
            </w:tcMa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$819.09</w:t>
            </w:r>
          </w:p>
        </w:tc>
        <w:tc>
          <w:tcPr>
            <w:tcW w:w="522" w:type="pct"/>
            <w:tcMar>
              <w:top w:w="0" w:type="dxa"/>
              <w:left w:w="28" w:type="dxa"/>
              <w:bottom w:w="0" w:type="dxa"/>
              <w:right w:w="28" w:type="dxa"/>
            </w:tcMar>
          </w:tcPr>
          <w:p w:rsidR="00CC0F88" w:rsidRPr="00EA34EC" w:rsidRDefault="00CC0F88" w:rsidP="00847347">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$831.82</w:t>
            </w:r>
          </w:p>
        </w:tc>
        <w:tc>
          <w:tcPr>
            <w:tcW w:w="744" w:type="pct"/>
            <w:tcMar>
              <w:top w:w="0" w:type="dxa"/>
              <w:left w:w="28" w:type="dxa"/>
              <w:bottom w:w="0" w:type="dxa"/>
              <w:right w:w="28" w:type="dxa"/>
            </w:tcMar>
          </w:tcPr>
          <w:p w:rsidR="00CC0F88" w:rsidRPr="00EA34EC" w:rsidRDefault="00CC0F88" w:rsidP="00847347">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1.55% Increase</w:t>
            </w:r>
          </w:p>
        </w:tc>
      </w:tr>
      <w:tr w:rsidR="00B9385F" w:rsidRPr="00FC4B26" w:rsidTr="00C1612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bottom w:val="single" w:sz="4" w:space="0" w:color="auto"/>
            </w:tcBorders>
            <w:vAlign w:val="center"/>
          </w:tcPr>
          <w:p w:rsidR="00CC0F88" w:rsidRPr="00EA34EC" w:rsidRDefault="008077EC" w:rsidP="00B9385F">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2172" w:type="pct"/>
            <w:tcBorders>
              <w:bottom w:val="single" w:sz="4" w:space="0" w:color="auto"/>
            </w:tcBorders>
            <w:noWrap/>
            <w:tcMar>
              <w:top w:w="0" w:type="dxa"/>
              <w:left w:w="28" w:type="dxa"/>
              <w:bottom w:w="0" w:type="dxa"/>
              <w:right w:w="28" w:type="dxa"/>
            </w:tcMar>
            <w:vAlign w:val="center"/>
          </w:tcPr>
          <w:p w:rsidR="00CC0F88" w:rsidRPr="00EA34EC" w:rsidRDefault="00AB2785" w:rsidP="003631B1">
            <w:pPr>
              <w:spacing w:before="32" w:after="0" w:line="240" w:lineRule="auto"/>
              <w:ind w:right="-20"/>
              <w:jc w:val="both"/>
              <w:rPr>
                <w:rFonts w:ascii="Times New Roman" w:eastAsia="Arial" w:hAnsi="Times New Roman" w:cs="Times New Roman"/>
                <w:spacing w:val="1"/>
              </w:rPr>
            </w:pPr>
            <w:r w:rsidRPr="00EA34EC">
              <w:rPr>
                <w:rFonts w:ascii="Times New Roman" w:eastAsia="Arial" w:hAnsi="Times New Roman" w:cs="Times New Roman"/>
                <w:spacing w:val="1"/>
              </w:rPr>
              <w:t xml:space="preserve">3 phase </w:t>
            </w:r>
          </w:p>
        </w:tc>
        <w:tc>
          <w:tcPr>
            <w:tcW w:w="671" w:type="pct"/>
            <w:tcBorders>
              <w:bottom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spacing w:val="1"/>
              </w:rPr>
            </w:pPr>
            <w:r w:rsidRPr="00EA34EC">
              <w:rPr>
                <w:rFonts w:ascii="Times New Roman" w:eastAsia="Arial" w:hAnsi="Times New Roman" w:cs="Times New Roman"/>
                <w:bCs/>
                <w:spacing w:val="1"/>
              </w:rPr>
              <w:t>Dollars per instance</w:t>
            </w:r>
          </w:p>
        </w:tc>
        <w:tc>
          <w:tcPr>
            <w:tcW w:w="597" w:type="pct"/>
            <w:tcBorders>
              <w:bottom w:val="single" w:sz="4" w:space="0" w:color="auto"/>
            </w:tcBorders>
            <w:noWrap/>
            <w:tcMar>
              <w:top w:w="0" w:type="dxa"/>
              <w:left w:w="0" w:type="dxa"/>
              <w:bottom w:w="0" w:type="dxa"/>
              <w:right w:w="57" w:type="dxa"/>
            </w:tcMar>
            <w:vAlign w:val="center"/>
          </w:tcPr>
          <w:p w:rsidR="00CC0F88" w:rsidRPr="00EA34EC" w:rsidRDefault="00CC0F88" w:rsidP="00847347">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$819.09</w:t>
            </w:r>
          </w:p>
        </w:tc>
        <w:tc>
          <w:tcPr>
            <w:tcW w:w="522" w:type="pct"/>
            <w:tcBorders>
              <w:bottom w:val="single" w:sz="4" w:space="0" w:color="auto"/>
            </w:tcBorders>
            <w:tcMar>
              <w:top w:w="0" w:type="dxa"/>
              <w:left w:w="28" w:type="dxa"/>
              <w:bottom w:w="0" w:type="dxa"/>
              <w:right w:w="28" w:type="dxa"/>
            </w:tcMar>
            <w:vAlign w:val="center"/>
          </w:tcPr>
          <w:p w:rsidR="00CC0F88" w:rsidRPr="00EA34EC" w:rsidRDefault="00CC0F88" w:rsidP="00847347">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$831.82</w:t>
            </w:r>
          </w:p>
        </w:tc>
        <w:tc>
          <w:tcPr>
            <w:tcW w:w="744" w:type="pct"/>
            <w:tcBorders>
              <w:bottom w:val="single" w:sz="4" w:space="0" w:color="auto"/>
            </w:tcBorders>
            <w:tcMar>
              <w:top w:w="0" w:type="dxa"/>
              <w:left w:w="28" w:type="dxa"/>
              <w:bottom w:w="0" w:type="dxa"/>
              <w:right w:w="28" w:type="dxa"/>
            </w:tcMar>
            <w:vAlign w:val="center"/>
          </w:tcPr>
          <w:p w:rsidR="00CC0F88" w:rsidRPr="00EA34EC" w:rsidRDefault="00CC0F88" w:rsidP="00847347">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1.55% Increase</w:t>
            </w:r>
          </w:p>
        </w:tc>
      </w:tr>
      <w:tr w:rsidR="00B9385F" w:rsidRPr="00FC4B26" w:rsidTr="00C1612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b/>
                <w:spacing w:val="1"/>
              </w:rPr>
            </w:pPr>
            <w:r w:rsidRPr="00EA34EC">
              <w:rPr>
                <w:rFonts w:ascii="Times New Roman" w:eastAsia="Arial" w:hAnsi="Times New Roman" w:cs="Times New Roman"/>
                <w:b/>
                <w:spacing w:val="1"/>
              </w:rPr>
              <w:t>5</w:t>
            </w:r>
          </w:p>
        </w:tc>
        <w:tc>
          <w:tcPr>
            <w:tcW w:w="2172" w:type="pct"/>
            <w:tcBorders>
              <w:top w:val="single" w:sz="4" w:space="0" w:color="auto"/>
            </w:tcBorders>
            <w:noWrap/>
            <w:tcMar>
              <w:top w:w="0" w:type="dxa"/>
              <w:left w:w="28" w:type="dxa"/>
              <w:bottom w:w="0" w:type="dxa"/>
              <w:right w:w="28" w:type="dxa"/>
            </w:tcMar>
            <w:vAlign w:val="center"/>
          </w:tcPr>
          <w:p w:rsidR="00CC0F88" w:rsidRPr="00322D34" w:rsidRDefault="00CC0F88" w:rsidP="00D4062C">
            <w:pPr>
              <w:spacing w:before="32" w:after="0" w:line="240" w:lineRule="auto"/>
              <w:ind w:right="-20"/>
              <w:rPr>
                <w:rFonts w:ascii="Times New Roman" w:eastAsia="Arial" w:hAnsi="Times New Roman" w:cs="Times New Roman"/>
                <w:spacing w:val="1"/>
              </w:rPr>
            </w:pPr>
            <w:r w:rsidRPr="00322D34">
              <w:rPr>
                <w:rFonts w:ascii="Times New Roman" w:eastAsia="Arial" w:hAnsi="Times New Roman" w:cs="Times New Roman"/>
                <w:spacing w:val="1"/>
              </w:rPr>
              <w:t>Meter testing:</w:t>
            </w:r>
          </w:p>
        </w:tc>
        <w:tc>
          <w:tcPr>
            <w:tcW w:w="671" w:type="pct"/>
            <w:tcBorders>
              <w:top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spacing w:val="1"/>
              </w:rPr>
            </w:pPr>
          </w:p>
        </w:tc>
        <w:tc>
          <w:tcPr>
            <w:tcW w:w="597" w:type="pct"/>
            <w:tcBorders>
              <w:top w:val="single" w:sz="4" w:space="0" w:color="auto"/>
            </w:tcBorders>
            <w:noWrap/>
            <w:tcMar>
              <w:top w:w="0" w:type="dxa"/>
              <w:left w:w="0" w:type="dxa"/>
              <w:bottom w:w="0" w:type="dxa"/>
              <w:right w:w="57"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522"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744"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r>
      <w:tr w:rsidR="00B9385F" w:rsidRPr="00FC4B26" w:rsidTr="000B509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vAlign w:val="center"/>
          </w:tcPr>
          <w:p w:rsidR="00CC0F88" w:rsidRPr="00EA34EC" w:rsidRDefault="008077EC" w:rsidP="00B9385F">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2172" w:type="pct"/>
            <w:noWrap/>
            <w:tcMar>
              <w:top w:w="0" w:type="dxa"/>
              <w:left w:w="28" w:type="dxa"/>
              <w:bottom w:w="0" w:type="dxa"/>
              <w:right w:w="28" w:type="dxa"/>
            </w:tcMar>
            <w:vAlign w:val="center"/>
          </w:tcPr>
          <w:p w:rsidR="00CC0F88" w:rsidRPr="00EA34EC" w:rsidRDefault="00CC0F88" w:rsidP="00D4062C">
            <w:pPr>
              <w:spacing w:before="32" w:after="0" w:line="240" w:lineRule="auto"/>
              <w:ind w:right="-20"/>
              <w:rPr>
                <w:rFonts w:ascii="Times New Roman" w:eastAsia="Arial" w:hAnsi="Times New Roman" w:cs="Times New Roman"/>
                <w:spacing w:val="1"/>
              </w:rPr>
            </w:pPr>
            <w:r w:rsidRPr="00EA34EC">
              <w:rPr>
                <w:rFonts w:ascii="Times New Roman" w:eastAsia="Arial" w:hAnsi="Times New Roman" w:cs="Times New Roman"/>
                <w:spacing w:val="1"/>
              </w:rPr>
              <w:t>if paragraph (b) does not apply (standard);</w:t>
            </w:r>
          </w:p>
        </w:tc>
        <w:tc>
          <w:tcPr>
            <w:tcW w:w="671" w:type="pct"/>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spacing w:val="1"/>
              </w:rPr>
            </w:pPr>
            <w:r w:rsidRPr="00EA34EC">
              <w:rPr>
                <w:rFonts w:ascii="Times New Roman" w:eastAsia="Arial" w:hAnsi="Times New Roman" w:cs="Times New Roman"/>
                <w:bCs/>
                <w:spacing w:val="1"/>
              </w:rPr>
              <w:t xml:space="preserve">Dollars per </w:t>
            </w:r>
            <w:r w:rsidRPr="00EA34EC">
              <w:rPr>
                <w:rFonts w:ascii="Times New Roman" w:eastAsia="Arial" w:hAnsi="Times New Roman" w:cs="Times New Roman"/>
                <w:bCs/>
                <w:spacing w:val="1"/>
              </w:rPr>
              <w:lastRenderedPageBreak/>
              <w:t>instance</w:t>
            </w:r>
          </w:p>
        </w:tc>
        <w:tc>
          <w:tcPr>
            <w:tcW w:w="597" w:type="pct"/>
            <w:noWrap/>
            <w:tcMar>
              <w:top w:w="0" w:type="dxa"/>
              <w:left w:w="0" w:type="dxa"/>
              <w:bottom w:w="0" w:type="dxa"/>
              <w:right w:w="57" w:type="dxa"/>
            </w:tcMar>
            <w:vAlign w:val="center"/>
          </w:tcPr>
          <w:p w:rsidR="00CC0F88" w:rsidRPr="00EA34EC" w:rsidRDefault="00CC0F88" w:rsidP="00B9385F">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lastRenderedPageBreak/>
              <w:t>$221.4</w:t>
            </w:r>
            <w:r w:rsidRPr="00EA34EC">
              <w:rPr>
                <w:rFonts w:ascii="Times New Roman" w:eastAsia="Arial" w:hAnsi="Times New Roman" w:cs="Times New Roman"/>
                <w:bCs/>
                <w:spacing w:val="1"/>
              </w:rPr>
              <w:lastRenderedPageBreak/>
              <w:t>5</w:t>
            </w:r>
          </w:p>
        </w:tc>
        <w:tc>
          <w:tcPr>
            <w:tcW w:w="522" w:type="pct"/>
            <w:tcMar>
              <w:top w:w="0" w:type="dxa"/>
              <w:left w:w="28" w:type="dxa"/>
              <w:bottom w:w="0" w:type="dxa"/>
              <w:right w:w="28" w:type="dxa"/>
            </w:tcMar>
            <w:vAlign w:val="center"/>
          </w:tcPr>
          <w:p w:rsidR="00CC0F88" w:rsidRPr="00EA34EC" w:rsidRDefault="00CC0F88" w:rsidP="00B9385F">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lastRenderedPageBreak/>
              <w:t>$224.7</w:t>
            </w:r>
            <w:r w:rsidRPr="00EA34EC">
              <w:rPr>
                <w:rFonts w:ascii="Times New Roman" w:eastAsia="Arial" w:hAnsi="Times New Roman" w:cs="Times New Roman"/>
                <w:bCs/>
                <w:spacing w:val="1"/>
              </w:rPr>
              <w:lastRenderedPageBreak/>
              <w:t>3</w:t>
            </w:r>
          </w:p>
        </w:tc>
        <w:tc>
          <w:tcPr>
            <w:tcW w:w="744" w:type="pct"/>
            <w:tcMar>
              <w:top w:w="0" w:type="dxa"/>
              <w:left w:w="28" w:type="dxa"/>
              <w:bottom w:w="0" w:type="dxa"/>
              <w:right w:w="28" w:type="dxa"/>
            </w:tcMar>
            <w:vAlign w:val="center"/>
          </w:tcPr>
          <w:p w:rsidR="00CC0F88" w:rsidRPr="00EA34EC" w:rsidRDefault="00CC0F88" w:rsidP="00B9385F">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lastRenderedPageBreak/>
              <w:t xml:space="preserve">1.48% </w:t>
            </w:r>
            <w:r w:rsidRPr="00EA34EC">
              <w:rPr>
                <w:rFonts w:ascii="Times New Roman" w:eastAsia="Arial" w:hAnsi="Times New Roman" w:cs="Times New Roman"/>
                <w:bCs/>
                <w:spacing w:val="1"/>
              </w:rPr>
              <w:lastRenderedPageBreak/>
              <w:t>Increase</w:t>
            </w:r>
          </w:p>
        </w:tc>
      </w:tr>
      <w:tr w:rsidR="00B9385F" w:rsidRPr="00FC4B26" w:rsidTr="004F5429">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bottom w:val="single" w:sz="4" w:space="0" w:color="auto"/>
            </w:tcBorders>
            <w:vAlign w:val="center"/>
          </w:tcPr>
          <w:p w:rsidR="00CC0F88" w:rsidRPr="00EA34EC" w:rsidRDefault="008077EC" w:rsidP="00B9385F">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lastRenderedPageBreak/>
              <w:t>(b)</w:t>
            </w:r>
          </w:p>
        </w:tc>
        <w:tc>
          <w:tcPr>
            <w:tcW w:w="2172" w:type="pct"/>
            <w:tcBorders>
              <w:bottom w:val="single" w:sz="4" w:space="0" w:color="auto"/>
            </w:tcBorders>
            <w:noWrap/>
            <w:tcMar>
              <w:top w:w="0" w:type="dxa"/>
              <w:left w:w="28" w:type="dxa"/>
              <w:bottom w:w="0" w:type="dxa"/>
              <w:right w:w="28" w:type="dxa"/>
            </w:tcMar>
            <w:vAlign w:val="center"/>
          </w:tcPr>
          <w:p w:rsidR="00CC0F88" w:rsidRPr="00EA34EC" w:rsidRDefault="00CC0F88" w:rsidP="00D4062C">
            <w:pPr>
              <w:spacing w:before="32" w:after="0" w:line="240" w:lineRule="auto"/>
              <w:ind w:right="-20"/>
              <w:rPr>
                <w:rFonts w:ascii="Times New Roman" w:eastAsia="Arial" w:hAnsi="Times New Roman" w:cs="Times New Roman"/>
                <w:bCs/>
                <w:spacing w:val="1"/>
              </w:rPr>
            </w:pPr>
            <w:r w:rsidRPr="00EA34EC">
              <w:rPr>
                <w:rFonts w:ascii="Times New Roman" w:eastAsia="Arial" w:hAnsi="Times New Roman" w:cs="Times New Roman"/>
                <w:spacing w:val="1"/>
              </w:rPr>
              <w:t>for a consumer entitled to a rebate under subsection 7(1)</w:t>
            </w:r>
          </w:p>
        </w:tc>
        <w:tc>
          <w:tcPr>
            <w:tcW w:w="671" w:type="pct"/>
            <w:tcBorders>
              <w:bottom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bCs/>
                <w:spacing w:val="1"/>
              </w:rPr>
            </w:pPr>
            <w:r w:rsidRPr="00EA34EC">
              <w:rPr>
                <w:rFonts w:ascii="Times New Roman" w:eastAsia="Arial" w:hAnsi="Times New Roman" w:cs="Times New Roman"/>
                <w:bCs/>
                <w:spacing w:val="1"/>
              </w:rPr>
              <w:t>Dollars per instance</w:t>
            </w:r>
          </w:p>
        </w:tc>
        <w:tc>
          <w:tcPr>
            <w:tcW w:w="597" w:type="pct"/>
            <w:tcBorders>
              <w:bottom w:val="single" w:sz="4" w:space="0" w:color="auto"/>
            </w:tcBorders>
            <w:noWrap/>
            <w:tcMar>
              <w:top w:w="0" w:type="dxa"/>
              <w:left w:w="0" w:type="dxa"/>
              <w:bottom w:w="0" w:type="dxa"/>
              <w:right w:w="57" w:type="dxa"/>
            </w:tcMar>
            <w:vAlign w:val="center"/>
          </w:tcPr>
          <w:p w:rsidR="00CC0F88" w:rsidRPr="00EA34EC" w:rsidRDefault="00CC0F88" w:rsidP="00B9385F">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$138.36</w:t>
            </w:r>
          </w:p>
        </w:tc>
        <w:tc>
          <w:tcPr>
            <w:tcW w:w="522" w:type="pct"/>
            <w:tcBorders>
              <w:bottom w:val="single" w:sz="4" w:space="0" w:color="auto"/>
            </w:tcBorders>
            <w:tcMar>
              <w:top w:w="0" w:type="dxa"/>
              <w:left w:w="28" w:type="dxa"/>
              <w:bottom w:w="0" w:type="dxa"/>
              <w:right w:w="28" w:type="dxa"/>
            </w:tcMar>
            <w:vAlign w:val="center"/>
          </w:tcPr>
          <w:p w:rsidR="00CC0F88" w:rsidRPr="00EA34EC" w:rsidRDefault="00CC0F88" w:rsidP="00B9385F">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$140.36</w:t>
            </w:r>
          </w:p>
        </w:tc>
        <w:tc>
          <w:tcPr>
            <w:tcW w:w="744" w:type="pct"/>
            <w:tcBorders>
              <w:bottom w:val="single" w:sz="4" w:space="0" w:color="auto"/>
            </w:tcBorders>
            <w:vAlign w:val="center"/>
          </w:tcPr>
          <w:p w:rsidR="00CC0F88" w:rsidRPr="00EA34EC" w:rsidRDefault="00CC0F88" w:rsidP="00B9385F">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1.45% Increase</w:t>
            </w:r>
          </w:p>
        </w:tc>
      </w:tr>
      <w:tr w:rsidR="00BE72C0" w:rsidRPr="00EA34EC" w:rsidTr="003631B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rsidR="00A34338" w:rsidRPr="00A34338" w:rsidRDefault="00A34338" w:rsidP="00270308">
            <w:pPr>
              <w:spacing w:before="32" w:after="0" w:line="240" w:lineRule="auto"/>
              <w:ind w:right="-20"/>
              <w:jc w:val="center"/>
              <w:rPr>
                <w:rFonts w:ascii="Times New Roman" w:eastAsia="Arial" w:hAnsi="Times New Roman" w:cs="Times New Roman"/>
                <w:spacing w:val="1"/>
              </w:rPr>
            </w:pPr>
            <w:r w:rsidRPr="00A34338">
              <w:rPr>
                <w:rFonts w:ascii="Times New Roman" w:eastAsia="Arial" w:hAnsi="Times New Roman" w:cs="Times New Roman"/>
                <w:spacing w:val="1"/>
              </w:rPr>
              <w:t>6</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rsidR="00A34338" w:rsidRPr="00A34338" w:rsidRDefault="003631B1" w:rsidP="00270308">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Special meter reading request by consumer</w:t>
            </w:r>
          </w:p>
        </w:tc>
        <w:tc>
          <w:tcPr>
            <w:tcW w:w="671" w:type="pct"/>
            <w:tcBorders>
              <w:top w:val="single" w:sz="4" w:space="0" w:color="auto"/>
              <w:bottom w:val="single" w:sz="4" w:space="0" w:color="auto"/>
            </w:tcBorders>
            <w:noWrap/>
            <w:tcMar>
              <w:top w:w="0" w:type="dxa"/>
              <w:left w:w="0" w:type="dxa"/>
              <w:bottom w:w="0" w:type="dxa"/>
              <w:right w:w="57" w:type="dxa"/>
            </w:tcMar>
          </w:tcPr>
          <w:p w:rsidR="00A34338" w:rsidRPr="00CA3FA5" w:rsidRDefault="00A34338" w:rsidP="00270308">
            <w:pPr>
              <w:spacing w:before="32" w:after="0" w:line="240" w:lineRule="auto"/>
              <w:ind w:left="141" w:right="-20"/>
              <w:rPr>
                <w:rFonts w:ascii="Times New Roman" w:eastAsia="Arial" w:hAnsi="Times New Roman" w:cs="Times New Roman"/>
                <w:spacing w:val="1"/>
              </w:rPr>
            </w:pPr>
            <w:r w:rsidRPr="00CA3FA5">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tcPr>
          <w:p w:rsidR="00A34338" w:rsidRPr="00CA3FA5" w:rsidRDefault="00304B08" w:rsidP="00270308">
            <w:pPr>
              <w:spacing w:before="32" w:after="0" w:line="240" w:lineRule="auto"/>
              <w:ind w:left="100" w:right="-20"/>
              <w:rPr>
                <w:rFonts w:ascii="Times New Roman" w:eastAsia="Arial" w:hAnsi="Times New Roman" w:cs="Times New Roman"/>
                <w:bCs/>
                <w:spacing w:val="1"/>
              </w:rPr>
            </w:pPr>
            <w:r w:rsidRPr="00CA3FA5">
              <w:rPr>
                <w:rFonts w:ascii="Times New Roman" w:eastAsia="Arial" w:hAnsi="Times New Roman" w:cs="Times New Roman"/>
                <w:bCs/>
                <w:spacing w:val="1"/>
              </w:rPr>
              <w:t>$28.91</w:t>
            </w:r>
          </w:p>
        </w:tc>
        <w:tc>
          <w:tcPr>
            <w:tcW w:w="522" w:type="pct"/>
            <w:tcBorders>
              <w:top w:val="single" w:sz="4" w:space="0" w:color="auto"/>
              <w:bottom w:val="single" w:sz="4" w:space="0" w:color="auto"/>
            </w:tcBorders>
            <w:tcMar>
              <w:top w:w="0" w:type="dxa"/>
              <w:left w:w="28" w:type="dxa"/>
              <w:bottom w:w="0" w:type="dxa"/>
              <w:right w:w="28" w:type="dxa"/>
            </w:tcMar>
          </w:tcPr>
          <w:p w:rsidR="00A34338" w:rsidRPr="00CA3FA5" w:rsidRDefault="00A34338" w:rsidP="003631B1">
            <w:pPr>
              <w:spacing w:before="32" w:after="0" w:line="240" w:lineRule="auto"/>
              <w:ind w:left="100" w:right="-20"/>
              <w:rPr>
                <w:rFonts w:ascii="Times New Roman" w:eastAsia="Arial" w:hAnsi="Times New Roman" w:cs="Times New Roman"/>
                <w:bCs/>
                <w:spacing w:val="1"/>
              </w:rPr>
            </w:pPr>
            <w:r w:rsidRPr="00CA3FA5">
              <w:rPr>
                <w:rFonts w:ascii="Times New Roman" w:eastAsia="Arial" w:hAnsi="Times New Roman" w:cs="Times New Roman"/>
                <w:bCs/>
                <w:spacing w:val="1"/>
              </w:rPr>
              <w:t>$</w:t>
            </w:r>
            <w:r w:rsidR="003631B1" w:rsidRPr="00CA3FA5">
              <w:rPr>
                <w:rFonts w:ascii="Times New Roman" w:eastAsia="Arial" w:hAnsi="Times New Roman" w:cs="Times New Roman"/>
                <w:bCs/>
                <w:spacing w:val="1"/>
              </w:rPr>
              <w:t>28.91</w:t>
            </w:r>
          </w:p>
        </w:tc>
        <w:tc>
          <w:tcPr>
            <w:tcW w:w="744" w:type="pct"/>
            <w:tcBorders>
              <w:top w:val="single" w:sz="4" w:space="0" w:color="auto"/>
              <w:bottom w:val="single" w:sz="4" w:space="0" w:color="auto"/>
            </w:tcBorders>
            <w:tcMar>
              <w:top w:w="0" w:type="dxa"/>
              <w:left w:w="28" w:type="dxa"/>
              <w:bottom w:w="0" w:type="dxa"/>
              <w:right w:w="28" w:type="dxa"/>
            </w:tcMar>
          </w:tcPr>
          <w:p w:rsidR="00A34338" w:rsidRPr="00CA3FA5" w:rsidRDefault="00304B08" w:rsidP="00270308">
            <w:pPr>
              <w:spacing w:before="32" w:after="0" w:line="240" w:lineRule="auto"/>
              <w:ind w:left="100" w:right="-20"/>
              <w:rPr>
                <w:rFonts w:ascii="Times New Roman" w:eastAsia="Arial" w:hAnsi="Times New Roman" w:cs="Times New Roman"/>
                <w:spacing w:val="1"/>
              </w:rPr>
            </w:pPr>
            <w:r w:rsidRPr="00CA3FA5">
              <w:rPr>
                <w:rFonts w:ascii="Times New Roman" w:eastAsia="Arial" w:hAnsi="Times New Roman" w:cs="Times New Roman"/>
                <w:spacing w:val="1"/>
              </w:rPr>
              <w:t>Nil</w:t>
            </w:r>
          </w:p>
          <w:p w:rsidR="00A34338" w:rsidRPr="00CA3FA5" w:rsidRDefault="00A34338" w:rsidP="00270308">
            <w:pPr>
              <w:spacing w:before="32" w:after="0" w:line="240" w:lineRule="auto"/>
              <w:ind w:left="100" w:right="-20"/>
              <w:rPr>
                <w:rFonts w:ascii="Times New Roman" w:eastAsia="Arial" w:hAnsi="Times New Roman" w:cs="Times New Roman"/>
                <w:spacing w:val="1"/>
              </w:rPr>
            </w:pPr>
          </w:p>
        </w:tc>
      </w:tr>
      <w:tr w:rsidR="003631B1" w:rsidRPr="00EA34EC" w:rsidTr="004F5429">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12" w:space="0" w:color="auto"/>
            </w:tcBorders>
            <w:vAlign w:val="center"/>
          </w:tcPr>
          <w:p w:rsidR="003631B1" w:rsidRPr="00A34338" w:rsidRDefault="003631B1" w:rsidP="00270308">
            <w:pPr>
              <w:spacing w:before="32" w:after="0" w:line="240" w:lineRule="auto"/>
              <w:ind w:right="-20"/>
              <w:jc w:val="center"/>
              <w:rPr>
                <w:rFonts w:ascii="Times New Roman" w:eastAsia="Arial" w:hAnsi="Times New Roman" w:cs="Times New Roman"/>
                <w:spacing w:val="1"/>
              </w:rPr>
            </w:pPr>
            <w:r>
              <w:rPr>
                <w:rFonts w:ascii="Times New Roman" w:eastAsia="Arial" w:hAnsi="Times New Roman" w:cs="Times New Roman"/>
                <w:spacing w:val="1"/>
              </w:rPr>
              <w:t>7</w:t>
            </w:r>
          </w:p>
        </w:tc>
        <w:tc>
          <w:tcPr>
            <w:tcW w:w="2172" w:type="pct"/>
            <w:tcBorders>
              <w:top w:val="single" w:sz="4" w:space="0" w:color="auto"/>
              <w:bottom w:val="single" w:sz="12" w:space="0" w:color="auto"/>
            </w:tcBorders>
            <w:noWrap/>
            <w:tcMar>
              <w:top w:w="0" w:type="dxa"/>
              <w:left w:w="28" w:type="dxa"/>
              <w:bottom w:w="0" w:type="dxa"/>
              <w:right w:w="28" w:type="dxa"/>
            </w:tcMar>
            <w:vAlign w:val="center"/>
          </w:tcPr>
          <w:p w:rsidR="003631B1" w:rsidRPr="00A34338" w:rsidRDefault="003631B1" w:rsidP="00270308">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Disconnection warning</w:t>
            </w:r>
          </w:p>
        </w:tc>
        <w:tc>
          <w:tcPr>
            <w:tcW w:w="671" w:type="pct"/>
            <w:tcBorders>
              <w:top w:val="single" w:sz="4" w:space="0" w:color="auto"/>
              <w:bottom w:val="single" w:sz="12" w:space="0" w:color="auto"/>
            </w:tcBorders>
            <w:noWrap/>
            <w:tcMar>
              <w:top w:w="0" w:type="dxa"/>
              <w:left w:w="0" w:type="dxa"/>
              <w:bottom w:w="0" w:type="dxa"/>
              <w:right w:w="57" w:type="dxa"/>
            </w:tcMar>
          </w:tcPr>
          <w:p w:rsidR="003631B1" w:rsidRPr="00CA3FA5" w:rsidRDefault="003631B1" w:rsidP="00270308">
            <w:pPr>
              <w:spacing w:before="32" w:after="0" w:line="240" w:lineRule="auto"/>
              <w:ind w:left="141" w:right="-20"/>
              <w:rPr>
                <w:rFonts w:ascii="Times New Roman" w:eastAsia="Arial" w:hAnsi="Times New Roman" w:cs="Times New Roman"/>
                <w:bCs/>
                <w:spacing w:val="1"/>
              </w:rPr>
            </w:pPr>
            <w:r w:rsidRPr="00CA3FA5">
              <w:rPr>
                <w:rFonts w:ascii="Times New Roman" w:eastAsia="Arial" w:hAnsi="Times New Roman" w:cs="Times New Roman"/>
                <w:bCs/>
                <w:spacing w:val="1"/>
              </w:rPr>
              <w:t>Dollar per instance</w:t>
            </w:r>
          </w:p>
        </w:tc>
        <w:tc>
          <w:tcPr>
            <w:tcW w:w="597" w:type="pct"/>
            <w:tcBorders>
              <w:top w:val="single" w:sz="4" w:space="0" w:color="auto"/>
              <w:bottom w:val="single" w:sz="12" w:space="0" w:color="auto"/>
            </w:tcBorders>
            <w:noWrap/>
            <w:tcMar>
              <w:top w:w="0" w:type="dxa"/>
              <w:left w:w="0" w:type="dxa"/>
              <w:bottom w:w="0" w:type="dxa"/>
              <w:right w:w="57" w:type="dxa"/>
            </w:tcMar>
          </w:tcPr>
          <w:p w:rsidR="003631B1" w:rsidRPr="00CA3FA5" w:rsidRDefault="00304B08" w:rsidP="00270308">
            <w:pPr>
              <w:spacing w:before="32" w:after="0" w:line="240" w:lineRule="auto"/>
              <w:ind w:left="100" w:right="-20"/>
              <w:rPr>
                <w:rFonts w:ascii="Times New Roman" w:eastAsia="Arial" w:hAnsi="Times New Roman" w:cs="Times New Roman"/>
                <w:bCs/>
                <w:spacing w:val="1"/>
              </w:rPr>
            </w:pPr>
            <w:r w:rsidRPr="00CA3FA5">
              <w:rPr>
                <w:rFonts w:ascii="Times New Roman" w:eastAsia="Arial" w:hAnsi="Times New Roman" w:cs="Times New Roman"/>
                <w:bCs/>
                <w:spacing w:val="1"/>
              </w:rPr>
              <w:t>$5.80</w:t>
            </w:r>
          </w:p>
        </w:tc>
        <w:tc>
          <w:tcPr>
            <w:tcW w:w="522" w:type="pct"/>
            <w:tcBorders>
              <w:top w:val="single" w:sz="4" w:space="0" w:color="auto"/>
              <w:bottom w:val="single" w:sz="12" w:space="0" w:color="auto"/>
            </w:tcBorders>
            <w:tcMar>
              <w:top w:w="0" w:type="dxa"/>
              <w:left w:w="28" w:type="dxa"/>
              <w:bottom w:w="0" w:type="dxa"/>
              <w:right w:w="28" w:type="dxa"/>
            </w:tcMar>
          </w:tcPr>
          <w:p w:rsidR="003631B1" w:rsidRPr="00CA3FA5" w:rsidRDefault="003631B1" w:rsidP="00270308">
            <w:pPr>
              <w:spacing w:before="32" w:after="0" w:line="240" w:lineRule="auto"/>
              <w:ind w:left="100" w:right="-20"/>
              <w:rPr>
                <w:rFonts w:ascii="Times New Roman" w:eastAsia="Arial" w:hAnsi="Times New Roman" w:cs="Times New Roman"/>
                <w:bCs/>
                <w:spacing w:val="1"/>
              </w:rPr>
            </w:pPr>
            <w:r w:rsidRPr="00CA3FA5">
              <w:rPr>
                <w:rFonts w:ascii="Times New Roman" w:eastAsia="Arial" w:hAnsi="Times New Roman" w:cs="Times New Roman"/>
                <w:bCs/>
                <w:spacing w:val="1"/>
              </w:rPr>
              <w:t>$5.80</w:t>
            </w:r>
          </w:p>
        </w:tc>
        <w:tc>
          <w:tcPr>
            <w:tcW w:w="744" w:type="pct"/>
            <w:tcBorders>
              <w:top w:val="single" w:sz="4" w:space="0" w:color="auto"/>
              <w:bottom w:val="single" w:sz="12" w:space="0" w:color="auto"/>
            </w:tcBorders>
            <w:tcMar>
              <w:top w:w="0" w:type="dxa"/>
              <w:left w:w="28" w:type="dxa"/>
              <w:bottom w:w="0" w:type="dxa"/>
              <w:right w:w="28" w:type="dxa"/>
            </w:tcMar>
          </w:tcPr>
          <w:p w:rsidR="003631B1" w:rsidRPr="00CA3FA5" w:rsidRDefault="00304B08" w:rsidP="00270308">
            <w:pPr>
              <w:spacing w:before="32" w:after="0" w:line="240" w:lineRule="auto"/>
              <w:ind w:left="100" w:right="-20"/>
              <w:rPr>
                <w:rFonts w:ascii="Times New Roman" w:eastAsia="Arial" w:hAnsi="Times New Roman" w:cs="Times New Roman"/>
                <w:spacing w:val="1"/>
              </w:rPr>
            </w:pPr>
            <w:r w:rsidRPr="00CA3FA5">
              <w:rPr>
                <w:rFonts w:ascii="Times New Roman" w:eastAsia="Arial" w:hAnsi="Times New Roman" w:cs="Times New Roman"/>
                <w:spacing w:val="1"/>
              </w:rPr>
              <w:t>Nil</w:t>
            </w:r>
          </w:p>
        </w:tc>
      </w:tr>
    </w:tbl>
    <w:p w:rsidR="00C465EA" w:rsidRPr="00EA34EC" w:rsidRDefault="00C465EA" w:rsidP="00C465EA">
      <w:pPr>
        <w:spacing w:before="32" w:after="0" w:line="240" w:lineRule="auto"/>
        <w:ind w:left="100" w:right="-20"/>
        <w:rPr>
          <w:rFonts w:ascii="Times New Roman" w:eastAsia="Arial" w:hAnsi="Times New Roman" w:cs="Times New Roman"/>
          <w:spacing w:val="1"/>
        </w:rPr>
      </w:pPr>
    </w:p>
    <w:p w:rsidR="00A93DD7" w:rsidRDefault="00A93DD7">
      <w:pPr>
        <w:rPr>
          <w:rFonts w:ascii="Times New Roman" w:eastAsia="Arial" w:hAnsi="Times New Roman" w:cs="Times New Roman"/>
          <w:spacing w:val="1"/>
        </w:rPr>
      </w:pPr>
      <w:bookmarkStart w:id="1" w:name="_Toc399137918"/>
      <w:bookmarkStart w:id="2" w:name="_Toc401908205"/>
      <w:bookmarkStart w:id="3" w:name="_Toc416788387"/>
      <w:bookmarkStart w:id="4" w:name="_Toc416788419"/>
      <w:bookmarkStart w:id="5" w:name="_Toc455137041"/>
      <w:bookmarkStart w:id="6" w:name="_Toc399137936"/>
      <w:bookmarkStart w:id="7" w:name="_Toc401908223"/>
      <w:bookmarkStart w:id="8" w:name="_Toc416788405"/>
      <w:bookmarkStart w:id="9" w:name="_Toc416788437"/>
      <w:bookmarkStart w:id="10" w:name="_Toc423343948"/>
      <w:bookmarkStart w:id="11" w:name="_Toc423344432"/>
      <w:bookmarkStart w:id="12" w:name="_Toc423442528"/>
      <w:bookmarkEnd w:id="1"/>
      <w:bookmarkEnd w:id="2"/>
      <w:bookmarkEnd w:id="3"/>
      <w:bookmarkEnd w:id="4"/>
      <w:bookmarkEnd w:id="5"/>
      <w:bookmarkEnd w:id="6"/>
      <w:bookmarkEnd w:id="7"/>
      <w:bookmarkEnd w:id="8"/>
      <w:bookmarkEnd w:id="9"/>
      <w:bookmarkEnd w:id="10"/>
      <w:bookmarkEnd w:id="11"/>
      <w:bookmarkEnd w:id="12"/>
      <w:r>
        <w:rPr>
          <w:rFonts w:ascii="Times New Roman" w:eastAsia="Arial" w:hAnsi="Times New Roman" w:cs="Times New Roman"/>
          <w:spacing w:val="1"/>
        </w:rPr>
        <w:br w:type="page"/>
      </w:r>
    </w:p>
    <w:p w:rsidR="00A93DD7" w:rsidRPr="00A93DD7" w:rsidRDefault="00A93DD7" w:rsidP="00A93DD7">
      <w:pPr>
        <w:pStyle w:val="Heading2"/>
        <w:jc w:val="center"/>
        <w:rPr>
          <w:color w:val="0D0D0D" w:themeColor="text1" w:themeTint="F2"/>
        </w:rPr>
      </w:pPr>
      <w:r w:rsidRPr="00A93DD7">
        <w:rPr>
          <w:color w:val="0D0D0D" w:themeColor="text1" w:themeTint="F2"/>
        </w:rPr>
        <w:lastRenderedPageBreak/>
        <w:t>Statement of Compatibility with Human Rights</w:t>
      </w:r>
    </w:p>
    <w:p w:rsidR="00A93DD7" w:rsidRDefault="00A93DD7" w:rsidP="00A93DD7">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rsidR="00A93DD7" w:rsidRDefault="00A93DD7" w:rsidP="00A93DD7">
      <w:pPr>
        <w:spacing w:before="120" w:after="120" w:line="240" w:lineRule="auto"/>
        <w:jc w:val="center"/>
        <w:rPr>
          <w:rFonts w:ascii="Times New Roman" w:hAnsi="Times New Roman"/>
          <w:sz w:val="24"/>
          <w:szCs w:val="24"/>
        </w:rPr>
      </w:pPr>
    </w:p>
    <w:p w:rsidR="00A93DD7" w:rsidRPr="003828D2" w:rsidRDefault="00A93DD7" w:rsidP="00A93DD7">
      <w:pPr>
        <w:spacing w:before="32" w:after="0" w:line="240" w:lineRule="auto"/>
        <w:ind w:left="100" w:right="155"/>
        <w:jc w:val="center"/>
        <w:rPr>
          <w:rFonts w:ascii="Times New Roman" w:eastAsia="Arial" w:hAnsi="Times New Roman" w:cs="Times New Roman"/>
          <w:b/>
          <w:spacing w:val="2"/>
          <w:sz w:val="24"/>
          <w:szCs w:val="24"/>
        </w:rPr>
      </w:pPr>
      <w:r w:rsidRPr="003828D2">
        <w:rPr>
          <w:rFonts w:ascii="Times New Roman" w:eastAsia="Arial" w:hAnsi="Times New Roman" w:cs="Times New Roman"/>
          <w:b/>
          <w:spacing w:val="2"/>
          <w:sz w:val="24"/>
          <w:szCs w:val="24"/>
        </w:rPr>
        <w:t>C</w:t>
      </w:r>
      <w:r w:rsidR="001D04F2">
        <w:rPr>
          <w:rFonts w:ascii="Times New Roman" w:eastAsia="Arial" w:hAnsi="Times New Roman" w:cs="Times New Roman"/>
          <w:b/>
          <w:spacing w:val="2"/>
          <w:sz w:val="24"/>
          <w:szCs w:val="24"/>
        </w:rPr>
        <w:t>ocos (Keeling)</w:t>
      </w:r>
      <w:r w:rsidRPr="003828D2">
        <w:rPr>
          <w:rFonts w:ascii="Times New Roman" w:eastAsia="Arial" w:hAnsi="Times New Roman" w:cs="Times New Roman"/>
          <w:b/>
          <w:spacing w:val="2"/>
          <w:sz w:val="24"/>
          <w:szCs w:val="24"/>
        </w:rPr>
        <w:t xml:space="preserve"> Island</w:t>
      </w:r>
      <w:r w:rsidR="001D04F2">
        <w:rPr>
          <w:rFonts w:ascii="Times New Roman" w:eastAsia="Arial" w:hAnsi="Times New Roman" w:cs="Times New Roman"/>
          <w:b/>
          <w:spacing w:val="2"/>
          <w:sz w:val="24"/>
          <w:szCs w:val="24"/>
        </w:rPr>
        <w:t>s</w:t>
      </w:r>
      <w:r w:rsidRPr="003828D2">
        <w:rPr>
          <w:rFonts w:ascii="Times New Roman" w:eastAsia="Arial" w:hAnsi="Times New Roman" w:cs="Times New Roman"/>
          <w:b/>
          <w:spacing w:val="2"/>
          <w:sz w:val="24"/>
          <w:szCs w:val="24"/>
        </w:rPr>
        <w:t xml:space="preserve"> Utilities and Services (Electricity Supply and Services Fees) Amendment (2020 Measures No. 1) Determination 2020</w:t>
      </w:r>
    </w:p>
    <w:p w:rsidR="00A93DD7" w:rsidRDefault="00A93DD7" w:rsidP="00A93DD7">
      <w:pPr>
        <w:spacing w:before="120" w:after="120" w:line="240" w:lineRule="auto"/>
        <w:jc w:val="center"/>
        <w:rPr>
          <w:rFonts w:ascii="Times New Roman" w:hAnsi="Times New Roman"/>
          <w:sz w:val="24"/>
          <w:szCs w:val="24"/>
        </w:rPr>
      </w:pPr>
    </w:p>
    <w:p w:rsidR="00A93DD7" w:rsidRPr="00A93DD7" w:rsidRDefault="00A93DD7" w:rsidP="00A93DD7">
      <w:pPr>
        <w:spacing w:before="32" w:after="0" w:line="239" w:lineRule="auto"/>
        <w:ind w:right="48"/>
        <w:rPr>
          <w:rFonts w:ascii="Times New Roman" w:eastAsia="Arial" w:hAnsi="Times New Roman" w:cs="Times New Roman"/>
          <w:i/>
          <w:spacing w:val="-1"/>
          <w:sz w:val="24"/>
          <w:szCs w:val="24"/>
        </w:rPr>
      </w:pPr>
      <w:r w:rsidRPr="00A93DD7">
        <w:rPr>
          <w:rFonts w:ascii="Times New Roman" w:eastAsia="Arial" w:hAnsi="Times New Roman" w:cs="Times New Roman"/>
          <w:spacing w:val="-1"/>
          <w:sz w:val="24"/>
          <w:szCs w:val="24"/>
        </w:rPr>
        <w:t xml:space="preserve">This Disallowable Legislative Instrument is compatible with the human rights and freedoms </w:t>
      </w:r>
      <w:proofErr w:type="spellStart"/>
      <w:r w:rsidRPr="00A93DD7">
        <w:rPr>
          <w:rFonts w:ascii="Times New Roman" w:eastAsia="Arial" w:hAnsi="Times New Roman" w:cs="Times New Roman"/>
          <w:spacing w:val="-1"/>
          <w:sz w:val="24"/>
          <w:szCs w:val="24"/>
        </w:rPr>
        <w:t>recognised</w:t>
      </w:r>
      <w:proofErr w:type="spellEnd"/>
      <w:r w:rsidRPr="00A93DD7">
        <w:rPr>
          <w:rFonts w:ascii="Times New Roman" w:eastAsia="Arial" w:hAnsi="Times New Roman" w:cs="Times New Roman"/>
          <w:spacing w:val="-1"/>
          <w:sz w:val="24"/>
          <w:szCs w:val="24"/>
        </w:rPr>
        <w:t xml:space="preserve"> or declared in the international instruments listed in section 3 of the </w:t>
      </w:r>
      <w:r w:rsidRPr="00A93DD7">
        <w:rPr>
          <w:rFonts w:ascii="Times New Roman" w:eastAsia="Arial" w:hAnsi="Times New Roman" w:cs="Times New Roman"/>
          <w:i/>
          <w:spacing w:val="-1"/>
          <w:sz w:val="24"/>
          <w:szCs w:val="24"/>
        </w:rPr>
        <w:t>Human Rights (Parliamentary Scrutiny) Act 2011.</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after="0" w:line="248" w:lineRule="exact"/>
        <w:ind w:right="-20"/>
        <w:rPr>
          <w:rFonts w:ascii="Times New Roman" w:eastAsia="Arial" w:hAnsi="Times New Roman" w:cs="Times New Roman"/>
          <w:i/>
          <w:sz w:val="24"/>
          <w:szCs w:val="24"/>
          <w:u w:val="single"/>
        </w:rPr>
      </w:pPr>
      <w:r w:rsidRPr="00A93DD7">
        <w:rPr>
          <w:rFonts w:ascii="Times New Roman" w:eastAsia="Arial" w:hAnsi="Times New Roman" w:cs="Times New Roman"/>
          <w:i/>
          <w:sz w:val="24"/>
          <w:szCs w:val="24"/>
          <w:u w:val="single"/>
        </w:rPr>
        <w:t>Overview of the Disallowable Legislative Instrument</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Section 6 of the C</w:t>
      </w:r>
      <w:r w:rsidR="001D04F2">
        <w:rPr>
          <w:rFonts w:ascii="Times New Roman" w:eastAsia="Arial" w:hAnsi="Times New Roman" w:cs="Times New Roman"/>
          <w:spacing w:val="-1"/>
          <w:sz w:val="24"/>
          <w:szCs w:val="24"/>
        </w:rPr>
        <w:t>ocos (Keeling)</w:t>
      </w:r>
      <w:r w:rsidRPr="00A93DD7">
        <w:rPr>
          <w:rFonts w:ascii="Times New Roman" w:eastAsia="Arial" w:hAnsi="Times New Roman" w:cs="Times New Roman"/>
          <w:spacing w:val="-1"/>
          <w:sz w:val="24"/>
          <w:szCs w:val="24"/>
        </w:rPr>
        <w:t xml:space="preserve"> Island</w:t>
      </w:r>
      <w:r w:rsidR="001D04F2">
        <w:rPr>
          <w:rFonts w:ascii="Times New Roman" w:eastAsia="Arial" w:hAnsi="Times New Roman" w:cs="Times New Roman"/>
          <w:spacing w:val="-1"/>
          <w:sz w:val="24"/>
          <w:szCs w:val="24"/>
        </w:rPr>
        <w:t>s</w:t>
      </w:r>
      <w:r w:rsidRPr="00A93DD7">
        <w:rPr>
          <w:rFonts w:ascii="Times New Roman" w:eastAsia="Arial" w:hAnsi="Times New Roman" w:cs="Times New Roman"/>
          <w:spacing w:val="-1"/>
          <w:sz w:val="24"/>
          <w:szCs w:val="24"/>
        </w:rPr>
        <w:t xml:space="preserve"> Utilities and Services Ordinance 2016 (the Ordinance) </w:t>
      </w:r>
      <w:proofErr w:type="spellStart"/>
      <w:r w:rsidRPr="00A93DD7">
        <w:rPr>
          <w:rFonts w:ascii="Times New Roman" w:eastAsia="Arial" w:hAnsi="Times New Roman" w:cs="Times New Roman"/>
          <w:spacing w:val="-1"/>
          <w:sz w:val="24"/>
          <w:szCs w:val="24"/>
        </w:rPr>
        <w:t>authorises</w:t>
      </w:r>
      <w:proofErr w:type="spellEnd"/>
      <w:r w:rsidRPr="00A93DD7">
        <w:rPr>
          <w:rFonts w:ascii="Times New Roman" w:eastAsia="Arial" w:hAnsi="Times New Roman" w:cs="Times New Roman"/>
          <w:spacing w:val="-1"/>
          <w:sz w:val="24"/>
          <w:szCs w:val="24"/>
        </w:rPr>
        <w:t xml:space="preserve"> the Administrator of </w:t>
      </w:r>
      <w:r w:rsidR="001D04F2">
        <w:rPr>
          <w:rFonts w:ascii="Times New Roman" w:eastAsia="Arial" w:hAnsi="Times New Roman" w:cs="Times New Roman"/>
          <w:spacing w:val="-1"/>
          <w:sz w:val="24"/>
          <w:szCs w:val="24"/>
        </w:rPr>
        <w:t xml:space="preserve">the </w:t>
      </w:r>
      <w:r w:rsidRPr="00A93DD7">
        <w:rPr>
          <w:rFonts w:ascii="Times New Roman" w:eastAsia="Arial" w:hAnsi="Times New Roman" w:cs="Times New Roman"/>
          <w:spacing w:val="-1"/>
          <w:sz w:val="24"/>
          <w:szCs w:val="24"/>
        </w:rPr>
        <w:t>Territory of C</w:t>
      </w:r>
      <w:r w:rsidR="001D04F2">
        <w:rPr>
          <w:rFonts w:ascii="Times New Roman" w:eastAsia="Arial" w:hAnsi="Times New Roman" w:cs="Times New Roman"/>
          <w:spacing w:val="-1"/>
          <w:sz w:val="24"/>
          <w:szCs w:val="24"/>
        </w:rPr>
        <w:t>ocos (Keeling)</w:t>
      </w:r>
      <w:r w:rsidRPr="00A93DD7">
        <w:rPr>
          <w:rFonts w:ascii="Times New Roman" w:eastAsia="Arial" w:hAnsi="Times New Roman" w:cs="Times New Roman"/>
          <w:spacing w:val="-1"/>
          <w:sz w:val="24"/>
          <w:szCs w:val="24"/>
        </w:rPr>
        <w:t xml:space="preserve"> Island</w:t>
      </w:r>
      <w:r w:rsidR="001D04F2">
        <w:rPr>
          <w:rFonts w:ascii="Times New Roman" w:eastAsia="Arial" w:hAnsi="Times New Roman" w:cs="Times New Roman"/>
          <w:spacing w:val="-1"/>
          <w:sz w:val="24"/>
          <w:szCs w:val="24"/>
        </w:rPr>
        <w:t>s</w:t>
      </w:r>
      <w:r w:rsidRPr="00A93DD7">
        <w:rPr>
          <w:rFonts w:ascii="Times New Roman" w:eastAsia="Arial" w:hAnsi="Times New Roman" w:cs="Times New Roman"/>
          <w:spacing w:val="-1"/>
          <w:sz w:val="24"/>
          <w:szCs w:val="24"/>
        </w:rPr>
        <w:t xml:space="preserve"> to make provision for the supply of utilities and services in relation to, among others, the supply of electricity on C</w:t>
      </w:r>
      <w:r w:rsidR="001D04F2">
        <w:rPr>
          <w:rFonts w:ascii="Times New Roman" w:eastAsia="Arial" w:hAnsi="Times New Roman" w:cs="Times New Roman"/>
          <w:spacing w:val="-1"/>
          <w:sz w:val="24"/>
          <w:szCs w:val="24"/>
        </w:rPr>
        <w:t>ocos (Keeling) Islands</w:t>
      </w:r>
      <w:r w:rsidRPr="00A93DD7">
        <w:rPr>
          <w:rFonts w:ascii="Times New Roman" w:eastAsia="Arial" w:hAnsi="Times New Roman" w:cs="Times New Roman"/>
          <w:spacing w:val="-1"/>
          <w:sz w:val="24"/>
          <w:szCs w:val="24"/>
        </w:rPr>
        <w:t>. Section 7 of the Ordinance provides that the Administrator may impose a fee for the provision of such utilities and services, determined through a legislative instrument.</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The C</w:t>
      </w:r>
      <w:r w:rsidR="001D04F2">
        <w:rPr>
          <w:rFonts w:ascii="Times New Roman" w:eastAsia="Arial" w:hAnsi="Times New Roman" w:cs="Times New Roman"/>
          <w:spacing w:val="-1"/>
          <w:sz w:val="24"/>
          <w:szCs w:val="24"/>
        </w:rPr>
        <w:t>ocos (Keeling)</w:t>
      </w:r>
      <w:r w:rsidRPr="00A93DD7">
        <w:rPr>
          <w:rFonts w:ascii="Times New Roman" w:eastAsia="Arial" w:hAnsi="Times New Roman" w:cs="Times New Roman"/>
          <w:spacing w:val="-1"/>
          <w:sz w:val="24"/>
          <w:szCs w:val="24"/>
        </w:rPr>
        <w:t xml:space="preserve"> Island</w:t>
      </w:r>
      <w:r w:rsidR="001D04F2">
        <w:rPr>
          <w:rFonts w:ascii="Times New Roman" w:eastAsia="Arial" w:hAnsi="Times New Roman" w:cs="Times New Roman"/>
          <w:spacing w:val="-1"/>
          <w:sz w:val="24"/>
          <w:szCs w:val="24"/>
        </w:rPr>
        <w:t>s</w:t>
      </w:r>
      <w:r w:rsidRPr="00A93DD7">
        <w:rPr>
          <w:rFonts w:ascii="Times New Roman" w:eastAsia="Arial" w:hAnsi="Times New Roman" w:cs="Times New Roman"/>
          <w:spacing w:val="-1"/>
          <w:sz w:val="24"/>
          <w:szCs w:val="24"/>
        </w:rPr>
        <w:t xml:space="preserve"> Utilities and Services (Electricity Supply and Services Fees) Amendment (2020 Measures No. 1) Determination 2020 amends the C</w:t>
      </w:r>
      <w:r w:rsidR="001D04F2">
        <w:rPr>
          <w:rFonts w:ascii="Times New Roman" w:eastAsia="Arial" w:hAnsi="Times New Roman" w:cs="Times New Roman"/>
          <w:spacing w:val="-1"/>
          <w:sz w:val="24"/>
          <w:szCs w:val="24"/>
        </w:rPr>
        <w:t>ocos (Keeling)</w:t>
      </w:r>
      <w:r w:rsidRPr="00A93DD7">
        <w:rPr>
          <w:rFonts w:ascii="Times New Roman" w:eastAsia="Arial" w:hAnsi="Times New Roman" w:cs="Times New Roman"/>
          <w:spacing w:val="-1"/>
          <w:sz w:val="24"/>
          <w:szCs w:val="24"/>
        </w:rPr>
        <w:t xml:space="preserve"> Island</w:t>
      </w:r>
      <w:r w:rsidR="001D04F2">
        <w:rPr>
          <w:rFonts w:ascii="Times New Roman" w:eastAsia="Arial" w:hAnsi="Times New Roman" w:cs="Times New Roman"/>
          <w:spacing w:val="-1"/>
          <w:sz w:val="24"/>
          <w:szCs w:val="24"/>
        </w:rPr>
        <w:t>s</w:t>
      </w:r>
      <w:r w:rsidRPr="00A93DD7">
        <w:rPr>
          <w:rFonts w:ascii="Times New Roman" w:eastAsia="Arial" w:hAnsi="Times New Roman" w:cs="Times New Roman"/>
          <w:spacing w:val="-1"/>
          <w:sz w:val="24"/>
          <w:szCs w:val="24"/>
        </w:rPr>
        <w:t xml:space="preserve"> Utilities and Services (Electricity Supply and Services Fees) Determination 2016.</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The Amendment Determination updates the fees payable for the supply of electricity and services related to electricity supply.</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after="0" w:line="248" w:lineRule="exact"/>
        <w:ind w:right="-20"/>
        <w:rPr>
          <w:rFonts w:ascii="Times New Roman" w:eastAsia="Arial" w:hAnsi="Times New Roman" w:cs="Times New Roman"/>
          <w:i/>
          <w:sz w:val="24"/>
          <w:szCs w:val="24"/>
          <w:u w:val="single"/>
        </w:rPr>
      </w:pPr>
      <w:r w:rsidRPr="00A93DD7">
        <w:rPr>
          <w:rFonts w:ascii="Times New Roman" w:eastAsia="Arial" w:hAnsi="Times New Roman" w:cs="Times New Roman"/>
          <w:i/>
          <w:sz w:val="24"/>
          <w:szCs w:val="24"/>
          <w:u w:val="single"/>
        </w:rPr>
        <w:t xml:space="preserve">Impact and </w:t>
      </w:r>
      <w:r w:rsidR="005501ED">
        <w:rPr>
          <w:rFonts w:ascii="Times New Roman" w:eastAsia="Arial" w:hAnsi="Times New Roman" w:cs="Times New Roman"/>
          <w:i/>
          <w:sz w:val="24"/>
          <w:szCs w:val="24"/>
          <w:u w:val="single"/>
        </w:rPr>
        <w:t>e</w:t>
      </w:r>
      <w:r w:rsidRPr="00A93DD7">
        <w:rPr>
          <w:rFonts w:ascii="Times New Roman" w:eastAsia="Arial" w:hAnsi="Times New Roman" w:cs="Times New Roman"/>
          <w:i/>
          <w:sz w:val="24"/>
          <w:szCs w:val="24"/>
          <w:u w:val="single"/>
        </w:rPr>
        <w:t>ffect</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This Amendment Determination will not create any additional regulatory impact on consumers of electricity and related services.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It is Australian Government policy that, wherever possible, there should be parity in cost of provision of state-type services on C</w:t>
      </w:r>
      <w:r w:rsidR="001D04F2">
        <w:rPr>
          <w:rFonts w:ascii="Times New Roman" w:eastAsia="Arial" w:hAnsi="Times New Roman" w:cs="Times New Roman"/>
          <w:spacing w:val="-1"/>
          <w:sz w:val="24"/>
          <w:szCs w:val="24"/>
        </w:rPr>
        <w:t>ocos (Keeling) Islands</w:t>
      </w:r>
      <w:r w:rsidRPr="00A93DD7">
        <w:rPr>
          <w:rFonts w:ascii="Times New Roman" w:eastAsia="Arial" w:hAnsi="Times New Roman" w:cs="Times New Roman"/>
          <w:spacing w:val="-1"/>
          <w:sz w:val="24"/>
          <w:szCs w:val="24"/>
        </w:rPr>
        <w:t xml:space="preserve"> to those applied in similar remote Australian mainland locations. While the Australian Government aims for full cost recovery across its range of operations, it is acknowledged that for some locations this may not be achievable. C</w:t>
      </w:r>
      <w:r w:rsidR="001D04F2">
        <w:rPr>
          <w:rFonts w:ascii="Times New Roman" w:eastAsia="Arial" w:hAnsi="Times New Roman" w:cs="Times New Roman"/>
          <w:spacing w:val="-1"/>
          <w:sz w:val="24"/>
          <w:szCs w:val="24"/>
        </w:rPr>
        <w:t>ocos (Keeling) Islands</w:t>
      </w:r>
      <w:r w:rsidRPr="00A93DD7">
        <w:rPr>
          <w:rFonts w:ascii="Times New Roman" w:eastAsia="Arial" w:hAnsi="Times New Roman" w:cs="Times New Roman"/>
          <w:spacing w:val="-1"/>
          <w:sz w:val="24"/>
          <w:szCs w:val="24"/>
        </w:rPr>
        <w:t xml:space="preserve"> is a</w:t>
      </w:r>
      <w:r w:rsidR="001D04F2">
        <w:rPr>
          <w:rFonts w:ascii="Times New Roman" w:eastAsia="Arial" w:hAnsi="Times New Roman" w:cs="Times New Roman"/>
          <w:spacing w:val="-1"/>
          <w:sz w:val="24"/>
          <w:szCs w:val="24"/>
        </w:rPr>
        <w:t xml:space="preserve"> location</w:t>
      </w:r>
      <w:r w:rsidRPr="00A93DD7">
        <w:rPr>
          <w:rFonts w:ascii="Times New Roman" w:eastAsia="Arial" w:hAnsi="Times New Roman" w:cs="Times New Roman"/>
          <w:spacing w:val="-1"/>
          <w:sz w:val="24"/>
          <w:szCs w:val="24"/>
        </w:rPr>
        <w:t xml:space="preserve"> where recouped fees for electricity are currently less than the cost of supply.</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The fees charged on C</w:t>
      </w:r>
      <w:r w:rsidR="001D04F2">
        <w:rPr>
          <w:rFonts w:ascii="Times New Roman" w:eastAsia="Arial" w:hAnsi="Times New Roman" w:cs="Times New Roman"/>
          <w:spacing w:val="-1"/>
          <w:sz w:val="24"/>
          <w:szCs w:val="24"/>
        </w:rPr>
        <w:t>ocos (Keeling)</w:t>
      </w:r>
      <w:r w:rsidRPr="00A93DD7">
        <w:rPr>
          <w:rFonts w:ascii="Times New Roman" w:eastAsia="Arial" w:hAnsi="Times New Roman" w:cs="Times New Roman"/>
          <w:spacing w:val="-1"/>
          <w:sz w:val="24"/>
          <w:szCs w:val="24"/>
        </w:rPr>
        <w:t xml:space="preserve"> Island</w:t>
      </w:r>
      <w:r w:rsidR="001D04F2">
        <w:rPr>
          <w:rFonts w:ascii="Times New Roman" w:eastAsia="Arial" w:hAnsi="Times New Roman" w:cs="Times New Roman"/>
          <w:spacing w:val="-1"/>
          <w:sz w:val="24"/>
          <w:szCs w:val="24"/>
        </w:rPr>
        <w:t>s</w:t>
      </w:r>
      <w:r w:rsidRPr="00A93DD7">
        <w:rPr>
          <w:rFonts w:ascii="Times New Roman" w:eastAsia="Arial" w:hAnsi="Times New Roman" w:cs="Times New Roman"/>
          <w:spacing w:val="-1"/>
          <w:sz w:val="24"/>
          <w:szCs w:val="24"/>
        </w:rPr>
        <w:t xml:space="preserve"> align to those charged by Horizon Power, a Western Australian government owned enterprise responsible for the supply of electrical services to isolated and regional areas across the state. This ensures the fees charged are similar to fees in comparable Western Australian communities.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The increase in fees outlined in this Amendment Determination are small in nature and will have a minor financial impact on consumers.  Of the six tariffs applied on C</w:t>
      </w:r>
      <w:r w:rsidR="006A6D0C">
        <w:rPr>
          <w:rFonts w:ascii="Times New Roman" w:eastAsia="Arial" w:hAnsi="Times New Roman" w:cs="Times New Roman"/>
          <w:spacing w:val="-1"/>
          <w:sz w:val="24"/>
          <w:szCs w:val="24"/>
        </w:rPr>
        <w:t>ocos (Keeling)</w:t>
      </w:r>
      <w:r w:rsidRPr="00A93DD7">
        <w:rPr>
          <w:rFonts w:ascii="Times New Roman" w:eastAsia="Arial" w:hAnsi="Times New Roman" w:cs="Times New Roman"/>
          <w:spacing w:val="-1"/>
          <w:sz w:val="24"/>
          <w:szCs w:val="24"/>
        </w:rPr>
        <w:t xml:space="preserve"> Island</w:t>
      </w:r>
      <w:r w:rsidR="006A6D0C">
        <w:rPr>
          <w:rFonts w:ascii="Times New Roman" w:eastAsia="Arial" w:hAnsi="Times New Roman" w:cs="Times New Roman"/>
          <w:spacing w:val="-1"/>
          <w:sz w:val="24"/>
          <w:szCs w:val="24"/>
        </w:rPr>
        <w:t>s</w:t>
      </w:r>
      <w:r w:rsidRPr="00A93DD7">
        <w:rPr>
          <w:rFonts w:ascii="Times New Roman" w:eastAsia="Arial" w:hAnsi="Times New Roman" w:cs="Times New Roman"/>
          <w:spacing w:val="-1"/>
          <w:sz w:val="24"/>
          <w:szCs w:val="24"/>
        </w:rPr>
        <w:t xml:space="preserve">, the Business Tariff (L2) increases by 3.70%, the Residential Tariff (A2) increases by 0%, the Community Services Tariff (C2) increases by </w:t>
      </w:r>
      <w:r w:rsidRPr="00A93DD7">
        <w:rPr>
          <w:rFonts w:ascii="Times New Roman" w:eastAsia="Arial" w:hAnsi="Times New Roman" w:cs="Times New Roman"/>
          <w:spacing w:val="-1"/>
          <w:sz w:val="24"/>
          <w:szCs w:val="24"/>
        </w:rPr>
        <w:lastRenderedPageBreak/>
        <w:t>2.50%, the Charitable Residential Tariff (D2) increases by 1.80%, the Business/Residential Tariff (K2) increases by 3.10% and the Government Tariff (N2) increases by 0%.</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Service fees, covering items including account establishment, meter installation and meter testing</w:t>
      </w:r>
      <w:r w:rsidR="005501ED">
        <w:rPr>
          <w:rFonts w:ascii="Times New Roman" w:eastAsia="Arial" w:hAnsi="Times New Roman" w:cs="Times New Roman"/>
          <w:spacing w:val="-1"/>
          <w:sz w:val="24"/>
          <w:szCs w:val="24"/>
        </w:rPr>
        <w:t>,</w:t>
      </w:r>
      <w:r w:rsidRPr="00A93DD7">
        <w:rPr>
          <w:rFonts w:ascii="Times New Roman" w:eastAsia="Arial" w:hAnsi="Times New Roman" w:cs="Times New Roman"/>
          <w:spacing w:val="-1"/>
          <w:sz w:val="24"/>
          <w:szCs w:val="24"/>
        </w:rPr>
        <w:t xml:space="preserve"> increase between 0% and 1.69%.</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There are measures in place to protect consumers who are suffering financial hardship.</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after="0" w:line="248" w:lineRule="exact"/>
        <w:ind w:right="-20"/>
        <w:rPr>
          <w:rFonts w:ascii="Times New Roman" w:eastAsia="Arial" w:hAnsi="Times New Roman" w:cs="Times New Roman"/>
          <w:i/>
          <w:sz w:val="24"/>
          <w:szCs w:val="24"/>
          <w:u w:val="single"/>
        </w:rPr>
      </w:pPr>
      <w:r w:rsidRPr="00A93DD7">
        <w:rPr>
          <w:rFonts w:ascii="Times New Roman" w:eastAsia="Arial" w:hAnsi="Times New Roman" w:cs="Times New Roman"/>
          <w:i/>
          <w:sz w:val="24"/>
          <w:szCs w:val="24"/>
          <w:u w:val="single"/>
        </w:rPr>
        <w:t>Human rights implications</w:t>
      </w:r>
    </w:p>
    <w:p w:rsid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This Disallowable Legislative Instrument does not engage any of the applicable rights or freedoms.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after="0" w:line="248" w:lineRule="exact"/>
        <w:ind w:right="-20"/>
        <w:rPr>
          <w:rFonts w:ascii="Times New Roman" w:eastAsia="Arial" w:hAnsi="Times New Roman" w:cs="Times New Roman"/>
          <w:spacing w:val="-1"/>
          <w:sz w:val="24"/>
          <w:szCs w:val="24"/>
        </w:rPr>
      </w:pPr>
      <w:r w:rsidRPr="00A93DD7">
        <w:rPr>
          <w:rFonts w:ascii="Times New Roman" w:eastAsia="Arial" w:hAnsi="Times New Roman" w:cs="Times New Roman"/>
          <w:i/>
          <w:sz w:val="24"/>
          <w:szCs w:val="24"/>
          <w:u w:val="single"/>
        </w:rPr>
        <w:t>Conclusion</w:t>
      </w:r>
    </w:p>
    <w:p w:rsid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 xml:space="preserve">This </w:t>
      </w:r>
      <w:r w:rsidRPr="00A93DD7">
        <w:rPr>
          <w:rFonts w:ascii="Times New Roman" w:eastAsia="Arial" w:hAnsi="Times New Roman" w:cs="Times New Roman"/>
          <w:spacing w:val="-1"/>
          <w:sz w:val="24"/>
          <w:szCs w:val="24"/>
        </w:rPr>
        <w:t>Disallowable Legislative Instrument is compatible with human rights as it does not raise any human rights issues.</w:t>
      </w:r>
    </w:p>
    <w:p w:rsidR="008873B5" w:rsidRPr="00A93DD7" w:rsidRDefault="008873B5" w:rsidP="00A93DD7">
      <w:pPr>
        <w:spacing w:before="32" w:after="0" w:line="239" w:lineRule="auto"/>
        <w:ind w:right="48"/>
        <w:rPr>
          <w:rFonts w:ascii="Times New Roman" w:eastAsia="Arial" w:hAnsi="Times New Roman" w:cs="Times New Roman"/>
          <w:spacing w:val="-1"/>
          <w:sz w:val="24"/>
          <w:szCs w:val="24"/>
        </w:rPr>
      </w:pPr>
    </w:p>
    <w:sectPr w:rsidR="008873B5" w:rsidRPr="00A93DD7" w:rsidSect="00FB7AA1">
      <w:footerReference w:type="default" r:id="rId8"/>
      <w:pgSz w:w="11920" w:h="16840"/>
      <w:pgMar w:top="1180" w:right="1340" w:bottom="993" w:left="134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41" w:rsidRDefault="00313241">
      <w:pPr>
        <w:spacing w:after="0" w:line="240" w:lineRule="auto"/>
      </w:pPr>
      <w:r>
        <w:separator/>
      </w:r>
    </w:p>
  </w:endnote>
  <w:endnote w:type="continuationSeparator" w:id="0">
    <w:p w:rsidR="00313241" w:rsidRDefault="0031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93" w:rsidRDefault="00900993">
    <w:pPr>
      <w:spacing w:after="0" w:line="200" w:lineRule="exact"/>
      <w:rPr>
        <w:sz w:val="20"/>
        <w:szCs w:val="20"/>
      </w:rPr>
    </w:pPr>
    <w:r>
      <w:rPr>
        <w:noProof/>
        <w:lang w:val="en-AU" w:eastAsia="en-AU"/>
      </w:rPr>
      <mc:AlternateContent>
        <mc:Choice Requires="wps">
          <w:drawing>
            <wp:anchor distT="0" distB="0" distL="114300" distR="114300" simplePos="0" relativeHeight="251657216" behindDoc="1" locked="0" layoutInCell="1" allowOverlap="1" wp14:anchorId="4186CD56" wp14:editId="6B80394D">
              <wp:simplePos x="0" y="0"/>
              <wp:positionH relativeFrom="page">
                <wp:posOffset>3678555</wp:posOffset>
              </wp:positionH>
              <wp:positionV relativeFrom="page">
                <wp:posOffset>9895205</wp:posOffset>
              </wp:positionV>
              <wp:extent cx="203200" cy="177800"/>
              <wp:effectExtent l="190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1777A">
                            <w:rPr>
                              <w:rFonts w:ascii="Times New Roman" w:eastAsia="Times New Roman" w:hAnsi="Times New Roman" w:cs="Times New Roman"/>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6CD56" id="_x0000_t202" coordsize="21600,21600" o:spt="202" path="m,l,21600r21600,l21600,xe">
              <v:stroke joinstyle="miter"/>
              <v:path gradientshapeok="t" o:connecttype="rect"/>
            </v:shapetype>
            <v:shape id="Text Box 1" o:spid="_x0000_s1026" type="#_x0000_t202" style="position:absolute;margin-left:289.65pt;margin-top:779.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pJoe8uEAAAANAQAA&#10;DwAAAGRycy9kb3ducmV2LnhtbEyPwU7DMBBE70j9B2srcaNOqBLSEKeqEJyQEGk4cHRiN7Ear0Ps&#10;tuHv2Z7obXZnNPu22M52YGc9eeNQQLyKgGlsnTLYCfiq3x4yYD5IVHJwqAX8ag/bcnFXyFy5C1b6&#10;vA8doxL0uRTQhzDmnPu211b6lRs1kndwk5WBxqnjapIXKrcDf4yilFtpkC70ctQvvW6P+5MVsPvG&#10;6tX8fDSf1aEydb2J8D09CnG/nHfPwIKew38YrviEDiUxNe6EyrNBQPK0WVOUjCTJSFEkjWMSzXWV&#10;pWvgZcFvvyj/AAAA//8DAFBLAQItABQABgAIAAAAIQC2gziS/gAAAOEBAAATAAAAAAAAAAAAAAAA&#10;AAAAAABbQ29udGVudF9UeXBlc10ueG1sUEsBAi0AFAAGAAgAAAAhADj9If/WAAAAlAEAAAsAAAAA&#10;AAAAAAAAAAAALwEAAF9yZWxzLy5yZWxzUEsBAi0AFAAGAAgAAAAhAEboPOSrAgAAqAUAAA4AAAAA&#10;AAAAAAAAAAAALgIAAGRycy9lMm9Eb2MueG1sUEsBAi0AFAAGAAgAAAAhAKSaHvLhAAAADQEAAA8A&#10;AAAAAAAAAAAAAAAABQUAAGRycy9kb3ducmV2LnhtbFBLBQYAAAAABAAEAPMAAAATBgAAAAA=&#10;" filled="f" stroked="f">
              <v:textbox inset="0,0,0,0">
                <w:txbxContent>
                  <w:p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1777A">
                      <w:rPr>
                        <w:rFonts w:ascii="Times New Roman" w:eastAsia="Times New Roman" w:hAnsi="Times New Roman" w:cs="Times New Roman"/>
                        <w:noProof/>
                        <w:sz w:val="24"/>
                        <w:szCs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41" w:rsidRDefault="00313241">
      <w:pPr>
        <w:spacing w:after="0" w:line="240" w:lineRule="auto"/>
      </w:pPr>
      <w:r>
        <w:separator/>
      </w:r>
    </w:p>
  </w:footnote>
  <w:footnote w:type="continuationSeparator" w:id="0">
    <w:p w:rsidR="00313241" w:rsidRDefault="00313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994"/>
    <w:multiLevelType w:val="hybridMultilevel"/>
    <w:tmpl w:val="67ACD354"/>
    <w:lvl w:ilvl="0" w:tplc="C270D9B2">
      <w:start w:val="1"/>
      <w:numFmt w:val="bullet"/>
      <w:lvlText w:val=""/>
      <w:lvlJc w:val="left"/>
      <w:pPr>
        <w:ind w:left="820" w:hanging="360"/>
      </w:pPr>
      <w:rPr>
        <w:rFonts w:ascii="Symbol" w:hAnsi="Symbol" w:hint="default"/>
        <w:color w:val="auto"/>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2A04129D"/>
    <w:multiLevelType w:val="hybridMultilevel"/>
    <w:tmpl w:val="B00C4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9784DB3"/>
    <w:multiLevelType w:val="hybridMultilevel"/>
    <w:tmpl w:val="8896744C"/>
    <w:lvl w:ilvl="0" w:tplc="9496D3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EDC3E90"/>
    <w:multiLevelType w:val="hybridMultilevel"/>
    <w:tmpl w:val="B33EEF8E"/>
    <w:lvl w:ilvl="0" w:tplc="D7986CD6">
      <w:start w:val="1"/>
      <w:numFmt w:val="lowerLetter"/>
      <w:lvlText w:val="(%1)"/>
      <w:lvlJc w:val="left"/>
      <w:pPr>
        <w:ind w:left="1435" w:hanging="72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4" w15:restartNumberingAfterBreak="0">
    <w:nsid w:val="7262573A"/>
    <w:multiLevelType w:val="hybridMultilevel"/>
    <w:tmpl w:val="4B60FAF4"/>
    <w:lvl w:ilvl="0" w:tplc="DA3A7E28">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 w15:restartNumberingAfterBreak="0">
    <w:nsid w:val="78E83967"/>
    <w:multiLevelType w:val="hybridMultilevel"/>
    <w:tmpl w:val="50D09DA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D7"/>
    <w:rsid w:val="0000438C"/>
    <w:rsid w:val="0001378C"/>
    <w:rsid w:val="00014F21"/>
    <w:rsid w:val="00034647"/>
    <w:rsid w:val="00040E67"/>
    <w:rsid w:val="00053797"/>
    <w:rsid w:val="00054584"/>
    <w:rsid w:val="00062B35"/>
    <w:rsid w:val="00073E92"/>
    <w:rsid w:val="000827D5"/>
    <w:rsid w:val="00086357"/>
    <w:rsid w:val="00087C60"/>
    <w:rsid w:val="000944C5"/>
    <w:rsid w:val="00097BAE"/>
    <w:rsid w:val="000A395A"/>
    <w:rsid w:val="000A7518"/>
    <w:rsid w:val="000B509F"/>
    <w:rsid w:val="000C554C"/>
    <w:rsid w:val="000D2E34"/>
    <w:rsid w:val="000F1339"/>
    <w:rsid w:val="000F58D6"/>
    <w:rsid w:val="0010266D"/>
    <w:rsid w:val="00115319"/>
    <w:rsid w:val="00124FBA"/>
    <w:rsid w:val="00144275"/>
    <w:rsid w:val="00147CB4"/>
    <w:rsid w:val="001622D5"/>
    <w:rsid w:val="00165E49"/>
    <w:rsid w:val="00167287"/>
    <w:rsid w:val="001823E0"/>
    <w:rsid w:val="00186537"/>
    <w:rsid w:val="001A2D90"/>
    <w:rsid w:val="001A4D7D"/>
    <w:rsid w:val="001A56FA"/>
    <w:rsid w:val="001A5769"/>
    <w:rsid w:val="001B0C49"/>
    <w:rsid w:val="001B7193"/>
    <w:rsid w:val="001C0734"/>
    <w:rsid w:val="001C32C9"/>
    <w:rsid w:val="001D04F2"/>
    <w:rsid w:val="001D20E4"/>
    <w:rsid w:val="001F313F"/>
    <w:rsid w:val="001F64D9"/>
    <w:rsid w:val="00201399"/>
    <w:rsid w:val="0021057F"/>
    <w:rsid w:val="00217172"/>
    <w:rsid w:val="00245BCB"/>
    <w:rsid w:val="002547E1"/>
    <w:rsid w:val="002B5946"/>
    <w:rsid w:val="002D473C"/>
    <w:rsid w:val="002D688B"/>
    <w:rsid w:val="002E212A"/>
    <w:rsid w:val="002F0CCD"/>
    <w:rsid w:val="002F34EF"/>
    <w:rsid w:val="002F36E8"/>
    <w:rsid w:val="00304B08"/>
    <w:rsid w:val="00307BEC"/>
    <w:rsid w:val="00307CE0"/>
    <w:rsid w:val="00313241"/>
    <w:rsid w:val="00314FAD"/>
    <w:rsid w:val="00315851"/>
    <w:rsid w:val="00316E67"/>
    <w:rsid w:val="00317F01"/>
    <w:rsid w:val="0032271D"/>
    <w:rsid w:val="00322B35"/>
    <w:rsid w:val="00322D34"/>
    <w:rsid w:val="00323A3D"/>
    <w:rsid w:val="00326E44"/>
    <w:rsid w:val="003330A8"/>
    <w:rsid w:val="00336094"/>
    <w:rsid w:val="00337214"/>
    <w:rsid w:val="00337237"/>
    <w:rsid w:val="00340DD7"/>
    <w:rsid w:val="00346C02"/>
    <w:rsid w:val="00352EBD"/>
    <w:rsid w:val="00356C4C"/>
    <w:rsid w:val="003631B1"/>
    <w:rsid w:val="00370965"/>
    <w:rsid w:val="00377069"/>
    <w:rsid w:val="003973D5"/>
    <w:rsid w:val="003C5067"/>
    <w:rsid w:val="003D4C35"/>
    <w:rsid w:val="003E6DD0"/>
    <w:rsid w:val="003E77FF"/>
    <w:rsid w:val="003F6F21"/>
    <w:rsid w:val="003F7A2C"/>
    <w:rsid w:val="00403280"/>
    <w:rsid w:val="00422080"/>
    <w:rsid w:val="004501B6"/>
    <w:rsid w:val="0045542D"/>
    <w:rsid w:val="0046070F"/>
    <w:rsid w:val="004708B0"/>
    <w:rsid w:val="00480D6F"/>
    <w:rsid w:val="00482855"/>
    <w:rsid w:val="00491B81"/>
    <w:rsid w:val="004A3FB0"/>
    <w:rsid w:val="004A4B48"/>
    <w:rsid w:val="004A4BB9"/>
    <w:rsid w:val="004A6D62"/>
    <w:rsid w:val="004B5C8A"/>
    <w:rsid w:val="004B76DE"/>
    <w:rsid w:val="004D0891"/>
    <w:rsid w:val="004F0037"/>
    <w:rsid w:val="004F1AF2"/>
    <w:rsid w:val="004F3F07"/>
    <w:rsid w:val="004F5429"/>
    <w:rsid w:val="00500451"/>
    <w:rsid w:val="005201DA"/>
    <w:rsid w:val="0052795D"/>
    <w:rsid w:val="00542BF5"/>
    <w:rsid w:val="0054417A"/>
    <w:rsid w:val="005501ED"/>
    <w:rsid w:val="005600B8"/>
    <w:rsid w:val="00562D23"/>
    <w:rsid w:val="005864C6"/>
    <w:rsid w:val="005B7940"/>
    <w:rsid w:val="005C1784"/>
    <w:rsid w:val="005C44F9"/>
    <w:rsid w:val="005D4C15"/>
    <w:rsid w:val="005E0B5A"/>
    <w:rsid w:val="00603D17"/>
    <w:rsid w:val="00605245"/>
    <w:rsid w:val="00624ED0"/>
    <w:rsid w:val="00626399"/>
    <w:rsid w:val="0063580D"/>
    <w:rsid w:val="00650350"/>
    <w:rsid w:val="0065658B"/>
    <w:rsid w:val="00660F90"/>
    <w:rsid w:val="00667C49"/>
    <w:rsid w:val="00685C12"/>
    <w:rsid w:val="00690549"/>
    <w:rsid w:val="00691399"/>
    <w:rsid w:val="00693E91"/>
    <w:rsid w:val="006A2A94"/>
    <w:rsid w:val="006A4938"/>
    <w:rsid w:val="006A6D0C"/>
    <w:rsid w:val="006A74ED"/>
    <w:rsid w:val="006B1342"/>
    <w:rsid w:val="006B3F21"/>
    <w:rsid w:val="006B7EE3"/>
    <w:rsid w:val="006C3D6E"/>
    <w:rsid w:val="006E0389"/>
    <w:rsid w:val="006E5BAC"/>
    <w:rsid w:val="006F06A5"/>
    <w:rsid w:val="006F604F"/>
    <w:rsid w:val="00713ABC"/>
    <w:rsid w:val="0073509B"/>
    <w:rsid w:val="00741AA2"/>
    <w:rsid w:val="00757022"/>
    <w:rsid w:val="00760177"/>
    <w:rsid w:val="0076057C"/>
    <w:rsid w:val="007708BD"/>
    <w:rsid w:val="00772517"/>
    <w:rsid w:val="00790654"/>
    <w:rsid w:val="00793AD2"/>
    <w:rsid w:val="007A276C"/>
    <w:rsid w:val="007A50B5"/>
    <w:rsid w:val="007A625E"/>
    <w:rsid w:val="007B7F6C"/>
    <w:rsid w:val="007C4379"/>
    <w:rsid w:val="007C5C24"/>
    <w:rsid w:val="007E5056"/>
    <w:rsid w:val="007E5B3A"/>
    <w:rsid w:val="007F51DD"/>
    <w:rsid w:val="00803CD1"/>
    <w:rsid w:val="008047E0"/>
    <w:rsid w:val="00804CDD"/>
    <w:rsid w:val="008077EC"/>
    <w:rsid w:val="008133BF"/>
    <w:rsid w:val="00843FBA"/>
    <w:rsid w:val="00847347"/>
    <w:rsid w:val="008517B0"/>
    <w:rsid w:val="008705C2"/>
    <w:rsid w:val="00872A82"/>
    <w:rsid w:val="00872F7F"/>
    <w:rsid w:val="008730A1"/>
    <w:rsid w:val="008744AF"/>
    <w:rsid w:val="008826A9"/>
    <w:rsid w:val="008873B5"/>
    <w:rsid w:val="00890AD9"/>
    <w:rsid w:val="008914CB"/>
    <w:rsid w:val="00891C03"/>
    <w:rsid w:val="00896B12"/>
    <w:rsid w:val="008D0B06"/>
    <w:rsid w:val="008D1CDC"/>
    <w:rsid w:val="008E2FA0"/>
    <w:rsid w:val="00900993"/>
    <w:rsid w:val="00916656"/>
    <w:rsid w:val="0093218A"/>
    <w:rsid w:val="00934322"/>
    <w:rsid w:val="00934F6A"/>
    <w:rsid w:val="00935ECB"/>
    <w:rsid w:val="0094242F"/>
    <w:rsid w:val="00951F11"/>
    <w:rsid w:val="0095625A"/>
    <w:rsid w:val="00956BFB"/>
    <w:rsid w:val="00964312"/>
    <w:rsid w:val="0099676E"/>
    <w:rsid w:val="00997F65"/>
    <w:rsid w:val="009A2CDE"/>
    <w:rsid w:val="009B2481"/>
    <w:rsid w:val="009B5EAF"/>
    <w:rsid w:val="009C2671"/>
    <w:rsid w:val="009C5621"/>
    <w:rsid w:val="009F4D14"/>
    <w:rsid w:val="009F620C"/>
    <w:rsid w:val="00A1108B"/>
    <w:rsid w:val="00A1777A"/>
    <w:rsid w:val="00A2035B"/>
    <w:rsid w:val="00A34338"/>
    <w:rsid w:val="00A43B94"/>
    <w:rsid w:val="00A60B05"/>
    <w:rsid w:val="00A63F1E"/>
    <w:rsid w:val="00A75AA4"/>
    <w:rsid w:val="00A81E6F"/>
    <w:rsid w:val="00A87AEB"/>
    <w:rsid w:val="00A93DD7"/>
    <w:rsid w:val="00AA4472"/>
    <w:rsid w:val="00AA71C4"/>
    <w:rsid w:val="00AB2785"/>
    <w:rsid w:val="00AD69E8"/>
    <w:rsid w:val="00AE6A3B"/>
    <w:rsid w:val="00AF5AB8"/>
    <w:rsid w:val="00B05CE9"/>
    <w:rsid w:val="00B06433"/>
    <w:rsid w:val="00B064AB"/>
    <w:rsid w:val="00B17A6E"/>
    <w:rsid w:val="00B21B16"/>
    <w:rsid w:val="00B57248"/>
    <w:rsid w:val="00B604DB"/>
    <w:rsid w:val="00B6185C"/>
    <w:rsid w:val="00B627E2"/>
    <w:rsid w:val="00B635AF"/>
    <w:rsid w:val="00B93796"/>
    <w:rsid w:val="00B9385F"/>
    <w:rsid w:val="00B94771"/>
    <w:rsid w:val="00BB712B"/>
    <w:rsid w:val="00BC39C7"/>
    <w:rsid w:val="00BD4887"/>
    <w:rsid w:val="00BD6110"/>
    <w:rsid w:val="00BE50B1"/>
    <w:rsid w:val="00BE72C0"/>
    <w:rsid w:val="00BF3D75"/>
    <w:rsid w:val="00BF3DF8"/>
    <w:rsid w:val="00C1600D"/>
    <w:rsid w:val="00C1612F"/>
    <w:rsid w:val="00C2157B"/>
    <w:rsid w:val="00C420DA"/>
    <w:rsid w:val="00C456BC"/>
    <w:rsid w:val="00C465EA"/>
    <w:rsid w:val="00C533AB"/>
    <w:rsid w:val="00C725B9"/>
    <w:rsid w:val="00C75EE6"/>
    <w:rsid w:val="00C829B8"/>
    <w:rsid w:val="00C86B2F"/>
    <w:rsid w:val="00C9030D"/>
    <w:rsid w:val="00CA16FD"/>
    <w:rsid w:val="00CA3FA5"/>
    <w:rsid w:val="00CA4BA2"/>
    <w:rsid w:val="00CB2BE2"/>
    <w:rsid w:val="00CB61B6"/>
    <w:rsid w:val="00CC0F88"/>
    <w:rsid w:val="00CD4532"/>
    <w:rsid w:val="00CF07F6"/>
    <w:rsid w:val="00D0039A"/>
    <w:rsid w:val="00D26765"/>
    <w:rsid w:val="00D37A0C"/>
    <w:rsid w:val="00D4062C"/>
    <w:rsid w:val="00D46B2F"/>
    <w:rsid w:val="00D51DBF"/>
    <w:rsid w:val="00D62537"/>
    <w:rsid w:val="00D651E8"/>
    <w:rsid w:val="00D71580"/>
    <w:rsid w:val="00D7586E"/>
    <w:rsid w:val="00D75EC5"/>
    <w:rsid w:val="00D76EC3"/>
    <w:rsid w:val="00D81F36"/>
    <w:rsid w:val="00D86464"/>
    <w:rsid w:val="00D918E8"/>
    <w:rsid w:val="00DA0834"/>
    <w:rsid w:val="00DA73E5"/>
    <w:rsid w:val="00DB7B62"/>
    <w:rsid w:val="00DC2C2C"/>
    <w:rsid w:val="00DC40D9"/>
    <w:rsid w:val="00DE4BAA"/>
    <w:rsid w:val="00DF2A7D"/>
    <w:rsid w:val="00E25B1F"/>
    <w:rsid w:val="00E46259"/>
    <w:rsid w:val="00E47921"/>
    <w:rsid w:val="00E55ED8"/>
    <w:rsid w:val="00E666A5"/>
    <w:rsid w:val="00E9325D"/>
    <w:rsid w:val="00E97B59"/>
    <w:rsid w:val="00EA34EC"/>
    <w:rsid w:val="00EB0443"/>
    <w:rsid w:val="00EB7566"/>
    <w:rsid w:val="00ED7842"/>
    <w:rsid w:val="00EE0710"/>
    <w:rsid w:val="00EE354B"/>
    <w:rsid w:val="00EF1C10"/>
    <w:rsid w:val="00EF7E60"/>
    <w:rsid w:val="00F17DA6"/>
    <w:rsid w:val="00F2261E"/>
    <w:rsid w:val="00F22B54"/>
    <w:rsid w:val="00F33312"/>
    <w:rsid w:val="00F354A1"/>
    <w:rsid w:val="00F44AF1"/>
    <w:rsid w:val="00F464D4"/>
    <w:rsid w:val="00F63C1E"/>
    <w:rsid w:val="00F65FA1"/>
    <w:rsid w:val="00F73860"/>
    <w:rsid w:val="00F75307"/>
    <w:rsid w:val="00F765E4"/>
    <w:rsid w:val="00F8150E"/>
    <w:rsid w:val="00F903BB"/>
    <w:rsid w:val="00F93793"/>
    <w:rsid w:val="00FB2BB3"/>
    <w:rsid w:val="00FB2EB3"/>
    <w:rsid w:val="00FB7AA1"/>
    <w:rsid w:val="00FC0CBA"/>
    <w:rsid w:val="00FC4B26"/>
    <w:rsid w:val="00FD0C23"/>
    <w:rsid w:val="00FD3169"/>
    <w:rsid w:val="00FE29A8"/>
    <w:rsid w:val="00FF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242A715-FF21-45E3-8092-5A45CA57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43"/>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3D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 w:type="paragraph" w:customStyle="1" w:styleId="Tabletext">
    <w:name w:val="Tabletext"/>
    <w:aliases w:val="tt"/>
    <w:basedOn w:val="Normal"/>
    <w:rsid w:val="00B94771"/>
    <w:pPr>
      <w:widowControl/>
      <w:spacing w:before="60" w:after="0" w:line="240" w:lineRule="atLeast"/>
    </w:pPr>
    <w:rPr>
      <w:rFonts w:ascii="Times New Roman" w:eastAsia="Times New Roman" w:hAnsi="Times New Roman" w:cs="Times New Roman"/>
      <w:sz w:val="20"/>
      <w:szCs w:val="20"/>
      <w:lang w:val="en-AU" w:eastAsia="en-AU"/>
    </w:rPr>
  </w:style>
  <w:style w:type="paragraph" w:styleId="Revision">
    <w:name w:val="Revision"/>
    <w:hidden/>
    <w:uiPriority w:val="99"/>
    <w:semiHidden/>
    <w:rsid w:val="005D4C15"/>
    <w:pPr>
      <w:widowControl/>
      <w:spacing w:after="0" w:line="240" w:lineRule="auto"/>
    </w:pPr>
  </w:style>
  <w:style w:type="character" w:customStyle="1" w:styleId="Heading3Char">
    <w:name w:val="Heading 3 Char"/>
    <w:basedOn w:val="DefaultParagraphFont"/>
    <w:link w:val="Heading3"/>
    <w:uiPriority w:val="9"/>
    <w:semiHidden/>
    <w:rsid w:val="00A93D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4267">
      <w:bodyDiv w:val="1"/>
      <w:marLeft w:val="0"/>
      <w:marRight w:val="0"/>
      <w:marTop w:val="0"/>
      <w:marBottom w:val="0"/>
      <w:divBdr>
        <w:top w:val="none" w:sz="0" w:space="0" w:color="auto"/>
        <w:left w:val="none" w:sz="0" w:space="0" w:color="auto"/>
        <w:bottom w:val="none" w:sz="0" w:space="0" w:color="auto"/>
        <w:right w:val="none" w:sz="0" w:space="0" w:color="auto"/>
      </w:divBdr>
    </w:div>
    <w:div w:id="208147120">
      <w:bodyDiv w:val="1"/>
      <w:marLeft w:val="0"/>
      <w:marRight w:val="0"/>
      <w:marTop w:val="0"/>
      <w:marBottom w:val="0"/>
      <w:divBdr>
        <w:top w:val="none" w:sz="0" w:space="0" w:color="auto"/>
        <w:left w:val="none" w:sz="0" w:space="0" w:color="auto"/>
        <w:bottom w:val="none" w:sz="0" w:space="0" w:color="auto"/>
        <w:right w:val="none" w:sz="0" w:space="0" w:color="auto"/>
      </w:divBdr>
    </w:div>
    <w:div w:id="1068922335">
      <w:bodyDiv w:val="1"/>
      <w:marLeft w:val="0"/>
      <w:marRight w:val="0"/>
      <w:marTop w:val="0"/>
      <w:marBottom w:val="0"/>
      <w:divBdr>
        <w:top w:val="none" w:sz="0" w:space="0" w:color="auto"/>
        <w:left w:val="none" w:sz="0" w:space="0" w:color="auto"/>
        <w:bottom w:val="none" w:sz="0" w:space="0" w:color="auto"/>
        <w:right w:val="none" w:sz="0" w:space="0" w:color="auto"/>
      </w:divBdr>
    </w:div>
    <w:div w:id="125177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088D-BCF3-4D2C-87F3-656AECF0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1912</Words>
  <Characters>10900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Zuraidah</dc:creator>
  <cp:lastModifiedBy>Lim Chiew Yee</cp:lastModifiedBy>
  <cp:revision>2</cp:revision>
  <cp:lastPrinted>2020-09-17T06:42:00Z</cp:lastPrinted>
  <dcterms:created xsi:type="dcterms:W3CDTF">2020-10-07T01:02:00Z</dcterms:created>
  <dcterms:modified xsi:type="dcterms:W3CDTF">2020-10-07T01:02:00Z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2016-07-08T00:00:00Z</vt:filetime>
  </property>
</Properties>
</file>