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A532AA" w:rsidRDefault="00FA6784" w:rsidP="0024456E">
      <w:pPr>
        <w:pStyle w:val="H3"/>
        <w:jc w:val="center"/>
        <w:rPr>
          <w:sz w:val="24"/>
          <w:szCs w:val="24"/>
        </w:rPr>
      </w:pPr>
      <w:r w:rsidRPr="00A532AA">
        <w:rPr>
          <w:sz w:val="24"/>
          <w:szCs w:val="24"/>
        </w:rPr>
        <w:t>EXPLANATORY STATEMENT</w:t>
      </w:r>
    </w:p>
    <w:p w14:paraId="2412D122" w14:textId="77777777" w:rsidR="00FA6784" w:rsidRPr="00A532AA" w:rsidRDefault="00FA6784" w:rsidP="0024456E">
      <w:pPr>
        <w:jc w:val="center"/>
        <w:rPr>
          <w:i/>
          <w:iCs/>
          <w:sz w:val="20"/>
        </w:rPr>
      </w:pPr>
    </w:p>
    <w:p w14:paraId="2412D123" w14:textId="77777777" w:rsidR="00FA6784" w:rsidRPr="00A532AA" w:rsidRDefault="00FA6784" w:rsidP="0024456E">
      <w:pPr>
        <w:jc w:val="center"/>
        <w:rPr>
          <w:i/>
          <w:iCs/>
        </w:rPr>
      </w:pPr>
      <w:r w:rsidRPr="00A532AA">
        <w:rPr>
          <w:i/>
          <w:iCs/>
        </w:rPr>
        <w:t>Health Insurance Act 1973</w:t>
      </w:r>
    </w:p>
    <w:p w14:paraId="2412D124" w14:textId="77777777" w:rsidR="00A1739A" w:rsidRPr="00A532AA" w:rsidRDefault="00A1739A" w:rsidP="0024456E">
      <w:pPr>
        <w:rPr>
          <w:szCs w:val="24"/>
          <w:u w:val="single"/>
        </w:rPr>
      </w:pPr>
    </w:p>
    <w:p w14:paraId="2838A7B4" w14:textId="6D0B9663" w:rsidR="00FD602D" w:rsidRPr="00A532AA" w:rsidRDefault="00297F48" w:rsidP="0024456E">
      <w:pPr>
        <w:ind w:right="84"/>
        <w:jc w:val="center"/>
        <w:rPr>
          <w:szCs w:val="24"/>
        </w:rPr>
      </w:pPr>
      <w:r w:rsidRPr="00A532AA">
        <w:rPr>
          <w:i/>
          <w:iCs/>
        </w:rPr>
        <w:t>Health Insurance (Section 3C General Medical – Expansion of GP and Allied Health Mental Health Services) Amendment (Expand Eligible Patients) Determination 2020</w:t>
      </w:r>
    </w:p>
    <w:p w14:paraId="052E97C1" w14:textId="77777777" w:rsidR="00164A69" w:rsidRPr="00A532AA" w:rsidRDefault="00164A69" w:rsidP="0024456E">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0CCE728" w14:textId="2BE5827C" w:rsidR="00164A69" w:rsidRPr="00A532AA" w:rsidRDefault="00164A69" w:rsidP="0024456E">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r w:rsidRPr="00A532AA">
        <w:rPr>
          <w:color w:val="000000"/>
          <w:shd w:val="clear" w:color="auto" w:fill="FFFFFF"/>
        </w:rPr>
        <w:t xml:space="preserve">Subsection 3C(1) of the </w:t>
      </w:r>
      <w:r w:rsidRPr="00A532AA">
        <w:rPr>
          <w:i/>
          <w:color w:val="000000"/>
          <w:shd w:val="clear" w:color="auto" w:fill="FFFFFF"/>
        </w:rPr>
        <w:t>Health Insurance Act 1973</w:t>
      </w:r>
      <w:r w:rsidRPr="00A532AA">
        <w:rPr>
          <w:color w:val="000000"/>
          <w:shd w:val="clear" w:color="auto" w:fill="FFFFFF"/>
        </w:rPr>
        <w:t xml:space="preserve"> (the Act) </w:t>
      </w:r>
      <w:r w:rsidR="00477C74" w:rsidRPr="00A532AA">
        <w:rPr>
          <w:color w:val="000000"/>
          <w:shd w:val="clear" w:color="auto" w:fill="FFFFFF"/>
        </w:rPr>
        <w:t>provide</w:t>
      </w:r>
      <w:r w:rsidR="002E5708" w:rsidRPr="00A532AA">
        <w:rPr>
          <w:color w:val="000000"/>
          <w:shd w:val="clear" w:color="auto" w:fill="FFFFFF"/>
        </w:rPr>
        <w:t>s</w:t>
      </w:r>
      <w:r w:rsidR="00477C74" w:rsidRPr="00A532AA">
        <w:rPr>
          <w:color w:val="000000"/>
          <w:shd w:val="clear" w:color="auto" w:fill="FFFFFF"/>
        </w:rPr>
        <w:t xml:space="preserve"> that</w:t>
      </w:r>
      <w:r w:rsidRPr="00A532AA">
        <w:rPr>
          <w:color w:val="000000"/>
          <w:shd w:val="clear" w:color="auto" w:fill="FFFFFF"/>
        </w:rPr>
        <w:t xml:space="preserve"> the Minister </w:t>
      </w:r>
      <w:r w:rsidR="00477C74" w:rsidRPr="00A532AA">
        <w:rPr>
          <w:color w:val="000000"/>
          <w:shd w:val="clear" w:color="auto" w:fill="FFFFFF"/>
        </w:rPr>
        <w:t>may</w:t>
      </w:r>
      <w:r w:rsidRPr="00A532AA">
        <w:rPr>
          <w:color w:val="000000"/>
          <w:shd w:val="clear" w:color="auto" w:fill="FFFFFF"/>
        </w:rPr>
        <w:t xml:space="preserve">, by legislative instrument, determine that a health service not specified in an item in the </w:t>
      </w:r>
      <w:r w:rsidR="00B22033" w:rsidRPr="00A532AA">
        <w:rPr>
          <w:color w:val="000000"/>
          <w:shd w:val="clear" w:color="auto" w:fill="FFFFFF"/>
        </w:rPr>
        <w:t>general medical</w:t>
      </w:r>
      <w:r w:rsidRPr="00A532AA">
        <w:rPr>
          <w:color w:val="000000"/>
          <w:shd w:val="clear" w:color="auto" w:fill="FFFFFF"/>
        </w:rPr>
        <w:t xml:space="preserve"> services table </w:t>
      </w:r>
      <w:r w:rsidR="00D01D5A" w:rsidRPr="00A532AA">
        <w:rPr>
          <w:color w:val="000000"/>
          <w:shd w:val="clear" w:color="auto" w:fill="FFFFFF"/>
        </w:rPr>
        <w:t xml:space="preserve">(the Table) </w:t>
      </w:r>
      <w:r w:rsidRPr="00A532AA">
        <w:rPr>
          <w:color w:val="000000"/>
          <w:shd w:val="clear" w:color="auto" w:fill="FFFFFF"/>
        </w:rPr>
        <w:t xml:space="preserve">shall, in specified circumstances and for specified statutory provisions, be treated as if it were specified in the </w:t>
      </w:r>
      <w:r w:rsidR="00D01D5A" w:rsidRPr="00A532AA">
        <w:rPr>
          <w:color w:val="000000"/>
          <w:shd w:val="clear" w:color="auto" w:fill="FFFFFF"/>
        </w:rPr>
        <w:t>Table.</w:t>
      </w:r>
    </w:p>
    <w:p w14:paraId="7DB18649" w14:textId="77777777" w:rsidR="00841EDA" w:rsidRPr="00A532AA" w:rsidRDefault="00841EDA" w:rsidP="0024456E">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0CD04EE8" w14:textId="7286ACF0" w:rsidR="00050623" w:rsidRPr="00A532AA" w:rsidRDefault="00050623" w:rsidP="0024456E">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rPr>
      </w:pPr>
      <w:r w:rsidRPr="00A532AA">
        <w:t xml:space="preserve">The </w:t>
      </w:r>
      <w:r w:rsidR="00D01D5A" w:rsidRPr="00A532AA">
        <w:t>Table</w:t>
      </w:r>
      <w:r w:rsidRPr="00A532AA">
        <w:t xml:space="preserve"> is set out in the regulations made und</w:t>
      </w:r>
      <w:r w:rsidR="000115C5" w:rsidRPr="00A532AA">
        <w:t xml:space="preserve">er subsection 4(1) of the Act. </w:t>
      </w:r>
      <w:r w:rsidRPr="00A532AA">
        <w:t xml:space="preserve">The most recent version of the regulations is the </w:t>
      </w:r>
      <w:r w:rsidR="00B22033" w:rsidRPr="00A532AA">
        <w:rPr>
          <w:i/>
        </w:rPr>
        <w:t>Health Insurance (General Medical Services Table) Regulations (No. 2) 2020</w:t>
      </w:r>
      <w:r w:rsidR="002843ED" w:rsidRPr="00A532AA">
        <w:rPr>
          <w:i/>
        </w:rPr>
        <w:t>.</w:t>
      </w:r>
    </w:p>
    <w:p w14:paraId="2E6FE463" w14:textId="77777777" w:rsidR="00050623" w:rsidRPr="00A532AA" w:rsidRDefault="00050623" w:rsidP="0024456E">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A532AA" w:rsidRDefault="00050623" w:rsidP="0024456E">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A532AA">
        <w:t xml:space="preserve">This instrument relies on subsection 33(3) of the </w:t>
      </w:r>
      <w:r w:rsidRPr="00A532AA">
        <w:rPr>
          <w:i/>
        </w:rPr>
        <w:t>Acts Interpretation Act 1901</w:t>
      </w:r>
      <w:r w:rsidRPr="00A532AA">
        <w:t xml:space="preserve"> (AIA).  Subsection 33(3) of the AIA</w:t>
      </w:r>
      <w:r w:rsidRPr="00A532AA">
        <w:rPr>
          <w:i/>
        </w:rPr>
        <w:t xml:space="preserve"> </w:t>
      </w:r>
      <w:r w:rsidRPr="00A532AA">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12D129" w14:textId="2D4AC742" w:rsidR="008C5F1C" w:rsidRPr="00A532AA" w:rsidRDefault="008C5F1C" w:rsidP="0024456E">
      <w:pPr>
        <w:autoSpaceDE w:val="0"/>
        <w:autoSpaceDN w:val="0"/>
        <w:adjustRightInd w:val="0"/>
        <w:ind w:right="-483"/>
        <w:rPr>
          <w:szCs w:val="24"/>
        </w:rPr>
      </w:pPr>
    </w:p>
    <w:p w14:paraId="2412D12A" w14:textId="77777777" w:rsidR="00BB00BA" w:rsidRPr="00A532AA" w:rsidRDefault="00A1739A" w:rsidP="0024456E">
      <w:pPr>
        <w:rPr>
          <w:b/>
          <w:szCs w:val="24"/>
          <w:lang w:val="en-US" w:eastAsia="en-US"/>
        </w:rPr>
      </w:pPr>
      <w:r w:rsidRPr="00A532AA">
        <w:rPr>
          <w:b/>
          <w:szCs w:val="24"/>
          <w:lang w:val="en-US" w:eastAsia="en-US"/>
        </w:rPr>
        <w:t>Purpose</w:t>
      </w:r>
    </w:p>
    <w:p w14:paraId="43FF1196" w14:textId="6B74D722" w:rsidR="005D1D56" w:rsidRPr="00A532AA" w:rsidRDefault="00B22033" w:rsidP="0024456E">
      <w:pPr>
        <w:ind w:right="-483"/>
        <w:rPr>
          <w:color w:val="000000"/>
        </w:rPr>
      </w:pPr>
      <w:r w:rsidRPr="00A532AA">
        <w:rPr>
          <w:color w:val="000000"/>
        </w:rPr>
        <w:t xml:space="preserve">Since 7 August 2020, the Australian Government has been providing Medicare benefits to assist </w:t>
      </w:r>
      <w:r w:rsidR="005D1D56" w:rsidRPr="00A532AA">
        <w:rPr>
          <w:color w:val="000000"/>
        </w:rPr>
        <w:t>certain people</w:t>
      </w:r>
      <w:r w:rsidRPr="00A532AA">
        <w:rPr>
          <w:color w:val="000000"/>
        </w:rPr>
        <w:t xml:space="preserve"> to receive </w:t>
      </w:r>
      <w:r w:rsidR="005D1D56" w:rsidRPr="00A532AA">
        <w:rPr>
          <w:color w:val="000000"/>
        </w:rPr>
        <w:t>additional mental health support services under the Medicare Benefits Schedule (MBS).</w:t>
      </w:r>
    </w:p>
    <w:p w14:paraId="319541E9" w14:textId="77777777" w:rsidR="005D1D56" w:rsidRPr="00A532AA" w:rsidRDefault="005D1D56" w:rsidP="0024456E">
      <w:pPr>
        <w:ind w:right="-483"/>
        <w:rPr>
          <w:color w:val="000000"/>
        </w:rPr>
      </w:pPr>
    </w:p>
    <w:p w14:paraId="00843EB6" w14:textId="32E77A78" w:rsidR="000A54E3" w:rsidRPr="00A532AA" w:rsidRDefault="00B22033" w:rsidP="0024456E">
      <w:pPr>
        <w:ind w:right="-483"/>
        <w:rPr>
          <w:color w:val="000000"/>
        </w:rPr>
      </w:pPr>
      <w:r w:rsidRPr="00A532AA">
        <w:rPr>
          <w:color w:val="000000"/>
        </w:rPr>
        <w:t>The </w:t>
      </w:r>
      <w:r w:rsidR="005D1D56" w:rsidRPr="00A532AA">
        <w:rPr>
          <w:i/>
          <w:iCs/>
          <w:color w:val="000000"/>
        </w:rPr>
        <w:t xml:space="preserve">Health Insurance (Section 3C General Medical – Expansion of GP and Allied Health Mental Health Services) Determination 2020 </w:t>
      </w:r>
      <w:r w:rsidR="005D1D56" w:rsidRPr="00A532AA">
        <w:rPr>
          <w:iCs/>
          <w:color w:val="000000"/>
        </w:rPr>
        <w:t>(</w:t>
      </w:r>
      <w:r w:rsidR="005D1D56" w:rsidRPr="00A532AA">
        <w:rPr>
          <w:color w:val="000000"/>
        </w:rPr>
        <w:t xml:space="preserve">the </w:t>
      </w:r>
      <w:r w:rsidRPr="00A532AA">
        <w:rPr>
          <w:color w:val="000000"/>
        </w:rPr>
        <w:t xml:space="preserve">Principal Determination) </w:t>
      </w:r>
      <w:r w:rsidR="0028504E" w:rsidRPr="00A532AA">
        <w:rPr>
          <w:color w:val="000000"/>
        </w:rPr>
        <w:t>prescribes</w:t>
      </w:r>
      <w:r w:rsidRPr="00A532AA">
        <w:rPr>
          <w:color w:val="000000"/>
        </w:rPr>
        <w:t xml:space="preserve"> </w:t>
      </w:r>
      <w:r w:rsidR="005D1D56" w:rsidRPr="00A532AA">
        <w:rPr>
          <w:color w:val="000000"/>
        </w:rPr>
        <w:t>36</w:t>
      </w:r>
      <w:r w:rsidRPr="00A532AA">
        <w:rPr>
          <w:color w:val="000000"/>
        </w:rPr>
        <w:t xml:space="preserve"> temporary items </w:t>
      </w:r>
      <w:r w:rsidR="005D1D56" w:rsidRPr="00A532AA">
        <w:rPr>
          <w:color w:val="000000"/>
        </w:rPr>
        <w:t xml:space="preserve">to allow certain patients to access </w:t>
      </w:r>
      <w:r w:rsidR="00875655" w:rsidRPr="00A532AA">
        <w:rPr>
          <w:color w:val="000000"/>
        </w:rPr>
        <w:t xml:space="preserve">up </w:t>
      </w:r>
      <w:r w:rsidR="0024456E" w:rsidRPr="00A532AA">
        <w:rPr>
          <w:color w:val="000000"/>
        </w:rPr>
        <w:t xml:space="preserve">to </w:t>
      </w:r>
      <w:r w:rsidR="005D1D56" w:rsidRPr="00A532AA">
        <w:rPr>
          <w:color w:val="000000"/>
        </w:rPr>
        <w:t xml:space="preserve">an additional 10 mental health treatment services under the </w:t>
      </w:r>
      <w:r w:rsidR="00875655" w:rsidRPr="00A532AA">
        <w:rPr>
          <w:color w:val="000000"/>
        </w:rPr>
        <w:t xml:space="preserve">‘Better Access’ initiative (also known as the ‘Better Access to Psychiatrists, Psychologists and General Practitioners through the Medicare Benefits Schedule’). </w:t>
      </w:r>
      <w:r w:rsidR="006357FF" w:rsidRPr="00A532AA">
        <w:rPr>
          <w:color w:val="000000"/>
        </w:rPr>
        <w:t>The</w:t>
      </w:r>
      <w:r w:rsidR="000115C5" w:rsidRPr="00A532AA">
        <w:rPr>
          <w:color w:val="000000"/>
        </w:rPr>
        <w:t>se</w:t>
      </w:r>
      <w:r w:rsidR="006357FF" w:rsidRPr="00A532AA">
        <w:rPr>
          <w:color w:val="000000"/>
        </w:rPr>
        <w:t xml:space="preserve"> items are available to people subject to </w:t>
      </w:r>
      <w:r w:rsidR="008719D1" w:rsidRPr="00A532AA">
        <w:rPr>
          <w:color w:val="000000"/>
        </w:rPr>
        <w:t>certain</w:t>
      </w:r>
      <w:r w:rsidR="006357FF" w:rsidRPr="00A532AA">
        <w:rPr>
          <w:color w:val="000000"/>
        </w:rPr>
        <w:t xml:space="preserve"> restrictions outlined in public health orders as part of the </w:t>
      </w:r>
      <w:r w:rsidR="008719D1" w:rsidRPr="00A532AA">
        <w:rPr>
          <w:color w:val="000000"/>
        </w:rPr>
        <w:t xml:space="preserve">response to the </w:t>
      </w:r>
      <w:r w:rsidR="006357FF" w:rsidRPr="00A532AA">
        <w:rPr>
          <w:color w:val="000000"/>
        </w:rPr>
        <w:t>coronavirus (COVID-19) pandemic.</w:t>
      </w:r>
    </w:p>
    <w:p w14:paraId="1C804038" w14:textId="77777777" w:rsidR="000A54E3" w:rsidRPr="00A532AA" w:rsidRDefault="000A54E3" w:rsidP="0024456E">
      <w:pPr>
        <w:ind w:right="-483"/>
        <w:rPr>
          <w:color w:val="000000"/>
        </w:rPr>
      </w:pPr>
    </w:p>
    <w:p w14:paraId="4A77CACC" w14:textId="3C6B547D" w:rsidR="00222B4B" w:rsidRPr="00A532AA" w:rsidRDefault="000A54E3" w:rsidP="0024456E">
      <w:pPr>
        <w:ind w:right="84"/>
        <w:rPr>
          <w:color w:val="000000"/>
          <w:szCs w:val="24"/>
        </w:rPr>
      </w:pPr>
      <w:r w:rsidRPr="00A532AA">
        <w:rPr>
          <w:color w:val="000000"/>
          <w:szCs w:val="24"/>
        </w:rPr>
        <w:t>The purpose of the </w:t>
      </w:r>
      <w:r w:rsidR="00297F48" w:rsidRPr="00A532AA">
        <w:rPr>
          <w:i/>
          <w:iCs/>
          <w:color w:val="000000"/>
          <w:szCs w:val="24"/>
        </w:rPr>
        <w:t xml:space="preserve">Health Insurance (Section 3C General Medical – Expansion of GP and Allied Health Mental Health Services) Amendment (Expand Eligible Patients) Determination 2020 </w:t>
      </w:r>
      <w:r w:rsidRPr="00A532AA">
        <w:rPr>
          <w:color w:val="000000"/>
          <w:szCs w:val="24"/>
        </w:rPr>
        <w:t>(the Amendment Determination) is to</w:t>
      </w:r>
      <w:r w:rsidR="000D178A" w:rsidRPr="00A532AA">
        <w:rPr>
          <w:color w:val="000000"/>
          <w:szCs w:val="24"/>
        </w:rPr>
        <w:t xml:space="preserve"> allow any Medicare-eligible person to access </w:t>
      </w:r>
      <w:r w:rsidR="00222B4B" w:rsidRPr="00A532AA">
        <w:rPr>
          <w:color w:val="000000"/>
          <w:szCs w:val="24"/>
        </w:rPr>
        <w:t xml:space="preserve">up to 10 </w:t>
      </w:r>
      <w:r w:rsidR="000D178A" w:rsidRPr="00A532AA">
        <w:rPr>
          <w:color w:val="000000"/>
          <w:szCs w:val="24"/>
        </w:rPr>
        <w:t xml:space="preserve">additional </w:t>
      </w:r>
      <w:r w:rsidR="00875655" w:rsidRPr="00A532AA">
        <w:rPr>
          <w:color w:val="000000"/>
          <w:szCs w:val="24"/>
        </w:rPr>
        <w:t xml:space="preserve">treatment </w:t>
      </w:r>
      <w:r w:rsidR="000D178A" w:rsidRPr="00A532AA">
        <w:rPr>
          <w:color w:val="000000"/>
          <w:szCs w:val="24"/>
        </w:rPr>
        <w:t>services</w:t>
      </w:r>
      <w:r w:rsidR="00222B4B" w:rsidRPr="00A532AA">
        <w:rPr>
          <w:color w:val="000000"/>
          <w:szCs w:val="24"/>
        </w:rPr>
        <w:t xml:space="preserve"> in </w:t>
      </w:r>
      <w:r w:rsidR="0039666E" w:rsidRPr="00A532AA">
        <w:rPr>
          <w:color w:val="000000"/>
          <w:szCs w:val="24"/>
        </w:rPr>
        <w:t xml:space="preserve">a </w:t>
      </w:r>
      <w:r w:rsidR="00222B4B" w:rsidRPr="00A532AA">
        <w:rPr>
          <w:color w:val="000000"/>
          <w:szCs w:val="24"/>
        </w:rPr>
        <w:t>calendar year for treatment o</w:t>
      </w:r>
      <w:r w:rsidR="00875655" w:rsidRPr="00A532AA">
        <w:rPr>
          <w:color w:val="000000"/>
          <w:szCs w:val="24"/>
        </w:rPr>
        <w:t>f a mental health disorder (</w:t>
      </w:r>
      <w:r w:rsidR="00875655" w:rsidRPr="00A532AA">
        <w:rPr>
          <w:b/>
          <w:color w:val="000000"/>
          <w:szCs w:val="24"/>
        </w:rPr>
        <w:t>additional Better Access treatment services</w:t>
      </w:r>
      <w:r w:rsidR="00875655" w:rsidRPr="00A532AA">
        <w:rPr>
          <w:color w:val="000000"/>
          <w:szCs w:val="24"/>
        </w:rPr>
        <w:t xml:space="preserve">). These </w:t>
      </w:r>
      <w:r w:rsidR="00222B4B" w:rsidRPr="00A532AA">
        <w:rPr>
          <w:color w:val="000000"/>
          <w:szCs w:val="24"/>
        </w:rPr>
        <w:t xml:space="preserve">services are in addition to the existing 10 mental health treatment services which are available to people with a mental health disorder </w:t>
      </w:r>
      <w:r w:rsidR="0028504E" w:rsidRPr="00A532AA">
        <w:rPr>
          <w:color w:val="000000"/>
          <w:szCs w:val="24"/>
        </w:rPr>
        <w:t>each</w:t>
      </w:r>
      <w:r w:rsidR="00222B4B" w:rsidRPr="00A532AA">
        <w:rPr>
          <w:color w:val="000000"/>
          <w:szCs w:val="24"/>
        </w:rPr>
        <w:t xml:space="preserve"> calendar year</w:t>
      </w:r>
      <w:r w:rsidR="00875655" w:rsidRPr="00A532AA">
        <w:rPr>
          <w:color w:val="000000"/>
          <w:szCs w:val="24"/>
        </w:rPr>
        <w:t xml:space="preserve"> under Better Access (</w:t>
      </w:r>
      <w:r w:rsidR="00875655" w:rsidRPr="00A532AA">
        <w:rPr>
          <w:b/>
          <w:color w:val="000000"/>
          <w:szCs w:val="24"/>
        </w:rPr>
        <w:t>initial Better Access treatment services</w:t>
      </w:r>
      <w:r w:rsidR="00875655" w:rsidRPr="00A532AA">
        <w:rPr>
          <w:color w:val="000000"/>
          <w:szCs w:val="24"/>
        </w:rPr>
        <w:t>)</w:t>
      </w:r>
      <w:r w:rsidR="00222B4B" w:rsidRPr="00A532AA">
        <w:rPr>
          <w:color w:val="000000"/>
          <w:szCs w:val="24"/>
        </w:rPr>
        <w:t>.</w:t>
      </w:r>
    </w:p>
    <w:p w14:paraId="7C950C82" w14:textId="50E92657" w:rsidR="00F23641" w:rsidRPr="00A532AA" w:rsidRDefault="00F23641" w:rsidP="0024456E">
      <w:pPr>
        <w:ind w:right="84"/>
        <w:rPr>
          <w:color w:val="000000"/>
          <w:szCs w:val="24"/>
        </w:rPr>
      </w:pPr>
    </w:p>
    <w:p w14:paraId="1B70A6E2" w14:textId="17272CCB" w:rsidR="00F23641" w:rsidRPr="00A532AA" w:rsidRDefault="00F23641" w:rsidP="00F23641">
      <w:pPr>
        <w:pStyle w:val="Header"/>
        <w:rPr>
          <w:szCs w:val="24"/>
        </w:rPr>
      </w:pPr>
      <w:r w:rsidRPr="00A532AA">
        <w:rPr>
          <w:szCs w:val="24"/>
        </w:rPr>
        <w:t xml:space="preserve">The Amendment Determination will remove the requirement for a person to have a formal review as a condition of accessing the </w:t>
      </w:r>
      <w:r w:rsidRPr="00A532AA">
        <w:rPr>
          <w:b/>
          <w:szCs w:val="24"/>
        </w:rPr>
        <w:t>additional Better Access treatment services</w:t>
      </w:r>
      <w:r w:rsidRPr="00A532AA">
        <w:rPr>
          <w:szCs w:val="24"/>
        </w:rPr>
        <w:t xml:space="preserve">. This will allow a person to carry over the balance of their </w:t>
      </w:r>
      <w:r w:rsidRPr="00A532AA">
        <w:rPr>
          <w:b/>
          <w:szCs w:val="24"/>
        </w:rPr>
        <w:t>additional Better Access treatment services</w:t>
      </w:r>
      <w:r w:rsidRPr="00A532AA">
        <w:rPr>
          <w:szCs w:val="24"/>
        </w:rPr>
        <w:t xml:space="preserve"> to a subsequent calendar year if they have not used their </w:t>
      </w:r>
      <w:r w:rsidRPr="00A532AA">
        <w:rPr>
          <w:szCs w:val="24"/>
        </w:rPr>
        <w:lastRenderedPageBreak/>
        <w:t xml:space="preserve">full allocation of services within a calendar year. It remains a requirement that a person can have no more than 10 </w:t>
      </w:r>
      <w:r w:rsidRPr="00A532AA">
        <w:rPr>
          <w:b/>
          <w:szCs w:val="24"/>
        </w:rPr>
        <w:t>additional Better Access treatment services</w:t>
      </w:r>
      <w:r w:rsidRPr="00A532AA">
        <w:rPr>
          <w:szCs w:val="24"/>
        </w:rPr>
        <w:t xml:space="preserve"> in a calendar year. </w:t>
      </w:r>
    </w:p>
    <w:p w14:paraId="54EE29E8" w14:textId="7973FC30" w:rsidR="005A70EA" w:rsidRPr="00A532AA" w:rsidRDefault="005A70EA" w:rsidP="00F23641">
      <w:pPr>
        <w:pStyle w:val="Header"/>
        <w:rPr>
          <w:szCs w:val="24"/>
        </w:rPr>
      </w:pPr>
    </w:p>
    <w:p w14:paraId="719EC641" w14:textId="4AB56BD8" w:rsidR="005A70EA" w:rsidRPr="00A532AA" w:rsidRDefault="005A70EA" w:rsidP="00F23641">
      <w:pPr>
        <w:pStyle w:val="Header"/>
        <w:rPr>
          <w:szCs w:val="24"/>
        </w:rPr>
      </w:pPr>
      <w:r w:rsidRPr="00A532AA">
        <w:rPr>
          <w:szCs w:val="24"/>
        </w:rPr>
        <w:t xml:space="preserve">It also remains a requirement that a person accessing </w:t>
      </w:r>
      <w:r w:rsidRPr="00A532AA">
        <w:rPr>
          <w:b/>
          <w:szCs w:val="24"/>
        </w:rPr>
        <w:t xml:space="preserve">additional Better Access treatment services </w:t>
      </w:r>
      <w:r w:rsidRPr="00A532AA">
        <w:rPr>
          <w:szCs w:val="24"/>
        </w:rPr>
        <w:t xml:space="preserve">from an allied health professional must have been referred by a medical practitioner in general practice, a psychiatrist or a paediatrician. A person accessing </w:t>
      </w:r>
      <w:r w:rsidRPr="00A532AA">
        <w:rPr>
          <w:b/>
          <w:szCs w:val="24"/>
        </w:rPr>
        <w:t xml:space="preserve">additional Better Access treatment services </w:t>
      </w:r>
      <w:r w:rsidRPr="00A532AA">
        <w:rPr>
          <w:szCs w:val="24"/>
        </w:rPr>
        <w:t>from a GP does not need a referral but requires the need for the services to be indicated in their GP mental health treatment plan or psychiatrist assessment and management plan.</w:t>
      </w:r>
    </w:p>
    <w:p w14:paraId="4495553E" w14:textId="462D33C4" w:rsidR="004A2BAE" w:rsidRPr="00A532AA" w:rsidRDefault="004A2BAE" w:rsidP="0024456E">
      <w:pPr>
        <w:ind w:right="84"/>
        <w:rPr>
          <w:color w:val="000000"/>
          <w:szCs w:val="24"/>
        </w:rPr>
      </w:pPr>
    </w:p>
    <w:p w14:paraId="11D361E4" w14:textId="551FC6AE" w:rsidR="008719D1" w:rsidRPr="00A532AA" w:rsidRDefault="008719D1" w:rsidP="0024456E">
      <w:pPr>
        <w:ind w:right="84"/>
        <w:rPr>
          <w:color w:val="000000"/>
          <w:szCs w:val="24"/>
        </w:rPr>
      </w:pPr>
      <w:r w:rsidRPr="00A532AA">
        <w:rPr>
          <w:color w:val="000000"/>
          <w:szCs w:val="24"/>
        </w:rPr>
        <w:t>The Amendment Determination will also extend</w:t>
      </w:r>
      <w:r w:rsidRPr="00A532AA">
        <w:rPr>
          <w:szCs w:val="24"/>
        </w:rPr>
        <w:t xml:space="preserve"> the availability of the temporary </w:t>
      </w:r>
      <w:r w:rsidRPr="00A532AA">
        <w:rPr>
          <w:b/>
          <w:szCs w:val="24"/>
        </w:rPr>
        <w:t xml:space="preserve">additional Better Access </w:t>
      </w:r>
      <w:r w:rsidR="00875655" w:rsidRPr="00A532AA">
        <w:rPr>
          <w:b/>
          <w:szCs w:val="24"/>
        </w:rPr>
        <w:t xml:space="preserve">treatment </w:t>
      </w:r>
      <w:r w:rsidRPr="00A532AA">
        <w:rPr>
          <w:b/>
          <w:szCs w:val="24"/>
        </w:rPr>
        <w:t>services</w:t>
      </w:r>
      <w:r w:rsidRPr="00A532AA">
        <w:rPr>
          <w:szCs w:val="24"/>
        </w:rPr>
        <w:t xml:space="preserve"> which are performed in person </w:t>
      </w:r>
      <w:r w:rsidR="00875655" w:rsidRPr="00A532AA">
        <w:rPr>
          <w:szCs w:val="24"/>
        </w:rPr>
        <w:t xml:space="preserve">(Schedule 1 of the Principal Determination) </w:t>
      </w:r>
      <w:r w:rsidRPr="00A532AA">
        <w:rPr>
          <w:szCs w:val="24"/>
        </w:rPr>
        <w:t xml:space="preserve">from 31 March 2021 to 30 June 2022. The </w:t>
      </w:r>
      <w:r w:rsidRPr="00A532AA">
        <w:rPr>
          <w:b/>
          <w:szCs w:val="24"/>
        </w:rPr>
        <w:t xml:space="preserve">additional Better Access </w:t>
      </w:r>
      <w:r w:rsidR="00875655" w:rsidRPr="00A532AA">
        <w:rPr>
          <w:b/>
          <w:szCs w:val="24"/>
        </w:rPr>
        <w:t xml:space="preserve">treatment </w:t>
      </w:r>
      <w:r w:rsidRPr="00A532AA">
        <w:rPr>
          <w:b/>
          <w:szCs w:val="24"/>
        </w:rPr>
        <w:t>services</w:t>
      </w:r>
      <w:r w:rsidR="00875655" w:rsidRPr="00A532AA">
        <w:rPr>
          <w:szCs w:val="24"/>
        </w:rPr>
        <w:t xml:space="preserve"> performed by telehealth and phone</w:t>
      </w:r>
      <w:r w:rsidRPr="00A532AA">
        <w:rPr>
          <w:szCs w:val="24"/>
        </w:rPr>
        <w:t xml:space="preserve"> </w:t>
      </w:r>
      <w:r w:rsidR="00875655" w:rsidRPr="00A532AA">
        <w:rPr>
          <w:szCs w:val="24"/>
        </w:rPr>
        <w:t>(</w:t>
      </w:r>
      <w:r w:rsidRPr="00A532AA">
        <w:rPr>
          <w:szCs w:val="24"/>
        </w:rPr>
        <w:t>Schedule 2 of the Principal Determination</w:t>
      </w:r>
      <w:r w:rsidR="00875655" w:rsidRPr="00A532AA">
        <w:rPr>
          <w:szCs w:val="24"/>
        </w:rPr>
        <w:t>)</w:t>
      </w:r>
      <w:r w:rsidRPr="00A532AA">
        <w:rPr>
          <w:szCs w:val="24"/>
        </w:rPr>
        <w:t xml:space="preserve"> will remain available until </w:t>
      </w:r>
      <w:r w:rsidR="0039666E" w:rsidRPr="00A532AA">
        <w:rPr>
          <w:szCs w:val="24"/>
        </w:rPr>
        <w:t>31 March 2021</w:t>
      </w:r>
      <w:r w:rsidRPr="00A532AA">
        <w:rPr>
          <w:szCs w:val="24"/>
        </w:rPr>
        <w:t xml:space="preserve">, consistent with </w:t>
      </w:r>
      <w:r w:rsidR="0039666E" w:rsidRPr="00A532AA">
        <w:rPr>
          <w:szCs w:val="24"/>
        </w:rPr>
        <w:t>the advice of the Australian Health Protection Principal</w:t>
      </w:r>
      <w:r w:rsidR="00802640" w:rsidRPr="00A532AA">
        <w:rPr>
          <w:szCs w:val="24"/>
        </w:rPr>
        <w:t xml:space="preserve"> Committee</w:t>
      </w:r>
      <w:r w:rsidR="0039666E" w:rsidRPr="00A532AA">
        <w:rPr>
          <w:szCs w:val="24"/>
        </w:rPr>
        <w:t xml:space="preserve"> to support quarantine and infection control measures.</w:t>
      </w:r>
      <w:r w:rsidR="0039666E" w:rsidRPr="00A532AA">
        <w:rPr>
          <w:szCs w:val="24"/>
        </w:rPr>
        <w:br/>
      </w:r>
    </w:p>
    <w:p w14:paraId="2412D131" w14:textId="4A800329" w:rsidR="001865F8" w:rsidRPr="00A532AA" w:rsidRDefault="00A1739A" w:rsidP="0024456E">
      <w:pPr>
        <w:ind w:right="84"/>
        <w:rPr>
          <w:rFonts w:ascii="Helvetica Neue" w:hAnsi="Helvetica Neue"/>
          <w:szCs w:val="24"/>
          <w:lang w:val="en-US"/>
        </w:rPr>
      </w:pPr>
      <w:r w:rsidRPr="00A532AA">
        <w:rPr>
          <w:b/>
        </w:rPr>
        <w:t>Consultation</w:t>
      </w:r>
    </w:p>
    <w:p w14:paraId="02264A85" w14:textId="72EE6EFD" w:rsidR="007708B3" w:rsidRPr="00A532AA" w:rsidRDefault="0080293E" w:rsidP="0024456E">
      <w:pPr>
        <w:rPr>
          <w:color w:val="000000"/>
          <w:shd w:val="clear" w:color="auto" w:fill="FFFFFF"/>
        </w:rPr>
      </w:pPr>
      <w:r w:rsidRPr="00A532AA">
        <w:rPr>
          <w:color w:val="000000"/>
          <w:shd w:val="clear" w:color="auto" w:fill="FFFFFF"/>
        </w:rPr>
        <w:t xml:space="preserve">The Government has received stakeholder advice supporting the </w:t>
      </w:r>
      <w:r w:rsidR="00C22549" w:rsidRPr="00A532AA">
        <w:rPr>
          <w:color w:val="000000"/>
          <w:shd w:val="clear" w:color="auto" w:fill="FFFFFF"/>
        </w:rPr>
        <w:t>extension of the Better Access i</w:t>
      </w:r>
      <w:r w:rsidRPr="00A532AA">
        <w:rPr>
          <w:color w:val="000000"/>
          <w:shd w:val="clear" w:color="auto" w:fill="FFFFFF"/>
        </w:rPr>
        <w:t xml:space="preserve">nitiative and this advice was used to inform </w:t>
      </w:r>
      <w:r w:rsidR="0028504E" w:rsidRPr="00A532AA">
        <w:rPr>
          <w:color w:val="000000"/>
          <w:shd w:val="clear" w:color="auto" w:fill="FFFFFF"/>
        </w:rPr>
        <w:t>development of this legislative instrument</w:t>
      </w:r>
      <w:r w:rsidRPr="00A532AA">
        <w:rPr>
          <w:color w:val="000000"/>
          <w:shd w:val="clear" w:color="auto" w:fill="FFFFFF"/>
        </w:rPr>
        <w:t>.</w:t>
      </w:r>
      <w:r w:rsidR="0028504E" w:rsidRPr="00A532AA">
        <w:rPr>
          <w:color w:val="000000"/>
          <w:shd w:val="clear" w:color="auto" w:fill="FFFFFF"/>
        </w:rPr>
        <w:t xml:space="preserve"> It was not reasonably practicable to undertake consultation with all representatives of persons affected by the instrument considering the nature of the emergency.</w:t>
      </w:r>
    </w:p>
    <w:p w14:paraId="4421AD6A" w14:textId="77777777" w:rsidR="0080293E" w:rsidRPr="00A532AA" w:rsidRDefault="0080293E" w:rsidP="0024456E">
      <w:pPr>
        <w:rPr>
          <w:color w:val="000000"/>
          <w:szCs w:val="24"/>
        </w:rPr>
      </w:pPr>
    </w:p>
    <w:p w14:paraId="2412D134" w14:textId="40359516" w:rsidR="00967E51" w:rsidRPr="00A532AA" w:rsidRDefault="00A1739A" w:rsidP="0024456E">
      <w:pPr>
        <w:rPr>
          <w:szCs w:val="24"/>
        </w:rPr>
      </w:pPr>
      <w:r w:rsidRPr="00A532AA">
        <w:rPr>
          <w:szCs w:val="24"/>
        </w:rPr>
        <w:t xml:space="preserve">Details of the </w:t>
      </w:r>
      <w:r w:rsidR="00297F48" w:rsidRPr="00A532AA">
        <w:rPr>
          <w:szCs w:val="24"/>
        </w:rPr>
        <w:t xml:space="preserve">Amendment </w:t>
      </w:r>
      <w:r w:rsidR="00574E71" w:rsidRPr="00A532AA">
        <w:rPr>
          <w:szCs w:val="24"/>
        </w:rPr>
        <w:t>Determination</w:t>
      </w:r>
      <w:r w:rsidRPr="00A532AA">
        <w:rPr>
          <w:szCs w:val="24"/>
        </w:rPr>
        <w:t xml:space="preserve"> are set out in the </w:t>
      </w:r>
      <w:r w:rsidRPr="00A532AA">
        <w:rPr>
          <w:szCs w:val="24"/>
          <w:u w:val="single"/>
        </w:rPr>
        <w:t>Attachment</w:t>
      </w:r>
      <w:r w:rsidRPr="00A532AA">
        <w:rPr>
          <w:szCs w:val="24"/>
        </w:rPr>
        <w:t>.</w:t>
      </w:r>
    </w:p>
    <w:p w14:paraId="2412D135" w14:textId="74E68FB3" w:rsidR="006C138D" w:rsidRPr="00A532AA" w:rsidRDefault="00297AD0" w:rsidP="0024456E">
      <w:pPr>
        <w:tabs>
          <w:tab w:val="left" w:pos="567"/>
        </w:tabs>
        <w:spacing w:before="240"/>
        <w:rPr>
          <w:szCs w:val="24"/>
        </w:rPr>
      </w:pPr>
      <w:r w:rsidRPr="00A532AA">
        <w:rPr>
          <w:szCs w:val="24"/>
        </w:rPr>
        <w:t xml:space="preserve">The </w:t>
      </w:r>
      <w:r w:rsidR="00297F48" w:rsidRPr="00A532AA">
        <w:rPr>
          <w:szCs w:val="24"/>
        </w:rPr>
        <w:t xml:space="preserve">Amendment </w:t>
      </w:r>
      <w:r w:rsidR="00967E51" w:rsidRPr="00A532AA">
        <w:rPr>
          <w:szCs w:val="24"/>
        </w:rPr>
        <w:t>Determination</w:t>
      </w:r>
      <w:r w:rsidRPr="00A532AA">
        <w:rPr>
          <w:szCs w:val="24"/>
        </w:rPr>
        <w:t xml:space="preserve"> </w:t>
      </w:r>
      <w:r w:rsidR="007524B0" w:rsidRPr="00A532AA">
        <w:rPr>
          <w:szCs w:val="24"/>
        </w:rPr>
        <w:t xml:space="preserve">commences </w:t>
      </w:r>
      <w:r w:rsidR="00C576EF" w:rsidRPr="00A532AA">
        <w:rPr>
          <w:szCs w:val="24"/>
        </w:rPr>
        <w:t xml:space="preserve">on </w:t>
      </w:r>
      <w:r w:rsidR="00D612F0" w:rsidRPr="00A532AA">
        <w:rPr>
          <w:szCs w:val="24"/>
        </w:rPr>
        <w:t>9 October 2020</w:t>
      </w:r>
      <w:r w:rsidR="00F4078D" w:rsidRPr="00A532AA">
        <w:rPr>
          <w:szCs w:val="24"/>
        </w:rPr>
        <w:t xml:space="preserve">. </w:t>
      </w:r>
      <w:r w:rsidR="007708B3" w:rsidRPr="00A532AA">
        <w:rPr>
          <w:color w:val="FF0000"/>
          <w:szCs w:val="24"/>
        </w:rPr>
        <w:t xml:space="preserve"> </w:t>
      </w:r>
    </w:p>
    <w:p w14:paraId="2412D136" w14:textId="77777777" w:rsidR="00236DF2" w:rsidRPr="00A532AA" w:rsidRDefault="00236DF2" w:rsidP="0024456E">
      <w:pPr>
        <w:rPr>
          <w:szCs w:val="24"/>
        </w:rPr>
      </w:pPr>
    </w:p>
    <w:p w14:paraId="2412D138" w14:textId="6B65934E" w:rsidR="00574E71" w:rsidRPr="00A532AA" w:rsidRDefault="0002728B" w:rsidP="0024456E">
      <w:pPr>
        <w:spacing w:after="200" w:line="276" w:lineRule="auto"/>
        <w:rPr>
          <w:szCs w:val="24"/>
        </w:rPr>
      </w:pPr>
      <w:r w:rsidRPr="00A532AA">
        <w:rPr>
          <w:szCs w:val="24"/>
        </w:rPr>
        <w:t>T</w:t>
      </w:r>
      <w:r w:rsidR="00574E71" w:rsidRPr="00A532AA">
        <w:rPr>
          <w:szCs w:val="24"/>
        </w:rPr>
        <w:t xml:space="preserve">he </w:t>
      </w:r>
      <w:r w:rsidR="00297F48" w:rsidRPr="00A532AA">
        <w:rPr>
          <w:szCs w:val="24"/>
        </w:rPr>
        <w:t xml:space="preserve">Amendment </w:t>
      </w:r>
      <w:r w:rsidR="00574E71" w:rsidRPr="00A532AA">
        <w:rPr>
          <w:szCs w:val="24"/>
        </w:rPr>
        <w:t xml:space="preserve">Determination is </w:t>
      </w:r>
      <w:r w:rsidR="004417A2" w:rsidRPr="00A532AA">
        <w:rPr>
          <w:szCs w:val="24"/>
        </w:rPr>
        <w:t xml:space="preserve">a </w:t>
      </w:r>
      <w:r w:rsidR="00574E71" w:rsidRPr="00A532AA">
        <w:rPr>
          <w:szCs w:val="24"/>
        </w:rPr>
        <w:t xml:space="preserve">legislative instrument for the purposes of the </w:t>
      </w:r>
      <w:r w:rsidR="00574E71" w:rsidRPr="00A532AA">
        <w:rPr>
          <w:i/>
        </w:rPr>
        <w:t>Legislation Act 2003</w:t>
      </w:r>
      <w:r w:rsidR="00574E71" w:rsidRPr="00A532AA">
        <w:rPr>
          <w:szCs w:val="24"/>
        </w:rPr>
        <w:t>.</w:t>
      </w:r>
    </w:p>
    <w:p w14:paraId="2412D139" w14:textId="77777777" w:rsidR="00A1739A" w:rsidRPr="00A532AA" w:rsidRDefault="00A1739A" w:rsidP="0024456E">
      <w:pPr>
        <w:ind w:left="6663" w:hanging="3119"/>
        <w:rPr>
          <w:szCs w:val="24"/>
        </w:rPr>
      </w:pPr>
      <w:r w:rsidRPr="00A532AA">
        <w:rPr>
          <w:szCs w:val="24"/>
        </w:rPr>
        <w:t xml:space="preserve">           </w:t>
      </w:r>
    </w:p>
    <w:p w14:paraId="2412D13A" w14:textId="77777777" w:rsidR="00A1739A" w:rsidRPr="00A532AA" w:rsidRDefault="00A1739A" w:rsidP="0024456E">
      <w:pPr>
        <w:ind w:left="6663" w:hanging="3119"/>
        <w:rPr>
          <w:szCs w:val="24"/>
        </w:rPr>
      </w:pPr>
      <w:r w:rsidRPr="00A532AA">
        <w:rPr>
          <w:szCs w:val="24"/>
          <w:u w:val="single"/>
        </w:rPr>
        <w:t>Authority</w:t>
      </w:r>
      <w:r w:rsidR="00967E51" w:rsidRPr="00A532AA">
        <w:rPr>
          <w:szCs w:val="24"/>
        </w:rPr>
        <w:t xml:space="preserve">:     Subsection </w:t>
      </w:r>
      <w:r w:rsidRPr="00A532AA">
        <w:rPr>
          <w:szCs w:val="24"/>
        </w:rPr>
        <w:t>3</w:t>
      </w:r>
      <w:r w:rsidR="00967E51" w:rsidRPr="00A532AA">
        <w:rPr>
          <w:szCs w:val="24"/>
        </w:rPr>
        <w:t>C</w:t>
      </w:r>
      <w:r w:rsidRPr="00A532AA">
        <w:rPr>
          <w:szCs w:val="24"/>
        </w:rPr>
        <w:t xml:space="preserve">(1) of the </w:t>
      </w:r>
    </w:p>
    <w:p w14:paraId="2412D13B" w14:textId="0596CD30" w:rsidR="00A1739A" w:rsidRPr="00A532AA" w:rsidRDefault="00A1739A" w:rsidP="0024456E">
      <w:pPr>
        <w:tabs>
          <w:tab w:val="left" w:pos="4820"/>
        </w:tabs>
        <w:rPr>
          <w:szCs w:val="24"/>
        </w:rPr>
        <w:sectPr w:rsidR="00A1739A" w:rsidRPr="00A532AA" w:rsidSect="00235B6C">
          <w:headerReference w:type="default" r:id="rId11"/>
          <w:pgSz w:w="11906" w:h="16838"/>
          <w:pgMar w:top="1440" w:right="1800" w:bottom="1135" w:left="1800" w:header="708" w:footer="708" w:gutter="0"/>
          <w:pgNumType w:start="1"/>
          <w:cols w:space="708"/>
          <w:docGrid w:linePitch="360"/>
        </w:sectPr>
      </w:pPr>
      <w:r w:rsidRPr="00A532AA">
        <w:rPr>
          <w:i/>
          <w:szCs w:val="24"/>
        </w:rPr>
        <w:tab/>
        <w:t>Health Insurance Act 1973</w:t>
      </w:r>
    </w:p>
    <w:p w14:paraId="2412D13D" w14:textId="77777777" w:rsidR="006D5816" w:rsidRPr="00A532AA" w:rsidRDefault="006D5816" w:rsidP="0024456E">
      <w:pPr>
        <w:pStyle w:val="BodyText"/>
        <w:jc w:val="right"/>
        <w:rPr>
          <w:szCs w:val="24"/>
        </w:rPr>
      </w:pPr>
      <w:r w:rsidRPr="00A532AA">
        <w:rPr>
          <w:szCs w:val="24"/>
        </w:rPr>
        <w:lastRenderedPageBreak/>
        <w:t>ATTACHMENT</w:t>
      </w:r>
    </w:p>
    <w:p w14:paraId="2412D13E" w14:textId="77777777" w:rsidR="006D5816" w:rsidRPr="00A532AA" w:rsidRDefault="006D5816" w:rsidP="0024456E">
      <w:pPr>
        <w:pStyle w:val="BodyText"/>
        <w:rPr>
          <w:szCs w:val="24"/>
          <w:u w:val="single"/>
        </w:rPr>
      </w:pPr>
    </w:p>
    <w:p w14:paraId="5B0C808A" w14:textId="398D11CC" w:rsidR="00215191" w:rsidRPr="00A532AA" w:rsidRDefault="00A41364" w:rsidP="0024456E">
      <w:pPr>
        <w:pStyle w:val="BodyText"/>
        <w:rPr>
          <w:i/>
          <w:iCs/>
        </w:rPr>
      </w:pPr>
      <w:r w:rsidRPr="00A532AA">
        <w:rPr>
          <w:szCs w:val="24"/>
        </w:rPr>
        <w:t xml:space="preserve">Details of the </w:t>
      </w:r>
      <w:r w:rsidR="00297F48" w:rsidRPr="00A532AA">
        <w:rPr>
          <w:i/>
          <w:iCs/>
        </w:rPr>
        <w:t>Health Insurance (Section 3C General Medical – Expansion of GP and Allied Health Mental Health Services) Amendment (Expand Eligible Patients) Determination 2020</w:t>
      </w:r>
    </w:p>
    <w:p w14:paraId="7BBEB147" w14:textId="720F9678" w:rsidR="00E70355" w:rsidRPr="00A532AA" w:rsidRDefault="00E70355" w:rsidP="0024456E">
      <w:pPr>
        <w:pStyle w:val="BodyText"/>
        <w:rPr>
          <w:b w:val="0"/>
          <w:i/>
          <w:szCs w:val="24"/>
        </w:rPr>
      </w:pPr>
    </w:p>
    <w:p w14:paraId="2412D141" w14:textId="7C34D5F4" w:rsidR="00FE02C2" w:rsidRPr="00A532AA" w:rsidRDefault="001B0111" w:rsidP="0024456E">
      <w:pPr>
        <w:pStyle w:val="BodyText"/>
        <w:rPr>
          <w:b w:val="0"/>
          <w:szCs w:val="24"/>
          <w:u w:val="single"/>
        </w:rPr>
      </w:pPr>
      <w:r w:rsidRPr="00A532AA">
        <w:rPr>
          <w:b w:val="0"/>
          <w:szCs w:val="24"/>
          <w:u w:val="single"/>
        </w:rPr>
        <w:t>Section 1 – Name</w:t>
      </w:r>
    </w:p>
    <w:p w14:paraId="2412D142" w14:textId="77777777" w:rsidR="00FE02C2" w:rsidRPr="00A532AA" w:rsidRDefault="00FE02C2" w:rsidP="0024456E">
      <w:pPr>
        <w:pStyle w:val="BodyText"/>
        <w:rPr>
          <w:b w:val="0"/>
          <w:szCs w:val="24"/>
          <w:u w:val="single"/>
        </w:rPr>
      </w:pPr>
    </w:p>
    <w:p w14:paraId="2412D144" w14:textId="35027E0D" w:rsidR="00F83B6F" w:rsidRPr="00A532AA" w:rsidRDefault="00BC7397" w:rsidP="0024456E">
      <w:pPr>
        <w:pStyle w:val="BodyText"/>
        <w:rPr>
          <w:iCs/>
        </w:rPr>
      </w:pPr>
      <w:r w:rsidRPr="00A532AA">
        <w:rPr>
          <w:b w:val="0"/>
          <w:szCs w:val="24"/>
        </w:rPr>
        <w:t>S</w:t>
      </w:r>
      <w:r w:rsidR="00FE02C2" w:rsidRPr="00A532AA">
        <w:rPr>
          <w:b w:val="0"/>
          <w:szCs w:val="24"/>
        </w:rPr>
        <w:t xml:space="preserve">ection </w:t>
      </w:r>
      <w:r w:rsidRPr="00A532AA">
        <w:rPr>
          <w:b w:val="0"/>
          <w:szCs w:val="24"/>
        </w:rPr>
        <w:t xml:space="preserve">1 </w:t>
      </w:r>
      <w:r w:rsidR="00FE02C2" w:rsidRPr="00A532AA">
        <w:rPr>
          <w:b w:val="0"/>
          <w:szCs w:val="24"/>
        </w:rPr>
        <w:t>provides</w:t>
      </w:r>
      <w:r w:rsidR="008B683E" w:rsidRPr="00A532AA">
        <w:rPr>
          <w:b w:val="0"/>
          <w:szCs w:val="24"/>
        </w:rPr>
        <w:t xml:space="preserve"> for the </w:t>
      </w:r>
      <w:r w:rsidR="00297F48" w:rsidRPr="00A532AA">
        <w:rPr>
          <w:b w:val="0"/>
          <w:szCs w:val="24"/>
        </w:rPr>
        <w:t>Amendment</w:t>
      </w:r>
      <w:r w:rsidR="00297F48" w:rsidRPr="00A532AA">
        <w:rPr>
          <w:szCs w:val="24"/>
        </w:rPr>
        <w:t xml:space="preserve"> </w:t>
      </w:r>
      <w:r w:rsidR="008B2094" w:rsidRPr="00A532AA">
        <w:rPr>
          <w:b w:val="0"/>
          <w:szCs w:val="24"/>
        </w:rPr>
        <w:t>Determination</w:t>
      </w:r>
      <w:r w:rsidR="00FE02C2" w:rsidRPr="00A532AA">
        <w:rPr>
          <w:b w:val="0"/>
          <w:szCs w:val="24"/>
        </w:rPr>
        <w:t xml:space="preserve"> to be referred to as the </w:t>
      </w:r>
      <w:r w:rsidR="00297F48" w:rsidRPr="00A532AA">
        <w:rPr>
          <w:b w:val="0"/>
          <w:i/>
          <w:szCs w:val="24"/>
        </w:rPr>
        <w:t>Health Insurance (Section 3C General Medical – Expansion of GP and Allied Health Mental Health Services) Amendment (Expand Eligible Patients) Determination 2020</w:t>
      </w:r>
      <w:r w:rsidR="00297F48" w:rsidRPr="00A532AA">
        <w:rPr>
          <w:b w:val="0"/>
          <w:szCs w:val="24"/>
        </w:rPr>
        <w:t>.</w:t>
      </w:r>
    </w:p>
    <w:p w14:paraId="68DAA207" w14:textId="77777777" w:rsidR="00FD602D" w:rsidRPr="00A532AA" w:rsidRDefault="00FD602D" w:rsidP="0024456E"/>
    <w:p w14:paraId="49D1E050" w14:textId="77777777" w:rsidR="007A4089" w:rsidRPr="00A532AA" w:rsidRDefault="00FE02C2" w:rsidP="0024456E">
      <w:pPr>
        <w:pStyle w:val="BodyText"/>
        <w:rPr>
          <w:b w:val="0"/>
          <w:szCs w:val="24"/>
          <w:u w:val="single"/>
        </w:rPr>
      </w:pPr>
      <w:r w:rsidRPr="00A532AA">
        <w:rPr>
          <w:b w:val="0"/>
          <w:szCs w:val="24"/>
          <w:u w:val="single"/>
        </w:rPr>
        <w:t xml:space="preserve">Section 2 – Commencement </w:t>
      </w:r>
    </w:p>
    <w:p w14:paraId="2DCE2ED0" w14:textId="77777777" w:rsidR="007A4089" w:rsidRPr="00A532AA" w:rsidRDefault="007A4089" w:rsidP="0024456E">
      <w:pPr>
        <w:pStyle w:val="BodyText"/>
        <w:rPr>
          <w:b w:val="0"/>
          <w:szCs w:val="24"/>
          <w:u w:val="single"/>
        </w:rPr>
      </w:pPr>
    </w:p>
    <w:p w14:paraId="374862AA" w14:textId="016EE730" w:rsidR="002843ED" w:rsidRPr="00A532AA" w:rsidRDefault="00510A4F" w:rsidP="0024456E">
      <w:pPr>
        <w:pStyle w:val="BodyText"/>
        <w:rPr>
          <w:b w:val="0"/>
          <w:szCs w:val="24"/>
        </w:rPr>
      </w:pPr>
      <w:r w:rsidRPr="00A532AA">
        <w:rPr>
          <w:b w:val="0"/>
          <w:szCs w:val="24"/>
        </w:rPr>
        <w:t xml:space="preserve">Section 2 </w:t>
      </w:r>
      <w:r w:rsidR="00404F11" w:rsidRPr="00A532AA">
        <w:rPr>
          <w:b w:val="0"/>
          <w:szCs w:val="24"/>
        </w:rPr>
        <w:t xml:space="preserve">provides that the </w:t>
      </w:r>
      <w:r w:rsidR="00297F48" w:rsidRPr="00A532AA">
        <w:rPr>
          <w:b w:val="0"/>
          <w:szCs w:val="24"/>
        </w:rPr>
        <w:t>Amendment</w:t>
      </w:r>
      <w:r w:rsidR="00297F48" w:rsidRPr="00A532AA">
        <w:rPr>
          <w:szCs w:val="24"/>
        </w:rPr>
        <w:t xml:space="preserve"> </w:t>
      </w:r>
      <w:r w:rsidR="008B2094" w:rsidRPr="00A532AA">
        <w:rPr>
          <w:b w:val="0"/>
          <w:szCs w:val="24"/>
        </w:rPr>
        <w:t xml:space="preserve">Determination </w:t>
      </w:r>
      <w:r w:rsidR="00404F11" w:rsidRPr="00A532AA">
        <w:rPr>
          <w:b w:val="0"/>
          <w:szCs w:val="24"/>
        </w:rPr>
        <w:t xml:space="preserve">commences </w:t>
      </w:r>
      <w:r w:rsidR="00C576EF" w:rsidRPr="00A532AA">
        <w:rPr>
          <w:b w:val="0"/>
          <w:szCs w:val="24"/>
        </w:rPr>
        <w:t xml:space="preserve">on </w:t>
      </w:r>
      <w:r w:rsidR="00D612F0" w:rsidRPr="00A532AA">
        <w:rPr>
          <w:b w:val="0"/>
          <w:szCs w:val="24"/>
        </w:rPr>
        <w:t>9 October 2020</w:t>
      </w:r>
      <w:r w:rsidR="00087ABF" w:rsidRPr="00A532AA">
        <w:rPr>
          <w:b w:val="0"/>
          <w:szCs w:val="24"/>
        </w:rPr>
        <w:t>.</w:t>
      </w:r>
    </w:p>
    <w:p w14:paraId="16C03200" w14:textId="77777777" w:rsidR="007E0017" w:rsidRPr="00A532AA" w:rsidRDefault="007E0017" w:rsidP="0024456E">
      <w:pPr>
        <w:pStyle w:val="BodyText"/>
        <w:rPr>
          <w:b w:val="0"/>
          <w:szCs w:val="24"/>
        </w:rPr>
      </w:pPr>
    </w:p>
    <w:p w14:paraId="005D5660" w14:textId="77777777" w:rsidR="007A4089" w:rsidRPr="00A532AA" w:rsidRDefault="00FE02C2" w:rsidP="0024456E">
      <w:pPr>
        <w:pStyle w:val="BodyText"/>
        <w:rPr>
          <w:b w:val="0"/>
          <w:szCs w:val="24"/>
          <w:u w:val="single"/>
        </w:rPr>
      </w:pPr>
      <w:r w:rsidRPr="00A532AA">
        <w:rPr>
          <w:b w:val="0"/>
          <w:szCs w:val="24"/>
          <w:u w:val="single"/>
        </w:rPr>
        <w:t xml:space="preserve">Section 3 – </w:t>
      </w:r>
      <w:r w:rsidR="00E5798A" w:rsidRPr="00A532AA">
        <w:rPr>
          <w:b w:val="0"/>
          <w:szCs w:val="24"/>
          <w:u w:val="single"/>
        </w:rPr>
        <w:t>Authority</w:t>
      </w:r>
    </w:p>
    <w:p w14:paraId="53BFA098" w14:textId="77777777" w:rsidR="007A4089" w:rsidRPr="00A532AA" w:rsidRDefault="007A4089" w:rsidP="0024456E">
      <w:pPr>
        <w:pStyle w:val="BodyText"/>
        <w:rPr>
          <w:b w:val="0"/>
          <w:szCs w:val="24"/>
          <w:u w:val="single"/>
        </w:rPr>
      </w:pPr>
    </w:p>
    <w:p w14:paraId="2412D14B" w14:textId="19031468" w:rsidR="00FE02C2" w:rsidRPr="00A532AA" w:rsidRDefault="00F83B6F" w:rsidP="0024456E">
      <w:pPr>
        <w:pStyle w:val="BodyText"/>
        <w:rPr>
          <w:b w:val="0"/>
        </w:rPr>
      </w:pPr>
      <w:r w:rsidRPr="00A532AA">
        <w:rPr>
          <w:b w:val="0"/>
        </w:rPr>
        <w:t xml:space="preserve">Section 3 provides that the </w:t>
      </w:r>
      <w:r w:rsidR="00297F48" w:rsidRPr="00A532AA">
        <w:rPr>
          <w:b w:val="0"/>
          <w:szCs w:val="24"/>
        </w:rPr>
        <w:t>Amendment</w:t>
      </w:r>
      <w:r w:rsidR="00297F48" w:rsidRPr="00A532AA">
        <w:rPr>
          <w:szCs w:val="24"/>
        </w:rPr>
        <w:t xml:space="preserve"> </w:t>
      </w:r>
      <w:r w:rsidR="008B2094" w:rsidRPr="00A532AA">
        <w:rPr>
          <w:b w:val="0"/>
          <w:szCs w:val="24"/>
        </w:rPr>
        <w:t xml:space="preserve">Determination </w:t>
      </w:r>
      <w:r w:rsidR="00E5798A" w:rsidRPr="00A532AA">
        <w:rPr>
          <w:b w:val="0"/>
        </w:rPr>
        <w:t xml:space="preserve">is made under </w:t>
      </w:r>
      <w:r w:rsidR="00367440" w:rsidRPr="00A532AA">
        <w:rPr>
          <w:b w:val="0"/>
        </w:rPr>
        <w:t xml:space="preserve">subsection </w:t>
      </w:r>
      <w:r w:rsidR="00E5798A" w:rsidRPr="00A532AA">
        <w:rPr>
          <w:b w:val="0"/>
        </w:rPr>
        <w:t xml:space="preserve">3C(1) of the </w:t>
      </w:r>
      <w:r w:rsidR="00E5798A" w:rsidRPr="00A532AA">
        <w:rPr>
          <w:b w:val="0"/>
          <w:i/>
        </w:rPr>
        <w:t>Health Insurance Act 1973</w:t>
      </w:r>
      <w:r w:rsidR="00E5798A" w:rsidRPr="00A532AA">
        <w:rPr>
          <w:b w:val="0"/>
        </w:rPr>
        <w:t>.</w:t>
      </w:r>
    </w:p>
    <w:p w14:paraId="0DBF1241" w14:textId="77777777" w:rsidR="00E70355" w:rsidRPr="00A532AA" w:rsidRDefault="00E70355" w:rsidP="0024456E">
      <w:pPr>
        <w:pStyle w:val="BodyText"/>
        <w:rPr>
          <w:b w:val="0"/>
        </w:rPr>
      </w:pPr>
    </w:p>
    <w:p w14:paraId="20CBF84A" w14:textId="77777777" w:rsidR="00C63FDC" w:rsidRPr="00A532AA" w:rsidRDefault="00C63FDC" w:rsidP="0024456E">
      <w:pPr>
        <w:pStyle w:val="BodyText"/>
        <w:rPr>
          <w:b w:val="0"/>
          <w:szCs w:val="24"/>
          <w:u w:val="single"/>
        </w:rPr>
      </w:pPr>
      <w:r w:rsidRPr="00A532AA">
        <w:rPr>
          <w:b w:val="0"/>
          <w:szCs w:val="24"/>
          <w:u w:val="single"/>
        </w:rPr>
        <w:t>Section 4 – Schedules</w:t>
      </w:r>
    </w:p>
    <w:p w14:paraId="4C010161" w14:textId="77777777" w:rsidR="00C63FDC" w:rsidRPr="00A532AA" w:rsidRDefault="00C63FDC" w:rsidP="0024456E">
      <w:pPr>
        <w:pStyle w:val="BodyText"/>
        <w:rPr>
          <w:b w:val="0"/>
          <w:szCs w:val="24"/>
          <w:u w:val="single"/>
        </w:rPr>
      </w:pPr>
    </w:p>
    <w:p w14:paraId="5D9EBF8D" w14:textId="34F561AB" w:rsidR="00C63FDC" w:rsidRPr="00A532AA" w:rsidRDefault="00C63FDC" w:rsidP="0024456E">
      <w:pPr>
        <w:pStyle w:val="BodyText"/>
        <w:rPr>
          <w:b w:val="0"/>
          <w:szCs w:val="24"/>
        </w:rPr>
      </w:pPr>
      <w:r w:rsidRPr="00A532AA">
        <w:rPr>
          <w:b w:val="0"/>
          <w:szCs w:val="24"/>
        </w:rPr>
        <w:t xml:space="preserve">Section 4 provides that each instrument that is specified in a Schedule to this </w:t>
      </w:r>
      <w:r w:rsidR="00297F48" w:rsidRPr="00A532AA">
        <w:rPr>
          <w:b w:val="0"/>
          <w:szCs w:val="24"/>
        </w:rPr>
        <w:t>Amendment</w:t>
      </w:r>
      <w:r w:rsidR="00297F48" w:rsidRPr="00A532AA">
        <w:rPr>
          <w:szCs w:val="24"/>
        </w:rPr>
        <w:t xml:space="preserve"> </w:t>
      </w:r>
      <w:r w:rsidRPr="00A532AA">
        <w:rPr>
          <w:b w:val="0"/>
          <w:szCs w:val="24"/>
        </w:rPr>
        <w:t xml:space="preserve">Determination is amended or repealed as set out in the applicable items in the Schedule concerned, and any other item in a Schedule to this </w:t>
      </w:r>
      <w:r w:rsidR="00297F48" w:rsidRPr="00A532AA">
        <w:rPr>
          <w:b w:val="0"/>
          <w:szCs w:val="24"/>
        </w:rPr>
        <w:t>Amendment</w:t>
      </w:r>
      <w:r w:rsidR="00297F48" w:rsidRPr="00A532AA">
        <w:rPr>
          <w:szCs w:val="24"/>
        </w:rPr>
        <w:t xml:space="preserve"> </w:t>
      </w:r>
      <w:r w:rsidRPr="00A532AA">
        <w:rPr>
          <w:b w:val="0"/>
          <w:szCs w:val="24"/>
        </w:rPr>
        <w:t>Determination has effect according to its terms.</w:t>
      </w:r>
    </w:p>
    <w:p w14:paraId="17D2CF69" w14:textId="77777777" w:rsidR="007E0017" w:rsidRPr="00A532AA" w:rsidRDefault="007E0017" w:rsidP="0024456E">
      <w:pPr>
        <w:pStyle w:val="BodyText"/>
        <w:rPr>
          <w:b w:val="0"/>
          <w:szCs w:val="24"/>
        </w:rPr>
      </w:pPr>
    </w:p>
    <w:p w14:paraId="768D340E" w14:textId="77777777" w:rsidR="00C63FDC" w:rsidRPr="00A532AA" w:rsidRDefault="00C63FDC" w:rsidP="0024456E">
      <w:pPr>
        <w:pStyle w:val="Header"/>
        <w:tabs>
          <w:tab w:val="num" w:pos="1080"/>
        </w:tabs>
        <w:rPr>
          <w:szCs w:val="24"/>
          <w:u w:val="single"/>
        </w:rPr>
      </w:pPr>
      <w:r w:rsidRPr="00A532AA">
        <w:rPr>
          <w:szCs w:val="24"/>
          <w:u w:val="single"/>
        </w:rPr>
        <w:t>Schedule 1 – Amendments</w:t>
      </w:r>
    </w:p>
    <w:p w14:paraId="2212E577" w14:textId="77777777" w:rsidR="00C63FDC" w:rsidRPr="00A532AA" w:rsidRDefault="00C63FDC" w:rsidP="0024456E">
      <w:pPr>
        <w:pStyle w:val="Header"/>
        <w:tabs>
          <w:tab w:val="num" w:pos="1080"/>
        </w:tabs>
        <w:rPr>
          <w:szCs w:val="24"/>
          <w:u w:val="single"/>
        </w:rPr>
      </w:pPr>
    </w:p>
    <w:p w14:paraId="58AD12B2" w14:textId="6806E0C7" w:rsidR="0038562E" w:rsidRPr="00A532AA" w:rsidRDefault="0038562E" w:rsidP="0024456E">
      <w:pPr>
        <w:pStyle w:val="Header"/>
        <w:tabs>
          <w:tab w:val="num" w:pos="1080"/>
        </w:tabs>
        <w:rPr>
          <w:szCs w:val="24"/>
        </w:rPr>
      </w:pPr>
      <w:r w:rsidRPr="00A532AA">
        <w:rPr>
          <w:szCs w:val="24"/>
        </w:rPr>
        <w:t xml:space="preserve">Item 1 of the Amendment Determination </w:t>
      </w:r>
      <w:r w:rsidR="003C710C" w:rsidRPr="00A532AA">
        <w:rPr>
          <w:szCs w:val="24"/>
        </w:rPr>
        <w:t>changes</w:t>
      </w:r>
      <w:r w:rsidRPr="00A532AA">
        <w:rPr>
          <w:szCs w:val="24"/>
        </w:rPr>
        <w:t xml:space="preserve"> the </w:t>
      </w:r>
      <w:r w:rsidR="000115C5" w:rsidRPr="00A532AA">
        <w:rPr>
          <w:szCs w:val="24"/>
        </w:rPr>
        <w:t>cessation</w:t>
      </w:r>
      <w:r w:rsidRPr="00A532AA">
        <w:rPr>
          <w:szCs w:val="24"/>
        </w:rPr>
        <w:t xml:space="preserve"> date of the Principal Determination from 31 March 2021 to 30 June 2022. This will extend </w:t>
      </w:r>
      <w:r w:rsidR="003E7F81" w:rsidRPr="00A532AA">
        <w:rPr>
          <w:szCs w:val="24"/>
        </w:rPr>
        <w:t xml:space="preserve">the availability of the </w:t>
      </w:r>
      <w:r w:rsidR="003E7F81" w:rsidRPr="00A532AA">
        <w:rPr>
          <w:b/>
          <w:szCs w:val="24"/>
        </w:rPr>
        <w:t xml:space="preserve">additional Better Access </w:t>
      </w:r>
      <w:r w:rsidR="004C4758" w:rsidRPr="00A532AA">
        <w:rPr>
          <w:b/>
          <w:szCs w:val="24"/>
        </w:rPr>
        <w:t xml:space="preserve">treatment </w:t>
      </w:r>
      <w:r w:rsidR="003E7F81" w:rsidRPr="00A532AA">
        <w:rPr>
          <w:b/>
          <w:szCs w:val="24"/>
        </w:rPr>
        <w:t>services</w:t>
      </w:r>
      <w:r w:rsidR="003E7F81" w:rsidRPr="00A532AA">
        <w:rPr>
          <w:szCs w:val="24"/>
        </w:rPr>
        <w:t xml:space="preserve"> which are performed in person</w:t>
      </w:r>
      <w:r w:rsidRPr="00A532AA">
        <w:rPr>
          <w:szCs w:val="24"/>
        </w:rPr>
        <w:t xml:space="preserve">. </w:t>
      </w:r>
    </w:p>
    <w:p w14:paraId="3F61960B" w14:textId="75FDC3B8" w:rsidR="003C710C" w:rsidRPr="00A532AA" w:rsidRDefault="003C710C" w:rsidP="0024456E">
      <w:pPr>
        <w:pStyle w:val="Header"/>
        <w:tabs>
          <w:tab w:val="num" w:pos="1080"/>
        </w:tabs>
        <w:rPr>
          <w:szCs w:val="24"/>
        </w:rPr>
      </w:pPr>
    </w:p>
    <w:p w14:paraId="7AE4FEE9" w14:textId="355D3584" w:rsidR="00584CCF" w:rsidRPr="00A532AA" w:rsidRDefault="003C710C" w:rsidP="0024456E">
      <w:pPr>
        <w:pStyle w:val="Header"/>
        <w:tabs>
          <w:tab w:val="num" w:pos="1080"/>
        </w:tabs>
        <w:rPr>
          <w:szCs w:val="24"/>
        </w:rPr>
      </w:pPr>
      <w:r w:rsidRPr="00A532AA">
        <w:rPr>
          <w:szCs w:val="24"/>
        </w:rPr>
        <w:t xml:space="preserve">Items 2, </w:t>
      </w:r>
      <w:r w:rsidR="00376F61" w:rsidRPr="00A532AA">
        <w:rPr>
          <w:szCs w:val="24"/>
        </w:rPr>
        <w:t>4 and 6</w:t>
      </w:r>
      <w:r w:rsidRPr="00A532AA">
        <w:rPr>
          <w:szCs w:val="24"/>
        </w:rPr>
        <w:t xml:space="preserve"> of the Amendment Determination remove the requirement for eligible persons to be subject to </w:t>
      </w:r>
      <w:r w:rsidR="003E7F81" w:rsidRPr="00A532AA">
        <w:rPr>
          <w:szCs w:val="24"/>
        </w:rPr>
        <w:t xml:space="preserve">certain restrictions outlined in public health orders as part of the response to COVID-19. </w:t>
      </w:r>
      <w:r w:rsidR="00584CCF" w:rsidRPr="00A532AA">
        <w:rPr>
          <w:szCs w:val="24"/>
        </w:rPr>
        <w:t xml:space="preserve">Any Medicare-eligible person will now have access to the </w:t>
      </w:r>
      <w:r w:rsidRPr="00A532AA">
        <w:rPr>
          <w:b/>
          <w:szCs w:val="24"/>
        </w:rPr>
        <w:t xml:space="preserve">additional Better Access </w:t>
      </w:r>
      <w:r w:rsidR="004C4758" w:rsidRPr="00A532AA">
        <w:rPr>
          <w:b/>
          <w:szCs w:val="24"/>
        </w:rPr>
        <w:t xml:space="preserve">treatment </w:t>
      </w:r>
      <w:r w:rsidRPr="00A532AA">
        <w:rPr>
          <w:b/>
          <w:szCs w:val="24"/>
        </w:rPr>
        <w:t>services</w:t>
      </w:r>
      <w:r w:rsidR="00584CCF" w:rsidRPr="00A532AA">
        <w:rPr>
          <w:szCs w:val="24"/>
        </w:rPr>
        <w:t xml:space="preserve">, provided </w:t>
      </w:r>
      <w:r w:rsidR="003E7F81" w:rsidRPr="00A532AA">
        <w:rPr>
          <w:szCs w:val="24"/>
        </w:rPr>
        <w:t xml:space="preserve">the service is </w:t>
      </w:r>
      <w:r w:rsidR="00F375E9" w:rsidRPr="00A532AA">
        <w:rPr>
          <w:szCs w:val="24"/>
        </w:rPr>
        <w:t>rendered</w:t>
      </w:r>
      <w:r w:rsidR="003E7F81" w:rsidRPr="00A532AA">
        <w:rPr>
          <w:szCs w:val="24"/>
        </w:rPr>
        <w:t xml:space="preserve"> in accordance with the item descriptor and the application provisions in the Principal Determination.</w:t>
      </w:r>
    </w:p>
    <w:p w14:paraId="2610DE52" w14:textId="77777777" w:rsidR="00584CCF" w:rsidRPr="00A532AA" w:rsidRDefault="00584CCF" w:rsidP="0024456E">
      <w:pPr>
        <w:pStyle w:val="Header"/>
        <w:rPr>
          <w:szCs w:val="24"/>
        </w:rPr>
      </w:pPr>
    </w:p>
    <w:p w14:paraId="0BB1E5DA" w14:textId="4E308968" w:rsidR="00A13CAC" w:rsidRPr="00A532AA" w:rsidRDefault="00376F61" w:rsidP="0024456E">
      <w:pPr>
        <w:pStyle w:val="Header"/>
        <w:rPr>
          <w:szCs w:val="24"/>
        </w:rPr>
      </w:pPr>
      <w:r w:rsidRPr="00A532AA">
        <w:rPr>
          <w:szCs w:val="24"/>
        </w:rPr>
        <w:t>Item 3</w:t>
      </w:r>
      <w:r w:rsidR="00584CCF" w:rsidRPr="00A532AA">
        <w:rPr>
          <w:szCs w:val="24"/>
        </w:rPr>
        <w:t xml:space="preserve"> </w:t>
      </w:r>
      <w:r w:rsidR="00A13CAC" w:rsidRPr="00A532AA">
        <w:rPr>
          <w:szCs w:val="24"/>
        </w:rPr>
        <w:t xml:space="preserve">of the Amendment Determination repeals </w:t>
      </w:r>
      <w:r w:rsidRPr="00A532AA">
        <w:rPr>
          <w:szCs w:val="24"/>
        </w:rPr>
        <w:t>sub</w:t>
      </w:r>
      <w:r w:rsidR="00A13CAC" w:rsidRPr="00A532AA">
        <w:rPr>
          <w:szCs w:val="24"/>
        </w:rPr>
        <w:t>section 7</w:t>
      </w:r>
      <w:r w:rsidRPr="00A532AA">
        <w:rPr>
          <w:szCs w:val="24"/>
        </w:rPr>
        <w:t>(1)</w:t>
      </w:r>
      <w:r w:rsidR="00A13CAC" w:rsidRPr="00A532AA">
        <w:rPr>
          <w:szCs w:val="24"/>
        </w:rPr>
        <w:t xml:space="preserve">. Section 7 of the Principal Determination </w:t>
      </w:r>
      <w:r w:rsidR="001B6A9C" w:rsidRPr="00A532AA">
        <w:rPr>
          <w:szCs w:val="24"/>
        </w:rPr>
        <w:t xml:space="preserve">formerly </w:t>
      </w:r>
      <w:r w:rsidR="00A13CAC" w:rsidRPr="00A532AA">
        <w:rPr>
          <w:szCs w:val="24"/>
        </w:rPr>
        <w:t xml:space="preserve">required a person to meet the following conditions to access the </w:t>
      </w:r>
      <w:r w:rsidR="004C4758" w:rsidRPr="00A532AA">
        <w:rPr>
          <w:b/>
          <w:szCs w:val="24"/>
        </w:rPr>
        <w:t>additional Better A</w:t>
      </w:r>
      <w:r w:rsidR="00A13CAC" w:rsidRPr="00A532AA">
        <w:rPr>
          <w:b/>
          <w:szCs w:val="24"/>
        </w:rPr>
        <w:t>ccess treatment services</w:t>
      </w:r>
      <w:r w:rsidR="00A13CAC" w:rsidRPr="00A532AA">
        <w:rPr>
          <w:szCs w:val="24"/>
        </w:rPr>
        <w:t>:</w:t>
      </w:r>
    </w:p>
    <w:p w14:paraId="3C4A885F" w14:textId="01FC923E" w:rsidR="00A13CAC" w:rsidRPr="00A532AA" w:rsidRDefault="004C4758" w:rsidP="0024456E">
      <w:pPr>
        <w:pStyle w:val="Header"/>
        <w:numPr>
          <w:ilvl w:val="0"/>
          <w:numId w:val="37"/>
        </w:numPr>
        <w:rPr>
          <w:szCs w:val="24"/>
        </w:rPr>
      </w:pPr>
      <w:r w:rsidRPr="00A532AA">
        <w:rPr>
          <w:szCs w:val="24"/>
        </w:rPr>
        <w:t xml:space="preserve">a person must have received 10 </w:t>
      </w:r>
      <w:r w:rsidRPr="00A532AA">
        <w:rPr>
          <w:b/>
          <w:szCs w:val="24"/>
        </w:rPr>
        <w:t>initial Better A</w:t>
      </w:r>
      <w:r w:rsidR="00A13CAC" w:rsidRPr="00A532AA">
        <w:rPr>
          <w:b/>
          <w:szCs w:val="24"/>
        </w:rPr>
        <w:t>ccess treatment services</w:t>
      </w:r>
      <w:r w:rsidR="00A13CAC" w:rsidRPr="00A532AA">
        <w:rPr>
          <w:szCs w:val="24"/>
        </w:rPr>
        <w:t xml:space="preserve"> in a calendar</w:t>
      </w:r>
      <w:r w:rsidR="00376F61" w:rsidRPr="00A532AA">
        <w:rPr>
          <w:szCs w:val="24"/>
        </w:rPr>
        <w:t xml:space="preserve"> year</w:t>
      </w:r>
      <w:r w:rsidR="00A13CAC" w:rsidRPr="00A532AA">
        <w:rPr>
          <w:szCs w:val="24"/>
        </w:rPr>
        <w:t>; and</w:t>
      </w:r>
    </w:p>
    <w:p w14:paraId="0A330F7A" w14:textId="3CB67E15" w:rsidR="00A13CAC" w:rsidRPr="00A532AA" w:rsidRDefault="00A13CAC" w:rsidP="0024456E">
      <w:pPr>
        <w:pStyle w:val="Header"/>
        <w:numPr>
          <w:ilvl w:val="0"/>
          <w:numId w:val="37"/>
        </w:numPr>
        <w:rPr>
          <w:szCs w:val="24"/>
        </w:rPr>
      </w:pPr>
      <w:r w:rsidRPr="00A532AA">
        <w:rPr>
          <w:szCs w:val="24"/>
        </w:rPr>
        <w:t>following the 10</w:t>
      </w:r>
      <w:r w:rsidRPr="00A532AA">
        <w:rPr>
          <w:szCs w:val="24"/>
          <w:vertAlign w:val="superscript"/>
        </w:rPr>
        <w:t>th</w:t>
      </w:r>
      <w:r w:rsidRPr="00A532AA">
        <w:rPr>
          <w:szCs w:val="24"/>
        </w:rPr>
        <w:t xml:space="preserve">  </w:t>
      </w:r>
      <w:r w:rsidR="004C4758" w:rsidRPr="00A532AA">
        <w:rPr>
          <w:b/>
          <w:szCs w:val="24"/>
        </w:rPr>
        <w:t xml:space="preserve">initial </w:t>
      </w:r>
      <w:r w:rsidRPr="00A532AA">
        <w:rPr>
          <w:b/>
          <w:szCs w:val="24"/>
        </w:rPr>
        <w:t xml:space="preserve">Better Access </w:t>
      </w:r>
      <w:r w:rsidR="004C4758" w:rsidRPr="00A532AA">
        <w:rPr>
          <w:b/>
          <w:szCs w:val="24"/>
        </w:rPr>
        <w:t>treatment service</w:t>
      </w:r>
      <w:r w:rsidRPr="00A532AA">
        <w:rPr>
          <w:szCs w:val="24"/>
        </w:rPr>
        <w:t xml:space="preserve"> performed in the year, the person was required to be reviewed by a </w:t>
      </w:r>
      <w:r w:rsidR="0081428F" w:rsidRPr="00A532AA">
        <w:rPr>
          <w:szCs w:val="24"/>
        </w:rPr>
        <w:t xml:space="preserve">medical practitioner in general practice, a psychiatrist or a paediatrician </w:t>
      </w:r>
      <w:r w:rsidRPr="00A532AA">
        <w:rPr>
          <w:szCs w:val="24"/>
        </w:rPr>
        <w:t xml:space="preserve">to determine if continued mental health treatment under Better Access </w:t>
      </w:r>
      <w:r w:rsidR="0081428F" w:rsidRPr="00A532AA">
        <w:rPr>
          <w:szCs w:val="24"/>
        </w:rPr>
        <w:t>was</w:t>
      </w:r>
      <w:r w:rsidRPr="00A532AA">
        <w:rPr>
          <w:szCs w:val="24"/>
        </w:rPr>
        <w:t xml:space="preserve"> appropriate. </w:t>
      </w:r>
      <w:r w:rsidR="001B6A9C" w:rsidRPr="00A532AA">
        <w:rPr>
          <w:szCs w:val="24"/>
        </w:rPr>
        <w:t>If the reviewing practitioner considered</w:t>
      </w:r>
      <w:r w:rsidR="0081428F" w:rsidRPr="00A532AA">
        <w:rPr>
          <w:szCs w:val="24"/>
        </w:rPr>
        <w:t xml:space="preserve"> the person </w:t>
      </w:r>
      <w:r w:rsidR="001B6A9C" w:rsidRPr="00A532AA">
        <w:rPr>
          <w:szCs w:val="24"/>
        </w:rPr>
        <w:t>was</w:t>
      </w:r>
      <w:r w:rsidR="0081428F" w:rsidRPr="00A532AA">
        <w:rPr>
          <w:szCs w:val="24"/>
        </w:rPr>
        <w:t xml:space="preserve"> responding to mental health treatme</w:t>
      </w:r>
      <w:r w:rsidR="004C4758" w:rsidRPr="00A532AA">
        <w:rPr>
          <w:szCs w:val="24"/>
        </w:rPr>
        <w:t xml:space="preserve">nt under Better Access (or they may </w:t>
      </w:r>
      <w:r w:rsidR="0081428F" w:rsidRPr="00A532AA">
        <w:rPr>
          <w:szCs w:val="24"/>
        </w:rPr>
        <w:t xml:space="preserve">respond to </w:t>
      </w:r>
      <w:r w:rsidR="0081428F" w:rsidRPr="00A532AA">
        <w:rPr>
          <w:szCs w:val="24"/>
        </w:rPr>
        <w:lastRenderedPageBreak/>
        <w:t xml:space="preserve">additional treatment), </w:t>
      </w:r>
      <w:r w:rsidR="001B6A9C" w:rsidRPr="00A532AA">
        <w:rPr>
          <w:szCs w:val="24"/>
        </w:rPr>
        <w:t xml:space="preserve">the practitioner was required to </w:t>
      </w:r>
      <w:r w:rsidR="0081428F" w:rsidRPr="00A532AA">
        <w:rPr>
          <w:szCs w:val="24"/>
        </w:rPr>
        <w:t xml:space="preserve">record their recommendation of access to the </w:t>
      </w:r>
      <w:r w:rsidR="0081428F" w:rsidRPr="00A532AA">
        <w:rPr>
          <w:b/>
          <w:szCs w:val="24"/>
        </w:rPr>
        <w:t xml:space="preserve">additional </w:t>
      </w:r>
      <w:r w:rsidR="004C4758" w:rsidRPr="00A532AA">
        <w:rPr>
          <w:b/>
          <w:szCs w:val="24"/>
        </w:rPr>
        <w:t xml:space="preserve">Better Access </w:t>
      </w:r>
      <w:r w:rsidR="0081428F" w:rsidRPr="00A532AA">
        <w:rPr>
          <w:b/>
          <w:szCs w:val="24"/>
        </w:rPr>
        <w:t xml:space="preserve">treatment </w:t>
      </w:r>
      <w:r w:rsidR="004C4758" w:rsidRPr="00A532AA">
        <w:rPr>
          <w:b/>
          <w:szCs w:val="24"/>
        </w:rPr>
        <w:t>services</w:t>
      </w:r>
      <w:r w:rsidR="004C4758" w:rsidRPr="00A532AA">
        <w:rPr>
          <w:szCs w:val="24"/>
        </w:rPr>
        <w:t>.</w:t>
      </w:r>
    </w:p>
    <w:p w14:paraId="1371E543" w14:textId="655D8EF8" w:rsidR="001B6A9C" w:rsidRPr="00A532AA" w:rsidRDefault="001B6A9C" w:rsidP="0024456E">
      <w:pPr>
        <w:pStyle w:val="Header"/>
        <w:rPr>
          <w:szCs w:val="24"/>
        </w:rPr>
      </w:pPr>
    </w:p>
    <w:p w14:paraId="5142B581" w14:textId="31F6E634" w:rsidR="001B6A9C" w:rsidRPr="00A532AA" w:rsidRDefault="001B6A9C" w:rsidP="0024456E">
      <w:pPr>
        <w:pStyle w:val="Header"/>
        <w:rPr>
          <w:szCs w:val="24"/>
        </w:rPr>
      </w:pPr>
      <w:r w:rsidRPr="00A532AA">
        <w:rPr>
          <w:szCs w:val="24"/>
        </w:rPr>
        <w:t xml:space="preserve">The Amendment Determination will remove the requirement for a person to have a formal review as a condition of accessing the </w:t>
      </w:r>
      <w:r w:rsidR="004C4758" w:rsidRPr="00A532AA">
        <w:rPr>
          <w:b/>
          <w:szCs w:val="24"/>
        </w:rPr>
        <w:t>additional Better Access treatment services</w:t>
      </w:r>
      <w:r w:rsidRPr="00A532AA">
        <w:rPr>
          <w:szCs w:val="24"/>
        </w:rPr>
        <w:t>. T</w:t>
      </w:r>
      <w:r w:rsidR="00B521E9" w:rsidRPr="00A532AA">
        <w:rPr>
          <w:szCs w:val="24"/>
        </w:rPr>
        <w:t xml:space="preserve">his will </w:t>
      </w:r>
      <w:r w:rsidRPr="00A532AA">
        <w:rPr>
          <w:szCs w:val="24"/>
        </w:rPr>
        <w:t xml:space="preserve">allow a person to carry over </w:t>
      </w:r>
      <w:r w:rsidR="004C4758" w:rsidRPr="00A532AA">
        <w:rPr>
          <w:szCs w:val="24"/>
        </w:rPr>
        <w:t xml:space="preserve">the balance of their </w:t>
      </w:r>
      <w:r w:rsidRPr="00A532AA">
        <w:rPr>
          <w:b/>
          <w:szCs w:val="24"/>
        </w:rPr>
        <w:t>additional Better Access treatment services</w:t>
      </w:r>
      <w:r w:rsidRPr="00A532AA">
        <w:rPr>
          <w:szCs w:val="24"/>
        </w:rPr>
        <w:t xml:space="preserve"> to a subsequent calendar year</w:t>
      </w:r>
      <w:r w:rsidR="00B521E9" w:rsidRPr="00A532AA">
        <w:rPr>
          <w:szCs w:val="24"/>
        </w:rPr>
        <w:t xml:space="preserve"> if they have not used their full allocation of services</w:t>
      </w:r>
      <w:r w:rsidR="004C4758" w:rsidRPr="00A532AA">
        <w:rPr>
          <w:szCs w:val="24"/>
        </w:rPr>
        <w:t xml:space="preserve"> within a calendar year</w:t>
      </w:r>
      <w:r w:rsidR="00B521E9" w:rsidRPr="00A532AA">
        <w:rPr>
          <w:szCs w:val="24"/>
        </w:rPr>
        <w:t>.</w:t>
      </w:r>
      <w:r w:rsidR="004E134F" w:rsidRPr="00A532AA">
        <w:rPr>
          <w:szCs w:val="24"/>
        </w:rPr>
        <w:t xml:space="preserve"> </w:t>
      </w:r>
      <w:r w:rsidR="00376F61" w:rsidRPr="00A532AA">
        <w:rPr>
          <w:szCs w:val="24"/>
        </w:rPr>
        <w:t xml:space="preserve">Subsection 7(2) of the Principal Determination retains the requirement that a person can have no more than 10 </w:t>
      </w:r>
      <w:r w:rsidR="00376F61" w:rsidRPr="00A532AA">
        <w:rPr>
          <w:b/>
          <w:szCs w:val="24"/>
        </w:rPr>
        <w:t>additional Better Access treatment services</w:t>
      </w:r>
      <w:r w:rsidR="00376F61" w:rsidRPr="00A532AA">
        <w:rPr>
          <w:szCs w:val="24"/>
        </w:rPr>
        <w:t xml:space="preserve"> in a calendar year. </w:t>
      </w:r>
    </w:p>
    <w:p w14:paraId="6FA4243D" w14:textId="374756D2" w:rsidR="00B521E9" w:rsidRPr="00A532AA" w:rsidRDefault="00B521E9" w:rsidP="0024456E">
      <w:pPr>
        <w:pStyle w:val="Header"/>
        <w:rPr>
          <w:szCs w:val="24"/>
        </w:rPr>
      </w:pPr>
    </w:p>
    <w:p w14:paraId="46DA7AD9" w14:textId="3D41EB47" w:rsidR="00B521E9" w:rsidRPr="00A532AA" w:rsidRDefault="00376F61" w:rsidP="0024456E">
      <w:pPr>
        <w:pStyle w:val="Header"/>
        <w:rPr>
          <w:szCs w:val="24"/>
        </w:rPr>
      </w:pPr>
      <w:r w:rsidRPr="00A532AA">
        <w:rPr>
          <w:szCs w:val="24"/>
        </w:rPr>
        <w:t>Items 5</w:t>
      </w:r>
      <w:r w:rsidR="00B521E9" w:rsidRPr="00A532AA">
        <w:rPr>
          <w:szCs w:val="24"/>
        </w:rPr>
        <w:t xml:space="preserve"> and</w:t>
      </w:r>
      <w:r w:rsidRPr="00A532AA">
        <w:rPr>
          <w:szCs w:val="24"/>
        </w:rPr>
        <w:t xml:space="preserve"> 7</w:t>
      </w:r>
      <w:r w:rsidR="00B521E9" w:rsidRPr="00A532AA">
        <w:rPr>
          <w:szCs w:val="24"/>
        </w:rPr>
        <w:t xml:space="preserve"> of the Amendment Determination </w:t>
      </w:r>
      <w:r w:rsidR="00F55531" w:rsidRPr="00A532AA">
        <w:rPr>
          <w:szCs w:val="24"/>
        </w:rPr>
        <w:t>amend</w:t>
      </w:r>
      <w:r w:rsidR="001E3386" w:rsidRPr="00A532AA">
        <w:rPr>
          <w:szCs w:val="24"/>
        </w:rPr>
        <w:t xml:space="preserve"> paragraph (b) of the </w:t>
      </w:r>
      <w:r w:rsidR="004C4758" w:rsidRPr="00A532AA">
        <w:rPr>
          <w:b/>
          <w:szCs w:val="24"/>
        </w:rPr>
        <w:t>additional B</w:t>
      </w:r>
      <w:r w:rsidR="001E3386" w:rsidRPr="00A532AA">
        <w:rPr>
          <w:b/>
          <w:szCs w:val="24"/>
        </w:rPr>
        <w:t xml:space="preserve">etter </w:t>
      </w:r>
      <w:r w:rsidR="004C4758" w:rsidRPr="00A532AA">
        <w:rPr>
          <w:b/>
          <w:szCs w:val="24"/>
        </w:rPr>
        <w:t>A</w:t>
      </w:r>
      <w:r w:rsidR="001E3386" w:rsidRPr="00A532AA">
        <w:rPr>
          <w:b/>
          <w:szCs w:val="24"/>
        </w:rPr>
        <w:t>ccess treatment services</w:t>
      </w:r>
      <w:r w:rsidR="001E3386" w:rsidRPr="00A532AA">
        <w:rPr>
          <w:szCs w:val="24"/>
        </w:rPr>
        <w:t xml:space="preserve"> performed by allied health professionals to </w:t>
      </w:r>
      <w:r w:rsidRPr="00A532AA">
        <w:rPr>
          <w:szCs w:val="24"/>
        </w:rPr>
        <w:t>clarify</w:t>
      </w:r>
      <w:r w:rsidR="001E3386" w:rsidRPr="00A532AA">
        <w:rPr>
          <w:szCs w:val="24"/>
        </w:rPr>
        <w:t xml:space="preserve"> the </w:t>
      </w:r>
      <w:r w:rsidR="000E69C6" w:rsidRPr="00A532AA">
        <w:rPr>
          <w:szCs w:val="24"/>
        </w:rPr>
        <w:t xml:space="preserve">minimum </w:t>
      </w:r>
      <w:r w:rsidR="001E3386" w:rsidRPr="00A532AA">
        <w:rPr>
          <w:szCs w:val="24"/>
        </w:rPr>
        <w:t xml:space="preserve">administrative conditions on </w:t>
      </w:r>
      <w:r w:rsidR="00A56759" w:rsidRPr="00A532AA">
        <w:rPr>
          <w:szCs w:val="24"/>
        </w:rPr>
        <w:t>referring practitioners.</w:t>
      </w:r>
      <w:r w:rsidR="00751D4A" w:rsidRPr="00A532AA">
        <w:rPr>
          <w:szCs w:val="24"/>
        </w:rPr>
        <w:t xml:space="preserve"> A referring practitioner must make a written record of the need for </w:t>
      </w:r>
      <w:r w:rsidR="00751D4A" w:rsidRPr="00A532AA">
        <w:rPr>
          <w:b/>
          <w:szCs w:val="24"/>
        </w:rPr>
        <w:t>additional Better Access treatment services</w:t>
      </w:r>
      <w:r w:rsidR="00751D4A" w:rsidRPr="00A532AA">
        <w:rPr>
          <w:szCs w:val="24"/>
        </w:rPr>
        <w:t>. A referring practitioner can satisfy this requirement by modifying the patient’s plan (the GP mental health treatment plan, shared care plan or psychiatrist assessment and management plan), or where no such plan exists, by creating a separate written record.</w:t>
      </w:r>
      <w:r w:rsidR="000E69C6" w:rsidRPr="00A532AA">
        <w:rPr>
          <w:szCs w:val="24"/>
        </w:rPr>
        <w:t xml:space="preserve"> </w:t>
      </w:r>
      <w:r w:rsidR="001E3386" w:rsidRPr="00A532AA">
        <w:rPr>
          <w:szCs w:val="24"/>
        </w:rPr>
        <w:br/>
      </w:r>
    </w:p>
    <w:p w14:paraId="371F01D6" w14:textId="77777777" w:rsidR="007708B3" w:rsidRPr="00A532AA" w:rsidRDefault="007708B3" w:rsidP="0024456E">
      <w:pPr>
        <w:pStyle w:val="Header"/>
        <w:tabs>
          <w:tab w:val="num" w:pos="1080"/>
        </w:tabs>
        <w:rPr>
          <w:b/>
          <w:szCs w:val="24"/>
        </w:rPr>
      </w:pPr>
    </w:p>
    <w:p w14:paraId="21DF9DDC" w14:textId="1767E1F1" w:rsidR="00331752" w:rsidRPr="00A532AA" w:rsidRDefault="00331752" w:rsidP="0024456E">
      <w:pPr>
        <w:spacing w:after="200" w:line="276" w:lineRule="auto"/>
        <w:rPr>
          <w:szCs w:val="24"/>
          <w:u w:val="single"/>
        </w:rPr>
      </w:pPr>
      <w:r w:rsidRPr="00A532AA">
        <w:rPr>
          <w:szCs w:val="24"/>
          <w:u w:val="single"/>
        </w:rPr>
        <w:br w:type="page"/>
      </w:r>
    </w:p>
    <w:p w14:paraId="2412D14E" w14:textId="632B4BE9" w:rsidR="00A17F2C" w:rsidRPr="00A532AA" w:rsidRDefault="00A17F2C" w:rsidP="0024456E">
      <w:pPr>
        <w:pStyle w:val="Header"/>
        <w:tabs>
          <w:tab w:val="num" w:pos="1080"/>
        </w:tabs>
        <w:jc w:val="center"/>
        <w:rPr>
          <w:b/>
          <w:sz w:val="28"/>
          <w:szCs w:val="28"/>
        </w:rPr>
      </w:pPr>
      <w:r w:rsidRPr="00A532AA">
        <w:rPr>
          <w:b/>
          <w:sz w:val="28"/>
          <w:szCs w:val="28"/>
        </w:rPr>
        <w:lastRenderedPageBreak/>
        <w:t>Statement of Compatibility with Human Rights</w:t>
      </w:r>
    </w:p>
    <w:p w14:paraId="2412D14F" w14:textId="77777777" w:rsidR="00A17F2C" w:rsidRPr="00A532AA" w:rsidRDefault="00A17F2C" w:rsidP="0024456E">
      <w:pPr>
        <w:spacing w:before="120" w:after="120"/>
        <w:jc w:val="center"/>
        <w:rPr>
          <w:szCs w:val="24"/>
        </w:rPr>
      </w:pPr>
      <w:r w:rsidRPr="00A532AA">
        <w:rPr>
          <w:i/>
          <w:szCs w:val="24"/>
        </w:rPr>
        <w:t>Prepared in accordance with Part 3 of the Human Rights (Parliamentary Scrutiny) Act 2011</w:t>
      </w:r>
    </w:p>
    <w:p w14:paraId="751DE726" w14:textId="77777777" w:rsidR="002A6C77" w:rsidRPr="00A532AA" w:rsidRDefault="002A6C77" w:rsidP="0024456E">
      <w:pPr>
        <w:tabs>
          <w:tab w:val="left" w:pos="1418"/>
        </w:tabs>
        <w:ind w:left="851"/>
        <w:jc w:val="center"/>
        <w:rPr>
          <w:b/>
          <w:i/>
          <w:iCs/>
        </w:rPr>
      </w:pPr>
    </w:p>
    <w:p w14:paraId="3A52A4B2" w14:textId="16B33E2B" w:rsidR="00C6094D" w:rsidRPr="00A532AA" w:rsidRDefault="007E3B27" w:rsidP="0024456E">
      <w:pPr>
        <w:tabs>
          <w:tab w:val="left" w:pos="1418"/>
        </w:tabs>
        <w:jc w:val="center"/>
        <w:rPr>
          <w:i/>
          <w:iCs/>
        </w:rPr>
      </w:pPr>
      <w:r w:rsidRPr="00A532AA">
        <w:rPr>
          <w:i/>
          <w:iCs/>
        </w:rPr>
        <w:t>Health Insurance (Section 3C General Medical – Expansion of GP and Allied Health Mental Health Services) Amendment (Expand Eligible Patients) Determination 2020</w:t>
      </w:r>
    </w:p>
    <w:p w14:paraId="1BF56C38" w14:textId="77777777" w:rsidR="007708B3" w:rsidRPr="00A532AA" w:rsidRDefault="007708B3" w:rsidP="0024456E">
      <w:pPr>
        <w:tabs>
          <w:tab w:val="left" w:pos="1418"/>
        </w:tabs>
        <w:ind w:left="851"/>
        <w:jc w:val="center"/>
        <w:rPr>
          <w:b/>
          <w:i/>
          <w:szCs w:val="24"/>
        </w:rPr>
      </w:pPr>
    </w:p>
    <w:p w14:paraId="2412D153" w14:textId="7AFD921D" w:rsidR="00A17F2C" w:rsidRPr="00A532AA" w:rsidRDefault="00A17F2C" w:rsidP="0024456E">
      <w:pPr>
        <w:jc w:val="center"/>
        <w:rPr>
          <w:szCs w:val="24"/>
        </w:rPr>
      </w:pPr>
      <w:r w:rsidRPr="00A532AA">
        <w:rPr>
          <w:szCs w:val="24"/>
        </w:rPr>
        <w:t xml:space="preserve">This </w:t>
      </w:r>
      <w:r w:rsidR="0046022A" w:rsidRPr="00A532AA">
        <w:rPr>
          <w:szCs w:val="24"/>
        </w:rPr>
        <w:t>instrument</w:t>
      </w:r>
      <w:r w:rsidRPr="00A532AA">
        <w:rPr>
          <w:szCs w:val="24"/>
        </w:rPr>
        <w:t xml:space="preserve"> is compatible with the human rights and freedoms recognised or declared in the international instruments listed in section 3 of the </w:t>
      </w:r>
      <w:r w:rsidRPr="00A532AA">
        <w:rPr>
          <w:i/>
          <w:szCs w:val="24"/>
        </w:rPr>
        <w:t>Human Rights (Parliamentary Scrutiny) Act 2011</w:t>
      </w:r>
      <w:r w:rsidRPr="00A532AA">
        <w:rPr>
          <w:szCs w:val="24"/>
        </w:rPr>
        <w:t>.</w:t>
      </w:r>
    </w:p>
    <w:p w14:paraId="7EDA9098" w14:textId="306A78E1" w:rsidR="006E6BBF" w:rsidRPr="00A532AA" w:rsidRDefault="006E6BBF" w:rsidP="0024456E">
      <w:pPr>
        <w:spacing w:before="120" w:after="120"/>
        <w:rPr>
          <w:b/>
          <w:szCs w:val="24"/>
        </w:rPr>
      </w:pPr>
      <w:r w:rsidRPr="00A532AA">
        <w:rPr>
          <w:b/>
          <w:szCs w:val="24"/>
        </w:rPr>
        <w:t xml:space="preserve">Overview of the </w:t>
      </w:r>
      <w:r w:rsidR="00B86A9F" w:rsidRPr="00A532AA">
        <w:rPr>
          <w:b/>
          <w:szCs w:val="24"/>
        </w:rPr>
        <w:t>Determination</w:t>
      </w:r>
    </w:p>
    <w:p w14:paraId="195DE77E" w14:textId="1D3FD327" w:rsidR="004E134F" w:rsidRPr="00A532AA" w:rsidRDefault="004E134F" w:rsidP="0024456E">
      <w:pPr>
        <w:spacing w:before="120" w:after="120"/>
        <w:ind w:right="-483"/>
        <w:rPr>
          <w:color w:val="000000"/>
        </w:rPr>
      </w:pPr>
      <w:r w:rsidRPr="00A532AA">
        <w:rPr>
          <w:color w:val="000000"/>
        </w:rPr>
        <w:t>Since 7 August 2020, the Australian Government has been providing Medicare benefits to assist certain people to receive additional mental health support services under the Medicare Benefits Schedule (MBS).</w:t>
      </w:r>
    </w:p>
    <w:p w14:paraId="3E4BD967" w14:textId="602FDD59" w:rsidR="004E134F" w:rsidRPr="00A532AA" w:rsidRDefault="004E134F" w:rsidP="0024456E">
      <w:pPr>
        <w:spacing w:before="120" w:after="120"/>
        <w:ind w:right="-483"/>
        <w:rPr>
          <w:color w:val="000000"/>
        </w:rPr>
      </w:pPr>
      <w:r w:rsidRPr="00A532AA">
        <w:rPr>
          <w:color w:val="000000"/>
        </w:rPr>
        <w:t>The </w:t>
      </w:r>
      <w:r w:rsidRPr="00A532AA">
        <w:rPr>
          <w:i/>
          <w:iCs/>
          <w:color w:val="000000"/>
        </w:rPr>
        <w:t xml:space="preserve">Health Insurance (Section 3C General Medical – Expansion of GP and Allied Health Mental Health Services) Determination 2020 </w:t>
      </w:r>
      <w:r w:rsidRPr="00A532AA">
        <w:rPr>
          <w:iCs/>
          <w:color w:val="000000"/>
        </w:rPr>
        <w:t>(</w:t>
      </w:r>
      <w:r w:rsidRPr="00A532AA">
        <w:rPr>
          <w:color w:val="000000"/>
        </w:rPr>
        <w:t xml:space="preserve">the Principal Determination) prescribes 36 temporary items to allow certain patients to access up </w:t>
      </w:r>
      <w:r w:rsidR="0024456E" w:rsidRPr="00A532AA">
        <w:rPr>
          <w:color w:val="000000"/>
        </w:rPr>
        <w:t xml:space="preserve">to </w:t>
      </w:r>
      <w:r w:rsidRPr="00A532AA">
        <w:rPr>
          <w:color w:val="000000"/>
        </w:rPr>
        <w:t>an additional 10 mental health treatment services under the ‘Better Access’ initiative (also known as the ‘Better Access to Psychiatrists, Psychologists and General Practitioners through the Medicare Benefits Schedule’). The items are available to people subject to certain restrictions outlined in public health orders as part of the response to the coronavirus (COVID-19) pandemic.</w:t>
      </w:r>
    </w:p>
    <w:p w14:paraId="7785552E" w14:textId="714628EE" w:rsidR="004E134F" w:rsidRPr="00A532AA" w:rsidRDefault="004E134F" w:rsidP="0024456E">
      <w:pPr>
        <w:spacing w:before="120" w:after="120"/>
        <w:ind w:right="84"/>
        <w:rPr>
          <w:color w:val="000000"/>
          <w:szCs w:val="24"/>
        </w:rPr>
      </w:pPr>
      <w:r w:rsidRPr="00A532AA">
        <w:rPr>
          <w:color w:val="000000"/>
          <w:szCs w:val="24"/>
        </w:rPr>
        <w:t>The purpose of the </w:t>
      </w:r>
      <w:r w:rsidRPr="00A532AA">
        <w:rPr>
          <w:i/>
          <w:iCs/>
          <w:color w:val="000000"/>
          <w:szCs w:val="24"/>
        </w:rPr>
        <w:t xml:space="preserve">Health Insurance (Section 3C General Medical – Expansion of GP and Allied Health Mental Health Services) Amendment (Expand Eligible Patients) Determination 2020 </w:t>
      </w:r>
      <w:r w:rsidRPr="00A532AA">
        <w:rPr>
          <w:color w:val="000000"/>
          <w:szCs w:val="24"/>
        </w:rPr>
        <w:t>(the Amendment Determination) is to allow any Medicare-eligible person to access up to 10 additional treatment services in a calendar year for treatment of a mental health disorder (</w:t>
      </w:r>
      <w:r w:rsidRPr="00A532AA">
        <w:rPr>
          <w:b/>
          <w:color w:val="000000"/>
          <w:szCs w:val="24"/>
        </w:rPr>
        <w:t>additional Better Access treatment services</w:t>
      </w:r>
      <w:r w:rsidRPr="00A532AA">
        <w:rPr>
          <w:color w:val="000000"/>
          <w:szCs w:val="24"/>
        </w:rPr>
        <w:t>). These services are in addition to the existing 10 mental health treatment services which are available to people with a mental health disorder each calendar year under Better Access (</w:t>
      </w:r>
      <w:r w:rsidRPr="00A532AA">
        <w:rPr>
          <w:b/>
          <w:color w:val="000000"/>
          <w:szCs w:val="24"/>
        </w:rPr>
        <w:t>initial Better Access treatment services</w:t>
      </w:r>
      <w:r w:rsidRPr="00A532AA">
        <w:rPr>
          <w:color w:val="000000"/>
          <w:szCs w:val="24"/>
        </w:rPr>
        <w:t>).</w:t>
      </w:r>
    </w:p>
    <w:p w14:paraId="2B9D2195" w14:textId="38592314" w:rsidR="00456277" w:rsidRPr="00A532AA" w:rsidRDefault="00456277" w:rsidP="00456277">
      <w:pPr>
        <w:pStyle w:val="Header"/>
        <w:rPr>
          <w:szCs w:val="24"/>
        </w:rPr>
      </w:pPr>
      <w:r w:rsidRPr="00A532AA">
        <w:rPr>
          <w:szCs w:val="24"/>
        </w:rPr>
        <w:t xml:space="preserve">The Amendment Determination will remove the requirement for a person to have a formal review as a condition of accessing the </w:t>
      </w:r>
      <w:r w:rsidRPr="00A532AA">
        <w:rPr>
          <w:b/>
          <w:szCs w:val="24"/>
        </w:rPr>
        <w:t>additional Better Access treatment services</w:t>
      </w:r>
      <w:r w:rsidRPr="00A532AA">
        <w:rPr>
          <w:szCs w:val="24"/>
        </w:rPr>
        <w:t xml:space="preserve">. This will allow a person to carry over the balance of their </w:t>
      </w:r>
      <w:r w:rsidRPr="00A532AA">
        <w:rPr>
          <w:b/>
          <w:szCs w:val="24"/>
        </w:rPr>
        <w:t>additional Better Access treatment services</w:t>
      </w:r>
      <w:r w:rsidRPr="00A532AA">
        <w:rPr>
          <w:szCs w:val="24"/>
        </w:rPr>
        <w:t xml:space="preserve"> to a subsequent calendar year if they have not used their full allocation of services within a calendar year. It remains a requirement that a person can have no more than 10 </w:t>
      </w:r>
      <w:r w:rsidRPr="00A532AA">
        <w:rPr>
          <w:b/>
          <w:szCs w:val="24"/>
        </w:rPr>
        <w:t>additional Better Access treatment services</w:t>
      </w:r>
      <w:r w:rsidRPr="00A532AA">
        <w:rPr>
          <w:szCs w:val="24"/>
        </w:rPr>
        <w:t xml:space="preserve"> in a calendar year. </w:t>
      </w:r>
    </w:p>
    <w:p w14:paraId="49521C99" w14:textId="3E1489E0" w:rsidR="004E134F" w:rsidRPr="00A532AA" w:rsidRDefault="004E134F" w:rsidP="0024456E">
      <w:pPr>
        <w:spacing w:before="120" w:after="120"/>
        <w:ind w:right="-482"/>
        <w:rPr>
          <w:szCs w:val="24"/>
        </w:rPr>
      </w:pPr>
      <w:r w:rsidRPr="00A532AA">
        <w:rPr>
          <w:color w:val="000000"/>
          <w:szCs w:val="24"/>
        </w:rPr>
        <w:t>The Amendment Determination will also extend</w:t>
      </w:r>
      <w:r w:rsidRPr="00A532AA">
        <w:rPr>
          <w:szCs w:val="24"/>
        </w:rPr>
        <w:t xml:space="preserve"> the availability of the temporary </w:t>
      </w:r>
      <w:r w:rsidRPr="00A532AA">
        <w:rPr>
          <w:b/>
          <w:szCs w:val="24"/>
        </w:rPr>
        <w:t>additional Better Access treatment services</w:t>
      </w:r>
      <w:r w:rsidRPr="00A532AA">
        <w:rPr>
          <w:szCs w:val="24"/>
        </w:rPr>
        <w:t xml:space="preserve"> which are performed in person (Schedule 1 of the Principal Determination) from 31 March 2021 to 30 June 2022. The </w:t>
      </w:r>
      <w:r w:rsidRPr="00A532AA">
        <w:rPr>
          <w:b/>
          <w:szCs w:val="24"/>
        </w:rPr>
        <w:t>additional Better Access treatment services</w:t>
      </w:r>
      <w:r w:rsidRPr="00A532AA">
        <w:rPr>
          <w:szCs w:val="24"/>
        </w:rPr>
        <w:t xml:space="preserve"> performed by telehealth and phone (Schedule 2 of the Principal Determination) will remain available until 31 March 2021, consistent with the advice of the Australian Health Protection Principal </w:t>
      </w:r>
      <w:r w:rsidR="00AE0385" w:rsidRPr="00A532AA">
        <w:rPr>
          <w:szCs w:val="24"/>
        </w:rPr>
        <w:t xml:space="preserve">Committee </w:t>
      </w:r>
      <w:r w:rsidRPr="00A532AA">
        <w:rPr>
          <w:szCs w:val="24"/>
        </w:rPr>
        <w:t>to support quarantine and infection control measures.</w:t>
      </w:r>
    </w:p>
    <w:p w14:paraId="2412D15C" w14:textId="61CE7B03" w:rsidR="00A17F2C" w:rsidRPr="00A532AA" w:rsidRDefault="00A17F2C" w:rsidP="0024456E">
      <w:pPr>
        <w:spacing w:before="120" w:after="120"/>
        <w:ind w:right="-482"/>
        <w:rPr>
          <w:szCs w:val="24"/>
        </w:rPr>
      </w:pPr>
      <w:r w:rsidRPr="00A532AA">
        <w:rPr>
          <w:b/>
          <w:szCs w:val="24"/>
        </w:rPr>
        <w:t>Human rights implications</w:t>
      </w:r>
    </w:p>
    <w:p w14:paraId="449665F0" w14:textId="2ED3F54B" w:rsidR="00806020" w:rsidRPr="00A532AA" w:rsidRDefault="00806020" w:rsidP="0024456E">
      <w:pPr>
        <w:spacing w:before="120" w:after="120"/>
        <w:rPr>
          <w:szCs w:val="24"/>
        </w:rPr>
      </w:pPr>
      <w:r w:rsidRPr="00A532AA">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A532AA" w:rsidRDefault="00A17F2C" w:rsidP="0024456E">
      <w:pPr>
        <w:spacing w:before="120" w:after="120"/>
        <w:rPr>
          <w:i/>
          <w:szCs w:val="24"/>
        </w:rPr>
      </w:pPr>
      <w:r w:rsidRPr="00A532AA">
        <w:rPr>
          <w:i/>
          <w:szCs w:val="24"/>
        </w:rPr>
        <w:t>The Right to Health</w:t>
      </w:r>
    </w:p>
    <w:p w14:paraId="2412D15F" w14:textId="77777777" w:rsidR="00A17F2C" w:rsidRPr="00A532AA" w:rsidRDefault="00A17F2C" w:rsidP="0024456E">
      <w:pPr>
        <w:spacing w:before="120" w:after="120"/>
        <w:rPr>
          <w:szCs w:val="24"/>
        </w:rPr>
      </w:pPr>
      <w:r w:rsidRPr="00A532AA">
        <w:rPr>
          <w:szCs w:val="24"/>
        </w:rPr>
        <w:t xml:space="preserve">The right to the enjoyment of the highest attainable standard of physical and mental health is contained in Article 12(1) of the ICESCR. The UN Committee on Economic Social and Cultural </w:t>
      </w:r>
      <w:r w:rsidRPr="00A532AA">
        <w:rPr>
          <w:szCs w:val="24"/>
        </w:rPr>
        <w:lastRenderedPageBreak/>
        <w:t xml:space="preserve">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A532AA" w:rsidRDefault="00A17F2C" w:rsidP="0024456E">
      <w:pPr>
        <w:spacing w:before="120" w:after="120"/>
        <w:rPr>
          <w:szCs w:val="24"/>
        </w:rPr>
      </w:pPr>
      <w:r w:rsidRPr="00A532AA">
        <w:rPr>
          <w:szCs w:val="24"/>
        </w:rPr>
        <w:t xml:space="preserve">The Committee reports that the </w:t>
      </w:r>
      <w:r w:rsidRPr="00A532AA">
        <w:rPr>
          <w:i/>
          <w:szCs w:val="24"/>
        </w:rPr>
        <w:t>‘highest attainable standard of health’</w:t>
      </w:r>
      <w:r w:rsidRPr="00A532AA">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A532AA" w:rsidRDefault="00A17F2C" w:rsidP="0024456E">
      <w:pPr>
        <w:spacing w:before="120" w:after="120"/>
        <w:rPr>
          <w:i/>
          <w:szCs w:val="24"/>
        </w:rPr>
      </w:pPr>
      <w:r w:rsidRPr="00A532AA">
        <w:rPr>
          <w:i/>
          <w:szCs w:val="24"/>
        </w:rPr>
        <w:t xml:space="preserve">The Right to Social Security </w:t>
      </w:r>
    </w:p>
    <w:p w14:paraId="2412D162" w14:textId="77777777" w:rsidR="00A17F2C" w:rsidRPr="00A532AA" w:rsidRDefault="00A17F2C" w:rsidP="0024456E">
      <w:pPr>
        <w:spacing w:before="120" w:after="120"/>
        <w:rPr>
          <w:szCs w:val="24"/>
        </w:rPr>
      </w:pPr>
      <w:r w:rsidRPr="00A532AA">
        <w:rPr>
          <w:szCs w:val="24"/>
        </w:rPr>
        <w:t>The right to social security is contained in Article 9 of the ICESCR. It requires that a country must, within its maximum available resources, ensure access to a social security scheme that</w:t>
      </w:r>
      <w:r w:rsidR="00BA69CB" w:rsidRPr="00A532AA">
        <w:rPr>
          <w:szCs w:val="24"/>
        </w:rPr>
        <w:t xml:space="preserve"> </w:t>
      </w:r>
      <w:r w:rsidRPr="00A532AA">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288E17B8" w:rsidR="00735CCC" w:rsidRPr="00A532AA" w:rsidRDefault="00A17F2C" w:rsidP="0024456E">
      <w:pPr>
        <w:spacing w:before="120" w:after="120"/>
        <w:rPr>
          <w:szCs w:val="24"/>
        </w:rPr>
      </w:pPr>
      <w:r w:rsidRPr="00A532AA">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1BF78036" w:rsidR="00A17F2C" w:rsidRPr="00A532AA" w:rsidRDefault="00A17F2C" w:rsidP="0024456E">
      <w:pPr>
        <w:spacing w:before="120" w:after="120"/>
        <w:rPr>
          <w:szCs w:val="24"/>
          <w:u w:val="single"/>
        </w:rPr>
      </w:pPr>
      <w:r w:rsidRPr="00A532AA">
        <w:rPr>
          <w:szCs w:val="24"/>
          <w:u w:val="single"/>
        </w:rPr>
        <w:t xml:space="preserve">Analysis </w:t>
      </w:r>
    </w:p>
    <w:p w14:paraId="45F68867" w14:textId="53D461B9" w:rsidR="007708B3" w:rsidRPr="00A532AA" w:rsidRDefault="007E3B27" w:rsidP="0024456E">
      <w:pPr>
        <w:rPr>
          <w:szCs w:val="24"/>
        </w:rPr>
      </w:pPr>
      <w:r w:rsidRPr="00A532AA">
        <w:rPr>
          <w:szCs w:val="24"/>
        </w:rPr>
        <w:t>This instrument advances the right to health and the right to social security by extending eligibility to the temporary additional mental health treatment services available under Better Access to any Medicare-eligible person</w:t>
      </w:r>
      <w:r w:rsidR="004E134F" w:rsidRPr="00A532AA">
        <w:rPr>
          <w:szCs w:val="24"/>
        </w:rPr>
        <w:t xml:space="preserve"> with a mental health disorder</w:t>
      </w:r>
      <w:r w:rsidRPr="00A532AA">
        <w:rPr>
          <w:szCs w:val="24"/>
        </w:rPr>
        <w:t>.</w:t>
      </w:r>
    </w:p>
    <w:p w14:paraId="2412D166" w14:textId="1973400E" w:rsidR="00A17F2C" w:rsidRPr="00A532AA" w:rsidRDefault="00A17F2C" w:rsidP="0024456E">
      <w:pPr>
        <w:spacing w:before="120" w:after="120" w:line="276" w:lineRule="auto"/>
        <w:rPr>
          <w:rFonts w:eastAsia="Calibri"/>
          <w:b/>
          <w:szCs w:val="24"/>
          <w:lang w:eastAsia="en-US"/>
        </w:rPr>
      </w:pPr>
      <w:r w:rsidRPr="00A532AA">
        <w:rPr>
          <w:rFonts w:eastAsia="Calibri"/>
          <w:b/>
          <w:szCs w:val="24"/>
          <w:lang w:eastAsia="en-US"/>
        </w:rPr>
        <w:t xml:space="preserve">Conclusion </w:t>
      </w:r>
    </w:p>
    <w:p w14:paraId="2412D168" w14:textId="0CC9FC10" w:rsidR="00F15284" w:rsidRPr="00A532AA" w:rsidRDefault="006E6BBF" w:rsidP="0024456E">
      <w:pPr>
        <w:rPr>
          <w:rFonts w:eastAsia="Calibri"/>
          <w:szCs w:val="24"/>
          <w:lang w:eastAsia="en-US"/>
        </w:rPr>
      </w:pPr>
      <w:r w:rsidRPr="00A532AA">
        <w:rPr>
          <w:szCs w:val="24"/>
        </w:rPr>
        <w:t xml:space="preserve">This </w:t>
      </w:r>
      <w:r w:rsidR="007E3B27" w:rsidRPr="00A532AA">
        <w:rPr>
          <w:szCs w:val="24"/>
        </w:rPr>
        <w:t>instrument is compatible with human rights as it advances the right to health and the right to social security.</w:t>
      </w:r>
    </w:p>
    <w:p w14:paraId="75A46380" w14:textId="77777777" w:rsidR="00C67BC7" w:rsidRPr="00A532AA" w:rsidRDefault="00C67BC7" w:rsidP="0024456E">
      <w:pPr>
        <w:jc w:val="center"/>
        <w:rPr>
          <w:b/>
          <w:bCs/>
        </w:rPr>
      </w:pPr>
    </w:p>
    <w:p w14:paraId="1998E06F" w14:textId="77777777" w:rsidR="007E3B27" w:rsidRPr="00A532AA" w:rsidRDefault="007E3B27" w:rsidP="0024456E">
      <w:pPr>
        <w:spacing w:line="240" w:lineRule="atLeast"/>
        <w:ind w:right="-23"/>
        <w:jc w:val="center"/>
        <w:rPr>
          <w:b/>
          <w:szCs w:val="22"/>
        </w:rPr>
      </w:pPr>
      <w:r w:rsidRPr="00A532AA">
        <w:rPr>
          <w:b/>
          <w:szCs w:val="22"/>
        </w:rPr>
        <w:t xml:space="preserve">Paul McBride </w:t>
      </w:r>
    </w:p>
    <w:p w14:paraId="6D890DFE" w14:textId="77777777" w:rsidR="007E3B27" w:rsidRPr="00A532AA" w:rsidRDefault="007E3B27" w:rsidP="0024456E">
      <w:pPr>
        <w:spacing w:line="240" w:lineRule="atLeast"/>
        <w:ind w:right="-23"/>
        <w:jc w:val="center"/>
        <w:rPr>
          <w:b/>
          <w:szCs w:val="22"/>
        </w:rPr>
      </w:pPr>
      <w:r w:rsidRPr="00A532AA">
        <w:rPr>
          <w:b/>
          <w:szCs w:val="22"/>
        </w:rPr>
        <w:t xml:space="preserve">First Assistant Secretary </w:t>
      </w:r>
    </w:p>
    <w:p w14:paraId="68A67DAC" w14:textId="77777777" w:rsidR="007E3B27" w:rsidRPr="00A532AA" w:rsidRDefault="007E3B27" w:rsidP="0024456E">
      <w:pPr>
        <w:spacing w:line="240" w:lineRule="atLeast"/>
        <w:ind w:right="-23"/>
        <w:jc w:val="center"/>
        <w:rPr>
          <w:b/>
          <w:szCs w:val="22"/>
        </w:rPr>
      </w:pPr>
      <w:r w:rsidRPr="00A532AA">
        <w:rPr>
          <w:b/>
          <w:szCs w:val="22"/>
        </w:rPr>
        <w:t xml:space="preserve">Medical Benefits Division </w:t>
      </w:r>
    </w:p>
    <w:p w14:paraId="42E9857F" w14:textId="431588CF" w:rsidR="001B6095" w:rsidRPr="00A532AA" w:rsidRDefault="007E3B27" w:rsidP="0024456E">
      <w:pPr>
        <w:spacing w:line="240" w:lineRule="atLeast"/>
        <w:ind w:right="-23"/>
        <w:jc w:val="center"/>
        <w:rPr>
          <w:b/>
          <w:szCs w:val="22"/>
        </w:rPr>
      </w:pPr>
      <w:r w:rsidRPr="00A532AA">
        <w:rPr>
          <w:b/>
          <w:szCs w:val="22"/>
        </w:rPr>
        <w:t xml:space="preserve">Health </w:t>
      </w:r>
      <w:r w:rsidR="002843ED" w:rsidRPr="00A532AA">
        <w:rPr>
          <w:b/>
          <w:szCs w:val="22"/>
        </w:rPr>
        <w:t>Resourcing</w:t>
      </w:r>
      <w:r w:rsidRPr="00A532AA">
        <w:rPr>
          <w:b/>
          <w:szCs w:val="22"/>
        </w:rPr>
        <w:t xml:space="preserve"> Group </w:t>
      </w:r>
    </w:p>
    <w:p w14:paraId="2412D16E" w14:textId="1D75709D" w:rsidR="00636C51" w:rsidRPr="007E3B27" w:rsidRDefault="000F2948" w:rsidP="0024456E">
      <w:pPr>
        <w:jc w:val="center"/>
        <w:rPr>
          <w:rFonts w:eastAsia="Calibri"/>
          <w:b/>
          <w:szCs w:val="24"/>
          <w:lang w:eastAsia="en-US"/>
        </w:rPr>
      </w:pPr>
      <w:r w:rsidRPr="00A532AA">
        <w:rPr>
          <w:b/>
          <w:bCs/>
        </w:rPr>
        <w:t>Department of Health</w:t>
      </w:r>
      <w:bookmarkStart w:id="0" w:name="_GoBack"/>
      <w:bookmarkEnd w:id="0"/>
    </w:p>
    <w:sectPr w:rsidR="00636C51" w:rsidRPr="007E3B27"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6" w14:textId="2AE4C56B" w:rsidR="00A1739A" w:rsidRDefault="00A1739A" w:rsidP="00BD6F5F">
    <w:pPr>
      <w:pStyle w:val="Header"/>
      <w:jc w:val="center"/>
    </w:pPr>
    <w:r>
      <w:fldChar w:fldCharType="begin"/>
    </w:r>
    <w:r>
      <w:instrText xml:space="preserve"> PAGE  \* Arabic  \* MERGEFORMAT </w:instrText>
    </w:r>
    <w:r>
      <w:fldChar w:fldCharType="separate"/>
    </w:r>
    <w:r w:rsidR="00A532AA">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4C1100FD" w:rsidR="00E23B6B" w:rsidRDefault="00E23B6B">
        <w:pPr>
          <w:pStyle w:val="Header"/>
          <w:jc w:val="center"/>
        </w:pPr>
        <w:r>
          <w:fldChar w:fldCharType="begin"/>
        </w:r>
        <w:r>
          <w:instrText xml:space="preserve"> PAGE   \* MERGEFORMAT </w:instrText>
        </w:r>
        <w:r>
          <w:fldChar w:fldCharType="separate"/>
        </w:r>
        <w:r w:rsidR="00A532AA">
          <w:rPr>
            <w:noProof/>
          </w:rPr>
          <w:t>6</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4AD45AB5" w:rsidR="00E23B6B" w:rsidRDefault="00E23B6B">
        <w:pPr>
          <w:pStyle w:val="Header"/>
          <w:jc w:val="center"/>
        </w:pPr>
        <w:r>
          <w:fldChar w:fldCharType="begin"/>
        </w:r>
        <w:r>
          <w:instrText xml:space="preserve"> PAGE   \* MERGEFORMAT </w:instrText>
        </w:r>
        <w:r>
          <w:fldChar w:fldCharType="separate"/>
        </w:r>
        <w:r w:rsidR="00A532AA">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3537DFE"/>
    <w:multiLevelType w:val="hybridMultilevel"/>
    <w:tmpl w:val="80D4A74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5575C6"/>
    <w:multiLevelType w:val="hybridMultilevel"/>
    <w:tmpl w:val="F8D82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30253D"/>
    <w:multiLevelType w:val="hybridMultilevel"/>
    <w:tmpl w:val="BCCED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410141"/>
    <w:multiLevelType w:val="hybridMultilevel"/>
    <w:tmpl w:val="9E5C9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3"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30"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BD6908"/>
    <w:multiLevelType w:val="hybridMultilevel"/>
    <w:tmpl w:val="69A8B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0248A9"/>
    <w:multiLevelType w:val="hybridMultilevel"/>
    <w:tmpl w:val="C8EED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1"/>
  </w:num>
  <w:num w:numId="3">
    <w:abstractNumId w:val="2"/>
  </w:num>
  <w:num w:numId="4">
    <w:abstractNumId w:val="13"/>
  </w:num>
  <w:num w:numId="5">
    <w:abstractNumId w:val="21"/>
  </w:num>
  <w:num w:numId="6">
    <w:abstractNumId w:val="11"/>
  </w:num>
  <w:num w:numId="7">
    <w:abstractNumId w:val="32"/>
  </w:num>
  <w:num w:numId="8">
    <w:abstractNumId w:val="7"/>
  </w:num>
  <w:num w:numId="9">
    <w:abstractNumId w:val="6"/>
  </w:num>
  <w:num w:numId="10">
    <w:abstractNumId w:val="35"/>
  </w:num>
  <w:num w:numId="11">
    <w:abstractNumId w:val="31"/>
  </w:num>
  <w:num w:numId="12">
    <w:abstractNumId w:val="14"/>
  </w:num>
  <w:num w:numId="13">
    <w:abstractNumId w:val="16"/>
  </w:num>
  <w:num w:numId="14">
    <w:abstractNumId w:val="29"/>
  </w:num>
  <w:num w:numId="15">
    <w:abstractNumId w:val="9"/>
  </w:num>
  <w:num w:numId="16">
    <w:abstractNumId w:val="23"/>
  </w:num>
  <w:num w:numId="17">
    <w:abstractNumId w:val="26"/>
  </w:num>
  <w:num w:numId="18">
    <w:abstractNumId w:val="24"/>
  </w:num>
  <w:num w:numId="19">
    <w:abstractNumId w:val="4"/>
  </w:num>
  <w:num w:numId="20">
    <w:abstractNumId w:val="1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5"/>
  </w:num>
  <w:num w:numId="25">
    <w:abstractNumId w:val="10"/>
  </w:num>
  <w:num w:numId="26">
    <w:abstractNumId w:val="5"/>
  </w:num>
  <w:num w:numId="27">
    <w:abstractNumId w:val="17"/>
  </w:num>
  <w:num w:numId="28">
    <w:abstractNumId w:val="34"/>
  </w:num>
  <w:num w:numId="29">
    <w:abstractNumId w:val="19"/>
  </w:num>
  <w:num w:numId="30">
    <w:abstractNumId w:val="30"/>
  </w:num>
  <w:num w:numId="31">
    <w:abstractNumId w:val="15"/>
  </w:num>
  <w:num w:numId="32">
    <w:abstractNumId w:val="28"/>
  </w:num>
  <w:num w:numId="33">
    <w:abstractNumId w:val="36"/>
  </w:num>
  <w:num w:numId="34">
    <w:abstractNumId w:val="33"/>
  </w:num>
  <w:num w:numId="35">
    <w:abstractNumId w:val="3"/>
  </w:num>
  <w:num w:numId="36">
    <w:abstractNumId w:val="20"/>
  </w:num>
  <w:num w:numId="37">
    <w:abstractNumId w:val="8"/>
  </w:num>
  <w:num w:numId="38">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D66"/>
    <w:rsid w:val="0000441D"/>
    <w:rsid w:val="00004E17"/>
    <w:rsid w:val="00005906"/>
    <w:rsid w:val="00007B65"/>
    <w:rsid w:val="00010199"/>
    <w:rsid w:val="000115C5"/>
    <w:rsid w:val="00012B9E"/>
    <w:rsid w:val="00014639"/>
    <w:rsid w:val="00014B38"/>
    <w:rsid w:val="00014E40"/>
    <w:rsid w:val="00016774"/>
    <w:rsid w:val="000203B4"/>
    <w:rsid w:val="00021E87"/>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87ABF"/>
    <w:rsid w:val="0009514A"/>
    <w:rsid w:val="000969EF"/>
    <w:rsid w:val="000A199B"/>
    <w:rsid w:val="000A31F2"/>
    <w:rsid w:val="000A45BE"/>
    <w:rsid w:val="000A467F"/>
    <w:rsid w:val="000A54E3"/>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78A"/>
    <w:rsid w:val="000D1A87"/>
    <w:rsid w:val="000D2300"/>
    <w:rsid w:val="000D3B79"/>
    <w:rsid w:val="000D7803"/>
    <w:rsid w:val="000E0C87"/>
    <w:rsid w:val="000E1ACD"/>
    <w:rsid w:val="000E1EB3"/>
    <w:rsid w:val="000E3444"/>
    <w:rsid w:val="000E4AFA"/>
    <w:rsid w:val="000E534F"/>
    <w:rsid w:val="000E66FA"/>
    <w:rsid w:val="000E69C6"/>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20766"/>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0FA8"/>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6A9C"/>
    <w:rsid w:val="001B7092"/>
    <w:rsid w:val="001C1B86"/>
    <w:rsid w:val="001C35BC"/>
    <w:rsid w:val="001C51D8"/>
    <w:rsid w:val="001C5FC1"/>
    <w:rsid w:val="001C6713"/>
    <w:rsid w:val="001D0C04"/>
    <w:rsid w:val="001D6B46"/>
    <w:rsid w:val="001D778A"/>
    <w:rsid w:val="001D7D62"/>
    <w:rsid w:val="001E014D"/>
    <w:rsid w:val="001E2D6D"/>
    <w:rsid w:val="001E3386"/>
    <w:rsid w:val="001E3B02"/>
    <w:rsid w:val="001E5391"/>
    <w:rsid w:val="001E5787"/>
    <w:rsid w:val="001E57BC"/>
    <w:rsid w:val="001E5DE7"/>
    <w:rsid w:val="001E63F3"/>
    <w:rsid w:val="001E7C25"/>
    <w:rsid w:val="001F004A"/>
    <w:rsid w:val="001F0923"/>
    <w:rsid w:val="001F1F27"/>
    <w:rsid w:val="001F7BEE"/>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2B4B"/>
    <w:rsid w:val="0022342C"/>
    <w:rsid w:val="0022384B"/>
    <w:rsid w:val="00225B50"/>
    <w:rsid w:val="00225D8E"/>
    <w:rsid w:val="002264F4"/>
    <w:rsid w:val="002322A8"/>
    <w:rsid w:val="0023311C"/>
    <w:rsid w:val="00233BEB"/>
    <w:rsid w:val="00235B6C"/>
    <w:rsid w:val="00236DF2"/>
    <w:rsid w:val="0024152E"/>
    <w:rsid w:val="002427DC"/>
    <w:rsid w:val="00242974"/>
    <w:rsid w:val="0024456E"/>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806A1"/>
    <w:rsid w:val="00281918"/>
    <w:rsid w:val="002843ED"/>
    <w:rsid w:val="00284483"/>
    <w:rsid w:val="00284749"/>
    <w:rsid w:val="0028504E"/>
    <w:rsid w:val="00285256"/>
    <w:rsid w:val="00287AEF"/>
    <w:rsid w:val="00287B08"/>
    <w:rsid w:val="00290B98"/>
    <w:rsid w:val="002944D4"/>
    <w:rsid w:val="00296763"/>
    <w:rsid w:val="0029737E"/>
    <w:rsid w:val="00297AD0"/>
    <w:rsid w:val="00297F48"/>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3DFF"/>
    <w:rsid w:val="00304080"/>
    <w:rsid w:val="0031124D"/>
    <w:rsid w:val="00312ED1"/>
    <w:rsid w:val="00313554"/>
    <w:rsid w:val="00317B55"/>
    <w:rsid w:val="0032155B"/>
    <w:rsid w:val="003239D0"/>
    <w:rsid w:val="0032490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6F61"/>
    <w:rsid w:val="003775D7"/>
    <w:rsid w:val="00380CBA"/>
    <w:rsid w:val="00381278"/>
    <w:rsid w:val="0038127E"/>
    <w:rsid w:val="00384080"/>
    <w:rsid w:val="0038562E"/>
    <w:rsid w:val="00386C22"/>
    <w:rsid w:val="003876E6"/>
    <w:rsid w:val="0039170C"/>
    <w:rsid w:val="00391AFA"/>
    <w:rsid w:val="003937EF"/>
    <w:rsid w:val="00393E9B"/>
    <w:rsid w:val="0039666E"/>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10C"/>
    <w:rsid w:val="003C7719"/>
    <w:rsid w:val="003D0FBD"/>
    <w:rsid w:val="003D2A6D"/>
    <w:rsid w:val="003E005B"/>
    <w:rsid w:val="003E04DA"/>
    <w:rsid w:val="003E1249"/>
    <w:rsid w:val="003E3544"/>
    <w:rsid w:val="003E35A8"/>
    <w:rsid w:val="003E4F2D"/>
    <w:rsid w:val="003E57BE"/>
    <w:rsid w:val="003E77CB"/>
    <w:rsid w:val="003E7F81"/>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47518"/>
    <w:rsid w:val="0045189C"/>
    <w:rsid w:val="00451A88"/>
    <w:rsid w:val="004524A0"/>
    <w:rsid w:val="00456277"/>
    <w:rsid w:val="00456B1D"/>
    <w:rsid w:val="0046022A"/>
    <w:rsid w:val="004636B4"/>
    <w:rsid w:val="004641DC"/>
    <w:rsid w:val="00464AC7"/>
    <w:rsid w:val="004669A4"/>
    <w:rsid w:val="00466A5B"/>
    <w:rsid w:val="0046799A"/>
    <w:rsid w:val="00471EB0"/>
    <w:rsid w:val="0047494B"/>
    <w:rsid w:val="00475A85"/>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2BAE"/>
    <w:rsid w:val="004A524A"/>
    <w:rsid w:val="004A56D3"/>
    <w:rsid w:val="004A6B0F"/>
    <w:rsid w:val="004B1ECE"/>
    <w:rsid w:val="004B38C8"/>
    <w:rsid w:val="004B5C2E"/>
    <w:rsid w:val="004B7CB9"/>
    <w:rsid w:val="004C10BA"/>
    <w:rsid w:val="004C27EB"/>
    <w:rsid w:val="004C33D9"/>
    <w:rsid w:val="004C357A"/>
    <w:rsid w:val="004C405B"/>
    <w:rsid w:val="004C4758"/>
    <w:rsid w:val="004C5B35"/>
    <w:rsid w:val="004C68D1"/>
    <w:rsid w:val="004C6AE7"/>
    <w:rsid w:val="004C72E8"/>
    <w:rsid w:val="004D04DF"/>
    <w:rsid w:val="004D1BF4"/>
    <w:rsid w:val="004D480B"/>
    <w:rsid w:val="004D7821"/>
    <w:rsid w:val="004E10C5"/>
    <w:rsid w:val="004E134F"/>
    <w:rsid w:val="004E22A7"/>
    <w:rsid w:val="004E39E6"/>
    <w:rsid w:val="004E71DC"/>
    <w:rsid w:val="004E7F97"/>
    <w:rsid w:val="004F1563"/>
    <w:rsid w:val="004F20B0"/>
    <w:rsid w:val="004F4BAD"/>
    <w:rsid w:val="004F7682"/>
    <w:rsid w:val="004F7B0C"/>
    <w:rsid w:val="005012BC"/>
    <w:rsid w:val="00502156"/>
    <w:rsid w:val="00502277"/>
    <w:rsid w:val="005042B5"/>
    <w:rsid w:val="00505C67"/>
    <w:rsid w:val="00505F9A"/>
    <w:rsid w:val="00510A4F"/>
    <w:rsid w:val="005119E9"/>
    <w:rsid w:val="00512A65"/>
    <w:rsid w:val="005130BE"/>
    <w:rsid w:val="005140F2"/>
    <w:rsid w:val="00514DCA"/>
    <w:rsid w:val="0051709B"/>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41F"/>
    <w:rsid w:val="00582B3F"/>
    <w:rsid w:val="00583643"/>
    <w:rsid w:val="005843B9"/>
    <w:rsid w:val="00584CCF"/>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A70EA"/>
    <w:rsid w:val="005B0EA3"/>
    <w:rsid w:val="005B1B0A"/>
    <w:rsid w:val="005B5062"/>
    <w:rsid w:val="005B6234"/>
    <w:rsid w:val="005B7596"/>
    <w:rsid w:val="005C4A91"/>
    <w:rsid w:val="005C5824"/>
    <w:rsid w:val="005C6118"/>
    <w:rsid w:val="005D1D56"/>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5F2DF3"/>
    <w:rsid w:val="00601165"/>
    <w:rsid w:val="00607971"/>
    <w:rsid w:val="00611A4E"/>
    <w:rsid w:val="006122C0"/>
    <w:rsid w:val="0061281D"/>
    <w:rsid w:val="00613C46"/>
    <w:rsid w:val="00614085"/>
    <w:rsid w:val="00616889"/>
    <w:rsid w:val="00617F77"/>
    <w:rsid w:val="00623004"/>
    <w:rsid w:val="006237CC"/>
    <w:rsid w:val="00627C91"/>
    <w:rsid w:val="00635031"/>
    <w:rsid w:val="006357FF"/>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85515"/>
    <w:rsid w:val="0068642A"/>
    <w:rsid w:val="00694C76"/>
    <w:rsid w:val="00694F4A"/>
    <w:rsid w:val="006A029B"/>
    <w:rsid w:val="006A17A1"/>
    <w:rsid w:val="006A2215"/>
    <w:rsid w:val="006A61C5"/>
    <w:rsid w:val="006B0F31"/>
    <w:rsid w:val="006B13BC"/>
    <w:rsid w:val="006B32FE"/>
    <w:rsid w:val="006B3959"/>
    <w:rsid w:val="006B4B58"/>
    <w:rsid w:val="006B6925"/>
    <w:rsid w:val="006C026A"/>
    <w:rsid w:val="006C138D"/>
    <w:rsid w:val="006C3807"/>
    <w:rsid w:val="006C6821"/>
    <w:rsid w:val="006C6918"/>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1D4A"/>
    <w:rsid w:val="007524B0"/>
    <w:rsid w:val="00752997"/>
    <w:rsid w:val="007533EC"/>
    <w:rsid w:val="00756FEA"/>
    <w:rsid w:val="00757618"/>
    <w:rsid w:val="007614DB"/>
    <w:rsid w:val="00762065"/>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3C3E"/>
    <w:rsid w:val="007C6927"/>
    <w:rsid w:val="007C7403"/>
    <w:rsid w:val="007C767F"/>
    <w:rsid w:val="007C79FB"/>
    <w:rsid w:val="007D3891"/>
    <w:rsid w:val="007D4584"/>
    <w:rsid w:val="007D4A14"/>
    <w:rsid w:val="007E0017"/>
    <w:rsid w:val="007E0D9D"/>
    <w:rsid w:val="007E3B27"/>
    <w:rsid w:val="007E4B14"/>
    <w:rsid w:val="007E4B4C"/>
    <w:rsid w:val="007E7ABF"/>
    <w:rsid w:val="007F0907"/>
    <w:rsid w:val="007F0D24"/>
    <w:rsid w:val="007F10B5"/>
    <w:rsid w:val="007F1C81"/>
    <w:rsid w:val="007F6ABA"/>
    <w:rsid w:val="0080144C"/>
    <w:rsid w:val="00801B90"/>
    <w:rsid w:val="00802640"/>
    <w:rsid w:val="0080293E"/>
    <w:rsid w:val="00804A3C"/>
    <w:rsid w:val="00804A98"/>
    <w:rsid w:val="00805C3A"/>
    <w:rsid w:val="00806020"/>
    <w:rsid w:val="008061B8"/>
    <w:rsid w:val="008100CF"/>
    <w:rsid w:val="008129B1"/>
    <w:rsid w:val="0081428F"/>
    <w:rsid w:val="00817A12"/>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19D1"/>
    <w:rsid w:val="008734F5"/>
    <w:rsid w:val="00874DE6"/>
    <w:rsid w:val="00875104"/>
    <w:rsid w:val="00875655"/>
    <w:rsid w:val="008774D2"/>
    <w:rsid w:val="00880E40"/>
    <w:rsid w:val="00883771"/>
    <w:rsid w:val="00883C9D"/>
    <w:rsid w:val="00883EFE"/>
    <w:rsid w:val="008869CA"/>
    <w:rsid w:val="008870CD"/>
    <w:rsid w:val="008905BA"/>
    <w:rsid w:val="0089375C"/>
    <w:rsid w:val="0089513F"/>
    <w:rsid w:val="00895699"/>
    <w:rsid w:val="008A153F"/>
    <w:rsid w:val="008A54A9"/>
    <w:rsid w:val="008A6188"/>
    <w:rsid w:val="008A79C6"/>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5F7C"/>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5D21"/>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3CAC"/>
    <w:rsid w:val="00A14878"/>
    <w:rsid w:val="00A1707B"/>
    <w:rsid w:val="00A1739A"/>
    <w:rsid w:val="00A17694"/>
    <w:rsid w:val="00A17F2C"/>
    <w:rsid w:val="00A232B9"/>
    <w:rsid w:val="00A24F4B"/>
    <w:rsid w:val="00A3185E"/>
    <w:rsid w:val="00A33893"/>
    <w:rsid w:val="00A34C9A"/>
    <w:rsid w:val="00A34D89"/>
    <w:rsid w:val="00A3611E"/>
    <w:rsid w:val="00A371AE"/>
    <w:rsid w:val="00A41364"/>
    <w:rsid w:val="00A41F72"/>
    <w:rsid w:val="00A4278E"/>
    <w:rsid w:val="00A4292D"/>
    <w:rsid w:val="00A44A25"/>
    <w:rsid w:val="00A532AA"/>
    <w:rsid w:val="00A54891"/>
    <w:rsid w:val="00A54CA1"/>
    <w:rsid w:val="00A56516"/>
    <w:rsid w:val="00A56759"/>
    <w:rsid w:val="00A62031"/>
    <w:rsid w:val="00A65D80"/>
    <w:rsid w:val="00A66849"/>
    <w:rsid w:val="00A672A7"/>
    <w:rsid w:val="00A714DD"/>
    <w:rsid w:val="00A73044"/>
    <w:rsid w:val="00A7379C"/>
    <w:rsid w:val="00A73CF1"/>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60F"/>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385"/>
    <w:rsid w:val="00AE0487"/>
    <w:rsid w:val="00AE0F81"/>
    <w:rsid w:val="00AE330D"/>
    <w:rsid w:val="00AE7A51"/>
    <w:rsid w:val="00AF061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2033"/>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21E9"/>
    <w:rsid w:val="00B53FF2"/>
    <w:rsid w:val="00B54620"/>
    <w:rsid w:val="00B55CDD"/>
    <w:rsid w:val="00B56E4F"/>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21EF"/>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2549"/>
    <w:rsid w:val="00C23920"/>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576EF"/>
    <w:rsid w:val="00C6072B"/>
    <w:rsid w:val="00C6094D"/>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62C0"/>
    <w:rsid w:val="00CA73CB"/>
    <w:rsid w:val="00CA79BB"/>
    <w:rsid w:val="00CB4161"/>
    <w:rsid w:val="00CB43A2"/>
    <w:rsid w:val="00CB6DE1"/>
    <w:rsid w:val="00CB7730"/>
    <w:rsid w:val="00CC12A0"/>
    <w:rsid w:val="00CC26A8"/>
    <w:rsid w:val="00CC4CED"/>
    <w:rsid w:val="00CC6EBB"/>
    <w:rsid w:val="00CD4A21"/>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12F0"/>
    <w:rsid w:val="00D63EFF"/>
    <w:rsid w:val="00D64096"/>
    <w:rsid w:val="00D644BD"/>
    <w:rsid w:val="00D65500"/>
    <w:rsid w:val="00D65F8F"/>
    <w:rsid w:val="00D664A9"/>
    <w:rsid w:val="00D66520"/>
    <w:rsid w:val="00D66C5B"/>
    <w:rsid w:val="00D671E2"/>
    <w:rsid w:val="00D67E0A"/>
    <w:rsid w:val="00D712E9"/>
    <w:rsid w:val="00D7566A"/>
    <w:rsid w:val="00D85008"/>
    <w:rsid w:val="00D87426"/>
    <w:rsid w:val="00D8754D"/>
    <w:rsid w:val="00D92717"/>
    <w:rsid w:val="00D93E05"/>
    <w:rsid w:val="00D9515D"/>
    <w:rsid w:val="00DA3A08"/>
    <w:rsid w:val="00DA4715"/>
    <w:rsid w:val="00DA62DF"/>
    <w:rsid w:val="00DA7439"/>
    <w:rsid w:val="00DB0DA9"/>
    <w:rsid w:val="00DB108A"/>
    <w:rsid w:val="00DC1776"/>
    <w:rsid w:val="00DC33A5"/>
    <w:rsid w:val="00DC4340"/>
    <w:rsid w:val="00DC7898"/>
    <w:rsid w:val="00DD19F8"/>
    <w:rsid w:val="00DD1C70"/>
    <w:rsid w:val="00DD3239"/>
    <w:rsid w:val="00DE07E4"/>
    <w:rsid w:val="00DE0877"/>
    <w:rsid w:val="00DE095F"/>
    <w:rsid w:val="00DE0FF8"/>
    <w:rsid w:val="00DE3EBF"/>
    <w:rsid w:val="00DE6D39"/>
    <w:rsid w:val="00DE7345"/>
    <w:rsid w:val="00DE76EB"/>
    <w:rsid w:val="00DF51CA"/>
    <w:rsid w:val="00DF5581"/>
    <w:rsid w:val="00DF7501"/>
    <w:rsid w:val="00DF7936"/>
    <w:rsid w:val="00E004EF"/>
    <w:rsid w:val="00E04B6F"/>
    <w:rsid w:val="00E1319B"/>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1BA4"/>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3641"/>
    <w:rsid w:val="00F2428F"/>
    <w:rsid w:val="00F245B0"/>
    <w:rsid w:val="00F25075"/>
    <w:rsid w:val="00F27444"/>
    <w:rsid w:val="00F317CA"/>
    <w:rsid w:val="00F319F3"/>
    <w:rsid w:val="00F31BFB"/>
    <w:rsid w:val="00F323E7"/>
    <w:rsid w:val="00F324D2"/>
    <w:rsid w:val="00F32A56"/>
    <w:rsid w:val="00F335E4"/>
    <w:rsid w:val="00F35509"/>
    <w:rsid w:val="00F358C3"/>
    <w:rsid w:val="00F375E9"/>
    <w:rsid w:val="00F4078D"/>
    <w:rsid w:val="00F413D8"/>
    <w:rsid w:val="00F42100"/>
    <w:rsid w:val="00F42A9B"/>
    <w:rsid w:val="00F45470"/>
    <w:rsid w:val="00F464FE"/>
    <w:rsid w:val="00F465F9"/>
    <w:rsid w:val="00F47621"/>
    <w:rsid w:val="00F55531"/>
    <w:rsid w:val="00F570AB"/>
    <w:rsid w:val="00F571A5"/>
    <w:rsid w:val="00F57A71"/>
    <w:rsid w:val="00F61C28"/>
    <w:rsid w:val="00F61E69"/>
    <w:rsid w:val="00F633B7"/>
    <w:rsid w:val="00F645F1"/>
    <w:rsid w:val="00F6591A"/>
    <w:rsid w:val="00F70D35"/>
    <w:rsid w:val="00F7546C"/>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96961"/>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9457">
      <w:bodyDiv w:val="1"/>
      <w:marLeft w:val="0"/>
      <w:marRight w:val="0"/>
      <w:marTop w:val="0"/>
      <w:marBottom w:val="0"/>
      <w:divBdr>
        <w:top w:val="none" w:sz="0" w:space="0" w:color="auto"/>
        <w:left w:val="none" w:sz="0" w:space="0" w:color="auto"/>
        <w:bottom w:val="none" w:sz="0" w:space="0" w:color="auto"/>
        <w:right w:val="none" w:sz="0" w:space="0" w:color="auto"/>
      </w:divBdr>
    </w:div>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39223440">
      <w:bodyDiv w:val="1"/>
      <w:marLeft w:val="0"/>
      <w:marRight w:val="0"/>
      <w:marTop w:val="0"/>
      <w:marBottom w:val="0"/>
      <w:divBdr>
        <w:top w:val="none" w:sz="0" w:space="0" w:color="auto"/>
        <w:left w:val="none" w:sz="0" w:space="0" w:color="auto"/>
        <w:bottom w:val="none" w:sz="0" w:space="0" w:color="auto"/>
        <w:right w:val="none" w:sz="0" w:space="0" w:color="auto"/>
      </w:divBdr>
      <w:divsChild>
        <w:div w:id="356934080">
          <w:marLeft w:val="0"/>
          <w:marRight w:val="0"/>
          <w:marTop w:val="0"/>
          <w:marBottom w:val="0"/>
          <w:divBdr>
            <w:top w:val="none" w:sz="0" w:space="0" w:color="auto"/>
            <w:left w:val="none" w:sz="0" w:space="0" w:color="auto"/>
            <w:bottom w:val="none" w:sz="0" w:space="0" w:color="auto"/>
            <w:right w:val="none" w:sz="0" w:space="0" w:color="auto"/>
          </w:divBdr>
          <w:divsChild>
            <w:div w:id="1425375075">
              <w:marLeft w:val="0"/>
              <w:marRight w:val="0"/>
              <w:marTop w:val="0"/>
              <w:marBottom w:val="0"/>
              <w:divBdr>
                <w:top w:val="none" w:sz="0" w:space="0" w:color="auto"/>
                <w:left w:val="none" w:sz="0" w:space="0" w:color="auto"/>
                <w:bottom w:val="none" w:sz="0" w:space="0" w:color="auto"/>
                <w:right w:val="none" w:sz="0" w:space="0" w:color="auto"/>
              </w:divBdr>
              <w:divsChild>
                <w:div w:id="693455419">
                  <w:marLeft w:val="0"/>
                  <w:marRight w:val="0"/>
                  <w:marTop w:val="0"/>
                  <w:marBottom w:val="0"/>
                  <w:divBdr>
                    <w:top w:val="none" w:sz="0" w:space="0" w:color="auto"/>
                    <w:left w:val="none" w:sz="0" w:space="0" w:color="auto"/>
                    <w:bottom w:val="none" w:sz="0" w:space="0" w:color="auto"/>
                    <w:right w:val="none" w:sz="0" w:space="0" w:color="auto"/>
                  </w:divBdr>
                  <w:divsChild>
                    <w:div w:id="457576153">
                      <w:marLeft w:val="0"/>
                      <w:marRight w:val="0"/>
                      <w:marTop w:val="0"/>
                      <w:marBottom w:val="0"/>
                      <w:divBdr>
                        <w:top w:val="none" w:sz="0" w:space="0" w:color="auto"/>
                        <w:left w:val="none" w:sz="0" w:space="0" w:color="auto"/>
                        <w:bottom w:val="none" w:sz="0" w:space="0" w:color="auto"/>
                        <w:right w:val="none" w:sz="0" w:space="0" w:color="auto"/>
                      </w:divBdr>
                      <w:divsChild>
                        <w:div w:id="1111243447">
                          <w:marLeft w:val="0"/>
                          <w:marRight w:val="0"/>
                          <w:marTop w:val="0"/>
                          <w:marBottom w:val="0"/>
                          <w:divBdr>
                            <w:top w:val="none" w:sz="0" w:space="0" w:color="auto"/>
                            <w:left w:val="none" w:sz="0" w:space="0" w:color="auto"/>
                            <w:bottom w:val="none" w:sz="0" w:space="0" w:color="auto"/>
                            <w:right w:val="none" w:sz="0" w:space="0" w:color="auto"/>
                          </w:divBdr>
                          <w:divsChild>
                            <w:div w:id="1162814668">
                              <w:marLeft w:val="0"/>
                              <w:marRight w:val="0"/>
                              <w:marTop w:val="0"/>
                              <w:marBottom w:val="0"/>
                              <w:divBdr>
                                <w:top w:val="none" w:sz="0" w:space="0" w:color="auto"/>
                                <w:left w:val="none" w:sz="0" w:space="0" w:color="auto"/>
                                <w:bottom w:val="none" w:sz="0" w:space="0" w:color="auto"/>
                                <w:right w:val="none" w:sz="0" w:space="0" w:color="auto"/>
                              </w:divBdr>
                              <w:divsChild>
                                <w:div w:id="522324210">
                                  <w:marLeft w:val="0"/>
                                  <w:marRight w:val="0"/>
                                  <w:marTop w:val="0"/>
                                  <w:marBottom w:val="0"/>
                                  <w:divBdr>
                                    <w:top w:val="none" w:sz="0" w:space="0" w:color="auto"/>
                                    <w:left w:val="none" w:sz="0" w:space="0" w:color="auto"/>
                                    <w:bottom w:val="none" w:sz="0" w:space="0" w:color="auto"/>
                                    <w:right w:val="none" w:sz="0" w:space="0" w:color="auto"/>
                                  </w:divBdr>
                                  <w:divsChild>
                                    <w:div w:id="871964461">
                                      <w:marLeft w:val="0"/>
                                      <w:marRight w:val="0"/>
                                      <w:marTop w:val="0"/>
                                      <w:marBottom w:val="0"/>
                                      <w:divBdr>
                                        <w:top w:val="none" w:sz="0" w:space="0" w:color="auto"/>
                                        <w:left w:val="none" w:sz="0" w:space="0" w:color="auto"/>
                                        <w:bottom w:val="none" w:sz="0" w:space="0" w:color="auto"/>
                                        <w:right w:val="none" w:sz="0" w:space="0" w:color="auto"/>
                                      </w:divBdr>
                                      <w:divsChild>
                                        <w:div w:id="375277958">
                                          <w:marLeft w:val="0"/>
                                          <w:marRight w:val="0"/>
                                          <w:marTop w:val="0"/>
                                          <w:marBottom w:val="0"/>
                                          <w:divBdr>
                                            <w:top w:val="none" w:sz="0" w:space="0" w:color="auto"/>
                                            <w:left w:val="none" w:sz="0" w:space="0" w:color="auto"/>
                                            <w:bottom w:val="none" w:sz="0" w:space="0" w:color="auto"/>
                                            <w:right w:val="none" w:sz="0" w:space="0" w:color="auto"/>
                                          </w:divBdr>
                                          <w:divsChild>
                                            <w:div w:id="367876039">
                                              <w:marLeft w:val="0"/>
                                              <w:marRight w:val="0"/>
                                              <w:marTop w:val="0"/>
                                              <w:marBottom w:val="0"/>
                                              <w:divBdr>
                                                <w:top w:val="none" w:sz="0" w:space="0" w:color="auto"/>
                                                <w:left w:val="none" w:sz="0" w:space="0" w:color="auto"/>
                                                <w:bottom w:val="none" w:sz="0" w:space="0" w:color="auto"/>
                                                <w:right w:val="none" w:sz="0" w:space="0" w:color="auto"/>
                                              </w:divBdr>
                                              <w:divsChild>
                                                <w:div w:id="737559657">
                                                  <w:marLeft w:val="0"/>
                                                  <w:marRight w:val="0"/>
                                                  <w:marTop w:val="0"/>
                                                  <w:marBottom w:val="0"/>
                                                  <w:divBdr>
                                                    <w:top w:val="none" w:sz="0" w:space="0" w:color="auto"/>
                                                    <w:left w:val="none" w:sz="0" w:space="0" w:color="auto"/>
                                                    <w:bottom w:val="none" w:sz="0" w:space="0" w:color="auto"/>
                                                    <w:right w:val="none" w:sz="0" w:space="0" w:color="auto"/>
                                                  </w:divBdr>
                                                  <w:divsChild>
                                                    <w:div w:id="316685728">
                                                      <w:marLeft w:val="0"/>
                                                      <w:marRight w:val="0"/>
                                                      <w:marTop w:val="0"/>
                                                      <w:marBottom w:val="0"/>
                                                      <w:divBdr>
                                                        <w:top w:val="none" w:sz="0" w:space="0" w:color="auto"/>
                                                        <w:left w:val="none" w:sz="0" w:space="0" w:color="auto"/>
                                                        <w:bottom w:val="none" w:sz="0" w:space="0" w:color="auto"/>
                                                        <w:right w:val="none" w:sz="0" w:space="0" w:color="auto"/>
                                                      </w:divBdr>
                                                      <w:divsChild>
                                                        <w:div w:id="129875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5040650">
      <w:bodyDiv w:val="1"/>
      <w:marLeft w:val="0"/>
      <w:marRight w:val="0"/>
      <w:marTop w:val="0"/>
      <w:marBottom w:val="0"/>
      <w:divBdr>
        <w:top w:val="none" w:sz="0" w:space="0" w:color="auto"/>
        <w:left w:val="none" w:sz="0" w:space="0" w:color="auto"/>
        <w:bottom w:val="none" w:sz="0" w:space="0" w:color="auto"/>
        <w:right w:val="none" w:sz="0" w:space="0" w:color="auto"/>
      </w:divBdr>
      <w:divsChild>
        <w:div w:id="1068922686">
          <w:marLeft w:val="0"/>
          <w:marRight w:val="0"/>
          <w:marTop w:val="0"/>
          <w:marBottom w:val="0"/>
          <w:divBdr>
            <w:top w:val="none" w:sz="0" w:space="0" w:color="auto"/>
            <w:left w:val="none" w:sz="0" w:space="0" w:color="auto"/>
            <w:bottom w:val="none" w:sz="0" w:space="0" w:color="auto"/>
            <w:right w:val="none" w:sz="0" w:space="0" w:color="auto"/>
          </w:divBdr>
          <w:divsChild>
            <w:div w:id="888343064">
              <w:marLeft w:val="0"/>
              <w:marRight w:val="0"/>
              <w:marTop w:val="0"/>
              <w:marBottom w:val="0"/>
              <w:divBdr>
                <w:top w:val="none" w:sz="0" w:space="0" w:color="auto"/>
                <w:left w:val="none" w:sz="0" w:space="0" w:color="auto"/>
                <w:bottom w:val="none" w:sz="0" w:space="0" w:color="auto"/>
                <w:right w:val="none" w:sz="0" w:space="0" w:color="auto"/>
              </w:divBdr>
              <w:divsChild>
                <w:div w:id="153952823">
                  <w:marLeft w:val="0"/>
                  <w:marRight w:val="0"/>
                  <w:marTop w:val="0"/>
                  <w:marBottom w:val="0"/>
                  <w:divBdr>
                    <w:top w:val="none" w:sz="0" w:space="0" w:color="auto"/>
                    <w:left w:val="none" w:sz="0" w:space="0" w:color="auto"/>
                    <w:bottom w:val="none" w:sz="0" w:space="0" w:color="auto"/>
                    <w:right w:val="none" w:sz="0" w:space="0" w:color="auto"/>
                  </w:divBdr>
                  <w:divsChild>
                    <w:div w:id="1420517466">
                      <w:marLeft w:val="0"/>
                      <w:marRight w:val="0"/>
                      <w:marTop w:val="0"/>
                      <w:marBottom w:val="0"/>
                      <w:divBdr>
                        <w:top w:val="none" w:sz="0" w:space="0" w:color="auto"/>
                        <w:left w:val="none" w:sz="0" w:space="0" w:color="auto"/>
                        <w:bottom w:val="none" w:sz="0" w:space="0" w:color="auto"/>
                        <w:right w:val="none" w:sz="0" w:space="0" w:color="auto"/>
                      </w:divBdr>
                      <w:divsChild>
                        <w:div w:id="1111170806">
                          <w:marLeft w:val="0"/>
                          <w:marRight w:val="0"/>
                          <w:marTop w:val="0"/>
                          <w:marBottom w:val="0"/>
                          <w:divBdr>
                            <w:top w:val="none" w:sz="0" w:space="0" w:color="auto"/>
                            <w:left w:val="none" w:sz="0" w:space="0" w:color="auto"/>
                            <w:bottom w:val="none" w:sz="0" w:space="0" w:color="auto"/>
                            <w:right w:val="none" w:sz="0" w:space="0" w:color="auto"/>
                          </w:divBdr>
                          <w:divsChild>
                            <w:div w:id="945428120">
                              <w:marLeft w:val="0"/>
                              <w:marRight w:val="0"/>
                              <w:marTop w:val="0"/>
                              <w:marBottom w:val="0"/>
                              <w:divBdr>
                                <w:top w:val="none" w:sz="0" w:space="0" w:color="auto"/>
                                <w:left w:val="none" w:sz="0" w:space="0" w:color="auto"/>
                                <w:bottom w:val="none" w:sz="0" w:space="0" w:color="auto"/>
                                <w:right w:val="none" w:sz="0" w:space="0" w:color="auto"/>
                              </w:divBdr>
                              <w:divsChild>
                                <w:div w:id="1930890733">
                                  <w:marLeft w:val="0"/>
                                  <w:marRight w:val="0"/>
                                  <w:marTop w:val="0"/>
                                  <w:marBottom w:val="0"/>
                                  <w:divBdr>
                                    <w:top w:val="none" w:sz="0" w:space="0" w:color="auto"/>
                                    <w:left w:val="none" w:sz="0" w:space="0" w:color="auto"/>
                                    <w:bottom w:val="none" w:sz="0" w:space="0" w:color="auto"/>
                                    <w:right w:val="none" w:sz="0" w:space="0" w:color="auto"/>
                                  </w:divBdr>
                                  <w:divsChild>
                                    <w:div w:id="1536964268">
                                      <w:marLeft w:val="0"/>
                                      <w:marRight w:val="0"/>
                                      <w:marTop w:val="0"/>
                                      <w:marBottom w:val="0"/>
                                      <w:divBdr>
                                        <w:top w:val="none" w:sz="0" w:space="0" w:color="auto"/>
                                        <w:left w:val="none" w:sz="0" w:space="0" w:color="auto"/>
                                        <w:bottom w:val="none" w:sz="0" w:space="0" w:color="auto"/>
                                        <w:right w:val="none" w:sz="0" w:space="0" w:color="auto"/>
                                      </w:divBdr>
                                      <w:divsChild>
                                        <w:div w:id="1795128021">
                                          <w:marLeft w:val="0"/>
                                          <w:marRight w:val="0"/>
                                          <w:marTop w:val="0"/>
                                          <w:marBottom w:val="0"/>
                                          <w:divBdr>
                                            <w:top w:val="none" w:sz="0" w:space="0" w:color="auto"/>
                                            <w:left w:val="none" w:sz="0" w:space="0" w:color="auto"/>
                                            <w:bottom w:val="none" w:sz="0" w:space="0" w:color="auto"/>
                                            <w:right w:val="none" w:sz="0" w:space="0" w:color="auto"/>
                                          </w:divBdr>
                                          <w:divsChild>
                                            <w:div w:id="825433229">
                                              <w:marLeft w:val="0"/>
                                              <w:marRight w:val="0"/>
                                              <w:marTop w:val="0"/>
                                              <w:marBottom w:val="0"/>
                                              <w:divBdr>
                                                <w:top w:val="none" w:sz="0" w:space="0" w:color="auto"/>
                                                <w:left w:val="none" w:sz="0" w:space="0" w:color="auto"/>
                                                <w:bottom w:val="none" w:sz="0" w:space="0" w:color="auto"/>
                                                <w:right w:val="none" w:sz="0" w:space="0" w:color="auto"/>
                                              </w:divBdr>
                                              <w:divsChild>
                                                <w:div w:id="95640447">
                                                  <w:marLeft w:val="0"/>
                                                  <w:marRight w:val="0"/>
                                                  <w:marTop w:val="0"/>
                                                  <w:marBottom w:val="0"/>
                                                  <w:divBdr>
                                                    <w:top w:val="none" w:sz="0" w:space="0" w:color="auto"/>
                                                    <w:left w:val="none" w:sz="0" w:space="0" w:color="auto"/>
                                                    <w:bottom w:val="none" w:sz="0" w:space="0" w:color="auto"/>
                                                    <w:right w:val="none" w:sz="0" w:space="0" w:color="auto"/>
                                                  </w:divBdr>
                                                  <w:divsChild>
                                                    <w:div w:id="1945576194">
                                                      <w:marLeft w:val="0"/>
                                                      <w:marRight w:val="0"/>
                                                      <w:marTop w:val="0"/>
                                                      <w:marBottom w:val="0"/>
                                                      <w:divBdr>
                                                        <w:top w:val="none" w:sz="0" w:space="0" w:color="auto"/>
                                                        <w:left w:val="none" w:sz="0" w:space="0" w:color="auto"/>
                                                        <w:bottom w:val="none" w:sz="0" w:space="0" w:color="auto"/>
                                                        <w:right w:val="none" w:sz="0" w:space="0" w:color="auto"/>
                                                      </w:divBdr>
                                                      <w:divsChild>
                                                        <w:div w:id="129926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086562499">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C29E-D991-4DB9-A13E-7C1AA632889D}">
  <ds:schemaRefs>
    <ds:schemaRef ds:uri="http://purl.org/dc/elements/1.1/"/>
    <ds:schemaRef ds:uri="http://schemas.microsoft.com/office/2006/metadata/properties"/>
    <ds:schemaRef ds:uri="http://purl.org/dc/terms/"/>
    <ds:schemaRef ds:uri="http://schemas.openxmlformats.org/package/2006/metadata/core-properties"/>
    <ds:schemaRef ds:uri="8bd9498f-fa43-4ae2-8bb2-4c55a71680ad"/>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CC6AD5-115F-4B8D-A449-10CE253FE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6</Pages>
  <Words>2159</Words>
  <Characters>12311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NG, Jason</cp:lastModifiedBy>
  <cp:revision>62</cp:revision>
  <cp:lastPrinted>2020-10-07T04:12:00Z</cp:lastPrinted>
  <dcterms:created xsi:type="dcterms:W3CDTF">2020-08-26T01:42:00Z</dcterms:created>
  <dcterms:modified xsi:type="dcterms:W3CDTF">2020-10-08T05:30:00Z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