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AC1B4F" w14:textId="77777777" w:rsidR="001F2A16" w:rsidRPr="00566D26" w:rsidRDefault="001F2A16" w:rsidP="0021496E">
      <w:pPr>
        <w:pStyle w:val="Header"/>
        <w:pBdr>
          <w:top w:val="double" w:sz="4" w:space="1" w:color="auto"/>
          <w:bottom w:val="double" w:sz="4" w:space="1" w:color="auto"/>
        </w:pBdr>
        <w:tabs>
          <w:tab w:val="clear" w:pos="4153"/>
          <w:tab w:val="clear" w:pos="8306"/>
        </w:tabs>
        <w:jc w:val="center"/>
        <w:rPr>
          <w:rFonts w:ascii="Arial" w:hAnsi="Arial" w:cs="Arial"/>
          <w:sz w:val="34"/>
          <w:szCs w:val="34"/>
        </w:rPr>
      </w:pPr>
      <w:bookmarkStart w:id="0" w:name="_GoBack"/>
      <w:bookmarkEnd w:id="0"/>
      <w:r w:rsidRPr="00566D26">
        <w:rPr>
          <w:rFonts w:ascii="Arial" w:hAnsi="Arial" w:cs="Arial"/>
          <w:sz w:val="34"/>
          <w:szCs w:val="34"/>
        </w:rPr>
        <w:t>Explanatory Statement</w:t>
      </w:r>
    </w:p>
    <w:p w14:paraId="59F25997" w14:textId="01DF8780" w:rsidR="00AC2448" w:rsidRPr="00566D26" w:rsidRDefault="00AC2448" w:rsidP="0021496E">
      <w:pPr>
        <w:pStyle w:val="Header"/>
        <w:pBdr>
          <w:top w:val="double" w:sz="4" w:space="1" w:color="auto"/>
          <w:bottom w:val="double" w:sz="4" w:space="1" w:color="auto"/>
        </w:pBdr>
        <w:tabs>
          <w:tab w:val="clear" w:pos="4153"/>
          <w:tab w:val="clear" w:pos="8306"/>
        </w:tabs>
        <w:jc w:val="center"/>
        <w:rPr>
          <w:rFonts w:ascii="Arial" w:hAnsi="Arial" w:cs="Arial"/>
          <w:sz w:val="34"/>
          <w:szCs w:val="34"/>
        </w:rPr>
      </w:pPr>
    </w:p>
    <w:p w14:paraId="5164407D" w14:textId="77777777" w:rsidR="00803F83" w:rsidRPr="00566D26" w:rsidRDefault="00803F83" w:rsidP="00547615">
      <w:pPr>
        <w:pStyle w:val="Header"/>
        <w:pBdr>
          <w:top w:val="double" w:sz="4" w:space="1" w:color="auto"/>
          <w:bottom w:val="double" w:sz="4" w:space="1" w:color="auto"/>
        </w:pBdr>
        <w:tabs>
          <w:tab w:val="clear" w:pos="4153"/>
          <w:tab w:val="clear" w:pos="8306"/>
        </w:tabs>
        <w:spacing w:before="120" w:after="120"/>
        <w:rPr>
          <w:rFonts w:ascii="Arial" w:hAnsi="Arial" w:cs="Arial"/>
          <w:sz w:val="34"/>
          <w:szCs w:val="34"/>
        </w:rPr>
      </w:pPr>
    </w:p>
    <w:p w14:paraId="0E0ACAD6" w14:textId="4AAB1210" w:rsidR="00803F83" w:rsidRPr="00566D26" w:rsidRDefault="0067041C" w:rsidP="00803F83">
      <w:pPr>
        <w:pStyle w:val="Header"/>
        <w:pBdr>
          <w:top w:val="double" w:sz="4" w:space="1" w:color="auto"/>
          <w:bottom w:val="double" w:sz="4" w:space="1" w:color="auto"/>
        </w:pBdr>
        <w:tabs>
          <w:tab w:val="clear" w:pos="4153"/>
          <w:tab w:val="clear" w:pos="8306"/>
        </w:tabs>
        <w:spacing w:before="120" w:after="120"/>
        <w:jc w:val="center"/>
        <w:rPr>
          <w:rFonts w:ascii="Arial" w:hAnsi="Arial" w:cs="Arial"/>
          <w:szCs w:val="24"/>
        </w:rPr>
      </w:pPr>
      <w:r w:rsidRPr="0067041C">
        <w:rPr>
          <w:rFonts w:ascii="Arial" w:hAnsi="Arial" w:cs="Arial"/>
          <w:sz w:val="34"/>
          <w:szCs w:val="34"/>
        </w:rPr>
        <w:t>PAYG Withholding variation for foreign resident capital gains withholding payments – no residue after a mortgagee exercises a power of sale</w:t>
      </w:r>
      <w:r w:rsidR="00803F83" w:rsidRPr="00566D26">
        <w:rPr>
          <w:rFonts w:ascii="Arial" w:hAnsi="Arial" w:cs="Arial"/>
          <w:sz w:val="34"/>
          <w:szCs w:val="34"/>
        </w:rPr>
        <w:t xml:space="preserve"> 2020</w:t>
      </w:r>
    </w:p>
    <w:p w14:paraId="603E4EDC" w14:textId="77777777" w:rsidR="00803F83" w:rsidRPr="00566D26" w:rsidRDefault="00803F83" w:rsidP="00566D26">
      <w:pPr>
        <w:pStyle w:val="Header"/>
        <w:pBdr>
          <w:top w:val="double" w:sz="4" w:space="1" w:color="auto"/>
          <w:bottom w:val="double" w:sz="4" w:space="1" w:color="auto"/>
        </w:pBdr>
        <w:tabs>
          <w:tab w:val="clear" w:pos="4153"/>
          <w:tab w:val="clear" w:pos="8306"/>
        </w:tabs>
        <w:rPr>
          <w:rFonts w:ascii="Arial" w:hAnsi="Arial" w:cs="Arial"/>
          <w:sz w:val="34"/>
          <w:szCs w:val="34"/>
        </w:rPr>
      </w:pPr>
    </w:p>
    <w:p w14:paraId="15AC1B52" w14:textId="5B65CDA8" w:rsidR="0099555F" w:rsidRPr="00566D26" w:rsidRDefault="0099555F" w:rsidP="0021496E">
      <w:pPr>
        <w:pStyle w:val="Header"/>
        <w:tabs>
          <w:tab w:val="clear" w:pos="4153"/>
          <w:tab w:val="clear" w:pos="8306"/>
        </w:tabs>
        <w:jc w:val="center"/>
        <w:rPr>
          <w:rFonts w:ascii="Arial" w:hAnsi="Arial" w:cs="Arial"/>
          <w:szCs w:val="24"/>
        </w:rPr>
      </w:pPr>
    </w:p>
    <w:p w14:paraId="15AC1B53" w14:textId="77777777" w:rsidR="001F2A16" w:rsidRPr="00566D26" w:rsidRDefault="001F2A16" w:rsidP="0021496E">
      <w:pPr>
        <w:pStyle w:val="Header"/>
        <w:tabs>
          <w:tab w:val="clear" w:pos="4153"/>
          <w:tab w:val="clear" w:pos="8306"/>
        </w:tabs>
        <w:jc w:val="center"/>
        <w:rPr>
          <w:rFonts w:ascii="Arial" w:hAnsi="Arial" w:cs="Arial"/>
          <w:szCs w:val="24"/>
        </w:rPr>
      </w:pPr>
    </w:p>
    <w:p w14:paraId="15AC1B54" w14:textId="77777777" w:rsidR="00486653" w:rsidRDefault="00486653" w:rsidP="00910595">
      <w:pPr>
        <w:pStyle w:val="Heading2"/>
      </w:pPr>
      <w:r w:rsidRPr="00566D26">
        <w:t>General Outline of Instrument</w:t>
      </w:r>
    </w:p>
    <w:p w14:paraId="73A02DDC" w14:textId="77777777" w:rsidR="00226E71" w:rsidRPr="00226E71" w:rsidRDefault="00226E71" w:rsidP="00226E71"/>
    <w:p w14:paraId="0AA1DDE9" w14:textId="5E49D8D0" w:rsidR="00753058" w:rsidRPr="00C07D99" w:rsidRDefault="008D4D63" w:rsidP="008D4D63">
      <w:pPr>
        <w:numPr>
          <w:ilvl w:val="0"/>
          <w:numId w:val="16"/>
        </w:numPr>
        <w:tabs>
          <w:tab w:val="clear" w:pos="720"/>
        </w:tabs>
        <w:spacing w:after="120"/>
        <w:ind w:left="0" w:firstLine="0"/>
        <w:rPr>
          <w:rFonts w:ascii="Arial" w:hAnsi="Arial" w:cs="Arial"/>
          <w:sz w:val="22"/>
          <w:szCs w:val="22"/>
        </w:rPr>
      </w:pPr>
      <w:r w:rsidRPr="00C07D99">
        <w:rPr>
          <w:rFonts w:ascii="Arial" w:hAnsi="Arial" w:cs="Arial"/>
          <w:sz w:val="22"/>
          <w:szCs w:val="22"/>
        </w:rPr>
        <w:t xml:space="preserve">This instrument is made under </w:t>
      </w:r>
      <w:r w:rsidR="00753058" w:rsidRPr="00C07D99">
        <w:rPr>
          <w:rFonts w:ascii="Arial" w:hAnsi="Arial" w:cs="Arial"/>
          <w:color w:val="000000"/>
          <w:sz w:val="22"/>
          <w:szCs w:val="22"/>
        </w:rPr>
        <w:t xml:space="preserve">subsection 14-235(5) of Schedule 1 to the </w:t>
      </w:r>
      <w:r w:rsidR="00753058" w:rsidRPr="00C07D99">
        <w:rPr>
          <w:rFonts w:ascii="Arial" w:hAnsi="Arial" w:cs="Arial"/>
          <w:i/>
          <w:color w:val="000000"/>
          <w:sz w:val="22"/>
          <w:szCs w:val="22"/>
        </w:rPr>
        <w:t>Taxation Administration Act 1953</w:t>
      </w:r>
      <w:r w:rsidR="00753058" w:rsidRPr="00C07D99">
        <w:rPr>
          <w:rFonts w:ascii="Arial" w:hAnsi="Arial" w:cs="Arial"/>
          <w:color w:val="000000"/>
          <w:sz w:val="22"/>
          <w:szCs w:val="22"/>
        </w:rPr>
        <w:t>.</w:t>
      </w:r>
    </w:p>
    <w:p w14:paraId="6170D9C6" w14:textId="03369CEA" w:rsidR="008D4D63" w:rsidRPr="008D4D63" w:rsidRDefault="00753058" w:rsidP="008D4D63">
      <w:pPr>
        <w:numPr>
          <w:ilvl w:val="0"/>
          <w:numId w:val="16"/>
        </w:numPr>
        <w:tabs>
          <w:tab w:val="clear" w:pos="720"/>
        </w:tabs>
        <w:spacing w:after="120"/>
        <w:ind w:left="0" w:firstLine="0"/>
        <w:rPr>
          <w:rFonts w:ascii="Arial" w:hAnsi="Arial" w:cs="Arial"/>
          <w:sz w:val="22"/>
          <w:szCs w:val="22"/>
        </w:rPr>
      </w:pPr>
      <w:r w:rsidRPr="00566D26">
        <w:rPr>
          <w:rFonts w:ascii="Arial" w:hAnsi="Arial" w:cs="Arial"/>
          <w:color w:val="000000"/>
          <w:sz w:val="22"/>
          <w:szCs w:val="22"/>
        </w:rPr>
        <w:t xml:space="preserve">All legislative references in this explanatory statement are to Schedule 1 to the </w:t>
      </w:r>
      <w:r w:rsidRPr="00566D26">
        <w:rPr>
          <w:rFonts w:ascii="Arial" w:hAnsi="Arial" w:cs="Arial"/>
          <w:i/>
          <w:color w:val="000000"/>
          <w:sz w:val="22"/>
          <w:szCs w:val="22"/>
        </w:rPr>
        <w:t>Taxation Administration Act 1953</w:t>
      </w:r>
      <w:r w:rsidRPr="00566D26">
        <w:rPr>
          <w:rFonts w:ascii="Arial" w:hAnsi="Arial" w:cs="Arial"/>
          <w:color w:val="000000"/>
          <w:sz w:val="22"/>
          <w:szCs w:val="22"/>
        </w:rPr>
        <w:t xml:space="preserve"> unless otherwise stated</w:t>
      </w:r>
      <w:r w:rsidR="008D4D63">
        <w:rPr>
          <w:rFonts w:ascii="Arial" w:hAnsi="Arial" w:cs="Arial"/>
          <w:color w:val="000000"/>
          <w:sz w:val="22"/>
          <w:szCs w:val="22"/>
        </w:rPr>
        <w:t>.</w:t>
      </w:r>
    </w:p>
    <w:p w14:paraId="7F29F5B3" w14:textId="70D859AE" w:rsidR="00370FE4" w:rsidRPr="00C07D99" w:rsidRDefault="00B3595F" w:rsidP="00370FE4">
      <w:pPr>
        <w:numPr>
          <w:ilvl w:val="0"/>
          <w:numId w:val="16"/>
        </w:numPr>
        <w:tabs>
          <w:tab w:val="clear" w:pos="720"/>
        </w:tabs>
        <w:spacing w:after="120"/>
        <w:ind w:left="0" w:firstLine="0"/>
        <w:rPr>
          <w:rFonts w:ascii="Arial" w:hAnsi="Arial" w:cs="Arial"/>
          <w:sz w:val="22"/>
          <w:szCs w:val="22"/>
        </w:rPr>
      </w:pPr>
      <w:r w:rsidRPr="00C07D99">
        <w:rPr>
          <w:rFonts w:ascii="Arial" w:hAnsi="Arial" w:cs="Arial"/>
          <w:sz w:val="22"/>
          <w:szCs w:val="22"/>
        </w:rPr>
        <w:t xml:space="preserve">If a </w:t>
      </w:r>
      <w:r w:rsidR="006B56B9" w:rsidRPr="00C07D99">
        <w:rPr>
          <w:rFonts w:ascii="Arial" w:hAnsi="Arial" w:cs="Arial"/>
          <w:sz w:val="22"/>
          <w:szCs w:val="22"/>
        </w:rPr>
        <w:t>mortgagee</w:t>
      </w:r>
      <w:r w:rsidR="00547615" w:rsidRPr="00C07D99">
        <w:rPr>
          <w:rFonts w:ascii="Arial" w:hAnsi="Arial" w:cs="Arial"/>
          <w:sz w:val="22"/>
          <w:szCs w:val="22"/>
        </w:rPr>
        <w:t xml:space="preserve"> </w:t>
      </w:r>
      <w:r w:rsidR="002F187A" w:rsidRPr="00C07D99">
        <w:rPr>
          <w:rFonts w:ascii="Arial" w:hAnsi="Arial" w:cs="Arial"/>
          <w:sz w:val="22"/>
          <w:szCs w:val="22"/>
        </w:rPr>
        <w:t xml:space="preserve">exercises its rights to dispose of </w:t>
      </w:r>
      <w:r w:rsidR="00753058" w:rsidRPr="00C07D99">
        <w:rPr>
          <w:rFonts w:ascii="Arial" w:hAnsi="Arial" w:cs="Arial"/>
          <w:sz w:val="22"/>
          <w:szCs w:val="22"/>
        </w:rPr>
        <w:t xml:space="preserve">taxable </w:t>
      </w:r>
      <w:r w:rsidR="002F187A" w:rsidRPr="00C07D99">
        <w:rPr>
          <w:rFonts w:ascii="Arial" w:hAnsi="Arial" w:cs="Arial"/>
          <w:sz w:val="22"/>
          <w:szCs w:val="22"/>
        </w:rPr>
        <w:t>Australian</w:t>
      </w:r>
      <w:r w:rsidR="00753058" w:rsidRPr="00C07D99">
        <w:rPr>
          <w:rFonts w:ascii="Arial" w:hAnsi="Arial" w:cs="Arial"/>
          <w:sz w:val="22"/>
          <w:szCs w:val="22"/>
        </w:rPr>
        <w:t xml:space="preserve"> real property</w:t>
      </w:r>
      <w:r w:rsidR="002F187A" w:rsidRPr="00C07D99">
        <w:rPr>
          <w:rFonts w:ascii="Arial" w:hAnsi="Arial" w:cs="Arial"/>
          <w:sz w:val="22"/>
          <w:szCs w:val="22"/>
        </w:rPr>
        <w:t xml:space="preserve"> assets and it </w:t>
      </w:r>
      <w:r w:rsidR="00547615" w:rsidRPr="00C07D99">
        <w:rPr>
          <w:rFonts w:ascii="Arial" w:hAnsi="Arial" w:cs="Arial"/>
          <w:sz w:val="22"/>
          <w:szCs w:val="22"/>
        </w:rPr>
        <w:t>satisfies</w:t>
      </w:r>
      <w:r w:rsidR="00803F83" w:rsidRPr="00C07D99">
        <w:rPr>
          <w:rFonts w:ascii="Arial" w:hAnsi="Arial" w:cs="Arial"/>
          <w:sz w:val="22"/>
          <w:szCs w:val="22"/>
        </w:rPr>
        <w:t xml:space="preserve"> the definition of an “authorised deposit-taking institution”</w:t>
      </w:r>
      <w:r w:rsidR="00A07C80" w:rsidRPr="00C07D99">
        <w:rPr>
          <w:rFonts w:ascii="Arial" w:hAnsi="Arial" w:cs="Arial"/>
          <w:sz w:val="22"/>
          <w:szCs w:val="22"/>
        </w:rPr>
        <w:t xml:space="preserve"> under section 5 of </w:t>
      </w:r>
      <w:r w:rsidR="00803F83" w:rsidRPr="00C07D99">
        <w:rPr>
          <w:rFonts w:ascii="Arial" w:hAnsi="Arial" w:cs="Arial"/>
          <w:sz w:val="22"/>
          <w:szCs w:val="22"/>
        </w:rPr>
        <w:t xml:space="preserve">the </w:t>
      </w:r>
      <w:r w:rsidR="00803F83" w:rsidRPr="00C07D99">
        <w:rPr>
          <w:rFonts w:ascii="Arial" w:hAnsi="Arial" w:cs="Arial"/>
          <w:i/>
          <w:sz w:val="22"/>
          <w:szCs w:val="22"/>
        </w:rPr>
        <w:t>Banking Act</w:t>
      </w:r>
      <w:r w:rsidR="00803F83" w:rsidRPr="00C07D99">
        <w:rPr>
          <w:rFonts w:ascii="Arial" w:hAnsi="Arial" w:cs="Arial"/>
          <w:sz w:val="22"/>
          <w:szCs w:val="22"/>
        </w:rPr>
        <w:t xml:space="preserve"> </w:t>
      </w:r>
      <w:r w:rsidR="00803F83" w:rsidRPr="00C07D99">
        <w:rPr>
          <w:rFonts w:ascii="Arial" w:hAnsi="Arial" w:cs="Arial"/>
          <w:i/>
          <w:sz w:val="22"/>
          <w:szCs w:val="22"/>
        </w:rPr>
        <w:t>195</w:t>
      </w:r>
      <w:r w:rsidR="006A24DD" w:rsidRPr="00C07D99">
        <w:rPr>
          <w:rFonts w:ascii="Arial" w:hAnsi="Arial" w:cs="Arial"/>
          <w:i/>
          <w:sz w:val="22"/>
          <w:szCs w:val="22"/>
        </w:rPr>
        <w:t>9</w:t>
      </w:r>
      <w:r w:rsidR="002F187A" w:rsidRPr="00C07D99">
        <w:rPr>
          <w:rFonts w:ascii="Arial" w:hAnsi="Arial" w:cs="Arial"/>
          <w:sz w:val="22"/>
          <w:szCs w:val="22"/>
        </w:rPr>
        <w:t xml:space="preserve"> then </w:t>
      </w:r>
      <w:r w:rsidRPr="00C07D99">
        <w:rPr>
          <w:rFonts w:ascii="Arial" w:hAnsi="Arial" w:cs="Arial"/>
          <w:sz w:val="22"/>
          <w:szCs w:val="22"/>
        </w:rPr>
        <w:t>they do not need to</w:t>
      </w:r>
      <w:r w:rsidR="00803F83" w:rsidRPr="00C07D99">
        <w:rPr>
          <w:rFonts w:ascii="Arial" w:hAnsi="Arial" w:cs="Arial"/>
          <w:sz w:val="22"/>
          <w:szCs w:val="22"/>
        </w:rPr>
        <w:t xml:space="preserve"> </w:t>
      </w:r>
      <w:r w:rsidR="00A07C80" w:rsidRPr="00C07D99">
        <w:rPr>
          <w:rFonts w:ascii="Arial" w:hAnsi="Arial" w:cs="Arial"/>
          <w:sz w:val="22"/>
          <w:szCs w:val="22"/>
        </w:rPr>
        <w:t xml:space="preserve">obtain </w:t>
      </w:r>
      <w:r w:rsidR="00EC5CD1" w:rsidRPr="00C07D99">
        <w:rPr>
          <w:rFonts w:ascii="Arial" w:hAnsi="Arial" w:cs="Arial"/>
          <w:sz w:val="22"/>
          <w:szCs w:val="22"/>
        </w:rPr>
        <w:t>a var</w:t>
      </w:r>
      <w:r w:rsidR="001E63C1" w:rsidRPr="00C07D99">
        <w:rPr>
          <w:rFonts w:ascii="Arial" w:hAnsi="Arial" w:cs="Arial"/>
          <w:sz w:val="22"/>
          <w:szCs w:val="22"/>
        </w:rPr>
        <w:t>iation under subsection 14-235(2</w:t>
      </w:r>
      <w:r w:rsidR="00EC5CD1" w:rsidRPr="00C07D99">
        <w:rPr>
          <w:rFonts w:ascii="Arial" w:hAnsi="Arial" w:cs="Arial"/>
          <w:sz w:val="22"/>
          <w:szCs w:val="22"/>
        </w:rPr>
        <w:t>)</w:t>
      </w:r>
      <w:r w:rsidR="00803F83" w:rsidRPr="00C07D99">
        <w:rPr>
          <w:rFonts w:ascii="Arial" w:hAnsi="Arial" w:cs="Arial"/>
          <w:sz w:val="22"/>
          <w:szCs w:val="22"/>
        </w:rPr>
        <w:t xml:space="preserve"> from the Commissioner of Taxation</w:t>
      </w:r>
      <w:r w:rsidR="00ED6D91" w:rsidRPr="00C07D99">
        <w:rPr>
          <w:rFonts w:ascii="Arial" w:hAnsi="Arial" w:cs="Arial"/>
          <w:sz w:val="22"/>
          <w:szCs w:val="22"/>
        </w:rPr>
        <w:t xml:space="preserve"> </w:t>
      </w:r>
      <w:r w:rsidR="00ED6D91" w:rsidRPr="00C07D99">
        <w:rPr>
          <w:rFonts w:ascii="Arial" w:hAnsi="Arial" w:cs="Arial"/>
          <w:color w:val="000000"/>
          <w:sz w:val="22"/>
          <w:szCs w:val="22"/>
        </w:rPr>
        <w:t xml:space="preserve">(‘the Commissioner’) </w:t>
      </w:r>
      <w:r w:rsidR="00803F83" w:rsidRPr="00C07D99">
        <w:rPr>
          <w:rFonts w:ascii="Arial" w:hAnsi="Arial" w:cs="Arial"/>
          <w:sz w:val="22"/>
          <w:szCs w:val="22"/>
        </w:rPr>
        <w:t>in</w:t>
      </w:r>
      <w:r w:rsidR="00A07C80" w:rsidRPr="00C07D99">
        <w:rPr>
          <w:rFonts w:ascii="Arial" w:hAnsi="Arial" w:cs="Arial"/>
          <w:sz w:val="22"/>
          <w:szCs w:val="22"/>
        </w:rPr>
        <w:t xml:space="preserve"> the</w:t>
      </w:r>
      <w:r w:rsidR="00803F83" w:rsidRPr="00C07D99">
        <w:rPr>
          <w:rFonts w:ascii="Arial" w:hAnsi="Arial" w:cs="Arial"/>
          <w:sz w:val="22"/>
          <w:szCs w:val="22"/>
        </w:rPr>
        <w:t xml:space="preserve"> circu</w:t>
      </w:r>
      <w:r w:rsidR="00ED4FF0" w:rsidRPr="00C07D99">
        <w:rPr>
          <w:rFonts w:ascii="Arial" w:hAnsi="Arial" w:cs="Arial"/>
          <w:sz w:val="22"/>
          <w:szCs w:val="22"/>
        </w:rPr>
        <w:t>mstances pres</w:t>
      </w:r>
      <w:r w:rsidR="002F187A" w:rsidRPr="00C07D99">
        <w:rPr>
          <w:rFonts w:ascii="Arial" w:hAnsi="Arial" w:cs="Arial"/>
          <w:sz w:val="22"/>
          <w:szCs w:val="22"/>
        </w:rPr>
        <w:t>c</w:t>
      </w:r>
      <w:r w:rsidR="00ED4FF0" w:rsidRPr="00C07D99">
        <w:rPr>
          <w:rFonts w:ascii="Arial" w:hAnsi="Arial" w:cs="Arial"/>
          <w:sz w:val="22"/>
          <w:szCs w:val="22"/>
        </w:rPr>
        <w:t>ribed</w:t>
      </w:r>
      <w:r w:rsidR="001E238F" w:rsidRPr="00C07D99">
        <w:rPr>
          <w:rFonts w:ascii="Arial" w:hAnsi="Arial" w:cs="Arial"/>
          <w:sz w:val="22"/>
          <w:szCs w:val="22"/>
        </w:rPr>
        <w:t xml:space="preserve"> </w:t>
      </w:r>
      <w:r w:rsidR="00A07C80" w:rsidRPr="00C07D99">
        <w:rPr>
          <w:rFonts w:ascii="Arial" w:hAnsi="Arial" w:cs="Arial"/>
          <w:sz w:val="22"/>
          <w:szCs w:val="22"/>
        </w:rPr>
        <w:t>in this legislative instrument.</w:t>
      </w:r>
    </w:p>
    <w:p w14:paraId="7D0F374D" w14:textId="0FDC32F0" w:rsidR="001D7D3B" w:rsidRPr="00566D26" w:rsidRDefault="001D7D3B" w:rsidP="007F1EFD">
      <w:pPr>
        <w:numPr>
          <w:ilvl w:val="0"/>
          <w:numId w:val="16"/>
        </w:numPr>
        <w:tabs>
          <w:tab w:val="clear" w:pos="720"/>
        </w:tabs>
        <w:spacing w:after="120"/>
        <w:ind w:left="0" w:firstLine="0"/>
        <w:rPr>
          <w:rFonts w:ascii="Arial" w:hAnsi="Arial" w:cs="Arial"/>
          <w:sz w:val="22"/>
          <w:szCs w:val="22"/>
        </w:rPr>
      </w:pPr>
      <w:r w:rsidRPr="00566D26">
        <w:rPr>
          <w:rFonts w:ascii="Arial" w:hAnsi="Arial" w:cs="Arial"/>
          <w:sz w:val="22"/>
          <w:szCs w:val="22"/>
        </w:rPr>
        <w:t xml:space="preserve">The instrument is a legislative instrument for the purposes of the </w:t>
      </w:r>
      <w:r w:rsidRPr="00566D26">
        <w:rPr>
          <w:rFonts w:ascii="Arial" w:hAnsi="Arial" w:cs="Arial"/>
          <w:i/>
          <w:sz w:val="22"/>
          <w:szCs w:val="22"/>
        </w:rPr>
        <w:t>Legislation Act 2003</w:t>
      </w:r>
      <w:r w:rsidRPr="00566D26">
        <w:rPr>
          <w:rFonts w:ascii="Arial" w:hAnsi="Arial" w:cs="Arial"/>
          <w:sz w:val="22"/>
          <w:szCs w:val="22"/>
        </w:rPr>
        <w:t>.</w:t>
      </w:r>
    </w:p>
    <w:p w14:paraId="7920749F" w14:textId="5E906232" w:rsidR="007F1EFD" w:rsidRPr="00566D26" w:rsidRDefault="00B31550" w:rsidP="007F1EFD">
      <w:pPr>
        <w:numPr>
          <w:ilvl w:val="0"/>
          <w:numId w:val="16"/>
        </w:numPr>
        <w:tabs>
          <w:tab w:val="clear" w:pos="720"/>
        </w:tabs>
        <w:spacing w:after="120"/>
        <w:ind w:left="0" w:firstLine="0"/>
        <w:rPr>
          <w:rFonts w:ascii="Arial" w:hAnsi="Arial" w:cs="Arial"/>
          <w:sz w:val="22"/>
          <w:szCs w:val="22"/>
        </w:rPr>
      </w:pPr>
      <w:r w:rsidRPr="00566D26">
        <w:rPr>
          <w:rFonts w:ascii="Arial" w:hAnsi="Arial" w:cs="Arial"/>
          <w:sz w:val="22"/>
          <w:szCs w:val="22"/>
        </w:rPr>
        <w:t xml:space="preserve">Under subsection 33(3) of the </w:t>
      </w:r>
      <w:r w:rsidRPr="00566D26">
        <w:rPr>
          <w:rFonts w:ascii="Arial" w:hAnsi="Arial" w:cs="Arial"/>
          <w:i/>
          <w:sz w:val="22"/>
          <w:szCs w:val="22"/>
        </w:rPr>
        <w:t>Acts Interpretation Act 1901</w:t>
      </w:r>
      <w:r w:rsidRPr="00566D26">
        <w:rPr>
          <w:rFonts w:ascii="Arial" w:hAnsi="Arial" w:cs="Arial"/>
          <w:sz w:val="22"/>
          <w:szCs w:val="22"/>
        </w:rPr>
        <w:t>, where an Act confers a power to make, grant or issue any instrument of a legislative or administrative character (including rules, regulations or by-laws)</w:t>
      </w:r>
      <w:r w:rsidR="00A803B4">
        <w:rPr>
          <w:rFonts w:ascii="Arial" w:hAnsi="Arial" w:cs="Arial"/>
          <w:sz w:val="22"/>
          <w:szCs w:val="22"/>
        </w:rPr>
        <w:t>,</w:t>
      </w:r>
      <w:r w:rsidRPr="00566D26">
        <w:rPr>
          <w:rFonts w:ascii="Arial" w:hAnsi="Arial" w:cs="Arial"/>
          <w:sz w:val="22"/>
          <w:szCs w:val="22"/>
        </w:rPr>
        <w:t xml:space="preserve"> the power shall be construed as including a power exercisable in the like manner and subject to the like conditions (if any) to repeal, rescind, revoke, amend, or vary any such instrument.</w:t>
      </w:r>
    </w:p>
    <w:p w14:paraId="15AC1B62" w14:textId="77777777" w:rsidR="006302F7" w:rsidRPr="00566D26" w:rsidRDefault="006302F7" w:rsidP="00910595">
      <w:pPr>
        <w:spacing w:after="120"/>
        <w:rPr>
          <w:rFonts w:ascii="Arial" w:hAnsi="Arial" w:cs="Arial"/>
          <w:sz w:val="22"/>
          <w:szCs w:val="22"/>
        </w:rPr>
      </w:pPr>
    </w:p>
    <w:p w14:paraId="15AC1B63" w14:textId="77777777" w:rsidR="001D02E6" w:rsidRPr="00566D26" w:rsidRDefault="001D02E6" w:rsidP="00910595">
      <w:pPr>
        <w:pStyle w:val="Heading2"/>
      </w:pPr>
      <w:r w:rsidRPr="00566D26">
        <w:t>Date of effect</w:t>
      </w:r>
    </w:p>
    <w:p w14:paraId="0969C901" w14:textId="77777777" w:rsidR="00943AD7" w:rsidRPr="00566D26" w:rsidRDefault="00ED4FF0" w:rsidP="00943AD7">
      <w:pPr>
        <w:numPr>
          <w:ilvl w:val="0"/>
          <w:numId w:val="16"/>
        </w:numPr>
        <w:tabs>
          <w:tab w:val="clear" w:pos="720"/>
        </w:tabs>
        <w:spacing w:after="120"/>
        <w:ind w:left="0" w:firstLine="0"/>
        <w:rPr>
          <w:rFonts w:ascii="Arial" w:hAnsi="Arial" w:cs="Arial"/>
          <w:sz w:val="22"/>
          <w:szCs w:val="22"/>
        </w:rPr>
      </w:pPr>
      <w:r w:rsidRPr="00566D26">
        <w:rPr>
          <w:rFonts w:ascii="Arial" w:hAnsi="Arial" w:cs="Arial"/>
          <w:color w:val="000000"/>
          <w:sz w:val="22"/>
          <w:szCs w:val="22"/>
        </w:rPr>
        <w:t>The instrument commences on the day after its registration on the Federal Register of Legislation</w:t>
      </w:r>
      <w:r w:rsidR="00943AD7" w:rsidRPr="00566D26">
        <w:rPr>
          <w:rFonts w:ascii="Arial" w:hAnsi="Arial" w:cs="Arial"/>
          <w:color w:val="000000"/>
          <w:sz w:val="22"/>
          <w:szCs w:val="22"/>
        </w:rPr>
        <w:t>.</w:t>
      </w:r>
    </w:p>
    <w:p w14:paraId="15AC1B6A" w14:textId="346ED1C2" w:rsidR="001D02E6" w:rsidRPr="00566D26" w:rsidRDefault="002B2233" w:rsidP="00943AD7">
      <w:pPr>
        <w:numPr>
          <w:ilvl w:val="0"/>
          <w:numId w:val="16"/>
        </w:numPr>
        <w:tabs>
          <w:tab w:val="clear" w:pos="720"/>
        </w:tabs>
        <w:spacing w:after="120"/>
        <w:ind w:left="0" w:firstLine="0"/>
        <w:rPr>
          <w:rFonts w:ascii="Arial" w:hAnsi="Arial" w:cs="Arial"/>
          <w:sz w:val="22"/>
          <w:szCs w:val="22"/>
        </w:rPr>
      </w:pPr>
      <w:r w:rsidRPr="00566D26">
        <w:rPr>
          <w:rFonts w:ascii="Arial" w:hAnsi="Arial" w:cs="Arial"/>
          <w:sz w:val="22"/>
          <w:szCs w:val="22"/>
        </w:rPr>
        <w:t xml:space="preserve"> </w:t>
      </w:r>
      <w:r w:rsidR="001D02E6" w:rsidRPr="00566D26">
        <w:rPr>
          <w:rFonts w:ascii="Arial" w:hAnsi="Arial" w:cs="Arial"/>
          <w:sz w:val="22"/>
          <w:szCs w:val="22"/>
        </w:rPr>
        <w:t xml:space="preserve">Under section 12(2) of the </w:t>
      </w:r>
      <w:r w:rsidR="00B31550" w:rsidRPr="00566D26">
        <w:rPr>
          <w:rFonts w:ascii="Arial" w:hAnsi="Arial" w:cs="Arial"/>
          <w:i/>
          <w:sz w:val="22"/>
          <w:szCs w:val="22"/>
        </w:rPr>
        <w:t xml:space="preserve">Legislation </w:t>
      </w:r>
      <w:r w:rsidR="001D02E6" w:rsidRPr="00566D26">
        <w:rPr>
          <w:rFonts w:ascii="Arial" w:hAnsi="Arial" w:cs="Arial"/>
          <w:i/>
          <w:sz w:val="22"/>
          <w:szCs w:val="22"/>
        </w:rPr>
        <w:t>Act 2003</w:t>
      </w:r>
      <w:r w:rsidR="001D02E6" w:rsidRPr="00566D26">
        <w:rPr>
          <w:rFonts w:ascii="Arial" w:hAnsi="Arial" w:cs="Arial"/>
          <w:sz w:val="22"/>
          <w:szCs w:val="22"/>
        </w:rPr>
        <w:t xml:space="preserve"> this instrument does not adversely affect the rights or liabilities of any person other than the Commonwealth.</w:t>
      </w:r>
    </w:p>
    <w:p w14:paraId="15AC1B6B" w14:textId="77777777" w:rsidR="00486653" w:rsidRPr="00566D26" w:rsidRDefault="00486653" w:rsidP="00910595">
      <w:pPr>
        <w:spacing w:after="120"/>
        <w:rPr>
          <w:rFonts w:ascii="Arial" w:hAnsi="Arial" w:cs="Arial"/>
          <w:sz w:val="22"/>
          <w:szCs w:val="22"/>
        </w:rPr>
      </w:pPr>
    </w:p>
    <w:p w14:paraId="04BAFC90" w14:textId="7AF65579" w:rsidR="00420596" w:rsidRPr="0087573A" w:rsidRDefault="00486653" w:rsidP="0087573A">
      <w:pPr>
        <w:pStyle w:val="Heading2"/>
      </w:pPr>
      <w:r w:rsidRPr="00566D26">
        <w:t xml:space="preserve">What </w:t>
      </w:r>
      <w:r w:rsidR="0087573A">
        <w:t xml:space="preserve">is the effect of this </w:t>
      </w:r>
      <w:proofErr w:type="gramStart"/>
      <w:r w:rsidR="0087573A">
        <w:t>instrument</w:t>
      </w:r>
      <w:proofErr w:type="gramEnd"/>
      <w:r w:rsidR="00420596" w:rsidRPr="00566D26">
        <w:rPr>
          <w:color w:val="000000"/>
        </w:rPr>
        <w:t xml:space="preserve"> </w:t>
      </w:r>
    </w:p>
    <w:p w14:paraId="0674B75A" w14:textId="21D8194E" w:rsidR="00A628BD" w:rsidRPr="00566D26" w:rsidRDefault="00A628BD" w:rsidP="00A628BD"/>
    <w:p w14:paraId="4D0EE3D1" w14:textId="000C9853" w:rsidR="00496AE8" w:rsidRPr="00566D26" w:rsidRDefault="00496AE8" w:rsidP="00496AE8">
      <w:pPr>
        <w:numPr>
          <w:ilvl w:val="0"/>
          <w:numId w:val="16"/>
        </w:numPr>
        <w:tabs>
          <w:tab w:val="clear" w:pos="720"/>
        </w:tabs>
        <w:spacing w:after="120"/>
        <w:ind w:left="0" w:firstLine="0"/>
        <w:rPr>
          <w:rFonts w:ascii="Arial" w:hAnsi="Arial" w:cs="Arial"/>
          <w:color w:val="000000"/>
          <w:sz w:val="22"/>
          <w:szCs w:val="22"/>
        </w:rPr>
      </w:pPr>
      <w:r w:rsidRPr="00566D26">
        <w:rPr>
          <w:rFonts w:ascii="Arial" w:hAnsi="Arial" w:cs="Arial"/>
          <w:color w:val="000000"/>
          <w:sz w:val="22"/>
          <w:szCs w:val="22"/>
        </w:rPr>
        <w:t xml:space="preserve">The effect of this instrument is to vary to nil the amount that would otherwise have to be paid to the Commissioner under section 14-200, </w:t>
      </w:r>
      <w:r w:rsidR="008C7FE5" w:rsidRPr="00566D26">
        <w:rPr>
          <w:rFonts w:ascii="Arial" w:hAnsi="Arial" w:cs="Arial"/>
          <w:color w:val="000000"/>
          <w:sz w:val="22"/>
          <w:szCs w:val="22"/>
        </w:rPr>
        <w:t xml:space="preserve">when land is acquired </w:t>
      </w:r>
      <w:r w:rsidR="005E691B">
        <w:rPr>
          <w:rFonts w:ascii="Arial" w:hAnsi="Arial" w:cs="Arial"/>
          <w:color w:val="000000"/>
          <w:sz w:val="22"/>
          <w:szCs w:val="22"/>
        </w:rPr>
        <w:t>in</w:t>
      </w:r>
      <w:r w:rsidR="008C7FE5" w:rsidRPr="00566D26">
        <w:rPr>
          <w:rFonts w:ascii="Arial" w:hAnsi="Arial" w:cs="Arial"/>
          <w:color w:val="000000"/>
          <w:sz w:val="22"/>
          <w:szCs w:val="22"/>
        </w:rPr>
        <w:t xml:space="preserve"> </w:t>
      </w:r>
      <w:r w:rsidR="00425A09" w:rsidRPr="00566D26">
        <w:rPr>
          <w:rFonts w:ascii="Arial" w:hAnsi="Arial" w:cs="Arial"/>
          <w:color w:val="000000"/>
          <w:sz w:val="22"/>
          <w:szCs w:val="22"/>
        </w:rPr>
        <w:t xml:space="preserve">the following </w:t>
      </w:r>
      <w:r w:rsidRPr="00566D26">
        <w:rPr>
          <w:rFonts w:ascii="Arial" w:hAnsi="Arial" w:cs="Arial"/>
          <w:color w:val="000000"/>
          <w:sz w:val="22"/>
          <w:szCs w:val="22"/>
        </w:rPr>
        <w:t>circumstances:</w:t>
      </w:r>
    </w:p>
    <w:p w14:paraId="4F46AD2E" w14:textId="43DB9B9D" w:rsidR="00496AE8" w:rsidRPr="00566D26" w:rsidRDefault="00496AE8" w:rsidP="00496AE8">
      <w:pPr>
        <w:numPr>
          <w:ilvl w:val="0"/>
          <w:numId w:val="50"/>
        </w:numPr>
        <w:spacing w:after="120"/>
        <w:ind w:left="1418" w:hanging="709"/>
        <w:rPr>
          <w:rFonts w:ascii="Arial" w:hAnsi="Arial" w:cs="Arial"/>
          <w:color w:val="000000"/>
          <w:sz w:val="22"/>
          <w:szCs w:val="22"/>
        </w:rPr>
      </w:pPr>
      <w:r w:rsidRPr="00566D26">
        <w:rPr>
          <w:rFonts w:ascii="Arial" w:hAnsi="Arial" w:cs="Arial"/>
          <w:color w:val="000000"/>
          <w:sz w:val="22"/>
          <w:szCs w:val="22"/>
        </w:rPr>
        <w:t>there is a transa</w:t>
      </w:r>
      <w:r w:rsidR="002373E0" w:rsidRPr="00566D26">
        <w:rPr>
          <w:rFonts w:ascii="Arial" w:hAnsi="Arial" w:cs="Arial"/>
          <w:color w:val="000000"/>
          <w:sz w:val="22"/>
          <w:szCs w:val="22"/>
        </w:rPr>
        <w:t>cti</w:t>
      </w:r>
      <w:r w:rsidR="008C7FE5" w:rsidRPr="00566D26">
        <w:rPr>
          <w:rFonts w:ascii="Arial" w:hAnsi="Arial" w:cs="Arial"/>
          <w:color w:val="000000"/>
          <w:sz w:val="22"/>
          <w:szCs w:val="22"/>
        </w:rPr>
        <w:t>on where a mortgagee exercises a power of sale over the land and it is an</w:t>
      </w:r>
      <w:r w:rsidRPr="00566D26">
        <w:rPr>
          <w:rFonts w:ascii="Arial" w:hAnsi="Arial" w:cs="Arial"/>
          <w:color w:val="000000"/>
          <w:sz w:val="22"/>
          <w:szCs w:val="22"/>
        </w:rPr>
        <w:t xml:space="preserve"> author</w:t>
      </w:r>
      <w:r w:rsidR="002373E0" w:rsidRPr="00566D26">
        <w:rPr>
          <w:rFonts w:ascii="Arial" w:hAnsi="Arial" w:cs="Arial"/>
          <w:color w:val="000000"/>
          <w:sz w:val="22"/>
          <w:szCs w:val="22"/>
        </w:rPr>
        <w:t xml:space="preserve">ised deposit-taking institution under section 5 of the </w:t>
      </w:r>
      <w:r w:rsidR="002373E0" w:rsidRPr="00566D26">
        <w:rPr>
          <w:rFonts w:ascii="Arial" w:hAnsi="Arial" w:cs="Arial"/>
          <w:i/>
          <w:color w:val="000000"/>
          <w:sz w:val="22"/>
          <w:szCs w:val="22"/>
        </w:rPr>
        <w:t>Banking Act 1959</w:t>
      </w:r>
      <w:r w:rsidR="008C7FE5" w:rsidRPr="00566D26">
        <w:rPr>
          <w:rFonts w:ascii="Arial" w:hAnsi="Arial" w:cs="Arial"/>
          <w:color w:val="000000"/>
          <w:sz w:val="22"/>
          <w:szCs w:val="22"/>
        </w:rPr>
        <w:t>;</w:t>
      </w:r>
    </w:p>
    <w:p w14:paraId="656EAFE6" w14:textId="56C1DC87" w:rsidR="00496AE8" w:rsidRPr="00566D26" w:rsidRDefault="00496AE8" w:rsidP="00496AE8">
      <w:pPr>
        <w:numPr>
          <w:ilvl w:val="0"/>
          <w:numId w:val="50"/>
        </w:numPr>
        <w:spacing w:after="120"/>
        <w:ind w:left="1418" w:hanging="709"/>
        <w:rPr>
          <w:rFonts w:ascii="Arial" w:hAnsi="Arial" w:cs="Arial"/>
          <w:color w:val="000000"/>
          <w:sz w:val="22"/>
          <w:szCs w:val="22"/>
        </w:rPr>
      </w:pPr>
      <w:r w:rsidRPr="00566D26">
        <w:rPr>
          <w:rFonts w:ascii="Arial" w:hAnsi="Arial" w:cs="Arial"/>
          <w:color w:val="000000"/>
          <w:sz w:val="22"/>
          <w:szCs w:val="22"/>
        </w:rPr>
        <w:t>the mortgagee has determined that the residue from the sale proceeds will be zero or less than zero;</w:t>
      </w:r>
      <w:r w:rsidR="00C24941" w:rsidRPr="00566D26">
        <w:rPr>
          <w:rFonts w:ascii="Arial" w:hAnsi="Arial" w:cs="Arial"/>
          <w:color w:val="000000"/>
          <w:sz w:val="22"/>
          <w:szCs w:val="22"/>
        </w:rPr>
        <w:t xml:space="preserve"> </w:t>
      </w:r>
      <w:r w:rsidR="008C7FE5" w:rsidRPr="00566D26">
        <w:rPr>
          <w:rFonts w:ascii="Arial" w:hAnsi="Arial" w:cs="Arial"/>
          <w:color w:val="000000"/>
          <w:sz w:val="22"/>
          <w:szCs w:val="22"/>
        </w:rPr>
        <w:t>and</w:t>
      </w:r>
    </w:p>
    <w:p w14:paraId="625F03DD" w14:textId="415B030F" w:rsidR="00496AE8" w:rsidRPr="00566D26" w:rsidRDefault="00496AE8" w:rsidP="00496AE8">
      <w:pPr>
        <w:numPr>
          <w:ilvl w:val="0"/>
          <w:numId w:val="50"/>
        </w:numPr>
        <w:spacing w:after="120"/>
        <w:ind w:left="1418" w:hanging="709"/>
        <w:rPr>
          <w:rFonts w:ascii="Arial" w:hAnsi="Arial" w:cs="Arial"/>
          <w:color w:val="000000"/>
          <w:sz w:val="22"/>
          <w:szCs w:val="22"/>
        </w:rPr>
      </w:pPr>
      <w:r w:rsidRPr="00566D26">
        <w:rPr>
          <w:rFonts w:ascii="Arial" w:hAnsi="Arial" w:cs="Arial"/>
          <w:color w:val="000000"/>
          <w:sz w:val="22"/>
          <w:szCs w:val="22"/>
        </w:rPr>
        <w:lastRenderedPageBreak/>
        <w:t>the mortgagee has provided the transf</w:t>
      </w:r>
      <w:r w:rsidR="000D3A2A" w:rsidRPr="00566D26">
        <w:rPr>
          <w:rFonts w:ascii="Arial" w:hAnsi="Arial" w:cs="Arial"/>
          <w:color w:val="000000"/>
          <w:sz w:val="22"/>
          <w:szCs w:val="22"/>
        </w:rPr>
        <w:t>eree with a written declaration</w:t>
      </w:r>
      <w:r w:rsidRPr="00566D26">
        <w:rPr>
          <w:rFonts w:ascii="Arial" w:hAnsi="Arial" w:cs="Arial"/>
          <w:color w:val="000000"/>
          <w:sz w:val="22"/>
          <w:szCs w:val="22"/>
        </w:rPr>
        <w:t xml:space="preserve"> stating that the amount to withhold is varied to nil under this instrument.</w:t>
      </w:r>
    </w:p>
    <w:p w14:paraId="01EBC5C6" w14:textId="77777777" w:rsidR="00496AE8" w:rsidRPr="00566D26" w:rsidRDefault="00496AE8" w:rsidP="00496AE8">
      <w:pPr>
        <w:spacing w:after="120"/>
        <w:rPr>
          <w:rFonts w:ascii="Arial" w:hAnsi="Arial" w:cs="Arial"/>
          <w:color w:val="000000"/>
          <w:sz w:val="22"/>
          <w:szCs w:val="22"/>
        </w:rPr>
      </w:pPr>
    </w:p>
    <w:p w14:paraId="40F6F0F1" w14:textId="1A1E9601" w:rsidR="007E4302" w:rsidRPr="00566D26" w:rsidRDefault="00420596" w:rsidP="00C24941">
      <w:pPr>
        <w:numPr>
          <w:ilvl w:val="0"/>
          <w:numId w:val="16"/>
        </w:numPr>
        <w:tabs>
          <w:tab w:val="clear" w:pos="720"/>
        </w:tabs>
        <w:spacing w:after="120"/>
        <w:ind w:left="0" w:firstLine="0"/>
        <w:rPr>
          <w:rFonts w:ascii="Arial" w:hAnsi="Arial" w:cs="Arial"/>
          <w:color w:val="000000"/>
          <w:sz w:val="22"/>
          <w:szCs w:val="22"/>
        </w:rPr>
      </w:pPr>
      <w:r w:rsidRPr="00566D26">
        <w:rPr>
          <w:rFonts w:ascii="Arial" w:hAnsi="Arial" w:cs="Arial"/>
          <w:color w:val="000000"/>
          <w:sz w:val="22"/>
          <w:szCs w:val="22"/>
        </w:rPr>
        <w:t>T</w:t>
      </w:r>
      <w:r w:rsidR="00496AE8" w:rsidRPr="00566D26">
        <w:rPr>
          <w:rFonts w:ascii="Arial" w:hAnsi="Arial" w:cs="Arial"/>
          <w:color w:val="000000"/>
          <w:sz w:val="22"/>
          <w:szCs w:val="22"/>
        </w:rPr>
        <w:t xml:space="preserve">his legislative instrument will </w:t>
      </w:r>
      <w:r w:rsidR="006B56B9" w:rsidRPr="00566D26">
        <w:rPr>
          <w:rFonts w:ascii="Arial" w:hAnsi="Arial" w:cs="Arial"/>
          <w:color w:val="000000"/>
          <w:sz w:val="22"/>
          <w:szCs w:val="22"/>
        </w:rPr>
        <w:t xml:space="preserve">remove the need for the mortgagee to make an application </w:t>
      </w:r>
      <w:r w:rsidR="00ED6D91">
        <w:rPr>
          <w:rFonts w:ascii="Arial" w:hAnsi="Arial" w:cs="Arial"/>
          <w:color w:val="000000"/>
          <w:sz w:val="22"/>
          <w:szCs w:val="22"/>
        </w:rPr>
        <w:t>to the Commissioner</w:t>
      </w:r>
      <w:r w:rsidR="00370FE4" w:rsidRPr="00566D26">
        <w:rPr>
          <w:rFonts w:ascii="Arial" w:hAnsi="Arial" w:cs="Arial"/>
          <w:color w:val="000000"/>
          <w:sz w:val="22"/>
          <w:szCs w:val="22"/>
        </w:rPr>
        <w:t xml:space="preserve"> </w:t>
      </w:r>
      <w:r w:rsidR="006B56B9" w:rsidRPr="00566D26">
        <w:rPr>
          <w:rFonts w:ascii="Arial" w:hAnsi="Arial" w:cs="Arial"/>
          <w:color w:val="000000"/>
          <w:sz w:val="22"/>
          <w:szCs w:val="22"/>
        </w:rPr>
        <w:t>for a variation un</w:t>
      </w:r>
      <w:r w:rsidR="000D3A2A" w:rsidRPr="00566D26">
        <w:rPr>
          <w:rFonts w:ascii="Arial" w:hAnsi="Arial" w:cs="Arial"/>
          <w:color w:val="000000"/>
          <w:sz w:val="22"/>
          <w:szCs w:val="22"/>
        </w:rPr>
        <w:t>der subsection 14-235(2)</w:t>
      </w:r>
      <w:r w:rsidR="002373E0" w:rsidRPr="00566D26">
        <w:rPr>
          <w:rFonts w:ascii="Arial" w:hAnsi="Arial" w:cs="Arial"/>
          <w:color w:val="000000"/>
          <w:sz w:val="22"/>
          <w:szCs w:val="22"/>
        </w:rPr>
        <w:t>.</w:t>
      </w:r>
    </w:p>
    <w:p w14:paraId="0ABFE04C" w14:textId="77777777" w:rsidR="00932C75" w:rsidRPr="00566D26" w:rsidRDefault="00932C75" w:rsidP="00932C75">
      <w:pPr>
        <w:numPr>
          <w:ilvl w:val="0"/>
          <w:numId w:val="16"/>
        </w:numPr>
        <w:tabs>
          <w:tab w:val="clear" w:pos="720"/>
        </w:tabs>
        <w:spacing w:after="120"/>
        <w:ind w:left="0" w:firstLine="0"/>
        <w:rPr>
          <w:rFonts w:ascii="Arial" w:hAnsi="Arial" w:cs="Arial"/>
          <w:color w:val="000000"/>
          <w:sz w:val="22"/>
          <w:szCs w:val="22"/>
        </w:rPr>
      </w:pPr>
      <w:r w:rsidRPr="00566D26">
        <w:rPr>
          <w:rFonts w:ascii="Arial" w:hAnsi="Arial" w:cs="Arial"/>
          <w:color w:val="000000"/>
          <w:sz w:val="22"/>
          <w:szCs w:val="22"/>
        </w:rPr>
        <w:t>The new instrument is of a minor or machinery nature. An assessment of the compliance cost impact indicates that both implementation and on-going compliance costs will be minor. This instrument reduces the compliance costs of the mortgagees exercising powers of sale.</w:t>
      </w:r>
    </w:p>
    <w:p w14:paraId="15AC1B72" w14:textId="40791133" w:rsidR="00493CA7" w:rsidRPr="00566D26" w:rsidRDefault="00493CA7" w:rsidP="00910595">
      <w:pPr>
        <w:spacing w:after="120"/>
        <w:rPr>
          <w:rFonts w:ascii="Arial" w:hAnsi="Arial" w:cs="Arial"/>
          <w:sz w:val="22"/>
          <w:szCs w:val="22"/>
        </w:rPr>
      </w:pPr>
    </w:p>
    <w:p w14:paraId="28D35125" w14:textId="6AB41598" w:rsidR="00A628BD" w:rsidRDefault="00486653" w:rsidP="0087573A">
      <w:pPr>
        <w:pStyle w:val="Heading2"/>
      </w:pPr>
      <w:r w:rsidRPr="00566D26">
        <w:t>Background</w:t>
      </w:r>
    </w:p>
    <w:p w14:paraId="55247B6F" w14:textId="77777777" w:rsidR="00226E71" w:rsidRPr="00226E71" w:rsidRDefault="00226E71" w:rsidP="00226E71"/>
    <w:p w14:paraId="1BEBBABD" w14:textId="77777777" w:rsidR="002373E0" w:rsidRPr="00566D26" w:rsidRDefault="00B212DD" w:rsidP="002373E0">
      <w:pPr>
        <w:numPr>
          <w:ilvl w:val="0"/>
          <w:numId w:val="16"/>
        </w:numPr>
        <w:tabs>
          <w:tab w:val="clear" w:pos="720"/>
        </w:tabs>
        <w:spacing w:after="120"/>
        <w:ind w:left="0" w:firstLine="0"/>
        <w:rPr>
          <w:rFonts w:ascii="Arial" w:hAnsi="Arial" w:cs="Arial"/>
          <w:color w:val="000000"/>
          <w:sz w:val="22"/>
          <w:szCs w:val="22"/>
        </w:rPr>
      </w:pPr>
      <w:r w:rsidRPr="00566D26">
        <w:rPr>
          <w:rFonts w:ascii="Arial" w:hAnsi="Arial" w:cs="Arial"/>
          <w:color w:val="000000"/>
          <w:sz w:val="22"/>
          <w:szCs w:val="22"/>
        </w:rPr>
        <w:t xml:space="preserve">The instrument has been developed to ensure that there is certainty for transferees and mortgagees in the relevant transaction that no amount is required to be withheld where there is no residue that will be payable to the mortgagor. This instrument will ensure there are no unintended consequences for the parties to a conveyancing process </w:t>
      </w:r>
      <w:proofErr w:type="gramStart"/>
      <w:r w:rsidRPr="00566D26">
        <w:rPr>
          <w:rFonts w:ascii="Arial" w:hAnsi="Arial" w:cs="Arial"/>
          <w:color w:val="000000"/>
          <w:sz w:val="22"/>
          <w:szCs w:val="22"/>
        </w:rPr>
        <w:t>in the event that</w:t>
      </w:r>
      <w:proofErr w:type="gramEnd"/>
      <w:r w:rsidRPr="00566D26">
        <w:rPr>
          <w:rFonts w:ascii="Arial" w:hAnsi="Arial" w:cs="Arial"/>
          <w:color w:val="000000"/>
          <w:sz w:val="22"/>
          <w:szCs w:val="22"/>
        </w:rPr>
        <w:t xml:space="preserve"> failure to obtain a variation results in delay or failure to complete settlement.</w:t>
      </w:r>
    </w:p>
    <w:p w14:paraId="5CE088F0" w14:textId="77777777" w:rsidR="008C7FE5" w:rsidRPr="00566D26" w:rsidRDefault="002373E0" w:rsidP="008C7FE5">
      <w:pPr>
        <w:numPr>
          <w:ilvl w:val="0"/>
          <w:numId w:val="16"/>
        </w:numPr>
        <w:tabs>
          <w:tab w:val="clear" w:pos="720"/>
        </w:tabs>
        <w:spacing w:after="120"/>
        <w:ind w:left="0" w:firstLine="0"/>
        <w:rPr>
          <w:rFonts w:ascii="Arial" w:hAnsi="Arial" w:cs="Arial"/>
          <w:color w:val="000000"/>
          <w:sz w:val="22"/>
          <w:szCs w:val="22"/>
        </w:rPr>
      </w:pPr>
      <w:r w:rsidRPr="00566D26">
        <w:rPr>
          <w:rFonts w:ascii="Arial" w:hAnsi="Arial" w:cs="Arial"/>
          <w:color w:val="000000"/>
          <w:sz w:val="22"/>
          <w:szCs w:val="22"/>
        </w:rPr>
        <w:t>Variations are commonly sought where a mortgagee has exercised a power of sale over the property and has determined that after satisfying the obligation to withhold at a rate of 12.5% there will be insufficient funds to discharge the mortgage over the property.</w:t>
      </w:r>
    </w:p>
    <w:p w14:paraId="68704722" w14:textId="2CF244B8" w:rsidR="008C7FE5" w:rsidRPr="00566D26" w:rsidRDefault="008C7FE5" w:rsidP="008C7FE5">
      <w:pPr>
        <w:numPr>
          <w:ilvl w:val="0"/>
          <w:numId w:val="16"/>
        </w:numPr>
        <w:tabs>
          <w:tab w:val="clear" w:pos="720"/>
        </w:tabs>
        <w:spacing w:after="120"/>
        <w:ind w:left="0" w:firstLine="0"/>
        <w:rPr>
          <w:rFonts w:ascii="Arial" w:hAnsi="Arial" w:cs="Arial"/>
          <w:color w:val="000000"/>
          <w:sz w:val="22"/>
          <w:szCs w:val="22"/>
        </w:rPr>
      </w:pPr>
      <w:r w:rsidRPr="00566D26">
        <w:rPr>
          <w:rFonts w:ascii="Arial" w:hAnsi="Arial" w:cs="Arial"/>
          <w:color w:val="000000"/>
          <w:sz w:val="22"/>
          <w:szCs w:val="22"/>
        </w:rPr>
        <w:t>The amount payable to the Commissioner under the withholding regime is generally 12.5% of the first element of the cost base of the asset being acquired (the ‘purchase price’), unless the Commissioner exercises the discretion under section 14-235 to vary the amount or classes of amounts.</w:t>
      </w:r>
    </w:p>
    <w:p w14:paraId="665BF936" w14:textId="5AED9EB7" w:rsidR="002373E0" w:rsidRPr="00566D26" w:rsidRDefault="00990BA7" w:rsidP="002373E0">
      <w:pPr>
        <w:numPr>
          <w:ilvl w:val="0"/>
          <w:numId w:val="16"/>
        </w:numPr>
        <w:tabs>
          <w:tab w:val="clear" w:pos="720"/>
        </w:tabs>
        <w:spacing w:after="120"/>
        <w:ind w:left="0" w:firstLine="0"/>
        <w:rPr>
          <w:rFonts w:ascii="Arial" w:hAnsi="Arial" w:cs="Arial"/>
          <w:color w:val="000000"/>
          <w:sz w:val="22"/>
          <w:szCs w:val="22"/>
        </w:rPr>
      </w:pPr>
      <w:r w:rsidRPr="00566D26">
        <w:rPr>
          <w:rFonts w:ascii="Arial" w:hAnsi="Arial" w:cs="Arial"/>
          <w:color w:val="000000"/>
          <w:sz w:val="22"/>
          <w:szCs w:val="22"/>
        </w:rPr>
        <w:t>T</w:t>
      </w:r>
      <w:r w:rsidR="00701312" w:rsidRPr="00566D26">
        <w:rPr>
          <w:rFonts w:ascii="Arial" w:hAnsi="Arial" w:cs="Arial"/>
          <w:color w:val="000000"/>
          <w:sz w:val="22"/>
          <w:szCs w:val="22"/>
        </w:rPr>
        <w:t xml:space="preserve">he PAYG system, introduced in </w:t>
      </w:r>
      <w:r w:rsidR="00701312" w:rsidRPr="00566D26">
        <w:rPr>
          <w:rFonts w:ascii="Arial" w:hAnsi="Arial" w:cs="Arial"/>
          <w:i/>
          <w:color w:val="000000"/>
          <w:sz w:val="22"/>
          <w:szCs w:val="22"/>
        </w:rPr>
        <w:t xml:space="preserve">A New Tax System (Pay </w:t>
      </w:r>
      <w:proofErr w:type="gramStart"/>
      <w:r w:rsidR="00701312" w:rsidRPr="00566D26">
        <w:rPr>
          <w:rFonts w:ascii="Arial" w:hAnsi="Arial" w:cs="Arial"/>
          <w:i/>
          <w:color w:val="000000"/>
          <w:sz w:val="22"/>
          <w:szCs w:val="22"/>
        </w:rPr>
        <w:t>As</w:t>
      </w:r>
      <w:proofErr w:type="gramEnd"/>
      <w:r w:rsidR="00701312" w:rsidRPr="00566D26">
        <w:rPr>
          <w:rFonts w:ascii="Arial" w:hAnsi="Arial" w:cs="Arial"/>
          <w:i/>
          <w:color w:val="000000"/>
          <w:sz w:val="22"/>
          <w:szCs w:val="22"/>
        </w:rPr>
        <w:t xml:space="preserve"> You Go) Act 1999</w:t>
      </w:r>
      <w:r w:rsidR="00701312" w:rsidRPr="00566D26">
        <w:rPr>
          <w:rFonts w:ascii="Arial" w:hAnsi="Arial" w:cs="Arial"/>
          <w:color w:val="000000"/>
          <w:sz w:val="22"/>
          <w:szCs w:val="22"/>
        </w:rPr>
        <w:t xml:space="preserve">, is a simple and convenient way for individual taxpayers to meet their annual income tax liabilities either through instalments or through withholding as their income is earned. This system aims to prevent large end-of-year tax bills for relevant entities. It also ensures that </w:t>
      </w:r>
      <w:r w:rsidR="008C7FE5" w:rsidRPr="00566D26">
        <w:rPr>
          <w:rFonts w:ascii="Arial" w:hAnsi="Arial" w:cs="Arial"/>
          <w:color w:val="000000"/>
          <w:sz w:val="22"/>
          <w:szCs w:val="22"/>
        </w:rPr>
        <w:t xml:space="preserve">the </w:t>
      </w:r>
      <w:r w:rsidR="00701312" w:rsidRPr="00566D26">
        <w:rPr>
          <w:rFonts w:ascii="Arial" w:hAnsi="Arial" w:cs="Arial"/>
          <w:color w:val="000000"/>
          <w:sz w:val="22"/>
          <w:szCs w:val="22"/>
        </w:rPr>
        <w:t>Government has the revenue it needs during the year to provide services and benefits to the community.</w:t>
      </w:r>
    </w:p>
    <w:p w14:paraId="3DC745BD" w14:textId="77777777" w:rsidR="00701312" w:rsidRPr="00566D26" w:rsidRDefault="00701312" w:rsidP="00701312">
      <w:pPr>
        <w:numPr>
          <w:ilvl w:val="0"/>
          <w:numId w:val="16"/>
        </w:numPr>
        <w:tabs>
          <w:tab w:val="clear" w:pos="720"/>
        </w:tabs>
        <w:spacing w:after="120"/>
        <w:ind w:left="0" w:firstLine="0"/>
        <w:rPr>
          <w:rFonts w:ascii="Arial" w:hAnsi="Arial" w:cs="Arial"/>
          <w:color w:val="000000"/>
          <w:sz w:val="22"/>
          <w:szCs w:val="22"/>
        </w:rPr>
      </w:pPr>
      <w:r w:rsidRPr="00566D26">
        <w:rPr>
          <w:rFonts w:ascii="Arial" w:hAnsi="Arial" w:cs="Arial"/>
          <w:color w:val="000000"/>
          <w:sz w:val="22"/>
          <w:szCs w:val="22"/>
        </w:rPr>
        <w:t xml:space="preserve">Subdivision 14-D forms part of the Pay </w:t>
      </w:r>
      <w:proofErr w:type="gramStart"/>
      <w:r w:rsidRPr="00566D26">
        <w:rPr>
          <w:rFonts w:ascii="Arial" w:hAnsi="Arial" w:cs="Arial"/>
          <w:color w:val="000000"/>
          <w:sz w:val="22"/>
          <w:szCs w:val="22"/>
        </w:rPr>
        <w:t>As</w:t>
      </w:r>
      <w:proofErr w:type="gramEnd"/>
      <w:r w:rsidRPr="00566D26">
        <w:rPr>
          <w:rFonts w:ascii="Arial" w:hAnsi="Arial" w:cs="Arial"/>
          <w:color w:val="000000"/>
          <w:sz w:val="22"/>
          <w:szCs w:val="22"/>
        </w:rPr>
        <w:t xml:space="preserve"> You Go Withholding system and its purpose is to assist in the collection of capital gains tax from foreign residents.</w:t>
      </w:r>
    </w:p>
    <w:p w14:paraId="4464F667" w14:textId="2D6AFFCC" w:rsidR="000D3A2A" w:rsidRPr="00566D26" w:rsidRDefault="000D3A2A" w:rsidP="000D3A2A">
      <w:pPr>
        <w:numPr>
          <w:ilvl w:val="0"/>
          <w:numId w:val="16"/>
        </w:numPr>
        <w:tabs>
          <w:tab w:val="clear" w:pos="720"/>
        </w:tabs>
        <w:spacing w:after="120"/>
        <w:ind w:left="0" w:firstLine="0"/>
        <w:rPr>
          <w:rFonts w:ascii="Arial" w:hAnsi="Arial" w:cs="Arial"/>
          <w:color w:val="000000"/>
          <w:sz w:val="22"/>
          <w:szCs w:val="22"/>
        </w:rPr>
      </w:pPr>
      <w:r w:rsidRPr="00566D26">
        <w:rPr>
          <w:rFonts w:ascii="Arial" w:hAnsi="Arial" w:cs="Arial"/>
          <w:color w:val="000000"/>
          <w:sz w:val="22"/>
          <w:szCs w:val="22"/>
        </w:rPr>
        <w:t>Subdivision 14-D requires that an amount be paid to the Commissio</w:t>
      </w:r>
      <w:r w:rsidR="00ED6D91">
        <w:rPr>
          <w:rFonts w:ascii="Arial" w:hAnsi="Arial" w:cs="Arial"/>
          <w:color w:val="000000"/>
          <w:sz w:val="22"/>
          <w:szCs w:val="22"/>
        </w:rPr>
        <w:t>ner</w:t>
      </w:r>
      <w:r w:rsidRPr="00566D26">
        <w:rPr>
          <w:rFonts w:ascii="Arial" w:hAnsi="Arial" w:cs="Arial"/>
          <w:color w:val="000000"/>
          <w:sz w:val="22"/>
          <w:szCs w:val="22"/>
        </w:rPr>
        <w:t xml:space="preserve"> in relation to the acquisition of certain assets from one or more entities where at least one of those entities is a foreign resident within the meaning of section 14</w:t>
      </w:r>
      <w:r w:rsidRPr="00566D26">
        <w:rPr>
          <w:rFonts w:ascii="Arial" w:hAnsi="Arial" w:cs="Arial"/>
          <w:color w:val="000000"/>
          <w:sz w:val="22"/>
          <w:szCs w:val="22"/>
        </w:rPr>
        <w:noBreakHyphen/>
        <w:t xml:space="preserve">210 at the time the transaction is </w:t>
      </w:r>
      <w:proofErr w:type="gramStart"/>
      <w:r w:rsidRPr="00566D26">
        <w:rPr>
          <w:rFonts w:ascii="Arial" w:hAnsi="Arial" w:cs="Arial"/>
          <w:color w:val="000000"/>
          <w:sz w:val="22"/>
          <w:szCs w:val="22"/>
        </w:rPr>
        <w:t>entered into</w:t>
      </w:r>
      <w:proofErr w:type="gramEnd"/>
      <w:r w:rsidRPr="00566D26">
        <w:rPr>
          <w:rFonts w:ascii="Arial" w:hAnsi="Arial" w:cs="Arial"/>
          <w:color w:val="000000"/>
          <w:sz w:val="22"/>
          <w:szCs w:val="22"/>
        </w:rPr>
        <w:t>.</w:t>
      </w:r>
    </w:p>
    <w:p w14:paraId="20CB279F" w14:textId="77777777" w:rsidR="00701312" w:rsidRPr="00566D26" w:rsidRDefault="00701312" w:rsidP="00701312">
      <w:pPr>
        <w:numPr>
          <w:ilvl w:val="0"/>
          <w:numId w:val="16"/>
        </w:numPr>
        <w:tabs>
          <w:tab w:val="clear" w:pos="720"/>
        </w:tabs>
        <w:spacing w:after="120"/>
        <w:ind w:left="0" w:firstLine="0"/>
        <w:rPr>
          <w:rFonts w:ascii="Arial" w:hAnsi="Arial" w:cs="Arial"/>
          <w:color w:val="000000"/>
          <w:sz w:val="22"/>
          <w:szCs w:val="22"/>
        </w:rPr>
      </w:pPr>
      <w:r w:rsidRPr="00566D26">
        <w:rPr>
          <w:rFonts w:ascii="Arial" w:hAnsi="Arial" w:cs="Arial"/>
          <w:color w:val="000000"/>
          <w:sz w:val="22"/>
          <w:szCs w:val="22"/>
        </w:rPr>
        <w:t>Paragraph 14-200(1)(a) provides that an amount is payable to the Commissioner if “you become the owner of a relevant CGT asset as a result of acquiring it from one or more entities under one or more transactions”. Under subsection 14-200(2), the amount must be paid to the Commissioner “on or before the day you became the CGT asset’s owner”. The amount to be withheld is 12.5% of the purchase price.</w:t>
      </w:r>
    </w:p>
    <w:p w14:paraId="3BFE8E4D" w14:textId="7E3C5C73" w:rsidR="00701312" w:rsidRPr="00566D26" w:rsidRDefault="00701312" w:rsidP="00701312">
      <w:pPr>
        <w:numPr>
          <w:ilvl w:val="0"/>
          <w:numId w:val="16"/>
        </w:numPr>
        <w:tabs>
          <w:tab w:val="clear" w:pos="720"/>
        </w:tabs>
        <w:spacing w:after="120"/>
        <w:ind w:left="0" w:firstLine="0"/>
        <w:rPr>
          <w:rFonts w:ascii="Arial" w:hAnsi="Arial" w:cs="Arial"/>
          <w:color w:val="000000"/>
          <w:sz w:val="22"/>
          <w:szCs w:val="22"/>
        </w:rPr>
      </w:pPr>
      <w:r w:rsidRPr="00566D26">
        <w:rPr>
          <w:rFonts w:ascii="Arial" w:hAnsi="Arial" w:cs="Arial"/>
          <w:color w:val="000000"/>
          <w:sz w:val="22"/>
          <w:szCs w:val="22"/>
        </w:rPr>
        <w:t>In limited circumstances, transferees are not required to withhold and remit part of the purchase moneys to the Commissioner in relation to the acquisition of a relevant CGT asset. For example, where the vendor has provided a valid clearance certificate on or before settlement (subsection 14-210(2)), or the property has a market value of less than $750,000.00 (subsection 14</w:t>
      </w:r>
      <w:r w:rsidR="005E691B">
        <w:rPr>
          <w:rFonts w:ascii="Arial" w:hAnsi="Arial" w:cs="Arial"/>
          <w:color w:val="000000"/>
          <w:sz w:val="22"/>
          <w:szCs w:val="22"/>
        </w:rPr>
        <w:noBreakHyphen/>
      </w:r>
      <w:r w:rsidRPr="00566D26">
        <w:rPr>
          <w:rFonts w:ascii="Arial" w:hAnsi="Arial" w:cs="Arial"/>
          <w:color w:val="000000"/>
          <w:sz w:val="22"/>
          <w:szCs w:val="22"/>
        </w:rPr>
        <w:t>215(1)).</w:t>
      </w:r>
    </w:p>
    <w:p w14:paraId="2FA5F3E5" w14:textId="6CB39FBD" w:rsidR="00701312" w:rsidRPr="00566D26" w:rsidRDefault="00701312" w:rsidP="00701312">
      <w:pPr>
        <w:numPr>
          <w:ilvl w:val="0"/>
          <w:numId w:val="16"/>
        </w:numPr>
        <w:tabs>
          <w:tab w:val="clear" w:pos="720"/>
        </w:tabs>
        <w:spacing w:after="120"/>
        <w:ind w:left="0" w:firstLine="0"/>
        <w:rPr>
          <w:rFonts w:ascii="Arial" w:hAnsi="Arial" w:cs="Arial"/>
          <w:color w:val="000000"/>
          <w:sz w:val="22"/>
          <w:szCs w:val="22"/>
        </w:rPr>
      </w:pPr>
      <w:r w:rsidRPr="00566D26">
        <w:rPr>
          <w:rFonts w:ascii="Arial" w:hAnsi="Arial" w:cs="Arial"/>
          <w:color w:val="000000"/>
          <w:sz w:val="22"/>
          <w:szCs w:val="22"/>
        </w:rPr>
        <w:t xml:space="preserve">In the absence of a variation under section 14-235, </w:t>
      </w:r>
      <w:r w:rsidR="00FE1204" w:rsidRPr="00FE1204">
        <w:rPr>
          <w:rFonts w:ascii="Arial" w:hAnsi="Arial" w:cs="Arial"/>
          <w:color w:val="000000"/>
          <w:sz w:val="22"/>
          <w:szCs w:val="22"/>
        </w:rPr>
        <w:t>either separately sought and made under subsection 14-235(2)</w:t>
      </w:r>
      <w:r w:rsidR="00FE1204">
        <w:rPr>
          <w:rFonts w:ascii="Arial" w:hAnsi="Arial" w:cs="Arial"/>
          <w:color w:val="000000"/>
          <w:sz w:val="22"/>
          <w:szCs w:val="22"/>
        </w:rPr>
        <w:t xml:space="preserve"> </w:t>
      </w:r>
      <w:r w:rsidR="00FE1204" w:rsidRPr="00FE1204">
        <w:rPr>
          <w:rFonts w:ascii="Arial" w:hAnsi="Arial" w:cs="Arial"/>
          <w:color w:val="000000"/>
          <w:sz w:val="22"/>
          <w:szCs w:val="22"/>
        </w:rPr>
        <w:t>and (3) or as provided under this instrument</w:t>
      </w:r>
      <w:r w:rsidRPr="00566D26">
        <w:rPr>
          <w:rFonts w:ascii="Arial" w:hAnsi="Arial" w:cs="Arial"/>
          <w:color w:val="000000"/>
          <w:sz w:val="22"/>
          <w:szCs w:val="22"/>
        </w:rPr>
        <w:t>, when a person acquires land in a transaction where a mortgagee was exercising a power of sale, subsection 14-200(3) would require an amount to be paid to the Commissioner equal to 12.5% of the purchase price.</w:t>
      </w:r>
    </w:p>
    <w:p w14:paraId="330993D3" w14:textId="4B984354" w:rsidR="00701312" w:rsidRPr="00566D26" w:rsidRDefault="00701312" w:rsidP="00701312">
      <w:pPr>
        <w:numPr>
          <w:ilvl w:val="0"/>
          <w:numId w:val="16"/>
        </w:numPr>
        <w:tabs>
          <w:tab w:val="clear" w:pos="720"/>
        </w:tabs>
        <w:spacing w:after="120"/>
        <w:ind w:left="0" w:firstLine="0"/>
        <w:rPr>
          <w:rFonts w:ascii="Arial" w:hAnsi="Arial" w:cs="Arial"/>
          <w:color w:val="000000"/>
          <w:sz w:val="22"/>
          <w:szCs w:val="22"/>
        </w:rPr>
      </w:pPr>
      <w:r w:rsidRPr="00566D26">
        <w:rPr>
          <w:rFonts w:ascii="Arial" w:hAnsi="Arial" w:cs="Arial"/>
          <w:color w:val="000000"/>
          <w:sz w:val="22"/>
          <w:szCs w:val="22"/>
        </w:rPr>
        <w:lastRenderedPageBreak/>
        <w:t xml:space="preserve">The ‘residue’ in this context is the amount remaining after expenses incidental to the sale and amounts payable to registered mortgagees over the asset are deducted from the sale proceeds. The expenses incidental to the sale include amounts that are ordinarily payable during the conveyancing process such as adjustments for council rates, land </w:t>
      </w:r>
      <w:r w:rsidR="00B84B7C" w:rsidRPr="00566D26">
        <w:rPr>
          <w:rFonts w:ascii="Arial" w:hAnsi="Arial" w:cs="Arial"/>
          <w:color w:val="000000"/>
          <w:sz w:val="22"/>
          <w:szCs w:val="22"/>
        </w:rPr>
        <w:t>tax</w:t>
      </w:r>
      <w:r w:rsidRPr="00566D26">
        <w:rPr>
          <w:rFonts w:ascii="Arial" w:hAnsi="Arial" w:cs="Arial"/>
          <w:color w:val="000000"/>
          <w:sz w:val="22"/>
          <w:szCs w:val="22"/>
        </w:rPr>
        <w:t>, water rates, legal fees and conveyancing fees.</w:t>
      </w:r>
    </w:p>
    <w:p w14:paraId="1178DCA6" w14:textId="4203F5CB" w:rsidR="00701312" w:rsidRPr="00566D26" w:rsidRDefault="00701312" w:rsidP="00701312">
      <w:pPr>
        <w:numPr>
          <w:ilvl w:val="0"/>
          <w:numId w:val="16"/>
        </w:numPr>
        <w:tabs>
          <w:tab w:val="clear" w:pos="720"/>
        </w:tabs>
        <w:spacing w:after="120"/>
        <w:ind w:left="0" w:firstLine="0"/>
        <w:rPr>
          <w:rFonts w:ascii="Arial" w:hAnsi="Arial" w:cs="Arial"/>
          <w:color w:val="000000"/>
          <w:sz w:val="22"/>
          <w:szCs w:val="22"/>
        </w:rPr>
      </w:pPr>
      <w:r w:rsidRPr="00566D26">
        <w:rPr>
          <w:rFonts w:ascii="Arial" w:hAnsi="Arial" w:cs="Arial"/>
          <w:color w:val="000000"/>
          <w:sz w:val="22"/>
          <w:szCs w:val="22"/>
        </w:rPr>
        <w:t>For completeness, in the event that there is a residue payable to the mortgagor</w:t>
      </w:r>
      <w:r w:rsidR="006A24DD" w:rsidRPr="00566D26">
        <w:rPr>
          <w:rFonts w:ascii="Arial" w:hAnsi="Arial" w:cs="Arial"/>
          <w:color w:val="000000"/>
          <w:sz w:val="22"/>
          <w:szCs w:val="22"/>
        </w:rPr>
        <w:t>,</w:t>
      </w:r>
      <w:r w:rsidRPr="00566D26">
        <w:rPr>
          <w:rFonts w:ascii="Arial" w:hAnsi="Arial" w:cs="Arial"/>
          <w:color w:val="000000"/>
          <w:sz w:val="22"/>
          <w:szCs w:val="22"/>
        </w:rPr>
        <w:t xml:space="preserve"> but this is insufficient to satisfy the withholding obligation at 12.5%, </w:t>
      </w:r>
      <w:r w:rsidR="00FE1204" w:rsidRPr="00FE1204">
        <w:rPr>
          <w:rFonts w:ascii="Arial" w:hAnsi="Arial" w:cs="Arial"/>
          <w:color w:val="000000"/>
          <w:sz w:val="22"/>
          <w:szCs w:val="22"/>
        </w:rPr>
        <w:t xml:space="preserve">this legislative instrument will not </w:t>
      </w:r>
      <w:proofErr w:type="gramStart"/>
      <w:r w:rsidR="00FE1204" w:rsidRPr="00FE1204">
        <w:rPr>
          <w:rFonts w:ascii="Arial" w:hAnsi="Arial" w:cs="Arial"/>
          <w:color w:val="000000"/>
          <w:sz w:val="22"/>
          <w:szCs w:val="22"/>
        </w:rPr>
        <w:t>apply</w:t>
      </w:r>
      <w:proofErr w:type="gramEnd"/>
      <w:r w:rsidR="00FE1204" w:rsidRPr="00FE1204">
        <w:rPr>
          <w:rFonts w:ascii="Arial" w:hAnsi="Arial" w:cs="Arial"/>
          <w:color w:val="000000"/>
          <w:sz w:val="22"/>
          <w:szCs w:val="22"/>
        </w:rPr>
        <w:t xml:space="preserve"> and a variation request</w:t>
      </w:r>
      <w:r w:rsidR="00FE1204">
        <w:rPr>
          <w:rFonts w:ascii="Arial" w:hAnsi="Arial" w:cs="Arial"/>
          <w:color w:val="000000"/>
          <w:sz w:val="22"/>
          <w:szCs w:val="22"/>
        </w:rPr>
        <w:t xml:space="preserve"> </w:t>
      </w:r>
      <w:r w:rsidRPr="00566D26">
        <w:rPr>
          <w:rFonts w:ascii="Arial" w:hAnsi="Arial" w:cs="Arial"/>
          <w:color w:val="000000"/>
          <w:sz w:val="22"/>
          <w:szCs w:val="22"/>
        </w:rPr>
        <w:t>must still be submitted to the Commissioner. A variation request must also b</w:t>
      </w:r>
      <w:r w:rsidR="006A24DD" w:rsidRPr="00566D26">
        <w:rPr>
          <w:rFonts w:ascii="Arial" w:hAnsi="Arial" w:cs="Arial"/>
          <w:color w:val="000000"/>
          <w:sz w:val="22"/>
          <w:szCs w:val="22"/>
        </w:rPr>
        <w:t>e submitted to the Commissioner</w:t>
      </w:r>
      <w:r w:rsidRPr="00566D26">
        <w:rPr>
          <w:rFonts w:ascii="Arial" w:hAnsi="Arial" w:cs="Arial"/>
          <w:color w:val="000000"/>
          <w:sz w:val="22"/>
          <w:szCs w:val="22"/>
        </w:rPr>
        <w:t xml:space="preserve"> </w:t>
      </w:r>
      <w:proofErr w:type="gramStart"/>
      <w:r w:rsidRPr="00566D26">
        <w:rPr>
          <w:rFonts w:ascii="Arial" w:hAnsi="Arial" w:cs="Arial"/>
          <w:color w:val="000000"/>
          <w:sz w:val="22"/>
          <w:szCs w:val="22"/>
        </w:rPr>
        <w:t>in the event that</w:t>
      </w:r>
      <w:proofErr w:type="gramEnd"/>
      <w:r w:rsidRPr="00566D26">
        <w:rPr>
          <w:rFonts w:ascii="Arial" w:hAnsi="Arial" w:cs="Arial"/>
          <w:color w:val="000000"/>
          <w:sz w:val="22"/>
          <w:szCs w:val="22"/>
        </w:rPr>
        <w:t xml:space="preserve"> the power of sale is subject to potential challenges or disputes (such as equitable claims), or there is any other uncertainty regarding the application of sale proceeds.</w:t>
      </w:r>
    </w:p>
    <w:p w14:paraId="2B053E3E" w14:textId="77777777" w:rsidR="008C7FE5" w:rsidRPr="00566D26" w:rsidRDefault="00701312" w:rsidP="008C7FE5">
      <w:pPr>
        <w:numPr>
          <w:ilvl w:val="0"/>
          <w:numId w:val="16"/>
        </w:numPr>
        <w:tabs>
          <w:tab w:val="clear" w:pos="720"/>
        </w:tabs>
        <w:spacing w:after="120"/>
        <w:ind w:left="0" w:firstLine="0"/>
        <w:rPr>
          <w:rFonts w:ascii="Arial" w:hAnsi="Arial" w:cs="Arial"/>
          <w:color w:val="000000"/>
          <w:sz w:val="22"/>
          <w:szCs w:val="22"/>
        </w:rPr>
      </w:pPr>
      <w:r w:rsidRPr="00566D26">
        <w:rPr>
          <w:rFonts w:ascii="Arial" w:hAnsi="Arial" w:cs="Arial"/>
          <w:color w:val="000000"/>
          <w:sz w:val="22"/>
          <w:szCs w:val="22"/>
        </w:rPr>
        <w:t>The variation provided by this instrument is consistent with the legislative direction provided in subsection 14-235(1) that the Commissioner is to have regard to the need to protect a creditor’s right to recover a debt.</w:t>
      </w:r>
    </w:p>
    <w:p w14:paraId="3F571302" w14:textId="77777777" w:rsidR="00932C75" w:rsidRPr="00566D26" w:rsidRDefault="00932C75" w:rsidP="00932C75">
      <w:pPr>
        <w:spacing w:after="120"/>
        <w:rPr>
          <w:rFonts w:ascii="Arial" w:hAnsi="Arial" w:cs="Arial"/>
          <w:color w:val="000000"/>
          <w:sz w:val="22"/>
          <w:szCs w:val="22"/>
        </w:rPr>
      </w:pPr>
    </w:p>
    <w:p w14:paraId="1F4B5B52" w14:textId="77777777" w:rsidR="008C7FE5" w:rsidRPr="00566D26" w:rsidRDefault="008C7FE5" w:rsidP="008C7FE5">
      <w:pPr>
        <w:spacing w:after="120"/>
        <w:rPr>
          <w:rFonts w:ascii="Arial" w:hAnsi="Arial" w:cs="Arial"/>
          <w:color w:val="000000"/>
          <w:sz w:val="22"/>
          <w:szCs w:val="22"/>
        </w:rPr>
      </w:pPr>
    </w:p>
    <w:p w14:paraId="68923E56" w14:textId="0331AB57" w:rsidR="008C7FE5" w:rsidRPr="00566D26" w:rsidRDefault="00717289" w:rsidP="008C7FE5">
      <w:pPr>
        <w:spacing w:after="120"/>
        <w:rPr>
          <w:rFonts w:ascii="Arial" w:hAnsi="Arial" w:cs="Arial"/>
          <w:b/>
          <w:i/>
          <w:sz w:val="22"/>
          <w:szCs w:val="22"/>
        </w:rPr>
      </w:pPr>
      <w:r w:rsidRPr="00566D26">
        <w:rPr>
          <w:rFonts w:ascii="Arial" w:hAnsi="Arial" w:cs="Arial"/>
          <w:b/>
          <w:i/>
          <w:sz w:val="22"/>
          <w:szCs w:val="22"/>
        </w:rPr>
        <w:t>Commissioner’s Variation Power</w:t>
      </w:r>
    </w:p>
    <w:p w14:paraId="4B7CB887" w14:textId="77777777" w:rsidR="00932C75" w:rsidRPr="00566D26" w:rsidRDefault="00932C75" w:rsidP="008C7FE5">
      <w:pPr>
        <w:spacing w:after="120"/>
        <w:rPr>
          <w:rFonts w:ascii="Arial" w:hAnsi="Arial" w:cs="Arial"/>
          <w:b/>
          <w:color w:val="000000"/>
          <w:sz w:val="22"/>
          <w:szCs w:val="22"/>
        </w:rPr>
      </w:pPr>
    </w:p>
    <w:p w14:paraId="3E6EA6C1" w14:textId="77777777" w:rsidR="008C7FE5" w:rsidRPr="00566D26" w:rsidRDefault="00717289" w:rsidP="008C7FE5">
      <w:pPr>
        <w:numPr>
          <w:ilvl w:val="0"/>
          <w:numId w:val="16"/>
        </w:numPr>
        <w:tabs>
          <w:tab w:val="clear" w:pos="720"/>
        </w:tabs>
        <w:spacing w:after="120"/>
        <w:ind w:left="0" w:firstLine="0"/>
        <w:rPr>
          <w:rFonts w:ascii="Arial" w:hAnsi="Arial" w:cs="Arial"/>
          <w:color w:val="000000"/>
          <w:sz w:val="22"/>
          <w:szCs w:val="22"/>
        </w:rPr>
      </w:pPr>
      <w:r w:rsidRPr="00566D26">
        <w:rPr>
          <w:rFonts w:ascii="Arial" w:hAnsi="Arial" w:cs="Arial"/>
          <w:color w:val="000000"/>
          <w:sz w:val="22"/>
          <w:szCs w:val="22"/>
        </w:rPr>
        <w:t>Foreign resident owners of land are not entitled to obtain a clearance certificate and would therefore not be able to provide one to a transferee. This means there will generally be a withholding obligation on a transferee acquiring land with a market value of $750,000.00 or more in a transaction where a mortgagee is exercising a power of sale over land owned by a foreign resident mortgagor.</w:t>
      </w:r>
    </w:p>
    <w:p w14:paraId="2A6D4957" w14:textId="77777777" w:rsidR="008C7FE5" w:rsidRPr="00566D26" w:rsidRDefault="00717289" w:rsidP="008C7FE5">
      <w:pPr>
        <w:numPr>
          <w:ilvl w:val="0"/>
          <w:numId w:val="16"/>
        </w:numPr>
        <w:tabs>
          <w:tab w:val="clear" w:pos="720"/>
        </w:tabs>
        <w:spacing w:after="120"/>
        <w:ind w:left="0" w:firstLine="0"/>
        <w:rPr>
          <w:rFonts w:ascii="Arial" w:hAnsi="Arial" w:cs="Arial"/>
          <w:color w:val="000000"/>
          <w:sz w:val="22"/>
          <w:szCs w:val="22"/>
        </w:rPr>
      </w:pPr>
      <w:r w:rsidRPr="00566D26">
        <w:rPr>
          <w:rFonts w:ascii="Arial" w:hAnsi="Arial" w:cs="Arial"/>
          <w:color w:val="000000"/>
          <w:sz w:val="22"/>
          <w:szCs w:val="22"/>
        </w:rPr>
        <w:t xml:space="preserve">In circumstances where the transferee has the obligation to withhold and remit part of the purchase moneys to the Commissioner, a mortgagee has the option of applying to the Commissioner for a variation to the 12.5% withholding rate, including to nil. In exercising the power to vary an amount under section 14-235 the Commissioner must have regard to the need to protect a creditor’s right to recover a debt. This means that the Commissioner will generally allow a variation by a mortgagee where the sales proceeds are insufficient to discharge a mortgage </w:t>
      </w:r>
      <w:proofErr w:type="gramStart"/>
      <w:r w:rsidRPr="00566D26">
        <w:rPr>
          <w:rFonts w:ascii="Arial" w:hAnsi="Arial" w:cs="Arial"/>
          <w:color w:val="000000"/>
          <w:sz w:val="22"/>
          <w:szCs w:val="22"/>
        </w:rPr>
        <w:t>and also</w:t>
      </w:r>
      <w:proofErr w:type="gramEnd"/>
      <w:r w:rsidRPr="00566D26">
        <w:rPr>
          <w:rFonts w:ascii="Arial" w:hAnsi="Arial" w:cs="Arial"/>
          <w:color w:val="000000"/>
          <w:sz w:val="22"/>
          <w:szCs w:val="22"/>
        </w:rPr>
        <w:t xml:space="preserve"> satisfy the withholding obligation.</w:t>
      </w:r>
    </w:p>
    <w:p w14:paraId="002D8437" w14:textId="2CF94863" w:rsidR="008C7FE5" w:rsidRPr="00566D26" w:rsidRDefault="00717289" w:rsidP="008C7FE5">
      <w:pPr>
        <w:numPr>
          <w:ilvl w:val="0"/>
          <w:numId w:val="16"/>
        </w:numPr>
        <w:tabs>
          <w:tab w:val="clear" w:pos="720"/>
        </w:tabs>
        <w:spacing w:after="120"/>
        <w:ind w:left="0" w:firstLine="0"/>
        <w:rPr>
          <w:rFonts w:ascii="Arial" w:hAnsi="Arial" w:cs="Arial"/>
          <w:color w:val="000000"/>
          <w:sz w:val="22"/>
          <w:szCs w:val="22"/>
        </w:rPr>
      </w:pPr>
      <w:r w:rsidRPr="00566D26">
        <w:rPr>
          <w:rFonts w:ascii="Arial" w:hAnsi="Arial" w:cs="Arial"/>
          <w:color w:val="000000"/>
          <w:sz w:val="22"/>
          <w:szCs w:val="22"/>
        </w:rPr>
        <w:t xml:space="preserve">For the variation to be valid, </w:t>
      </w:r>
      <w:r w:rsidR="00FE1204" w:rsidRPr="00FE1204">
        <w:rPr>
          <w:rFonts w:ascii="Arial" w:hAnsi="Arial" w:cs="Arial"/>
          <w:color w:val="000000"/>
          <w:sz w:val="22"/>
          <w:szCs w:val="22"/>
        </w:rPr>
        <w:t>it must be obtained by</w:t>
      </w:r>
      <w:r w:rsidR="00B01211">
        <w:rPr>
          <w:rFonts w:ascii="Arial" w:hAnsi="Arial" w:cs="Arial"/>
          <w:color w:val="000000"/>
          <w:sz w:val="22"/>
          <w:szCs w:val="22"/>
        </w:rPr>
        <w:t>,</w:t>
      </w:r>
      <w:r w:rsidR="00FE1204" w:rsidRPr="00FE1204">
        <w:rPr>
          <w:rFonts w:ascii="Arial" w:hAnsi="Arial" w:cs="Arial"/>
          <w:color w:val="000000"/>
          <w:sz w:val="22"/>
          <w:szCs w:val="22"/>
        </w:rPr>
        <w:t xml:space="preserve"> or notified to</w:t>
      </w:r>
      <w:r w:rsidR="00B01211">
        <w:rPr>
          <w:rFonts w:ascii="Arial" w:hAnsi="Arial" w:cs="Arial"/>
          <w:color w:val="000000"/>
          <w:sz w:val="22"/>
          <w:szCs w:val="22"/>
        </w:rPr>
        <w:t>,</w:t>
      </w:r>
      <w:r w:rsidR="00FE1204" w:rsidRPr="00FE1204">
        <w:rPr>
          <w:rFonts w:ascii="Arial" w:hAnsi="Arial" w:cs="Arial"/>
          <w:color w:val="000000"/>
          <w:sz w:val="22"/>
          <w:szCs w:val="22"/>
        </w:rPr>
        <w:t xml:space="preserve"> the transferee</w:t>
      </w:r>
      <w:r w:rsidRPr="00566D26">
        <w:rPr>
          <w:rFonts w:ascii="Arial" w:hAnsi="Arial" w:cs="Arial"/>
          <w:color w:val="000000"/>
          <w:sz w:val="22"/>
          <w:szCs w:val="22"/>
        </w:rPr>
        <w:t xml:space="preserve"> by the time they become the owner of the asset. If a variation cannot be obtained by the relevant time, the transferee would be required to pay the Commissioner an amount equal to 12.5% of the purchase price.</w:t>
      </w:r>
    </w:p>
    <w:p w14:paraId="7929966C" w14:textId="77777777" w:rsidR="00932C75" w:rsidRPr="00566D26" w:rsidRDefault="00932C75" w:rsidP="009E3851">
      <w:pPr>
        <w:spacing w:after="120"/>
        <w:rPr>
          <w:rFonts w:ascii="Arial" w:hAnsi="Arial" w:cs="Arial"/>
          <w:color w:val="000000"/>
          <w:sz w:val="22"/>
          <w:szCs w:val="22"/>
        </w:rPr>
      </w:pPr>
    </w:p>
    <w:p w14:paraId="40A001EC" w14:textId="77777777" w:rsidR="008C7FE5" w:rsidRDefault="00717289" w:rsidP="008C7FE5">
      <w:pPr>
        <w:spacing w:after="120"/>
        <w:rPr>
          <w:rFonts w:ascii="Arial" w:hAnsi="Arial" w:cs="Arial"/>
          <w:b/>
          <w:i/>
          <w:sz w:val="22"/>
          <w:szCs w:val="22"/>
        </w:rPr>
      </w:pPr>
      <w:r w:rsidRPr="00566D26">
        <w:rPr>
          <w:rFonts w:ascii="Arial" w:hAnsi="Arial" w:cs="Arial"/>
          <w:b/>
          <w:i/>
          <w:sz w:val="22"/>
          <w:szCs w:val="22"/>
        </w:rPr>
        <w:t>Conveyancing process</w:t>
      </w:r>
    </w:p>
    <w:p w14:paraId="41B905E2" w14:textId="77777777" w:rsidR="00226E71" w:rsidRPr="00566D26" w:rsidRDefault="00226E71" w:rsidP="008C7FE5">
      <w:pPr>
        <w:spacing w:after="120"/>
        <w:rPr>
          <w:rFonts w:ascii="Arial" w:hAnsi="Arial" w:cs="Arial"/>
          <w:b/>
          <w:color w:val="000000"/>
          <w:sz w:val="22"/>
          <w:szCs w:val="22"/>
        </w:rPr>
      </w:pPr>
    </w:p>
    <w:p w14:paraId="35C104E0" w14:textId="77777777" w:rsidR="008C7FE5" w:rsidRPr="00566D26" w:rsidRDefault="00717289" w:rsidP="008C7FE5">
      <w:pPr>
        <w:numPr>
          <w:ilvl w:val="0"/>
          <w:numId w:val="16"/>
        </w:numPr>
        <w:tabs>
          <w:tab w:val="clear" w:pos="720"/>
        </w:tabs>
        <w:spacing w:after="120"/>
        <w:ind w:left="0" w:firstLine="0"/>
        <w:rPr>
          <w:rFonts w:ascii="Arial" w:hAnsi="Arial" w:cs="Arial"/>
          <w:color w:val="000000"/>
          <w:sz w:val="22"/>
          <w:szCs w:val="22"/>
        </w:rPr>
      </w:pPr>
      <w:r w:rsidRPr="00566D26">
        <w:rPr>
          <w:rFonts w:ascii="Arial" w:hAnsi="Arial" w:cs="Arial"/>
          <w:sz w:val="22"/>
        </w:rPr>
        <w:t>In all Australian states and territories, mortgagees are given a power of sale where mortgage money has become due and payable, and other conditions are satisfied.</w:t>
      </w:r>
      <w:r w:rsidRPr="00566D26">
        <w:rPr>
          <w:rStyle w:val="FootnoteReference"/>
          <w:rFonts w:ascii="Arial" w:hAnsi="Arial" w:cs="Arial"/>
          <w:sz w:val="22"/>
        </w:rPr>
        <w:footnoteReference w:id="1"/>
      </w:r>
      <w:r w:rsidRPr="00566D26">
        <w:rPr>
          <w:rFonts w:ascii="Arial" w:hAnsi="Arial" w:cs="Arial"/>
          <w:sz w:val="22"/>
        </w:rPr>
        <w:t xml:space="preserve"> Generally, the power of sale authorises the mortgagee to sell the mortgaged property by public auction or private contract, and execute all such instruments as is necessary for effective sale of the property.</w:t>
      </w:r>
      <w:r w:rsidRPr="00566D26">
        <w:rPr>
          <w:rStyle w:val="FootnoteReference"/>
          <w:rFonts w:ascii="Arial" w:hAnsi="Arial" w:cs="Arial"/>
          <w:sz w:val="22"/>
        </w:rPr>
        <w:footnoteReference w:id="2"/>
      </w:r>
      <w:r w:rsidRPr="00566D26">
        <w:rPr>
          <w:rFonts w:ascii="Arial" w:hAnsi="Arial" w:cs="Arial"/>
          <w:sz w:val="22"/>
        </w:rPr>
        <w:t xml:space="preserve"> There are also incidental powers available to mortgagees such as the power to sell part of the property, or things attached to the property such as mines and minerals.</w:t>
      </w:r>
    </w:p>
    <w:p w14:paraId="266C07EA" w14:textId="77777777" w:rsidR="008C7FE5" w:rsidRPr="00566D26" w:rsidRDefault="00717289" w:rsidP="008C7FE5">
      <w:pPr>
        <w:numPr>
          <w:ilvl w:val="0"/>
          <w:numId w:val="16"/>
        </w:numPr>
        <w:tabs>
          <w:tab w:val="clear" w:pos="720"/>
        </w:tabs>
        <w:spacing w:after="120"/>
        <w:ind w:left="0" w:firstLine="0"/>
        <w:rPr>
          <w:rFonts w:ascii="Arial" w:hAnsi="Arial" w:cs="Arial"/>
          <w:color w:val="000000"/>
          <w:sz w:val="22"/>
          <w:szCs w:val="22"/>
        </w:rPr>
      </w:pPr>
      <w:r w:rsidRPr="00566D26">
        <w:rPr>
          <w:rFonts w:ascii="Arial" w:hAnsi="Arial" w:cs="Arial"/>
          <w:sz w:val="22"/>
        </w:rPr>
        <w:lastRenderedPageBreak/>
        <w:t xml:space="preserve">As a result of exercising a power of sale, the mortgagee assumes various duties and obligations with respect to the sale proceeds. Although the </w:t>
      </w:r>
      <w:proofErr w:type="gramStart"/>
      <w:r w:rsidRPr="00566D26">
        <w:rPr>
          <w:rFonts w:ascii="Arial" w:hAnsi="Arial" w:cs="Arial"/>
          <w:sz w:val="22"/>
        </w:rPr>
        <w:t>particular provisions</w:t>
      </w:r>
      <w:proofErr w:type="gramEnd"/>
      <w:r w:rsidRPr="00566D26">
        <w:rPr>
          <w:rFonts w:ascii="Arial" w:hAnsi="Arial" w:cs="Arial"/>
          <w:sz w:val="22"/>
        </w:rPr>
        <w:t xml:space="preserve"> differ in each state and territory, the requirements concerning the application of the sale proceeds are broadly consistent. That is, the mortgagee is required to apply sale proceeds in the following order: (i) payment of all costs, charges and expenses incurred incidental to the sale, (ii) discharge of mortgage money, interest, costs and other moneys due under the mortgage, and (iii) where there is any residue remaining, such moneys are to be paid to the mortgagor.</w:t>
      </w:r>
      <w:r w:rsidRPr="00566D26">
        <w:rPr>
          <w:rStyle w:val="FootnoteReference"/>
          <w:rFonts w:ascii="Arial" w:hAnsi="Arial" w:cs="Arial"/>
          <w:sz w:val="22"/>
        </w:rPr>
        <w:footnoteReference w:id="3"/>
      </w:r>
      <w:r w:rsidRPr="00566D26">
        <w:rPr>
          <w:rFonts w:ascii="Arial" w:hAnsi="Arial" w:cs="Arial"/>
          <w:sz w:val="22"/>
        </w:rPr>
        <w:t xml:space="preserve"> In New South Wales and the Northern Territory, the provisions specifically provide that subsequent mortgages are to be paid prior to the residue being distributed to the mortgagor.</w:t>
      </w:r>
    </w:p>
    <w:p w14:paraId="0141E249" w14:textId="77777777" w:rsidR="008C7FE5" w:rsidRPr="00566D26" w:rsidRDefault="00717289" w:rsidP="008C7FE5">
      <w:pPr>
        <w:numPr>
          <w:ilvl w:val="0"/>
          <w:numId w:val="16"/>
        </w:numPr>
        <w:tabs>
          <w:tab w:val="clear" w:pos="720"/>
        </w:tabs>
        <w:spacing w:after="120"/>
        <w:ind w:left="0" w:firstLine="0"/>
        <w:rPr>
          <w:rFonts w:ascii="Arial" w:hAnsi="Arial" w:cs="Arial"/>
          <w:color w:val="000000"/>
          <w:sz w:val="22"/>
          <w:szCs w:val="22"/>
        </w:rPr>
      </w:pPr>
      <w:r w:rsidRPr="00566D26">
        <w:rPr>
          <w:rFonts w:ascii="Arial" w:hAnsi="Arial" w:cs="Arial"/>
          <w:sz w:val="22"/>
        </w:rPr>
        <w:t>Accordingly, a mortgagee exercising a power of sale will be required to ascertain all costs, mortgages, and subsequent mortgages associated with the mortgaged property and duly account for such payments from the sale proceeds.</w:t>
      </w:r>
    </w:p>
    <w:p w14:paraId="11462FB0" w14:textId="77777777" w:rsidR="00C07D99" w:rsidRPr="00C07D99" w:rsidRDefault="00717289" w:rsidP="00C07D99">
      <w:pPr>
        <w:numPr>
          <w:ilvl w:val="0"/>
          <w:numId w:val="16"/>
        </w:numPr>
        <w:tabs>
          <w:tab w:val="clear" w:pos="720"/>
        </w:tabs>
        <w:spacing w:after="120"/>
        <w:ind w:left="0" w:firstLine="0"/>
        <w:rPr>
          <w:rFonts w:ascii="Arial" w:hAnsi="Arial" w:cs="Arial"/>
          <w:color w:val="000000"/>
          <w:sz w:val="22"/>
          <w:szCs w:val="22"/>
        </w:rPr>
      </w:pPr>
      <w:r w:rsidRPr="00566D26">
        <w:rPr>
          <w:rFonts w:ascii="Arial" w:hAnsi="Arial" w:cs="Arial"/>
          <w:sz w:val="22"/>
        </w:rPr>
        <w:t>A mortgagee exercising a power of sale over mortgaged property is in the best position to determine whether any part of the sale proceeds will be available to the mortgagor, and thus whether it is possible to satisfy the withholding obligation from the sales proceeds for the purposes of foreign resident capital gains withholding.</w:t>
      </w:r>
    </w:p>
    <w:p w14:paraId="4093EB13" w14:textId="77777777" w:rsidR="00C07D99" w:rsidRPr="00C07D99" w:rsidRDefault="00C07D99" w:rsidP="00C07D99">
      <w:pPr>
        <w:spacing w:after="120"/>
        <w:rPr>
          <w:rFonts w:ascii="Arial" w:hAnsi="Arial" w:cs="Arial"/>
          <w:color w:val="000000"/>
          <w:sz w:val="22"/>
          <w:szCs w:val="22"/>
        </w:rPr>
      </w:pPr>
    </w:p>
    <w:p w14:paraId="11212BA4" w14:textId="77777777" w:rsidR="00C07D99" w:rsidRPr="00566D26" w:rsidRDefault="00C07D99" w:rsidP="00C07D99">
      <w:pPr>
        <w:pStyle w:val="Heading2"/>
      </w:pPr>
      <w:r w:rsidRPr="00566D26">
        <w:t>Consultation</w:t>
      </w:r>
    </w:p>
    <w:p w14:paraId="41310888" w14:textId="77777777" w:rsidR="00C07D99" w:rsidRDefault="00C07D99" w:rsidP="00C07D99">
      <w:pPr>
        <w:spacing w:after="120"/>
        <w:rPr>
          <w:rFonts w:ascii="Arial" w:hAnsi="Arial" w:cs="Arial"/>
          <w:color w:val="000000"/>
          <w:sz w:val="22"/>
          <w:szCs w:val="22"/>
        </w:rPr>
      </w:pPr>
    </w:p>
    <w:p w14:paraId="736F0E80" w14:textId="4CA01E05" w:rsidR="00C07D99" w:rsidRPr="00C07D99" w:rsidRDefault="00832A78" w:rsidP="00C07D99">
      <w:pPr>
        <w:numPr>
          <w:ilvl w:val="0"/>
          <w:numId w:val="16"/>
        </w:numPr>
        <w:tabs>
          <w:tab w:val="clear" w:pos="720"/>
        </w:tabs>
        <w:spacing w:after="120"/>
        <w:ind w:left="0" w:firstLine="0"/>
        <w:rPr>
          <w:rFonts w:ascii="Arial" w:hAnsi="Arial" w:cs="Arial"/>
          <w:color w:val="000000"/>
          <w:sz w:val="22"/>
          <w:szCs w:val="22"/>
        </w:rPr>
      </w:pPr>
      <w:r w:rsidRPr="00C07D99">
        <w:rPr>
          <w:rFonts w:ascii="Arial" w:hAnsi="Arial" w:cs="Arial"/>
          <w:sz w:val="22"/>
          <w:szCs w:val="22"/>
        </w:rPr>
        <w:t xml:space="preserve">Subsection 17(1) of the </w:t>
      </w:r>
      <w:r w:rsidRPr="00C07D99">
        <w:rPr>
          <w:rFonts w:ascii="Arial" w:hAnsi="Arial" w:cs="Arial"/>
          <w:i/>
          <w:iCs/>
          <w:sz w:val="22"/>
          <w:szCs w:val="22"/>
        </w:rPr>
        <w:t>Legislation Act 2003</w:t>
      </w:r>
      <w:r w:rsidRPr="00C07D99">
        <w:rPr>
          <w:rFonts w:ascii="Arial" w:hAnsi="Arial" w:cs="Arial"/>
          <w:sz w:val="22"/>
          <w:szCs w:val="22"/>
        </w:rPr>
        <w:t xml:space="preserve"> requires that the rule-maker undertake an appropriate level of consultation that is reasonably practicable to undertake before making a legislative instrument.</w:t>
      </w:r>
    </w:p>
    <w:p w14:paraId="729B9CD5" w14:textId="77777777" w:rsidR="00C07D99" w:rsidRDefault="00BC221A" w:rsidP="00AB1E70">
      <w:pPr>
        <w:numPr>
          <w:ilvl w:val="0"/>
          <w:numId w:val="16"/>
        </w:numPr>
        <w:tabs>
          <w:tab w:val="clear" w:pos="720"/>
        </w:tabs>
        <w:spacing w:after="120"/>
        <w:ind w:left="0" w:firstLine="0"/>
        <w:rPr>
          <w:rFonts w:ascii="Arial" w:hAnsi="Arial" w:cs="Arial"/>
          <w:color w:val="000000"/>
          <w:sz w:val="22"/>
          <w:szCs w:val="22"/>
        </w:rPr>
      </w:pPr>
      <w:r w:rsidRPr="00C07D99">
        <w:rPr>
          <w:rFonts w:ascii="Arial" w:hAnsi="Arial" w:cs="Arial"/>
          <w:sz w:val="22"/>
          <w:szCs w:val="22"/>
        </w:rPr>
        <w:t>The draft instrument and</w:t>
      </w:r>
      <w:r w:rsidR="00763D67" w:rsidRPr="00C07D99">
        <w:rPr>
          <w:rFonts w:ascii="Arial" w:hAnsi="Arial" w:cs="Arial"/>
          <w:sz w:val="22"/>
          <w:szCs w:val="22"/>
        </w:rPr>
        <w:t xml:space="preserve"> explan</w:t>
      </w:r>
      <w:r w:rsidR="002E3A82" w:rsidRPr="00C07D99">
        <w:rPr>
          <w:rFonts w:ascii="Arial" w:hAnsi="Arial" w:cs="Arial"/>
          <w:sz w:val="22"/>
          <w:szCs w:val="22"/>
        </w:rPr>
        <w:t xml:space="preserve">atory statement </w:t>
      </w:r>
      <w:proofErr w:type="gramStart"/>
      <w:r w:rsidR="002E3A82" w:rsidRPr="00C07D99">
        <w:rPr>
          <w:rFonts w:ascii="Arial" w:hAnsi="Arial" w:cs="Arial"/>
          <w:sz w:val="22"/>
          <w:szCs w:val="22"/>
        </w:rPr>
        <w:t>was</w:t>
      </w:r>
      <w:proofErr w:type="gramEnd"/>
      <w:r w:rsidR="002E3A82" w:rsidRPr="00C07D99">
        <w:rPr>
          <w:rFonts w:ascii="Arial" w:hAnsi="Arial" w:cs="Arial"/>
          <w:sz w:val="22"/>
          <w:szCs w:val="22"/>
        </w:rPr>
        <w:t xml:space="preserve"> published on</w:t>
      </w:r>
      <w:r w:rsidR="00763D67" w:rsidRPr="00C07D99">
        <w:rPr>
          <w:rFonts w:ascii="Arial" w:hAnsi="Arial" w:cs="Arial"/>
          <w:sz w:val="22"/>
          <w:szCs w:val="22"/>
        </w:rPr>
        <w:t xml:space="preserve"> the ATO Legal database. </w:t>
      </w:r>
      <w:r w:rsidR="009726B9" w:rsidRPr="00C07D99">
        <w:rPr>
          <w:rFonts w:ascii="Arial" w:hAnsi="Arial" w:cs="Arial"/>
          <w:sz w:val="22"/>
          <w:szCs w:val="22"/>
        </w:rPr>
        <w:t xml:space="preserve">There was an </w:t>
      </w:r>
      <w:r w:rsidR="00EA43D1" w:rsidRPr="00C07D99">
        <w:rPr>
          <w:rFonts w:ascii="Arial" w:hAnsi="Arial" w:cs="Arial"/>
          <w:sz w:val="22"/>
          <w:szCs w:val="22"/>
        </w:rPr>
        <w:t>awareness across businesses, individuals and industry associations who subscribe to that website.</w:t>
      </w:r>
    </w:p>
    <w:p w14:paraId="78C5AA2B" w14:textId="75B32F18" w:rsidR="00EA43D1" w:rsidRDefault="00AB1E70" w:rsidP="00910595">
      <w:pPr>
        <w:numPr>
          <w:ilvl w:val="0"/>
          <w:numId w:val="16"/>
        </w:numPr>
        <w:tabs>
          <w:tab w:val="clear" w:pos="720"/>
        </w:tabs>
        <w:spacing w:after="120"/>
        <w:ind w:left="0" w:firstLine="0"/>
        <w:rPr>
          <w:rFonts w:ascii="Arial" w:hAnsi="Arial" w:cs="Arial"/>
          <w:color w:val="000000"/>
          <w:sz w:val="22"/>
          <w:szCs w:val="22"/>
        </w:rPr>
      </w:pPr>
      <w:r w:rsidRPr="00C07D99">
        <w:rPr>
          <w:rFonts w:ascii="Arial" w:hAnsi="Arial" w:cs="Arial"/>
          <w:sz w:val="22"/>
          <w:szCs w:val="22"/>
        </w:rPr>
        <w:t>Copies of the draft legisla</w:t>
      </w:r>
      <w:r w:rsidR="00BC221A" w:rsidRPr="00C07D99">
        <w:rPr>
          <w:rFonts w:ascii="Arial" w:hAnsi="Arial" w:cs="Arial"/>
          <w:sz w:val="22"/>
          <w:szCs w:val="22"/>
        </w:rPr>
        <w:t xml:space="preserve">tive instrument and explanatory </w:t>
      </w:r>
      <w:r w:rsidRPr="00C07D99">
        <w:rPr>
          <w:rFonts w:ascii="Arial" w:hAnsi="Arial" w:cs="Arial"/>
          <w:sz w:val="22"/>
          <w:szCs w:val="22"/>
        </w:rPr>
        <w:t>statement were sent to peak industry</w:t>
      </w:r>
      <w:r w:rsidR="00FD17E4" w:rsidRPr="00C07D99">
        <w:rPr>
          <w:rFonts w:ascii="Arial" w:hAnsi="Arial" w:cs="Arial"/>
          <w:sz w:val="22"/>
          <w:szCs w:val="22"/>
        </w:rPr>
        <w:t xml:space="preserve"> bodies for comment</w:t>
      </w:r>
      <w:r w:rsidR="00FE3DBB" w:rsidRPr="00C07D99">
        <w:rPr>
          <w:rFonts w:ascii="Arial" w:hAnsi="Arial" w:cs="Arial"/>
          <w:sz w:val="22"/>
          <w:szCs w:val="22"/>
        </w:rPr>
        <w:t>.</w:t>
      </w:r>
      <w:r w:rsidR="00C07D99">
        <w:rPr>
          <w:rFonts w:ascii="Arial" w:hAnsi="Arial" w:cs="Arial"/>
          <w:sz w:val="22"/>
          <w:szCs w:val="22"/>
        </w:rPr>
        <w:t xml:space="preserve"> </w:t>
      </w:r>
      <w:r w:rsidR="00C07D99" w:rsidRPr="00C07D99">
        <w:rPr>
          <w:rFonts w:ascii="Arial" w:hAnsi="Arial" w:cs="Arial"/>
          <w:sz w:val="22"/>
          <w:szCs w:val="22"/>
        </w:rPr>
        <w:t>All feedback received was considered and, where appropriate, it was included to improve the instrument's application.</w:t>
      </w:r>
    </w:p>
    <w:p w14:paraId="7622A7CC" w14:textId="77777777" w:rsidR="00C07D99" w:rsidRPr="00C07D99" w:rsidRDefault="00C07D99" w:rsidP="00C07D99">
      <w:pPr>
        <w:spacing w:after="120"/>
        <w:rPr>
          <w:rFonts w:ascii="Arial" w:hAnsi="Arial" w:cs="Arial"/>
          <w:color w:val="000000"/>
          <w:sz w:val="22"/>
          <w:szCs w:val="22"/>
        </w:rPr>
      </w:pPr>
    </w:p>
    <w:p w14:paraId="69FE8C27" w14:textId="77777777" w:rsidR="009371D0" w:rsidRPr="00566D26" w:rsidRDefault="007E0A01" w:rsidP="00910595">
      <w:pPr>
        <w:pStyle w:val="Heading3"/>
        <w:rPr>
          <w:i/>
          <w:sz w:val="22"/>
          <w:szCs w:val="22"/>
        </w:rPr>
      </w:pPr>
      <w:r w:rsidRPr="00566D26">
        <w:rPr>
          <w:i/>
          <w:sz w:val="22"/>
          <w:szCs w:val="22"/>
        </w:rPr>
        <w:t>Legislative references</w:t>
      </w:r>
    </w:p>
    <w:p w14:paraId="6B383502" w14:textId="3758C068" w:rsidR="00736629" w:rsidRPr="00566D26" w:rsidRDefault="00736629" w:rsidP="00101CD5">
      <w:pPr>
        <w:rPr>
          <w:rFonts w:ascii="Arial" w:hAnsi="Arial" w:cs="Arial"/>
          <w:i/>
          <w:color w:val="0000FF"/>
          <w:sz w:val="22"/>
          <w:szCs w:val="22"/>
        </w:rPr>
      </w:pPr>
    </w:p>
    <w:p w14:paraId="2DEB3EA6" w14:textId="77777777" w:rsidR="009B1F4A" w:rsidRPr="00566D26" w:rsidRDefault="009B1F4A" w:rsidP="00736629">
      <w:pPr>
        <w:spacing w:after="60"/>
        <w:rPr>
          <w:rFonts w:ascii="Arial" w:eastAsia="Calibri" w:hAnsi="Arial" w:cs="Arial"/>
          <w:i/>
          <w:sz w:val="20"/>
          <w:lang w:eastAsia="en-US"/>
        </w:rPr>
      </w:pPr>
      <w:r w:rsidRPr="00566D26">
        <w:rPr>
          <w:rFonts w:ascii="Arial" w:eastAsia="Calibri" w:hAnsi="Arial" w:cs="Arial"/>
          <w:i/>
          <w:sz w:val="20"/>
          <w:lang w:eastAsia="en-US"/>
        </w:rPr>
        <w:t xml:space="preserve">A New Tax System (Pay </w:t>
      </w:r>
      <w:proofErr w:type="gramStart"/>
      <w:r w:rsidRPr="00566D26">
        <w:rPr>
          <w:rFonts w:ascii="Arial" w:eastAsia="Calibri" w:hAnsi="Arial" w:cs="Arial"/>
          <w:i/>
          <w:sz w:val="20"/>
          <w:lang w:eastAsia="en-US"/>
        </w:rPr>
        <w:t>As</w:t>
      </w:r>
      <w:proofErr w:type="gramEnd"/>
      <w:r w:rsidRPr="00566D26">
        <w:rPr>
          <w:rFonts w:ascii="Arial" w:eastAsia="Calibri" w:hAnsi="Arial" w:cs="Arial"/>
          <w:i/>
          <w:sz w:val="20"/>
          <w:lang w:eastAsia="en-US"/>
        </w:rPr>
        <w:t xml:space="preserve"> You Go) Act 1999</w:t>
      </w:r>
    </w:p>
    <w:p w14:paraId="204DC3B2" w14:textId="34CF3DAC" w:rsidR="00736629" w:rsidRPr="00566D26" w:rsidRDefault="00736629" w:rsidP="00736629">
      <w:pPr>
        <w:spacing w:after="60"/>
        <w:rPr>
          <w:rFonts w:ascii="Arial" w:eastAsia="Calibri" w:hAnsi="Arial" w:cs="Arial"/>
          <w:i/>
          <w:sz w:val="20"/>
          <w:lang w:eastAsia="en-US"/>
        </w:rPr>
      </w:pPr>
      <w:r w:rsidRPr="00566D26">
        <w:rPr>
          <w:rFonts w:ascii="Arial" w:eastAsia="Calibri" w:hAnsi="Arial" w:cs="Arial"/>
          <w:i/>
          <w:sz w:val="20"/>
          <w:lang w:eastAsia="en-US"/>
        </w:rPr>
        <w:t>Acts Interpretation Act 1901</w:t>
      </w:r>
    </w:p>
    <w:p w14:paraId="75FF0DA1" w14:textId="1D4CE380" w:rsidR="009B1F4A" w:rsidRPr="00566D26" w:rsidRDefault="009B1F4A" w:rsidP="00736629">
      <w:pPr>
        <w:spacing w:after="60"/>
        <w:rPr>
          <w:rFonts w:ascii="Arial" w:eastAsia="Calibri" w:hAnsi="Arial" w:cs="Arial"/>
          <w:i/>
          <w:sz w:val="20"/>
          <w:lang w:eastAsia="en-US"/>
        </w:rPr>
      </w:pPr>
      <w:r w:rsidRPr="00566D26">
        <w:rPr>
          <w:rFonts w:ascii="Arial" w:eastAsia="Calibri" w:hAnsi="Arial" w:cs="Arial"/>
          <w:i/>
          <w:sz w:val="20"/>
          <w:lang w:eastAsia="en-US"/>
        </w:rPr>
        <w:t>Banking Act 1959</w:t>
      </w:r>
    </w:p>
    <w:p w14:paraId="0AF5CC9E" w14:textId="77777777" w:rsidR="009B1F4A" w:rsidRPr="00566D26" w:rsidRDefault="009B1F4A" w:rsidP="009B1F4A">
      <w:pPr>
        <w:spacing w:after="60"/>
        <w:rPr>
          <w:rFonts w:ascii="Arial" w:eastAsia="Calibri" w:hAnsi="Arial" w:cs="Arial"/>
          <w:i/>
          <w:sz w:val="20"/>
          <w:lang w:eastAsia="en-US"/>
        </w:rPr>
      </w:pPr>
      <w:r w:rsidRPr="00566D26">
        <w:rPr>
          <w:rFonts w:ascii="Arial" w:eastAsia="Calibri" w:hAnsi="Arial" w:cs="Arial"/>
          <w:i/>
          <w:sz w:val="20"/>
          <w:lang w:eastAsia="en-US"/>
        </w:rPr>
        <w:t>Conveyancing and Law of Property Act 1884 (Tas)</w:t>
      </w:r>
    </w:p>
    <w:p w14:paraId="20021A25" w14:textId="3BFC6C1C" w:rsidR="009B1F4A" w:rsidRPr="00566D26" w:rsidRDefault="009B1F4A" w:rsidP="009B1F4A">
      <w:pPr>
        <w:spacing w:after="60"/>
        <w:rPr>
          <w:rFonts w:ascii="Arial" w:eastAsia="Calibri" w:hAnsi="Arial" w:cs="Arial"/>
          <w:i/>
          <w:sz w:val="20"/>
          <w:lang w:eastAsia="en-US"/>
        </w:rPr>
      </w:pPr>
      <w:r w:rsidRPr="00566D26">
        <w:rPr>
          <w:rFonts w:ascii="Arial" w:eastAsia="Calibri" w:hAnsi="Arial" w:cs="Arial"/>
          <w:i/>
          <w:sz w:val="20"/>
          <w:lang w:eastAsia="en-US"/>
        </w:rPr>
        <w:t>Human Rights (Parliamentary Scrutiny) Act 2011</w:t>
      </w:r>
    </w:p>
    <w:p w14:paraId="2723B5CC" w14:textId="5DCC5173" w:rsidR="009B1F4A" w:rsidRPr="00566D26" w:rsidRDefault="009B1F4A" w:rsidP="009B1F4A">
      <w:pPr>
        <w:spacing w:after="60"/>
        <w:rPr>
          <w:rFonts w:ascii="Arial" w:eastAsia="Calibri" w:hAnsi="Arial" w:cs="Arial"/>
          <w:i/>
          <w:sz w:val="20"/>
          <w:lang w:eastAsia="en-US"/>
        </w:rPr>
      </w:pPr>
      <w:r w:rsidRPr="00566D26">
        <w:rPr>
          <w:rFonts w:ascii="Arial" w:eastAsia="Calibri" w:hAnsi="Arial" w:cs="Arial"/>
          <w:i/>
          <w:sz w:val="20"/>
          <w:lang w:eastAsia="en-US"/>
        </w:rPr>
        <w:t>Income Tax Assessment Act 1997</w:t>
      </w:r>
    </w:p>
    <w:p w14:paraId="64834C89" w14:textId="77777777" w:rsidR="009B1F4A" w:rsidRDefault="009B1F4A" w:rsidP="009B1F4A">
      <w:pPr>
        <w:spacing w:after="60"/>
        <w:rPr>
          <w:rFonts w:ascii="Arial" w:eastAsia="Calibri" w:hAnsi="Arial" w:cs="Arial"/>
          <w:i/>
          <w:sz w:val="20"/>
          <w:lang w:eastAsia="en-US"/>
        </w:rPr>
      </w:pPr>
      <w:r w:rsidRPr="00566D26">
        <w:rPr>
          <w:rFonts w:ascii="Arial" w:eastAsia="Calibri" w:hAnsi="Arial" w:cs="Arial"/>
          <w:i/>
          <w:sz w:val="20"/>
          <w:lang w:eastAsia="en-US"/>
        </w:rPr>
        <w:t>Land Titles Act 1925 (ACT)</w:t>
      </w:r>
    </w:p>
    <w:p w14:paraId="494C9BEE" w14:textId="6D725ED6" w:rsidR="00C07D99" w:rsidRPr="00566D26" w:rsidRDefault="00C07D99" w:rsidP="009B1F4A">
      <w:pPr>
        <w:spacing w:after="60"/>
        <w:rPr>
          <w:rFonts w:ascii="Arial" w:eastAsia="Calibri" w:hAnsi="Arial" w:cs="Arial"/>
          <w:i/>
          <w:sz w:val="20"/>
          <w:lang w:eastAsia="en-US"/>
        </w:rPr>
      </w:pPr>
      <w:r w:rsidRPr="00566D26">
        <w:rPr>
          <w:rFonts w:ascii="Arial" w:eastAsia="Calibri" w:hAnsi="Arial" w:cs="Arial"/>
          <w:i/>
          <w:sz w:val="20"/>
          <w:lang w:eastAsia="en-US"/>
        </w:rPr>
        <w:t>Law of Property Act 2000 (NT)</w:t>
      </w:r>
    </w:p>
    <w:p w14:paraId="721E65A4" w14:textId="77777777" w:rsidR="009B1F4A" w:rsidRPr="00566D26" w:rsidRDefault="009B1F4A" w:rsidP="009B1F4A">
      <w:pPr>
        <w:spacing w:after="60"/>
        <w:rPr>
          <w:rFonts w:ascii="Arial" w:eastAsia="Calibri" w:hAnsi="Arial" w:cs="Arial"/>
          <w:i/>
          <w:sz w:val="20"/>
          <w:lang w:eastAsia="en-US"/>
        </w:rPr>
      </w:pPr>
      <w:r w:rsidRPr="00566D26">
        <w:rPr>
          <w:rFonts w:ascii="Arial" w:eastAsia="Calibri" w:hAnsi="Arial" w:cs="Arial"/>
          <w:i/>
          <w:sz w:val="20"/>
          <w:lang w:eastAsia="en-US"/>
        </w:rPr>
        <w:t>Law of Property Act 1936 (SA)</w:t>
      </w:r>
    </w:p>
    <w:p w14:paraId="0C060A53" w14:textId="77777777" w:rsidR="009B1F4A" w:rsidRPr="00566D26" w:rsidRDefault="009B1F4A" w:rsidP="009B1F4A">
      <w:pPr>
        <w:spacing w:after="60"/>
        <w:rPr>
          <w:rFonts w:ascii="Arial" w:eastAsia="Calibri" w:hAnsi="Arial" w:cs="Arial"/>
          <w:i/>
          <w:sz w:val="20"/>
          <w:lang w:eastAsia="en-US"/>
        </w:rPr>
      </w:pPr>
      <w:r w:rsidRPr="00566D26">
        <w:rPr>
          <w:rFonts w:ascii="Arial" w:eastAsia="Calibri" w:hAnsi="Arial" w:cs="Arial"/>
          <w:i/>
          <w:sz w:val="20"/>
          <w:lang w:eastAsia="en-US"/>
        </w:rPr>
        <w:t>Legislation Act 2003</w:t>
      </w:r>
    </w:p>
    <w:p w14:paraId="2D0E775B" w14:textId="77777777" w:rsidR="009B1F4A" w:rsidRPr="00566D26" w:rsidRDefault="009B1F4A" w:rsidP="009B1F4A">
      <w:pPr>
        <w:spacing w:after="60"/>
        <w:rPr>
          <w:rFonts w:ascii="Arial" w:eastAsia="Calibri" w:hAnsi="Arial" w:cs="Arial"/>
          <w:i/>
          <w:sz w:val="20"/>
          <w:lang w:eastAsia="en-US"/>
        </w:rPr>
      </w:pPr>
      <w:r w:rsidRPr="00566D26">
        <w:rPr>
          <w:rFonts w:ascii="Arial" w:eastAsia="Calibri" w:hAnsi="Arial" w:cs="Arial"/>
          <w:i/>
          <w:sz w:val="20"/>
          <w:lang w:eastAsia="en-US"/>
        </w:rPr>
        <w:t>Property Law Act 1974 (Qld)</w:t>
      </w:r>
    </w:p>
    <w:p w14:paraId="1F05B7C0" w14:textId="77777777" w:rsidR="009B1F4A" w:rsidRPr="00566D26" w:rsidRDefault="009B1F4A" w:rsidP="009B1F4A">
      <w:pPr>
        <w:spacing w:after="60"/>
        <w:rPr>
          <w:rFonts w:ascii="Arial" w:eastAsia="Calibri" w:hAnsi="Arial" w:cs="Arial"/>
          <w:i/>
          <w:sz w:val="20"/>
          <w:lang w:eastAsia="en-US"/>
        </w:rPr>
      </w:pPr>
      <w:r w:rsidRPr="00566D26">
        <w:rPr>
          <w:rFonts w:ascii="Arial" w:eastAsia="Calibri" w:hAnsi="Arial" w:cs="Arial"/>
          <w:i/>
          <w:sz w:val="20"/>
          <w:lang w:eastAsia="en-US"/>
        </w:rPr>
        <w:t>Property Law Act 1958 (Vic)</w:t>
      </w:r>
    </w:p>
    <w:p w14:paraId="3967047C" w14:textId="77777777" w:rsidR="009B1F4A" w:rsidRPr="00566D26" w:rsidRDefault="009B1F4A" w:rsidP="009B1F4A">
      <w:pPr>
        <w:spacing w:after="60"/>
        <w:rPr>
          <w:rFonts w:ascii="Arial" w:eastAsia="Calibri" w:hAnsi="Arial" w:cs="Arial"/>
          <w:i/>
          <w:sz w:val="20"/>
          <w:lang w:eastAsia="en-US"/>
        </w:rPr>
      </w:pPr>
      <w:r w:rsidRPr="00566D26">
        <w:rPr>
          <w:rFonts w:ascii="Arial" w:eastAsia="Calibri" w:hAnsi="Arial" w:cs="Arial"/>
          <w:i/>
          <w:sz w:val="20"/>
          <w:lang w:eastAsia="en-US"/>
        </w:rPr>
        <w:lastRenderedPageBreak/>
        <w:t>Property Law Act 1969 (WA)</w:t>
      </w:r>
    </w:p>
    <w:p w14:paraId="701D9F07" w14:textId="1C3B9720" w:rsidR="009B1F4A" w:rsidRPr="00566D26" w:rsidRDefault="009B1F4A" w:rsidP="00736629">
      <w:pPr>
        <w:spacing w:after="60"/>
        <w:rPr>
          <w:rFonts w:ascii="Arial" w:eastAsia="Calibri" w:hAnsi="Arial" w:cs="Arial"/>
          <w:i/>
          <w:sz w:val="20"/>
          <w:lang w:eastAsia="en-US"/>
        </w:rPr>
      </w:pPr>
      <w:r w:rsidRPr="00566D26">
        <w:rPr>
          <w:rFonts w:ascii="Arial" w:eastAsia="Calibri" w:hAnsi="Arial" w:cs="Arial"/>
          <w:i/>
          <w:sz w:val="20"/>
          <w:lang w:eastAsia="en-US"/>
        </w:rPr>
        <w:t>Real Property Act 1900 (NSW)</w:t>
      </w:r>
    </w:p>
    <w:p w14:paraId="62593EDB" w14:textId="77777777" w:rsidR="00736629" w:rsidRPr="00566D26" w:rsidRDefault="00736629" w:rsidP="00736629">
      <w:pPr>
        <w:spacing w:after="60"/>
        <w:rPr>
          <w:rFonts w:ascii="Arial" w:eastAsia="Calibri" w:hAnsi="Arial" w:cs="Arial"/>
          <w:i/>
          <w:sz w:val="20"/>
          <w:lang w:eastAsia="en-US"/>
        </w:rPr>
      </w:pPr>
      <w:r w:rsidRPr="00566D26">
        <w:rPr>
          <w:rFonts w:ascii="Arial" w:eastAsia="Calibri" w:hAnsi="Arial" w:cs="Arial"/>
          <w:i/>
          <w:sz w:val="20"/>
          <w:lang w:eastAsia="en-US"/>
        </w:rPr>
        <w:t>Taxation Administration Act 1953</w:t>
      </w:r>
    </w:p>
    <w:p w14:paraId="15AC1BA5" w14:textId="29F545DB" w:rsidR="00333567" w:rsidRPr="00566D26" w:rsidRDefault="00736629" w:rsidP="00910595">
      <w:pPr>
        <w:spacing w:after="120"/>
        <w:rPr>
          <w:rFonts w:ascii="Arial" w:hAnsi="Arial" w:cs="Arial"/>
          <w:sz w:val="22"/>
          <w:szCs w:val="22"/>
        </w:rPr>
      </w:pPr>
      <w:r w:rsidRPr="00566D26">
        <w:rPr>
          <w:rFonts w:ascii="Arial" w:hAnsi="Arial" w:cs="Arial"/>
          <w:sz w:val="22"/>
          <w:szCs w:val="22"/>
        </w:rPr>
        <w:br w:type="page"/>
      </w:r>
    </w:p>
    <w:p w14:paraId="15AC1BA6" w14:textId="4185B175" w:rsidR="00101CD5" w:rsidRPr="00566D26" w:rsidRDefault="00101CD5">
      <w:pPr>
        <w:rPr>
          <w:rFonts w:ascii="Arial" w:hAnsi="Arial" w:cs="Arial"/>
          <w:sz w:val="22"/>
          <w:szCs w:val="22"/>
        </w:rPr>
      </w:pPr>
    </w:p>
    <w:p w14:paraId="15AC1BAB" w14:textId="08BC1495" w:rsidR="00526403" w:rsidRPr="00566D26" w:rsidRDefault="00526403" w:rsidP="00101CD5">
      <w:pPr>
        <w:spacing w:after="120"/>
      </w:pPr>
    </w:p>
    <w:p w14:paraId="15AC1BAC" w14:textId="6B4B8273" w:rsidR="00333567" w:rsidRPr="00566D26" w:rsidRDefault="00E53399" w:rsidP="00101CD5">
      <w:pPr>
        <w:pStyle w:val="Heading3"/>
        <w:spacing w:before="0" w:after="120"/>
        <w:jc w:val="center"/>
        <w:rPr>
          <w:sz w:val="24"/>
        </w:rPr>
      </w:pPr>
      <w:r w:rsidRPr="00566D26">
        <w:rPr>
          <w:sz w:val="24"/>
        </w:rPr>
        <w:t xml:space="preserve">Statement of compatibility </w:t>
      </w:r>
      <w:r w:rsidR="00C11D03" w:rsidRPr="00566D26">
        <w:rPr>
          <w:sz w:val="24"/>
        </w:rPr>
        <w:t>with Human Rights</w:t>
      </w:r>
    </w:p>
    <w:p w14:paraId="15AC1BAD" w14:textId="4AD858FB" w:rsidR="00E53399" w:rsidRPr="00566D26" w:rsidRDefault="004F5EB1" w:rsidP="00101CD5">
      <w:pPr>
        <w:pStyle w:val="Heading3"/>
        <w:spacing w:before="0" w:after="120"/>
        <w:rPr>
          <w:sz w:val="24"/>
        </w:rPr>
      </w:pPr>
      <w:r w:rsidRPr="00566D26">
        <w:rPr>
          <w:b w:val="0"/>
          <w:sz w:val="22"/>
          <w:szCs w:val="20"/>
        </w:rPr>
        <w:t>P</w:t>
      </w:r>
      <w:r w:rsidR="00E53399" w:rsidRPr="00566D26">
        <w:rPr>
          <w:b w:val="0"/>
          <w:sz w:val="22"/>
          <w:szCs w:val="20"/>
        </w:rPr>
        <w:t xml:space="preserve">repared in accordance with Part 3 of the </w:t>
      </w:r>
      <w:r w:rsidR="00E53399" w:rsidRPr="00566D26">
        <w:rPr>
          <w:b w:val="0"/>
          <w:i/>
          <w:sz w:val="22"/>
          <w:szCs w:val="20"/>
        </w:rPr>
        <w:t>Human Rights (Parliamentary Scrutiny) Act 2011</w:t>
      </w:r>
    </w:p>
    <w:p w14:paraId="15AC1BAE" w14:textId="68DA81E7" w:rsidR="00D77015" w:rsidRPr="00566D26" w:rsidRDefault="00D77015" w:rsidP="00101CD5">
      <w:pPr>
        <w:spacing w:after="120"/>
        <w:rPr>
          <w:rFonts w:ascii="Arial" w:hAnsi="Arial" w:cs="Arial"/>
          <w:sz w:val="22"/>
          <w:szCs w:val="22"/>
        </w:rPr>
      </w:pPr>
    </w:p>
    <w:p w14:paraId="15AC1BAF" w14:textId="77777777" w:rsidR="002A26FE" w:rsidRPr="00566D26" w:rsidRDefault="00333567" w:rsidP="00101CD5">
      <w:pPr>
        <w:pStyle w:val="Heading2"/>
        <w:jc w:val="center"/>
      </w:pPr>
      <w:r w:rsidRPr="00566D26">
        <w:t>Title of Legislative Instrument</w:t>
      </w:r>
    </w:p>
    <w:p w14:paraId="54F9AC2D" w14:textId="0DAEA147" w:rsidR="009371D0" w:rsidRPr="00566D26" w:rsidRDefault="00075B58" w:rsidP="00101CD5">
      <w:pPr>
        <w:autoSpaceDE w:val="0"/>
        <w:autoSpaceDN w:val="0"/>
        <w:adjustRightInd w:val="0"/>
        <w:spacing w:after="120"/>
        <w:rPr>
          <w:rFonts w:ascii="Arial" w:hAnsi="Arial" w:cs="Arial"/>
          <w:color w:val="000000"/>
          <w:sz w:val="22"/>
        </w:rPr>
      </w:pPr>
      <w:r w:rsidRPr="00566D26">
        <w:rPr>
          <w:rFonts w:ascii="Arial" w:hAnsi="Arial" w:cs="Arial"/>
          <w:color w:val="000000"/>
          <w:sz w:val="22"/>
        </w:rPr>
        <w:t xml:space="preserve">This Legislative Instrument is compatible with the human rights and freedoms recognised or declared in the international instruments listed in section 3 of the </w:t>
      </w:r>
      <w:r w:rsidRPr="00566D26">
        <w:rPr>
          <w:rFonts w:ascii="Arial" w:hAnsi="Arial" w:cs="Arial"/>
          <w:i/>
          <w:color w:val="000000"/>
          <w:sz w:val="22"/>
        </w:rPr>
        <w:t>Human Righ</w:t>
      </w:r>
      <w:r w:rsidR="00101CD5" w:rsidRPr="00566D26">
        <w:rPr>
          <w:rFonts w:ascii="Arial" w:hAnsi="Arial" w:cs="Arial"/>
          <w:i/>
          <w:color w:val="000000"/>
          <w:sz w:val="22"/>
        </w:rPr>
        <w:t>ts (Parliamentary Scrutiny) Act </w:t>
      </w:r>
      <w:r w:rsidRPr="00566D26">
        <w:rPr>
          <w:rFonts w:ascii="Arial" w:hAnsi="Arial" w:cs="Arial"/>
          <w:i/>
          <w:color w:val="000000"/>
          <w:sz w:val="22"/>
        </w:rPr>
        <w:t>2011.</w:t>
      </w:r>
    </w:p>
    <w:p w14:paraId="15AC1BB2" w14:textId="6553A54F" w:rsidR="00075B58" w:rsidRPr="00566D26" w:rsidRDefault="00075B58" w:rsidP="00101CD5">
      <w:pPr>
        <w:spacing w:after="120"/>
        <w:rPr>
          <w:rFonts w:ascii="Arial" w:hAnsi="Arial" w:cs="Arial"/>
          <w:sz w:val="22"/>
          <w:szCs w:val="22"/>
        </w:rPr>
      </w:pPr>
    </w:p>
    <w:p w14:paraId="51023D20" w14:textId="722373F5" w:rsidR="00736629" w:rsidRPr="00566D26" w:rsidRDefault="00075B58" w:rsidP="00226E71">
      <w:pPr>
        <w:pStyle w:val="Heading2"/>
      </w:pPr>
      <w:r w:rsidRPr="00566D26">
        <w:t xml:space="preserve">Overview of </w:t>
      </w:r>
      <w:r w:rsidR="007E0A01" w:rsidRPr="00566D26">
        <w:t xml:space="preserve">the </w:t>
      </w:r>
      <w:r w:rsidRPr="00566D26">
        <w:t>Legislative Instrument</w:t>
      </w:r>
    </w:p>
    <w:p w14:paraId="54B0B2D0" w14:textId="3B121684" w:rsidR="00736629" w:rsidRPr="00566D26" w:rsidRDefault="00736629" w:rsidP="00736629">
      <w:pPr>
        <w:autoSpaceDE w:val="0"/>
        <w:autoSpaceDN w:val="0"/>
        <w:adjustRightInd w:val="0"/>
        <w:rPr>
          <w:rFonts w:ascii="Arial" w:hAnsi="Arial" w:cs="Arial"/>
          <w:sz w:val="22"/>
        </w:rPr>
      </w:pPr>
      <w:r w:rsidRPr="00566D26">
        <w:rPr>
          <w:rFonts w:ascii="Arial" w:hAnsi="Arial" w:cs="Arial"/>
          <w:sz w:val="22"/>
        </w:rPr>
        <w:t>This disallowable legislative instrument avoids the imposition of an unnecessary withholding where the Commissioner would agree to vary the withholding to</w:t>
      </w:r>
      <w:r w:rsidR="00C07D99">
        <w:rPr>
          <w:rFonts w:ascii="Arial" w:hAnsi="Arial" w:cs="Arial"/>
          <w:sz w:val="22"/>
        </w:rPr>
        <w:t xml:space="preserve"> nil when an authorised deposit-</w:t>
      </w:r>
      <w:r w:rsidRPr="00566D26">
        <w:rPr>
          <w:rFonts w:ascii="Arial" w:hAnsi="Arial" w:cs="Arial"/>
          <w:sz w:val="22"/>
        </w:rPr>
        <w:t>taking institution exercises the power of sale of Australian real property owned by a foreign resident and the proceeds of sale are insufficient to discharge the mortgage.</w:t>
      </w:r>
    </w:p>
    <w:p w14:paraId="5DEFD44F" w14:textId="77777777" w:rsidR="00736629" w:rsidRPr="00566D26" w:rsidRDefault="00736629" w:rsidP="00101CD5">
      <w:pPr>
        <w:spacing w:after="120"/>
        <w:rPr>
          <w:rFonts w:ascii="Arial" w:hAnsi="Arial" w:cs="Arial"/>
          <w:sz w:val="22"/>
          <w:szCs w:val="22"/>
        </w:rPr>
      </w:pPr>
    </w:p>
    <w:p w14:paraId="15AC1BB5" w14:textId="77777777" w:rsidR="00075B58" w:rsidRPr="00566D26" w:rsidRDefault="00075B58" w:rsidP="00101CD5">
      <w:pPr>
        <w:spacing w:after="120"/>
        <w:rPr>
          <w:rFonts w:ascii="Arial" w:hAnsi="Arial" w:cs="Arial"/>
          <w:sz w:val="22"/>
          <w:szCs w:val="22"/>
        </w:rPr>
      </w:pPr>
    </w:p>
    <w:p w14:paraId="15AC1BB6" w14:textId="77777777" w:rsidR="00075B58" w:rsidRPr="00566D26" w:rsidRDefault="00075B58" w:rsidP="00101CD5">
      <w:pPr>
        <w:pStyle w:val="Heading2"/>
      </w:pPr>
      <w:r w:rsidRPr="00566D26">
        <w:t>Human rights implications</w:t>
      </w:r>
    </w:p>
    <w:p w14:paraId="7B1F3D06" w14:textId="77777777" w:rsidR="007078C3" w:rsidRPr="00566D26" w:rsidRDefault="007078C3" w:rsidP="007078C3">
      <w:pPr>
        <w:autoSpaceDE w:val="0"/>
        <w:autoSpaceDN w:val="0"/>
        <w:adjustRightInd w:val="0"/>
        <w:rPr>
          <w:rFonts w:ascii="Arial" w:hAnsi="Arial" w:cs="Arial"/>
          <w:sz w:val="22"/>
        </w:rPr>
      </w:pPr>
      <w:r w:rsidRPr="00566D26">
        <w:rPr>
          <w:rFonts w:ascii="Arial" w:hAnsi="Arial" w:cs="Arial"/>
          <w:sz w:val="22"/>
        </w:rPr>
        <w:t>This legislative instrument does not engage any of the applicable rights or freedoms because the new instrument is of a minor or machinery nature. The instrument avoids unnecessary withholding in circumstances where no tax will be payable.</w:t>
      </w:r>
    </w:p>
    <w:p w14:paraId="15AC1BB8" w14:textId="77777777" w:rsidR="00075B58" w:rsidRPr="00566D26" w:rsidRDefault="00075B58" w:rsidP="00101CD5">
      <w:pPr>
        <w:spacing w:after="120"/>
        <w:rPr>
          <w:rFonts w:ascii="Arial" w:hAnsi="Arial" w:cs="Arial"/>
          <w:sz w:val="22"/>
          <w:szCs w:val="22"/>
        </w:rPr>
      </w:pPr>
    </w:p>
    <w:p w14:paraId="15AC1BB9" w14:textId="77777777" w:rsidR="00075B58" w:rsidRPr="00566D26" w:rsidRDefault="00075B58" w:rsidP="00101CD5">
      <w:pPr>
        <w:pStyle w:val="Heading2"/>
      </w:pPr>
      <w:r w:rsidRPr="00566D26">
        <w:t>Conclusion</w:t>
      </w:r>
    </w:p>
    <w:p w14:paraId="15AC1BBA" w14:textId="123F09D1" w:rsidR="00075B58" w:rsidRPr="007E0A01" w:rsidRDefault="00075B58" w:rsidP="00101CD5">
      <w:pPr>
        <w:spacing w:after="120"/>
        <w:rPr>
          <w:rFonts w:ascii="Arial" w:hAnsi="Arial" w:cs="Arial"/>
          <w:sz w:val="22"/>
          <w:szCs w:val="22"/>
        </w:rPr>
      </w:pPr>
      <w:r w:rsidRPr="00566D26">
        <w:rPr>
          <w:rFonts w:ascii="Arial" w:hAnsi="Arial" w:cs="Arial"/>
          <w:sz w:val="22"/>
          <w:szCs w:val="22"/>
        </w:rPr>
        <w:t>This Legislative Instrument is compatible with human rights as it does not raise any human rights issues.</w:t>
      </w:r>
    </w:p>
    <w:p w14:paraId="19DB01FC" w14:textId="77777777" w:rsidR="00101CD5" w:rsidRDefault="00101CD5" w:rsidP="00101CD5">
      <w:pPr>
        <w:spacing w:after="120"/>
        <w:rPr>
          <w:rFonts w:ascii="Arial" w:hAnsi="Arial" w:cs="Arial"/>
          <w:sz w:val="22"/>
          <w:szCs w:val="22"/>
        </w:rPr>
      </w:pPr>
    </w:p>
    <w:p w14:paraId="0E5D9E29" w14:textId="77777777" w:rsidR="00101CD5" w:rsidRPr="00101CD5" w:rsidRDefault="00101CD5" w:rsidP="00101CD5">
      <w:pPr>
        <w:spacing w:after="120"/>
        <w:rPr>
          <w:rFonts w:ascii="Arial" w:hAnsi="Arial" w:cs="Arial"/>
          <w:sz w:val="22"/>
          <w:szCs w:val="22"/>
        </w:rPr>
      </w:pPr>
    </w:p>
    <w:p w14:paraId="388C5B85" w14:textId="77777777" w:rsidR="00101CD5" w:rsidRPr="00101CD5" w:rsidRDefault="00101CD5" w:rsidP="00101CD5">
      <w:pPr>
        <w:spacing w:after="120"/>
        <w:rPr>
          <w:rFonts w:ascii="Arial" w:hAnsi="Arial" w:cs="Arial"/>
          <w:sz w:val="22"/>
          <w:szCs w:val="22"/>
        </w:rPr>
      </w:pPr>
    </w:p>
    <w:p w14:paraId="15AC1BC3" w14:textId="5C3640D0" w:rsidR="0076271C" w:rsidRPr="00B16508" w:rsidRDefault="0076271C" w:rsidP="00101CD5">
      <w:pPr>
        <w:autoSpaceDE w:val="0"/>
        <w:autoSpaceDN w:val="0"/>
        <w:adjustRightInd w:val="0"/>
        <w:spacing w:after="120"/>
        <w:rPr>
          <w:rFonts w:ascii="Arial" w:hAnsi="Arial" w:cs="Arial"/>
          <w:bCs/>
          <w:color w:val="0000FF"/>
          <w:sz w:val="22"/>
          <w:szCs w:val="22"/>
        </w:rPr>
      </w:pPr>
    </w:p>
    <w:sectPr w:rsidR="0076271C" w:rsidRPr="00B16508" w:rsidSect="00081520">
      <w:headerReference w:type="even" r:id="rId14"/>
      <w:headerReference w:type="default" r:id="rId15"/>
      <w:headerReference w:type="first" r:id="rId16"/>
      <w:pgSz w:w="11906" w:h="16838" w:code="9"/>
      <w:pgMar w:top="1440" w:right="1133" w:bottom="1358" w:left="993" w:header="720" w:footer="720" w:gutter="0"/>
      <w:cols w:space="720"/>
      <w:formProt w:val="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BDE2A9" w14:textId="77777777" w:rsidR="00EB2455" w:rsidRDefault="00EB2455">
      <w:r>
        <w:separator/>
      </w:r>
    </w:p>
  </w:endnote>
  <w:endnote w:type="continuationSeparator" w:id="0">
    <w:p w14:paraId="447912A7" w14:textId="77777777" w:rsidR="00EB2455" w:rsidRDefault="00EB24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BD33D5" w14:textId="77777777" w:rsidR="00EB2455" w:rsidRDefault="00EB2455">
      <w:r>
        <w:separator/>
      </w:r>
    </w:p>
  </w:footnote>
  <w:footnote w:type="continuationSeparator" w:id="0">
    <w:p w14:paraId="3D572939" w14:textId="77777777" w:rsidR="00EB2455" w:rsidRDefault="00EB2455">
      <w:r>
        <w:continuationSeparator/>
      </w:r>
    </w:p>
  </w:footnote>
  <w:footnote w:id="1">
    <w:p w14:paraId="2AD969C8" w14:textId="77777777" w:rsidR="00717289" w:rsidRPr="00F9645A" w:rsidRDefault="00717289" w:rsidP="00717289">
      <w:pPr>
        <w:pStyle w:val="FootnoteText"/>
        <w:ind w:left="113" w:hanging="113"/>
        <w:rPr>
          <w:rFonts w:ascii="Arial" w:hAnsi="Arial" w:cs="Arial"/>
          <w:sz w:val="18"/>
          <w:szCs w:val="18"/>
          <w:u w:val="single"/>
        </w:rPr>
      </w:pPr>
      <w:r w:rsidRPr="00F9645A">
        <w:rPr>
          <w:rStyle w:val="FootnoteReference"/>
          <w:rFonts w:ascii="Arial" w:hAnsi="Arial" w:cs="Arial"/>
          <w:sz w:val="18"/>
          <w:szCs w:val="18"/>
        </w:rPr>
        <w:footnoteRef/>
      </w:r>
      <w:r w:rsidRPr="00F9645A">
        <w:rPr>
          <w:rFonts w:ascii="Arial" w:hAnsi="Arial" w:cs="Arial"/>
          <w:sz w:val="18"/>
          <w:szCs w:val="18"/>
        </w:rPr>
        <w:t xml:space="preserve"> See </w:t>
      </w:r>
      <w:r w:rsidRPr="00F9645A">
        <w:rPr>
          <w:rFonts w:ascii="Arial" w:hAnsi="Arial" w:cs="Arial"/>
          <w:i/>
          <w:sz w:val="18"/>
          <w:szCs w:val="18"/>
        </w:rPr>
        <w:t xml:space="preserve">Real Property Act 1900 (NSW) </w:t>
      </w:r>
      <w:r w:rsidRPr="00F9645A">
        <w:rPr>
          <w:rFonts w:ascii="Arial" w:hAnsi="Arial" w:cs="Arial"/>
          <w:sz w:val="18"/>
          <w:szCs w:val="18"/>
        </w:rPr>
        <w:t xml:space="preserve">section 58; </w:t>
      </w:r>
      <w:r w:rsidRPr="00F9645A">
        <w:rPr>
          <w:rFonts w:ascii="Arial" w:hAnsi="Arial" w:cs="Arial"/>
          <w:i/>
          <w:sz w:val="18"/>
          <w:szCs w:val="18"/>
        </w:rPr>
        <w:t xml:space="preserve">Property Law Act 1974 (Qld) </w:t>
      </w:r>
      <w:r w:rsidRPr="00F9645A">
        <w:rPr>
          <w:rFonts w:ascii="Arial" w:hAnsi="Arial" w:cs="Arial"/>
          <w:sz w:val="18"/>
          <w:szCs w:val="18"/>
        </w:rPr>
        <w:t xml:space="preserve">section 83; </w:t>
      </w:r>
      <w:r w:rsidRPr="00F9645A">
        <w:rPr>
          <w:rFonts w:ascii="Arial" w:hAnsi="Arial" w:cs="Arial"/>
          <w:i/>
          <w:sz w:val="18"/>
          <w:szCs w:val="18"/>
        </w:rPr>
        <w:t xml:space="preserve">Property Law Act 1958 (Vic) </w:t>
      </w:r>
      <w:r w:rsidRPr="00F9645A">
        <w:rPr>
          <w:rFonts w:ascii="Arial" w:hAnsi="Arial" w:cs="Arial"/>
          <w:sz w:val="18"/>
          <w:szCs w:val="18"/>
        </w:rPr>
        <w:t xml:space="preserve">section 101; </w:t>
      </w:r>
      <w:r w:rsidRPr="00F9645A">
        <w:rPr>
          <w:rFonts w:ascii="Arial" w:hAnsi="Arial" w:cs="Arial"/>
          <w:i/>
          <w:sz w:val="18"/>
          <w:szCs w:val="18"/>
        </w:rPr>
        <w:t>Law of Property Act 1936</w:t>
      </w:r>
      <w:r w:rsidRPr="00F9645A">
        <w:rPr>
          <w:rFonts w:ascii="Arial" w:hAnsi="Arial" w:cs="Arial"/>
          <w:sz w:val="18"/>
          <w:szCs w:val="18"/>
        </w:rPr>
        <w:t xml:space="preserve"> (SA) section 47; </w:t>
      </w:r>
      <w:r w:rsidRPr="00F9645A">
        <w:rPr>
          <w:rFonts w:ascii="Arial" w:hAnsi="Arial" w:cs="Arial"/>
          <w:i/>
          <w:sz w:val="18"/>
          <w:szCs w:val="18"/>
        </w:rPr>
        <w:t xml:space="preserve">Conveyancing and Law of Property Act 1884 (Tas) </w:t>
      </w:r>
      <w:r w:rsidRPr="00F9645A">
        <w:rPr>
          <w:rFonts w:ascii="Arial" w:hAnsi="Arial" w:cs="Arial"/>
          <w:sz w:val="18"/>
          <w:szCs w:val="18"/>
        </w:rPr>
        <w:t xml:space="preserve">section 21; </w:t>
      </w:r>
      <w:r w:rsidRPr="00F9645A">
        <w:rPr>
          <w:rFonts w:ascii="Arial" w:hAnsi="Arial" w:cs="Arial"/>
          <w:i/>
          <w:sz w:val="18"/>
          <w:szCs w:val="18"/>
        </w:rPr>
        <w:t xml:space="preserve">Law of Property Act 2000 (NT) </w:t>
      </w:r>
      <w:r w:rsidRPr="00F9645A">
        <w:rPr>
          <w:rFonts w:ascii="Arial" w:hAnsi="Arial" w:cs="Arial"/>
          <w:sz w:val="18"/>
          <w:szCs w:val="18"/>
        </w:rPr>
        <w:t xml:space="preserve">sections 86 and 87; </w:t>
      </w:r>
      <w:r w:rsidRPr="00F9645A">
        <w:rPr>
          <w:rFonts w:ascii="Arial" w:hAnsi="Arial" w:cs="Arial"/>
          <w:i/>
          <w:sz w:val="18"/>
          <w:szCs w:val="18"/>
        </w:rPr>
        <w:t>Land Titles Act 1925 (ACT)</w:t>
      </w:r>
      <w:r w:rsidRPr="00F9645A">
        <w:rPr>
          <w:rFonts w:ascii="Arial" w:hAnsi="Arial" w:cs="Arial"/>
          <w:sz w:val="18"/>
          <w:szCs w:val="18"/>
        </w:rPr>
        <w:t xml:space="preserve"> section 94; and </w:t>
      </w:r>
      <w:r w:rsidRPr="00F9645A">
        <w:rPr>
          <w:rFonts w:ascii="Arial" w:hAnsi="Arial" w:cs="Arial"/>
          <w:i/>
          <w:sz w:val="18"/>
          <w:szCs w:val="18"/>
        </w:rPr>
        <w:t>Property Law Act 1969</w:t>
      </w:r>
      <w:r w:rsidRPr="00F9645A">
        <w:rPr>
          <w:rFonts w:ascii="Arial" w:hAnsi="Arial" w:cs="Arial"/>
          <w:sz w:val="18"/>
          <w:szCs w:val="18"/>
        </w:rPr>
        <w:t xml:space="preserve"> (WA) section 57.</w:t>
      </w:r>
    </w:p>
  </w:footnote>
  <w:footnote w:id="2">
    <w:p w14:paraId="71BBD553" w14:textId="77777777" w:rsidR="00717289" w:rsidRPr="00F9645A" w:rsidRDefault="00717289" w:rsidP="00717289">
      <w:pPr>
        <w:pStyle w:val="FootnoteText"/>
        <w:ind w:left="113" w:hanging="113"/>
        <w:rPr>
          <w:rFonts w:ascii="Arial" w:hAnsi="Arial" w:cs="Arial"/>
          <w:sz w:val="18"/>
          <w:szCs w:val="18"/>
        </w:rPr>
      </w:pPr>
      <w:r w:rsidRPr="00F9645A">
        <w:rPr>
          <w:rStyle w:val="FootnoteReference"/>
          <w:rFonts w:ascii="Arial" w:hAnsi="Arial" w:cs="Arial"/>
          <w:sz w:val="18"/>
          <w:szCs w:val="18"/>
        </w:rPr>
        <w:footnoteRef/>
      </w:r>
      <w:r w:rsidRPr="00F9645A">
        <w:rPr>
          <w:rFonts w:ascii="Arial" w:hAnsi="Arial" w:cs="Arial"/>
          <w:sz w:val="18"/>
          <w:szCs w:val="18"/>
        </w:rPr>
        <w:t xml:space="preserve"> This particular form of words is used in subsection 58(1) of the </w:t>
      </w:r>
      <w:r w:rsidRPr="00F9645A">
        <w:rPr>
          <w:rFonts w:ascii="Arial" w:hAnsi="Arial" w:cs="Arial"/>
          <w:i/>
          <w:sz w:val="18"/>
          <w:szCs w:val="18"/>
        </w:rPr>
        <w:t>Real Property Act 1900</w:t>
      </w:r>
      <w:r>
        <w:rPr>
          <w:rFonts w:ascii="Arial" w:hAnsi="Arial" w:cs="Arial"/>
          <w:sz w:val="18"/>
          <w:szCs w:val="18"/>
        </w:rPr>
        <w:t xml:space="preserve"> (NSW).</w:t>
      </w:r>
    </w:p>
  </w:footnote>
  <w:footnote w:id="3">
    <w:p w14:paraId="4DF3CFC8" w14:textId="77777777" w:rsidR="00717289" w:rsidRPr="00F9645A" w:rsidRDefault="00717289" w:rsidP="00717289">
      <w:pPr>
        <w:pStyle w:val="FootnoteText"/>
        <w:ind w:left="113" w:hanging="113"/>
        <w:rPr>
          <w:rFonts w:ascii="Arial" w:hAnsi="Arial" w:cs="Arial"/>
          <w:sz w:val="18"/>
          <w:szCs w:val="18"/>
        </w:rPr>
      </w:pPr>
      <w:r w:rsidRPr="00F9645A">
        <w:rPr>
          <w:rStyle w:val="FootnoteReference"/>
          <w:rFonts w:ascii="Arial" w:hAnsi="Arial" w:cs="Arial"/>
          <w:sz w:val="18"/>
          <w:szCs w:val="18"/>
        </w:rPr>
        <w:footnoteRef/>
      </w:r>
      <w:r w:rsidRPr="00F9645A">
        <w:rPr>
          <w:rFonts w:ascii="Arial" w:hAnsi="Arial" w:cs="Arial"/>
          <w:sz w:val="18"/>
          <w:szCs w:val="18"/>
        </w:rPr>
        <w:t xml:space="preserve"> See </w:t>
      </w:r>
      <w:r w:rsidRPr="00F9645A">
        <w:rPr>
          <w:rFonts w:ascii="Arial" w:hAnsi="Arial" w:cs="Arial"/>
          <w:i/>
          <w:sz w:val="18"/>
          <w:szCs w:val="18"/>
        </w:rPr>
        <w:t xml:space="preserve">Real Property Act 1900 (NSW) </w:t>
      </w:r>
      <w:r w:rsidRPr="00F9645A">
        <w:rPr>
          <w:rFonts w:ascii="Arial" w:hAnsi="Arial" w:cs="Arial"/>
          <w:sz w:val="18"/>
          <w:szCs w:val="18"/>
        </w:rPr>
        <w:t xml:space="preserve">subsection 58(3); </w:t>
      </w:r>
      <w:r w:rsidRPr="00F9645A">
        <w:rPr>
          <w:rFonts w:ascii="Arial" w:hAnsi="Arial" w:cs="Arial"/>
          <w:i/>
          <w:sz w:val="18"/>
          <w:szCs w:val="18"/>
        </w:rPr>
        <w:t xml:space="preserve">Property Law Act 1974 (Qld) </w:t>
      </w:r>
      <w:r w:rsidRPr="00F9645A">
        <w:rPr>
          <w:rFonts w:ascii="Arial" w:hAnsi="Arial" w:cs="Arial"/>
          <w:sz w:val="18"/>
          <w:szCs w:val="18"/>
        </w:rPr>
        <w:t xml:space="preserve">section 88; </w:t>
      </w:r>
      <w:r w:rsidRPr="00F9645A">
        <w:rPr>
          <w:rFonts w:ascii="Arial" w:hAnsi="Arial" w:cs="Arial"/>
          <w:i/>
          <w:sz w:val="18"/>
          <w:szCs w:val="18"/>
        </w:rPr>
        <w:t xml:space="preserve">Property Law Act 1958 (Vic) </w:t>
      </w:r>
      <w:r w:rsidRPr="00F9645A">
        <w:rPr>
          <w:rFonts w:ascii="Arial" w:hAnsi="Arial" w:cs="Arial"/>
          <w:sz w:val="18"/>
          <w:szCs w:val="18"/>
        </w:rPr>
        <w:t xml:space="preserve">section 105; </w:t>
      </w:r>
      <w:r w:rsidRPr="00F9645A">
        <w:rPr>
          <w:rFonts w:ascii="Arial" w:hAnsi="Arial" w:cs="Arial"/>
          <w:i/>
          <w:sz w:val="18"/>
          <w:szCs w:val="18"/>
        </w:rPr>
        <w:t>Law of Property Act 1936</w:t>
      </w:r>
      <w:r w:rsidRPr="00F9645A">
        <w:rPr>
          <w:rFonts w:ascii="Arial" w:hAnsi="Arial" w:cs="Arial"/>
          <w:sz w:val="18"/>
          <w:szCs w:val="18"/>
        </w:rPr>
        <w:t xml:space="preserve"> (SA) section 50; </w:t>
      </w:r>
      <w:r w:rsidRPr="00F9645A">
        <w:rPr>
          <w:rFonts w:ascii="Arial" w:hAnsi="Arial" w:cs="Arial"/>
          <w:i/>
          <w:sz w:val="18"/>
          <w:szCs w:val="18"/>
        </w:rPr>
        <w:t xml:space="preserve">Conveyancing and Law of Property Act 1884 (Tas) </w:t>
      </w:r>
      <w:r w:rsidRPr="00F9645A">
        <w:rPr>
          <w:rFonts w:ascii="Arial" w:hAnsi="Arial" w:cs="Arial"/>
          <w:sz w:val="18"/>
          <w:szCs w:val="18"/>
        </w:rPr>
        <w:t xml:space="preserve">section 23; </w:t>
      </w:r>
      <w:r w:rsidRPr="00F9645A">
        <w:rPr>
          <w:rFonts w:ascii="Arial" w:hAnsi="Arial" w:cs="Arial"/>
          <w:i/>
          <w:sz w:val="18"/>
          <w:szCs w:val="18"/>
        </w:rPr>
        <w:t xml:space="preserve">Law of Property Act 2000 (NT) </w:t>
      </w:r>
      <w:r w:rsidRPr="00F9645A">
        <w:rPr>
          <w:rFonts w:ascii="Arial" w:hAnsi="Arial" w:cs="Arial"/>
          <w:sz w:val="18"/>
          <w:szCs w:val="18"/>
        </w:rPr>
        <w:t xml:space="preserve">section 93; </w:t>
      </w:r>
      <w:r w:rsidRPr="00F9645A">
        <w:rPr>
          <w:rFonts w:ascii="Arial" w:hAnsi="Arial" w:cs="Arial"/>
          <w:i/>
          <w:sz w:val="18"/>
          <w:szCs w:val="18"/>
        </w:rPr>
        <w:t>Land Titles Act 1925 (ACT)</w:t>
      </w:r>
      <w:r w:rsidRPr="00F9645A">
        <w:rPr>
          <w:rFonts w:ascii="Arial" w:hAnsi="Arial" w:cs="Arial"/>
          <w:sz w:val="18"/>
          <w:szCs w:val="18"/>
        </w:rPr>
        <w:t xml:space="preserve"> section 94; and </w:t>
      </w:r>
      <w:r w:rsidRPr="00F9645A">
        <w:rPr>
          <w:rFonts w:ascii="Arial" w:hAnsi="Arial" w:cs="Arial"/>
          <w:i/>
          <w:sz w:val="18"/>
          <w:szCs w:val="18"/>
        </w:rPr>
        <w:t>Property Law Act 1969</w:t>
      </w:r>
      <w:r>
        <w:rPr>
          <w:rFonts w:ascii="Arial" w:hAnsi="Arial" w:cs="Arial"/>
          <w:sz w:val="18"/>
          <w:szCs w:val="18"/>
        </w:rPr>
        <w:t xml:space="preserve"> (WA) section 61.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AC1BCA" w14:textId="77777777" w:rsidR="00587C50" w:rsidRPr="0067541C" w:rsidRDefault="00587C50">
    <w:pPr>
      <w:pStyle w:val="Header"/>
      <w:rPr>
        <w:rFonts w:ascii="Arial" w:hAnsi="Arial" w:cs="Arial"/>
        <w:sz w:val="52"/>
      </w:rPr>
    </w:pPr>
    <w:r w:rsidRPr="0067541C">
      <w:rPr>
        <w:rFonts w:ascii="Arial" w:hAnsi="Arial" w:cs="Arial"/>
        <w:sz w:val="20"/>
      </w:rPr>
      <w:t>Taxation Determination</w:t>
    </w:r>
  </w:p>
  <w:p w14:paraId="15AC1BCB" w14:textId="77777777" w:rsidR="00587C50" w:rsidRPr="0067541C" w:rsidRDefault="00587C50">
    <w:pPr>
      <w:pStyle w:val="Header"/>
      <w:rPr>
        <w:rFonts w:ascii="Arial" w:hAnsi="Arial" w:cs="Arial"/>
        <w:sz w:val="52"/>
      </w:rPr>
    </w:pPr>
    <w:r w:rsidRPr="0067541C">
      <w:rPr>
        <w:rFonts w:ascii="Arial" w:hAnsi="Arial" w:cs="Arial"/>
        <w:b/>
        <w:sz w:val="52"/>
      </w:rPr>
      <w:t xml:space="preserve">TD </w:t>
    </w:r>
    <w:r w:rsidRPr="0067541C">
      <w:rPr>
        <w:rFonts w:ascii="Arial" w:hAnsi="Arial" w:cs="Arial"/>
        <w:sz w:val="52"/>
      </w:rPr>
      <w:fldChar w:fldCharType="begin"/>
    </w:r>
    <w:r w:rsidRPr="0067541C">
      <w:rPr>
        <w:rFonts w:ascii="Arial" w:hAnsi="Arial" w:cs="Arial"/>
        <w:sz w:val="52"/>
      </w:rPr>
      <w:instrText xml:space="preserve"> REF CDocNum </w:instrText>
    </w:r>
    <w:r>
      <w:rPr>
        <w:rFonts w:ascii="Arial" w:hAnsi="Arial" w:cs="Arial"/>
        <w:sz w:val="52"/>
      </w:rPr>
      <w:instrText xml:space="preserve"> \* MERGEFORMAT </w:instrText>
    </w:r>
    <w:r w:rsidRPr="0067541C">
      <w:rPr>
        <w:rFonts w:ascii="Arial" w:hAnsi="Arial" w:cs="Arial"/>
        <w:sz w:val="52"/>
      </w:rPr>
      <w:fldChar w:fldCharType="separate"/>
    </w:r>
    <w:r w:rsidR="00425A09">
      <w:rPr>
        <w:rFonts w:ascii="Arial" w:hAnsi="Arial" w:cs="Arial"/>
        <w:b/>
        <w:bCs/>
        <w:sz w:val="52"/>
        <w:lang w:val="en-US"/>
      </w:rPr>
      <w:t>Error! Reference source not found.</w:t>
    </w:r>
    <w:r w:rsidRPr="0067541C">
      <w:rPr>
        <w:rFonts w:ascii="Arial" w:hAnsi="Arial" w:cs="Arial"/>
        <w:sz w:val="52"/>
      </w:rPr>
      <w:fldChar w:fldCharType="end"/>
    </w:r>
  </w:p>
  <w:p w14:paraId="15AC1BCC" w14:textId="77777777" w:rsidR="00587C50" w:rsidRPr="0067541C" w:rsidRDefault="00587C50">
    <w:pPr>
      <w:pStyle w:val="Header"/>
      <w:pBdr>
        <w:top w:val="single" w:sz="4" w:space="1" w:color="auto"/>
        <w:bottom w:val="single" w:sz="4" w:space="1" w:color="auto"/>
      </w:pBdr>
      <w:tabs>
        <w:tab w:val="clear" w:pos="4153"/>
        <w:tab w:val="clear" w:pos="8306"/>
        <w:tab w:val="right" w:pos="8789"/>
      </w:tabs>
      <w:spacing w:after="240"/>
      <w:rPr>
        <w:rFonts w:ascii="Arial" w:hAnsi="Arial" w:cs="Arial"/>
        <w:sz w:val="20"/>
      </w:rPr>
    </w:pPr>
    <w:r w:rsidRPr="0067541C">
      <w:rPr>
        <w:rFonts w:ascii="Arial" w:hAnsi="Arial" w:cs="Arial"/>
        <w:snapToGrid w:val="0"/>
        <w:sz w:val="20"/>
        <w:lang w:eastAsia="en-US"/>
      </w:rPr>
      <w:t xml:space="preserve">Page </w:t>
    </w:r>
    <w:r w:rsidRPr="0067541C">
      <w:rPr>
        <w:rFonts w:ascii="Arial" w:hAnsi="Arial" w:cs="Arial"/>
        <w:snapToGrid w:val="0"/>
        <w:sz w:val="20"/>
        <w:lang w:eastAsia="en-US"/>
      </w:rPr>
      <w:fldChar w:fldCharType="begin"/>
    </w:r>
    <w:r w:rsidRPr="0067541C">
      <w:rPr>
        <w:rFonts w:ascii="Arial" w:hAnsi="Arial" w:cs="Arial"/>
        <w:snapToGrid w:val="0"/>
        <w:sz w:val="20"/>
        <w:lang w:eastAsia="en-US"/>
      </w:rPr>
      <w:instrText xml:space="preserve"> PAGE </w:instrText>
    </w:r>
    <w:r w:rsidRPr="0067541C">
      <w:rPr>
        <w:rFonts w:ascii="Arial" w:hAnsi="Arial" w:cs="Arial"/>
        <w:snapToGrid w:val="0"/>
        <w:sz w:val="20"/>
        <w:lang w:eastAsia="en-US"/>
      </w:rPr>
      <w:fldChar w:fldCharType="separate"/>
    </w:r>
    <w:r>
      <w:rPr>
        <w:rFonts w:ascii="Arial" w:hAnsi="Arial" w:cs="Arial"/>
        <w:noProof/>
        <w:snapToGrid w:val="0"/>
        <w:sz w:val="20"/>
        <w:lang w:eastAsia="en-US"/>
      </w:rPr>
      <w:t>2</w:t>
    </w:r>
    <w:r w:rsidRPr="0067541C">
      <w:rPr>
        <w:rFonts w:ascii="Arial" w:hAnsi="Arial" w:cs="Arial"/>
        <w:snapToGrid w:val="0"/>
        <w:sz w:val="20"/>
        <w:lang w:eastAsia="en-US"/>
      </w:rPr>
      <w:fldChar w:fldCharType="end"/>
    </w:r>
    <w:r w:rsidRPr="0067541C">
      <w:rPr>
        <w:rFonts w:ascii="Arial" w:hAnsi="Arial" w:cs="Arial"/>
        <w:snapToGrid w:val="0"/>
        <w:sz w:val="20"/>
        <w:lang w:eastAsia="en-US"/>
      </w:rPr>
      <w:t xml:space="preserve"> of </w:t>
    </w:r>
    <w:r w:rsidRPr="0067541C">
      <w:rPr>
        <w:rFonts w:ascii="Arial" w:hAnsi="Arial" w:cs="Arial"/>
        <w:snapToGrid w:val="0"/>
        <w:sz w:val="20"/>
        <w:lang w:eastAsia="en-US"/>
      </w:rPr>
      <w:fldChar w:fldCharType="begin"/>
    </w:r>
    <w:r w:rsidRPr="0067541C">
      <w:rPr>
        <w:rFonts w:ascii="Arial" w:hAnsi="Arial" w:cs="Arial"/>
        <w:snapToGrid w:val="0"/>
        <w:sz w:val="20"/>
        <w:lang w:eastAsia="en-US"/>
      </w:rPr>
      <w:instrText xml:space="preserve"> NUMPAGES </w:instrText>
    </w:r>
    <w:r w:rsidRPr="0067541C">
      <w:rPr>
        <w:rFonts w:ascii="Arial" w:hAnsi="Arial" w:cs="Arial"/>
        <w:snapToGrid w:val="0"/>
        <w:sz w:val="20"/>
        <w:lang w:eastAsia="en-US"/>
      </w:rPr>
      <w:fldChar w:fldCharType="separate"/>
    </w:r>
    <w:r w:rsidR="00425A09">
      <w:rPr>
        <w:rFonts w:ascii="Arial" w:hAnsi="Arial" w:cs="Arial"/>
        <w:noProof/>
        <w:snapToGrid w:val="0"/>
        <w:sz w:val="20"/>
        <w:lang w:eastAsia="en-US"/>
      </w:rPr>
      <w:t>9</w:t>
    </w:r>
    <w:r w:rsidRPr="0067541C">
      <w:rPr>
        <w:rFonts w:ascii="Arial" w:hAnsi="Arial" w:cs="Arial"/>
        <w:snapToGrid w:val="0"/>
        <w:sz w:val="20"/>
        <w:lang w:eastAsia="en-US"/>
      </w:rPr>
      <w:fldChar w:fldCharType="end"/>
    </w:r>
    <w:r w:rsidRPr="0067541C">
      <w:rPr>
        <w:rFonts w:ascii="Arial" w:hAnsi="Arial" w:cs="Arial"/>
      </w:rPr>
      <w:tab/>
    </w:r>
    <w:r w:rsidRPr="0067541C">
      <w:rPr>
        <w:rFonts w:ascii="Arial" w:hAnsi="Arial" w:cs="Arial"/>
        <w:sz w:val="20"/>
      </w:rPr>
      <w:t xml:space="preserve">FOI status:  </w:t>
    </w:r>
    <w:r w:rsidRPr="0067541C">
      <w:rPr>
        <w:rFonts w:ascii="Arial" w:hAnsi="Arial" w:cs="Arial"/>
        <w:b/>
        <w:sz w:val="20"/>
      </w:rPr>
      <w:t>may be released</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AC1BCD" w14:textId="77777777" w:rsidR="00587C50" w:rsidRDefault="00587C50" w:rsidP="001828A4">
    <w:pPr>
      <w:pStyle w:val="Header"/>
      <w:tabs>
        <w:tab w:val="clear" w:pos="4153"/>
        <w:tab w:val="clear" w:pos="8306"/>
        <w:tab w:val="center" w:pos="1418"/>
        <w:tab w:val="right" w:pos="8789"/>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AC1BCE" w14:textId="28615DAE" w:rsidR="00146ED8" w:rsidRPr="00767CE8" w:rsidRDefault="00146ED8" w:rsidP="00767CE8">
    <w:pPr>
      <w:framePr w:w="3241" w:h="526" w:hSpace="180" w:wrap="around" w:vAnchor="page" w:hAnchor="page" w:x="7711" w:y="1141"/>
      <w:pBdr>
        <w:top w:val="single" w:sz="12" w:space="1" w:color="auto"/>
        <w:left w:val="single" w:sz="12" w:space="1" w:color="auto"/>
        <w:bottom w:val="single" w:sz="12" w:space="1" w:color="auto"/>
        <w:right w:val="single" w:sz="12" w:space="1" w:color="auto"/>
      </w:pBdr>
      <w:rPr>
        <w:rFonts w:ascii="Arial" w:hAnsi="Arial" w:cs="Arial"/>
        <w:sz w:val="22"/>
        <w:szCs w:val="22"/>
      </w:rPr>
    </w:pPr>
    <w:r w:rsidRPr="00767CE8">
      <w:rPr>
        <w:rFonts w:ascii="Arial" w:hAnsi="Arial" w:cs="Arial"/>
        <w:b/>
        <w:sz w:val="22"/>
        <w:szCs w:val="22"/>
      </w:rPr>
      <w:t xml:space="preserve">Instrument ID: </w:t>
    </w:r>
    <w:r w:rsidR="0043385D">
      <w:rPr>
        <w:rFonts w:ascii="Arial" w:hAnsi="Arial" w:cs="Arial"/>
        <w:b/>
        <w:sz w:val="22"/>
        <w:szCs w:val="22"/>
      </w:rPr>
      <w:t>2020/PW/0015</w:t>
    </w:r>
  </w:p>
  <w:p w14:paraId="15AC1BCF" w14:textId="77777777" w:rsidR="00587C50" w:rsidRDefault="003D0CBA" w:rsidP="001828A4">
    <w:pPr>
      <w:pStyle w:val="Header"/>
      <w:tabs>
        <w:tab w:val="clear" w:pos="4153"/>
        <w:tab w:val="clear" w:pos="8306"/>
      </w:tabs>
      <w:rPr>
        <w:rFonts w:ascii="Arial" w:hAnsi="Arial" w:cs="Arial"/>
        <w:sz w:val="20"/>
      </w:rPr>
    </w:pPr>
    <w:r>
      <w:rPr>
        <w:noProof/>
      </w:rPr>
      <w:drawing>
        <wp:inline distT="0" distB="0" distL="0" distR="0" wp14:anchorId="15AC1BD1" wp14:editId="15AC1BD2">
          <wp:extent cx="2413635" cy="701675"/>
          <wp:effectExtent l="0" t="0" r="5715" b="3175"/>
          <wp:docPr id="3" name="Picture 1" descr="ATO_in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TO_inlin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13635" cy="701675"/>
                  </a:xfrm>
                  <a:prstGeom prst="rect">
                    <a:avLst/>
                  </a:prstGeom>
                  <a:noFill/>
                  <a:ln>
                    <a:noFill/>
                  </a:ln>
                </pic:spPr>
              </pic:pic>
            </a:graphicData>
          </a:graphic>
        </wp:inline>
      </w:drawing>
    </w:r>
  </w:p>
  <w:p w14:paraId="15AC1BD0" w14:textId="77777777" w:rsidR="00CC1833" w:rsidRPr="001A6644" w:rsidRDefault="00CC1833" w:rsidP="00767CE8">
    <w:pPr>
      <w:pStyle w:val="Header"/>
      <w:tabs>
        <w:tab w:val="clear" w:pos="4153"/>
        <w:tab w:val="clear" w:pos="8306"/>
      </w:tabs>
      <w:rPr>
        <w:rFonts w:ascii="Arial" w:hAnsi="Arial" w:cs="Arial"/>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44EEF"/>
    <w:multiLevelType w:val="hybridMultilevel"/>
    <w:tmpl w:val="04F6ADC2"/>
    <w:lvl w:ilvl="0" w:tplc="0C090001">
      <w:start w:val="1"/>
      <w:numFmt w:val="bullet"/>
      <w:lvlText w:val=""/>
      <w:lvlJc w:val="left"/>
      <w:pPr>
        <w:tabs>
          <w:tab w:val="num" w:pos="787"/>
        </w:tabs>
        <w:ind w:left="787" w:hanging="360"/>
      </w:pPr>
      <w:rPr>
        <w:rFonts w:ascii="Symbol" w:hAnsi="Symbol" w:hint="default"/>
      </w:rPr>
    </w:lvl>
    <w:lvl w:ilvl="1" w:tplc="B9F8D416">
      <w:start w:val="1"/>
      <w:numFmt w:val="bullet"/>
      <w:lvlText w:val="o"/>
      <w:lvlJc w:val="left"/>
      <w:pPr>
        <w:tabs>
          <w:tab w:val="num" w:pos="1507"/>
        </w:tabs>
        <w:ind w:left="1507" w:hanging="360"/>
      </w:pPr>
      <w:rPr>
        <w:rFonts w:ascii="Courier New" w:hAnsi="Courier New" w:hint="default"/>
      </w:rPr>
    </w:lvl>
    <w:lvl w:ilvl="2" w:tplc="0C090005" w:tentative="1">
      <w:start w:val="1"/>
      <w:numFmt w:val="bullet"/>
      <w:lvlText w:val=""/>
      <w:lvlJc w:val="left"/>
      <w:pPr>
        <w:tabs>
          <w:tab w:val="num" w:pos="2227"/>
        </w:tabs>
        <w:ind w:left="2227" w:hanging="360"/>
      </w:pPr>
      <w:rPr>
        <w:rFonts w:ascii="Wingdings" w:hAnsi="Wingdings" w:hint="default"/>
      </w:rPr>
    </w:lvl>
    <w:lvl w:ilvl="3" w:tplc="0C090001" w:tentative="1">
      <w:start w:val="1"/>
      <w:numFmt w:val="bullet"/>
      <w:lvlText w:val=""/>
      <w:lvlJc w:val="left"/>
      <w:pPr>
        <w:tabs>
          <w:tab w:val="num" w:pos="2947"/>
        </w:tabs>
        <w:ind w:left="2947" w:hanging="360"/>
      </w:pPr>
      <w:rPr>
        <w:rFonts w:ascii="Symbol" w:hAnsi="Symbol" w:hint="default"/>
      </w:rPr>
    </w:lvl>
    <w:lvl w:ilvl="4" w:tplc="0C090003" w:tentative="1">
      <w:start w:val="1"/>
      <w:numFmt w:val="bullet"/>
      <w:lvlText w:val="o"/>
      <w:lvlJc w:val="left"/>
      <w:pPr>
        <w:tabs>
          <w:tab w:val="num" w:pos="3667"/>
        </w:tabs>
        <w:ind w:left="3667" w:hanging="360"/>
      </w:pPr>
      <w:rPr>
        <w:rFonts w:ascii="Courier New" w:hAnsi="Courier New" w:cs="Courier New" w:hint="default"/>
      </w:rPr>
    </w:lvl>
    <w:lvl w:ilvl="5" w:tplc="0C090005" w:tentative="1">
      <w:start w:val="1"/>
      <w:numFmt w:val="bullet"/>
      <w:lvlText w:val=""/>
      <w:lvlJc w:val="left"/>
      <w:pPr>
        <w:tabs>
          <w:tab w:val="num" w:pos="4387"/>
        </w:tabs>
        <w:ind w:left="4387" w:hanging="360"/>
      </w:pPr>
      <w:rPr>
        <w:rFonts w:ascii="Wingdings" w:hAnsi="Wingdings" w:hint="default"/>
      </w:rPr>
    </w:lvl>
    <w:lvl w:ilvl="6" w:tplc="0C090001" w:tentative="1">
      <w:start w:val="1"/>
      <w:numFmt w:val="bullet"/>
      <w:lvlText w:val=""/>
      <w:lvlJc w:val="left"/>
      <w:pPr>
        <w:tabs>
          <w:tab w:val="num" w:pos="5107"/>
        </w:tabs>
        <w:ind w:left="5107" w:hanging="360"/>
      </w:pPr>
      <w:rPr>
        <w:rFonts w:ascii="Symbol" w:hAnsi="Symbol" w:hint="default"/>
      </w:rPr>
    </w:lvl>
    <w:lvl w:ilvl="7" w:tplc="0C090003" w:tentative="1">
      <w:start w:val="1"/>
      <w:numFmt w:val="bullet"/>
      <w:lvlText w:val="o"/>
      <w:lvlJc w:val="left"/>
      <w:pPr>
        <w:tabs>
          <w:tab w:val="num" w:pos="5827"/>
        </w:tabs>
        <w:ind w:left="5827" w:hanging="360"/>
      </w:pPr>
      <w:rPr>
        <w:rFonts w:ascii="Courier New" w:hAnsi="Courier New" w:cs="Courier New" w:hint="default"/>
      </w:rPr>
    </w:lvl>
    <w:lvl w:ilvl="8" w:tplc="0C090005" w:tentative="1">
      <w:start w:val="1"/>
      <w:numFmt w:val="bullet"/>
      <w:lvlText w:val=""/>
      <w:lvlJc w:val="left"/>
      <w:pPr>
        <w:tabs>
          <w:tab w:val="num" w:pos="6547"/>
        </w:tabs>
        <w:ind w:left="6547" w:hanging="360"/>
      </w:pPr>
      <w:rPr>
        <w:rFonts w:ascii="Wingdings" w:hAnsi="Wingdings" w:hint="default"/>
      </w:rPr>
    </w:lvl>
  </w:abstractNum>
  <w:abstractNum w:abstractNumId="1" w15:restartNumberingAfterBreak="0">
    <w:nsid w:val="02F470ED"/>
    <w:multiLevelType w:val="hybridMultilevel"/>
    <w:tmpl w:val="E8B4F924"/>
    <w:lvl w:ilvl="0" w:tplc="0C090005">
      <w:start w:val="1"/>
      <w:numFmt w:val="bullet"/>
      <w:lvlText w:val=""/>
      <w:lvlJc w:val="left"/>
      <w:pPr>
        <w:tabs>
          <w:tab w:val="num" w:pos="1080"/>
        </w:tabs>
        <w:ind w:left="1080" w:hanging="360"/>
      </w:pPr>
      <w:rPr>
        <w:rFonts w:ascii="Wingdings" w:hAnsi="Wingdings" w:hint="default"/>
      </w:rPr>
    </w:lvl>
    <w:lvl w:ilvl="1" w:tplc="0C090003">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A436DF6"/>
    <w:multiLevelType w:val="hybridMultilevel"/>
    <w:tmpl w:val="C0200A5C"/>
    <w:lvl w:ilvl="0" w:tplc="997C9D0A">
      <w:start w:val="1"/>
      <w:numFmt w:val="decimal"/>
      <w:lvlText w:val="%1."/>
      <w:lvlJc w:val="left"/>
      <w:pPr>
        <w:ind w:left="360" w:hanging="360"/>
      </w:pPr>
      <w:rPr>
        <w:rFonts w:ascii="Arial" w:hAnsi="Arial" w:cs="Arial" w:hint="default"/>
      </w:rPr>
    </w:lvl>
    <w:lvl w:ilvl="1" w:tplc="C260632A">
      <w:start w:val="1"/>
      <w:numFmt w:val="lowerLetter"/>
      <w:lvlText w:val="(%2)"/>
      <w:lvlJc w:val="left"/>
      <w:pPr>
        <w:ind w:left="1526" w:hanging="360"/>
      </w:pPr>
      <w:rPr>
        <w:rFonts w:hint="default"/>
        <w:b/>
      </w:rPr>
    </w:lvl>
    <w:lvl w:ilvl="2" w:tplc="0C09001B" w:tentative="1">
      <w:start w:val="1"/>
      <w:numFmt w:val="lowerRoman"/>
      <w:lvlText w:val="%3."/>
      <w:lvlJc w:val="right"/>
      <w:pPr>
        <w:ind w:left="2246" w:hanging="180"/>
      </w:pPr>
    </w:lvl>
    <w:lvl w:ilvl="3" w:tplc="0C09000F" w:tentative="1">
      <w:start w:val="1"/>
      <w:numFmt w:val="decimal"/>
      <w:lvlText w:val="%4."/>
      <w:lvlJc w:val="left"/>
      <w:pPr>
        <w:ind w:left="2966" w:hanging="360"/>
      </w:pPr>
    </w:lvl>
    <w:lvl w:ilvl="4" w:tplc="0C090019" w:tentative="1">
      <w:start w:val="1"/>
      <w:numFmt w:val="lowerLetter"/>
      <w:lvlText w:val="%5."/>
      <w:lvlJc w:val="left"/>
      <w:pPr>
        <w:ind w:left="3686" w:hanging="360"/>
      </w:pPr>
    </w:lvl>
    <w:lvl w:ilvl="5" w:tplc="0C09001B" w:tentative="1">
      <w:start w:val="1"/>
      <w:numFmt w:val="lowerRoman"/>
      <w:lvlText w:val="%6."/>
      <w:lvlJc w:val="right"/>
      <w:pPr>
        <w:ind w:left="4406" w:hanging="180"/>
      </w:pPr>
    </w:lvl>
    <w:lvl w:ilvl="6" w:tplc="0C09000F" w:tentative="1">
      <w:start w:val="1"/>
      <w:numFmt w:val="decimal"/>
      <w:lvlText w:val="%7."/>
      <w:lvlJc w:val="left"/>
      <w:pPr>
        <w:ind w:left="5126" w:hanging="360"/>
      </w:pPr>
    </w:lvl>
    <w:lvl w:ilvl="7" w:tplc="0C090019" w:tentative="1">
      <w:start w:val="1"/>
      <w:numFmt w:val="lowerLetter"/>
      <w:lvlText w:val="%8."/>
      <w:lvlJc w:val="left"/>
      <w:pPr>
        <w:ind w:left="5846" w:hanging="360"/>
      </w:pPr>
    </w:lvl>
    <w:lvl w:ilvl="8" w:tplc="0C09001B" w:tentative="1">
      <w:start w:val="1"/>
      <w:numFmt w:val="lowerRoman"/>
      <w:lvlText w:val="%9."/>
      <w:lvlJc w:val="right"/>
      <w:pPr>
        <w:ind w:left="6566" w:hanging="180"/>
      </w:pPr>
    </w:lvl>
  </w:abstractNum>
  <w:abstractNum w:abstractNumId="3" w15:restartNumberingAfterBreak="0">
    <w:nsid w:val="0CE555A7"/>
    <w:multiLevelType w:val="hybridMultilevel"/>
    <w:tmpl w:val="53F44466"/>
    <w:lvl w:ilvl="0" w:tplc="0C09000F">
      <w:start w:val="1"/>
      <w:numFmt w:val="decimal"/>
      <w:lvlText w:val="%1."/>
      <w:lvlJc w:val="left"/>
      <w:pPr>
        <w:ind w:left="720" w:hanging="360"/>
      </w:pPr>
      <w:rPr>
        <w:rFonts w:cs="Times New Roman"/>
      </w:rPr>
    </w:lvl>
    <w:lvl w:ilvl="1" w:tplc="0C090019">
      <w:start w:val="1"/>
      <w:numFmt w:val="lowerLetter"/>
      <w:lvlText w:val="%2."/>
      <w:lvlJc w:val="left"/>
      <w:pPr>
        <w:ind w:left="1440" w:hanging="360"/>
      </w:pPr>
      <w:rPr>
        <w:rFonts w:cs="Times New Roman"/>
      </w:rPr>
    </w:lvl>
    <w:lvl w:ilvl="2" w:tplc="0C09001B">
      <w:start w:val="1"/>
      <w:numFmt w:val="lowerRoman"/>
      <w:lvlText w:val="%3."/>
      <w:lvlJc w:val="right"/>
      <w:pPr>
        <w:ind w:left="2160" w:hanging="180"/>
      </w:pPr>
      <w:rPr>
        <w:rFonts w:cs="Times New Roman"/>
      </w:rPr>
    </w:lvl>
    <w:lvl w:ilvl="3" w:tplc="B7EC8BD2">
      <w:start w:val="1"/>
      <w:numFmt w:val="decimal"/>
      <w:lvlText w:val="(%4)"/>
      <w:lvlJc w:val="left"/>
      <w:pPr>
        <w:ind w:left="786" w:hanging="360"/>
      </w:pPr>
      <w:rPr>
        <w:rFonts w:hint="default"/>
        <w:b w:val="0"/>
        <w:i w:val="0"/>
      </w:rPr>
    </w:lvl>
    <w:lvl w:ilvl="4" w:tplc="0C090001">
      <w:start w:val="1"/>
      <w:numFmt w:val="bullet"/>
      <w:lvlText w:val=""/>
      <w:lvlJc w:val="left"/>
      <w:pPr>
        <w:ind w:left="1070" w:hanging="360"/>
      </w:pPr>
      <w:rPr>
        <w:rFonts w:ascii="Symbol" w:hAnsi="Symbol" w:hint="default"/>
      </w:rPr>
    </w:lvl>
    <w:lvl w:ilvl="5" w:tplc="0C09001B">
      <w:start w:val="1"/>
      <w:numFmt w:val="lowerRoman"/>
      <w:lvlText w:val="%6."/>
      <w:lvlJc w:val="right"/>
      <w:pPr>
        <w:ind w:left="4320" w:hanging="180"/>
      </w:pPr>
      <w:rPr>
        <w:rFonts w:cs="Times New Roman"/>
      </w:rPr>
    </w:lvl>
    <w:lvl w:ilvl="6" w:tplc="0C09000F">
      <w:start w:val="1"/>
      <w:numFmt w:val="decimal"/>
      <w:lvlText w:val="%7."/>
      <w:lvlJc w:val="left"/>
      <w:pPr>
        <w:ind w:left="5040" w:hanging="360"/>
      </w:pPr>
      <w:rPr>
        <w:rFonts w:cs="Times New Roman"/>
      </w:rPr>
    </w:lvl>
    <w:lvl w:ilvl="7" w:tplc="0C090019">
      <w:start w:val="1"/>
      <w:numFmt w:val="lowerLetter"/>
      <w:lvlText w:val="%8."/>
      <w:lvlJc w:val="left"/>
      <w:pPr>
        <w:ind w:left="5760" w:hanging="360"/>
      </w:pPr>
      <w:rPr>
        <w:rFonts w:cs="Times New Roman"/>
      </w:rPr>
    </w:lvl>
    <w:lvl w:ilvl="8" w:tplc="0C09001B">
      <w:start w:val="1"/>
      <w:numFmt w:val="lowerRoman"/>
      <w:lvlText w:val="%9."/>
      <w:lvlJc w:val="right"/>
      <w:pPr>
        <w:ind w:left="6480" w:hanging="180"/>
      </w:pPr>
      <w:rPr>
        <w:rFonts w:cs="Times New Roman"/>
      </w:rPr>
    </w:lvl>
  </w:abstractNum>
  <w:abstractNum w:abstractNumId="4" w15:restartNumberingAfterBreak="0">
    <w:nsid w:val="0CE67440"/>
    <w:multiLevelType w:val="hybridMultilevel"/>
    <w:tmpl w:val="A2A05D3C"/>
    <w:lvl w:ilvl="0" w:tplc="02224C8E">
      <w:start w:val="1"/>
      <w:numFmt w:val="lowerLetter"/>
      <w:lvlText w:val="(%1)"/>
      <w:lvlJc w:val="left"/>
      <w:pPr>
        <w:ind w:left="360" w:hanging="360"/>
      </w:pPr>
      <w:rPr>
        <w:rFonts w:hint="default"/>
      </w:rPr>
    </w:lvl>
    <w:lvl w:ilvl="1" w:tplc="C260632A">
      <w:start w:val="1"/>
      <w:numFmt w:val="lowerLetter"/>
      <w:lvlText w:val="(%2)"/>
      <w:lvlJc w:val="left"/>
      <w:pPr>
        <w:ind w:left="1526" w:hanging="360"/>
      </w:pPr>
      <w:rPr>
        <w:rFonts w:hint="default"/>
        <w:b/>
      </w:rPr>
    </w:lvl>
    <w:lvl w:ilvl="2" w:tplc="0C09001B" w:tentative="1">
      <w:start w:val="1"/>
      <w:numFmt w:val="lowerRoman"/>
      <w:lvlText w:val="%3."/>
      <w:lvlJc w:val="right"/>
      <w:pPr>
        <w:ind w:left="2246" w:hanging="180"/>
      </w:pPr>
    </w:lvl>
    <w:lvl w:ilvl="3" w:tplc="0C09000F" w:tentative="1">
      <w:start w:val="1"/>
      <w:numFmt w:val="decimal"/>
      <w:lvlText w:val="%4."/>
      <w:lvlJc w:val="left"/>
      <w:pPr>
        <w:ind w:left="2966" w:hanging="360"/>
      </w:pPr>
    </w:lvl>
    <w:lvl w:ilvl="4" w:tplc="0C090019" w:tentative="1">
      <w:start w:val="1"/>
      <w:numFmt w:val="lowerLetter"/>
      <w:lvlText w:val="%5."/>
      <w:lvlJc w:val="left"/>
      <w:pPr>
        <w:ind w:left="3686" w:hanging="360"/>
      </w:pPr>
    </w:lvl>
    <w:lvl w:ilvl="5" w:tplc="0C09001B" w:tentative="1">
      <w:start w:val="1"/>
      <w:numFmt w:val="lowerRoman"/>
      <w:lvlText w:val="%6."/>
      <w:lvlJc w:val="right"/>
      <w:pPr>
        <w:ind w:left="4406" w:hanging="180"/>
      </w:pPr>
    </w:lvl>
    <w:lvl w:ilvl="6" w:tplc="0C09000F" w:tentative="1">
      <w:start w:val="1"/>
      <w:numFmt w:val="decimal"/>
      <w:lvlText w:val="%7."/>
      <w:lvlJc w:val="left"/>
      <w:pPr>
        <w:ind w:left="5126" w:hanging="360"/>
      </w:pPr>
    </w:lvl>
    <w:lvl w:ilvl="7" w:tplc="0C090019" w:tentative="1">
      <w:start w:val="1"/>
      <w:numFmt w:val="lowerLetter"/>
      <w:lvlText w:val="%8."/>
      <w:lvlJc w:val="left"/>
      <w:pPr>
        <w:ind w:left="5846" w:hanging="360"/>
      </w:pPr>
    </w:lvl>
    <w:lvl w:ilvl="8" w:tplc="0C09001B" w:tentative="1">
      <w:start w:val="1"/>
      <w:numFmt w:val="lowerRoman"/>
      <w:lvlText w:val="%9."/>
      <w:lvlJc w:val="right"/>
      <w:pPr>
        <w:ind w:left="6566" w:hanging="180"/>
      </w:pPr>
    </w:lvl>
  </w:abstractNum>
  <w:abstractNum w:abstractNumId="5" w15:restartNumberingAfterBreak="0">
    <w:nsid w:val="0E4E7B46"/>
    <w:multiLevelType w:val="hybridMultilevel"/>
    <w:tmpl w:val="EF6A53B0"/>
    <w:lvl w:ilvl="0" w:tplc="0C090005">
      <w:start w:val="1"/>
      <w:numFmt w:val="bullet"/>
      <w:lvlText w:val=""/>
      <w:lvlJc w:val="left"/>
      <w:pPr>
        <w:tabs>
          <w:tab w:val="num" w:pos="1080"/>
        </w:tabs>
        <w:ind w:left="1080" w:hanging="360"/>
      </w:pPr>
      <w:rPr>
        <w:rFonts w:ascii="Wingdings" w:hAnsi="Wingdings" w:hint="default"/>
      </w:rPr>
    </w:lvl>
    <w:lvl w:ilvl="1" w:tplc="0C090003">
      <w:start w:val="1"/>
      <w:numFmt w:val="bullet"/>
      <w:lvlText w:val="o"/>
      <w:lvlJc w:val="left"/>
      <w:pPr>
        <w:tabs>
          <w:tab w:val="num" w:pos="1800"/>
        </w:tabs>
        <w:ind w:left="1800" w:hanging="360"/>
      </w:pPr>
      <w:rPr>
        <w:rFonts w:ascii="Courier New" w:hAnsi="Courier New" w:cs="Courier New" w:hint="default"/>
      </w:rPr>
    </w:lvl>
    <w:lvl w:ilvl="2" w:tplc="0C090005">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0F08690C"/>
    <w:multiLevelType w:val="hybridMultilevel"/>
    <w:tmpl w:val="E05E0C04"/>
    <w:lvl w:ilvl="0" w:tplc="FFFFFFFF">
      <w:start w:val="1"/>
      <w:numFmt w:val="bullet"/>
      <w:lvlText w:val=""/>
      <w:lvlJc w:val="left"/>
      <w:pPr>
        <w:tabs>
          <w:tab w:val="num" w:pos="720"/>
        </w:tabs>
        <w:ind w:left="720" w:hanging="360"/>
      </w:pPr>
      <w:rPr>
        <w:rFonts w:ascii="Symbol" w:hAnsi="Symbol" w:hint="default"/>
        <w:sz w:val="16"/>
        <w:szCs w:val="16"/>
      </w:rPr>
    </w:lvl>
    <w:lvl w:ilvl="1" w:tplc="B42A47D4">
      <w:start w:val="1"/>
      <w:numFmt w:val="bullet"/>
      <w:lvlText w:val=""/>
      <w:lvlJc w:val="left"/>
      <w:pPr>
        <w:tabs>
          <w:tab w:val="num" w:pos="1440"/>
        </w:tabs>
        <w:ind w:left="1440" w:hanging="360"/>
      </w:pPr>
      <w:rPr>
        <w:rFonts w:ascii="Symbol" w:hAnsi="Symbol" w:hint="default"/>
        <w:sz w:val="16"/>
        <w:szCs w:val="16"/>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1150589"/>
    <w:multiLevelType w:val="hybridMultilevel"/>
    <w:tmpl w:val="19B0F380"/>
    <w:lvl w:ilvl="0" w:tplc="D68C5180">
      <w:start w:val="1"/>
      <w:numFmt w:val="decimal"/>
      <w:lvlText w:val="%1."/>
      <w:lvlJc w:val="left"/>
      <w:pPr>
        <w:tabs>
          <w:tab w:val="num" w:pos="1134"/>
        </w:tabs>
        <w:ind w:left="1134" w:hanging="774"/>
      </w:pPr>
      <w:rPr>
        <w:rFonts w:hint="default"/>
      </w:rPr>
    </w:lvl>
    <w:lvl w:ilvl="1" w:tplc="6164900A">
      <w:start w:val="10"/>
      <w:numFmt w:val="bullet"/>
      <w:lvlText w:val="-"/>
      <w:lvlJc w:val="left"/>
      <w:pPr>
        <w:tabs>
          <w:tab w:val="num" w:pos="1440"/>
        </w:tabs>
        <w:ind w:left="1440" w:hanging="360"/>
      </w:pPr>
      <w:rPr>
        <w:rFonts w:ascii="Times New Roman" w:eastAsia="Times New Roman" w:hAnsi="Times New Roman" w:cs="Times New Roman" w:hint="default"/>
      </w:rPr>
    </w:lvl>
    <w:lvl w:ilvl="2" w:tplc="B19AF8E4">
      <w:start w:val="1"/>
      <w:numFmt w:val="lowerLetter"/>
      <w:lvlText w:val="(%3)"/>
      <w:lvlJc w:val="left"/>
      <w:pPr>
        <w:tabs>
          <w:tab w:val="num" w:pos="2340"/>
        </w:tabs>
        <w:ind w:left="2340" w:hanging="360"/>
      </w:pPr>
      <w:rPr>
        <w:rFonts w:hint="default"/>
      </w:rPr>
    </w:lvl>
    <w:lvl w:ilvl="3" w:tplc="703C47C2">
      <w:start w:val="1"/>
      <w:numFmt w:val="decimal"/>
      <w:lvlText w:val="(%4)"/>
      <w:lvlJc w:val="left"/>
      <w:pPr>
        <w:tabs>
          <w:tab w:val="num" w:pos="1701"/>
        </w:tabs>
        <w:ind w:left="1701" w:hanging="567"/>
      </w:pPr>
      <w:rPr>
        <w:rFonts w:hint="default"/>
        <w:b w:val="0"/>
      </w:rPr>
    </w:lvl>
    <w:lvl w:ilvl="4" w:tplc="E6D06A7A">
      <w:start w:val="1"/>
      <w:numFmt w:val="bullet"/>
      <w:lvlText w:val="o"/>
      <w:lvlJc w:val="left"/>
      <w:pPr>
        <w:tabs>
          <w:tab w:val="num" w:pos="3807"/>
        </w:tabs>
        <w:ind w:left="3807" w:hanging="567"/>
      </w:pPr>
      <w:rPr>
        <w:rFonts w:ascii="Courier New" w:hAnsi="Courier New" w:hint="default"/>
      </w:r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8" w15:restartNumberingAfterBreak="0">
    <w:nsid w:val="115F2E7F"/>
    <w:multiLevelType w:val="multilevel"/>
    <w:tmpl w:val="B91A9E40"/>
    <w:lvl w:ilvl="0">
      <w:start w:val="1"/>
      <w:numFmt w:val="decimal"/>
      <w:lvlText w:val="%1."/>
      <w:lvlJc w:val="left"/>
      <w:pPr>
        <w:tabs>
          <w:tab w:val="num" w:pos="787"/>
        </w:tabs>
        <w:ind w:left="787" w:hanging="360"/>
      </w:pPr>
    </w:lvl>
    <w:lvl w:ilvl="1">
      <w:start w:val="1"/>
      <w:numFmt w:val="lowerLetter"/>
      <w:lvlText w:val="%2."/>
      <w:lvlJc w:val="left"/>
      <w:pPr>
        <w:tabs>
          <w:tab w:val="num" w:pos="1507"/>
        </w:tabs>
        <w:ind w:left="1507" w:hanging="360"/>
      </w:pPr>
    </w:lvl>
    <w:lvl w:ilvl="2">
      <w:start w:val="1"/>
      <w:numFmt w:val="lowerRoman"/>
      <w:lvlText w:val="%3."/>
      <w:lvlJc w:val="right"/>
      <w:pPr>
        <w:tabs>
          <w:tab w:val="num" w:pos="2227"/>
        </w:tabs>
        <w:ind w:left="2227" w:hanging="180"/>
      </w:pPr>
    </w:lvl>
    <w:lvl w:ilvl="3">
      <w:start w:val="1"/>
      <w:numFmt w:val="decimal"/>
      <w:lvlText w:val="%4."/>
      <w:lvlJc w:val="left"/>
      <w:pPr>
        <w:tabs>
          <w:tab w:val="num" w:pos="2947"/>
        </w:tabs>
        <w:ind w:left="2947" w:hanging="360"/>
      </w:pPr>
    </w:lvl>
    <w:lvl w:ilvl="4">
      <w:start w:val="1"/>
      <w:numFmt w:val="lowerLetter"/>
      <w:lvlText w:val="%5."/>
      <w:lvlJc w:val="left"/>
      <w:pPr>
        <w:tabs>
          <w:tab w:val="num" w:pos="3667"/>
        </w:tabs>
        <w:ind w:left="3667" w:hanging="360"/>
      </w:pPr>
    </w:lvl>
    <w:lvl w:ilvl="5">
      <w:start w:val="1"/>
      <w:numFmt w:val="lowerRoman"/>
      <w:lvlText w:val="%6."/>
      <w:lvlJc w:val="right"/>
      <w:pPr>
        <w:tabs>
          <w:tab w:val="num" w:pos="4387"/>
        </w:tabs>
        <w:ind w:left="4387" w:hanging="180"/>
      </w:pPr>
    </w:lvl>
    <w:lvl w:ilvl="6">
      <w:start w:val="1"/>
      <w:numFmt w:val="decimal"/>
      <w:lvlText w:val="%7."/>
      <w:lvlJc w:val="left"/>
      <w:pPr>
        <w:tabs>
          <w:tab w:val="num" w:pos="5107"/>
        </w:tabs>
        <w:ind w:left="5107" w:hanging="360"/>
      </w:pPr>
    </w:lvl>
    <w:lvl w:ilvl="7">
      <w:start w:val="1"/>
      <w:numFmt w:val="lowerLetter"/>
      <w:lvlText w:val="%8."/>
      <w:lvlJc w:val="left"/>
      <w:pPr>
        <w:tabs>
          <w:tab w:val="num" w:pos="5827"/>
        </w:tabs>
        <w:ind w:left="5827" w:hanging="360"/>
      </w:pPr>
    </w:lvl>
    <w:lvl w:ilvl="8">
      <w:start w:val="1"/>
      <w:numFmt w:val="lowerRoman"/>
      <w:lvlText w:val="%9."/>
      <w:lvlJc w:val="right"/>
      <w:pPr>
        <w:tabs>
          <w:tab w:val="num" w:pos="6547"/>
        </w:tabs>
        <w:ind w:left="6547" w:hanging="180"/>
      </w:pPr>
    </w:lvl>
  </w:abstractNum>
  <w:abstractNum w:abstractNumId="9" w15:restartNumberingAfterBreak="0">
    <w:nsid w:val="11D95A5E"/>
    <w:multiLevelType w:val="hybridMultilevel"/>
    <w:tmpl w:val="11BE0E88"/>
    <w:lvl w:ilvl="0" w:tplc="0C090001">
      <w:start w:val="1"/>
      <w:numFmt w:val="bullet"/>
      <w:lvlText w:val=""/>
      <w:lvlJc w:val="left"/>
      <w:pPr>
        <w:ind w:left="741" w:hanging="360"/>
      </w:pPr>
      <w:rPr>
        <w:rFonts w:ascii="Symbol" w:hAnsi="Symbol" w:hint="default"/>
      </w:rPr>
    </w:lvl>
    <w:lvl w:ilvl="1" w:tplc="0C090003">
      <w:start w:val="1"/>
      <w:numFmt w:val="bullet"/>
      <w:lvlText w:val="o"/>
      <w:lvlJc w:val="left"/>
      <w:pPr>
        <w:ind w:left="1461" w:hanging="360"/>
      </w:pPr>
      <w:rPr>
        <w:rFonts w:ascii="Courier New" w:hAnsi="Courier New" w:cs="Courier New" w:hint="default"/>
      </w:rPr>
    </w:lvl>
    <w:lvl w:ilvl="2" w:tplc="0C090005" w:tentative="1">
      <w:start w:val="1"/>
      <w:numFmt w:val="bullet"/>
      <w:lvlText w:val=""/>
      <w:lvlJc w:val="left"/>
      <w:pPr>
        <w:ind w:left="2181" w:hanging="360"/>
      </w:pPr>
      <w:rPr>
        <w:rFonts w:ascii="Wingdings" w:hAnsi="Wingdings" w:hint="default"/>
      </w:rPr>
    </w:lvl>
    <w:lvl w:ilvl="3" w:tplc="0C090001" w:tentative="1">
      <w:start w:val="1"/>
      <w:numFmt w:val="bullet"/>
      <w:lvlText w:val=""/>
      <w:lvlJc w:val="left"/>
      <w:pPr>
        <w:ind w:left="2901" w:hanging="360"/>
      </w:pPr>
      <w:rPr>
        <w:rFonts w:ascii="Symbol" w:hAnsi="Symbol" w:hint="default"/>
      </w:rPr>
    </w:lvl>
    <w:lvl w:ilvl="4" w:tplc="0C090003" w:tentative="1">
      <w:start w:val="1"/>
      <w:numFmt w:val="bullet"/>
      <w:lvlText w:val="o"/>
      <w:lvlJc w:val="left"/>
      <w:pPr>
        <w:ind w:left="3621" w:hanging="360"/>
      </w:pPr>
      <w:rPr>
        <w:rFonts w:ascii="Courier New" w:hAnsi="Courier New" w:cs="Courier New" w:hint="default"/>
      </w:rPr>
    </w:lvl>
    <w:lvl w:ilvl="5" w:tplc="0C090005" w:tentative="1">
      <w:start w:val="1"/>
      <w:numFmt w:val="bullet"/>
      <w:lvlText w:val=""/>
      <w:lvlJc w:val="left"/>
      <w:pPr>
        <w:ind w:left="4341" w:hanging="360"/>
      </w:pPr>
      <w:rPr>
        <w:rFonts w:ascii="Wingdings" w:hAnsi="Wingdings" w:hint="default"/>
      </w:rPr>
    </w:lvl>
    <w:lvl w:ilvl="6" w:tplc="0C090001" w:tentative="1">
      <w:start w:val="1"/>
      <w:numFmt w:val="bullet"/>
      <w:lvlText w:val=""/>
      <w:lvlJc w:val="left"/>
      <w:pPr>
        <w:ind w:left="5061" w:hanging="360"/>
      </w:pPr>
      <w:rPr>
        <w:rFonts w:ascii="Symbol" w:hAnsi="Symbol" w:hint="default"/>
      </w:rPr>
    </w:lvl>
    <w:lvl w:ilvl="7" w:tplc="0C090003" w:tentative="1">
      <w:start w:val="1"/>
      <w:numFmt w:val="bullet"/>
      <w:lvlText w:val="o"/>
      <w:lvlJc w:val="left"/>
      <w:pPr>
        <w:ind w:left="5781" w:hanging="360"/>
      </w:pPr>
      <w:rPr>
        <w:rFonts w:ascii="Courier New" w:hAnsi="Courier New" w:cs="Courier New" w:hint="default"/>
      </w:rPr>
    </w:lvl>
    <w:lvl w:ilvl="8" w:tplc="0C090005" w:tentative="1">
      <w:start w:val="1"/>
      <w:numFmt w:val="bullet"/>
      <w:lvlText w:val=""/>
      <w:lvlJc w:val="left"/>
      <w:pPr>
        <w:ind w:left="6501" w:hanging="360"/>
      </w:pPr>
      <w:rPr>
        <w:rFonts w:ascii="Wingdings" w:hAnsi="Wingdings" w:hint="default"/>
      </w:rPr>
    </w:lvl>
  </w:abstractNum>
  <w:abstractNum w:abstractNumId="10" w15:restartNumberingAfterBreak="0">
    <w:nsid w:val="12266173"/>
    <w:multiLevelType w:val="hybridMultilevel"/>
    <w:tmpl w:val="FDBCB1AC"/>
    <w:lvl w:ilvl="0" w:tplc="76087E9E">
      <w:start w:val="1"/>
      <w:numFmt w:val="bullet"/>
      <w:lvlText w:val="-"/>
      <w:lvlJc w:val="left"/>
      <w:pPr>
        <w:ind w:left="405" w:hanging="360"/>
      </w:pPr>
      <w:rPr>
        <w:rFonts w:ascii="Calibri" w:eastAsia="Times New Roman" w:hAnsi="Calibri" w:hint="default"/>
      </w:rPr>
    </w:lvl>
    <w:lvl w:ilvl="1" w:tplc="0C090003">
      <w:start w:val="1"/>
      <w:numFmt w:val="bullet"/>
      <w:lvlText w:val="o"/>
      <w:lvlJc w:val="left"/>
      <w:pPr>
        <w:ind w:left="1125" w:hanging="360"/>
      </w:pPr>
      <w:rPr>
        <w:rFonts w:ascii="Courier New" w:hAnsi="Courier New" w:cs="Times New Roman" w:hint="default"/>
      </w:rPr>
    </w:lvl>
    <w:lvl w:ilvl="2" w:tplc="0C090005">
      <w:start w:val="1"/>
      <w:numFmt w:val="bullet"/>
      <w:lvlText w:val=""/>
      <w:lvlJc w:val="left"/>
      <w:pPr>
        <w:ind w:left="1845" w:hanging="360"/>
      </w:pPr>
      <w:rPr>
        <w:rFonts w:ascii="Wingdings" w:hAnsi="Wingdings" w:hint="default"/>
      </w:rPr>
    </w:lvl>
    <w:lvl w:ilvl="3" w:tplc="0C090001">
      <w:start w:val="1"/>
      <w:numFmt w:val="bullet"/>
      <w:lvlText w:val=""/>
      <w:lvlJc w:val="left"/>
      <w:pPr>
        <w:ind w:left="2565" w:hanging="360"/>
      </w:pPr>
      <w:rPr>
        <w:rFonts w:ascii="Symbol" w:hAnsi="Symbol" w:hint="default"/>
      </w:rPr>
    </w:lvl>
    <w:lvl w:ilvl="4" w:tplc="0C090003">
      <w:start w:val="1"/>
      <w:numFmt w:val="bullet"/>
      <w:lvlText w:val="o"/>
      <w:lvlJc w:val="left"/>
      <w:pPr>
        <w:ind w:left="3285" w:hanging="360"/>
      </w:pPr>
      <w:rPr>
        <w:rFonts w:ascii="Courier New" w:hAnsi="Courier New" w:cs="Times New Roman" w:hint="default"/>
      </w:rPr>
    </w:lvl>
    <w:lvl w:ilvl="5" w:tplc="0C090005">
      <w:start w:val="1"/>
      <w:numFmt w:val="bullet"/>
      <w:lvlText w:val=""/>
      <w:lvlJc w:val="left"/>
      <w:pPr>
        <w:ind w:left="4005" w:hanging="360"/>
      </w:pPr>
      <w:rPr>
        <w:rFonts w:ascii="Wingdings" w:hAnsi="Wingdings" w:hint="default"/>
      </w:rPr>
    </w:lvl>
    <w:lvl w:ilvl="6" w:tplc="0C090001">
      <w:start w:val="1"/>
      <w:numFmt w:val="bullet"/>
      <w:lvlText w:val=""/>
      <w:lvlJc w:val="left"/>
      <w:pPr>
        <w:ind w:left="4725" w:hanging="360"/>
      </w:pPr>
      <w:rPr>
        <w:rFonts w:ascii="Symbol" w:hAnsi="Symbol" w:hint="default"/>
      </w:rPr>
    </w:lvl>
    <w:lvl w:ilvl="7" w:tplc="0C090003">
      <w:start w:val="1"/>
      <w:numFmt w:val="bullet"/>
      <w:lvlText w:val="o"/>
      <w:lvlJc w:val="left"/>
      <w:pPr>
        <w:ind w:left="5445" w:hanging="360"/>
      </w:pPr>
      <w:rPr>
        <w:rFonts w:ascii="Courier New" w:hAnsi="Courier New" w:cs="Times New Roman" w:hint="default"/>
      </w:rPr>
    </w:lvl>
    <w:lvl w:ilvl="8" w:tplc="0C090005">
      <w:start w:val="1"/>
      <w:numFmt w:val="bullet"/>
      <w:lvlText w:val=""/>
      <w:lvlJc w:val="left"/>
      <w:pPr>
        <w:ind w:left="6165" w:hanging="360"/>
      </w:pPr>
      <w:rPr>
        <w:rFonts w:ascii="Wingdings" w:hAnsi="Wingdings" w:hint="default"/>
      </w:rPr>
    </w:lvl>
  </w:abstractNum>
  <w:abstractNum w:abstractNumId="11" w15:restartNumberingAfterBreak="0">
    <w:nsid w:val="17CB6B54"/>
    <w:multiLevelType w:val="hybridMultilevel"/>
    <w:tmpl w:val="9D821B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88560D7"/>
    <w:multiLevelType w:val="hybridMultilevel"/>
    <w:tmpl w:val="41803CE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8FF24E1"/>
    <w:multiLevelType w:val="hybridMultilevel"/>
    <w:tmpl w:val="E81ADF44"/>
    <w:lvl w:ilvl="0" w:tplc="0C090005">
      <w:start w:val="1"/>
      <w:numFmt w:val="bullet"/>
      <w:lvlText w:val=""/>
      <w:lvlJc w:val="left"/>
      <w:pPr>
        <w:tabs>
          <w:tab w:val="num" w:pos="1080"/>
        </w:tabs>
        <w:ind w:left="1080" w:hanging="360"/>
      </w:pPr>
      <w:rPr>
        <w:rFonts w:ascii="Wingdings" w:hAnsi="Wingdings" w:hint="default"/>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1E792F02"/>
    <w:multiLevelType w:val="hybridMultilevel"/>
    <w:tmpl w:val="39723672"/>
    <w:lvl w:ilvl="0" w:tplc="0C090005">
      <w:start w:val="1"/>
      <w:numFmt w:val="bullet"/>
      <w:lvlText w:val=""/>
      <w:lvlJc w:val="left"/>
      <w:pPr>
        <w:tabs>
          <w:tab w:val="num" w:pos="1080"/>
        </w:tabs>
        <w:ind w:left="1080" w:hanging="360"/>
      </w:pPr>
      <w:rPr>
        <w:rFonts w:ascii="Wingdings" w:hAnsi="Wingdings" w:hint="default"/>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20674AFC"/>
    <w:multiLevelType w:val="hybridMultilevel"/>
    <w:tmpl w:val="FC388680"/>
    <w:lvl w:ilvl="0" w:tplc="04104052">
      <w:start w:val="1"/>
      <w:numFmt w:val="decimal"/>
      <w:lvlText w:val="%1."/>
      <w:lvlJc w:val="left"/>
      <w:pPr>
        <w:tabs>
          <w:tab w:val="num" w:pos="720"/>
        </w:tabs>
        <w:ind w:left="720" w:hanging="360"/>
      </w:pPr>
      <w:rPr>
        <w:rFonts w:hint="default"/>
        <w:sz w:val="22"/>
        <w:szCs w:val="22"/>
      </w:rPr>
    </w:lvl>
    <w:lvl w:ilvl="1" w:tplc="0C090001">
      <w:start w:val="1"/>
      <w:numFmt w:val="bullet"/>
      <w:lvlText w:val=""/>
      <w:lvlJc w:val="left"/>
      <w:pPr>
        <w:tabs>
          <w:tab w:val="num" w:pos="1440"/>
        </w:tabs>
        <w:ind w:left="1440" w:hanging="360"/>
      </w:pPr>
      <w:rPr>
        <w:rFonts w:ascii="Symbol" w:hAnsi="Symbol" w:hint="default"/>
      </w:rPr>
    </w:lvl>
    <w:lvl w:ilvl="2" w:tplc="C2ACD91E">
      <w:start w:val="1"/>
      <w:numFmt w:val="lowerLetter"/>
      <w:lvlText w:val="(%3)"/>
      <w:lvlJc w:val="left"/>
      <w:pPr>
        <w:tabs>
          <w:tab w:val="num" w:pos="2340"/>
        </w:tabs>
        <w:ind w:left="2340" w:hanging="360"/>
      </w:pPr>
      <w:rPr>
        <w:rFonts w:hint="default"/>
      </w:r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6" w15:restartNumberingAfterBreak="0">
    <w:nsid w:val="208E213F"/>
    <w:multiLevelType w:val="hybridMultilevel"/>
    <w:tmpl w:val="4D867378"/>
    <w:lvl w:ilvl="0" w:tplc="0C090005">
      <w:start w:val="1"/>
      <w:numFmt w:val="bullet"/>
      <w:lvlText w:val=""/>
      <w:lvlJc w:val="left"/>
      <w:pPr>
        <w:tabs>
          <w:tab w:val="num" w:pos="1080"/>
        </w:tabs>
        <w:ind w:left="1080" w:hanging="360"/>
      </w:pPr>
      <w:rPr>
        <w:rFonts w:ascii="Wingdings" w:hAnsi="Wingdings" w:hint="default"/>
      </w:rPr>
    </w:lvl>
    <w:lvl w:ilvl="1" w:tplc="0C090003">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21AF626B"/>
    <w:multiLevelType w:val="hybridMultilevel"/>
    <w:tmpl w:val="E55A5B82"/>
    <w:lvl w:ilvl="0" w:tplc="0C090001">
      <w:start w:val="1"/>
      <w:numFmt w:val="bullet"/>
      <w:lvlText w:val=""/>
      <w:lvlJc w:val="left"/>
      <w:pPr>
        <w:tabs>
          <w:tab w:val="num" w:pos="1800"/>
        </w:tabs>
        <w:ind w:left="1800" w:hanging="360"/>
      </w:pPr>
      <w:rPr>
        <w:rFonts w:ascii="Symbol" w:hAnsi="Symbol" w:hint="default"/>
      </w:rPr>
    </w:lvl>
    <w:lvl w:ilvl="1" w:tplc="B150F4FC">
      <w:numFmt w:val="bullet"/>
      <w:lvlText w:val="-"/>
      <w:lvlJc w:val="left"/>
      <w:pPr>
        <w:tabs>
          <w:tab w:val="num" w:pos="3240"/>
        </w:tabs>
        <w:ind w:left="3240" w:hanging="360"/>
      </w:pPr>
      <w:rPr>
        <w:rFonts w:ascii="Comic Sans MS" w:eastAsia="Times New Roman" w:hAnsi="Comic Sans MS" w:cs="Times New Roman" w:hint="default"/>
      </w:rPr>
    </w:lvl>
    <w:lvl w:ilvl="2" w:tplc="0C090005" w:tentative="1">
      <w:start w:val="1"/>
      <w:numFmt w:val="bullet"/>
      <w:lvlText w:val=""/>
      <w:lvlJc w:val="left"/>
      <w:pPr>
        <w:tabs>
          <w:tab w:val="num" w:pos="3960"/>
        </w:tabs>
        <w:ind w:left="3960" w:hanging="360"/>
      </w:pPr>
      <w:rPr>
        <w:rFonts w:ascii="Wingdings" w:hAnsi="Wingdings" w:hint="default"/>
      </w:rPr>
    </w:lvl>
    <w:lvl w:ilvl="3" w:tplc="0C090001" w:tentative="1">
      <w:start w:val="1"/>
      <w:numFmt w:val="bullet"/>
      <w:lvlText w:val=""/>
      <w:lvlJc w:val="left"/>
      <w:pPr>
        <w:tabs>
          <w:tab w:val="num" w:pos="4680"/>
        </w:tabs>
        <w:ind w:left="4680" w:hanging="360"/>
      </w:pPr>
      <w:rPr>
        <w:rFonts w:ascii="Symbol" w:hAnsi="Symbol" w:hint="default"/>
      </w:rPr>
    </w:lvl>
    <w:lvl w:ilvl="4" w:tplc="0C090003" w:tentative="1">
      <w:start w:val="1"/>
      <w:numFmt w:val="bullet"/>
      <w:lvlText w:val="o"/>
      <w:lvlJc w:val="left"/>
      <w:pPr>
        <w:tabs>
          <w:tab w:val="num" w:pos="5400"/>
        </w:tabs>
        <w:ind w:left="5400" w:hanging="360"/>
      </w:pPr>
      <w:rPr>
        <w:rFonts w:ascii="Courier New" w:hAnsi="Courier New" w:cs="Courier New" w:hint="default"/>
      </w:rPr>
    </w:lvl>
    <w:lvl w:ilvl="5" w:tplc="0C090005" w:tentative="1">
      <w:start w:val="1"/>
      <w:numFmt w:val="bullet"/>
      <w:lvlText w:val=""/>
      <w:lvlJc w:val="left"/>
      <w:pPr>
        <w:tabs>
          <w:tab w:val="num" w:pos="6120"/>
        </w:tabs>
        <w:ind w:left="6120" w:hanging="360"/>
      </w:pPr>
      <w:rPr>
        <w:rFonts w:ascii="Wingdings" w:hAnsi="Wingdings" w:hint="default"/>
      </w:rPr>
    </w:lvl>
    <w:lvl w:ilvl="6" w:tplc="0C090001" w:tentative="1">
      <w:start w:val="1"/>
      <w:numFmt w:val="bullet"/>
      <w:lvlText w:val=""/>
      <w:lvlJc w:val="left"/>
      <w:pPr>
        <w:tabs>
          <w:tab w:val="num" w:pos="6840"/>
        </w:tabs>
        <w:ind w:left="6840" w:hanging="360"/>
      </w:pPr>
      <w:rPr>
        <w:rFonts w:ascii="Symbol" w:hAnsi="Symbol" w:hint="default"/>
      </w:rPr>
    </w:lvl>
    <w:lvl w:ilvl="7" w:tplc="0C090003" w:tentative="1">
      <w:start w:val="1"/>
      <w:numFmt w:val="bullet"/>
      <w:lvlText w:val="o"/>
      <w:lvlJc w:val="left"/>
      <w:pPr>
        <w:tabs>
          <w:tab w:val="num" w:pos="7560"/>
        </w:tabs>
        <w:ind w:left="7560" w:hanging="360"/>
      </w:pPr>
      <w:rPr>
        <w:rFonts w:ascii="Courier New" w:hAnsi="Courier New" w:cs="Courier New" w:hint="default"/>
      </w:rPr>
    </w:lvl>
    <w:lvl w:ilvl="8" w:tplc="0C090005" w:tentative="1">
      <w:start w:val="1"/>
      <w:numFmt w:val="bullet"/>
      <w:lvlText w:val=""/>
      <w:lvlJc w:val="left"/>
      <w:pPr>
        <w:tabs>
          <w:tab w:val="num" w:pos="8280"/>
        </w:tabs>
        <w:ind w:left="8280" w:hanging="360"/>
      </w:pPr>
      <w:rPr>
        <w:rFonts w:ascii="Wingdings" w:hAnsi="Wingdings" w:hint="default"/>
      </w:rPr>
    </w:lvl>
  </w:abstractNum>
  <w:abstractNum w:abstractNumId="18" w15:restartNumberingAfterBreak="0">
    <w:nsid w:val="25167DB5"/>
    <w:multiLevelType w:val="hybridMultilevel"/>
    <w:tmpl w:val="F1946B50"/>
    <w:lvl w:ilvl="0" w:tplc="A95E060A">
      <w:start w:val="10"/>
      <w:numFmt w:val="decimal"/>
      <w:lvlText w:val="%1."/>
      <w:lvlJc w:val="left"/>
      <w:pPr>
        <w:tabs>
          <w:tab w:val="num" w:pos="787"/>
        </w:tabs>
        <w:ind w:left="787" w:hanging="360"/>
      </w:pPr>
      <w:rPr>
        <w:rFonts w:hint="default"/>
      </w:rPr>
    </w:lvl>
    <w:lvl w:ilvl="1" w:tplc="0C090019" w:tentative="1">
      <w:start w:val="1"/>
      <w:numFmt w:val="lowerLetter"/>
      <w:lvlText w:val="%2."/>
      <w:lvlJc w:val="left"/>
      <w:pPr>
        <w:tabs>
          <w:tab w:val="num" w:pos="1507"/>
        </w:tabs>
        <w:ind w:left="1507" w:hanging="360"/>
      </w:pPr>
    </w:lvl>
    <w:lvl w:ilvl="2" w:tplc="0C09001B" w:tentative="1">
      <w:start w:val="1"/>
      <w:numFmt w:val="lowerRoman"/>
      <w:lvlText w:val="%3."/>
      <w:lvlJc w:val="right"/>
      <w:pPr>
        <w:tabs>
          <w:tab w:val="num" w:pos="2227"/>
        </w:tabs>
        <w:ind w:left="2227" w:hanging="180"/>
      </w:pPr>
    </w:lvl>
    <w:lvl w:ilvl="3" w:tplc="0C09000F" w:tentative="1">
      <w:start w:val="1"/>
      <w:numFmt w:val="decimal"/>
      <w:lvlText w:val="%4."/>
      <w:lvlJc w:val="left"/>
      <w:pPr>
        <w:tabs>
          <w:tab w:val="num" w:pos="2947"/>
        </w:tabs>
        <w:ind w:left="2947" w:hanging="360"/>
      </w:pPr>
    </w:lvl>
    <w:lvl w:ilvl="4" w:tplc="0C090019" w:tentative="1">
      <w:start w:val="1"/>
      <w:numFmt w:val="lowerLetter"/>
      <w:lvlText w:val="%5."/>
      <w:lvlJc w:val="left"/>
      <w:pPr>
        <w:tabs>
          <w:tab w:val="num" w:pos="3667"/>
        </w:tabs>
        <w:ind w:left="3667" w:hanging="360"/>
      </w:pPr>
    </w:lvl>
    <w:lvl w:ilvl="5" w:tplc="0C09001B" w:tentative="1">
      <w:start w:val="1"/>
      <w:numFmt w:val="lowerRoman"/>
      <w:lvlText w:val="%6."/>
      <w:lvlJc w:val="right"/>
      <w:pPr>
        <w:tabs>
          <w:tab w:val="num" w:pos="4387"/>
        </w:tabs>
        <w:ind w:left="4387" w:hanging="180"/>
      </w:pPr>
    </w:lvl>
    <w:lvl w:ilvl="6" w:tplc="0C09000F" w:tentative="1">
      <w:start w:val="1"/>
      <w:numFmt w:val="decimal"/>
      <w:lvlText w:val="%7."/>
      <w:lvlJc w:val="left"/>
      <w:pPr>
        <w:tabs>
          <w:tab w:val="num" w:pos="5107"/>
        </w:tabs>
        <w:ind w:left="5107" w:hanging="360"/>
      </w:pPr>
    </w:lvl>
    <w:lvl w:ilvl="7" w:tplc="0C090019" w:tentative="1">
      <w:start w:val="1"/>
      <w:numFmt w:val="lowerLetter"/>
      <w:lvlText w:val="%8."/>
      <w:lvlJc w:val="left"/>
      <w:pPr>
        <w:tabs>
          <w:tab w:val="num" w:pos="5827"/>
        </w:tabs>
        <w:ind w:left="5827" w:hanging="360"/>
      </w:pPr>
    </w:lvl>
    <w:lvl w:ilvl="8" w:tplc="0C09001B" w:tentative="1">
      <w:start w:val="1"/>
      <w:numFmt w:val="lowerRoman"/>
      <w:lvlText w:val="%9."/>
      <w:lvlJc w:val="right"/>
      <w:pPr>
        <w:tabs>
          <w:tab w:val="num" w:pos="6547"/>
        </w:tabs>
        <w:ind w:left="6547" w:hanging="180"/>
      </w:pPr>
    </w:lvl>
  </w:abstractNum>
  <w:abstractNum w:abstractNumId="19" w15:restartNumberingAfterBreak="0">
    <w:nsid w:val="264E3A44"/>
    <w:multiLevelType w:val="hybridMultilevel"/>
    <w:tmpl w:val="79D42EEE"/>
    <w:lvl w:ilvl="0" w:tplc="B42A47D4">
      <w:start w:val="1"/>
      <w:numFmt w:val="bullet"/>
      <w:lvlText w:val=""/>
      <w:lvlJc w:val="left"/>
      <w:pPr>
        <w:tabs>
          <w:tab w:val="num" w:pos="720"/>
        </w:tabs>
        <w:ind w:left="720" w:hanging="360"/>
      </w:pPr>
      <w:rPr>
        <w:rFonts w:ascii="Symbol" w:hAnsi="Symbol" w:hint="default"/>
        <w:sz w:val="16"/>
        <w:szCs w:val="16"/>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7AB72B9"/>
    <w:multiLevelType w:val="hybridMultilevel"/>
    <w:tmpl w:val="DCCC069A"/>
    <w:lvl w:ilvl="0" w:tplc="0C090005">
      <w:start w:val="1"/>
      <w:numFmt w:val="bullet"/>
      <w:lvlText w:val=""/>
      <w:lvlJc w:val="left"/>
      <w:pPr>
        <w:tabs>
          <w:tab w:val="num" w:pos="1080"/>
        </w:tabs>
        <w:ind w:left="1080" w:hanging="360"/>
      </w:pPr>
      <w:rPr>
        <w:rFonts w:ascii="Wingdings" w:hAnsi="Wingdings" w:hint="default"/>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2C742781"/>
    <w:multiLevelType w:val="hybridMultilevel"/>
    <w:tmpl w:val="1FE6108A"/>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2" w15:restartNumberingAfterBreak="0">
    <w:nsid w:val="2CA43D67"/>
    <w:multiLevelType w:val="hybridMultilevel"/>
    <w:tmpl w:val="37668F3A"/>
    <w:lvl w:ilvl="0" w:tplc="0C090001">
      <w:start w:val="1"/>
      <w:numFmt w:val="bullet"/>
      <w:lvlText w:val=""/>
      <w:lvlJc w:val="left"/>
      <w:pPr>
        <w:tabs>
          <w:tab w:val="num" w:pos="787"/>
        </w:tabs>
        <w:ind w:left="787" w:hanging="360"/>
      </w:pPr>
      <w:rPr>
        <w:rFonts w:ascii="Symbol" w:hAnsi="Symbol" w:hint="default"/>
      </w:rPr>
    </w:lvl>
    <w:lvl w:ilvl="1" w:tplc="0C090003" w:tentative="1">
      <w:start w:val="1"/>
      <w:numFmt w:val="bullet"/>
      <w:lvlText w:val="o"/>
      <w:lvlJc w:val="left"/>
      <w:pPr>
        <w:tabs>
          <w:tab w:val="num" w:pos="1507"/>
        </w:tabs>
        <w:ind w:left="1507" w:hanging="360"/>
      </w:pPr>
      <w:rPr>
        <w:rFonts w:ascii="Courier New" w:hAnsi="Courier New" w:cs="Courier New" w:hint="default"/>
      </w:rPr>
    </w:lvl>
    <w:lvl w:ilvl="2" w:tplc="0C090005" w:tentative="1">
      <w:start w:val="1"/>
      <w:numFmt w:val="bullet"/>
      <w:lvlText w:val=""/>
      <w:lvlJc w:val="left"/>
      <w:pPr>
        <w:tabs>
          <w:tab w:val="num" w:pos="2227"/>
        </w:tabs>
        <w:ind w:left="2227" w:hanging="360"/>
      </w:pPr>
      <w:rPr>
        <w:rFonts w:ascii="Wingdings" w:hAnsi="Wingdings" w:hint="default"/>
      </w:rPr>
    </w:lvl>
    <w:lvl w:ilvl="3" w:tplc="0C090001" w:tentative="1">
      <w:start w:val="1"/>
      <w:numFmt w:val="bullet"/>
      <w:lvlText w:val=""/>
      <w:lvlJc w:val="left"/>
      <w:pPr>
        <w:tabs>
          <w:tab w:val="num" w:pos="2947"/>
        </w:tabs>
        <w:ind w:left="2947" w:hanging="360"/>
      </w:pPr>
      <w:rPr>
        <w:rFonts w:ascii="Symbol" w:hAnsi="Symbol" w:hint="default"/>
      </w:rPr>
    </w:lvl>
    <w:lvl w:ilvl="4" w:tplc="0C090003" w:tentative="1">
      <w:start w:val="1"/>
      <w:numFmt w:val="bullet"/>
      <w:lvlText w:val="o"/>
      <w:lvlJc w:val="left"/>
      <w:pPr>
        <w:tabs>
          <w:tab w:val="num" w:pos="3667"/>
        </w:tabs>
        <w:ind w:left="3667" w:hanging="360"/>
      </w:pPr>
      <w:rPr>
        <w:rFonts w:ascii="Courier New" w:hAnsi="Courier New" w:cs="Courier New" w:hint="default"/>
      </w:rPr>
    </w:lvl>
    <w:lvl w:ilvl="5" w:tplc="0C090005" w:tentative="1">
      <w:start w:val="1"/>
      <w:numFmt w:val="bullet"/>
      <w:lvlText w:val=""/>
      <w:lvlJc w:val="left"/>
      <w:pPr>
        <w:tabs>
          <w:tab w:val="num" w:pos="4387"/>
        </w:tabs>
        <w:ind w:left="4387" w:hanging="360"/>
      </w:pPr>
      <w:rPr>
        <w:rFonts w:ascii="Wingdings" w:hAnsi="Wingdings" w:hint="default"/>
      </w:rPr>
    </w:lvl>
    <w:lvl w:ilvl="6" w:tplc="0C090001" w:tentative="1">
      <w:start w:val="1"/>
      <w:numFmt w:val="bullet"/>
      <w:lvlText w:val=""/>
      <w:lvlJc w:val="left"/>
      <w:pPr>
        <w:tabs>
          <w:tab w:val="num" w:pos="5107"/>
        </w:tabs>
        <w:ind w:left="5107" w:hanging="360"/>
      </w:pPr>
      <w:rPr>
        <w:rFonts w:ascii="Symbol" w:hAnsi="Symbol" w:hint="default"/>
      </w:rPr>
    </w:lvl>
    <w:lvl w:ilvl="7" w:tplc="0C090003" w:tentative="1">
      <w:start w:val="1"/>
      <w:numFmt w:val="bullet"/>
      <w:lvlText w:val="o"/>
      <w:lvlJc w:val="left"/>
      <w:pPr>
        <w:tabs>
          <w:tab w:val="num" w:pos="5827"/>
        </w:tabs>
        <w:ind w:left="5827" w:hanging="360"/>
      </w:pPr>
      <w:rPr>
        <w:rFonts w:ascii="Courier New" w:hAnsi="Courier New" w:cs="Courier New" w:hint="default"/>
      </w:rPr>
    </w:lvl>
    <w:lvl w:ilvl="8" w:tplc="0C090005" w:tentative="1">
      <w:start w:val="1"/>
      <w:numFmt w:val="bullet"/>
      <w:lvlText w:val=""/>
      <w:lvlJc w:val="left"/>
      <w:pPr>
        <w:tabs>
          <w:tab w:val="num" w:pos="6547"/>
        </w:tabs>
        <w:ind w:left="6547" w:hanging="360"/>
      </w:pPr>
      <w:rPr>
        <w:rFonts w:ascii="Wingdings" w:hAnsi="Wingdings" w:hint="default"/>
      </w:rPr>
    </w:lvl>
  </w:abstractNum>
  <w:abstractNum w:abstractNumId="23" w15:restartNumberingAfterBreak="0">
    <w:nsid w:val="2DEB45E5"/>
    <w:multiLevelType w:val="hybridMultilevel"/>
    <w:tmpl w:val="E626F830"/>
    <w:lvl w:ilvl="0" w:tplc="0C090005">
      <w:start w:val="1"/>
      <w:numFmt w:val="bullet"/>
      <w:lvlText w:val=""/>
      <w:lvlJc w:val="left"/>
      <w:pPr>
        <w:tabs>
          <w:tab w:val="num" w:pos="1188"/>
        </w:tabs>
        <w:ind w:left="1188" w:hanging="360"/>
      </w:pPr>
      <w:rPr>
        <w:rFonts w:ascii="Wingdings" w:hAnsi="Wingdings" w:hint="default"/>
      </w:rPr>
    </w:lvl>
    <w:lvl w:ilvl="1" w:tplc="0C09000F">
      <w:start w:val="1"/>
      <w:numFmt w:val="decimal"/>
      <w:lvlText w:val="%2."/>
      <w:lvlJc w:val="left"/>
      <w:pPr>
        <w:tabs>
          <w:tab w:val="num" w:pos="1908"/>
        </w:tabs>
        <w:ind w:left="1908" w:hanging="360"/>
      </w:pPr>
      <w:rPr>
        <w:rFonts w:hint="default"/>
      </w:rPr>
    </w:lvl>
    <w:lvl w:ilvl="2" w:tplc="0C090005" w:tentative="1">
      <w:start w:val="1"/>
      <w:numFmt w:val="bullet"/>
      <w:lvlText w:val=""/>
      <w:lvlJc w:val="left"/>
      <w:pPr>
        <w:tabs>
          <w:tab w:val="num" w:pos="2628"/>
        </w:tabs>
        <w:ind w:left="2628" w:hanging="360"/>
      </w:pPr>
      <w:rPr>
        <w:rFonts w:ascii="Wingdings" w:hAnsi="Wingdings" w:hint="default"/>
      </w:rPr>
    </w:lvl>
    <w:lvl w:ilvl="3" w:tplc="0C090001" w:tentative="1">
      <w:start w:val="1"/>
      <w:numFmt w:val="bullet"/>
      <w:lvlText w:val=""/>
      <w:lvlJc w:val="left"/>
      <w:pPr>
        <w:tabs>
          <w:tab w:val="num" w:pos="3348"/>
        </w:tabs>
        <w:ind w:left="3348" w:hanging="360"/>
      </w:pPr>
      <w:rPr>
        <w:rFonts w:ascii="Symbol" w:hAnsi="Symbol" w:hint="default"/>
      </w:rPr>
    </w:lvl>
    <w:lvl w:ilvl="4" w:tplc="0C090003" w:tentative="1">
      <w:start w:val="1"/>
      <w:numFmt w:val="bullet"/>
      <w:lvlText w:val="o"/>
      <w:lvlJc w:val="left"/>
      <w:pPr>
        <w:tabs>
          <w:tab w:val="num" w:pos="4068"/>
        </w:tabs>
        <w:ind w:left="4068" w:hanging="360"/>
      </w:pPr>
      <w:rPr>
        <w:rFonts w:ascii="Courier New" w:hAnsi="Courier New" w:cs="Courier New" w:hint="default"/>
      </w:rPr>
    </w:lvl>
    <w:lvl w:ilvl="5" w:tplc="0C090005" w:tentative="1">
      <w:start w:val="1"/>
      <w:numFmt w:val="bullet"/>
      <w:lvlText w:val=""/>
      <w:lvlJc w:val="left"/>
      <w:pPr>
        <w:tabs>
          <w:tab w:val="num" w:pos="4788"/>
        </w:tabs>
        <w:ind w:left="4788" w:hanging="360"/>
      </w:pPr>
      <w:rPr>
        <w:rFonts w:ascii="Wingdings" w:hAnsi="Wingdings" w:hint="default"/>
      </w:rPr>
    </w:lvl>
    <w:lvl w:ilvl="6" w:tplc="0C090001" w:tentative="1">
      <w:start w:val="1"/>
      <w:numFmt w:val="bullet"/>
      <w:lvlText w:val=""/>
      <w:lvlJc w:val="left"/>
      <w:pPr>
        <w:tabs>
          <w:tab w:val="num" w:pos="5508"/>
        </w:tabs>
        <w:ind w:left="5508" w:hanging="360"/>
      </w:pPr>
      <w:rPr>
        <w:rFonts w:ascii="Symbol" w:hAnsi="Symbol" w:hint="default"/>
      </w:rPr>
    </w:lvl>
    <w:lvl w:ilvl="7" w:tplc="0C090003" w:tentative="1">
      <w:start w:val="1"/>
      <w:numFmt w:val="bullet"/>
      <w:lvlText w:val="o"/>
      <w:lvlJc w:val="left"/>
      <w:pPr>
        <w:tabs>
          <w:tab w:val="num" w:pos="6228"/>
        </w:tabs>
        <w:ind w:left="6228" w:hanging="360"/>
      </w:pPr>
      <w:rPr>
        <w:rFonts w:ascii="Courier New" w:hAnsi="Courier New" w:cs="Courier New" w:hint="default"/>
      </w:rPr>
    </w:lvl>
    <w:lvl w:ilvl="8" w:tplc="0C090005" w:tentative="1">
      <w:start w:val="1"/>
      <w:numFmt w:val="bullet"/>
      <w:lvlText w:val=""/>
      <w:lvlJc w:val="left"/>
      <w:pPr>
        <w:tabs>
          <w:tab w:val="num" w:pos="6948"/>
        </w:tabs>
        <w:ind w:left="6948" w:hanging="360"/>
      </w:pPr>
      <w:rPr>
        <w:rFonts w:ascii="Wingdings" w:hAnsi="Wingdings" w:hint="default"/>
      </w:rPr>
    </w:lvl>
  </w:abstractNum>
  <w:abstractNum w:abstractNumId="24" w15:restartNumberingAfterBreak="0">
    <w:nsid w:val="2E6D52FE"/>
    <w:multiLevelType w:val="hybridMultilevel"/>
    <w:tmpl w:val="2140E7F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2FED4C35"/>
    <w:multiLevelType w:val="hybridMultilevel"/>
    <w:tmpl w:val="11983F5E"/>
    <w:lvl w:ilvl="0" w:tplc="0C09000F">
      <w:start w:val="1"/>
      <w:numFmt w:val="decimal"/>
      <w:lvlText w:val="%1."/>
      <w:lvlJc w:val="left"/>
      <w:pPr>
        <w:ind w:left="720" w:hanging="360"/>
      </w:pPr>
      <w:rPr>
        <w:rFonts w:cs="Times New Roman"/>
      </w:rPr>
    </w:lvl>
    <w:lvl w:ilvl="1" w:tplc="0C090019">
      <w:start w:val="1"/>
      <w:numFmt w:val="lowerLetter"/>
      <w:lvlText w:val="%2."/>
      <w:lvlJc w:val="left"/>
      <w:pPr>
        <w:ind w:left="1440" w:hanging="360"/>
      </w:pPr>
      <w:rPr>
        <w:rFonts w:cs="Times New Roman"/>
      </w:rPr>
    </w:lvl>
    <w:lvl w:ilvl="2" w:tplc="0C09001B">
      <w:start w:val="1"/>
      <w:numFmt w:val="lowerRoman"/>
      <w:lvlText w:val="%3."/>
      <w:lvlJc w:val="right"/>
      <w:pPr>
        <w:ind w:left="2160" w:hanging="180"/>
      </w:pPr>
      <w:rPr>
        <w:rFonts w:cs="Times New Roman"/>
      </w:rPr>
    </w:lvl>
    <w:lvl w:ilvl="3" w:tplc="0C09001B">
      <w:start w:val="1"/>
      <w:numFmt w:val="lowerRoman"/>
      <w:lvlText w:val="%4."/>
      <w:lvlJc w:val="right"/>
      <w:pPr>
        <w:ind w:left="786" w:hanging="360"/>
      </w:pPr>
      <w:rPr>
        <w:rFonts w:hint="default"/>
        <w:b w:val="0"/>
        <w:i w:val="0"/>
      </w:rPr>
    </w:lvl>
    <w:lvl w:ilvl="4" w:tplc="0C090001">
      <w:start w:val="1"/>
      <w:numFmt w:val="bullet"/>
      <w:lvlText w:val=""/>
      <w:lvlJc w:val="left"/>
      <w:pPr>
        <w:ind w:left="1070" w:hanging="360"/>
      </w:pPr>
      <w:rPr>
        <w:rFonts w:ascii="Symbol" w:hAnsi="Symbol" w:hint="default"/>
      </w:rPr>
    </w:lvl>
    <w:lvl w:ilvl="5" w:tplc="0C09001B">
      <w:start w:val="1"/>
      <w:numFmt w:val="lowerRoman"/>
      <w:lvlText w:val="%6."/>
      <w:lvlJc w:val="right"/>
      <w:pPr>
        <w:ind w:left="4320" w:hanging="180"/>
      </w:pPr>
      <w:rPr>
        <w:rFonts w:cs="Times New Roman"/>
      </w:rPr>
    </w:lvl>
    <w:lvl w:ilvl="6" w:tplc="0C09000F">
      <w:start w:val="1"/>
      <w:numFmt w:val="decimal"/>
      <w:lvlText w:val="%7."/>
      <w:lvlJc w:val="left"/>
      <w:pPr>
        <w:ind w:left="5040" w:hanging="360"/>
      </w:pPr>
      <w:rPr>
        <w:rFonts w:cs="Times New Roman"/>
      </w:rPr>
    </w:lvl>
    <w:lvl w:ilvl="7" w:tplc="0C090019">
      <w:start w:val="1"/>
      <w:numFmt w:val="lowerLetter"/>
      <w:lvlText w:val="%8."/>
      <w:lvlJc w:val="left"/>
      <w:pPr>
        <w:ind w:left="5760" w:hanging="360"/>
      </w:pPr>
      <w:rPr>
        <w:rFonts w:cs="Times New Roman"/>
      </w:rPr>
    </w:lvl>
    <w:lvl w:ilvl="8" w:tplc="0C09001B">
      <w:start w:val="1"/>
      <w:numFmt w:val="lowerRoman"/>
      <w:lvlText w:val="%9."/>
      <w:lvlJc w:val="right"/>
      <w:pPr>
        <w:ind w:left="6480" w:hanging="180"/>
      </w:pPr>
      <w:rPr>
        <w:rFonts w:cs="Times New Roman"/>
      </w:rPr>
    </w:lvl>
  </w:abstractNum>
  <w:abstractNum w:abstractNumId="26" w15:restartNumberingAfterBreak="0">
    <w:nsid w:val="30F73340"/>
    <w:multiLevelType w:val="hybridMultilevel"/>
    <w:tmpl w:val="5572781A"/>
    <w:lvl w:ilvl="0" w:tplc="0C090001">
      <w:start w:val="1"/>
      <w:numFmt w:val="bullet"/>
      <w:lvlText w:val=""/>
      <w:lvlJc w:val="left"/>
      <w:pPr>
        <w:tabs>
          <w:tab w:val="num" w:pos="720"/>
        </w:tabs>
        <w:ind w:left="720" w:hanging="360"/>
      </w:pPr>
      <w:rPr>
        <w:rFonts w:ascii="Symbol" w:hAnsi="Symbol" w:hint="default"/>
      </w:rPr>
    </w:lvl>
    <w:lvl w:ilvl="1" w:tplc="6164900A">
      <w:start w:val="10"/>
      <w:numFmt w:val="bullet"/>
      <w:lvlText w:val="-"/>
      <w:lvlJc w:val="left"/>
      <w:pPr>
        <w:tabs>
          <w:tab w:val="num" w:pos="1440"/>
        </w:tabs>
        <w:ind w:left="1440" w:hanging="360"/>
      </w:pPr>
      <w:rPr>
        <w:rFonts w:ascii="Times New Roman" w:eastAsia="Times New Roman" w:hAnsi="Times New Roman" w:cs="Times New Roman"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3DE08D3"/>
    <w:multiLevelType w:val="hybridMultilevel"/>
    <w:tmpl w:val="6054CC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38EC6F16"/>
    <w:multiLevelType w:val="hybridMultilevel"/>
    <w:tmpl w:val="BBC64A34"/>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9" w15:restartNumberingAfterBreak="0">
    <w:nsid w:val="3FCC3903"/>
    <w:multiLevelType w:val="hybridMultilevel"/>
    <w:tmpl w:val="FC388680"/>
    <w:lvl w:ilvl="0" w:tplc="04104052">
      <w:start w:val="1"/>
      <w:numFmt w:val="decimal"/>
      <w:lvlText w:val="%1."/>
      <w:lvlJc w:val="left"/>
      <w:pPr>
        <w:tabs>
          <w:tab w:val="num" w:pos="720"/>
        </w:tabs>
        <w:ind w:left="720" w:hanging="360"/>
      </w:pPr>
      <w:rPr>
        <w:rFonts w:hint="default"/>
        <w:sz w:val="22"/>
        <w:szCs w:val="22"/>
      </w:rPr>
    </w:lvl>
    <w:lvl w:ilvl="1" w:tplc="0C090001">
      <w:start w:val="1"/>
      <w:numFmt w:val="bullet"/>
      <w:lvlText w:val=""/>
      <w:lvlJc w:val="left"/>
      <w:pPr>
        <w:tabs>
          <w:tab w:val="num" w:pos="1440"/>
        </w:tabs>
        <w:ind w:left="1440" w:hanging="360"/>
      </w:pPr>
      <w:rPr>
        <w:rFonts w:ascii="Symbol" w:hAnsi="Symbol" w:hint="default"/>
      </w:rPr>
    </w:lvl>
    <w:lvl w:ilvl="2" w:tplc="C2ACD91E">
      <w:start w:val="1"/>
      <w:numFmt w:val="lowerLetter"/>
      <w:lvlText w:val="(%3)"/>
      <w:lvlJc w:val="left"/>
      <w:pPr>
        <w:tabs>
          <w:tab w:val="num" w:pos="2340"/>
        </w:tabs>
        <w:ind w:left="2340" w:hanging="360"/>
      </w:pPr>
      <w:rPr>
        <w:rFonts w:hint="default"/>
      </w:r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0" w15:restartNumberingAfterBreak="0">
    <w:nsid w:val="4133062F"/>
    <w:multiLevelType w:val="hybridMultilevel"/>
    <w:tmpl w:val="D688BEA6"/>
    <w:lvl w:ilvl="0" w:tplc="B150F4FC">
      <w:numFmt w:val="bullet"/>
      <w:lvlText w:val="-"/>
      <w:lvlJc w:val="left"/>
      <w:pPr>
        <w:tabs>
          <w:tab w:val="num" w:pos="720"/>
        </w:tabs>
        <w:ind w:left="720" w:hanging="360"/>
      </w:pPr>
      <w:rPr>
        <w:rFonts w:ascii="Comic Sans MS" w:eastAsia="Times New Roman" w:hAnsi="Comic Sans MS" w:cs="Times New Roman"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1B45D0D"/>
    <w:multiLevelType w:val="hybridMultilevel"/>
    <w:tmpl w:val="D74E4B50"/>
    <w:lvl w:ilvl="0" w:tplc="51D82C2A">
      <w:numFmt w:val="bullet"/>
      <w:lvlText w:val="-"/>
      <w:lvlJc w:val="left"/>
      <w:pPr>
        <w:ind w:left="1449" w:hanging="360"/>
      </w:pPr>
      <w:rPr>
        <w:rFonts w:ascii="Cambria" w:eastAsia="Calibri" w:hAnsi="Cambria" w:cs="Times New Roman" w:hint="default"/>
      </w:rPr>
    </w:lvl>
    <w:lvl w:ilvl="1" w:tplc="0C090003">
      <w:start w:val="1"/>
      <w:numFmt w:val="bullet"/>
      <w:lvlText w:val="o"/>
      <w:lvlJc w:val="left"/>
      <w:pPr>
        <w:ind w:left="2169" w:hanging="360"/>
      </w:pPr>
      <w:rPr>
        <w:rFonts w:ascii="Courier New" w:hAnsi="Courier New" w:cs="Courier New" w:hint="default"/>
      </w:rPr>
    </w:lvl>
    <w:lvl w:ilvl="2" w:tplc="0C090005" w:tentative="1">
      <w:start w:val="1"/>
      <w:numFmt w:val="bullet"/>
      <w:lvlText w:val=""/>
      <w:lvlJc w:val="left"/>
      <w:pPr>
        <w:ind w:left="2889" w:hanging="360"/>
      </w:pPr>
      <w:rPr>
        <w:rFonts w:ascii="Wingdings" w:hAnsi="Wingdings" w:hint="default"/>
      </w:rPr>
    </w:lvl>
    <w:lvl w:ilvl="3" w:tplc="0C090001" w:tentative="1">
      <w:start w:val="1"/>
      <w:numFmt w:val="bullet"/>
      <w:lvlText w:val=""/>
      <w:lvlJc w:val="left"/>
      <w:pPr>
        <w:ind w:left="3609" w:hanging="360"/>
      </w:pPr>
      <w:rPr>
        <w:rFonts w:ascii="Symbol" w:hAnsi="Symbol" w:hint="default"/>
      </w:rPr>
    </w:lvl>
    <w:lvl w:ilvl="4" w:tplc="0C090003" w:tentative="1">
      <w:start w:val="1"/>
      <w:numFmt w:val="bullet"/>
      <w:lvlText w:val="o"/>
      <w:lvlJc w:val="left"/>
      <w:pPr>
        <w:ind w:left="4329" w:hanging="360"/>
      </w:pPr>
      <w:rPr>
        <w:rFonts w:ascii="Courier New" w:hAnsi="Courier New" w:cs="Courier New" w:hint="default"/>
      </w:rPr>
    </w:lvl>
    <w:lvl w:ilvl="5" w:tplc="0C090005" w:tentative="1">
      <w:start w:val="1"/>
      <w:numFmt w:val="bullet"/>
      <w:lvlText w:val=""/>
      <w:lvlJc w:val="left"/>
      <w:pPr>
        <w:ind w:left="5049" w:hanging="360"/>
      </w:pPr>
      <w:rPr>
        <w:rFonts w:ascii="Wingdings" w:hAnsi="Wingdings" w:hint="default"/>
      </w:rPr>
    </w:lvl>
    <w:lvl w:ilvl="6" w:tplc="0C090001" w:tentative="1">
      <w:start w:val="1"/>
      <w:numFmt w:val="bullet"/>
      <w:lvlText w:val=""/>
      <w:lvlJc w:val="left"/>
      <w:pPr>
        <w:ind w:left="5769" w:hanging="360"/>
      </w:pPr>
      <w:rPr>
        <w:rFonts w:ascii="Symbol" w:hAnsi="Symbol" w:hint="default"/>
      </w:rPr>
    </w:lvl>
    <w:lvl w:ilvl="7" w:tplc="0C090003" w:tentative="1">
      <w:start w:val="1"/>
      <w:numFmt w:val="bullet"/>
      <w:lvlText w:val="o"/>
      <w:lvlJc w:val="left"/>
      <w:pPr>
        <w:ind w:left="6489" w:hanging="360"/>
      </w:pPr>
      <w:rPr>
        <w:rFonts w:ascii="Courier New" w:hAnsi="Courier New" w:cs="Courier New" w:hint="default"/>
      </w:rPr>
    </w:lvl>
    <w:lvl w:ilvl="8" w:tplc="0C090005" w:tentative="1">
      <w:start w:val="1"/>
      <w:numFmt w:val="bullet"/>
      <w:lvlText w:val=""/>
      <w:lvlJc w:val="left"/>
      <w:pPr>
        <w:ind w:left="7209" w:hanging="360"/>
      </w:pPr>
      <w:rPr>
        <w:rFonts w:ascii="Wingdings" w:hAnsi="Wingdings" w:hint="default"/>
      </w:rPr>
    </w:lvl>
  </w:abstractNum>
  <w:abstractNum w:abstractNumId="32" w15:restartNumberingAfterBreak="0">
    <w:nsid w:val="45E52BDD"/>
    <w:multiLevelType w:val="hybridMultilevel"/>
    <w:tmpl w:val="02D4D2B2"/>
    <w:lvl w:ilvl="0" w:tplc="B150F4FC">
      <w:numFmt w:val="bullet"/>
      <w:lvlText w:val="-"/>
      <w:lvlJc w:val="left"/>
      <w:pPr>
        <w:tabs>
          <w:tab w:val="num" w:pos="720"/>
        </w:tabs>
        <w:ind w:left="720" w:hanging="360"/>
      </w:pPr>
      <w:rPr>
        <w:rFonts w:ascii="Comic Sans MS" w:eastAsia="Times New Roman" w:hAnsi="Comic Sans MS" w:cs="Times New Roman" w:hint="default"/>
      </w:rPr>
    </w:lvl>
    <w:lvl w:ilvl="1" w:tplc="6164900A">
      <w:start w:val="10"/>
      <w:numFmt w:val="bullet"/>
      <w:lvlText w:val="-"/>
      <w:lvlJc w:val="left"/>
      <w:pPr>
        <w:tabs>
          <w:tab w:val="num" w:pos="1440"/>
        </w:tabs>
        <w:ind w:left="1440" w:hanging="360"/>
      </w:pPr>
      <w:rPr>
        <w:rFonts w:ascii="Times New Roman" w:eastAsia="Times New Roman" w:hAnsi="Times New Roman" w:cs="Times New Roman" w:hint="default"/>
      </w:rPr>
    </w:lvl>
    <w:lvl w:ilvl="2" w:tplc="B19AF8E4">
      <w:start w:val="1"/>
      <w:numFmt w:val="lowerLetter"/>
      <w:lvlText w:val="(%3)"/>
      <w:lvlJc w:val="left"/>
      <w:pPr>
        <w:tabs>
          <w:tab w:val="num" w:pos="2340"/>
        </w:tabs>
        <w:ind w:left="2340" w:hanging="360"/>
      </w:pPr>
      <w:rPr>
        <w:rFonts w:hint="default"/>
      </w:rPr>
    </w:lvl>
    <w:lvl w:ilvl="3" w:tplc="703C47C2">
      <w:start w:val="1"/>
      <w:numFmt w:val="decimal"/>
      <w:lvlText w:val="(%4)"/>
      <w:lvlJc w:val="left"/>
      <w:pPr>
        <w:tabs>
          <w:tab w:val="num" w:pos="1701"/>
        </w:tabs>
        <w:ind w:left="1701" w:hanging="567"/>
      </w:pPr>
      <w:rPr>
        <w:rFonts w:hint="default"/>
        <w:b w:val="0"/>
      </w:rPr>
    </w:lvl>
    <w:lvl w:ilvl="4" w:tplc="E6D06A7A">
      <w:start w:val="1"/>
      <w:numFmt w:val="bullet"/>
      <w:lvlText w:val="o"/>
      <w:lvlJc w:val="left"/>
      <w:pPr>
        <w:tabs>
          <w:tab w:val="num" w:pos="3807"/>
        </w:tabs>
        <w:ind w:left="3807" w:hanging="567"/>
      </w:pPr>
      <w:rPr>
        <w:rFonts w:ascii="Courier New" w:hAnsi="Courier New" w:hint="default"/>
      </w:r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3" w15:restartNumberingAfterBreak="0">
    <w:nsid w:val="4756648A"/>
    <w:multiLevelType w:val="hybridMultilevel"/>
    <w:tmpl w:val="96B04B2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4" w15:restartNumberingAfterBreak="0">
    <w:nsid w:val="4CA8178D"/>
    <w:multiLevelType w:val="hybridMultilevel"/>
    <w:tmpl w:val="768C5DE4"/>
    <w:lvl w:ilvl="0" w:tplc="02224C8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4F3D0DC4"/>
    <w:multiLevelType w:val="hybridMultilevel"/>
    <w:tmpl w:val="72A0CD90"/>
    <w:lvl w:ilvl="0" w:tplc="0C090005">
      <w:start w:val="1"/>
      <w:numFmt w:val="bullet"/>
      <w:lvlText w:val=""/>
      <w:lvlJc w:val="left"/>
      <w:pPr>
        <w:tabs>
          <w:tab w:val="num" w:pos="1080"/>
        </w:tabs>
        <w:ind w:left="1080" w:hanging="360"/>
      </w:pPr>
      <w:rPr>
        <w:rFonts w:ascii="Wingdings" w:hAnsi="Wingdings" w:hint="default"/>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36" w15:restartNumberingAfterBreak="0">
    <w:nsid w:val="51125AA0"/>
    <w:multiLevelType w:val="hybridMultilevel"/>
    <w:tmpl w:val="E8326BD2"/>
    <w:lvl w:ilvl="0" w:tplc="0C090005">
      <w:start w:val="1"/>
      <w:numFmt w:val="bullet"/>
      <w:lvlText w:val=""/>
      <w:lvlJc w:val="left"/>
      <w:pPr>
        <w:tabs>
          <w:tab w:val="num" w:pos="1080"/>
        </w:tabs>
        <w:ind w:left="1080" w:hanging="360"/>
      </w:pPr>
      <w:rPr>
        <w:rFonts w:ascii="Wingdings" w:hAnsi="Wingdings" w:hint="default"/>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37" w15:restartNumberingAfterBreak="0">
    <w:nsid w:val="521D77D4"/>
    <w:multiLevelType w:val="hybridMultilevel"/>
    <w:tmpl w:val="A2A05D3C"/>
    <w:lvl w:ilvl="0" w:tplc="02224C8E">
      <w:start w:val="1"/>
      <w:numFmt w:val="lowerLetter"/>
      <w:lvlText w:val="(%1)"/>
      <w:lvlJc w:val="left"/>
      <w:pPr>
        <w:ind w:left="360" w:hanging="360"/>
      </w:pPr>
      <w:rPr>
        <w:rFonts w:hint="default"/>
      </w:rPr>
    </w:lvl>
    <w:lvl w:ilvl="1" w:tplc="C260632A">
      <w:start w:val="1"/>
      <w:numFmt w:val="lowerLetter"/>
      <w:lvlText w:val="(%2)"/>
      <w:lvlJc w:val="left"/>
      <w:pPr>
        <w:ind w:left="1526" w:hanging="360"/>
      </w:pPr>
      <w:rPr>
        <w:rFonts w:hint="default"/>
        <w:b/>
      </w:rPr>
    </w:lvl>
    <w:lvl w:ilvl="2" w:tplc="0C09001B" w:tentative="1">
      <w:start w:val="1"/>
      <w:numFmt w:val="lowerRoman"/>
      <w:lvlText w:val="%3."/>
      <w:lvlJc w:val="right"/>
      <w:pPr>
        <w:ind w:left="2246" w:hanging="180"/>
      </w:pPr>
    </w:lvl>
    <w:lvl w:ilvl="3" w:tplc="0C09000F" w:tentative="1">
      <w:start w:val="1"/>
      <w:numFmt w:val="decimal"/>
      <w:lvlText w:val="%4."/>
      <w:lvlJc w:val="left"/>
      <w:pPr>
        <w:ind w:left="2966" w:hanging="360"/>
      </w:pPr>
    </w:lvl>
    <w:lvl w:ilvl="4" w:tplc="0C090019" w:tentative="1">
      <w:start w:val="1"/>
      <w:numFmt w:val="lowerLetter"/>
      <w:lvlText w:val="%5."/>
      <w:lvlJc w:val="left"/>
      <w:pPr>
        <w:ind w:left="3686" w:hanging="360"/>
      </w:pPr>
    </w:lvl>
    <w:lvl w:ilvl="5" w:tplc="0C09001B" w:tentative="1">
      <w:start w:val="1"/>
      <w:numFmt w:val="lowerRoman"/>
      <w:lvlText w:val="%6."/>
      <w:lvlJc w:val="right"/>
      <w:pPr>
        <w:ind w:left="4406" w:hanging="180"/>
      </w:pPr>
    </w:lvl>
    <w:lvl w:ilvl="6" w:tplc="0C09000F" w:tentative="1">
      <w:start w:val="1"/>
      <w:numFmt w:val="decimal"/>
      <w:lvlText w:val="%7."/>
      <w:lvlJc w:val="left"/>
      <w:pPr>
        <w:ind w:left="5126" w:hanging="360"/>
      </w:pPr>
    </w:lvl>
    <w:lvl w:ilvl="7" w:tplc="0C090019" w:tentative="1">
      <w:start w:val="1"/>
      <w:numFmt w:val="lowerLetter"/>
      <w:lvlText w:val="%8."/>
      <w:lvlJc w:val="left"/>
      <w:pPr>
        <w:ind w:left="5846" w:hanging="360"/>
      </w:pPr>
    </w:lvl>
    <w:lvl w:ilvl="8" w:tplc="0C09001B" w:tentative="1">
      <w:start w:val="1"/>
      <w:numFmt w:val="lowerRoman"/>
      <w:lvlText w:val="%9."/>
      <w:lvlJc w:val="right"/>
      <w:pPr>
        <w:ind w:left="6566" w:hanging="180"/>
      </w:pPr>
    </w:lvl>
  </w:abstractNum>
  <w:abstractNum w:abstractNumId="38" w15:restartNumberingAfterBreak="0">
    <w:nsid w:val="5FF45522"/>
    <w:multiLevelType w:val="hybridMultilevel"/>
    <w:tmpl w:val="7234A00E"/>
    <w:lvl w:ilvl="0" w:tplc="0C090005">
      <w:start w:val="1"/>
      <w:numFmt w:val="bullet"/>
      <w:lvlText w:val=""/>
      <w:lvlJc w:val="left"/>
      <w:pPr>
        <w:tabs>
          <w:tab w:val="num" w:pos="1131"/>
        </w:tabs>
        <w:ind w:left="1131" w:hanging="360"/>
      </w:pPr>
      <w:rPr>
        <w:rFonts w:ascii="Wingdings" w:hAnsi="Wingdings" w:hint="default"/>
      </w:rPr>
    </w:lvl>
    <w:lvl w:ilvl="1" w:tplc="0C090003" w:tentative="1">
      <w:start w:val="1"/>
      <w:numFmt w:val="bullet"/>
      <w:lvlText w:val="o"/>
      <w:lvlJc w:val="left"/>
      <w:pPr>
        <w:tabs>
          <w:tab w:val="num" w:pos="1851"/>
        </w:tabs>
        <w:ind w:left="1851" w:hanging="360"/>
      </w:pPr>
      <w:rPr>
        <w:rFonts w:ascii="Courier New" w:hAnsi="Courier New" w:cs="Courier New" w:hint="default"/>
      </w:rPr>
    </w:lvl>
    <w:lvl w:ilvl="2" w:tplc="0C090005" w:tentative="1">
      <w:start w:val="1"/>
      <w:numFmt w:val="bullet"/>
      <w:lvlText w:val=""/>
      <w:lvlJc w:val="left"/>
      <w:pPr>
        <w:tabs>
          <w:tab w:val="num" w:pos="2571"/>
        </w:tabs>
        <w:ind w:left="2571" w:hanging="360"/>
      </w:pPr>
      <w:rPr>
        <w:rFonts w:ascii="Wingdings" w:hAnsi="Wingdings" w:hint="default"/>
      </w:rPr>
    </w:lvl>
    <w:lvl w:ilvl="3" w:tplc="0C090001" w:tentative="1">
      <w:start w:val="1"/>
      <w:numFmt w:val="bullet"/>
      <w:lvlText w:val=""/>
      <w:lvlJc w:val="left"/>
      <w:pPr>
        <w:tabs>
          <w:tab w:val="num" w:pos="3291"/>
        </w:tabs>
        <w:ind w:left="3291" w:hanging="360"/>
      </w:pPr>
      <w:rPr>
        <w:rFonts w:ascii="Symbol" w:hAnsi="Symbol" w:hint="default"/>
      </w:rPr>
    </w:lvl>
    <w:lvl w:ilvl="4" w:tplc="0C090003" w:tentative="1">
      <w:start w:val="1"/>
      <w:numFmt w:val="bullet"/>
      <w:lvlText w:val="o"/>
      <w:lvlJc w:val="left"/>
      <w:pPr>
        <w:tabs>
          <w:tab w:val="num" w:pos="4011"/>
        </w:tabs>
        <w:ind w:left="4011" w:hanging="360"/>
      </w:pPr>
      <w:rPr>
        <w:rFonts w:ascii="Courier New" w:hAnsi="Courier New" w:cs="Courier New" w:hint="default"/>
      </w:rPr>
    </w:lvl>
    <w:lvl w:ilvl="5" w:tplc="0C090005" w:tentative="1">
      <w:start w:val="1"/>
      <w:numFmt w:val="bullet"/>
      <w:lvlText w:val=""/>
      <w:lvlJc w:val="left"/>
      <w:pPr>
        <w:tabs>
          <w:tab w:val="num" w:pos="4731"/>
        </w:tabs>
        <w:ind w:left="4731" w:hanging="360"/>
      </w:pPr>
      <w:rPr>
        <w:rFonts w:ascii="Wingdings" w:hAnsi="Wingdings" w:hint="default"/>
      </w:rPr>
    </w:lvl>
    <w:lvl w:ilvl="6" w:tplc="0C090001" w:tentative="1">
      <w:start w:val="1"/>
      <w:numFmt w:val="bullet"/>
      <w:lvlText w:val=""/>
      <w:lvlJc w:val="left"/>
      <w:pPr>
        <w:tabs>
          <w:tab w:val="num" w:pos="5451"/>
        </w:tabs>
        <w:ind w:left="5451" w:hanging="360"/>
      </w:pPr>
      <w:rPr>
        <w:rFonts w:ascii="Symbol" w:hAnsi="Symbol" w:hint="default"/>
      </w:rPr>
    </w:lvl>
    <w:lvl w:ilvl="7" w:tplc="0C090003" w:tentative="1">
      <w:start w:val="1"/>
      <w:numFmt w:val="bullet"/>
      <w:lvlText w:val="o"/>
      <w:lvlJc w:val="left"/>
      <w:pPr>
        <w:tabs>
          <w:tab w:val="num" w:pos="6171"/>
        </w:tabs>
        <w:ind w:left="6171" w:hanging="360"/>
      </w:pPr>
      <w:rPr>
        <w:rFonts w:ascii="Courier New" w:hAnsi="Courier New" w:cs="Courier New" w:hint="default"/>
      </w:rPr>
    </w:lvl>
    <w:lvl w:ilvl="8" w:tplc="0C090005" w:tentative="1">
      <w:start w:val="1"/>
      <w:numFmt w:val="bullet"/>
      <w:lvlText w:val=""/>
      <w:lvlJc w:val="left"/>
      <w:pPr>
        <w:tabs>
          <w:tab w:val="num" w:pos="6891"/>
        </w:tabs>
        <w:ind w:left="6891" w:hanging="360"/>
      </w:pPr>
      <w:rPr>
        <w:rFonts w:ascii="Wingdings" w:hAnsi="Wingdings" w:hint="default"/>
      </w:rPr>
    </w:lvl>
  </w:abstractNum>
  <w:abstractNum w:abstractNumId="39" w15:restartNumberingAfterBreak="0">
    <w:nsid w:val="60655884"/>
    <w:multiLevelType w:val="hybridMultilevel"/>
    <w:tmpl w:val="A5AC3E24"/>
    <w:lvl w:ilvl="0" w:tplc="0C09000F">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0" w15:restartNumberingAfterBreak="0">
    <w:nsid w:val="622E3B4F"/>
    <w:multiLevelType w:val="hybridMultilevel"/>
    <w:tmpl w:val="E5AA5036"/>
    <w:lvl w:ilvl="0" w:tplc="B150F4FC">
      <w:numFmt w:val="bullet"/>
      <w:lvlText w:val="-"/>
      <w:lvlJc w:val="left"/>
      <w:pPr>
        <w:tabs>
          <w:tab w:val="num" w:pos="720"/>
        </w:tabs>
        <w:ind w:left="720" w:hanging="360"/>
      </w:pPr>
      <w:rPr>
        <w:rFonts w:ascii="Comic Sans MS" w:eastAsia="Times New Roman" w:hAnsi="Comic Sans MS" w:cs="Times New Roman"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26F15F6"/>
    <w:multiLevelType w:val="hybridMultilevel"/>
    <w:tmpl w:val="47D8BEF2"/>
    <w:lvl w:ilvl="0" w:tplc="B150F4FC">
      <w:numFmt w:val="bullet"/>
      <w:lvlText w:val="-"/>
      <w:lvlJc w:val="left"/>
      <w:pPr>
        <w:tabs>
          <w:tab w:val="num" w:pos="720"/>
        </w:tabs>
        <w:ind w:left="720" w:hanging="360"/>
      </w:pPr>
      <w:rPr>
        <w:rFonts w:ascii="Comic Sans MS" w:eastAsia="Times New Roman" w:hAnsi="Comic Sans MS" w:cs="Times New Roman"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31C00B9"/>
    <w:multiLevelType w:val="multilevel"/>
    <w:tmpl w:val="E7AEABD2"/>
    <w:lvl w:ilvl="0">
      <w:numFmt w:val="bullet"/>
      <w:lvlText w:val="-"/>
      <w:lvlJc w:val="left"/>
      <w:pPr>
        <w:tabs>
          <w:tab w:val="num" w:pos="720"/>
        </w:tabs>
        <w:ind w:left="720" w:hanging="360"/>
      </w:pPr>
      <w:rPr>
        <w:rFonts w:ascii="Comic Sans MS" w:eastAsia="Times New Roman" w:hAnsi="Comic Sans MS"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6381148F"/>
    <w:multiLevelType w:val="hybridMultilevel"/>
    <w:tmpl w:val="904A0026"/>
    <w:lvl w:ilvl="0" w:tplc="37FE764A">
      <w:start w:val="1"/>
      <w:numFmt w:val="lowerLetter"/>
      <w:lvlText w:val="%1)"/>
      <w:lvlJc w:val="left"/>
      <w:pPr>
        <w:ind w:left="1353" w:hanging="36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44" w15:restartNumberingAfterBreak="0">
    <w:nsid w:val="65C45375"/>
    <w:multiLevelType w:val="hybridMultilevel"/>
    <w:tmpl w:val="768C5DE4"/>
    <w:lvl w:ilvl="0" w:tplc="02224C8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15:restartNumberingAfterBreak="0">
    <w:nsid w:val="69C329BC"/>
    <w:multiLevelType w:val="hybridMultilevel"/>
    <w:tmpl w:val="9B5CA63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6A551961"/>
    <w:multiLevelType w:val="hybridMultilevel"/>
    <w:tmpl w:val="C1DE0D4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6DA9465B"/>
    <w:multiLevelType w:val="hybridMultilevel"/>
    <w:tmpl w:val="CA7234D0"/>
    <w:lvl w:ilvl="0" w:tplc="B150F4FC">
      <w:numFmt w:val="bullet"/>
      <w:lvlText w:val="-"/>
      <w:lvlJc w:val="left"/>
      <w:pPr>
        <w:tabs>
          <w:tab w:val="num" w:pos="720"/>
        </w:tabs>
        <w:ind w:left="720" w:hanging="360"/>
      </w:pPr>
      <w:rPr>
        <w:rFonts w:ascii="Comic Sans MS" w:eastAsia="Times New Roman" w:hAnsi="Comic Sans MS" w:cs="Times New Roman"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9F578CF"/>
    <w:multiLevelType w:val="hybridMultilevel"/>
    <w:tmpl w:val="D55837A6"/>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49" w15:restartNumberingAfterBreak="0">
    <w:nsid w:val="7EF13E44"/>
    <w:multiLevelType w:val="hybridMultilevel"/>
    <w:tmpl w:val="E7AEABD2"/>
    <w:lvl w:ilvl="0" w:tplc="B150F4FC">
      <w:numFmt w:val="bullet"/>
      <w:lvlText w:val="-"/>
      <w:lvlJc w:val="left"/>
      <w:pPr>
        <w:tabs>
          <w:tab w:val="num" w:pos="720"/>
        </w:tabs>
        <w:ind w:left="720" w:hanging="360"/>
      </w:pPr>
      <w:rPr>
        <w:rFonts w:ascii="Comic Sans MS" w:eastAsia="Times New Roman" w:hAnsi="Comic Sans MS" w:cs="Times New Roman"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19"/>
  </w:num>
  <w:num w:numId="3">
    <w:abstractNumId w:val="30"/>
  </w:num>
  <w:num w:numId="4">
    <w:abstractNumId w:val="47"/>
  </w:num>
  <w:num w:numId="5">
    <w:abstractNumId w:val="7"/>
  </w:num>
  <w:num w:numId="6">
    <w:abstractNumId w:val="17"/>
  </w:num>
  <w:num w:numId="7">
    <w:abstractNumId w:val="41"/>
  </w:num>
  <w:num w:numId="8">
    <w:abstractNumId w:val="40"/>
  </w:num>
  <w:num w:numId="9">
    <w:abstractNumId w:val="32"/>
  </w:num>
  <w:num w:numId="10">
    <w:abstractNumId w:val="26"/>
  </w:num>
  <w:num w:numId="11">
    <w:abstractNumId w:val="49"/>
  </w:num>
  <w:num w:numId="12">
    <w:abstractNumId w:val="42"/>
  </w:num>
  <w:num w:numId="13">
    <w:abstractNumId w:val="46"/>
  </w:num>
  <w:num w:numId="14">
    <w:abstractNumId w:val="45"/>
  </w:num>
  <w:num w:numId="15">
    <w:abstractNumId w:val="24"/>
  </w:num>
  <w:num w:numId="16">
    <w:abstractNumId w:val="29"/>
  </w:num>
  <w:num w:numId="17">
    <w:abstractNumId w:val="14"/>
  </w:num>
  <w:num w:numId="18">
    <w:abstractNumId w:val="20"/>
  </w:num>
  <w:num w:numId="19">
    <w:abstractNumId w:val="5"/>
  </w:num>
  <w:num w:numId="20">
    <w:abstractNumId w:val="1"/>
  </w:num>
  <w:num w:numId="21">
    <w:abstractNumId w:val="16"/>
  </w:num>
  <w:num w:numId="22">
    <w:abstractNumId w:val="38"/>
  </w:num>
  <w:num w:numId="23">
    <w:abstractNumId w:val="13"/>
  </w:num>
  <w:num w:numId="24">
    <w:abstractNumId w:val="23"/>
  </w:num>
  <w:num w:numId="25">
    <w:abstractNumId w:val="36"/>
  </w:num>
  <w:num w:numId="26">
    <w:abstractNumId w:val="35"/>
  </w:num>
  <w:num w:numId="27">
    <w:abstractNumId w:val="12"/>
  </w:num>
  <w:num w:numId="28">
    <w:abstractNumId w:val="39"/>
  </w:num>
  <w:num w:numId="29">
    <w:abstractNumId w:val="22"/>
  </w:num>
  <w:num w:numId="30">
    <w:abstractNumId w:val="18"/>
  </w:num>
  <w:num w:numId="31">
    <w:abstractNumId w:val="8"/>
  </w:num>
  <w:num w:numId="32">
    <w:abstractNumId w:val="0"/>
  </w:num>
  <w:num w:numId="33">
    <w:abstractNumId w:val="9"/>
  </w:num>
  <w:num w:numId="34">
    <w:abstractNumId w:val="31"/>
  </w:num>
  <w:num w:numId="35">
    <w:abstractNumId w:val="43"/>
  </w:num>
  <w:num w:numId="36">
    <w:abstractNumId w:val="21"/>
  </w:num>
  <w:num w:numId="37">
    <w:abstractNumId w:val="15"/>
  </w:num>
  <w:num w:numId="38">
    <w:abstractNumId w:val="25"/>
  </w:num>
  <w:num w:numId="39">
    <w:abstractNumId w:val="25"/>
  </w:num>
  <w:num w:numId="4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8"/>
  </w:num>
  <w:num w:numId="42">
    <w:abstractNumId w:val="34"/>
  </w:num>
  <w:num w:numId="43">
    <w:abstractNumId w:val="3"/>
  </w:num>
  <w:num w:numId="44">
    <w:abstractNumId w:val="2"/>
  </w:num>
  <w:num w:numId="45">
    <w:abstractNumId w:val="48"/>
  </w:num>
  <w:num w:numId="46">
    <w:abstractNumId w:val="11"/>
  </w:num>
  <w:num w:numId="47">
    <w:abstractNumId w:val="27"/>
  </w:num>
  <w:num w:numId="48">
    <w:abstractNumId w:val="33"/>
  </w:num>
  <w:num w:numId="49">
    <w:abstractNumId w:val="4"/>
  </w:num>
  <w:num w:numId="50">
    <w:abstractNumId w:val="37"/>
  </w:num>
  <w:num w:numId="51">
    <w:abstractNumId w:val="10"/>
  </w:num>
  <w:num w:numId="52">
    <w:abstractNumId w:val="44"/>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1718"/>
    <w:rsid w:val="000117B2"/>
    <w:rsid w:val="0001796D"/>
    <w:rsid w:val="00017BF0"/>
    <w:rsid w:val="00021053"/>
    <w:rsid w:val="0002568B"/>
    <w:rsid w:val="0003303A"/>
    <w:rsid w:val="00043FA7"/>
    <w:rsid w:val="000479FC"/>
    <w:rsid w:val="000552E8"/>
    <w:rsid w:val="00056585"/>
    <w:rsid w:val="0005674F"/>
    <w:rsid w:val="00065C6E"/>
    <w:rsid w:val="00072E6E"/>
    <w:rsid w:val="00073F1B"/>
    <w:rsid w:val="00075B58"/>
    <w:rsid w:val="00081520"/>
    <w:rsid w:val="00087AC3"/>
    <w:rsid w:val="000B11DD"/>
    <w:rsid w:val="000B1785"/>
    <w:rsid w:val="000C390A"/>
    <w:rsid w:val="000C77DD"/>
    <w:rsid w:val="000D3A2A"/>
    <w:rsid w:val="000E295B"/>
    <w:rsid w:val="000E45A0"/>
    <w:rsid w:val="00101CD5"/>
    <w:rsid w:val="00107460"/>
    <w:rsid w:val="00112415"/>
    <w:rsid w:val="0013678D"/>
    <w:rsid w:val="00140A34"/>
    <w:rsid w:val="00146ED8"/>
    <w:rsid w:val="00167202"/>
    <w:rsid w:val="00174B49"/>
    <w:rsid w:val="0017676F"/>
    <w:rsid w:val="001828A4"/>
    <w:rsid w:val="0019509C"/>
    <w:rsid w:val="001A3BE2"/>
    <w:rsid w:val="001B4140"/>
    <w:rsid w:val="001C35E7"/>
    <w:rsid w:val="001C4578"/>
    <w:rsid w:val="001D02E6"/>
    <w:rsid w:val="001D7D3B"/>
    <w:rsid w:val="001E238F"/>
    <w:rsid w:val="001E63C1"/>
    <w:rsid w:val="001F28A6"/>
    <w:rsid w:val="001F2A16"/>
    <w:rsid w:val="001F6921"/>
    <w:rsid w:val="001F7C3E"/>
    <w:rsid w:val="00201969"/>
    <w:rsid w:val="002118A5"/>
    <w:rsid w:val="0021222C"/>
    <w:rsid w:val="00213FA5"/>
    <w:rsid w:val="0021496E"/>
    <w:rsid w:val="00222AFB"/>
    <w:rsid w:val="00226E71"/>
    <w:rsid w:val="0023733A"/>
    <w:rsid w:val="002373E0"/>
    <w:rsid w:val="00240226"/>
    <w:rsid w:val="0024044F"/>
    <w:rsid w:val="00240CFB"/>
    <w:rsid w:val="00245D00"/>
    <w:rsid w:val="00247D7D"/>
    <w:rsid w:val="00257F2D"/>
    <w:rsid w:val="00262F9F"/>
    <w:rsid w:val="00266D2D"/>
    <w:rsid w:val="0027331F"/>
    <w:rsid w:val="00273607"/>
    <w:rsid w:val="00285E76"/>
    <w:rsid w:val="002949C3"/>
    <w:rsid w:val="002A10A4"/>
    <w:rsid w:val="002A26FE"/>
    <w:rsid w:val="002B1423"/>
    <w:rsid w:val="002B2233"/>
    <w:rsid w:val="002C71FA"/>
    <w:rsid w:val="002E0309"/>
    <w:rsid w:val="002E3A82"/>
    <w:rsid w:val="002F044B"/>
    <w:rsid w:val="002F1257"/>
    <w:rsid w:val="002F187A"/>
    <w:rsid w:val="00310C61"/>
    <w:rsid w:val="003171B3"/>
    <w:rsid w:val="0032559D"/>
    <w:rsid w:val="00331616"/>
    <w:rsid w:val="00333567"/>
    <w:rsid w:val="00344575"/>
    <w:rsid w:val="0035113C"/>
    <w:rsid w:val="00354525"/>
    <w:rsid w:val="00370FE4"/>
    <w:rsid w:val="00374385"/>
    <w:rsid w:val="00380CC4"/>
    <w:rsid w:val="003C0686"/>
    <w:rsid w:val="003D08CF"/>
    <w:rsid w:val="003D0CBA"/>
    <w:rsid w:val="003D0F6A"/>
    <w:rsid w:val="003D4BA8"/>
    <w:rsid w:val="003E5269"/>
    <w:rsid w:val="003F0C0E"/>
    <w:rsid w:val="00405394"/>
    <w:rsid w:val="004066E4"/>
    <w:rsid w:val="0040680B"/>
    <w:rsid w:val="00407361"/>
    <w:rsid w:val="00417C55"/>
    <w:rsid w:val="0042000E"/>
    <w:rsid w:val="00420596"/>
    <w:rsid w:val="00424A7B"/>
    <w:rsid w:val="00425A09"/>
    <w:rsid w:val="0043385D"/>
    <w:rsid w:val="00441753"/>
    <w:rsid w:val="004447C1"/>
    <w:rsid w:val="00446AA8"/>
    <w:rsid w:val="0045590D"/>
    <w:rsid w:val="0046211F"/>
    <w:rsid w:val="0046787B"/>
    <w:rsid w:val="00486653"/>
    <w:rsid w:val="00493CA7"/>
    <w:rsid w:val="00496AE8"/>
    <w:rsid w:val="004A5FDA"/>
    <w:rsid w:val="004D098C"/>
    <w:rsid w:val="004D24A9"/>
    <w:rsid w:val="004D41FE"/>
    <w:rsid w:val="004E5357"/>
    <w:rsid w:val="004F4A07"/>
    <w:rsid w:val="004F5EB1"/>
    <w:rsid w:val="004F6887"/>
    <w:rsid w:val="005030AD"/>
    <w:rsid w:val="0051249C"/>
    <w:rsid w:val="005176E7"/>
    <w:rsid w:val="00520330"/>
    <w:rsid w:val="00524B6B"/>
    <w:rsid w:val="00526403"/>
    <w:rsid w:val="005413EE"/>
    <w:rsid w:val="005467CE"/>
    <w:rsid w:val="00547615"/>
    <w:rsid w:val="00566D26"/>
    <w:rsid w:val="00586888"/>
    <w:rsid w:val="00587443"/>
    <w:rsid w:val="00587C50"/>
    <w:rsid w:val="005917F3"/>
    <w:rsid w:val="005B0ACD"/>
    <w:rsid w:val="005B50A2"/>
    <w:rsid w:val="005C3408"/>
    <w:rsid w:val="005D4369"/>
    <w:rsid w:val="005D611B"/>
    <w:rsid w:val="005E691B"/>
    <w:rsid w:val="005F1ACE"/>
    <w:rsid w:val="005F256D"/>
    <w:rsid w:val="0060183A"/>
    <w:rsid w:val="00603110"/>
    <w:rsid w:val="00611C8E"/>
    <w:rsid w:val="006302F7"/>
    <w:rsid w:val="00631F30"/>
    <w:rsid w:val="00642420"/>
    <w:rsid w:val="00646158"/>
    <w:rsid w:val="006513F4"/>
    <w:rsid w:val="0066622C"/>
    <w:rsid w:val="00666487"/>
    <w:rsid w:val="0067041C"/>
    <w:rsid w:val="00673B37"/>
    <w:rsid w:val="00680E1E"/>
    <w:rsid w:val="006945EA"/>
    <w:rsid w:val="006A10BD"/>
    <w:rsid w:val="006A24DD"/>
    <w:rsid w:val="006B5470"/>
    <w:rsid w:val="006B56B9"/>
    <w:rsid w:val="006D0138"/>
    <w:rsid w:val="006D6EB6"/>
    <w:rsid w:val="006D6F52"/>
    <w:rsid w:val="006E4747"/>
    <w:rsid w:val="00701312"/>
    <w:rsid w:val="00701718"/>
    <w:rsid w:val="007078C3"/>
    <w:rsid w:val="00710359"/>
    <w:rsid w:val="00712FFF"/>
    <w:rsid w:val="00717289"/>
    <w:rsid w:val="00722DBF"/>
    <w:rsid w:val="00735157"/>
    <w:rsid w:val="00736629"/>
    <w:rsid w:val="00753058"/>
    <w:rsid w:val="007554DE"/>
    <w:rsid w:val="0076271C"/>
    <w:rsid w:val="00763D67"/>
    <w:rsid w:val="00767CE8"/>
    <w:rsid w:val="00775490"/>
    <w:rsid w:val="00795D0C"/>
    <w:rsid w:val="007A55BA"/>
    <w:rsid w:val="007C1FBD"/>
    <w:rsid w:val="007C54B3"/>
    <w:rsid w:val="007C5C8E"/>
    <w:rsid w:val="007E0A01"/>
    <w:rsid w:val="007E22F5"/>
    <w:rsid w:val="007E4302"/>
    <w:rsid w:val="007F1EFD"/>
    <w:rsid w:val="007F25F3"/>
    <w:rsid w:val="007F4901"/>
    <w:rsid w:val="00803F83"/>
    <w:rsid w:val="00826DEB"/>
    <w:rsid w:val="00832A78"/>
    <w:rsid w:val="00836B02"/>
    <w:rsid w:val="008467D4"/>
    <w:rsid w:val="00850FB0"/>
    <w:rsid w:val="0085238E"/>
    <w:rsid w:val="00853428"/>
    <w:rsid w:val="008540EA"/>
    <w:rsid w:val="00857554"/>
    <w:rsid w:val="00866A00"/>
    <w:rsid w:val="008702A6"/>
    <w:rsid w:val="0087573A"/>
    <w:rsid w:val="008757CE"/>
    <w:rsid w:val="00876272"/>
    <w:rsid w:val="0088392C"/>
    <w:rsid w:val="00884C06"/>
    <w:rsid w:val="00897C0E"/>
    <w:rsid w:val="00897E31"/>
    <w:rsid w:val="008A046F"/>
    <w:rsid w:val="008A405A"/>
    <w:rsid w:val="008A6A6A"/>
    <w:rsid w:val="008B650A"/>
    <w:rsid w:val="008B787C"/>
    <w:rsid w:val="008C3898"/>
    <w:rsid w:val="008C66CC"/>
    <w:rsid w:val="008C7FE5"/>
    <w:rsid w:val="008D4D63"/>
    <w:rsid w:val="008F483C"/>
    <w:rsid w:val="00910595"/>
    <w:rsid w:val="00910756"/>
    <w:rsid w:val="00912D61"/>
    <w:rsid w:val="009233BD"/>
    <w:rsid w:val="009322D7"/>
    <w:rsid w:val="00932BDE"/>
    <w:rsid w:val="00932C75"/>
    <w:rsid w:val="009358BA"/>
    <w:rsid w:val="009371D0"/>
    <w:rsid w:val="00943AD7"/>
    <w:rsid w:val="00957F71"/>
    <w:rsid w:val="00967725"/>
    <w:rsid w:val="009726B9"/>
    <w:rsid w:val="0098195F"/>
    <w:rsid w:val="009902F8"/>
    <w:rsid w:val="00990BA7"/>
    <w:rsid w:val="00993BB8"/>
    <w:rsid w:val="00993F30"/>
    <w:rsid w:val="0099555F"/>
    <w:rsid w:val="009A22A1"/>
    <w:rsid w:val="009B1F4A"/>
    <w:rsid w:val="009B3A1B"/>
    <w:rsid w:val="009B6332"/>
    <w:rsid w:val="009C0912"/>
    <w:rsid w:val="009C654B"/>
    <w:rsid w:val="009C7443"/>
    <w:rsid w:val="009D6694"/>
    <w:rsid w:val="009E3851"/>
    <w:rsid w:val="009F0300"/>
    <w:rsid w:val="00A07C80"/>
    <w:rsid w:val="00A13EB5"/>
    <w:rsid w:val="00A167A8"/>
    <w:rsid w:val="00A21F0A"/>
    <w:rsid w:val="00A26011"/>
    <w:rsid w:val="00A4016F"/>
    <w:rsid w:val="00A506C2"/>
    <w:rsid w:val="00A62886"/>
    <w:rsid w:val="00A628BD"/>
    <w:rsid w:val="00A74C38"/>
    <w:rsid w:val="00A77D24"/>
    <w:rsid w:val="00A803B4"/>
    <w:rsid w:val="00A8572F"/>
    <w:rsid w:val="00A93E07"/>
    <w:rsid w:val="00A979CF"/>
    <w:rsid w:val="00AA47BE"/>
    <w:rsid w:val="00AA4DF8"/>
    <w:rsid w:val="00AA524C"/>
    <w:rsid w:val="00AB1E70"/>
    <w:rsid w:val="00AB780C"/>
    <w:rsid w:val="00AC2448"/>
    <w:rsid w:val="00AD0B0B"/>
    <w:rsid w:val="00AD5AA6"/>
    <w:rsid w:val="00AD5ADE"/>
    <w:rsid w:val="00AD5FF7"/>
    <w:rsid w:val="00AE7138"/>
    <w:rsid w:val="00AF4CAF"/>
    <w:rsid w:val="00B01211"/>
    <w:rsid w:val="00B117BA"/>
    <w:rsid w:val="00B15F23"/>
    <w:rsid w:val="00B16508"/>
    <w:rsid w:val="00B20D87"/>
    <w:rsid w:val="00B212DD"/>
    <w:rsid w:val="00B24053"/>
    <w:rsid w:val="00B26002"/>
    <w:rsid w:val="00B31550"/>
    <w:rsid w:val="00B3595F"/>
    <w:rsid w:val="00B51660"/>
    <w:rsid w:val="00B578AC"/>
    <w:rsid w:val="00B6433F"/>
    <w:rsid w:val="00B64CF5"/>
    <w:rsid w:val="00B76C9B"/>
    <w:rsid w:val="00B823A1"/>
    <w:rsid w:val="00B8428B"/>
    <w:rsid w:val="00B84B7C"/>
    <w:rsid w:val="00BA41F5"/>
    <w:rsid w:val="00BB3C9C"/>
    <w:rsid w:val="00BC221A"/>
    <w:rsid w:val="00BF4822"/>
    <w:rsid w:val="00C01D22"/>
    <w:rsid w:val="00C07D99"/>
    <w:rsid w:val="00C104B6"/>
    <w:rsid w:val="00C10F02"/>
    <w:rsid w:val="00C114F4"/>
    <w:rsid w:val="00C11D03"/>
    <w:rsid w:val="00C24941"/>
    <w:rsid w:val="00C31967"/>
    <w:rsid w:val="00C371DE"/>
    <w:rsid w:val="00C409AE"/>
    <w:rsid w:val="00C40C2B"/>
    <w:rsid w:val="00C4143E"/>
    <w:rsid w:val="00C42D50"/>
    <w:rsid w:val="00C54DF8"/>
    <w:rsid w:val="00C60B49"/>
    <w:rsid w:val="00C7440A"/>
    <w:rsid w:val="00C865ED"/>
    <w:rsid w:val="00C8775A"/>
    <w:rsid w:val="00CA0877"/>
    <w:rsid w:val="00CA6B59"/>
    <w:rsid w:val="00CB305D"/>
    <w:rsid w:val="00CB3B6C"/>
    <w:rsid w:val="00CB75F1"/>
    <w:rsid w:val="00CC1833"/>
    <w:rsid w:val="00CC189F"/>
    <w:rsid w:val="00CC3368"/>
    <w:rsid w:val="00CD0FF8"/>
    <w:rsid w:val="00CF19C4"/>
    <w:rsid w:val="00CF2B0A"/>
    <w:rsid w:val="00D13C04"/>
    <w:rsid w:val="00D20A78"/>
    <w:rsid w:val="00D278BA"/>
    <w:rsid w:val="00D40454"/>
    <w:rsid w:val="00D4059C"/>
    <w:rsid w:val="00D53D8F"/>
    <w:rsid w:val="00D618BE"/>
    <w:rsid w:val="00D61C76"/>
    <w:rsid w:val="00D77015"/>
    <w:rsid w:val="00D92B48"/>
    <w:rsid w:val="00DB1693"/>
    <w:rsid w:val="00DC3CDB"/>
    <w:rsid w:val="00DD5B07"/>
    <w:rsid w:val="00DE6821"/>
    <w:rsid w:val="00DF2022"/>
    <w:rsid w:val="00DF25C3"/>
    <w:rsid w:val="00DF34BE"/>
    <w:rsid w:val="00DF5D59"/>
    <w:rsid w:val="00E10B37"/>
    <w:rsid w:val="00E12AAB"/>
    <w:rsid w:val="00E239E4"/>
    <w:rsid w:val="00E36A38"/>
    <w:rsid w:val="00E53399"/>
    <w:rsid w:val="00E62155"/>
    <w:rsid w:val="00E6464D"/>
    <w:rsid w:val="00E673C6"/>
    <w:rsid w:val="00E77995"/>
    <w:rsid w:val="00E87099"/>
    <w:rsid w:val="00EA28E6"/>
    <w:rsid w:val="00EA43D1"/>
    <w:rsid w:val="00EB2455"/>
    <w:rsid w:val="00EB5113"/>
    <w:rsid w:val="00EC5CD1"/>
    <w:rsid w:val="00ED4FF0"/>
    <w:rsid w:val="00ED6D91"/>
    <w:rsid w:val="00EF78C4"/>
    <w:rsid w:val="00F04CD7"/>
    <w:rsid w:val="00F23E15"/>
    <w:rsid w:val="00F244A2"/>
    <w:rsid w:val="00F257BF"/>
    <w:rsid w:val="00F337CD"/>
    <w:rsid w:val="00F35064"/>
    <w:rsid w:val="00F374D8"/>
    <w:rsid w:val="00F3771A"/>
    <w:rsid w:val="00F46E8C"/>
    <w:rsid w:val="00F46EF8"/>
    <w:rsid w:val="00F539FB"/>
    <w:rsid w:val="00F5684D"/>
    <w:rsid w:val="00F57AB6"/>
    <w:rsid w:val="00F6480F"/>
    <w:rsid w:val="00F64868"/>
    <w:rsid w:val="00F70C2E"/>
    <w:rsid w:val="00F7250A"/>
    <w:rsid w:val="00F778F0"/>
    <w:rsid w:val="00F84DF2"/>
    <w:rsid w:val="00F86713"/>
    <w:rsid w:val="00F87AC4"/>
    <w:rsid w:val="00F932E0"/>
    <w:rsid w:val="00FB7701"/>
    <w:rsid w:val="00FC1022"/>
    <w:rsid w:val="00FC40F0"/>
    <w:rsid w:val="00FC6D3B"/>
    <w:rsid w:val="00FD0129"/>
    <w:rsid w:val="00FD17E4"/>
    <w:rsid w:val="00FE1204"/>
    <w:rsid w:val="00FE17ED"/>
    <w:rsid w:val="00FE3DBB"/>
    <w:rsid w:val="00FF431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5AC1B4F"/>
  <w15:docId w15:val="{AD9FD6DE-9CC1-41B4-AAE4-E80AFFECA8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99555F"/>
    <w:rPr>
      <w:sz w:val="24"/>
    </w:rPr>
  </w:style>
  <w:style w:type="paragraph" w:styleId="Heading2">
    <w:name w:val="heading 2"/>
    <w:basedOn w:val="Normal"/>
    <w:next w:val="Normal"/>
    <w:qFormat/>
    <w:rsid w:val="00240CFB"/>
    <w:pPr>
      <w:keepNext/>
      <w:spacing w:after="120"/>
      <w:outlineLvl w:val="1"/>
    </w:pPr>
    <w:rPr>
      <w:rFonts w:ascii="Arial" w:hAnsi="Arial" w:cs="Arial"/>
      <w:b/>
      <w:sz w:val="22"/>
      <w:szCs w:val="22"/>
    </w:rPr>
  </w:style>
  <w:style w:type="paragraph" w:styleId="Heading3">
    <w:name w:val="heading 3"/>
    <w:basedOn w:val="Normal"/>
    <w:next w:val="Normal"/>
    <w:link w:val="Heading3Char"/>
    <w:qFormat/>
    <w:rsid w:val="00E53399"/>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9555F"/>
    <w:pPr>
      <w:tabs>
        <w:tab w:val="center" w:pos="4153"/>
        <w:tab w:val="right" w:pos="8306"/>
      </w:tabs>
    </w:pPr>
  </w:style>
  <w:style w:type="table" w:styleId="TableGrid">
    <w:name w:val="Table Grid"/>
    <w:basedOn w:val="TableNormal"/>
    <w:rsid w:val="009955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99555F"/>
    <w:pPr>
      <w:spacing w:before="100" w:beforeAutospacing="1" w:after="100" w:afterAutospacing="1"/>
    </w:pPr>
    <w:rPr>
      <w:szCs w:val="24"/>
    </w:rPr>
  </w:style>
  <w:style w:type="paragraph" w:styleId="Footer">
    <w:name w:val="footer"/>
    <w:basedOn w:val="Normal"/>
    <w:rsid w:val="00D4059C"/>
    <w:pPr>
      <w:tabs>
        <w:tab w:val="center" w:pos="4153"/>
        <w:tab w:val="right" w:pos="8306"/>
      </w:tabs>
    </w:pPr>
  </w:style>
  <w:style w:type="paragraph" w:styleId="Title">
    <w:name w:val="Title"/>
    <w:basedOn w:val="Normal"/>
    <w:next w:val="Normal"/>
    <w:qFormat/>
    <w:rsid w:val="00D4059C"/>
    <w:pPr>
      <w:spacing w:before="240" w:after="240"/>
    </w:pPr>
    <w:rPr>
      <w:rFonts w:ascii="Arial" w:hAnsi="Arial"/>
      <w:b/>
      <w:sz w:val="40"/>
      <w:lang w:eastAsia="en-US"/>
    </w:rPr>
  </w:style>
  <w:style w:type="paragraph" w:styleId="FootnoteText">
    <w:name w:val="footnote text"/>
    <w:basedOn w:val="Normal"/>
    <w:link w:val="FootnoteTextChar"/>
    <w:uiPriority w:val="99"/>
    <w:semiHidden/>
    <w:rsid w:val="00F35064"/>
    <w:rPr>
      <w:sz w:val="20"/>
    </w:rPr>
  </w:style>
  <w:style w:type="character" w:styleId="FootnoteReference">
    <w:name w:val="footnote reference"/>
    <w:basedOn w:val="DefaultParagraphFont"/>
    <w:uiPriority w:val="99"/>
    <w:semiHidden/>
    <w:rsid w:val="00F35064"/>
    <w:rPr>
      <w:vertAlign w:val="superscript"/>
    </w:rPr>
  </w:style>
  <w:style w:type="paragraph" w:styleId="BalloonText">
    <w:name w:val="Balloon Text"/>
    <w:basedOn w:val="Normal"/>
    <w:semiHidden/>
    <w:rsid w:val="00587443"/>
    <w:rPr>
      <w:rFonts w:ascii="Tahoma" w:hAnsi="Tahoma" w:cs="Tahoma"/>
      <w:sz w:val="16"/>
      <w:szCs w:val="16"/>
    </w:rPr>
  </w:style>
  <w:style w:type="character" w:styleId="CommentReference">
    <w:name w:val="annotation reference"/>
    <w:basedOn w:val="DefaultParagraphFont"/>
    <w:semiHidden/>
    <w:rsid w:val="00A26011"/>
    <w:rPr>
      <w:sz w:val="16"/>
      <w:szCs w:val="16"/>
    </w:rPr>
  </w:style>
  <w:style w:type="paragraph" w:styleId="CommentText">
    <w:name w:val="annotation text"/>
    <w:basedOn w:val="Normal"/>
    <w:semiHidden/>
    <w:rsid w:val="00A26011"/>
    <w:rPr>
      <w:sz w:val="20"/>
    </w:rPr>
  </w:style>
  <w:style w:type="paragraph" w:styleId="CommentSubject">
    <w:name w:val="annotation subject"/>
    <w:basedOn w:val="CommentText"/>
    <w:next w:val="CommentText"/>
    <w:semiHidden/>
    <w:rsid w:val="00A26011"/>
    <w:rPr>
      <w:b/>
      <w:bCs/>
    </w:rPr>
  </w:style>
  <w:style w:type="paragraph" w:customStyle="1" w:styleId="Heading1a">
    <w:name w:val="Heading 1a"/>
    <w:next w:val="Normal"/>
    <w:rsid w:val="00F86713"/>
    <w:pPr>
      <w:keepNext/>
      <w:keepLines/>
      <w:spacing w:before="480"/>
      <w:outlineLvl w:val="0"/>
    </w:pPr>
    <w:rPr>
      <w:rFonts w:ascii="Verdana" w:hAnsi="Verdana"/>
      <w:b/>
      <w:noProof/>
      <w:sz w:val="28"/>
    </w:rPr>
  </w:style>
  <w:style w:type="paragraph" w:customStyle="1" w:styleId="Char2">
    <w:name w:val="Char2"/>
    <w:basedOn w:val="Normal"/>
    <w:rsid w:val="00E53399"/>
    <w:pPr>
      <w:spacing w:after="160" w:line="240" w:lineRule="exact"/>
    </w:pPr>
    <w:rPr>
      <w:rFonts w:ascii="Verdana" w:hAnsi="Verdana"/>
      <w:sz w:val="21"/>
      <w:lang w:val="en-US" w:eastAsia="en-US"/>
    </w:rPr>
  </w:style>
  <w:style w:type="character" w:styleId="Hyperlink">
    <w:name w:val="Hyperlink"/>
    <w:basedOn w:val="DefaultParagraphFont"/>
    <w:rsid w:val="008F483C"/>
    <w:rPr>
      <w:color w:val="0000FF"/>
      <w:u w:val="single"/>
    </w:rPr>
  </w:style>
  <w:style w:type="paragraph" w:styleId="ListParagraph">
    <w:name w:val="List Paragraph"/>
    <w:basedOn w:val="Normal"/>
    <w:uiPriority w:val="34"/>
    <w:qFormat/>
    <w:rsid w:val="00075B58"/>
    <w:pPr>
      <w:spacing w:after="200" w:line="276" w:lineRule="auto"/>
      <w:ind w:left="720"/>
    </w:pPr>
    <w:rPr>
      <w:rFonts w:ascii="Calibri" w:eastAsia="Calibri" w:hAnsi="Calibri"/>
      <w:sz w:val="22"/>
      <w:szCs w:val="22"/>
      <w:lang w:eastAsia="en-US"/>
    </w:rPr>
  </w:style>
  <w:style w:type="character" w:customStyle="1" w:styleId="HeaderChar">
    <w:name w:val="Header Char"/>
    <w:basedOn w:val="DefaultParagraphFont"/>
    <w:link w:val="Header"/>
    <w:rsid w:val="00AC2448"/>
    <w:rPr>
      <w:sz w:val="24"/>
    </w:rPr>
  </w:style>
  <w:style w:type="character" w:customStyle="1" w:styleId="Heading3Char">
    <w:name w:val="Heading 3 Char"/>
    <w:basedOn w:val="DefaultParagraphFont"/>
    <w:link w:val="Heading3"/>
    <w:rsid w:val="00717289"/>
    <w:rPr>
      <w:rFonts w:ascii="Arial" w:hAnsi="Arial" w:cs="Arial"/>
      <w:b/>
      <w:bCs/>
      <w:sz w:val="26"/>
      <w:szCs w:val="26"/>
    </w:rPr>
  </w:style>
  <w:style w:type="character" w:customStyle="1" w:styleId="FootnoteTextChar">
    <w:name w:val="Footnote Text Char"/>
    <w:basedOn w:val="DefaultParagraphFont"/>
    <w:link w:val="FootnoteText"/>
    <w:uiPriority w:val="99"/>
    <w:semiHidden/>
    <w:rsid w:val="00717289"/>
  </w:style>
  <w:style w:type="character" w:styleId="Emphasis">
    <w:name w:val="Emphasis"/>
    <w:basedOn w:val="DefaultParagraphFont"/>
    <w:uiPriority w:val="20"/>
    <w:qFormat/>
    <w:rsid w:val="00AB1E70"/>
    <w:rPr>
      <w:b/>
      <w:bCs/>
      <w:i w:val="0"/>
      <w:iCs w:val="0"/>
    </w:rPr>
  </w:style>
  <w:style w:type="character" w:customStyle="1" w:styleId="st1">
    <w:name w:val="st1"/>
    <w:basedOn w:val="DefaultParagraphFont"/>
    <w:rsid w:val="00AB1E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595546">
      <w:bodyDiv w:val="1"/>
      <w:marLeft w:val="0"/>
      <w:marRight w:val="0"/>
      <w:marTop w:val="0"/>
      <w:marBottom w:val="0"/>
      <w:divBdr>
        <w:top w:val="none" w:sz="0" w:space="0" w:color="auto"/>
        <w:left w:val="none" w:sz="0" w:space="0" w:color="auto"/>
        <w:bottom w:val="none" w:sz="0" w:space="0" w:color="auto"/>
        <w:right w:val="none" w:sz="0" w:space="0" w:color="auto"/>
      </w:divBdr>
    </w:div>
    <w:div w:id="984242822">
      <w:bodyDiv w:val="1"/>
      <w:marLeft w:val="0"/>
      <w:marRight w:val="0"/>
      <w:marTop w:val="0"/>
      <w:marBottom w:val="0"/>
      <w:divBdr>
        <w:top w:val="none" w:sz="0" w:space="0" w:color="auto"/>
        <w:left w:val="none" w:sz="0" w:space="0" w:color="auto"/>
        <w:bottom w:val="none" w:sz="0" w:space="0" w:color="auto"/>
        <w:right w:val="none" w:sz="0" w:space="0" w:color="auto"/>
      </w:divBdr>
    </w:div>
    <w:div w:id="1093629081">
      <w:bodyDiv w:val="1"/>
      <w:marLeft w:val="84"/>
      <w:marRight w:val="84"/>
      <w:marTop w:val="84"/>
      <w:marBottom w:val="84"/>
      <w:divBdr>
        <w:top w:val="none" w:sz="0" w:space="0" w:color="auto"/>
        <w:left w:val="none" w:sz="0" w:space="0" w:color="auto"/>
        <w:bottom w:val="none" w:sz="0" w:space="0" w:color="auto"/>
        <w:right w:val="none" w:sz="0" w:space="0" w:color="auto"/>
      </w:divBdr>
    </w:div>
    <w:div w:id="1114254097">
      <w:bodyDiv w:val="1"/>
      <w:marLeft w:val="0"/>
      <w:marRight w:val="0"/>
      <w:marTop w:val="0"/>
      <w:marBottom w:val="0"/>
      <w:divBdr>
        <w:top w:val="none" w:sz="0" w:space="0" w:color="auto"/>
        <w:left w:val="none" w:sz="0" w:space="0" w:color="auto"/>
        <w:bottom w:val="none" w:sz="0" w:space="0" w:color="auto"/>
        <w:right w:val="none" w:sz="0" w:space="0" w:color="auto"/>
      </w:divBdr>
    </w:div>
    <w:div w:id="1240482827">
      <w:bodyDiv w:val="1"/>
      <w:marLeft w:val="0"/>
      <w:marRight w:val="0"/>
      <w:marTop w:val="0"/>
      <w:marBottom w:val="0"/>
      <w:divBdr>
        <w:top w:val="none" w:sz="0" w:space="0" w:color="auto"/>
        <w:left w:val="none" w:sz="0" w:space="0" w:color="auto"/>
        <w:bottom w:val="none" w:sz="0" w:space="0" w:color="auto"/>
        <w:right w:val="none" w:sz="0" w:space="0" w:color="auto"/>
      </w:divBdr>
    </w:div>
    <w:div w:id="2112429026">
      <w:bodyDiv w:val="1"/>
      <w:marLeft w:val="84"/>
      <w:marRight w:val="84"/>
      <w:marTop w:val="84"/>
      <w:marBottom w:val="84"/>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Word" ma:contentTypeID="0x010100A64679C44DADA04984EEB770C479187300D671BAA6A2837143B656620068115792" ma:contentTypeVersion="24" ma:contentTypeDescription="" ma:contentTypeScope="" ma:versionID="e7f60ab67b138d6b498f1e508387a7ca">
  <xsd:schema xmlns:xsd="http://www.w3.org/2001/XMLSchema" xmlns:xs="http://www.w3.org/2001/XMLSchema" xmlns:p="http://schemas.microsoft.com/office/2006/metadata/properties" xmlns:ns1="http://schemas.microsoft.com/sharepoint/v3" xmlns:ns2="5e039acd-daf0-4ba3-b421-e9b9ae1a3620" targetNamespace="http://schemas.microsoft.com/office/2006/metadata/properties" ma:root="true" ma:fieldsID="6157e332811e791681c4e91ba41dc61a" ns1:_="" ns2:_="">
    <xsd:import namespace="http://schemas.microsoft.com/sharepoint/v3"/>
    <xsd:import namespace="5e039acd-daf0-4ba3-b421-e9b9ae1a3620"/>
    <xsd:element name="properties">
      <xsd:complexType>
        <xsd:sequence>
          <xsd:element name="documentManagement">
            <xsd:complexType>
              <xsd:all>
                <xsd:element ref="ns2:_dlc_DocId" minOccurs="0"/>
                <xsd:element ref="ns2:_dlc_DocIdUrl" minOccurs="0"/>
                <xsd:element ref="ns2:_dlc_DocIdPersistId" minOccurs="0"/>
                <xsd:element ref="ns2:n1a6d2b88979416cad2cc3ecb331e44a" minOccurs="0"/>
                <xsd:element ref="ns2:TaxCatchAll" minOccurs="0"/>
                <xsd:element ref="ns2:TaxCatchAllLabel" minOccurs="0"/>
                <xsd:element ref="ns1:_dlc_Exempt" minOccurs="0"/>
                <xsd:element ref="ns1:_dlc_ExpireDateSaved" minOccurs="0"/>
                <xsd:element ref="ns1:_dlc_Expire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5" nillable="true" ma:displayName="Exempt from Policy" ma:hidden="true" ma:internalName="_dlc_Exempt" ma:readOnly="true">
      <xsd:simpleType>
        <xsd:restriction base="dms:Unknown"/>
      </xsd:simpleType>
    </xsd:element>
    <xsd:element name="_dlc_ExpireDateSaved" ma:index="16" nillable="true" ma:displayName="Original Expiration Date" ma:hidden="true" ma:internalName="_dlc_ExpireDateSaved" ma:readOnly="true">
      <xsd:simpleType>
        <xsd:restriction base="dms:DateTime"/>
      </xsd:simpleType>
    </xsd:element>
    <xsd:element name="_dlc_ExpireDate" ma:index="17" nillable="true" ma:displayName="Expiration Date"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5e039acd-daf0-4ba3-b421-e9b9ae1a362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n1a6d2b88979416cad2cc3ecb331e44a" ma:index="11" ma:taxonomy="true" ma:internalName="n1a6d2b88979416cad2cc3ecb331e44a" ma:taxonomyFieldName="Security_x0020_Classification" ma:displayName="Security Classification" ma:readOnly="false" ma:default="1;#UNCLASSIFIED|1bbb598d-ed8e-4faa-b9b5-c952cc7313f8" ma:fieldId="{71a6d2b8-8979-416c-ad2c-c3ecb331e44a}" ma:sspId="552124a6-5639-4054-9398-f49b47b0070b" ma:termSetId="01e0d8d2-6959-4708-b4cf-d9f24a977c8f" ma:anchorId="00000000-0000-0000-0000-000000000000" ma:open="false" ma:isKeyword="false">
      <xsd:complexType>
        <xsd:sequence>
          <xsd:element ref="pc:Terms" minOccurs="0" maxOccurs="1"/>
        </xsd:sequence>
      </xsd:complexType>
    </xsd:element>
    <xsd:element name="TaxCatchAll" ma:index="12" nillable="true" ma:displayName="Taxonomy Catch All Column" ma:description="" ma:hidden="true" ma:list="{ec2003f9-3252-44e8-804f-d5d14dd81ab1}" ma:internalName="TaxCatchAll" ma:showField="CatchAllData" ma:web="5e039acd-daf0-4ba3-b421-e9b9ae1a3620">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description="" ma:hidden="true" ma:list="{ec2003f9-3252-44e8-804f-d5d14dd81ab1}" ma:internalName="TaxCatchAllLabel" ma:readOnly="true" ma:showField="CatchAllDataLabel" ma:web="5e039acd-daf0-4ba3-b421-e9b9ae1a362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
    <Name>Microsoft.Office.RecordsManagement.PolicyFeatures.ExpirationEventReceiver</Name>
    <Synchronization>Synchronous</Synchronization>
    <Type>10001</Type>
    <SequenceNumber>101</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Assembly>Microsoft.Office.Policy, Version=14.0.0.0, Culture=neutral, PublicKeyToken=71e9bce111e9429c</Assembly>
    <Class>Microsoft.Office.RecordsManagement.Internal.UpdateExpireDate</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p:Policy xmlns:p="office.server.policy" id="" local="true">
  <p:Name>Word</p:Name>
  <p:Description/>
  <p:Statement/>
  <p:PolicyItems>
    <p:PolicyItem featureId="Microsoft.Office.RecordsManagement.PolicyFeatures.Expiration" staticId="0x010100A64679C44DADA04984EEB770C4791873|1060299444" UniqueId="4cb30c36-7391-4ddd-ab56-a47c5a5217a7">
      <p:Name>Retention</p:Name>
      <p:Description>Automatic scheduling of content for processing, and performing a retention action on content that has reached its due date.</p:Description>
      <p:CustomData>
        <Schedules nextStageId="2">
          <Schedule type="Default">
            <stages>
              <data stageId="1">
                <formula id="Microsoft.Office.RecordsManagement.PolicyFeatures.Expiration.Formula.BuiltIn">
                  <number>10</number>
                  <property>Modified</property>
                  <propertyId>28cf69c5-fa48-462a-b5cd-27b6f9d2bd5f</propertyId>
                  <period>years</period>
                </formula>
                <action type="action" id="Microsoft.Office.RecordsManagement.PolicyFeatures.Expiration.Action.Delete"/>
              </data>
            </stages>
          </Schedule>
        </Schedules>
      </p:CustomData>
    </p:PolicyItem>
  </p:PolicyItems>
</p:Policy>
</file>

<file path=customXml/item5.xml><?xml version="1.0" encoding="utf-8"?>
<?mso-contentType ?>
<customXsn xmlns="http://schemas.microsoft.com/office/2006/metadata/customXsn">
  <xsnLocation/>
  <cached>True</cached>
  <openByDefault>False</openByDefault>
  <xsnScope>http://sharepoint</xsnScope>
</customXsn>
</file>

<file path=customXml/item6.xml><?xml version="1.0" encoding="utf-8"?>
<p:properties xmlns:p="http://schemas.microsoft.com/office/2006/metadata/properties" xmlns:xsi="http://www.w3.org/2001/XMLSchema-instance" xmlns:pc="http://schemas.microsoft.com/office/infopath/2007/PartnerControls">
  <documentManagement>
    <n1a6d2b88979416cad2cc3ecb331e44a xmlns="5e039acd-daf0-4ba3-b421-e9b9ae1a3620">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1bbb598d-ed8e-4faa-b9b5-c952cc7313f8</TermId>
        </TermInfo>
      </Terms>
    </n1a6d2b88979416cad2cc3ecb331e44a>
    <TaxCatchAll xmlns="5e039acd-daf0-4ba3-b421-e9b9ae1a3620">
      <Value>1</Value>
    </TaxCatchAll>
    <_dlc_ExpireDateSaved xmlns="http://schemas.microsoft.com/sharepoint/v3" xsi:nil="true"/>
    <_dlc_ExpireDate xmlns="http://schemas.microsoft.com/sharepoint/v3">2029-11-18T03:39:23+00:00</_dlc_ExpireDate>
    <_dlc_DocId xmlns="5e039acd-daf0-4ba3-b421-e9b9ae1a3620">5YHNKJZSV77T-1836078025-98</_dlc_DocId>
    <_dlc_DocIdUrl xmlns="5e039acd-daf0-4ba3-b421-e9b9ae1a3620">
      <Url>http://sharepoint/GASites/IntegratedTaxDesign/_layouts/DocIdRedir.aspx?ID=5YHNKJZSV77T-1836078025-98</Url>
      <Description>5YHNKJZSV77T-1836078025-98</Description>
    </_dlc_DocIdUrl>
  </documentManagement>
</p:properti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5AEB4B-88AC-49E1-BCDA-CE8143BC53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e039acd-daf0-4ba3-b421-e9b9ae1a36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6461A5D-4941-442A-87D9-1C3E47354EDC}">
  <ds:schemaRefs>
    <ds:schemaRef ds:uri="http://schemas.microsoft.com/sharepoint/events"/>
  </ds:schemaRefs>
</ds:datastoreItem>
</file>

<file path=customXml/itemProps3.xml><?xml version="1.0" encoding="utf-8"?>
<ds:datastoreItem xmlns:ds="http://schemas.openxmlformats.org/officeDocument/2006/customXml" ds:itemID="{A9D21B34-0B68-411B-A3EA-94C6FDB92CD2}">
  <ds:schemaRefs>
    <ds:schemaRef ds:uri="http://schemas.microsoft.com/sharepoint/v3/contenttype/forms"/>
  </ds:schemaRefs>
</ds:datastoreItem>
</file>

<file path=customXml/itemProps4.xml><?xml version="1.0" encoding="utf-8"?>
<ds:datastoreItem xmlns:ds="http://schemas.openxmlformats.org/officeDocument/2006/customXml" ds:itemID="{9092B523-521B-4F01-8DAB-0EC284B7888D}">
  <ds:schemaRefs>
    <ds:schemaRef ds:uri="office.server.policy"/>
  </ds:schemaRefs>
</ds:datastoreItem>
</file>

<file path=customXml/itemProps5.xml><?xml version="1.0" encoding="utf-8"?>
<ds:datastoreItem xmlns:ds="http://schemas.openxmlformats.org/officeDocument/2006/customXml" ds:itemID="{D3BF56F5-71FC-48FA-B98E-E9A58F8032CA}">
  <ds:schemaRefs>
    <ds:schemaRef ds:uri="http://schemas.microsoft.com/office/2006/metadata/customXsn"/>
  </ds:schemaRefs>
</ds:datastoreItem>
</file>

<file path=customXml/itemProps6.xml><?xml version="1.0" encoding="utf-8"?>
<ds:datastoreItem xmlns:ds="http://schemas.openxmlformats.org/officeDocument/2006/customXml" ds:itemID="{2CD597C1-B965-4E1A-A465-326C0C3A3173}">
  <ds:schemaRefs>
    <ds:schemaRef ds:uri="http://schemas.microsoft.com/office/2006/metadata/properties"/>
    <ds:schemaRef ds:uri="http://schemas.microsoft.com/office/infopath/2007/PartnerControls"/>
    <ds:schemaRef ds:uri="5e039acd-daf0-4ba3-b421-e9b9ae1a3620"/>
    <ds:schemaRef ds:uri="http://schemas.microsoft.com/sharepoint/v3"/>
  </ds:schemaRefs>
</ds:datastoreItem>
</file>

<file path=customXml/itemProps7.xml><?xml version="1.0" encoding="utf-8"?>
<ds:datastoreItem xmlns:ds="http://schemas.openxmlformats.org/officeDocument/2006/customXml" ds:itemID="{6B94F8C2-E53F-428A-9EB6-85FC35787B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1862</Words>
  <Characters>10614</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Explanatory Statement template</vt:lpstr>
    </vt:vector>
  </TitlesOfParts>
  <Company>Australian Taxation Office</Company>
  <LinksUpToDate>false</LinksUpToDate>
  <CharactersWithSpaces>12452</CharactersWithSpaces>
  <SharedDoc>false</SharedDoc>
  <HLinks>
    <vt:vector size="12" baseType="variant">
      <vt:variant>
        <vt:i4>131145</vt:i4>
      </vt:variant>
      <vt:variant>
        <vt:i4>3</vt:i4>
      </vt:variant>
      <vt:variant>
        <vt:i4>0</vt:i4>
      </vt:variant>
      <vt:variant>
        <vt:i4>5</vt:i4>
      </vt:variant>
      <vt:variant>
        <vt:lpwstr>http://www.ag.gov.au/Humanrightsandantidiscrimination/Pages/Statements-of-Compatibility-templates.aspx</vt:lpwstr>
      </vt:variant>
      <vt:variant>
        <vt:lpwstr>doesnot</vt:lpwstr>
      </vt:variant>
      <vt:variant>
        <vt:i4>131145</vt:i4>
      </vt:variant>
      <vt:variant>
        <vt:i4>0</vt:i4>
      </vt:variant>
      <vt:variant>
        <vt:i4>0</vt:i4>
      </vt:variant>
      <vt:variant>
        <vt:i4>5</vt:i4>
      </vt:variant>
      <vt:variant>
        <vt:lpwstr>http://www.ag.gov.au/Humanrightsandantidiscrimination/Pages/Statements-of-Compatibility-templates.aspx</vt:lpwstr>
      </vt:variant>
      <vt:variant>
        <vt:lpwstr>doesnot</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Statement template</dc:title>
  <dc:creator>ubafu</dc:creator>
  <cp:lastModifiedBy>Andrea Tammita</cp:lastModifiedBy>
  <cp:revision>2</cp:revision>
  <cp:lastPrinted>2020-01-30T06:29:00Z</cp:lastPrinted>
  <dcterms:created xsi:type="dcterms:W3CDTF">2020-10-07T21:45:00Z</dcterms:created>
  <dcterms:modified xsi:type="dcterms:W3CDTF">2020-10-07T21:45:00Z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0x010100A64679C44DADA04984EEB770C479187300D671BAA6A2837143B656620068115792</vt:lpwstr>
  </property>
  <property fmtid="{D5CDD505-2E9C-101B-9397-08002B2CF9AE}" pid="3" name="_dlc_policyId">
    <vt:lpwstr>0x010100A64679C44DADA04984EEB770C4791873|1060299444</vt:lpwstr>
  </property>
  <property fmtid="{D5CDD505-2E9C-101B-9397-08002B2CF9AE}" pid="4" name="ItemRetentionFormula">
    <vt:lpwstr>&lt;formula id="Microsoft.Office.RecordsManagement.PolicyFeatures.Expiration.Formula.BuiltIn"&gt;&lt;number&gt;10&lt;/number&gt;&lt;property&gt;Modified&lt;/property&gt;&lt;propertyId&gt;28cf69c5-fa48-462a-b5cd-27b6f9d2bd5f&lt;/propertyId&gt;&lt;period&gt;years&lt;/period&gt;&lt;/formula&gt;</vt:lpwstr>
  </property>
  <property fmtid="{D5CDD505-2E9C-101B-9397-08002B2CF9AE}" pid="5" name="_dlc_DocIdItemGuid">
    <vt:lpwstr>fcbb74d9-da8b-45bf-9c94-0c3ff9f11397</vt:lpwstr>
  </property>
  <property fmtid="{D5CDD505-2E9C-101B-9397-08002B2CF9AE}" pid="6" name="TaxKeyword">
    <vt:lpwstr/>
  </property>
  <property fmtid="{D5CDD505-2E9C-101B-9397-08002B2CF9AE}" pid="7" name="Security Classification">
    <vt:lpwstr>1;#UNCLASSIFIED|1bbb598d-ed8e-4faa-b9b5-c952cc7313f8</vt:lpwstr>
  </property>
  <property fmtid="{D5CDD505-2E9C-101B-9397-08002B2CF9AE}" pid="8" name="_DocHome">
    <vt:i4>-2097574561</vt:i4>
  </property>
</Properties>
</file>