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77777777" w:rsidR="00543981" w:rsidRPr="00543981" w:rsidRDefault="0009111F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543981">
        <w:rPr>
          <w:rFonts w:ascii="Arial" w:hAnsi="Arial" w:cs="Arial"/>
          <w:sz w:val="34"/>
          <w:szCs w:val="34"/>
        </w:rPr>
        <w:t>Legislative Instrument</w:t>
      </w:r>
    </w:p>
    <w:p w14:paraId="57D56E0D" w14:textId="228D506B" w:rsidR="007A010E" w:rsidRPr="00543981" w:rsidRDefault="007A010E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5D42445C" w14:textId="08EF0C49" w:rsidR="00543981" w:rsidRPr="00543981" w:rsidRDefault="00514CCC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514CCC">
        <w:rPr>
          <w:rFonts w:ascii="Arial" w:hAnsi="Arial" w:cs="Arial"/>
          <w:sz w:val="34"/>
          <w:szCs w:val="34"/>
        </w:rPr>
        <w:t>PAYG Withholding variation for foreign resident capital gains withholding payments – no residue after a mortgagee exercises a power of sale</w:t>
      </w:r>
      <w:r w:rsidR="00436AE0" w:rsidRPr="00566D26">
        <w:rPr>
          <w:rFonts w:ascii="Arial" w:hAnsi="Arial" w:cs="Arial"/>
          <w:sz w:val="34"/>
          <w:szCs w:val="34"/>
        </w:rPr>
        <w:t xml:space="preserve"> 2020</w:t>
      </w:r>
    </w:p>
    <w:p w14:paraId="133A6C87" w14:textId="77777777" w:rsidR="00B813C3" w:rsidRDefault="00B813C3" w:rsidP="00766BC9">
      <w:pPr>
        <w:rPr>
          <w:rFonts w:ascii="Arial" w:hAnsi="Arial" w:cs="Arial"/>
          <w:sz w:val="22"/>
          <w:szCs w:val="22"/>
        </w:rPr>
      </w:pPr>
    </w:p>
    <w:p w14:paraId="0E34A1B9" w14:textId="1E0CA7D7" w:rsidR="00915187" w:rsidRPr="00E57FF1" w:rsidRDefault="00915187" w:rsidP="00915187">
      <w:pPr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 xml:space="preserve">I, </w:t>
      </w:r>
      <w:r w:rsidR="00555533" w:rsidRPr="00E57FF1">
        <w:rPr>
          <w:rFonts w:ascii="Arial" w:hAnsi="Arial" w:cs="Arial"/>
          <w:sz w:val="22"/>
          <w:szCs w:val="22"/>
        </w:rPr>
        <w:t>Louise Clarke</w:t>
      </w:r>
      <w:r w:rsidRPr="00E57FF1">
        <w:rPr>
          <w:rFonts w:ascii="Arial" w:hAnsi="Arial" w:cs="Arial"/>
          <w:sz w:val="22"/>
          <w:szCs w:val="22"/>
        </w:rPr>
        <w:t>, Deputy Commissioner of Taxation, make this variation under the following provision:</w:t>
      </w:r>
    </w:p>
    <w:p w14:paraId="1192BE12" w14:textId="77777777" w:rsidR="00915187" w:rsidRPr="00E57FF1" w:rsidRDefault="00915187" w:rsidP="00915187">
      <w:pPr>
        <w:rPr>
          <w:rFonts w:ascii="Arial" w:hAnsi="Arial" w:cs="Arial"/>
          <w:sz w:val="22"/>
          <w:szCs w:val="22"/>
        </w:rPr>
      </w:pPr>
    </w:p>
    <w:p w14:paraId="4E67F1B9" w14:textId="6EA53362" w:rsidR="00B813C3" w:rsidRPr="00D67D13" w:rsidRDefault="00915187" w:rsidP="00766BC9">
      <w:pPr>
        <w:pStyle w:val="ListParagraph"/>
        <w:numPr>
          <w:ilvl w:val="0"/>
          <w:numId w:val="14"/>
        </w:numPr>
        <w:ind w:left="1418" w:hanging="709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 xml:space="preserve">subsection 14-235(5) of Schedule 1 to the </w:t>
      </w:r>
      <w:r w:rsidRPr="00E57FF1">
        <w:rPr>
          <w:rFonts w:ascii="Arial" w:hAnsi="Arial" w:cs="Arial"/>
          <w:i/>
          <w:sz w:val="22"/>
          <w:szCs w:val="22"/>
        </w:rPr>
        <w:t>Taxation Administration Act 1953</w:t>
      </w:r>
      <w:r w:rsidRPr="00E57FF1">
        <w:rPr>
          <w:rFonts w:ascii="Arial" w:hAnsi="Arial" w:cs="Arial"/>
          <w:sz w:val="22"/>
          <w:szCs w:val="22"/>
        </w:rPr>
        <w:t>.</w:t>
      </w:r>
    </w:p>
    <w:p w14:paraId="6A363307" w14:textId="77777777" w:rsidR="00915187" w:rsidRDefault="00915187" w:rsidP="00766BC9">
      <w:pPr>
        <w:rPr>
          <w:rFonts w:ascii="Arial" w:hAnsi="Arial" w:cs="Arial"/>
          <w:sz w:val="22"/>
          <w:szCs w:val="22"/>
        </w:rPr>
      </w:pPr>
    </w:p>
    <w:p w14:paraId="3C508C07" w14:textId="1238A826" w:rsidR="00915187" w:rsidRPr="00E57FF1" w:rsidRDefault="008D28D2" w:rsidP="00766BC9">
      <w:pPr>
        <w:rPr>
          <w:rFonts w:ascii="Arial" w:hAnsi="Arial" w:cs="Arial"/>
          <w:b/>
          <w:sz w:val="22"/>
          <w:szCs w:val="22"/>
        </w:rPr>
      </w:pPr>
      <w:r w:rsidRPr="00E57FF1">
        <w:rPr>
          <w:rFonts w:ascii="Arial" w:hAnsi="Arial" w:cs="Arial"/>
          <w:b/>
          <w:sz w:val="22"/>
          <w:szCs w:val="22"/>
        </w:rPr>
        <w:t>Louise Clarke</w:t>
      </w:r>
    </w:p>
    <w:p w14:paraId="660CB9F9" w14:textId="77777777" w:rsidR="002F4EC5" w:rsidRPr="009727F1" w:rsidRDefault="002F4EC5" w:rsidP="002F4EC5">
      <w:pPr>
        <w:rPr>
          <w:rFonts w:ascii="Arial" w:hAnsi="Arial" w:cs="Arial"/>
          <w:sz w:val="22"/>
          <w:szCs w:val="22"/>
        </w:rPr>
      </w:pPr>
      <w:r w:rsidRPr="009727F1">
        <w:rPr>
          <w:rFonts w:ascii="Arial" w:hAnsi="Arial" w:cs="Arial"/>
          <w:sz w:val="22"/>
          <w:szCs w:val="22"/>
        </w:rPr>
        <w:t>Policy, Analysis and Legislation</w:t>
      </w:r>
    </w:p>
    <w:p w14:paraId="31C823A8" w14:textId="2A63E952" w:rsidR="002F4EC5" w:rsidRPr="00E57FF1" w:rsidRDefault="002F4EC5" w:rsidP="00766BC9">
      <w:pPr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>Law Design and Practice</w:t>
      </w:r>
    </w:p>
    <w:p w14:paraId="139D24ED" w14:textId="1EE73167" w:rsidR="00915187" w:rsidRPr="00E57FF1" w:rsidRDefault="00915187" w:rsidP="00766BC9">
      <w:pPr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>Dated:</w:t>
      </w:r>
      <w:r w:rsidR="002448D8">
        <w:rPr>
          <w:rFonts w:ascii="Arial" w:hAnsi="Arial" w:cs="Arial"/>
          <w:sz w:val="22"/>
          <w:szCs w:val="22"/>
        </w:rPr>
        <w:t xml:space="preserve"> 2 September 2020</w:t>
      </w:r>
    </w:p>
    <w:p w14:paraId="7AA926C8" w14:textId="77777777" w:rsidR="00B813C3" w:rsidRPr="00E57FF1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E57FF1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E57FF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57FF1">
        <w:rPr>
          <w:rFonts w:cs="Arial"/>
          <w:szCs w:val="22"/>
        </w:rPr>
        <w:t>Name of instrument</w:t>
      </w:r>
    </w:p>
    <w:p w14:paraId="72BADA40" w14:textId="05FE2BDA" w:rsidR="00972444" w:rsidRPr="009727F1" w:rsidRDefault="00972444" w:rsidP="00766BC9">
      <w:pPr>
        <w:spacing w:after="120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 xml:space="preserve">This determination is the 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>PAYG Withholding</w:t>
      </w:r>
      <w:r w:rsidR="00266C25">
        <w:rPr>
          <w:rFonts w:ascii="Arial" w:hAnsi="Arial" w:cs="Arial"/>
          <w:i/>
          <w:iCs/>
          <w:sz w:val="22"/>
          <w:szCs w:val="22"/>
        </w:rPr>
        <w:t xml:space="preserve"> variation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 xml:space="preserve"> for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f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 xml:space="preserve">oreign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r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 xml:space="preserve">esident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c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 xml:space="preserve">apital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g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>ains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 xml:space="preserve"> withholding payments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n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 xml:space="preserve">o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r</w:t>
      </w:r>
      <w:r w:rsidR="00915187" w:rsidRPr="00C01380">
        <w:rPr>
          <w:rFonts w:ascii="Arial" w:hAnsi="Arial" w:cs="Arial"/>
          <w:i/>
          <w:iCs/>
          <w:sz w:val="22"/>
          <w:szCs w:val="22"/>
        </w:rPr>
        <w:t>esidue</w:t>
      </w:r>
      <w:r w:rsidRPr="00C01380">
        <w:rPr>
          <w:rFonts w:ascii="Arial" w:hAnsi="Arial" w:cs="Arial"/>
          <w:i/>
          <w:iCs/>
          <w:sz w:val="22"/>
          <w:szCs w:val="22"/>
        </w:rPr>
        <w:t xml:space="preserve"> after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a m</w:t>
      </w:r>
      <w:r w:rsidRPr="00C01380">
        <w:rPr>
          <w:rFonts w:ascii="Arial" w:hAnsi="Arial" w:cs="Arial"/>
          <w:i/>
          <w:iCs/>
          <w:sz w:val="22"/>
          <w:szCs w:val="22"/>
        </w:rPr>
        <w:t xml:space="preserve">ortgagee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e</w:t>
      </w:r>
      <w:r w:rsidRPr="00C01380">
        <w:rPr>
          <w:rFonts w:ascii="Arial" w:hAnsi="Arial" w:cs="Arial"/>
          <w:i/>
          <w:iCs/>
          <w:sz w:val="22"/>
          <w:szCs w:val="22"/>
        </w:rPr>
        <w:t xml:space="preserve">xercises a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p</w:t>
      </w:r>
      <w:r w:rsidRPr="00C01380">
        <w:rPr>
          <w:rFonts w:ascii="Arial" w:hAnsi="Arial" w:cs="Arial"/>
          <w:i/>
          <w:iCs/>
          <w:sz w:val="22"/>
          <w:szCs w:val="22"/>
        </w:rPr>
        <w:t xml:space="preserve">ower of </w:t>
      </w:r>
      <w:r w:rsidR="00266C25" w:rsidRPr="00C01380">
        <w:rPr>
          <w:rFonts w:ascii="Arial" w:hAnsi="Arial" w:cs="Arial"/>
          <w:i/>
          <w:iCs/>
          <w:sz w:val="22"/>
          <w:szCs w:val="22"/>
        </w:rPr>
        <w:t>s</w:t>
      </w:r>
      <w:r w:rsidRPr="00C01380">
        <w:rPr>
          <w:rFonts w:ascii="Arial" w:hAnsi="Arial" w:cs="Arial"/>
          <w:i/>
          <w:iCs/>
          <w:sz w:val="22"/>
          <w:szCs w:val="22"/>
        </w:rPr>
        <w:t>ale 2020</w:t>
      </w:r>
      <w:r w:rsidR="00266C25">
        <w:rPr>
          <w:rFonts w:ascii="Arial" w:hAnsi="Arial" w:cs="Arial"/>
          <w:sz w:val="22"/>
          <w:szCs w:val="22"/>
        </w:rPr>
        <w:t>.</w:t>
      </w:r>
      <w:r w:rsidRPr="009727F1">
        <w:rPr>
          <w:rFonts w:ascii="Arial" w:hAnsi="Arial" w:cs="Arial"/>
          <w:sz w:val="22"/>
          <w:szCs w:val="22"/>
        </w:rPr>
        <w:t xml:space="preserve"> </w:t>
      </w:r>
    </w:p>
    <w:p w14:paraId="37C851A1" w14:textId="77F8E7B3" w:rsidR="00B813C3" w:rsidRPr="00E57FF1" w:rsidRDefault="00B813C3" w:rsidP="005B4BE9">
      <w:pPr>
        <w:spacing w:after="120"/>
        <w:rPr>
          <w:rFonts w:ascii="Arial" w:hAnsi="Arial" w:cs="Arial"/>
          <w:sz w:val="22"/>
          <w:szCs w:val="22"/>
        </w:rPr>
      </w:pPr>
    </w:p>
    <w:p w14:paraId="1AF06622" w14:textId="77777777" w:rsidR="00B813C3" w:rsidRPr="00E57FF1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38AD542" w14:textId="77777777" w:rsidR="00B813C3" w:rsidRPr="00E57FF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57FF1">
        <w:rPr>
          <w:rFonts w:cs="Arial"/>
          <w:szCs w:val="22"/>
        </w:rPr>
        <w:t>Commencement</w:t>
      </w:r>
    </w:p>
    <w:p w14:paraId="7BD18426" w14:textId="77777777" w:rsidR="00972444" w:rsidRPr="009727F1" w:rsidRDefault="00972444" w:rsidP="00972444">
      <w:pPr>
        <w:spacing w:after="120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>This instrument commences on the day after its registration on the Federal Register of Legislation.</w:t>
      </w:r>
    </w:p>
    <w:p w14:paraId="0FCA4CD2" w14:textId="77777777" w:rsidR="00972444" w:rsidRPr="00E57FF1" w:rsidRDefault="00972444" w:rsidP="00972444">
      <w:pPr>
        <w:rPr>
          <w:lang w:eastAsia="en-US"/>
        </w:rPr>
      </w:pPr>
    </w:p>
    <w:p w14:paraId="130FDD00" w14:textId="77777777" w:rsidR="00B813C3" w:rsidRPr="00E57FF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77777777" w:rsidR="00B813C3" w:rsidRPr="00E57FF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57FF1">
        <w:rPr>
          <w:rFonts w:cs="Arial"/>
          <w:szCs w:val="22"/>
        </w:rPr>
        <w:t>Application</w:t>
      </w:r>
    </w:p>
    <w:p w14:paraId="201CC0EE" w14:textId="77777777" w:rsidR="00972444" w:rsidRPr="00E57FF1" w:rsidRDefault="00972444" w:rsidP="00425EFD">
      <w:pPr>
        <w:spacing w:after="120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 xml:space="preserve">This instrument applies to payments covered by section 14-200 of Schedule 1 to the </w:t>
      </w:r>
      <w:r w:rsidRPr="00E57FF1">
        <w:rPr>
          <w:rFonts w:ascii="Arial" w:hAnsi="Arial" w:cs="Arial"/>
          <w:i/>
          <w:sz w:val="22"/>
          <w:szCs w:val="22"/>
        </w:rPr>
        <w:t>Taxation Administration Act 1953</w:t>
      </w:r>
      <w:r w:rsidRPr="00E57FF1">
        <w:rPr>
          <w:rFonts w:ascii="Arial" w:hAnsi="Arial" w:cs="Arial"/>
          <w:sz w:val="22"/>
          <w:szCs w:val="22"/>
        </w:rPr>
        <w:t>, where, in a transaction involving the acquisition of land:</w:t>
      </w:r>
    </w:p>
    <w:p w14:paraId="0A222FA0" w14:textId="77777777" w:rsidR="00972444" w:rsidRPr="00E57FF1" w:rsidRDefault="00972444" w:rsidP="00972444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>a mortgagee exercises a power of sale;</w:t>
      </w:r>
    </w:p>
    <w:p w14:paraId="5C89B356" w14:textId="77777777" w:rsidR="00972444" w:rsidRPr="00E57FF1" w:rsidRDefault="00972444" w:rsidP="00972444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>the residue is zero or less than zero; and</w:t>
      </w:r>
    </w:p>
    <w:p w14:paraId="29B1DC82" w14:textId="77777777" w:rsidR="00972444" w:rsidRPr="00E57FF1" w:rsidRDefault="00972444" w:rsidP="00972444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>the mortgagee provides a written declaration to the transferee that the amount to withhold is varied to nil under this instrument.</w:t>
      </w:r>
    </w:p>
    <w:p w14:paraId="6C3DF63F" w14:textId="77777777" w:rsidR="00972444" w:rsidRPr="009727F1" w:rsidRDefault="00972444" w:rsidP="00972444">
      <w:pPr>
        <w:rPr>
          <w:lang w:eastAsia="en-US"/>
        </w:rPr>
      </w:pPr>
    </w:p>
    <w:p w14:paraId="48D0437D" w14:textId="77777777" w:rsidR="00B813C3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4D88025B" w14:textId="77777777" w:rsidR="00556F01" w:rsidRPr="00E57FF1" w:rsidRDefault="00556F01" w:rsidP="00766BC9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77777777" w:rsidR="00543981" w:rsidRPr="00E57FF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57FF1">
        <w:rPr>
          <w:rFonts w:cs="Arial"/>
          <w:szCs w:val="22"/>
        </w:rPr>
        <w:t>Determination</w:t>
      </w:r>
    </w:p>
    <w:p w14:paraId="5FC89C70" w14:textId="77777777" w:rsidR="00425EFD" w:rsidRPr="00E57FF1" w:rsidRDefault="00425EFD" w:rsidP="00425EFD">
      <w:pPr>
        <w:rPr>
          <w:lang w:eastAsia="en-US"/>
        </w:rPr>
      </w:pPr>
    </w:p>
    <w:p w14:paraId="0EEFDF19" w14:textId="77777777" w:rsidR="00425EFD" w:rsidRPr="009727F1" w:rsidRDefault="00425EFD" w:rsidP="00425EFD">
      <w:pPr>
        <w:spacing w:after="120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>The amount to be paid by the transferee to the Commissioner in relation to the transactions covered by this instrument is varied to nil.</w:t>
      </w:r>
    </w:p>
    <w:p w14:paraId="267E3A96" w14:textId="77777777" w:rsidR="00425EFD" w:rsidRPr="00E57FF1" w:rsidRDefault="00425EFD" w:rsidP="00425EFD">
      <w:pPr>
        <w:rPr>
          <w:lang w:eastAsia="en-US"/>
        </w:rPr>
      </w:pPr>
    </w:p>
    <w:p w14:paraId="37FEA97E" w14:textId="77777777" w:rsidR="00B813C3" w:rsidRPr="00E57FF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77777777" w:rsidR="00543981" w:rsidRPr="00E57FF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57FF1">
        <w:rPr>
          <w:rFonts w:cs="Arial"/>
          <w:szCs w:val="22"/>
        </w:rPr>
        <w:lastRenderedPageBreak/>
        <w:t>Definitions</w:t>
      </w:r>
    </w:p>
    <w:p w14:paraId="73081EE8" w14:textId="77777777" w:rsidR="00694725" w:rsidRPr="00E57FF1" w:rsidRDefault="00694725" w:rsidP="00694725">
      <w:pPr>
        <w:rPr>
          <w:lang w:eastAsia="en-US"/>
        </w:rPr>
      </w:pPr>
    </w:p>
    <w:p w14:paraId="444AE677" w14:textId="4F22D46F" w:rsidR="00694725" w:rsidRPr="00E57FF1" w:rsidRDefault="00694725" w:rsidP="00694725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E57FF1">
        <w:rPr>
          <w:rFonts w:ascii="Arial" w:hAnsi="Arial" w:cs="Arial"/>
          <w:b/>
          <w:i/>
          <w:color w:val="000000"/>
          <w:sz w:val="22"/>
          <w:szCs w:val="22"/>
        </w:rPr>
        <w:t xml:space="preserve">Mortgagee </w:t>
      </w:r>
      <w:r w:rsidR="000E4279" w:rsidRPr="00E57FF1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E57FF1">
        <w:rPr>
          <w:rFonts w:ascii="Arial" w:hAnsi="Arial" w:cs="Arial"/>
          <w:color w:val="000000"/>
          <w:sz w:val="22"/>
          <w:szCs w:val="22"/>
        </w:rPr>
        <w:t xml:space="preserve">a mortgagee in relation to the land that is also an ‘authorised deposit-taking institution’ as defined in section 5 of the </w:t>
      </w:r>
      <w:r w:rsidRPr="00E57FF1">
        <w:rPr>
          <w:rFonts w:ascii="Arial" w:hAnsi="Arial" w:cs="Arial"/>
          <w:i/>
          <w:color w:val="000000"/>
          <w:sz w:val="22"/>
          <w:szCs w:val="22"/>
        </w:rPr>
        <w:t>Banking Act 195</w:t>
      </w:r>
      <w:r w:rsidR="009A3D2A" w:rsidRPr="00E57FF1">
        <w:rPr>
          <w:rFonts w:ascii="Arial" w:hAnsi="Arial" w:cs="Arial"/>
          <w:i/>
          <w:color w:val="000000"/>
          <w:sz w:val="22"/>
          <w:szCs w:val="22"/>
        </w:rPr>
        <w:t>9</w:t>
      </w:r>
      <w:r w:rsidRPr="00E57FF1">
        <w:rPr>
          <w:rFonts w:ascii="Arial" w:hAnsi="Arial" w:cs="Arial"/>
          <w:color w:val="000000"/>
          <w:sz w:val="22"/>
          <w:szCs w:val="22"/>
        </w:rPr>
        <w:t>.</w:t>
      </w:r>
    </w:p>
    <w:p w14:paraId="08784624" w14:textId="479C3826" w:rsidR="00694725" w:rsidRPr="00E57FF1" w:rsidRDefault="00694725" w:rsidP="00694725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E57FF1">
        <w:rPr>
          <w:rFonts w:ascii="Arial" w:hAnsi="Arial" w:cs="Arial"/>
          <w:b/>
          <w:i/>
          <w:color w:val="000000"/>
          <w:sz w:val="22"/>
          <w:szCs w:val="22"/>
        </w:rPr>
        <w:t>Residue</w:t>
      </w:r>
      <w:r w:rsidRPr="00E57FF1">
        <w:rPr>
          <w:rFonts w:ascii="Arial" w:hAnsi="Arial" w:cs="Arial"/>
          <w:color w:val="000000"/>
          <w:sz w:val="22"/>
          <w:szCs w:val="22"/>
        </w:rPr>
        <w:t xml:space="preserve"> </w:t>
      </w:r>
      <w:r w:rsidR="000E4279" w:rsidRPr="00E57FF1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E57FF1">
        <w:rPr>
          <w:rFonts w:ascii="Arial" w:hAnsi="Arial" w:cs="Arial"/>
          <w:color w:val="000000"/>
          <w:sz w:val="22"/>
          <w:szCs w:val="22"/>
        </w:rPr>
        <w:t xml:space="preserve">an amount worked out as the sale proceeds </w:t>
      </w:r>
      <w:r w:rsidRPr="00E57FF1">
        <w:rPr>
          <w:rFonts w:ascii="Arial" w:hAnsi="Arial" w:cs="Arial"/>
          <w:i/>
          <w:color w:val="000000"/>
          <w:sz w:val="22"/>
          <w:szCs w:val="22"/>
        </w:rPr>
        <w:t>less</w:t>
      </w:r>
      <w:r w:rsidRPr="00E57FF1">
        <w:rPr>
          <w:rFonts w:ascii="Arial" w:hAnsi="Arial" w:cs="Arial"/>
          <w:color w:val="000000"/>
          <w:sz w:val="22"/>
          <w:szCs w:val="22"/>
        </w:rPr>
        <w:t xml:space="preserve"> expenses incidental to the sale and amounts payable to registered mortgagees over the asset.</w:t>
      </w:r>
    </w:p>
    <w:p w14:paraId="09277D91" w14:textId="77777777" w:rsidR="00694725" w:rsidRPr="00E57FF1" w:rsidRDefault="00694725" w:rsidP="00694725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E57FF1">
        <w:rPr>
          <w:rFonts w:ascii="Arial" w:hAnsi="Arial" w:cs="Arial"/>
          <w:b/>
          <w:i/>
          <w:color w:val="000000"/>
          <w:sz w:val="22"/>
          <w:szCs w:val="22"/>
        </w:rPr>
        <w:t>Transferee</w:t>
      </w:r>
      <w:r w:rsidRPr="00E57FF1">
        <w:rPr>
          <w:rFonts w:ascii="Arial" w:hAnsi="Arial" w:cs="Arial"/>
          <w:color w:val="000000"/>
          <w:sz w:val="22"/>
          <w:szCs w:val="22"/>
        </w:rPr>
        <w:t xml:space="preserve"> – the person acquiring the land as a result of the transaction.</w:t>
      </w:r>
    </w:p>
    <w:p w14:paraId="4B08D6C7" w14:textId="77777777" w:rsidR="00694725" w:rsidRPr="009727F1" w:rsidRDefault="00694725" w:rsidP="00694725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E57FF1">
        <w:rPr>
          <w:rFonts w:ascii="Arial" w:hAnsi="Arial" w:cs="Arial"/>
          <w:color w:val="000000"/>
          <w:sz w:val="22"/>
          <w:szCs w:val="22"/>
        </w:rPr>
        <w:t xml:space="preserve">Other terms used in this legislative instrument have the same meaning as defined in the </w:t>
      </w:r>
      <w:r w:rsidRPr="00E57FF1">
        <w:rPr>
          <w:rFonts w:ascii="Arial" w:hAnsi="Arial" w:cs="Arial"/>
          <w:i/>
          <w:iCs/>
          <w:color w:val="000000"/>
          <w:sz w:val="22"/>
          <w:szCs w:val="22"/>
        </w:rPr>
        <w:t>Taxation Administration Act 1953.</w:t>
      </w:r>
    </w:p>
    <w:p w14:paraId="1996ABD6" w14:textId="77777777" w:rsidR="00694725" w:rsidRPr="00E57FF1" w:rsidRDefault="00694725" w:rsidP="00694725">
      <w:pPr>
        <w:rPr>
          <w:lang w:eastAsia="en-US"/>
        </w:rPr>
      </w:pPr>
    </w:p>
    <w:p w14:paraId="5E420B65" w14:textId="4F956D6A" w:rsidR="00B813C3" w:rsidRPr="00E57FF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2D24657D" w14:textId="76E82D9C" w:rsidR="00694725" w:rsidRPr="00E57FF1" w:rsidRDefault="00B813C3" w:rsidP="00694725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E57FF1">
        <w:rPr>
          <w:rFonts w:cs="Arial"/>
          <w:szCs w:val="22"/>
        </w:rPr>
        <w:t>Repeals</w:t>
      </w:r>
    </w:p>
    <w:p w14:paraId="6856340A" w14:textId="77777777" w:rsidR="00694725" w:rsidRPr="00E57FF1" w:rsidRDefault="00694725" w:rsidP="00694725">
      <w:pPr>
        <w:rPr>
          <w:lang w:eastAsia="en-US"/>
        </w:rPr>
      </w:pPr>
    </w:p>
    <w:p w14:paraId="705871B1" w14:textId="442AA3D8" w:rsidR="00694725" w:rsidRDefault="00694725" w:rsidP="00766BC9">
      <w:pPr>
        <w:spacing w:after="120"/>
        <w:rPr>
          <w:rFonts w:ascii="Arial" w:hAnsi="Arial" w:cs="Arial"/>
          <w:sz w:val="22"/>
          <w:szCs w:val="22"/>
        </w:rPr>
      </w:pPr>
      <w:r w:rsidRPr="00E57FF1">
        <w:rPr>
          <w:rFonts w:ascii="Arial" w:hAnsi="Arial" w:cs="Arial"/>
          <w:sz w:val="22"/>
          <w:szCs w:val="22"/>
        </w:rPr>
        <w:t>None.</w:t>
      </w:r>
    </w:p>
    <w:p w14:paraId="3BF95093" w14:textId="782591E3" w:rsidR="00732F35" w:rsidRPr="00085451" w:rsidRDefault="00732F35" w:rsidP="00766BC9">
      <w:pPr>
        <w:spacing w:after="120"/>
        <w:ind w:left="1418"/>
        <w:rPr>
          <w:rFonts w:ascii="Arial" w:hAnsi="Arial" w:cs="Arial"/>
          <w:sz w:val="22"/>
          <w:szCs w:val="22"/>
        </w:rPr>
      </w:pPr>
    </w:p>
    <w:sectPr w:rsidR="00732F35" w:rsidRPr="00085451" w:rsidSect="00F65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73A31" w14:textId="77777777" w:rsidR="00090FEA" w:rsidRDefault="00090FEA">
      <w:r>
        <w:separator/>
      </w:r>
    </w:p>
  </w:endnote>
  <w:endnote w:type="continuationSeparator" w:id="0">
    <w:p w14:paraId="33162A08" w14:textId="77777777" w:rsidR="00090FEA" w:rsidRDefault="000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74C6" w14:textId="77777777" w:rsidR="00317175" w:rsidRDefault="0031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76FE" w14:textId="77777777" w:rsidR="00317175" w:rsidRDefault="00317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CB06" w14:textId="77777777" w:rsidR="00317175" w:rsidRDefault="0031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58D1" w14:textId="77777777" w:rsidR="00090FEA" w:rsidRDefault="00090FEA">
      <w:r>
        <w:separator/>
      </w:r>
    </w:p>
  </w:footnote>
  <w:footnote w:type="continuationSeparator" w:id="0">
    <w:p w14:paraId="2161A060" w14:textId="77777777" w:rsidR="00090FEA" w:rsidRDefault="0009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47879" w14:textId="77777777" w:rsidR="00317175" w:rsidRDefault="0031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79DC" w14:textId="77777777" w:rsidR="00317175" w:rsidRDefault="00317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0127B8AD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317175">
      <w:rPr>
        <w:rFonts w:ascii="Arial" w:hAnsi="Arial" w:cs="Arial"/>
        <w:b/>
        <w:sz w:val="22"/>
        <w:szCs w:val="22"/>
      </w:rPr>
      <w:t>2020/PW/0015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695"/>
    <w:multiLevelType w:val="hybridMultilevel"/>
    <w:tmpl w:val="7946E78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33398A"/>
    <w:multiLevelType w:val="hybridMultilevel"/>
    <w:tmpl w:val="6408E694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0E84C20"/>
    <w:multiLevelType w:val="hybridMultilevel"/>
    <w:tmpl w:val="3D348566"/>
    <w:lvl w:ilvl="0" w:tplc="073248B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6F8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5451"/>
    <w:rsid w:val="00087C21"/>
    <w:rsid w:val="00090B7A"/>
    <w:rsid w:val="00090FE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D13BC"/>
    <w:rsid w:val="000D3CC6"/>
    <w:rsid w:val="000D40A4"/>
    <w:rsid w:val="000D6A3C"/>
    <w:rsid w:val="000D6E5B"/>
    <w:rsid w:val="000E0270"/>
    <w:rsid w:val="000E2EB8"/>
    <w:rsid w:val="000E4279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390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3CE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264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8D8"/>
    <w:rsid w:val="002449E3"/>
    <w:rsid w:val="00246081"/>
    <w:rsid w:val="002476E9"/>
    <w:rsid w:val="002504EE"/>
    <w:rsid w:val="00255AB5"/>
    <w:rsid w:val="00256024"/>
    <w:rsid w:val="00266C25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4D8"/>
    <w:rsid w:val="002D066A"/>
    <w:rsid w:val="002D144F"/>
    <w:rsid w:val="002D6902"/>
    <w:rsid w:val="002D7B6D"/>
    <w:rsid w:val="002D7DD0"/>
    <w:rsid w:val="002F18CB"/>
    <w:rsid w:val="002F3447"/>
    <w:rsid w:val="002F4EC5"/>
    <w:rsid w:val="00303F72"/>
    <w:rsid w:val="003107EF"/>
    <w:rsid w:val="00312725"/>
    <w:rsid w:val="00314A4E"/>
    <w:rsid w:val="003150E0"/>
    <w:rsid w:val="00317175"/>
    <w:rsid w:val="0032158A"/>
    <w:rsid w:val="003229FB"/>
    <w:rsid w:val="00322E62"/>
    <w:rsid w:val="00332C8C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0152"/>
    <w:rsid w:val="00411530"/>
    <w:rsid w:val="00412B77"/>
    <w:rsid w:val="00414405"/>
    <w:rsid w:val="0042007E"/>
    <w:rsid w:val="00424F2B"/>
    <w:rsid w:val="00425EFD"/>
    <w:rsid w:val="00426390"/>
    <w:rsid w:val="00430570"/>
    <w:rsid w:val="0043366F"/>
    <w:rsid w:val="004369A7"/>
    <w:rsid w:val="00436AE0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16F"/>
    <w:rsid w:val="00513891"/>
    <w:rsid w:val="00513A8B"/>
    <w:rsid w:val="00513F8C"/>
    <w:rsid w:val="00514CCC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5072D"/>
    <w:rsid w:val="00552490"/>
    <w:rsid w:val="00554072"/>
    <w:rsid w:val="00554CFA"/>
    <w:rsid w:val="00555533"/>
    <w:rsid w:val="00556F01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5EC8"/>
    <w:rsid w:val="0058722D"/>
    <w:rsid w:val="005903F3"/>
    <w:rsid w:val="005A3791"/>
    <w:rsid w:val="005B0F08"/>
    <w:rsid w:val="005B110F"/>
    <w:rsid w:val="005B118C"/>
    <w:rsid w:val="005B331E"/>
    <w:rsid w:val="005B4BE9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1AC7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60C3B"/>
    <w:rsid w:val="00673BA4"/>
    <w:rsid w:val="00673C52"/>
    <w:rsid w:val="00682106"/>
    <w:rsid w:val="0068234C"/>
    <w:rsid w:val="006910C8"/>
    <w:rsid w:val="006919FF"/>
    <w:rsid w:val="0069258C"/>
    <w:rsid w:val="00694725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3D5B"/>
    <w:rsid w:val="007D62A9"/>
    <w:rsid w:val="007E6004"/>
    <w:rsid w:val="007E67A6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21F3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6383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8D2"/>
    <w:rsid w:val="008D2F8A"/>
    <w:rsid w:val="008D6C03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187"/>
    <w:rsid w:val="00915BA5"/>
    <w:rsid w:val="0093325B"/>
    <w:rsid w:val="00933619"/>
    <w:rsid w:val="00941A33"/>
    <w:rsid w:val="00941D54"/>
    <w:rsid w:val="00950E56"/>
    <w:rsid w:val="00951288"/>
    <w:rsid w:val="00951B25"/>
    <w:rsid w:val="00954ADE"/>
    <w:rsid w:val="00960417"/>
    <w:rsid w:val="00962392"/>
    <w:rsid w:val="009647D1"/>
    <w:rsid w:val="00964BBB"/>
    <w:rsid w:val="0096645F"/>
    <w:rsid w:val="009665E1"/>
    <w:rsid w:val="0097053C"/>
    <w:rsid w:val="00972444"/>
    <w:rsid w:val="009727F1"/>
    <w:rsid w:val="00976E43"/>
    <w:rsid w:val="00985810"/>
    <w:rsid w:val="00991819"/>
    <w:rsid w:val="009918FB"/>
    <w:rsid w:val="00992067"/>
    <w:rsid w:val="00994E47"/>
    <w:rsid w:val="0099547A"/>
    <w:rsid w:val="009A287E"/>
    <w:rsid w:val="009A3D2A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49BC"/>
    <w:rsid w:val="00A262DA"/>
    <w:rsid w:val="00A27A0F"/>
    <w:rsid w:val="00A45272"/>
    <w:rsid w:val="00A46445"/>
    <w:rsid w:val="00A46C70"/>
    <w:rsid w:val="00A47300"/>
    <w:rsid w:val="00A51360"/>
    <w:rsid w:val="00A5679B"/>
    <w:rsid w:val="00A62CA0"/>
    <w:rsid w:val="00A71B11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380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226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A97"/>
    <w:rsid w:val="00C94FA8"/>
    <w:rsid w:val="00CA110E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5D4"/>
    <w:rsid w:val="00D466F0"/>
    <w:rsid w:val="00D509DF"/>
    <w:rsid w:val="00D526CE"/>
    <w:rsid w:val="00D6391F"/>
    <w:rsid w:val="00D6438C"/>
    <w:rsid w:val="00D655A4"/>
    <w:rsid w:val="00D67554"/>
    <w:rsid w:val="00D675E1"/>
    <w:rsid w:val="00D67D13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D1130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57FF1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2494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  <w15:docId w15:val="{61858020-60E8-4AFD-BE6C-2AB419A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styleId="FollowedHyperlink">
    <w:name w:val="FollowedHyperlink"/>
    <w:basedOn w:val="DefaultParagraphFont"/>
    <w:rsid w:val="00332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BD0EFB1C6747B4B9EC02DDEC29D0594" ma:contentTypeVersion="26" ma:contentTypeDescription="" ma:contentTypeScope="" ma:versionID="f3f6701e7a232edbe75d36f5a87a4b0b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http://schemas.microsoft.com/sharepoint/v4" targetNamespace="http://schemas.microsoft.com/office/2006/metadata/properties" ma:root="true" ma:fieldsID="a5c15c44f7af975d1a23793aad575c29" ns1:_="" ns2:_="" ns3:_="">
    <xsd:import namespace="http://schemas.microsoft.com/sharepoint/v3"/>
    <xsd:import namespace="5e039acd-daf0-4ba3-b421-e9b9ae1a36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2029-11-18T03:59:22+00:00</_dlc_ExpireDate>
    <_dlc_DocId xmlns="5e039acd-daf0-4ba3-b421-e9b9ae1a3620">5YHNKJZSV77T-4592-134</_dlc_DocId>
    <_dlc_DocIdUrl xmlns="5e039acd-daf0-4ba3-b421-e9b9ae1a3620">
      <Url>http://sharepoint/GASites/IntegratedTaxDesign/_layouts/DocIdRedir.aspx?ID=5YHNKJZSV77T-4592-134</Url>
      <Description>5YHNKJZSV77T-4592-134</Description>
    </_dlc_DocIdUrl>
    <IconOverlay xmlns="http://schemas.microsoft.com/sharepoint/v4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63F110F-FA99-4237-9A4A-99196E1801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C75D97-9B04-4C12-B614-6A89CF432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6D647249-8D1A-4589-BC4C-C1A91818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Instruments Template</vt:lpstr>
    </vt:vector>
  </TitlesOfParts>
  <Company>Australian Taxation Office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Instruments Template</dc:title>
  <dc:creator>ubafu</dc:creator>
  <cp:lastModifiedBy>Andrea Tammita</cp:lastModifiedBy>
  <cp:revision>2</cp:revision>
  <cp:lastPrinted>2020-01-23T05:48:00Z</cp:lastPrinted>
  <dcterms:created xsi:type="dcterms:W3CDTF">2020-10-07T21:43:00Z</dcterms:created>
  <dcterms:modified xsi:type="dcterms:W3CDTF">2020-10-07T21:43:00Z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0x010100A64679C44DADA04984EEB770C4791873007BD0EFB1C6747B4B9EC02DDEC29D0594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c2d79cde-f8f6-4769-a35a-9808d80311c8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