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6110" w14:textId="77777777" w:rsidR="005C07E5" w:rsidRPr="00970F20" w:rsidRDefault="005C07E5">
      <w:pPr>
        <w:pStyle w:val="Heading1"/>
        <w:spacing w:line="360" w:lineRule="auto"/>
      </w:pPr>
      <w:r w:rsidRPr="00970F20">
        <w:t>EXPLANATORY STATEMENT</w:t>
      </w:r>
    </w:p>
    <w:p w14:paraId="400B6F2A" w14:textId="77777777" w:rsidR="001D091B" w:rsidRPr="00970F20" w:rsidRDefault="001D091B" w:rsidP="001D091B">
      <w:pPr>
        <w:pStyle w:val="Heading2"/>
        <w:spacing w:before="120" w:after="360" w:line="360" w:lineRule="auto"/>
        <w:ind w:left="0" w:firstLine="0"/>
      </w:pPr>
      <w:r w:rsidRPr="00970F20">
        <w:rPr>
          <w:i/>
        </w:rPr>
        <w:t>Migration Act 1958</w:t>
      </w:r>
    </w:p>
    <w:p w14:paraId="11B47B9F" w14:textId="24D742FF" w:rsidR="001D091B" w:rsidRPr="00970F20" w:rsidRDefault="00970F20" w:rsidP="001D091B">
      <w:pPr>
        <w:spacing w:after="120" w:line="360" w:lineRule="auto"/>
        <w:ind w:hanging="23"/>
        <w:jc w:val="center"/>
        <w:rPr>
          <w:i/>
          <w:sz w:val="24"/>
        </w:rPr>
      </w:pPr>
      <w:r w:rsidRPr="00970F20">
        <w:rPr>
          <w:b/>
          <w:sz w:val="24"/>
        </w:rPr>
        <w:t xml:space="preserve">Migration (Collection of Registration Status Charge) Instrument </w:t>
      </w:r>
      <w:r w:rsidR="00AD6833">
        <w:rPr>
          <w:b/>
          <w:sz w:val="24"/>
        </w:rPr>
        <w:t xml:space="preserve">(LIN 20/225) </w:t>
      </w:r>
      <w:r w:rsidRPr="00970F20">
        <w:rPr>
          <w:b/>
          <w:sz w:val="24"/>
        </w:rPr>
        <w:t>2020</w:t>
      </w:r>
    </w:p>
    <w:p w14:paraId="53F742AD" w14:textId="77777777" w:rsidR="001D091B" w:rsidRPr="00970F20" w:rsidRDefault="001D091B" w:rsidP="00372BB0">
      <w:pPr>
        <w:spacing w:line="360" w:lineRule="auto"/>
        <w:ind w:hanging="23"/>
        <w:jc w:val="center"/>
        <w:rPr>
          <w:i/>
        </w:rPr>
      </w:pPr>
      <w:r w:rsidRPr="00970F20">
        <w:rPr>
          <w:i/>
        </w:rPr>
        <w:t>(</w:t>
      </w:r>
      <w:proofErr w:type="gramStart"/>
      <w:r w:rsidR="00970F20" w:rsidRPr="00970F20">
        <w:rPr>
          <w:i/>
        </w:rPr>
        <w:t>subsection</w:t>
      </w:r>
      <w:proofErr w:type="gramEnd"/>
      <w:r w:rsidR="00970F20" w:rsidRPr="00970F20">
        <w:rPr>
          <w:i/>
        </w:rPr>
        <w:t xml:space="preserve"> 332A(1)</w:t>
      </w:r>
      <w:r w:rsidRPr="00970F20">
        <w:rPr>
          <w:i/>
        </w:rPr>
        <w:t>)</w:t>
      </w:r>
    </w:p>
    <w:p w14:paraId="4FC5BE5D" w14:textId="77777777" w:rsidR="001D091B" w:rsidRPr="00970F20" w:rsidRDefault="00AB5757" w:rsidP="00AD6833">
      <w:pPr>
        <w:numPr>
          <w:ilvl w:val="0"/>
          <w:numId w:val="9"/>
        </w:numPr>
        <w:spacing w:before="240" w:line="276" w:lineRule="auto"/>
        <w:ind w:left="567" w:hanging="567"/>
        <w:jc w:val="both"/>
        <w:rPr>
          <w:sz w:val="24"/>
        </w:rPr>
      </w:pPr>
      <w:r>
        <w:rPr>
          <w:sz w:val="24"/>
        </w:rPr>
        <w:t>The</w:t>
      </w:r>
      <w:r w:rsidR="00DB634D">
        <w:rPr>
          <w:sz w:val="24"/>
        </w:rPr>
        <w:t xml:space="preserve"> i</w:t>
      </w:r>
      <w:r w:rsidR="001D091B">
        <w:rPr>
          <w:sz w:val="24"/>
        </w:rPr>
        <w:t>nstrument</w:t>
      </w:r>
      <w:r w:rsidR="00DB634D">
        <w:rPr>
          <w:sz w:val="24"/>
        </w:rPr>
        <w:t>,</w:t>
      </w:r>
      <w:r w:rsidR="001D091B">
        <w:rPr>
          <w:sz w:val="24"/>
        </w:rPr>
        <w:t xml:space="preserve"> </w:t>
      </w:r>
      <w:r w:rsidR="00970F20">
        <w:rPr>
          <w:sz w:val="24"/>
        </w:rPr>
        <w:t>LIN 20/225</w:t>
      </w:r>
      <w:r w:rsidR="00DB634D" w:rsidRPr="00970F20">
        <w:rPr>
          <w:sz w:val="24"/>
        </w:rPr>
        <w:t>,</w:t>
      </w:r>
      <w:r w:rsidR="001D091B" w:rsidRPr="00970F20">
        <w:rPr>
          <w:sz w:val="24"/>
        </w:rPr>
        <w:t xml:space="preserve"> is made under </w:t>
      </w:r>
      <w:r w:rsidR="00970F20" w:rsidRPr="00970F20">
        <w:rPr>
          <w:sz w:val="24"/>
        </w:rPr>
        <w:t xml:space="preserve">subsection </w:t>
      </w:r>
      <w:proofErr w:type="gramStart"/>
      <w:r w:rsidR="00970F20" w:rsidRPr="00970F20">
        <w:rPr>
          <w:sz w:val="24"/>
        </w:rPr>
        <w:t>332A(</w:t>
      </w:r>
      <w:proofErr w:type="gramEnd"/>
      <w:r w:rsidR="00970F20" w:rsidRPr="00970F20">
        <w:rPr>
          <w:sz w:val="24"/>
        </w:rPr>
        <w:t>1)</w:t>
      </w:r>
      <w:r w:rsidR="001D091B" w:rsidRPr="00970F20">
        <w:rPr>
          <w:sz w:val="24"/>
        </w:rPr>
        <w:t xml:space="preserve"> of the </w:t>
      </w:r>
      <w:r w:rsidR="001D091B" w:rsidRPr="00970F20">
        <w:rPr>
          <w:i/>
          <w:sz w:val="24"/>
        </w:rPr>
        <w:t xml:space="preserve">Migration Act 1958 </w:t>
      </w:r>
      <w:r w:rsidR="001D091B" w:rsidRPr="00970F20">
        <w:rPr>
          <w:sz w:val="24"/>
        </w:rPr>
        <w:t>(the Act)</w:t>
      </w:r>
      <w:r w:rsidR="00970F20" w:rsidRPr="00970F20">
        <w:rPr>
          <w:sz w:val="24"/>
        </w:rPr>
        <w:t>.</w:t>
      </w:r>
    </w:p>
    <w:p w14:paraId="7024D59E" w14:textId="77777777" w:rsidR="001D091B" w:rsidRPr="00617403" w:rsidRDefault="00970F20" w:rsidP="00AD6833">
      <w:pPr>
        <w:numPr>
          <w:ilvl w:val="0"/>
          <w:numId w:val="9"/>
        </w:numPr>
        <w:spacing w:before="240" w:line="276" w:lineRule="auto"/>
        <w:ind w:left="567" w:hanging="567"/>
        <w:jc w:val="both"/>
        <w:rPr>
          <w:sz w:val="24"/>
        </w:rPr>
      </w:pPr>
      <w:r>
        <w:rPr>
          <w:sz w:val="24"/>
        </w:rPr>
        <w:t>I</w:t>
      </w:r>
      <w:r w:rsidR="001D091B">
        <w:rPr>
          <w:sz w:val="24"/>
        </w:rPr>
        <w:t>n accordance with</w:t>
      </w:r>
      <w:r w:rsidR="001D091B" w:rsidRPr="00193A68">
        <w:rPr>
          <w:sz w:val="24"/>
          <w:szCs w:val="24"/>
        </w:rPr>
        <w:t xml:space="preserve"> subsection 33(3) of the </w:t>
      </w:r>
      <w:r w:rsidR="001D091B" w:rsidRPr="00193A68">
        <w:rPr>
          <w:i/>
          <w:sz w:val="24"/>
          <w:szCs w:val="24"/>
        </w:rPr>
        <w:t>Acts Interpretation Act 1901</w:t>
      </w:r>
      <w:r>
        <w:rPr>
          <w:sz w:val="24"/>
          <w:szCs w:val="24"/>
        </w:rPr>
        <w:t xml:space="preserve"> (the AIA),</w:t>
      </w:r>
      <w:r w:rsidR="001D091B" w:rsidRPr="00193A68">
        <w:rPr>
          <w:sz w:val="24"/>
          <w:szCs w:val="24"/>
        </w:rPr>
        <w:t xml:space="preserve"> </w:t>
      </w:r>
      <w:r>
        <w:rPr>
          <w:sz w:val="24"/>
        </w:rPr>
        <w:t>the i</w:t>
      </w:r>
      <w:r w:rsidRPr="00193A68">
        <w:rPr>
          <w:sz w:val="24"/>
        </w:rPr>
        <w:t xml:space="preserve">nstrument </w:t>
      </w:r>
      <w:r w:rsidRPr="00E14E98">
        <w:rPr>
          <w:sz w:val="24"/>
        </w:rPr>
        <w:t>repeals</w:t>
      </w:r>
      <w:r w:rsidRPr="00193A68">
        <w:rPr>
          <w:sz w:val="24"/>
        </w:rPr>
        <w:t xml:space="preserve"> </w:t>
      </w:r>
      <w:r w:rsidRPr="00970F20">
        <w:rPr>
          <w:i/>
          <w:sz w:val="24"/>
          <w:szCs w:val="24"/>
        </w:rPr>
        <w:t>Determination of the Collection of the Registration Status Charge</w:t>
      </w:r>
      <w:r>
        <w:rPr>
          <w:i/>
          <w:iCs/>
          <w:sz w:val="17"/>
          <w:szCs w:val="17"/>
        </w:rPr>
        <w:t xml:space="preserve"> </w:t>
      </w:r>
      <w:r w:rsidRPr="00970F20">
        <w:rPr>
          <w:sz w:val="24"/>
        </w:rPr>
        <w:t>(IMMI 14/027) (</w:t>
      </w:r>
      <w:r w:rsidRPr="00193A68">
        <w:rPr>
          <w:sz w:val="24"/>
        </w:rPr>
        <w:t>F201</w:t>
      </w:r>
      <w:r>
        <w:rPr>
          <w:sz w:val="24"/>
        </w:rPr>
        <w:t xml:space="preserve">4L00501) made under subsection </w:t>
      </w:r>
      <w:proofErr w:type="gramStart"/>
      <w:r>
        <w:rPr>
          <w:sz w:val="24"/>
        </w:rPr>
        <w:t>332A(</w:t>
      </w:r>
      <w:proofErr w:type="gramEnd"/>
      <w:r>
        <w:rPr>
          <w:sz w:val="24"/>
        </w:rPr>
        <w:t>1) of the Act.</w:t>
      </w:r>
      <w:r>
        <w:rPr>
          <w:i/>
          <w:sz w:val="24"/>
        </w:rPr>
        <w:t xml:space="preserve"> </w:t>
      </w:r>
      <w:r w:rsidR="001D091B">
        <w:rPr>
          <w:sz w:val="24"/>
          <w:szCs w:val="24"/>
        </w:rPr>
        <w:t xml:space="preserve">Subsection 33(3) of the AIA </w:t>
      </w:r>
      <w:r w:rsidR="001D091B" w:rsidRPr="00193A68">
        <w:rPr>
          <w:sz w:val="24"/>
          <w:szCs w:val="24"/>
        </w:rPr>
        <w:t xml:space="preserve">states </w:t>
      </w:r>
      <w:r w:rsidR="001D091B">
        <w:rPr>
          <w:sz w:val="24"/>
          <w:szCs w:val="24"/>
        </w:rPr>
        <w:t xml:space="preserve">that </w:t>
      </w:r>
      <w:r w:rsidR="001D091B" w:rsidRPr="00193A68">
        <w:rPr>
          <w:sz w:val="24"/>
          <w:szCs w:val="24"/>
        </w:rPr>
        <w:t xml:space="preserve">where an Act confers a power to make, grant or issue any instrument of a legislative or administrative character, the power shall be construed as including a power exercisable in the like manner and subject to the like conditions </w:t>
      </w:r>
      <w:r w:rsidR="001D091B" w:rsidRPr="00641022">
        <w:rPr>
          <w:sz w:val="24"/>
          <w:szCs w:val="24"/>
        </w:rPr>
        <w:t xml:space="preserve">(if any) to repeal, rescind, revoke, amend, or vary </w:t>
      </w:r>
      <w:r w:rsidR="001D091B" w:rsidRPr="00617403">
        <w:rPr>
          <w:sz w:val="24"/>
          <w:szCs w:val="24"/>
        </w:rPr>
        <w:t>any such instrument.</w:t>
      </w:r>
    </w:p>
    <w:p w14:paraId="5023F473" w14:textId="77777777" w:rsidR="002D2E19" w:rsidRPr="002D2E19" w:rsidRDefault="00617403" w:rsidP="00AD6833">
      <w:pPr>
        <w:numPr>
          <w:ilvl w:val="0"/>
          <w:numId w:val="9"/>
        </w:numPr>
        <w:spacing w:before="240" w:line="276" w:lineRule="auto"/>
        <w:ind w:left="567" w:hanging="567"/>
        <w:jc w:val="both"/>
        <w:rPr>
          <w:sz w:val="24"/>
        </w:rPr>
      </w:pPr>
      <w:r w:rsidRPr="00182118">
        <w:rPr>
          <w:sz w:val="24"/>
        </w:rPr>
        <w:t>Subsection 332A(1) of the Act provides that a registration status charge is due and payable at the time worked out in accordance with a determination made, by legislative instrument, by the Migration Agents Registration Authority.</w:t>
      </w:r>
      <w:r w:rsidR="002D2E19">
        <w:rPr>
          <w:sz w:val="24"/>
        </w:rPr>
        <w:t xml:space="preserve"> </w:t>
      </w:r>
      <w:r w:rsidR="002D2E19" w:rsidRPr="002D2E19">
        <w:rPr>
          <w:sz w:val="24"/>
        </w:rPr>
        <w:t xml:space="preserve">Whilst the Act and the instrument made under subsection </w:t>
      </w:r>
      <w:proofErr w:type="gramStart"/>
      <w:r w:rsidR="002D2E19" w:rsidRPr="002D2E19">
        <w:rPr>
          <w:sz w:val="24"/>
        </w:rPr>
        <w:t>332A(</w:t>
      </w:r>
      <w:proofErr w:type="gramEnd"/>
      <w:r w:rsidR="002D2E19" w:rsidRPr="002D2E19">
        <w:rPr>
          <w:sz w:val="24"/>
        </w:rPr>
        <w:t>1) of the Act determines when a charge is to become due and payable, t</w:t>
      </w:r>
      <w:r w:rsidR="00AC14D6" w:rsidRPr="002D2E19">
        <w:rPr>
          <w:sz w:val="24"/>
        </w:rPr>
        <w:t xml:space="preserve">he imposition </w:t>
      </w:r>
      <w:r w:rsidR="002D2E19" w:rsidRPr="002D2E19">
        <w:rPr>
          <w:sz w:val="24"/>
        </w:rPr>
        <w:t>of the charge is</w:t>
      </w:r>
      <w:r w:rsidR="00AC14D6" w:rsidRPr="002D2E19">
        <w:rPr>
          <w:sz w:val="24"/>
        </w:rPr>
        <w:t xml:space="preserve"> determined under</w:t>
      </w:r>
      <w:r w:rsidR="002D2E19" w:rsidRPr="002D2E19">
        <w:rPr>
          <w:sz w:val="24"/>
        </w:rPr>
        <w:t xml:space="preserve"> section 10 of</w:t>
      </w:r>
      <w:r w:rsidR="00AC14D6" w:rsidRPr="002D2E19">
        <w:rPr>
          <w:sz w:val="24"/>
        </w:rPr>
        <w:t xml:space="preserve"> the </w:t>
      </w:r>
      <w:r w:rsidR="00AC14D6" w:rsidRPr="002D2E19">
        <w:rPr>
          <w:i/>
          <w:sz w:val="24"/>
        </w:rPr>
        <w:t>Migration Agents Registration Application Charge Act 1997</w:t>
      </w:r>
      <w:r w:rsidR="00AC14D6" w:rsidRPr="002D2E19">
        <w:rPr>
          <w:sz w:val="24"/>
        </w:rPr>
        <w:t xml:space="preserve"> (</w:t>
      </w:r>
      <w:r w:rsidR="00F7018C">
        <w:rPr>
          <w:sz w:val="24"/>
        </w:rPr>
        <w:t xml:space="preserve">the </w:t>
      </w:r>
      <w:r w:rsidR="00AC14D6" w:rsidRPr="002D2E19">
        <w:rPr>
          <w:sz w:val="24"/>
        </w:rPr>
        <w:t xml:space="preserve">MARAC Act). </w:t>
      </w:r>
    </w:p>
    <w:p w14:paraId="0E65C8E8" w14:textId="09D4E60F" w:rsidR="002D2E19" w:rsidRDefault="00AC14D6" w:rsidP="00AD6833">
      <w:pPr>
        <w:numPr>
          <w:ilvl w:val="0"/>
          <w:numId w:val="9"/>
        </w:numPr>
        <w:spacing w:before="240" w:line="276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The MARAC Act has been amended by the </w:t>
      </w:r>
      <w:r>
        <w:rPr>
          <w:i/>
          <w:sz w:val="24"/>
        </w:rPr>
        <w:t>Migration Agents Registration Application Charge Amendment (Rates of Charge) Act 2020</w:t>
      </w:r>
      <w:r>
        <w:rPr>
          <w:sz w:val="24"/>
        </w:rPr>
        <w:t xml:space="preserve"> </w:t>
      </w:r>
      <w:r w:rsidR="0098665E">
        <w:rPr>
          <w:sz w:val="24"/>
        </w:rPr>
        <w:t xml:space="preserve">which, amongst other things, repeals the definition of </w:t>
      </w:r>
      <w:r w:rsidR="0098665E">
        <w:rPr>
          <w:b/>
          <w:i/>
          <w:sz w:val="24"/>
        </w:rPr>
        <w:t>commercial basis</w:t>
      </w:r>
      <w:r>
        <w:rPr>
          <w:sz w:val="24"/>
        </w:rPr>
        <w:t xml:space="preserve">. </w:t>
      </w:r>
      <w:r w:rsidR="002D2E19">
        <w:rPr>
          <w:sz w:val="24"/>
        </w:rPr>
        <w:t>Instead, a</w:t>
      </w:r>
      <w:r w:rsidR="0098665E">
        <w:rPr>
          <w:sz w:val="24"/>
        </w:rPr>
        <w:t xml:space="preserve"> definition of </w:t>
      </w:r>
      <w:r w:rsidR="0098665E">
        <w:rPr>
          <w:b/>
          <w:i/>
          <w:sz w:val="24"/>
        </w:rPr>
        <w:t xml:space="preserve">non-commercial basis </w:t>
      </w:r>
      <w:r w:rsidR="0098665E">
        <w:rPr>
          <w:sz w:val="24"/>
        </w:rPr>
        <w:t xml:space="preserve">has been inserted to more accurately fulfil the policy intention. </w:t>
      </w:r>
      <w:r w:rsidR="00305D6F">
        <w:rPr>
          <w:sz w:val="24"/>
        </w:rPr>
        <w:t xml:space="preserve">This change has been reflected </w:t>
      </w:r>
      <w:r w:rsidR="00FE788C">
        <w:rPr>
          <w:sz w:val="24"/>
        </w:rPr>
        <w:t xml:space="preserve">in </w:t>
      </w:r>
      <w:r w:rsidR="00AD6833">
        <w:rPr>
          <w:sz w:val="24"/>
        </w:rPr>
        <w:t xml:space="preserve">the </w:t>
      </w:r>
      <w:r w:rsidR="00FE788C">
        <w:rPr>
          <w:sz w:val="24"/>
        </w:rPr>
        <w:t>new</w:t>
      </w:r>
      <w:r w:rsidR="002D2E19">
        <w:rPr>
          <w:sz w:val="24"/>
        </w:rPr>
        <w:t xml:space="preserve"> section 10 of the MARAC Act</w:t>
      </w:r>
      <w:r w:rsidR="00305D6F">
        <w:rPr>
          <w:sz w:val="24"/>
        </w:rPr>
        <w:t xml:space="preserve">, which now </w:t>
      </w:r>
      <w:r w:rsidR="002D2E19">
        <w:rPr>
          <w:sz w:val="24"/>
        </w:rPr>
        <w:t xml:space="preserve">refers to the giving of </w:t>
      </w:r>
      <w:r w:rsidR="002F5A67">
        <w:rPr>
          <w:sz w:val="24"/>
        </w:rPr>
        <w:t>‘</w:t>
      </w:r>
      <w:r w:rsidR="002D2E19">
        <w:rPr>
          <w:sz w:val="24"/>
        </w:rPr>
        <w:t>immigration assistance other</w:t>
      </w:r>
      <w:r w:rsidR="002F5A67">
        <w:rPr>
          <w:sz w:val="24"/>
        </w:rPr>
        <w:t>wise</w:t>
      </w:r>
      <w:r w:rsidR="002D2E19">
        <w:rPr>
          <w:sz w:val="24"/>
        </w:rPr>
        <w:t xml:space="preserve"> than on a non-commercial basis</w:t>
      </w:r>
      <w:r w:rsidR="002F5A67">
        <w:rPr>
          <w:sz w:val="24"/>
        </w:rPr>
        <w:t>’</w:t>
      </w:r>
      <w:r w:rsidR="002D2E19">
        <w:rPr>
          <w:sz w:val="24"/>
        </w:rPr>
        <w:t>.</w:t>
      </w:r>
    </w:p>
    <w:p w14:paraId="71D919AF" w14:textId="3C0E5895" w:rsidR="00617403" w:rsidRPr="00095334" w:rsidRDefault="00095334" w:rsidP="00AD6833">
      <w:pPr>
        <w:numPr>
          <w:ilvl w:val="0"/>
          <w:numId w:val="9"/>
        </w:numPr>
        <w:spacing w:before="240" w:line="276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As </w:t>
      </w:r>
      <w:r w:rsidR="002F5A67">
        <w:rPr>
          <w:sz w:val="24"/>
        </w:rPr>
        <w:t xml:space="preserve">the language of </w:t>
      </w:r>
      <w:r>
        <w:rPr>
          <w:sz w:val="24"/>
        </w:rPr>
        <w:t>IMMI 14/027 closely mirrored the language in section 10 of the MARAC Act, the amendment to that section</w:t>
      </w:r>
      <w:r w:rsidR="00AC14D6">
        <w:rPr>
          <w:sz w:val="24"/>
        </w:rPr>
        <w:t xml:space="preserve"> has necessitated an update to the language of the legislative instrument</w:t>
      </w:r>
      <w:r>
        <w:rPr>
          <w:sz w:val="24"/>
        </w:rPr>
        <w:t xml:space="preserve"> made</w:t>
      </w:r>
      <w:r w:rsidR="00AC14D6">
        <w:rPr>
          <w:sz w:val="24"/>
        </w:rPr>
        <w:t xml:space="preserve"> under subsection 332A(1) of the Act.</w:t>
      </w:r>
      <w:r w:rsidR="002F5A67">
        <w:rPr>
          <w:sz w:val="24"/>
        </w:rPr>
        <w:t xml:space="preserve"> The </w:t>
      </w:r>
      <w:r w:rsidR="00B006B5">
        <w:rPr>
          <w:sz w:val="24"/>
        </w:rPr>
        <w:t xml:space="preserve">new instrument, </w:t>
      </w:r>
      <w:r w:rsidR="002F5A67">
        <w:rPr>
          <w:sz w:val="24"/>
        </w:rPr>
        <w:t>LIN</w:t>
      </w:r>
      <w:r w:rsidR="00FE788C">
        <w:rPr>
          <w:sz w:val="24"/>
        </w:rPr>
        <w:t> </w:t>
      </w:r>
      <w:r w:rsidR="002F5A67">
        <w:rPr>
          <w:sz w:val="24"/>
        </w:rPr>
        <w:t>20/225</w:t>
      </w:r>
      <w:r w:rsidR="00B006B5">
        <w:rPr>
          <w:sz w:val="24"/>
        </w:rPr>
        <w:t>,</w:t>
      </w:r>
      <w:r w:rsidR="002F5A67">
        <w:rPr>
          <w:sz w:val="24"/>
        </w:rPr>
        <w:t xml:space="preserve"> ensures that the terminology used is consistent with changes made to the MARAC Act.</w:t>
      </w:r>
    </w:p>
    <w:p w14:paraId="30BB51A0" w14:textId="77777777" w:rsidR="00970F20" w:rsidRPr="002F5A67" w:rsidRDefault="005C07E5" w:rsidP="006F5F37">
      <w:pPr>
        <w:keepNext/>
        <w:keepLines/>
        <w:numPr>
          <w:ilvl w:val="0"/>
          <w:numId w:val="9"/>
        </w:numPr>
        <w:spacing w:before="240" w:line="276" w:lineRule="auto"/>
        <w:ind w:left="567" w:hanging="567"/>
        <w:jc w:val="both"/>
        <w:rPr>
          <w:sz w:val="24"/>
        </w:rPr>
      </w:pPr>
      <w:r w:rsidRPr="002F5A67">
        <w:rPr>
          <w:sz w:val="24"/>
        </w:rPr>
        <w:lastRenderedPageBreak/>
        <w:t xml:space="preserve">The purpose of the </w:t>
      </w:r>
      <w:r w:rsidR="009D0462" w:rsidRPr="002F5A67">
        <w:rPr>
          <w:sz w:val="24"/>
        </w:rPr>
        <w:t>i</w:t>
      </w:r>
      <w:r w:rsidR="00617403" w:rsidRPr="002F5A67">
        <w:rPr>
          <w:sz w:val="24"/>
        </w:rPr>
        <w:t>nstrument is to:</w:t>
      </w:r>
    </w:p>
    <w:p w14:paraId="1D373521" w14:textId="0D691A6F" w:rsidR="00617403" w:rsidRPr="002F5A67" w:rsidRDefault="00E66CFE" w:rsidP="006F5F37">
      <w:pPr>
        <w:keepNext/>
        <w:keepLines/>
        <w:numPr>
          <w:ilvl w:val="0"/>
          <w:numId w:val="16"/>
        </w:numPr>
        <w:spacing w:before="80" w:line="276" w:lineRule="auto"/>
        <w:ind w:left="1134" w:hanging="357"/>
        <w:jc w:val="both"/>
        <w:rPr>
          <w:sz w:val="24"/>
        </w:rPr>
      </w:pPr>
      <w:r>
        <w:rPr>
          <w:sz w:val="24"/>
        </w:rPr>
        <w:t>repeal</w:t>
      </w:r>
      <w:r w:rsidRPr="002F5A67">
        <w:rPr>
          <w:sz w:val="24"/>
        </w:rPr>
        <w:t xml:space="preserve"> </w:t>
      </w:r>
      <w:r w:rsidR="00617403" w:rsidRPr="002F5A67">
        <w:rPr>
          <w:sz w:val="24"/>
        </w:rPr>
        <w:t>the previous instrument, IMMI 14/027; and</w:t>
      </w:r>
    </w:p>
    <w:p w14:paraId="69FDE9D5" w14:textId="7752DABE" w:rsidR="002F5A67" w:rsidRDefault="0052458F" w:rsidP="006F5F37">
      <w:pPr>
        <w:keepNext/>
        <w:keepLines/>
        <w:numPr>
          <w:ilvl w:val="0"/>
          <w:numId w:val="16"/>
        </w:numPr>
        <w:spacing w:before="80" w:line="276" w:lineRule="auto"/>
        <w:ind w:left="1134" w:hanging="357"/>
        <w:jc w:val="both"/>
        <w:rPr>
          <w:sz w:val="24"/>
        </w:rPr>
      </w:pPr>
      <w:r w:rsidRPr="0052458F">
        <w:rPr>
          <w:sz w:val="24"/>
        </w:rPr>
        <w:t xml:space="preserve">provide that the registration status </w:t>
      </w:r>
      <w:r w:rsidR="002D2E19" w:rsidRPr="002F5A67">
        <w:rPr>
          <w:sz w:val="24"/>
        </w:rPr>
        <w:t xml:space="preserve">charge </w:t>
      </w:r>
      <w:r w:rsidR="002F5A67">
        <w:rPr>
          <w:sz w:val="24"/>
        </w:rPr>
        <w:t xml:space="preserve">imposed </w:t>
      </w:r>
      <w:r w:rsidR="002D2E19" w:rsidRPr="002F5A67">
        <w:rPr>
          <w:sz w:val="24"/>
        </w:rPr>
        <w:t xml:space="preserve">under section 10 of the MARAC Act becomes due and payable on the earlier </w:t>
      </w:r>
      <w:r w:rsidR="00AD6833">
        <w:rPr>
          <w:sz w:val="24"/>
        </w:rPr>
        <w:t xml:space="preserve">time </w:t>
      </w:r>
      <w:r w:rsidR="002D2E19" w:rsidRPr="002F5A67">
        <w:rPr>
          <w:sz w:val="24"/>
        </w:rPr>
        <w:t>of either</w:t>
      </w:r>
      <w:r w:rsidR="002F5A67">
        <w:rPr>
          <w:sz w:val="24"/>
        </w:rPr>
        <w:t>:</w:t>
      </w:r>
    </w:p>
    <w:p w14:paraId="4D008F15" w14:textId="77777777" w:rsidR="002F5A67" w:rsidRDefault="002D2E19" w:rsidP="006F5F37">
      <w:pPr>
        <w:keepNext/>
        <w:keepLines/>
        <w:numPr>
          <w:ilvl w:val="0"/>
          <w:numId w:val="19"/>
        </w:numPr>
        <w:spacing w:before="80" w:line="276" w:lineRule="auto"/>
        <w:jc w:val="both"/>
        <w:rPr>
          <w:sz w:val="24"/>
        </w:rPr>
      </w:pPr>
      <w:r w:rsidRPr="002F5A67">
        <w:rPr>
          <w:sz w:val="24"/>
        </w:rPr>
        <w:t xml:space="preserve">the registered migration agent notifying the </w:t>
      </w:r>
      <w:r w:rsidR="00287189" w:rsidRPr="002F5A67">
        <w:rPr>
          <w:sz w:val="24"/>
        </w:rPr>
        <w:t>Migration</w:t>
      </w:r>
      <w:r w:rsidRPr="002F5A67">
        <w:rPr>
          <w:sz w:val="24"/>
        </w:rPr>
        <w:t xml:space="preserve"> Agents Registration Authority that the agent has begun to give immigration assistance otherwise</w:t>
      </w:r>
      <w:r w:rsidR="002F5A67">
        <w:rPr>
          <w:sz w:val="24"/>
        </w:rPr>
        <w:t xml:space="preserve"> than on a non-commercial basis;</w:t>
      </w:r>
      <w:r w:rsidRPr="002F5A67">
        <w:rPr>
          <w:sz w:val="24"/>
        </w:rPr>
        <w:t xml:space="preserve"> or</w:t>
      </w:r>
    </w:p>
    <w:p w14:paraId="297DF864" w14:textId="77777777" w:rsidR="00095334" w:rsidRPr="002F5A67" w:rsidRDefault="002F5A67" w:rsidP="006F5F37">
      <w:pPr>
        <w:keepNext/>
        <w:keepLines/>
        <w:numPr>
          <w:ilvl w:val="0"/>
          <w:numId w:val="19"/>
        </w:numPr>
        <w:spacing w:before="80" w:line="276" w:lineRule="auto"/>
        <w:jc w:val="both"/>
        <w:rPr>
          <w:sz w:val="24"/>
        </w:rPr>
      </w:pPr>
      <w:r>
        <w:rPr>
          <w:sz w:val="24"/>
        </w:rPr>
        <w:t>the day after</w:t>
      </w:r>
      <w:r w:rsidR="002D2E19" w:rsidRPr="002F5A67">
        <w:rPr>
          <w:sz w:val="24"/>
        </w:rPr>
        <w:t xml:space="preserve"> 14 days of the agent giving immigration assistance otherwise than on a non-commercial basis</w:t>
      </w:r>
      <w:r>
        <w:rPr>
          <w:sz w:val="24"/>
        </w:rPr>
        <w:t>; and</w:t>
      </w:r>
    </w:p>
    <w:p w14:paraId="60AECD0C" w14:textId="77777777" w:rsidR="00617403" w:rsidRPr="002F5A67" w:rsidRDefault="00617403" w:rsidP="006F5F37">
      <w:pPr>
        <w:keepNext/>
        <w:keepLines/>
        <w:numPr>
          <w:ilvl w:val="0"/>
          <w:numId w:val="16"/>
        </w:numPr>
        <w:spacing w:before="80" w:line="276" w:lineRule="auto"/>
        <w:ind w:left="1134" w:hanging="357"/>
        <w:jc w:val="both"/>
        <w:rPr>
          <w:sz w:val="24"/>
        </w:rPr>
      </w:pPr>
      <w:proofErr w:type="gramStart"/>
      <w:r w:rsidRPr="002F5A67">
        <w:rPr>
          <w:sz w:val="24"/>
        </w:rPr>
        <w:t>make</w:t>
      </w:r>
      <w:proofErr w:type="gramEnd"/>
      <w:r w:rsidRPr="002F5A67">
        <w:rPr>
          <w:sz w:val="24"/>
        </w:rPr>
        <w:t xml:space="preserve"> formatting changes </w:t>
      </w:r>
      <w:r w:rsidR="00095334" w:rsidRPr="002F5A67">
        <w:rPr>
          <w:sz w:val="24"/>
        </w:rPr>
        <w:t xml:space="preserve">and </w:t>
      </w:r>
      <w:r w:rsidRPr="002F5A67">
        <w:rPr>
          <w:sz w:val="24"/>
        </w:rPr>
        <w:t>to improve readabil</w:t>
      </w:r>
      <w:r w:rsidR="002D2E19" w:rsidRPr="002F5A67">
        <w:rPr>
          <w:sz w:val="24"/>
        </w:rPr>
        <w:t>ity for users of the instrument</w:t>
      </w:r>
      <w:r w:rsidRPr="002F5A67">
        <w:rPr>
          <w:sz w:val="24"/>
        </w:rPr>
        <w:t xml:space="preserve">. </w:t>
      </w:r>
    </w:p>
    <w:p w14:paraId="2CFD3275" w14:textId="77777777" w:rsidR="00193A68" w:rsidRPr="00970F20" w:rsidRDefault="002C53C4" w:rsidP="00AD6833">
      <w:pPr>
        <w:numPr>
          <w:ilvl w:val="0"/>
          <w:numId w:val="9"/>
        </w:numPr>
        <w:spacing w:before="240" w:line="276" w:lineRule="auto"/>
        <w:ind w:left="567" w:hanging="567"/>
        <w:jc w:val="both"/>
        <w:rPr>
          <w:sz w:val="24"/>
        </w:rPr>
      </w:pPr>
      <w:r w:rsidRPr="00970F20">
        <w:rPr>
          <w:sz w:val="24"/>
        </w:rPr>
        <w:t>In accord</w:t>
      </w:r>
      <w:r w:rsidR="00BF6A03" w:rsidRPr="00970F20">
        <w:rPr>
          <w:sz w:val="24"/>
        </w:rPr>
        <w:t>ance with paragraph</w:t>
      </w:r>
      <w:r w:rsidRPr="00970F20">
        <w:rPr>
          <w:sz w:val="24"/>
        </w:rPr>
        <w:t xml:space="preserve"> </w:t>
      </w:r>
      <w:proofErr w:type="gramStart"/>
      <w:r w:rsidRPr="00970F20">
        <w:rPr>
          <w:sz w:val="24"/>
        </w:rPr>
        <w:t>15J(</w:t>
      </w:r>
      <w:proofErr w:type="gramEnd"/>
      <w:r w:rsidRPr="00970F20">
        <w:rPr>
          <w:sz w:val="24"/>
        </w:rPr>
        <w:t xml:space="preserve">2)(e) of the </w:t>
      </w:r>
      <w:r w:rsidRPr="00970F20">
        <w:rPr>
          <w:i/>
          <w:sz w:val="24"/>
        </w:rPr>
        <w:t xml:space="preserve">Legislation </w:t>
      </w:r>
      <w:r w:rsidR="00193A68" w:rsidRPr="00970F20">
        <w:rPr>
          <w:i/>
          <w:sz w:val="24"/>
        </w:rPr>
        <w:t>Act 2003</w:t>
      </w:r>
      <w:r w:rsidR="00970F20">
        <w:rPr>
          <w:sz w:val="24"/>
        </w:rPr>
        <w:t>,</w:t>
      </w:r>
      <w:r w:rsidR="00193A68" w:rsidRPr="00970F20">
        <w:rPr>
          <w:sz w:val="24"/>
        </w:rPr>
        <w:t xml:space="preserve"> consultation was not necessa</w:t>
      </w:r>
      <w:r w:rsidR="00970F20">
        <w:rPr>
          <w:sz w:val="24"/>
        </w:rPr>
        <w:t>ry. The changes made by the instrume</w:t>
      </w:r>
      <w:bookmarkStart w:id="0" w:name="_GoBack"/>
      <w:bookmarkEnd w:id="0"/>
      <w:r w:rsidR="00970F20">
        <w:rPr>
          <w:sz w:val="24"/>
        </w:rPr>
        <w:t xml:space="preserve">nt are </w:t>
      </w:r>
      <w:r w:rsidR="00193A68" w:rsidRPr="00970F20">
        <w:rPr>
          <w:sz w:val="24"/>
        </w:rPr>
        <w:t>of a minor or machinery nature and does not substantia</w:t>
      </w:r>
      <w:r w:rsidR="00970F20">
        <w:rPr>
          <w:sz w:val="24"/>
        </w:rPr>
        <w:t>lly alter existing arrangements.</w:t>
      </w:r>
    </w:p>
    <w:p w14:paraId="088577F7" w14:textId="77777777" w:rsidR="00193A68" w:rsidRPr="00970F20" w:rsidRDefault="00546F77" w:rsidP="00AD6833">
      <w:pPr>
        <w:numPr>
          <w:ilvl w:val="0"/>
          <w:numId w:val="9"/>
        </w:numPr>
        <w:tabs>
          <w:tab w:val="left" w:pos="567"/>
        </w:tabs>
        <w:spacing w:before="240" w:line="276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t xml:space="preserve">The Office of Best Practice </w:t>
      </w:r>
      <w:r w:rsidRPr="00970F20">
        <w:rPr>
          <w:sz w:val="24"/>
          <w:szCs w:val="24"/>
        </w:rPr>
        <w:t xml:space="preserve">Regulation </w:t>
      </w:r>
      <w:r w:rsidR="000D246E" w:rsidRPr="00970F20">
        <w:rPr>
          <w:sz w:val="24"/>
          <w:szCs w:val="24"/>
        </w:rPr>
        <w:t xml:space="preserve">(OBPR) </w:t>
      </w:r>
      <w:r w:rsidRPr="00970F20">
        <w:rPr>
          <w:sz w:val="24"/>
          <w:szCs w:val="24"/>
        </w:rPr>
        <w:t>has advised that a Regulat</w:t>
      </w:r>
      <w:r w:rsidR="00911D5A" w:rsidRPr="00970F20">
        <w:rPr>
          <w:sz w:val="24"/>
          <w:szCs w:val="24"/>
        </w:rPr>
        <w:t>ory</w:t>
      </w:r>
      <w:r w:rsidRPr="00970F20">
        <w:rPr>
          <w:sz w:val="24"/>
          <w:szCs w:val="24"/>
        </w:rPr>
        <w:t xml:space="preserve"> Impact Statement is not required (OBPR Reference </w:t>
      </w:r>
      <w:r w:rsidR="00970F20" w:rsidRPr="00970F20">
        <w:rPr>
          <w:sz w:val="24"/>
          <w:szCs w:val="24"/>
        </w:rPr>
        <w:t>22900</w:t>
      </w:r>
      <w:r w:rsidRPr="00970F20">
        <w:rPr>
          <w:sz w:val="24"/>
          <w:szCs w:val="24"/>
        </w:rPr>
        <w:t>)</w:t>
      </w:r>
      <w:r w:rsidR="000B29BF" w:rsidRPr="00970F20">
        <w:rPr>
          <w:sz w:val="24"/>
          <w:szCs w:val="24"/>
        </w:rPr>
        <w:t>.</w:t>
      </w:r>
    </w:p>
    <w:p w14:paraId="035800D2" w14:textId="1EB9CD5B" w:rsidR="001E219C" w:rsidRPr="00970F20" w:rsidRDefault="00BF4868" w:rsidP="00AD6833">
      <w:pPr>
        <w:numPr>
          <w:ilvl w:val="0"/>
          <w:numId w:val="9"/>
        </w:numPr>
        <w:tabs>
          <w:tab w:val="left" w:pos="567"/>
        </w:tabs>
        <w:spacing w:before="240" w:line="276" w:lineRule="auto"/>
        <w:ind w:left="567" w:hanging="567"/>
        <w:jc w:val="both"/>
        <w:rPr>
          <w:sz w:val="24"/>
          <w:szCs w:val="24"/>
        </w:rPr>
      </w:pPr>
      <w:r w:rsidRPr="00970F20">
        <w:rPr>
          <w:sz w:val="24"/>
          <w:szCs w:val="24"/>
        </w:rPr>
        <w:t xml:space="preserve">Under section 42 of the </w:t>
      </w:r>
      <w:r w:rsidR="00EF4C7D" w:rsidRPr="00970F20">
        <w:rPr>
          <w:i/>
          <w:sz w:val="24"/>
          <w:szCs w:val="24"/>
        </w:rPr>
        <w:t>Legislation</w:t>
      </w:r>
      <w:r w:rsidRPr="00970F20">
        <w:rPr>
          <w:i/>
          <w:sz w:val="24"/>
          <w:szCs w:val="24"/>
        </w:rPr>
        <w:t xml:space="preserve"> Act 2003</w:t>
      </w:r>
      <w:r w:rsidR="00193A68" w:rsidRPr="00970F20">
        <w:rPr>
          <w:sz w:val="24"/>
          <w:szCs w:val="24"/>
        </w:rPr>
        <w:t xml:space="preserve">, </w:t>
      </w:r>
      <w:r w:rsidRPr="00970F20">
        <w:rPr>
          <w:sz w:val="24"/>
          <w:szCs w:val="24"/>
        </w:rPr>
        <w:t xml:space="preserve">the </w:t>
      </w:r>
      <w:r w:rsidR="005F686B" w:rsidRPr="00970F20">
        <w:rPr>
          <w:sz w:val="24"/>
          <w:szCs w:val="24"/>
        </w:rPr>
        <w:t>i</w:t>
      </w:r>
      <w:r w:rsidRPr="00970F20">
        <w:rPr>
          <w:sz w:val="24"/>
          <w:szCs w:val="24"/>
        </w:rPr>
        <w:t xml:space="preserve">nstrument is subject to disallowance and therefore a Statement of Compatibility </w:t>
      </w:r>
      <w:r w:rsidR="00012DE8" w:rsidRPr="00970F20">
        <w:rPr>
          <w:sz w:val="24"/>
          <w:szCs w:val="24"/>
        </w:rPr>
        <w:t xml:space="preserve">with Human Rights </w:t>
      </w:r>
      <w:r w:rsidRPr="00970F20">
        <w:rPr>
          <w:sz w:val="24"/>
          <w:szCs w:val="24"/>
        </w:rPr>
        <w:t>has been provided</w:t>
      </w:r>
      <w:r w:rsidR="000304AC">
        <w:rPr>
          <w:sz w:val="24"/>
          <w:szCs w:val="24"/>
        </w:rPr>
        <w:t xml:space="preserve"> at </w:t>
      </w:r>
      <w:r w:rsidR="000304AC">
        <w:rPr>
          <w:b/>
          <w:sz w:val="24"/>
          <w:szCs w:val="24"/>
          <w:u w:val="single"/>
        </w:rPr>
        <w:t>Attachment A</w:t>
      </w:r>
      <w:r w:rsidRPr="00970F20">
        <w:rPr>
          <w:sz w:val="24"/>
          <w:szCs w:val="24"/>
        </w:rPr>
        <w:t>.</w:t>
      </w:r>
    </w:p>
    <w:p w14:paraId="622433B5" w14:textId="064903A0" w:rsidR="000304AC" w:rsidRDefault="005C07E5" w:rsidP="00AD6833">
      <w:pPr>
        <w:numPr>
          <w:ilvl w:val="0"/>
          <w:numId w:val="9"/>
        </w:numPr>
        <w:tabs>
          <w:tab w:val="left" w:pos="567"/>
        </w:tabs>
        <w:spacing w:before="360" w:line="276" w:lineRule="auto"/>
        <w:ind w:left="567" w:hanging="567"/>
        <w:jc w:val="both"/>
        <w:rPr>
          <w:sz w:val="24"/>
        </w:rPr>
      </w:pPr>
      <w:r w:rsidRPr="00970F20">
        <w:rPr>
          <w:sz w:val="24"/>
          <w:szCs w:val="24"/>
        </w:rPr>
        <w:t>The</w:t>
      </w:r>
      <w:r w:rsidRPr="00970F20">
        <w:rPr>
          <w:sz w:val="24"/>
        </w:rPr>
        <w:t xml:space="preserve"> </w:t>
      </w:r>
      <w:r w:rsidR="005F686B" w:rsidRPr="00970F20">
        <w:rPr>
          <w:sz w:val="24"/>
        </w:rPr>
        <w:t>i</w:t>
      </w:r>
      <w:r w:rsidRPr="00970F20">
        <w:rPr>
          <w:sz w:val="24"/>
        </w:rPr>
        <w:t xml:space="preserve">nstrument </w:t>
      </w:r>
      <w:r w:rsidR="00D60CC8" w:rsidRPr="00970F20">
        <w:rPr>
          <w:sz w:val="24"/>
        </w:rPr>
        <w:t xml:space="preserve">commences </w:t>
      </w:r>
      <w:r w:rsidRPr="00970F20">
        <w:rPr>
          <w:sz w:val="24"/>
        </w:rPr>
        <w:t xml:space="preserve">on </w:t>
      </w:r>
      <w:r w:rsidR="00970F20" w:rsidRPr="00970F20">
        <w:rPr>
          <w:sz w:val="24"/>
        </w:rPr>
        <w:t>15 October 2020</w:t>
      </w:r>
      <w:r w:rsidRPr="00970F20">
        <w:rPr>
          <w:sz w:val="24"/>
        </w:rPr>
        <w:t>.</w:t>
      </w:r>
    </w:p>
    <w:p w14:paraId="0E12CC54" w14:textId="77777777" w:rsidR="004E7417" w:rsidRDefault="004E7417" w:rsidP="00AD6833">
      <w:pPr>
        <w:tabs>
          <w:tab w:val="left" w:pos="345"/>
        </w:tabs>
        <w:spacing w:line="276" w:lineRule="auto"/>
        <w:ind w:right="43"/>
        <w:contextualSpacing/>
        <w:jc w:val="right"/>
        <w:rPr>
          <w:b/>
          <w:sz w:val="24"/>
          <w:szCs w:val="24"/>
          <w:u w:val="single"/>
        </w:rPr>
        <w:sectPr w:rsidR="004E7417" w:rsidSect="00C85D16">
          <w:footerReference w:type="default" r:id="rId7"/>
          <w:pgSz w:w="11906" w:h="16838"/>
          <w:pgMar w:top="1560" w:right="1416" w:bottom="1134" w:left="1418" w:header="426" w:footer="862" w:gutter="0"/>
          <w:cols w:space="720"/>
        </w:sectPr>
      </w:pPr>
    </w:p>
    <w:p w14:paraId="1744DB63" w14:textId="39A3A80A" w:rsidR="004E7417" w:rsidRPr="004E7417" w:rsidRDefault="004E7417" w:rsidP="004E7417">
      <w:pPr>
        <w:tabs>
          <w:tab w:val="left" w:pos="345"/>
        </w:tabs>
        <w:ind w:right="43"/>
        <w:contextualSpacing/>
        <w:jc w:val="right"/>
        <w:rPr>
          <w:b/>
          <w:sz w:val="24"/>
          <w:szCs w:val="24"/>
          <w:u w:val="single"/>
        </w:rPr>
      </w:pPr>
      <w:r w:rsidRPr="004E7417">
        <w:rPr>
          <w:b/>
          <w:sz w:val="24"/>
          <w:szCs w:val="24"/>
          <w:u w:val="single"/>
        </w:rPr>
        <w:lastRenderedPageBreak/>
        <w:t xml:space="preserve">ATTACHMENT </w:t>
      </w:r>
      <w:r>
        <w:rPr>
          <w:b/>
          <w:sz w:val="24"/>
          <w:szCs w:val="24"/>
          <w:u w:val="single"/>
        </w:rPr>
        <w:t>A</w:t>
      </w:r>
    </w:p>
    <w:p w14:paraId="47A1240E" w14:textId="77777777" w:rsidR="004E7417" w:rsidRPr="004E7417" w:rsidRDefault="004E7417" w:rsidP="004E7417">
      <w:pPr>
        <w:tabs>
          <w:tab w:val="left" w:pos="345"/>
        </w:tabs>
        <w:ind w:right="43"/>
        <w:contextualSpacing/>
        <w:jc w:val="right"/>
        <w:rPr>
          <w:b/>
          <w:sz w:val="24"/>
          <w:szCs w:val="24"/>
          <w:u w:val="single"/>
        </w:rPr>
      </w:pPr>
    </w:p>
    <w:p w14:paraId="0BF104AE" w14:textId="77777777" w:rsidR="004E7417" w:rsidRPr="004E7417" w:rsidRDefault="004E7417" w:rsidP="004E741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7417">
        <w:rPr>
          <w:b/>
          <w:bCs/>
          <w:sz w:val="24"/>
          <w:szCs w:val="24"/>
        </w:rPr>
        <w:t>Statement of Compatibility with Human Rights</w:t>
      </w:r>
    </w:p>
    <w:p w14:paraId="384D47A6" w14:textId="77777777" w:rsidR="004E7417" w:rsidRPr="004E7417" w:rsidRDefault="004E7417" w:rsidP="004E7417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4E7417">
        <w:rPr>
          <w:i/>
          <w:iCs/>
          <w:sz w:val="24"/>
          <w:szCs w:val="24"/>
        </w:rPr>
        <w:t>Prepared in accordance with Part 3 of the Human Rights (Parliamentary Scrutiny) Act 2011</w:t>
      </w:r>
    </w:p>
    <w:p w14:paraId="07C28D3D" w14:textId="77777777" w:rsidR="004E7417" w:rsidRPr="004E7417" w:rsidRDefault="004E7417" w:rsidP="004E7417">
      <w:pPr>
        <w:spacing w:before="240" w:after="120" w:line="360" w:lineRule="auto"/>
        <w:ind w:hanging="23"/>
        <w:jc w:val="center"/>
        <w:rPr>
          <w:i/>
          <w:sz w:val="24"/>
        </w:rPr>
      </w:pPr>
      <w:r w:rsidRPr="004E7417">
        <w:rPr>
          <w:b/>
          <w:i/>
          <w:sz w:val="24"/>
        </w:rPr>
        <w:t>Migration (LIN 20/225: Collection of Registration Status Charge) Instrument 2020</w:t>
      </w:r>
    </w:p>
    <w:p w14:paraId="4DB12025" w14:textId="77777777" w:rsidR="004E7417" w:rsidRPr="004E7417" w:rsidRDefault="004E7417" w:rsidP="004E741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7417">
        <w:rPr>
          <w:sz w:val="24"/>
          <w:szCs w:val="24"/>
        </w:rPr>
        <w:t xml:space="preserve">This Disallowable Legislative Instrument is compatible with the human rights and freedoms recognised or declared in the international instruments listed in section 3 of the </w:t>
      </w:r>
      <w:r w:rsidRPr="004E7417">
        <w:rPr>
          <w:i/>
          <w:iCs/>
          <w:sz w:val="24"/>
          <w:szCs w:val="24"/>
        </w:rPr>
        <w:t>Human Rights (Parliamentary Scrutiny) Act 2011</w:t>
      </w:r>
      <w:r w:rsidRPr="004E7417">
        <w:rPr>
          <w:sz w:val="24"/>
          <w:szCs w:val="24"/>
        </w:rPr>
        <w:t>.</w:t>
      </w:r>
    </w:p>
    <w:p w14:paraId="1F2B141E" w14:textId="77777777" w:rsidR="004E7417" w:rsidRPr="004E7417" w:rsidRDefault="004E7417" w:rsidP="004E7417">
      <w:pPr>
        <w:contextualSpacing/>
        <w:rPr>
          <w:b/>
          <w:sz w:val="24"/>
          <w:szCs w:val="24"/>
          <w:u w:val="single"/>
        </w:rPr>
      </w:pPr>
    </w:p>
    <w:p w14:paraId="52AF9339" w14:textId="77777777" w:rsidR="004E7417" w:rsidRPr="004E7417" w:rsidRDefault="004E7417" w:rsidP="004E7417">
      <w:pPr>
        <w:tabs>
          <w:tab w:val="left" w:pos="601"/>
        </w:tabs>
        <w:ind w:left="601" w:hanging="601"/>
        <w:rPr>
          <w:b/>
          <w:sz w:val="24"/>
          <w:szCs w:val="24"/>
        </w:rPr>
      </w:pPr>
      <w:r w:rsidRPr="004E7417">
        <w:rPr>
          <w:b/>
          <w:sz w:val="24"/>
          <w:szCs w:val="24"/>
        </w:rPr>
        <w:t>Overview of the Disallowable Legislative Instrument</w:t>
      </w:r>
    </w:p>
    <w:p w14:paraId="34AFC0C2" w14:textId="77777777" w:rsidR="004E7417" w:rsidRPr="004E7417" w:rsidRDefault="004E7417" w:rsidP="004E7417">
      <w:pPr>
        <w:tabs>
          <w:tab w:val="left" w:pos="601"/>
        </w:tabs>
        <w:rPr>
          <w:rFonts w:eastAsia="Calibri"/>
          <w:sz w:val="24"/>
          <w:szCs w:val="24"/>
          <w:lang w:eastAsia="en-US"/>
        </w:rPr>
      </w:pPr>
    </w:p>
    <w:p w14:paraId="55829E27" w14:textId="77777777" w:rsidR="004E7417" w:rsidRPr="004E7417" w:rsidRDefault="004E7417" w:rsidP="004E7417">
      <w:pPr>
        <w:shd w:val="clear" w:color="auto" w:fill="FFFFFF"/>
        <w:spacing w:after="240"/>
        <w:rPr>
          <w:sz w:val="24"/>
          <w:szCs w:val="24"/>
        </w:rPr>
      </w:pPr>
      <w:r w:rsidRPr="004E7417">
        <w:rPr>
          <w:sz w:val="24"/>
          <w:szCs w:val="24"/>
        </w:rPr>
        <w:t xml:space="preserve">The </w:t>
      </w:r>
      <w:r w:rsidRPr="004E7417">
        <w:rPr>
          <w:i/>
          <w:sz w:val="24"/>
          <w:szCs w:val="24"/>
        </w:rPr>
        <w:t>Migration (LIN 20/225: Collection of Registration Status Charge) Instrument 2020</w:t>
      </w:r>
      <w:r w:rsidRPr="004E7417">
        <w:rPr>
          <w:sz w:val="24"/>
          <w:szCs w:val="24"/>
        </w:rPr>
        <w:t xml:space="preserve"> (the Instrument) is made under subsection </w:t>
      </w:r>
      <w:proofErr w:type="gramStart"/>
      <w:r w:rsidRPr="004E7417">
        <w:rPr>
          <w:sz w:val="24"/>
          <w:szCs w:val="24"/>
        </w:rPr>
        <w:t>332A(</w:t>
      </w:r>
      <w:proofErr w:type="gramEnd"/>
      <w:r w:rsidRPr="004E7417">
        <w:rPr>
          <w:sz w:val="24"/>
          <w:szCs w:val="24"/>
        </w:rPr>
        <w:t xml:space="preserve">1) of the </w:t>
      </w:r>
      <w:r w:rsidRPr="004E7417">
        <w:rPr>
          <w:i/>
          <w:sz w:val="24"/>
          <w:szCs w:val="24"/>
        </w:rPr>
        <w:t>Migration Act 1958</w:t>
      </w:r>
      <w:r w:rsidRPr="004E7417">
        <w:rPr>
          <w:sz w:val="24"/>
          <w:szCs w:val="24"/>
        </w:rPr>
        <w:t xml:space="preserve">. </w:t>
      </w:r>
    </w:p>
    <w:p w14:paraId="0EFA298B" w14:textId="77777777" w:rsidR="004E7417" w:rsidRPr="004E7417" w:rsidRDefault="004E7417" w:rsidP="004E7417">
      <w:pPr>
        <w:shd w:val="clear" w:color="auto" w:fill="FFFFFF"/>
        <w:spacing w:after="240"/>
        <w:rPr>
          <w:sz w:val="24"/>
          <w:szCs w:val="24"/>
        </w:rPr>
      </w:pPr>
      <w:r w:rsidRPr="004E7417">
        <w:rPr>
          <w:sz w:val="24"/>
          <w:szCs w:val="24"/>
        </w:rPr>
        <w:t xml:space="preserve">The Instrument repeals and remakes the </w:t>
      </w:r>
      <w:r w:rsidRPr="004E7417">
        <w:rPr>
          <w:i/>
          <w:iCs/>
          <w:sz w:val="24"/>
          <w:szCs w:val="24"/>
        </w:rPr>
        <w:t xml:space="preserve">Determination of the Collection of the Registration Status Charge </w:t>
      </w:r>
      <w:r w:rsidRPr="004E7417">
        <w:rPr>
          <w:sz w:val="24"/>
          <w:szCs w:val="24"/>
        </w:rPr>
        <w:t xml:space="preserve">(IMMI 14/027), which uses terminology that has become outdated with the commencement of the amendments made by the </w:t>
      </w:r>
      <w:r w:rsidRPr="004E7417">
        <w:rPr>
          <w:i/>
          <w:sz w:val="24"/>
          <w:szCs w:val="24"/>
        </w:rPr>
        <w:t>Migration Agents Registration Application Charge Amendment (Rates of Charge) Act 2020</w:t>
      </w:r>
      <w:r w:rsidRPr="004E7417">
        <w:rPr>
          <w:sz w:val="24"/>
          <w:szCs w:val="24"/>
        </w:rPr>
        <w:t xml:space="preserve"> to the </w:t>
      </w:r>
      <w:r w:rsidRPr="004E7417">
        <w:rPr>
          <w:i/>
          <w:sz w:val="24"/>
          <w:szCs w:val="24"/>
        </w:rPr>
        <w:t>Migration Agents Registration Application Charge Act 1997</w:t>
      </w:r>
      <w:r w:rsidRPr="004E7417">
        <w:rPr>
          <w:sz w:val="24"/>
          <w:szCs w:val="24"/>
        </w:rPr>
        <w:t xml:space="preserve"> (the MARAC Act).</w:t>
      </w:r>
    </w:p>
    <w:p w14:paraId="2E187823" w14:textId="77777777" w:rsidR="004E7417" w:rsidRPr="004E7417" w:rsidRDefault="004E7417" w:rsidP="004E7417">
      <w:pPr>
        <w:shd w:val="clear" w:color="auto" w:fill="FFFFFF"/>
        <w:spacing w:after="240"/>
        <w:rPr>
          <w:sz w:val="24"/>
          <w:szCs w:val="24"/>
        </w:rPr>
      </w:pPr>
      <w:r w:rsidRPr="004E7417">
        <w:rPr>
          <w:sz w:val="24"/>
          <w:szCs w:val="24"/>
        </w:rPr>
        <w:t>The purpose of the Instrument is to:</w:t>
      </w:r>
    </w:p>
    <w:p w14:paraId="7BC5AADB" w14:textId="77777777" w:rsidR="004E7417" w:rsidRPr="004E7417" w:rsidRDefault="004E7417" w:rsidP="004E7417">
      <w:pPr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4E7417">
        <w:rPr>
          <w:sz w:val="24"/>
          <w:szCs w:val="24"/>
        </w:rPr>
        <w:t>repeal the previous instrument, IMMI 14/027; and</w:t>
      </w:r>
    </w:p>
    <w:p w14:paraId="69389316" w14:textId="77777777" w:rsidR="004E7417" w:rsidRPr="004E7417" w:rsidRDefault="004E7417" w:rsidP="004E7417">
      <w:pPr>
        <w:numPr>
          <w:ilvl w:val="0"/>
          <w:numId w:val="22"/>
        </w:numPr>
        <w:spacing w:after="120"/>
        <w:ind w:left="1134" w:hanging="357"/>
        <w:rPr>
          <w:sz w:val="24"/>
          <w:szCs w:val="24"/>
        </w:rPr>
      </w:pPr>
      <w:r w:rsidRPr="004E7417">
        <w:rPr>
          <w:sz w:val="24"/>
          <w:szCs w:val="24"/>
        </w:rPr>
        <w:t>provide that the registration status charge imposed under section 10 of the MARAC Act becomes due and payable on the earlier of either:</w:t>
      </w:r>
    </w:p>
    <w:p w14:paraId="3A6F92D3" w14:textId="77777777" w:rsidR="004E7417" w:rsidRPr="004E7417" w:rsidRDefault="004E7417" w:rsidP="004E7417">
      <w:pPr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4E7417">
        <w:rPr>
          <w:sz w:val="24"/>
          <w:szCs w:val="24"/>
        </w:rPr>
        <w:t>the registered migration agent notifying the Migration Agents Registration Authority that the agent has begun to give immigration assistance otherwise than on a non-commercial basis; or</w:t>
      </w:r>
    </w:p>
    <w:p w14:paraId="65608EB4" w14:textId="77777777" w:rsidR="004E7417" w:rsidRPr="004E7417" w:rsidRDefault="004E7417" w:rsidP="004E7417">
      <w:pPr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4E7417">
        <w:rPr>
          <w:sz w:val="24"/>
          <w:szCs w:val="24"/>
        </w:rPr>
        <w:t>the day after 14 days of the agent giving immigration assistance otherwise than on a non-commercial basis; and</w:t>
      </w:r>
    </w:p>
    <w:p w14:paraId="444F785D" w14:textId="77777777" w:rsidR="004E7417" w:rsidRPr="004E7417" w:rsidRDefault="004E7417" w:rsidP="004E7417">
      <w:pPr>
        <w:numPr>
          <w:ilvl w:val="0"/>
          <w:numId w:val="22"/>
        </w:numPr>
        <w:spacing w:after="120"/>
        <w:ind w:left="1134" w:hanging="357"/>
        <w:jc w:val="both"/>
        <w:rPr>
          <w:sz w:val="24"/>
          <w:szCs w:val="24"/>
        </w:rPr>
      </w:pPr>
      <w:proofErr w:type="gramStart"/>
      <w:r w:rsidRPr="004E7417">
        <w:rPr>
          <w:sz w:val="24"/>
          <w:szCs w:val="24"/>
        </w:rPr>
        <w:t>make</w:t>
      </w:r>
      <w:proofErr w:type="gramEnd"/>
      <w:r w:rsidRPr="004E7417">
        <w:rPr>
          <w:sz w:val="24"/>
          <w:szCs w:val="24"/>
        </w:rPr>
        <w:t xml:space="preserve"> formatting changes and to improve readability for users of the Instrument. </w:t>
      </w:r>
    </w:p>
    <w:p w14:paraId="37C973FC" w14:textId="77777777" w:rsidR="004E7417" w:rsidRPr="004E7417" w:rsidRDefault="004E7417" w:rsidP="004E741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E7417">
        <w:rPr>
          <w:color w:val="000000"/>
          <w:sz w:val="24"/>
          <w:szCs w:val="24"/>
        </w:rPr>
        <w:t>By determining when a charge is to become due and payable, the Instrument complements the MARAC Act, which provides how to determine the amount of charge payable.</w:t>
      </w:r>
    </w:p>
    <w:p w14:paraId="4673491D" w14:textId="77777777" w:rsidR="004E7417" w:rsidRPr="004E7417" w:rsidRDefault="004E7417" w:rsidP="004E741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FC8AAB6" w14:textId="77777777" w:rsidR="004E7417" w:rsidRPr="004E7417" w:rsidRDefault="004E7417" w:rsidP="004E7417">
      <w:pPr>
        <w:spacing w:after="240"/>
        <w:rPr>
          <w:sz w:val="24"/>
        </w:rPr>
      </w:pPr>
      <w:r w:rsidRPr="004E7417">
        <w:rPr>
          <w:b/>
          <w:sz w:val="24"/>
          <w:szCs w:val="24"/>
        </w:rPr>
        <w:t>Human rights implications</w:t>
      </w:r>
    </w:p>
    <w:p w14:paraId="6049E567" w14:textId="77777777" w:rsidR="004E7417" w:rsidRPr="004E7417" w:rsidRDefault="004E7417" w:rsidP="004E7417">
      <w:pPr>
        <w:spacing w:after="240"/>
        <w:rPr>
          <w:sz w:val="24"/>
        </w:rPr>
      </w:pPr>
      <w:r w:rsidRPr="004E7417">
        <w:rPr>
          <w:sz w:val="24"/>
        </w:rPr>
        <w:t>This Disallowable Legislative Instrument does not engage any of the applicable human rights or freedoms.</w:t>
      </w:r>
    </w:p>
    <w:p w14:paraId="0DF27FBB" w14:textId="77777777" w:rsidR="004E7417" w:rsidRPr="004E7417" w:rsidRDefault="004E7417" w:rsidP="004E7417">
      <w:pPr>
        <w:tabs>
          <w:tab w:val="left" w:pos="601"/>
        </w:tabs>
        <w:spacing w:after="240"/>
        <w:ind w:left="601" w:hanging="601"/>
        <w:rPr>
          <w:b/>
          <w:sz w:val="24"/>
          <w:szCs w:val="24"/>
        </w:rPr>
      </w:pPr>
      <w:r w:rsidRPr="004E7417">
        <w:rPr>
          <w:b/>
          <w:sz w:val="24"/>
          <w:szCs w:val="24"/>
        </w:rPr>
        <w:t>Conclusion</w:t>
      </w:r>
    </w:p>
    <w:p w14:paraId="2B1ADE36" w14:textId="77777777" w:rsidR="004E7417" w:rsidRPr="004E7417" w:rsidRDefault="004E7417" w:rsidP="004E7417">
      <w:pPr>
        <w:spacing w:after="240"/>
        <w:rPr>
          <w:sz w:val="24"/>
        </w:rPr>
      </w:pPr>
      <w:r w:rsidRPr="004E7417">
        <w:rPr>
          <w:sz w:val="24"/>
        </w:rPr>
        <w:t>This Disallowable Legislative Instrument is compatible with human rights as it does not raise any human rights issues.</w:t>
      </w:r>
    </w:p>
    <w:p w14:paraId="40CB76B6" w14:textId="77777777" w:rsidR="004E7417" w:rsidRPr="004E7417" w:rsidRDefault="004E7417" w:rsidP="004E7417">
      <w:pPr>
        <w:keepNext/>
        <w:keepLines/>
        <w:jc w:val="center"/>
        <w:rPr>
          <w:rFonts w:eastAsia="Calibri"/>
          <w:b/>
          <w:sz w:val="24"/>
          <w:szCs w:val="24"/>
          <w:lang w:eastAsia="en-US"/>
        </w:rPr>
      </w:pPr>
      <w:r w:rsidRPr="004E7417">
        <w:rPr>
          <w:rFonts w:eastAsia="Calibri"/>
          <w:b/>
          <w:sz w:val="24"/>
          <w:szCs w:val="24"/>
          <w:lang w:eastAsia="en-US"/>
        </w:rPr>
        <w:t>The Hon Jason Wood MP, Assistant Minister for Customs, Community Safety and Multicultural Affairs</w:t>
      </w:r>
    </w:p>
    <w:p w14:paraId="4A49A4ED" w14:textId="77777777" w:rsidR="005C07E5" w:rsidRPr="004E7417" w:rsidRDefault="005C07E5" w:rsidP="004E7417">
      <w:pPr>
        <w:tabs>
          <w:tab w:val="left" w:pos="345"/>
        </w:tabs>
        <w:ind w:right="43"/>
        <w:contextualSpacing/>
        <w:jc w:val="right"/>
        <w:rPr>
          <w:sz w:val="24"/>
          <w:szCs w:val="24"/>
        </w:rPr>
      </w:pPr>
    </w:p>
    <w:sectPr w:rsidR="005C07E5" w:rsidRPr="004E7417" w:rsidSect="004E7417">
      <w:headerReference w:type="default" r:id="rId8"/>
      <w:pgSz w:w="11906" w:h="16838"/>
      <w:pgMar w:top="1440" w:right="1418" w:bottom="1440" w:left="1418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2D143" w14:textId="77777777" w:rsidR="00342666" w:rsidRDefault="00342666">
      <w:r>
        <w:separator/>
      </w:r>
    </w:p>
  </w:endnote>
  <w:endnote w:type="continuationSeparator" w:id="0">
    <w:p w14:paraId="46AA04C0" w14:textId="77777777" w:rsidR="00342666" w:rsidRDefault="003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CC7A" w14:textId="77777777" w:rsidR="00ED38A5" w:rsidRDefault="00ED38A5" w:rsidP="00ED38A5">
    <w:pPr>
      <w:pStyle w:val="Footer"/>
      <w:pBdr>
        <w:bottom w:val="single" w:sz="12" w:space="1" w:color="auto"/>
      </w:pBdr>
      <w:jc w:val="center"/>
    </w:pPr>
  </w:p>
  <w:p w14:paraId="120C2972" w14:textId="77777777" w:rsidR="00ED38A5" w:rsidRDefault="00ED38A5" w:rsidP="00ED38A5">
    <w:pPr>
      <w:pStyle w:val="Footer"/>
      <w:spacing w:before="240"/>
      <w:jc w:val="center"/>
      <w:rPr>
        <w:i/>
      </w:rPr>
    </w:pPr>
    <w:r>
      <w:t xml:space="preserve">Explanatory Statement for </w:t>
    </w:r>
    <w:r w:rsidR="007C3F78" w:rsidRPr="007C3F78">
      <w:rPr>
        <w:i/>
      </w:rPr>
      <w:t>Migration (LIN 20/225: Collection of Registration Status Charge) Instrument 2020</w:t>
    </w:r>
  </w:p>
  <w:p w14:paraId="779EB052" w14:textId="17D23A7D" w:rsidR="00ED38A5" w:rsidRDefault="00ED38A5" w:rsidP="00ED38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5F37">
      <w:rPr>
        <w:noProof/>
      </w:rPr>
      <w:t>2</w:t>
    </w:r>
    <w:r>
      <w:rPr>
        <w:noProof/>
      </w:rPr>
      <w:fldChar w:fldCharType="end"/>
    </w:r>
  </w:p>
  <w:p w14:paraId="1DDF414D" w14:textId="77777777" w:rsidR="00ED38A5" w:rsidRDefault="00ED38A5" w:rsidP="00ED38A5">
    <w:pPr>
      <w:pStyle w:val="Footer"/>
      <w:jc w:val="center"/>
    </w:pPr>
  </w:p>
  <w:p w14:paraId="18D8DA73" w14:textId="77777777" w:rsidR="00ED38A5" w:rsidRDefault="00ED3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112D4" w14:textId="77777777" w:rsidR="00342666" w:rsidRDefault="00342666">
      <w:r>
        <w:separator/>
      </w:r>
    </w:p>
  </w:footnote>
  <w:footnote w:type="continuationSeparator" w:id="0">
    <w:p w14:paraId="08561EC3" w14:textId="77777777" w:rsidR="00342666" w:rsidRDefault="0034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65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60DB1" w14:textId="3C86D978" w:rsidR="00EC2DC7" w:rsidRDefault="004E74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981685" w14:textId="77777777" w:rsidR="00EC2DC7" w:rsidRDefault="006F5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B7E80"/>
    <w:multiLevelType w:val="hybridMultilevel"/>
    <w:tmpl w:val="2188BAB8"/>
    <w:lvl w:ilvl="0" w:tplc="0C090019">
      <w:start w:val="1"/>
      <w:numFmt w:val="lowerLetter"/>
      <w:lvlText w:val="%1."/>
      <w:lvlJc w:val="left"/>
      <w:pPr>
        <w:ind w:left="1137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857" w:hanging="360"/>
      </w:pPr>
    </w:lvl>
    <w:lvl w:ilvl="2" w:tplc="0C09001B" w:tentative="1">
      <w:start w:val="1"/>
      <w:numFmt w:val="lowerRoman"/>
      <w:lvlText w:val="%3."/>
      <w:lvlJc w:val="right"/>
      <w:pPr>
        <w:ind w:left="2577" w:hanging="180"/>
      </w:pPr>
    </w:lvl>
    <w:lvl w:ilvl="3" w:tplc="0C09000F" w:tentative="1">
      <w:start w:val="1"/>
      <w:numFmt w:val="decimal"/>
      <w:lvlText w:val="%4."/>
      <w:lvlJc w:val="left"/>
      <w:pPr>
        <w:ind w:left="3297" w:hanging="360"/>
      </w:pPr>
    </w:lvl>
    <w:lvl w:ilvl="4" w:tplc="0C090019" w:tentative="1">
      <w:start w:val="1"/>
      <w:numFmt w:val="lowerLetter"/>
      <w:lvlText w:val="%5."/>
      <w:lvlJc w:val="left"/>
      <w:pPr>
        <w:ind w:left="4017" w:hanging="360"/>
      </w:pPr>
    </w:lvl>
    <w:lvl w:ilvl="5" w:tplc="0C09001B" w:tentative="1">
      <w:start w:val="1"/>
      <w:numFmt w:val="lowerRoman"/>
      <w:lvlText w:val="%6."/>
      <w:lvlJc w:val="right"/>
      <w:pPr>
        <w:ind w:left="4737" w:hanging="180"/>
      </w:pPr>
    </w:lvl>
    <w:lvl w:ilvl="6" w:tplc="0C09000F" w:tentative="1">
      <w:start w:val="1"/>
      <w:numFmt w:val="decimal"/>
      <w:lvlText w:val="%7."/>
      <w:lvlJc w:val="left"/>
      <w:pPr>
        <w:ind w:left="5457" w:hanging="360"/>
      </w:pPr>
    </w:lvl>
    <w:lvl w:ilvl="7" w:tplc="0C090019" w:tentative="1">
      <w:start w:val="1"/>
      <w:numFmt w:val="lowerLetter"/>
      <w:lvlText w:val="%8."/>
      <w:lvlJc w:val="left"/>
      <w:pPr>
        <w:ind w:left="6177" w:hanging="360"/>
      </w:pPr>
    </w:lvl>
    <w:lvl w:ilvl="8" w:tplc="0C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35BD3"/>
    <w:multiLevelType w:val="hybridMultilevel"/>
    <w:tmpl w:val="0F50C340"/>
    <w:lvl w:ilvl="0" w:tplc="0C09001B">
      <w:start w:val="1"/>
      <w:numFmt w:val="lowerRoman"/>
      <w:lvlText w:val="%1."/>
      <w:lvlJc w:val="right"/>
      <w:pPr>
        <w:ind w:left="1845" w:hanging="360"/>
      </w:pPr>
      <w:rPr>
        <w:rFonts w:hint="default"/>
        <w:i w:val="0"/>
      </w:rPr>
    </w:lvl>
    <w:lvl w:ilvl="1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3285" w:hanging="180"/>
      </w:pPr>
    </w:lvl>
    <w:lvl w:ilvl="3" w:tplc="0C09000F" w:tentative="1">
      <w:start w:val="1"/>
      <w:numFmt w:val="decimal"/>
      <w:lvlText w:val="%4."/>
      <w:lvlJc w:val="left"/>
      <w:pPr>
        <w:ind w:left="4005" w:hanging="360"/>
      </w:pPr>
    </w:lvl>
    <w:lvl w:ilvl="4" w:tplc="0C090019" w:tentative="1">
      <w:start w:val="1"/>
      <w:numFmt w:val="lowerLetter"/>
      <w:lvlText w:val="%5."/>
      <w:lvlJc w:val="left"/>
      <w:pPr>
        <w:ind w:left="4725" w:hanging="360"/>
      </w:pPr>
    </w:lvl>
    <w:lvl w:ilvl="5" w:tplc="0C09001B" w:tentative="1">
      <w:start w:val="1"/>
      <w:numFmt w:val="lowerRoman"/>
      <w:lvlText w:val="%6."/>
      <w:lvlJc w:val="right"/>
      <w:pPr>
        <w:ind w:left="5445" w:hanging="180"/>
      </w:pPr>
    </w:lvl>
    <w:lvl w:ilvl="6" w:tplc="0C09000F" w:tentative="1">
      <w:start w:val="1"/>
      <w:numFmt w:val="decimal"/>
      <w:lvlText w:val="%7."/>
      <w:lvlJc w:val="left"/>
      <w:pPr>
        <w:ind w:left="6165" w:hanging="360"/>
      </w:pPr>
    </w:lvl>
    <w:lvl w:ilvl="7" w:tplc="0C090019" w:tentative="1">
      <w:start w:val="1"/>
      <w:numFmt w:val="lowerLetter"/>
      <w:lvlText w:val="%8."/>
      <w:lvlJc w:val="left"/>
      <w:pPr>
        <w:ind w:left="6885" w:hanging="360"/>
      </w:pPr>
    </w:lvl>
    <w:lvl w:ilvl="8" w:tplc="0C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9" w15:restartNumberingAfterBreak="0">
    <w:nsid w:val="46D810ED"/>
    <w:multiLevelType w:val="hybridMultilevel"/>
    <w:tmpl w:val="06F67328"/>
    <w:lvl w:ilvl="0" w:tplc="0C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3285" w:hanging="180"/>
      </w:pPr>
    </w:lvl>
    <w:lvl w:ilvl="3" w:tplc="0C09000F" w:tentative="1">
      <w:start w:val="1"/>
      <w:numFmt w:val="decimal"/>
      <w:lvlText w:val="%4."/>
      <w:lvlJc w:val="left"/>
      <w:pPr>
        <w:ind w:left="4005" w:hanging="360"/>
      </w:pPr>
    </w:lvl>
    <w:lvl w:ilvl="4" w:tplc="0C090019" w:tentative="1">
      <w:start w:val="1"/>
      <w:numFmt w:val="lowerLetter"/>
      <w:lvlText w:val="%5."/>
      <w:lvlJc w:val="left"/>
      <w:pPr>
        <w:ind w:left="4725" w:hanging="360"/>
      </w:pPr>
    </w:lvl>
    <w:lvl w:ilvl="5" w:tplc="0C09001B" w:tentative="1">
      <w:start w:val="1"/>
      <w:numFmt w:val="lowerRoman"/>
      <w:lvlText w:val="%6."/>
      <w:lvlJc w:val="right"/>
      <w:pPr>
        <w:ind w:left="5445" w:hanging="180"/>
      </w:pPr>
    </w:lvl>
    <w:lvl w:ilvl="6" w:tplc="0C09000F" w:tentative="1">
      <w:start w:val="1"/>
      <w:numFmt w:val="decimal"/>
      <w:lvlText w:val="%7."/>
      <w:lvlJc w:val="left"/>
      <w:pPr>
        <w:ind w:left="6165" w:hanging="360"/>
      </w:pPr>
    </w:lvl>
    <w:lvl w:ilvl="7" w:tplc="0C090019" w:tentative="1">
      <w:start w:val="1"/>
      <w:numFmt w:val="lowerLetter"/>
      <w:lvlText w:val="%8."/>
      <w:lvlJc w:val="left"/>
      <w:pPr>
        <w:ind w:left="6885" w:hanging="360"/>
      </w:pPr>
    </w:lvl>
    <w:lvl w:ilvl="8" w:tplc="0C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 w15:restartNumberingAfterBreak="0">
    <w:nsid w:val="48837B63"/>
    <w:multiLevelType w:val="hybridMultilevel"/>
    <w:tmpl w:val="A308F960"/>
    <w:lvl w:ilvl="0" w:tplc="0C090019">
      <w:start w:val="1"/>
      <w:numFmt w:val="lowerLetter"/>
      <w:lvlText w:val="%1."/>
      <w:lvlJc w:val="left"/>
      <w:pPr>
        <w:ind w:left="1845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3285" w:hanging="180"/>
      </w:pPr>
    </w:lvl>
    <w:lvl w:ilvl="3" w:tplc="0C09000F" w:tentative="1">
      <w:start w:val="1"/>
      <w:numFmt w:val="decimal"/>
      <w:lvlText w:val="%4."/>
      <w:lvlJc w:val="left"/>
      <w:pPr>
        <w:ind w:left="4005" w:hanging="360"/>
      </w:pPr>
    </w:lvl>
    <w:lvl w:ilvl="4" w:tplc="0C090019" w:tentative="1">
      <w:start w:val="1"/>
      <w:numFmt w:val="lowerLetter"/>
      <w:lvlText w:val="%5."/>
      <w:lvlJc w:val="left"/>
      <w:pPr>
        <w:ind w:left="4725" w:hanging="360"/>
      </w:pPr>
    </w:lvl>
    <w:lvl w:ilvl="5" w:tplc="0C09001B" w:tentative="1">
      <w:start w:val="1"/>
      <w:numFmt w:val="lowerRoman"/>
      <w:lvlText w:val="%6."/>
      <w:lvlJc w:val="right"/>
      <w:pPr>
        <w:ind w:left="5445" w:hanging="180"/>
      </w:pPr>
    </w:lvl>
    <w:lvl w:ilvl="6" w:tplc="0C09000F" w:tentative="1">
      <w:start w:val="1"/>
      <w:numFmt w:val="decimal"/>
      <w:lvlText w:val="%7."/>
      <w:lvlJc w:val="left"/>
      <w:pPr>
        <w:ind w:left="6165" w:hanging="360"/>
      </w:pPr>
    </w:lvl>
    <w:lvl w:ilvl="7" w:tplc="0C090019" w:tentative="1">
      <w:start w:val="1"/>
      <w:numFmt w:val="lowerLetter"/>
      <w:lvlText w:val="%8."/>
      <w:lvlJc w:val="left"/>
      <w:pPr>
        <w:ind w:left="6885" w:hanging="360"/>
      </w:pPr>
    </w:lvl>
    <w:lvl w:ilvl="8" w:tplc="0C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C85689"/>
    <w:multiLevelType w:val="hybridMultilevel"/>
    <w:tmpl w:val="2188BAB8"/>
    <w:lvl w:ilvl="0" w:tplc="0C090019">
      <w:start w:val="1"/>
      <w:numFmt w:val="lowerLetter"/>
      <w:lvlText w:val="%1."/>
      <w:lvlJc w:val="left"/>
      <w:pPr>
        <w:ind w:left="1845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2565" w:hanging="360"/>
      </w:pPr>
    </w:lvl>
    <w:lvl w:ilvl="2" w:tplc="0C09001B" w:tentative="1">
      <w:start w:val="1"/>
      <w:numFmt w:val="lowerRoman"/>
      <w:lvlText w:val="%3."/>
      <w:lvlJc w:val="right"/>
      <w:pPr>
        <w:ind w:left="3285" w:hanging="180"/>
      </w:pPr>
    </w:lvl>
    <w:lvl w:ilvl="3" w:tplc="0C09000F" w:tentative="1">
      <w:start w:val="1"/>
      <w:numFmt w:val="decimal"/>
      <w:lvlText w:val="%4."/>
      <w:lvlJc w:val="left"/>
      <w:pPr>
        <w:ind w:left="4005" w:hanging="360"/>
      </w:pPr>
    </w:lvl>
    <w:lvl w:ilvl="4" w:tplc="0C090019" w:tentative="1">
      <w:start w:val="1"/>
      <w:numFmt w:val="lowerLetter"/>
      <w:lvlText w:val="%5."/>
      <w:lvlJc w:val="left"/>
      <w:pPr>
        <w:ind w:left="4725" w:hanging="360"/>
      </w:pPr>
    </w:lvl>
    <w:lvl w:ilvl="5" w:tplc="0C09001B" w:tentative="1">
      <w:start w:val="1"/>
      <w:numFmt w:val="lowerRoman"/>
      <w:lvlText w:val="%6."/>
      <w:lvlJc w:val="right"/>
      <w:pPr>
        <w:ind w:left="5445" w:hanging="180"/>
      </w:pPr>
    </w:lvl>
    <w:lvl w:ilvl="6" w:tplc="0C09000F" w:tentative="1">
      <w:start w:val="1"/>
      <w:numFmt w:val="decimal"/>
      <w:lvlText w:val="%7."/>
      <w:lvlJc w:val="left"/>
      <w:pPr>
        <w:ind w:left="6165" w:hanging="360"/>
      </w:pPr>
    </w:lvl>
    <w:lvl w:ilvl="7" w:tplc="0C090019" w:tentative="1">
      <w:start w:val="1"/>
      <w:numFmt w:val="lowerLetter"/>
      <w:lvlText w:val="%8."/>
      <w:lvlJc w:val="left"/>
      <w:pPr>
        <w:ind w:left="6885" w:hanging="360"/>
      </w:pPr>
    </w:lvl>
    <w:lvl w:ilvl="8" w:tplc="0C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7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17"/>
  </w:num>
  <w:num w:numId="8">
    <w:abstractNumId w:val="2"/>
  </w:num>
  <w:num w:numId="9">
    <w:abstractNumId w:val="3"/>
  </w:num>
  <w:num w:numId="10">
    <w:abstractNumId w:val="14"/>
  </w:num>
  <w:num w:numId="11">
    <w:abstractNumId w:val="13"/>
  </w:num>
  <w:num w:numId="12">
    <w:abstractNumId w:val="12"/>
  </w:num>
  <w:num w:numId="13">
    <w:abstractNumId w:val="18"/>
  </w:num>
  <w:num w:numId="14">
    <w:abstractNumId w:val="5"/>
  </w:num>
  <w:num w:numId="15">
    <w:abstractNumId w:val="6"/>
  </w:num>
  <w:num w:numId="16">
    <w:abstractNumId w:val="16"/>
  </w:num>
  <w:num w:numId="17">
    <w:abstractNumId w:val="10"/>
  </w:num>
  <w:num w:numId="18">
    <w:abstractNumId w:val="9"/>
  </w:num>
  <w:num w:numId="19">
    <w:abstractNumId w:val="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12DE8"/>
    <w:rsid w:val="00025B5D"/>
    <w:rsid w:val="000304AC"/>
    <w:rsid w:val="000371B3"/>
    <w:rsid w:val="00044BC4"/>
    <w:rsid w:val="0008110A"/>
    <w:rsid w:val="000904AF"/>
    <w:rsid w:val="00095334"/>
    <w:rsid w:val="000B29BF"/>
    <w:rsid w:val="000D1E10"/>
    <w:rsid w:val="000D246E"/>
    <w:rsid w:val="000E442C"/>
    <w:rsid w:val="000F0A84"/>
    <w:rsid w:val="000F4BFC"/>
    <w:rsid w:val="00115919"/>
    <w:rsid w:val="00162BD5"/>
    <w:rsid w:val="00182118"/>
    <w:rsid w:val="001841F7"/>
    <w:rsid w:val="00186081"/>
    <w:rsid w:val="00193A68"/>
    <w:rsid w:val="001C5BF3"/>
    <w:rsid w:val="001D091B"/>
    <w:rsid w:val="001D0DD5"/>
    <w:rsid w:val="001D2FBD"/>
    <w:rsid w:val="001E219C"/>
    <w:rsid w:val="001F04E7"/>
    <w:rsid w:val="001F4EC7"/>
    <w:rsid w:val="00211A5F"/>
    <w:rsid w:val="00215DF3"/>
    <w:rsid w:val="00231FFD"/>
    <w:rsid w:val="00236827"/>
    <w:rsid w:val="00244AA0"/>
    <w:rsid w:val="00253CAF"/>
    <w:rsid w:val="0026747D"/>
    <w:rsid w:val="0027119B"/>
    <w:rsid w:val="00287189"/>
    <w:rsid w:val="002A06A8"/>
    <w:rsid w:val="002B7AF6"/>
    <w:rsid w:val="002C1AFB"/>
    <w:rsid w:val="002C53C4"/>
    <w:rsid w:val="002D2E19"/>
    <w:rsid w:val="002F5A67"/>
    <w:rsid w:val="00302251"/>
    <w:rsid w:val="00305D6F"/>
    <w:rsid w:val="00330F55"/>
    <w:rsid w:val="003348B8"/>
    <w:rsid w:val="00342666"/>
    <w:rsid w:val="0036537A"/>
    <w:rsid w:val="00372BB0"/>
    <w:rsid w:val="003769FD"/>
    <w:rsid w:val="00397982"/>
    <w:rsid w:val="003A53F3"/>
    <w:rsid w:val="003C064C"/>
    <w:rsid w:val="003C5137"/>
    <w:rsid w:val="0040336D"/>
    <w:rsid w:val="00417400"/>
    <w:rsid w:val="00426080"/>
    <w:rsid w:val="00430906"/>
    <w:rsid w:val="00465BCD"/>
    <w:rsid w:val="00474812"/>
    <w:rsid w:val="004C4B3E"/>
    <w:rsid w:val="004C6E73"/>
    <w:rsid w:val="004D6A29"/>
    <w:rsid w:val="004E7417"/>
    <w:rsid w:val="004F5740"/>
    <w:rsid w:val="0052458F"/>
    <w:rsid w:val="00542D46"/>
    <w:rsid w:val="00546F77"/>
    <w:rsid w:val="00554524"/>
    <w:rsid w:val="00567814"/>
    <w:rsid w:val="005B2BF1"/>
    <w:rsid w:val="005C07E5"/>
    <w:rsid w:val="005E22A3"/>
    <w:rsid w:val="005F686B"/>
    <w:rsid w:val="00610658"/>
    <w:rsid w:val="006146DA"/>
    <w:rsid w:val="00617403"/>
    <w:rsid w:val="00641022"/>
    <w:rsid w:val="0064639B"/>
    <w:rsid w:val="00671004"/>
    <w:rsid w:val="006C1428"/>
    <w:rsid w:val="006C22B0"/>
    <w:rsid w:val="006C508E"/>
    <w:rsid w:val="006F5F37"/>
    <w:rsid w:val="0070010D"/>
    <w:rsid w:val="007030F4"/>
    <w:rsid w:val="0071413D"/>
    <w:rsid w:val="00715E24"/>
    <w:rsid w:val="007369BE"/>
    <w:rsid w:val="0075767A"/>
    <w:rsid w:val="007A3778"/>
    <w:rsid w:val="007C3F78"/>
    <w:rsid w:val="007E0AFF"/>
    <w:rsid w:val="00843107"/>
    <w:rsid w:val="00854256"/>
    <w:rsid w:val="008A6C55"/>
    <w:rsid w:val="008C3954"/>
    <w:rsid w:val="00910C9E"/>
    <w:rsid w:val="00911D5A"/>
    <w:rsid w:val="0094678B"/>
    <w:rsid w:val="00970F20"/>
    <w:rsid w:val="0098665E"/>
    <w:rsid w:val="0099512A"/>
    <w:rsid w:val="009B2428"/>
    <w:rsid w:val="009D0462"/>
    <w:rsid w:val="009E3B49"/>
    <w:rsid w:val="00A03F71"/>
    <w:rsid w:val="00A31178"/>
    <w:rsid w:val="00A31276"/>
    <w:rsid w:val="00A40F42"/>
    <w:rsid w:val="00A4261F"/>
    <w:rsid w:val="00A905C6"/>
    <w:rsid w:val="00A9347E"/>
    <w:rsid w:val="00AB5757"/>
    <w:rsid w:val="00AC14D6"/>
    <w:rsid w:val="00AD6833"/>
    <w:rsid w:val="00AE32B0"/>
    <w:rsid w:val="00AE3D02"/>
    <w:rsid w:val="00B006B5"/>
    <w:rsid w:val="00B4152A"/>
    <w:rsid w:val="00B70E55"/>
    <w:rsid w:val="00B95124"/>
    <w:rsid w:val="00B97255"/>
    <w:rsid w:val="00BC008B"/>
    <w:rsid w:val="00BD0F5D"/>
    <w:rsid w:val="00BE62F6"/>
    <w:rsid w:val="00BF2A49"/>
    <w:rsid w:val="00BF3D6A"/>
    <w:rsid w:val="00BF4868"/>
    <w:rsid w:val="00BF6A03"/>
    <w:rsid w:val="00C00704"/>
    <w:rsid w:val="00C048BE"/>
    <w:rsid w:val="00C6050B"/>
    <w:rsid w:val="00C85D16"/>
    <w:rsid w:val="00CB5977"/>
    <w:rsid w:val="00CD3E97"/>
    <w:rsid w:val="00D22275"/>
    <w:rsid w:val="00D263E5"/>
    <w:rsid w:val="00D60CC8"/>
    <w:rsid w:val="00D838FF"/>
    <w:rsid w:val="00D85646"/>
    <w:rsid w:val="00DA476A"/>
    <w:rsid w:val="00DA4B5B"/>
    <w:rsid w:val="00DB634D"/>
    <w:rsid w:val="00DC344E"/>
    <w:rsid w:val="00E1110E"/>
    <w:rsid w:val="00E2158B"/>
    <w:rsid w:val="00E305C1"/>
    <w:rsid w:val="00E3263F"/>
    <w:rsid w:val="00E3297D"/>
    <w:rsid w:val="00E32FDC"/>
    <w:rsid w:val="00E472C4"/>
    <w:rsid w:val="00E66CFE"/>
    <w:rsid w:val="00E75779"/>
    <w:rsid w:val="00E8404A"/>
    <w:rsid w:val="00EC0201"/>
    <w:rsid w:val="00EC2CC3"/>
    <w:rsid w:val="00ED27C4"/>
    <w:rsid w:val="00ED38A5"/>
    <w:rsid w:val="00EF4C7D"/>
    <w:rsid w:val="00F20E05"/>
    <w:rsid w:val="00F21AD8"/>
    <w:rsid w:val="00F336E2"/>
    <w:rsid w:val="00F64AC1"/>
    <w:rsid w:val="00F7018C"/>
    <w:rsid w:val="00F8023B"/>
    <w:rsid w:val="00F85B02"/>
    <w:rsid w:val="00FE019F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D46C873"/>
  <w15:chartTrackingRefBased/>
  <w15:docId w15:val="{C94B4E6D-E01E-4218-A917-C8432AC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ED38A5"/>
  </w:style>
  <w:style w:type="character" w:styleId="CommentReference">
    <w:name w:val="annotation reference"/>
    <w:basedOn w:val="DefaultParagraphFont"/>
    <w:uiPriority w:val="99"/>
    <w:semiHidden/>
    <w:unhideWhenUsed/>
    <w:rsid w:val="00B4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5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52A"/>
    <w:rPr>
      <w:b/>
      <w:bCs/>
    </w:rPr>
  </w:style>
  <w:style w:type="paragraph" w:customStyle="1" w:styleId="Default">
    <w:name w:val="Default"/>
    <w:rsid w:val="000304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10">
    <w:name w:val="Body Text1_0"/>
    <w:basedOn w:val="Normal"/>
    <w:rsid w:val="000304AC"/>
    <w:pPr>
      <w:spacing w:before="24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Grace LIM</cp:lastModifiedBy>
  <cp:revision>3</cp:revision>
  <cp:lastPrinted>2005-01-12T05:51:00Z</cp:lastPrinted>
  <dcterms:created xsi:type="dcterms:W3CDTF">2020-09-20T21:36:00Z</dcterms:created>
  <dcterms:modified xsi:type="dcterms:W3CDTF">2020-09-21T00:40:00Z</dcterms:modified>
</cp:coreProperties>
</file>