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7370F" w14:textId="77777777" w:rsidR="005C07E5" w:rsidRPr="00C660FE" w:rsidRDefault="005C07E5">
      <w:pPr>
        <w:pStyle w:val="Heading1"/>
        <w:spacing w:line="360" w:lineRule="auto"/>
      </w:pPr>
      <w:r w:rsidRPr="00C660FE">
        <w:t>EXPLANATORY STATEMENT</w:t>
      </w:r>
    </w:p>
    <w:p w14:paraId="67383029" w14:textId="77777777" w:rsidR="001D091B" w:rsidRPr="00C660FE" w:rsidRDefault="001D091B" w:rsidP="001D091B">
      <w:pPr>
        <w:pStyle w:val="Heading2"/>
        <w:spacing w:before="120" w:after="360" w:line="360" w:lineRule="auto"/>
        <w:ind w:left="0" w:firstLine="0"/>
        <w:rPr>
          <w:i/>
        </w:rPr>
      </w:pPr>
      <w:r w:rsidRPr="00C660FE">
        <w:rPr>
          <w:i/>
        </w:rPr>
        <w:t>Migration Regulations 1994</w:t>
      </w:r>
    </w:p>
    <w:p w14:paraId="719C7C71" w14:textId="08D3BAE9" w:rsidR="001D091B" w:rsidRPr="00C660FE" w:rsidRDefault="00C660FE" w:rsidP="001D091B">
      <w:pPr>
        <w:spacing w:after="120" w:line="360" w:lineRule="auto"/>
        <w:ind w:hanging="23"/>
        <w:jc w:val="center"/>
        <w:rPr>
          <w:i/>
          <w:sz w:val="24"/>
        </w:rPr>
      </w:pPr>
      <w:bookmarkStart w:id="0" w:name="title"/>
      <w:r w:rsidRPr="00C660FE">
        <w:rPr>
          <w:b/>
          <w:sz w:val="24"/>
        </w:rPr>
        <w:t>Migration (LIN 20/166: Australian Values Statement for Public Interest Criterion 4019) Instrument 2020</w:t>
      </w:r>
    </w:p>
    <w:bookmarkEnd w:id="0"/>
    <w:p w14:paraId="1B5EFC4E" w14:textId="77777777" w:rsidR="001D091B" w:rsidRPr="00E927F9" w:rsidRDefault="001D091B" w:rsidP="00372BB0">
      <w:pPr>
        <w:spacing w:line="360" w:lineRule="auto"/>
        <w:ind w:hanging="23"/>
        <w:jc w:val="center"/>
        <w:rPr>
          <w:i/>
          <w:sz w:val="24"/>
          <w:szCs w:val="24"/>
        </w:rPr>
      </w:pPr>
      <w:r w:rsidRPr="00E927F9">
        <w:rPr>
          <w:i/>
          <w:sz w:val="24"/>
          <w:szCs w:val="24"/>
        </w:rPr>
        <w:t>(</w:t>
      </w:r>
      <w:r w:rsidR="00E927F9" w:rsidRPr="00E927F9">
        <w:rPr>
          <w:i/>
          <w:sz w:val="24"/>
          <w:szCs w:val="24"/>
        </w:rPr>
        <w:t>C</w:t>
      </w:r>
      <w:r w:rsidR="00C660FE" w:rsidRPr="00E927F9">
        <w:rPr>
          <w:i/>
          <w:sz w:val="24"/>
          <w:szCs w:val="24"/>
        </w:rPr>
        <w:t>lause 3.1 of Part 3 of Schedule 4</w:t>
      </w:r>
      <w:r w:rsidR="00E927F9" w:rsidRPr="00E927F9">
        <w:rPr>
          <w:i/>
          <w:sz w:val="24"/>
          <w:szCs w:val="24"/>
        </w:rPr>
        <w:t xml:space="preserve"> to the Regulations</w:t>
      </w:r>
      <w:r w:rsidRPr="00E927F9">
        <w:rPr>
          <w:i/>
          <w:sz w:val="24"/>
          <w:szCs w:val="24"/>
        </w:rPr>
        <w:t>)</w:t>
      </w:r>
    </w:p>
    <w:p w14:paraId="2601FC8D" w14:textId="73F5D9A8" w:rsidR="001D091B" w:rsidRPr="00C660FE" w:rsidRDefault="00AB5757" w:rsidP="00C660FE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4"/>
        </w:rPr>
      </w:pPr>
      <w:r w:rsidRPr="00C660FE">
        <w:rPr>
          <w:sz w:val="24"/>
        </w:rPr>
        <w:t>The</w:t>
      </w:r>
      <w:r w:rsidR="00DB634D" w:rsidRPr="00C660FE">
        <w:rPr>
          <w:sz w:val="24"/>
        </w:rPr>
        <w:t xml:space="preserve"> i</w:t>
      </w:r>
      <w:r w:rsidR="001D091B" w:rsidRPr="00C660FE">
        <w:rPr>
          <w:sz w:val="24"/>
        </w:rPr>
        <w:t>nstrument</w:t>
      </w:r>
      <w:r w:rsidR="00DB634D" w:rsidRPr="00C660FE">
        <w:rPr>
          <w:sz w:val="24"/>
        </w:rPr>
        <w:t>,</w:t>
      </w:r>
      <w:r w:rsidR="001D091B" w:rsidRPr="00C660FE">
        <w:rPr>
          <w:sz w:val="24"/>
        </w:rPr>
        <w:t xml:space="preserve"> </w:t>
      </w:r>
      <w:r w:rsidR="00DB634D" w:rsidRPr="00C660FE">
        <w:rPr>
          <w:sz w:val="24"/>
        </w:rPr>
        <w:t>LIN</w:t>
      </w:r>
      <w:r w:rsidR="007D71AF">
        <w:rPr>
          <w:sz w:val="24"/>
        </w:rPr>
        <w:t> </w:t>
      </w:r>
      <w:r w:rsidR="00C660FE" w:rsidRPr="00C660FE">
        <w:rPr>
          <w:sz w:val="24"/>
        </w:rPr>
        <w:t>20/166</w:t>
      </w:r>
      <w:r w:rsidR="00DB634D" w:rsidRPr="00C660FE">
        <w:rPr>
          <w:sz w:val="24"/>
        </w:rPr>
        <w:t>,</w:t>
      </w:r>
      <w:r w:rsidR="001D091B" w:rsidRPr="00C660FE">
        <w:rPr>
          <w:sz w:val="24"/>
        </w:rPr>
        <w:t xml:space="preserve"> </w:t>
      </w:r>
      <w:proofErr w:type="gramStart"/>
      <w:r w:rsidR="001D091B" w:rsidRPr="00C660FE">
        <w:rPr>
          <w:sz w:val="24"/>
        </w:rPr>
        <w:t>is made</w:t>
      </w:r>
      <w:proofErr w:type="gramEnd"/>
      <w:r w:rsidR="001D091B" w:rsidRPr="00C660FE">
        <w:rPr>
          <w:sz w:val="24"/>
        </w:rPr>
        <w:t xml:space="preserve"> under </w:t>
      </w:r>
      <w:r w:rsidR="007D71AF">
        <w:rPr>
          <w:sz w:val="24"/>
        </w:rPr>
        <w:t>clause 3.1 of Part 3 of Schedule </w:t>
      </w:r>
      <w:r w:rsidR="00C660FE" w:rsidRPr="00C660FE">
        <w:rPr>
          <w:sz w:val="24"/>
        </w:rPr>
        <w:t>4 to the</w:t>
      </w:r>
      <w:r w:rsidR="007D71AF">
        <w:rPr>
          <w:i/>
          <w:sz w:val="24"/>
        </w:rPr>
        <w:t xml:space="preserve"> Migration Regulations </w:t>
      </w:r>
      <w:r w:rsidR="00C660FE" w:rsidRPr="00C660FE">
        <w:rPr>
          <w:i/>
          <w:sz w:val="24"/>
        </w:rPr>
        <w:t>1994</w:t>
      </w:r>
      <w:r w:rsidR="007D71AF">
        <w:rPr>
          <w:i/>
          <w:sz w:val="24"/>
        </w:rPr>
        <w:t xml:space="preserve"> </w:t>
      </w:r>
      <w:r w:rsidR="007D71AF">
        <w:rPr>
          <w:sz w:val="24"/>
        </w:rPr>
        <w:t>(the Regulations)</w:t>
      </w:r>
      <w:r w:rsidR="001D091B" w:rsidRPr="00C660FE">
        <w:rPr>
          <w:sz w:val="24"/>
        </w:rPr>
        <w:t>.</w:t>
      </w:r>
    </w:p>
    <w:p w14:paraId="35427A40" w14:textId="5E1CC939" w:rsidR="001D091B" w:rsidRDefault="00E927F9" w:rsidP="00372BB0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4"/>
        </w:rPr>
      </w:pPr>
      <w:r>
        <w:rPr>
          <w:sz w:val="24"/>
        </w:rPr>
        <w:t>I</w:t>
      </w:r>
      <w:r w:rsidR="007D71AF">
        <w:rPr>
          <w:sz w:val="24"/>
        </w:rPr>
        <w:t>n accordance with subsection </w:t>
      </w:r>
      <w:r w:rsidRPr="00E927F9">
        <w:rPr>
          <w:sz w:val="24"/>
        </w:rPr>
        <w:t xml:space="preserve">33(3) of the </w:t>
      </w:r>
      <w:r w:rsidR="007D71AF">
        <w:rPr>
          <w:i/>
          <w:sz w:val="24"/>
        </w:rPr>
        <w:t>Acts Interpretation Act </w:t>
      </w:r>
      <w:r w:rsidRPr="00E927F9">
        <w:rPr>
          <w:i/>
          <w:sz w:val="24"/>
        </w:rPr>
        <w:t>1901</w:t>
      </w:r>
      <w:r>
        <w:rPr>
          <w:sz w:val="24"/>
        </w:rPr>
        <w:t xml:space="preserve"> (AIA), t</w:t>
      </w:r>
      <w:r w:rsidRPr="00E927F9">
        <w:rPr>
          <w:sz w:val="24"/>
        </w:rPr>
        <w:t xml:space="preserve">he instrument </w:t>
      </w:r>
      <w:r>
        <w:rPr>
          <w:sz w:val="24"/>
        </w:rPr>
        <w:t xml:space="preserve">revokes the </w:t>
      </w:r>
      <w:r w:rsidRPr="00E927F9">
        <w:rPr>
          <w:i/>
          <w:sz w:val="24"/>
        </w:rPr>
        <w:t>Australian Values</w:t>
      </w:r>
      <w:r w:rsidR="007D71AF">
        <w:rPr>
          <w:i/>
          <w:sz w:val="24"/>
        </w:rPr>
        <w:t xml:space="preserve"> Statement for Public Criterion </w:t>
      </w:r>
      <w:r w:rsidRPr="00E927F9">
        <w:rPr>
          <w:i/>
          <w:sz w:val="24"/>
        </w:rPr>
        <w:t>4019 - 2016/113</w:t>
      </w:r>
      <w:r w:rsidR="00364949">
        <w:rPr>
          <w:i/>
          <w:sz w:val="24"/>
        </w:rPr>
        <w:t xml:space="preserve"> Instrument</w:t>
      </w:r>
      <w:r>
        <w:rPr>
          <w:sz w:val="24"/>
        </w:rPr>
        <w:t xml:space="preserve"> (</w:t>
      </w:r>
      <w:r w:rsidR="007D71AF">
        <w:rPr>
          <w:sz w:val="24"/>
        </w:rPr>
        <w:t>IMMI </w:t>
      </w:r>
      <w:r w:rsidRPr="00E927F9">
        <w:rPr>
          <w:sz w:val="24"/>
        </w:rPr>
        <w:t>16/113)</w:t>
      </w:r>
      <w:r w:rsidR="00C669DB">
        <w:rPr>
          <w:sz w:val="24"/>
        </w:rPr>
        <w:t xml:space="preserve"> (F2018C00207)</w:t>
      </w:r>
      <w:r w:rsidR="007D71AF">
        <w:rPr>
          <w:sz w:val="24"/>
        </w:rPr>
        <w:t xml:space="preserve"> made under clause 3.1 of Part 3 of Schedule </w:t>
      </w:r>
      <w:r w:rsidRPr="00E927F9">
        <w:rPr>
          <w:sz w:val="24"/>
        </w:rPr>
        <w:t>4 to the Regulations</w:t>
      </w:r>
      <w:r>
        <w:rPr>
          <w:sz w:val="24"/>
        </w:rPr>
        <w:t>.</w:t>
      </w:r>
      <w:r w:rsidR="007D71AF">
        <w:rPr>
          <w:sz w:val="24"/>
        </w:rPr>
        <w:t xml:space="preserve"> Subsection </w:t>
      </w:r>
      <w:r w:rsidRPr="00E927F9">
        <w:rPr>
          <w:sz w:val="24"/>
        </w:rPr>
        <w:t xml:space="preserve">33(3) of the </w:t>
      </w:r>
      <w:r>
        <w:rPr>
          <w:sz w:val="24"/>
        </w:rPr>
        <w:t xml:space="preserve">AIA </w:t>
      </w:r>
      <w:r w:rsidRPr="00E927F9">
        <w:rPr>
          <w:sz w:val="24"/>
        </w:rPr>
        <w:t>states that where an Act confers a power to make, grant or issue any instrument of a legislative or administrative character, the power shall be construed as including a power exercisable in the like manner and subject to the like conditions (if any) to repeal, rescind, revoke, amend, or vary any such instrument.</w:t>
      </w:r>
    </w:p>
    <w:p w14:paraId="5258B899" w14:textId="089CEC29" w:rsidR="001D091B" w:rsidRDefault="00EC2CC3" w:rsidP="00372BB0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4"/>
        </w:rPr>
      </w:pPr>
      <w:r>
        <w:rPr>
          <w:sz w:val="24"/>
        </w:rPr>
        <w:t>The i</w:t>
      </w:r>
      <w:r w:rsidR="001D091B" w:rsidRPr="00193A68">
        <w:rPr>
          <w:sz w:val="24"/>
        </w:rPr>
        <w:t xml:space="preserve">nstrument operates to </w:t>
      </w:r>
      <w:r w:rsidR="000C779E">
        <w:rPr>
          <w:sz w:val="24"/>
        </w:rPr>
        <w:t>approve the values statement</w:t>
      </w:r>
      <w:r w:rsidR="006D01A2">
        <w:rPr>
          <w:sz w:val="24"/>
        </w:rPr>
        <w:t xml:space="preserve"> for the subclasses of visas specified in the instrument. </w:t>
      </w:r>
      <w:r w:rsidR="007D71AF">
        <w:rPr>
          <w:sz w:val="24"/>
        </w:rPr>
        <w:t>Part 1 of Schedule </w:t>
      </w:r>
      <w:r w:rsidR="000C779E">
        <w:rPr>
          <w:sz w:val="24"/>
        </w:rPr>
        <w:t>2</w:t>
      </w:r>
      <w:r w:rsidR="003838C1">
        <w:rPr>
          <w:sz w:val="24"/>
        </w:rPr>
        <w:t xml:space="preserve"> </w:t>
      </w:r>
      <w:r w:rsidR="00C669DB">
        <w:rPr>
          <w:sz w:val="24"/>
        </w:rPr>
        <w:t>to</w:t>
      </w:r>
      <w:r w:rsidR="003838C1">
        <w:rPr>
          <w:sz w:val="24"/>
        </w:rPr>
        <w:t xml:space="preserve"> the instrument </w:t>
      </w:r>
      <w:proofErr w:type="gramStart"/>
      <w:r w:rsidR="003838C1">
        <w:rPr>
          <w:sz w:val="24"/>
        </w:rPr>
        <w:t>is approved</w:t>
      </w:r>
      <w:proofErr w:type="gramEnd"/>
      <w:r w:rsidR="003838C1">
        <w:rPr>
          <w:sz w:val="24"/>
        </w:rPr>
        <w:t xml:space="preserve"> as the values statement for </w:t>
      </w:r>
      <w:r w:rsidR="00983008">
        <w:rPr>
          <w:sz w:val="24"/>
        </w:rPr>
        <w:t xml:space="preserve">all </w:t>
      </w:r>
      <w:r w:rsidR="003838C1">
        <w:rPr>
          <w:sz w:val="24"/>
        </w:rPr>
        <w:t>subclasses of visas</w:t>
      </w:r>
      <w:r w:rsidR="000C779E">
        <w:rPr>
          <w:sz w:val="24"/>
        </w:rPr>
        <w:t xml:space="preserve"> specified in </w:t>
      </w:r>
      <w:r w:rsidR="00364D65">
        <w:rPr>
          <w:sz w:val="24"/>
        </w:rPr>
        <w:t xml:space="preserve">tables 1 and 2 of </w:t>
      </w:r>
      <w:r w:rsidR="000C779E">
        <w:rPr>
          <w:sz w:val="24"/>
        </w:rPr>
        <w:t>Schedule 1</w:t>
      </w:r>
      <w:r w:rsidR="003838C1">
        <w:rPr>
          <w:sz w:val="24"/>
        </w:rPr>
        <w:t xml:space="preserve">. </w:t>
      </w:r>
      <w:r w:rsidR="000C779E">
        <w:rPr>
          <w:sz w:val="24"/>
        </w:rPr>
        <w:t xml:space="preserve">Both </w:t>
      </w:r>
      <w:r w:rsidR="003838C1">
        <w:rPr>
          <w:sz w:val="24"/>
        </w:rPr>
        <w:t>Part</w:t>
      </w:r>
      <w:r w:rsidR="000C779E">
        <w:rPr>
          <w:sz w:val="24"/>
        </w:rPr>
        <w:t>s 1 and</w:t>
      </w:r>
      <w:r w:rsidR="00B1422A">
        <w:rPr>
          <w:sz w:val="24"/>
        </w:rPr>
        <w:t> </w:t>
      </w:r>
      <w:r w:rsidR="007D71AF">
        <w:rPr>
          <w:sz w:val="24"/>
        </w:rPr>
        <w:t>2 of Schedule </w:t>
      </w:r>
      <w:r w:rsidR="000C779E">
        <w:rPr>
          <w:sz w:val="24"/>
        </w:rPr>
        <w:t>2</w:t>
      </w:r>
      <w:r w:rsidR="003838C1">
        <w:rPr>
          <w:sz w:val="24"/>
        </w:rPr>
        <w:t xml:space="preserve"> </w:t>
      </w:r>
      <w:r w:rsidR="000C779E">
        <w:rPr>
          <w:sz w:val="24"/>
        </w:rPr>
        <w:t xml:space="preserve">combined </w:t>
      </w:r>
      <w:proofErr w:type="gramStart"/>
      <w:r w:rsidR="00170687">
        <w:rPr>
          <w:sz w:val="24"/>
        </w:rPr>
        <w:t>are</w:t>
      </w:r>
      <w:r w:rsidR="00D06521">
        <w:rPr>
          <w:sz w:val="24"/>
        </w:rPr>
        <w:t xml:space="preserve"> approved</w:t>
      </w:r>
      <w:proofErr w:type="gramEnd"/>
      <w:r w:rsidR="00D06521">
        <w:rPr>
          <w:sz w:val="24"/>
        </w:rPr>
        <w:t xml:space="preserve"> </w:t>
      </w:r>
      <w:r w:rsidR="003838C1">
        <w:rPr>
          <w:sz w:val="24"/>
        </w:rPr>
        <w:t>as the values statement</w:t>
      </w:r>
      <w:r w:rsidR="00D06521">
        <w:rPr>
          <w:sz w:val="24"/>
        </w:rPr>
        <w:t xml:space="preserve"> for subclasses of permanent visas</w:t>
      </w:r>
      <w:r w:rsidR="000C779E">
        <w:rPr>
          <w:sz w:val="24"/>
        </w:rPr>
        <w:t xml:space="preserve"> specified in table 2 of Schedule 1</w:t>
      </w:r>
      <w:r w:rsidR="00D06521">
        <w:rPr>
          <w:sz w:val="24"/>
        </w:rPr>
        <w:t>.</w:t>
      </w:r>
    </w:p>
    <w:p w14:paraId="334E49F7" w14:textId="46BED30F" w:rsidR="00D06521" w:rsidRPr="004C4B3E" w:rsidRDefault="00114E4A" w:rsidP="00372BB0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4"/>
        </w:rPr>
      </w:pPr>
      <w:r>
        <w:rPr>
          <w:sz w:val="24"/>
        </w:rPr>
        <w:t>The</w:t>
      </w:r>
      <w:r w:rsidR="00D06521">
        <w:rPr>
          <w:sz w:val="24"/>
        </w:rPr>
        <w:t xml:space="preserve"> </w:t>
      </w:r>
      <w:r w:rsidR="000C779E">
        <w:rPr>
          <w:sz w:val="24"/>
        </w:rPr>
        <w:t>updated values statement</w:t>
      </w:r>
      <w:r>
        <w:rPr>
          <w:sz w:val="24"/>
        </w:rPr>
        <w:t xml:space="preserve"> further expands on provisions in the approved values statement</w:t>
      </w:r>
      <w:r w:rsidR="007D71AF">
        <w:rPr>
          <w:sz w:val="24"/>
        </w:rPr>
        <w:t xml:space="preserve"> in IMMI </w:t>
      </w:r>
      <w:r>
        <w:rPr>
          <w:sz w:val="24"/>
        </w:rPr>
        <w:t>16/113, particularly for those relating to freedom of religion, commitment to the rule of law, parliamentary democracy</w:t>
      </w:r>
      <w:r w:rsidR="0013659F">
        <w:rPr>
          <w:sz w:val="24"/>
        </w:rPr>
        <w:t>, a ‘fair go’ for all</w:t>
      </w:r>
      <w:r>
        <w:rPr>
          <w:sz w:val="24"/>
        </w:rPr>
        <w:t xml:space="preserve"> and equality of opportunity.</w:t>
      </w:r>
    </w:p>
    <w:p w14:paraId="30AEAD22" w14:textId="197F04EC" w:rsidR="00193A68" w:rsidRDefault="005C07E5" w:rsidP="003F176F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4"/>
        </w:rPr>
      </w:pPr>
      <w:r w:rsidRPr="00193A68">
        <w:rPr>
          <w:sz w:val="24"/>
        </w:rPr>
        <w:lastRenderedPageBreak/>
        <w:t xml:space="preserve">The purpose of the </w:t>
      </w:r>
      <w:r w:rsidR="009D0462">
        <w:rPr>
          <w:sz w:val="24"/>
        </w:rPr>
        <w:t>i</w:t>
      </w:r>
      <w:r w:rsidRPr="00193A68">
        <w:rPr>
          <w:sz w:val="24"/>
        </w:rPr>
        <w:t xml:space="preserve">nstrument is to </w:t>
      </w:r>
      <w:r w:rsidR="006D01A2" w:rsidRPr="006D01A2">
        <w:rPr>
          <w:sz w:val="24"/>
        </w:rPr>
        <w:t>update the</w:t>
      </w:r>
      <w:r w:rsidR="006D01A2">
        <w:rPr>
          <w:sz w:val="24"/>
        </w:rPr>
        <w:t xml:space="preserve"> language of the values statement </w:t>
      </w:r>
      <w:r w:rsidR="003F176F">
        <w:rPr>
          <w:sz w:val="24"/>
        </w:rPr>
        <w:t xml:space="preserve">for all visa subclasses </w:t>
      </w:r>
      <w:r w:rsidR="00170687">
        <w:rPr>
          <w:sz w:val="24"/>
        </w:rPr>
        <w:t xml:space="preserve">specified </w:t>
      </w:r>
      <w:proofErr w:type="gramStart"/>
      <w:r w:rsidR="003F176F">
        <w:rPr>
          <w:sz w:val="24"/>
        </w:rPr>
        <w:t xml:space="preserve">to </w:t>
      </w:r>
      <w:r w:rsidR="006D01A2">
        <w:rPr>
          <w:sz w:val="24"/>
        </w:rPr>
        <w:t>better reflect</w:t>
      </w:r>
      <w:proofErr w:type="gramEnd"/>
      <w:r w:rsidR="006D01A2">
        <w:rPr>
          <w:sz w:val="24"/>
        </w:rPr>
        <w:t xml:space="preserve"> the values that are important to Australian society</w:t>
      </w:r>
      <w:r w:rsidR="003F176F">
        <w:rPr>
          <w:sz w:val="24"/>
        </w:rPr>
        <w:t xml:space="preserve">. The values statement </w:t>
      </w:r>
      <w:r w:rsidR="00482243">
        <w:rPr>
          <w:sz w:val="24"/>
        </w:rPr>
        <w:t xml:space="preserve">for all visa subclasses </w:t>
      </w:r>
      <w:r w:rsidR="004243AA">
        <w:rPr>
          <w:sz w:val="24"/>
        </w:rPr>
        <w:t xml:space="preserve">specified </w:t>
      </w:r>
      <w:r w:rsidR="003F176F">
        <w:rPr>
          <w:sz w:val="24"/>
        </w:rPr>
        <w:t xml:space="preserve">includes provisions relating to compliance with the laws of Australia. In addition, the values statement for </w:t>
      </w:r>
      <w:r w:rsidR="00114E4A">
        <w:rPr>
          <w:sz w:val="24"/>
        </w:rPr>
        <w:t>specified permanent visa subclasses</w:t>
      </w:r>
      <w:r w:rsidR="003F176F">
        <w:rPr>
          <w:sz w:val="24"/>
        </w:rPr>
        <w:t xml:space="preserve"> includes</w:t>
      </w:r>
      <w:r w:rsidR="00F853AC">
        <w:rPr>
          <w:sz w:val="24"/>
        </w:rPr>
        <w:t xml:space="preserve"> </w:t>
      </w:r>
      <w:r w:rsidR="007D270A">
        <w:rPr>
          <w:sz w:val="24"/>
        </w:rPr>
        <w:t xml:space="preserve">an undertaking to make reasonable efforts to learn English, if it is not the applicant’s native language, and </w:t>
      </w:r>
      <w:r w:rsidR="00F853AC">
        <w:rPr>
          <w:sz w:val="24"/>
        </w:rPr>
        <w:t>a provision</w:t>
      </w:r>
      <w:r w:rsidR="003F176F">
        <w:rPr>
          <w:sz w:val="24"/>
        </w:rPr>
        <w:t xml:space="preserve"> relating to matters concerning Australian citizenship.</w:t>
      </w:r>
    </w:p>
    <w:p w14:paraId="2210E2E0" w14:textId="236FF5E7" w:rsidR="009D52DE" w:rsidRDefault="009D52DE" w:rsidP="00877F64">
      <w:pPr>
        <w:numPr>
          <w:ilvl w:val="0"/>
          <w:numId w:val="9"/>
        </w:numPr>
        <w:tabs>
          <w:tab w:val="left" w:pos="567"/>
        </w:tabs>
        <w:spacing w:before="24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Consultation </w:t>
      </w:r>
      <w:r w:rsidR="005F3164">
        <w:rPr>
          <w:sz w:val="24"/>
          <w:szCs w:val="24"/>
        </w:rPr>
        <w:t>on the updates to the value</w:t>
      </w:r>
      <w:bookmarkStart w:id="1" w:name="_GoBack"/>
      <w:bookmarkEnd w:id="1"/>
      <w:r w:rsidR="005F3164">
        <w:rPr>
          <w:sz w:val="24"/>
          <w:szCs w:val="24"/>
        </w:rPr>
        <w:t xml:space="preserve">s statement </w:t>
      </w:r>
      <w:proofErr w:type="gramStart"/>
      <w:r>
        <w:rPr>
          <w:sz w:val="24"/>
          <w:szCs w:val="24"/>
        </w:rPr>
        <w:t>was undertaken</w:t>
      </w:r>
      <w:proofErr w:type="gramEnd"/>
      <w:r>
        <w:rPr>
          <w:sz w:val="24"/>
          <w:szCs w:val="24"/>
        </w:rPr>
        <w:t xml:space="preserve"> before the instrument was made with </w:t>
      </w:r>
      <w:r w:rsidR="005F3164">
        <w:rPr>
          <w:sz w:val="24"/>
          <w:szCs w:val="24"/>
        </w:rPr>
        <w:t>t</w:t>
      </w:r>
      <w:r w:rsidR="008E6A20">
        <w:rPr>
          <w:sz w:val="24"/>
          <w:szCs w:val="24"/>
        </w:rPr>
        <w:t>he Attorney-General’s Department</w:t>
      </w:r>
      <w:r w:rsidR="005F3164">
        <w:rPr>
          <w:sz w:val="24"/>
          <w:szCs w:val="24"/>
        </w:rPr>
        <w:t xml:space="preserve"> (including the Australian Government Solicitor) and the Department of the Prime Minister and Cabinet.</w:t>
      </w:r>
    </w:p>
    <w:p w14:paraId="2182DE66" w14:textId="0898FFC5" w:rsidR="00193A68" w:rsidRPr="006E70ED" w:rsidRDefault="00546F77" w:rsidP="00877F64">
      <w:pPr>
        <w:numPr>
          <w:ilvl w:val="0"/>
          <w:numId w:val="9"/>
        </w:numPr>
        <w:tabs>
          <w:tab w:val="left" w:pos="567"/>
        </w:tabs>
        <w:spacing w:before="240" w:line="360" w:lineRule="auto"/>
        <w:ind w:left="567" w:hanging="567"/>
        <w:jc w:val="both"/>
        <w:rPr>
          <w:sz w:val="24"/>
          <w:szCs w:val="24"/>
        </w:rPr>
      </w:pPr>
      <w:r w:rsidRPr="00193A68">
        <w:rPr>
          <w:sz w:val="24"/>
          <w:szCs w:val="24"/>
        </w:rPr>
        <w:t xml:space="preserve">The Office of </w:t>
      </w:r>
      <w:r w:rsidRPr="006E70ED">
        <w:rPr>
          <w:sz w:val="24"/>
          <w:szCs w:val="24"/>
        </w:rPr>
        <w:t xml:space="preserve">Best Practice Regulation </w:t>
      </w:r>
      <w:r w:rsidR="000D246E" w:rsidRPr="006E70ED">
        <w:rPr>
          <w:sz w:val="24"/>
          <w:szCs w:val="24"/>
        </w:rPr>
        <w:t xml:space="preserve">(OBPR) </w:t>
      </w:r>
      <w:r w:rsidRPr="006E70ED">
        <w:rPr>
          <w:sz w:val="24"/>
          <w:szCs w:val="24"/>
        </w:rPr>
        <w:t>has advised that a Regulat</w:t>
      </w:r>
      <w:r w:rsidR="00911D5A" w:rsidRPr="006E70ED">
        <w:rPr>
          <w:sz w:val="24"/>
          <w:szCs w:val="24"/>
        </w:rPr>
        <w:t>ory</w:t>
      </w:r>
      <w:r w:rsidRPr="006E70ED">
        <w:rPr>
          <w:sz w:val="24"/>
          <w:szCs w:val="24"/>
        </w:rPr>
        <w:t xml:space="preserve"> Impact Statement is not required (OBPR Reference</w:t>
      </w:r>
      <w:r w:rsidR="007D71AF">
        <w:rPr>
          <w:sz w:val="24"/>
          <w:szCs w:val="24"/>
        </w:rPr>
        <w:t> </w:t>
      </w:r>
      <w:r w:rsidR="00877F64" w:rsidRPr="006E70ED">
        <w:rPr>
          <w:sz w:val="24"/>
          <w:szCs w:val="24"/>
        </w:rPr>
        <w:t>26004</w:t>
      </w:r>
      <w:r w:rsidR="006E70ED">
        <w:rPr>
          <w:sz w:val="24"/>
          <w:szCs w:val="24"/>
        </w:rPr>
        <w:t>)</w:t>
      </w:r>
      <w:r w:rsidR="00877F64" w:rsidRPr="006E70ED">
        <w:t>.</w:t>
      </w:r>
    </w:p>
    <w:p w14:paraId="349AAFDE" w14:textId="4B735458" w:rsidR="002A06A8" w:rsidRPr="003D579B" w:rsidRDefault="002A06A8" w:rsidP="00372BB0">
      <w:pPr>
        <w:numPr>
          <w:ilvl w:val="0"/>
          <w:numId w:val="9"/>
        </w:numPr>
        <w:tabs>
          <w:tab w:val="left" w:pos="567"/>
        </w:tabs>
        <w:spacing w:before="240" w:line="360" w:lineRule="auto"/>
        <w:ind w:left="567" w:hanging="567"/>
        <w:jc w:val="both"/>
        <w:rPr>
          <w:i/>
          <w:sz w:val="24"/>
          <w:szCs w:val="24"/>
        </w:rPr>
      </w:pPr>
      <w:r w:rsidRPr="003D579B">
        <w:rPr>
          <w:sz w:val="24"/>
          <w:szCs w:val="24"/>
        </w:rPr>
        <w:t>Under</w:t>
      </w:r>
      <w:r w:rsidR="00482243">
        <w:rPr>
          <w:sz w:val="24"/>
          <w:szCs w:val="24"/>
        </w:rPr>
        <w:t xml:space="preserve"> paragraph</w:t>
      </w:r>
      <w:r w:rsidR="007D71AF">
        <w:rPr>
          <w:sz w:val="24"/>
          <w:szCs w:val="24"/>
        </w:rPr>
        <w:t> (b) of item </w:t>
      </w:r>
      <w:r w:rsidR="00482243">
        <w:rPr>
          <w:sz w:val="24"/>
          <w:szCs w:val="24"/>
        </w:rPr>
        <w:t xml:space="preserve">20 </w:t>
      </w:r>
      <w:r w:rsidR="00EE5814">
        <w:rPr>
          <w:sz w:val="24"/>
          <w:szCs w:val="24"/>
        </w:rPr>
        <w:t xml:space="preserve">of the table in </w:t>
      </w:r>
      <w:r w:rsidR="007D71AF">
        <w:rPr>
          <w:sz w:val="24"/>
          <w:szCs w:val="24"/>
        </w:rPr>
        <w:t>section </w:t>
      </w:r>
      <w:r w:rsidRPr="003D579B">
        <w:rPr>
          <w:sz w:val="24"/>
          <w:szCs w:val="24"/>
        </w:rPr>
        <w:t xml:space="preserve">10 of the </w:t>
      </w:r>
      <w:r w:rsidRPr="003D579B">
        <w:rPr>
          <w:i/>
          <w:sz w:val="24"/>
          <w:szCs w:val="24"/>
        </w:rPr>
        <w:t>Legislation (Exemption</w:t>
      </w:r>
      <w:r w:rsidR="007D71AF">
        <w:rPr>
          <w:i/>
          <w:sz w:val="24"/>
          <w:szCs w:val="24"/>
        </w:rPr>
        <w:t>s and Other Matters) Regulation </w:t>
      </w:r>
      <w:r w:rsidRPr="003D579B">
        <w:rPr>
          <w:i/>
          <w:sz w:val="24"/>
          <w:szCs w:val="24"/>
        </w:rPr>
        <w:t>2015</w:t>
      </w:r>
      <w:r w:rsidRPr="003D579B">
        <w:rPr>
          <w:sz w:val="24"/>
          <w:szCs w:val="24"/>
        </w:rPr>
        <w:t xml:space="preserve">, the </w:t>
      </w:r>
      <w:r w:rsidR="005F686B" w:rsidRPr="003D579B">
        <w:rPr>
          <w:sz w:val="24"/>
          <w:szCs w:val="24"/>
        </w:rPr>
        <w:t>i</w:t>
      </w:r>
      <w:r w:rsidRPr="003D579B">
        <w:rPr>
          <w:sz w:val="24"/>
          <w:szCs w:val="24"/>
        </w:rPr>
        <w:t>nstrument is exempt from disallowance and therefore a Statement of Compatibility with Human Rights is not required.</w:t>
      </w:r>
    </w:p>
    <w:p w14:paraId="2D59B60F" w14:textId="35733CD5" w:rsidR="005C07E5" w:rsidRPr="003D579B" w:rsidRDefault="005C07E5" w:rsidP="001E219C">
      <w:pPr>
        <w:numPr>
          <w:ilvl w:val="0"/>
          <w:numId w:val="9"/>
        </w:numPr>
        <w:tabs>
          <w:tab w:val="left" w:pos="567"/>
        </w:tabs>
        <w:spacing w:before="360" w:line="360" w:lineRule="auto"/>
        <w:ind w:left="567" w:hanging="567"/>
        <w:jc w:val="both"/>
        <w:rPr>
          <w:sz w:val="24"/>
          <w:szCs w:val="24"/>
        </w:rPr>
      </w:pPr>
      <w:r w:rsidRPr="003D579B">
        <w:rPr>
          <w:sz w:val="24"/>
          <w:szCs w:val="24"/>
        </w:rPr>
        <w:t>The</w:t>
      </w:r>
      <w:r w:rsidRPr="003D579B">
        <w:rPr>
          <w:sz w:val="24"/>
        </w:rPr>
        <w:t xml:space="preserve"> </w:t>
      </w:r>
      <w:r w:rsidR="005F686B" w:rsidRPr="003D579B">
        <w:rPr>
          <w:sz w:val="24"/>
        </w:rPr>
        <w:t>i</w:t>
      </w:r>
      <w:r w:rsidRPr="003D579B">
        <w:rPr>
          <w:sz w:val="24"/>
        </w:rPr>
        <w:t xml:space="preserve">nstrument </w:t>
      </w:r>
      <w:r w:rsidR="00D60CC8" w:rsidRPr="003D579B">
        <w:rPr>
          <w:sz w:val="24"/>
        </w:rPr>
        <w:t xml:space="preserve">commences </w:t>
      </w:r>
      <w:r w:rsidRPr="003D579B">
        <w:rPr>
          <w:sz w:val="24"/>
        </w:rPr>
        <w:t xml:space="preserve">on </w:t>
      </w:r>
      <w:r w:rsidR="007D71AF">
        <w:rPr>
          <w:sz w:val="24"/>
        </w:rPr>
        <w:t>30 </w:t>
      </w:r>
      <w:r w:rsidR="00B1422A">
        <w:rPr>
          <w:sz w:val="24"/>
        </w:rPr>
        <w:t>October</w:t>
      </w:r>
      <w:r w:rsidR="007D71AF">
        <w:rPr>
          <w:sz w:val="24"/>
        </w:rPr>
        <w:t> </w:t>
      </w:r>
      <w:r w:rsidR="003D579B" w:rsidRPr="003D579B">
        <w:rPr>
          <w:sz w:val="24"/>
        </w:rPr>
        <w:t>2020.</w:t>
      </w:r>
    </w:p>
    <w:sectPr w:rsidR="005C07E5" w:rsidRPr="003D579B" w:rsidSect="00C85D1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60" w:right="1416" w:bottom="1134" w:left="1418" w:header="426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84ACE" w14:textId="77777777" w:rsidR="00342666" w:rsidRDefault="00342666">
      <w:r>
        <w:separator/>
      </w:r>
    </w:p>
  </w:endnote>
  <w:endnote w:type="continuationSeparator" w:id="0">
    <w:p w14:paraId="0484E27C" w14:textId="77777777" w:rsidR="00342666" w:rsidRDefault="0034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ED36" w14:textId="77777777" w:rsidR="00ED38A5" w:rsidRDefault="00ED38A5" w:rsidP="00ED38A5">
    <w:pPr>
      <w:pStyle w:val="Footer"/>
      <w:pBdr>
        <w:bottom w:val="single" w:sz="12" w:space="1" w:color="auto"/>
      </w:pBdr>
      <w:jc w:val="center"/>
    </w:pPr>
  </w:p>
  <w:p w14:paraId="0EFCE0C2" w14:textId="77777777" w:rsidR="008B4A0A" w:rsidRPr="00C660FE" w:rsidRDefault="00ED38A5" w:rsidP="001D091B">
    <w:pPr>
      <w:spacing w:after="120" w:line="360" w:lineRule="auto"/>
      <w:ind w:hanging="23"/>
      <w:jc w:val="center"/>
      <w:rPr>
        <w:i/>
        <w:sz w:val="24"/>
      </w:rPr>
    </w:pPr>
    <w:r>
      <w:t xml:space="preserve">Explanatory Statement for </w:t>
    </w:r>
    <w:r w:rsidR="00EE5814">
      <w:rPr>
        <w:i/>
      </w:rPr>
      <w:fldChar w:fldCharType="begin"/>
    </w:r>
    <w:r w:rsidR="00EE5814">
      <w:instrText xml:space="preserve"> REF title \h </w:instrText>
    </w:r>
    <w:r w:rsidR="00EE5814">
      <w:rPr>
        <w:i/>
      </w:rPr>
      <w:instrText xml:space="preserve"> \* MERGEFORMAT </w:instrText>
    </w:r>
    <w:r w:rsidR="00EE5814">
      <w:rPr>
        <w:i/>
      </w:rPr>
    </w:r>
    <w:r w:rsidR="00EE5814">
      <w:rPr>
        <w:i/>
      </w:rPr>
      <w:fldChar w:fldCharType="separate"/>
    </w:r>
    <w:r w:rsidR="008B4A0A" w:rsidRPr="008B4A0A">
      <w:rPr>
        <w:i/>
      </w:rPr>
      <w:t>Migration (LIN 20/166: Australian Values Statement for Public Interest Criterion 4019) Instrument 2020</w:t>
    </w:r>
  </w:p>
  <w:p w14:paraId="61C70E0D" w14:textId="30DE86E1" w:rsidR="00ED38A5" w:rsidRDefault="00EE5814" w:rsidP="00ED38A5">
    <w:pPr>
      <w:pStyle w:val="Footer"/>
      <w:spacing w:before="240"/>
      <w:jc w:val="center"/>
      <w:rPr>
        <w:i/>
      </w:rPr>
    </w:pPr>
    <w:r>
      <w:rPr>
        <w:i/>
      </w:rPr>
      <w:fldChar w:fldCharType="end"/>
    </w:r>
  </w:p>
  <w:p w14:paraId="2C72F5F8" w14:textId="3544EBE4" w:rsidR="00ED38A5" w:rsidRDefault="00ED38A5" w:rsidP="00ED38A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49E">
      <w:rPr>
        <w:noProof/>
      </w:rPr>
      <w:t>2</w:t>
    </w:r>
    <w:r>
      <w:rPr>
        <w:noProof/>
      </w:rPr>
      <w:fldChar w:fldCharType="end"/>
    </w:r>
  </w:p>
  <w:p w14:paraId="77F9E19D" w14:textId="77777777" w:rsidR="00ED38A5" w:rsidRDefault="00ED38A5" w:rsidP="00EE5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4DB53" w14:textId="77777777" w:rsidR="00342666" w:rsidRDefault="00342666">
      <w:r>
        <w:separator/>
      </w:r>
    </w:p>
  </w:footnote>
  <w:footnote w:type="continuationSeparator" w:id="0">
    <w:p w14:paraId="4820970B" w14:textId="77777777" w:rsidR="00342666" w:rsidRDefault="0034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AC34B" w14:textId="565E4FF4" w:rsidR="0081375D" w:rsidRDefault="00813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FB5D2" w14:textId="7B2E2592" w:rsidR="00EF7C9F" w:rsidRDefault="00EF7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5ECB" w14:textId="79CD5C64" w:rsidR="0081375D" w:rsidRDefault="00813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FFC"/>
    <w:multiLevelType w:val="hybridMultilevel"/>
    <w:tmpl w:val="40A20E0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2E3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2FA0"/>
    <w:multiLevelType w:val="multilevel"/>
    <w:tmpl w:val="688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F3EB4"/>
    <w:multiLevelType w:val="hybridMultilevel"/>
    <w:tmpl w:val="5D18D9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B3044"/>
    <w:multiLevelType w:val="hybridMultilevel"/>
    <w:tmpl w:val="070E1FB8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C0A8D"/>
    <w:multiLevelType w:val="hybridMultilevel"/>
    <w:tmpl w:val="038C5F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A4E24"/>
    <w:multiLevelType w:val="hybridMultilevel"/>
    <w:tmpl w:val="F20AF5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30128"/>
    <w:multiLevelType w:val="hybridMultilevel"/>
    <w:tmpl w:val="FC4EDDB6"/>
    <w:lvl w:ilvl="0" w:tplc="0C09000F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7" w15:restartNumberingAfterBreak="0">
    <w:nsid w:val="4E513158"/>
    <w:multiLevelType w:val="hybridMultilevel"/>
    <w:tmpl w:val="99ACD52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D92E6A"/>
    <w:multiLevelType w:val="hybridMultilevel"/>
    <w:tmpl w:val="A1E8D5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D7949"/>
    <w:multiLevelType w:val="hybridMultilevel"/>
    <w:tmpl w:val="8DC07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E1E26"/>
    <w:multiLevelType w:val="hybridMultilevel"/>
    <w:tmpl w:val="85048458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CB7796A"/>
    <w:multiLevelType w:val="singleLevel"/>
    <w:tmpl w:val="3E6ACC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F2D692E"/>
    <w:multiLevelType w:val="hybridMultilevel"/>
    <w:tmpl w:val="A42E21F4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619F9"/>
    <w:multiLevelType w:val="hybridMultilevel"/>
    <w:tmpl w:val="53D68F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9723E"/>
    <w:multiLevelType w:val="singleLevel"/>
    <w:tmpl w:val="0ED8E5EC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12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A"/>
    <w:rsid w:val="00012DE8"/>
    <w:rsid w:val="00025B5D"/>
    <w:rsid w:val="000371B3"/>
    <w:rsid w:val="0008110A"/>
    <w:rsid w:val="000904AF"/>
    <w:rsid w:val="000B29BF"/>
    <w:rsid w:val="000C779E"/>
    <w:rsid w:val="000D1E10"/>
    <w:rsid w:val="000D246E"/>
    <w:rsid w:val="000E442C"/>
    <w:rsid w:val="000F0A84"/>
    <w:rsid w:val="000F4BFC"/>
    <w:rsid w:val="00107579"/>
    <w:rsid w:val="00107AFA"/>
    <w:rsid w:val="00114E4A"/>
    <w:rsid w:val="00115919"/>
    <w:rsid w:val="0013659F"/>
    <w:rsid w:val="00162BD5"/>
    <w:rsid w:val="00170687"/>
    <w:rsid w:val="001841F7"/>
    <w:rsid w:val="00193A68"/>
    <w:rsid w:val="001C5BF3"/>
    <w:rsid w:val="001D091B"/>
    <w:rsid w:val="001D0DD5"/>
    <w:rsid w:val="001D2FBD"/>
    <w:rsid w:val="001D4630"/>
    <w:rsid w:val="001E219C"/>
    <w:rsid w:val="001F04E7"/>
    <w:rsid w:val="001F4643"/>
    <w:rsid w:val="001F4EC7"/>
    <w:rsid w:val="00215DF3"/>
    <w:rsid w:val="00231FFD"/>
    <w:rsid w:val="00236827"/>
    <w:rsid w:val="00244AA0"/>
    <w:rsid w:val="00253185"/>
    <w:rsid w:val="00253CAF"/>
    <w:rsid w:val="0026747D"/>
    <w:rsid w:val="0027119B"/>
    <w:rsid w:val="002A06A8"/>
    <w:rsid w:val="002B7AF6"/>
    <w:rsid w:val="002C1AFB"/>
    <w:rsid w:val="002C53C4"/>
    <w:rsid w:val="00302251"/>
    <w:rsid w:val="00330F55"/>
    <w:rsid w:val="003348B8"/>
    <w:rsid w:val="00342666"/>
    <w:rsid w:val="00364949"/>
    <w:rsid w:val="00364D65"/>
    <w:rsid w:val="0036537A"/>
    <w:rsid w:val="00372BB0"/>
    <w:rsid w:val="00376601"/>
    <w:rsid w:val="003838C1"/>
    <w:rsid w:val="00397982"/>
    <w:rsid w:val="003A53F3"/>
    <w:rsid w:val="003C5137"/>
    <w:rsid w:val="003D579B"/>
    <w:rsid w:val="003F176F"/>
    <w:rsid w:val="00417400"/>
    <w:rsid w:val="004224F1"/>
    <w:rsid w:val="004243AA"/>
    <w:rsid w:val="00430906"/>
    <w:rsid w:val="0044580D"/>
    <w:rsid w:val="00465BCD"/>
    <w:rsid w:val="0047249E"/>
    <w:rsid w:val="00474812"/>
    <w:rsid w:val="00482243"/>
    <w:rsid w:val="004C4B3E"/>
    <w:rsid w:val="004C6632"/>
    <w:rsid w:val="004C6E73"/>
    <w:rsid w:val="004D6A29"/>
    <w:rsid w:val="004F5740"/>
    <w:rsid w:val="00542D46"/>
    <w:rsid w:val="00546F77"/>
    <w:rsid w:val="00554524"/>
    <w:rsid w:val="00565F5E"/>
    <w:rsid w:val="00567814"/>
    <w:rsid w:val="005B2BF1"/>
    <w:rsid w:val="005C07E5"/>
    <w:rsid w:val="005E22A3"/>
    <w:rsid w:val="005F3164"/>
    <w:rsid w:val="005F686B"/>
    <w:rsid w:val="005F7AC9"/>
    <w:rsid w:val="00610658"/>
    <w:rsid w:val="006146DA"/>
    <w:rsid w:val="00622398"/>
    <w:rsid w:val="00641022"/>
    <w:rsid w:val="0064639B"/>
    <w:rsid w:val="00671004"/>
    <w:rsid w:val="006C1428"/>
    <w:rsid w:val="006C22B0"/>
    <w:rsid w:val="006C508E"/>
    <w:rsid w:val="006D01A2"/>
    <w:rsid w:val="006D0B64"/>
    <w:rsid w:val="006E70ED"/>
    <w:rsid w:val="0070010D"/>
    <w:rsid w:val="007030F4"/>
    <w:rsid w:val="0071413D"/>
    <w:rsid w:val="00715E24"/>
    <w:rsid w:val="007369BE"/>
    <w:rsid w:val="007A0D62"/>
    <w:rsid w:val="007A3F19"/>
    <w:rsid w:val="007D270A"/>
    <w:rsid w:val="007D71AF"/>
    <w:rsid w:val="007E0AFF"/>
    <w:rsid w:val="007E3943"/>
    <w:rsid w:val="008011F7"/>
    <w:rsid w:val="0081375D"/>
    <w:rsid w:val="00843107"/>
    <w:rsid w:val="00854256"/>
    <w:rsid w:val="00877F64"/>
    <w:rsid w:val="008B4A0A"/>
    <w:rsid w:val="008C3954"/>
    <w:rsid w:val="008E6A20"/>
    <w:rsid w:val="00911D5A"/>
    <w:rsid w:val="0094678B"/>
    <w:rsid w:val="00983008"/>
    <w:rsid w:val="009B2428"/>
    <w:rsid w:val="009D0462"/>
    <w:rsid w:val="009D52DE"/>
    <w:rsid w:val="009E3B49"/>
    <w:rsid w:val="00A03F71"/>
    <w:rsid w:val="00A31178"/>
    <w:rsid w:val="00A31276"/>
    <w:rsid w:val="00A40F42"/>
    <w:rsid w:val="00A4261F"/>
    <w:rsid w:val="00A905C6"/>
    <w:rsid w:val="00A9347E"/>
    <w:rsid w:val="00AB5723"/>
    <w:rsid w:val="00AB5757"/>
    <w:rsid w:val="00AE32B0"/>
    <w:rsid w:val="00AE3D02"/>
    <w:rsid w:val="00B1422A"/>
    <w:rsid w:val="00B70E55"/>
    <w:rsid w:val="00B95124"/>
    <w:rsid w:val="00B97255"/>
    <w:rsid w:val="00BB774F"/>
    <w:rsid w:val="00BC008B"/>
    <w:rsid w:val="00BE62F6"/>
    <w:rsid w:val="00BF2A49"/>
    <w:rsid w:val="00BF3D6A"/>
    <w:rsid w:val="00BF4868"/>
    <w:rsid w:val="00BF6A03"/>
    <w:rsid w:val="00C048BE"/>
    <w:rsid w:val="00C6050B"/>
    <w:rsid w:val="00C660FE"/>
    <w:rsid w:val="00C669DB"/>
    <w:rsid w:val="00C85D16"/>
    <w:rsid w:val="00CB5977"/>
    <w:rsid w:val="00CD3E97"/>
    <w:rsid w:val="00D06521"/>
    <w:rsid w:val="00D22275"/>
    <w:rsid w:val="00D263E5"/>
    <w:rsid w:val="00D60CC8"/>
    <w:rsid w:val="00D838FF"/>
    <w:rsid w:val="00D85646"/>
    <w:rsid w:val="00D92F08"/>
    <w:rsid w:val="00DA476A"/>
    <w:rsid w:val="00DA4B5B"/>
    <w:rsid w:val="00DB634D"/>
    <w:rsid w:val="00DC344E"/>
    <w:rsid w:val="00E1110E"/>
    <w:rsid w:val="00E2158B"/>
    <w:rsid w:val="00E23DCE"/>
    <w:rsid w:val="00E3263F"/>
    <w:rsid w:val="00E3297D"/>
    <w:rsid w:val="00E32FDC"/>
    <w:rsid w:val="00E472C4"/>
    <w:rsid w:val="00E8404A"/>
    <w:rsid w:val="00E927F9"/>
    <w:rsid w:val="00EA4639"/>
    <w:rsid w:val="00EC0201"/>
    <w:rsid w:val="00EC2CC3"/>
    <w:rsid w:val="00ED27C4"/>
    <w:rsid w:val="00ED38A5"/>
    <w:rsid w:val="00EE5814"/>
    <w:rsid w:val="00EF4C7D"/>
    <w:rsid w:val="00EF7C9F"/>
    <w:rsid w:val="00F20E05"/>
    <w:rsid w:val="00F21AD8"/>
    <w:rsid w:val="00F336E2"/>
    <w:rsid w:val="00F64AC1"/>
    <w:rsid w:val="00F72657"/>
    <w:rsid w:val="00F853AC"/>
    <w:rsid w:val="00F85B02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ecimalSymbol w:val="."/>
  <w:listSeparator w:val=","/>
  <w14:docId w14:val="0EAEE9C7"/>
  <w15:chartTrackingRefBased/>
  <w15:docId w15:val="{5D3BF198-2D92-47C6-BAEA-7A194CB1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1440" w:hanging="144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440" w:hanging="1440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hanging="22"/>
      <w:jc w:val="both"/>
    </w:pPr>
    <w:rPr>
      <w:sz w:val="24"/>
    </w:rPr>
  </w:style>
  <w:style w:type="paragraph" w:styleId="BodyTextIndent2">
    <w:name w:val="Body Text Indent 2"/>
    <w:basedOn w:val="Normal"/>
    <w:pPr>
      <w:ind w:left="1134" w:hanging="1134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3">
    <w:name w:val="Body Text Indent 3"/>
    <w:basedOn w:val="Normal"/>
    <w:pPr>
      <w:ind w:left="1843" w:hanging="1843"/>
      <w:jc w:val="both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1D0DD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64AC1"/>
    <w:pPr>
      <w:tabs>
        <w:tab w:val="center" w:pos="4153"/>
        <w:tab w:val="right" w:pos="8306"/>
      </w:tabs>
    </w:pPr>
  </w:style>
  <w:style w:type="paragraph" w:customStyle="1" w:styleId="CharChar">
    <w:name w:val="Char Char"/>
    <w:basedOn w:val="Normal"/>
    <w:rsid w:val="00E8404A"/>
    <w:pPr>
      <w:spacing w:before="120" w:after="120"/>
    </w:pPr>
    <w:rPr>
      <w:rFonts w:ascii="Arial" w:hAnsi="Arial"/>
      <w:sz w:val="22"/>
      <w:lang w:eastAsia="en-US"/>
    </w:rPr>
  </w:style>
  <w:style w:type="paragraph" w:customStyle="1" w:styleId="DefaultParagraphFont1CharChar1">
    <w:name w:val="Default Paragraph Font1 Char Char1"/>
    <w:aliases w:val=" Char Char1 Char Char1, Char1 Char Char Char Char Char Char"/>
    <w:basedOn w:val="Normal"/>
    <w:rsid w:val="00BF4868"/>
    <w:pPr>
      <w:spacing w:after="160" w:line="240" w:lineRule="exact"/>
    </w:pPr>
    <w:rPr>
      <w:rFonts w:ascii="Arial" w:hAnsi="Arial"/>
      <w:sz w:val="22"/>
      <w:lang w:val="en-US" w:eastAsia="en-US"/>
    </w:rPr>
  </w:style>
  <w:style w:type="character" w:customStyle="1" w:styleId="HeaderChar">
    <w:name w:val="Header Char"/>
    <w:link w:val="Header"/>
    <w:rsid w:val="001D091B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ED38A5"/>
  </w:style>
  <w:style w:type="character" w:styleId="CommentReference">
    <w:name w:val="annotation reference"/>
    <w:basedOn w:val="DefaultParagraphFont"/>
    <w:uiPriority w:val="99"/>
    <w:semiHidden/>
    <w:unhideWhenUsed/>
    <w:rsid w:val="00BB7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74F"/>
  </w:style>
  <w:style w:type="character" w:customStyle="1" w:styleId="CommentTextChar">
    <w:name w:val="Comment Text Char"/>
    <w:basedOn w:val="DefaultParagraphFont"/>
    <w:link w:val="CommentText"/>
    <w:uiPriority w:val="99"/>
    <w:rsid w:val="00BB77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16A8-760C-42CD-B629-81832B2C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Cluster 3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Rachael Aeschlimann</dc:creator>
  <cp:keywords/>
  <cp:lastModifiedBy>Hoai NGUYEN</cp:lastModifiedBy>
  <cp:revision>2</cp:revision>
  <cp:lastPrinted>2020-09-01T01:31:00Z</cp:lastPrinted>
  <dcterms:created xsi:type="dcterms:W3CDTF">2020-09-03T03:08:00Z</dcterms:created>
  <dcterms:modified xsi:type="dcterms:W3CDTF">2020-09-03T03:08:00Z</dcterms:modified>
</cp:coreProperties>
</file>