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704" w:rsidRPr="007C2D22" w:rsidRDefault="00326704" w:rsidP="00326704">
      <w:pPr>
        <w:autoSpaceDE w:val="0"/>
        <w:autoSpaceDN w:val="0"/>
        <w:adjustRightInd w:val="0"/>
        <w:jc w:val="center"/>
        <w:rPr>
          <w:sz w:val="22"/>
          <w:szCs w:val="22"/>
          <w:u w:val="single"/>
        </w:rPr>
      </w:pPr>
      <w:r w:rsidRPr="007C2D22">
        <w:rPr>
          <w:sz w:val="22"/>
          <w:szCs w:val="22"/>
          <w:u w:val="single"/>
        </w:rPr>
        <w:t>EXPLANATORY STATEMENT</w:t>
      </w:r>
    </w:p>
    <w:p w:rsidR="00326704" w:rsidRPr="007C2D22" w:rsidRDefault="00326704" w:rsidP="00326704">
      <w:pPr>
        <w:autoSpaceDE w:val="0"/>
        <w:autoSpaceDN w:val="0"/>
        <w:adjustRightInd w:val="0"/>
        <w:jc w:val="center"/>
        <w:rPr>
          <w:b/>
          <w:sz w:val="22"/>
          <w:szCs w:val="22"/>
        </w:rPr>
      </w:pPr>
    </w:p>
    <w:p w:rsidR="00326704" w:rsidRPr="007C2D22" w:rsidRDefault="00326704" w:rsidP="00326704">
      <w:pPr>
        <w:autoSpaceDE w:val="0"/>
        <w:autoSpaceDN w:val="0"/>
        <w:adjustRightInd w:val="0"/>
        <w:jc w:val="center"/>
        <w:rPr>
          <w:b/>
          <w:sz w:val="22"/>
          <w:szCs w:val="22"/>
        </w:rPr>
      </w:pPr>
      <w:r w:rsidRPr="007C2D22">
        <w:rPr>
          <w:b/>
          <w:sz w:val="22"/>
          <w:szCs w:val="22"/>
        </w:rPr>
        <w:t>Issued by the Authority of the Australian Fisheries Management Authority</w:t>
      </w:r>
    </w:p>
    <w:p w:rsidR="00326704" w:rsidRPr="007C2D22" w:rsidRDefault="00326704" w:rsidP="00326704">
      <w:pPr>
        <w:autoSpaceDE w:val="0"/>
        <w:autoSpaceDN w:val="0"/>
        <w:adjustRightInd w:val="0"/>
        <w:jc w:val="center"/>
        <w:rPr>
          <w:b/>
          <w:sz w:val="22"/>
          <w:szCs w:val="22"/>
        </w:rPr>
      </w:pPr>
    </w:p>
    <w:p w:rsidR="00326704" w:rsidRPr="007C2D22" w:rsidRDefault="00326704" w:rsidP="00326704">
      <w:pPr>
        <w:autoSpaceDE w:val="0"/>
        <w:autoSpaceDN w:val="0"/>
        <w:adjustRightInd w:val="0"/>
        <w:jc w:val="center"/>
        <w:rPr>
          <w:i/>
          <w:iCs/>
        </w:rPr>
      </w:pPr>
      <w:r w:rsidRPr="007C2D22">
        <w:rPr>
          <w:i/>
          <w:iCs/>
        </w:rPr>
        <w:t>Fisheries Management Act 1991</w:t>
      </w:r>
    </w:p>
    <w:p w:rsidR="00326704" w:rsidRPr="007C2D22" w:rsidRDefault="00326704" w:rsidP="00326704">
      <w:pPr>
        <w:autoSpaceDE w:val="0"/>
        <w:autoSpaceDN w:val="0"/>
        <w:adjustRightInd w:val="0"/>
        <w:jc w:val="center"/>
        <w:rPr>
          <w:b/>
          <w:sz w:val="22"/>
          <w:szCs w:val="22"/>
        </w:rPr>
      </w:pPr>
    </w:p>
    <w:p w:rsidR="00326704" w:rsidRPr="007C2D22" w:rsidRDefault="00635893" w:rsidP="00326704">
      <w:pPr>
        <w:autoSpaceDE w:val="0"/>
        <w:autoSpaceDN w:val="0"/>
        <w:adjustRightInd w:val="0"/>
        <w:jc w:val="center"/>
        <w:rPr>
          <w:sz w:val="22"/>
          <w:szCs w:val="22"/>
        </w:rPr>
      </w:pPr>
      <w:r w:rsidRPr="00635893">
        <w:rPr>
          <w:b/>
          <w:iCs/>
          <w:color w:val="000000"/>
          <w:lang w:val="en-AU"/>
        </w:rPr>
        <w:t>Southern Bluefin Tuna Fishery Management Amendment (Recreational Fishing) Plan 2020</w:t>
      </w:r>
    </w:p>
    <w:p w:rsidR="00635893" w:rsidRPr="00336657" w:rsidRDefault="00635893" w:rsidP="00635893">
      <w:pPr>
        <w:pStyle w:val="AFMANormal"/>
        <w:spacing w:before="220"/>
        <w:rPr>
          <w:sz w:val="22"/>
          <w:szCs w:val="22"/>
        </w:rPr>
      </w:pPr>
      <w:r w:rsidRPr="00336657">
        <w:rPr>
          <w:sz w:val="22"/>
          <w:szCs w:val="22"/>
        </w:rPr>
        <w:t xml:space="preserve">Subsection 17(1) of the </w:t>
      </w:r>
      <w:r w:rsidRPr="00336657">
        <w:rPr>
          <w:i/>
          <w:sz w:val="22"/>
          <w:szCs w:val="22"/>
        </w:rPr>
        <w:t>Fisheries Management Act 1991</w:t>
      </w:r>
      <w:r w:rsidRPr="00336657">
        <w:rPr>
          <w:sz w:val="22"/>
          <w:szCs w:val="22"/>
        </w:rPr>
        <w:t xml:space="preserve"> (the Act) provides that the Australian Fisheries Management Authority (the Authority) is to determine plans of management for all fisheries.</w:t>
      </w:r>
    </w:p>
    <w:p w:rsidR="00635893" w:rsidRPr="00336657" w:rsidRDefault="00635893" w:rsidP="00635893">
      <w:pPr>
        <w:pStyle w:val="AFMANormal"/>
        <w:spacing w:before="220"/>
        <w:rPr>
          <w:sz w:val="22"/>
          <w:szCs w:val="22"/>
        </w:rPr>
      </w:pPr>
      <w:r w:rsidRPr="00336657">
        <w:rPr>
          <w:sz w:val="22"/>
          <w:szCs w:val="22"/>
        </w:rPr>
        <w:t>Subsection 20(1) of the Act provides that the Authority may at any time amend a plan of management.</w:t>
      </w:r>
    </w:p>
    <w:p w:rsidR="00635893" w:rsidRPr="00336657" w:rsidRDefault="00635893" w:rsidP="00635893">
      <w:pPr>
        <w:pStyle w:val="AFMANormal"/>
        <w:spacing w:before="220"/>
        <w:rPr>
          <w:sz w:val="22"/>
          <w:szCs w:val="22"/>
        </w:rPr>
      </w:pPr>
      <w:r w:rsidRPr="00336657">
        <w:rPr>
          <w:sz w:val="22"/>
          <w:szCs w:val="22"/>
        </w:rPr>
        <w:t xml:space="preserve">The Authority has determined the </w:t>
      </w:r>
      <w:r w:rsidRPr="00336657">
        <w:rPr>
          <w:i/>
          <w:sz w:val="22"/>
          <w:szCs w:val="22"/>
        </w:rPr>
        <w:t>Southern Bluefin Tuna Fishery Management A</w:t>
      </w:r>
      <w:r w:rsidR="00E17B94" w:rsidRPr="00336657">
        <w:rPr>
          <w:i/>
          <w:sz w:val="22"/>
          <w:szCs w:val="22"/>
        </w:rPr>
        <w:t xml:space="preserve">mendment (Recreational Fishing) </w:t>
      </w:r>
      <w:r w:rsidRPr="00336657">
        <w:rPr>
          <w:i/>
          <w:sz w:val="22"/>
          <w:szCs w:val="22"/>
        </w:rPr>
        <w:t xml:space="preserve">Plan 2020 </w:t>
      </w:r>
      <w:r w:rsidR="001A605D" w:rsidRPr="009431AB">
        <w:rPr>
          <w:sz w:val="22"/>
          <w:szCs w:val="22"/>
        </w:rPr>
        <w:t>(</w:t>
      </w:r>
      <w:r w:rsidRPr="009431AB">
        <w:rPr>
          <w:sz w:val="22"/>
          <w:szCs w:val="22"/>
        </w:rPr>
        <w:t>the</w:t>
      </w:r>
      <w:r w:rsidRPr="00336657">
        <w:rPr>
          <w:sz w:val="22"/>
          <w:szCs w:val="22"/>
        </w:rPr>
        <w:t xml:space="preserve"> Plan amendment) to amend the </w:t>
      </w:r>
      <w:r w:rsidRPr="00336657">
        <w:rPr>
          <w:i/>
          <w:sz w:val="22"/>
          <w:szCs w:val="22"/>
        </w:rPr>
        <w:t>Southern Bluefin Tuna Fishery Management Plan 1995</w:t>
      </w:r>
      <w:r w:rsidRPr="00336657">
        <w:rPr>
          <w:sz w:val="22"/>
          <w:szCs w:val="22"/>
        </w:rPr>
        <w:t xml:space="preserve"> (the Plan).</w:t>
      </w:r>
    </w:p>
    <w:p w:rsidR="00635893" w:rsidRPr="00336657" w:rsidRDefault="00635893" w:rsidP="00635893">
      <w:pPr>
        <w:pStyle w:val="AFMANormal"/>
        <w:spacing w:before="220"/>
        <w:rPr>
          <w:sz w:val="22"/>
          <w:szCs w:val="22"/>
        </w:rPr>
      </w:pPr>
      <w:r w:rsidRPr="00336657">
        <w:rPr>
          <w:sz w:val="22"/>
          <w:szCs w:val="22"/>
        </w:rPr>
        <w:t xml:space="preserve">The Plan amendment is a legislative instrument for the purposes of the </w:t>
      </w:r>
      <w:r w:rsidR="003426B0" w:rsidRPr="000C4A1B">
        <w:rPr>
          <w:i/>
          <w:sz w:val="22"/>
          <w:szCs w:val="22"/>
        </w:rPr>
        <w:t>Legislation Act</w:t>
      </w:r>
      <w:r w:rsidR="003426B0">
        <w:rPr>
          <w:sz w:val="22"/>
          <w:szCs w:val="22"/>
        </w:rPr>
        <w:t xml:space="preserve"> </w:t>
      </w:r>
      <w:r w:rsidRPr="00336657">
        <w:rPr>
          <w:i/>
          <w:sz w:val="22"/>
          <w:szCs w:val="22"/>
        </w:rPr>
        <w:t>2003</w:t>
      </w:r>
      <w:r w:rsidRPr="00336657">
        <w:rPr>
          <w:sz w:val="22"/>
          <w:szCs w:val="22"/>
        </w:rPr>
        <w:t>.</w:t>
      </w:r>
    </w:p>
    <w:p w:rsidR="00326704" w:rsidRPr="007C2D22" w:rsidRDefault="00326704" w:rsidP="00326704">
      <w:pPr>
        <w:autoSpaceDE w:val="0"/>
        <w:autoSpaceDN w:val="0"/>
        <w:adjustRightInd w:val="0"/>
        <w:jc w:val="both"/>
        <w:rPr>
          <w:sz w:val="22"/>
          <w:szCs w:val="22"/>
        </w:rPr>
      </w:pPr>
    </w:p>
    <w:p w:rsidR="00922032" w:rsidRDefault="00326704" w:rsidP="00922032">
      <w:pPr>
        <w:autoSpaceDE w:val="0"/>
        <w:autoSpaceDN w:val="0"/>
        <w:adjustRightInd w:val="0"/>
        <w:rPr>
          <w:sz w:val="22"/>
          <w:szCs w:val="22"/>
        </w:rPr>
      </w:pPr>
      <w:r w:rsidRPr="007C2D22">
        <w:rPr>
          <w:b/>
          <w:bCs/>
          <w:sz w:val="22"/>
          <w:szCs w:val="22"/>
        </w:rPr>
        <w:t>The Fishery</w:t>
      </w:r>
      <w:r w:rsidRPr="007C2D22">
        <w:rPr>
          <w:b/>
          <w:bCs/>
          <w:sz w:val="22"/>
          <w:szCs w:val="22"/>
        </w:rPr>
        <w:br/>
      </w:r>
    </w:p>
    <w:p w:rsidR="004838FA" w:rsidRPr="004838FA" w:rsidRDefault="004838FA" w:rsidP="000C4A1B">
      <w:pPr>
        <w:autoSpaceDE w:val="0"/>
        <w:autoSpaceDN w:val="0"/>
        <w:adjustRightInd w:val="0"/>
        <w:jc w:val="both"/>
        <w:rPr>
          <w:sz w:val="22"/>
          <w:szCs w:val="22"/>
        </w:rPr>
      </w:pPr>
      <w:r w:rsidRPr="004838FA">
        <w:rPr>
          <w:sz w:val="22"/>
          <w:szCs w:val="22"/>
        </w:rPr>
        <w:t xml:space="preserve">The Southern Bluefin Tuna Fishery (the Fishery) is managed through a system of output controls in the form of individually transferable quotas </w:t>
      </w:r>
      <w:r w:rsidR="00B4759C">
        <w:rPr>
          <w:sz w:val="22"/>
          <w:szCs w:val="22"/>
        </w:rPr>
        <w:t>that</w:t>
      </w:r>
      <w:r w:rsidRPr="004838FA">
        <w:rPr>
          <w:sz w:val="22"/>
          <w:szCs w:val="22"/>
        </w:rPr>
        <w:t xml:space="preserve"> are allocated as statutory fishing rights (SFRs) under the Plan.  Prior to the commencement of each season (1 December to 30 </w:t>
      </w:r>
      <w:proofErr w:type="gramStart"/>
      <w:r w:rsidRPr="004838FA">
        <w:rPr>
          <w:sz w:val="22"/>
          <w:szCs w:val="22"/>
        </w:rPr>
        <w:t>November)</w:t>
      </w:r>
      <w:proofErr w:type="gramEnd"/>
      <w:r w:rsidRPr="004838FA">
        <w:rPr>
          <w:sz w:val="22"/>
          <w:szCs w:val="22"/>
        </w:rPr>
        <w:t xml:space="preserve"> the Authority determines a </w:t>
      </w:r>
      <w:r w:rsidR="00D17CB6">
        <w:rPr>
          <w:sz w:val="22"/>
          <w:szCs w:val="22"/>
        </w:rPr>
        <w:t>Total Allowable Catch (TAC) of southern bluefin t</w:t>
      </w:r>
      <w:r w:rsidRPr="004838FA">
        <w:rPr>
          <w:sz w:val="22"/>
          <w:szCs w:val="22"/>
        </w:rPr>
        <w:t>una</w:t>
      </w:r>
      <w:r w:rsidR="00D17CB6">
        <w:rPr>
          <w:sz w:val="22"/>
          <w:szCs w:val="22"/>
        </w:rPr>
        <w:t xml:space="preserve"> (SBT)</w:t>
      </w:r>
      <w:r w:rsidRPr="004838FA">
        <w:rPr>
          <w:sz w:val="22"/>
          <w:szCs w:val="22"/>
        </w:rPr>
        <w:t xml:space="preserve"> for the domestic fishery based upon the Commission for the Conservation of Southern Bluefin Tuna (CCSBT)</w:t>
      </w:r>
      <w:r w:rsidR="0079267B">
        <w:rPr>
          <w:sz w:val="22"/>
          <w:szCs w:val="22"/>
        </w:rPr>
        <w:t xml:space="preserve"> allocation to Australia</w:t>
      </w:r>
      <w:r w:rsidRPr="004838FA">
        <w:rPr>
          <w:sz w:val="22"/>
          <w:szCs w:val="22"/>
        </w:rPr>
        <w:t>. Each SFR entitles the holder to receive an equal portion of the TAC set by the Authority for th</w:t>
      </w:r>
      <w:r w:rsidR="00EC16CD">
        <w:rPr>
          <w:sz w:val="22"/>
          <w:szCs w:val="22"/>
        </w:rPr>
        <w:t>e</w:t>
      </w:r>
      <w:r w:rsidRPr="004838FA">
        <w:rPr>
          <w:sz w:val="22"/>
          <w:szCs w:val="22"/>
        </w:rPr>
        <w:t xml:space="preserve"> period.</w:t>
      </w:r>
    </w:p>
    <w:p w:rsidR="004838FA" w:rsidRPr="004838FA" w:rsidRDefault="004838FA" w:rsidP="003426B0">
      <w:pPr>
        <w:pStyle w:val="AFMA123Normal"/>
        <w:numPr>
          <w:ilvl w:val="12"/>
          <w:numId w:val="0"/>
        </w:numPr>
        <w:ind w:hanging="6"/>
        <w:rPr>
          <w:kern w:val="0"/>
          <w:sz w:val="22"/>
          <w:szCs w:val="22"/>
          <w:lang w:val="en-US"/>
        </w:rPr>
      </w:pPr>
      <w:r w:rsidRPr="004838FA">
        <w:rPr>
          <w:kern w:val="0"/>
          <w:sz w:val="22"/>
          <w:szCs w:val="22"/>
          <w:lang w:val="en-US"/>
        </w:rPr>
        <w:t>Australia is a member of the CCSBT</w:t>
      </w:r>
      <w:r w:rsidR="000A4A5D">
        <w:rPr>
          <w:kern w:val="0"/>
          <w:sz w:val="22"/>
          <w:szCs w:val="22"/>
          <w:lang w:val="en-US"/>
        </w:rPr>
        <w:t>,</w:t>
      </w:r>
      <w:r w:rsidRPr="004838FA">
        <w:rPr>
          <w:kern w:val="0"/>
          <w:sz w:val="22"/>
          <w:szCs w:val="22"/>
          <w:lang w:val="en-US"/>
        </w:rPr>
        <w:t xml:space="preserve"> which is responsible for the internat</w:t>
      </w:r>
      <w:r w:rsidR="00CD0562">
        <w:rPr>
          <w:kern w:val="0"/>
          <w:sz w:val="22"/>
          <w:szCs w:val="22"/>
          <w:lang w:val="en-US"/>
        </w:rPr>
        <w:t>ional management of the global S</w:t>
      </w:r>
      <w:r w:rsidRPr="004838FA">
        <w:rPr>
          <w:kern w:val="0"/>
          <w:sz w:val="22"/>
          <w:szCs w:val="22"/>
          <w:lang w:val="en-US"/>
        </w:rPr>
        <w:t xml:space="preserve">BT stock. The objectives of CCSBT are to ensure, through appropriate management, the conservation and optimum </w:t>
      </w:r>
      <w:proofErr w:type="spellStart"/>
      <w:r w:rsidRPr="004838FA">
        <w:rPr>
          <w:kern w:val="0"/>
          <w:sz w:val="22"/>
          <w:szCs w:val="22"/>
          <w:lang w:val="en-US"/>
        </w:rPr>
        <w:t>utilisation</w:t>
      </w:r>
      <w:proofErr w:type="spellEnd"/>
      <w:r w:rsidRPr="004838FA">
        <w:rPr>
          <w:kern w:val="0"/>
          <w:sz w:val="22"/>
          <w:szCs w:val="22"/>
          <w:lang w:val="en-US"/>
        </w:rPr>
        <w:t xml:space="preserve"> of the global SBT fishery. Management arrangements agreed to at CCSBT are implemented in the domestic fishery through the Plan and associated legislative instruments.</w:t>
      </w:r>
    </w:p>
    <w:p w:rsidR="00E5132A" w:rsidRDefault="009361D1" w:rsidP="003426B0">
      <w:pPr>
        <w:pStyle w:val="AFMA123Normal"/>
        <w:numPr>
          <w:ilvl w:val="12"/>
          <w:numId w:val="0"/>
        </w:numPr>
        <w:ind w:hanging="6"/>
        <w:rPr>
          <w:kern w:val="0"/>
          <w:sz w:val="22"/>
          <w:szCs w:val="22"/>
          <w:lang w:val="en-US"/>
        </w:rPr>
      </w:pPr>
      <w:r>
        <w:rPr>
          <w:kern w:val="0"/>
          <w:sz w:val="22"/>
          <w:szCs w:val="22"/>
          <w:lang w:val="en-US"/>
        </w:rPr>
        <w:t>Approximately 88</w:t>
      </w:r>
      <w:r w:rsidR="000A4A5D">
        <w:rPr>
          <w:kern w:val="0"/>
          <w:sz w:val="22"/>
          <w:szCs w:val="22"/>
          <w:lang w:val="en-US"/>
        </w:rPr>
        <w:t xml:space="preserve"> per cent</w:t>
      </w:r>
      <w:r w:rsidR="004838FA" w:rsidRPr="004838FA">
        <w:rPr>
          <w:kern w:val="0"/>
          <w:sz w:val="22"/>
          <w:szCs w:val="22"/>
          <w:lang w:val="en-US"/>
        </w:rPr>
        <w:t xml:space="preserve"> of Australia’s SBT q</w:t>
      </w:r>
      <w:r>
        <w:rPr>
          <w:kern w:val="0"/>
          <w:sz w:val="22"/>
          <w:szCs w:val="22"/>
          <w:lang w:val="en-US"/>
        </w:rPr>
        <w:t>uota is taken by</w:t>
      </w:r>
      <w:r w:rsidR="004838FA" w:rsidRPr="004838FA">
        <w:rPr>
          <w:kern w:val="0"/>
          <w:sz w:val="22"/>
          <w:szCs w:val="22"/>
          <w:lang w:val="en-US"/>
        </w:rPr>
        <w:t xml:space="preserve"> purse seine boats fishing </w:t>
      </w:r>
      <w:r>
        <w:rPr>
          <w:kern w:val="0"/>
          <w:sz w:val="22"/>
          <w:szCs w:val="22"/>
          <w:lang w:val="en-US"/>
        </w:rPr>
        <w:t xml:space="preserve">off South Australia </w:t>
      </w:r>
      <w:r w:rsidR="004838FA" w:rsidRPr="004838FA">
        <w:rPr>
          <w:kern w:val="0"/>
          <w:sz w:val="22"/>
          <w:szCs w:val="22"/>
          <w:lang w:val="en-US"/>
        </w:rPr>
        <w:t>for 13-25 kg SBT. These</w:t>
      </w:r>
      <w:r w:rsidR="000A4A5D">
        <w:rPr>
          <w:kern w:val="0"/>
          <w:sz w:val="22"/>
          <w:szCs w:val="22"/>
          <w:lang w:val="en-US"/>
        </w:rPr>
        <w:t xml:space="preserve"> </w:t>
      </w:r>
      <w:r w:rsidR="00D17CB6">
        <w:rPr>
          <w:kern w:val="0"/>
          <w:sz w:val="22"/>
          <w:szCs w:val="22"/>
          <w:lang w:val="en-US"/>
        </w:rPr>
        <w:t xml:space="preserve">fish </w:t>
      </w:r>
      <w:r w:rsidR="000A4A5D">
        <w:rPr>
          <w:kern w:val="0"/>
          <w:sz w:val="22"/>
          <w:szCs w:val="22"/>
          <w:lang w:val="en-US"/>
        </w:rPr>
        <w:t>are towed alive to static grow-</w:t>
      </w:r>
      <w:r w:rsidR="004838FA" w:rsidRPr="004838FA">
        <w:rPr>
          <w:kern w:val="0"/>
          <w:sz w:val="22"/>
          <w:szCs w:val="22"/>
          <w:lang w:val="en-US"/>
        </w:rPr>
        <w:t>out pontoons off</w:t>
      </w:r>
      <w:r>
        <w:rPr>
          <w:kern w:val="0"/>
          <w:sz w:val="22"/>
          <w:szCs w:val="22"/>
          <w:lang w:val="en-US"/>
        </w:rPr>
        <w:t xml:space="preserve"> Port Lincoln </w:t>
      </w:r>
      <w:r w:rsidRPr="004838FA">
        <w:rPr>
          <w:kern w:val="0"/>
          <w:sz w:val="22"/>
          <w:szCs w:val="22"/>
          <w:lang w:val="en-US"/>
        </w:rPr>
        <w:t>and</w:t>
      </w:r>
      <w:r w:rsidR="004838FA" w:rsidRPr="004838FA">
        <w:rPr>
          <w:kern w:val="0"/>
          <w:sz w:val="22"/>
          <w:szCs w:val="22"/>
          <w:lang w:val="en-US"/>
        </w:rPr>
        <w:t xml:space="preserve"> grown out for up to 6 months before harvest and export</w:t>
      </w:r>
      <w:r w:rsidR="000A4A5D">
        <w:rPr>
          <w:kern w:val="0"/>
          <w:sz w:val="22"/>
          <w:szCs w:val="22"/>
          <w:lang w:val="en-US"/>
        </w:rPr>
        <w:t>,</w:t>
      </w:r>
      <w:r w:rsidR="004838FA" w:rsidRPr="004838FA">
        <w:rPr>
          <w:kern w:val="0"/>
          <w:sz w:val="22"/>
          <w:szCs w:val="22"/>
          <w:lang w:val="en-US"/>
        </w:rPr>
        <w:t xml:space="preserve"> largely to Japan. </w:t>
      </w:r>
      <w:r>
        <w:rPr>
          <w:kern w:val="0"/>
          <w:sz w:val="22"/>
          <w:szCs w:val="22"/>
          <w:lang w:val="en-US"/>
        </w:rPr>
        <w:t xml:space="preserve">The remaining quota is taken by </w:t>
      </w:r>
      <w:r w:rsidR="004838FA" w:rsidRPr="004838FA">
        <w:rPr>
          <w:kern w:val="0"/>
          <w:sz w:val="22"/>
          <w:szCs w:val="22"/>
          <w:lang w:val="en-US"/>
        </w:rPr>
        <w:t xml:space="preserve">longline boats operating in southern Australian waters. </w:t>
      </w:r>
      <w:r w:rsidR="000A4A5D">
        <w:rPr>
          <w:kern w:val="0"/>
          <w:sz w:val="22"/>
          <w:szCs w:val="22"/>
          <w:lang w:val="en-US"/>
        </w:rPr>
        <w:t xml:space="preserve">SBT </w:t>
      </w:r>
      <w:proofErr w:type="gramStart"/>
      <w:r w:rsidR="000A4A5D">
        <w:rPr>
          <w:kern w:val="0"/>
          <w:sz w:val="22"/>
          <w:szCs w:val="22"/>
          <w:lang w:val="en-US"/>
        </w:rPr>
        <w:t>is</w:t>
      </w:r>
      <w:r w:rsidR="008C1E27">
        <w:rPr>
          <w:kern w:val="0"/>
          <w:sz w:val="22"/>
          <w:szCs w:val="22"/>
          <w:lang w:val="en-US"/>
        </w:rPr>
        <w:t xml:space="preserve"> </w:t>
      </w:r>
      <w:r w:rsidR="004838FA" w:rsidRPr="004838FA">
        <w:rPr>
          <w:kern w:val="0"/>
          <w:sz w:val="22"/>
          <w:szCs w:val="22"/>
          <w:lang w:val="en-US"/>
        </w:rPr>
        <w:t>taken</w:t>
      </w:r>
      <w:proofErr w:type="gramEnd"/>
      <w:r w:rsidR="004838FA" w:rsidRPr="004838FA">
        <w:rPr>
          <w:kern w:val="0"/>
          <w:sz w:val="22"/>
          <w:szCs w:val="22"/>
          <w:lang w:val="en-US"/>
        </w:rPr>
        <w:t xml:space="preserve"> in </w:t>
      </w:r>
      <w:r w:rsidR="005E5AA0">
        <w:rPr>
          <w:kern w:val="0"/>
          <w:sz w:val="22"/>
          <w:szCs w:val="22"/>
          <w:lang w:val="en-US"/>
        </w:rPr>
        <w:t xml:space="preserve">small amounts by pole </w:t>
      </w:r>
      <w:r w:rsidR="004838FA" w:rsidRPr="004838FA">
        <w:rPr>
          <w:kern w:val="0"/>
          <w:sz w:val="22"/>
          <w:szCs w:val="22"/>
          <w:lang w:val="en-US"/>
        </w:rPr>
        <w:t>and trolling methods.</w:t>
      </w:r>
      <w:r w:rsidR="00B90F59">
        <w:rPr>
          <w:kern w:val="0"/>
          <w:sz w:val="22"/>
          <w:szCs w:val="22"/>
          <w:lang w:val="en-US"/>
        </w:rPr>
        <w:t xml:space="preserve"> </w:t>
      </w:r>
      <w:r w:rsidR="00B90F59" w:rsidRPr="00B90F59">
        <w:rPr>
          <w:kern w:val="0"/>
          <w:sz w:val="22"/>
          <w:szCs w:val="22"/>
          <w:lang w:val="en-US"/>
        </w:rPr>
        <w:t xml:space="preserve">SBT is also an important recreational species caught across a number of Australian states.  </w:t>
      </w:r>
    </w:p>
    <w:p w:rsidR="004838FA" w:rsidRDefault="004838FA" w:rsidP="00FD137B">
      <w:pPr>
        <w:pStyle w:val="AFMA123Normal"/>
        <w:numPr>
          <w:ilvl w:val="12"/>
          <w:numId w:val="0"/>
        </w:numPr>
        <w:rPr>
          <w:b/>
          <w:sz w:val="22"/>
          <w:szCs w:val="22"/>
        </w:rPr>
      </w:pPr>
      <w:r w:rsidRPr="004838FA">
        <w:rPr>
          <w:b/>
          <w:sz w:val="22"/>
          <w:szCs w:val="22"/>
        </w:rPr>
        <w:t>Need for amendments</w:t>
      </w:r>
    </w:p>
    <w:p w:rsidR="00CD0562" w:rsidRDefault="00CD0562" w:rsidP="00CD0562">
      <w:pPr>
        <w:autoSpaceDE w:val="0"/>
        <w:autoSpaceDN w:val="0"/>
        <w:adjustRightInd w:val="0"/>
        <w:rPr>
          <w:b/>
          <w:kern w:val="20"/>
          <w:sz w:val="22"/>
          <w:szCs w:val="22"/>
          <w:lang w:val="en-AU"/>
        </w:rPr>
      </w:pPr>
    </w:p>
    <w:p w:rsidR="00CD0562" w:rsidRPr="00CD0562" w:rsidRDefault="00CD0562" w:rsidP="00D17CB6">
      <w:pPr>
        <w:autoSpaceDE w:val="0"/>
        <w:autoSpaceDN w:val="0"/>
        <w:adjustRightInd w:val="0"/>
        <w:jc w:val="both"/>
        <w:rPr>
          <w:kern w:val="20"/>
          <w:sz w:val="22"/>
          <w:szCs w:val="22"/>
          <w:lang w:val="en-AU"/>
        </w:rPr>
      </w:pPr>
      <w:r w:rsidRPr="00CD0562">
        <w:rPr>
          <w:kern w:val="20"/>
          <w:sz w:val="22"/>
          <w:szCs w:val="22"/>
          <w:lang w:val="en-AU"/>
        </w:rPr>
        <w:t>Historically, Australia only counted its commercial SBT catch towards its CCSBT allocation. In 2014, CCSBT redefined “attributable catch” to include</w:t>
      </w:r>
      <w:r w:rsidR="00284EC8">
        <w:rPr>
          <w:kern w:val="20"/>
          <w:sz w:val="22"/>
          <w:szCs w:val="22"/>
          <w:lang w:val="en-AU"/>
        </w:rPr>
        <w:t xml:space="preserve"> mortality resulting from</w:t>
      </w:r>
      <w:r w:rsidR="00303A4B">
        <w:rPr>
          <w:kern w:val="20"/>
          <w:sz w:val="22"/>
          <w:szCs w:val="22"/>
          <w:lang w:val="en-AU"/>
        </w:rPr>
        <w:t xml:space="preserve"> </w:t>
      </w:r>
      <w:r w:rsidR="00284EC8" w:rsidRPr="00284EC8">
        <w:rPr>
          <w:kern w:val="20"/>
          <w:sz w:val="22"/>
          <w:szCs w:val="22"/>
          <w:lang w:val="en-AU"/>
        </w:rPr>
        <w:t>commercial fishing operations whether</w:t>
      </w:r>
      <w:r w:rsidR="00284EC8">
        <w:rPr>
          <w:kern w:val="20"/>
          <w:sz w:val="22"/>
          <w:szCs w:val="22"/>
          <w:lang w:val="en-AU"/>
        </w:rPr>
        <w:t xml:space="preserve"> primarily targeting SBT or not, releases and/or discards,</w:t>
      </w:r>
      <w:r w:rsidR="00303A4B">
        <w:rPr>
          <w:kern w:val="20"/>
          <w:sz w:val="22"/>
          <w:szCs w:val="22"/>
          <w:lang w:val="en-AU"/>
        </w:rPr>
        <w:t xml:space="preserve"> </w:t>
      </w:r>
      <w:r w:rsidR="00284EC8">
        <w:rPr>
          <w:kern w:val="20"/>
          <w:sz w:val="22"/>
          <w:szCs w:val="22"/>
          <w:lang w:val="en-AU"/>
        </w:rPr>
        <w:t xml:space="preserve">recreational fishing, </w:t>
      </w:r>
      <w:r w:rsidR="00284EC8" w:rsidRPr="00284EC8">
        <w:rPr>
          <w:kern w:val="20"/>
          <w:sz w:val="22"/>
          <w:szCs w:val="22"/>
          <w:lang w:val="en-AU"/>
        </w:rPr>
        <w:lastRenderedPageBreak/>
        <w:t xml:space="preserve">customary </w:t>
      </w:r>
      <w:r w:rsidR="00284EC8">
        <w:rPr>
          <w:kern w:val="20"/>
          <w:sz w:val="22"/>
          <w:szCs w:val="22"/>
          <w:lang w:val="en-AU"/>
        </w:rPr>
        <w:t xml:space="preserve">and/or traditional fishing, and </w:t>
      </w:r>
      <w:r w:rsidR="00284EC8" w:rsidRPr="00284EC8">
        <w:rPr>
          <w:kern w:val="20"/>
          <w:sz w:val="22"/>
          <w:szCs w:val="22"/>
          <w:lang w:val="en-AU"/>
        </w:rPr>
        <w:t>artisanal fishing</w:t>
      </w:r>
      <w:r w:rsidR="00284EC8">
        <w:rPr>
          <w:kern w:val="20"/>
          <w:sz w:val="22"/>
          <w:szCs w:val="22"/>
          <w:lang w:val="en-AU"/>
        </w:rPr>
        <w:t xml:space="preserve">. The new definition took </w:t>
      </w:r>
      <w:r w:rsidRPr="00CD0562">
        <w:rPr>
          <w:kern w:val="20"/>
          <w:sz w:val="22"/>
          <w:szCs w:val="22"/>
          <w:lang w:val="en-AU"/>
        </w:rPr>
        <w:t xml:space="preserve">effect from the </w:t>
      </w:r>
      <w:r w:rsidR="00284EC8">
        <w:rPr>
          <w:kern w:val="20"/>
          <w:sz w:val="22"/>
          <w:szCs w:val="22"/>
          <w:lang w:val="en-AU"/>
        </w:rPr>
        <w:t xml:space="preserve">start </w:t>
      </w:r>
      <w:r w:rsidRPr="00CD0562">
        <w:rPr>
          <w:kern w:val="20"/>
          <w:sz w:val="22"/>
          <w:szCs w:val="22"/>
          <w:lang w:val="en-AU"/>
        </w:rPr>
        <w:t xml:space="preserve">2017-18 fishing season. </w:t>
      </w:r>
    </w:p>
    <w:p w:rsidR="00CD0562" w:rsidRPr="00CD0562" w:rsidRDefault="00CD0562" w:rsidP="00D17CB6">
      <w:pPr>
        <w:autoSpaceDE w:val="0"/>
        <w:autoSpaceDN w:val="0"/>
        <w:adjustRightInd w:val="0"/>
        <w:jc w:val="both"/>
        <w:rPr>
          <w:kern w:val="20"/>
          <w:sz w:val="22"/>
          <w:szCs w:val="22"/>
          <w:lang w:val="en-AU"/>
        </w:rPr>
      </w:pPr>
    </w:p>
    <w:p w:rsidR="00CD0562" w:rsidRPr="00CD0562" w:rsidRDefault="00CD0562" w:rsidP="00D17CB6">
      <w:pPr>
        <w:autoSpaceDE w:val="0"/>
        <w:autoSpaceDN w:val="0"/>
        <w:adjustRightInd w:val="0"/>
        <w:jc w:val="both"/>
        <w:rPr>
          <w:kern w:val="20"/>
          <w:sz w:val="22"/>
          <w:szCs w:val="22"/>
          <w:lang w:val="en-AU"/>
        </w:rPr>
      </w:pPr>
      <w:r w:rsidRPr="00CD0562">
        <w:rPr>
          <w:kern w:val="20"/>
          <w:sz w:val="22"/>
          <w:szCs w:val="22"/>
          <w:lang w:val="en-AU"/>
        </w:rPr>
        <w:t xml:space="preserve">In 2017, AFMA and the Australian Southern Bluefin Tuna Industry Association (ASBTIA) agreed that ASBTIA would voluntarily withhold 250 tonnes of SBT quota to begin to account for recreational catch. This agreement was also implemented </w:t>
      </w:r>
      <w:r w:rsidR="00F432D4">
        <w:rPr>
          <w:kern w:val="20"/>
          <w:sz w:val="22"/>
          <w:szCs w:val="22"/>
          <w:lang w:val="en-AU"/>
        </w:rPr>
        <w:t>for the subsequent two seasons while a robust estimate of Australia’s recreational catch was developed.</w:t>
      </w:r>
    </w:p>
    <w:p w:rsidR="00CD0562" w:rsidRPr="00CD0562" w:rsidRDefault="00CD0562" w:rsidP="00D17CB6">
      <w:pPr>
        <w:autoSpaceDE w:val="0"/>
        <w:autoSpaceDN w:val="0"/>
        <w:adjustRightInd w:val="0"/>
        <w:jc w:val="both"/>
        <w:rPr>
          <w:kern w:val="20"/>
          <w:sz w:val="22"/>
          <w:szCs w:val="22"/>
          <w:lang w:val="en-AU"/>
        </w:rPr>
      </w:pPr>
    </w:p>
    <w:p w:rsidR="00CD0562" w:rsidRDefault="00CD0562" w:rsidP="00D17CB6">
      <w:pPr>
        <w:autoSpaceDE w:val="0"/>
        <w:autoSpaceDN w:val="0"/>
        <w:adjustRightInd w:val="0"/>
        <w:jc w:val="both"/>
        <w:rPr>
          <w:kern w:val="20"/>
          <w:sz w:val="22"/>
          <w:szCs w:val="22"/>
          <w:lang w:val="en-AU"/>
        </w:rPr>
      </w:pPr>
      <w:r>
        <w:rPr>
          <w:kern w:val="20"/>
          <w:sz w:val="22"/>
          <w:szCs w:val="22"/>
          <w:lang w:val="en-AU"/>
        </w:rPr>
        <w:t xml:space="preserve">To </w:t>
      </w:r>
      <w:r w:rsidR="00F432D4">
        <w:rPr>
          <w:kern w:val="20"/>
          <w:sz w:val="22"/>
          <w:szCs w:val="22"/>
          <w:lang w:val="en-AU"/>
        </w:rPr>
        <w:t xml:space="preserve">get a </w:t>
      </w:r>
      <w:r>
        <w:rPr>
          <w:kern w:val="20"/>
          <w:sz w:val="22"/>
          <w:szCs w:val="22"/>
          <w:lang w:val="en-AU"/>
        </w:rPr>
        <w:t>better u</w:t>
      </w:r>
      <w:r w:rsidR="00F432D4">
        <w:rPr>
          <w:kern w:val="20"/>
          <w:sz w:val="22"/>
          <w:szCs w:val="22"/>
          <w:lang w:val="en-AU"/>
        </w:rPr>
        <w:t>nderstanding of the nature and extent of recreational fishing mortality in Australia</w:t>
      </w:r>
      <w:r w:rsidR="00952CF1">
        <w:rPr>
          <w:kern w:val="20"/>
          <w:sz w:val="22"/>
          <w:szCs w:val="22"/>
          <w:lang w:val="en-AU"/>
        </w:rPr>
        <w:t>,</w:t>
      </w:r>
      <w:r w:rsidR="0009376B">
        <w:rPr>
          <w:kern w:val="20"/>
          <w:sz w:val="22"/>
          <w:szCs w:val="22"/>
          <w:lang w:val="en-AU"/>
        </w:rPr>
        <w:t xml:space="preserve"> </w:t>
      </w:r>
      <w:r w:rsidR="00F432D4">
        <w:rPr>
          <w:kern w:val="20"/>
          <w:sz w:val="22"/>
          <w:szCs w:val="22"/>
          <w:lang w:val="en-AU"/>
        </w:rPr>
        <w:t xml:space="preserve">the </w:t>
      </w:r>
      <w:r w:rsidR="000A4A5D">
        <w:rPr>
          <w:kern w:val="20"/>
          <w:sz w:val="22"/>
          <w:szCs w:val="22"/>
          <w:lang w:val="en-AU"/>
        </w:rPr>
        <w:t>g</w:t>
      </w:r>
      <w:r w:rsidRPr="00CD0562">
        <w:rPr>
          <w:kern w:val="20"/>
          <w:sz w:val="22"/>
          <w:szCs w:val="22"/>
          <w:lang w:val="en-AU"/>
        </w:rPr>
        <w:t xml:space="preserve">overnment commissioned the University of Tasmania to conduct a 12 month survey of </w:t>
      </w:r>
      <w:r w:rsidR="000A4A5D">
        <w:rPr>
          <w:kern w:val="20"/>
          <w:sz w:val="22"/>
          <w:szCs w:val="22"/>
          <w:lang w:val="en-AU"/>
        </w:rPr>
        <w:t xml:space="preserve">recreational </w:t>
      </w:r>
      <w:r w:rsidRPr="00CD0562">
        <w:rPr>
          <w:kern w:val="20"/>
          <w:sz w:val="22"/>
          <w:szCs w:val="22"/>
          <w:lang w:val="en-AU"/>
        </w:rPr>
        <w:t>SBT catch. The survey was designed to describe the recreational fishery for SBT in Australia in terms of fishing effort, harvest and released cat</w:t>
      </w:r>
      <w:r w:rsidR="000A4A5D">
        <w:rPr>
          <w:kern w:val="20"/>
          <w:sz w:val="22"/>
          <w:szCs w:val="22"/>
          <w:lang w:val="en-AU"/>
        </w:rPr>
        <w:t>ch, and other sources of fishing</w:t>
      </w:r>
      <w:r w:rsidRPr="00CD0562">
        <w:rPr>
          <w:kern w:val="20"/>
          <w:sz w:val="22"/>
          <w:szCs w:val="22"/>
          <w:lang w:val="en-AU"/>
        </w:rPr>
        <w:t xml:space="preserve">-related mortality from South Australia, Victoria, Tasmania and New South Wales. With the inclusion of the most recent SBT catch estimates from the recreational fishery in Western Australia, this study was the first comprehensive national assessment of the recreational SBT fishery. The survey was concluded in November 2019 and estimated the annual recreational catch as 270 tonnes. </w:t>
      </w:r>
    </w:p>
    <w:p w:rsidR="00F432D4" w:rsidRPr="00CD0562" w:rsidRDefault="00F432D4" w:rsidP="00D17CB6">
      <w:pPr>
        <w:autoSpaceDE w:val="0"/>
        <w:autoSpaceDN w:val="0"/>
        <w:adjustRightInd w:val="0"/>
        <w:jc w:val="both"/>
        <w:rPr>
          <w:kern w:val="20"/>
          <w:sz w:val="22"/>
          <w:szCs w:val="22"/>
          <w:lang w:val="en-AU"/>
        </w:rPr>
      </w:pPr>
    </w:p>
    <w:p w:rsidR="00CD0562" w:rsidRPr="00CD0562" w:rsidRDefault="00CD0562" w:rsidP="00D17CB6">
      <w:pPr>
        <w:autoSpaceDE w:val="0"/>
        <w:autoSpaceDN w:val="0"/>
        <w:adjustRightInd w:val="0"/>
        <w:jc w:val="both"/>
        <w:rPr>
          <w:kern w:val="20"/>
          <w:sz w:val="22"/>
          <w:szCs w:val="22"/>
          <w:lang w:val="en-AU"/>
        </w:rPr>
      </w:pPr>
      <w:r w:rsidRPr="00CD0562">
        <w:rPr>
          <w:kern w:val="20"/>
          <w:sz w:val="22"/>
          <w:szCs w:val="22"/>
          <w:lang w:val="en-AU"/>
        </w:rPr>
        <w:t>To ensure the methodology and analysis of the survey were be</w:t>
      </w:r>
      <w:r w:rsidR="00D17CB6">
        <w:rPr>
          <w:kern w:val="20"/>
          <w:sz w:val="22"/>
          <w:szCs w:val="22"/>
          <w:lang w:val="en-AU"/>
        </w:rPr>
        <w:t xml:space="preserve">st practice, the Department of </w:t>
      </w:r>
      <w:r w:rsidRPr="00CD0562">
        <w:rPr>
          <w:kern w:val="20"/>
          <w:sz w:val="22"/>
          <w:szCs w:val="22"/>
          <w:lang w:val="en-AU"/>
        </w:rPr>
        <w:t xml:space="preserve">Agriculture, Water and the Environment engaged </w:t>
      </w:r>
      <w:r w:rsidR="00EF4D20">
        <w:rPr>
          <w:kern w:val="20"/>
          <w:sz w:val="22"/>
          <w:szCs w:val="22"/>
          <w:lang w:val="en-AU"/>
        </w:rPr>
        <w:t xml:space="preserve">an independent, overseas expert </w:t>
      </w:r>
      <w:r w:rsidRPr="00CD0562">
        <w:rPr>
          <w:kern w:val="20"/>
          <w:sz w:val="22"/>
          <w:szCs w:val="22"/>
          <w:lang w:val="en-AU"/>
        </w:rPr>
        <w:t xml:space="preserve">to peer review the document. </w:t>
      </w:r>
      <w:r w:rsidR="00B77DFD">
        <w:rPr>
          <w:kern w:val="20"/>
          <w:sz w:val="22"/>
          <w:szCs w:val="22"/>
          <w:lang w:val="en-AU"/>
        </w:rPr>
        <w:t>The reviewer</w:t>
      </w:r>
      <w:r w:rsidRPr="00CD0562">
        <w:rPr>
          <w:kern w:val="20"/>
          <w:sz w:val="22"/>
          <w:szCs w:val="22"/>
          <w:lang w:val="en-AU"/>
        </w:rPr>
        <w:t xml:space="preserve"> noted the survey: “Provides a defensibly sound and comprehensive estimation of Australia’s recreational SBT harvest in 2018-19, based on pragmatic and appropriate combination of context specific survey methods and other data sources.” </w:t>
      </w:r>
    </w:p>
    <w:p w:rsidR="00CD0562" w:rsidRPr="00CD0562" w:rsidRDefault="00CD0562" w:rsidP="00D17CB6">
      <w:pPr>
        <w:autoSpaceDE w:val="0"/>
        <w:autoSpaceDN w:val="0"/>
        <w:adjustRightInd w:val="0"/>
        <w:jc w:val="both"/>
        <w:rPr>
          <w:kern w:val="20"/>
          <w:sz w:val="22"/>
          <w:szCs w:val="22"/>
          <w:lang w:val="en-AU"/>
        </w:rPr>
      </w:pPr>
    </w:p>
    <w:p w:rsidR="00CD0562" w:rsidRDefault="00F432D4" w:rsidP="00D17CB6">
      <w:pPr>
        <w:autoSpaceDE w:val="0"/>
        <w:autoSpaceDN w:val="0"/>
        <w:adjustRightInd w:val="0"/>
        <w:jc w:val="both"/>
        <w:rPr>
          <w:kern w:val="20"/>
          <w:sz w:val="22"/>
          <w:szCs w:val="22"/>
          <w:lang w:val="en-AU"/>
        </w:rPr>
      </w:pPr>
      <w:r>
        <w:rPr>
          <w:kern w:val="20"/>
          <w:sz w:val="22"/>
          <w:szCs w:val="22"/>
          <w:lang w:val="en-AU"/>
        </w:rPr>
        <w:t>Subsequent to the outcomes of the survey</w:t>
      </w:r>
      <w:r w:rsidR="003426B0">
        <w:rPr>
          <w:kern w:val="20"/>
          <w:sz w:val="22"/>
          <w:szCs w:val="22"/>
          <w:lang w:val="en-AU"/>
        </w:rPr>
        <w:t>,</w:t>
      </w:r>
      <w:r>
        <w:rPr>
          <w:kern w:val="20"/>
          <w:sz w:val="22"/>
          <w:szCs w:val="22"/>
          <w:lang w:val="en-AU"/>
        </w:rPr>
        <w:t xml:space="preserve"> t</w:t>
      </w:r>
      <w:r w:rsidR="00CD0562" w:rsidRPr="00CD0562">
        <w:rPr>
          <w:kern w:val="20"/>
          <w:sz w:val="22"/>
          <w:szCs w:val="22"/>
          <w:lang w:val="en-AU"/>
        </w:rPr>
        <w:t xml:space="preserve">he Assistant Minister for </w:t>
      </w:r>
      <w:r>
        <w:rPr>
          <w:kern w:val="20"/>
          <w:sz w:val="22"/>
          <w:szCs w:val="22"/>
          <w:lang w:val="en-AU"/>
        </w:rPr>
        <w:t xml:space="preserve">Forestry and Fisheries </w:t>
      </w:r>
      <w:r w:rsidR="00CD0562" w:rsidRPr="00CD0562">
        <w:rPr>
          <w:kern w:val="20"/>
          <w:sz w:val="22"/>
          <w:szCs w:val="22"/>
          <w:lang w:val="en-AU"/>
        </w:rPr>
        <w:t xml:space="preserve">announced that </w:t>
      </w:r>
      <w:r w:rsidR="00B77DFD">
        <w:rPr>
          <w:kern w:val="20"/>
          <w:sz w:val="22"/>
          <w:szCs w:val="22"/>
          <w:lang w:val="en-AU"/>
        </w:rPr>
        <w:t>the Federal Government would now</w:t>
      </w:r>
      <w:r w:rsidR="00CD0562" w:rsidRPr="00CD0562">
        <w:rPr>
          <w:kern w:val="20"/>
          <w:sz w:val="22"/>
          <w:szCs w:val="22"/>
          <w:lang w:val="en-AU"/>
        </w:rPr>
        <w:t xml:space="preserve"> set aside five per cent of </w:t>
      </w:r>
      <w:r w:rsidR="004F2B51">
        <w:rPr>
          <w:kern w:val="20"/>
          <w:sz w:val="22"/>
          <w:szCs w:val="22"/>
          <w:lang w:val="en-AU"/>
        </w:rPr>
        <w:t xml:space="preserve">the allocation from </w:t>
      </w:r>
      <w:r w:rsidR="00CD0562" w:rsidRPr="00CD0562">
        <w:rPr>
          <w:kern w:val="20"/>
          <w:sz w:val="22"/>
          <w:szCs w:val="22"/>
          <w:lang w:val="en-AU"/>
        </w:rPr>
        <w:t xml:space="preserve">CCSBT for recreational fishing. This </w:t>
      </w:r>
      <w:r w:rsidR="00CB2D70">
        <w:rPr>
          <w:kern w:val="20"/>
          <w:sz w:val="22"/>
          <w:szCs w:val="22"/>
          <w:lang w:val="en-AU"/>
        </w:rPr>
        <w:t>decision</w:t>
      </w:r>
      <w:r w:rsidR="00CD0562" w:rsidRPr="00CD0562">
        <w:rPr>
          <w:kern w:val="20"/>
          <w:sz w:val="22"/>
          <w:szCs w:val="22"/>
          <w:lang w:val="en-AU"/>
        </w:rPr>
        <w:t xml:space="preserve"> was made after considerable consultation with recreational and commercial stakeholders. </w:t>
      </w:r>
    </w:p>
    <w:p w:rsidR="00315CFC" w:rsidRDefault="00315CFC" w:rsidP="00D17CB6">
      <w:pPr>
        <w:autoSpaceDE w:val="0"/>
        <w:autoSpaceDN w:val="0"/>
        <w:adjustRightInd w:val="0"/>
        <w:jc w:val="both"/>
        <w:rPr>
          <w:kern w:val="20"/>
          <w:sz w:val="22"/>
          <w:szCs w:val="22"/>
          <w:lang w:val="en-AU"/>
        </w:rPr>
      </w:pPr>
    </w:p>
    <w:p w:rsidR="00315CFC" w:rsidRPr="00CD0562" w:rsidRDefault="00E23300" w:rsidP="00D17CB6">
      <w:pPr>
        <w:autoSpaceDE w:val="0"/>
        <w:autoSpaceDN w:val="0"/>
        <w:adjustRightInd w:val="0"/>
        <w:jc w:val="both"/>
        <w:rPr>
          <w:kern w:val="20"/>
          <w:sz w:val="22"/>
          <w:szCs w:val="22"/>
          <w:lang w:val="en-AU"/>
        </w:rPr>
      </w:pPr>
      <w:r>
        <w:rPr>
          <w:kern w:val="20"/>
          <w:sz w:val="22"/>
          <w:szCs w:val="22"/>
          <w:lang w:val="en-AU"/>
        </w:rPr>
        <w:t xml:space="preserve">Under </w:t>
      </w:r>
      <w:r w:rsidR="00D17CB6">
        <w:rPr>
          <w:kern w:val="20"/>
          <w:sz w:val="22"/>
          <w:szCs w:val="22"/>
          <w:lang w:val="en-AU"/>
        </w:rPr>
        <w:t xml:space="preserve">Australia’s current allocation, </w:t>
      </w:r>
      <w:r w:rsidR="006321AB">
        <w:rPr>
          <w:kern w:val="20"/>
          <w:sz w:val="22"/>
          <w:szCs w:val="22"/>
          <w:lang w:val="en-AU"/>
        </w:rPr>
        <w:t>the five</w:t>
      </w:r>
      <w:r w:rsidR="00A7186C">
        <w:rPr>
          <w:kern w:val="20"/>
          <w:sz w:val="22"/>
          <w:szCs w:val="22"/>
          <w:lang w:val="en-AU"/>
        </w:rPr>
        <w:t xml:space="preserve"> per cent</w:t>
      </w:r>
      <w:r w:rsidR="00315CFC" w:rsidRPr="00315CFC">
        <w:rPr>
          <w:kern w:val="20"/>
          <w:sz w:val="22"/>
          <w:szCs w:val="22"/>
          <w:lang w:val="en-AU"/>
        </w:rPr>
        <w:t xml:space="preserve"> woul</w:t>
      </w:r>
      <w:r w:rsidR="00CB2D70">
        <w:rPr>
          <w:kern w:val="20"/>
          <w:sz w:val="22"/>
          <w:szCs w:val="22"/>
          <w:lang w:val="en-AU"/>
        </w:rPr>
        <w:t xml:space="preserve">d equate to 308 tonnes. The set </w:t>
      </w:r>
      <w:r w:rsidR="00315CFC" w:rsidRPr="00315CFC">
        <w:rPr>
          <w:kern w:val="20"/>
          <w:sz w:val="22"/>
          <w:szCs w:val="22"/>
          <w:lang w:val="en-AU"/>
        </w:rPr>
        <w:t xml:space="preserve">aside allows for ebbs and flows in recreational catch between states and between years and also provides room for </w:t>
      </w:r>
      <w:r w:rsidR="00CB2D70">
        <w:rPr>
          <w:kern w:val="20"/>
          <w:sz w:val="22"/>
          <w:szCs w:val="22"/>
          <w:lang w:val="en-AU"/>
        </w:rPr>
        <w:t xml:space="preserve">some </w:t>
      </w:r>
      <w:r w:rsidR="00315CFC" w:rsidRPr="00315CFC">
        <w:rPr>
          <w:kern w:val="20"/>
          <w:sz w:val="22"/>
          <w:szCs w:val="22"/>
          <w:lang w:val="en-AU"/>
        </w:rPr>
        <w:t>growth in the recreational fishery.</w:t>
      </w:r>
    </w:p>
    <w:p w:rsidR="00CD0562" w:rsidRPr="00CD0562" w:rsidRDefault="00CD0562" w:rsidP="00D17CB6">
      <w:pPr>
        <w:autoSpaceDE w:val="0"/>
        <w:autoSpaceDN w:val="0"/>
        <w:adjustRightInd w:val="0"/>
        <w:jc w:val="both"/>
        <w:rPr>
          <w:kern w:val="20"/>
          <w:sz w:val="22"/>
          <w:szCs w:val="22"/>
          <w:lang w:val="en-AU"/>
        </w:rPr>
      </w:pPr>
    </w:p>
    <w:p w:rsidR="00CD0562" w:rsidRPr="00CD0562" w:rsidRDefault="00CD0562" w:rsidP="00D17CB6">
      <w:pPr>
        <w:autoSpaceDE w:val="0"/>
        <w:autoSpaceDN w:val="0"/>
        <w:adjustRightInd w:val="0"/>
        <w:jc w:val="both"/>
        <w:rPr>
          <w:kern w:val="20"/>
          <w:sz w:val="22"/>
          <w:szCs w:val="22"/>
          <w:lang w:val="en-AU"/>
        </w:rPr>
      </w:pPr>
      <w:r w:rsidRPr="00CD0562">
        <w:rPr>
          <w:kern w:val="20"/>
          <w:sz w:val="22"/>
          <w:szCs w:val="22"/>
          <w:lang w:val="en-AU"/>
        </w:rPr>
        <w:t xml:space="preserve">AFMA has determined that the </w:t>
      </w:r>
      <w:r w:rsidRPr="00F432D4">
        <w:rPr>
          <w:i/>
          <w:kern w:val="20"/>
          <w:sz w:val="22"/>
          <w:szCs w:val="22"/>
          <w:lang w:val="en-AU"/>
        </w:rPr>
        <w:t xml:space="preserve">Southern Bluefin Tuna Management Plan 1995 </w:t>
      </w:r>
      <w:r w:rsidRPr="00CD0562">
        <w:rPr>
          <w:kern w:val="20"/>
          <w:sz w:val="22"/>
          <w:szCs w:val="22"/>
          <w:lang w:val="en-AU"/>
        </w:rPr>
        <w:t xml:space="preserve">is the best place to reflect this agreement. It </w:t>
      </w:r>
      <w:proofErr w:type="gramStart"/>
      <w:r w:rsidRPr="00CD0562">
        <w:rPr>
          <w:kern w:val="20"/>
          <w:sz w:val="22"/>
          <w:szCs w:val="22"/>
          <w:lang w:val="en-AU"/>
        </w:rPr>
        <w:t>is proposed</w:t>
      </w:r>
      <w:proofErr w:type="gramEnd"/>
      <w:r w:rsidRPr="00CD0562">
        <w:rPr>
          <w:kern w:val="20"/>
          <w:sz w:val="22"/>
          <w:szCs w:val="22"/>
          <w:lang w:val="en-AU"/>
        </w:rPr>
        <w:t xml:space="preserve"> to amend clause 17.2 of the Plan, which currently states that AFMA cannot set the TAC higher than the CCSBT allocation.  </w:t>
      </w:r>
    </w:p>
    <w:p w:rsidR="00CD0562" w:rsidRPr="00CD0562" w:rsidRDefault="00CD0562" w:rsidP="00D17CB6">
      <w:pPr>
        <w:autoSpaceDE w:val="0"/>
        <w:autoSpaceDN w:val="0"/>
        <w:adjustRightInd w:val="0"/>
        <w:jc w:val="both"/>
        <w:rPr>
          <w:kern w:val="20"/>
          <w:sz w:val="22"/>
          <w:szCs w:val="22"/>
          <w:lang w:val="en-AU"/>
        </w:rPr>
      </w:pPr>
    </w:p>
    <w:p w:rsidR="0035487D" w:rsidRDefault="00CD0562" w:rsidP="00D17CB6">
      <w:pPr>
        <w:autoSpaceDE w:val="0"/>
        <w:autoSpaceDN w:val="0"/>
        <w:adjustRightInd w:val="0"/>
        <w:jc w:val="both"/>
        <w:rPr>
          <w:kern w:val="20"/>
          <w:sz w:val="22"/>
          <w:szCs w:val="22"/>
          <w:lang w:val="en-AU"/>
        </w:rPr>
      </w:pPr>
      <w:r w:rsidRPr="00922D7F">
        <w:rPr>
          <w:kern w:val="20"/>
          <w:sz w:val="22"/>
          <w:szCs w:val="22"/>
          <w:lang w:val="en-AU"/>
        </w:rPr>
        <w:t xml:space="preserve">Clause 17.2 (and all other relevant clauses) would be amended to state that AFMA </w:t>
      </w:r>
      <w:proofErr w:type="gramStart"/>
      <w:r w:rsidRPr="00922D7F">
        <w:rPr>
          <w:kern w:val="20"/>
          <w:sz w:val="22"/>
          <w:szCs w:val="22"/>
          <w:lang w:val="en-AU"/>
        </w:rPr>
        <w:t>cannot</w:t>
      </w:r>
      <w:proofErr w:type="gramEnd"/>
      <w:r w:rsidRPr="00922D7F">
        <w:rPr>
          <w:kern w:val="20"/>
          <w:sz w:val="22"/>
          <w:szCs w:val="22"/>
          <w:lang w:val="en-AU"/>
        </w:rPr>
        <w:t xml:space="preserve"> set the TAC higher than 95 per cent of the CCSBT allocation.</w:t>
      </w:r>
      <w:r w:rsidR="00244763" w:rsidRPr="00922D7F">
        <w:t xml:space="preserve"> </w:t>
      </w:r>
      <w:r w:rsidR="00D17CB6" w:rsidRPr="00922D7F">
        <w:rPr>
          <w:kern w:val="20"/>
          <w:sz w:val="22"/>
          <w:szCs w:val="22"/>
          <w:lang w:val="en-AU"/>
        </w:rPr>
        <w:t>This (set aside) means that 95 per cent</w:t>
      </w:r>
      <w:r w:rsidR="00244763" w:rsidRPr="00922D7F">
        <w:rPr>
          <w:kern w:val="20"/>
          <w:sz w:val="22"/>
          <w:szCs w:val="22"/>
          <w:lang w:val="en-AU"/>
        </w:rPr>
        <w:t xml:space="preserve"> of Australia’s CCSBT allocation will be set aside for the commercial sector.</w:t>
      </w:r>
      <w:r w:rsidRPr="00922D7F">
        <w:rPr>
          <w:kern w:val="20"/>
          <w:sz w:val="22"/>
          <w:szCs w:val="22"/>
          <w:lang w:val="en-AU"/>
        </w:rPr>
        <w:t xml:space="preserve"> Effectively this will leave 5 per cent of the CCSBT allocation </w:t>
      </w:r>
      <w:r w:rsidR="00CB2D70" w:rsidRPr="00922D7F">
        <w:rPr>
          <w:kern w:val="20"/>
          <w:sz w:val="22"/>
          <w:szCs w:val="22"/>
          <w:lang w:val="en-AU"/>
        </w:rPr>
        <w:t>for</w:t>
      </w:r>
      <w:r w:rsidRPr="00922D7F">
        <w:rPr>
          <w:kern w:val="20"/>
          <w:sz w:val="22"/>
          <w:szCs w:val="22"/>
          <w:lang w:val="en-AU"/>
        </w:rPr>
        <w:t xml:space="preserve"> recreational catch, which will still be managed by the relevant state governments through bag and possession limits.</w:t>
      </w:r>
    </w:p>
    <w:p w:rsidR="00343A40" w:rsidRDefault="00343A40" w:rsidP="00D17CB6">
      <w:pPr>
        <w:autoSpaceDE w:val="0"/>
        <w:autoSpaceDN w:val="0"/>
        <w:adjustRightInd w:val="0"/>
        <w:jc w:val="both"/>
        <w:rPr>
          <w:kern w:val="20"/>
          <w:sz w:val="22"/>
          <w:szCs w:val="22"/>
          <w:lang w:val="en-AU"/>
        </w:rPr>
      </w:pPr>
      <w:bookmarkStart w:id="0" w:name="_GoBack"/>
      <w:bookmarkEnd w:id="0"/>
    </w:p>
    <w:p w:rsidR="00343A40" w:rsidRDefault="00343A40" w:rsidP="00D17CB6">
      <w:pPr>
        <w:autoSpaceDE w:val="0"/>
        <w:autoSpaceDN w:val="0"/>
        <w:adjustRightInd w:val="0"/>
        <w:jc w:val="both"/>
        <w:rPr>
          <w:kern w:val="20"/>
          <w:sz w:val="22"/>
          <w:szCs w:val="22"/>
          <w:lang w:val="en-AU"/>
        </w:rPr>
      </w:pPr>
      <w:r w:rsidRPr="00343A40">
        <w:rPr>
          <w:kern w:val="20"/>
          <w:sz w:val="22"/>
          <w:szCs w:val="22"/>
          <w:lang w:val="en-AU"/>
        </w:rPr>
        <w:t xml:space="preserve">A number of other minor amendments relating to changes to the CCSBT reference point due to the agreement of a new management procedure and updating references to the now repealed </w:t>
      </w:r>
      <w:r w:rsidRPr="00343A40">
        <w:rPr>
          <w:i/>
          <w:kern w:val="20"/>
          <w:sz w:val="22"/>
          <w:szCs w:val="22"/>
          <w:lang w:val="en-AU"/>
        </w:rPr>
        <w:t>Fisheries Management Regulations 1992</w:t>
      </w:r>
      <w:r>
        <w:rPr>
          <w:i/>
          <w:kern w:val="20"/>
          <w:sz w:val="22"/>
          <w:szCs w:val="22"/>
          <w:lang w:val="en-AU"/>
        </w:rPr>
        <w:t xml:space="preserve"> </w:t>
      </w:r>
      <w:r w:rsidRPr="00343A40">
        <w:rPr>
          <w:kern w:val="20"/>
          <w:sz w:val="22"/>
          <w:szCs w:val="22"/>
          <w:lang w:val="en-AU"/>
        </w:rPr>
        <w:t>have also been included in the process.</w:t>
      </w:r>
      <w:r>
        <w:rPr>
          <w:i/>
          <w:kern w:val="20"/>
          <w:sz w:val="22"/>
          <w:szCs w:val="22"/>
          <w:lang w:val="en-AU"/>
        </w:rPr>
        <w:t xml:space="preserve"> </w:t>
      </w:r>
    </w:p>
    <w:p w:rsidR="00020854" w:rsidRDefault="00020854" w:rsidP="00D17CB6">
      <w:pPr>
        <w:autoSpaceDE w:val="0"/>
        <w:autoSpaceDN w:val="0"/>
        <w:adjustRightInd w:val="0"/>
        <w:jc w:val="both"/>
        <w:rPr>
          <w:b/>
          <w:bCs/>
          <w:sz w:val="22"/>
          <w:szCs w:val="22"/>
        </w:rPr>
      </w:pPr>
    </w:p>
    <w:p w:rsidR="00326704" w:rsidRPr="00CB2D70" w:rsidRDefault="00326704" w:rsidP="00D17CB6">
      <w:pPr>
        <w:autoSpaceDE w:val="0"/>
        <w:autoSpaceDN w:val="0"/>
        <w:adjustRightInd w:val="0"/>
        <w:jc w:val="both"/>
        <w:rPr>
          <w:b/>
          <w:bCs/>
          <w:sz w:val="22"/>
          <w:szCs w:val="22"/>
        </w:rPr>
      </w:pPr>
      <w:r w:rsidRPr="00CB2D70">
        <w:rPr>
          <w:b/>
          <w:bCs/>
          <w:sz w:val="22"/>
          <w:szCs w:val="22"/>
        </w:rPr>
        <w:t>Consultation</w:t>
      </w:r>
    </w:p>
    <w:p w:rsidR="00A14E58" w:rsidRPr="000C4A1B" w:rsidRDefault="00854E19" w:rsidP="00D17CB6">
      <w:pPr>
        <w:spacing w:before="220"/>
        <w:jc w:val="both"/>
        <w:rPr>
          <w:iCs/>
          <w:sz w:val="22"/>
          <w:szCs w:val="22"/>
          <w:lang w:val="en-AU" w:eastAsia="en-AU"/>
        </w:rPr>
      </w:pPr>
      <w:r w:rsidRPr="000C4A1B">
        <w:rPr>
          <w:iCs/>
          <w:sz w:val="22"/>
          <w:szCs w:val="22"/>
          <w:lang w:val="en-AU" w:eastAsia="en-AU"/>
        </w:rPr>
        <w:t>T</w:t>
      </w:r>
      <w:r w:rsidR="00A14E58" w:rsidRPr="000C4A1B">
        <w:rPr>
          <w:iCs/>
          <w:sz w:val="22"/>
          <w:szCs w:val="22"/>
          <w:lang w:val="en-AU" w:eastAsia="en-AU"/>
        </w:rPr>
        <w:t xml:space="preserve">he Plan amendment is the practical implementation of the Federal </w:t>
      </w:r>
      <w:r w:rsidR="00020854" w:rsidRPr="000C4A1B">
        <w:rPr>
          <w:iCs/>
          <w:sz w:val="22"/>
          <w:szCs w:val="22"/>
          <w:lang w:val="en-AU" w:eastAsia="en-AU"/>
        </w:rPr>
        <w:t>Government’s</w:t>
      </w:r>
      <w:r w:rsidR="00A14E58" w:rsidRPr="000C4A1B">
        <w:rPr>
          <w:iCs/>
          <w:sz w:val="22"/>
          <w:szCs w:val="22"/>
          <w:lang w:val="en-AU" w:eastAsia="en-AU"/>
        </w:rPr>
        <w:t xml:space="preserve"> commitment to set aside five per cent of Australia’s CCSBT allocation for recreational fishing. The commitment </w:t>
      </w:r>
      <w:r w:rsidR="00A14E58" w:rsidRPr="000C4A1B">
        <w:rPr>
          <w:iCs/>
          <w:sz w:val="22"/>
          <w:szCs w:val="22"/>
          <w:lang w:val="en-AU" w:eastAsia="en-AU"/>
        </w:rPr>
        <w:lastRenderedPageBreak/>
        <w:t>to the set aside was made after considerable consultation with recreational and commercial stakeholders.</w:t>
      </w:r>
    </w:p>
    <w:p w:rsidR="001A605D" w:rsidRPr="000C4A1B" w:rsidRDefault="00A14E58" w:rsidP="00D17CB6">
      <w:pPr>
        <w:spacing w:before="220"/>
        <w:jc w:val="both"/>
        <w:rPr>
          <w:iCs/>
          <w:sz w:val="22"/>
          <w:szCs w:val="22"/>
          <w:lang w:val="en-AU" w:eastAsia="en-AU"/>
        </w:rPr>
      </w:pPr>
      <w:r w:rsidRPr="000C4A1B">
        <w:rPr>
          <w:iCs/>
          <w:sz w:val="22"/>
          <w:szCs w:val="22"/>
          <w:lang w:val="en-AU" w:eastAsia="en-AU"/>
        </w:rPr>
        <w:t xml:space="preserve">In accordance with the requirements of the </w:t>
      </w:r>
      <w:r w:rsidRPr="000C4A1B">
        <w:rPr>
          <w:i/>
          <w:iCs/>
          <w:sz w:val="22"/>
          <w:szCs w:val="22"/>
          <w:lang w:val="en-AU" w:eastAsia="en-AU"/>
        </w:rPr>
        <w:t>Fisheries Management Act 1991</w:t>
      </w:r>
      <w:r w:rsidR="00D33300" w:rsidRPr="000C4A1B">
        <w:rPr>
          <w:i/>
          <w:iCs/>
          <w:sz w:val="22"/>
          <w:szCs w:val="22"/>
          <w:lang w:val="en-AU" w:eastAsia="en-AU"/>
        </w:rPr>
        <w:t>,</w:t>
      </w:r>
      <w:r w:rsidR="001A605D" w:rsidRPr="000C4A1B">
        <w:t xml:space="preserve"> </w:t>
      </w:r>
      <w:r w:rsidR="001A605D" w:rsidRPr="000C4A1B">
        <w:rPr>
          <w:iCs/>
          <w:sz w:val="22"/>
          <w:szCs w:val="22"/>
          <w:lang w:val="en-AU" w:eastAsia="en-AU"/>
        </w:rPr>
        <w:t xml:space="preserve">the Plan amendment was released for public comment on 5 August 2020. Public comments closed on 7 September 2020. A total of twenty seven written submissions were received. All submissions supported the amendments as proposed. </w:t>
      </w:r>
    </w:p>
    <w:p w:rsidR="00854E19" w:rsidRPr="000C4A1B" w:rsidRDefault="00854E19" w:rsidP="00D17CB6">
      <w:pPr>
        <w:spacing w:before="220"/>
        <w:jc w:val="both"/>
        <w:rPr>
          <w:iCs/>
          <w:sz w:val="22"/>
          <w:szCs w:val="22"/>
          <w:lang w:val="en-AU" w:eastAsia="en-AU"/>
        </w:rPr>
      </w:pPr>
      <w:r w:rsidRPr="000C4A1B">
        <w:rPr>
          <w:iCs/>
          <w:sz w:val="22"/>
          <w:szCs w:val="22"/>
          <w:lang w:val="en-AU" w:eastAsia="en-AU"/>
        </w:rPr>
        <w:t xml:space="preserve">The Southern Bluefin Tuna Management Advisory Committee (SBTMAC) recently considered the Plan amendment and </w:t>
      </w:r>
      <w:r w:rsidR="001A605D" w:rsidRPr="000C4A1B">
        <w:rPr>
          <w:iCs/>
          <w:sz w:val="22"/>
          <w:szCs w:val="22"/>
          <w:lang w:val="en-AU" w:eastAsia="en-AU"/>
        </w:rPr>
        <w:t xml:space="preserve">public comments received and </w:t>
      </w:r>
      <w:r w:rsidRPr="000C4A1B">
        <w:rPr>
          <w:iCs/>
          <w:sz w:val="22"/>
          <w:szCs w:val="22"/>
          <w:lang w:val="en-AU" w:eastAsia="en-AU"/>
        </w:rPr>
        <w:t>recommended to the Authority’s Commission that i</w:t>
      </w:r>
      <w:r w:rsidR="001A605D" w:rsidRPr="000C4A1B">
        <w:rPr>
          <w:iCs/>
          <w:sz w:val="22"/>
          <w:szCs w:val="22"/>
          <w:lang w:val="en-AU" w:eastAsia="en-AU"/>
        </w:rPr>
        <w:t xml:space="preserve">t be considered for approval without amendment. </w:t>
      </w:r>
    </w:p>
    <w:p w:rsidR="000B7760" w:rsidRDefault="00854E19" w:rsidP="00D17CB6">
      <w:pPr>
        <w:spacing w:before="220"/>
        <w:jc w:val="both"/>
        <w:rPr>
          <w:iCs/>
          <w:sz w:val="22"/>
          <w:szCs w:val="22"/>
          <w:lang w:val="en-AU" w:eastAsia="en-AU"/>
        </w:rPr>
      </w:pPr>
      <w:r w:rsidRPr="000C4A1B">
        <w:rPr>
          <w:iCs/>
          <w:sz w:val="22"/>
          <w:szCs w:val="22"/>
          <w:lang w:val="en-AU" w:eastAsia="en-AU"/>
        </w:rPr>
        <w:t xml:space="preserve">The Authority’s Commission approved the Plan </w:t>
      </w:r>
      <w:r w:rsidR="00D33300" w:rsidRPr="000C4A1B">
        <w:rPr>
          <w:iCs/>
          <w:sz w:val="22"/>
          <w:szCs w:val="22"/>
          <w:lang w:val="en-AU" w:eastAsia="en-AU"/>
        </w:rPr>
        <w:t>amendment on 22 September 2020</w:t>
      </w:r>
      <w:r w:rsidRPr="000C4A1B">
        <w:rPr>
          <w:iCs/>
          <w:sz w:val="22"/>
          <w:szCs w:val="22"/>
          <w:lang w:val="en-AU" w:eastAsia="en-AU"/>
        </w:rPr>
        <w:t>.</w:t>
      </w:r>
    </w:p>
    <w:p w:rsidR="00303A4B" w:rsidRDefault="00303A4B" w:rsidP="00D17CB6">
      <w:pPr>
        <w:spacing w:before="220"/>
        <w:jc w:val="both"/>
        <w:rPr>
          <w:iCs/>
          <w:sz w:val="22"/>
          <w:szCs w:val="22"/>
          <w:lang w:val="en-AU" w:eastAsia="en-AU"/>
        </w:rPr>
      </w:pPr>
    </w:p>
    <w:p w:rsidR="000B7760" w:rsidRPr="00CB2D70" w:rsidRDefault="000B7760" w:rsidP="00D17CB6">
      <w:pPr>
        <w:autoSpaceDE w:val="0"/>
        <w:autoSpaceDN w:val="0"/>
        <w:adjustRightInd w:val="0"/>
        <w:jc w:val="both"/>
        <w:rPr>
          <w:b/>
          <w:bCs/>
          <w:sz w:val="22"/>
          <w:szCs w:val="22"/>
        </w:rPr>
      </w:pPr>
      <w:r w:rsidRPr="00CB2D70">
        <w:rPr>
          <w:b/>
          <w:bCs/>
          <w:sz w:val="22"/>
          <w:szCs w:val="22"/>
        </w:rPr>
        <w:t>Regulation Impact Statement</w:t>
      </w:r>
    </w:p>
    <w:p w:rsidR="000B7760" w:rsidRPr="00CB2D70" w:rsidRDefault="000B7760" w:rsidP="00D17CB6">
      <w:pPr>
        <w:autoSpaceDE w:val="0"/>
        <w:autoSpaceDN w:val="0"/>
        <w:adjustRightInd w:val="0"/>
        <w:jc w:val="both"/>
        <w:rPr>
          <w:b/>
          <w:bCs/>
          <w:sz w:val="22"/>
          <w:szCs w:val="22"/>
        </w:rPr>
      </w:pPr>
    </w:p>
    <w:p w:rsidR="000B7760" w:rsidRDefault="000B7760" w:rsidP="00D17CB6">
      <w:pPr>
        <w:spacing w:after="200" w:line="276" w:lineRule="auto"/>
        <w:jc w:val="both"/>
        <w:rPr>
          <w:sz w:val="22"/>
          <w:szCs w:val="22"/>
          <w:lang w:val="en-AU" w:eastAsia="en-AU"/>
        </w:rPr>
      </w:pPr>
      <w:r w:rsidRPr="00376D10">
        <w:rPr>
          <w:rFonts w:eastAsiaTheme="minorHAnsi"/>
          <w:color w:val="000000"/>
          <w:sz w:val="22"/>
          <w:szCs w:val="22"/>
          <w:lang w:val="en-AU"/>
        </w:rPr>
        <w:t xml:space="preserve">The Office of Best Practice Regulation considered that the proposal is unlikely to have a more than minor </w:t>
      </w:r>
      <w:r w:rsidR="00D17CB6">
        <w:rPr>
          <w:rFonts w:eastAsiaTheme="minorHAnsi"/>
          <w:color w:val="000000"/>
          <w:sz w:val="22"/>
          <w:szCs w:val="22"/>
          <w:lang w:val="en-AU"/>
        </w:rPr>
        <w:t>regulatory impact and therefore</w:t>
      </w:r>
      <w:r w:rsidRPr="00376D10">
        <w:rPr>
          <w:rFonts w:eastAsiaTheme="minorHAnsi"/>
          <w:color w:val="000000"/>
          <w:sz w:val="22"/>
          <w:szCs w:val="22"/>
          <w:lang w:val="en-AU"/>
        </w:rPr>
        <w:t xml:space="preserve"> the preparation of a Regulation Impact Statement was not required for the proposal (Exemption ID 42937).</w:t>
      </w:r>
      <w:r w:rsidRPr="00CB2D70">
        <w:rPr>
          <w:sz w:val="22"/>
          <w:szCs w:val="22"/>
          <w:lang w:val="en-AU" w:eastAsia="en-AU"/>
        </w:rPr>
        <w:t xml:space="preserve"> </w:t>
      </w:r>
    </w:p>
    <w:p w:rsidR="000B7760" w:rsidRPr="00DA3710" w:rsidRDefault="000B7760" w:rsidP="00D17CB6">
      <w:pPr>
        <w:autoSpaceDE w:val="0"/>
        <w:autoSpaceDN w:val="0"/>
        <w:adjustRightInd w:val="0"/>
        <w:jc w:val="both"/>
        <w:rPr>
          <w:b/>
          <w:bCs/>
          <w:sz w:val="22"/>
          <w:szCs w:val="22"/>
        </w:rPr>
      </w:pPr>
      <w:r w:rsidRPr="00DA3710">
        <w:rPr>
          <w:b/>
          <w:bCs/>
          <w:sz w:val="22"/>
          <w:szCs w:val="22"/>
        </w:rPr>
        <w:t>Statement of compatibility prepared in accordance with Part 3 of the Human Rights (Parliamentary Scrutiny) Act 2011</w:t>
      </w:r>
    </w:p>
    <w:p w:rsidR="000B7760" w:rsidRPr="000B7760" w:rsidRDefault="000B7760" w:rsidP="00D17CB6">
      <w:pPr>
        <w:shd w:val="clear" w:color="auto" w:fill="FFFFFF"/>
        <w:spacing w:before="120" w:after="120"/>
        <w:jc w:val="both"/>
        <w:rPr>
          <w:color w:val="000000"/>
          <w:sz w:val="20"/>
          <w:szCs w:val="20"/>
          <w:lang w:val="en-AU" w:eastAsia="en-AU"/>
        </w:rPr>
      </w:pPr>
      <w:r w:rsidRPr="00DA3710">
        <w:rPr>
          <w:rFonts w:eastAsiaTheme="minorHAnsi"/>
          <w:color w:val="000000"/>
          <w:sz w:val="22"/>
          <w:szCs w:val="22"/>
          <w:lang w:val="en-AU"/>
        </w:rPr>
        <w:t>This legislative instrument is compatible with the human rights and freedoms under section 3 of the</w:t>
      </w:r>
      <w:r w:rsidRPr="000B7760">
        <w:rPr>
          <w:color w:val="000000"/>
          <w:sz w:val="22"/>
          <w:szCs w:val="22"/>
          <w:lang w:val="en-AU" w:eastAsia="en-AU"/>
        </w:rPr>
        <w:t> </w:t>
      </w:r>
      <w:r w:rsidRPr="000B7760">
        <w:rPr>
          <w:i/>
          <w:iCs/>
          <w:color w:val="000000"/>
          <w:sz w:val="22"/>
          <w:szCs w:val="22"/>
          <w:lang w:val="en-AU" w:eastAsia="en-AU"/>
        </w:rPr>
        <w:t>Human Rights (Parliamentary Scrutiny) Act 2011</w:t>
      </w:r>
      <w:r w:rsidRPr="000B7760">
        <w:rPr>
          <w:color w:val="000000"/>
          <w:sz w:val="22"/>
          <w:szCs w:val="22"/>
          <w:lang w:val="en-AU" w:eastAsia="en-AU"/>
        </w:rPr>
        <w:t>.</w:t>
      </w:r>
      <w:r>
        <w:rPr>
          <w:color w:val="000000"/>
          <w:sz w:val="22"/>
          <w:szCs w:val="22"/>
          <w:lang w:val="en-AU" w:eastAsia="en-AU"/>
        </w:rPr>
        <w:t xml:space="preserve"> </w:t>
      </w:r>
      <w:r w:rsidR="0004153B">
        <w:rPr>
          <w:color w:val="000000"/>
          <w:sz w:val="22"/>
          <w:szCs w:val="22"/>
          <w:shd w:val="clear" w:color="auto" w:fill="FFFFFF"/>
        </w:rPr>
        <w:t>A full statement of compatibility is set out in </w:t>
      </w:r>
      <w:r w:rsidR="0004153B">
        <w:rPr>
          <w:b/>
          <w:bCs/>
          <w:color w:val="000000"/>
          <w:sz w:val="22"/>
          <w:szCs w:val="22"/>
          <w:u w:val="single"/>
          <w:shd w:val="clear" w:color="auto" w:fill="FFFFFF"/>
        </w:rPr>
        <w:t>Attachment A</w:t>
      </w:r>
      <w:r w:rsidR="0004153B">
        <w:rPr>
          <w:color w:val="000000"/>
          <w:sz w:val="22"/>
          <w:szCs w:val="22"/>
          <w:shd w:val="clear" w:color="auto" w:fill="FFFFFF"/>
        </w:rPr>
        <w:t>.</w:t>
      </w:r>
    </w:p>
    <w:p w:rsidR="00854E19" w:rsidRPr="00CB2D70" w:rsidRDefault="00854E19" w:rsidP="00D17CB6">
      <w:pPr>
        <w:spacing w:before="220"/>
        <w:jc w:val="both"/>
        <w:rPr>
          <w:iCs/>
          <w:sz w:val="22"/>
          <w:szCs w:val="22"/>
          <w:lang w:val="en-AU" w:eastAsia="en-AU"/>
        </w:rPr>
      </w:pPr>
    </w:p>
    <w:p w:rsidR="00472088" w:rsidRPr="00CB2D70" w:rsidRDefault="00472088" w:rsidP="00D17CB6">
      <w:pPr>
        <w:autoSpaceDE w:val="0"/>
        <w:autoSpaceDN w:val="0"/>
        <w:adjustRightInd w:val="0"/>
        <w:jc w:val="both"/>
        <w:rPr>
          <w:b/>
          <w:bCs/>
          <w:sz w:val="22"/>
          <w:szCs w:val="22"/>
        </w:rPr>
      </w:pPr>
      <w:r w:rsidRPr="00CB2D70">
        <w:rPr>
          <w:b/>
          <w:bCs/>
          <w:sz w:val="22"/>
          <w:szCs w:val="22"/>
        </w:rPr>
        <w:t>Contents of the Plan amendment</w:t>
      </w:r>
    </w:p>
    <w:p w:rsidR="008B2D8D" w:rsidRPr="00CB2D70" w:rsidRDefault="008B2D8D" w:rsidP="00D17CB6">
      <w:pPr>
        <w:autoSpaceDE w:val="0"/>
        <w:autoSpaceDN w:val="0"/>
        <w:adjustRightInd w:val="0"/>
        <w:jc w:val="both"/>
        <w:rPr>
          <w:b/>
          <w:bCs/>
          <w:sz w:val="22"/>
          <w:szCs w:val="22"/>
        </w:rPr>
      </w:pPr>
    </w:p>
    <w:p w:rsidR="00472088" w:rsidRPr="00CB2D70" w:rsidRDefault="000D17E1" w:rsidP="00D17CB6">
      <w:pPr>
        <w:pStyle w:val="Default"/>
        <w:jc w:val="both"/>
        <w:rPr>
          <w:rFonts w:ascii="Times New Roman" w:hAnsi="Times New Roman" w:cs="Times New Roman"/>
          <w:sz w:val="22"/>
          <w:szCs w:val="22"/>
        </w:rPr>
      </w:pPr>
      <w:r w:rsidRPr="00CB2D70">
        <w:rPr>
          <w:rFonts w:ascii="Times New Roman" w:hAnsi="Times New Roman" w:cs="Times New Roman"/>
          <w:b/>
          <w:sz w:val="22"/>
          <w:szCs w:val="22"/>
        </w:rPr>
        <w:t>Part 1. Name</w:t>
      </w:r>
      <w:r w:rsidRPr="00CB2D70">
        <w:rPr>
          <w:rFonts w:ascii="Times New Roman" w:hAnsi="Times New Roman" w:cs="Times New Roman"/>
          <w:sz w:val="22"/>
          <w:szCs w:val="22"/>
        </w:rPr>
        <w:t xml:space="preserve"> </w:t>
      </w:r>
      <w:r w:rsidR="008B2D8D" w:rsidRPr="00CB2D70">
        <w:rPr>
          <w:rFonts w:ascii="Times New Roman" w:hAnsi="Times New Roman" w:cs="Times New Roman"/>
          <w:sz w:val="22"/>
          <w:szCs w:val="22"/>
        </w:rPr>
        <w:t xml:space="preserve">- </w:t>
      </w:r>
      <w:r w:rsidRPr="00CB2D70">
        <w:rPr>
          <w:rFonts w:ascii="Times New Roman" w:hAnsi="Times New Roman" w:cs="Times New Roman"/>
          <w:sz w:val="22"/>
          <w:szCs w:val="22"/>
        </w:rPr>
        <w:t xml:space="preserve">This instrument is the </w:t>
      </w:r>
      <w:r w:rsidRPr="00F86399">
        <w:rPr>
          <w:rFonts w:ascii="Times New Roman" w:hAnsi="Times New Roman" w:cs="Times New Roman"/>
          <w:i/>
          <w:sz w:val="22"/>
          <w:szCs w:val="22"/>
        </w:rPr>
        <w:t>Southern Bluefin Tuna Fishery Management Amendment (Recreational Fishing) Plan 2020.</w:t>
      </w:r>
    </w:p>
    <w:p w:rsidR="008B2D8D" w:rsidRPr="00CB2D70" w:rsidRDefault="008B2D8D" w:rsidP="00D17CB6">
      <w:pPr>
        <w:pStyle w:val="Default"/>
        <w:jc w:val="both"/>
        <w:rPr>
          <w:rFonts w:ascii="Times New Roman" w:hAnsi="Times New Roman" w:cs="Times New Roman"/>
          <w:sz w:val="22"/>
          <w:szCs w:val="22"/>
        </w:rPr>
      </w:pPr>
    </w:p>
    <w:p w:rsidR="008B2D8D" w:rsidRPr="00CB2D70" w:rsidRDefault="008B2D8D" w:rsidP="00D17CB6">
      <w:pPr>
        <w:pStyle w:val="Default"/>
        <w:jc w:val="both"/>
        <w:rPr>
          <w:rFonts w:ascii="Times New Roman" w:hAnsi="Times New Roman" w:cs="Times New Roman"/>
          <w:sz w:val="22"/>
          <w:szCs w:val="22"/>
        </w:rPr>
      </w:pPr>
      <w:r w:rsidRPr="00CB2D70">
        <w:rPr>
          <w:rFonts w:ascii="Times New Roman" w:hAnsi="Times New Roman" w:cs="Times New Roman"/>
          <w:b/>
          <w:sz w:val="22"/>
          <w:szCs w:val="22"/>
        </w:rPr>
        <w:t>Part 2. Commencement</w:t>
      </w:r>
      <w:r w:rsidRPr="00CB2D70">
        <w:rPr>
          <w:rFonts w:ascii="Times New Roman" w:hAnsi="Times New Roman" w:cs="Times New Roman"/>
          <w:sz w:val="22"/>
          <w:szCs w:val="22"/>
        </w:rPr>
        <w:t xml:space="preserve"> - The whole of this instrument commences the day after this instrument is registered.</w:t>
      </w:r>
    </w:p>
    <w:p w:rsidR="008B2D8D" w:rsidRPr="00CB2D70" w:rsidRDefault="008B2D8D" w:rsidP="00D17CB6">
      <w:pPr>
        <w:pStyle w:val="Default"/>
        <w:jc w:val="both"/>
        <w:rPr>
          <w:rFonts w:ascii="Times New Roman" w:hAnsi="Times New Roman" w:cs="Times New Roman"/>
          <w:sz w:val="22"/>
          <w:szCs w:val="22"/>
        </w:rPr>
      </w:pPr>
    </w:p>
    <w:p w:rsidR="008B2D8D" w:rsidRPr="00CB2D70" w:rsidRDefault="008B2D8D" w:rsidP="00D17CB6">
      <w:pPr>
        <w:pStyle w:val="Default"/>
        <w:jc w:val="both"/>
        <w:rPr>
          <w:rFonts w:ascii="Times New Roman" w:hAnsi="Times New Roman" w:cs="Times New Roman"/>
          <w:sz w:val="22"/>
          <w:szCs w:val="22"/>
        </w:rPr>
      </w:pPr>
      <w:r w:rsidRPr="00CB2D70">
        <w:rPr>
          <w:rFonts w:ascii="Times New Roman" w:hAnsi="Times New Roman" w:cs="Times New Roman"/>
          <w:b/>
          <w:sz w:val="22"/>
          <w:szCs w:val="22"/>
        </w:rPr>
        <w:t>Part 3. Authority</w:t>
      </w:r>
      <w:r w:rsidRPr="00CB2D70">
        <w:rPr>
          <w:rFonts w:ascii="Times New Roman" w:hAnsi="Times New Roman" w:cs="Times New Roman"/>
          <w:sz w:val="22"/>
          <w:szCs w:val="22"/>
        </w:rPr>
        <w:t xml:space="preserve"> - This instrument is made under section 20 of the</w:t>
      </w:r>
      <w:r w:rsidRPr="00CB2D70">
        <w:rPr>
          <w:rFonts w:ascii="Times New Roman" w:hAnsi="Times New Roman" w:cs="Times New Roman"/>
          <w:i/>
          <w:sz w:val="22"/>
          <w:szCs w:val="22"/>
        </w:rPr>
        <w:t xml:space="preserve"> Fisheries Management Act 1991</w:t>
      </w:r>
      <w:r w:rsidRPr="00CB2D70">
        <w:rPr>
          <w:rFonts w:ascii="Times New Roman" w:hAnsi="Times New Roman" w:cs="Times New Roman"/>
          <w:sz w:val="22"/>
          <w:szCs w:val="22"/>
        </w:rPr>
        <w:t>.</w:t>
      </w:r>
    </w:p>
    <w:p w:rsidR="00020854" w:rsidRDefault="00F86399" w:rsidP="00D17CB6">
      <w:pPr>
        <w:spacing w:before="100" w:beforeAutospacing="1" w:after="100" w:afterAutospacing="1"/>
        <w:jc w:val="both"/>
        <w:rPr>
          <w:b/>
          <w:sz w:val="22"/>
          <w:szCs w:val="22"/>
          <w:lang w:val="en-AU"/>
        </w:rPr>
      </w:pPr>
      <w:r>
        <w:rPr>
          <w:b/>
          <w:sz w:val="22"/>
          <w:szCs w:val="22"/>
          <w:lang w:val="en-AU"/>
        </w:rPr>
        <w:t>Part 4. Schedules -</w:t>
      </w:r>
      <w:r w:rsidRPr="00F86399">
        <w:t xml:space="preserve"> </w:t>
      </w:r>
      <w:r w:rsidRPr="00F86399">
        <w:rPr>
          <w:sz w:val="22"/>
          <w:szCs w:val="22"/>
          <w:lang w:val="en-AU"/>
        </w:rPr>
        <w:t xml:space="preserve">Each instrument that </w:t>
      </w:r>
      <w:proofErr w:type="gramStart"/>
      <w:r w:rsidRPr="00F86399">
        <w:rPr>
          <w:sz w:val="22"/>
          <w:szCs w:val="22"/>
          <w:lang w:val="en-AU"/>
        </w:rPr>
        <w:t>is specified</w:t>
      </w:r>
      <w:proofErr w:type="gramEnd"/>
      <w:r w:rsidRPr="00F86399">
        <w:rPr>
          <w:sz w:val="22"/>
          <w:szCs w:val="22"/>
          <w:lang w:val="en-AU"/>
        </w:rPr>
        <w:t xml:space="preserve"> in a Schedule to this instrument is amended or repealed as set out in the applicable items in the Schedule concerned, and any other item in a Schedule to this instrument has effect according to its terms.</w:t>
      </w:r>
    </w:p>
    <w:p w:rsidR="00F86399" w:rsidRDefault="00F86399" w:rsidP="00D17CB6">
      <w:pPr>
        <w:spacing w:before="100" w:beforeAutospacing="1" w:after="100" w:afterAutospacing="1"/>
        <w:jc w:val="both"/>
        <w:rPr>
          <w:b/>
          <w:sz w:val="22"/>
          <w:szCs w:val="22"/>
          <w:lang w:val="en-AU"/>
        </w:rPr>
      </w:pPr>
      <w:r w:rsidRPr="00F86399">
        <w:rPr>
          <w:b/>
          <w:sz w:val="22"/>
          <w:szCs w:val="22"/>
          <w:lang w:val="en-AU"/>
        </w:rPr>
        <w:t>Schedule 1—Amendments</w:t>
      </w:r>
    </w:p>
    <w:p w:rsidR="00F86399" w:rsidRPr="00F86399" w:rsidRDefault="00F86399" w:rsidP="00D17CB6">
      <w:pPr>
        <w:spacing w:before="100" w:beforeAutospacing="1" w:after="100" w:afterAutospacing="1"/>
        <w:jc w:val="both"/>
        <w:rPr>
          <w:b/>
          <w:sz w:val="22"/>
          <w:szCs w:val="22"/>
          <w:lang w:val="en-AU"/>
        </w:rPr>
      </w:pPr>
      <w:r w:rsidRPr="00F86399">
        <w:rPr>
          <w:b/>
          <w:bCs/>
          <w:i/>
          <w:iCs/>
          <w:sz w:val="22"/>
          <w:szCs w:val="22"/>
          <w:lang w:val="en-AU"/>
        </w:rPr>
        <w:t xml:space="preserve">Southern Bluefin Tuna Fishery Management Plan 1995 </w:t>
      </w:r>
    </w:p>
    <w:p w:rsidR="00F86399" w:rsidRPr="00F86399" w:rsidRDefault="00F86399" w:rsidP="00D17CB6">
      <w:pPr>
        <w:spacing w:before="100" w:beforeAutospacing="1" w:after="100" w:afterAutospacing="1"/>
        <w:jc w:val="both"/>
        <w:rPr>
          <w:b/>
          <w:sz w:val="22"/>
          <w:szCs w:val="22"/>
          <w:lang w:val="en-AU"/>
        </w:rPr>
      </w:pPr>
      <w:proofErr w:type="gramStart"/>
      <w:r w:rsidRPr="00F86399">
        <w:rPr>
          <w:b/>
          <w:bCs/>
          <w:sz w:val="22"/>
          <w:szCs w:val="22"/>
          <w:lang w:val="en-AU"/>
        </w:rPr>
        <w:t xml:space="preserve">1 </w:t>
      </w:r>
      <w:r w:rsidR="00237F9D">
        <w:rPr>
          <w:b/>
          <w:bCs/>
          <w:sz w:val="22"/>
          <w:szCs w:val="22"/>
          <w:lang w:val="en-AU"/>
        </w:rPr>
        <w:t xml:space="preserve"> </w:t>
      </w:r>
      <w:r w:rsidRPr="00F86399">
        <w:rPr>
          <w:b/>
          <w:bCs/>
          <w:sz w:val="22"/>
          <w:szCs w:val="22"/>
          <w:lang w:val="en-AU"/>
        </w:rPr>
        <w:t>Subclause</w:t>
      </w:r>
      <w:proofErr w:type="gramEnd"/>
      <w:r w:rsidRPr="00F86399">
        <w:rPr>
          <w:b/>
          <w:bCs/>
          <w:sz w:val="22"/>
          <w:szCs w:val="22"/>
          <w:lang w:val="en-AU"/>
        </w:rPr>
        <w:t xml:space="preserve"> 3.2 </w:t>
      </w:r>
    </w:p>
    <w:p w:rsidR="00F86399" w:rsidRDefault="00F86399" w:rsidP="00D17CB6">
      <w:pPr>
        <w:spacing w:before="100" w:beforeAutospacing="1" w:after="100" w:afterAutospacing="1"/>
        <w:ind w:firstLine="708"/>
        <w:jc w:val="both"/>
        <w:rPr>
          <w:sz w:val="22"/>
          <w:szCs w:val="22"/>
          <w:lang w:val="en-AU"/>
        </w:rPr>
      </w:pPr>
      <w:r w:rsidRPr="00755245">
        <w:rPr>
          <w:sz w:val="22"/>
          <w:szCs w:val="22"/>
          <w:lang w:val="en-AU"/>
        </w:rPr>
        <w:t xml:space="preserve">Omit all the words after “AFZ”. </w:t>
      </w:r>
    </w:p>
    <w:p w:rsidR="00B41DEB" w:rsidRPr="00755245" w:rsidRDefault="00B41DEB" w:rsidP="00D17CB6">
      <w:pPr>
        <w:spacing w:before="100" w:beforeAutospacing="1" w:after="100" w:afterAutospacing="1"/>
        <w:jc w:val="both"/>
        <w:rPr>
          <w:sz w:val="22"/>
          <w:szCs w:val="22"/>
          <w:lang w:val="en-AU"/>
        </w:rPr>
      </w:pPr>
      <w:r w:rsidRPr="00B41DEB">
        <w:rPr>
          <w:sz w:val="22"/>
          <w:szCs w:val="22"/>
          <w:lang w:val="en-AU"/>
        </w:rPr>
        <w:lastRenderedPageBreak/>
        <w:t>T</w:t>
      </w:r>
      <w:r>
        <w:rPr>
          <w:sz w:val="22"/>
          <w:szCs w:val="22"/>
          <w:lang w:val="en-AU"/>
        </w:rPr>
        <w:t>hi</w:t>
      </w:r>
      <w:r w:rsidR="00D17CB6">
        <w:rPr>
          <w:sz w:val="22"/>
          <w:szCs w:val="22"/>
          <w:lang w:val="en-AU"/>
        </w:rPr>
        <w:t xml:space="preserve">s paragraph will be repealed. </w:t>
      </w:r>
      <w:r w:rsidRPr="00B41DEB">
        <w:rPr>
          <w:sz w:val="22"/>
          <w:szCs w:val="22"/>
          <w:lang w:val="en-AU"/>
        </w:rPr>
        <w:t xml:space="preserve">It refers to the now repealed </w:t>
      </w:r>
      <w:r w:rsidRPr="000C2B4B">
        <w:rPr>
          <w:i/>
          <w:sz w:val="22"/>
          <w:szCs w:val="22"/>
          <w:lang w:val="en-AU"/>
        </w:rPr>
        <w:t>Fisheries Management Regulations 1992</w:t>
      </w:r>
      <w:r w:rsidR="00D17CB6">
        <w:rPr>
          <w:sz w:val="22"/>
          <w:szCs w:val="22"/>
          <w:lang w:val="en-AU"/>
        </w:rPr>
        <w:t xml:space="preserve"> and to sub regulation</w:t>
      </w:r>
      <w:r w:rsidRPr="00B41DEB">
        <w:rPr>
          <w:sz w:val="22"/>
          <w:szCs w:val="22"/>
          <w:lang w:val="en-AU"/>
        </w:rPr>
        <w:t xml:space="preserve"> 4(3) relating to the high sea zone. The sub regu</w:t>
      </w:r>
      <w:r w:rsidR="00D17CB6">
        <w:rPr>
          <w:sz w:val="22"/>
          <w:szCs w:val="22"/>
          <w:lang w:val="en-AU"/>
        </w:rPr>
        <w:t>lation was removed from the now-</w:t>
      </w:r>
      <w:r w:rsidRPr="00B41DEB">
        <w:rPr>
          <w:sz w:val="22"/>
          <w:szCs w:val="22"/>
          <w:lang w:val="en-AU"/>
        </w:rPr>
        <w:t xml:space="preserve">redundant regulations in 1998 and has since been replaced by a general provision that gives the </w:t>
      </w:r>
      <w:r w:rsidRPr="000C2B4B">
        <w:rPr>
          <w:i/>
          <w:sz w:val="22"/>
          <w:szCs w:val="22"/>
          <w:lang w:val="en-AU"/>
        </w:rPr>
        <w:t>Fisheries Management Act 1991</w:t>
      </w:r>
      <w:r w:rsidR="00D17CB6">
        <w:rPr>
          <w:sz w:val="22"/>
          <w:szCs w:val="22"/>
          <w:lang w:val="en-AU"/>
        </w:rPr>
        <w:t xml:space="preserve"> power over Australian-</w:t>
      </w:r>
      <w:r w:rsidRPr="00B41DEB">
        <w:rPr>
          <w:sz w:val="22"/>
          <w:szCs w:val="22"/>
          <w:lang w:val="en-AU"/>
        </w:rPr>
        <w:t>flagged boats and Australian nationals fishing anywhere on the high seas.</w:t>
      </w:r>
    </w:p>
    <w:p w:rsidR="00F86399" w:rsidRPr="00F86399" w:rsidRDefault="00F86399" w:rsidP="00D17CB6">
      <w:pPr>
        <w:spacing w:before="100" w:beforeAutospacing="1" w:after="100" w:afterAutospacing="1"/>
        <w:jc w:val="both"/>
        <w:rPr>
          <w:b/>
          <w:sz w:val="22"/>
          <w:szCs w:val="22"/>
          <w:lang w:val="en-AU"/>
        </w:rPr>
      </w:pPr>
      <w:proofErr w:type="gramStart"/>
      <w:r w:rsidRPr="00F86399">
        <w:rPr>
          <w:b/>
          <w:bCs/>
          <w:sz w:val="22"/>
          <w:szCs w:val="22"/>
          <w:lang w:val="en-AU"/>
        </w:rPr>
        <w:t xml:space="preserve">2 </w:t>
      </w:r>
      <w:r w:rsidR="00237F9D">
        <w:rPr>
          <w:b/>
          <w:bCs/>
          <w:sz w:val="22"/>
          <w:szCs w:val="22"/>
          <w:lang w:val="en-AU"/>
        </w:rPr>
        <w:t xml:space="preserve"> </w:t>
      </w:r>
      <w:r w:rsidRPr="00F86399">
        <w:rPr>
          <w:b/>
          <w:bCs/>
          <w:sz w:val="22"/>
          <w:szCs w:val="22"/>
          <w:lang w:val="en-AU"/>
        </w:rPr>
        <w:t>Clause</w:t>
      </w:r>
      <w:proofErr w:type="gramEnd"/>
      <w:r w:rsidRPr="00F86399">
        <w:rPr>
          <w:b/>
          <w:bCs/>
          <w:sz w:val="22"/>
          <w:szCs w:val="22"/>
          <w:lang w:val="en-AU"/>
        </w:rPr>
        <w:t xml:space="preserve"> 6A </w:t>
      </w:r>
    </w:p>
    <w:p w:rsidR="00F86399" w:rsidRDefault="00F86399" w:rsidP="00D17CB6">
      <w:pPr>
        <w:spacing w:before="100" w:beforeAutospacing="1" w:after="100" w:afterAutospacing="1"/>
        <w:ind w:firstLine="708"/>
        <w:jc w:val="both"/>
        <w:rPr>
          <w:sz w:val="22"/>
          <w:szCs w:val="22"/>
          <w:lang w:val="en-AU"/>
        </w:rPr>
      </w:pPr>
      <w:r w:rsidRPr="00755245">
        <w:rPr>
          <w:sz w:val="22"/>
          <w:szCs w:val="22"/>
          <w:lang w:val="en-AU"/>
        </w:rPr>
        <w:t xml:space="preserve">Omit “20%”, substitute “30%”. </w:t>
      </w:r>
    </w:p>
    <w:p w:rsidR="00B41DEB" w:rsidRPr="00755245" w:rsidRDefault="00B41DEB" w:rsidP="00D17CB6">
      <w:pPr>
        <w:spacing w:before="100" w:beforeAutospacing="1" w:after="100" w:afterAutospacing="1"/>
        <w:jc w:val="both"/>
        <w:rPr>
          <w:sz w:val="22"/>
          <w:szCs w:val="22"/>
          <w:lang w:val="en-AU"/>
        </w:rPr>
      </w:pPr>
      <w:r w:rsidRPr="00B41DEB">
        <w:rPr>
          <w:sz w:val="22"/>
          <w:szCs w:val="22"/>
          <w:lang w:val="en-AU"/>
        </w:rPr>
        <w:t xml:space="preserve">This change relates to the adoption of a new reference point by </w:t>
      </w:r>
      <w:r>
        <w:rPr>
          <w:sz w:val="22"/>
          <w:szCs w:val="22"/>
          <w:lang w:val="en-AU"/>
        </w:rPr>
        <w:t xml:space="preserve">the </w:t>
      </w:r>
      <w:r w:rsidRPr="00B41DEB">
        <w:rPr>
          <w:sz w:val="22"/>
          <w:szCs w:val="22"/>
          <w:lang w:val="en-AU"/>
        </w:rPr>
        <w:t>Commission for the Conservation of Southern Bluefin Tuna.</w:t>
      </w:r>
      <w:r w:rsidR="00101864" w:rsidRPr="00101864">
        <w:t xml:space="preserve"> </w:t>
      </w:r>
      <w:r w:rsidRPr="00B41DEB">
        <w:rPr>
          <w:sz w:val="22"/>
          <w:szCs w:val="22"/>
          <w:lang w:val="en-AU"/>
        </w:rPr>
        <w:t xml:space="preserve">The new Management Procedure (MP) is designed to guide the setting of </w:t>
      </w:r>
      <w:r>
        <w:rPr>
          <w:sz w:val="22"/>
          <w:szCs w:val="22"/>
          <w:lang w:val="en-AU"/>
        </w:rPr>
        <w:t xml:space="preserve">the global total allowable catch (TAC) </w:t>
      </w:r>
      <w:r w:rsidRPr="00B41DEB">
        <w:rPr>
          <w:sz w:val="22"/>
          <w:szCs w:val="22"/>
          <w:lang w:val="en-AU"/>
        </w:rPr>
        <w:t>for 2021 and onwards.  The new MP known as the “Cape Town Procedure” has a 50% probability of achieving a biomass level of 30% of the original spawning stock biomass by 2035.</w:t>
      </w:r>
      <w:r w:rsidR="00101864">
        <w:rPr>
          <w:sz w:val="22"/>
          <w:szCs w:val="22"/>
          <w:lang w:val="en-AU"/>
        </w:rPr>
        <w:t xml:space="preserve"> The adoption of the new reference point will ensure the stock remains sustainable into the future.</w:t>
      </w:r>
    </w:p>
    <w:p w:rsidR="00F86399" w:rsidRPr="00F86399" w:rsidRDefault="00F86399" w:rsidP="00D17CB6">
      <w:pPr>
        <w:spacing w:before="100" w:beforeAutospacing="1" w:after="100" w:afterAutospacing="1"/>
        <w:jc w:val="both"/>
        <w:rPr>
          <w:b/>
          <w:sz w:val="22"/>
          <w:szCs w:val="22"/>
          <w:lang w:val="en-AU"/>
        </w:rPr>
      </w:pPr>
      <w:proofErr w:type="gramStart"/>
      <w:r w:rsidRPr="00F86399">
        <w:rPr>
          <w:b/>
          <w:bCs/>
          <w:sz w:val="22"/>
          <w:szCs w:val="22"/>
          <w:lang w:val="en-AU"/>
        </w:rPr>
        <w:t xml:space="preserve">3 </w:t>
      </w:r>
      <w:r w:rsidR="00237F9D">
        <w:rPr>
          <w:b/>
          <w:bCs/>
          <w:sz w:val="22"/>
          <w:szCs w:val="22"/>
          <w:lang w:val="en-AU"/>
        </w:rPr>
        <w:t xml:space="preserve"> </w:t>
      </w:r>
      <w:r w:rsidRPr="00F86399">
        <w:rPr>
          <w:b/>
          <w:bCs/>
          <w:sz w:val="22"/>
          <w:szCs w:val="22"/>
          <w:lang w:val="en-AU"/>
        </w:rPr>
        <w:t>Subclause</w:t>
      </w:r>
      <w:proofErr w:type="gramEnd"/>
      <w:r w:rsidRPr="00F86399">
        <w:rPr>
          <w:b/>
          <w:bCs/>
          <w:sz w:val="22"/>
          <w:szCs w:val="22"/>
          <w:lang w:val="en-AU"/>
        </w:rPr>
        <w:t xml:space="preserve"> 15.7 (note 5) </w:t>
      </w:r>
    </w:p>
    <w:p w:rsidR="00F86399" w:rsidRDefault="00F86399" w:rsidP="00D17CB6">
      <w:pPr>
        <w:spacing w:before="100" w:beforeAutospacing="1" w:after="100" w:afterAutospacing="1"/>
        <w:ind w:left="708"/>
        <w:jc w:val="both"/>
        <w:rPr>
          <w:sz w:val="22"/>
          <w:szCs w:val="22"/>
          <w:lang w:val="en-AU"/>
        </w:rPr>
      </w:pPr>
      <w:r w:rsidRPr="00755245">
        <w:rPr>
          <w:sz w:val="22"/>
          <w:szCs w:val="22"/>
          <w:lang w:val="en-AU"/>
        </w:rPr>
        <w:t xml:space="preserve">Omit all the words after “the particulars”, substitute “required by subsection 45(1) of the Act”. </w:t>
      </w:r>
    </w:p>
    <w:p w:rsidR="00B41DEB" w:rsidRPr="00755245" w:rsidRDefault="00B41DEB" w:rsidP="00D17CB6">
      <w:pPr>
        <w:spacing w:before="100" w:beforeAutospacing="1" w:after="100" w:afterAutospacing="1"/>
        <w:jc w:val="both"/>
        <w:rPr>
          <w:sz w:val="22"/>
          <w:szCs w:val="22"/>
          <w:lang w:val="en-AU"/>
        </w:rPr>
      </w:pPr>
      <w:r w:rsidRPr="00B41DEB">
        <w:rPr>
          <w:sz w:val="22"/>
          <w:szCs w:val="22"/>
          <w:lang w:val="en-AU"/>
        </w:rPr>
        <w:t xml:space="preserve">This </w:t>
      </w:r>
      <w:r w:rsidR="000C2B4B">
        <w:rPr>
          <w:sz w:val="22"/>
          <w:szCs w:val="22"/>
          <w:lang w:val="en-AU"/>
        </w:rPr>
        <w:t xml:space="preserve">change </w:t>
      </w:r>
      <w:r w:rsidRPr="00B41DEB">
        <w:rPr>
          <w:sz w:val="22"/>
          <w:szCs w:val="22"/>
          <w:lang w:val="en-AU"/>
        </w:rPr>
        <w:t xml:space="preserve">removes reference to the now repealed </w:t>
      </w:r>
      <w:r w:rsidRPr="00B41DEB">
        <w:rPr>
          <w:i/>
          <w:sz w:val="22"/>
          <w:szCs w:val="22"/>
          <w:lang w:val="en-AU"/>
        </w:rPr>
        <w:t>Fisheries Management Regulations 1992</w:t>
      </w:r>
      <w:r w:rsidRPr="00B41DEB">
        <w:rPr>
          <w:sz w:val="22"/>
          <w:szCs w:val="22"/>
          <w:lang w:val="en-AU"/>
        </w:rPr>
        <w:t>.</w:t>
      </w:r>
    </w:p>
    <w:p w:rsidR="00F86399" w:rsidRPr="00F86399" w:rsidRDefault="00F86399" w:rsidP="00D17CB6">
      <w:pPr>
        <w:spacing w:before="100" w:beforeAutospacing="1" w:after="100" w:afterAutospacing="1"/>
        <w:jc w:val="both"/>
        <w:rPr>
          <w:b/>
          <w:sz w:val="22"/>
          <w:szCs w:val="22"/>
          <w:lang w:val="en-AU"/>
        </w:rPr>
      </w:pPr>
      <w:proofErr w:type="gramStart"/>
      <w:r w:rsidRPr="00F86399">
        <w:rPr>
          <w:b/>
          <w:bCs/>
          <w:sz w:val="22"/>
          <w:szCs w:val="22"/>
          <w:lang w:val="en-AU"/>
        </w:rPr>
        <w:t xml:space="preserve">4 </w:t>
      </w:r>
      <w:r w:rsidR="00237F9D">
        <w:rPr>
          <w:b/>
          <w:bCs/>
          <w:sz w:val="22"/>
          <w:szCs w:val="22"/>
          <w:lang w:val="en-AU"/>
        </w:rPr>
        <w:t xml:space="preserve"> </w:t>
      </w:r>
      <w:r w:rsidRPr="00F86399">
        <w:rPr>
          <w:b/>
          <w:bCs/>
          <w:sz w:val="22"/>
          <w:szCs w:val="22"/>
          <w:lang w:val="en-AU"/>
        </w:rPr>
        <w:t>Subclause</w:t>
      </w:r>
      <w:proofErr w:type="gramEnd"/>
      <w:r w:rsidRPr="00F86399">
        <w:rPr>
          <w:b/>
          <w:bCs/>
          <w:sz w:val="22"/>
          <w:szCs w:val="22"/>
          <w:lang w:val="en-AU"/>
        </w:rPr>
        <w:t xml:space="preserve"> 17.2 </w:t>
      </w:r>
    </w:p>
    <w:p w:rsidR="00F86399" w:rsidRDefault="00F86399" w:rsidP="00D17CB6">
      <w:pPr>
        <w:spacing w:before="100" w:beforeAutospacing="1" w:after="100" w:afterAutospacing="1"/>
        <w:ind w:firstLine="708"/>
        <w:jc w:val="both"/>
        <w:rPr>
          <w:sz w:val="22"/>
          <w:szCs w:val="22"/>
          <w:lang w:val="en-AU"/>
        </w:rPr>
      </w:pPr>
      <w:r w:rsidRPr="00755245">
        <w:rPr>
          <w:sz w:val="22"/>
          <w:szCs w:val="22"/>
          <w:lang w:val="en-AU"/>
        </w:rPr>
        <w:t xml:space="preserve">After “does not exceed”, insert “95 per cent of”. </w:t>
      </w:r>
    </w:p>
    <w:p w:rsidR="005351E8" w:rsidRDefault="005351E8" w:rsidP="00D17CB6">
      <w:pPr>
        <w:spacing w:before="100" w:beforeAutospacing="1" w:after="100" w:afterAutospacing="1"/>
        <w:jc w:val="both"/>
        <w:rPr>
          <w:sz w:val="22"/>
          <w:szCs w:val="22"/>
          <w:lang w:val="en-AU"/>
        </w:rPr>
      </w:pPr>
      <w:r w:rsidRPr="005351E8">
        <w:rPr>
          <w:sz w:val="22"/>
          <w:szCs w:val="22"/>
          <w:lang w:val="en-AU"/>
        </w:rPr>
        <w:t>The</w:t>
      </w:r>
      <w:r w:rsidR="004625B3">
        <w:rPr>
          <w:sz w:val="22"/>
          <w:szCs w:val="22"/>
          <w:lang w:val="en-AU"/>
        </w:rPr>
        <w:t xml:space="preserve"> change</w:t>
      </w:r>
      <w:r>
        <w:rPr>
          <w:sz w:val="22"/>
          <w:szCs w:val="22"/>
          <w:lang w:val="en-AU"/>
        </w:rPr>
        <w:t xml:space="preserve"> in section 17.2 </w:t>
      </w:r>
      <w:r w:rsidRPr="005351E8">
        <w:rPr>
          <w:sz w:val="22"/>
          <w:szCs w:val="22"/>
          <w:lang w:val="en-AU"/>
        </w:rPr>
        <w:t>give</w:t>
      </w:r>
      <w:r w:rsidR="00020854">
        <w:rPr>
          <w:sz w:val="22"/>
          <w:szCs w:val="22"/>
          <w:lang w:val="en-AU"/>
        </w:rPr>
        <w:t>s</w:t>
      </w:r>
      <w:r w:rsidRPr="005351E8">
        <w:rPr>
          <w:sz w:val="22"/>
          <w:szCs w:val="22"/>
          <w:lang w:val="en-AU"/>
        </w:rPr>
        <w:t xml:space="preserve"> effect to the ninety five – five percent split</w:t>
      </w:r>
      <w:r>
        <w:rPr>
          <w:sz w:val="22"/>
          <w:szCs w:val="22"/>
          <w:lang w:val="en-AU"/>
        </w:rPr>
        <w:t>.</w:t>
      </w:r>
      <w:r w:rsidRPr="005351E8">
        <w:rPr>
          <w:sz w:val="22"/>
          <w:szCs w:val="22"/>
          <w:lang w:val="en-AU"/>
        </w:rPr>
        <w:t xml:space="preserve"> </w:t>
      </w:r>
    </w:p>
    <w:p w:rsidR="00F86399" w:rsidRPr="00F86399" w:rsidRDefault="00F86399" w:rsidP="00D17CB6">
      <w:pPr>
        <w:spacing w:before="100" w:beforeAutospacing="1" w:after="100" w:afterAutospacing="1"/>
        <w:jc w:val="both"/>
        <w:rPr>
          <w:b/>
          <w:sz w:val="22"/>
          <w:szCs w:val="22"/>
          <w:lang w:val="en-AU"/>
        </w:rPr>
      </w:pPr>
      <w:proofErr w:type="gramStart"/>
      <w:r w:rsidRPr="00F86399">
        <w:rPr>
          <w:b/>
          <w:bCs/>
          <w:sz w:val="22"/>
          <w:szCs w:val="22"/>
          <w:lang w:val="en-AU"/>
        </w:rPr>
        <w:t xml:space="preserve">5 </w:t>
      </w:r>
      <w:r w:rsidR="00237F9D">
        <w:rPr>
          <w:b/>
          <w:bCs/>
          <w:sz w:val="22"/>
          <w:szCs w:val="22"/>
          <w:lang w:val="en-AU"/>
        </w:rPr>
        <w:t xml:space="preserve"> </w:t>
      </w:r>
      <w:r w:rsidRPr="00F86399">
        <w:rPr>
          <w:b/>
          <w:bCs/>
          <w:sz w:val="22"/>
          <w:szCs w:val="22"/>
          <w:lang w:val="en-AU"/>
        </w:rPr>
        <w:t>Subclause</w:t>
      </w:r>
      <w:proofErr w:type="gramEnd"/>
      <w:r w:rsidRPr="00F86399">
        <w:rPr>
          <w:b/>
          <w:bCs/>
          <w:sz w:val="22"/>
          <w:szCs w:val="22"/>
          <w:lang w:val="en-AU"/>
        </w:rPr>
        <w:t xml:space="preserve"> 17.5 </w:t>
      </w:r>
    </w:p>
    <w:p w:rsidR="005351E8" w:rsidRDefault="00F86399" w:rsidP="00D17CB6">
      <w:pPr>
        <w:spacing w:before="100" w:beforeAutospacing="1" w:after="100" w:afterAutospacing="1"/>
        <w:ind w:firstLine="708"/>
        <w:jc w:val="both"/>
        <w:rPr>
          <w:sz w:val="22"/>
          <w:szCs w:val="22"/>
          <w:lang w:val="en-AU"/>
        </w:rPr>
      </w:pPr>
      <w:r w:rsidRPr="00755245">
        <w:rPr>
          <w:sz w:val="22"/>
          <w:szCs w:val="22"/>
          <w:lang w:val="en-AU"/>
        </w:rPr>
        <w:t xml:space="preserve">Repeal the subclause. </w:t>
      </w:r>
    </w:p>
    <w:p w:rsidR="005351E8" w:rsidRDefault="005351E8" w:rsidP="00D17CB6">
      <w:pPr>
        <w:spacing w:before="100" w:beforeAutospacing="1" w:after="100" w:afterAutospacing="1"/>
        <w:jc w:val="both"/>
        <w:rPr>
          <w:sz w:val="22"/>
          <w:szCs w:val="22"/>
          <w:lang w:val="en-AU"/>
        </w:rPr>
      </w:pPr>
      <w:r>
        <w:rPr>
          <w:sz w:val="22"/>
          <w:szCs w:val="22"/>
          <w:lang w:val="en-AU"/>
        </w:rPr>
        <w:t>This subclause is redundant as the requirements are picked up in 17.6A</w:t>
      </w:r>
      <w:r w:rsidR="00405200">
        <w:rPr>
          <w:sz w:val="22"/>
          <w:szCs w:val="22"/>
          <w:lang w:val="en-AU"/>
        </w:rPr>
        <w:t>.</w:t>
      </w:r>
    </w:p>
    <w:p w:rsidR="00F86399" w:rsidRPr="00F86399" w:rsidRDefault="00F86399" w:rsidP="00D17CB6">
      <w:pPr>
        <w:spacing w:before="100" w:beforeAutospacing="1" w:after="100" w:afterAutospacing="1"/>
        <w:jc w:val="both"/>
        <w:rPr>
          <w:b/>
          <w:sz w:val="22"/>
          <w:szCs w:val="22"/>
          <w:lang w:val="en-AU"/>
        </w:rPr>
      </w:pPr>
      <w:proofErr w:type="gramStart"/>
      <w:r w:rsidRPr="00F86399">
        <w:rPr>
          <w:b/>
          <w:bCs/>
          <w:sz w:val="22"/>
          <w:szCs w:val="22"/>
          <w:lang w:val="en-AU"/>
        </w:rPr>
        <w:t xml:space="preserve">6 </w:t>
      </w:r>
      <w:r w:rsidR="00237F9D">
        <w:rPr>
          <w:b/>
          <w:bCs/>
          <w:sz w:val="22"/>
          <w:szCs w:val="22"/>
          <w:lang w:val="en-AU"/>
        </w:rPr>
        <w:t xml:space="preserve"> </w:t>
      </w:r>
      <w:r w:rsidRPr="00F86399">
        <w:rPr>
          <w:b/>
          <w:bCs/>
          <w:sz w:val="22"/>
          <w:szCs w:val="22"/>
          <w:lang w:val="en-AU"/>
        </w:rPr>
        <w:t>Subclause</w:t>
      </w:r>
      <w:proofErr w:type="gramEnd"/>
      <w:r w:rsidRPr="00F86399">
        <w:rPr>
          <w:b/>
          <w:bCs/>
          <w:sz w:val="22"/>
          <w:szCs w:val="22"/>
          <w:lang w:val="en-AU"/>
        </w:rPr>
        <w:t xml:space="preserve"> 17.6 </w:t>
      </w:r>
    </w:p>
    <w:p w:rsidR="00F86399" w:rsidRPr="00755245" w:rsidRDefault="00F86399" w:rsidP="00D17CB6">
      <w:pPr>
        <w:spacing w:before="100" w:beforeAutospacing="1" w:after="100" w:afterAutospacing="1"/>
        <w:ind w:left="708"/>
        <w:jc w:val="both"/>
        <w:rPr>
          <w:sz w:val="22"/>
          <w:szCs w:val="22"/>
          <w:lang w:val="en-AU"/>
        </w:rPr>
      </w:pPr>
      <w:r w:rsidRPr="00755245">
        <w:rPr>
          <w:sz w:val="22"/>
          <w:szCs w:val="22"/>
          <w:lang w:val="en-AU"/>
        </w:rPr>
        <w:t xml:space="preserve">Omit “to be an amount that does not exceed the national catch allocation determined for the previous season”. </w:t>
      </w:r>
    </w:p>
    <w:p w:rsidR="00F86399" w:rsidRPr="00F86399" w:rsidRDefault="00F86399" w:rsidP="00D17CB6">
      <w:pPr>
        <w:spacing w:before="100" w:beforeAutospacing="1" w:after="100" w:afterAutospacing="1"/>
        <w:jc w:val="both"/>
        <w:rPr>
          <w:b/>
          <w:sz w:val="22"/>
          <w:szCs w:val="22"/>
          <w:lang w:val="en-AU"/>
        </w:rPr>
      </w:pPr>
      <w:proofErr w:type="gramStart"/>
      <w:r w:rsidRPr="00F86399">
        <w:rPr>
          <w:b/>
          <w:bCs/>
          <w:sz w:val="22"/>
          <w:szCs w:val="22"/>
          <w:lang w:val="en-AU"/>
        </w:rPr>
        <w:t xml:space="preserve">7 </w:t>
      </w:r>
      <w:r w:rsidR="00237F9D">
        <w:rPr>
          <w:b/>
          <w:bCs/>
          <w:sz w:val="22"/>
          <w:szCs w:val="22"/>
          <w:lang w:val="en-AU"/>
        </w:rPr>
        <w:t xml:space="preserve"> </w:t>
      </w:r>
      <w:r w:rsidRPr="00F86399">
        <w:rPr>
          <w:b/>
          <w:bCs/>
          <w:sz w:val="22"/>
          <w:szCs w:val="22"/>
          <w:lang w:val="en-AU"/>
        </w:rPr>
        <w:t>After</w:t>
      </w:r>
      <w:proofErr w:type="gramEnd"/>
      <w:r w:rsidRPr="00F86399">
        <w:rPr>
          <w:b/>
          <w:bCs/>
          <w:sz w:val="22"/>
          <w:szCs w:val="22"/>
          <w:lang w:val="en-AU"/>
        </w:rPr>
        <w:t xml:space="preserve"> subclause 17.6 </w:t>
      </w:r>
    </w:p>
    <w:p w:rsidR="00F86399" w:rsidRPr="00755245" w:rsidRDefault="00F86399" w:rsidP="00D17CB6">
      <w:pPr>
        <w:spacing w:before="100" w:beforeAutospacing="1" w:after="100" w:afterAutospacing="1"/>
        <w:ind w:firstLine="708"/>
        <w:jc w:val="both"/>
        <w:rPr>
          <w:sz w:val="22"/>
          <w:szCs w:val="22"/>
          <w:lang w:val="en-AU"/>
        </w:rPr>
      </w:pPr>
      <w:r w:rsidRPr="00755245">
        <w:rPr>
          <w:sz w:val="22"/>
          <w:szCs w:val="22"/>
          <w:lang w:val="en-AU"/>
        </w:rPr>
        <w:t xml:space="preserve">Insert: </w:t>
      </w:r>
    </w:p>
    <w:p w:rsidR="00F86399" w:rsidRPr="00755245" w:rsidRDefault="00F86399" w:rsidP="00D17CB6">
      <w:pPr>
        <w:spacing w:before="100" w:beforeAutospacing="1" w:after="100" w:afterAutospacing="1"/>
        <w:ind w:left="1416"/>
        <w:jc w:val="both"/>
        <w:rPr>
          <w:sz w:val="22"/>
          <w:szCs w:val="22"/>
          <w:lang w:val="en-AU"/>
        </w:rPr>
      </w:pPr>
      <w:r w:rsidRPr="00755245">
        <w:rPr>
          <w:sz w:val="22"/>
          <w:szCs w:val="22"/>
          <w:lang w:val="en-AU"/>
        </w:rPr>
        <w:t xml:space="preserve">17.6A </w:t>
      </w:r>
      <w:proofErr w:type="gramStart"/>
      <w:r w:rsidRPr="00755245">
        <w:rPr>
          <w:sz w:val="22"/>
          <w:szCs w:val="22"/>
          <w:lang w:val="en-AU"/>
        </w:rPr>
        <w:t>An</w:t>
      </w:r>
      <w:proofErr w:type="gramEnd"/>
      <w:r w:rsidRPr="00755245">
        <w:rPr>
          <w:sz w:val="22"/>
          <w:szCs w:val="22"/>
          <w:lang w:val="en-AU"/>
        </w:rPr>
        <w:t xml:space="preserve"> allocation determined for a season under subclause 17.4 or 17.6 must not exceed: </w:t>
      </w:r>
    </w:p>
    <w:p w:rsidR="00F86399" w:rsidRPr="00755245" w:rsidRDefault="00F86399" w:rsidP="00D17CB6">
      <w:pPr>
        <w:spacing w:before="100" w:beforeAutospacing="1" w:after="100" w:afterAutospacing="1"/>
        <w:ind w:left="1416"/>
        <w:jc w:val="both"/>
        <w:rPr>
          <w:sz w:val="22"/>
          <w:szCs w:val="22"/>
          <w:lang w:val="en-AU"/>
        </w:rPr>
      </w:pPr>
      <w:r w:rsidRPr="00755245">
        <w:rPr>
          <w:sz w:val="22"/>
          <w:szCs w:val="22"/>
          <w:lang w:val="en-AU"/>
        </w:rPr>
        <w:lastRenderedPageBreak/>
        <w:t xml:space="preserve">(a) </w:t>
      </w:r>
      <w:proofErr w:type="gramStart"/>
      <w:r w:rsidRPr="00755245">
        <w:rPr>
          <w:sz w:val="22"/>
          <w:szCs w:val="22"/>
          <w:lang w:val="en-AU"/>
        </w:rPr>
        <w:t>if</w:t>
      </w:r>
      <w:proofErr w:type="gramEnd"/>
      <w:r w:rsidRPr="00755245">
        <w:rPr>
          <w:sz w:val="22"/>
          <w:szCs w:val="22"/>
          <w:lang w:val="en-AU"/>
        </w:rPr>
        <w:t xml:space="preserve"> the allocation is for the season commencing on 1 December 2020—95 per cent of Australia’s national catch allocation determined by AFMA for the previous season; or </w:t>
      </w:r>
    </w:p>
    <w:p w:rsidR="00F86399" w:rsidRDefault="00F86399" w:rsidP="00D17CB6">
      <w:pPr>
        <w:spacing w:before="100" w:beforeAutospacing="1" w:after="100" w:afterAutospacing="1"/>
        <w:ind w:left="1416"/>
        <w:jc w:val="both"/>
        <w:rPr>
          <w:sz w:val="22"/>
          <w:szCs w:val="22"/>
          <w:lang w:val="en-AU"/>
        </w:rPr>
      </w:pPr>
      <w:r w:rsidRPr="00755245">
        <w:rPr>
          <w:sz w:val="22"/>
          <w:szCs w:val="22"/>
          <w:lang w:val="en-AU"/>
        </w:rPr>
        <w:t xml:space="preserve">(b) </w:t>
      </w:r>
      <w:proofErr w:type="gramStart"/>
      <w:r w:rsidRPr="00755245">
        <w:rPr>
          <w:sz w:val="22"/>
          <w:szCs w:val="22"/>
          <w:lang w:val="en-AU"/>
        </w:rPr>
        <w:t>in</w:t>
      </w:r>
      <w:proofErr w:type="gramEnd"/>
      <w:r w:rsidRPr="00755245">
        <w:rPr>
          <w:sz w:val="22"/>
          <w:szCs w:val="22"/>
          <w:lang w:val="en-AU"/>
        </w:rPr>
        <w:t xml:space="preserve"> any other case—Australia’s national catch allocation determined by AFMA for the previous season. </w:t>
      </w:r>
    </w:p>
    <w:p w:rsidR="00954AD7" w:rsidRPr="00755245" w:rsidRDefault="000030EE" w:rsidP="00D17CB6">
      <w:pPr>
        <w:spacing w:before="100" w:beforeAutospacing="1" w:after="100" w:afterAutospacing="1"/>
        <w:jc w:val="both"/>
        <w:rPr>
          <w:sz w:val="22"/>
          <w:szCs w:val="22"/>
          <w:lang w:val="en-AU"/>
        </w:rPr>
      </w:pPr>
      <w:r>
        <w:rPr>
          <w:sz w:val="22"/>
          <w:szCs w:val="22"/>
          <w:lang w:val="en-AU"/>
        </w:rPr>
        <w:t>This</w:t>
      </w:r>
      <w:r w:rsidR="00954AD7" w:rsidRPr="00954AD7">
        <w:rPr>
          <w:sz w:val="22"/>
          <w:szCs w:val="22"/>
          <w:lang w:val="en-AU"/>
        </w:rPr>
        <w:t xml:space="preserve"> amendment sets out what occurs if CCSBT does not make an allocation decision to Australia. In such an event, during the first year of operation of the new amendments (this year), AFMA cannot set more than 95% of the previous (</w:t>
      </w:r>
      <w:proofErr w:type="spellStart"/>
      <w:r w:rsidR="00954AD7" w:rsidRPr="00954AD7">
        <w:rPr>
          <w:sz w:val="22"/>
          <w:szCs w:val="22"/>
          <w:lang w:val="en-AU"/>
        </w:rPr>
        <w:t>ie</w:t>
      </w:r>
      <w:proofErr w:type="spellEnd"/>
      <w:r w:rsidR="00954AD7" w:rsidRPr="00954AD7">
        <w:rPr>
          <w:sz w:val="22"/>
          <w:szCs w:val="22"/>
          <w:lang w:val="en-AU"/>
        </w:rPr>
        <w:t xml:space="preserve"> current) TAC. Under each subsequent year, if CCSBT does not make an allocation to Australia, AFMA cannot set the commercial TAC at a higher level than in the previous year. Any decision in this circumstance will have already incorporated the 95 per cent rule either through a decision under 17.2 or 17.7.</w:t>
      </w:r>
    </w:p>
    <w:p w:rsidR="00F86399" w:rsidRPr="00F86399" w:rsidRDefault="00F86399" w:rsidP="00D17CB6">
      <w:pPr>
        <w:spacing w:before="100" w:beforeAutospacing="1" w:after="100" w:afterAutospacing="1"/>
        <w:jc w:val="both"/>
        <w:rPr>
          <w:b/>
          <w:sz w:val="22"/>
          <w:szCs w:val="22"/>
          <w:lang w:val="en-AU"/>
        </w:rPr>
      </w:pPr>
      <w:proofErr w:type="gramStart"/>
      <w:r w:rsidRPr="00F86399">
        <w:rPr>
          <w:b/>
          <w:bCs/>
          <w:sz w:val="22"/>
          <w:szCs w:val="22"/>
          <w:lang w:val="en-AU"/>
        </w:rPr>
        <w:t xml:space="preserve">8 </w:t>
      </w:r>
      <w:r w:rsidR="00237F9D">
        <w:rPr>
          <w:b/>
          <w:bCs/>
          <w:sz w:val="22"/>
          <w:szCs w:val="22"/>
          <w:lang w:val="en-AU"/>
        </w:rPr>
        <w:t xml:space="preserve"> </w:t>
      </w:r>
      <w:r w:rsidRPr="00F86399">
        <w:rPr>
          <w:b/>
          <w:bCs/>
          <w:sz w:val="22"/>
          <w:szCs w:val="22"/>
          <w:lang w:val="en-AU"/>
        </w:rPr>
        <w:t>Subclause</w:t>
      </w:r>
      <w:proofErr w:type="gramEnd"/>
      <w:r w:rsidRPr="00F86399">
        <w:rPr>
          <w:b/>
          <w:bCs/>
          <w:sz w:val="22"/>
          <w:szCs w:val="22"/>
          <w:lang w:val="en-AU"/>
        </w:rPr>
        <w:t xml:space="preserve"> 17.7 </w:t>
      </w:r>
    </w:p>
    <w:p w:rsidR="00F86399" w:rsidRDefault="00F86399" w:rsidP="00D17CB6">
      <w:pPr>
        <w:spacing w:before="100" w:beforeAutospacing="1" w:after="100" w:afterAutospacing="1"/>
        <w:ind w:firstLine="708"/>
        <w:jc w:val="both"/>
        <w:rPr>
          <w:sz w:val="22"/>
          <w:szCs w:val="22"/>
          <w:lang w:val="en-AU"/>
        </w:rPr>
      </w:pPr>
      <w:r w:rsidRPr="00755245">
        <w:rPr>
          <w:sz w:val="22"/>
          <w:szCs w:val="22"/>
          <w:lang w:val="en-AU"/>
        </w:rPr>
        <w:t xml:space="preserve">After “does not exceed” (wherever occurring), insert “95 per cent of”. </w:t>
      </w:r>
    </w:p>
    <w:p w:rsidR="000030EE" w:rsidRPr="00755245" w:rsidRDefault="000030EE" w:rsidP="00D17CB6">
      <w:pPr>
        <w:spacing w:before="100" w:beforeAutospacing="1" w:after="100" w:afterAutospacing="1"/>
        <w:jc w:val="both"/>
        <w:rPr>
          <w:sz w:val="22"/>
          <w:szCs w:val="22"/>
          <w:lang w:val="en-AU"/>
        </w:rPr>
      </w:pPr>
      <w:r>
        <w:rPr>
          <w:sz w:val="22"/>
          <w:szCs w:val="22"/>
          <w:lang w:val="en-AU"/>
        </w:rPr>
        <w:t>The change</w:t>
      </w:r>
      <w:r w:rsidRPr="000030EE">
        <w:rPr>
          <w:sz w:val="22"/>
          <w:szCs w:val="22"/>
          <w:lang w:val="en-AU"/>
        </w:rPr>
        <w:t xml:space="preserve"> gives effect to the n</w:t>
      </w:r>
      <w:r w:rsidR="00405200">
        <w:rPr>
          <w:sz w:val="22"/>
          <w:szCs w:val="22"/>
          <w:lang w:val="en-AU"/>
        </w:rPr>
        <w:t xml:space="preserve">inety five – five percent split. </w:t>
      </w:r>
    </w:p>
    <w:p w:rsidR="00F86399" w:rsidRPr="00F86399" w:rsidRDefault="00F86399" w:rsidP="00D17CB6">
      <w:pPr>
        <w:spacing w:before="100" w:beforeAutospacing="1" w:after="100" w:afterAutospacing="1"/>
        <w:jc w:val="both"/>
        <w:rPr>
          <w:b/>
          <w:sz w:val="22"/>
          <w:szCs w:val="22"/>
          <w:lang w:val="en-AU"/>
        </w:rPr>
      </w:pPr>
      <w:proofErr w:type="gramStart"/>
      <w:r w:rsidRPr="00F86399">
        <w:rPr>
          <w:b/>
          <w:bCs/>
          <w:sz w:val="22"/>
          <w:szCs w:val="22"/>
          <w:lang w:val="en-AU"/>
        </w:rPr>
        <w:t xml:space="preserve">9 </w:t>
      </w:r>
      <w:r w:rsidR="00237F9D">
        <w:rPr>
          <w:b/>
          <w:bCs/>
          <w:sz w:val="22"/>
          <w:szCs w:val="22"/>
          <w:lang w:val="en-AU"/>
        </w:rPr>
        <w:t xml:space="preserve"> </w:t>
      </w:r>
      <w:r w:rsidRPr="00F86399">
        <w:rPr>
          <w:b/>
          <w:bCs/>
          <w:sz w:val="22"/>
          <w:szCs w:val="22"/>
          <w:lang w:val="en-AU"/>
        </w:rPr>
        <w:t>Paragraph</w:t>
      </w:r>
      <w:proofErr w:type="gramEnd"/>
      <w:r w:rsidRPr="00F86399">
        <w:rPr>
          <w:b/>
          <w:bCs/>
          <w:sz w:val="22"/>
          <w:szCs w:val="22"/>
          <w:lang w:val="en-AU"/>
        </w:rPr>
        <w:t xml:space="preserve"> 24.11(a) </w:t>
      </w:r>
    </w:p>
    <w:p w:rsidR="00F86399" w:rsidRPr="00755245" w:rsidRDefault="00F86399" w:rsidP="00D17CB6">
      <w:pPr>
        <w:spacing w:before="100" w:beforeAutospacing="1" w:after="100" w:afterAutospacing="1"/>
        <w:ind w:firstLine="708"/>
        <w:jc w:val="both"/>
        <w:rPr>
          <w:sz w:val="22"/>
          <w:szCs w:val="22"/>
          <w:lang w:val="en-AU"/>
        </w:rPr>
      </w:pPr>
      <w:r w:rsidRPr="00755245">
        <w:rPr>
          <w:sz w:val="22"/>
          <w:szCs w:val="22"/>
          <w:lang w:val="en-AU"/>
        </w:rPr>
        <w:t xml:space="preserve">Repeal the paragraph, substitute: </w:t>
      </w:r>
    </w:p>
    <w:p w:rsidR="00F86399" w:rsidRPr="00B41DEB" w:rsidRDefault="00F86399" w:rsidP="00D17CB6">
      <w:pPr>
        <w:pStyle w:val="ListParagraph"/>
        <w:numPr>
          <w:ilvl w:val="0"/>
          <w:numId w:val="1"/>
        </w:numPr>
        <w:spacing w:before="100" w:beforeAutospacing="1" w:after="100" w:afterAutospacing="1"/>
        <w:jc w:val="both"/>
        <w:rPr>
          <w:sz w:val="22"/>
          <w:szCs w:val="22"/>
          <w:lang w:val="en-AU"/>
        </w:rPr>
      </w:pPr>
      <w:r w:rsidRPr="00B41DEB">
        <w:rPr>
          <w:sz w:val="22"/>
          <w:szCs w:val="22"/>
          <w:lang w:val="en-AU"/>
        </w:rPr>
        <w:t xml:space="preserve">the </w:t>
      </w:r>
      <w:r w:rsidRPr="00B41DEB">
        <w:rPr>
          <w:i/>
          <w:iCs/>
          <w:sz w:val="22"/>
          <w:szCs w:val="22"/>
          <w:lang w:val="en-AU"/>
        </w:rPr>
        <w:t>Fisheries Management Regulations 2019</w:t>
      </w:r>
      <w:r w:rsidRPr="00B41DEB">
        <w:rPr>
          <w:sz w:val="22"/>
          <w:szCs w:val="22"/>
          <w:lang w:val="en-AU"/>
        </w:rPr>
        <w:t xml:space="preserve">; and </w:t>
      </w:r>
    </w:p>
    <w:p w:rsidR="00B41DEB" w:rsidRPr="00B41DEB" w:rsidRDefault="00B41DEB" w:rsidP="00D17CB6">
      <w:pPr>
        <w:spacing w:before="100" w:beforeAutospacing="1" w:after="100" w:afterAutospacing="1"/>
        <w:jc w:val="both"/>
        <w:rPr>
          <w:sz w:val="22"/>
          <w:szCs w:val="22"/>
          <w:lang w:val="en-AU"/>
        </w:rPr>
      </w:pPr>
      <w:r w:rsidRPr="00B41DEB">
        <w:rPr>
          <w:sz w:val="22"/>
          <w:szCs w:val="22"/>
          <w:lang w:val="en-AU"/>
        </w:rPr>
        <w:t>Th</w:t>
      </w:r>
      <w:r>
        <w:rPr>
          <w:sz w:val="22"/>
          <w:szCs w:val="22"/>
          <w:lang w:val="en-AU"/>
        </w:rPr>
        <w:t>is paragraph</w:t>
      </w:r>
      <w:r w:rsidRPr="00B41DEB">
        <w:rPr>
          <w:sz w:val="22"/>
          <w:szCs w:val="22"/>
          <w:lang w:val="en-AU"/>
        </w:rPr>
        <w:t xml:space="preserve"> reference</w:t>
      </w:r>
      <w:r>
        <w:rPr>
          <w:sz w:val="22"/>
          <w:szCs w:val="22"/>
          <w:lang w:val="en-AU"/>
        </w:rPr>
        <w:t>s</w:t>
      </w:r>
      <w:r w:rsidRPr="00B41DEB">
        <w:rPr>
          <w:sz w:val="22"/>
          <w:szCs w:val="22"/>
          <w:lang w:val="en-AU"/>
        </w:rPr>
        <w:t xml:space="preserve"> the now redundant </w:t>
      </w:r>
      <w:r w:rsidRPr="00B41DEB">
        <w:rPr>
          <w:i/>
          <w:sz w:val="22"/>
          <w:szCs w:val="22"/>
          <w:lang w:val="en-AU"/>
        </w:rPr>
        <w:t>Fisheries Management Regulations 1992</w:t>
      </w:r>
      <w:r w:rsidRPr="00B41DEB">
        <w:rPr>
          <w:sz w:val="22"/>
          <w:szCs w:val="22"/>
          <w:lang w:val="en-AU"/>
        </w:rPr>
        <w:t xml:space="preserve"> and are replaced with the recently updated version </w:t>
      </w:r>
      <w:r w:rsidRPr="00B41DEB">
        <w:rPr>
          <w:i/>
          <w:sz w:val="22"/>
          <w:szCs w:val="22"/>
          <w:lang w:val="en-AU"/>
        </w:rPr>
        <w:t>Fisheries Management Regulations 2019</w:t>
      </w:r>
      <w:r w:rsidRPr="00B41DEB">
        <w:rPr>
          <w:sz w:val="22"/>
          <w:szCs w:val="22"/>
          <w:lang w:val="en-AU"/>
        </w:rPr>
        <w:t>.</w:t>
      </w:r>
    </w:p>
    <w:p w:rsidR="00F86399" w:rsidRPr="00F86399" w:rsidRDefault="00F86399" w:rsidP="00D17CB6">
      <w:pPr>
        <w:spacing w:before="100" w:beforeAutospacing="1" w:after="100" w:afterAutospacing="1"/>
        <w:jc w:val="both"/>
        <w:rPr>
          <w:b/>
          <w:sz w:val="22"/>
          <w:szCs w:val="22"/>
          <w:lang w:val="en-AU"/>
        </w:rPr>
      </w:pPr>
      <w:proofErr w:type="gramStart"/>
      <w:r w:rsidRPr="00F86399">
        <w:rPr>
          <w:b/>
          <w:bCs/>
          <w:sz w:val="22"/>
          <w:szCs w:val="22"/>
          <w:lang w:val="en-AU"/>
        </w:rPr>
        <w:t xml:space="preserve">10 </w:t>
      </w:r>
      <w:r w:rsidR="00237F9D">
        <w:rPr>
          <w:b/>
          <w:bCs/>
          <w:sz w:val="22"/>
          <w:szCs w:val="22"/>
          <w:lang w:val="en-AU"/>
        </w:rPr>
        <w:t xml:space="preserve"> </w:t>
      </w:r>
      <w:r w:rsidRPr="00F86399">
        <w:rPr>
          <w:b/>
          <w:bCs/>
          <w:sz w:val="22"/>
          <w:szCs w:val="22"/>
          <w:lang w:val="en-AU"/>
        </w:rPr>
        <w:t>Paragraph</w:t>
      </w:r>
      <w:proofErr w:type="gramEnd"/>
      <w:r w:rsidRPr="00F86399">
        <w:rPr>
          <w:b/>
          <w:bCs/>
          <w:sz w:val="22"/>
          <w:szCs w:val="22"/>
          <w:lang w:val="en-AU"/>
        </w:rPr>
        <w:t xml:space="preserve"> 25.5(a) </w:t>
      </w:r>
    </w:p>
    <w:p w:rsidR="00F86399" w:rsidRPr="00755245" w:rsidRDefault="00F86399" w:rsidP="00D17CB6">
      <w:pPr>
        <w:spacing w:before="100" w:beforeAutospacing="1" w:after="100" w:afterAutospacing="1"/>
        <w:ind w:firstLine="708"/>
        <w:jc w:val="both"/>
        <w:rPr>
          <w:sz w:val="22"/>
          <w:szCs w:val="22"/>
          <w:lang w:val="en-AU"/>
        </w:rPr>
      </w:pPr>
      <w:r w:rsidRPr="00755245">
        <w:rPr>
          <w:sz w:val="22"/>
          <w:szCs w:val="22"/>
          <w:lang w:val="en-AU"/>
        </w:rPr>
        <w:t xml:space="preserve">Repeal the paragraph, substitute: </w:t>
      </w:r>
    </w:p>
    <w:p w:rsidR="00F86399" w:rsidRPr="00B41DEB" w:rsidRDefault="00F86399" w:rsidP="00D17CB6">
      <w:pPr>
        <w:pStyle w:val="ListParagraph"/>
        <w:numPr>
          <w:ilvl w:val="0"/>
          <w:numId w:val="2"/>
        </w:numPr>
        <w:spacing w:before="100" w:beforeAutospacing="1" w:after="100" w:afterAutospacing="1"/>
        <w:jc w:val="both"/>
        <w:rPr>
          <w:sz w:val="22"/>
          <w:szCs w:val="22"/>
          <w:lang w:val="en-AU"/>
        </w:rPr>
      </w:pPr>
      <w:r w:rsidRPr="00B41DEB">
        <w:rPr>
          <w:sz w:val="22"/>
          <w:szCs w:val="22"/>
          <w:lang w:val="en-AU"/>
        </w:rPr>
        <w:t xml:space="preserve">the </w:t>
      </w:r>
      <w:r w:rsidRPr="00B41DEB">
        <w:rPr>
          <w:i/>
          <w:iCs/>
          <w:sz w:val="22"/>
          <w:szCs w:val="22"/>
          <w:lang w:val="en-AU"/>
        </w:rPr>
        <w:t>Fisheries Management Regulations 2019</w:t>
      </w:r>
      <w:r w:rsidRPr="00B41DEB">
        <w:rPr>
          <w:sz w:val="22"/>
          <w:szCs w:val="22"/>
          <w:lang w:val="en-AU"/>
        </w:rPr>
        <w:t xml:space="preserve">; and </w:t>
      </w:r>
    </w:p>
    <w:p w:rsidR="00B41DEB" w:rsidRPr="00B41DEB" w:rsidRDefault="00B41DEB" w:rsidP="00D17CB6">
      <w:pPr>
        <w:spacing w:before="100" w:beforeAutospacing="1" w:after="100" w:afterAutospacing="1"/>
        <w:jc w:val="both"/>
        <w:rPr>
          <w:sz w:val="22"/>
          <w:szCs w:val="22"/>
          <w:lang w:val="en-AU"/>
        </w:rPr>
      </w:pPr>
      <w:r>
        <w:rPr>
          <w:sz w:val="22"/>
          <w:szCs w:val="22"/>
          <w:lang w:val="en-AU"/>
        </w:rPr>
        <w:t>This paragraph</w:t>
      </w:r>
      <w:r w:rsidRPr="00B41DEB">
        <w:rPr>
          <w:sz w:val="22"/>
          <w:szCs w:val="22"/>
          <w:lang w:val="en-AU"/>
        </w:rPr>
        <w:t xml:space="preserve"> reference</w:t>
      </w:r>
      <w:r>
        <w:rPr>
          <w:sz w:val="22"/>
          <w:szCs w:val="22"/>
          <w:lang w:val="en-AU"/>
        </w:rPr>
        <w:t>s</w:t>
      </w:r>
      <w:r w:rsidRPr="00B41DEB">
        <w:rPr>
          <w:sz w:val="22"/>
          <w:szCs w:val="22"/>
          <w:lang w:val="en-AU"/>
        </w:rPr>
        <w:t xml:space="preserve"> the now redundant </w:t>
      </w:r>
      <w:r w:rsidRPr="00B41DEB">
        <w:rPr>
          <w:i/>
          <w:sz w:val="22"/>
          <w:szCs w:val="22"/>
          <w:lang w:val="en-AU"/>
        </w:rPr>
        <w:t>Fisheries Management Regulations 1992</w:t>
      </w:r>
      <w:r w:rsidRPr="00B41DEB">
        <w:rPr>
          <w:sz w:val="22"/>
          <w:szCs w:val="22"/>
          <w:lang w:val="en-AU"/>
        </w:rPr>
        <w:t xml:space="preserve"> and are replaced with the recently updated version </w:t>
      </w:r>
      <w:r w:rsidRPr="00B41DEB">
        <w:rPr>
          <w:i/>
          <w:sz w:val="22"/>
          <w:szCs w:val="22"/>
          <w:lang w:val="en-AU"/>
        </w:rPr>
        <w:t>Fisheries Management Regulations 2019</w:t>
      </w:r>
      <w:r w:rsidRPr="00B41DEB">
        <w:rPr>
          <w:sz w:val="22"/>
          <w:szCs w:val="22"/>
          <w:lang w:val="en-AU"/>
        </w:rPr>
        <w:t>.</w:t>
      </w:r>
    </w:p>
    <w:p w:rsidR="00F86399" w:rsidRPr="00F86399" w:rsidRDefault="00F86399" w:rsidP="00D17CB6">
      <w:pPr>
        <w:spacing w:before="100" w:beforeAutospacing="1" w:after="100" w:afterAutospacing="1"/>
        <w:jc w:val="both"/>
        <w:rPr>
          <w:b/>
          <w:sz w:val="22"/>
          <w:szCs w:val="22"/>
          <w:lang w:val="en-AU"/>
        </w:rPr>
      </w:pPr>
      <w:proofErr w:type="gramStart"/>
      <w:r w:rsidRPr="00F86399">
        <w:rPr>
          <w:b/>
          <w:bCs/>
          <w:sz w:val="22"/>
          <w:szCs w:val="22"/>
          <w:lang w:val="en-AU"/>
        </w:rPr>
        <w:t xml:space="preserve">11 </w:t>
      </w:r>
      <w:r w:rsidR="00237F9D">
        <w:rPr>
          <w:b/>
          <w:bCs/>
          <w:sz w:val="22"/>
          <w:szCs w:val="22"/>
          <w:lang w:val="en-AU"/>
        </w:rPr>
        <w:t xml:space="preserve"> </w:t>
      </w:r>
      <w:r w:rsidRPr="00F86399">
        <w:rPr>
          <w:b/>
          <w:bCs/>
          <w:sz w:val="22"/>
          <w:szCs w:val="22"/>
          <w:lang w:val="en-AU"/>
        </w:rPr>
        <w:t>Paragraph</w:t>
      </w:r>
      <w:proofErr w:type="gramEnd"/>
      <w:r w:rsidRPr="00F86399">
        <w:rPr>
          <w:b/>
          <w:bCs/>
          <w:sz w:val="22"/>
          <w:szCs w:val="22"/>
          <w:lang w:val="en-AU"/>
        </w:rPr>
        <w:t xml:space="preserve"> 26.4(a) </w:t>
      </w:r>
    </w:p>
    <w:p w:rsidR="00F86399" w:rsidRPr="00755245" w:rsidRDefault="00F86399" w:rsidP="00D17CB6">
      <w:pPr>
        <w:spacing w:before="100" w:beforeAutospacing="1" w:after="100" w:afterAutospacing="1"/>
        <w:ind w:firstLine="708"/>
        <w:jc w:val="both"/>
        <w:rPr>
          <w:sz w:val="22"/>
          <w:szCs w:val="22"/>
          <w:lang w:val="en-AU"/>
        </w:rPr>
      </w:pPr>
      <w:r w:rsidRPr="00755245">
        <w:rPr>
          <w:sz w:val="22"/>
          <w:szCs w:val="22"/>
          <w:lang w:val="en-AU"/>
        </w:rPr>
        <w:t xml:space="preserve">Repeal the paragraph, substitute: Amendments </w:t>
      </w:r>
      <w:r w:rsidRPr="00755245">
        <w:rPr>
          <w:bCs/>
          <w:sz w:val="22"/>
          <w:szCs w:val="22"/>
          <w:lang w:val="en-AU"/>
        </w:rPr>
        <w:t xml:space="preserve">Schedule 1 </w:t>
      </w:r>
    </w:p>
    <w:p w:rsidR="008B2D8D" w:rsidRPr="00B41DEB" w:rsidRDefault="00F86399" w:rsidP="00D17CB6">
      <w:pPr>
        <w:pStyle w:val="ListParagraph"/>
        <w:numPr>
          <w:ilvl w:val="0"/>
          <w:numId w:val="3"/>
        </w:numPr>
        <w:spacing w:before="100" w:beforeAutospacing="1" w:after="100" w:afterAutospacing="1"/>
        <w:jc w:val="both"/>
        <w:rPr>
          <w:sz w:val="22"/>
          <w:szCs w:val="22"/>
          <w:lang w:val="en-AU"/>
        </w:rPr>
      </w:pPr>
      <w:r w:rsidRPr="00B41DEB">
        <w:rPr>
          <w:sz w:val="22"/>
          <w:szCs w:val="22"/>
          <w:lang w:val="en-AU"/>
        </w:rPr>
        <w:t xml:space="preserve">the </w:t>
      </w:r>
      <w:r w:rsidRPr="00B41DEB">
        <w:rPr>
          <w:i/>
          <w:iCs/>
          <w:sz w:val="22"/>
          <w:szCs w:val="22"/>
          <w:lang w:val="en-AU"/>
        </w:rPr>
        <w:t>Fisheries Management Regulations 2019</w:t>
      </w:r>
      <w:r w:rsidRPr="00B41DEB">
        <w:rPr>
          <w:sz w:val="22"/>
          <w:szCs w:val="22"/>
          <w:lang w:val="en-AU"/>
        </w:rPr>
        <w:t>; and</w:t>
      </w:r>
    </w:p>
    <w:p w:rsidR="00B41DEB" w:rsidRPr="00B41DEB" w:rsidRDefault="00B41DEB" w:rsidP="00D17CB6">
      <w:pPr>
        <w:spacing w:before="100" w:beforeAutospacing="1" w:after="100" w:afterAutospacing="1"/>
        <w:jc w:val="both"/>
        <w:rPr>
          <w:sz w:val="22"/>
          <w:szCs w:val="22"/>
          <w:lang w:val="en-AU"/>
        </w:rPr>
      </w:pPr>
      <w:r>
        <w:rPr>
          <w:sz w:val="22"/>
          <w:szCs w:val="22"/>
          <w:lang w:val="en-AU"/>
        </w:rPr>
        <w:t>This paragraph</w:t>
      </w:r>
      <w:r w:rsidRPr="00B41DEB">
        <w:rPr>
          <w:sz w:val="22"/>
          <w:szCs w:val="22"/>
          <w:lang w:val="en-AU"/>
        </w:rPr>
        <w:t xml:space="preserve"> reference</w:t>
      </w:r>
      <w:r>
        <w:rPr>
          <w:sz w:val="22"/>
          <w:szCs w:val="22"/>
          <w:lang w:val="en-AU"/>
        </w:rPr>
        <w:t>s</w:t>
      </w:r>
      <w:r w:rsidRPr="00B41DEB">
        <w:rPr>
          <w:sz w:val="22"/>
          <w:szCs w:val="22"/>
          <w:lang w:val="en-AU"/>
        </w:rPr>
        <w:t xml:space="preserve"> the now redundant </w:t>
      </w:r>
      <w:r w:rsidRPr="00B41DEB">
        <w:rPr>
          <w:i/>
          <w:sz w:val="22"/>
          <w:szCs w:val="22"/>
          <w:lang w:val="en-AU"/>
        </w:rPr>
        <w:t>Fisheries Management Regulations 1992</w:t>
      </w:r>
      <w:r w:rsidRPr="00B41DEB">
        <w:rPr>
          <w:sz w:val="22"/>
          <w:szCs w:val="22"/>
          <w:lang w:val="en-AU"/>
        </w:rPr>
        <w:t xml:space="preserve"> and are replaced with the recently updated version </w:t>
      </w:r>
      <w:r w:rsidRPr="00B41DEB">
        <w:rPr>
          <w:i/>
          <w:sz w:val="22"/>
          <w:szCs w:val="22"/>
          <w:lang w:val="en-AU"/>
        </w:rPr>
        <w:t>Fisheries Management Regulations 2019</w:t>
      </w:r>
      <w:r w:rsidRPr="00B41DEB">
        <w:rPr>
          <w:sz w:val="22"/>
          <w:szCs w:val="22"/>
          <w:lang w:val="en-AU"/>
        </w:rPr>
        <w:t>.</w:t>
      </w:r>
    </w:p>
    <w:p w:rsidR="0004153B" w:rsidRDefault="0004153B" w:rsidP="00D17CB6">
      <w:pPr>
        <w:autoSpaceDE w:val="0"/>
        <w:autoSpaceDN w:val="0"/>
        <w:adjustRightInd w:val="0"/>
        <w:jc w:val="both"/>
        <w:rPr>
          <w:b/>
          <w:bCs/>
          <w:sz w:val="22"/>
          <w:szCs w:val="22"/>
        </w:rPr>
      </w:pPr>
    </w:p>
    <w:p w:rsidR="005B3714" w:rsidRDefault="005B3714" w:rsidP="00D17CB6">
      <w:pPr>
        <w:spacing w:after="200" w:line="276" w:lineRule="auto"/>
        <w:ind w:left="6372" w:firstLine="708"/>
        <w:jc w:val="both"/>
        <w:rPr>
          <w:b/>
        </w:rPr>
      </w:pPr>
    </w:p>
    <w:p w:rsidR="0004153B" w:rsidRPr="009A241F" w:rsidRDefault="0004153B" w:rsidP="00D17CB6">
      <w:pPr>
        <w:spacing w:after="200" w:line="276" w:lineRule="auto"/>
        <w:ind w:left="6372" w:firstLine="708"/>
        <w:jc w:val="both"/>
        <w:rPr>
          <w:rFonts w:eastAsiaTheme="minorHAnsi" w:cstheme="minorBidi"/>
          <w:b/>
          <w:sz w:val="28"/>
          <w:szCs w:val="28"/>
          <w:lang w:val="en-AU"/>
        </w:rPr>
      </w:pPr>
      <w:r w:rsidRPr="009A241F">
        <w:rPr>
          <w:b/>
        </w:rPr>
        <w:lastRenderedPageBreak/>
        <w:t xml:space="preserve">Attachment A </w:t>
      </w:r>
    </w:p>
    <w:p w:rsidR="0004153B" w:rsidRDefault="0004153B" w:rsidP="00D17CB6">
      <w:pPr>
        <w:pStyle w:val="Heading2"/>
        <w:jc w:val="both"/>
      </w:pPr>
      <w:r>
        <w:t>Statement of Compatibility with Human Rights</w:t>
      </w:r>
    </w:p>
    <w:p w:rsidR="0004153B" w:rsidRPr="004625B3" w:rsidRDefault="0004153B" w:rsidP="00D17CB6">
      <w:pPr>
        <w:spacing w:before="120" w:after="120"/>
        <w:jc w:val="both"/>
        <w:rPr>
          <w:sz w:val="22"/>
          <w:szCs w:val="22"/>
        </w:rPr>
      </w:pPr>
      <w:r w:rsidRPr="004625B3">
        <w:rPr>
          <w:i/>
          <w:sz w:val="22"/>
          <w:szCs w:val="22"/>
        </w:rPr>
        <w:t>Prepared in accordance with Part 3 of the Human Rights (Parliamentary Scrutiny) Act 2011</w:t>
      </w:r>
    </w:p>
    <w:p w:rsidR="0004153B" w:rsidRDefault="0004153B" w:rsidP="00D17CB6">
      <w:pPr>
        <w:spacing w:before="120" w:after="120"/>
        <w:jc w:val="both"/>
      </w:pPr>
    </w:p>
    <w:p w:rsidR="0004153B" w:rsidRDefault="0004153B" w:rsidP="00D17CB6">
      <w:pPr>
        <w:spacing w:before="120" w:after="120"/>
        <w:jc w:val="both"/>
      </w:pPr>
      <w:r w:rsidRPr="0063705C">
        <w:rPr>
          <w:b/>
        </w:rPr>
        <w:t xml:space="preserve">Southern Bluefin Tuna Fishery Management Amendment (Recreational Fishing) Plan 2020.  </w:t>
      </w:r>
    </w:p>
    <w:p w:rsidR="0004153B" w:rsidRPr="004625B3" w:rsidRDefault="0004153B" w:rsidP="00D17CB6">
      <w:pPr>
        <w:spacing w:before="120" w:after="120"/>
        <w:jc w:val="both"/>
        <w:rPr>
          <w:sz w:val="22"/>
          <w:szCs w:val="22"/>
        </w:rPr>
      </w:pPr>
      <w:r w:rsidRPr="004625B3">
        <w:rPr>
          <w:sz w:val="22"/>
          <w:szCs w:val="22"/>
        </w:rPr>
        <w:t xml:space="preserve">This Disallowable Legislative Instrument is compatible with the human rights and freedoms </w:t>
      </w:r>
      <w:proofErr w:type="spellStart"/>
      <w:r w:rsidRPr="004625B3">
        <w:rPr>
          <w:sz w:val="22"/>
          <w:szCs w:val="22"/>
        </w:rPr>
        <w:t>recognised</w:t>
      </w:r>
      <w:proofErr w:type="spellEnd"/>
      <w:r w:rsidRPr="004625B3">
        <w:rPr>
          <w:sz w:val="22"/>
          <w:szCs w:val="22"/>
        </w:rPr>
        <w:t xml:space="preserve"> or declared in the international instruments listed in section 3 of the </w:t>
      </w:r>
      <w:r w:rsidRPr="004625B3">
        <w:rPr>
          <w:i/>
          <w:sz w:val="22"/>
          <w:szCs w:val="22"/>
        </w:rPr>
        <w:t>Human Rights (Parliamentary Scrutiny) Act 2011</w:t>
      </w:r>
      <w:r w:rsidRPr="004625B3">
        <w:rPr>
          <w:sz w:val="22"/>
          <w:szCs w:val="22"/>
        </w:rPr>
        <w:t>.</w:t>
      </w:r>
    </w:p>
    <w:p w:rsidR="0004153B" w:rsidRDefault="0004153B" w:rsidP="00D17CB6">
      <w:pPr>
        <w:pStyle w:val="Heading3"/>
      </w:pPr>
      <w:r>
        <w:t xml:space="preserve">Overview of the Bill/Disallowable Legislative </w:t>
      </w:r>
      <w:r w:rsidRPr="00017A63">
        <w:t>Instrument</w:t>
      </w:r>
    </w:p>
    <w:p w:rsidR="0004153B" w:rsidRPr="004625B3" w:rsidRDefault="0004153B" w:rsidP="00D17CB6">
      <w:pPr>
        <w:spacing w:before="120" w:after="120"/>
        <w:jc w:val="both"/>
        <w:rPr>
          <w:sz w:val="22"/>
          <w:szCs w:val="22"/>
        </w:rPr>
      </w:pPr>
      <w:r w:rsidRPr="004625B3">
        <w:rPr>
          <w:sz w:val="22"/>
          <w:szCs w:val="22"/>
        </w:rPr>
        <w:t xml:space="preserve">The management plan amendment is the practical implementation of the Federal Government’s commitment to set aside five per cent of Australia’s allocation from the Commission for the Conservation of Southern Bluefin Tuna (CCSBT) for recreational fishing. The amendment to Clause 17.2 (and all other relevant clauses) of the </w:t>
      </w:r>
      <w:r w:rsidRPr="004625B3">
        <w:rPr>
          <w:i/>
          <w:sz w:val="22"/>
          <w:szCs w:val="22"/>
        </w:rPr>
        <w:t>Southern Bluefin Tuna Fishery Management Plan 1995</w:t>
      </w:r>
      <w:r w:rsidRPr="004625B3">
        <w:rPr>
          <w:sz w:val="22"/>
          <w:szCs w:val="22"/>
        </w:rPr>
        <w:t xml:space="preserve"> will provide that the Australian Fisheries Management Authority cannot set the Total Allowable Catch higher than 95 per cent of</w:t>
      </w:r>
      <w:r w:rsidR="005F2D1F">
        <w:rPr>
          <w:sz w:val="22"/>
          <w:szCs w:val="22"/>
        </w:rPr>
        <w:t xml:space="preserve"> Australia’s</w:t>
      </w:r>
      <w:r w:rsidRPr="004625B3">
        <w:rPr>
          <w:sz w:val="22"/>
          <w:szCs w:val="22"/>
        </w:rPr>
        <w:t xml:space="preserve"> CCSBT allocatio</w:t>
      </w:r>
      <w:r w:rsidR="00963A1A">
        <w:rPr>
          <w:sz w:val="22"/>
          <w:szCs w:val="22"/>
        </w:rPr>
        <w:t>n. This set aside means that 95 per cent</w:t>
      </w:r>
      <w:r w:rsidRPr="004625B3">
        <w:rPr>
          <w:sz w:val="22"/>
          <w:szCs w:val="22"/>
        </w:rPr>
        <w:t xml:space="preserve"> of Australia’s CCSBT allocation will be set aside for the commercial sector. Effectively this will leave 5 per cent of the CCSBT allocation for recreational catch, which will still be managed by the relevant state governments through bag and possession limits. This is consistent with Australia’s obligations under the CCSBT to account for all sources of mortality within its allocation.</w:t>
      </w:r>
    </w:p>
    <w:p w:rsidR="0004153B" w:rsidRPr="0017269B" w:rsidRDefault="0004153B" w:rsidP="00D17CB6">
      <w:pPr>
        <w:pStyle w:val="Heading3"/>
      </w:pPr>
      <w:r w:rsidRPr="0017269B">
        <w:t>Human rights implications</w:t>
      </w:r>
    </w:p>
    <w:p w:rsidR="0004153B" w:rsidRPr="004625B3" w:rsidRDefault="0004153B" w:rsidP="00D17CB6">
      <w:pPr>
        <w:spacing w:before="120" w:after="120"/>
        <w:jc w:val="both"/>
        <w:rPr>
          <w:sz w:val="22"/>
          <w:szCs w:val="22"/>
        </w:rPr>
      </w:pPr>
      <w:r w:rsidRPr="004625B3">
        <w:rPr>
          <w:sz w:val="22"/>
          <w:szCs w:val="22"/>
        </w:rPr>
        <w:t>As the legislative instrument is of a mechanical nature, it does not engage any of the applicable rights or freedoms.</w:t>
      </w:r>
    </w:p>
    <w:p w:rsidR="0004153B" w:rsidRDefault="0004153B" w:rsidP="00D17CB6">
      <w:pPr>
        <w:pStyle w:val="Heading3"/>
      </w:pPr>
      <w:r>
        <w:t>Conclusion</w:t>
      </w:r>
    </w:p>
    <w:p w:rsidR="0004153B" w:rsidRPr="004625B3" w:rsidRDefault="0004153B" w:rsidP="00D17CB6">
      <w:pPr>
        <w:spacing w:before="120" w:after="120"/>
        <w:jc w:val="both"/>
        <w:rPr>
          <w:sz w:val="22"/>
          <w:szCs w:val="22"/>
        </w:rPr>
      </w:pPr>
      <w:r w:rsidRPr="004625B3">
        <w:rPr>
          <w:sz w:val="22"/>
          <w:szCs w:val="22"/>
        </w:rPr>
        <w:t>This Determination is compatible with human rights as it does not raise any human rights issues. The AFMA Commission is satisfied that the instrument is consistent with AFMA’s obligation to pursue its statutory objectives.</w:t>
      </w:r>
    </w:p>
    <w:p w:rsidR="000B7760" w:rsidRPr="00CB2D70" w:rsidRDefault="000B7760" w:rsidP="00D17CB6">
      <w:pPr>
        <w:spacing w:after="200" w:line="276" w:lineRule="auto"/>
        <w:jc w:val="both"/>
        <w:rPr>
          <w:sz w:val="22"/>
          <w:szCs w:val="22"/>
        </w:rPr>
      </w:pPr>
    </w:p>
    <w:sectPr w:rsidR="000B7760" w:rsidRPr="00CB2D70" w:rsidSect="00E84328">
      <w:foot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21A" w:rsidRDefault="00E0721A">
      <w:r>
        <w:separator/>
      </w:r>
    </w:p>
  </w:endnote>
  <w:endnote w:type="continuationSeparator" w:id="0">
    <w:p w:rsidR="00E0721A" w:rsidRDefault="00E07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DDE" w:rsidRDefault="00922D7F">
    <w:pPr>
      <w:pStyle w:val="Footer"/>
      <w:jc w:val="right"/>
    </w:pPr>
  </w:p>
  <w:p w:rsidR="00F70A59" w:rsidRDefault="00922D7F" w:rsidP="00F70A5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21A" w:rsidRDefault="00E0721A">
      <w:r>
        <w:separator/>
      </w:r>
    </w:p>
  </w:footnote>
  <w:footnote w:type="continuationSeparator" w:id="0">
    <w:p w:rsidR="00E0721A" w:rsidRDefault="00E07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8182E"/>
    <w:multiLevelType w:val="hybridMultilevel"/>
    <w:tmpl w:val="7D4685B6"/>
    <w:lvl w:ilvl="0" w:tplc="B1E06F70">
      <w:start w:val="1"/>
      <w:numFmt w:val="lowerLetter"/>
      <w:lvlText w:val="(%1)"/>
      <w:lvlJc w:val="left"/>
      <w:pPr>
        <w:ind w:left="1776" w:hanging="360"/>
      </w:pPr>
      <w:rPr>
        <w:rFonts w:hint="default"/>
      </w:rPr>
    </w:lvl>
    <w:lvl w:ilvl="1" w:tplc="0C090019" w:tentative="1">
      <w:start w:val="1"/>
      <w:numFmt w:val="lowerLetter"/>
      <w:lvlText w:val="%2."/>
      <w:lvlJc w:val="left"/>
      <w:pPr>
        <w:ind w:left="2496" w:hanging="360"/>
      </w:pPr>
    </w:lvl>
    <w:lvl w:ilvl="2" w:tplc="0C09001B" w:tentative="1">
      <w:start w:val="1"/>
      <w:numFmt w:val="lowerRoman"/>
      <w:lvlText w:val="%3."/>
      <w:lvlJc w:val="right"/>
      <w:pPr>
        <w:ind w:left="3216" w:hanging="180"/>
      </w:pPr>
    </w:lvl>
    <w:lvl w:ilvl="3" w:tplc="0C09000F" w:tentative="1">
      <w:start w:val="1"/>
      <w:numFmt w:val="decimal"/>
      <w:lvlText w:val="%4."/>
      <w:lvlJc w:val="left"/>
      <w:pPr>
        <w:ind w:left="3936" w:hanging="360"/>
      </w:pPr>
    </w:lvl>
    <w:lvl w:ilvl="4" w:tplc="0C090019" w:tentative="1">
      <w:start w:val="1"/>
      <w:numFmt w:val="lowerLetter"/>
      <w:lvlText w:val="%5."/>
      <w:lvlJc w:val="left"/>
      <w:pPr>
        <w:ind w:left="4656" w:hanging="360"/>
      </w:pPr>
    </w:lvl>
    <w:lvl w:ilvl="5" w:tplc="0C09001B" w:tentative="1">
      <w:start w:val="1"/>
      <w:numFmt w:val="lowerRoman"/>
      <w:lvlText w:val="%6."/>
      <w:lvlJc w:val="right"/>
      <w:pPr>
        <w:ind w:left="5376" w:hanging="180"/>
      </w:pPr>
    </w:lvl>
    <w:lvl w:ilvl="6" w:tplc="0C09000F" w:tentative="1">
      <w:start w:val="1"/>
      <w:numFmt w:val="decimal"/>
      <w:lvlText w:val="%7."/>
      <w:lvlJc w:val="left"/>
      <w:pPr>
        <w:ind w:left="6096" w:hanging="360"/>
      </w:pPr>
    </w:lvl>
    <w:lvl w:ilvl="7" w:tplc="0C090019" w:tentative="1">
      <w:start w:val="1"/>
      <w:numFmt w:val="lowerLetter"/>
      <w:lvlText w:val="%8."/>
      <w:lvlJc w:val="left"/>
      <w:pPr>
        <w:ind w:left="6816" w:hanging="360"/>
      </w:pPr>
    </w:lvl>
    <w:lvl w:ilvl="8" w:tplc="0C09001B" w:tentative="1">
      <w:start w:val="1"/>
      <w:numFmt w:val="lowerRoman"/>
      <w:lvlText w:val="%9."/>
      <w:lvlJc w:val="right"/>
      <w:pPr>
        <w:ind w:left="7536" w:hanging="180"/>
      </w:pPr>
    </w:lvl>
  </w:abstractNum>
  <w:abstractNum w:abstractNumId="1" w15:restartNumberingAfterBreak="0">
    <w:nsid w:val="1FD61BE4"/>
    <w:multiLevelType w:val="hybridMultilevel"/>
    <w:tmpl w:val="751E6DF2"/>
    <w:lvl w:ilvl="0" w:tplc="6A46928C">
      <w:start w:val="1"/>
      <w:numFmt w:val="lowerLetter"/>
      <w:lvlText w:val="(%1)"/>
      <w:lvlJc w:val="left"/>
      <w:pPr>
        <w:ind w:left="1776" w:hanging="360"/>
      </w:pPr>
      <w:rPr>
        <w:rFonts w:hint="default"/>
      </w:rPr>
    </w:lvl>
    <w:lvl w:ilvl="1" w:tplc="0C090019" w:tentative="1">
      <w:start w:val="1"/>
      <w:numFmt w:val="lowerLetter"/>
      <w:lvlText w:val="%2."/>
      <w:lvlJc w:val="left"/>
      <w:pPr>
        <w:ind w:left="2496" w:hanging="360"/>
      </w:pPr>
    </w:lvl>
    <w:lvl w:ilvl="2" w:tplc="0C09001B" w:tentative="1">
      <w:start w:val="1"/>
      <w:numFmt w:val="lowerRoman"/>
      <w:lvlText w:val="%3."/>
      <w:lvlJc w:val="right"/>
      <w:pPr>
        <w:ind w:left="3216" w:hanging="180"/>
      </w:pPr>
    </w:lvl>
    <w:lvl w:ilvl="3" w:tplc="0C09000F" w:tentative="1">
      <w:start w:val="1"/>
      <w:numFmt w:val="decimal"/>
      <w:lvlText w:val="%4."/>
      <w:lvlJc w:val="left"/>
      <w:pPr>
        <w:ind w:left="3936" w:hanging="360"/>
      </w:pPr>
    </w:lvl>
    <w:lvl w:ilvl="4" w:tplc="0C090019" w:tentative="1">
      <w:start w:val="1"/>
      <w:numFmt w:val="lowerLetter"/>
      <w:lvlText w:val="%5."/>
      <w:lvlJc w:val="left"/>
      <w:pPr>
        <w:ind w:left="4656" w:hanging="360"/>
      </w:pPr>
    </w:lvl>
    <w:lvl w:ilvl="5" w:tplc="0C09001B" w:tentative="1">
      <w:start w:val="1"/>
      <w:numFmt w:val="lowerRoman"/>
      <w:lvlText w:val="%6."/>
      <w:lvlJc w:val="right"/>
      <w:pPr>
        <w:ind w:left="5376" w:hanging="180"/>
      </w:pPr>
    </w:lvl>
    <w:lvl w:ilvl="6" w:tplc="0C09000F" w:tentative="1">
      <w:start w:val="1"/>
      <w:numFmt w:val="decimal"/>
      <w:lvlText w:val="%7."/>
      <w:lvlJc w:val="left"/>
      <w:pPr>
        <w:ind w:left="6096" w:hanging="360"/>
      </w:pPr>
    </w:lvl>
    <w:lvl w:ilvl="7" w:tplc="0C090019" w:tentative="1">
      <w:start w:val="1"/>
      <w:numFmt w:val="lowerLetter"/>
      <w:lvlText w:val="%8."/>
      <w:lvlJc w:val="left"/>
      <w:pPr>
        <w:ind w:left="6816" w:hanging="360"/>
      </w:pPr>
    </w:lvl>
    <w:lvl w:ilvl="8" w:tplc="0C09001B" w:tentative="1">
      <w:start w:val="1"/>
      <w:numFmt w:val="lowerRoman"/>
      <w:lvlText w:val="%9."/>
      <w:lvlJc w:val="right"/>
      <w:pPr>
        <w:ind w:left="7536" w:hanging="180"/>
      </w:pPr>
    </w:lvl>
  </w:abstractNum>
  <w:abstractNum w:abstractNumId="2" w15:restartNumberingAfterBreak="0">
    <w:nsid w:val="3B6004EF"/>
    <w:multiLevelType w:val="hybridMultilevel"/>
    <w:tmpl w:val="AAC2491C"/>
    <w:lvl w:ilvl="0" w:tplc="6D0278E0">
      <w:start w:val="1"/>
      <w:numFmt w:val="lowerLetter"/>
      <w:lvlText w:val="(%1)"/>
      <w:lvlJc w:val="left"/>
      <w:pPr>
        <w:ind w:left="1776" w:hanging="360"/>
      </w:pPr>
      <w:rPr>
        <w:rFonts w:hint="default"/>
      </w:rPr>
    </w:lvl>
    <w:lvl w:ilvl="1" w:tplc="0C090019" w:tentative="1">
      <w:start w:val="1"/>
      <w:numFmt w:val="lowerLetter"/>
      <w:lvlText w:val="%2."/>
      <w:lvlJc w:val="left"/>
      <w:pPr>
        <w:ind w:left="2496" w:hanging="360"/>
      </w:pPr>
    </w:lvl>
    <w:lvl w:ilvl="2" w:tplc="0C09001B" w:tentative="1">
      <w:start w:val="1"/>
      <w:numFmt w:val="lowerRoman"/>
      <w:lvlText w:val="%3."/>
      <w:lvlJc w:val="right"/>
      <w:pPr>
        <w:ind w:left="3216" w:hanging="180"/>
      </w:pPr>
    </w:lvl>
    <w:lvl w:ilvl="3" w:tplc="0C09000F" w:tentative="1">
      <w:start w:val="1"/>
      <w:numFmt w:val="decimal"/>
      <w:lvlText w:val="%4."/>
      <w:lvlJc w:val="left"/>
      <w:pPr>
        <w:ind w:left="3936" w:hanging="360"/>
      </w:pPr>
    </w:lvl>
    <w:lvl w:ilvl="4" w:tplc="0C090019" w:tentative="1">
      <w:start w:val="1"/>
      <w:numFmt w:val="lowerLetter"/>
      <w:lvlText w:val="%5."/>
      <w:lvlJc w:val="left"/>
      <w:pPr>
        <w:ind w:left="4656" w:hanging="360"/>
      </w:pPr>
    </w:lvl>
    <w:lvl w:ilvl="5" w:tplc="0C09001B" w:tentative="1">
      <w:start w:val="1"/>
      <w:numFmt w:val="lowerRoman"/>
      <w:lvlText w:val="%6."/>
      <w:lvlJc w:val="right"/>
      <w:pPr>
        <w:ind w:left="5376" w:hanging="180"/>
      </w:pPr>
    </w:lvl>
    <w:lvl w:ilvl="6" w:tplc="0C09000F" w:tentative="1">
      <w:start w:val="1"/>
      <w:numFmt w:val="decimal"/>
      <w:lvlText w:val="%7."/>
      <w:lvlJc w:val="left"/>
      <w:pPr>
        <w:ind w:left="6096" w:hanging="360"/>
      </w:pPr>
    </w:lvl>
    <w:lvl w:ilvl="7" w:tplc="0C090019" w:tentative="1">
      <w:start w:val="1"/>
      <w:numFmt w:val="lowerLetter"/>
      <w:lvlText w:val="%8."/>
      <w:lvlJc w:val="left"/>
      <w:pPr>
        <w:ind w:left="6816" w:hanging="360"/>
      </w:pPr>
    </w:lvl>
    <w:lvl w:ilvl="8" w:tplc="0C09001B" w:tentative="1">
      <w:start w:val="1"/>
      <w:numFmt w:val="lowerRoman"/>
      <w:lvlText w:val="%9."/>
      <w:lvlJc w:val="right"/>
      <w:pPr>
        <w:ind w:left="753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704"/>
    <w:rsid w:val="000030EE"/>
    <w:rsid w:val="00020854"/>
    <w:rsid w:val="0002467E"/>
    <w:rsid w:val="0004153B"/>
    <w:rsid w:val="0009376B"/>
    <w:rsid w:val="000A4A5D"/>
    <w:rsid w:val="000A51AC"/>
    <w:rsid w:val="000B7760"/>
    <w:rsid w:val="000C2B4B"/>
    <w:rsid w:val="000C4A1B"/>
    <w:rsid w:val="000D17E1"/>
    <w:rsid w:val="000D2C7A"/>
    <w:rsid w:val="00101864"/>
    <w:rsid w:val="00106C81"/>
    <w:rsid w:val="001404D2"/>
    <w:rsid w:val="00185DD5"/>
    <w:rsid w:val="001A605D"/>
    <w:rsid w:val="001A699F"/>
    <w:rsid w:val="001E63B1"/>
    <w:rsid w:val="002100CD"/>
    <w:rsid w:val="00216AE5"/>
    <w:rsid w:val="002330D9"/>
    <w:rsid w:val="00237F9D"/>
    <w:rsid w:val="00244763"/>
    <w:rsid w:val="00245030"/>
    <w:rsid w:val="00284EC8"/>
    <w:rsid w:val="00303A4B"/>
    <w:rsid w:val="00315CFC"/>
    <w:rsid w:val="00326704"/>
    <w:rsid w:val="00336657"/>
    <w:rsid w:val="0034129E"/>
    <w:rsid w:val="003426B0"/>
    <w:rsid w:val="00343A40"/>
    <w:rsid w:val="0035487D"/>
    <w:rsid w:val="0036662E"/>
    <w:rsid w:val="00376D10"/>
    <w:rsid w:val="003A59A7"/>
    <w:rsid w:val="003F4ED1"/>
    <w:rsid w:val="00405200"/>
    <w:rsid w:val="004061B1"/>
    <w:rsid w:val="00453D3F"/>
    <w:rsid w:val="004625B3"/>
    <w:rsid w:val="00470C63"/>
    <w:rsid w:val="00472088"/>
    <w:rsid w:val="004838FA"/>
    <w:rsid w:val="00496550"/>
    <w:rsid w:val="004B44D3"/>
    <w:rsid w:val="004B5B74"/>
    <w:rsid w:val="004C4A14"/>
    <w:rsid w:val="004F15D7"/>
    <w:rsid w:val="004F2A1B"/>
    <w:rsid w:val="004F2B51"/>
    <w:rsid w:val="004F3BB9"/>
    <w:rsid w:val="005108C5"/>
    <w:rsid w:val="005351E8"/>
    <w:rsid w:val="00560282"/>
    <w:rsid w:val="00581D17"/>
    <w:rsid w:val="005B3714"/>
    <w:rsid w:val="005B5633"/>
    <w:rsid w:val="005C2C4A"/>
    <w:rsid w:val="005C305B"/>
    <w:rsid w:val="005D7B9F"/>
    <w:rsid w:val="005E5AA0"/>
    <w:rsid w:val="005F2D1F"/>
    <w:rsid w:val="00623AF2"/>
    <w:rsid w:val="006321AB"/>
    <w:rsid w:val="00635893"/>
    <w:rsid w:val="0064542E"/>
    <w:rsid w:val="00663100"/>
    <w:rsid w:val="006C4FA4"/>
    <w:rsid w:val="006C589B"/>
    <w:rsid w:val="00746AF4"/>
    <w:rsid w:val="00752ABC"/>
    <w:rsid w:val="00755245"/>
    <w:rsid w:val="007627A0"/>
    <w:rsid w:val="0079267B"/>
    <w:rsid w:val="007E058F"/>
    <w:rsid w:val="0083063E"/>
    <w:rsid w:val="00854E19"/>
    <w:rsid w:val="0087584B"/>
    <w:rsid w:val="008B2D8D"/>
    <w:rsid w:val="008C15FD"/>
    <w:rsid w:val="008C1E27"/>
    <w:rsid w:val="00922032"/>
    <w:rsid w:val="00922D7F"/>
    <w:rsid w:val="009258CC"/>
    <w:rsid w:val="009361D1"/>
    <w:rsid w:val="009431AB"/>
    <w:rsid w:val="00952CF1"/>
    <w:rsid w:val="00954AD7"/>
    <w:rsid w:val="00963A1A"/>
    <w:rsid w:val="00974900"/>
    <w:rsid w:val="009A05A5"/>
    <w:rsid w:val="009A241F"/>
    <w:rsid w:val="00A07AAB"/>
    <w:rsid w:val="00A14E58"/>
    <w:rsid w:val="00A7186C"/>
    <w:rsid w:val="00A9350E"/>
    <w:rsid w:val="00AF13CE"/>
    <w:rsid w:val="00B41DEB"/>
    <w:rsid w:val="00B4759C"/>
    <w:rsid w:val="00B77DFD"/>
    <w:rsid w:val="00B90F59"/>
    <w:rsid w:val="00C62F6E"/>
    <w:rsid w:val="00C9361E"/>
    <w:rsid w:val="00CB2D70"/>
    <w:rsid w:val="00CD0562"/>
    <w:rsid w:val="00D17CB6"/>
    <w:rsid w:val="00D33300"/>
    <w:rsid w:val="00D34427"/>
    <w:rsid w:val="00E0721A"/>
    <w:rsid w:val="00E17B94"/>
    <w:rsid w:val="00E23300"/>
    <w:rsid w:val="00E5132A"/>
    <w:rsid w:val="00EB3B5E"/>
    <w:rsid w:val="00EC16CD"/>
    <w:rsid w:val="00EF4D20"/>
    <w:rsid w:val="00F05C82"/>
    <w:rsid w:val="00F07ECE"/>
    <w:rsid w:val="00F16DAC"/>
    <w:rsid w:val="00F432D4"/>
    <w:rsid w:val="00F86399"/>
    <w:rsid w:val="00FD137B"/>
    <w:rsid w:val="00FE07CE"/>
    <w:rsid w:val="00FF59BF"/>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DBE947AD-6AA2-4AAF-9719-AE5BF621C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704"/>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04153B"/>
    <w:pPr>
      <w:spacing w:before="360" w:after="120"/>
      <w:jc w:val="center"/>
      <w:outlineLvl w:val="1"/>
    </w:pPr>
    <w:rPr>
      <w:rFonts w:eastAsiaTheme="minorHAnsi" w:cstheme="minorBidi"/>
      <w:b/>
      <w:sz w:val="28"/>
      <w:szCs w:val="28"/>
      <w:lang w:val="en-AU"/>
    </w:rPr>
  </w:style>
  <w:style w:type="paragraph" w:styleId="Heading3">
    <w:name w:val="heading 3"/>
    <w:basedOn w:val="Normal"/>
    <w:next w:val="Normal"/>
    <w:link w:val="Heading3Char"/>
    <w:uiPriority w:val="9"/>
    <w:unhideWhenUsed/>
    <w:qFormat/>
    <w:rsid w:val="0004153B"/>
    <w:pPr>
      <w:spacing w:before="120" w:after="120"/>
      <w:jc w:val="both"/>
      <w:outlineLvl w:val="2"/>
    </w:pPr>
    <w:rPr>
      <w:rFonts w:eastAsiaTheme="minorHAnsi" w:cstheme="minorBidi"/>
      <w:b/>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rsid w:val="00326704"/>
    <w:pPr>
      <w:spacing w:before="240" w:after="0" w:line="240" w:lineRule="auto"/>
      <w:jc w:val="both"/>
    </w:pPr>
    <w:rPr>
      <w:rFonts w:ascii="Times New Roman" w:eastAsia="Times New Roman" w:hAnsi="Times New Roman" w:cs="Times New Roman"/>
      <w:snapToGrid w:val="0"/>
      <w:kern w:val="20"/>
      <w:sz w:val="24"/>
      <w:szCs w:val="20"/>
      <w:lang w:val="en-AU"/>
    </w:rPr>
  </w:style>
  <w:style w:type="paragraph" w:styleId="Footer">
    <w:name w:val="footer"/>
    <w:basedOn w:val="Normal"/>
    <w:link w:val="FooterChar"/>
    <w:uiPriority w:val="99"/>
    <w:rsid w:val="00326704"/>
    <w:pPr>
      <w:tabs>
        <w:tab w:val="center" w:pos="4153"/>
        <w:tab w:val="right" w:pos="8306"/>
      </w:tabs>
    </w:pPr>
  </w:style>
  <w:style w:type="character" w:customStyle="1" w:styleId="FooterChar">
    <w:name w:val="Footer Char"/>
    <w:basedOn w:val="DefaultParagraphFont"/>
    <w:link w:val="Footer"/>
    <w:uiPriority w:val="99"/>
    <w:rsid w:val="00326704"/>
    <w:rPr>
      <w:rFonts w:ascii="Times New Roman" w:eastAsia="Times New Roman" w:hAnsi="Times New Roman" w:cs="Times New Roman"/>
      <w:sz w:val="24"/>
      <w:szCs w:val="24"/>
      <w:lang w:val="en-US"/>
    </w:rPr>
  </w:style>
  <w:style w:type="paragraph" w:customStyle="1" w:styleId="AFMA123Normal">
    <w:name w:val="AFMA 123 Normal"/>
    <w:basedOn w:val="Normal"/>
    <w:rsid w:val="00326704"/>
    <w:pPr>
      <w:keepLines/>
      <w:spacing w:before="240"/>
      <w:jc w:val="both"/>
    </w:pPr>
    <w:rPr>
      <w:kern w:val="20"/>
      <w:szCs w:val="20"/>
      <w:lang w:val="en-AU"/>
    </w:rPr>
  </w:style>
  <w:style w:type="paragraph" w:customStyle="1" w:styleId="Default">
    <w:name w:val="Default"/>
    <w:rsid w:val="00453D3F"/>
    <w:pPr>
      <w:autoSpaceDE w:val="0"/>
      <w:autoSpaceDN w:val="0"/>
      <w:adjustRightInd w:val="0"/>
      <w:spacing w:after="0" w:line="240" w:lineRule="auto"/>
    </w:pPr>
    <w:rPr>
      <w:rFonts w:ascii="Arial" w:hAnsi="Arial" w:cs="Arial"/>
      <w:color w:val="000000"/>
      <w:sz w:val="24"/>
      <w:szCs w:val="24"/>
      <w:lang w:val="en-AU"/>
    </w:rPr>
  </w:style>
  <w:style w:type="paragraph" w:styleId="Header">
    <w:name w:val="header"/>
    <w:basedOn w:val="Normal"/>
    <w:link w:val="HeaderChar"/>
    <w:uiPriority w:val="99"/>
    <w:unhideWhenUsed/>
    <w:rsid w:val="006C589B"/>
    <w:pPr>
      <w:tabs>
        <w:tab w:val="center" w:pos="4513"/>
        <w:tab w:val="right" w:pos="9026"/>
      </w:tabs>
    </w:pPr>
  </w:style>
  <w:style w:type="character" w:customStyle="1" w:styleId="HeaderChar">
    <w:name w:val="Header Char"/>
    <w:basedOn w:val="DefaultParagraphFont"/>
    <w:link w:val="Header"/>
    <w:uiPriority w:val="99"/>
    <w:rsid w:val="006C589B"/>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426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6B0"/>
    <w:rPr>
      <w:rFonts w:ascii="Segoe UI" w:eastAsia="Times New Roman" w:hAnsi="Segoe UI" w:cs="Segoe UI"/>
      <w:sz w:val="18"/>
      <w:szCs w:val="18"/>
      <w:lang w:val="en-US"/>
    </w:rPr>
  </w:style>
  <w:style w:type="character" w:customStyle="1" w:styleId="Heading2Char">
    <w:name w:val="Heading 2 Char"/>
    <w:basedOn w:val="DefaultParagraphFont"/>
    <w:link w:val="Heading2"/>
    <w:uiPriority w:val="9"/>
    <w:rsid w:val="0004153B"/>
    <w:rPr>
      <w:rFonts w:ascii="Times New Roman" w:hAnsi="Times New Roman"/>
      <w:b/>
      <w:sz w:val="28"/>
      <w:szCs w:val="28"/>
      <w:lang w:val="en-AU"/>
    </w:rPr>
  </w:style>
  <w:style w:type="character" w:customStyle="1" w:styleId="Heading3Char">
    <w:name w:val="Heading 3 Char"/>
    <w:basedOn w:val="DefaultParagraphFont"/>
    <w:link w:val="Heading3"/>
    <w:uiPriority w:val="9"/>
    <w:rsid w:val="0004153B"/>
    <w:rPr>
      <w:rFonts w:ascii="Times New Roman" w:hAnsi="Times New Roman"/>
      <w:b/>
      <w:sz w:val="24"/>
      <w:szCs w:val="24"/>
      <w:lang w:val="en-AU"/>
    </w:rPr>
  </w:style>
  <w:style w:type="paragraph" w:styleId="ListParagraph">
    <w:name w:val="List Paragraph"/>
    <w:basedOn w:val="Normal"/>
    <w:uiPriority w:val="34"/>
    <w:qFormat/>
    <w:rsid w:val="00B41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01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55E67-2E28-49AE-9DBB-EBF7E1ADC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2021</Words>
  <Characters>11524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KEARNEY Brendan</dc:creator>
  <cp:lastModifiedBy>DANIEL, Matthew</cp:lastModifiedBy>
  <cp:revision>5</cp:revision>
  <dcterms:created xsi:type="dcterms:W3CDTF">2020-09-23T04:46:00Z</dcterms:created>
  <dcterms:modified xsi:type="dcterms:W3CDTF">2020-10-01T02:50:00Z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2c1ab3a0-fcea-4c12-b2cf-aa034731a282</vt:lpwstr>
  </property>
  <property fmtid="{D5CDD505-2E9C-101B-9397-08002B2CF9AE}" pid="3" name="SEC">
    <vt:lpwstr>OFFICIAL</vt:lpwstr>
  </property>
  <property fmtid="{D5CDD505-2E9C-101B-9397-08002B2CF9AE}" pid="4" name="DLM">
    <vt:lpwstr>Sensitive (Legal Privilege)</vt:lpwstr>
  </property>
  <property fmtid="{D5CDD505-2E9C-101B-9397-08002B2CF9AE}" pid="5" name="ApplyMark">
    <vt:lpwstr>false</vt:lpwstr>
  </property>
</Properties>
</file>