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125AE" w14:textId="77777777" w:rsidR="005E789F" w:rsidRDefault="005E789F" w:rsidP="005E789F">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0D0F8B4F" w14:textId="77777777" w:rsidR="005E789F" w:rsidRDefault="005E789F" w:rsidP="005E789F">
      <w:pPr>
        <w:jc w:val="center"/>
        <w:rPr>
          <w:rFonts w:ascii="Times New Roman" w:hAnsi="Times New Roman" w:cs="Times New Roman"/>
        </w:rPr>
      </w:pPr>
      <w:r>
        <w:rPr>
          <w:rFonts w:ascii="Times New Roman" w:hAnsi="Times New Roman" w:cs="Times New Roman"/>
        </w:rPr>
        <w:t>Approved by the Australian Communications and Media Authority</w:t>
      </w:r>
    </w:p>
    <w:p w14:paraId="28601C5C" w14:textId="77777777" w:rsidR="005E789F" w:rsidRDefault="005E789F" w:rsidP="005E789F">
      <w:pPr>
        <w:jc w:val="center"/>
        <w:rPr>
          <w:rFonts w:ascii="Times New Roman" w:hAnsi="Times New Roman" w:cs="Times New Roman"/>
          <w:i/>
        </w:rPr>
      </w:pPr>
      <w:r w:rsidRPr="000C48D3">
        <w:rPr>
          <w:rFonts w:ascii="Times New Roman" w:hAnsi="Times New Roman" w:cs="Times New Roman"/>
          <w:i/>
        </w:rPr>
        <w:t xml:space="preserve">Telecommunications Act 1997 </w:t>
      </w:r>
    </w:p>
    <w:p w14:paraId="0A2CB3EA" w14:textId="5DD51E65" w:rsidR="005E789F" w:rsidRDefault="005E789F" w:rsidP="005E789F">
      <w:pPr>
        <w:jc w:val="center"/>
        <w:rPr>
          <w:rFonts w:ascii="Times New Roman" w:hAnsi="Times New Roman" w:cs="Times New Roman"/>
          <w:b/>
          <w:i/>
        </w:rPr>
      </w:pPr>
      <w:r w:rsidRPr="000C48D3">
        <w:rPr>
          <w:rFonts w:ascii="Times New Roman" w:hAnsi="Times New Roman" w:cs="Times New Roman"/>
          <w:b/>
          <w:i/>
        </w:rPr>
        <w:t>Telecommunications (</w:t>
      </w:r>
      <w:r>
        <w:rPr>
          <w:rFonts w:ascii="Times New Roman" w:hAnsi="Times New Roman" w:cs="Times New Roman"/>
          <w:b/>
          <w:i/>
        </w:rPr>
        <w:t>NBN Continuity of Service</w:t>
      </w:r>
      <w:r w:rsidRPr="000C48D3">
        <w:rPr>
          <w:rFonts w:ascii="Times New Roman" w:hAnsi="Times New Roman" w:cs="Times New Roman"/>
          <w:b/>
          <w:i/>
        </w:rPr>
        <w:t>) Industry Standard Variation 2020 (No. 1</w:t>
      </w:r>
      <w:r>
        <w:rPr>
          <w:rFonts w:ascii="Times New Roman" w:hAnsi="Times New Roman" w:cs="Times New Roman"/>
          <w:b/>
          <w:i/>
        </w:rPr>
        <w:t>)</w:t>
      </w:r>
    </w:p>
    <w:p w14:paraId="6FFEDE37" w14:textId="77777777" w:rsidR="005E789F" w:rsidRDefault="005E789F" w:rsidP="005E789F">
      <w:pPr>
        <w:spacing w:before="280"/>
        <w:rPr>
          <w:rFonts w:ascii="Times New Roman" w:hAnsi="Times New Roman" w:cs="Times New Roman"/>
          <w:b/>
        </w:rPr>
      </w:pPr>
      <w:r>
        <w:rPr>
          <w:rFonts w:ascii="Times New Roman" w:hAnsi="Times New Roman" w:cs="Times New Roman"/>
          <w:b/>
        </w:rPr>
        <w:t>Authority</w:t>
      </w:r>
    </w:p>
    <w:p w14:paraId="1F9FC564" w14:textId="65B69B95" w:rsidR="005E789F" w:rsidRPr="00C37B63" w:rsidRDefault="005E789F" w:rsidP="005E789F">
      <w:pPr>
        <w:rPr>
          <w:rFonts w:ascii="Times New Roman" w:hAnsi="Times New Roman" w:cs="Times New Roman"/>
        </w:rPr>
      </w:pPr>
      <w:r w:rsidRPr="00C37B63">
        <w:rPr>
          <w:rFonts w:ascii="Times New Roman" w:hAnsi="Times New Roman" w:cs="Times New Roman"/>
        </w:rPr>
        <w:t xml:space="preserve">The Australian Communications and Media Authority (the </w:t>
      </w:r>
      <w:r w:rsidRPr="00C37B63">
        <w:rPr>
          <w:rFonts w:ascii="Times New Roman" w:hAnsi="Times New Roman" w:cs="Times New Roman"/>
          <w:b/>
          <w:bCs/>
        </w:rPr>
        <w:t>ACMA</w:t>
      </w:r>
      <w:r w:rsidRPr="00C37B63">
        <w:rPr>
          <w:rFonts w:ascii="Times New Roman" w:hAnsi="Times New Roman" w:cs="Times New Roman"/>
        </w:rPr>
        <w:t xml:space="preserve">) has </w:t>
      </w:r>
      <w:r w:rsidR="00935069">
        <w:rPr>
          <w:rFonts w:ascii="Times New Roman" w:hAnsi="Times New Roman" w:cs="Times New Roman"/>
        </w:rPr>
        <w:t>determined</w:t>
      </w:r>
      <w:r w:rsidR="00935069" w:rsidRPr="00C37B63">
        <w:rPr>
          <w:rFonts w:ascii="Times New Roman" w:hAnsi="Times New Roman" w:cs="Times New Roman"/>
        </w:rPr>
        <w:t xml:space="preserve"> </w:t>
      </w:r>
      <w:r w:rsidRPr="00C37B63">
        <w:rPr>
          <w:rFonts w:ascii="Times New Roman" w:hAnsi="Times New Roman" w:cs="Times New Roman"/>
        </w:rPr>
        <w:t xml:space="preserve">the </w:t>
      </w:r>
      <w:r w:rsidRPr="00C37B63">
        <w:rPr>
          <w:rFonts w:ascii="Times New Roman" w:hAnsi="Times New Roman" w:cs="Times New Roman"/>
          <w:i/>
          <w:iCs/>
        </w:rPr>
        <w:t>Telecommunications (</w:t>
      </w:r>
      <w:r>
        <w:rPr>
          <w:rFonts w:ascii="Times New Roman" w:hAnsi="Times New Roman" w:cs="Times New Roman"/>
          <w:i/>
          <w:iCs/>
        </w:rPr>
        <w:t>NBN Continuity of Service</w:t>
      </w:r>
      <w:r w:rsidRPr="00C37B63">
        <w:rPr>
          <w:rFonts w:ascii="Times New Roman" w:hAnsi="Times New Roman" w:cs="Times New Roman"/>
          <w:i/>
          <w:iCs/>
        </w:rPr>
        <w:t>) Industry Standard Variation 2020 (No. 1)</w:t>
      </w:r>
      <w:r w:rsidRPr="00C37B63">
        <w:rPr>
          <w:rFonts w:ascii="Times New Roman" w:hAnsi="Times New Roman" w:cs="Times New Roman"/>
        </w:rPr>
        <w:t xml:space="preserve"> (the </w:t>
      </w:r>
      <w:r w:rsidRPr="00C37B63">
        <w:rPr>
          <w:rFonts w:ascii="Times New Roman" w:hAnsi="Times New Roman" w:cs="Times New Roman"/>
          <w:b/>
          <w:bCs/>
        </w:rPr>
        <w:t>instrument</w:t>
      </w:r>
      <w:r w:rsidRPr="00C37B63">
        <w:rPr>
          <w:rFonts w:ascii="Times New Roman" w:hAnsi="Times New Roman" w:cs="Times New Roman"/>
        </w:rPr>
        <w:t>)</w:t>
      </w:r>
      <w:r w:rsidR="00A47023">
        <w:rPr>
          <w:rFonts w:ascii="Times New Roman" w:hAnsi="Times New Roman" w:cs="Times New Roman"/>
        </w:rPr>
        <w:t xml:space="preserve"> to vary the </w:t>
      </w:r>
      <w:r w:rsidR="00A47023" w:rsidRPr="00DD2122">
        <w:rPr>
          <w:rFonts w:ascii="Times New Roman" w:hAnsi="Times New Roman" w:cs="Times New Roman"/>
          <w:i/>
          <w:iCs/>
        </w:rPr>
        <w:t>Telecommunications (</w:t>
      </w:r>
      <w:r w:rsidR="00A47023">
        <w:rPr>
          <w:rFonts w:ascii="Times New Roman" w:hAnsi="Times New Roman" w:cs="Times New Roman"/>
          <w:i/>
          <w:iCs/>
        </w:rPr>
        <w:t>NBN Continuity of Service</w:t>
      </w:r>
      <w:r w:rsidR="00A47023" w:rsidRPr="00DD2122">
        <w:rPr>
          <w:rFonts w:ascii="Times New Roman" w:hAnsi="Times New Roman" w:cs="Times New Roman"/>
          <w:i/>
          <w:iCs/>
        </w:rPr>
        <w:t xml:space="preserve">) Industry Standard 2018 </w:t>
      </w:r>
      <w:r w:rsidR="00A47023" w:rsidRPr="00C37B63">
        <w:rPr>
          <w:rFonts w:ascii="Times New Roman" w:hAnsi="Times New Roman" w:cs="Times New Roman"/>
        </w:rPr>
        <w:t xml:space="preserve">(the </w:t>
      </w:r>
      <w:r w:rsidR="00A47023" w:rsidRPr="00181DC4">
        <w:rPr>
          <w:rFonts w:ascii="Times New Roman" w:hAnsi="Times New Roman" w:cs="Times New Roman"/>
          <w:b/>
          <w:bCs/>
        </w:rPr>
        <w:t>Stand</w:t>
      </w:r>
      <w:r w:rsidR="00A47023" w:rsidRPr="00303EF5">
        <w:rPr>
          <w:rFonts w:ascii="Times New Roman" w:hAnsi="Times New Roman" w:cs="Times New Roman"/>
          <w:b/>
          <w:bCs/>
        </w:rPr>
        <w:t>ard</w:t>
      </w:r>
      <w:r w:rsidR="00A47023" w:rsidRPr="002A3272">
        <w:rPr>
          <w:rFonts w:ascii="Times New Roman" w:hAnsi="Times New Roman" w:cs="Times New Roman"/>
        </w:rPr>
        <w:t>)</w:t>
      </w:r>
      <w:r w:rsidRPr="00C37B63">
        <w:rPr>
          <w:rFonts w:ascii="Times New Roman" w:hAnsi="Times New Roman" w:cs="Times New Roman"/>
        </w:rPr>
        <w:t xml:space="preserve"> under subsection 125AA(1) of the </w:t>
      </w:r>
      <w:r w:rsidRPr="00C37B63">
        <w:rPr>
          <w:rFonts w:ascii="Times New Roman" w:hAnsi="Times New Roman" w:cs="Times New Roman"/>
          <w:i/>
          <w:iCs/>
        </w:rPr>
        <w:t>Telecommunications Act 1997</w:t>
      </w:r>
      <w:r w:rsidRPr="00C37B63">
        <w:rPr>
          <w:rFonts w:ascii="Times New Roman" w:hAnsi="Times New Roman" w:cs="Times New Roman"/>
        </w:rPr>
        <w:t xml:space="preserve"> (the </w:t>
      </w:r>
      <w:r w:rsidRPr="00C37B63">
        <w:rPr>
          <w:rFonts w:ascii="Times New Roman" w:hAnsi="Times New Roman" w:cs="Times New Roman"/>
          <w:b/>
          <w:bCs/>
        </w:rPr>
        <w:t>Act</w:t>
      </w:r>
      <w:r w:rsidRPr="00C37B63">
        <w:rPr>
          <w:rFonts w:ascii="Times New Roman" w:hAnsi="Times New Roman" w:cs="Times New Roman"/>
        </w:rPr>
        <w:t xml:space="preserve">), in accordance with sections 5 and </w:t>
      </w:r>
      <w:r w:rsidR="00935069">
        <w:rPr>
          <w:rFonts w:ascii="Times New Roman" w:hAnsi="Times New Roman" w:cs="Times New Roman"/>
        </w:rPr>
        <w:t xml:space="preserve">7 </w:t>
      </w:r>
      <w:r w:rsidRPr="00C37B63">
        <w:rPr>
          <w:rFonts w:ascii="Times New Roman" w:hAnsi="Times New Roman" w:cs="Times New Roman"/>
        </w:rPr>
        <w:t xml:space="preserve">of the </w:t>
      </w:r>
      <w:r w:rsidRPr="00C37B63">
        <w:rPr>
          <w:rFonts w:ascii="Times New Roman" w:hAnsi="Times New Roman" w:cs="Times New Roman"/>
          <w:i/>
          <w:iCs/>
        </w:rPr>
        <w:t>Telecommunications (NBN Consumer Experience Industry Standard) Direction 2017</w:t>
      </w:r>
      <w:r w:rsidRPr="00C37B63">
        <w:rPr>
          <w:rFonts w:ascii="Times New Roman" w:hAnsi="Times New Roman" w:cs="Times New Roman"/>
        </w:rPr>
        <w:t xml:space="preserve"> (the </w:t>
      </w:r>
      <w:r w:rsidRPr="00C37B63">
        <w:rPr>
          <w:rFonts w:ascii="Times New Roman" w:hAnsi="Times New Roman" w:cs="Times New Roman"/>
          <w:b/>
          <w:bCs/>
        </w:rPr>
        <w:t>Direction</w:t>
      </w:r>
      <w:r w:rsidRPr="00C37B63">
        <w:rPr>
          <w:rFonts w:ascii="Times New Roman" w:hAnsi="Times New Roman" w:cs="Times New Roman"/>
        </w:rPr>
        <w:t xml:space="preserve">) and subsection 33(3) of the </w:t>
      </w:r>
      <w:r w:rsidRPr="00C37B63">
        <w:rPr>
          <w:rFonts w:ascii="Times New Roman" w:hAnsi="Times New Roman" w:cs="Times New Roman"/>
          <w:i/>
          <w:iCs/>
        </w:rPr>
        <w:t>Acts Interpretation Act 1901</w:t>
      </w:r>
      <w:r w:rsidRPr="00C37B63">
        <w:rPr>
          <w:rFonts w:ascii="Times New Roman" w:hAnsi="Times New Roman" w:cs="Times New Roman"/>
        </w:rPr>
        <w:t xml:space="preserve"> (the </w:t>
      </w:r>
      <w:r w:rsidRPr="00C37B63">
        <w:rPr>
          <w:rFonts w:ascii="Times New Roman" w:hAnsi="Times New Roman" w:cs="Times New Roman"/>
          <w:b/>
          <w:bCs/>
        </w:rPr>
        <w:t>AIA</w:t>
      </w:r>
      <w:r w:rsidRPr="00C37B63">
        <w:rPr>
          <w:rFonts w:ascii="Times New Roman" w:hAnsi="Times New Roman" w:cs="Times New Roman"/>
        </w:rPr>
        <w:t>).</w:t>
      </w:r>
    </w:p>
    <w:p w14:paraId="4F6445E6" w14:textId="40DBA5FD" w:rsidR="005E789F" w:rsidRPr="00B74DF2" w:rsidRDefault="005E789F" w:rsidP="005E789F">
      <w:pPr>
        <w:rPr>
          <w:rFonts w:ascii="Times New Roman" w:hAnsi="Times New Roman" w:cs="Times New Roman"/>
        </w:rPr>
      </w:pPr>
      <w:r w:rsidRPr="00C37B63">
        <w:rPr>
          <w:rFonts w:ascii="Times New Roman" w:hAnsi="Times New Roman" w:cs="Times New Roman"/>
        </w:rPr>
        <w:t>The Minister has the power under subsection 125</w:t>
      </w:r>
      <w:proofErr w:type="gramStart"/>
      <w:r w:rsidRPr="00C37B63">
        <w:rPr>
          <w:rFonts w:ascii="Times New Roman" w:hAnsi="Times New Roman" w:cs="Times New Roman"/>
        </w:rPr>
        <w:t>AA(</w:t>
      </w:r>
      <w:proofErr w:type="gramEnd"/>
      <w:r w:rsidRPr="00C37B63">
        <w:rPr>
          <w:rFonts w:ascii="Times New Roman" w:hAnsi="Times New Roman" w:cs="Times New Roman"/>
        </w:rPr>
        <w:t>4) of the Act to direct the ACMA to:</w:t>
      </w:r>
    </w:p>
    <w:p w14:paraId="54DA67B6" w14:textId="77777777" w:rsidR="005E789F" w:rsidRPr="00B74DF2" w:rsidRDefault="005E789F" w:rsidP="005E789F">
      <w:pPr>
        <w:numPr>
          <w:ilvl w:val="0"/>
          <w:numId w:val="1"/>
        </w:numPr>
        <w:rPr>
          <w:rFonts w:ascii="Times New Roman" w:hAnsi="Times New Roman" w:cs="Times New Roman"/>
        </w:rPr>
      </w:pPr>
      <w:r w:rsidRPr="00B74DF2">
        <w:rPr>
          <w:rFonts w:ascii="Times New Roman" w:hAnsi="Times New Roman" w:cs="Times New Roman"/>
        </w:rPr>
        <w:t>determine a standard under subsection 125</w:t>
      </w:r>
      <w:proofErr w:type="gramStart"/>
      <w:r w:rsidRPr="00B74DF2">
        <w:rPr>
          <w:rFonts w:ascii="Times New Roman" w:hAnsi="Times New Roman" w:cs="Times New Roman"/>
        </w:rPr>
        <w:t>AA(</w:t>
      </w:r>
      <w:proofErr w:type="gramEnd"/>
      <w:r w:rsidRPr="00B74DF2">
        <w:rPr>
          <w:rFonts w:ascii="Times New Roman" w:hAnsi="Times New Roman" w:cs="Times New Roman"/>
        </w:rPr>
        <w:t>1) of the Act that:</w:t>
      </w:r>
    </w:p>
    <w:p w14:paraId="59C9A52E" w14:textId="77777777" w:rsidR="005E789F" w:rsidRPr="00B74DF2" w:rsidRDefault="005E789F" w:rsidP="005E789F">
      <w:pPr>
        <w:numPr>
          <w:ilvl w:val="1"/>
          <w:numId w:val="2"/>
        </w:numPr>
        <w:rPr>
          <w:rFonts w:ascii="Times New Roman" w:hAnsi="Times New Roman" w:cs="Times New Roman"/>
        </w:rPr>
      </w:pPr>
      <w:r w:rsidRPr="00B74DF2">
        <w:rPr>
          <w:rFonts w:ascii="Times New Roman" w:hAnsi="Times New Roman" w:cs="Times New Roman"/>
        </w:rPr>
        <w:t xml:space="preserve">applies to participants in a specified section of the telecommunications </w:t>
      </w:r>
      <w:proofErr w:type="gramStart"/>
      <w:r w:rsidRPr="00B74DF2">
        <w:rPr>
          <w:rFonts w:ascii="Times New Roman" w:hAnsi="Times New Roman" w:cs="Times New Roman"/>
        </w:rPr>
        <w:t>industry;</w:t>
      </w:r>
      <w:proofErr w:type="gramEnd"/>
      <w:r w:rsidRPr="00B74DF2">
        <w:rPr>
          <w:rFonts w:ascii="Times New Roman" w:hAnsi="Times New Roman" w:cs="Times New Roman"/>
        </w:rPr>
        <w:t xml:space="preserve">  </w:t>
      </w:r>
    </w:p>
    <w:p w14:paraId="27D2BD6A" w14:textId="77777777" w:rsidR="005E789F" w:rsidRPr="00B74DF2" w:rsidRDefault="005E789F" w:rsidP="005E789F">
      <w:pPr>
        <w:numPr>
          <w:ilvl w:val="1"/>
          <w:numId w:val="2"/>
        </w:numPr>
        <w:rPr>
          <w:rFonts w:ascii="Times New Roman" w:hAnsi="Times New Roman" w:cs="Times New Roman"/>
        </w:rPr>
      </w:pPr>
      <w:r w:rsidRPr="00B74DF2">
        <w:rPr>
          <w:rFonts w:ascii="Times New Roman" w:hAnsi="Times New Roman" w:cs="Times New Roman"/>
        </w:rPr>
        <w:t xml:space="preserve">deals with one or more specified matters relating to the activities of those participants; and </w:t>
      </w:r>
    </w:p>
    <w:p w14:paraId="5AB94DF8" w14:textId="77777777" w:rsidR="005E789F" w:rsidRPr="00B74DF2" w:rsidRDefault="005E789F" w:rsidP="005E789F">
      <w:pPr>
        <w:numPr>
          <w:ilvl w:val="0"/>
          <w:numId w:val="1"/>
        </w:numPr>
        <w:rPr>
          <w:rFonts w:ascii="Times New Roman" w:hAnsi="Times New Roman" w:cs="Times New Roman"/>
        </w:rPr>
      </w:pPr>
      <w:r w:rsidRPr="00B74DF2">
        <w:rPr>
          <w:rFonts w:ascii="Times New Roman" w:hAnsi="Times New Roman" w:cs="Times New Roman"/>
        </w:rPr>
        <w:t xml:space="preserve">do so within a specified period. </w:t>
      </w:r>
    </w:p>
    <w:p w14:paraId="11F1015B" w14:textId="77777777" w:rsidR="005E789F" w:rsidRPr="00C37B63" w:rsidRDefault="005E789F" w:rsidP="005E789F">
      <w:pPr>
        <w:rPr>
          <w:rFonts w:ascii="Times New Roman" w:hAnsi="Times New Roman" w:cs="Times New Roman"/>
        </w:rPr>
      </w:pPr>
      <w:r w:rsidRPr="00C37B63">
        <w:rPr>
          <w:rFonts w:ascii="Times New Roman" w:hAnsi="Times New Roman" w:cs="Times New Roman"/>
        </w:rPr>
        <w:t>The Direction was given to the ACMA by the Minister under subsection 125</w:t>
      </w:r>
      <w:proofErr w:type="gramStart"/>
      <w:r w:rsidRPr="00C37B63">
        <w:rPr>
          <w:rFonts w:ascii="Times New Roman" w:hAnsi="Times New Roman" w:cs="Times New Roman"/>
        </w:rPr>
        <w:t>AA(</w:t>
      </w:r>
      <w:proofErr w:type="gramEnd"/>
      <w:r w:rsidRPr="00C37B63">
        <w:rPr>
          <w:rFonts w:ascii="Times New Roman" w:hAnsi="Times New Roman" w:cs="Times New Roman"/>
        </w:rPr>
        <w:t xml:space="preserve">4) of the Act and commenced on 23 December 2017. </w:t>
      </w:r>
    </w:p>
    <w:p w14:paraId="65CDC6DD" w14:textId="77777777" w:rsidR="005E789F" w:rsidRPr="00C37B63" w:rsidRDefault="005E789F" w:rsidP="005E789F">
      <w:pPr>
        <w:rPr>
          <w:rFonts w:ascii="Times New Roman" w:hAnsi="Times New Roman" w:cs="Times New Roman"/>
        </w:rPr>
      </w:pPr>
      <w:r w:rsidRPr="00C37B63">
        <w:rPr>
          <w:rFonts w:ascii="Times New Roman" w:hAnsi="Times New Roman" w:cs="Times New Roman"/>
        </w:rPr>
        <w:t>Subsection 5(1) of the Direction directs the ACMA to determine an industry standard under subsection 125</w:t>
      </w:r>
      <w:proofErr w:type="gramStart"/>
      <w:r w:rsidRPr="00C37B63">
        <w:rPr>
          <w:rFonts w:ascii="Times New Roman" w:hAnsi="Times New Roman" w:cs="Times New Roman"/>
        </w:rPr>
        <w:t>AA(</w:t>
      </w:r>
      <w:proofErr w:type="gramEnd"/>
      <w:r w:rsidRPr="00C37B63">
        <w:rPr>
          <w:rFonts w:ascii="Times New Roman" w:hAnsi="Times New Roman" w:cs="Times New Roman"/>
        </w:rPr>
        <w:t xml:space="preserve">1) of the Act that complies with Divisions 2, 3 and 4 of Part 2 of the Direction. </w:t>
      </w:r>
    </w:p>
    <w:p w14:paraId="2252FF14" w14:textId="4A8E511F" w:rsidR="005E789F" w:rsidRPr="00BC1D6C" w:rsidRDefault="005E789F" w:rsidP="005E789F">
      <w:pPr>
        <w:rPr>
          <w:rFonts w:ascii="Times New Roman" w:hAnsi="Times New Roman" w:cs="Times New Roman"/>
        </w:rPr>
      </w:pPr>
      <w:r w:rsidRPr="00CD4DC2">
        <w:rPr>
          <w:rFonts w:ascii="Times New Roman" w:hAnsi="Times New Roman" w:cs="Times New Roman"/>
        </w:rPr>
        <w:t xml:space="preserve">Relevantly, section </w:t>
      </w:r>
      <w:r w:rsidR="00BD2E97" w:rsidRPr="00CD4DC2">
        <w:rPr>
          <w:rFonts w:ascii="Times New Roman" w:hAnsi="Times New Roman" w:cs="Times New Roman"/>
        </w:rPr>
        <w:t>7</w:t>
      </w:r>
      <w:r w:rsidRPr="00CD4DC2">
        <w:rPr>
          <w:rFonts w:ascii="Times New Roman" w:hAnsi="Times New Roman" w:cs="Times New Roman"/>
        </w:rPr>
        <w:t xml:space="preserve"> of the Direction requires the ACMA to determine an industry standard relating to </w:t>
      </w:r>
      <w:r w:rsidR="00DE2AA8" w:rsidRPr="00CD4DC2">
        <w:rPr>
          <w:rFonts w:ascii="Times New Roman" w:hAnsi="Times New Roman" w:cs="Times New Roman"/>
        </w:rPr>
        <w:t xml:space="preserve">the promoting </w:t>
      </w:r>
      <w:r w:rsidR="00272073">
        <w:rPr>
          <w:rFonts w:ascii="Times New Roman" w:hAnsi="Times New Roman" w:cs="Times New Roman"/>
        </w:rPr>
        <w:t xml:space="preserve">of </w:t>
      </w:r>
      <w:r w:rsidR="00DE2AA8" w:rsidRPr="00CD4DC2">
        <w:rPr>
          <w:rFonts w:ascii="Times New Roman" w:hAnsi="Times New Roman" w:cs="Times New Roman"/>
        </w:rPr>
        <w:t>continuity of voice and broadband services by carriage service providers (</w:t>
      </w:r>
      <w:r w:rsidR="00DE2AA8" w:rsidRPr="00AB75F1">
        <w:rPr>
          <w:rFonts w:ascii="Times New Roman" w:hAnsi="Times New Roman" w:cs="Times New Roman"/>
          <w:b/>
          <w:bCs/>
        </w:rPr>
        <w:t>CSPs</w:t>
      </w:r>
      <w:r w:rsidR="00DE2AA8" w:rsidRPr="00CD4DC2">
        <w:rPr>
          <w:rFonts w:ascii="Times New Roman" w:hAnsi="Times New Roman" w:cs="Times New Roman"/>
        </w:rPr>
        <w:t>) and carriers</w:t>
      </w:r>
      <w:r w:rsidRPr="00CD4DC2">
        <w:rPr>
          <w:rFonts w:ascii="Times New Roman" w:hAnsi="Times New Roman" w:cs="Times New Roman"/>
        </w:rPr>
        <w:t>.</w:t>
      </w:r>
    </w:p>
    <w:p w14:paraId="6510603B" w14:textId="56C13FDE" w:rsidR="005E789F" w:rsidRPr="00B74DF2" w:rsidRDefault="005E789F" w:rsidP="005E789F">
      <w:pPr>
        <w:rPr>
          <w:rFonts w:ascii="Times New Roman" w:hAnsi="Times New Roman" w:cs="Times New Roman"/>
        </w:rPr>
      </w:pPr>
      <w:r w:rsidRPr="003E5E1F">
        <w:rPr>
          <w:rFonts w:ascii="Times New Roman" w:hAnsi="Times New Roman" w:cs="Times New Roman"/>
        </w:rPr>
        <w:t xml:space="preserve">Subsection </w:t>
      </w:r>
      <w:r w:rsidR="00DE2AA8">
        <w:rPr>
          <w:rFonts w:ascii="Times New Roman" w:hAnsi="Times New Roman" w:cs="Times New Roman"/>
        </w:rPr>
        <w:t>7</w:t>
      </w:r>
      <w:r w:rsidRPr="003E5E1F">
        <w:rPr>
          <w:rFonts w:ascii="Times New Roman" w:hAnsi="Times New Roman" w:cs="Times New Roman"/>
        </w:rPr>
        <w:t>(1) of the Direction requires the ACMA to determine an industry standard that:</w:t>
      </w:r>
    </w:p>
    <w:p w14:paraId="40489997" w14:textId="77777777" w:rsidR="005E789F" w:rsidRPr="00B74DF2" w:rsidRDefault="005E789F" w:rsidP="005E789F">
      <w:pPr>
        <w:numPr>
          <w:ilvl w:val="0"/>
          <w:numId w:val="3"/>
        </w:numPr>
        <w:rPr>
          <w:rFonts w:ascii="Times New Roman" w:hAnsi="Times New Roman" w:cs="Times New Roman"/>
        </w:rPr>
      </w:pPr>
      <w:r w:rsidRPr="00B74DF2">
        <w:rPr>
          <w:rFonts w:ascii="Times New Roman" w:hAnsi="Times New Roman" w:cs="Times New Roman"/>
        </w:rPr>
        <w:t>applies to CSPs</w:t>
      </w:r>
      <w:r>
        <w:rPr>
          <w:rFonts w:ascii="Times New Roman" w:hAnsi="Times New Roman" w:cs="Times New Roman"/>
        </w:rPr>
        <w:t xml:space="preserve"> and carriers responsible for network units that are used in the supply of services</w:t>
      </w:r>
      <w:r w:rsidRPr="00B74DF2">
        <w:rPr>
          <w:rFonts w:ascii="Times New Roman" w:hAnsi="Times New Roman" w:cs="Times New Roman"/>
        </w:rPr>
        <w:t xml:space="preserve">; and </w:t>
      </w:r>
    </w:p>
    <w:p w14:paraId="3C390DBF" w14:textId="7AC87C45" w:rsidR="005E789F" w:rsidRPr="00B74DF2" w:rsidRDefault="005E789F" w:rsidP="005E789F">
      <w:pPr>
        <w:numPr>
          <w:ilvl w:val="0"/>
          <w:numId w:val="3"/>
        </w:numPr>
        <w:rPr>
          <w:rFonts w:ascii="Times New Roman" w:hAnsi="Times New Roman" w:cs="Times New Roman"/>
        </w:rPr>
      </w:pPr>
      <w:r w:rsidRPr="00B74DF2">
        <w:rPr>
          <w:rFonts w:ascii="Times New Roman" w:hAnsi="Times New Roman" w:cs="Times New Roman"/>
        </w:rPr>
        <w:t xml:space="preserve">deals with </w:t>
      </w:r>
      <w:r>
        <w:rPr>
          <w:rFonts w:ascii="Times New Roman" w:hAnsi="Times New Roman" w:cs="Times New Roman"/>
        </w:rPr>
        <w:t xml:space="preserve">the </w:t>
      </w:r>
      <w:r w:rsidR="00DE2AA8">
        <w:rPr>
          <w:rFonts w:ascii="Times New Roman" w:hAnsi="Times New Roman" w:cs="Times New Roman"/>
        </w:rPr>
        <w:t xml:space="preserve">provision of voice and broadband services </w:t>
      </w:r>
      <w:r>
        <w:rPr>
          <w:rFonts w:ascii="Times New Roman" w:hAnsi="Times New Roman" w:cs="Times New Roman"/>
        </w:rPr>
        <w:t xml:space="preserve">by persons listed in paragraph </w:t>
      </w:r>
      <w:r w:rsidR="00DE2AA8">
        <w:rPr>
          <w:rFonts w:ascii="Times New Roman" w:hAnsi="Times New Roman" w:cs="Times New Roman"/>
        </w:rPr>
        <w:t>7</w:t>
      </w:r>
      <w:r>
        <w:rPr>
          <w:rFonts w:ascii="Times New Roman" w:hAnsi="Times New Roman" w:cs="Times New Roman"/>
        </w:rPr>
        <w:t>(1)(a)</w:t>
      </w:r>
      <w:r w:rsidR="00DE2AA8">
        <w:rPr>
          <w:rFonts w:ascii="Times New Roman" w:hAnsi="Times New Roman" w:cs="Times New Roman"/>
        </w:rPr>
        <w:t xml:space="preserve"> </w:t>
      </w:r>
      <w:r w:rsidR="00682FA1">
        <w:rPr>
          <w:rFonts w:ascii="Times New Roman" w:hAnsi="Times New Roman" w:cs="Times New Roman"/>
        </w:rPr>
        <w:t xml:space="preserve">of the Direction </w:t>
      </w:r>
      <w:r w:rsidR="00DE2AA8">
        <w:rPr>
          <w:rFonts w:ascii="Times New Roman" w:hAnsi="Times New Roman" w:cs="Times New Roman"/>
        </w:rPr>
        <w:t>to consumers in areas where legacy services are readily able to be supplied an</w:t>
      </w:r>
      <w:r w:rsidR="001550F1" w:rsidRPr="00BC1970">
        <w:rPr>
          <w:rFonts w:ascii="Times New Roman" w:hAnsi="Times New Roman" w:cs="Times New Roman"/>
        </w:rPr>
        <w:t>d</w:t>
      </w:r>
      <w:r w:rsidR="00DE2AA8">
        <w:rPr>
          <w:rFonts w:ascii="Times New Roman" w:hAnsi="Times New Roman" w:cs="Times New Roman"/>
        </w:rPr>
        <w:t xml:space="preserve"> the areas has been declared ready for service by NBN Co Limited</w:t>
      </w:r>
      <w:r w:rsidRPr="00B74DF2">
        <w:rPr>
          <w:rFonts w:ascii="Times New Roman" w:hAnsi="Times New Roman" w:cs="Times New Roman"/>
        </w:rPr>
        <w:t>.</w:t>
      </w:r>
    </w:p>
    <w:p w14:paraId="73D134B2" w14:textId="406414C6" w:rsidR="005E789F" w:rsidRPr="00B74DF2" w:rsidRDefault="00326638" w:rsidP="005E789F">
      <w:pPr>
        <w:rPr>
          <w:rFonts w:ascii="Times New Roman" w:hAnsi="Times New Roman" w:cs="Times New Roman"/>
        </w:rPr>
      </w:pPr>
      <w:r>
        <w:rPr>
          <w:rFonts w:ascii="Times New Roman" w:hAnsi="Times New Roman" w:cs="Times New Roman"/>
        </w:rPr>
        <w:t>P</w:t>
      </w:r>
      <w:r w:rsidR="005E789F">
        <w:rPr>
          <w:rFonts w:ascii="Times New Roman" w:hAnsi="Times New Roman" w:cs="Times New Roman"/>
        </w:rPr>
        <w:t>aragraphs</w:t>
      </w:r>
      <w:r w:rsidR="005E789F" w:rsidRPr="00B74DF2">
        <w:rPr>
          <w:rFonts w:ascii="Times New Roman" w:hAnsi="Times New Roman" w:cs="Times New Roman"/>
        </w:rPr>
        <w:t xml:space="preserve"> </w:t>
      </w:r>
      <w:r w:rsidR="00DE2AA8">
        <w:rPr>
          <w:rFonts w:ascii="Times New Roman" w:hAnsi="Times New Roman" w:cs="Times New Roman"/>
        </w:rPr>
        <w:t>7</w:t>
      </w:r>
      <w:r w:rsidR="005E789F">
        <w:rPr>
          <w:rFonts w:ascii="Times New Roman" w:hAnsi="Times New Roman" w:cs="Times New Roman"/>
        </w:rPr>
        <w:t xml:space="preserve">(2)(a) to (c) of the Direction </w:t>
      </w:r>
      <w:r w:rsidR="005E789F" w:rsidRPr="00B74DF2">
        <w:rPr>
          <w:rFonts w:ascii="Times New Roman" w:hAnsi="Times New Roman" w:cs="Times New Roman"/>
        </w:rPr>
        <w:t xml:space="preserve">provide that the </w:t>
      </w:r>
      <w:r w:rsidR="005E789F">
        <w:rPr>
          <w:rFonts w:ascii="Times New Roman" w:hAnsi="Times New Roman" w:cs="Times New Roman"/>
        </w:rPr>
        <w:t>industry s</w:t>
      </w:r>
      <w:r w:rsidR="005E789F" w:rsidRPr="00B74DF2">
        <w:rPr>
          <w:rFonts w:ascii="Times New Roman" w:hAnsi="Times New Roman" w:cs="Times New Roman"/>
        </w:rPr>
        <w:t>tandard must</w:t>
      </w:r>
      <w:r w:rsidR="005E789F">
        <w:rPr>
          <w:rFonts w:ascii="Times New Roman" w:hAnsi="Times New Roman" w:cs="Times New Roman"/>
        </w:rPr>
        <w:t>, among other things,</w:t>
      </w:r>
      <w:r w:rsidR="005E789F" w:rsidRPr="00B74DF2">
        <w:rPr>
          <w:rFonts w:ascii="Times New Roman" w:hAnsi="Times New Roman" w:cs="Times New Roman"/>
        </w:rPr>
        <w:t xml:space="preserve"> deal with: </w:t>
      </w:r>
    </w:p>
    <w:p w14:paraId="3BDF887A" w14:textId="5A7DB4B6" w:rsidR="005E789F" w:rsidRDefault="00CD4DC2" w:rsidP="005E789F">
      <w:pPr>
        <w:numPr>
          <w:ilvl w:val="0"/>
          <w:numId w:val="4"/>
        </w:numPr>
        <w:rPr>
          <w:rFonts w:ascii="Times New Roman" w:hAnsi="Times New Roman" w:cs="Times New Roman"/>
        </w:rPr>
      </w:pPr>
      <w:r>
        <w:rPr>
          <w:rFonts w:ascii="Times New Roman" w:hAnsi="Times New Roman" w:cs="Times New Roman"/>
        </w:rPr>
        <w:t>requirements for the supply to a consumer of a legacy service that is a voice service, a broadband service, or both, to their premises using a legacy network, where it is not possible to obtain a working voice or broadband service using the NBN, including requirements for the supply of such services in the following circumstances:</w:t>
      </w:r>
      <w:r w:rsidR="00326638">
        <w:rPr>
          <w:rFonts w:ascii="Times New Roman" w:hAnsi="Times New Roman" w:cs="Times New Roman"/>
        </w:rPr>
        <w:t xml:space="preserve"> </w:t>
      </w:r>
    </w:p>
    <w:p w14:paraId="238AA095" w14:textId="5FCC0198" w:rsidR="00AB75F1" w:rsidRPr="00AB75F1" w:rsidRDefault="00321C5D" w:rsidP="00321C5D">
      <w:pPr>
        <w:tabs>
          <w:tab w:val="left" w:pos="5363"/>
        </w:tabs>
        <w:rPr>
          <w:rFonts w:ascii="Times New Roman" w:hAnsi="Times New Roman" w:cs="Times New Roman"/>
        </w:rPr>
      </w:pPr>
      <w:r>
        <w:rPr>
          <w:rFonts w:ascii="Times New Roman" w:hAnsi="Times New Roman" w:cs="Times New Roman"/>
        </w:rPr>
        <w:tab/>
      </w:r>
    </w:p>
    <w:p w14:paraId="16747EF1" w14:textId="45D1572E" w:rsidR="00CD4DC2" w:rsidRDefault="00CD4DC2" w:rsidP="00CD4DC2">
      <w:pPr>
        <w:numPr>
          <w:ilvl w:val="1"/>
          <w:numId w:val="4"/>
        </w:numPr>
        <w:rPr>
          <w:rFonts w:ascii="Times New Roman" w:hAnsi="Times New Roman" w:cs="Times New Roman"/>
        </w:rPr>
      </w:pPr>
      <w:r>
        <w:rPr>
          <w:rFonts w:ascii="Times New Roman" w:hAnsi="Times New Roman" w:cs="Times New Roman"/>
        </w:rPr>
        <w:lastRenderedPageBreak/>
        <w:t>where the migration of a legacy service to the NBN has been unsuccessful, and is unlikely to be successful within a reasonable period of time; and</w:t>
      </w:r>
    </w:p>
    <w:p w14:paraId="0B0A6B63" w14:textId="17466154" w:rsidR="00CD4DC2" w:rsidRDefault="00CD4DC2" w:rsidP="00CD4DC2">
      <w:pPr>
        <w:numPr>
          <w:ilvl w:val="1"/>
          <w:numId w:val="4"/>
        </w:numPr>
        <w:rPr>
          <w:rFonts w:ascii="Times New Roman" w:hAnsi="Times New Roman" w:cs="Times New Roman"/>
        </w:rPr>
      </w:pPr>
      <w:r w:rsidRPr="00CD4DC2">
        <w:rPr>
          <w:rFonts w:ascii="Times New Roman" w:hAnsi="Times New Roman" w:cs="Times New Roman"/>
        </w:rPr>
        <w:t>where the migration of a legacy service to the NBN has been successful, but a voice service or broadband service cannot be supplied to a particular consumer on the NBN for an unreasonable period of time, and it remains readily feasible to supply legacy services to th</w:t>
      </w:r>
      <w:r w:rsidR="00397C9F">
        <w:rPr>
          <w:rFonts w:ascii="Times New Roman" w:hAnsi="Times New Roman" w:cs="Times New Roman"/>
        </w:rPr>
        <w:t>ose</w:t>
      </w:r>
      <w:r w:rsidRPr="00CD4DC2">
        <w:rPr>
          <w:rFonts w:ascii="Times New Roman" w:hAnsi="Times New Roman" w:cs="Times New Roman"/>
        </w:rPr>
        <w:t xml:space="preserve"> premises</w:t>
      </w:r>
      <w:r>
        <w:rPr>
          <w:rFonts w:ascii="Times New Roman" w:hAnsi="Times New Roman" w:cs="Times New Roman"/>
        </w:rPr>
        <w:t>;</w:t>
      </w:r>
    </w:p>
    <w:p w14:paraId="2AADFC40" w14:textId="5812672C" w:rsidR="00CD4DC2" w:rsidRDefault="00CD4DC2" w:rsidP="00CD4DC2">
      <w:pPr>
        <w:numPr>
          <w:ilvl w:val="0"/>
          <w:numId w:val="4"/>
        </w:numPr>
        <w:rPr>
          <w:rFonts w:ascii="Times New Roman" w:hAnsi="Times New Roman" w:cs="Times New Roman"/>
        </w:rPr>
      </w:pPr>
      <w:r w:rsidRPr="00CD4DC2">
        <w:rPr>
          <w:rFonts w:ascii="Times New Roman" w:hAnsi="Times New Roman" w:cs="Times New Roman"/>
        </w:rPr>
        <w:t xml:space="preserve">processes for the reconnection of legacy services if required in accordance with a requirement for the purposes of paragraph (2)(a), including timeframes for completion of those </w:t>
      </w:r>
      <w:proofErr w:type="gramStart"/>
      <w:r w:rsidRPr="00CD4DC2">
        <w:rPr>
          <w:rFonts w:ascii="Times New Roman" w:hAnsi="Times New Roman" w:cs="Times New Roman"/>
        </w:rPr>
        <w:t>processes;</w:t>
      </w:r>
      <w:proofErr w:type="gramEnd"/>
      <w:r>
        <w:rPr>
          <w:rFonts w:ascii="Times New Roman" w:hAnsi="Times New Roman" w:cs="Times New Roman"/>
        </w:rPr>
        <w:t xml:space="preserve"> </w:t>
      </w:r>
    </w:p>
    <w:p w14:paraId="550CDF98" w14:textId="6661983D" w:rsidR="00CD4DC2" w:rsidRPr="00B74DF2" w:rsidRDefault="00CD4DC2" w:rsidP="00CD4DC2">
      <w:pPr>
        <w:numPr>
          <w:ilvl w:val="0"/>
          <w:numId w:val="4"/>
        </w:numPr>
        <w:rPr>
          <w:rFonts w:ascii="Times New Roman" w:hAnsi="Times New Roman" w:cs="Times New Roman"/>
        </w:rPr>
      </w:pPr>
      <w:r w:rsidRPr="00CD4DC2">
        <w:rPr>
          <w:rFonts w:ascii="Times New Roman" w:hAnsi="Times New Roman" w:cs="Times New Roman"/>
        </w:rPr>
        <w:t xml:space="preserve">requirements for persons listed in paragraph (1)(a) </w:t>
      </w:r>
      <w:r w:rsidR="00E7405C">
        <w:rPr>
          <w:rFonts w:ascii="Times New Roman" w:hAnsi="Times New Roman" w:cs="Times New Roman"/>
        </w:rPr>
        <w:t xml:space="preserve">of the Direction </w:t>
      </w:r>
      <w:r w:rsidRPr="00CD4DC2">
        <w:rPr>
          <w:rFonts w:ascii="Times New Roman" w:hAnsi="Times New Roman" w:cs="Times New Roman"/>
        </w:rPr>
        <w:t>to nominate a contact point for coordination activities in relation to reconnection of legacy services, including requirements regarding who that nomination must be communicated to, and in what manner.</w:t>
      </w:r>
    </w:p>
    <w:p w14:paraId="7695D31D" w14:textId="2B6918D7" w:rsidR="005E789F" w:rsidRPr="00C37B63" w:rsidRDefault="00882402" w:rsidP="005E789F">
      <w:pPr>
        <w:rPr>
          <w:rFonts w:ascii="Times New Roman" w:hAnsi="Times New Roman" w:cs="Times New Roman"/>
        </w:rPr>
      </w:pPr>
      <w:r>
        <w:rPr>
          <w:rFonts w:ascii="Times New Roman" w:hAnsi="Times New Roman" w:cs="Times New Roman"/>
        </w:rPr>
        <w:t>S</w:t>
      </w:r>
      <w:r w:rsidR="005E789F" w:rsidRPr="00C37B63">
        <w:rPr>
          <w:rFonts w:ascii="Times New Roman" w:hAnsi="Times New Roman" w:cs="Times New Roman"/>
        </w:rPr>
        <w:t>ubsection 125</w:t>
      </w:r>
      <w:proofErr w:type="gramStart"/>
      <w:r w:rsidR="005E789F" w:rsidRPr="00C37B63">
        <w:rPr>
          <w:rFonts w:ascii="Times New Roman" w:hAnsi="Times New Roman" w:cs="Times New Roman"/>
        </w:rPr>
        <w:t>AA(</w:t>
      </w:r>
      <w:proofErr w:type="gramEnd"/>
      <w:r w:rsidR="005E789F" w:rsidRPr="00C37B63">
        <w:rPr>
          <w:rFonts w:ascii="Times New Roman" w:hAnsi="Times New Roman" w:cs="Times New Roman"/>
        </w:rPr>
        <w:t xml:space="preserve">5) of the Act provides that the ACMA must determine an industry standard under subsection 125AA(1) in accordance with a direction under subsection 125AA(4). </w:t>
      </w:r>
    </w:p>
    <w:p w14:paraId="52549FC6" w14:textId="12E52D12" w:rsidR="00CD4DC2" w:rsidRDefault="005E789F" w:rsidP="005E789F">
      <w:pPr>
        <w:rPr>
          <w:rFonts w:ascii="Times New Roman" w:hAnsi="Times New Roman" w:cs="Times New Roman"/>
        </w:rPr>
      </w:pPr>
      <w:r w:rsidRPr="00C37B63">
        <w:rPr>
          <w:rFonts w:ascii="Times New Roman" w:hAnsi="Times New Roman" w:cs="Times New Roman"/>
        </w:rPr>
        <w:t xml:space="preserve">The ACMA made the </w:t>
      </w:r>
      <w:r w:rsidR="00A47023">
        <w:rPr>
          <w:rFonts w:ascii="Times New Roman" w:hAnsi="Times New Roman" w:cs="Times New Roman"/>
        </w:rPr>
        <w:t xml:space="preserve">Standard </w:t>
      </w:r>
      <w:r w:rsidRPr="002A3272">
        <w:rPr>
          <w:rFonts w:ascii="Times New Roman" w:hAnsi="Times New Roman" w:cs="Times New Roman"/>
        </w:rPr>
        <w:t xml:space="preserve">consistent with the requirements in sections 5 and </w:t>
      </w:r>
      <w:r w:rsidR="00CD4DC2">
        <w:rPr>
          <w:rFonts w:ascii="Times New Roman" w:hAnsi="Times New Roman" w:cs="Times New Roman"/>
        </w:rPr>
        <w:t>7</w:t>
      </w:r>
      <w:r w:rsidRPr="0060256E">
        <w:rPr>
          <w:rFonts w:ascii="Times New Roman" w:hAnsi="Times New Roman" w:cs="Times New Roman"/>
        </w:rPr>
        <w:t xml:space="preserve"> of the Direction and</w:t>
      </w:r>
      <w:r w:rsidR="00CD4DC2">
        <w:rPr>
          <w:rFonts w:ascii="Times New Roman" w:hAnsi="Times New Roman" w:cs="Times New Roman"/>
        </w:rPr>
        <w:t xml:space="preserve"> </w:t>
      </w:r>
      <w:r w:rsidR="00174D33">
        <w:rPr>
          <w:rFonts w:ascii="Times New Roman" w:hAnsi="Times New Roman" w:cs="Times New Roman"/>
        </w:rPr>
        <w:t xml:space="preserve">it </w:t>
      </w:r>
      <w:r w:rsidR="00CD4DC2">
        <w:rPr>
          <w:rFonts w:ascii="Times New Roman" w:hAnsi="Times New Roman" w:cs="Times New Roman"/>
        </w:rPr>
        <w:t>commenced in two phases:</w:t>
      </w:r>
    </w:p>
    <w:p w14:paraId="6CD0FCD0" w14:textId="5CFF0797" w:rsidR="005E789F" w:rsidRDefault="00CD4DC2" w:rsidP="00CD4DC2">
      <w:pPr>
        <w:numPr>
          <w:ilvl w:val="0"/>
          <w:numId w:val="9"/>
        </w:numPr>
        <w:rPr>
          <w:rFonts w:ascii="Times New Roman" w:hAnsi="Times New Roman" w:cs="Times New Roman"/>
        </w:rPr>
      </w:pPr>
      <w:r>
        <w:rPr>
          <w:rFonts w:ascii="Times New Roman" w:hAnsi="Times New Roman" w:cs="Times New Roman"/>
        </w:rPr>
        <w:t>Part 1 and section 26 commenced on 23 July 2018; and</w:t>
      </w:r>
    </w:p>
    <w:p w14:paraId="53109920" w14:textId="02108054" w:rsidR="00CD4DC2" w:rsidRPr="00CD4DC2" w:rsidRDefault="000355DE" w:rsidP="00CD4DC2">
      <w:pPr>
        <w:numPr>
          <w:ilvl w:val="0"/>
          <w:numId w:val="9"/>
        </w:numPr>
        <w:rPr>
          <w:rFonts w:ascii="Times New Roman" w:hAnsi="Times New Roman" w:cs="Times New Roman"/>
        </w:rPr>
      </w:pPr>
      <w:r>
        <w:rPr>
          <w:rFonts w:ascii="Times New Roman" w:hAnsi="Times New Roman" w:cs="Times New Roman"/>
        </w:rPr>
        <w:t>t</w:t>
      </w:r>
      <w:r w:rsidR="00CD4DC2">
        <w:rPr>
          <w:rFonts w:ascii="Times New Roman" w:hAnsi="Times New Roman" w:cs="Times New Roman"/>
        </w:rPr>
        <w:t>he remaining provisions commenced on 21 September 2018.</w:t>
      </w:r>
    </w:p>
    <w:p w14:paraId="287FAC61" w14:textId="77777777" w:rsidR="005E789F" w:rsidRPr="00C37B63" w:rsidRDefault="005E789F" w:rsidP="005E789F">
      <w:pPr>
        <w:rPr>
          <w:rFonts w:ascii="Times New Roman" w:hAnsi="Times New Roman" w:cs="Times New Roman"/>
        </w:rPr>
      </w:pPr>
      <w:r w:rsidRPr="00C37B63">
        <w:rPr>
          <w:rFonts w:ascii="Times New Roman" w:hAnsi="Times New Roman" w:cs="Times New Roman"/>
        </w:rPr>
        <w:t>The ACMA is also directed under subsection 5(4) of the Direction to vary an industry standard made under Part 2 of the Direction, as it considers necessary from time to time, in a like manner and subject to like conditions specified in subsection 5(1). 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4504BF9C" w14:textId="7C1D8CDE" w:rsidR="005E789F" w:rsidRDefault="005E789F" w:rsidP="005E789F">
      <w:pPr>
        <w:rPr>
          <w:rFonts w:ascii="Times New Roman" w:hAnsi="Times New Roman" w:cs="Times New Roman"/>
        </w:rPr>
      </w:pPr>
      <w:r w:rsidRPr="00C37B63">
        <w:rPr>
          <w:rFonts w:ascii="Times New Roman" w:hAnsi="Times New Roman" w:cs="Times New Roman"/>
        </w:rPr>
        <w:t>The instrument relies upon subsection 5(4) of the Direction and subsection 33(3) of the AIA to vary the Standard, as considered necessary by the ACMA, in a like manner and subject to the conditions imposed under section</w:t>
      </w:r>
      <w:r>
        <w:rPr>
          <w:rFonts w:ascii="Times New Roman" w:hAnsi="Times New Roman" w:cs="Times New Roman"/>
        </w:rPr>
        <w:t>s</w:t>
      </w:r>
      <w:r w:rsidRPr="00C37B63">
        <w:rPr>
          <w:rFonts w:ascii="Times New Roman" w:hAnsi="Times New Roman" w:cs="Times New Roman"/>
        </w:rPr>
        <w:t xml:space="preserve"> 5 and </w:t>
      </w:r>
      <w:r w:rsidR="00CD4DC2">
        <w:rPr>
          <w:rFonts w:ascii="Times New Roman" w:hAnsi="Times New Roman" w:cs="Times New Roman"/>
        </w:rPr>
        <w:t>7</w:t>
      </w:r>
      <w:r w:rsidRPr="00C37B63">
        <w:rPr>
          <w:rFonts w:ascii="Times New Roman" w:hAnsi="Times New Roman" w:cs="Times New Roman"/>
        </w:rPr>
        <w:t xml:space="preserve"> of the Direction.</w:t>
      </w:r>
    </w:p>
    <w:p w14:paraId="62378A41" w14:textId="77777777" w:rsidR="005E789F" w:rsidRDefault="005E789F" w:rsidP="005E789F">
      <w:pPr>
        <w:rPr>
          <w:rFonts w:ascii="Times New Roman" w:hAnsi="Times New Roman" w:cs="Times New Roman"/>
          <w:b/>
        </w:rPr>
      </w:pPr>
      <w:r>
        <w:rPr>
          <w:rFonts w:ascii="Times New Roman" w:hAnsi="Times New Roman" w:cs="Times New Roman"/>
          <w:b/>
        </w:rPr>
        <w:t>Purpose and operation of the instrument</w:t>
      </w:r>
    </w:p>
    <w:p w14:paraId="61D5A1D4" w14:textId="3D539E6E" w:rsidR="005E789F" w:rsidRDefault="005E789F" w:rsidP="005E789F">
      <w:pPr>
        <w:spacing w:after="40"/>
        <w:rPr>
          <w:rFonts w:ascii="Times New Roman" w:hAnsi="Times New Roman" w:cs="Times New Roman"/>
        </w:rPr>
      </w:pPr>
      <w:r>
        <w:rPr>
          <w:rFonts w:ascii="Times New Roman" w:hAnsi="Times New Roman" w:cs="Times New Roman"/>
        </w:rPr>
        <w:t xml:space="preserve">Relevant background regarding the history and making of the Standard is set out in the Explanatory Statement to the Standard and the Direction, which </w:t>
      </w:r>
      <w:r w:rsidR="00C71446">
        <w:rPr>
          <w:rFonts w:ascii="Times New Roman" w:hAnsi="Times New Roman" w:cs="Times New Roman"/>
        </w:rPr>
        <w:t xml:space="preserve">background </w:t>
      </w:r>
      <w:r>
        <w:rPr>
          <w:rFonts w:ascii="Times New Roman" w:hAnsi="Times New Roman" w:cs="Times New Roman"/>
        </w:rPr>
        <w:t xml:space="preserve">is also relevant to the instrument. </w:t>
      </w:r>
    </w:p>
    <w:p w14:paraId="5BAE230C" w14:textId="5E04A0C2" w:rsidR="005E789F" w:rsidRDefault="005E789F" w:rsidP="005E789F">
      <w:pPr>
        <w:spacing w:after="240" w:line="240" w:lineRule="atLeast"/>
        <w:rPr>
          <w:rFonts w:ascii="Times New Roman" w:eastAsia="Times New Roman" w:hAnsi="Times New Roman" w:cs="Times New Roman"/>
          <w:lang w:eastAsia="en-AU"/>
        </w:rPr>
      </w:pPr>
      <w:r w:rsidRPr="008463DE">
        <w:rPr>
          <w:rFonts w:ascii="Times New Roman" w:eastAsia="Times New Roman" w:hAnsi="Times New Roman" w:cs="Times New Roman"/>
          <w:lang w:eastAsia="en-AU"/>
        </w:rPr>
        <w:t xml:space="preserve">In mid-2018, the ACMA made </w:t>
      </w:r>
      <w:r w:rsidR="009A1C23" w:rsidRPr="008463DE">
        <w:rPr>
          <w:rFonts w:ascii="Times New Roman" w:eastAsia="Times New Roman" w:hAnsi="Times New Roman" w:cs="Times New Roman"/>
          <w:lang w:eastAsia="en-AU"/>
        </w:rPr>
        <w:t>several</w:t>
      </w:r>
      <w:r w:rsidRPr="008463DE">
        <w:rPr>
          <w:rFonts w:ascii="Times New Roman" w:eastAsia="Times New Roman" w:hAnsi="Times New Roman" w:cs="Times New Roman"/>
          <w:lang w:eastAsia="en-AU"/>
        </w:rPr>
        <w:t xml:space="preserve"> rules to improve the experience of consumers in transitioning to the NBN. These were informed by an </w:t>
      </w:r>
      <w:hyperlink r:id="rId12" w:history="1">
        <w:r w:rsidRPr="00DC51CB">
          <w:rPr>
            <w:rFonts w:ascii="Times New Roman" w:eastAsia="Times New Roman" w:hAnsi="Times New Roman" w:cs="Times New Roman"/>
            <w:lang w:eastAsia="en-AU"/>
          </w:rPr>
          <w:t>industry information gathering exercise</w:t>
        </w:r>
      </w:hyperlink>
      <w:r w:rsidR="00935069">
        <w:rPr>
          <w:rFonts w:ascii="Times New Roman" w:eastAsia="Times New Roman" w:hAnsi="Times New Roman" w:cs="Times New Roman"/>
          <w:lang w:eastAsia="en-AU"/>
        </w:rPr>
        <w:t xml:space="preserve"> in 2017</w:t>
      </w:r>
      <w:r w:rsidRPr="008463DE">
        <w:rPr>
          <w:rFonts w:ascii="Times New Roman" w:eastAsia="Times New Roman" w:hAnsi="Times New Roman" w:cs="Times New Roman"/>
          <w:lang w:eastAsia="en-AU"/>
        </w:rPr>
        <w:t xml:space="preserve"> and </w:t>
      </w:r>
      <w:hyperlink r:id="rId13" w:history="1">
        <w:r w:rsidRPr="00376A99">
          <w:rPr>
            <w:rFonts w:ascii="Times New Roman" w:eastAsia="Times New Roman" w:hAnsi="Times New Roman" w:cs="Times New Roman"/>
            <w:lang w:eastAsia="en-AU"/>
          </w:rPr>
          <w:t>consumer research</w:t>
        </w:r>
      </w:hyperlink>
      <w:r>
        <w:rPr>
          <w:rFonts w:ascii="Times New Roman" w:eastAsia="Times New Roman" w:hAnsi="Times New Roman" w:cs="Times New Roman"/>
          <w:lang w:eastAsia="en-AU"/>
        </w:rPr>
        <w:t xml:space="preserve"> in late 2017 and early 2018</w:t>
      </w:r>
      <w:r w:rsidRPr="00376A99">
        <w:rPr>
          <w:rFonts w:ascii="Times New Roman" w:eastAsia="Times New Roman" w:hAnsi="Times New Roman" w:cs="Times New Roman"/>
          <w:lang w:eastAsia="en-AU"/>
        </w:rPr>
        <w:t xml:space="preserve">. The rules were designed to resolve issues in relation to </w:t>
      </w:r>
      <w:r>
        <w:rPr>
          <w:rFonts w:ascii="Times New Roman" w:eastAsia="Times New Roman" w:hAnsi="Times New Roman" w:cs="Times New Roman"/>
          <w:lang w:eastAsia="en-AU"/>
        </w:rPr>
        <w:t xml:space="preserve">consumer </w:t>
      </w:r>
      <w:r w:rsidRPr="00376A99">
        <w:rPr>
          <w:rFonts w:ascii="Times New Roman" w:eastAsia="Times New Roman" w:hAnsi="Times New Roman" w:cs="Times New Roman"/>
          <w:lang w:eastAsia="en-AU"/>
        </w:rPr>
        <w:t xml:space="preserve">complaints handling </w:t>
      </w:r>
      <w:r>
        <w:rPr>
          <w:rFonts w:ascii="Times New Roman" w:eastAsia="Times New Roman" w:hAnsi="Times New Roman" w:cs="Times New Roman"/>
          <w:lang w:eastAsia="en-AU"/>
        </w:rPr>
        <w:t>across the telecommunications industry</w:t>
      </w:r>
      <w:r w:rsidRPr="00376A99">
        <w:rPr>
          <w:rFonts w:ascii="Times New Roman" w:eastAsia="Times New Roman" w:hAnsi="Times New Roman" w:cs="Times New Roman"/>
          <w:lang w:eastAsia="en-AU"/>
        </w:rPr>
        <w:t xml:space="preserve">, the provision of information that would enable consumers to directly compare service offerings, service continuity and fault rectification. They </w:t>
      </w:r>
      <w:r>
        <w:rPr>
          <w:rFonts w:ascii="Times New Roman" w:eastAsia="Times New Roman" w:hAnsi="Times New Roman" w:cs="Times New Roman"/>
          <w:lang w:eastAsia="en-AU"/>
        </w:rPr>
        <w:t>comprise the following:</w:t>
      </w:r>
    </w:p>
    <w:p w14:paraId="428365D1" w14:textId="77777777" w:rsidR="005E789F" w:rsidRPr="00E07D56" w:rsidRDefault="005E789F" w:rsidP="005E789F">
      <w:pPr>
        <w:pStyle w:val="ListParagraph"/>
        <w:numPr>
          <w:ilvl w:val="0"/>
          <w:numId w:val="5"/>
        </w:numPr>
        <w:spacing w:after="240" w:line="240" w:lineRule="atLeast"/>
        <w:rPr>
          <w:rFonts w:ascii="Times New Roman" w:hAnsi="Times New Roman" w:cs="Times New Roman"/>
          <w:i/>
          <w:iCs/>
        </w:rPr>
      </w:pPr>
      <w:r w:rsidRPr="003729EA">
        <w:rPr>
          <w:rFonts w:ascii="Times New Roman" w:hAnsi="Times New Roman" w:cs="Times New Roman"/>
        </w:rPr>
        <w:t>the</w:t>
      </w:r>
      <w:r w:rsidRPr="00E07D56">
        <w:rPr>
          <w:rFonts w:ascii="Times New Roman" w:hAnsi="Times New Roman" w:cs="Times New Roman"/>
          <w:i/>
          <w:iCs/>
        </w:rPr>
        <w:t xml:space="preserve"> </w:t>
      </w:r>
      <w:r w:rsidRPr="00DD2122">
        <w:rPr>
          <w:rFonts w:ascii="Times New Roman" w:hAnsi="Times New Roman" w:cs="Times New Roman"/>
        </w:rPr>
        <w:t>Standard</w:t>
      </w:r>
    </w:p>
    <w:p w14:paraId="45E5D054" w14:textId="3B58EFA8" w:rsidR="005E789F" w:rsidRPr="00E07D56" w:rsidRDefault="005E789F" w:rsidP="005E789F">
      <w:pPr>
        <w:pStyle w:val="ListParagraph"/>
        <w:numPr>
          <w:ilvl w:val="0"/>
          <w:numId w:val="5"/>
        </w:numPr>
        <w:spacing w:after="240" w:line="240" w:lineRule="atLeast"/>
        <w:rPr>
          <w:rFonts w:ascii="Times New Roman" w:hAnsi="Times New Roman" w:cs="Times New Roman"/>
          <w:i/>
          <w:iCs/>
        </w:rPr>
      </w:pPr>
      <w:r w:rsidRPr="003729EA">
        <w:rPr>
          <w:rFonts w:ascii="Times New Roman" w:hAnsi="Times New Roman" w:cs="Times New Roman"/>
        </w:rPr>
        <w:t>the</w:t>
      </w:r>
      <w:r w:rsidRPr="00E07D56">
        <w:rPr>
          <w:rFonts w:ascii="Times New Roman" w:hAnsi="Times New Roman" w:cs="Times New Roman"/>
          <w:i/>
          <w:iCs/>
        </w:rPr>
        <w:t xml:space="preserve"> Telecommunications (NBN Consumer Information) Industry Standard 2018</w:t>
      </w:r>
    </w:p>
    <w:p w14:paraId="1C75F258" w14:textId="443C012D" w:rsidR="005E789F" w:rsidRPr="00E07D56" w:rsidRDefault="005E789F" w:rsidP="005E789F">
      <w:pPr>
        <w:pStyle w:val="ListParagraph"/>
        <w:numPr>
          <w:ilvl w:val="0"/>
          <w:numId w:val="5"/>
        </w:numPr>
        <w:spacing w:after="240" w:line="240" w:lineRule="atLeast"/>
        <w:rPr>
          <w:rFonts w:ascii="Times New Roman" w:hAnsi="Times New Roman" w:cs="Times New Roman"/>
          <w:i/>
          <w:iCs/>
        </w:rPr>
      </w:pPr>
      <w:r w:rsidRPr="003729EA">
        <w:rPr>
          <w:rFonts w:ascii="Times New Roman" w:hAnsi="Times New Roman" w:cs="Times New Roman"/>
        </w:rPr>
        <w:t>the</w:t>
      </w:r>
      <w:r w:rsidRPr="00E07D56">
        <w:rPr>
          <w:rFonts w:ascii="Times New Roman" w:hAnsi="Times New Roman" w:cs="Times New Roman"/>
          <w:i/>
          <w:iCs/>
        </w:rPr>
        <w:t xml:space="preserve"> Telecommunications (NBN Continuity of Service) Industry Standard 2018 </w:t>
      </w:r>
    </w:p>
    <w:p w14:paraId="73DEECE9" w14:textId="77777777" w:rsidR="005E789F" w:rsidRDefault="005E789F" w:rsidP="005E789F">
      <w:pPr>
        <w:pStyle w:val="ListParagraph"/>
        <w:numPr>
          <w:ilvl w:val="0"/>
          <w:numId w:val="5"/>
        </w:numPr>
        <w:spacing w:after="240" w:line="240" w:lineRule="atLeast"/>
        <w:rPr>
          <w:rFonts w:ascii="Times New Roman" w:hAnsi="Times New Roman" w:cs="Times New Roman"/>
          <w:i/>
          <w:iCs/>
        </w:rPr>
      </w:pPr>
      <w:r w:rsidRPr="003729EA">
        <w:rPr>
          <w:rFonts w:ascii="Times New Roman" w:hAnsi="Times New Roman" w:cs="Times New Roman"/>
        </w:rPr>
        <w:t>the</w:t>
      </w:r>
      <w:r>
        <w:rPr>
          <w:rFonts w:ascii="Times New Roman" w:hAnsi="Times New Roman" w:cs="Times New Roman"/>
        </w:rPr>
        <w:t xml:space="preserve"> </w:t>
      </w:r>
      <w:r w:rsidRPr="002370DE">
        <w:rPr>
          <w:rFonts w:ascii="Times New Roman" w:hAnsi="Times New Roman" w:cs="Times New Roman"/>
          <w:i/>
          <w:iCs/>
        </w:rPr>
        <w:t>Telecommunications Service Provider (NBN Service Migration) Determination</w:t>
      </w:r>
      <w:r>
        <w:rPr>
          <w:rFonts w:ascii="Times New Roman" w:hAnsi="Times New Roman" w:cs="Times New Roman"/>
        </w:rPr>
        <w:t xml:space="preserve"> (the </w:t>
      </w:r>
      <w:r w:rsidRPr="007178E5">
        <w:rPr>
          <w:rFonts w:ascii="Times New Roman" w:hAnsi="Times New Roman" w:cs="Times New Roman"/>
          <w:b/>
          <w:bCs/>
        </w:rPr>
        <w:t>Service Migration Determination</w:t>
      </w:r>
      <w:r>
        <w:rPr>
          <w:rFonts w:ascii="Times New Roman" w:hAnsi="Times New Roman" w:cs="Times New Roman"/>
        </w:rPr>
        <w:t>)</w:t>
      </w:r>
    </w:p>
    <w:p w14:paraId="4A33A9C5" w14:textId="77777777" w:rsidR="005E789F" w:rsidRPr="000F60B5" w:rsidRDefault="005E789F" w:rsidP="005E789F">
      <w:pPr>
        <w:pStyle w:val="ListParagraph"/>
        <w:numPr>
          <w:ilvl w:val="0"/>
          <w:numId w:val="5"/>
        </w:numPr>
        <w:spacing w:after="240" w:line="240" w:lineRule="atLeast"/>
        <w:rPr>
          <w:rFonts w:ascii="Times New Roman" w:hAnsi="Times New Roman" w:cs="Times New Roman"/>
          <w:i/>
          <w:iCs/>
        </w:rPr>
      </w:pPr>
      <w:r w:rsidRPr="003729EA">
        <w:rPr>
          <w:rFonts w:ascii="Times New Roman" w:hAnsi="Times New Roman" w:cs="Times New Roman"/>
        </w:rPr>
        <w:t>the</w:t>
      </w:r>
      <w:r w:rsidRPr="000F60B5">
        <w:rPr>
          <w:rFonts w:ascii="Times New Roman" w:hAnsi="Times New Roman" w:cs="Times New Roman"/>
          <w:i/>
          <w:iCs/>
        </w:rPr>
        <w:t xml:space="preserve"> Telecommunications (Consumer Complaints) Record-Keeping Rules 2018 </w:t>
      </w:r>
      <w:r w:rsidRPr="00081C97">
        <w:rPr>
          <w:rFonts w:ascii="Times New Roman" w:hAnsi="Times New Roman" w:cs="Times New Roman"/>
        </w:rPr>
        <w:t>(</w:t>
      </w:r>
      <w:r>
        <w:rPr>
          <w:rFonts w:ascii="Times New Roman" w:hAnsi="Times New Roman" w:cs="Times New Roman"/>
        </w:rPr>
        <w:t xml:space="preserve">the </w:t>
      </w:r>
      <w:r w:rsidRPr="001572EB">
        <w:rPr>
          <w:rFonts w:ascii="Times New Roman" w:hAnsi="Times New Roman" w:cs="Times New Roman"/>
          <w:b/>
          <w:bCs/>
        </w:rPr>
        <w:t xml:space="preserve">Complaints </w:t>
      </w:r>
      <w:r w:rsidRPr="00822D5D">
        <w:rPr>
          <w:rFonts w:ascii="Times New Roman" w:hAnsi="Times New Roman" w:cs="Times New Roman"/>
          <w:b/>
          <w:bCs/>
        </w:rPr>
        <w:t>RKRs</w:t>
      </w:r>
      <w:r w:rsidRPr="00081C97">
        <w:rPr>
          <w:rFonts w:ascii="Times New Roman" w:hAnsi="Times New Roman" w:cs="Times New Roman"/>
        </w:rPr>
        <w:t>)</w:t>
      </w:r>
      <w:r w:rsidRPr="000F60B5">
        <w:rPr>
          <w:rFonts w:ascii="Times New Roman" w:hAnsi="Times New Roman" w:cs="Times New Roman"/>
        </w:rPr>
        <w:t>.</w:t>
      </w:r>
      <w:r w:rsidRPr="000F60B5">
        <w:rPr>
          <w:rFonts w:ascii="Times New Roman" w:hAnsi="Times New Roman" w:cs="Times New Roman"/>
          <w:i/>
          <w:iCs/>
        </w:rPr>
        <w:t xml:space="preserve"> </w:t>
      </w:r>
    </w:p>
    <w:p w14:paraId="3B04BF9C" w14:textId="4D05ED9E" w:rsidR="005E789F" w:rsidRDefault="005E789F" w:rsidP="005E789F">
      <w:pPr>
        <w:spacing w:after="240" w:line="240" w:lineRule="atLeast"/>
        <w:rPr>
          <w:rFonts w:ascii="Times New Roman" w:hAnsi="Times New Roman" w:cs="Times New Roman"/>
        </w:rPr>
      </w:pPr>
      <w:r>
        <w:rPr>
          <w:rFonts w:ascii="Times New Roman" w:hAnsi="Times New Roman" w:cs="Times New Roman"/>
        </w:rPr>
        <w:lastRenderedPageBreak/>
        <w:t xml:space="preserve">In </w:t>
      </w:r>
      <w:proofErr w:type="gramStart"/>
      <w:r>
        <w:rPr>
          <w:rFonts w:ascii="Times New Roman" w:hAnsi="Times New Roman" w:cs="Times New Roman"/>
        </w:rPr>
        <w:t>January 2019</w:t>
      </w:r>
      <w:proofErr w:type="gramEnd"/>
      <w:r>
        <w:rPr>
          <w:rFonts w:ascii="Times New Roman" w:hAnsi="Times New Roman" w:cs="Times New Roman"/>
        </w:rPr>
        <w:t xml:space="preserve"> the ACMA </w:t>
      </w:r>
      <w:r w:rsidRPr="007C0575">
        <w:rPr>
          <w:rFonts w:ascii="Times New Roman" w:hAnsi="Times New Roman" w:cs="Times New Roman"/>
        </w:rPr>
        <w:t>decided</w:t>
      </w:r>
      <w:r>
        <w:rPr>
          <w:rFonts w:ascii="Times New Roman" w:hAnsi="Times New Roman" w:cs="Times New Roman"/>
        </w:rPr>
        <w:t xml:space="preserve"> to undertake a post-implementation review of the above instruments</w:t>
      </w:r>
      <w:r w:rsidR="00935069">
        <w:rPr>
          <w:rFonts w:ascii="Times New Roman" w:hAnsi="Times New Roman" w:cs="Times New Roman"/>
        </w:rPr>
        <w:t xml:space="preserve"> (the </w:t>
      </w:r>
      <w:r w:rsidR="00935069" w:rsidRPr="003729EA">
        <w:rPr>
          <w:rFonts w:ascii="Times New Roman" w:hAnsi="Times New Roman" w:cs="Times New Roman"/>
          <w:b/>
          <w:bCs/>
        </w:rPr>
        <w:t>review</w:t>
      </w:r>
      <w:r w:rsidR="00935069">
        <w:rPr>
          <w:rFonts w:ascii="Times New Roman" w:hAnsi="Times New Roman" w:cs="Times New Roman"/>
        </w:rPr>
        <w:t>)</w:t>
      </w:r>
      <w:r>
        <w:rPr>
          <w:rFonts w:ascii="Times New Roman" w:hAnsi="Times New Roman" w:cs="Times New Roman"/>
        </w:rPr>
        <w:t xml:space="preserve">, excluding the </w:t>
      </w:r>
      <w:r w:rsidRPr="00E543BF">
        <w:rPr>
          <w:rFonts w:ascii="Times New Roman" w:hAnsi="Times New Roman" w:cs="Times New Roman"/>
        </w:rPr>
        <w:t>Complaints RKRs</w:t>
      </w:r>
      <w:r>
        <w:rPr>
          <w:rFonts w:ascii="Times New Roman" w:hAnsi="Times New Roman" w:cs="Times New Roman"/>
        </w:rPr>
        <w:t xml:space="preserve"> (the </w:t>
      </w:r>
      <w:r w:rsidRPr="001E0A9E">
        <w:rPr>
          <w:rFonts w:ascii="Times New Roman" w:hAnsi="Times New Roman" w:cs="Times New Roman"/>
          <w:b/>
          <w:bCs/>
        </w:rPr>
        <w:t>NBN consumer experience rules</w:t>
      </w:r>
      <w:r>
        <w:rPr>
          <w:rFonts w:ascii="Times New Roman" w:hAnsi="Times New Roman" w:cs="Times New Roman"/>
        </w:rPr>
        <w:t>)</w:t>
      </w:r>
      <w:r w:rsidR="006048AB" w:rsidRPr="00BC1970">
        <w:rPr>
          <w:rFonts w:ascii="Times New Roman" w:hAnsi="Times New Roman" w:cs="Times New Roman"/>
        </w:rPr>
        <w:t>.</w:t>
      </w:r>
    </w:p>
    <w:p w14:paraId="4037A3BB" w14:textId="72304582" w:rsidR="005E789F" w:rsidRDefault="005E789F" w:rsidP="00DF59A7">
      <w:pPr>
        <w:spacing w:after="0" w:line="240" w:lineRule="atLeast"/>
        <w:rPr>
          <w:rFonts w:ascii="Times New Roman" w:hAnsi="Times New Roman" w:cs="Times New Roman"/>
        </w:rPr>
      </w:pPr>
      <w:r>
        <w:rPr>
          <w:rFonts w:ascii="Times New Roman" w:hAnsi="Times New Roman" w:cs="Times New Roman"/>
        </w:rPr>
        <w:t xml:space="preserve">The objective </w:t>
      </w:r>
      <w:r w:rsidR="003A0ECB">
        <w:rPr>
          <w:rFonts w:ascii="Times New Roman" w:hAnsi="Times New Roman" w:cs="Times New Roman"/>
        </w:rPr>
        <w:t xml:space="preserve">of the review </w:t>
      </w:r>
      <w:r>
        <w:rPr>
          <w:rFonts w:ascii="Times New Roman" w:hAnsi="Times New Roman" w:cs="Times New Roman"/>
        </w:rPr>
        <w:t>was to ensure the rules were, almost a year following their introduction:</w:t>
      </w:r>
    </w:p>
    <w:p w14:paraId="31911187" w14:textId="40E79293" w:rsidR="005E789F" w:rsidRDefault="005E789F" w:rsidP="005E789F">
      <w:pPr>
        <w:pStyle w:val="ListParagraph"/>
        <w:numPr>
          <w:ilvl w:val="0"/>
          <w:numId w:val="5"/>
        </w:numPr>
        <w:spacing w:after="240" w:line="240" w:lineRule="atLeast"/>
        <w:rPr>
          <w:rFonts w:ascii="Times New Roman" w:hAnsi="Times New Roman" w:cs="Times New Roman"/>
        </w:rPr>
      </w:pPr>
      <w:r>
        <w:rPr>
          <w:rFonts w:ascii="Times New Roman" w:hAnsi="Times New Roman" w:cs="Times New Roman"/>
        </w:rPr>
        <w:t>achieving their intended outcomes</w:t>
      </w:r>
      <w:r w:rsidR="00C570B3">
        <w:rPr>
          <w:rFonts w:ascii="Times New Roman" w:hAnsi="Times New Roman" w:cs="Times New Roman"/>
        </w:rPr>
        <w:t>,</w:t>
      </w:r>
      <w:r>
        <w:rPr>
          <w:rFonts w:ascii="Times New Roman" w:hAnsi="Times New Roman" w:cs="Times New Roman"/>
        </w:rPr>
        <w:t xml:space="preserve"> particularly in light of changes to the NBN environment</w:t>
      </w:r>
      <w:r w:rsidR="006F6A85">
        <w:rPr>
          <w:rFonts w:ascii="Times New Roman" w:hAnsi="Times New Roman" w:cs="Times New Roman"/>
        </w:rPr>
        <w:t>; and</w:t>
      </w:r>
      <w:r>
        <w:rPr>
          <w:rFonts w:ascii="Times New Roman" w:hAnsi="Times New Roman" w:cs="Times New Roman"/>
        </w:rPr>
        <w:t xml:space="preserve"> </w:t>
      </w:r>
    </w:p>
    <w:p w14:paraId="255A44A8" w14:textId="77777777" w:rsidR="005E789F" w:rsidRPr="006B082C" w:rsidRDefault="005E789F" w:rsidP="005E789F">
      <w:pPr>
        <w:pStyle w:val="ListParagraph"/>
        <w:numPr>
          <w:ilvl w:val="0"/>
          <w:numId w:val="5"/>
        </w:numPr>
        <w:spacing w:after="240" w:line="240" w:lineRule="atLeast"/>
        <w:rPr>
          <w:rFonts w:ascii="Times New Roman" w:hAnsi="Times New Roman" w:cs="Times New Roman"/>
        </w:rPr>
      </w:pPr>
      <w:r>
        <w:rPr>
          <w:rFonts w:ascii="Times New Roman" w:hAnsi="Times New Roman" w:cs="Times New Roman"/>
        </w:rPr>
        <w:t>operating in an efficient and effective manner</w:t>
      </w:r>
      <w:r w:rsidRPr="006B082C">
        <w:rPr>
          <w:rFonts w:ascii="Times New Roman" w:hAnsi="Times New Roman" w:cs="Times New Roman"/>
        </w:rPr>
        <w:t xml:space="preserve">. </w:t>
      </w:r>
    </w:p>
    <w:p w14:paraId="1308A7FE" w14:textId="77777777" w:rsidR="005E789F" w:rsidRDefault="005E789F" w:rsidP="005E789F">
      <w:pPr>
        <w:rPr>
          <w:rFonts w:ascii="Times New Roman" w:hAnsi="Times New Roman" w:cs="Times New Roman"/>
        </w:rPr>
      </w:pPr>
      <w:r>
        <w:rPr>
          <w:rFonts w:ascii="Times New Roman" w:hAnsi="Times New Roman" w:cs="Times New Roman"/>
        </w:rPr>
        <w:t xml:space="preserve">The changes made to the Standard by the instrument support the above objectives. The key changes include: </w:t>
      </w:r>
    </w:p>
    <w:p w14:paraId="4E216F46" w14:textId="77777777" w:rsidR="005E789F" w:rsidRDefault="005E789F" w:rsidP="005E789F">
      <w:pPr>
        <w:pStyle w:val="ListParagraph"/>
        <w:numPr>
          <w:ilvl w:val="0"/>
          <w:numId w:val="5"/>
        </w:numPr>
        <w:spacing w:after="240" w:line="240" w:lineRule="atLeast"/>
        <w:rPr>
          <w:rFonts w:ascii="Times New Roman" w:hAnsi="Times New Roman" w:cs="Times New Roman"/>
        </w:rPr>
      </w:pPr>
      <w:r w:rsidRPr="00CE454E">
        <w:rPr>
          <w:rFonts w:ascii="Times New Roman" w:hAnsi="Times New Roman" w:cs="Times New Roman"/>
        </w:rPr>
        <w:t xml:space="preserve">The definition of </w:t>
      </w:r>
      <w:r>
        <w:rPr>
          <w:rFonts w:ascii="Times New Roman" w:hAnsi="Times New Roman" w:cs="Times New Roman"/>
        </w:rPr>
        <w:t>“</w:t>
      </w:r>
      <w:r w:rsidRPr="00CE454E">
        <w:rPr>
          <w:rFonts w:ascii="Times New Roman" w:hAnsi="Times New Roman" w:cs="Times New Roman"/>
        </w:rPr>
        <w:t>consumer</w:t>
      </w:r>
      <w:r>
        <w:rPr>
          <w:rFonts w:ascii="Times New Roman" w:hAnsi="Times New Roman" w:cs="Times New Roman"/>
        </w:rPr>
        <w:t>”</w:t>
      </w:r>
      <w:r w:rsidRPr="00CE454E">
        <w:rPr>
          <w:rFonts w:ascii="Times New Roman" w:hAnsi="Times New Roman" w:cs="Times New Roman"/>
        </w:rPr>
        <w:t xml:space="preserve"> in section 5 of the Standard has been revised to increase the threshold of the estimated annual spend that a business or non-profit organisation has with a retail CSP from $20,000 to $40,000. This will align the definition of </w:t>
      </w:r>
      <w:r>
        <w:rPr>
          <w:rFonts w:ascii="Times New Roman" w:hAnsi="Times New Roman" w:cs="Times New Roman"/>
        </w:rPr>
        <w:t>“</w:t>
      </w:r>
      <w:r w:rsidRPr="00CE454E">
        <w:rPr>
          <w:rFonts w:ascii="Times New Roman" w:hAnsi="Times New Roman" w:cs="Times New Roman"/>
        </w:rPr>
        <w:t>consumer</w:t>
      </w:r>
      <w:r>
        <w:rPr>
          <w:rFonts w:ascii="Times New Roman" w:hAnsi="Times New Roman" w:cs="Times New Roman"/>
        </w:rPr>
        <w:t>”</w:t>
      </w:r>
      <w:r w:rsidRPr="00CE454E">
        <w:rPr>
          <w:rFonts w:ascii="Times New Roman" w:hAnsi="Times New Roman" w:cs="Times New Roman"/>
        </w:rPr>
        <w:t xml:space="preserve"> with that in the revised </w:t>
      </w:r>
      <w:r w:rsidRPr="00CE454E">
        <w:rPr>
          <w:rFonts w:ascii="Times New Roman" w:hAnsi="Times New Roman" w:cs="Times New Roman"/>
          <w:i/>
          <w:iCs/>
        </w:rPr>
        <w:t>Telecommunications Consumer Protections Code</w:t>
      </w:r>
      <w:r w:rsidRPr="00CE454E">
        <w:rPr>
          <w:rFonts w:ascii="Times New Roman" w:hAnsi="Times New Roman" w:cs="Times New Roman"/>
        </w:rPr>
        <w:t xml:space="preserve"> </w:t>
      </w:r>
      <w:r w:rsidRPr="00CE454E">
        <w:rPr>
          <w:rFonts w:ascii="Times New Roman" w:hAnsi="Times New Roman" w:cs="Times New Roman"/>
          <w:i/>
          <w:iCs/>
        </w:rPr>
        <w:t>C628</w:t>
      </w:r>
      <w:r w:rsidRPr="00CE454E">
        <w:rPr>
          <w:rFonts w:ascii="Times New Roman" w:hAnsi="Times New Roman" w:cs="Times New Roman"/>
        </w:rPr>
        <w:t>:</w:t>
      </w:r>
      <w:r w:rsidRPr="00CE454E">
        <w:rPr>
          <w:rFonts w:ascii="Times New Roman" w:hAnsi="Times New Roman" w:cs="Times New Roman"/>
          <w:i/>
          <w:iCs/>
        </w:rPr>
        <w:t>2019</w:t>
      </w:r>
      <w:r w:rsidRPr="00CE454E">
        <w:rPr>
          <w:rFonts w:ascii="Times New Roman" w:hAnsi="Times New Roman" w:cs="Times New Roman"/>
        </w:rPr>
        <w:t xml:space="preserve"> (the </w:t>
      </w:r>
      <w:r w:rsidRPr="00CE454E">
        <w:rPr>
          <w:rFonts w:ascii="Times New Roman" w:hAnsi="Times New Roman" w:cs="Times New Roman"/>
          <w:b/>
          <w:bCs/>
        </w:rPr>
        <w:t>TCP Code</w:t>
      </w:r>
      <w:r w:rsidRPr="00CE454E">
        <w:rPr>
          <w:rFonts w:ascii="Times New Roman" w:hAnsi="Times New Roman" w:cs="Times New Roman"/>
        </w:rPr>
        <w:t xml:space="preserve">). </w:t>
      </w:r>
    </w:p>
    <w:p w14:paraId="00BB8016" w14:textId="1702E469" w:rsidR="003D402D" w:rsidRPr="006137D2" w:rsidRDefault="005E789F" w:rsidP="006137D2">
      <w:pPr>
        <w:pStyle w:val="ListParagraph"/>
        <w:numPr>
          <w:ilvl w:val="1"/>
          <w:numId w:val="5"/>
        </w:numPr>
        <w:spacing w:after="240" w:line="240" w:lineRule="atLeast"/>
        <w:rPr>
          <w:rFonts w:ascii="Times New Roman" w:hAnsi="Times New Roman" w:cs="Times New Roman"/>
        </w:rPr>
      </w:pPr>
      <w:r w:rsidRPr="006137D2">
        <w:rPr>
          <w:rFonts w:ascii="Times New Roman" w:hAnsi="Times New Roman" w:cs="Times New Roman"/>
        </w:rPr>
        <w:t xml:space="preserve">Changes made to the </w:t>
      </w:r>
      <w:r w:rsidR="0068782A" w:rsidRPr="006137D2">
        <w:rPr>
          <w:rFonts w:ascii="Times New Roman" w:hAnsi="Times New Roman" w:cs="Times New Roman"/>
        </w:rPr>
        <w:t>requirement to supply a</w:t>
      </w:r>
      <w:r w:rsidR="00545DB1" w:rsidRPr="006137D2">
        <w:rPr>
          <w:rFonts w:ascii="Times New Roman" w:hAnsi="Times New Roman" w:cs="Times New Roman"/>
        </w:rPr>
        <w:t xml:space="preserve"> legacy</w:t>
      </w:r>
      <w:r w:rsidR="0068782A" w:rsidRPr="006137D2">
        <w:rPr>
          <w:rFonts w:ascii="Times New Roman" w:hAnsi="Times New Roman" w:cs="Times New Roman"/>
        </w:rPr>
        <w:t xml:space="preserve"> </w:t>
      </w:r>
      <w:r w:rsidR="00622AF9" w:rsidRPr="006137D2">
        <w:rPr>
          <w:rFonts w:ascii="Times New Roman" w:hAnsi="Times New Roman" w:cs="Times New Roman"/>
        </w:rPr>
        <w:t>service</w:t>
      </w:r>
      <w:r w:rsidRPr="006137D2">
        <w:rPr>
          <w:rFonts w:ascii="Times New Roman" w:hAnsi="Times New Roman" w:cs="Times New Roman"/>
        </w:rPr>
        <w:t xml:space="preserve"> in sectio</w:t>
      </w:r>
      <w:r w:rsidR="00622AF9" w:rsidRPr="006137D2">
        <w:rPr>
          <w:rFonts w:ascii="Times New Roman" w:hAnsi="Times New Roman" w:cs="Times New Roman"/>
        </w:rPr>
        <w:t>n</w:t>
      </w:r>
      <w:r w:rsidRPr="006137D2">
        <w:rPr>
          <w:rFonts w:ascii="Times New Roman" w:hAnsi="Times New Roman" w:cs="Times New Roman"/>
        </w:rPr>
        <w:t xml:space="preserve"> </w:t>
      </w:r>
      <w:r w:rsidR="00622AF9" w:rsidRPr="006137D2">
        <w:rPr>
          <w:rFonts w:ascii="Times New Roman" w:hAnsi="Times New Roman" w:cs="Times New Roman"/>
        </w:rPr>
        <w:t>10</w:t>
      </w:r>
      <w:r w:rsidRPr="006137D2">
        <w:rPr>
          <w:rFonts w:ascii="Times New Roman" w:hAnsi="Times New Roman" w:cs="Times New Roman"/>
        </w:rPr>
        <w:t xml:space="preserve"> and </w:t>
      </w:r>
      <w:r w:rsidR="00622AF9" w:rsidRPr="001C10E7">
        <w:rPr>
          <w:rFonts w:ascii="Times New Roman" w:hAnsi="Times New Roman" w:cs="Times New Roman"/>
        </w:rPr>
        <w:t>11</w:t>
      </w:r>
      <w:r w:rsidRPr="006137D2">
        <w:rPr>
          <w:rFonts w:ascii="Times New Roman" w:hAnsi="Times New Roman" w:cs="Times New Roman"/>
        </w:rPr>
        <w:t xml:space="preserve"> so that a </w:t>
      </w:r>
      <w:r w:rsidR="00622AF9" w:rsidRPr="006137D2">
        <w:rPr>
          <w:rFonts w:ascii="Times New Roman" w:hAnsi="Times New Roman" w:cs="Times New Roman"/>
        </w:rPr>
        <w:t>customer is eligible to receive a</w:t>
      </w:r>
      <w:r w:rsidR="00545DB1" w:rsidRPr="006137D2">
        <w:rPr>
          <w:rFonts w:ascii="Times New Roman" w:hAnsi="Times New Roman" w:cs="Times New Roman"/>
        </w:rPr>
        <w:t xml:space="preserve"> legacy service where</w:t>
      </w:r>
      <w:r w:rsidR="003D402D" w:rsidRPr="006137D2">
        <w:rPr>
          <w:rFonts w:ascii="Times New Roman" w:hAnsi="Times New Roman" w:cs="Times New Roman"/>
        </w:rPr>
        <w:t>:</w:t>
      </w:r>
    </w:p>
    <w:p w14:paraId="6C73C9DF" w14:textId="457FCED2" w:rsidR="00485CF8" w:rsidRDefault="00485CF8" w:rsidP="003D402D">
      <w:pPr>
        <w:pStyle w:val="ListParagraph"/>
        <w:numPr>
          <w:ilvl w:val="2"/>
          <w:numId w:val="5"/>
        </w:numPr>
        <w:spacing w:after="240" w:line="240" w:lineRule="atLeast"/>
        <w:rPr>
          <w:rFonts w:ascii="Times New Roman" w:hAnsi="Times New Roman" w:cs="Times New Roman"/>
        </w:rPr>
      </w:pPr>
      <w:r>
        <w:rPr>
          <w:rFonts w:ascii="Times New Roman" w:hAnsi="Times New Roman" w:cs="Times New Roman"/>
        </w:rPr>
        <w:t xml:space="preserve">a migration </w:t>
      </w:r>
      <w:r w:rsidR="001B29E1" w:rsidRPr="00485CF8">
        <w:rPr>
          <w:rFonts w:ascii="Times New Roman" w:hAnsi="Times New Roman" w:cs="Times New Roman"/>
        </w:rPr>
        <w:t xml:space="preserve">has not been </w:t>
      </w:r>
      <w:r>
        <w:rPr>
          <w:rFonts w:ascii="Times New Roman" w:hAnsi="Times New Roman" w:cs="Times New Roman"/>
        </w:rPr>
        <w:t xml:space="preserve">attempted </w:t>
      </w:r>
      <w:r w:rsidR="00D33962">
        <w:rPr>
          <w:rFonts w:ascii="Times New Roman" w:hAnsi="Times New Roman" w:cs="Times New Roman"/>
        </w:rPr>
        <w:t xml:space="preserve">and is not likely to be attempted within 3 working </w:t>
      </w:r>
      <w:proofErr w:type="gramStart"/>
      <w:r w:rsidR="00D33962">
        <w:rPr>
          <w:rFonts w:ascii="Times New Roman" w:hAnsi="Times New Roman" w:cs="Times New Roman"/>
        </w:rPr>
        <w:t>days</w:t>
      </w:r>
      <w:r w:rsidR="003D402D">
        <w:rPr>
          <w:rFonts w:ascii="Times New Roman" w:hAnsi="Times New Roman" w:cs="Times New Roman"/>
        </w:rPr>
        <w:t>;</w:t>
      </w:r>
      <w:proofErr w:type="gramEnd"/>
      <w:r w:rsidR="003D402D">
        <w:rPr>
          <w:rFonts w:ascii="Times New Roman" w:hAnsi="Times New Roman" w:cs="Times New Roman"/>
        </w:rPr>
        <w:t xml:space="preserve"> and</w:t>
      </w:r>
    </w:p>
    <w:p w14:paraId="20575921" w14:textId="5842AFDE" w:rsidR="003D402D" w:rsidRDefault="003D402D" w:rsidP="003D402D">
      <w:pPr>
        <w:pStyle w:val="ListParagraph"/>
        <w:numPr>
          <w:ilvl w:val="2"/>
          <w:numId w:val="5"/>
        </w:numPr>
        <w:spacing w:after="240" w:line="240" w:lineRule="atLeast"/>
        <w:rPr>
          <w:rFonts w:ascii="Times New Roman" w:hAnsi="Times New Roman" w:cs="Times New Roman"/>
        </w:rPr>
      </w:pPr>
      <w:r>
        <w:rPr>
          <w:rFonts w:ascii="Times New Roman" w:hAnsi="Times New Roman" w:cs="Times New Roman"/>
        </w:rPr>
        <w:t>the customer’s legacy service has been disconnected by the legacy CSP</w:t>
      </w:r>
      <w:r w:rsidR="004E0EB9">
        <w:rPr>
          <w:rFonts w:ascii="Times New Roman" w:hAnsi="Times New Roman" w:cs="Times New Roman"/>
        </w:rPr>
        <w:t xml:space="preserve"> in circumstances other than those set out in </w:t>
      </w:r>
      <w:r w:rsidR="002B5A65">
        <w:rPr>
          <w:rFonts w:ascii="Times New Roman" w:hAnsi="Times New Roman" w:cs="Times New Roman"/>
        </w:rPr>
        <w:t>sub</w:t>
      </w:r>
      <w:r w:rsidR="004E0EB9">
        <w:rPr>
          <w:rFonts w:ascii="Times New Roman" w:hAnsi="Times New Roman" w:cs="Times New Roman"/>
        </w:rPr>
        <w:t>section 7(3).</w:t>
      </w:r>
    </w:p>
    <w:p w14:paraId="5AB096C5" w14:textId="3572C6B2" w:rsidR="005E789F" w:rsidRPr="00485CF8" w:rsidRDefault="005E789F" w:rsidP="005E789F">
      <w:pPr>
        <w:pStyle w:val="ListParagraph"/>
        <w:numPr>
          <w:ilvl w:val="1"/>
          <w:numId w:val="5"/>
        </w:numPr>
        <w:spacing w:after="240" w:line="240" w:lineRule="atLeast"/>
        <w:rPr>
          <w:rFonts w:ascii="Times New Roman" w:hAnsi="Times New Roman" w:cs="Times New Roman"/>
        </w:rPr>
      </w:pPr>
      <w:r w:rsidRPr="00485CF8">
        <w:rPr>
          <w:rFonts w:ascii="Times New Roman" w:hAnsi="Times New Roman" w:cs="Times New Roman"/>
        </w:rPr>
        <w:t xml:space="preserve">to clarify the process and timeframes for CSPs to </w:t>
      </w:r>
      <w:r w:rsidR="00BC2F60">
        <w:rPr>
          <w:rFonts w:ascii="Times New Roman" w:hAnsi="Times New Roman" w:cs="Times New Roman"/>
        </w:rPr>
        <w:t>prepare remedial plans and technical audits in the event there is an unreasonable delay in the supply of an operation</w:t>
      </w:r>
      <w:r w:rsidR="00AE1E0E">
        <w:rPr>
          <w:rFonts w:ascii="Times New Roman" w:hAnsi="Times New Roman" w:cs="Times New Roman"/>
        </w:rPr>
        <w:t>al</w:t>
      </w:r>
      <w:r w:rsidR="00BC2F60">
        <w:rPr>
          <w:rFonts w:ascii="Times New Roman" w:hAnsi="Times New Roman" w:cs="Times New Roman"/>
        </w:rPr>
        <w:t xml:space="preserve"> NBN service under section 23.</w:t>
      </w:r>
    </w:p>
    <w:p w14:paraId="4394DD08" w14:textId="7FB0D838" w:rsidR="005E789F" w:rsidRDefault="005E789F" w:rsidP="005E789F">
      <w:pPr>
        <w:spacing w:after="40"/>
        <w:rPr>
          <w:rFonts w:ascii="Times New Roman" w:hAnsi="Times New Roman" w:cs="Times New Roman"/>
        </w:rPr>
      </w:pPr>
    </w:p>
    <w:p w14:paraId="40F0511A" w14:textId="77777777" w:rsidR="005E789F" w:rsidRDefault="005E789F" w:rsidP="005E789F">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Pr>
          <w:rFonts w:ascii="Times New Roman" w:hAnsi="Times New Roman" w:cs="Times New Roman"/>
          <w:b/>
        </w:rPr>
        <w:t>Attachment A</w:t>
      </w:r>
      <w:r>
        <w:rPr>
          <w:rFonts w:ascii="Times New Roman" w:hAnsi="Times New Roman" w:cs="Times New Roman"/>
        </w:rPr>
        <w:t>.</w:t>
      </w:r>
    </w:p>
    <w:p w14:paraId="5E641A13" w14:textId="65EA343D" w:rsidR="005E789F" w:rsidRDefault="005E789F" w:rsidP="005E789F">
      <w:pPr>
        <w:rPr>
          <w:rFonts w:ascii="Times New Roman" w:hAnsi="Times New Roman" w:cs="Times New Roman"/>
        </w:rPr>
      </w:pPr>
      <w:r>
        <w:rPr>
          <w:rFonts w:ascii="Times New Roman" w:hAnsi="Times New Roman" w:cs="Times New Roman"/>
        </w:rPr>
        <w:t xml:space="preserve">The instrument is a 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sidRPr="00321C5D">
        <w:rPr>
          <w:rFonts w:ascii="Times New Roman" w:hAnsi="Times New Roman" w:cs="Times New Roman"/>
          <w:bCs/>
        </w:rPr>
        <w:t>the</w:t>
      </w:r>
      <w:r w:rsidR="00827B3B">
        <w:rPr>
          <w:rFonts w:ascii="Times New Roman" w:hAnsi="Times New Roman" w:cs="Times New Roman"/>
          <w:b/>
        </w:rPr>
        <w:t xml:space="preserve"> </w:t>
      </w:r>
      <w:r>
        <w:rPr>
          <w:rFonts w:ascii="Times New Roman" w:hAnsi="Times New Roman" w:cs="Times New Roman"/>
          <w:b/>
        </w:rPr>
        <w:t>LA</w:t>
      </w:r>
      <w:r>
        <w:rPr>
          <w:rFonts w:ascii="Times New Roman" w:hAnsi="Times New Roman" w:cs="Times New Roman"/>
        </w:rPr>
        <w:t xml:space="preserve">). </w:t>
      </w:r>
    </w:p>
    <w:p w14:paraId="41493D9E" w14:textId="77777777" w:rsidR="005E789F" w:rsidRDefault="005E789F" w:rsidP="005E789F">
      <w:pPr>
        <w:rPr>
          <w:rFonts w:ascii="Times New Roman" w:hAnsi="Times New Roman" w:cs="Times New Roman"/>
          <w:b/>
        </w:rPr>
      </w:pPr>
      <w:r>
        <w:rPr>
          <w:rFonts w:ascii="Times New Roman" w:hAnsi="Times New Roman" w:cs="Times New Roman"/>
          <w:b/>
        </w:rPr>
        <w:t>Documents incorporated by reference</w:t>
      </w:r>
    </w:p>
    <w:p w14:paraId="31CDB3C3" w14:textId="64332EB4" w:rsidR="005E789F" w:rsidRDefault="005E789F" w:rsidP="005E789F">
      <w:pPr>
        <w:rPr>
          <w:rFonts w:ascii="Times New Roman" w:hAnsi="Times New Roman" w:cs="Times New Roman"/>
        </w:rPr>
      </w:pPr>
      <w:r>
        <w:rPr>
          <w:rFonts w:ascii="Times New Roman" w:hAnsi="Times New Roman" w:cs="Times New Roman"/>
        </w:rPr>
        <w:t>The instrument does not incorporate a</w:t>
      </w:r>
      <w:r w:rsidR="00827B3B">
        <w:rPr>
          <w:rFonts w:ascii="Times New Roman" w:hAnsi="Times New Roman" w:cs="Times New Roman"/>
        </w:rPr>
        <w:t>ny</w:t>
      </w:r>
      <w:r>
        <w:rPr>
          <w:rFonts w:ascii="Times New Roman" w:hAnsi="Times New Roman" w:cs="Times New Roman"/>
        </w:rPr>
        <w:t xml:space="preserve"> document by reference.</w:t>
      </w:r>
      <w:r w:rsidDel="00CD6697">
        <w:rPr>
          <w:rFonts w:ascii="Times New Roman" w:hAnsi="Times New Roman" w:cs="Times New Roman"/>
        </w:rPr>
        <w:t xml:space="preserve"> </w:t>
      </w:r>
    </w:p>
    <w:p w14:paraId="3B75FFC1" w14:textId="77777777" w:rsidR="005E789F" w:rsidRDefault="005E789F" w:rsidP="005E789F">
      <w:pPr>
        <w:rPr>
          <w:rFonts w:ascii="Times New Roman" w:hAnsi="Times New Roman" w:cs="Times New Roman"/>
          <w:b/>
        </w:rPr>
      </w:pPr>
      <w:r>
        <w:rPr>
          <w:rFonts w:ascii="Times New Roman" w:hAnsi="Times New Roman" w:cs="Times New Roman"/>
          <w:b/>
        </w:rPr>
        <w:t>Consultation</w:t>
      </w:r>
    </w:p>
    <w:p w14:paraId="38E166A1" w14:textId="52BAE2F2" w:rsidR="005E789F" w:rsidRDefault="005E789F" w:rsidP="005E789F">
      <w:pPr>
        <w:rPr>
          <w:rFonts w:ascii="Times New Roman" w:hAnsi="Times New Roman" w:cs="Times New Roman"/>
        </w:rPr>
      </w:pPr>
      <w:r>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and </w:t>
      </w:r>
      <w:r w:rsidR="00935069">
        <w:rPr>
          <w:rFonts w:ascii="Times New Roman" w:hAnsi="Times New Roman" w:cs="Times New Roman"/>
        </w:rPr>
        <w:t>sub</w:t>
      </w:r>
      <w:r>
        <w:rPr>
          <w:rFonts w:ascii="Times New Roman" w:hAnsi="Times New Roman" w:cs="Times New Roman"/>
        </w:rPr>
        <w:t>section 12</w:t>
      </w:r>
      <w:r w:rsidR="00935069">
        <w:rPr>
          <w:rFonts w:ascii="Times New Roman" w:hAnsi="Times New Roman" w:cs="Times New Roman"/>
        </w:rPr>
        <w:t>5</w:t>
      </w:r>
      <w:proofErr w:type="gramStart"/>
      <w:r w:rsidR="00935069">
        <w:rPr>
          <w:rFonts w:ascii="Times New Roman" w:hAnsi="Times New Roman" w:cs="Times New Roman"/>
        </w:rPr>
        <w:t>AA(</w:t>
      </w:r>
      <w:proofErr w:type="gramEnd"/>
      <w:r w:rsidR="00935069">
        <w:rPr>
          <w:rFonts w:ascii="Times New Roman" w:hAnsi="Times New Roman" w:cs="Times New Roman"/>
        </w:rPr>
        <w:t>3)</w:t>
      </w:r>
      <w:r>
        <w:rPr>
          <w:rFonts w:ascii="Times New Roman" w:hAnsi="Times New Roman" w:cs="Times New Roman"/>
        </w:rPr>
        <w:t xml:space="preserve"> of the Act.</w:t>
      </w:r>
    </w:p>
    <w:p w14:paraId="3A2B0E52" w14:textId="3E63D91A" w:rsidR="005E789F" w:rsidRDefault="005E789F" w:rsidP="005E789F">
      <w:pPr>
        <w:rPr>
          <w:rFonts w:ascii="Times New Roman" w:hAnsi="Times New Roman" w:cs="Times New Roman"/>
        </w:rPr>
      </w:pPr>
      <w:r>
        <w:rPr>
          <w:rFonts w:ascii="Times New Roman" w:hAnsi="Times New Roman" w:cs="Times New Roman"/>
        </w:rPr>
        <w:t>The ACMA’s review of the Standard was informed by submissions received as part of an extensive t</w:t>
      </w:r>
      <w:r w:rsidR="001C10E7">
        <w:rPr>
          <w:rFonts w:ascii="Times New Roman" w:hAnsi="Times New Roman" w:cs="Times New Roman"/>
        </w:rPr>
        <w:t>hree</w:t>
      </w:r>
      <w:r>
        <w:rPr>
          <w:rFonts w:ascii="Times New Roman" w:hAnsi="Times New Roman" w:cs="Times New Roman"/>
        </w:rPr>
        <w:t>-stage consultation process (detailed below), the ACMA’s experience in monitoring compliance with the rules</w:t>
      </w:r>
      <w:r w:rsidR="00A966EA">
        <w:rPr>
          <w:rFonts w:ascii="Times New Roman" w:hAnsi="Times New Roman" w:cs="Times New Roman"/>
        </w:rPr>
        <w:t>,</w:t>
      </w:r>
      <w:r>
        <w:rPr>
          <w:rFonts w:ascii="Times New Roman" w:hAnsi="Times New Roman" w:cs="Times New Roman"/>
        </w:rPr>
        <w:t xml:space="preserve"> and recommendations regarding the Standard from Part A of </w:t>
      </w:r>
      <w:r w:rsidR="003729EA">
        <w:rPr>
          <w:rFonts w:ascii="Times New Roman" w:hAnsi="Times New Roman" w:cs="Times New Roman"/>
        </w:rPr>
        <w:t xml:space="preserve">the </w:t>
      </w:r>
      <w:r>
        <w:rPr>
          <w:rFonts w:ascii="Times New Roman" w:hAnsi="Times New Roman" w:cs="Times New Roman"/>
        </w:rPr>
        <w:t xml:space="preserve">Consumer Safeguards </w:t>
      </w:r>
      <w:r w:rsidR="003729EA">
        <w:rPr>
          <w:rFonts w:ascii="Times New Roman" w:hAnsi="Times New Roman" w:cs="Times New Roman"/>
        </w:rPr>
        <w:t>R</w:t>
      </w:r>
      <w:r>
        <w:rPr>
          <w:rFonts w:ascii="Times New Roman" w:hAnsi="Times New Roman" w:cs="Times New Roman"/>
        </w:rPr>
        <w:t>eview</w:t>
      </w:r>
      <w:r w:rsidR="00A7797B">
        <w:rPr>
          <w:rFonts w:ascii="Times New Roman" w:hAnsi="Times New Roman" w:cs="Times New Roman"/>
        </w:rPr>
        <w:t xml:space="preserve"> conducted by the then Department of Communications and the Arts</w:t>
      </w:r>
      <w:r>
        <w:rPr>
          <w:rFonts w:ascii="Times New Roman" w:hAnsi="Times New Roman" w:cs="Times New Roman"/>
        </w:rPr>
        <w:t xml:space="preserve">. </w:t>
      </w:r>
    </w:p>
    <w:p w14:paraId="20D145D8" w14:textId="77777777" w:rsidR="005E789F" w:rsidRPr="00B77A55" w:rsidRDefault="005E789F" w:rsidP="005E789F">
      <w:pPr>
        <w:rPr>
          <w:rFonts w:ascii="Times New Roman" w:hAnsi="Times New Roman" w:cs="Times New Roman"/>
        </w:rPr>
      </w:pPr>
      <w:r w:rsidRPr="00B77A55">
        <w:rPr>
          <w:rFonts w:ascii="Times New Roman" w:hAnsi="Times New Roman" w:cs="Times New Roman"/>
        </w:rPr>
        <w:t>On 8 August 2019, the ACMA released a discussion paper seeking stakeholder views about the effectiveness and efficiency of the NBN consumer experience rules</w:t>
      </w:r>
      <w:r>
        <w:rPr>
          <w:rFonts w:ascii="Times New Roman" w:hAnsi="Times New Roman" w:cs="Times New Roman"/>
        </w:rPr>
        <w:t>.</w:t>
      </w:r>
    </w:p>
    <w:p w14:paraId="17713215" w14:textId="32845E45" w:rsidR="005E789F" w:rsidRDefault="005E789F" w:rsidP="005E789F">
      <w:pPr>
        <w:rPr>
          <w:rFonts w:ascii="Times New Roman" w:hAnsi="Times New Roman" w:cs="Times New Roman"/>
        </w:rPr>
      </w:pPr>
      <w:r>
        <w:rPr>
          <w:rFonts w:ascii="Times New Roman" w:hAnsi="Times New Roman" w:cs="Times New Roman"/>
        </w:rPr>
        <w:t xml:space="preserve">The ACMA received seven submissions from </w:t>
      </w:r>
      <w:r w:rsidR="00935069">
        <w:rPr>
          <w:rFonts w:ascii="Times New Roman" w:hAnsi="Times New Roman" w:cs="Times New Roman"/>
        </w:rPr>
        <w:t xml:space="preserve">government, </w:t>
      </w:r>
      <w:proofErr w:type="gramStart"/>
      <w:r>
        <w:rPr>
          <w:rFonts w:ascii="Times New Roman" w:hAnsi="Times New Roman" w:cs="Times New Roman"/>
        </w:rPr>
        <w:t>industry</w:t>
      </w:r>
      <w:proofErr w:type="gramEnd"/>
      <w:r>
        <w:rPr>
          <w:rFonts w:ascii="Times New Roman" w:hAnsi="Times New Roman" w:cs="Times New Roman"/>
        </w:rPr>
        <w:t xml:space="preserve"> and consumer advocacy groups, including the Telecommunications Industry Ombudsman (</w:t>
      </w:r>
      <w:r w:rsidRPr="00321C5D">
        <w:rPr>
          <w:rFonts w:ascii="Times New Roman" w:hAnsi="Times New Roman" w:cs="Times New Roman"/>
          <w:b/>
          <w:bCs/>
        </w:rPr>
        <w:t>TIO</w:t>
      </w:r>
      <w:r>
        <w:rPr>
          <w:rFonts w:ascii="Times New Roman" w:hAnsi="Times New Roman" w:cs="Times New Roman"/>
        </w:rPr>
        <w:t>) and the Australian Communications Consumer Action Network (</w:t>
      </w:r>
      <w:r w:rsidRPr="00321C5D">
        <w:rPr>
          <w:rFonts w:ascii="Times New Roman" w:hAnsi="Times New Roman" w:cs="Times New Roman"/>
          <w:b/>
          <w:bCs/>
        </w:rPr>
        <w:t>ACCAN</w:t>
      </w:r>
      <w:r>
        <w:rPr>
          <w:rFonts w:ascii="Times New Roman" w:hAnsi="Times New Roman" w:cs="Times New Roman"/>
        </w:rPr>
        <w:t xml:space="preserve">). After the consultation period, all non-confidential submissions were made publicly available on the ACMA website. </w:t>
      </w:r>
    </w:p>
    <w:p w14:paraId="6C9B1576" w14:textId="6912B3D2" w:rsidR="005E789F" w:rsidRDefault="005E789F" w:rsidP="005E789F">
      <w:pPr>
        <w:rPr>
          <w:rFonts w:ascii="Times New Roman" w:hAnsi="Times New Roman" w:cs="Times New Roman"/>
        </w:rPr>
      </w:pPr>
      <w:r w:rsidRPr="00EC1931">
        <w:rPr>
          <w:rFonts w:ascii="Times New Roman" w:hAnsi="Times New Roman" w:cs="Times New Roman"/>
        </w:rPr>
        <w:t xml:space="preserve">On 17 December 2019, the ACMA </w:t>
      </w:r>
      <w:r>
        <w:rPr>
          <w:rFonts w:ascii="Times New Roman" w:hAnsi="Times New Roman" w:cs="Times New Roman"/>
        </w:rPr>
        <w:t xml:space="preserve">undertook a further consultation process with stakeholders and the general public on </w:t>
      </w:r>
      <w:r w:rsidRPr="00EC1931">
        <w:rPr>
          <w:rFonts w:ascii="Times New Roman" w:hAnsi="Times New Roman" w:cs="Times New Roman"/>
        </w:rPr>
        <w:t xml:space="preserve">the </w:t>
      </w:r>
      <w:r w:rsidRPr="005E62FD">
        <w:rPr>
          <w:rFonts w:ascii="Times New Roman" w:hAnsi="Times New Roman" w:cs="Times New Roman"/>
        </w:rPr>
        <w:t>proposed revisions</w:t>
      </w:r>
      <w:r w:rsidRPr="00EC1931">
        <w:rPr>
          <w:rFonts w:ascii="Times New Roman" w:hAnsi="Times New Roman" w:cs="Times New Roman"/>
        </w:rPr>
        <w:t xml:space="preserve"> to the NBN consumer experience rules</w:t>
      </w:r>
      <w:r>
        <w:rPr>
          <w:rFonts w:ascii="Times New Roman" w:hAnsi="Times New Roman" w:cs="Times New Roman"/>
        </w:rPr>
        <w:t xml:space="preserve"> (see: </w:t>
      </w:r>
      <w:r w:rsidRPr="00755BD2">
        <w:rPr>
          <w:rFonts w:ascii="Times New Roman" w:hAnsi="Times New Roman" w:cs="Times New Roman"/>
        </w:rPr>
        <w:lastRenderedPageBreak/>
        <w:t>https://www.acma.gov.au/consultations/2019-12/proposed-revisions-nbn-consumer-experience-rules-consultation-422019</w:t>
      </w:r>
      <w:r>
        <w:rPr>
          <w:rFonts w:ascii="Times New Roman" w:hAnsi="Times New Roman" w:cs="Times New Roman"/>
        </w:rPr>
        <w:t>). The ACMA also consulted with Communications Alliance Ltd (</w:t>
      </w:r>
      <w:r w:rsidRPr="002C6D7D">
        <w:rPr>
          <w:rFonts w:ascii="Times New Roman" w:hAnsi="Times New Roman" w:cs="Times New Roman"/>
          <w:b/>
          <w:bCs/>
        </w:rPr>
        <w:t>Communications Alliance</w:t>
      </w:r>
      <w:r>
        <w:rPr>
          <w:rFonts w:ascii="Times New Roman" w:hAnsi="Times New Roman" w:cs="Times New Roman"/>
        </w:rPr>
        <w:t>), as required by subsection 125</w:t>
      </w:r>
      <w:proofErr w:type="gramStart"/>
      <w:r>
        <w:rPr>
          <w:rFonts w:ascii="Times New Roman" w:hAnsi="Times New Roman" w:cs="Times New Roman"/>
        </w:rPr>
        <w:t>AA(</w:t>
      </w:r>
      <w:proofErr w:type="gramEnd"/>
      <w:r>
        <w:rPr>
          <w:rFonts w:ascii="Times New Roman" w:hAnsi="Times New Roman" w:cs="Times New Roman"/>
        </w:rPr>
        <w:t>3) of the Act. As a part of this process, the draft proposed variations to the Standard (and the other NBN consumer experience rules) were made available through the ACMA’s website</w:t>
      </w:r>
      <w:r w:rsidRPr="00EC1931">
        <w:rPr>
          <w:rFonts w:ascii="Times New Roman" w:hAnsi="Times New Roman" w:cs="Times New Roman"/>
        </w:rPr>
        <w:t>.</w:t>
      </w:r>
    </w:p>
    <w:p w14:paraId="149334CC" w14:textId="178C7E8F" w:rsidR="005E789F" w:rsidRDefault="005E789F" w:rsidP="005E789F">
      <w:pPr>
        <w:rPr>
          <w:rFonts w:ascii="Times New Roman" w:hAnsi="Times New Roman" w:cs="Times New Roman"/>
        </w:rPr>
      </w:pPr>
      <w:r>
        <w:rPr>
          <w:rFonts w:ascii="Times New Roman" w:hAnsi="Times New Roman" w:cs="Times New Roman"/>
        </w:rPr>
        <w:t xml:space="preserve">The ACMA received eight submissions from industry, </w:t>
      </w:r>
      <w:proofErr w:type="gramStart"/>
      <w:r>
        <w:rPr>
          <w:rFonts w:ascii="Times New Roman" w:hAnsi="Times New Roman" w:cs="Times New Roman"/>
        </w:rPr>
        <w:t>government</w:t>
      </w:r>
      <w:proofErr w:type="gramEnd"/>
      <w:r>
        <w:rPr>
          <w:rFonts w:ascii="Times New Roman" w:hAnsi="Times New Roman" w:cs="Times New Roman"/>
        </w:rPr>
        <w:t xml:space="preserve"> and consumer advocacy groups, including the Australian Competition and Consumer Commission</w:t>
      </w:r>
      <w:r w:rsidR="00ED5227">
        <w:rPr>
          <w:rFonts w:ascii="Times New Roman" w:hAnsi="Times New Roman" w:cs="Times New Roman"/>
        </w:rPr>
        <w:t xml:space="preserve"> (</w:t>
      </w:r>
      <w:r w:rsidR="00F8297D">
        <w:rPr>
          <w:rFonts w:ascii="Times New Roman" w:hAnsi="Times New Roman" w:cs="Times New Roman"/>
          <w:b/>
          <w:bCs/>
        </w:rPr>
        <w:t>ACCC</w:t>
      </w:r>
      <w:r w:rsidR="00F8297D">
        <w:rPr>
          <w:rFonts w:ascii="Times New Roman" w:hAnsi="Times New Roman" w:cs="Times New Roman"/>
        </w:rPr>
        <w:t>)</w:t>
      </w:r>
      <w:r w:rsidR="00E4599A">
        <w:rPr>
          <w:rFonts w:ascii="Times New Roman" w:hAnsi="Times New Roman" w:cs="Times New Roman"/>
        </w:rPr>
        <w:t>,</w:t>
      </w:r>
      <w:r>
        <w:rPr>
          <w:rFonts w:ascii="Times New Roman" w:hAnsi="Times New Roman" w:cs="Times New Roman"/>
        </w:rPr>
        <w:t xml:space="preserve"> the TIO and ACCAN. After the consultation period, all non-confidential submissions were made publicly available on the ACMA website.</w:t>
      </w:r>
    </w:p>
    <w:p w14:paraId="6E5D435C" w14:textId="5C725749" w:rsidR="005E789F" w:rsidRDefault="005E789F" w:rsidP="005E789F">
      <w:pPr>
        <w:rPr>
          <w:rFonts w:ascii="Times New Roman" w:hAnsi="Times New Roman" w:cs="Times New Roman"/>
        </w:rPr>
      </w:pPr>
      <w:r>
        <w:rPr>
          <w:rFonts w:ascii="Times New Roman" w:hAnsi="Times New Roman" w:cs="Times New Roman"/>
        </w:rPr>
        <w:t xml:space="preserve">The ACMA considered all relevant issues raised by the submissions when making the instrument. </w:t>
      </w:r>
    </w:p>
    <w:p w14:paraId="72E90870" w14:textId="45D2722B" w:rsidR="00AD1B81" w:rsidRPr="009A52EB" w:rsidRDefault="00AD1B81" w:rsidP="00AD1B81">
      <w:pPr>
        <w:rPr>
          <w:rFonts w:ascii="Times New Roman" w:hAnsi="Times New Roman" w:cs="Times New Roman"/>
        </w:rPr>
      </w:pPr>
      <w:r w:rsidRPr="009A52EB">
        <w:rPr>
          <w:rFonts w:ascii="Times New Roman" w:hAnsi="Times New Roman" w:cs="Times New Roman"/>
        </w:rPr>
        <w:t xml:space="preserve">A broad range of feedback </w:t>
      </w:r>
      <w:r>
        <w:rPr>
          <w:rFonts w:ascii="Times New Roman" w:hAnsi="Times New Roman" w:cs="Times New Roman"/>
        </w:rPr>
        <w:t xml:space="preserve">regarding the NBN consumer experience rules </w:t>
      </w:r>
      <w:r w:rsidRPr="009A52EB">
        <w:rPr>
          <w:rFonts w:ascii="Times New Roman" w:hAnsi="Times New Roman" w:cs="Times New Roman"/>
        </w:rPr>
        <w:t xml:space="preserve">was received in response to consultation. </w:t>
      </w:r>
    </w:p>
    <w:p w14:paraId="68363C2F" w14:textId="77777777" w:rsidR="005E789F" w:rsidRPr="005016FC" w:rsidRDefault="005E789F" w:rsidP="005E789F">
      <w:pPr>
        <w:rPr>
          <w:rFonts w:ascii="Times New Roman" w:hAnsi="Times New Roman" w:cs="Times New Roman"/>
        </w:rPr>
      </w:pPr>
      <w:r>
        <w:rPr>
          <w:rFonts w:ascii="Times New Roman" w:hAnsi="Times New Roman" w:cs="Times New Roman"/>
        </w:rPr>
        <w:t xml:space="preserve">Below is a summary of </w:t>
      </w:r>
      <w:r w:rsidRPr="005016FC">
        <w:rPr>
          <w:rFonts w:ascii="Times New Roman" w:hAnsi="Times New Roman" w:cs="Times New Roman"/>
        </w:rPr>
        <w:t>c</w:t>
      </w:r>
      <w:r>
        <w:rPr>
          <w:rFonts w:ascii="Times New Roman" w:hAnsi="Times New Roman" w:cs="Times New Roman"/>
        </w:rPr>
        <w:t>omments received during consultation about the main variations proposed to the Standard</w:t>
      </w:r>
      <w:r w:rsidRPr="005016FC">
        <w:rPr>
          <w:rFonts w:ascii="Times New Roman" w:hAnsi="Times New Roman" w:cs="Times New Roman"/>
        </w:rPr>
        <w:t xml:space="preserve">: </w:t>
      </w:r>
    </w:p>
    <w:p w14:paraId="03AFC107" w14:textId="124E1336" w:rsidR="005E789F" w:rsidRPr="009074C9" w:rsidRDefault="005E789F" w:rsidP="005E789F">
      <w:pPr>
        <w:pStyle w:val="ListParagraph"/>
        <w:numPr>
          <w:ilvl w:val="0"/>
          <w:numId w:val="6"/>
        </w:numPr>
        <w:rPr>
          <w:rFonts w:ascii="Times New Roman" w:hAnsi="Times New Roman" w:cs="Times New Roman"/>
        </w:rPr>
      </w:pPr>
      <w:r>
        <w:rPr>
          <w:rFonts w:ascii="Times New Roman" w:hAnsi="Times New Roman" w:cs="Times New Roman"/>
        </w:rPr>
        <w:t>Industry</w:t>
      </w:r>
      <w:r w:rsidR="008236F3">
        <w:rPr>
          <w:rFonts w:ascii="Times New Roman" w:hAnsi="Times New Roman" w:cs="Times New Roman"/>
        </w:rPr>
        <w:t xml:space="preserve"> bodies</w:t>
      </w:r>
      <w:r>
        <w:rPr>
          <w:rFonts w:ascii="Times New Roman" w:hAnsi="Times New Roman" w:cs="Times New Roman"/>
        </w:rPr>
        <w:t xml:space="preserve"> (Communications Alliance, </w:t>
      </w:r>
      <w:proofErr w:type="gramStart"/>
      <w:r w:rsidRPr="009074C9">
        <w:rPr>
          <w:rFonts w:ascii="Times New Roman" w:hAnsi="Times New Roman" w:cs="Times New Roman"/>
        </w:rPr>
        <w:t>Optus</w:t>
      </w:r>
      <w:proofErr w:type="gramEnd"/>
      <w:r w:rsidRPr="009074C9">
        <w:rPr>
          <w:rFonts w:ascii="Times New Roman" w:hAnsi="Times New Roman" w:cs="Times New Roman"/>
        </w:rPr>
        <w:t xml:space="preserve"> and Telstra) supported revisions to the definition of “consumer” in the Standard to align with the revised TCP Code.</w:t>
      </w:r>
    </w:p>
    <w:p w14:paraId="1E1C2518" w14:textId="2302F616" w:rsidR="005E789F" w:rsidRPr="009074C9" w:rsidRDefault="005E789F" w:rsidP="005E789F">
      <w:pPr>
        <w:pStyle w:val="ListParagraph"/>
        <w:numPr>
          <w:ilvl w:val="0"/>
          <w:numId w:val="6"/>
        </w:numPr>
        <w:rPr>
          <w:rFonts w:ascii="Times New Roman" w:hAnsi="Times New Roman" w:cs="Times New Roman"/>
        </w:rPr>
      </w:pPr>
    </w:p>
    <w:p w14:paraId="38C7DBC4" w14:textId="43A77D2A" w:rsidR="005E789F" w:rsidRPr="001B6012" w:rsidRDefault="00C83023" w:rsidP="005E789F">
      <w:pPr>
        <w:pStyle w:val="ListParagraph"/>
        <w:numPr>
          <w:ilvl w:val="0"/>
          <w:numId w:val="6"/>
        </w:numPr>
        <w:rPr>
          <w:rFonts w:ascii="Times New Roman" w:hAnsi="Times New Roman" w:cs="Times New Roman"/>
          <w:b/>
        </w:rPr>
      </w:pPr>
      <w:r>
        <w:rPr>
          <w:rFonts w:ascii="Times New Roman" w:hAnsi="Times New Roman" w:cs="Times New Roman"/>
        </w:rPr>
        <w:t>Feedback relating to remedial plans and technical audits</w:t>
      </w:r>
      <w:r w:rsidR="00DC63FB">
        <w:rPr>
          <w:rFonts w:ascii="Times New Roman" w:hAnsi="Times New Roman" w:cs="Times New Roman"/>
        </w:rPr>
        <w:t xml:space="preserve"> under section 23</w:t>
      </w:r>
      <w:r>
        <w:rPr>
          <w:rFonts w:ascii="Times New Roman" w:hAnsi="Times New Roman" w:cs="Times New Roman"/>
        </w:rPr>
        <w:t xml:space="preserve"> w</w:t>
      </w:r>
      <w:r w:rsidR="005A223D">
        <w:rPr>
          <w:rFonts w:ascii="Times New Roman" w:hAnsi="Times New Roman" w:cs="Times New Roman"/>
        </w:rPr>
        <w:t>as</w:t>
      </w:r>
      <w:r>
        <w:rPr>
          <w:rFonts w:ascii="Times New Roman" w:hAnsi="Times New Roman" w:cs="Times New Roman"/>
        </w:rPr>
        <w:t xml:space="preserve"> </w:t>
      </w:r>
      <w:r w:rsidR="00DC63FB">
        <w:rPr>
          <w:rFonts w:ascii="Times New Roman" w:hAnsi="Times New Roman" w:cs="Times New Roman"/>
        </w:rPr>
        <w:t>divided</w:t>
      </w:r>
      <w:r>
        <w:rPr>
          <w:rFonts w:ascii="Times New Roman" w:hAnsi="Times New Roman" w:cs="Times New Roman"/>
        </w:rPr>
        <w:t xml:space="preserve"> between </w:t>
      </w:r>
      <w:r w:rsidR="001B6012">
        <w:rPr>
          <w:rFonts w:ascii="Times New Roman" w:hAnsi="Times New Roman" w:cs="Times New Roman"/>
        </w:rPr>
        <w:t>industry and consumer advocacy groups:</w:t>
      </w:r>
    </w:p>
    <w:p w14:paraId="4BC29B2B" w14:textId="79829B98" w:rsidR="001B6012" w:rsidRPr="00DC63FB" w:rsidRDefault="001B6012" w:rsidP="001B6012">
      <w:pPr>
        <w:pStyle w:val="ListParagraph"/>
        <w:numPr>
          <w:ilvl w:val="1"/>
          <w:numId w:val="6"/>
        </w:numPr>
        <w:rPr>
          <w:rFonts w:ascii="Times New Roman" w:hAnsi="Times New Roman" w:cs="Times New Roman"/>
          <w:b/>
        </w:rPr>
      </w:pPr>
      <w:r>
        <w:rPr>
          <w:rFonts w:ascii="Times New Roman" w:hAnsi="Times New Roman" w:cs="Times New Roman"/>
        </w:rPr>
        <w:t xml:space="preserve">ACCAN </w:t>
      </w:r>
      <w:r w:rsidR="00DC63FB">
        <w:rPr>
          <w:rFonts w:ascii="Times New Roman" w:hAnsi="Times New Roman" w:cs="Times New Roman"/>
        </w:rPr>
        <w:t>supported</w:t>
      </w:r>
      <w:r>
        <w:rPr>
          <w:rFonts w:ascii="Times New Roman" w:hAnsi="Times New Roman" w:cs="Times New Roman"/>
        </w:rPr>
        <w:t xml:space="preserve"> the proposed amendment </w:t>
      </w:r>
      <w:r w:rsidR="00DC63FB">
        <w:rPr>
          <w:rFonts w:ascii="Times New Roman" w:hAnsi="Times New Roman" w:cs="Times New Roman"/>
        </w:rPr>
        <w:t>and considered it provided a clear and consistent timeframe for action to be taken under section 23 of the Standard.</w:t>
      </w:r>
    </w:p>
    <w:p w14:paraId="22981F31" w14:textId="57E6F4F6" w:rsidR="00DC63FB" w:rsidRPr="008A363C" w:rsidRDefault="00DC63FB" w:rsidP="001B6012">
      <w:pPr>
        <w:pStyle w:val="ListParagraph"/>
        <w:numPr>
          <w:ilvl w:val="1"/>
          <w:numId w:val="6"/>
        </w:numPr>
        <w:rPr>
          <w:rFonts w:ascii="Times New Roman" w:hAnsi="Times New Roman" w:cs="Times New Roman"/>
          <w:b/>
        </w:rPr>
      </w:pPr>
      <w:r>
        <w:rPr>
          <w:rFonts w:ascii="Times New Roman" w:hAnsi="Times New Roman" w:cs="Times New Roman"/>
        </w:rPr>
        <w:t xml:space="preserve">Industry considered the proposed amendment to be unnecessary </w:t>
      </w:r>
      <w:r w:rsidR="00CB58B4">
        <w:rPr>
          <w:rFonts w:ascii="Times New Roman" w:hAnsi="Times New Roman" w:cs="Times New Roman"/>
        </w:rPr>
        <w:t xml:space="preserve">and would require IT system amendments and refresher training to implement. </w:t>
      </w:r>
      <w:r w:rsidR="00FE2820">
        <w:rPr>
          <w:rFonts w:ascii="Times New Roman" w:hAnsi="Times New Roman" w:cs="Times New Roman"/>
        </w:rPr>
        <w:t xml:space="preserve">Telstra recommended that the requirements for remedial plans and technical audits be removed altogether. </w:t>
      </w:r>
    </w:p>
    <w:p w14:paraId="6646C412" w14:textId="067854B8" w:rsidR="005E789F" w:rsidRDefault="005E789F" w:rsidP="005E789F">
      <w:pPr>
        <w:ind w:left="360"/>
        <w:rPr>
          <w:rFonts w:ascii="Times New Roman" w:hAnsi="Times New Roman" w:cs="Times New Roman"/>
          <w:bCs/>
        </w:rPr>
      </w:pPr>
      <w:r>
        <w:rPr>
          <w:rFonts w:ascii="Times New Roman" w:hAnsi="Times New Roman" w:cs="Times New Roman"/>
          <w:bCs/>
        </w:rPr>
        <w:t xml:space="preserve">Following a consideration of comments received during consultation, </w:t>
      </w:r>
      <w:r w:rsidR="00E81C32">
        <w:rPr>
          <w:rFonts w:ascii="Times New Roman" w:hAnsi="Times New Roman" w:cs="Times New Roman"/>
          <w:bCs/>
        </w:rPr>
        <w:t xml:space="preserve">the ACMA amended the draft </w:t>
      </w:r>
      <w:r w:rsidR="00AC21C4">
        <w:rPr>
          <w:rFonts w:ascii="Times New Roman" w:hAnsi="Times New Roman" w:cs="Times New Roman"/>
          <w:bCs/>
        </w:rPr>
        <w:t>instrument, including as follows:</w:t>
      </w:r>
    </w:p>
    <w:p w14:paraId="43DCC686" w14:textId="087A2A87" w:rsidR="005E789F" w:rsidRDefault="00166E76" w:rsidP="005E789F">
      <w:pPr>
        <w:pStyle w:val="ListParagraph"/>
        <w:numPr>
          <w:ilvl w:val="0"/>
          <w:numId w:val="7"/>
        </w:numPr>
        <w:rPr>
          <w:rFonts w:ascii="Times New Roman" w:hAnsi="Times New Roman" w:cs="Times New Roman"/>
        </w:rPr>
      </w:pPr>
      <w:r>
        <w:rPr>
          <w:rFonts w:ascii="Times New Roman" w:hAnsi="Times New Roman" w:cs="Times New Roman"/>
        </w:rPr>
        <w:t>A</w:t>
      </w:r>
      <w:r w:rsidR="00BC1970">
        <w:rPr>
          <w:rFonts w:ascii="Times New Roman" w:hAnsi="Times New Roman" w:cs="Times New Roman"/>
        </w:rPr>
        <w:t xml:space="preserve"> definition of </w:t>
      </w:r>
      <w:r>
        <w:rPr>
          <w:rFonts w:ascii="Times New Roman" w:hAnsi="Times New Roman" w:cs="Times New Roman"/>
        </w:rPr>
        <w:t>“</w:t>
      </w:r>
      <w:r w:rsidR="00BC1970">
        <w:rPr>
          <w:rFonts w:ascii="Times New Roman" w:hAnsi="Times New Roman" w:cs="Times New Roman"/>
        </w:rPr>
        <w:t>alternative arrangement</w:t>
      </w:r>
      <w:r>
        <w:rPr>
          <w:rFonts w:ascii="Times New Roman" w:hAnsi="Times New Roman" w:cs="Times New Roman"/>
        </w:rPr>
        <w:t>”</w:t>
      </w:r>
      <w:r w:rsidR="00BC1970">
        <w:rPr>
          <w:rFonts w:ascii="Times New Roman" w:hAnsi="Times New Roman" w:cs="Times New Roman"/>
        </w:rPr>
        <w:t xml:space="preserve"> </w:t>
      </w:r>
      <w:r w:rsidR="00220931">
        <w:rPr>
          <w:rFonts w:ascii="Times New Roman" w:hAnsi="Times New Roman" w:cs="Times New Roman"/>
        </w:rPr>
        <w:t>has</w:t>
      </w:r>
      <w:r w:rsidR="007E58FE">
        <w:rPr>
          <w:rFonts w:ascii="Times New Roman" w:hAnsi="Times New Roman" w:cs="Times New Roman"/>
        </w:rPr>
        <w:t xml:space="preserve"> be</w:t>
      </w:r>
      <w:r w:rsidR="00220931">
        <w:rPr>
          <w:rFonts w:ascii="Times New Roman" w:hAnsi="Times New Roman" w:cs="Times New Roman"/>
        </w:rPr>
        <w:t>en</w:t>
      </w:r>
      <w:r w:rsidR="00BC1970">
        <w:rPr>
          <w:rFonts w:ascii="Times New Roman" w:hAnsi="Times New Roman" w:cs="Times New Roman"/>
        </w:rPr>
        <w:t xml:space="preserve"> included in the Standard, </w:t>
      </w:r>
      <w:r>
        <w:rPr>
          <w:rFonts w:ascii="Times New Roman" w:hAnsi="Times New Roman" w:cs="Times New Roman"/>
        </w:rPr>
        <w:t>to provide clarity for that term</w:t>
      </w:r>
      <w:r w:rsidR="00BC1970">
        <w:rPr>
          <w:rFonts w:ascii="Times New Roman" w:hAnsi="Times New Roman" w:cs="Times New Roman"/>
        </w:rPr>
        <w:t xml:space="preserve">. The </w:t>
      </w:r>
      <w:r w:rsidR="00220931">
        <w:rPr>
          <w:rFonts w:ascii="Times New Roman" w:hAnsi="Times New Roman" w:cs="Times New Roman"/>
        </w:rPr>
        <w:t xml:space="preserve">definition of </w:t>
      </w:r>
      <w:r w:rsidR="00F12BE6">
        <w:rPr>
          <w:rFonts w:ascii="Times New Roman" w:hAnsi="Times New Roman" w:cs="Times New Roman"/>
        </w:rPr>
        <w:t>“</w:t>
      </w:r>
      <w:r w:rsidR="00220931">
        <w:rPr>
          <w:rFonts w:ascii="Times New Roman" w:hAnsi="Times New Roman" w:cs="Times New Roman"/>
        </w:rPr>
        <w:t>alternative arrangement</w:t>
      </w:r>
      <w:r w:rsidR="00F12BE6">
        <w:rPr>
          <w:rFonts w:ascii="Times New Roman" w:hAnsi="Times New Roman" w:cs="Times New Roman"/>
        </w:rPr>
        <w:t>”</w:t>
      </w:r>
      <w:r w:rsidR="00220931">
        <w:rPr>
          <w:rFonts w:ascii="Times New Roman" w:hAnsi="Times New Roman" w:cs="Times New Roman"/>
        </w:rPr>
        <w:t xml:space="preserve"> in the instrument </w:t>
      </w:r>
      <w:r w:rsidR="00BC1970" w:rsidRPr="00E54564">
        <w:rPr>
          <w:rFonts w:ascii="Times New Roman" w:hAnsi="Times New Roman" w:cs="Times New Roman"/>
        </w:rPr>
        <w:t>correlate</w:t>
      </w:r>
      <w:r w:rsidR="00220931">
        <w:rPr>
          <w:rFonts w:ascii="Times New Roman" w:hAnsi="Times New Roman" w:cs="Times New Roman"/>
        </w:rPr>
        <w:t>s</w:t>
      </w:r>
      <w:r w:rsidR="00BC1970" w:rsidRPr="00E54564">
        <w:rPr>
          <w:rFonts w:ascii="Times New Roman" w:hAnsi="Times New Roman" w:cs="Times New Roman"/>
        </w:rPr>
        <w:t xml:space="preserve"> with the </w:t>
      </w:r>
      <w:r w:rsidR="00220931">
        <w:rPr>
          <w:rFonts w:ascii="Times New Roman" w:hAnsi="Times New Roman" w:cs="Times New Roman"/>
        </w:rPr>
        <w:t xml:space="preserve">definition </w:t>
      </w:r>
      <w:r w:rsidR="00BC1970" w:rsidRPr="00E54564">
        <w:rPr>
          <w:rFonts w:ascii="Times New Roman" w:hAnsi="Times New Roman" w:cs="Times New Roman"/>
        </w:rPr>
        <w:t>in the Servi</w:t>
      </w:r>
      <w:r w:rsidR="00BC1970" w:rsidRPr="009826EE">
        <w:rPr>
          <w:rFonts w:ascii="Times New Roman" w:hAnsi="Times New Roman" w:cs="Times New Roman"/>
        </w:rPr>
        <w:t>ce Migration Determinat</w:t>
      </w:r>
      <w:r w:rsidR="00BC1970" w:rsidRPr="009438B0">
        <w:rPr>
          <w:rFonts w:ascii="Times New Roman" w:hAnsi="Times New Roman" w:cs="Times New Roman"/>
        </w:rPr>
        <w:t>ion</w:t>
      </w:r>
      <w:r w:rsidR="00220931">
        <w:rPr>
          <w:rFonts w:ascii="Times New Roman" w:hAnsi="Times New Roman" w:cs="Times New Roman"/>
        </w:rPr>
        <w:t xml:space="preserve"> except that the Service Migration Determination deals with alternative arrangements in the context of the provision of an interim service, whereas, in the instrument, it </w:t>
      </w:r>
      <w:r w:rsidR="00BD44B2">
        <w:rPr>
          <w:rFonts w:ascii="Times New Roman" w:hAnsi="Times New Roman" w:cs="Times New Roman"/>
        </w:rPr>
        <w:t xml:space="preserve">deals with arrangements in </w:t>
      </w:r>
      <w:r w:rsidR="00220931">
        <w:rPr>
          <w:rFonts w:ascii="Times New Roman" w:hAnsi="Times New Roman" w:cs="Times New Roman"/>
        </w:rPr>
        <w:t>the context of the supply of a legacy service</w:t>
      </w:r>
      <w:r w:rsidR="00BC1970" w:rsidRPr="003D4CE5">
        <w:rPr>
          <w:rFonts w:ascii="Times New Roman" w:hAnsi="Times New Roman" w:cs="Times New Roman"/>
        </w:rPr>
        <w:t xml:space="preserve">. </w:t>
      </w:r>
      <w:r w:rsidR="00E54564" w:rsidRPr="00E54564">
        <w:rPr>
          <w:rFonts w:ascii="Times New Roman" w:hAnsi="Times New Roman" w:cs="Times New Roman"/>
        </w:rPr>
        <w:t xml:space="preserve">A </w:t>
      </w:r>
      <w:r w:rsidR="00E54564" w:rsidRPr="00DF59A7">
        <w:rPr>
          <w:rFonts w:ascii="Times New Roman" w:hAnsi="Times New Roman" w:cs="Times New Roman"/>
        </w:rPr>
        <w:t xml:space="preserve">note has been included </w:t>
      </w:r>
      <w:r w:rsidR="00E54564" w:rsidRPr="00E54564">
        <w:rPr>
          <w:rFonts w:ascii="Times New Roman" w:hAnsi="Times New Roman" w:cs="Times New Roman"/>
        </w:rPr>
        <w:t>provid</w:t>
      </w:r>
      <w:r w:rsidR="00E54564">
        <w:rPr>
          <w:rFonts w:ascii="Times New Roman" w:hAnsi="Times New Roman" w:cs="Times New Roman"/>
        </w:rPr>
        <w:t>ing</w:t>
      </w:r>
      <w:r w:rsidR="00E54564" w:rsidRPr="00E54564">
        <w:rPr>
          <w:rFonts w:ascii="Times New Roman" w:hAnsi="Times New Roman" w:cs="Times New Roman"/>
        </w:rPr>
        <w:t xml:space="preserve"> examples of arrangements that would not amount to an alternative arrangement for the purposes of the </w:t>
      </w:r>
      <w:r w:rsidR="00E54564">
        <w:rPr>
          <w:rFonts w:ascii="Times New Roman" w:hAnsi="Times New Roman" w:cs="Times New Roman"/>
        </w:rPr>
        <w:t>Standard</w:t>
      </w:r>
      <w:r w:rsidR="00E54564" w:rsidRPr="00E54564">
        <w:rPr>
          <w:rFonts w:ascii="Times New Roman" w:hAnsi="Times New Roman" w:cs="Times New Roman"/>
        </w:rPr>
        <w:t>, including rescheduling an appointment or not requiring payment until the customer’s NBN service is operational</w:t>
      </w:r>
      <w:r w:rsidR="00E54564" w:rsidRPr="00A60218">
        <w:rPr>
          <w:rFonts w:ascii="Times New Roman" w:hAnsi="Times New Roman" w:cs="Times New Roman"/>
        </w:rPr>
        <w:t>.</w:t>
      </w:r>
    </w:p>
    <w:p w14:paraId="581C2111" w14:textId="1F1AE206" w:rsidR="005E789F" w:rsidRDefault="00B30C96" w:rsidP="005E789F">
      <w:pPr>
        <w:pStyle w:val="ListParagraph"/>
        <w:numPr>
          <w:ilvl w:val="0"/>
          <w:numId w:val="7"/>
        </w:numPr>
        <w:rPr>
          <w:rFonts w:ascii="Times New Roman" w:hAnsi="Times New Roman" w:cs="Times New Roman"/>
          <w:bCs/>
        </w:rPr>
      </w:pPr>
      <w:r>
        <w:rPr>
          <w:rFonts w:ascii="Times New Roman" w:hAnsi="Times New Roman" w:cs="Times New Roman"/>
          <w:bCs/>
        </w:rPr>
        <w:t xml:space="preserve">It was decided </w:t>
      </w:r>
      <w:r w:rsidR="00BD44B2">
        <w:rPr>
          <w:rFonts w:ascii="Times New Roman" w:hAnsi="Times New Roman" w:cs="Times New Roman"/>
          <w:bCs/>
        </w:rPr>
        <w:t xml:space="preserve">that no </w:t>
      </w:r>
      <w:r>
        <w:rPr>
          <w:rFonts w:ascii="Times New Roman" w:hAnsi="Times New Roman" w:cs="Times New Roman"/>
          <w:bCs/>
        </w:rPr>
        <w:t xml:space="preserve">amendments </w:t>
      </w:r>
      <w:r w:rsidR="00BD44B2">
        <w:rPr>
          <w:rFonts w:ascii="Times New Roman" w:hAnsi="Times New Roman" w:cs="Times New Roman"/>
          <w:bCs/>
        </w:rPr>
        <w:t xml:space="preserve">would be made </w:t>
      </w:r>
      <w:r>
        <w:rPr>
          <w:rFonts w:ascii="Times New Roman" w:hAnsi="Times New Roman" w:cs="Times New Roman"/>
          <w:bCs/>
        </w:rPr>
        <w:t xml:space="preserve">to section 21 </w:t>
      </w:r>
      <w:r w:rsidR="00BD44B2">
        <w:rPr>
          <w:rFonts w:ascii="Times New Roman" w:hAnsi="Times New Roman" w:cs="Times New Roman"/>
          <w:bCs/>
        </w:rPr>
        <w:t xml:space="preserve">of </w:t>
      </w:r>
      <w:r w:rsidR="00914F81">
        <w:rPr>
          <w:rFonts w:ascii="Times New Roman" w:hAnsi="Times New Roman" w:cs="Times New Roman"/>
          <w:bCs/>
        </w:rPr>
        <w:t>the Standard. Th</w:t>
      </w:r>
      <w:r w:rsidR="00570005">
        <w:rPr>
          <w:rFonts w:ascii="Times New Roman" w:hAnsi="Times New Roman" w:cs="Times New Roman"/>
          <w:bCs/>
        </w:rPr>
        <w:t>e proposed drafting was intended to provide clarity without changing the operation of this section,</w:t>
      </w:r>
      <w:r w:rsidR="00061DE8">
        <w:rPr>
          <w:rFonts w:ascii="Times New Roman" w:hAnsi="Times New Roman" w:cs="Times New Roman"/>
          <w:bCs/>
        </w:rPr>
        <w:t xml:space="preserve"> </w:t>
      </w:r>
      <w:r w:rsidR="004B551F">
        <w:rPr>
          <w:rFonts w:ascii="Times New Roman" w:hAnsi="Times New Roman" w:cs="Times New Roman"/>
          <w:bCs/>
        </w:rPr>
        <w:t>however fee</w:t>
      </w:r>
      <w:r w:rsidR="00E832EA">
        <w:rPr>
          <w:rFonts w:ascii="Times New Roman" w:hAnsi="Times New Roman" w:cs="Times New Roman"/>
          <w:bCs/>
        </w:rPr>
        <w:t>dback suggested that stakeholders were comfortable with the current drafting.</w:t>
      </w:r>
    </w:p>
    <w:p w14:paraId="4ED4617F" w14:textId="301FE3CB" w:rsidR="00A7606F" w:rsidRPr="00A7606F" w:rsidRDefault="00A7606F" w:rsidP="00A7606F">
      <w:pPr>
        <w:rPr>
          <w:rFonts w:ascii="Times New Roman" w:hAnsi="Times New Roman" w:cs="Times New Roman"/>
        </w:rPr>
      </w:pPr>
      <w:r w:rsidRPr="00A7606F">
        <w:rPr>
          <w:rFonts w:ascii="Times New Roman" w:hAnsi="Times New Roman" w:cs="Times New Roman"/>
        </w:rPr>
        <w:t xml:space="preserve">On 2 July 2020, the ACMA undertook </w:t>
      </w:r>
      <w:r w:rsidR="00363A2D">
        <w:rPr>
          <w:rFonts w:ascii="Times New Roman" w:hAnsi="Times New Roman" w:cs="Times New Roman"/>
        </w:rPr>
        <w:t>a</w:t>
      </w:r>
      <w:r w:rsidRPr="00A7606F">
        <w:rPr>
          <w:rFonts w:ascii="Times New Roman" w:hAnsi="Times New Roman" w:cs="Times New Roman"/>
        </w:rPr>
        <w:t xml:space="preserve"> further targeted consultation process with stakeholders who </w:t>
      </w:r>
      <w:r w:rsidR="00363A2D">
        <w:rPr>
          <w:rFonts w:ascii="Times New Roman" w:hAnsi="Times New Roman" w:cs="Times New Roman"/>
        </w:rPr>
        <w:t xml:space="preserve">had </w:t>
      </w:r>
      <w:r w:rsidRPr="00A7606F">
        <w:rPr>
          <w:rFonts w:ascii="Times New Roman" w:hAnsi="Times New Roman" w:cs="Times New Roman"/>
        </w:rPr>
        <w:t>responded to the December 2019 consultation. The ACMA also consulted with Communications Alliance, as required by subsection 125</w:t>
      </w:r>
      <w:proofErr w:type="gramStart"/>
      <w:r w:rsidRPr="00A7606F">
        <w:rPr>
          <w:rFonts w:ascii="Times New Roman" w:hAnsi="Times New Roman" w:cs="Times New Roman"/>
        </w:rPr>
        <w:t>AA(</w:t>
      </w:r>
      <w:proofErr w:type="gramEnd"/>
      <w:r w:rsidRPr="00A7606F">
        <w:rPr>
          <w:rFonts w:ascii="Times New Roman" w:hAnsi="Times New Roman" w:cs="Times New Roman"/>
        </w:rPr>
        <w:t>3) of the Act.</w:t>
      </w:r>
    </w:p>
    <w:p w14:paraId="44AD33BB" w14:textId="7CBE66EA" w:rsidR="00A7606F" w:rsidRPr="00A7606F" w:rsidRDefault="00A7606F" w:rsidP="00A7606F">
      <w:pPr>
        <w:rPr>
          <w:rFonts w:ascii="Times New Roman" w:hAnsi="Times New Roman" w:cs="Times New Roman"/>
        </w:rPr>
      </w:pPr>
      <w:r w:rsidRPr="00A7606F">
        <w:rPr>
          <w:rFonts w:ascii="Times New Roman" w:hAnsi="Times New Roman" w:cs="Times New Roman"/>
        </w:rPr>
        <w:t xml:space="preserve">The ACMA received </w:t>
      </w:r>
      <w:r w:rsidR="00537F66">
        <w:rPr>
          <w:rFonts w:ascii="Times New Roman" w:hAnsi="Times New Roman" w:cs="Times New Roman"/>
        </w:rPr>
        <w:t>7</w:t>
      </w:r>
      <w:r w:rsidRPr="00A7606F">
        <w:rPr>
          <w:rFonts w:ascii="Times New Roman" w:hAnsi="Times New Roman" w:cs="Times New Roman"/>
        </w:rPr>
        <w:t xml:space="preserve"> submissions from industry, government and consumer advocacy groups including the ACCC, the TIO and ACCAN. The feedback was generally supportive of the amendments proposed by the ACMA or was supportive of the policy agenda.</w:t>
      </w:r>
    </w:p>
    <w:p w14:paraId="2FFF1E51" w14:textId="5272A8BA" w:rsidR="00B1179E" w:rsidRDefault="00B1179E" w:rsidP="00B1179E">
      <w:pPr>
        <w:rPr>
          <w:rFonts w:ascii="Times New Roman" w:hAnsi="Times New Roman" w:cs="Times New Roman"/>
        </w:rPr>
      </w:pPr>
      <w:r>
        <w:rPr>
          <w:rFonts w:ascii="Times New Roman" w:hAnsi="Times New Roman" w:cs="Times New Roman"/>
        </w:rPr>
        <w:lastRenderedPageBreak/>
        <w:t xml:space="preserve">Below is a summary of </w:t>
      </w:r>
      <w:r w:rsidRPr="005016FC">
        <w:rPr>
          <w:rFonts w:ascii="Times New Roman" w:hAnsi="Times New Roman" w:cs="Times New Roman"/>
        </w:rPr>
        <w:t>c</w:t>
      </w:r>
      <w:r>
        <w:rPr>
          <w:rFonts w:ascii="Times New Roman" w:hAnsi="Times New Roman" w:cs="Times New Roman"/>
        </w:rPr>
        <w:t xml:space="preserve">omments received during </w:t>
      </w:r>
      <w:r w:rsidR="00092CF8">
        <w:rPr>
          <w:rFonts w:ascii="Times New Roman" w:hAnsi="Times New Roman" w:cs="Times New Roman"/>
        </w:rPr>
        <w:t xml:space="preserve">that further round of </w:t>
      </w:r>
      <w:r>
        <w:rPr>
          <w:rFonts w:ascii="Times New Roman" w:hAnsi="Times New Roman" w:cs="Times New Roman"/>
        </w:rPr>
        <w:t>consultation</w:t>
      </w:r>
      <w:r w:rsidRPr="005016FC">
        <w:rPr>
          <w:rFonts w:ascii="Times New Roman" w:hAnsi="Times New Roman" w:cs="Times New Roman"/>
        </w:rPr>
        <w:t xml:space="preserve">: </w:t>
      </w:r>
    </w:p>
    <w:p w14:paraId="6CA458B6" w14:textId="422BBF9F" w:rsidR="008A644B" w:rsidRDefault="008C08AB" w:rsidP="008C08AB">
      <w:pPr>
        <w:pStyle w:val="ListParagraph"/>
        <w:numPr>
          <w:ilvl w:val="0"/>
          <w:numId w:val="10"/>
        </w:numPr>
        <w:rPr>
          <w:rFonts w:ascii="Times New Roman" w:hAnsi="Times New Roman" w:cs="Times New Roman"/>
        </w:rPr>
      </w:pPr>
      <w:r>
        <w:rPr>
          <w:rFonts w:ascii="Times New Roman" w:hAnsi="Times New Roman" w:cs="Times New Roman"/>
        </w:rPr>
        <w:t xml:space="preserve">Communications Alliance and Optus expressed </w:t>
      </w:r>
      <w:r w:rsidR="00792D12">
        <w:rPr>
          <w:rFonts w:ascii="Times New Roman" w:hAnsi="Times New Roman" w:cs="Times New Roman"/>
        </w:rPr>
        <w:t xml:space="preserve">some </w:t>
      </w:r>
      <w:r>
        <w:rPr>
          <w:rFonts w:ascii="Times New Roman" w:hAnsi="Times New Roman" w:cs="Times New Roman"/>
        </w:rPr>
        <w:t>concerns around the interpretation</w:t>
      </w:r>
      <w:r w:rsidR="00EC1B30">
        <w:rPr>
          <w:rFonts w:ascii="Times New Roman" w:hAnsi="Times New Roman" w:cs="Times New Roman"/>
        </w:rPr>
        <w:t xml:space="preserve"> </w:t>
      </w:r>
      <w:r>
        <w:rPr>
          <w:rFonts w:ascii="Times New Roman" w:hAnsi="Times New Roman" w:cs="Times New Roman"/>
        </w:rPr>
        <w:t xml:space="preserve">of </w:t>
      </w:r>
      <w:r w:rsidR="00EC1B30">
        <w:rPr>
          <w:rFonts w:ascii="Times New Roman" w:hAnsi="Times New Roman" w:cs="Times New Roman"/>
        </w:rPr>
        <w:t xml:space="preserve">section 11 </w:t>
      </w:r>
      <w:r w:rsidR="00A7130E">
        <w:rPr>
          <w:rFonts w:ascii="Times New Roman" w:hAnsi="Times New Roman" w:cs="Times New Roman"/>
        </w:rPr>
        <w:t xml:space="preserve">and how </w:t>
      </w:r>
      <w:r w:rsidR="0062446D">
        <w:rPr>
          <w:rFonts w:ascii="Times New Roman" w:hAnsi="Times New Roman" w:cs="Times New Roman"/>
        </w:rPr>
        <w:t>it</w:t>
      </w:r>
      <w:r w:rsidR="00A7130E">
        <w:rPr>
          <w:rFonts w:ascii="Times New Roman" w:hAnsi="Times New Roman" w:cs="Times New Roman"/>
        </w:rPr>
        <w:t xml:space="preserve"> interact</w:t>
      </w:r>
      <w:r w:rsidR="0062446D">
        <w:rPr>
          <w:rFonts w:ascii="Times New Roman" w:hAnsi="Times New Roman" w:cs="Times New Roman"/>
        </w:rPr>
        <w:t>s</w:t>
      </w:r>
      <w:r w:rsidR="00A7130E">
        <w:rPr>
          <w:rFonts w:ascii="Times New Roman" w:hAnsi="Times New Roman" w:cs="Times New Roman"/>
        </w:rPr>
        <w:t xml:space="preserve"> with sections 8 and 9 of the Service Migration Determination</w:t>
      </w:r>
      <w:r w:rsidR="0082427D">
        <w:rPr>
          <w:rFonts w:ascii="Times New Roman" w:hAnsi="Times New Roman" w:cs="Times New Roman"/>
        </w:rPr>
        <w:t>.  H</w:t>
      </w:r>
      <w:r w:rsidR="00EC1B30">
        <w:rPr>
          <w:rFonts w:ascii="Times New Roman" w:hAnsi="Times New Roman" w:cs="Times New Roman"/>
        </w:rPr>
        <w:t>owever</w:t>
      </w:r>
      <w:r w:rsidR="00891F31">
        <w:rPr>
          <w:rFonts w:ascii="Times New Roman" w:hAnsi="Times New Roman" w:cs="Times New Roman"/>
        </w:rPr>
        <w:t>,</w:t>
      </w:r>
      <w:r w:rsidR="00EC1B30">
        <w:rPr>
          <w:rFonts w:ascii="Times New Roman" w:hAnsi="Times New Roman" w:cs="Times New Roman"/>
        </w:rPr>
        <w:t xml:space="preserve"> they agreed with the policy intention around providing a legacy service to a customer in circumstances where they had entered into a contract for the supply of an NBN service and subsequently their legacy service was disconnected prior to the migration being attempted.</w:t>
      </w:r>
    </w:p>
    <w:p w14:paraId="6C49CF08" w14:textId="43B57196" w:rsidR="008A644B" w:rsidRPr="00C05CB4" w:rsidRDefault="008A644B" w:rsidP="008C08AB">
      <w:pPr>
        <w:pStyle w:val="ListParagraph"/>
        <w:numPr>
          <w:ilvl w:val="0"/>
          <w:numId w:val="10"/>
        </w:numPr>
        <w:rPr>
          <w:rFonts w:ascii="Times New Roman" w:hAnsi="Times New Roman" w:cs="Times New Roman"/>
        </w:rPr>
      </w:pPr>
      <w:r w:rsidRPr="00C05CB4">
        <w:rPr>
          <w:rFonts w:ascii="Times New Roman" w:hAnsi="Times New Roman" w:cs="Times New Roman"/>
        </w:rPr>
        <w:t>Submissions were divided in relation to the requirement under section 23 to prepare a remedial plan or technical audit in circumstances where there has been an unreasonable delay in the supply of an operational NBN service:</w:t>
      </w:r>
    </w:p>
    <w:p w14:paraId="6F3BF556" w14:textId="3D0CCD26" w:rsidR="008A644B" w:rsidRPr="00C05CB4" w:rsidRDefault="008A644B" w:rsidP="008A644B">
      <w:pPr>
        <w:pStyle w:val="ListParagraph"/>
        <w:numPr>
          <w:ilvl w:val="1"/>
          <w:numId w:val="10"/>
        </w:numPr>
        <w:rPr>
          <w:rFonts w:ascii="Times New Roman" w:hAnsi="Times New Roman" w:cs="Times New Roman"/>
        </w:rPr>
      </w:pPr>
      <w:r w:rsidRPr="00C05CB4">
        <w:rPr>
          <w:rFonts w:ascii="Times New Roman" w:hAnsi="Times New Roman" w:cs="Times New Roman"/>
        </w:rPr>
        <w:t>ACCAN and the TIO were in favour of stricter controls around industry providing remedial plans to customers and requested additional obligations on the information that customers are entitled to from their CSP; whereas</w:t>
      </w:r>
    </w:p>
    <w:p w14:paraId="56069690" w14:textId="4CFD3D73" w:rsidR="00A7606F" w:rsidRPr="00C05CB4" w:rsidRDefault="008A644B" w:rsidP="00A7606F">
      <w:pPr>
        <w:pStyle w:val="ListParagraph"/>
        <w:numPr>
          <w:ilvl w:val="1"/>
          <w:numId w:val="10"/>
        </w:numPr>
        <w:rPr>
          <w:rFonts w:ascii="Times New Roman" w:hAnsi="Times New Roman" w:cs="Times New Roman"/>
        </w:rPr>
      </w:pPr>
      <w:r w:rsidRPr="00C05CB4">
        <w:rPr>
          <w:rFonts w:ascii="Times New Roman" w:hAnsi="Times New Roman" w:cs="Times New Roman"/>
        </w:rPr>
        <w:t>Industry welcomed the</w:t>
      </w:r>
      <w:r w:rsidR="004D166B" w:rsidRPr="00C05CB4">
        <w:rPr>
          <w:rFonts w:ascii="Times New Roman" w:hAnsi="Times New Roman" w:cs="Times New Roman"/>
        </w:rPr>
        <w:t xml:space="preserve"> proposed change and in particular the exception to the requirement to provide a remedial plan at 23 working days where th</w:t>
      </w:r>
      <w:r w:rsidR="007D5F94">
        <w:rPr>
          <w:rFonts w:ascii="Times New Roman" w:hAnsi="Times New Roman" w:cs="Times New Roman"/>
        </w:rPr>
        <w:t>e information in th</w:t>
      </w:r>
      <w:r w:rsidR="004D166B" w:rsidRPr="00C05CB4">
        <w:rPr>
          <w:rFonts w:ascii="Times New Roman" w:hAnsi="Times New Roman" w:cs="Times New Roman"/>
        </w:rPr>
        <w:t>at plan had already been provided to the customer at a</w:t>
      </w:r>
      <w:r w:rsidR="00E41E9E" w:rsidRPr="00C05CB4">
        <w:rPr>
          <w:rFonts w:ascii="Times New Roman" w:hAnsi="Times New Roman" w:cs="Times New Roman"/>
        </w:rPr>
        <w:t>n</w:t>
      </w:r>
      <w:r w:rsidR="004D166B" w:rsidRPr="00C05CB4">
        <w:rPr>
          <w:rFonts w:ascii="Times New Roman" w:hAnsi="Times New Roman" w:cs="Times New Roman"/>
        </w:rPr>
        <w:t xml:space="preserve"> earlier date.</w:t>
      </w:r>
      <w:r w:rsidR="00EC1B30" w:rsidRPr="00C05CB4">
        <w:rPr>
          <w:rFonts w:ascii="Times New Roman" w:hAnsi="Times New Roman" w:cs="Times New Roman"/>
        </w:rPr>
        <w:t xml:space="preserve"> </w:t>
      </w:r>
    </w:p>
    <w:p w14:paraId="4A2D761F" w14:textId="77777777" w:rsidR="005E789F" w:rsidRDefault="005E789F" w:rsidP="005E789F">
      <w:pPr>
        <w:spacing w:before="240"/>
        <w:rPr>
          <w:rFonts w:ascii="Times New Roman" w:hAnsi="Times New Roman" w:cs="Times New Roman"/>
          <w:b/>
        </w:rPr>
      </w:pPr>
      <w:r>
        <w:rPr>
          <w:rFonts w:ascii="Times New Roman" w:hAnsi="Times New Roman" w:cs="Times New Roman"/>
          <w:b/>
        </w:rPr>
        <w:t>Regulatory impact assessment</w:t>
      </w:r>
    </w:p>
    <w:p w14:paraId="4D196125" w14:textId="77777777" w:rsidR="005E789F" w:rsidRDefault="005E789F" w:rsidP="005E789F">
      <w:pPr>
        <w:rPr>
          <w:rFonts w:ascii="Times New Roman" w:hAnsi="Times New Roman" w:cs="Times New Roman"/>
        </w:rPr>
      </w:pPr>
      <w:r w:rsidRPr="00ED655C">
        <w:rPr>
          <w:rFonts w:ascii="Times New Roman" w:hAnsi="Times New Roman" w:cs="Times New Roman"/>
        </w:rPr>
        <w:t>A preliminary assessment of the proposal to make the instrument was conducted by the Office of Best Practice Regulation (</w:t>
      </w:r>
      <w:r w:rsidRPr="00ED655C">
        <w:rPr>
          <w:rFonts w:ascii="Times New Roman" w:hAnsi="Times New Roman" w:cs="Times New Roman"/>
          <w:b/>
          <w:bCs/>
        </w:rPr>
        <w:t>OBPR</w:t>
      </w:r>
      <w:r w:rsidRPr="00ED655C">
        <w:rPr>
          <w:rFonts w:ascii="Times New Roman" w:hAnsi="Times New Roman" w:cs="Times New Roman"/>
        </w:rPr>
        <w:t>), based on information provided by the ACMA, for the purposes of determining whether a Regulation Impact Statement (</w:t>
      </w:r>
      <w:r w:rsidRPr="00ED655C">
        <w:rPr>
          <w:rFonts w:ascii="Times New Roman" w:hAnsi="Times New Roman" w:cs="Times New Roman"/>
          <w:b/>
          <w:bCs/>
        </w:rPr>
        <w:t>RIS</w:t>
      </w:r>
      <w:r w:rsidRPr="00ED655C">
        <w:rPr>
          <w:rFonts w:ascii="Times New Roman" w:hAnsi="Times New Roman" w:cs="Times New Roman"/>
        </w:rPr>
        <w:t>) would be required. OBPR advised that a RIS would not be required because the instrument was not expected to have more than a minor regulatory impact on businesses, community organisations or individuals (OBPR reference number 25870).</w:t>
      </w:r>
    </w:p>
    <w:p w14:paraId="61B0B922" w14:textId="77777777" w:rsidR="005E789F" w:rsidRDefault="005E789F" w:rsidP="005E789F">
      <w:pPr>
        <w:rPr>
          <w:rFonts w:ascii="Times New Roman" w:hAnsi="Times New Roman" w:cs="Times New Roman"/>
          <w:b/>
        </w:rPr>
      </w:pPr>
      <w:r>
        <w:rPr>
          <w:rFonts w:ascii="Times New Roman" w:hAnsi="Times New Roman" w:cs="Times New Roman"/>
          <w:b/>
        </w:rPr>
        <w:t>Statement of compatibility with human rights</w:t>
      </w:r>
    </w:p>
    <w:p w14:paraId="53BB2E62" w14:textId="479FBB6E" w:rsidR="005E789F" w:rsidRDefault="005E789F" w:rsidP="005E789F">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 </w:t>
      </w:r>
      <w:r w:rsidR="00042049">
        <w:rPr>
          <w:rFonts w:ascii="Times New Roman" w:hAnsi="Times New Roman" w:cs="Times New Roman"/>
        </w:rPr>
        <w:t xml:space="preserve">with human rights </w:t>
      </w:r>
      <w:r>
        <w:rPr>
          <w:rFonts w:ascii="Times New Roman" w:hAnsi="Times New Roman" w:cs="Times New Roman"/>
        </w:rPr>
        <w:t xml:space="preserve">to be prepared in respect of that legislative instrument.  </w:t>
      </w:r>
    </w:p>
    <w:p w14:paraId="4EEF480F" w14:textId="77777777" w:rsidR="005E789F" w:rsidRDefault="005E789F" w:rsidP="005E789F">
      <w:pPr>
        <w:rPr>
          <w:rFonts w:ascii="Times New Roman" w:hAnsi="Times New Roman" w:cs="Times New Roman"/>
        </w:rPr>
      </w:pPr>
      <w:r>
        <w:rPr>
          <w:rFonts w:ascii="Times New Roman" w:hAnsi="Times New Roman" w:cs="Times New Roman"/>
        </w:rPr>
        <w:t xml:space="preserve">The statement of compatibility set out in </w:t>
      </w:r>
      <w:r w:rsidRPr="00D21A20">
        <w:rPr>
          <w:rFonts w:ascii="Times New Roman" w:hAnsi="Times New Roman" w:cs="Times New Roman"/>
          <w:b/>
          <w:bCs/>
        </w:rPr>
        <w:t>Attachment B</w:t>
      </w:r>
      <w:r>
        <w:rPr>
          <w:rFonts w:ascii="Times New Roman" w:hAnsi="Times New Roman" w:cs="Times New Roman"/>
        </w:rPr>
        <w:t xml:space="preserve"> has been prepared to meet that requirement.</w:t>
      </w:r>
    </w:p>
    <w:p w14:paraId="2C135EA3" w14:textId="1896534F" w:rsidR="00E540F4" w:rsidRDefault="00E540F4">
      <w:pPr>
        <w:spacing w:line="259" w:lineRule="auto"/>
      </w:pPr>
      <w:r>
        <w:br w:type="page"/>
      </w:r>
    </w:p>
    <w:p w14:paraId="51629381" w14:textId="77777777" w:rsidR="00E540F4" w:rsidRDefault="00E540F4" w:rsidP="00E540F4">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4DC1A91C" w14:textId="67EBC927" w:rsidR="00E540F4" w:rsidRPr="006D633A" w:rsidRDefault="00E540F4" w:rsidP="00E540F4">
      <w:pPr>
        <w:shd w:val="clear" w:color="auto" w:fill="FFFFFF"/>
        <w:spacing w:before="120" w:after="0" w:line="235" w:lineRule="atLeast"/>
        <w:jc w:val="center"/>
        <w:rPr>
          <w:rFonts w:ascii="Calibri" w:eastAsia="Times New Roman" w:hAnsi="Calibri" w:cs="Calibri"/>
          <w:color w:val="000000"/>
          <w:sz w:val="28"/>
          <w:szCs w:val="28"/>
          <w:lang w:eastAsia="en-AU"/>
        </w:rPr>
      </w:pPr>
      <w:r w:rsidRPr="00E25027">
        <w:rPr>
          <w:rFonts w:ascii="Times New Roman" w:hAnsi="Times New Roman" w:cs="Times New Roman"/>
          <w:b/>
          <w:sz w:val="28"/>
          <w:szCs w:val="28"/>
        </w:rPr>
        <w:t xml:space="preserve">Notes to the </w:t>
      </w:r>
      <w:r w:rsidRPr="006D633A">
        <w:rPr>
          <w:rFonts w:ascii="Times New Roman" w:eastAsia="Times New Roman" w:hAnsi="Times New Roman" w:cs="Times New Roman"/>
          <w:b/>
          <w:bCs/>
          <w:i/>
          <w:iCs/>
          <w:color w:val="000000"/>
          <w:sz w:val="28"/>
          <w:szCs w:val="28"/>
          <w:lang w:eastAsia="en-AU"/>
        </w:rPr>
        <w:t xml:space="preserve">Telecommunications (NBN </w:t>
      </w:r>
      <w:r>
        <w:rPr>
          <w:rFonts w:ascii="Times New Roman" w:eastAsia="Times New Roman" w:hAnsi="Times New Roman" w:cs="Times New Roman"/>
          <w:b/>
          <w:bCs/>
          <w:i/>
          <w:iCs/>
          <w:color w:val="000000"/>
          <w:sz w:val="28"/>
          <w:szCs w:val="28"/>
          <w:lang w:eastAsia="en-AU"/>
        </w:rPr>
        <w:t>Continuity of Service</w:t>
      </w:r>
      <w:r w:rsidRPr="006D633A">
        <w:rPr>
          <w:rFonts w:ascii="Times New Roman" w:eastAsia="Times New Roman" w:hAnsi="Times New Roman" w:cs="Times New Roman"/>
          <w:b/>
          <w:bCs/>
          <w:i/>
          <w:iCs/>
          <w:color w:val="000000"/>
          <w:sz w:val="28"/>
          <w:szCs w:val="28"/>
          <w:lang w:eastAsia="en-AU"/>
        </w:rPr>
        <w:t xml:space="preserve">) </w:t>
      </w:r>
      <w:r>
        <w:rPr>
          <w:rFonts w:ascii="Times New Roman" w:eastAsia="Times New Roman" w:hAnsi="Times New Roman" w:cs="Times New Roman"/>
          <w:b/>
          <w:bCs/>
          <w:i/>
          <w:iCs/>
          <w:color w:val="000000"/>
          <w:sz w:val="28"/>
          <w:szCs w:val="28"/>
          <w:lang w:eastAsia="en-AU"/>
        </w:rPr>
        <w:t xml:space="preserve">Industry Standard </w:t>
      </w:r>
      <w:r w:rsidRPr="00E25027">
        <w:rPr>
          <w:rFonts w:ascii="Times New Roman" w:eastAsia="Times New Roman" w:hAnsi="Times New Roman" w:cs="Times New Roman"/>
          <w:b/>
          <w:bCs/>
          <w:i/>
          <w:iCs/>
          <w:color w:val="000000"/>
          <w:sz w:val="28"/>
          <w:szCs w:val="28"/>
          <w:lang w:eastAsia="en-AU"/>
        </w:rPr>
        <w:t>Variation</w:t>
      </w:r>
      <w:r w:rsidRPr="006D633A">
        <w:rPr>
          <w:rFonts w:ascii="Times New Roman" w:eastAsia="Times New Roman" w:hAnsi="Times New Roman" w:cs="Times New Roman"/>
          <w:b/>
          <w:bCs/>
          <w:i/>
          <w:iCs/>
          <w:color w:val="000000"/>
          <w:sz w:val="28"/>
          <w:szCs w:val="28"/>
          <w:lang w:eastAsia="en-AU"/>
        </w:rPr>
        <w:t xml:space="preserve"> 20</w:t>
      </w:r>
      <w:r w:rsidRPr="00E25027">
        <w:rPr>
          <w:rFonts w:ascii="Times New Roman" w:eastAsia="Times New Roman" w:hAnsi="Times New Roman" w:cs="Times New Roman"/>
          <w:b/>
          <w:bCs/>
          <w:i/>
          <w:iCs/>
          <w:color w:val="000000"/>
          <w:sz w:val="28"/>
          <w:szCs w:val="28"/>
          <w:lang w:eastAsia="en-AU"/>
        </w:rPr>
        <w:t>20 (No. 1)</w:t>
      </w:r>
    </w:p>
    <w:p w14:paraId="19816A92" w14:textId="77777777" w:rsidR="00E540F4" w:rsidRDefault="00E540F4" w:rsidP="00E540F4">
      <w:pPr>
        <w:jc w:val="center"/>
        <w:rPr>
          <w:rFonts w:ascii="Times New Roman" w:hAnsi="Times New Roman" w:cs="Times New Roman"/>
          <w:b/>
          <w:sz w:val="28"/>
          <w:szCs w:val="28"/>
        </w:rPr>
      </w:pPr>
    </w:p>
    <w:p w14:paraId="4AFA54F1" w14:textId="2B21AE60" w:rsidR="00500B0E" w:rsidRDefault="00500B0E" w:rsidP="00500B0E">
      <w:pPr>
        <w:spacing w:before="280"/>
        <w:rPr>
          <w:rFonts w:ascii="Times New Roman" w:hAnsi="Times New Roman" w:cs="Times New Roman"/>
          <w:b/>
        </w:rPr>
      </w:pPr>
    </w:p>
    <w:p w14:paraId="00998E74" w14:textId="77777777" w:rsidR="00500B0E" w:rsidRDefault="00500B0E" w:rsidP="00500B0E">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1DFAB01D" w14:textId="31F958DA" w:rsidR="00500B0E" w:rsidRDefault="00500B0E" w:rsidP="00500B0E">
      <w:pPr>
        <w:rPr>
          <w:rFonts w:ascii="Times New Roman" w:hAnsi="Times New Roman" w:cs="Times New Roman"/>
        </w:rPr>
      </w:pPr>
      <w:r>
        <w:rPr>
          <w:rFonts w:ascii="Times New Roman" w:hAnsi="Times New Roman" w:cs="Times New Roman"/>
        </w:rPr>
        <w:t xml:space="preserve">This section provides for the instrument to be cited as the </w:t>
      </w:r>
      <w:r w:rsidRPr="00B17F8B">
        <w:rPr>
          <w:rFonts w:ascii="Times New Roman" w:hAnsi="Times New Roman" w:cs="Times New Roman"/>
          <w:i/>
          <w:iCs/>
        </w:rPr>
        <w:t>Telecommunications</w:t>
      </w:r>
      <w:r>
        <w:rPr>
          <w:rFonts w:ascii="Times New Roman" w:hAnsi="Times New Roman" w:cs="Times New Roman"/>
        </w:rPr>
        <w:t xml:space="preserve"> </w:t>
      </w:r>
      <w:r w:rsidRPr="00407600">
        <w:rPr>
          <w:rFonts w:ascii="Times New Roman" w:hAnsi="Times New Roman"/>
          <w:i/>
          <w:iCs/>
        </w:rPr>
        <w:t>(</w:t>
      </w:r>
      <w:r>
        <w:rPr>
          <w:rFonts w:ascii="Times New Roman" w:hAnsi="Times New Roman"/>
          <w:i/>
          <w:iCs/>
        </w:rPr>
        <w:t>NBN Continuity of Service</w:t>
      </w:r>
      <w:r w:rsidRPr="00407600">
        <w:rPr>
          <w:rFonts w:ascii="Times New Roman" w:hAnsi="Times New Roman"/>
          <w:i/>
          <w:iCs/>
        </w:rPr>
        <w:t xml:space="preserve">) </w:t>
      </w:r>
      <w:r>
        <w:rPr>
          <w:rFonts w:ascii="Times New Roman" w:hAnsi="Times New Roman"/>
          <w:i/>
          <w:iCs/>
        </w:rPr>
        <w:t xml:space="preserve">Industry Standard </w:t>
      </w:r>
      <w:r w:rsidRPr="00407600">
        <w:rPr>
          <w:rFonts w:ascii="Times New Roman" w:hAnsi="Times New Roman"/>
          <w:i/>
          <w:iCs/>
        </w:rPr>
        <w:t>Variation 2020 (No.1)</w:t>
      </w:r>
      <w:r w:rsidRPr="00285492" w:rsidDel="00285492">
        <w:rPr>
          <w:rFonts w:ascii="Times New Roman" w:hAnsi="Times New Roman" w:cs="Times New Roman"/>
        </w:rPr>
        <w:t xml:space="preserve"> </w:t>
      </w:r>
      <w:r>
        <w:rPr>
          <w:rFonts w:ascii="Times New Roman" w:hAnsi="Times New Roman" w:cs="Times New Roman"/>
        </w:rPr>
        <w:t xml:space="preserve">(the </w:t>
      </w:r>
      <w:r w:rsidRPr="0066624C">
        <w:rPr>
          <w:rFonts w:ascii="Times New Roman" w:hAnsi="Times New Roman" w:cs="Times New Roman"/>
          <w:b/>
          <w:bCs/>
        </w:rPr>
        <w:t>instrument</w:t>
      </w:r>
      <w:r>
        <w:rPr>
          <w:rFonts w:ascii="Times New Roman" w:hAnsi="Times New Roman" w:cs="Times New Roman"/>
        </w:rPr>
        <w:t>).</w:t>
      </w:r>
    </w:p>
    <w:p w14:paraId="35431650" w14:textId="77777777" w:rsidR="00500B0E" w:rsidRDefault="00500B0E" w:rsidP="00500B0E">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69BBCEDE" w14:textId="00D1179F" w:rsidR="00500B0E" w:rsidRDefault="00500B0E" w:rsidP="00500B0E">
      <w:pPr>
        <w:rPr>
          <w:rFonts w:ascii="Times New Roman" w:hAnsi="Times New Roman" w:cs="Times New Roman"/>
        </w:rPr>
      </w:pPr>
      <w:r>
        <w:rPr>
          <w:rFonts w:ascii="Times New Roman" w:hAnsi="Times New Roman" w:cs="Times New Roman"/>
        </w:rPr>
        <w:t xml:space="preserve">This section provides for the instrument to commence </w:t>
      </w:r>
      <w:r w:rsidRPr="00BF2457">
        <w:rPr>
          <w:rFonts w:ascii="Times New Roman" w:hAnsi="Times New Roman" w:cs="Times New Roman"/>
        </w:rPr>
        <w:t xml:space="preserve">on </w:t>
      </w:r>
      <w:r w:rsidR="007C2C88">
        <w:rPr>
          <w:rFonts w:ascii="Times New Roman" w:hAnsi="Times New Roman" w:cs="Times New Roman"/>
        </w:rPr>
        <w:t>14 December 2020</w:t>
      </w:r>
      <w:r w:rsidRPr="00BF2457">
        <w:rPr>
          <w:rFonts w:ascii="Times New Roman" w:hAnsi="Times New Roman" w:cs="Times New Roman"/>
        </w:rPr>
        <w:t>.</w:t>
      </w:r>
      <w:r>
        <w:rPr>
          <w:rFonts w:ascii="Times New Roman" w:hAnsi="Times New Roman" w:cs="Times New Roman"/>
        </w:rPr>
        <w:t xml:space="preserve">  </w:t>
      </w:r>
    </w:p>
    <w:p w14:paraId="64FC0E00" w14:textId="77777777" w:rsidR="00500B0E" w:rsidRDefault="00500B0E" w:rsidP="00500B0E">
      <w:pPr>
        <w:rPr>
          <w:rFonts w:ascii="Times New Roman" w:hAnsi="Times New Roman" w:cs="Times New Roman"/>
        </w:rPr>
      </w:pPr>
      <w:r>
        <w:rPr>
          <w:rFonts w:ascii="Times New Roman" w:hAnsi="Times New Roman" w:cs="Times New Roman"/>
        </w:rPr>
        <w:t xml:space="preserve">The Federal Register of Legislation may be accessed free of charge at </w:t>
      </w:r>
      <w:hyperlink r:id="rId14" w:history="1">
        <w:r>
          <w:rPr>
            <w:rStyle w:val="Hyperlink"/>
            <w:rFonts w:ascii="Times New Roman" w:hAnsi="Times New Roman" w:cs="Times New Roman"/>
          </w:rPr>
          <w:t>www.legislation.gov.au</w:t>
        </w:r>
      </w:hyperlink>
      <w:r>
        <w:rPr>
          <w:rFonts w:ascii="Times New Roman" w:hAnsi="Times New Roman" w:cs="Times New Roman"/>
        </w:rPr>
        <w:t>.</w:t>
      </w:r>
    </w:p>
    <w:p w14:paraId="34B1F503" w14:textId="77777777" w:rsidR="00500B0E" w:rsidRDefault="00500B0E" w:rsidP="00500B0E">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22217BF5" w14:textId="0BA713E4" w:rsidR="00DA3293" w:rsidRDefault="00DA3293" w:rsidP="00DA3293">
      <w:pPr>
        <w:rPr>
          <w:rFonts w:ascii="Times New Roman" w:hAnsi="Times New Roman" w:cs="Times New Roman"/>
        </w:rPr>
      </w:pPr>
      <w:r>
        <w:rPr>
          <w:rFonts w:ascii="Times New Roman" w:hAnsi="Times New Roman" w:cs="Times New Roman"/>
        </w:rPr>
        <w:t xml:space="preserve">This section provides that the </w:t>
      </w:r>
      <w:r w:rsidR="00796DE5">
        <w:rPr>
          <w:rFonts w:ascii="Times New Roman" w:hAnsi="Times New Roman" w:cs="Times New Roman"/>
        </w:rPr>
        <w:t xml:space="preserve">instrument </w:t>
      </w:r>
      <w:r>
        <w:rPr>
          <w:rFonts w:ascii="Times New Roman" w:hAnsi="Times New Roman" w:cs="Times New Roman"/>
        </w:rPr>
        <w:t>is made under subsection 125</w:t>
      </w:r>
      <w:proofErr w:type="gramStart"/>
      <w:r>
        <w:rPr>
          <w:rFonts w:ascii="Times New Roman" w:hAnsi="Times New Roman" w:cs="Times New Roman"/>
        </w:rPr>
        <w:t>AA(</w:t>
      </w:r>
      <w:proofErr w:type="gramEnd"/>
      <w:r>
        <w:rPr>
          <w:rFonts w:ascii="Times New Roman" w:hAnsi="Times New Roman" w:cs="Times New Roman"/>
        </w:rPr>
        <w:t xml:space="preserve">1) of the </w:t>
      </w:r>
      <w:r>
        <w:rPr>
          <w:rFonts w:ascii="Times New Roman" w:hAnsi="Times New Roman" w:cs="Times New Roman"/>
          <w:i/>
        </w:rPr>
        <w:t>Telecommunications Act 1997</w:t>
      </w:r>
      <w:r>
        <w:rPr>
          <w:rFonts w:ascii="Times New Roman" w:hAnsi="Times New Roman" w:cs="Times New Roman"/>
        </w:rPr>
        <w:t xml:space="preserve"> (the</w:t>
      </w:r>
      <w:r>
        <w:rPr>
          <w:rFonts w:ascii="Times New Roman" w:hAnsi="Times New Roman" w:cs="Times New Roman"/>
          <w:b/>
        </w:rPr>
        <w:t xml:space="preserve"> Act</w:t>
      </w:r>
      <w:r>
        <w:rPr>
          <w:rFonts w:ascii="Times New Roman" w:hAnsi="Times New Roman" w:cs="Times New Roman"/>
        </w:rPr>
        <w:t xml:space="preserve">) and in accordance with sections 5 and </w:t>
      </w:r>
      <w:r w:rsidR="00B4406E">
        <w:rPr>
          <w:rFonts w:ascii="Times New Roman" w:hAnsi="Times New Roman" w:cs="Times New Roman"/>
        </w:rPr>
        <w:t>7</w:t>
      </w:r>
      <w:r>
        <w:rPr>
          <w:rFonts w:ascii="Times New Roman" w:hAnsi="Times New Roman" w:cs="Times New Roman"/>
        </w:rPr>
        <w:t xml:space="preserve"> of the </w:t>
      </w:r>
      <w:r>
        <w:rPr>
          <w:rFonts w:ascii="Times New Roman" w:hAnsi="Times New Roman" w:cs="Times New Roman"/>
          <w:i/>
        </w:rPr>
        <w:t>Telecommunications (NBN Consumer Experience Industry Standard) Direction 2017</w:t>
      </w:r>
      <w:r>
        <w:rPr>
          <w:rFonts w:ascii="Times New Roman" w:hAnsi="Times New Roman" w:cs="Times New Roman"/>
        </w:rPr>
        <w:t>.</w:t>
      </w:r>
    </w:p>
    <w:p w14:paraId="70FF2223" w14:textId="42940D46" w:rsidR="00500B0E" w:rsidRDefault="00500B0E" w:rsidP="00500B0E">
      <w:pPr>
        <w:rPr>
          <w:rFonts w:ascii="Times New Roman" w:hAnsi="Times New Roman" w:cs="Times New Roman"/>
          <w:b/>
          <w:i/>
        </w:rPr>
      </w:pPr>
      <w:r>
        <w:rPr>
          <w:rFonts w:ascii="Times New Roman" w:hAnsi="Times New Roman" w:cs="Times New Roman"/>
          <w:b/>
        </w:rPr>
        <w:t xml:space="preserve">Section 4 </w:t>
      </w:r>
      <w:r>
        <w:rPr>
          <w:rFonts w:ascii="Times New Roman" w:hAnsi="Times New Roman" w:cs="Times New Roman"/>
          <w:b/>
        </w:rPr>
        <w:tab/>
      </w:r>
      <w:r>
        <w:rPr>
          <w:rFonts w:ascii="Times New Roman" w:hAnsi="Times New Roman" w:cs="Times New Roman"/>
          <w:b/>
          <w:iCs/>
        </w:rPr>
        <w:t>Variation</w:t>
      </w:r>
      <w:r w:rsidR="001F3509">
        <w:rPr>
          <w:rFonts w:ascii="Times New Roman" w:hAnsi="Times New Roman" w:cs="Times New Roman"/>
          <w:b/>
          <w:iCs/>
        </w:rPr>
        <w:t>s</w:t>
      </w:r>
      <w:r>
        <w:rPr>
          <w:rFonts w:ascii="Times New Roman" w:hAnsi="Times New Roman" w:cs="Times New Roman"/>
          <w:b/>
          <w:iCs/>
        </w:rPr>
        <w:t xml:space="preserve"> </w:t>
      </w:r>
      <w:r>
        <w:rPr>
          <w:rFonts w:ascii="Times New Roman" w:hAnsi="Times New Roman" w:cs="Times New Roman"/>
          <w:b/>
          <w:i/>
        </w:rPr>
        <w:t xml:space="preserve"> </w:t>
      </w:r>
    </w:p>
    <w:p w14:paraId="0D6285EE" w14:textId="6E24C099" w:rsidR="00132F09" w:rsidRDefault="00132F09" w:rsidP="00132F09">
      <w:pPr>
        <w:rPr>
          <w:rFonts w:ascii="Times New Roman" w:hAnsi="Times New Roman" w:cs="Times New Roman"/>
          <w:iCs/>
        </w:rPr>
      </w:pPr>
      <w:r>
        <w:rPr>
          <w:rFonts w:ascii="Times New Roman" w:hAnsi="Times New Roman" w:cs="Times New Roman"/>
        </w:rPr>
        <w:t xml:space="preserve">This section provides that the </w:t>
      </w:r>
      <w:r>
        <w:rPr>
          <w:rFonts w:ascii="Times New Roman" w:hAnsi="Times New Roman" w:cs="Times New Roman"/>
          <w:i/>
        </w:rPr>
        <w:t xml:space="preserve">Telecommunications (NBN Continuity of Service) Industry Standard </w:t>
      </w:r>
      <w:r w:rsidR="00935069">
        <w:rPr>
          <w:rFonts w:ascii="Times New Roman" w:hAnsi="Times New Roman" w:cs="Times New Roman"/>
          <w:i/>
        </w:rPr>
        <w:t xml:space="preserve">2018 </w:t>
      </w:r>
      <w:r w:rsidR="00935069" w:rsidRPr="003729EA">
        <w:rPr>
          <w:rFonts w:ascii="Times New Roman" w:hAnsi="Times New Roman" w:cs="Times New Roman"/>
          <w:iCs/>
        </w:rPr>
        <w:t>(</w:t>
      </w:r>
      <w:r w:rsidR="00935069">
        <w:rPr>
          <w:rFonts w:ascii="Times New Roman" w:hAnsi="Times New Roman" w:cs="Times New Roman"/>
          <w:iCs/>
        </w:rPr>
        <w:t xml:space="preserve">the </w:t>
      </w:r>
      <w:r w:rsidR="00935069" w:rsidRPr="003729EA">
        <w:rPr>
          <w:rFonts w:ascii="Times New Roman" w:hAnsi="Times New Roman" w:cs="Times New Roman"/>
          <w:b/>
          <w:bCs/>
          <w:iCs/>
        </w:rPr>
        <w:t>Standard</w:t>
      </w:r>
      <w:r w:rsidR="00935069">
        <w:rPr>
          <w:rFonts w:ascii="Times New Roman" w:hAnsi="Times New Roman" w:cs="Times New Roman"/>
          <w:iCs/>
        </w:rPr>
        <w:t>)</w:t>
      </w:r>
      <w:r>
        <w:rPr>
          <w:rFonts w:ascii="Times New Roman" w:hAnsi="Times New Roman" w:cs="Times New Roman"/>
          <w:i/>
        </w:rPr>
        <w:t xml:space="preserve"> </w:t>
      </w:r>
      <w:r>
        <w:rPr>
          <w:rFonts w:ascii="Times New Roman" w:hAnsi="Times New Roman" w:cs="Times New Roman"/>
        </w:rPr>
        <w:t>is varied in accordance with Schedule 1.</w:t>
      </w:r>
    </w:p>
    <w:p w14:paraId="14D2AAC4" w14:textId="77777777" w:rsidR="00500B0E" w:rsidRPr="00756C95" w:rsidRDefault="00500B0E" w:rsidP="00500B0E">
      <w:pPr>
        <w:rPr>
          <w:rFonts w:ascii="Times New Roman" w:hAnsi="Times New Roman" w:cs="Times New Roman"/>
          <w:b/>
        </w:rPr>
      </w:pPr>
      <w:r w:rsidRPr="00756C95">
        <w:rPr>
          <w:rFonts w:ascii="Times New Roman" w:hAnsi="Times New Roman" w:cs="Times New Roman"/>
          <w:b/>
        </w:rPr>
        <w:t>Schedule 1</w:t>
      </w:r>
    </w:p>
    <w:p w14:paraId="70EDCB76" w14:textId="7681327E" w:rsidR="00500B0E" w:rsidRDefault="00500B0E" w:rsidP="00500B0E">
      <w:pPr>
        <w:rPr>
          <w:rFonts w:ascii="Times New Roman" w:hAnsi="Times New Roman" w:cs="Times New Roman"/>
        </w:rPr>
      </w:pPr>
      <w:r>
        <w:rPr>
          <w:rFonts w:ascii="Times New Roman" w:hAnsi="Times New Roman" w:cs="Times New Roman"/>
        </w:rPr>
        <w:t>This schedule sets out the variations to the</w:t>
      </w:r>
      <w:r w:rsidRPr="00161CEA">
        <w:rPr>
          <w:rFonts w:ascii="Times New Roman" w:hAnsi="Times New Roman" w:cs="Times New Roman"/>
        </w:rPr>
        <w:t xml:space="preserve"> </w:t>
      </w:r>
      <w:r w:rsidR="00212EA9" w:rsidRPr="003729EA">
        <w:rPr>
          <w:rFonts w:ascii="Times New Roman" w:hAnsi="Times New Roman" w:cs="Times New Roman"/>
        </w:rPr>
        <w:t>Standard</w:t>
      </w:r>
      <w:r>
        <w:rPr>
          <w:rFonts w:ascii="Times New Roman" w:hAnsi="Times New Roman" w:cs="Times New Roman"/>
        </w:rPr>
        <w:t>.</w:t>
      </w:r>
    </w:p>
    <w:p w14:paraId="1CB0163E" w14:textId="14BF2952" w:rsidR="006061EF" w:rsidRDefault="00492E8F" w:rsidP="00500B0E">
      <w:pPr>
        <w:rPr>
          <w:rFonts w:ascii="Times New Roman" w:hAnsi="Times New Roman" w:cs="Times New Roman"/>
        </w:rPr>
      </w:pPr>
      <w:r>
        <w:rPr>
          <w:rFonts w:ascii="Times New Roman" w:hAnsi="Times New Roman" w:cs="Times New Roman"/>
          <w:b/>
          <w:bCs/>
        </w:rPr>
        <w:t xml:space="preserve">Item [1] </w:t>
      </w:r>
      <w:r>
        <w:rPr>
          <w:rFonts w:ascii="Times New Roman" w:hAnsi="Times New Roman" w:cs="Times New Roman"/>
        </w:rPr>
        <w:t>varies the definition</w:t>
      </w:r>
      <w:r w:rsidR="00301906">
        <w:rPr>
          <w:rFonts w:ascii="Times New Roman" w:hAnsi="Times New Roman" w:cs="Times New Roman"/>
        </w:rPr>
        <w:t xml:space="preserve">s under section 5 of the </w:t>
      </w:r>
      <w:r w:rsidR="00FD235C">
        <w:rPr>
          <w:rFonts w:ascii="Times New Roman" w:hAnsi="Times New Roman" w:cs="Times New Roman"/>
        </w:rPr>
        <w:t xml:space="preserve">Standard by </w:t>
      </w:r>
      <w:r w:rsidR="00BD44B2">
        <w:rPr>
          <w:rFonts w:ascii="Times New Roman" w:hAnsi="Times New Roman" w:cs="Times New Roman"/>
        </w:rPr>
        <w:t>inserting</w:t>
      </w:r>
      <w:r w:rsidR="00FD235C">
        <w:rPr>
          <w:rFonts w:ascii="Times New Roman" w:hAnsi="Times New Roman" w:cs="Times New Roman"/>
        </w:rPr>
        <w:t xml:space="preserve"> a definition for</w:t>
      </w:r>
      <w:r>
        <w:rPr>
          <w:rFonts w:ascii="Times New Roman" w:hAnsi="Times New Roman" w:cs="Times New Roman"/>
        </w:rPr>
        <w:t xml:space="preserve"> “alternative arrangement”</w:t>
      </w:r>
      <w:r w:rsidR="00410A7F">
        <w:rPr>
          <w:rFonts w:ascii="Times New Roman" w:hAnsi="Times New Roman" w:cs="Times New Roman"/>
        </w:rPr>
        <w:t>.</w:t>
      </w:r>
      <w:r w:rsidR="00FD235C">
        <w:rPr>
          <w:rFonts w:ascii="Times New Roman" w:hAnsi="Times New Roman" w:cs="Times New Roman"/>
        </w:rPr>
        <w:t xml:space="preserve"> The </w:t>
      </w:r>
      <w:r w:rsidR="00BD44B2">
        <w:rPr>
          <w:rFonts w:ascii="Times New Roman" w:hAnsi="Times New Roman" w:cs="Times New Roman"/>
        </w:rPr>
        <w:t xml:space="preserve">definition of alternative arrangement in the instrument </w:t>
      </w:r>
      <w:r w:rsidR="00FD235C" w:rsidRPr="00E54564">
        <w:rPr>
          <w:rFonts w:ascii="Times New Roman" w:hAnsi="Times New Roman" w:cs="Times New Roman"/>
        </w:rPr>
        <w:t>correlate</w:t>
      </w:r>
      <w:r w:rsidR="00BD44B2">
        <w:rPr>
          <w:rFonts w:ascii="Times New Roman" w:hAnsi="Times New Roman" w:cs="Times New Roman"/>
        </w:rPr>
        <w:t>s</w:t>
      </w:r>
      <w:r w:rsidR="00FD235C" w:rsidRPr="00E54564">
        <w:rPr>
          <w:rFonts w:ascii="Times New Roman" w:hAnsi="Times New Roman" w:cs="Times New Roman"/>
        </w:rPr>
        <w:t xml:space="preserve"> with the drafting in the Servi</w:t>
      </w:r>
      <w:r w:rsidR="00FD235C" w:rsidRPr="009826EE">
        <w:rPr>
          <w:rFonts w:ascii="Times New Roman" w:hAnsi="Times New Roman" w:cs="Times New Roman"/>
        </w:rPr>
        <w:t>ce Migration Determinat</w:t>
      </w:r>
      <w:r w:rsidR="00FD235C" w:rsidRPr="00A60218">
        <w:rPr>
          <w:rFonts w:ascii="Times New Roman" w:hAnsi="Times New Roman" w:cs="Times New Roman"/>
        </w:rPr>
        <w:t>ion</w:t>
      </w:r>
      <w:r w:rsidR="00BD44B2">
        <w:rPr>
          <w:rFonts w:ascii="Times New Roman" w:hAnsi="Times New Roman" w:cs="Times New Roman"/>
        </w:rPr>
        <w:t xml:space="preserve"> except that the Service Migration Determination deals with alternative arrangements in the context of the provision of an interim service, whereas, in the instrument, it deals with arrangements in the context of the supply of a legacy service</w:t>
      </w:r>
      <w:r w:rsidR="00BD44B2" w:rsidRPr="003D4CE5">
        <w:rPr>
          <w:rFonts w:ascii="Times New Roman" w:hAnsi="Times New Roman" w:cs="Times New Roman"/>
        </w:rPr>
        <w:t>.</w:t>
      </w:r>
      <w:r w:rsidR="00FD235C">
        <w:rPr>
          <w:rFonts w:ascii="Times New Roman" w:hAnsi="Times New Roman" w:cs="Times New Roman"/>
        </w:rPr>
        <w:t xml:space="preserve"> </w:t>
      </w:r>
      <w:r w:rsidR="003B22B8">
        <w:rPr>
          <w:rFonts w:ascii="Times New Roman" w:hAnsi="Times New Roman" w:cs="Times New Roman"/>
        </w:rPr>
        <w:t>The definition</w:t>
      </w:r>
      <w:r w:rsidR="00F56007">
        <w:rPr>
          <w:rFonts w:ascii="Times New Roman" w:hAnsi="Times New Roman" w:cs="Times New Roman"/>
        </w:rPr>
        <w:t xml:space="preserve"> </w:t>
      </w:r>
      <w:r w:rsidR="00B649D5">
        <w:rPr>
          <w:rFonts w:ascii="Times New Roman" w:hAnsi="Times New Roman" w:cs="Times New Roman"/>
        </w:rPr>
        <w:t xml:space="preserve">includes a list of </w:t>
      </w:r>
      <w:r w:rsidR="00B56B7A">
        <w:rPr>
          <w:rFonts w:ascii="Times New Roman" w:hAnsi="Times New Roman" w:cs="Times New Roman"/>
        </w:rPr>
        <w:t>arrangements</w:t>
      </w:r>
      <w:r w:rsidR="00B649D5">
        <w:rPr>
          <w:rFonts w:ascii="Times New Roman" w:hAnsi="Times New Roman" w:cs="Times New Roman"/>
        </w:rPr>
        <w:t xml:space="preserve"> that </w:t>
      </w:r>
      <w:r w:rsidR="00B56B7A">
        <w:rPr>
          <w:rFonts w:ascii="Times New Roman" w:hAnsi="Times New Roman" w:cs="Times New Roman"/>
        </w:rPr>
        <w:t>may</w:t>
      </w:r>
      <w:r w:rsidR="00B649D5">
        <w:rPr>
          <w:rFonts w:ascii="Times New Roman" w:hAnsi="Times New Roman" w:cs="Times New Roman"/>
        </w:rPr>
        <w:t xml:space="preserve"> be </w:t>
      </w:r>
      <w:r w:rsidR="00B56B7A">
        <w:rPr>
          <w:rFonts w:ascii="Times New Roman" w:hAnsi="Times New Roman" w:cs="Times New Roman"/>
        </w:rPr>
        <w:t xml:space="preserve">agreed between the NBN CSP and the consumer.  Paragraph (d) </w:t>
      </w:r>
      <w:r w:rsidR="003B22B8">
        <w:rPr>
          <w:rFonts w:ascii="Times New Roman" w:hAnsi="Times New Roman" w:cs="Times New Roman"/>
        </w:rPr>
        <w:t>provides</w:t>
      </w:r>
      <w:r>
        <w:rPr>
          <w:rFonts w:ascii="Times New Roman" w:hAnsi="Times New Roman" w:cs="Times New Roman"/>
        </w:rPr>
        <w:t xml:space="preserve"> </w:t>
      </w:r>
      <w:r w:rsidR="00B649D5">
        <w:rPr>
          <w:rFonts w:ascii="Times New Roman" w:hAnsi="Times New Roman" w:cs="Times New Roman"/>
        </w:rPr>
        <w:t>that</w:t>
      </w:r>
      <w:r w:rsidR="000453ED">
        <w:rPr>
          <w:rFonts w:ascii="Times New Roman" w:hAnsi="Times New Roman" w:cs="Times New Roman"/>
        </w:rPr>
        <w:t xml:space="preserve"> </w:t>
      </w:r>
      <w:r w:rsidR="00B56B7A">
        <w:rPr>
          <w:rFonts w:ascii="Times New Roman" w:hAnsi="Times New Roman" w:cs="Times New Roman"/>
        </w:rPr>
        <w:t xml:space="preserve">any other arrangement </w:t>
      </w:r>
      <w:r w:rsidR="00C100C9">
        <w:rPr>
          <w:rFonts w:ascii="Times New Roman" w:hAnsi="Times New Roman" w:cs="Times New Roman"/>
        </w:rPr>
        <w:t xml:space="preserve">agreed between the NBN CSP and the consumer </w:t>
      </w:r>
      <w:r w:rsidR="00F57215">
        <w:rPr>
          <w:rFonts w:ascii="Times New Roman" w:hAnsi="Times New Roman" w:cs="Times New Roman"/>
        </w:rPr>
        <w:t xml:space="preserve">can be an alternative arrangement </w:t>
      </w:r>
      <w:r w:rsidR="007557F6">
        <w:rPr>
          <w:rFonts w:ascii="Times New Roman" w:hAnsi="Times New Roman" w:cs="Times New Roman"/>
        </w:rPr>
        <w:t>as long as</w:t>
      </w:r>
      <w:r w:rsidR="00F57215">
        <w:rPr>
          <w:rFonts w:ascii="Times New Roman" w:hAnsi="Times New Roman" w:cs="Times New Roman"/>
        </w:rPr>
        <w:t xml:space="preserve"> th</w:t>
      </w:r>
      <w:r w:rsidR="000453ED">
        <w:rPr>
          <w:rFonts w:ascii="Times New Roman" w:hAnsi="Times New Roman" w:cs="Times New Roman"/>
        </w:rPr>
        <w:t>e</w:t>
      </w:r>
      <w:r w:rsidR="00F57215">
        <w:rPr>
          <w:rFonts w:ascii="Times New Roman" w:hAnsi="Times New Roman" w:cs="Times New Roman"/>
        </w:rPr>
        <w:t xml:space="preserve"> arrangement </w:t>
      </w:r>
      <w:r w:rsidR="007557F6">
        <w:rPr>
          <w:rFonts w:ascii="Times New Roman" w:hAnsi="Times New Roman" w:cs="Times New Roman"/>
        </w:rPr>
        <w:t xml:space="preserve">is </w:t>
      </w:r>
      <w:r w:rsidR="00B56B7A">
        <w:rPr>
          <w:rFonts w:ascii="Times New Roman" w:hAnsi="Times New Roman" w:cs="Times New Roman"/>
        </w:rPr>
        <w:t xml:space="preserve">not merely the </w:t>
      </w:r>
      <w:r w:rsidRPr="005C4325">
        <w:rPr>
          <w:rFonts w:ascii="Times New Roman" w:hAnsi="Times New Roman" w:cs="Times New Roman"/>
        </w:rPr>
        <w:t>rescheduling an appointment or not requiring payment until the customer’s NBN service is operational.</w:t>
      </w:r>
      <w:r w:rsidR="005C4325" w:rsidRPr="00381F14">
        <w:rPr>
          <w:rFonts w:ascii="Times New Roman" w:hAnsi="Times New Roman" w:cs="Times New Roman"/>
        </w:rPr>
        <w:t xml:space="preserve"> This reflects t</w:t>
      </w:r>
      <w:r w:rsidR="005C4325" w:rsidRPr="005C4325">
        <w:rPr>
          <w:rFonts w:ascii="Times New Roman" w:hAnsi="Times New Roman" w:cs="Times New Roman"/>
        </w:rPr>
        <w:t>he policy intent</w:t>
      </w:r>
      <w:r w:rsidR="005C4325" w:rsidRPr="009438B0">
        <w:rPr>
          <w:rFonts w:ascii="Times New Roman" w:hAnsi="Times New Roman" w:cs="Times New Roman"/>
        </w:rPr>
        <w:t xml:space="preserve"> that a customer should be provided with an alterna</w:t>
      </w:r>
      <w:r w:rsidR="005C4325" w:rsidRPr="005C4325">
        <w:rPr>
          <w:rFonts w:ascii="Times New Roman" w:hAnsi="Times New Roman" w:cs="Times New Roman"/>
        </w:rPr>
        <w:t>tive arrangement that offsets the harm caused to the customer as a result of the problems with the NBN service.</w:t>
      </w:r>
    </w:p>
    <w:p w14:paraId="6678C532" w14:textId="231FBBDB" w:rsidR="006061EF" w:rsidRDefault="006061EF" w:rsidP="006061EF">
      <w:pPr>
        <w:rPr>
          <w:rFonts w:ascii="Times New Roman" w:hAnsi="Times New Roman" w:cs="Times New Roman"/>
        </w:rPr>
      </w:pPr>
      <w:r>
        <w:rPr>
          <w:rFonts w:ascii="Times New Roman" w:hAnsi="Times New Roman" w:cs="Times New Roman"/>
          <w:b/>
          <w:bCs/>
        </w:rPr>
        <w:t>Item [2]</w:t>
      </w:r>
      <w:r>
        <w:rPr>
          <w:rFonts w:ascii="Times New Roman" w:hAnsi="Times New Roman" w:cs="Times New Roman"/>
        </w:rPr>
        <w:t xml:space="preserve"> varies subparagraph (b)(ii) of the definition of “consumer” in section 5 of the Standard so that it aligns with that in the </w:t>
      </w:r>
      <w:r>
        <w:rPr>
          <w:rFonts w:ascii="Times New Roman" w:hAnsi="Times New Roman" w:cs="Times New Roman"/>
          <w:i/>
          <w:iCs/>
        </w:rPr>
        <w:t xml:space="preserve">Telecommunications Consumer Protection Code C628:2019 </w:t>
      </w:r>
      <w:r>
        <w:rPr>
          <w:rFonts w:ascii="Times New Roman" w:hAnsi="Times New Roman" w:cs="Times New Roman"/>
        </w:rPr>
        <w:t xml:space="preserve">(the </w:t>
      </w:r>
      <w:r>
        <w:rPr>
          <w:rFonts w:ascii="Times New Roman" w:hAnsi="Times New Roman" w:cs="Times New Roman"/>
          <w:b/>
          <w:bCs/>
        </w:rPr>
        <w:t>TCP</w:t>
      </w:r>
      <w:r>
        <w:rPr>
          <w:rFonts w:ascii="Times New Roman" w:hAnsi="Times New Roman" w:cs="Times New Roman"/>
        </w:rPr>
        <w:t xml:space="preserve"> </w:t>
      </w:r>
      <w:r>
        <w:rPr>
          <w:rFonts w:ascii="Times New Roman" w:hAnsi="Times New Roman" w:cs="Times New Roman"/>
          <w:b/>
          <w:bCs/>
        </w:rPr>
        <w:t>Code</w:t>
      </w:r>
      <w:r>
        <w:rPr>
          <w:rFonts w:ascii="Times New Roman" w:hAnsi="Times New Roman" w:cs="Times New Roman"/>
        </w:rPr>
        <w:t>). The revision increases the estimated annual spend that a business or non-profit organisation may have with a carriage service provider (</w:t>
      </w:r>
      <w:r w:rsidR="008C4560">
        <w:rPr>
          <w:rFonts w:ascii="Times New Roman" w:hAnsi="Times New Roman" w:cs="Times New Roman"/>
          <w:b/>
          <w:bCs/>
        </w:rPr>
        <w:t>CSP</w:t>
      </w:r>
      <w:r>
        <w:rPr>
          <w:rFonts w:ascii="Times New Roman" w:hAnsi="Times New Roman" w:cs="Times New Roman"/>
        </w:rPr>
        <w:t xml:space="preserve">) and still be considered a consumer from $20,000 to $40,000. The revised TCP Code definition of consumer commenced on 1 January 2020. </w:t>
      </w:r>
      <w:r w:rsidR="00DF043E">
        <w:rPr>
          <w:rFonts w:ascii="Times New Roman" w:hAnsi="Times New Roman" w:cs="Times New Roman"/>
        </w:rPr>
        <w:t>The revised definition of “consumer” for the purposes of the Standard will align with the revised definition in the TCP Code.</w:t>
      </w:r>
      <w:r w:rsidR="00DF043E" w:rsidDel="000E020F">
        <w:rPr>
          <w:rFonts w:ascii="Times New Roman" w:hAnsi="Times New Roman" w:cs="Times New Roman"/>
        </w:rPr>
        <w:t xml:space="preserve"> </w:t>
      </w:r>
    </w:p>
    <w:p w14:paraId="47EBF7DD" w14:textId="4A48F4D1" w:rsidR="00C42DFF" w:rsidRDefault="00492E8F" w:rsidP="00C42DFF">
      <w:pPr>
        <w:rPr>
          <w:rFonts w:ascii="Times New Roman" w:eastAsia="Times New Roman" w:hAnsi="Times New Roman" w:cs="Times New Roman"/>
          <w:color w:val="000000"/>
          <w:lang w:eastAsia="en-AU"/>
        </w:rPr>
      </w:pPr>
      <w:r w:rsidRPr="00492E8F">
        <w:rPr>
          <w:rFonts w:ascii="Times New Roman" w:hAnsi="Times New Roman" w:cs="Times New Roman"/>
          <w:b/>
          <w:bCs/>
        </w:rPr>
        <w:lastRenderedPageBreak/>
        <w:t xml:space="preserve">Item [3] </w:t>
      </w:r>
      <w:r w:rsidR="00B40912">
        <w:rPr>
          <w:rFonts w:ascii="Times New Roman" w:hAnsi="Times New Roman" w:cs="Times New Roman"/>
        </w:rPr>
        <w:t xml:space="preserve">substitutes </w:t>
      </w:r>
      <w:r w:rsidR="00FE05B4">
        <w:rPr>
          <w:rFonts w:ascii="Times New Roman" w:hAnsi="Times New Roman" w:cs="Times New Roman"/>
        </w:rPr>
        <w:t xml:space="preserve">subsection 11(1) of the </w:t>
      </w:r>
      <w:r w:rsidR="006048D4">
        <w:rPr>
          <w:rFonts w:ascii="Times New Roman" w:hAnsi="Times New Roman" w:cs="Times New Roman"/>
        </w:rPr>
        <w:t>Stan</w:t>
      </w:r>
      <w:r w:rsidR="004D5A41">
        <w:rPr>
          <w:rFonts w:ascii="Times New Roman" w:hAnsi="Times New Roman" w:cs="Times New Roman"/>
        </w:rPr>
        <w:t xml:space="preserve">dard </w:t>
      </w:r>
      <w:r w:rsidR="00981B05">
        <w:rPr>
          <w:rFonts w:ascii="Times New Roman" w:hAnsi="Times New Roman" w:cs="Times New Roman"/>
        </w:rPr>
        <w:t xml:space="preserve">to </w:t>
      </w:r>
      <w:r w:rsidR="00B40912">
        <w:rPr>
          <w:rFonts w:ascii="Times New Roman" w:hAnsi="Times New Roman" w:cs="Times New Roman"/>
        </w:rPr>
        <w:t xml:space="preserve">add a new </w:t>
      </w:r>
      <w:r w:rsidR="00367377">
        <w:rPr>
          <w:rFonts w:ascii="Times New Roman" w:hAnsi="Times New Roman" w:cs="Times New Roman"/>
        </w:rPr>
        <w:t xml:space="preserve">circumstance under which a customer would be entitled to have their legacy service </w:t>
      </w:r>
      <w:r w:rsidR="00F810FB">
        <w:rPr>
          <w:rFonts w:ascii="Times New Roman" w:hAnsi="Times New Roman" w:cs="Times New Roman"/>
        </w:rPr>
        <w:t>reconnected</w:t>
      </w:r>
      <w:r w:rsidR="00367377">
        <w:rPr>
          <w:rFonts w:ascii="Times New Roman" w:hAnsi="Times New Roman" w:cs="Times New Roman"/>
        </w:rPr>
        <w:t>.</w:t>
      </w:r>
      <w:r w:rsidR="008801AD">
        <w:rPr>
          <w:rFonts w:ascii="Times New Roman" w:hAnsi="Times New Roman" w:cs="Times New Roman"/>
        </w:rPr>
        <w:t xml:space="preserve"> </w:t>
      </w:r>
      <w:r w:rsidR="00B40912">
        <w:rPr>
          <w:rFonts w:ascii="Times New Roman" w:hAnsi="Times New Roman" w:cs="Times New Roman"/>
        </w:rPr>
        <w:t>New s</w:t>
      </w:r>
      <w:r w:rsidR="00BB1EFA">
        <w:rPr>
          <w:rFonts w:ascii="Times New Roman" w:hAnsi="Times New Roman" w:cs="Times New Roman"/>
        </w:rPr>
        <w:t xml:space="preserve">ubparagraphs </w:t>
      </w:r>
      <w:r w:rsidR="00C42DFF">
        <w:rPr>
          <w:rFonts w:ascii="Times New Roman" w:hAnsi="Times New Roman" w:cs="Times New Roman"/>
        </w:rPr>
        <w:t>11(1)(c)</w:t>
      </w:r>
      <w:r w:rsidR="00B9399B">
        <w:rPr>
          <w:rFonts w:ascii="Times New Roman" w:hAnsi="Times New Roman" w:cs="Times New Roman"/>
        </w:rPr>
        <w:t>(i) and (ii)</w:t>
      </w:r>
      <w:r w:rsidR="00427400">
        <w:rPr>
          <w:rFonts w:ascii="Times New Roman" w:hAnsi="Times New Roman" w:cs="Times New Roman"/>
        </w:rPr>
        <w:t xml:space="preserve"> of the Standard</w:t>
      </w:r>
      <w:r w:rsidR="00C42DFF">
        <w:rPr>
          <w:rFonts w:ascii="Times New Roman" w:hAnsi="Times New Roman" w:cs="Times New Roman"/>
        </w:rPr>
        <w:t xml:space="preserve"> </w:t>
      </w:r>
      <w:r w:rsidR="001C48DF" w:rsidRPr="001C48DF">
        <w:rPr>
          <w:rFonts w:ascii="Times New Roman" w:eastAsia="Times New Roman" w:hAnsi="Times New Roman" w:cs="Times New Roman"/>
          <w:color w:val="000000"/>
          <w:lang w:eastAsia="en-AU"/>
        </w:rPr>
        <w:t xml:space="preserve">provide that a legacy service must be supplied to a consumer’s premises when the migration at the consumer’s premises has </w:t>
      </w:r>
      <w:r w:rsidR="00304031">
        <w:rPr>
          <w:rFonts w:ascii="Times New Roman" w:eastAsia="Times New Roman" w:hAnsi="Times New Roman" w:cs="Times New Roman"/>
          <w:color w:val="000000"/>
          <w:lang w:eastAsia="en-AU"/>
        </w:rPr>
        <w:t xml:space="preserve">not </w:t>
      </w:r>
      <w:r w:rsidR="001C48DF" w:rsidRPr="001C48DF">
        <w:rPr>
          <w:rFonts w:ascii="Times New Roman" w:eastAsia="Times New Roman" w:hAnsi="Times New Roman" w:cs="Times New Roman"/>
          <w:color w:val="000000"/>
          <w:lang w:eastAsia="en-AU"/>
        </w:rPr>
        <w:t>been</w:t>
      </w:r>
      <w:r w:rsidR="00C42DFF">
        <w:rPr>
          <w:rFonts w:ascii="Times New Roman" w:eastAsia="Times New Roman" w:hAnsi="Times New Roman" w:cs="Times New Roman"/>
          <w:color w:val="000000"/>
          <w:lang w:eastAsia="en-AU"/>
        </w:rPr>
        <w:t xml:space="preserve"> </w:t>
      </w:r>
      <w:r w:rsidR="00304031">
        <w:rPr>
          <w:rFonts w:ascii="Times New Roman" w:eastAsia="Times New Roman" w:hAnsi="Times New Roman" w:cs="Times New Roman"/>
          <w:color w:val="000000"/>
          <w:lang w:eastAsia="en-AU"/>
        </w:rPr>
        <w:t xml:space="preserve">attempted and is not likely to be attempted within 3 working days, and the </w:t>
      </w:r>
      <w:r w:rsidR="00CF0DBF">
        <w:rPr>
          <w:rFonts w:ascii="Times New Roman" w:eastAsia="Times New Roman" w:hAnsi="Times New Roman" w:cs="Times New Roman"/>
          <w:color w:val="000000"/>
          <w:lang w:eastAsia="en-AU"/>
        </w:rPr>
        <w:t>consumer’s</w:t>
      </w:r>
      <w:r w:rsidR="00304031">
        <w:rPr>
          <w:rFonts w:ascii="Times New Roman" w:eastAsia="Times New Roman" w:hAnsi="Times New Roman" w:cs="Times New Roman"/>
          <w:color w:val="000000"/>
          <w:lang w:eastAsia="en-AU"/>
        </w:rPr>
        <w:t xml:space="preserve"> legacy service has been disconnected by the legacy CSP in circumstances other than those set out in subsection 7(3) of the Standard</w:t>
      </w:r>
      <w:r w:rsidR="00E153F9">
        <w:rPr>
          <w:rFonts w:ascii="Times New Roman" w:eastAsia="Times New Roman" w:hAnsi="Times New Roman" w:cs="Times New Roman"/>
          <w:color w:val="000000"/>
          <w:lang w:eastAsia="en-AU"/>
        </w:rPr>
        <w:t>, unless an exception in subsection 11(2) of the Standard applies</w:t>
      </w:r>
      <w:r w:rsidR="00304031">
        <w:rPr>
          <w:rFonts w:ascii="Times New Roman" w:eastAsia="Times New Roman" w:hAnsi="Times New Roman" w:cs="Times New Roman"/>
          <w:color w:val="000000"/>
          <w:lang w:eastAsia="en-AU"/>
        </w:rPr>
        <w:t>.</w:t>
      </w:r>
      <w:r w:rsidR="00E153F9">
        <w:rPr>
          <w:rFonts w:ascii="Times New Roman" w:eastAsia="Times New Roman" w:hAnsi="Times New Roman" w:cs="Times New Roman"/>
          <w:color w:val="000000"/>
          <w:lang w:eastAsia="en-AU"/>
        </w:rPr>
        <w:t xml:space="preserve"> </w:t>
      </w:r>
      <w:r w:rsidR="00B47683">
        <w:rPr>
          <w:rFonts w:ascii="Times New Roman" w:eastAsia="Times New Roman" w:hAnsi="Times New Roman" w:cs="Times New Roman"/>
          <w:color w:val="000000"/>
          <w:lang w:eastAsia="en-AU"/>
        </w:rPr>
        <w:t>This subsection operates where</w:t>
      </w:r>
      <w:r w:rsidR="00304031">
        <w:rPr>
          <w:rFonts w:ascii="Times New Roman" w:eastAsia="Times New Roman" w:hAnsi="Times New Roman" w:cs="Times New Roman"/>
          <w:color w:val="000000"/>
          <w:lang w:eastAsia="en-AU"/>
        </w:rPr>
        <w:t xml:space="preserve"> </w:t>
      </w:r>
      <w:r w:rsidR="00B47683">
        <w:rPr>
          <w:rFonts w:ascii="Times New Roman" w:eastAsia="Times New Roman" w:hAnsi="Times New Roman" w:cs="Times New Roman"/>
          <w:color w:val="000000"/>
          <w:lang w:eastAsia="en-AU"/>
        </w:rPr>
        <w:t xml:space="preserve">the </w:t>
      </w:r>
      <w:r w:rsidR="00016FFE">
        <w:rPr>
          <w:rFonts w:ascii="Times New Roman" w:eastAsia="Times New Roman" w:hAnsi="Times New Roman" w:cs="Times New Roman"/>
          <w:color w:val="000000"/>
          <w:lang w:eastAsia="en-AU"/>
        </w:rPr>
        <w:t xml:space="preserve">area in </w:t>
      </w:r>
      <w:r w:rsidR="00E97F14">
        <w:rPr>
          <w:rFonts w:ascii="Times New Roman" w:eastAsia="Times New Roman" w:hAnsi="Times New Roman" w:cs="Times New Roman"/>
          <w:color w:val="000000"/>
          <w:lang w:eastAsia="en-AU"/>
        </w:rPr>
        <w:t xml:space="preserve">which the </w:t>
      </w:r>
      <w:r w:rsidR="005D7B9C">
        <w:rPr>
          <w:rFonts w:ascii="Times New Roman" w:eastAsia="Times New Roman" w:hAnsi="Times New Roman" w:cs="Times New Roman"/>
          <w:color w:val="000000"/>
          <w:lang w:eastAsia="en-AU"/>
        </w:rPr>
        <w:t>consumer’s</w:t>
      </w:r>
      <w:r w:rsidR="00E97F14">
        <w:rPr>
          <w:rFonts w:ascii="Times New Roman" w:eastAsia="Times New Roman" w:hAnsi="Times New Roman" w:cs="Times New Roman"/>
          <w:color w:val="000000"/>
          <w:lang w:eastAsia="en-AU"/>
        </w:rPr>
        <w:t xml:space="preserve"> premises is located has been declared ready for service by NBN Co in accordance with </w:t>
      </w:r>
      <w:r w:rsidR="00F87238">
        <w:rPr>
          <w:rFonts w:ascii="Times New Roman" w:eastAsia="Times New Roman" w:hAnsi="Times New Roman" w:cs="Times New Roman"/>
          <w:color w:val="000000"/>
          <w:lang w:eastAsia="en-AU"/>
        </w:rPr>
        <w:t xml:space="preserve">paragraph </w:t>
      </w:r>
      <w:r w:rsidR="00E97F14">
        <w:rPr>
          <w:rFonts w:ascii="Times New Roman" w:eastAsia="Times New Roman" w:hAnsi="Times New Roman" w:cs="Times New Roman"/>
          <w:color w:val="000000"/>
          <w:lang w:eastAsia="en-AU"/>
        </w:rPr>
        <w:t xml:space="preserve">10(a) of the Standard, and the NBN CSP and the </w:t>
      </w:r>
      <w:r w:rsidR="00F1464B">
        <w:rPr>
          <w:rFonts w:ascii="Times New Roman" w:eastAsia="Times New Roman" w:hAnsi="Times New Roman" w:cs="Times New Roman"/>
          <w:color w:val="000000"/>
          <w:lang w:eastAsia="en-AU"/>
        </w:rPr>
        <w:t>consumer</w:t>
      </w:r>
      <w:r w:rsidR="00E97F14">
        <w:rPr>
          <w:rFonts w:ascii="Times New Roman" w:eastAsia="Times New Roman" w:hAnsi="Times New Roman" w:cs="Times New Roman"/>
          <w:color w:val="000000"/>
          <w:lang w:eastAsia="en-AU"/>
        </w:rPr>
        <w:t xml:space="preserve"> have entered into a c</w:t>
      </w:r>
      <w:r w:rsidR="00D94C81">
        <w:rPr>
          <w:rFonts w:ascii="Times New Roman" w:eastAsia="Times New Roman" w:hAnsi="Times New Roman" w:cs="Times New Roman"/>
          <w:color w:val="000000"/>
          <w:lang w:eastAsia="en-AU"/>
        </w:rPr>
        <w:t>onsumer</w:t>
      </w:r>
      <w:r w:rsidR="00E97F14">
        <w:rPr>
          <w:rFonts w:ascii="Times New Roman" w:eastAsia="Times New Roman" w:hAnsi="Times New Roman" w:cs="Times New Roman"/>
          <w:color w:val="000000"/>
          <w:lang w:eastAsia="en-AU"/>
        </w:rPr>
        <w:t xml:space="preserve"> contract</w:t>
      </w:r>
      <w:r w:rsidR="00D94C81">
        <w:rPr>
          <w:rFonts w:ascii="Times New Roman" w:eastAsia="Times New Roman" w:hAnsi="Times New Roman" w:cs="Times New Roman"/>
          <w:color w:val="000000"/>
          <w:lang w:eastAsia="en-AU"/>
        </w:rPr>
        <w:t xml:space="preserve"> for the supply of an NBN service to the premises in accordance with </w:t>
      </w:r>
      <w:r w:rsidR="00F87238">
        <w:rPr>
          <w:rFonts w:ascii="Times New Roman" w:eastAsia="Times New Roman" w:hAnsi="Times New Roman" w:cs="Times New Roman"/>
          <w:color w:val="000000"/>
          <w:lang w:eastAsia="en-AU"/>
        </w:rPr>
        <w:t xml:space="preserve">paragraph </w:t>
      </w:r>
      <w:r w:rsidR="00D94C81">
        <w:rPr>
          <w:rFonts w:ascii="Times New Roman" w:eastAsia="Times New Roman" w:hAnsi="Times New Roman" w:cs="Times New Roman"/>
          <w:color w:val="000000"/>
          <w:lang w:eastAsia="en-AU"/>
        </w:rPr>
        <w:t>10(b) of the Standard.</w:t>
      </w:r>
    </w:p>
    <w:p w14:paraId="1ACC6331" w14:textId="0CC6E928" w:rsidR="00051C84" w:rsidRDefault="00051C84" w:rsidP="00B77E74">
      <w:pPr>
        <w:contextualSpacing/>
        <w:rPr>
          <w:rFonts w:ascii="Times New Roman" w:eastAsia="Times New Roman" w:hAnsi="Times New Roman" w:cs="Times New Roman"/>
          <w:color w:val="000000"/>
          <w:lang w:eastAsia="en-AU"/>
        </w:rPr>
      </w:pPr>
      <w:r w:rsidRPr="00C51ADB">
        <w:rPr>
          <w:rFonts w:ascii="Times New Roman" w:eastAsia="Times New Roman" w:hAnsi="Times New Roman" w:cs="Times New Roman"/>
          <w:b/>
          <w:bCs/>
          <w:color w:val="000000"/>
          <w:lang w:eastAsia="en-AU"/>
        </w:rPr>
        <w:t xml:space="preserve">Item </w:t>
      </w:r>
      <w:r w:rsidR="00F261CF" w:rsidRPr="00C51ADB">
        <w:rPr>
          <w:rFonts w:ascii="Times New Roman" w:eastAsia="Times New Roman" w:hAnsi="Times New Roman" w:cs="Times New Roman"/>
          <w:b/>
          <w:bCs/>
          <w:color w:val="000000"/>
          <w:lang w:eastAsia="en-AU"/>
        </w:rPr>
        <w:t>[4]</w:t>
      </w:r>
      <w:r w:rsidR="00F261CF">
        <w:rPr>
          <w:rFonts w:ascii="Times New Roman" w:eastAsia="Times New Roman" w:hAnsi="Times New Roman" w:cs="Times New Roman"/>
          <w:b/>
          <w:bCs/>
          <w:color w:val="000000"/>
          <w:lang w:eastAsia="en-AU"/>
        </w:rPr>
        <w:t xml:space="preserve"> </w:t>
      </w:r>
      <w:r w:rsidR="00F261CF">
        <w:rPr>
          <w:rFonts w:ascii="Times New Roman" w:eastAsia="Times New Roman" w:hAnsi="Times New Roman" w:cs="Times New Roman"/>
          <w:color w:val="000000"/>
          <w:lang w:eastAsia="en-AU"/>
        </w:rPr>
        <w:t>makes a minor amendment to</w:t>
      </w:r>
      <w:r w:rsidR="0092753C">
        <w:rPr>
          <w:rFonts w:ascii="Times New Roman" w:eastAsia="Times New Roman" w:hAnsi="Times New Roman" w:cs="Times New Roman"/>
          <w:color w:val="000000"/>
          <w:lang w:eastAsia="en-AU"/>
        </w:rPr>
        <w:t xml:space="preserve"> the note to</w:t>
      </w:r>
      <w:r w:rsidR="00F261CF">
        <w:rPr>
          <w:rFonts w:ascii="Times New Roman" w:eastAsia="Times New Roman" w:hAnsi="Times New Roman" w:cs="Times New Roman"/>
          <w:color w:val="000000"/>
          <w:lang w:eastAsia="en-AU"/>
        </w:rPr>
        <w:t xml:space="preserve"> subsection 11(2) to </w:t>
      </w:r>
      <w:r w:rsidR="001515F5">
        <w:rPr>
          <w:rFonts w:ascii="Times New Roman" w:eastAsia="Times New Roman" w:hAnsi="Times New Roman" w:cs="Times New Roman"/>
          <w:color w:val="000000"/>
          <w:lang w:eastAsia="en-AU"/>
        </w:rPr>
        <w:t xml:space="preserve">include </w:t>
      </w:r>
      <w:r w:rsidR="00C51ADB">
        <w:rPr>
          <w:rFonts w:ascii="Times New Roman" w:eastAsia="Times New Roman" w:hAnsi="Times New Roman" w:cs="Times New Roman"/>
          <w:color w:val="000000"/>
          <w:lang w:eastAsia="en-AU"/>
        </w:rPr>
        <w:t xml:space="preserve">a reference </w:t>
      </w:r>
      <w:r w:rsidR="00533415">
        <w:rPr>
          <w:rFonts w:ascii="Times New Roman" w:eastAsia="Times New Roman" w:hAnsi="Times New Roman" w:cs="Times New Roman"/>
          <w:color w:val="000000"/>
          <w:lang w:eastAsia="en-AU"/>
        </w:rPr>
        <w:t xml:space="preserve">to the new </w:t>
      </w:r>
      <w:r w:rsidR="00F261CF">
        <w:rPr>
          <w:rFonts w:ascii="Times New Roman" w:eastAsia="Times New Roman" w:hAnsi="Times New Roman" w:cs="Times New Roman"/>
          <w:color w:val="000000"/>
          <w:lang w:eastAsia="en-AU"/>
        </w:rPr>
        <w:t>subsection 11(1)(c)</w:t>
      </w:r>
      <w:r w:rsidR="0092753C">
        <w:rPr>
          <w:rFonts w:ascii="Times New Roman" w:eastAsia="Times New Roman" w:hAnsi="Times New Roman" w:cs="Times New Roman"/>
          <w:color w:val="000000"/>
          <w:lang w:eastAsia="en-AU"/>
        </w:rPr>
        <w:t xml:space="preserve"> </w:t>
      </w:r>
      <w:r w:rsidR="00533415">
        <w:rPr>
          <w:rFonts w:ascii="Times New Roman" w:eastAsia="Times New Roman" w:hAnsi="Times New Roman" w:cs="Times New Roman"/>
          <w:color w:val="000000"/>
          <w:lang w:eastAsia="en-AU"/>
        </w:rPr>
        <w:t>(see item [3])</w:t>
      </w:r>
      <w:r w:rsidR="00F261CF">
        <w:rPr>
          <w:rFonts w:ascii="Times New Roman" w:eastAsia="Times New Roman" w:hAnsi="Times New Roman" w:cs="Times New Roman"/>
          <w:color w:val="000000"/>
          <w:lang w:eastAsia="en-AU"/>
        </w:rPr>
        <w:t>.</w:t>
      </w:r>
    </w:p>
    <w:p w14:paraId="3A3984C9" w14:textId="4BA7D88D" w:rsidR="00F261CF" w:rsidRDefault="00F261CF" w:rsidP="00B77E74">
      <w:pPr>
        <w:contextualSpacing/>
        <w:rPr>
          <w:rFonts w:ascii="Times New Roman" w:eastAsia="Times New Roman" w:hAnsi="Times New Roman" w:cs="Times New Roman"/>
          <w:color w:val="000000"/>
          <w:lang w:eastAsia="en-AU"/>
        </w:rPr>
      </w:pPr>
    </w:p>
    <w:p w14:paraId="56BB003A" w14:textId="0DFFF195" w:rsidR="00F261CF" w:rsidRDefault="00F261CF" w:rsidP="00F261CF">
      <w:pPr>
        <w:contextualSpacing/>
        <w:rPr>
          <w:rFonts w:ascii="Times New Roman" w:eastAsia="Times New Roman" w:hAnsi="Times New Roman" w:cs="Times New Roman"/>
          <w:color w:val="000000"/>
          <w:lang w:eastAsia="en-AU"/>
        </w:rPr>
      </w:pPr>
      <w:r w:rsidRPr="0043253D">
        <w:rPr>
          <w:rFonts w:ascii="Times New Roman" w:eastAsia="Times New Roman" w:hAnsi="Times New Roman" w:cs="Times New Roman"/>
          <w:b/>
          <w:bCs/>
          <w:color w:val="000000"/>
          <w:lang w:eastAsia="en-AU"/>
        </w:rPr>
        <w:t>Item [</w:t>
      </w:r>
      <w:r>
        <w:rPr>
          <w:rFonts w:ascii="Times New Roman" w:eastAsia="Times New Roman" w:hAnsi="Times New Roman" w:cs="Times New Roman"/>
          <w:b/>
          <w:bCs/>
          <w:color w:val="000000"/>
          <w:lang w:eastAsia="en-AU"/>
        </w:rPr>
        <w:t>5</w:t>
      </w:r>
      <w:r w:rsidRPr="0043253D">
        <w:rPr>
          <w:rFonts w:ascii="Times New Roman" w:eastAsia="Times New Roman" w:hAnsi="Times New Roman" w:cs="Times New Roman"/>
          <w:b/>
          <w:bCs/>
          <w:color w:val="000000"/>
          <w:lang w:eastAsia="en-AU"/>
        </w:rPr>
        <w:t>]</w:t>
      </w:r>
      <w:r>
        <w:rPr>
          <w:rFonts w:ascii="Times New Roman" w:eastAsia="Times New Roman" w:hAnsi="Times New Roman" w:cs="Times New Roman"/>
          <w:b/>
          <w:bCs/>
          <w:color w:val="000000"/>
          <w:lang w:eastAsia="en-AU"/>
        </w:rPr>
        <w:t xml:space="preserve"> </w:t>
      </w:r>
      <w:r w:rsidR="00533415">
        <w:rPr>
          <w:rFonts w:ascii="Times New Roman" w:eastAsia="Times New Roman" w:hAnsi="Times New Roman" w:cs="Times New Roman"/>
          <w:color w:val="000000"/>
          <w:lang w:eastAsia="en-AU"/>
        </w:rPr>
        <w:t xml:space="preserve">makes a minor amendment to subsection 14(1) </w:t>
      </w:r>
      <w:r w:rsidR="00C51ADB">
        <w:rPr>
          <w:rFonts w:ascii="Times New Roman" w:eastAsia="Times New Roman" w:hAnsi="Times New Roman" w:cs="Times New Roman"/>
          <w:color w:val="000000"/>
          <w:lang w:eastAsia="en-AU"/>
        </w:rPr>
        <w:t xml:space="preserve">to include a reference </w:t>
      </w:r>
      <w:r w:rsidR="00533415">
        <w:rPr>
          <w:rFonts w:ascii="Times New Roman" w:eastAsia="Times New Roman" w:hAnsi="Times New Roman" w:cs="Times New Roman"/>
          <w:color w:val="000000"/>
          <w:lang w:eastAsia="en-AU"/>
        </w:rPr>
        <w:t>to the new subsection 11(1)(c) (see item [3]).</w:t>
      </w:r>
    </w:p>
    <w:p w14:paraId="412B6994" w14:textId="77777777" w:rsidR="00F261CF" w:rsidRDefault="00F261CF" w:rsidP="00F261CF">
      <w:pPr>
        <w:contextualSpacing/>
        <w:rPr>
          <w:rFonts w:ascii="Times New Roman" w:eastAsia="Times New Roman" w:hAnsi="Times New Roman" w:cs="Times New Roman"/>
          <w:color w:val="000000"/>
          <w:lang w:eastAsia="en-AU"/>
        </w:rPr>
      </w:pPr>
    </w:p>
    <w:p w14:paraId="195A924D" w14:textId="66B1CFFD" w:rsidR="00F261CF" w:rsidRDefault="00F261CF" w:rsidP="00F261CF">
      <w:pPr>
        <w:contextualSpacing/>
        <w:rPr>
          <w:rFonts w:ascii="Times New Roman" w:eastAsia="Times New Roman" w:hAnsi="Times New Roman" w:cs="Times New Roman"/>
          <w:color w:val="000000"/>
          <w:lang w:eastAsia="en-AU"/>
        </w:rPr>
      </w:pPr>
      <w:r w:rsidRPr="0043253D">
        <w:rPr>
          <w:rFonts w:ascii="Times New Roman" w:eastAsia="Times New Roman" w:hAnsi="Times New Roman" w:cs="Times New Roman"/>
          <w:b/>
          <w:bCs/>
          <w:color w:val="000000"/>
          <w:lang w:eastAsia="en-AU"/>
        </w:rPr>
        <w:t>Item [</w:t>
      </w:r>
      <w:r>
        <w:rPr>
          <w:rFonts w:ascii="Times New Roman" w:eastAsia="Times New Roman" w:hAnsi="Times New Roman" w:cs="Times New Roman"/>
          <w:b/>
          <w:bCs/>
          <w:color w:val="000000"/>
          <w:lang w:eastAsia="en-AU"/>
        </w:rPr>
        <w:t>6</w:t>
      </w:r>
      <w:r w:rsidRPr="0043253D">
        <w:rPr>
          <w:rFonts w:ascii="Times New Roman" w:eastAsia="Times New Roman" w:hAnsi="Times New Roman" w:cs="Times New Roman"/>
          <w:b/>
          <w:bCs/>
          <w:color w:val="000000"/>
          <w:lang w:eastAsia="en-AU"/>
        </w:rPr>
        <w:t>]</w:t>
      </w:r>
      <w:r>
        <w:rPr>
          <w:rFonts w:ascii="Times New Roman" w:eastAsia="Times New Roman" w:hAnsi="Times New Roman" w:cs="Times New Roman"/>
          <w:b/>
          <w:bCs/>
          <w:color w:val="000000"/>
          <w:lang w:eastAsia="en-AU"/>
        </w:rPr>
        <w:t xml:space="preserve"> </w:t>
      </w:r>
      <w:r w:rsidR="00533415">
        <w:rPr>
          <w:rFonts w:ascii="Times New Roman" w:eastAsia="Times New Roman" w:hAnsi="Times New Roman" w:cs="Times New Roman"/>
          <w:color w:val="000000"/>
          <w:lang w:eastAsia="en-AU"/>
        </w:rPr>
        <w:t xml:space="preserve">makes a minor amendment to subsection 14(2) </w:t>
      </w:r>
      <w:r w:rsidR="00C51ADB">
        <w:rPr>
          <w:rFonts w:ascii="Times New Roman" w:eastAsia="Times New Roman" w:hAnsi="Times New Roman" w:cs="Times New Roman"/>
          <w:color w:val="000000"/>
          <w:lang w:eastAsia="en-AU"/>
        </w:rPr>
        <w:t xml:space="preserve">to include a reference </w:t>
      </w:r>
      <w:r w:rsidR="00533415">
        <w:rPr>
          <w:rFonts w:ascii="Times New Roman" w:eastAsia="Times New Roman" w:hAnsi="Times New Roman" w:cs="Times New Roman"/>
          <w:color w:val="000000"/>
          <w:lang w:eastAsia="en-AU"/>
        </w:rPr>
        <w:t>to the new subsection 11(1)(c) (see item [3]).</w:t>
      </w:r>
    </w:p>
    <w:p w14:paraId="733C6EC0" w14:textId="77777777" w:rsidR="00533415" w:rsidRDefault="00533415" w:rsidP="00F261CF">
      <w:pPr>
        <w:contextualSpacing/>
        <w:rPr>
          <w:rFonts w:ascii="Times New Roman" w:eastAsia="Times New Roman" w:hAnsi="Times New Roman" w:cs="Times New Roman"/>
          <w:color w:val="000000"/>
          <w:lang w:eastAsia="en-AU"/>
        </w:rPr>
      </w:pPr>
    </w:p>
    <w:p w14:paraId="59FF7F0F" w14:textId="7CC63CB4" w:rsidR="00F261CF" w:rsidRDefault="00F261CF" w:rsidP="00B77E74">
      <w:pPr>
        <w:contextualSpacing/>
        <w:rPr>
          <w:rFonts w:ascii="Times New Roman" w:eastAsia="Times New Roman" w:hAnsi="Times New Roman" w:cs="Times New Roman"/>
          <w:color w:val="000000"/>
          <w:lang w:eastAsia="en-AU"/>
        </w:rPr>
      </w:pPr>
      <w:r w:rsidRPr="0043253D">
        <w:rPr>
          <w:rFonts w:ascii="Times New Roman" w:eastAsia="Times New Roman" w:hAnsi="Times New Roman" w:cs="Times New Roman"/>
          <w:b/>
          <w:bCs/>
          <w:color w:val="000000"/>
          <w:lang w:eastAsia="en-AU"/>
        </w:rPr>
        <w:t>Item [</w:t>
      </w:r>
      <w:r>
        <w:rPr>
          <w:rFonts w:ascii="Times New Roman" w:eastAsia="Times New Roman" w:hAnsi="Times New Roman" w:cs="Times New Roman"/>
          <w:b/>
          <w:bCs/>
          <w:color w:val="000000"/>
          <w:lang w:eastAsia="en-AU"/>
        </w:rPr>
        <w:t>7</w:t>
      </w:r>
      <w:r w:rsidRPr="0043253D">
        <w:rPr>
          <w:rFonts w:ascii="Times New Roman" w:eastAsia="Times New Roman" w:hAnsi="Times New Roman" w:cs="Times New Roman"/>
          <w:b/>
          <w:bCs/>
          <w:color w:val="000000"/>
          <w:lang w:eastAsia="en-AU"/>
        </w:rPr>
        <w:t>]</w:t>
      </w:r>
      <w:r>
        <w:rPr>
          <w:rFonts w:ascii="Times New Roman" w:eastAsia="Times New Roman" w:hAnsi="Times New Roman" w:cs="Times New Roman"/>
          <w:b/>
          <w:bCs/>
          <w:color w:val="000000"/>
          <w:lang w:eastAsia="en-AU"/>
        </w:rPr>
        <w:t xml:space="preserve"> </w:t>
      </w:r>
      <w:r w:rsidR="00533415">
        <w:rPr>
          <w:rFonts w:ascii="Times New Roman" w:eastAsia="Times New Roman" w:hAnsi="Times New Roman" w:cs="Times New Roman"/>
          <w:color w:val="000000"/>
          <w:lang w:eastAsia="en-AU"/>
        </w:rPr>
        <w:t xml:space="preserve">makes a minor amendment to subsection 14(4) </w:t>
      </w:r>
      <w:r w:rsidR="00C51ADB">
        <w:rPr>
          <w:rFonts w:ascii="Times New Roman" w:eastAsia="Times New Roman" w:hAnsi="Times New Roman" w:cs="Times New Roman"/>
          <w:color w:val="000000"/>
          <w:lang w:eastAsia="en-AU"/>
        </w:rPr>
        <w:t xml:space="preserve">to include a reference </w:t>
      </w:r>
      <w:r w:rsidR="00533415">
        <w:rPr>
          <w:rFonts w:ascii="Times New Roman" w:eastAsia="Times New Roman" w:hAnsi="Times New Roman" w:cs="Times New Roman"/>
          <w:color w:val="000000"/>
          <w:lang w:eastAsia="en-AU"/>
        </w:rPr>
        <w:t>to the new subsection 11(1)(c) (see item [3]).</w:t>
      </w:r>
    </w:p>
    <w:p w14:paraId="726E817F" w14:textId="77777777" w:rsidR="00533415" w:rsidRPr="00F261CF" w:rsidRDefault="00533415" w:rsidP="00B77E74">
      <w:pPr>
        <w:contextualSpacing/>
        <w:rPr>
          <w:rFonts w:ascii="Times New Roman" w:eastAsia="Times New Roman" w:hAnsi="Times New Roman" w:cs="Times New Roman"/>
          <w:color w:val="000000"/>
          <w:lang w:eastAsia="en-AU"/>
        </w:rPr>
      </w:pPr>
    </w:p>
    <w:p w14:paraId="3CB25423" w14:textId="5D17F247" w:rsidR="00B77E74" w:rsidRDefault="003F5C75" w:rsidP="00B77E74">
      <w:pPr>
        <w:contextualSpacing/>
        <w:rPr>
          <w:rFonts w:ascii="Times New Roman" w:hAnsi="Times New Roman" w:cs="Times New Roman"/>
        </w:rPr>
      </w:pPr>
      <w:r w:rsidRPr="003F5C75">
        <w:rPr>
          <w:rFonts w:ascii="Times New Roman" w:hAnsi="Times New Roman" w:cs="Times New Roman"/>
          <w:b/>
          <w:bCs/>
        </w:rPr>
        <w:t>Item [</w:t>
      </w:r>
      <w:r w:rsidR="00F261CF">
        <w:rPr>
          <w:rFonts w:ascii="Times New Roman" w:hAnsi="Times New Roman" w:cs="Times New Roman"/>
          <w:b/>
          <w:bCs/>
        </w:rPr>
        <w:t>8</w:t>
      </w:r>
      <w:r w:rsidRPr="003F5C75">
        <w:rPr>
          <w:b/>
          <w:bCs/>
        </w:rPr>
        <w:t>]</w:t>
      </w:r>
      <w:r>
        <w:rPr>
          <w:b/>
          <w:bCs/>
        </w:rPr>
        <w:t xml:space="preserve"> </w:t>
      </w:r>
      <w:r w:rsidR="00B40912">
        <w:rPr>
          <w:rFonts w:ascii="Times New Roman" w:hAnsi="Times New Roman" w:cs="Times New Roman"/>
        </w:rPr>
        <w:t xml:space="preserve">substitutes </w:t>
      </w:r>
      <w:r w:rsidR="00F87238">
        <w:rPr>
          <w:rFonts w:ascii="Times New Roman" w:hAnsi="Times New Roman" w:cs="Times New Roman"/>
        </w:rPr>
        <w:t xml:space="preserve">section </w:t>
      </w:r>
      <w:r w:rsidR="00B77E74">
        <w:rPr>
          <w:rFonts w:ascii="Times New Roman" w:hAnsi="Times New Roman" w:cs="Times New Roman"/>
        </w:rPr>
        <w:t xml:space="preserve">23 of the </w:t>
      </w:r>
      <w:r w:rsidR="000F74CB">
        <w:rPr>
          <w:rFonts w:ascii="Times New Roman" w:hAnsi="Times New Roman" w:cs="Times New Roman"/>
        </w:rPr>
        <w:t>Standard</w:t>
      </w:r>
      <w:r w:rsidR="00B40912">
        <w:rPr>
          <w:rFonts w:ascii="Times New Roman" w:hAnsi="Times New Roman" w:cs="Times New Roman"/>
        </w:rPr>
        <w:t>.</w:t>
      </w:r>
    </w:p>
    <w:p w14:paraId="2052A7A5" w14:textId="77777777" w:rsidR="00B77E74" w:rsidRDefault="00B77E74" w:rsidP="00B77E74">
      <w:pPr>
        <w:contextualSpacing/>
        <w:rPr>
          <w:rFonts w:ascii="Times New Roman" w:hAnsi="Times New Roman" w:cs="Times New Roman"/>
        </w:rPr>
      </w:pPr>
    </w:p>
    <w:p w14:paraId="42BD90E8" w14:textId="7AB667C7" w:rsidR="001721D2" w:rsidRDefault="00B77E74" w:rsidP="001721D2">
      <w:pPr>
        <w:contextualSpacing/>
        <w:rPr>
          <w:rFonts w:ascii="Times New Roman" w:hAnsi="Times New Roman" w:cs="Times New Roman"/>
        </w:rPr>
      </w:pPr>
      <w:r>
        <w:rPr>
          <w:rFonts w:ascii="Times New Roman" w:hAnsi="Times New Roman" w:cs="Times New Roman"/>
        </w:rPr>
        <w:t xml:space="preserve">A change has been made to subsection </w:t>
      </w:r>
      <w:r w:rsidR="00410494">
        <w:rPr>
          <w:rFonts w:ascii="Times New Roman" w:hAnsi="Times New Roman" w:cs="Times New Roman"/>
        </w:rPr>
        <w:t>23</w:t>
      </w:r>
      <w:r>
        <w:rPr>
          <w:rFonts w:ascii="Times New Roman" w:hAnsi="Times New Roman" w:cs="Times New Roman"/>
        </w:rPr>
        <w:t xml:space="preserve">(1) to </w:t>
      </w:r>
      <w:r w:rsidRPr="00720614">
        <w:rPr>
          <w:rFonts w:ascii="Times New Roman" w:hAnsi="Times New Roman" w:cs="Times New Roman"/>
        </w:rPr>
        <w:t>clarify</w:t>
      </w:r>
      <w:r>
        <w:rPr>
          <w:rFonts w:ascii="Times New Roman" w:hAnsi="Times New Roman" w:cs="Times New Roman"/>
        </w:rPr>
        <w:t xml:space="preserve"> </w:t>
      </w:r>
      <w:r w:rsidRPr="00720614">
        <w:rPr>
          <w:rFonts w:ascii="Times New Roman" w:hAnsi="Times New Roman" w:cs="Times New Roman"/>
        </w:rPr>
        <w:t xml:space="preserve">that </w:t>
      </w:r>
      <w:r>
        <w:rPr>
          <w:rFonts w:ascii="Times New Roman" w:hAnsi="Times New Roman" w:cs="Times New Roman"/>
        </w:rPr>
        <w:t xml:space="preserve">the relevant time period under </w:t>
      </w:r>
      <w:r w:rsidR="00B40912">
        <w:rPr>
          <w:rFonts w:ascii="Times New Roman" w:hAnsi="Times New Roman" w:cs="Times New Roman"/>
        </w:rPr>
        <w:t>that paragraph</w:t>
      </w:r>
      <w:r>
        <w:rPr>
          <w:rFonts w:ascii="Times New Roman" w:hAnsi="Times New Roman" w:cs="Times New Roman"/>
        </w:rPr>
        <w:t xml:space="preserve"> is 23 working days. This amalgamates the three working day period referred to in</w:t>
      </w:r>
      <w:r w:rsidR="0008233B">
        <w:rPr>
          <w:rFonts w:ascii="Times New Roman" w:hAnsi="Times New Roman" w:cs="Times New Roman"/>
        </w:rPr>
        <w:t xml:space="preserve"> </w:t>
      </w:r>
      <w:r w:rsidR="000F5289">
        <w:rPr>
          <w:rFonts w:ascii="Times New Roman" w:hAnsi="Times New Roman" w:cs="Times New Roman"/>
        </w:rPr>
        <w:t>paragraphs</w:t>
      </w:r>
      <w:r w:rsidR="00F87238">
        <w:rPr>
          <w:rFonts w:ascii="Times New Roman" w:hAnsi="Times New Roman" w:cs="Times New Roman"/>
        </w:rPr>
        <w:t xml:space="preserve"> </w:t>
      </w:r>
      <w:r w:rsidR="009150D4">
        <w:rPr>
          <w:rFonts w:ascii="Times New Roman" w:hAnsi="Times New Roman" w:cs="Times New Roman"/>
        </w:rPr>
        <w:t>11</w:t>
      </w:r>
      <w:r w:rsidR="004E3F58">
        <w:rPr>
          <w:rFonts w:ascii="Times New Roman" w:hAnsi="Times New Roman" w:cs="Times New Roman"/>
        </w:rPr>
        <w:t>(1)</w:t>
      </w:r>
      <w:r w:rsidR="009150D4">
        <w:rPr>
          <w:rFonts w:ascii="Times New Roman" w:hAnsi="Times New Roman" w:cs="Times New Roman"/>
        </w:rPr>
        <w:t xml:space="preserve">(a), (b) and (c) </w:t>
      </w:r>
      <w:r>
        <w:rPr>
          <w:rFonts w:ascii="Times New Roman" w:hAnsi="Times New Roman" w:cs="Times New Roman"/>
        </w:rPr>
        <w:t xml:space="preserve">with the 20 working days that was previously referred to in </w:t>
      </w:r>
      <w:r w:rsidR="009150D4">
        <w:rPr>
          <w:rFonts w:ascii="Times New Roman" w:hAnsi="Times New Roman" w:cs="Times New Roman"/>
        </w:rPr>
        <w:t xml:space="preserve">subsection 23(1) </w:t>
      </w:r>
      <w:r>
        <w:rPr>
          <w:rFonts w:ascii="Times New Roman" w:hAnsi="Times New Roman" w:cs="Times New Roman"/>
        </w:rPr>
        <w:t xml:space="preserve">for ease of reference. </w:t>
      </w:r>
      <w:r w:rsidR="001721D2">
        <w:rPr>
          <w:rFonts w:ascii="Times New Roman" w:hAnsi="Times New Roman" w:cs="Times New Roman"/>
        </w:rPr>
        <w:t xml:space="preserve">A consequential amendment to the timeframe has been made at </w:t>
      </w:r>
      <w:r w:rsidR="009150D4">
        <w:rPr>
          <w:rFonts w:ascii="Times New Roman" w:hAnsi="Times New Roman" w:cs="Times New Roman"/>
        </w:rPr>
        <w:t xml:space="preserve">subsection </w:t>
      </w:r>
      <w:r w:rsidR="001721D2">
        <w:rPr>
          <w:rFonts w:ascii="Times New Roman" w:hAnsi="Times New Roman" w:cs="Times New Roman"/>
        </w:rPr>
        <w:t>(5).</w:t>
      </w:r>
    </w:p>
    <w:p w14:paraId="0B0E6822" w14:textId="77777777" w:rsidR="001721D2" w:rsidRDefault="001721D2" w:rsidP="00B77E74">
      <w:pPr>
        <w:contextualSpacing/>
        <w:rPr>
          <w:rFonts w:ascii="Times New Roman" w:hAnsi="Times New Roman" w:cs="Times New Roman"/>
        </w:rPr>
      </w:pPr>
    </w:p>
    <w:p w14:paraId="1DF6321F" w14:textId="52568ACE" w:rsidR="00B77E74" w:rsidRDefault="00B40912" w:rsidP="00B77E74">
      <w:pPr>
        <w:contextualSpacing/>
        <w:rPr>
          <w:rFonts w:ascii="Times New Roman" w:hAnsi="Times New Roman" w:cs="Times New Roman"/>
        </w:rPr>
      </w:pPr>
      <w:r>
        <w:rPr>
          <w:rFonts w:ascii="Times New Roman" w:hAnsi="Times New Roman" w:cs="Times New Roman"/>
        </w:rPr>
        <w:t xml:space="preserve">Subsection 23(1) has also been varied to include </w:t>
      </w:r>
      <w:r w:rsidR="009150D4">
        <w:rPr>
          <w:rFonts w:ascii="Times New Roman" w:hAnsi="Times New Roman" w:cs="Times New Roman"/>
        </w:rPr>
        <w:t>paragraphs</w:t>
      </w:r>
      <w:r w:rsidR="00B77E74">
        <w:rPr>
          <w:rFonts w:ascii="Times New Roman" w:hAnsi="Times New Roman" w:cs="Times New Roman"/>
        </w:rPr>
        <w:t xml:space="preserve"> 23(1)(a) and (b) </w:t>
      </w:r>
      <w:r>
        <w:rPr>
          <w:rFonts w:ascii="Times New Roman" w:hAnsi="Times New Roman" w:cs="Times New Roman"/>
        </w:rPr>
        <w:t xml:space="preserve">which set out </w:t>
      </w:r>
      <w:r w:rsidR="00B77E74">
        <w:rPr>
          <w:rFonts w:ascii="Times New Roman" w:hAnsi="Times New Roman" w:cs="Times New Roman"/>
        </w:rPr>
        <w:t>the triggering event</w:t>
      </w:r>
      <w:r>
        <w:rPr>
          <w:rFonts w:ascii="Times New Roman" w:hAnsi="Times New Roman" w:cs="Times New Roman"/>
        </w:rPr>
        <w:t>s</w:t>
      </w:r>
      <w:r w:rsidR="00B77E74">
        <w:rPr>
          <w:rFonts w:ascii="Times New Roman" w:hAnsi="Times New Roman" w:cs="Times New Roman"/>
        </w:rPr>
        <w:t xml:space="preserve"> for the commencement of the 23 working day time frame</w:t>
      </w:r>
      <w:r w:rsidR="003035DA">
        <w:rPr>
          <w:rFonts w:ascii="Times New Roman" w:hAnsi="Times New Roman" w:cs="Times New Roman"/>
        </w:rPr>
        <w:t>. The time frame runs</w:t>
      </w:r>
      <w:r w:rsidR="00B77E74">
        <w:rPr>
          <w:rFonts w:ascii="Times New Roman" w:hAnsi="Times New Roman" w:cs="Times New Roman"/>
        </w:rPr>
        <w:t xml:space="preserve"> </w:t>
      </w:r>
      <w:r>
        <w:rPr>
          <w:rFonts w:ascii="Times New Roman" w:hAnsi="Times New Roman" w:cs="Times New Roman"/>
        </w:rPr>
        <w:t xml:space="preserve">from the date of </w:t>
      </w:r>
      <w:r w:rsidR="00B77E74">
        <w:rPr>
          <w:rFonts w:ascii="Times New Roman" w:hAnsi="Times New Roman" w:cs="Times New Roman"/>
        </w:rPr>
        <w:t xml:space="preserve">the NBN CSP becoming aware </w:t>
      </w:r>
      <w:r w:rsidR="00C4766F">
        <w:rPr>
          <w:rFonts w:ascii="Times New Roman" w:hAnsi="Times New Roman" w:cs="Times New Roman"/>
        </w:rPr>
        <w:t xml:space="preserve">of </w:t>
      </w:r>
      <w:r w:rsidR="00B77E74">
        <w:rPr>
          <w:rFonts w:ascii="Times New Roman" w:hAnsi="Times New Roman" w:cs="Times New Roman"/>
        </w:rPr>
        <w:t xml:space="preserve">either an unsuccessful migration at the consumer’s premises, or a successful migration </w:t>
      </w:r>
      <w:r w:rsidR="00C4766F">
        <w:rPr>
          <w:rFonts w:ascii="Times New Roman" w:hAnsi="Times New Roman" w:cs="Times New Roman"/>
        </w:rPr>
        <w:t xml:space="preserve">where </w:t>
      </w:r>
      <w:r w:rsidR="00B77E74">
        <w:rPr>
          <w:rFonts w:ascii="Times New Roman" w:hAnsi="Times New Roman" w:cs="Times New Roman"/>
        </w:rPr>
        <w:t>the consumer’s NBN service is not operational, respectively</w:t>
      </w:r>
      <w:r>
        <w:rPr>
          <w:rFonts w:ascii="Times New Roman" w:hAnsi="Times New Roman" w:cs="Times New Roman"/>
        </w:rPr>
        <w:t xml:space="preserve"> (the </w:t>
      </w:r>
      <w:r w:rsidRPr="00FF6FA6">
        <w:rPr>
          <w:rFonts w:ascii="Times New Roman" w:hAnsi="Times New Roman" w:cs="Times New Roman"/>
          <w:b/>
          <w:bCs/>
        </w:rPr>
        <w:t>relevant day</w:t>
      </w:r>
      <w:r>
        <w:rPr>
          <w:rFonts w:ascii="Times New Roman" w:hAnsi="Times New Roman" w:cs="Times New Roman"/>
        </w:rPr>
        <w:t>)</w:t>
      </w:r>
      <w:r w:rsidR="00B77E74">
        <w:rPr>
          <w:rFonts w:ascii="Times New Roman" w:hAnsi="Times New Roman" w:cs="Times New Roman"/>
        </w:rPr>
        <w:t>.</w:t>
      </w:r>
    </w:p>
    <w:p w14:paraId="08ED8630" w14:textId="77777777" w:rsidR="00B77E74" w:rsidRDefault="00B77E74" w:rsidP="00B77E74">
      <w:pPr>
        <w:contextualSpacing/>
        <w:rPr>
          <w:rFonts w:ascii="Times New Roman" w:hAnsi="Times New Roman" w:cs="Times New Roman"/>
        </w:rPr>
      </w:pPr>
    </w:p>
    <w:p w14:paraId="1B419863" w14:textId="509D7347" w:rsidR="00B77E74" w:rsidRDefault="00B77E74" w:rsidP="00B77E74">
      <w:pPr>
        <w:contextualSpacing/>
        <w:rPr>
          <w:rFonts w:ascii="Times New Roman" w:hAnsi="Times New Roman" w:cs="Times New Roman"/>
        </w:rPr>
      </w:pPr>
      <w:r>
        <w:rPr>
          <w:rFonts w:ascii="Times New Roman" w:hAnsi="Times New Roman" w:cs="Times New Roman"/>
        </w:rPr>
        <w:t xml:space="preserve">An exception to the requirement </w:t>
      </w:r>
      <w:r w:rsidR="00B40912">
        <w:rPr>
          <w:rFonts w:ascii="Times New Roman" w:hAnsi="Times New Roman" w:cs="Times New Roman"/>
        </w:rPr>
        <w:t xml:space="preserve">in subsection 23(1) </w:t>
      </w:r>
      <w:r>
        <w:rPr>
          <w:rFonts w:ascii="Times New Roman" w:hAnsi="Times New Roman" w:cs="Times New Roman"/>
        </w:rPr>
        <w:t xml:space="preserve">for an NBN CSP to prepare a remedial plan </w:t>
      </w:r>
      <w:r w:rsidR="009645C3">
        <w:rPr>
          <w:rFonts w:ascii="Times New Roman" w:hAnsi="Times New Roman" w:cs="Times New Roman"/>
        </w:rPr>
        <w:t xml:space="preserve">has been added </w:t>
      </w:r>
      <w:r>
        <w:rPr>
          <w:rFonts w:ascii="Times New Roman" w:hAnsi="Times New Roman" w:cs="Times New Roman"/>
        </w:rPr>
        <w:t xml:space="preserve">at </w:t>
      </w:r>
      <w:r w:rsidR="009150D4">
        <w:rPr>
          <w:rFonts w:ascii="Times New Roman" w:hAnsi="Times New Roman" w:cs="Times New Roman"/>
        </w:rPr>
        <w:t xml:space="preserve">subsection </w:t>
      </w:r>
      <w:r>
        <w:rPr>
          <w:rFonts w:ascii="Times New Roman" w:hAnsi="Times New Roman" w:cs="Times New Roman"/>
        </w:rPr>
        <w:t>23(2)</w:t>
      </w:r>
      <w:r w:rsidR="009645C3">
        <w:rPr>
          <w:rFonts w:ascii="Times New Roman" w:hAnsi="Times New Roman" w:cs="Times New Roman"/>
        </w:rPr>
        <w:t xml:space="preserve">.  The exception </w:t>
      </w:r>
      <w:r>
        <w:rPr>
          <w:rFonts w:ascii="Times New Roman" w:hAnsi="Times New Roman" w:cs="Times New Roman"/>
        </w:rPr>
        <w:t xml:space="preserve">applies where the NBN CSP has provided the consumer with </w:t>
      </w:r>
      <w:r w:rsidR="00757C78">
        <w:rPr>
          <w:rFonts w:ascii="Times New Roman" w:hAnsi="Times New Roman" w:cs="Times New Roman"/>
        </w:rPr>
        <w:t>all</w:t>
      </w:r>
      <w:r>
        <w:rPr>
          <w:rFonts w:ascii="Times New Roman" w:hAnsi="Times New Roman" w:cs="Times New Roman"/>
        </w:rPr>
        <w:t xml:space="preserve"> the information in subsection 23(4) during the period of 23 working days from the NBN CSP becoming aware of an event in paragraph</w:t>
      </w:r>
      <w:r w:rsidR="00C32190">
        <w:rPr>
          <w:rFonts w:ascii="Times New Roman" w:hAnsi="Times New Roman" w:cs="Times New Roman"/>
        </w:rPr>
        <w:t>s</w:t>
      </w:r>
      <w:r>
        <w:rPr>
          <w:rFonts w:ascii="Times New Roman" w:hAnsi="Times New Roman" w:cs="Times New Roman"/>
        </w:rPr>
        <w:t xml:space="preserve"> </w:t>
      </w:r>
      <w:r w:rsidR="009645C3">
        <w:rPr>
          <w:rFonts w:ascii="Times New Roman" w:hAnsi="Times New Roman" w:cs="Times New Roman"/>
        </w:rPr>
        <w:t>23(</w:t>
      </w:r>
      <w:r>
        <w:rPr>
          <w:rFonts w:ascii="Times New Roman" w:hAnsi="Times New Roman" w:cs="Times New Roman"/>
        </w:rPr>
        <w:t>1</w:t>
      </w:r>
      <w:r w:rsidR="009645C3">
        <w:rPr>
          <w:rFonts w:ascii="Times New Roman" w:hAnsi="Times New Roman" w:cs="Times New Roman"/>
        </w:rPr>
        <w:t>)</w:t>
      </w:r>
      <w:r>
        <w:rPr>
          <w:rFonts w:ascii="Times New Roman" w:hAnsi="Times New Roman" w:cs="Times New Roman"/>
        </w:rPr>
        <w:t xml:space="preserve">(a) or (b). </w:t>
      </w:r>
      <w:r w:rsidR="009645C3">
        <w:rPr>
          <w:rFonts w:ascii="Times New Roman" w:hAnsi="Times New Roman" w:cs="Times New Roman"/>
        </w:rPr>
        <w:t xml:space="preserve">Paragraph </w:t>
      </w:r>
      <w:r w:rsidR="00DD121C">
        <w:rPr>
          <w:rFonts w:ascii="Times New Roman" w:hAnsi="Times New Roman" w:cs="Times New Roman"/>
        </w:rPr>
        <w:t>23</w:t>
      </w:r>
      <w:r w:rsidR="009645C3">
        <w:rPr>
          <w:rFonts w:ascii="Times New Roman" w:hAnsi="Times New Roman" w:cs="Times New Roman"/>
        </w:rPr>
        <w:t>(</w:t>
      </w:r>
      <w:r w:rsidR="00DD121C">
        <w:rPr>
          <w:rFonts w:ascii="Times New Roman" w:hAnsi="Times New Roman" w:cs="Times New Roman"/>
        </w:rPr>
        <w:t>2</w:t>
      </w:r>
      <w:r w:rsidR="009645C3">
        <w:rPr>
          <w:rFonts w:ascii="Times New Roman" w:hAnsi="Times New Roman" w:cs="Times New Roman"/>
        </w:rPr>
        <w:t>)(b) further provides that f</w:t>
      </w:r>
      <w:r>
        <w:rPr>
          <w:rFonts w:ascii="Times New Roman" w:hAnsi="Times New Roman" w:cs="Times New Roman"/>
        </w:rPr>
        <w:t xml:space="preserve">or an NBN CSP to rely on this exception, </w:t>
      </w:r>
      <w:r w:rsidR="009645C3">
        <w:rPr>
          <w:rFonts w:ascii="Times New Roman" w:hAnsi="Times New Roman" w:cs="Times New Roman"/>
        </w:rPr>
        <w:t xml:space="preserve">the </w:t>
      </w:r>
      <w:r>
        <w:rPr>
          <w:rFonts w:ascii="Times New Roman" w:hAnsi="Times New Roman" w:cs="Times New Roman"/>
        </w:rPr>
        <w:t xml:space="preserve">information </w:t>
      </w:r>
      <w:r w:rsidR="009645C3">
        <w:rPr>
          <w:rFonts w:ascii="Times New Roman" w:hAnsi="Times New Roman" w:cs="Times New Roman"/>
        </w:rPr>
        <w:t xml:space="preserve">referred to in paragraph (a) must </w:t>
      </w:r>
      <w:r>
        <w:rPr>
          <w:rFonts w:ascii="Times New Roman" w:hAnsi="Times New Roman" w:cs="Times New Roman"/>
        </w:rPr>
        <w:t xml:space="preserve">continue to be accurate at the end of the relevant day. </w:t>
      </w:r>
    </w:p>
    <w:p w14:paraId="3E7FC33D" w14:textId="77777777" w:rsidR="00B77E74" w:rsidRDefault="00B77E74" w:rsidP="00B77E74">
      <w:pPr>
        <w:contextualSpacing/>
        <w:rPr>
          <w:rFonts w:ascii="Times New Roman" w:hAnsi="Times New Roman" w:cs="Times New Roman"/>
        </w:rPr>
      </w:pPr>
    </w:p>
    <w:p w14:paraId="4671DA9E" w14:textId="3F96673A" w:rsidR="00B77E74" w:rsidRDefault="009645C3" w:rsidP="00B77E74">
      <w:pPr>
        <w:contextualSpacing/>
        <w:rPr>
          <w:rFonts w:ascii="Times New Roman" w:hAnsi="Times New Roman" w:cs="Times New Roman"/>
        </w:rPr>
      </w:pPr>
      <w:r>
        <w:rPr>
          <w:rFonts w:ascii="Times New Roman" w:hAnsi="Times New Roman" w:cs="Times New Roman"/>
        </w:rPr>
        <w:t>S</w:t>
      </w:r>
      <w:r w:rsidR="00571749">
        <w:rPr>
          <w:rFonts w:ascii="Times New Roman" w:hAnsi="Times New Roman" w:cs="Times New Roman"/>
        </w:rPr>
        <w:t>ub</w:t>
      </w:r>
      <w:r w:rsidR="00B77E74">
        <w:rPr>
          <w:rFonts w:ascii="Times New Roman" w:hAnsi="Times New Roman" w:cs="Times New Roman"/>
        </w:rPr>
        <w:t>section 23(4) has been amended to clarify that the information under paragraphs (a) and (b) is only required to be provided to a consumer if the consumer requests that information. NBN CSPs may still choose to proactively provide this information to consumers if they choose.</w:t>
      </w:r>
    </w:p>
    <w:p w14:paraId="18DCC8FA" w14:textId="77777777" w:rsidR="00B77E74" w:rsidRDefault="00B77E74" w:rsidP="00B77E74">
      <w:pPr>
        <w:contextualSpacing/>
        <w:rPr>
          <w:rFonts w:ascii="Times New Roman" w:hAnsi="Times New Roman" w:cs="Times New Roman"/>
        </w:rPr>
      </w:pPr>
    </w:p>
    <w:p w14:paraId="4832D7B7" w14:textId="1F9A1887" w:rsidR="008950B5" w:rsidRDefault="00B77E74">
      <w:pPr>
        <w:contextualSpacing/>
        <w:rPr>
          <w:rFonts w:ascii="Times New Roman" w:hAnsi="Times New Roman" w:cs="Times New Roman"/>
        </w:rPr>
      </w:pPr>
      <w:r>
        <w:rPr>
          <w:rFonts w:ascii="Times New Roman" w:hAnsi="Times New Roman" w:cs="Times New Roman"/>
        </w:rPr>
        <w:lastRenderedPageBreak/>
        <w:t xml:space="preserve">A minor amendment to subsection 23(7) has been included to provide an exception to the requirement for an NBN CSP to prepare a technical audit where NBN Co has not </w:t>
      </w:r>
      <w:r w:rsidR="000F5E09">
        <w:rPr>
          <w:rFonts w:ascii="Times New Roman" w:hAnsi="Times New Roman" w:cs="Times New Roman"/>
        </w:rPr>
        <w:t xml:space="preserve">completed </w:t>
      </w:r>
      <w:r>
        <w:rPr>
          <w:rFonts w:ascii="Times New Roman" w:hAnsi="Times New Roman" w:cs="Times New Roman"/>
        </w:rPr>
        <w:t>the remediation steps that would be necessary for the NBN service to be operational. This</w:t>
      </w:r>
      <w:r w:rsidR="009B324C">
        <w:rPr>
          <w:rFonts w:ascii="Times New Roman" w:hAnsi="Times New Roman" w:cs="Times New Roman"/>
        </w:rPr>
        <w:t xml:space="preserve"> </w:t>
      </w:r>
      <w:r>
        <w:rPr>
          <w:rFonts w:ascii="Times New Roman" w:hAnsi="Times New Roman" w:cs="Times New Roman"/>
        </w:rPr>
        <w:t>recognise</w:t>
      </w:r>
      <w:r w:rsidR="009B324C">
        <w:rPr>
          <w:rFonts w:ascii="Times New Roman" w:hAnsi="Times New Roman" w:cs="Times New Roman"/>
        </w:rPr>
        <w:t>s</w:t>
      </w:r>
      <w:r>
        <w:rPr>
          <w:rFonts w:ascii="Times New Roman" w:hAnsi="Times New Roman" w:cs="Times New Roman"/>
        </w:rPr>
        <w:t xml:space="preserve"> that an NBN CSP should not be required to prepare a technical audit in circumstances where the unreasonable delay is not within the control of the NBN CSP. </w:t>
      </w:r>
    </w:p>
    <w:p w14:paraId="53D0FF0B" w14:textId="13D52336" w:rsidR="009645C3" w:rsidRDefault="009645C3">
      <w:pPr>
        <w:contextualSpacing/>
        <w:rPr>
          <w:rFonts w:ascii="Times New Roman" w:hAnsi="Times New Roman" w:cs="Times New Roman"/>
        </w:rPr>
      </w:pPr>
    </w:p>
    <w:p w14:paraId="72B49CC4" w14:textId="75ABC157" w:rsidR="009645C3" w:rsidRDefault="009645C3">
      <w:pPr>
        <w:contextualSpacing/>
        <w:rPr>
          <w:rFonts w:ascii="Times New Roman" w:hAnsi="Times New Roman" w:cs="Times New Roman"/>
        </w:rPr>
      </w:pPr>
      <w:r>
        <w:rPr>
          <w:rFonts w:ascii="Times New Roman" w:hAnsi="Times New Roman" w:cs="Times New Roman"/>
        </w:rPr>
        <w:t>Subsection 23(8) has been amended to provide that NBN CSPs must keep records and make records available to the ACMA to demonstrate compliance with new subsections (1), (2), (3) and (5)</w:t>
      </w:r>
      <w:r w:rsidR="0005149C">
        <w:rPr>
          <w:rFonts w:ascii="Times New Roman" w:hAnsi="Times New Roman" w:cs="Times New Roman"/>
        </w:rPr>
        <w:t>.</w:t>
      </w:r>
    </w:p>
    <w:p w14:paraId="14E9B6C8" w14:textId="77777777" w:rsidR="008950B5" w:rsidRDefault="008950B5">
      <w:pPr>
        <w:spacing w:line="259" w:lineRule="auto"/>
        <w:rPr>
          <w:rFonts w:ascii="Times New Roman" w:hAnsi="Times New Roman" w:cs="Times New Roman"/>
        </w:rPr>
      </w:pPr>
      <w:r>
        <w:rPr>
          <w:rFonts w:ascii="Times New Roman" w:hAnsi="Times New Roman" w:cs="Times New Roman"/>
        </w:rPr>
        <w:br w:type="page"/>
      </w:r>
    </w:p>
    <w:p w14:paraId="6515E0D5" w14:textId="77777777" w:rsidR="008950B5" w:rsidRDefault="008950B5" w:rsidP="008950B5">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B</w:t>
      </w:r>
    </w:p>
    <w:p w14:paraId="135F44D7" w14:textId="77777777" w:rsidR="008950B5" w:rsidRDefault="008950B5" w:rsidP="008950B5">
      <w:pPr>
        <w:jc w:val="center"/>
        <w:rPr>
          <w:rFonts w:ascii="Times New Roman" w:hAnsi="Times New Roman" w:cs="Times New Roman"/>
          <w:b/>
          <w:sz w:val="28"/>
          <w:szCs w:val="28"/>
        </w:rPr>
      </w:pPr>
      <w:r>
        <w:rPr>
          <w:rFonts w:ascii="Times New Roman" w:hAnsi="Times New Roman" w:cs="Times New Roman"/>
          <w:b/>
          <w:sz w:val="28"/>
          <w:szCs w:val="28"/>
        </w:rPr>
        <w:t>Statement of compatibility with human rights</w:t>
      </w:r>
    </w:p>
    <w:p w14:paraId="48E0B071" w14:textId="77777777" w:rsidR="008950B5" w:rsidRDefault="008950B5" w:rsidP="008950B5">
      <w:pPr>
        <w:jc w:val="center"/>
        <w:rPr>
          <w:rFonts w:ascii="Times New Roman" w:hAnsi="Times New Roman" w:cs="Times New Roman"/>
          <w:i/>
        </w:rPr>
      </w:pPr>
      <w:r>
        <w:rPr>
          <w:rFonts w:ascii="Times New Roman" w:hAnsi="Times New Roman" w:cs="Times New Roman"/>
        </w:rPr>
        <w:t xml:space="preserve">Prepared by the Australian Communications and Media Authority under subsection 9(1) of the </w:t>
      </w:r>
      <w:r>
        <w:rPr>
          <w:rFonts w:ascii="Times New Roman" w:hAnsi="Times New Roman" w:cs="Times New Roman"/>
          <w:i/>
        </w:rPr>
        <w:t>Human Rights (Parliamentary Scrutiny) Act 2011</w:t>
      </w:r>
    </w:p>
    <w:p w14:paraId="6EDDABB3" w14:textId="57FB48D1" w:rsidR="008950B5" w:rsidRPr="00332F74" w:rsidRDefault="008950B5" w:rsidP="008950B5">
      <w:pPr>
        <w:spacing w:before="120" w:after="0"/>
        <w:jc w:val="center"/>
        <w:rPr>
          <w:rFonts w:ascii="Times New Roman" w:hAnsi="Times New Roman" w:cs="Times New Roman"/>
          <w:b/>
          <w:i/>
          <w:sz w:val="24"/>
          <w:szCs w:val="24"/>
        </w:rPr>
      </w:pPr>
      <w:r w:rsidRPr="00332F74">
        <w:rPr>
          <w:rFonts w:ascii="Times New Roman" w:hAnsi="Times New Roman" w:cs="Times New Roman"/>
          <w:b/>
          <w:i/>
          <w:sz w:val="24"/>
          <w:szCs w:val="24"/>
        </w:rPr>
        <w:t>Telecommunications</w:t>
      </w:r>
      <w:r>
        <w:rPr>
          <w:rFonts w:ascii="Times New Roman" w:hAnsi="Times New Roman" w:cs="Times New Roman"/>
          <w:b/>
          <w:i/>
          <w:sz w:val="24"/>
          <w:szCs w:val="24"/>
        </w:rPr>
        <w:t xml:space="preserve"> </w:t>
      </w:r>
      <w:r w:rsidRPr="00332F74">
        <w:rPr>
          <w:rFonts w:ascii="Times New Roman" w:hAnsi="Times New Roman" w:cs="Times New Roman"/>
          <w:b/>
          <w:i/>
          <w:sz w:val="24"/>
          <w:szCs w:val="24"/>
        </w:rPr>
        <w:t xml:space="preserve">(NBN </w:t>
      </w:r>
      <w:r>
        <w:rPr>
          <w:rFonts w:ascii="Times New Roman" w:hAnsi="Times New Roman" w:cs="Times New Roman"/>
          <w:b/>
          <w:i/>
          <w:sz w:val="24"/>
          <w:szCs w:val="24"/>
        </w:rPr>
        <w:t>Continuity of Service</w:t>
      </w:r>
      <w:r w:rsidRPr="00332F74">
        <w:rPr>
          <w:rFonts w:ascii="Times New Roman" w:hAnsi="Times New Roman" w:cs="Times New Roman"/>
          <w:b/>
          <w:i/>
          <w:sz w:val="24"/>
          <w:szCs w:val="24"/>
        </w:rPr>
        <w:t>)</w:t>
      </w:r>
      <w:r>
        <w:rPr>
          <w:rFonts w:ascii="Times New Roman" w:hAnsi="Times New Roman" w:cs="Times New Roman"/>
          <w:b/>
          <w:i/>
          <w:sz w:val="24"/>
          <w:szCs w:val="24"/>
        </w:rPr>
        <w:t xml:space="preserve"> Industry Standard Variation </w:t>
      </w:r>
      <w:r w:rsidR="004F68F2" w:rsidRPr="00332F74">
        <w:rPr>
          <w:rFonts w:ascii="Times New Roman" w:hAnsi="Times New Roman" w:cs="Times New Roman"/>
          <w:b/>
          <w:i/>
          <w:sz w:val="24"/>
          <w:szCs w:val="24"/>
        </w:rPr>
        <w:t>20</w:t>
      </w:r>
      <w:r w:rsidR="004F68F2">
        <w:rPr>
          <w:rFonts w:ascii="Times New Roman" w:hAnsi="Times New Roman" w:cs="Times New Roman"/>
          <w:b/>
          <w:i/>
          <w:sz w:val="24"/>
          <w:szCs w:val="24"/>
        </w:rPr>
        <w:t>20 </w:t>
      </w:r>
      <w:r>
        <w:rPr>
          <w:rFonts w:ascii="Times New Roman" w:hAnsi="Times New Roman" w:cs="Times New Roman"/>
          <w:b/>
          <w:i/>
          <w:sz w:val="24"/>
          <w:szCs w:val="24"/>
        </w:rPr>
        <w:t>(No</w:t>
      </w:r>
      <w:r w:rsidR="00584F8C">
        <w:rPr>
          <w:rFonts w:ascii="Times New Roman" w:hAnsi="Times New Roman" w:cs="Times New Roman"/>
          <w:b/>
          <w:i/>
          <w:sz w:val="24"/>
          <w:szCs w:val="24"/>
        </w:rPr>
        <w:t>. </w:t>
      </w:r>
      <w:r>
        <w:rPr>
          <w:rFonts w:ascii="Times New Roman" w:hAnsi="Times New Roman" w:cs="Times New Roman"/>
          <w:b/>
          <w:i/>
          <w:sz w:val="24"/>
          <w:szCs w:val="24"/>
        </w:rPr>
        <w:t>1)</w:t>
      </w:r>
    </w:p>
    <w:p w14:paraId="4910EB43" w14:textId="77777777" w:rsidR="008950B5" w:rsidRPr="00332F74" w:rsidRDefault="008950B5" w:rsidP="008950B5">
      <w:pPr>
        <w:spacing w:before="120"/>
        <w:rPr>
          <w:rFonts w:ascii="Times New Roman" w:hAnsi="Times New Roman" w:cs="Times New Roman"/>
          <w:b/>
          <w:i/>
          <w:sz w:val="24"/>
          <w:szCs w:val="24"/>
        </w:rPr>
      </w:pPr>
      <w:r w:rsidRPr="00332F74">
        <w:rPr>
          <w:rFonts w:ascii="Times New Roman" w:hAnsi="Times New Roman" w:cs="Times New Roman"/>
          <w:b/>
          <w:i/>
          <w:sz w:val="24"/>
          <w:szCs w:val="24"/>
        </w:rPr>
        <w:t>Overview of the instrument</w:t>
      </w:r>
    </w:p>
    <w:p w14:paraId="650B0BB8" w14:textId="59251FB0" w:rsidR="00C82380" w:rsidRPr="003D131C" w:rsidRDefault="00C82380" w:rsidP="00C82380">
      <w:pPr>
        <w:shd w:val="clear" w:color="auto" w:fill="FFFFFF"/>
        <w:spacing w:line="235" w:lineRule="atLeast"/>
        <w:rPr>
          <w:rFonts w:ascii="Calibri" w:eastAsia="Times New Roman" w:hAnsi="Calibri" w:cs="Calibri"/>
          <w:color w:val="000000"/>
          <w:lang w:eastAsia="en-AU"/>
        </w:rPr>
      </w:pPr>
      <w:r w:rsidRPr="0020061F">
        <w:rPr>
          <w:rFonts w:ascii="Times New Roman" w:eastAsia="Times New Roman" w:hAnsi="Times New Roman" w:cs="Times New Roman"/>
          <w:color w:val="000000"/>
          <w:szCs w:val="24"/>
          <w:lang w:eastAsia="en-AU"/>
        </w:rPr>
        <w:t xml:space="preserve">Subsection 125AA(1) of the Act provides that the ACMA may, by legislative instrument, determine a standard that applies to participants in a particular section of the telecommunications industry and </w:t>
      </w:r>
      <w:r w:rsidR="00F621C2">
        <w:rPr>
          <w:rFonts w:ascii="Times New Roman" w:eastAsia="Times New Roman" w:hAnsi="Times New Roman" w:cs="Times New Roman"/>
          <w:color w:val="000000"/>
          <w:szCs w:val="24"/>
          <w:lang w:eastAsia="en-AU"/>
        </w:rPr>
        <w:t xml:space="preserve">that </w:t>
      </w:r>
      <w:r w:rsidRPr="0020061F">
        <w:rPr>
          <w:rFonts w:ascii="Times New Roman" w:eastAsia="Times New Roman" w:hAnsi="Times New Roman" w:cs="Times New Roman"/>
          <w:color w:val="000000"/>
          <w:szCs w:val="24"/>
          <w:lang w:eastAsia="en-AU"/>
        </w:rPr>
        <w:t>deals with one or more matters relating to the telecommunications activities of those participants.</w:t>
      </w:r>
    </w:p>
    <w:p w14:paraId="73CD8634" w14:textId="77777777" w:rsidR="00C82380" w:rsidRPr="003D131C" w:rsidRDefault="00C82380" w:rsidP="00C82380">
      <w:pPr>
        <w:shd w:val="clear" w:color="auto" w:fill="FFFFFF"/>
        <w:spacing w:line="235" w:lineRule="atLeast"/>
        <w:rPr>
          <w:rFonts w:ascii="Calibri" w:eastAsia="Times New Roman" w:hAnsi="Calibri" w:cs="Calibri"/>
          <w:color w:val="000000"/>
          <w:lang w:eastAsia="en-AU"/>
        </w:rPr>
      </w:pPr>
      <w:r w:rsidRPr="0020061F">
        <w:rPr>
          <w:rFonts w:ascii="Times New Roman" w:eastAsia="Times New Roman" w:hAnsi="Times New Roman" w:cs="Times New Roman"/>
          <w:color w:val="000000"/>
          <w:szCs w:val="24"/>
          <w:lang w:eastAsia="en-AU"/>
        </w:rPr>
        <w:t>The Standard imposes requirements on NBN CSPs and NBN Co to take all reasonable steps within their control to manage the migration of a consumer’s legacy service to an NBN service in a way that minimises disruption to the continuous supply of carriage services to the consumer</w:t>
      </w:r>
      <w:r w:rsidRPr="003D131C">
        <w:rPr>
          <w:rFonts w:ascii="Calibri" w:eastAsia="Times New Roman" w:hAnsi="Calibri" w:cs="Calibri"/>
          <w:color w:val="000000"/>
          <w:lang w:eastAsia="en-AU"/>
        </w:rPr>
        <w:t>. </w:t>
      </w:r>
    </w:p>
    <w:p w14:paraId="23AA30F5" w14:textId="09764EB0" w:rsidR="008950B5" w:rsidRDefault="00C82380" w:rsidP="008950B5">
      <w:pPr>
        <w:pStyle w:val="Item"/>
        <w:spacing w:before="120" w:after="240" w:line="257" w:lineRule="auto"/>
        <w:ind w:left="0"/>
        <w:rPr>
          <w:szCs w:val="22"/>
        </w:rPr>
      </w:pPr>
      <w:r w:rsidRPr="0020061F">
        <w:rPr>
          <w:color w:val="000000"/>
          <w:szCs w:val="24"/>
        </w:rPr>
        <w:t>The Standard also imposes requirements on certain NBN CSPs and legacy CSPs to supply a consumer with a legacy service that is a voice service, a broadband service, or both, to their premises using a legacy network, or with an interim service where a consumer consents, in certain circumstances where it is not possible to obtain a working voice or broadband service using the NBN. </w:t>
      </w:r>
    </w:p>
    <w:p w14:paraId="34660386" w14:textId="079A9BF1" w:rsidR="00254733" w:rsidRPr="00254733" w:rsidRDefault="00254733" w:rsidP="00254733">
      <w:pPr>
        <w:pStyle w:val="Item"/>
        <w:spacing w:before="120" w:after="240" w:line="257" w:lineRule="auto"/>
        <w:ind w:left="0"/>
      </w:pPr>
      <w:r w:rsidRPr="00840F70">
        <w:rPr>
          <w:szCs w:val="22"/>
        </w:rPr>
        <w:t xml:space="preserve">The variations made </w:t>
      </w:r>
      <w:r w:rsidR="009B7A2A">
        <w:rPr>
          <w:szCs w:val="22"/>
        </w:rPr>
        <w:t xml:space="preserve">to the Standard </w:t>
      </w:r>
      <w:r w:rsidRPr="00840F70">
        <w:rPr>
          <w:szCs w:val="22"/>
        </w:rPr>
        <w:t xml:space="preserve">by the instrument are minor and designed to clarify some of the existing requirements or simplify some of the requirements on retail CSPs when migrating consumers to the NBN. </w:t>
      </w:r>
    </w:p>
    <w:p w14:paraId="5324EA10" w14:textId="77777777" w:rsidR="008950B5" w:rsidRPr="002466DE" w:rsidRDefault="008950B5" w:rsidP="008950B5">
      <w:pPr>
        <w:spacing w:before="120"/>
        <w:rPr>
          <w:rFonts w:ascii="Times New Roman" w:hAnsi="Times New Roman" w:cs="Times New Roman"/>
          <w:b/>
          <w:i/>
          <w:sz w:val="24"/>
          <w:szCs w:val="24"/>
        </w:rPr>
      </w:pPr>
      <w:r w:rsidRPr="006348FE">
        <w:rPr>
          <w:rFonts w:ascii="Times New Roman" w:hAnsi="Times New Roman" w:cs="Times New Roman"/>
          <w:b/>
          <w:i/>
          <w:sz w:val="24"/>
          <w:szCs w:val="24"/>
        </w:rPr>
        <w:t xml:space="preserve">Human </w:t>
      </w:r>
      <w:r w:rsidRPr="004D6D71">
        <w:rPr>
          <w:rFonts w:ascii="Times New Roman" w:hAnsi="Times New Roman" w:cs="Times New Roman"/>
          <w:b/>
          <w:i/>
          <w:sz w:val="24"/>
          <w:szCs w:val="24"/>
        </w:rPr>
        <w:t>rights implications</w:t>
      </w:r>
    </w:p>
    <w:p w14:paraId="600950E8" w14:textId="77777777" w:rsidR="007B6E62" w:rsidRPr="0029493D" w:rsidRDefault="007B6E62" w:rsidP="007B6E62">
      <w:pPr>
        <w:shd w:val="clear" w:color="auto" w:fill="FFFFFF"/>
        <w:spacing w:before="120" w:after="0" w:line="235" w:lineRule="atLeast"/>
        <w:rPr>
          <w:rFonts w:ascii="Calibri" w:eastAsia="Times New Roman" w:hAnsi="Calibri" w:cs="Times New Roman"/>
          <w:color w:val="000000"/>
          <w:lang w:eastAsia="en-AU"/>
        </w:rPr>
      </w:pPr>
      <w:r w:rsidRPr="00840F70">
        <w:rPr>
          <w:rFonts w:ascii="Times New Roman" w:eastAsia="Times New Roman" w:hAnsi="Times New Roman" w:cs="Times New Roman"/>
          <w:color w:val="000000"/>
          <w:szCs w:val="24"/>
          <w:lang w:eastAsia="en-AU"/>
        </w:rPr>
        <w:t xml:space="preserve">The ACMA has assessed whether the </w:t>
      </w:r>
      <w:r>
        <w:rPr>
          <w:rFonts w:ascii="Times New Roman" w:eastAsia="Times New Roman" w:hAnsi="Times New Roman" w:cs="Times New Roman"/>
          <w:color w:val="000000"/>
          <w:szCs w:val="24"/>
          <w:lang w:eastAsia="en-AU"/>
        </w:rPr>
        <w:t>instrument</w:t>
      </w:r>
      <w:r w:rsidRPr="00840F70">
        <w:rPr>
          <w:rFonts w:ascii="Times New Roman" w:eastAsia="Times New Roman" w:hAnsi="Times New Roman" w:cs="Times New Roman"/>
          <w:color w:val="000000"/>
          <w:szCs w:val="24"/>
          <w:lang w:eastAsia="en-AU"/>
        </w:rPr>
        <w:t xml:space="preserve"> is compatible with human rights, being the rights and freedoms recognised or declared by the international instruments listed in subsection 3(1) of the </w:t>
      </w:r>
      <w:r w:rsidRPr="00840F70">
        <w:rPr>
          <w:rFonts w:ascii="Times New Roman" w:eastAsia="Times New Roman" w:hAnsi="Times New Roman" w:cs="Times New Roman"/>
          <w:i/>
          <w:iCs/>
          <w:color w:val="000000"/>
          <w:szCs w:val="24"/>
          <w:lang w:eastAsia="en-AU"/>
        </w:rPr>
        <w:t>Human Rights (Parliamentary Scrutiny) Act 2011</w:t>
      </w:r>
      <w:r w:rsidRPr="00840F70">
        <w:rPr>
          <w:rFonts w:ascii="Times New Roman" w:eastAsia="Times New Roman" w:hAnsi="Times New Roman" w:cs="Times New Roman"/>
          <w:color w:val="000000"/>
          <w:szCs w:val="24"/>
          <w:lang w:eastAsia="en-AU"/>
        </w:rPr>
        <w:t> as they apply to Australia.</w:t>
      </w:r>
    </w:p>
    <w:p w14:paraId="6071CABE" w14:textId="77777777" w:rsidR="007B6E62" w:rsidRPr="0029493D" w:rsidRDefault="007B6E62" w:rsidP="007B6E62">
      <w:pPr>
        <w:shd w:val="clear" w:color="auto" w:fill="FFFFFF"/>
        <w:spacing w:before="120" w:after="0" w:line="235" w:lineRule="atLeast"/>
        <w:rPr>
          <w:rFonts w:ascii="Calibri" w:eastAsia="Times New Roman" w:hAnsi="Calibri" w:cs="Times New Roman"/>
          <w:color w:val="000000"/>
          <w:lang w:eastAsia="en-AU"/>
        </w:rPr>
      </w:pPr>
      <w:r w:rsidRPr="00840F70">
        <w:rPr>
          <w:rFonts w:ascii="Times New Roman" w:eastAsia="Times New Roman" w:hAnsi="Times New Roman" w:cs="Times New Roman"/>
          <w:color w:val="000000"/>
          <w:szCs w:val="24"/>
          <w:lang w:eastAsia="en-AU"/>
        </w:rPr>
        <w:t>Having considered the likely impact of the instrument and the nature of the applicable rights and freedoms, the ACMA has formed the view that the instrument does not raise any human rights issues requiring further discussion.</w:t>
      </w:r>
    </w:p>
    <w:p w14:paraId="087BBB89" w14:textId="77777777" w:rsidR="007B6E62" w:rsidRPr="00321C5D" w:rsidRDefault="007B6E62" w:rsidP="007B6E62">
      <w:pPr>
        <w:shd w:val="clear" w:color="auto" w:fill="FFFFFF"/>
        <w:spacing w:before="120" w:after="0" w:line="235" w:lineRule="atLeast"/>
        <w:rPr>
          <w:rFonts w:ascii="Calibri" w:eastAsia="Times New Roman" w:hAnsi="Calibri" w:cs="Times New Roman"/>
          <w:i/>
          <w:iCs/>
          <w:color w:val="000000"/>
          <w:sz w:val="24"/>
          <w:szCs w:val="24"/>
          <w:lang w:eastAsia="en-AU"/>
        </w:rPr>
      </w:pPr>
      <w:r w:rsidRPr="00321C5D">
        <w:rPr>
          <w:rFonts w:ascii="Times New Roman" w:eastAsia="Times New Roman" w:hAnsi="Times New Roman" w:cs="Times New Roman"/>
          <w:b/>
          <w:bCs/>
          <w:i/>
          <w:iCs/>
          <w:color w:val="000000"/>
          <w:sz w:val="24"/>
          <w:szCs w:val="24"/>
          <w:lang w:eastAsia="en-AU"/>
        </w:rPr>
        <w:t>Conclusion</w:t>
      </w:r>
    </w:p>
    <w:p w14:paraId="0DD62873" w14:textId="77777777" w:rsidR="007B6E62" w:rsidRPr="0029493D" w:rsidRDefault="007B6E62" w:rsidP="007B6E62">
      <w:pPr>
        <w:shd w:val="clear" w:color="auto" w:fill="FFFFFF"/>
        <w:spacing w:before="120" w:after="0" w:line="235" w:lineRule="atLeast"/>
        <w:jc w:val="both"/>
        <w:rPr>
          <w:rFonts w:ascii="Calibri" w:eastAsia="Times New Roman" w:hAnsi="Calibri" w:cs="Times New Roman"/>
          <w:color w:val="000000"/>
          <w:lang w:eastAsia="en-AU"/>
        </w:rPr>
      </w:pPr>
      <w:r w:rsidRPr="00840F70">
        <w:rPr>
          <w:rFonts w:ascii="Times New Roman" w:eastAsia="Times New Roman" w:hAnsi="Times New Roman" w:cs="Times New Roman"/>
          <w:color w:val="000000"/>
          <w:szCs w:val="24"/>
          <w:lang w:eastAsia="en-AU"/>
        </w:rPr>
        <w:t xml:space="preserve">The </w:t>
      </w:r>
      <w:r>
        <w:rPr>
          <w:rFonts w:ascii="Times New Roman" w:eastAsia="Times New Roman" w:hAnsi="Times New Roman" w:cs="Times New Roman"/>
          <w:color w:val="000000"/>
          <w:szCs w:val="24"/>
          <w:lang w:eastAsia="en-AU"/>
        </w:rPr>
        <w:t>instrument</w:t>
      </w:r>
      <w:r w:rsidRPr="00840F70">
        <w:rPr>
          <w:rFonts w:ascii="Times New Roman" w:eastAsia="Times New Roman" w:hAnsi="Times New Roman" w:cs="Times New Roman"/>
          <w:color w:val="000000"/>
          <w:szCs w:val="24"/>
          <w:lang w:eastAsia="en-AU"/>
        </w:rPr>
        <w:t xml:space="preserve"> is compatible with human rights as it does not raise any human rights issues requiring further discussion.</w:t>
      </w:r>
    </w:p>
    <w:p w14:paraId="75D08999" w14:textId="57115445" w:rsidR="008950B5" w:rsidRPr="00810F83" w:rsidRDefault="008950B5" w:rsidP="008950B5">
      <w:pPr>
        <w:spacing w:before="120" w:after="0"/>
        <w:rPr>
          <w:rFonts w:ascii="Times New Roman" w:hAnsi="Times New Roman" w:cs="Times New Roman"/>
        </w:rPr>
      </w:pPr>
    </w:p>
    <w:p w14:paraId="5C3B9782" w14:textId="77777777" w:rsidR="008950B5" w:rsidRPr="00C9550E" w:rsidRDefault="008950B5" w:rsidP="008950B5">
      <w:pPr>
        <w:jc w:val="center"/>
        <w:rPr>
          <w:rFonts w:ascii="Times New Roman" w:hAnsi="Times New Roman" w:cs="Times New Roman"/>
          <w:b/>
        </w:rPr>
      </w:pPr>
    </w:p>
    <w:p w14:paraId="753049D7" w14:textId="77777777" w:rsidR="008950B5" w:rsidRPr="00C9550E" w:rsidRDefault="008950B5" w:rsidP="008950B5">
      <w:pPr>
        <w:rPr>
          <w:rFonts w:ascii="Times New Roman" w:hAnsi="Times New Roman" w:cs="Times New Roman"/>
          <w:b/>
        </w:rPr>
      </w:pPr>
    </w:p>
    <w:p w14:paraId="588DA15C" w14:textId="77777777" w:rsidR="008950B5" w:rsidRPr="00446CB7" w:rsidRDefault="008950B5" w:rsidP="008950B5"/>
    <w:p w14:paraId="5A06C93A" w14:textId="2FB40D07" w:rsidR="00553D76" w:rsidRPr="003F5C75" w:rsidRDefault="00553D76">
      <w:pPr>
        <w:contextualSpacing/>
        <w:rPr>
          <w:rFonts w:ascii="Times New Roman" w:hAnsi="Times New Roman" w:cs="Times New Roman"/>
        </w:rPr>
      </w:pPr>
    </w:p>
    <w:sectPr w:rsidR="00553D76" w:rsidRPr="003F5C7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9EFB3" w14:textId="77777777" w:rsidR="002F2C28" w:rsidRDefault="002F2C28" w:rsidP="00BA2D78">
      <w:pPr>
        <w:spacing w:after="0" w:line="240" w:lineRule="auto"/>
      </w:pPr>
      <w:r>
        <w:separator/>
      </w:r>
    </w:p>
  </w:endnote>
  <w:endnote w:type="continuationSeparator" w:id="0">
    <w:p w14:paraId="31FB8A74" w14:textId="77777777" w:rsidR="002F2C28" w:rsidRDefault="002F2C28" w:rsidP="00BA2D78">
      <w:pPr>
        <w:spacing w:after="0" w:line="240" w:lineRule="auto"/>
      </w:pPr>
      <w:r>
        <w:continuationSeparator/>
      </w:r>
    </w:p>
  </w:endnote>
  <w:endnote w:type="continuationNotice" w:id="1">
    <w:p w14:paraId="59B06A9B" w14:textId="77777777" w:rsidR="002F2C28" w:rsidRDefault="002F2C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4235822"/>
      <w:docPartObj>
        <w:docPartGallery w:val="Page Numbers (Bottom of Page)"/>
        <w:docPartUnique/>
      </w:docPartObj>
    </w:sdtPr>
    <w:sdtEndPr>
      <w:rPr>
        <w:noProof/>
      </w:rPr>
    </w:sdtEndPr>
    <w:sdtContent>
      <w:p w14:paraId="2DBD9F23" w14:textId="77777777" w:rsidR="00553D76" w:rsidRPr="00321C5D" w:rsidRDefault="00553D76" w:rsidP="00321C5D">
        <w:pPr>
          <w:pStyle w:val="Footer"/>
          <w:pBdr>
            <w:top w:val="single" w:sz="4" w:space="1" w:color="auto"/>
          </w:pBdr>
          <w:jc w:val="center"/>
          <w:rPr>
            <w:rFonts w:ascii="Times New Roman" w:hAnsi="Times New Roman" w:cs="Times New Roman"/>
            <w:i/>
            <w:iCs/>
            <w:sz w:val="20"/>
            <w:szCs w:val="20"/>
          </w:rPr>
        </w:pPr>
        <w:r w:rsidRPr="00321C5D">
          <w:rPr>
            <w:rFonts w:ascii="Times New Roman" w:hAnsi="Times New Roman" w:cs="Times New Roman"/>
            <w:i/>
            <w:iCs/>
            <w:sz w:val="20"/>
            <w:szCs w:val="20"/>
          </w:rPr>
          <w:t>Explanatory Statement</w:t>
        </w:r>
      </w:p>
      <w:p w14:paraId="5E8EC9DF" w14:textId="0E910F99" w:rsidR="00553D76" w:rsidRPr="00B86EE6" w:rsidRDefault="00553D76" w:rsidP="005A041A">
        <w:pPr>
          <w:spacing w:after="0"/>
          <w:jc w:val="center"/>
          <w:rPr>
            <w:rFonts w:ascii="Times New Roman" w:hAnsi="Times New Roman" w:cs="Times New Roman"/>
            <w:i/>
            <w:iCs/>
            <w:sz w:val="20"/>
            <w:szCs w:val="20"/>
          </w:rPr>
        </w:pPr>
        <w:r w:rsidRPr="00B86EE6">
          <w:rPr>
            <w:rFonts w:ascii="Times New Roman" w:hAnsi="Times New Roman" w:cs="Times New Roman"/>
            <w:i/>
            <w:iCs/>
            <w:sz w:val="20"/>
            <w:szCs w:val="20"/>
          </w:rPr>
          <w:t xml:space="preserve">Telecommunications </w:t>
        </w:r>
        <w:r>
          <w:rPr>
            <w:rFonts w:ascii="Times New Roman" w:hAnsi="Times New Roman" w:cs="Times New Roman"/>
            <w:i/>
            <w:iCs/>
            <w:sz w:val="20"/>
            <w:szCs w:val="20"/>
          </w:rPr>
          <w:t>(NBN Continuity of Service</w:t>
        </w:r>
        <w:r w:rsidRPr="00B86EE6">
          <w:rPr>
            <w:rFonts w:ascii="Times New Roman" w:hAnsi="Times New Roman" w:cs="Times New Roman"/>
            <w:i/>
            <w:iCs/>
            <w:sz w:val="20"/>
            <w:szCs w:val="20"/>
          </w:rPr>
          <w:t>) Industry Standard Variation 2020 (No. 1)</w:t>
        </w:r>
      </w:p>
      <w:p w14:paraId="5A347617" w14:textId="26E346C8" w:rsidR="00553D76" w:rsidRDefault="00553D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9AC282" w14:textId="77777777" w:rsidR="00553D76" w:rsidRDefault="00553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B1B46" w14:textId="77777777" w:rsidR="002F2C28" w:rsidRDefault="002F2C28" w:rsidP="00BA2D78">
      <w:pPr>
        <w:spacing w:after="0" w:line="240" w:lineRule="auto"/>
      </w:pPr>
      <w:r>
        <w:separator/>
      </w:r>
    </w:p>
  </w:footnote>
  <w:footnote w:type="continuationSeparator" w:id="0">
    <w:p w14:paraId="4F2BB775" w14:textId="77777777" w:rsidR="002F2C28" w:rsidRDefault="002F2C28" w:rsidP="00BA2D78">
      <w:pPr>
        <w:spacing w:after="0" w:line="240" w:lineRule="auto"/>
      </w:pPr>
      <w:r>
        <w:continuationSeparator/>
      </w:r>
    </w:p>
  </w:footnote>
  <w:footnote w:type="continuationNotice" w:id="1">
    <w:p w14:paraId="71119FA5" w14:textId="77777777" w:rsidR="002F2C28" w:rsidRDefault="002F2C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0D59"/>
    <w:multiLevelType w:val="hybridMultilevel"/>
    <w:tmpl w:val="7886469E"/>
    <w:lvl w:ilvl="0" w:tplc="0C090001">
      <w:start w:val="1"/>
      <w:numFmt w:val="bullet"/>
      <w:lvlText w:val=""/>
      <w:lvlJc w:val="left"/>
      <w:pPr>
        <w:ind w:left="1080" w:hanging="360"/>
      </w:pPr>
      <w:rPr>
        <w:rFonts w:ascii="Symbol" w:hAnsi="Symbol" w:cs="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1382092B"/>
    <w:multiLevelType w:val="hybridMultilevel"/>
    <w:tmpl w:val="8332BC82"/>
    <w:lvl w:ilvl="0" w:tplc="7250E21A">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18982AAC"/>
    <w:multiLevelType w:val="hybridMultilevel"/>
    <w:tmpl w:val="6E787F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967A05"/>
    <w:multiLevelType w:val="hybridMultilevel"/>
    <w:tmpl w:val="DF9AD164"/>
    <w:lvl w:ilvl="0" w:tplc="7250E21A">
      <w:start w:val="1"/>
      <w:numFmt w:val="lowerLetter"/>
      <w:lvlText w:val="(%1)"/>
      <w:lvlJc w:val="left"/>
      <w:pPr>
        <w:ind w:left="778" w:hanging="360"/>
      </w:pPr>
      <w:rPr>
        <w:rFonts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 w15:restartNumberingAfterBreak="0">
    <w:nsid w:val="373A6217"/>
    <w:multiLevelType w:val="hybridMultilevel"/>
    <w:tmpl w:val="1E420BC8"/>
    <w:lvl w:ilvl="0" w:tplc="161A54B2">
      <w:start w:val="1"/>
      <w:numFmt w:val="lowerLetter"/>
      <w:lvlText w:val="(%1)"/>
      <w:lvlJc w:val="left"/>
      <w:pPr>
        <w:ind w:left="720" w:hanging="360"/>
      </w:pPr>
      <w:rPr>
        <w:rFonts w:hint="default"/>
      </w:rPr>
    </w:lvl>
    <w:lvl w:ilvl="1" w:tplc="292020DE">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3503D8"/>
    <w:multiLevelType w:val="hybridMultilevel"/>
    <w:tmpl w:val="1E420BC8"/>
    <w:lvl w:ilvl="0" w:tplc="161A54B2">
      <w:start w:val="1"/>
      <w:numFmt w:val="lowerLetter"/>
      <w:lvlText w:val="(%1)"/>
      <w:lvlJc w:val="left"/>
      <w:pPr>
        <w:ind w:left="720" w:hanging="360"/>
      </w:pPr>
      <w:rPr>
        <w:rFonts w:hint="default"/>
      </w:rPr>
    </w:lvl>
    <w:lvl w:ilvl="1" w:tplc="292020DE">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3A593B"/>
    <w:multiLevelType w:val="hybridMultilevel"/>
    <w:tmpl w:val="D5C8142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67711780"/>
    <w:multiLevelType w:val="hybridMultilevel"/>
    <w:tmpl w:val="5AB4080E"/>
    <w:lvl w:ilvl="0" w:tplc="161A54B2">
      <w:start w:val="1"/>
      <w:numFmt w:val="lowerLetter"/>
      <w:lvlText w:val="(%1)"/>
      <w:lvlJc w:val="left"/>
      <w:pPr>
        <w:ind w:left="720" w:hanging="360"/>
      </w:pPr>
      <w:rPr>
        <w:rFonts w:hint="default"/>
      </w:rPr>
    </w:lvl>
    <w:lvl w:ilvl="1" w:tplc="5BC61974">
      <w:start w:val="1"/>
      <w:numFmt w:val="decimal"/>
      <w:lvlText w:val="%2."/>
      <w:lvlJc w:val="left"/>
      <w:pPr>
        <w:ind w:left="1958" w:hanging="878"/>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FD7B00"/>
    <w:multiLevelType w:val="hybridMultilevel"/>
    <w:tmpl w:val="05C226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8445078">
      <w:start w:val="3"/>
      <w:numFmt w:val="bullet"/>
      <w:lvlText w:val="-"/>
      <w:lvlJc w:val="left"/>
      <w:pPr>
        <w:ind w:left="2160" w:hanging="360"/>
      </w:pPr>
      <w:rPr>
        <w:rFonts w:ascii="Times New Roman" w:eastAsia="Times New Roman"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E016D2"/>
    <w:multiLevelType w:val="hybridMultilevel"/>
    <w:tmpl w:val="65F85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DA920DC"/>
    <w:multiLevelType w:val="hybridMultilevel"/>
    <w:tmpl w:val="B4CC9E00"/>
    <w:lvl w:ilvl="0" w:tplc="7250E21A">
      <w:start w:val="1"/>
      <w:numFmt w:val="lowerLetter"/>
      <w:lvlText w:val="(%1)"/>
      <w:lvlJc w:val="left"/>
      <w:pPr>
        <w:ind w:left="778" w:hanging="360"/>
      </w:pPr>
      <w:rPr>
        <w:rFonts w:hint="default"/>
      </w:rPr>
    </w:lvl>
    <w:lvl w:ilvl="1" w:tplc="292020DE">
      <w:start w:val="1"/>
      <w:numFmt w:val="lowerRoman"/>
      <w:lvlText w:val="(%2)"/>
      <w:lvlJc w:val="right"/>
      <w:pPr>
        <w:ind w:left="1498" w:hanging="360"/>
      </w:pPr>
      <w:rPr>
        <w:rFonts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num w:numId="1">
    <w:abstractNumId w:val="3"/>
  </w:num>
  <w:num w:numId="2">
    <w:abstractNumId w:val="10"/>
  </w:num>
  <w:num w:numId="3">
    <w:abstractNumId w:val="7"/>
  </w:num>
  <w:num w:numId="4">
    <w:abstractNumId w:val="4"/>
  </w:num>
  <w:num w:numId="5">
    <w:abstractNumId w:val="6"/>
  </w:num>
  <w:num w:numId="6">
    <w:abstractNumId w:val="8"/>
  </w:num>
  <w:num w:numId="7">
    <w:abstractNumId w:val="0"/>
  </w:num>
  <w:num w:numId="8">
    <w:abstractNumId w:val="1"/>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89F"/>
    <w:rsid w:val="000118B4"/>
    <w:rsid w:val="00016FFE"/>
    <w:rsid w:val="00017D4A"/>
    <w:rsid w:val="00020375"/>
    <w:rsid w:val="00022453"/>
    <w:rsid w:val="00027FD0"/>
    <w:rsid w:val="00033982"/>
    <w:rsid w:val="000355DE"/>
    <w:rsid w:val="00042049"/>
    <w:rsid w:val="00043B28"/>
    <w:rsid w:val="000453ED"/>
    <w:rsid w:val="0005149C"/>
    <w:rsid w:val="00051C84"/>
    <w:rsid w:val="00052237"/>
    <w:rsid w:val="00054FF9"/>
    <w:rsid w:val="00061DE8"/>
    <w:rsid w:val="000675CA"/>
    <w:rsid w:val="000679A2"/>
    <w:rsid w:val="00070A04"/>
    <w:rsid w:val="0008233B"/>
    <w:rsid w:val="00092CF8"/>
    <w:rsid w:val="00097A3F"/>
    <w:rsid w:val="000D2A81"/>
    <w:rsid w:val="000E020F"/>
    <w:rsid w:val="000F5289"/>
    <w:rsid w:val="000F5E09"/>
    <w:rsid w:val="000F74CB"/>
    <w:rsid w:val="001015BF"/>
    <w:rsid w:val="00102820"/>
    <w:rsid w:val="00132F09"/>
    <w:rsid w:val="001515F5"/>
    <w:rsid w:val="001550F1"/>
    <w:rsid w:val="00161CEA"/>
    <w:rsid w:val="00163FF1"/>
    <w:rsid w:val="00166E76"/>
    <w:rsid w:val="001721D2"/>
    <w:rsid w:val="00172F0A"/>
    <w:rsid w:val="001745FE"/>
    <w:rsid w:val="00174D33"/>
    <w:rsid w:val="0018398B"/>
    <w:rsid w:val="00183DAF"/>
    <w:rsid w:val="001B1D24"/>
    <w:rsid w:val="001B29E1"/>
    <w:rsid w:val="001B6012"/>
    <w:rsid w:val="001C10E7"/>
    <w:rsid w:val="001C48DF"/>
    <w:rsid w:val="001C5C07"/>
    <w:rsid w:val="001F3509"/>
    <w:rsid w:val="001F5892"/>
    <w:rsid w:val="0020061F"/>
    <w:rsid w:val="002078B9"/>
    <w:rsid w:val="0021026E"/>
    <w:rsid w:val="00212EA9"/>
    <w:rsid w:val="00215D15"/>
    <w:rsid w:val="00220931"/>
    <w:rsid w:val="002261F1"/>
    <w:rsid w:val="00233921"/>
    <w:rsid w:val="00234307"/>
    <w:rsid w:val="00250412"/>
    <w:rsid w:val="00254733"/>
    <w:rsid w:val="00272073"/>
    <w:rsid w:val="00285D1B"/>
    <w:rsid w:val="002B0B99"/>
    <w:rsid w:val="002B5A65"/>
    <w:rsid w:val="002B6102"/>
    <w:rsid w:val="002C27E1"/>
    <w:rsid w:val="002C2BE3"/>
    <w:rsid w:val="002C6D7D"/>
    <w:rsid w:val="002E5A44"/>
    <w:rsid w:val="002E5DE2"/>
    <w:rsid w:val="002F2C28"/>
    <w:rsid w:val="00301906"/>
    <w:rsid w:val="003035DA"/>
    <w:rsid w:val="00304031"/>
    <w:rsid w:val="00321C5D"/>
    <w:rsid w:val="00324A46"/>
    <w:rsid w:val="00326638"/>
    <w:rsid w:val="003315FE"/>
    <w:rsid w:val="00350EFE"/>
    <w:rsid w:val="003510EC"/>
    <w:rsid w:val="00351266"/>
    <w:rsid w:val="00351729"/>
    <w:rsid w:val="003541FC"/>
    <w:rsid w:val="003626BF"/>
    <w:rsid w:val="00363A2D"/>
    <w:rsid w:val="00367377"/>
    <w:rsid w:val="00372783"/>
    <w:rsid w:val="003729EA"/>
    <w:rsid w:val="00381F14"/>
    <w:rsid w:val="00384000"/>
    <w:rsid w:val="00390C21"/>
    <w:rsid w:val="0039460D"/>
    <w:rsid w:val="00395A28"/>
    <w:rsid w:val="00397C9F"/>
    <w:rsid w:val="003A0DEC"/>
    <w:rsid w:val="003A0ECB"/>
    <w:rsid w:val="003A53F7"/>
    <w:rsid w:val="003B16BA"/>
    <w:rsid w:val="003B22B8"/>
    <w:rsid w:val="003C0317"/>
    <w:rsid w:val="003D131C"/>
    <w:rsid w:val="003D402D"/>
    <w:rsid w:val="003D4CE5"/>
    <w:rsid w:val="003E65CD"/>
    <w:rsid w:val="003F5C75"/>
    <w:rsid w:val="00410494"/>
    <w:rsid w:val="00410A7F"/>
    <w:rsid w:val="004143A9"/>
    <w:rsid w:val="004216CA"/>
    <w:rsid w:val="00425E8F"/>
    <w:rsid w:val="00427400"/>
    <w:rsid w:val="00460AEB"/>
    <w:rsid w:val="004649BD"/>
    <w:rsid w:val="004774A1"/>
    <w:rsid w:val="004776D9"/>
    <w:rsid w:val="00484BF5"/>
    <w:rsid w:val="00485CF8"/>
    <w:rsid w:val="00492E8F"/>
    <w:rsid w:val="004A064B"/>
    <w:rsid w:val="004A5B97"/>
    <w:rsid w:val="004B551F"/>
    <w:rsid w:val="004D166B"/>
    <w:rsid w:val="004D1DD9"/>
    <w:rsid w:val="004D4337"/>
    <w:rsid w:val="004D5A41"/>
    <w:rsid w:val="004E0EB9"/>
    <w:rsid w:val="004E253B"/>
    <w:rsid w:val="004E3F58"/>
    <w:rsid w:val="004E6E97"/>
    <w:rsid w:val="004F2223"/>
    <w:rsid w:val="004F3D6E"/>
    <w:rsid w:val="004F68F2"/>
    <w:rsid w:val="00500B0E"/>
    <w:rsid w:val="00502CE2"/>
    <w:rsid w:val="00506699"/>
    <w:rsid w:val="00513E9E"/>
    <w:rsid w:val="00520C0A"/>
    <w:rsid w:val="00521EFF"/>
    <w:rsid w:val="00532478"/>
    <w:rsid w:val="00533415"/>
    <w:rsid w:val="00537F66"/>
    <w:rsid w:val="00545DB1"/>
    <w:rsid w:val="00553D76"/>
    <w:rsid w:val="00556FDB"/>
    <w:rsid w:val="00560746"/>
    <w:rsid w:val="00570005"/>
    <w:rsid w:val="00571749"/>
    <w:rsid w:val="00572992"/>
    <w:rsid w:val="005774E6"/>
    <w:rsid w:val="00584AD6"/>
    <w:rsid w:val="00584F8C"/>
    <w:rsid w:val="005A041A"/>
    <w:rsid w:val="005A223D"/>
    <w:rsid w:val="005A72C4"/>
    <w:rsid w:val="005B6713"/>
    <w:rsid w:val="005C1544"/>
    <w:rsid w:val="005C4325"/>
    <w:rsid w:val="005D7B9C"/>
    <w:rsid w:val="005E057A"/>
    <w:rsid w:val="005E789F"/>
    <w:rsid w:val="006048AB"/>
    <w:rsid w:val="006048D4"/>
    <w:rsid w:val="006061EF"/>
    <w:rsid w:val="006077AF"/>
    <w:rsid w:val="0061110E"/>
    <w:rsid w:val="006137D2"/>
    <w:rsid w:val="00620CF3"/>
    <w:rsid w:val="00622AF9"/>
    <w:rsid w:val="0062446D"/>
    <w:rsid w:val="0064003A"/>
    <w:rsid w:val="00641437"/>
    <w:rsid w:val="00677E82"/>
    <w:rsid w:val="00682FA1"/>
    <w:rsid w:val="00683BB6"/>
    <w:rsid w:val="0068782A"/>
    <w:rsid w:val="00694FD4"/>
    <w:rsid w:val="006A39D9"/>
    <w:rsid w:val="006B3816"/>
    <w:rsid w:val="006E48EB"/>
    <w:rsid w:val="006E55EE"/>
    <w:rsid w:val="006F1B17"/>
    <w:rsid w:val="006F6A85"/>
    <w:rsid w:val="007067A7"/>
    <w:rsid w:val="0071509F"/>
    <w:rsid w:val="00720504"/>
    <w:rsid w:val="007557F6"/>
    <w:rsid w:val="007575B2"/>
    <w:rsid w:val="00757C78"/>
    <w:rsid w:val="00792D12"/>
    <w:rsid w:val="007963ED"/>
    <w:rsid w:val="00796DE5"/>
    <w:rsid w:val="007B235C"/>
    <w:rsid w:val="007B6E62"/>
    <w:rsid w:val="007B741C"/>
    <w:rsid w:val="007C2C88"/>
    <w:rsid w:val="007C2FCB"/>
    <w:rsid w:val="007C3924"/>
    <w:rsid w:val="007D4CE1"/>
    <w:rsid w:val="007D5F94"/>
    <w:rsid w:val="007E58FE"/>
    <w:rsid w:val="00813DAD"/>
    <w:rsid w:val="00817405"/>
    <w:rsid w:val="008208EB"/>
    <w:rsid w:val="008236F3"/>
    <w:rsid w:val="0082427D"/>
    <w:rsid w:val="00827B3B"/>
    <w:rsid w:val="00847975"/>
    <w:rsid w:val="00850310"/>
    <w:rsid w:val="00851C9C"/>
    <w:rsid w:val="0086161F"/>
    <w:rsid w:val="008801AD"/>
    <w:rsid w:val="0088146E"/>
    <w:rsid w:val="00882402"/>
    <w:rsid w:val="0088621E"/>
    <w:rsid w:val="00891F31"/>
    <w:rsid w:val="008950B5"/>
    <w:rsid w:val="008971F9"/>
    <w:rsid w:val="008A644B"/>
    <w:rsid w:val="008B2DCC"/>
    <w:rsid w:val="008B78D4"/>
    <w:rsid w:val="008C08AB"/>
    <w:rsid w:val="008C2988"/>
    <w:rsid w:val="008C4560"/>
    <w:rsid w:val="00903401"/>
    <w:rsid w:val="009060DD"/>
    <w:rsid w:val="00914F81"/>
    <w:rsid w:val="009150D4"/>
    <w:rsid w:val="00921D5C"/>
    <w:rsid w:val="00921DD5"/>
    <w:rsid w:val="00925B11"/>
    <w:rsid w:val="0092753C"/>
    <w:rsid w:val="00935069"/>
    <w:rsid w:val="009413F5"/>
    <w:rsid w:val="009438B0"/>
    <w:rsid w:val="00960FEB"/>
    <w:rsid w:val="009645C3"/>
    <w:rsid w:val="00971C35"/>
    <w:rsid w:val="009744FF"/>
    <w:rsid w:val="00981B05"/>
    <w:rsid w:val="009826EE"/>
    <w:rsid w:val="00996836"/>
    <w:rsid w:val="009A1C23"/>
    <w:rsid w:val="009B2FCC"/>
    <w:rsid w:val="009B324C"/>
    <w:rsid w:val="009B7A2A"/>
    <w:rsid w:val="009D055A"/>
    <w:rsid w:val="009E2AF8"/>
    <w:rsid w:val="009E56A7"/>
    <w:rsid w:val="009E67FA"/>
    <w:rsid w:val="00A15959"/>
    <w:rsid w:val="00A2639E"/>
    <w:rsid w:val="00A41C14"/>
    <w:rsid w:val="00A427E8"/>
    <w:rsid w:val="00A47023"/>
    <w:rsid w:val="00A5341A"/>
    <w:rsid w:val="00A7130E"/>
    <w:rsid w:val="00A7606F"/>
    <w:rsid w:val="00A7797B"/>
    <w:rsid w:val="00A87A0A"/>
    <w:rsid w:val="00A966EA"/>
    <w:rsid w:val="00AA5926"/>
    <w:rsid w:val="00AB1EE1"/>
    <w:rsid w:val="00AB3BF9"/>
    <w:rsid w:val="00AB75F1"/>
    <w:rsid w:val="00AB7BCB"/>
    <w:rsid w:val="00AC21C4"/>
    <w:rsid w:val="00AD1B81"/>
    <w:rsid w:val="00AE1E0E"/>
    <w:rsid w:val="00AF345E"/>
    <w:rsid w:val="00B015BC"/>
    <w:rsid w:val="00B01C37"/>
    <w:rsid w:val="00B1179E"/>
    <w:rsid w:val="00B13BF1"/>
    <w:rsid w:val="00B303A5"/>
    <w:rsid w:val="00B30C96"/>
    <w:rsid w:val="00B40912"/>
    <w:rsid w:val="00B4406E"/>
    <w:rsid w:val="00B47683"/>
    <w:rsid w:val="00B56B7A"/>
    <w:rsid w:val="00B649D5"/>
    <w:rsid w:val="00B77E74"/>
    <w:rsid w:val="00B83D7D"/>
    <w:rsid w:val="00B9399B"/>
    <w:rsid w:val="00B96C6A"/>
    <w:rsid w:val="00BA2D78"/>
    <w:rsid w:val="00BA3AA0"/>
    <w:rsid w:val="00BB0436"/>
    <w:rsid w:val="00BB1EFA"/>
    <w:rsid w:val="00BC0C0B"/>
    <w:rsid w:val="00BC1970"/>
    <w:rsid w:val="00BC2F60"/>
    <w:rsid w:val="00BD2E97"/>
    <w:rsid w:val="00BD44B2"/>
    <w:rsid w:val="00BD7FB2"/>
    <w:rsid w:val="00BE08DB"/>
    <w:rsid w:val="00BF2457"/>
    <w:rsid w:val="00BF43A3"/>
    <w:rsid w:val="00C05CB4"/>
    <w:rsid w:val="00C100C9"/>
    <w:rsid w:val="00C12159"/>
    <w:rsid w:val="00C176B4"/>
    <w:rsid w:val="00C17DBF"/>
    <w:rsid w:val="00C21228"/>
    <w:rsid w:val="00C25011"/>
    <w:rsid w:val="00C32190"/>
    <w:rsid w:val="00C32D3B"/>
    <w:rsid w:val="00C42DFF"/>
    <w:rsid w:val="00C4766F"/>
    <w:rsid w:val="00C517F6"/>
    <w:rsid w:val="00C51ADB"/>
    <w:rsid w:val="00C5285B"/>
    <w:rsid w:val="00C570B3"/>
    <w:rsid w:val="00C71446"/>
    <w:rsid w:val="00C73259"/>
    <w:rsid w:val="00C82380"/>
    <w:rsid w:val="00C83023"/>
    <w:rsid w:val="00CA2022"/>
    <w:rsid w:val="00CA6960"/>
    <w:rsid w:val="00CB2CCD"/>
    <w:rsid w:val="00CB58B4"/>
    <w:rsid w:val="00CD4DC2"/>
    <w:rsid w:val="00CE4563"/>
    <w:rsid w:val="00CF0DBF"/>
    <w:rsid w:val="00CF42B7"/>
    <w:rsid w:val="00CF727F"/>
    <w:rsid w:val="00CF7E33"/>
    <w:rsid w:val="00D10B92"/>
    <w:rsid w:val="00D11F6C"/>
    <w:rsid w:val="00D2305C"/>
    <w:rsid w:val="00D2319C"/>
    <w:rsid w:val="00D33962"/>
    <w:rsid w:val="00D37C91"/>
    <w:rsid w:val="00D458A4"/>
    <w:rsid w:val="00D500D7"/>
    <w:rsid w:val="00D511F2"/>
    <w:rsid w:val="00D5630A"/>
    <w:rsid w:val="00D576A2"/>
    <w:rsid w:val="00D62A35"/>
    <w:rsid w:val="00D749B8"/>
    <w:rsid w:val="00D85E66"/>
    <w:rsid w:val="00D901B5"/>
    <w:rsid w:val="00D92571"/>
    <w:rsid w:val="00D94C81"/>
    <w:rsid w:val="00DA0B9D"/>
    <w:rsid w:val="00DA3293"/>
    <w:rsid w:val="00DB793D"/>
    <w:rsid w:val="00DC0BA9"/>
    <w:rsid w:val="00DC63FB"/>
    <w:rsid w:val="00DD121C"/>
    <w:rsid w:val="00DD7E39"/>
    <w:rsid w:val="00DE2AA8"/>
    <w:rsid w:val="00DF043E"/>
    <w:rsid w:val="00DF59A7"/>
    <w:rsid w:val="00E12F22"/>
    <w:rsid w:val="00E13EF9"/>
    <w:rsid w:val="00E153F9"/>
    <w:rsid w:val="00E3124B"/>
    <w:rsid w:val="00E41E9E"/>
    <w:rsid w:val="00E4599A"/>
    <w:rsid w:val="00E540F4"/>
    <w:rsid w:val="00E54564"/>
    <w:rsid w:val="00E54DE1"/>
    <w:rsid w:val="00E60583"/>
    <w:rsid w:val="00E7405C"/>
    <w:rsid w:val="00E81C32"/>
    <w:rsid w:val="00E832EA"/>
    <w:rsid w:val="00E97F14"/>
    <w:rsid w:val="00EA106F"/>
    <w:rsid w:val="00EA2C2A"/>
    <w:rsid w:val="00EC1B30"/>
    <w:rsid w:val="00EC493B"/>
    <w:rsid w:val="00ED2492"/>
    <w:rsid w:val="00ED5227"/>
    <w:rsid w:val="00ED655C"/>
    <w:rsid w:val="00F12BE6"/>
    <w:rsid w:val="00F12C0F"/>
    <w:rsid w:val="00F1464B"/>
    <w:rsid w:val="00F261CF"/>
    <w:rsid w:val="00F56007"/>
    <w:rsid w:val="00F57215"/>
    <w:rsid w:val="00F621C2"/>
    <w:rsid w:val="00F739A6"/>
    <w:rsid w:val="00F7693E"/>
    <w:rsid w:val="00F8002C"/>
    <w:rsid w:val="00F810FB"/>
    <w:rsid w:val="00F8297D"/>
    <w:rsid w:val="00F85547"/>
    <w:rsid w:val="00F87238"/>
    <w:rsid w:val="00FB1ACC"/>
    <w:rsid w:val="00FD235C"/>
    <w:rsid w:val="00FD558D"/>
    <w:rsid w:val="00FE05B4"/>
    <w:rsid w:val="00FE1913"/>
    <w:rsid w:val="00FE2820"/>
    <w:rsid w:val="00FE53C3"/>
    <w:rsid w:val="00FF2FA1"/>
    <w:rsid w:val="00FF6F99"/>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B2DAA"/>
  <w15:chartTrackingRefBased/>
  <w15:docId w15:val="{741CFA13-FA96-4AB6-914D-563D2AE3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89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789F"/>
    <w:rPr>
      <w:sz w:val="16"/>
      <w:szCs w:val="16"/>
    </w:rPr>
  </w:style>
  <w:style w:type="paragraph" w:styleId="CommentText">
    <w:name w:val="annotation text"/>
    <w:basedOn w:val="Normal"/>
    <w:link w:val="CommentTextChar"/>
    <w:uiPriority w:val="99"/>
    <w:unhideWhenUsed/>
    <w:rsid w:val="005E789F"/>
    <w:pPr>
      <w:spacing w:line="240" w:lineRule="auto"/>
    </w:pPr>
    <w:rPr>
      <w:sz w:val="20"/>
      <w:szCs w:val="20"/>
    </w:rPr>
  </w:style>
  <w:style w:type="character" w:customStyle="1" w:styleId="CommentTextChar">
    <w:name w:val="Comment Text Char"/>
    <w:basedOn w:val="DefaultParagraphFont"/>
    <w:link w:val="CommentText"/>
    <w:uiPriority w:val="99"/>
    <w:rsid w:val="005E789F"/>
    <w:rPr>
      <w:sz w:val="20"/>
      <w:szCs w:val="20"/>
    </w:rPr>
  </w:style>
  <w:style w:type="paragraph" w:styleId="ListParagraph">
    <w:name w:val="List Paragraph"/>
    <w:aliases w:val="List Paragraph1,Recommendation,bullet point list,FooterText,Bullet List,numbered,Paragraphe de liste1,Bulletr List Paragraph,列出段落,列出段落1,List Paragraph2,List Paragraph21,Listeafsnit1,Parágrafo da Lista1,Párrafo de lista1,リスト段落1,L,Bullets"/>
    <w:basedOn w:val="Normal"/>
    <w:link w:val="ListParagraphChar"/>
    <w:uiPriority w:val="34"/>
    <w:qFormat/>
    <w:rsid w:val="005E789F"/>
    <w:pPr>
      <w:ind w:left="720"/>
      <w:contextualSpacing/>
    </w:pPr>
  </w:style>
  <w:style w:type="character" w:customStyle="1" w:styleId="ListParagraphChar">
    <w:name w:val="List Paragraph Char"/>
    <w:aliases w:val="List Paragraph1 Char,Recommendation Char,bullet point list Char,FooterText Char,Bullet List Char,numbered Char,Paragraphe de liste1 Char,Bulletr List Paragraph Char,列出段落 Char,列出段落1 Char,List Paragraph2 Char,List Paragraph21 Char"/>
    <w:basedOn w:val="DefaultParagraphFont"/>
    <w:link w:val="ListParagraph"/>
    <w:uiPriority w:val="34"/>
    <w:rsid w:val="005E789F"/>
  </w:style>
  <w:style w:type="paragraph" w:styleId="BalloonText">
    <w:name w:val="Balloon Text"/>
    <w:basedOn w:val="Normal"/>
    <w:link w:val="BalloonTextChar"/>
    <w:uiPriority w:val="99"/>
    <w:semiHidden/>
    <w:unhideWhenUsed/>
    <w:rsid w:val="005E7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89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17DBF"/>
    <w:rPr>
      <w:b/>
      <w:bCs/>
    </w:rPr>
  </w:style>
  <w:style w:type="character" w:customStyle="1" w:styleId="CommentSubjectChar">
    <w:name w:val="Comment Subject Char"/>
    <w:basedOn w:val="CommentTextChar"/>
    <w:link w:val="CommentSubject"/>
    <w:uiPriority w:val="99"/>
    <w:semiHidden/>
    <w:rsid w:val="00C17DBF"/>
    <w:rPr>
      <w:b/>
      <w:bCs/>
      <w:sz w:val="20"/>
      <w:szCs w:val="20"/>
    </w:rPr>
  </w:style>
  <w:style w:type="character" w:styleId="Hyperlink">
    <w:name w:val="Hyperlink"/>
    <w:basedOn w:val="DefaultParagraphFont"/>
    <w:uiPriority w:val="99"/>
    <w:unhideWhenUsed/>
    <w:rsid w:val="00500B0E"/>
    <w:rPr>
      <w:color w:val="0563C1" w:themeColor="hyperlink"/>
      <w:u w:val="single"/>
    </w:rPr>
  </w:style>
  <w:style w:type="paragraph" w:customStyle="1" w:styleId="Default">
    <w:name w:val="Default"/>
    <w:rsid w:val="008950B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tem">
    <w:name w:val="Item"/>
    <w:aliases w:val="i"/>
    <w:basedOn w:val="Normal"/>
    <w:next w:val="Normal"/>
    <w:rsid w:val="008950B5"/>
    <w:pPr>
      <w:keepLines/>
      <w:spacing w:before="80" w:after="0" w:line="240" w:lineRule="auto"/>
      <w:ind w:left="709"/>
    </w:pPr>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BA2D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D78"/>
  </w:style>
  <w:style w:type="paragraph" w:styleId="Footer">
    <w:name w:val="footer"/>
    <w:basedOn w:val="Normal"/>
    <w:link w:val="FooterChar"/>
    <w:uiPriority w:val="99"/>
    <w:unhideWhenUsed/>
    <w:rsid w:val="00BA2D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039935">
      <w:bodyDiv w:val="1"/>
      <w:marLeft w:val="0"/>
      <w:marRight w:val="0"/>
      <w:marTop w:val="0"/>
      <w:marBottom w:val="0"/>
      <w:divBdr>
        <w:top w:val="none" w:sz="0" w:space="0" w:color="auto"/>
        <w:left w:val="none" w:sz="0" w:space="0" w:color="auto"/>
        <w:bottom w:val="none" w:sz="0" w:space="0" w:color="auto"/>
        <w:right w:val="none" w:sz="0" w:space="0" w:color="auto"/>
      </w:divBdr>
    </w:div>
    <w:div w:id="1076710536">
      <w:bodyDiv w:val="1"/>
      <w:marLeft w:val="0"/>
      <w:marRight w:val="0"/>
      <w:marTop w:val="0"/>
      <w:marBottom w:val="0"/>
      <w:divBdr>
        <w:top w:val="none" w:sz="0" w:space="0" w:color="auto"/>
        <w:left w:val="none" w:sz="0" w:space="0" w:color="auto"/>
        <w:bottom w:val="none" w:sz="0" w:space="0" w:color="auto"/>
        <w:right w:val="none" w:sz="0" w:space="0" w:color="auto"/>
      </w:divBdr>
    </w:div>
    <w:div w:id="1406803588">
      <w:bodyDiv w:val="1"/>
      <w:marLeft w:val="0"/>
      <w:marRight w:val="0"/>
      <w:marTop w:val="0"/>
      <w:marBottom w:val="0"/>
      <w:divBdr>
        <w:top w:val="none" w:sz="0" w:space="0" w:color="auto"/>
        <w:left w:val="none" w:sz="0" w:space="0" w:color="auto"/>
        <w:bottom w:val="none" w:sz="0" w:space="0" w:color="auto"/>
        <w:right w:val="none" w:sz="0" w:space="0" w:color="auto"/>
      </w:divBdr>
    </w:div>
    <w:div w:id="1582183101">
      <w:bodyDiv w:val="1"/>
      <w:marLeft w:val="0"/>
      <w:marRight w:val="0"/>
      <w:marTop w:val="0"/>
      <w:marBottom w:val="0"/>
      <w:divBdr>
        <w:top w:val="none" w:sz="0" w:space="0" w:color="auto"/>
        <w:left w:val="none" w:sz="0" w:space="0" w:color="auto"/>
        <w:bottom w:val="none" w:sz="0" w:space="0" w:color="auto"/>
        <w:right w:val="none" w:sz="0" w:space="0" w:color="auto"/>
      </w:divBdr>
    </w:div>
    <w:div w:id="1729911084">
      <w:bodyDiv w:val="1"/>
      <w:marLeft w:val="0"/>
      <w:marRight w:val="0"/>
      <w:marTop w:val="0"/>
      <w:marBottom w:val="0"/>
      <w:divBdr>
        <w:top w:val="none" w:sz="0" w:space="0" w:color="auto"/>
        <w:left w:val="none" w:sz="0" w:space="0" w:color="auto"/>
        <w:bottom w:val="none" w:sz="0" w:space="0" w:color="auto"/>
        <w:right w:val="none" w:sz="0" w:space="0" w:color="auto"/>
      </w:divBdr>
    </w:div>
    <w:div w:id="185094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ma.gov.au/theACMA/Library/researchacma/Research-reports/nbn-consumer-experience-households-and-businesses-the-end-to-end-journe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cma.gov.au/theACMA/moving-to-the-nbn-know-your-righ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UQVA7MFFXVNW-1663139543-1345</_dlc_DocId>
    <_dlc_DocIdUrl xmlns="04b8ec43-391f-4ce4-8841-d6a482add564">
      <Url>http://collaboration/organisation/auth/Chair/Auth/_layouts/15/DocIdRedir.aspx?ID=UQVA7MFFXVNW-1663139543-1345</Url>
      <Description>UQVA7MFFXVNW-1663139543-1345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70C913336CE14EADB691FC9E858B90" ma:contentTypeVersion="2" ma:contentTypeDescription="Create a new document." ma:contentTypeScope="" ma:versionID="4472b928e7cd9d7f144896153db115f2">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6225B-CF56-4781-B4AF-037BAEF84DAA}">
  <ds:schemaRefs>
    <ds:schemaRef ds:uri="http://schemas.microsoft.com/office/2006/metadata/properties"/>
    <ds:schemaRef ds:uri="http://schemas.microsoft.com/office/infopath/2007/PartnerControls"/>
    <ds:schemaRef ds:uri="026d8262-4725-4a9c-834e-3f991ab17ffd"/>
    <ds:schemaRef ds:uri="04b8ec43-391f-4ce4-8841-d6a482add564"/>
  </ds:schemaRefs>
</ds:datastoreItem>
</file>

<file path=customXml/itemProps2.xml><?xml version="1.0" encoding="utf-8"?>
<ds:datastoreItem xmlns:ds="http://schemas.openxmlformats.org/officeDocument/2006/customXml" ds:itemID="{6C3735D8-1538-4038-816B-9864C28F1DA2}">
  <ds:schemaRefs>
    <ds:schemaRef ds:uri="http://schemas.microsoft.com/sharepoint/events"/>
  </ds:schemaRefs>
</ds:datastoreItem>
</file>

<file path=customXml/itemProps3.xml><?xml version="1.0" encoding="utf-8"?>
<ds:datastoreItem xmlns:ds="http://schemas.openxmlformats.org/officeDocument/2006/customXml" ds:itemID="{50538F8D-ABA3-4CD4-8212-D17246A92636}">
  <ds:schemaRefs>
    <ds:schemaRef ds:uri="http://schemas.microsoft.com/sharepoint/v3/contenttype/forms"/>
  </ds:schemaRefs>
</ds:datastoreItem>
</file>

<file path=customXml/itemProps4.xml><?xml version="1.0" encoding="utf-8"?>
<ds:datastoreItem xmlns:ds="http://schemas.openxmlformats.org/officeDocument/2006/customXml" ds:itemID="{CB33E9E4-8D7D-4CE9-A172-BCFE47144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6BC9C9-8286-45AE-88A3-9CD4C078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3478</Words>
  <Characters>19825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Ferguson</dc:creator>
  <cp:keywords/>
  <dc:description/>
  <cp:lastModifiedBy>Carmel Roberts</cp:lastModifiedBy>
  <cp:revision>2</cp:revision>
  <dcterms:created xsi:type="dcterms:W3CDTF">2020-10-15T03:26:00Z</dcterms:created>
  <dcterms:modified xsi:type="dcterms:W3CDTF">2020-10-15T03:26:00Z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0x010100A670C913336CE14EADB691FC9E858B90</vt:lpwstr>
  </property>
  <property fmtid="{D5CDD505-2E9C-101B-9397-08002B2CF9AE}" pid="3" name="_dlc_DocIdItemGuid">
    <vt:lpwstr>a5e237c8-1c17-492d-b585-1ba37375dd70</vt:lpwstr>
  </property>
</Properties>
</file>