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73967" w14:textId="628BA260" w:rsidR="00696579" w:rsidRPr="00621EFF" w:rsidRDefault="0095663E" w:rsidP="00696579">
      <w:r>
        <w:rPr>
          <w:noProof/>
          <w:lang w:eastAsia="en-AU"/>
        </w:rPr>
        <w:drawing>
          <wp:inline distT="0" distB="0" distL="0" distR="0" wp14:anchorId="06F8E580" wp14:editId="15891E1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F420DC5" w14:textId="77777777" w:rsidR="00696579" w:rsidRPr="00621EFF" w:rsidRDefault="00696579" w:rsidP="00696579"/>
    <w:p w14:paraId="141700E2" w14:textId="0EA42A3E" w:rsidR="00696579" w:rsidRPr="00621EFF" w:rsidRDefault="00696579" w:rsidP="00696579">
      <w:pPr>
        <w:pStyle w:val="ShortT"/>
      </w:pPr>
      <w:r w:rsidRPr="00621EFF">
        <w:t xml:space="preserve">Radiocommunications </w:t>
      </w:r>
      <w:r w:rsidRPr="00BA0B33">
        <w:t xml:space="preserve">(Spectrum </w:t>
      </w:r>
      <w:r w:rsidR="00BA0B33">
        <w:t>Access Charges</w:t>
      </w:r>
      <w:r w:rsidRPr="00BA0B33">
        <w:t>—</w:t>
      </w:r>
      <w:r w:rsidR="00285FC8" w:rsidRPr="00BA0B33">
        <w:t>26 G</w:t>
      </w:r>
      <w:r w:rsidRPr="00BA0B33">
        <w:t xml:space="preserve">Hz </w:t>
      </w:r>
      <w:r w:rsidR="004D3472" w:rsidRPr="00BA0B33">
        <w:t>Band</w:t>
      </w:r>
      <w:r w:rsidRPr="00BA0B33">
        <w:t>)</w:t>
      </w:r>
      <w:r w:rsidRPr="00621EFF">
        <w:t xml:space="preserve"> Direction 20</w:t>
      </w:r>
      <w:r w:rsidR="00285FC8">
        <w:t>20</w:t>
      </w:r>
    </w:p>
    <w:p w14:paraId="51898810" w14:textId="77777777" w:rsidR="00696579" w:rsidRPr="00621EFF" w:rsidRDefault="00696579" w:rsidP="00696579"/>
    <w:p w14:paraId="1E1D0FBA" w14:textId="670F1B5E" w:rsidR="0095663E" w:rsidRPr="00DA182D" w:rsidRDefault="0095663E" w:rsidP="0095663E">
      <w:pPr>
        <w:pStyle w:val="SignCoverPageStart"/>
        <w:spacing w:before="240"/>
        <w:ind w:right="91"/>
        <w:rPr>
          <w:szCs w:val="22"/>
        </w:rPr>
      </w:pPr>
      <w:r w:rsidRPr="00DA182D">
        <w:rPr>
          <w:szCs w:val="22"/>
        </w:rPr>
        <w:t xml:space="preserve">I, </w:t>
      </w:r>
      <w:r>
        <w:rPr>
          <w:szCs w:val="22"/>
        </w:rPr>
        <w:t>Paul Fletcher</w:t>
      </w:r>
      <w:r w:rsidRPr="00DA182D">
        <w:rPr>
          <w:szCs w:val="22"/>
        </w:rPr>
        <w:t xml:space="preserve">, </w:t>
      </w:r>
      <w:r>
        <w:rPr>
          <w:szCs w:val="22"/>
        </w:rPr>
        <w:t>Minister for Communications, Cyber Safety and the Arts</w:t>
      </w:r>
      <w:r w:rsidRPr="00DA182D">
        <w:rPr>
          <w:szCs w:val="22"/>
        </w:rPr>
        <w:t xml:space="preserve">, </w:t>
      </w:r>
      <w:r w:rsidR="00BA0B33">
        <w:rPr>
          <w:szCs w:val="22"/>
        </w:rPr>
        <w:t>give the following direction to the Australian Communications and Media Authority.</w:t>
      </w:r>
    </w:p>
    <w:p w14:paraId="5BF10D8A" w14:textId="077E0890" w:rsidR="0095663E" w:rsidRPr="00001A63" w:rsidRDefault="0095663E" w:rsidP="0095663E">
      <w:pPr>
        <w:keepNext/>
        <w:spacing w:before="300" w:line="240" w:lineRule="atLeast"/>
        <w:ind w:right="397"/>
        <w:jc w:val="both"/>
        <w:rPr>
          <w:szCs w:val="22"/>
        </w:rPr>
      </w:pPr>
      <w:r w:rsidRPr="00246DDB">
        <w:rPr>
          <w:szCs w:val="22"/>
        </w:rPr>
        <w:t>Dated</w:t>
      </w:r>
      <w:r w:rsidR="00D63B48">
        <w:rPr>
          <w:szCs w:val="22"/>
        </w:rPr>
        <w:tab/>
      </w:r>
      <w:bookmarkStart w:id="0" w:name="_GoBack"/>
      <w:bookmarkEnd w:id="0"/>
      <w:r w:rsidR="00D63B48">
        <w:rPr>
          <w:szCs w:val="22"/>
        </w:rPr>
        <w:t>19 October 2020</w:t>
      </w:r>
    </w:p>
    <w:p w14:paraId="49A13F19" w14:textId="0D8D1B35" w:rsidR="0095663E" w:rsidRDefault="0095663E" w:rsidP="0095663E">
      <w:pPr>
        <w:keepNext/>
        <w:tabs>
          <w:tab w:val="left" w:pos="3402"/>
        </w:tabs>
        <w:spacing w:before="1440" w:line="300" w:lineRule="atLeast"/>
        <w:ind w:right="397"/>
        <w:rPr>
          <w:b/>
          <w:szCs w:val="22"/>
        </w:rPr>
      </w:pPr>
      <w:r>
        <w:rPr>
          <w:szCs w:val="22"/>
        </w:rPr>
        <w:t>Paul Fletcher</w:t>
      </w:r>
    </w:p>
    <w:p w14:paraId="49FE855D" w14:textId="69FCEE5D" w:rsidR="0095663E" w:rsidRPr="008E0027" w:rsidRDefault="0095663E" w:rsidP="0095663E">
      <w:pPr>
        <w:pStyle w:val="SignCoverPageEnd"/>
        <w:ind w:right="91"/>
        <w:rPr>
          <w:sz w:val="22"/>
        </w:rPr>
      </w:pPr>
      <w:r>
        <w:rPr>
          <w:sz w:val="22"/>
        </w:rPr>
        <w:t>Minister for Communications, Cyber Safety and the Arts</w:t>
      </w:r>
    </w:p>
    <w:p w14:paraId="239B8D38" w14:textId="77777777" w:rsidR="00696579" w:rsidRPr="00621EFF" w:rsidRDefault="00696579" w:rsidP="00696579">
      <w:pPr>
        <w:pStyle w:val="Header"/>
        <w:keepNext w:val="0"/>
        <w:tabs>
          <w:tab w:val="clear" w:pos="4150"/>
          <w:tab w:val="clear" w:pos="8307"/>
        </w:tabs>
        <w:spacing w:line="80" w:lineRule="exact"/>
      </w:pPr>
      <w:bookmarkStart w:id="1" w:name="BKCheck15B_2"/>
      <w:bookmarkEnd w:id="1"/>
      <w:r w:rsidRPr="00621EFF">
        <w:rPr>
          <w:rStyle w:val="CharChapNo"/>
        </w:rPr>
        <w:t xml:space="preserve"> </w:t>
      </w:r>
      <w:r w:rsidRPr="00621EFF">
        <w:rPr>
          <w:rStyle w:val="CharChapText"/>
        </w:rPr>
        <w:t xml:space="preserve"> </w:t>
      </w:r>
      <w:r w:rsidRPr="00621EFF">
        <w:rPr>
          <w:rStyle w:val="CharPartNo"/>
        </w:rPr>
        <w:t xml:space="preserve"> </w:t>
      </w:r>
      <w:r w:rsidRPr="00621EFF">
        <w:rPr>
          <w:rStyle w:val="CharPartText"/>
        </w:rPr>
        <w:t xml:space="preserve"> </w:t>
      </w:r>
      <w:r w:rsidRPr="00621EFF">
        <w:rPr>
          <w:rStyle w:val="CharDivNo"/>
        </w:rPr>
        <w:t xml:space="preserve"> </w:t>
      </w:r>
      <w:r w:rsidRPr="00621EFF">
        <w:rPr>
          <w:rStyle w:val="CharDivText"/>
        </w:rPr>
        <w:t xml:space="preserve"> </w:t>
      </w:r>
    </w:p>
    <w:p w14:paraId="5E072BC2" w14:textId="77777777" w:rsidR="0095663E" w:rsidRDefault="0095663E">
      <w:pPr>
        <w:spacing w:line="240" w:lineRule="auto"/>
        <w:rPr>
          <w:rStyle w:val="CharSectno"/>
          <w:rFonts w:eastAsia="Times New Roman" w:cs="Times New Roman"/>
          <w:b/>
          <w:kern w:val="28"/>
          <w:sz w:val="24"/>
          <w:lang w:eastAsia="en-AU"/>
        </w:rPr>
      </w:pPr>
      <w:bookmarkStart w:id="2" w:name="_Toc418067266"/>
      <w:bookmarkStart w:id="3" w:name="_Toc418067518"/>
      <w:bookmarkStart w:id="4" w:name="_Toc418067534"/>
      <w:bookmarkStart w:id="5" w:name="_Toc418067960"/>
      <w:bookmarkStart w:id="6" w:name="_Toc418165041"/>
      <w:r>
        <w:rPr>
          <w:rStyle w:val="CharSectno"/>
        </w:rPr>
        <w:br w:type="page"/>
      </w:r>
    </w:p>
    <w:p w14:paraId="79FD62E2" w14:textId="5A32EDCF" w:rsidR="004D3472" w:rsidRDefault="004D3472" w:rsidP="00BA0B33">
      <w:pPr>
        <w:pStyle w:val="ActHead5"/>
      </w:pPr>
      <w:bookmarkStart w:id="7" w:name="_Toc454512513"/>
      <w:r w:rsidRPr="00554826">
        <w:lastRenderedPageBreak/>
        <w:t>1  Name</w:t>
      </w:r>
      <w:bookmarkEnd w:id="7"/>
    </w:p>
    <w:bookmarkEnd w:id="2"/>
    <w:bookmarkEnd w:id="3"/>
    <w:bookmarkEnd w:id="4"/>
    <w:bookmarkEnd w:id="5"/>
    <w:bookmarkEnd w:id="6"/>
    <w:p w14:paraId="149C8164" w14:textId="545BE819" w:rsidR="00696579" w:rsidRPr="00621EFF" w:rsidRDefault="00696579" w:rsidP="00696579">
      <w:pPr>
        <w:pStyle w:val="subsection"/>
      </w:pPr>
      <w:r w:rsidRPr="00621EFF">
        <w:tab/>
      </w:r>
      <w:r w:rsidRPr="00621EFF">
        <w:tab/>
        <w:t xml:space="preserve">This </w:t>
      </w:r>
      <w:r w:rsidR="00BA0B33">
        <w:t xml:space="preserve">instrument </w:t>
      </w:r>
      <w:r w:rsidRPr="00621EFF">
        <w:t xml:space="preserve">is the </w:t>
      </w:r>
      <w:r w:rsidRPr="00621EFF">
        <w:rPr>
          <w:i/>
        </w:rPr>
        <w:t xml:space="preserve">Radiocommunications </w:t>
      </w:r>
      <w:r w:rsidR="00BA0B33">
        <w:rPr>
          <w:i/>
        </w:rPr>
        <w:t xml:space="preserve">(Spectrum Access Charges—26 GHz Band) </w:t>
      </w:r>
      <w:r w:rsidRPr="00621EFF">
        <w:rPr>
          <w:i/>
        </w:rPr>
        <w:t>Direction 20</w:t>
      </w:r>
      <w:r w:rsidR="00285FC8">
        <w:rPr>
          <w:i/>
        </w:rPr>
        <w:t>20</w:t>
      </w:r>
      <w:r w:rsidRPr="00621EFF">
        <w:t>.</w:t>
      </w:r>
    </w:p>
    <w:p w14:paraId="531CA2FB" w14:textId="77777777" w:rsidR="00696579" w:rsidRPr="00621EFF" w:rsidRDefault="00696579" w:rsidP="00696579">
      <w:pPr>
        <w:pStyle w:val="ActHead5"/>
      </w:pPr>
      <w:bookmarkStart w:id="8" w:name="_Toc418067267"/>
      <w:bookmarkStart w:id="9" w:name="_Toc418067519"/>
      <w:bookmarkStart w:id="10" w:name="_Toc418067535"/>
      <w:bookmarkStart w:id="11" w:name="_Toc418067961"/>
      <w:bookmarkStart w:id="12" w:name="_Toc418165042"/>
      <w:r w:rsidRPr="00621EFF">
        <w:rPr>
          <w:rStyle w:val="CharSectno"/>
        </w:rPr>
        <w:t>2</w:t>
      </w:r>
      <w:r w:rsidRPr="00621EFF">
        <w:t xml:space="preserve">  Commencement</w:t>
      </w:r>
      <w:bookmarkEnd w:id="8"/>
      <w:bookmarkEnd w:id="9"/>
      <w:bookmarkEnd w:id="10"/>
      <w:bookmarkEnd w:id="11"/>
      <w:bookmarkEnd w:id="12"/>
    </w:p>
    <w:p w14:paraId="11B545E2" w14:textId="5F8D6914" w:rsidR="00861AF5" w:rsidRDefault="00696579" w:rsidP="00BA0B33">
      <w:pPr>
        <w:pStyle w:val="subsection"/>
      </w:pPr>
      <w:r w:rsidRPr="00621EFF">
        <w:tab/>
      </w:r>
      <w:r>
        <w:t>(1)</w:t>
      </w:r>
      <w:r w:rsidRPr="00621EFF">
        <w:tab/>
      </w:r>
      <w:r w:rsidR="00ED014F">
        <w:t>Each provision of this instrument specified in column 1 of the table commences, or is taken to have commenced, in accordance with column 2 of the table. Any other statement in column 2 has effect according to its terms.</w:t>
      </w:r>
    </w:p>
    <w:p w14:paraId="0D4EB2BD" w14:textId="78F9A05E" w:rsidR="00ED014F" w:rsidRDefault="00ED014F" w:rsidP="00ED014F">
      <w:pPr>
        <w:pStyle w:val="Tabletext"/>
      </w:pPr>
      <w:bookmarkStart w:id="13" w:name="_Toc418067269"/>
      <w:bookmarkStart w:id="14" w:name="_Toc418067521"/>
      <w:bookmarkStart w:id="15" w:name="_Toc418067537"/>
      <w:bookmarkStart w:id="16" w:name="_Toc418067963"/>
      <w:bookmarkStart w:id="17" w:name="_Toc418165044"/>
    </w:p>
    <w:tbl>
      <w:tblPr>
        <w:tblW w:w="7712"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3742"/>
        <w:gridCol w:w="1843"/>
      </w:tblGrid>
      <w:tr w:rsidR="00861AF5" w14:paraId="6875F2E1" w14:textId="77777777" w:rsidTr="00BA0B33">
        <w:trPr>
          <w:tblHeader/>
        </w:trPr>
        <w:tc>
          <w:tcPr>
            <w:tcW w:w="7710" w:type="dxa"/>
            <w:gridSpan w:val="3"/>
            <w:tcBorders>
              <w:top w:val="single" w:sz="12" w:space="0" w:color="auto"/>
              <w:left w:val="nil"/>
              <w:bottom w:val="single" w:sz="6" w:space="0" w:color="auto"/>
              <w:right w:val="nil"/>
            </w:tcBorders>
            <w:hideMark/>
          </w:tcPr>
          <w:p w14:paraId="1F2BA56C" w14:textId="77777777" w:rsidR="00ED014F" w:rsidRDefault="00ED014F">
            <w:pPr>
              <w:pStyle w:val="TableHeading"/>
              <w:rPr>
                <w:lang w:eastAsia="en-US"/>
              </w:rPr>
            </w:pPr>
            <w:r>
              <w:rPr>
                <w:lang w:eastAsia="en-US"/>
              </w:rPr>
              <w:t>Commencement information</w:t>
            </w:r>
          </w:p>
        </w:tc>
      </w:tr>
      <w:tr w:rsidR="00861AF5" w14:paraId="77D259C8" w14:textId="77777777" w:rsidTr="00BA0B33">
        <w:trPr>
          <w:tblHeader/>
        </w:trPr>
        <w:tc>
          <w:tcPr>
            <w:tcW w:w="2127" w:type="dxa"/>
            <w:tcBorders>
              <w:top w:val="single" w:sz="6" w:space="0" w:color="auto"/>
              <w:left w:val="nil"/>
              <w:bottom w:val="single" w:sz="6" w:space="0" w:color="auto"/>
              <w:right w:val="nil"/>
            </w:tcBorders>
            <w:hideMark/>
          </w:tcPr>
          <w:p w14:paraId="0FF388FE" w14:textId="77777777" w:rsidR="00ED014F" w:rsidRDefault="00ED014F">
            <w:pPr>
              <w:pStyle w:val="TableHeading"/>
              <w:rPr>
                <w:lang w:eastAsia="en-US"/>
              </w:rPr>
            </w:pPr>
            <w:r>
              <w:rPr>
                <w:lang w:eastAsia="en-US"/>
              </w:rPr>
              <w:t>Column 1</w:t>
            </w:r>
          </w:p>
        </w:tc>
        <w:tc>
          <w:tcPr>
            <w:tcW w:w="3742" w:type="dxa"/>
            <w:tcBorders>
              <w:top w:val="single" w:sz="6" w:space="0" w:color="auto"/>
              <w:left w:val="nil"/>
              <w:bottom w:val="single" w:sz="6" w:space="0" w:color="auto"/>
              <w:right w:val="nil"/>
            </w:tcBorders>
            <w:hideMark/>
          </w:tcPr>
          <w:p w14:paraId="0CDB374B" w14:textId="77777777" w:rsidR="00ED014F" w:rsidRDefault="00ED014F">
            <w:pPr>
              <w:pStyle w:val="TableHeading"/>
              <w:rPr>
                <w:lang w:eastAsia="en-US"/>
              </w:rPr>
            </w:pPr>
            <w:r>
              <w:rPr>
                <w:lang w:eastAsia="en-US"/>
              </w:rPr>
              <w:t>Column 2</w:t>
            </w:r>
          </w:p>
        </w:tc>
        <w:tc>
          <w:tcPr>
            <w:tcW w:w="1843" w:type="dxa"/>
            <w:tcBorders>
              <w:top w:val="single" w:sz="6" w:space="0" w:color="auto"/>
              <w:left w:val="nil"/>
              <w:bottom w:val="single" w:sz="6" w:space="0" w:color="auto"/>
              <w:right w:val="nil"/>
            </w:tcBorders>
            <w:hideMark/>
          </w:tcPr>
          <w:p w14:paraId="50E4E281" w14:textId="77777777" w:rsidR="00ED014F" w:rsidRDefault="00ED014F">
            <w:pPr>
              <w:pStyle w:val="TableHeading"/>
              <w:rPr>
                <w:lang w:eastAsia="en-US"/>
              </w:rPr>
            </w:pPr>
            <w:r>
              <w:rPr>
                <w:lang w:eastAsia="en-US"/>
              </w:rPr>
              <w:t>Column 3</w:t>
            </w:r>
          </w:p>
        </w:tc>
      </w:tr>
      <w:tr w:rsidR="00861AF5" w14:paraId="228EB991" w14:textId="77777777" w:rsidTr="00BA0B33">
        <w:trPr>
          <w:tblHeader/>
        </w:trPr>
        <w:tc>
          <w:tcPr>
            <w:tcW w:w="2127" w:type="dxa"/>
            <w:tcBorders>
              <w:top w:val="single" w:sz="6" w:space="0" w:color="auto"/>
              <w:left w:val="nil"/>
              <w:bottom w:val="single" w:sz="12" w:space="0" w:color="auto"/>
              <w:right w:val="nil"/>
            </w:tcBorders>
            <w:hideMark/>
          </w:tcPr>
          <w:p w14:paraId="5BCB5593" w14:textId="77777777" w:rsidR="00ED014F" w:rsidRDefault="00ED014F">
            <w:pPr>
              <w:pStyle w:val="TableHeading"/>
              <w:rPr>
                <w:lang w:eastAsia="en-US"/>
              </w:rPr>
            </w:pPr>
            <w:r>
              <w:rPr>
                <w:lang w:eastAsia="en-US"/>
              </w:rPr>
              <w:t>Provisions</w:t>
            </w:r>
          </w:p>
        </w:tc>
        <w:tc>
          <w:tcPr>
            <w:tcW w:w="3742" w:type="dxa"/>
            <w:tcBorders>
              <w:top w:val="single" w:sz="6" w:space="0" w:color="auto"/>
              <w:left w:val="nil"/>
              <w:bottom w:val="single" w:sz="12" w:space="0" w:color="auto"/>
              <w:right w:val="nil"/>
            </w:tcBorders>
            <w:hideMark/>
          </w:tcPr>
          <w:p w14:paraId="229ED56D" w14:textId="77777777" w:rsidR="00ED014F" w:rsidRDefault="00ED014F">
            <w:pPr>
              <w:pStyle w:val="TableHeading"/>
              <w:rPr>
                <w:lang w:eastAsia="en-US"/>
              </w:rPr>
            </w:pPr>
            <w:r>
              <w:rPr>
                <w:lang w:eastAsia="en-US"/>
              </w:rPr>
              <w:t>Commencement</w:t>
            </w:r>
          </w:p>
        </w:tc>
        <w:tc>
          <w:tcPr>
            <w:tcW w:w="1843" w:type="dxa"/>
            <w:tcBorders>
              <w:top w:val="single" w:sz="6" w:space="0" w:color="auto"/>
              <w:left w:val="nil"/>
              <w:bottom w:val="single" w:sz="12" w:space="0" w:color="auto"/>
              <w:right w:val="nil"/>
            </w:tcBorders>
            <w:hideMark/>
          </w:tcPr>
          <w:p w14:paraId="426E7517" w14:textId="77777777" w:rsidR="00ED014F" w:rsidRDefault="00ED014F">
            <w:pPr>
              <w:pStyle w:val="TableHeading"/>
              <w:rPr>
                <w:lang w:eastAsia="en-US"/>
              </w:rPr>
            </w:pPr>
            <w:r>
              <w:rPr>
                <w:lang w:eastAsia="en-US"/>
              </w:rPr>
              <w:t>Date/Details</w:t>
            </w:r>
          </w:p>
        </w:tc>
      </w:tr>
      <w:tr w:rsidR="00861AF5" w14:paraId="721C87D7" w14:textId="77777777" w:rsidTr="00BA0B33">
        <w:tc>
          <w:tcPr>
            <w:tcW w:w="2127" w:type="dxa"/>
            <w:tcBorders>
              <w:top w:val="single" w:sz="12" w:space="0" w:color="auto"/>
              <w:left w:val="nil"/>
              <w:bottom w:val="single" w:sz="12" w:space="0" w:color="auto"/>
              <w:right w:val="nil"/>
            </w:tcBorders>
            <w:hideMark/>
          </w:tcPr>
          <w:p w14:paraId="5871AAB8" w14:textId="5EAA5B80" w:rsidR="00ED014F" w:rsidRDefault="00ED014F">
            <w:pPr>
              <w:pStyle w:val="Tabletext"/>
              <w:rPr>
                <w:i/>
                <w:lang w:eastAsia="en-US"/>
              </w:rPr>
            </w:pPr>
            <w:r>
              <w:rPr>
                <w:lang w:eastAsia="en-US"/>
              </w:rPr>
              <w:t>1.  The whole of this instrument.</w:t>
            </w:r>
          </w:p>
        </w:tc>
        <w:tc>
          <w:tcPr>
            <w:tcW w:w="3742" w:type="dxa"/>
            <w:tcBorders>
              <w:top w:val="single" w:sz="12" w:space="0" w:color="auto"/>
              <w:left w:val="nil"/>
              <w:bottom w:val="single" w:sz="12" w:space="0" w:color="auto"/>
              <w:right w:val="nil"/>
            </w:tcBorders>
            <w:hideMark/>
          </w:tcPr>
          <w:p w14:paraId="1BAF33C8" w14:textId="240EBEE2" w:rsidR="00ED014F" w:rsidRPr="00BA0B33" w:rsidRDefault="00ED014F">
            <w:pPr>
              <w:pStyle w:val="Tabletext"/>
              <w:rPr>
                <w:lang w:eastAsia="en-US"/>
              </w:rPr>
            </w:pPr>
            <w:r>
              <w:rPr>
                <w:lang w:eastAsia="en-US"/>
              </w:rPr>
              <w:t>On the day after this instrument is registered.</w:t>
            </w:r>
          </w:p>
        </w:tc>
        <w:tc>
          <w:tcPr>
            <w:tcW w:w="1843" w:type="dxa"/>
            <w:tcBorders>
              <w:top w:val="single" w:sz="12" w:space="0" w:color="auto"/>
              <w:left w:val="nil"/>
              <w:bottom w:val="single" w:sz="12" w:space="0" w:color="auto"/>
              <w:right w:val="nil"/>
            </w:tcBorders>
            <w:hideMark/>
          </w:tcPr>
          <w:p w14:paraId="2B623874" w14:textId="2A4E7A13" w:rsidR="00ED014F" w:rsidRDefault="00ED014F">
            <w:pPr>
              <w:pStyle w:val="Tabletext"/>
              <w:rPr>
                <w:i/>
                <w:lang w:eastAsia="en-US"/>
              </w:rPr>
            </w:pPr>
          </w:p>
        </w:tc>
      </w:tr>
    </w:tbl>
    <w:p w14:paraId="4B942ACE" w14:textId="77777777" w:rsidR="00ED014F" w:rsidRDefault="00ED014F" w:rsidP="00ED014F">
      <w:pPr>
        <w:pStyle w:val="notetext"/>
      </w:pPr>
      <w:r>
        <w:rPr>
          <w:snapToGrid w:val="0"/>
          <w:lang w:eastAsia="en-US"/>
        </w:rPr>
        <w:t>Note:</w:t>
      </w:r>
      <w:r>
        <w:rPr>
          <w:snapToGrid w:val="0"/>
          <w:lang w:eastAsia="en-US"/>
        </w:rPr>
        <w:tab/>
        <w:t>This table relates only to the provisions of this instrument</w:t>
      </w:r>
      <w:r>
        <w:t xml:space="preserve"> </w:t>
      </w:r>
      <w:r>
        <w:rPr>
          <w:snapToGrid w:val="0"/>
          <w:lang w:eastAsia="en-US"/>
        </w:rPr>
        <w:t>as originally made. It will not be amended to deal with any later amendments of this instrument.</w:t>
      </w:r>
    </w:p>
    <w:p w14:paraId="575A83DD" w14:textId="454F2561" w:rsidR="00ED014F" w:rsidRDefault="00ED014F">
      <w:pPr>
        <w:pStyle w:val="subsection"/>
      </w:pPr>
      <w:r>
        <w:tab/>
        <w:t>(2)</w:t>
      </w:r>
      <w:r>
        <w:tab/>
        <w:t>Any information in column 3 of the table is not part of this instrument. Information may be inserted in this column, or information in it may be edited, in any published version of this instrument.</w:t>
      </w:r>
    </w:p>
    <w:p w14:paraId="49C3A7A4" w14:textId="1E54BEFB" w:rsidR="00696579" w:rsidRPr="00621EFF" w:rsidRDefault="00696579" w:rsidP="00696579">
      <w:pPr>
        <w:pStyle w:val="ActHead5"/>
      </w:pPr>
      <w:r w:rsidRPr="00621EFF">
        <w:rPr>
          <w:rStyle w:val="CharSectno"/>
        </w:rPr>
        <w:t>3</w:t>
      </w:r>
      <w:r w:rsidRPr="00621EFF">
        <w:t xml:space="preserve">  Authority</w:t>
      </w:r>
    </w:p>
    <w:p w14:paraId="72032A19" w14:textId="77777777" w:rsidR="00696579" w:rsidRPr="00621EFF" w:rsidRDefault="00696579" w:rsidP="00696579">
      <w:pPr>
        <w:pStyle w:val="subsection"/>
      </w:pPr>
      <w:r w:rsidRPr="00621EFF">
        <w:tab/>
      </w:r>
      <w:r w:rsidRPr="00621EFF">
        <w:tab/>
        <w:t>This instrument is made under:</w:t>
      </w:r>
    </w:p>
    <w:p w14:paraId="1B08563C" w14:textId="2F4EE55A" w:rsidR="00696579" w:rsidRPr="00621EFF" w:rsidRDefault="00696579">
      <w:pPr>
        <w:pStyle w:val="paragraph"/>
      </w:pPr>
      <w:r w:rsidRPr="00621EFF">
        <w:tab/>
        <w:t>(a)</w:t>
      </w:r>
      <w:r w:rsidRPr="00621EFF">
        <w:tab/>
        <w:t>subsection 14(1) of the ACMA Act;</w:t>
      </w:r>
      <w:r w:rsidR="005F491A">
        <w:t xml:space="preserve"> </w:t>
      </w:r>
      <w:r>
        <w:t>and</w:t>
      </w:r>
    </w:p>
    <w:p w14:paraId="29E0FD5C" w14:textId="1B9E13A3" w:rsidR="00696579" w:rsidRPr="00621EFF" w:rsidRDefault="00696579" w:rsidP="00696579">
      <w:pPr>
        <w:pStyle w:val="paragraph"/>
      </w:pPr>
      <w:r w:rsidRPr="00621EFF">
        <w:tab/>
        <w:t>(</w:t>
      </w:r>
      <w:r w:rsidR="005F491A">
        <w:t>b</w:t>
      </w:r>
      <w:r w:rsidRPr="00621EFF">
        <w:t>)</w:t>
      </w:r>
      <w:r w:rsidRPr="00621EFF">
        <w:tab/>
        <w:t>subsection 294(2) of the Radiocommunications Act.</w:t>
      </w:r>
    </w:p>
    <w:p w14:paraId="376489CA" w14:textId="3C156068" w:rsidR="00696579" w:rsidRDefault="00696579" w:rsidP="00696579">
      <w:pPr>
        <w:pStyle w:val="ActHead5"/>
      </w:pPr>
      <w:r w:rsidRPr="00621EFF">
        <w:rPr>
          <w:rStyle w:val="CharSectno"/>
        </w:rPr>
        <w:t>4</w:t>
      </w:r>
      <w:r w:rsidRPr="00621EFF">
        <w:t xml:space="preserve">  </w:t>
      </w:r>
      <w:bookmarkEnd w:id="13"/>
      <w:bookmarkEnd w:id="14"/>
      <w:bookmarkEnd w:id="15"/>
      <w:bookmarkEnd w:id="16"/>
      <w:bookmarkEnd w:id="17"/>
      <w:r w:rsidR="00884031">
        <w:t>Definitions</w:t>
      </w:r>
    </w:p>
    <w:p w14:paraId="5F4CB031" w14:textId="4D966CC7" w:rsidR="00973C42" w:rsidRPr="009C2562" w:rsidRDefault="00973C42" w:rsidP="00973C42">
      <w:pPr>
        <w:pStyle w:val="notetext"/>
      </w:pPr>
      <w:r w:rsidRPr="009C2562">
        <w:t>Note:</w:t>
      </w:r>
      <w:r w:rsidRPr="009C2562">
        <w:tab/>
        <w:t xml:space="preserve">A number of expressions used in this instrument are defined in </w:t>
      </w:r>
      <w:r w:rsidR="00160735">
        <w:t>section 5</w:t>
      </w:r>
      <w:r>
        <w:t xml:space="preserve"> of the </w:t>
      </w:r>
      <w:r w:rsidR="00160735">
        <w:t xml:space="preserve">Radiocommunications </w:t>
      </w:r>
      <w:r>
        <w:t>Act</w:t>
      </w:r>
      <w:r w:rsidRPr="009C2562">
        <w:t>, including the following:</w:t>
      </w:r>
    </w:p>
    <w:p w14:paraId="28354921" w14:textId="77777777" w:rsidR="0059243F" w:rsidRDefault="00973C42" w:rsidP="00BA0B33">
      <w:pPr>
        <w:pStyle w:val="notepara"/>
        <w:numPr>
          <w:ilvl w:val="0"/>
          <w:numId w:val="24"/>
        </w:numPr>
      </w:pPr>
      <w:r>
        <w:t>ACMA</w:t>
      </w:r>
    </w:p>
    <w:p w14:paraId="7CD75D33" w14:textId="14591D97" w:rsidR="00FB7E1C" w:rsidRDefault="0059243F" w:rsidP="00BA0B33">
      <w:pPr>
        <w:pStyle w:val="notepara"/>
        <w:numPr>
          <w:ilvl w:val="0"/>
          <w:numId w:val="24"/>
        </w:numPr>
      </w:pPr>
      <w:r>
        <w:t>spectrum</w:t>
      </w:r>
      <w:r w:rsidR="00FB7E1C">
        <w:t>; and</w:t>
      </w:r>
    </w:p>
    <w:p w14:paraId="1C102E15" w14:textId="1BF728D3" w:rsidR="00973C42" w:rsidRPr="009C2562" w:rsidRDefault="00FB7E1C" w:rsidP="00BA0B33">
      <w:pPr>
        <w:pStyle w:val="notepara"/>
        <w:numPr>
          <w:ilvl w:val="0"/>
          <w:numId w:val="24"/>
        </w:numPr>
      </w:pPr>
      <w:r>
        <w:t>spectrum licence</w:t>
      </w:r>
      <w:r w:rsidR="00160735">
        <w:t>.</w:t>
      </w:r>
    </w:p>
    <w:p w14:paraId="2706DC48" w14:textId="5065BE11" w:rsidR="00696579" w:rsidRPr="00621EFF" w:rsidRDefault="00696579" w:rsidP="00696579">
      <w:pPr>
        <w:pStyle w:val="subsection"/>
      </w:pPr>
      <w:r w:rsidRPr="00621EFF">
        <w:lastRenderedPageBreak/>
        <w:tab/>
      </w:r>
      <w:r w:rsidRPr="00621EFF">
        <w:tab/>
        <w:t>In this instrument:</w:t>
      </w:r>
    </w:p>
    <w:p w14:paraId="2DAC9557" w14:textId="0C29E2A7" w:rsidR="00544E71" w:rsidRPr="00BA0B33" w:rsidRDefault="00544E71">
      <w:pPr>
        <w:pStyle w:val="Definition"/>
      </w:pPr>
      <w:r>
        <w:rPr>
          <w:b/>
          <w:i/>
        </w:rPr>
        <w:t>26</w:t>
      </w:r>
      <w:r w:rsidRPr="00621EFF">
        <w:rPr>
          <w:b/>
          <w:i/>
        </w:rPr>
        <w:t xml:space="preserve"> </w:t>
      </w:r>
      <w:r>
        <w:rPr>
          <w:b/>
          <w:i/>
        </w:rPr>
        <w:t>G</w:t>
      </w:r>
      <w:r w:rsidRPr="00621EFF">
        <w:rPr>
          <w:b/>
          <w:i/>
        </w:rPr>
        <w:t xml:space="preserve">Hz </w:t>
      </w:r>
      <w:r>
        <w:rPr>
          <w:b/>
          <w:i/>
        </w:rPr>
        <w:t>band</w:t>
      </w:r>
      <w:r w:rsidRPr="00621EFF">
        <w:rPr>
          <w:b/>
          <w:i/>
        </w:rPr>
        <w:t xml:space="preserve"> </w:t>
      </w:r>
      <w:r w:rsidRPr="00621EFF">
        <w:t xml:space="preserve">means the </w:t>
      </w:r>
      <w:r>
        <w:t xml:space="preserve">part of the spectrum </w:t>
      </w:r>
      <w:r w:rsidR="00884031">
        <w:t xml:space="preserve">including all frequencies greater than </w:t>
      </w:r>
      <w:r>
        <w:t xml:space="preserve">25.1 GHz </w:t>
      </w:r>
      <w:r w:rsidR="00884031">
        <w:t xml:space="preserve">up </w:t>
      </w:r>
      <w:r>
        <w:t>to</w:t>
      </w:r>
      <w:r w:rsidR="00884031">
        <w:t xml:space="preserve"> and including</w:t>
      </w:r>
      <w:r>
        <w:t xml:space="preserve"> 27.5 GHz.</w:t>
      </w:r>
    </w:p>
    <w:p w14:paraId="56F0E33B" w14:textId="77777777" w:rsidR="00696579" w:rsidRPr="00621EFF" w:rsidRDefault="00696579" w:rsidP="00696579">
      <w:pPr>
        <w:pStyle w:val="Definition"/>
        <w:rPr>
          <w:b/>
          <w:i/>
        </w:rPr>
      </w:pPr>
      <w:r w:rsidRPr="00621EFF">
        <w:rPr>
          <w:b/>
          <w:i/>
        </w:rPr>
        <w:t>ACMA Act</w:t>
      </w:r>
      <w:r w:rsidRPr="00621EFF">
        <w:t xml:space="preserve"> means the </w:t>
      </w:r>
      <w:r w:rsidRPr="00621EFF">
        <w:rPr>
          <w:i/>
        </w:rPr>
        <w:t>Australian Communications and Media Authority Act 2005</w:t>
      </w:r>
      <w:r>
        <w:rPr>
          <w:i/>
        </w:rPr>
        <w:t>.</w:t>
      </w:r>
    </w:p>
    <w:p w14:paraId="26423B3F" w14:textId="2C6C4167" w:rsidR="00696579" w:rsidRPr="00D001E0" w:rsidRDefault="00696579" w:rsidP="00696579">
      <w:pPr>
        <w:pStyle w:val="Definition"/>
      </w:pPr>
      <w:r w:rsidRPr="00D001E0">
        <w:rPr>
          <w:b/>
          <w:i/>
        </w:rPr>
        <w:t>charges determination</w:t>
      </w:r>
      <w:r w:rsidRPr="00D001E0">
        <w:t xml:space="preserve"> means a determination that is made under subsection 294(1) of the Radiocommunications Act and that either fixes spectrum access charges payable by licensees for issuing </w:t>
      </w:r>
      <w:r w:rsidR="00AA671B" w:rsidRPr="00D001E0">
        <w:t xml:space="preserve">relevant </w:t>
      </w:r>
      <w:r w:rsidRPr="00D001E0">
        <w:t>spectrum licences, or specifies the times when those spectrum access charges are payable, or both.</w:t>
      </w:r>
    </w:p>
    <w:p w14:paraId="079E0067" w14:textId="17BB8FD6" w:rsidR="00696579" w:rsidRPr="00621EFF" w:rsidRDefault="00696579" w:rsidP="00696579">
      <w:pPr>
        <w:pStyle w:val="Definition"/>
      </w:pPr>
      <w:r w:rsidRPr="00621EFF">
        <w:rPr>
          <w:b/>
          <w:i/>
        </w:rPr>
        <w:t>Radiocommunications Act</w:t>
      </w:r>
      <w:r w:rsidRPr="00621EFF">
        <w:t xml:space="preserve"> means the </w:t>
      </w:r>
      <w:r w:rsidRPr="00621EFF">
        <w:rPr>
          <w:i/>
        </w:rPr>
        <w:t>Radiocommunications Act 1992</w:t>
      </w:r>
      <w:r w:rsidRPr="00621EFF">
        <w:t>.</w:t>
      </w:r>
    </w:p>
    <w:p w14:paraId="42537EEF" w14:textId="46FF7559" w:rsidR="00696579" w:rsidRDefault="00696579" w:rsidP="00696579">
      <w:pPr>
        <w:pStyle w:val="Definition"/>
      </w:pPr>
      <w:r w:rsidRPr="00621EFF">
        <w:rPr>
          <w:b/>
          <w:i/>
        </w:rPr>
        <w:t>re-allocation declaration</w:t>
      </w:r>
      <w:r w:rsidRPr="00621EFF">
        <w:t xml:space="preserve"> means the </w:t>
      </w:r>
      <w:r w:rsidRPr="00621EFF">
        <w:rPr>
          <w:i/>
        </w:rPr>
        <w:t>Radiocommunications (</w:t>
      </w:r>
      <w:r w:rsidRPr="00FB7E1C">
        <w:rPr>
          <w:i/>
        </w:rPr>
        <w:t>Spectrum Re-allocation</w:t>
      </w:r>
      <w:r w:rsidR="00AA671B">
        <w:rPr>
          <w:i/>
        </w:rPr>
        <w:t>—</w:t>
      </w:r>
      <w:r w:rsidR="00160735" w:rsidRPr="00AA671B">
        <w:rPr>
          <w:i/>
        </w:rPr>
        <w:t>26GHz Band</w:t>
      </w:r>
      <w:r w:rsidRPr="00621EFF">
        <w:rPr>
          <w:i/>
        </w:rPr>
        <w:t>) Declaration 201</w:t>
      </w:r>
      <w:r w:rsidR="00160735">
        <w:rPr>
          <w:i/>
        </w:rPr>
        <w:t>9</w:t>
      </w:r>
      <w:r w:rsidRPr="00621EFF">
        <w:t>.</w:t>
      </w:r>
    </w:p>
    <w:p w14:paraId="5B6766C1" w14:textId="4BAE69A0" w:rsidR="00B44BA2" w:rsidRPr="00D001E0" w:rsidRDefault="00B44BA2" w:rsidP="00696579">
      <w:pPr>
        <w:pStyle w:val="Definition"/>
        <w:rPr>
          <w:b/>
          <w:i/>
        </w:rPr>
      </w:pPr>
      <w:r w:rsidRPr="00D001E0">
        <w:rPr>
          <w:b/>
          <w:i/>
        </w:rPr>
        <w:t>relevant spectrum access charge</w:t>
      </w:r>
      <w:r w:rsidRPr="00D001E0">
        <w:rPr>
          <w:i/>
        </w:rPr>
        <w:t xml:space="preserve"> </w:t>
      </w:r>
      <w:r w:rsidRPr="00D001E0">
        <w:t>means a spectrum access charge</w:t>
      </w:r>
      <w:r w:rsidR="00D001E0">
        <w:t xml:space="preserve"> payable by licensees </w:t>
      </w:r>
      <w:r w:rsidRPr="00D001E0">
        <w:t>for issuing relevant spectrum licences.</w:t>
      </w:r>
    </w:p>
    <w:p w14:paraId="5145BD9C" w14:textId="0703D0EF" w:rsidR="00AA671B" w:rsidRDefault="00AA671B" w:rsidP="00696579">
      <w:pPr>
        <w:pStyle w:val="Definition"/>
      </w:pPr>
      <w:r w:rsidRPr="00D001E0">
        <w:rPr>
          <w:b/>
          <w:i/>
        </w:rPr>
        <w:t>relevant spectrum licence</w:t>
      </w:r>
      <w:r w:rsidRPr="00D001E0">
        <w:t xml:space="preserve"> means a spectrum licence the allocation of which is enabled by the re-allocation declaration.</w:t>
      </w:r>
    </w:p>
    <w:p w14:paraId="387309A9" w14:textId="20FB99FD" w:rsidR="0070492F" w:rsidRPr="0070492F" w:rsidRDefault="0070492F" w:rsidP="00696579">
      <w:pPr>
        <w:pStyle w:val="Definition"/>
      </w:pPr>
      <w:r>
        <w:rPr>
          <w:b/>
          <w:i/>
        </w:rPr>
        <w:t>upfront payment amount</w:t>
      </w:r>
      <w:r>
        <w:t xml:space="preserve"> means the amount payable as the relevant spectrum access charge if the person by whom the charge is payable elects to pay the </w:t>
      </w:r>
      <w:r w:rsidR="00307878">
        <w:t xml:space="preserve">full amount of the </w:t>
      </w:r>
      <w:r>
        <w:t>charge prior to the issue of the licence.</w:t>
      </w:r>
    </w:p>
    <w:p w14:paraId="3E70CC12" w14:textId="1F8C24BE" w:rsidR="00696579" w:rsidRPr="00621EFF" w:rsidRDefault="00973C42" w:rsidP="00696579">
      <w:pPr>
        <w:pStyle w:val="ActHead5"/>
        <w:ind w:left="0" w:firstLine="0"/>
      </w:pPr>
      <w:bookmarkStart w:id="18" w:name="_Toc418165039"/>
      <w:bookmarkStart w:id="19" w:name="_Toc418165046"/>
      <w:r>
        <w:rPr>
          <w:rStyle w:val="CharSectno"/>
        </w:rPr>
        <w:t>5</w:t>
      </w:r>
      <w:r w:rsidR="00696579" w:rsidRPr="00621EFF">
        <w:t xml:space="preserve">  </w:t>
      </w:r>
      <w:r w:rsidR="00696579">
        <w:t>Direction—sp</w:t>
      </w:r>
      <w:r w:rsidR="00B01B98">
        <w:t>ectrum access charge payable in</w:t>
      </w:r>
      <w:r w:rsidR="00696579">
        <w:t xml:space="preserve"> instalments</w:t>
      </w:r>
    </w:p>
    <w:p w14:paraId="3A1B7584" w14:textId="45166E69" w:rsidR="001B3894" w:rsidRDefault="00696579" w:rsidP="001B3894">
      <w:pPr>
        <w:pStyle w:val="subsection"/>
      </w:pPr>
      <w:r>
        <w:tab/>
        <w:t>(1)</w:t>
      </w:r>
      <w:r>
        <w:tab/>
        <w:t>This direction is given to the ACMA under subsection 294(2) of the Radiocommunications Act.</w:t>
      </w:r>
    </w:p>
    <w:p w14:paraId="3E457377" w14:textId="6DF271B5" w:rsidR="00696579" w:rsidRDefault="00696579" w:rsidP="00696579">
      <w:pPr>
        <w:pStyle w:val="SubsectionHead"/>
      </w:pPr>
      <w:r>
        <w:t>Payment by instalments</w:t>
      </w:r>
      <w:r w:rsidR="00DB7755">
        <w:t xml:space="preserve"> </w:t>
      </w:r>
    </w:p>
    <w:p w14:paraId="0E0C832B" w14:textId="276D3E7C" w:rsidR="00C55EC4" w:rsidRDefault="00696579" w:rsidP="002B513E">
      <w:pPr>
        <w:pStyle w:val="subsection"/>
      </w:pPr>
      <w:r w:rsidRPr="00621EFF">
        <w:tab/>
        <w:t>(</w:t>
      </w:r>
      <w:r>
        <w:t>2</w:t>
      </w:r>
      <w:r w:rsidRPr="00621EFF">
        <w:t>)</w:t>
      </w:r>
      <w:r w:rsidRPr="00621EFF">
        <w:tab/>
      </w:r>
      <w:r>
        <w:t>I direct the ACMA</w:t>
      </w:r>
      <w:r w:rsidR="001B3894">
        <w:t xml:space="preserve">, in making a </w:t>
      </w:r>
      <w:r w:rsidR="0059243F">
        <w:t xml:space="preserve">charges </w:t>
      </w:r>
      <w:r w:rsidR="002B513E">
        <w:t xml:space="preserve">determination </w:t>
      </w:r>
      <w:r w:rsidR="00CF5973">
        <w:t xml:space="preserve">that fixes </w:t>
      </w:r>
      <w:r w:rsidR="00F257CE">
        <w:t>a</w:t>
      </w:r>
      <w:r w:rsidR="00B44BA2">
        <w:t xml:space="preserve"> relevant spectrum access charge</w:t>
      </w:r>
      <w:r w:rsidR="001B3894">
        <w:t xml:space="preserve">, </w:t>
      </w:r>
      <w:r w:rsidR="00FD3817" w:rsidRPr="002B513E">
        <w:t xml:space="preserve">to </w:t>
      </w:r>
      <w:r w:rsidR="00F95F9E">
        <w:t>permit</w:t>
      </w:r>
      <w:r w:rsidR="001B3894" w:rsidRPr="002B513E">
        <w:t xml:space="preserve"> pay</w:t>
      </w:r>
      <w:r w:rsidR="00DB7755">
        <w:t>ment of</w:t>
      </w:r>
      <w:r w:rsidR="001B3894" w:rsidRPr="002B513E">
        <w:t xml:space="preserve"> </w:t>
      </w:r>
      <w:r w:rsidR="00DB7755" w:rsidRPr="00DB7755">
        <w:t>that charge</w:t>
      </w:r>
      <w:r w:rsidR="000F3DCC" w:rsidRPr="002B513E">
        <w:t xml:space="preserve"> </w:t>
      </w:r>
      <w:r w:rsidR="000F3DCC" w:rsidRPr="002B513E">
        <w:lastRenderedPageBreak/>
        <w:t>in</w:t>
      </w:r>
      <w:r w:rsidR="001B3894" w:rsidRPr="002B513E">
        <w:t xml:space="preserve"> </w:t>
      </w:r>
      <w:r w:rsidRPr="002B513E">
        <w:t>instalments</w:t>
      </w:r>
      <w:r w:rsidR="009B5353" w:rsidRPr="002B513E">
        <w:t xml:space="preserve">, </w:t>
      </w:r>
      <w:r w:rsidR="006A7760">
        <w:t>subject</w:t>
      </w:r>
      <w:r w:rsidR="009B5353" w:rsidRPr="002B513E">
        <w:t xml:space="preserve"> to the</w:t>
      </w:r>
      <w:r w:rsidR="000F3DCC" w:rsidRPr="002B513E">
        <w:t xml:space="preserve"> terms set out in</w:t>
      </w:r>
      <w:r w:rsidR="00CF5973" w:rsidRPr="002B513E">
        <w:t xml:space="preserve"> subsections (3) to (</w:t>
      </w:r>
      <w:r w:rsidR="00B80B7F">
        <w:t>6</w:t>
      </w:r>
      <w:r w:rsidR="00CF5973" w:rsidRPr="002B513E">
        <w:t xml:space="preserve">) and </w:t>
      </w:r>
      <w:r w:rsidR="006A7760">
        <w:t xml:space="preserve">so long as </w:t>
      </w:r>
      <w:r w:rsidR="002B513E">
        <w:t xml:space="preserve">the </w:t>
      </w:r>
      <w:r w:rsidR="0044116D">
        <w:t>pre</w:t>
      </w:r>
      <w:r w:rsidR="002B513E">
        <w:t xml:space="preserve">condition set out in </w:t>
      </w:r>
      <w:r w:rsidR="00CF5973" w:rsidRPr="002B513E">
        <w:t>section 6</w:t>
      </w:r>
      <w:r w:rsidR="006A7760">
        <w:t xml:space="preserve"> is met</w:t>
      </w:r>
      <w:r w:rsidRPr="002B513E">
        <w:t>.</w:t>
      </w:r>
    </w:p>
    <w:p w14:paraId="11AC0044" w14:textId="547ACC05" w:rsidR="00EC09FC" w:rsidRPr="00621EFF" w:rsidRDefault="00EC09FC" w:rsidP="00EC09FC">
      <w:pPr>
        <w:pStyle w:val="notetext"/>
      </w:pPr>
      <w:r>
        <w:t>Note:</w:t>
      </w:r>
      <w:r>
        <w:tab/>
        <w:t>Paragraph 294(1)(b) of the Radiocommunications Act provides that the ACMA may, by written instrument, make determination</w:t>
      </w:r>
      <w:r w:rsidR="00F95F9E">
        <w:t>s</w:t>
      </w:r>
      <w:r>
        <w:t xml:space="preserve"> specifying the times when spectrum access charges are payable.</w:t>
      </w:r>
    </w:p>
    <w:p w14:paraId="0A9CFFCB" w14:textId="2865B196" w:rsidR="00DC2FF9" w:rsidRPr="00BA0B33" w:rsidRDefault="002B513E" w:rsidP="00B44BA2">
      <w:pPr>
        <w:pStyle w:val="SubsectionHead"/>
      </w:pPr>
      <w:r>
        <w:t>Terms</w:t>
      </w:r>
      <w:r w:rsidR="00696579">
        <w:t xml:space="preserve"> for payment by instalments</w:t>
      </w:r>
    </w:p>
    <w:p w14:paraId="1A906A30" w14:textId="11206A02" w:rsidR="00E24F57" w:rsidRDefault="00696579">
      <w:pPr>
        <w:pStyle w:val="subsection"/>
      </w:pPr>
      <w:r w:rsidRPr="004D3472">
        <w:tab/>
        <w:t>(</w:t>
      </w:r>
      <w:r w:rsidR="00B44BA2">
        <w:t>3</w:t>
      </w:r>
      <w:r w:rsidRPr="004D3472">
        <w:t>)</w:t>
      </w:r>
      <w:r w:rsidRPr="004D3472">
        <w:tab/>
      </w:r>
      <w:r w:rsidR="00083BE7">
        <w:t>If a</w:t>
      </w:r>
      <w:r w:rsidR="00E850A7">
        <w:t xml:space="preserve"> </w:t>
      </w:r>
      <w:r w:rsidR="00083BE7">
        <w:t>person</w:t>
      </w:r>
      <w:r w:rsidR="00E075A2">
        <w:t xml:space="preserve"> elects to pay a relevant spectr</w:t>
      </w:r>
      <w:r w:rsidR="00E24F57">
        <w:t>um access charge in instalments:</w:t>
      </w:r>
    </w:p>
    <w:p w14:paraId="74ABD4CA" w14:textId="03F07703" w:rsidR="00E075A2" w:rsidRDefault="00E24F57" w:rsidP="00E24F57">
      <w:pPr>
        <w:pStyle w:val="paragraph"/>
      </w:pPr>
      <w:r>
        <w:tab/>
        <w:t>(a)</w:t>
      </w:r>
      <w:r>
        <w:tab/>
        <w:t xml:space="preserve">the </w:t>
      </w:r>
      <w:r w:rsidR="006A7760">
        <w:t xml:space="preserve">full amount of the </w:t>
      </w:r>
      <w:r>
        <w:t xml:space="preserve">charge must </w:t>
      </w:r>
      <w:r w:rsidR="00E075A2">
        <w:t xml:space="preserve">be payable in </w:t>
      </w:r>
      <w:r w:rsidR="00E075A2" w:rsidRPr="003E6982">
        <w:t>five</w:t>
      </w:r>
      <w:r w:rsidR="00E075A2">
        <w:t xml:space="preserve"> instalments</w:t>
      </w:r>
      <w:r>
        <w:t>;</w:t>
      </w:r>
    </w:p>
    <w:p w14:paraId="463F77DE" w14:textId="37AC1543" w:rsidR="00F43878" w:rsidRDefault="00E075A2" w:rsidP="00747854">
      <w:pPr>
        <w:pStyle w:val="paragraph"/>
      </w:pPr>
      <w:r>
        <w:tab/>
      </w:r>
      <w:r w:rsidR="00E24F57">
        <w:t>(b</w:t>
      </w:r>
      <w:r>
        <w:t>)</w:t>
      </w:r>
      <w:r>
        <w:tab/>
      </w:r>
      <w:r w:rsidR="00725714">
        <w:t xml:space="preserve">each instalment must equal </w:t>
      </w:r>
      <w:r w:rsidR="00AB3721">
        <w:t>20.32%</w:t>
      </w:r>
      <w:r w:rsidR="00725714">
        <w:t xml:space="preserve"> </w:t>
      </w:r>
      <w:r w:rsidR="00AB3721">
        <w:t>of the upfront payment amount</w:t>
      </w:r>
      <w:r w:rsidR="00F43878">
        <w:t>;</w:t>
      </w:r>
      <w:r w:rsidR="00AB3721">
        <w:t xml:space="preserve"> </w:t>
      </w:r>
      <w:r w:rsidR="00725714">
        <w:t xml:space="preserve">and </w:t>
      </w:r>
    </w:p>
    <w:p w14:paraId="174EF6D8" w14:textId="416F9D55" w:rsidR="00725714" w:rsidRDefault="00F43878">
      <w:pPr>
        <w:pStyle w:val="paragraph"/>
      </w:pPr>
      <w:r>
        <w:tab/>
        <w:t>(c)</w:t>
      </w:r>
      <w:r>
        <w:tab/>
        <w:t xml:space="preserve">each instalment must </w:t>
      </w:r>
      <w:r w:rsidR="00725714">
        <w:t xml:space="preserve">be payable in accordance with the timeframes set out in subsections (4) </w:t>
      </w:r>
      <w:r w:rsidR="0031126E">
        <w:t xml:space="preserve">to </w:t>
      </w:r>
      <w:r w:rsidR="00725714" w:rsidRPr="00F935CE">
        <w:t>(</w:t>
      </w:r>
      <w:r w:rsidR="00D13460" w:rsidRPr="00F935CE">
        <w:t>6</w:t>
      </w:r>
      <w:r w:rsidR="00725714" w:rsidRPr="00F935CE">
        <w:t>).</w:t>
      </w:r>
    </w:p>
    <w:p w14:paraId="49F21DA8" w14:textId="30AD4541" w:rsidR="00696579" w:rsidRPr="004D3472" w:rsidRDefault="00725714" w:rsidP="00862268">
      <w:pPr>
        <w:pStyle w:val="subsection"/>
      </w:pPr>
      <w:r>
        <w:tab/>
        <w:t>(4)</w:t>
      </w:r>
      <w:r>
        <w:tab/>
        <w:t>T</w:t>
      </w:r>
      <w:r w:rsidR="00696579" w:rsidRPr="004D3472">
        <w:t>h</w:t>
      </w:r>
      <w:r w:rsidR="00DE5F76">
        <w:t xml:space="preserve">e </w:t>
      </w:r>
      <w:r w:rsidR="00DE5F76" w:rsidRPr="00B10903">
        <w:t>first instalment</w:t>
      </w:r>
      <w:r w:rsidR="00DE5F76" w:rsidRPr="00306E2A">
        <w:rPr>
          <w:b/>
          <w:i/>
        </w:rPr>
        <w:t xml:space="preserve"> </w:t>
      </w:r>
      <w:r w:rsidR="00DE5F76">
        <w:t>must be</w:t>
      </w:r>
      <w:r w:rsidR="00AB3721">
        <w:t xml:space="preserve"> </w:t>
      </w:r>
      <w:r w:rsidR="00053572" w:rsidRPr="004D3472">
        <w:t>payable prior</w:t>
      </w:r>
      <w:r w:rsidR="00696579" w:rsidRPr="004D3472">
        <w:t xml:space="preserve"> </w:t>
      </w:r>
      <w:r w:rsidR="00053572" w:rsidRPr="004D3472">
        <w:t xml:space="preserve">to </w:t>
      </w:r>
      <w:r w:rsidR="00696579" w:rsidRPr="004D3472">
        <w:t xml:space="preserve">the </w:t>
      </w:r>
      <w:r w:rsidR="00FB6904">
        <w:t>issue of the licence</w:t>
      </w:r>
      <w:r w:rsidR="003F743D">
        <w:t>.</w:t>
      </w:r>
    </w:p>
    <w:p w14:paraId="288474BB" w14:textId="581D4E3F" w:rsidR="006D7F1D" w:rsidRDefault="003F743D" w:rsidP="00862268">
      <w:pPr>
        <w:pStyle w:val="subsection"/>
      </w:pPr>
      <w:r>
        <w:tab/>
        <w:t>(5)</w:t>
      </w:r>
      <w:r>
        <w:tab/>
      </w:r>
      <w:r w:rsidR="006D7F1D">
        <w:t>The second instalment must be</w:t>
      </w:r>
      <w:r w:rsidR="00AB3721">
        <w:t xml:space="preserve"> </w:t>
      </w:r>
      <w:r w:rsidR="006D7F1D">
        <w:t>payable by:</w:t>
      </w:r>
    </w:p>
    <w:p w14:paraId="7C7EE187" w14:textId="774FB9AC" w:rsidR="006D7F1D" w:rsidRDefault="006D7F1D" w:rsidP="00862268">
      <w:pPr>
        <w:pStyle w:val="paragraph"/>
      </w:pPr>
      <w:r>
        <w:tab/>
        <w:t>(</w:t>
      </w:r>
      <w:r w:rsidR="00AB3721">
        <w:t>a</w:t>
      </w:r>
      <w:r>
        <w:t>)</w:t>
      </w:r>
      <w:r>
        <w:tab/>
        <w:t xml:space="preserve">if the licence </w:t>
      </w:r>
      <w:r w:rsidR="00446BE3">
        <w:t>comes into force</w:t>
      </w:r>
      <w:r>
        <w:t xml:space="preserve"> on the day on which it is issued—the day which is 12 months from that day; or</w:t>
      </w:r>
    </w:p>
    <w:p w14:paraId="2A9EEFB5" w14:textId="4893062D" w:rsidR="006D7F1D" w:rsidRPr="00CF5973" w:rsidRDefault="006D7F1D" w:rsidP="00862268">
      <w:pPr>
        <w:pStyle w:val="paragraph"/>
      </w:pPr>
      <w:r>
        <w:tab/>
        <w:t>(</w:t>
      </w:r>
      <w:r w:rsidR="00AB3721">
        <w:t>b</w:t>
      </w:r>
      <w:r>
        <w:t>)</w:t>
      </w:r>
      <w:r>
        <w:tab/>
        <w:t xml:space="preserve">if the licence </w:t>
      </w:r>
      <w:r w:rsidR="00446BE3">
        <w:t>comes into force</w:t>
      </w:r>
      <w:r>
        <w:t xml:space="preserve"> later than the day on which it is issued—a day which is no earlier than 12 months from the day the licence is issued but no later than 12 months from the day the licence </w:t>
      </w:r>
      <w:r w:rsidR="00446BE3">
        <w:t>comes into force</w:t>
      </w:r>
      <w:r>
        <w:t>.</w:t>
      </w:r>
    </w:p>
    <w:p w14:paraId="33D2F15E" w14:textId="4BDEF3F6" w:rsidR="006D7F1D" w:rsidRDefault="006D7F1D" w:rsidP="00862268">
      <w:pPr>
        <w:pStyle w:val="subsection"/>
      </w:pPr>
      <w:r>
        <w:tab/>
        <w:t>(6)</w:t>
      </w:r>
      <w:r>
        <w:tab/>
      </w:r>
      <w:r w:rsidR="003F743D">
        <w:t>E</w:t>
      </w:r>
      <w:r w:rsidR="004A24B4">
        <w:t>ach of the third, fourth and fifth instalment</w:t>
      </w:r>
      <w:r w:rsidR="00F52481">
        <w:t>s</w:t>
      </w:r>
      <w:r w:rsidR="00DE5F76">
        <w:t xml:space="preserve"> must be</w:t>
      </w:r>
      <w:r w:rsidR="00AB3721">
        <w:t xml:space="preserve"> </w:t>
      </w:r>
      <w:r>
        <w:t>payable by:</w:t>
      </w:r>
    </w:p>
    <w:p w14:paraId="2A9C8BD1" w14:textId="4341FC68" w:rsidR="006D7F1D" w:rsidRDefault="006D7F1D" w:rsidP="00862268">
      <w:pPr>
        <w:pStyle w:val="paragraph"/>
      </w:pPr>
      <w:r>
        <w:tab/>
        <w:t>(</w:t>
      </w:r>
      <w:r w:rsidR="00AB3721">
        <w:t>a</w:t>
      </w:r>
      <w:r>
        <w:t>)</w:t>
      </w:r>
      <w:r>
        <w:tab/>
        <w:t>for the third instalment—the first anniversary of the day by which the second instalment is payable;</w:t>
      </w:r>
    </w:p>
    <w:p w14:paraId="2D5568CB" w14:textId="557D0C07" w:rsidR="006D7F1D" w:rsidRDefault="006D7F1D" w:rsidP="00862268">
      <w:pPr>
        <w:pStyle w:val="paragraph"/>
      </w:pPr>
      <w:r>
        <w:tab/>
        <w:t>(</w:t>
      </w:r>
      <w:r w:rsidR="00AB3721">
        <w:t>b</w:t>
      </w:r>
      <w:r>
        <w:t>)</w:t>
      </w:r>
      <w:r>
        <w:tab/>
        <w:t>for the fourth instalment—the second anniversary of the day by which the second instalment is payable;</w:t>
      </w:r>
    </w:p>
    <w:p w14:paraId="565E32AF" w14:textId="3943581D" w:rsidR="006D7F1D" w:rsidRPr="00CF5973" w:rsidRDefault="006D7F1D" w:rsidP="00862268">
      <w:pPr>
        <w:pStyle w:val="paragraph"/>
      </w:pPr>
      <w:r>
        <w:tab/>
        <w:t>(</w:t>
      </w:r>
      <w:r w:rsidR="00AB3721">
        <w:t>c</w:t>
      </w:r>
      <w:r>
        <w:t>)</w:t>
      </w:r>
      <w:r>
        <w:tab/>
        <w:t>for the fifth instalment—the third anniversary of the day by which the second instalment is payable.</w:t>
      </w:r>
    </w:p>
    <w:p w14:paraId="6EFF9841" w14:textId="0AC89A60" w:rsidR="00716E08" w:rsidRPr="00862268" w:rsidRDefault="00DC2FF9" w:rsidP="00CF5973">
      <w:pPr>
        <w:pStyle w:val="notetext"/>
      </w:pPr>
      <w:r w:rsidRPr="00CF5973">
        <w:t>E</w:t>
      </w:r>
      <w:r w:rsidR="00EC09FC">
        <w:t>xample</w:t>
      </w:r>
      <w:r w:rsidR="005F7EB1">
        <w:t xml:space="preserve"> 1</w:t>
      </w:r>
      <w:r w:rsidR="00EC09FC">
        <w:t>:</w:t>
      </w:r>
      <w:r w:rsidR="00EC09FC">
        <w:tab/>
      </w:r>
      <w:r w:rsidR="00155D34">
        <w:t>For</w:t>
      </w:r>
      <w:r w:rsidR="00A92550">
        <w:t xml:space="preserve"> a relevant spectrum licence </w:t>
      </w:r>
      <w:r w:rsidR="00916F00">
        <w:t>proposed to be issued</w:t>
      </w:r>
      <w:r w:rsidR="00A92550">
        <w:t xml:space="preserve"> </w:t>
      </w:r>
      <w:r w:rsidR="008625E2">
        <w:t xml:space="preserve">and to </w:t>
      </w:r>
      <w:r w:rsidR="00446BE3">
        <w:t xml:space="preserve">come into force </w:t>
      </w:r>
      <w:r w:rsidR="00A92550">
        <w:t xml:space="preserve">on 1 </w:t>
      </w:r>
      <w:r w:rsidR="006D7F1D">
        <w:t xml:space="preserve">August </w:t>
      </w:r>
      <w:r w:rsidR="00916F00">
        <w:t>2021</w:t>
      </w:r>
      <w:r w:rsidR="00507DDB">
        <w:t>, and for which the</w:t>
      </w:r>
      <w:r w:rsidR="0070492F">
        <w:t xml:space="preserve"> upfront payment amount is </w:t>
      </w:r>
      <w:r w:rsidR="0070492F" w:rsidRPr="00862268">
        <w:t>$</w:t>
      </w:r>
      <w:r w:rsidR="00781900" w:rsidRPr="00862268">
        <w:t>1,000,000</w:t>
      </w:r>
      <w:r w:rsidR="0070492F" w:rsidRPr="00862268">
        <w:t>,</w:t>
      </w:r>
      <w:r w:rsidR="00716E08" w:rsidRPr="00862268">
        <w:t xml:space="preserve"> </w:t>
      </w:r>
      <w:r w:rsidR="00272265" w:rsidRPr="00862268">
        <w:t xml:space="preserve">the </w:t>
      </w:r>
      <w:r w:rsidR="00507DDB" w:rsidRPr="00862268">
        <w:t>instalments would be</w:t>
      </w:r>
      <w:r w:rsidR="005F7EB1" w:rsidRPr="00862268">
        <w:t xml:space="preserve"> the following </w:t>
      </w:r>
      <w:r w:rsidR="005F7EB1" w:rsidRPr="00862268">
        <w:lastRenderedPageBreak/>
        <w:t xml:space="preserve">amounts </w:t>
      </w:r>
      <w:r w:rsidR="00272265" w:rsidRPr="00862268">
        <w:t>payable by</w:t>
      </w:r>
      <w:r w:rsidR="005F7EB1" w:rsidRPr="00862268">
        <w:t xml:space="preserve"> the following times</w:t>
      </w:r>
      <w:r w:rsidR="00613791" w:rsidRPr="00862268">
        <w:t>,</w:t>
      </w:r>
      <w:r w:rsidR="00507DDB" w:rsidRPr="00862268">
        <w:t xml:space="preserve"> if an election to pay in instalments </w:t>
      </w:r>
      <w:r w:rsidR="00272265" w:rsidRPr="00862268">
        <w:t xml:space="preserve">is </w:t>
      </w:r>
      <w:r w:rsidR="00507DDB" w:rsidRPr="00862268">
        <w:t>made</w:t>
      </w:r>
      <w:r w:rsidR="00716E08" w:rsidRPr="00862268">
        <w:t>:</w:t>
      </w:r>
    </w:p>
    <w:p w14:paraId="48179941" w14:textId="75F75DE1" w:rsidR="00716E08" w:rsidRPr="00862268" w:rsidRDefault="00716E08" w:rsidP="00716E08">
      <w:pPr>
        <w:pStyle w:val="notepara"/>
      </w:pPr>
      <w:r w:rsidRPr="00862268">
        <w:t>(a)</w:t>
      </w:r>
      <w:r w:rsidRPr="00862268">
        <w:tab/>
      </w:r>
      <w:r w:rsidR="0070492F" w:rsidRPr="00862268">
        <w:t xml:space="preserve">a </w:t>
      </w:r>
      <w:r w:rsidR="00A92550" w:rsidRPr="00862268">
        <w:t>first</w:t>
      </w:r>
      <w:r w:rsidR="006A1B1F" w:rsidRPr="00862268">
        <w:t xml:space="preserve"> instalment of </w:t>
      </w:r>
      <w:r w:rsidR="00781900" w:rsidRPr="00862268">
        <w:t>$</w:t>
      </w:r>
      <w:r w:rsidR="00670932" w:rsidRPr="00862268">
        <w:t>203,</w:t>
      </w:r>
      <w:r w:rsidR="002529EA" w:rsidRPr="00862268">
        <w:t>200</w:t>
      </w:r>
      <w:r w:rsidR="00670932" w:rsidRPr="00862268" w:rsidDel="00670932">
        <w:t xml:space="preserve"> </w:t>
      </w:r>
      <w:r w:rsidR="00A92550" w:rsidRPr="00862268">
        <w:t>by</w:t>
      </w:r>
      <w:r w:rsidR="00DC2FF9" w:rsidRPr="00862268">
        <w:t xml:space="preserve"> </w:t>
      </w:r>
      <w:r w:rsidR="00C634D1" w:rsidRPr="00862268">
        <w:t>31</w:t>
      </w:r>
      <w:r w:rsidR="00DC2FF9" w:rsidRPr="00862268">
        <w:t> </w:t>
      </w:r>
      <w:r w:rsidR="006D7F1D" w:rsidRPr="00862268">
        <w:t xml:space="preserve">July </w:t>
      </w:r>
      <w:r w:rsidR="00DC2FF9" w:rsidRPr="00862268">
        <w:t>202</w:t>
      </w:r>
      <w:r w:rsidR="00C634D1" w:rsidRPr="00862268">
        <w:t>1</w:t>
      </w:r>
      <w:r w:rsidRPr="00862268">
        <w:t>;</w:t>
      </w:r>
    </w:p>
    <w:p w14:paraId="5CE4E769" w14:textId="1260D071" w:rsidR="00716E08" w:rsidRPr="00862268" w:rsidRDefault="00716E08" w:rsidP="00716E08">
      <w:pPr>
        <w:pStyle w:val="notepara"/>
      </w:pPr>
      <w:r w:rsidRPr="00862268">
        <w:t>(b)</w:t>
      </w:r>
      <w:r w:rsidRPr="00862268">
        <w:tab/>
      </w:r>
      <w:r w:rsidR="0070492F" w:rsidRPr="00862268">
        <w:t xml:space="preserve">a second </w:t>
      </w:r>
      <w:r w:rsidRPr="00862268">
        <w:t xml:space="preserve">instalment of </w:t>
      </w:r>
      <w:r w:rsidR="00781900" w:rsidRPr="00862268">
        <w:t>$</w:t>
      </w:r>
      <w:r w:rsidR="00670932" w:rsidRPr="00862268">
        <w:t>203,</w:t>
      </w:r>
      <w:r w:rsidR="002529EA" w:rsidRPr="00862268">
        <w:t>200</w:t>
      </w:r>
      <w:r w:rsidR="00670932" w:rsidRPr="00862268">
        <w:t xml:space="preserve"> </w:t>
      </w:r>
      <w:r w:rsidRPr="00862268">
        <w:t xml:space="preserve">by 1 </w:t>
      </w:r>
      <w:r w:rsidR="006D7F1D" w:rsidRPr="00862268">
        <w:t xml:space="preserve">August </w:t>
      </w:r>
      <w:r w:rsidRPr="00862268">
        <w:t>2022;</w:t>
      </w:r>
    </w:p>
    <w:p w14:paraId="3F14C6BE" w14:textId="197596F0" w:rsidR="00716E08" w:rsidRPr="00862268" w:rsidRDefault="00716E08" w:rsidP="00716E08">
      <w:pPr>
        <w:pStyle w:val="notepara"/>
      </w:pPr>
      <w:r w:rsidRPr="00862268">
        <w:t>(c)</w:t>
      </w:r>
      <w:r w:rsidRPr="00862268">
        <w:tab/>
      </w:r>
      <w:r w:rsidR="0070492F" w:rsidRPr="00862268">
        <w:t xml:space="preserve">a third </w:t>
      </w:r>
      <w:r w:rsidRPr="00862268">
        <w:t xml:space="preserve">instalment of </w:t>
      </w:r>
      <w:r w:rsidR="00162BC3" w:rsidRPr="00862268">
        <w:t>$</w:t>
      </w:r>
      <w:r w:rsidR="00670932" w:rsidRPr="00862268">
        <w:t>203,</w:t>
      </w:r>
      <w:r w:rsidR="002529EA" w:rsidRPr="00862268">
        <w:t>200</w:t>
      </w:r>
      <w:r w:rsidR="00670932" w:rsidRPr="00862268">
        <w:t xml:space="preserve"> </w:t>
      </w:r>
      <w:r w:rsidRPr="00862268">
        <w:t xml:space="preserve">by 1 </w:t>
      </w:r>
      <w:r w:rsidR="006D7F1D" w:rsidRPr="00862268">
        <w:t xml:space="preserve">August </w:t>
      </w:r>
      <w:r w:rsidRPr="00862268">
        <w:t>2023;</w:t>
      </w:r>
    </w:p>
    <w:p w14:paraId="794DCED4" w14:textId="30742A4A" w:rsidR="00716E08" w:rsidRPr="00862268" w:rsidRDefault="00716E08" w:rsidP="00716E08">
      <w:pPr>
        <w:pStyle w:val="notepara"/>
      </w:pPr>
      <w:r w:rsidRPr="00862268">
        <w:t>(d)</w:t>
      </w:r>
      <w:r w:rsidRPr="00862268">
        <w:tab/>
      </w:r>
      <w:r w:rsidR="0070492F" w:rsidRPr="00862268">
        <w:t xml:space="preserve">a fourth </w:t>
      </w:r>
      <w:r w:rsidRPr="00862268">
        <w:t xml:space="preserve">instalment of </w:t>
      </w:r>
      <w:r w:rsidR="00162BC3" w:rsidRPr="00862268">
        <w:t>$</w:t>
      </w:r>
      <w:r w:rsidR="00670932" w:rsidRPr="00862268">
        <w:t>203,</w:t>
      </w:r>
      <w:r w:rsidR="002529EA" w:rsidRPr="00862268">
        <w:t>200</w:t>
      </w:r>
      <w:r w:rsidR="00670932" w:rsidRPr="00862268">
        <w:t xml:space="preserve"> </w:t>
      </w:r>
      <w:r w:rsidRPr="00862268">
        <w:t xml:space="preserve">by 1 </w:t>
      </w:r>
      <w:r w:rsidR="006D7F1D" w:rsidRPr="00862268">
        <w:t xml:space="preserve">August </w:t>
      </w:r>
      <w:r w:rsidRPr="00862268">
        <w:t>2024;</w:t>
      </w:r>
    </w:p>
    <w:p w14:paraId="03F0A550" w14:textId="3722BB4E" w:rsidR="00716E08" w:rsidRDefault="00716E08" w:rsidP="00716E08">
      <w:pPr>
        <w:pStyle w:val="notepara"/>
      </w:pPr>
      <w:r w:rsidRPr="00862268">
        <w:t>(e)</w:t>
      </w:r>
      <w:r w:rsidRPr="00862268">
        <w:tab/>
      </w:r>
      <w:r w:rsidR="0070492F" w:rsidRPr="00862268">
        <w:t xml:space="preserve">a fifth </w:t>
      </w:r>
      <w:r w:rsidRPr="00862268">
        <w:t xml:space="preserve">instalment of </w:t>
      </w:r>
      <w:r w:rsidR="00162BC3" w:rsidRPr="00862268">
        <w:t>$</w:t>
      </w:r>
      <w:r w:rsidR="00670932" w:rsidRPr="00862268">
        <w:t>203,</w:t>
      </w:r>
      <w:r w:rsidR="002529EA" w:rsidRPr="00862268">
        <w:t>200</w:t>
      </w:r>
      <w:r w:rsidR="00670932" w:rsidRPr="00862268">
        <w:t xml:space="preserve"> </w:t>
      </w:r>
      <w:r w:rsidRPr="00862268">
        <w:t xml:space="preserve">by 1 </w:t>
      </w:r>
      <w:r w:rsidR="006D7F1D" w:rsidRPr="00862268">
        <w:t>August</w:t>
      </w:r>
      <w:r w:rsidR="006D7F1D">
        <w:t xml:space="preserve"> </w:t>
      </w:r>
      <w:r>
        <w:t>2025.</w:t>
      </w:r>
    </w:p>
    <w:p w14:paraId="0C755A32" w14:textId="3DE60BA0" w:rsidR="005F7EB1" w:rsidRDefault="005F7EB1" w:rsidP="005F7EB1">
      <w:pPr>
        <w:pStyle w:val="notetext"/>
      </w:pPr>
      <w:r w:rsidRPr="00CF5973">
        <w:t>E</w:t>
      </w:r>
      <w:r>
        <w:t>xample 2:</w:t>
      </w:r>
      <w:r>
        <w:tab/>
      </w:r>
      <w:r w:rsidR="006D7F1D">
        <w:t>For</w:t>
      </w:r>
      <w:r>
        <w:t xml:space="preserve"> a relevant spectrum licence proposed to be issued on 1 </w:t>
      </w:r>
      <w:r w:rsidR="006D7F1D">
        <w:t xml:space="preserve">August </w:t>
      </w:r>
      <w:r>
        <w:t xml:space="preserve">2021 and to </w:t>
      </w:r>
      <w:r w:rsidR="00446BE3">
        <w:t xml:space="preserve">come into force </w:t>
      </w:r>
      <w:r>
        <w:t xml:space="preserve">on 1 </w:t>
      </w:r>
      <w:r w:rsidR="006D7F1D">
        <w:t xml:space="preserve">November </w:t>
      </w:r>
      <w:r>
        <w:t xml:space="preserve">2021, </w:t>
      </w:r>
      <w:r w:rsidR="00272265">
        <w:t xml:space="preserve">the </w:t>
      </w:r>
      <w:r>
        <w:t xml:space="preserve">date by which the second instalment must be paid must be no earlier than 1 </w:t>
      </w:r>
      <w:r w:rsidR="00F26F74" w:rsidRPr="00F935CE">
        <w:t>August</w:t>
      </w:r>
      <w:r w:rsidR="00F26F74">
        <w:t xml:space="preserve"> </w:t>
      </w:r>
      <w:r>
        <w:t xml:space="preserve">2022 but no later than 1 </w:t>
      </w:r>
      <w:r w:rsidR="00613791">
        <w:t xml:space="preserve">November </w:t>
      </w:r>
      <w:r>
        <w:t xml:space="preserve">2022. If </w:t>
      </w:r>
      <w:r w:rsidR="00272265">
        <w:t xml:space="preserve">the </w:t>
      </w:r>
      <w:r>
        <w:t xml:space="preserve">due date of payment of the second instalment </w:t>
      </w:r>
      <w:r w:rsidR="00613791">
        <w:t xml:space="preserve">is </w:t>
      </w:r>
      <w:r>
        <w:t xml:space="preserve">31 </w:t>
      </w:r>
      <w:r w:rsidR="00613791">
        <w:t xml:space="preserve">October </w:t>
      </w:r>
      <w:r>
        <w:t xml:space="preserve">2022, each of the third, fourth and fifth instalments </w:t>
      </w:r>
      <w:r w:rsidR="00272265">
        <w:t>must be paid</w:t>
      </w:r>
      <w:r>
        <w:t xml:space="preserve"> by 31 </w:t>
      </w:r>
      <w:r w:rsidR="00613791">
        <w:t xml:space="preserve">October </w:t>
      </w:r>
      <w:r>
        <w:t>each year in 2023, 2024 and 2025 respectively.</w:t>
      </w:r>
    </w:p>
    <w:bookmarkEnd w:id="18"/>
    <w:bookmarkEnd w:id="19"/>
    <w:p w14:paraId="3E4DA4A6" w14:textId="2E673C03" w:rsidR="00696579" w:rsidRDefault="00973C42" w:rsidP="00696579">
      <w:pPr>
        <w:pStyle w:val="ActHead5"/>
        <w:ind w:left="0" w:firstLine="0"/>
      </w:pPr>
      <w:r>
        <w:rPr>
          <w:rStyle w:val="CharSectno"/>
        </w:rPr>
        <w:t>6</w:t>
      </w:r>
      <w:r w:rsidR="00696579">
        <w:t xml:space="preserve">  </w:t>
      </w:r>
      <w:r w:rsidR="00696579" w:rsidRPr="00D56998">
        <w:t>Direction—</w:t>
      </w:r>
      <w:r w:rsidR="0023482D">
        <w:t>bank guarantee for instalment payments</w:t>
      </w:r>
    </w:p>
    <w:p w14:paraId="4580E460" w14:textId="5D3B80C7" w:rsidR="009836C0" w:rsidRDefault="00696579" w:rsidP="00CF5973">
      <w:pPr>
        <w:pStyle w:val="subsection"/>
      </w:pPr>
      <w:r w:rsidRPr="00621EFF">
        <w:tab/>
        <w:t>(1)</w:t>
      </w:r>
      <w:r w:rsidRPr="00621EFF">
        <w:tab/>
      </w:r>
      <w:r w:rsidR="00027A0C">
        <w:t>T</w:t>
      </w:r>
      <w:r w:rsidR="00027A0C" w:rsidRPr="00621EFF">
        <w:t>h</w:t>
      </w:r>
      <w:r w:rsidR="00027A0C">
        <w:t>ese</w:t>
      </w:r>
      <w:r w:rsidR="00027A0C" w:rsidRPr="00621EFF">
        <w:t xml:space="preserve"> </w:t>
      </w:r>
      <w:r w:rsidRPr="00621EFF">
        <w:t>direction</w:t>
      </w:r>
      <w:r w:rsidR="00027A0C">
        <w:t>s</w:t>
      </w:r>
      <w:r w:rsidRPr="00621EFF">
        <w:t xml:space="preserve"> </w:t>
      </w:r>
      <w:r w:rsidR="00027A0C">
        <w:t>are</w:t>
      </w:r>
      <w:r w:rsidR="00027A0C" w:rsidRPr="00621EFF">
        <w:t xml:space="preserve"> </w:t>
      </w:r>
      <w:r w:rsidRPr="00621EFF">
        <w:t>given to the ACMA under subsection 14(1) of the ACMA Act.</w:t>
      </w:r>
    </w:p>
    <w:p w14:paraId="1E99A0E2" w14:textId="6303C42D" w:rsidR="00803540" w:rsidRPr="00E0556E" w:rsidRDefault="00803540" w:rsidP="00803540">
      <w:pPr>
        <w:pStyle w:val="SubsectionHead"/>
      </w:pPr>
      <w:r>
        <w:t>P</w:t>
      </w:r>
      <w:r w:rsidRPr="00E0556E">
        <w:t>ayment of spectrum access charge</w:t>
      </w:r>
      <w:r>
        <w:t xml:space="preserve">s </w:t>
      </w:r>
      <w:r w:rsidR="00027A0C">
        <w:t xml:space="preserve">in </w:t>
      </w:r>
      <w:r>
        <w:t>instalments</w:t>
      </w:r>
      <w:r w:rsidR="00027A0C">
        <w:t>—</w:t>
      </w:r>
      <w:r>
        <w:t>amounts secured by guarantee</w:t>
      </w:r>
    </w:p>
    <w:p w14:paraId="242FF74D" w14:textId="331D7BF9" w:rsidR="00DF57B8" w:rsidRDefault="00803540" w:rsidP="00474D61">
      <w:pPr>
        <w:pStyle w:val="subsection"/>
      </w:pPr>
      <w:r w:rsidRPr="00621EFF">
        <w:tab/>
      </w:r>
      <w:r>
        <w:t>(</w:t>
      </w:r>
      <w:r w:rsidR="0023482D">
        <w:t>2</w:t>
      </w:r>
      <w:r>
        <w:t>)</w:t>
      </w:r>
      <w:r w:rsidR="009B5353">
        <w:tab/>
      </w:r>
      <w:r w:rsidR="00491BE0">
        <w:t>I direct the ACMA to require the provision of a bank guarantee</w:t>
      </w:r>
      <w:r w:rsidR="00550395">
        <w:t xml:space="preserve"> at the time and on the terms set out in subsection (3)</w:t>
      </w:r>
      <w:r w:rsidR="006A7760">
        <w:t xml:space="preserve"> </w:t>
      </w:r>
      <w:r w:rsidR="009B5353" w:rsidRPr="006A7760">
        <w:t xml:space="preserve">as </w:t>
      </w:r>
      <w:r w:rsidR="00D35DC7" w:rsidRPr="006A7760">
        <w:t xml:space="preserve">a </w:t>
      </w:r>
      <w:r w:rsidR="00507DDB">
        <w:t>pre</w:t>
      </w:r>
      <w:r w:rsidR="00FD3817" w:rsidRPr="006A7760">
        <w:t xml:space="preserve">condition to </w:t>
      </w:r>
      <w:r w:rsidR="005A56EF">
        <w:t xml:space="preserve">reaching an agreement </w:t>
      </w:r>
      <w:r w:rsidR="00507DDB">
        <w:t>for the payment of a</w:t>
      </w:r>
      <w:r w:rsidR="00306E2A" w:rsidRPr="006A7760">
        <w:t xml:space="preserve"> relevant spectrum access charge</w:t>
      </w:r>
      <w:r w:rsidR="00FD3817" w:rsidRPr="006A7760">
        <w:t xml:space="preserve"> in instalments</w:t>
      </w:r>
      <w:r w:rsidR="00D35DC7" w:rsidRPr="006A7760">
        <w:t xml:space="preserve"> as set out in section 5</w:t>
      </w:r>
      <w:r w:rsidR="00FD3817" w:rsidRPr="006A7760">
        <w:t>.</w:t>
      </w:r>
    </w:p>
    <w:p w14:paraId="683A53B1" w14:textId="4773EF7B" w:rsidR="00491BE0" w:rsidRDefault="00DF57B8" w:rsidP="00474D61">
      <w:pPr>
        <w:pStyle w:val="notetext"/>
      </w:pPr>
      <w:r>
        <w:t>Note:</w:t>
      </w:r>
      <w:r w:rsidR="00474D61">
        <w:tab/>
      </w:r>
      <w:r w:rsidR="00F66506">
        <w:t>Under subsection 62(2) of the Act, the ACMA is not required to issue a spectrum licence unless the person to whom it is allocated either pays the spectrum access charge for issuing the licence, or reaches an agreement with the ACMA for the payment of that charge.</w:t>
      </w:r>
    </w:p>
    <w:p w14:paraId="401131B2" w14:textId="5CF6A588" w:rsidR="0023482D" w:rsidRDefault="00491BE0" w:rsidP="00A46F2E">
      <w:pPr>
        <w:pStyle w:val="subsection"/>
      </w:pPr>
      <w:r>
        <w:tab/>
        <w:t>(3)</w:t>
      </w:r>
      <w:r w:rsidR="009B5353">
        <w:tab/>
      </w:r>
      <w:r w:rsidR="00D35DC7">
        <w:t>For the purposes of subsection (2), the bank guarantee</w:t>
      </w:r>
      <w:r w:rsidR="0023482D">
        <w:t>:</w:t>
      </w:r>
    </w:p>
    <w:p w14:paraId="5A766669" w14:textId="0663EE48" w:rsidR="00D35DC7" w:rsidRDefault="00A46F2E" w:rsidP="00A46F2E">
      <w:pPr>
        <w:pStyle w:val="paragraph"/>
      </w:pPr>
      <w:r>
        <w:tab/>
      </w:r>
      <w:r w:rsidR="00EA7207">
        <w:t>(a)</w:t>
      </w:r>
      <w:r w:rsidR="00EA7207">
        <w:tab/>
      </w:r>
      <w:r w:rsidR="00D35DC7">
        <w:t xml:space="preserve">must be </w:t>
      </w:r>
      <w:r w:rsidR="00272475">
        <w:t xml:space="preserve">required to be </w:t>
      </w:r>
      <w:r w:rsidR="00D35DC7">
        <w:t xml:space="preserve">provided </w:t>
      </w:r>
      <w:r w:rsidR="008867A6">
        <w:t>prior to the day on which the relevant spectrum licence is issued</w:t>
      </w:r>
      <w:r w:rsidR="00D35DC7">
        <w:t>;</w:t>
      </w:r>
    </w:p>
    <w:p w14:paraId="50E0E723" w14:textId="12476100" w:rsidR="00A46F2E" w:rsidRDefault="00D35DC7" w:rsidP="00A46F2E">
      <w:pPr>
        <w:pStyle w:val="paragraph"/>
      </w:pPr>
      <w:r>
        <w:tab/>
        <w:t>(b)</w:t>
      </w:r>
      <w:r>
        <w:tab/>
        <w:t>must</w:t>
      </w:r>
      <w:r w:rsidR="00A46F2E">
        <w:t xml:space="preserve"> </w:t>
      </w:r>
      <w:r>
        <w:t xml:space="preserve">be </w:t>
      </w:r>
      <w:r w:rsidR="00A46F2E">
        <w:t>required to be provided</w:t>
      </w:r>
      <w:r w:rsidR="00B378EF">
        <w:t xml:space="preserve"> by the person liable to pay the charge</w:t>
      </w:r>
      <w:r w:rsidR="00603120">
        <w:t xml:space="preserve"> </w:t>
      </w:r>
      <w:r w:rsidR="00A46F2E">
        <w:t>for</w:t>
      </w:r>
      <w:r w:rsidR="00603120">
        <w:t>, and only for,</w:t>
      </w:r>
      <w:r w:rsidR="00A46F2E">
        <w:t xml:space="preserve"> the period during w</w:t>
      </w:r>
      <w:r w:rsidR="00306E2A">
        <w:t>hich the whole or part of a relevant spectrum access charge</w:t>
      </w:r>
      <w:r w:rsidR="00A46F2E">
        <w:t xml:space="preserve"> remain</w:t>
      </w:r>
      <w:r w:rsidR="00306E2A">
        <w:t>s</w:t>
      </w:r>
      <w:r w:rsidR="00A46F2E">
        <w:t xml:space="preserve"> owing</w:t>
      </w:r>
      <w:r w:rsidR="00B378EF">
        <w:t xml:space="preserve"> by that person</w:t>
      </w:r>
      <w:r w:rsidR="00A46F2E">
        <w:t>; and</w:t>
      </w:r>
    </w:p>
    <w:p w14:paraId="5E3CB08D" w14:textId="630F48EE" w:rsidR="00B54EF1" w:rsidRDefault="00A46F2E" w:rsidP="007C7F08">
      <w:pPr>
        <w:pStyle w:val="paragraph"/>
      </w:pPr>
      <w:r>
        <w:lastRenderedPageBreak/>
        <w:tab/>
      </w:r>
      <w:r w:rsidR="00EF727A">
        <w:t>(c</w:t>
      </w:r>
      <w:r w:rsidR="00EA7207">
        <w:t>)</w:t>
      </w:r>
      <w:r>
        <w:tab/>
      </w:r>
      <w:r w:rsidR="00D35DC7">
        <w:t xml:space="preserve">must </w:t>
      </w:r>
      <w:r w:rsidR="00FD5A70">
        <w:t xml:space="preserve">provide security to the Commonwealth for an amount equal to </w:t>
      </w:r>
      <w:r w:rsidR="00646609">
        <w:t xml:space="preserve">5% of </w:t>
      </w:r>
      <w:r>
        <w:t>the</w:t>
      </w:r>
      <w:r w:rsidR="00FD5A70">
        <w:t xml:space="preserve"> amount of the</w:t>
      </w:r>
      <w:r>
        <w:t xml:space="preserve"> </w:t>
      </w:r>
      <w:r w:rsidR="00646609">
        <w:t>relevant spectrum access charge</w:t>
      </w:r>
      <w:r>
        <w:t xml:space="preserve"> </w:t>
      </w:r>
      <w:r w:rsidR="00646609">
        <w:t xml:space="preserve">still </w:t>
      </w:r>
      <w:r>
        <w:t xml:space="preserve">owing to the Commonwealth </w:t>
      </w:r>
      <w:r w:rsidR="00D35DC7">
        <w:t>at any point in time</w:t>
      </w:r>
      <w:r>
        <w:t>.</w:t>
      </w:r>
    </w:p>
    <w:p w14:paraId="515A85BD" w14:textId="5AD03966" w:rsidR="00781900" w:rsidRPr="00862268" w:rsidRDefault="00603120" w:rsidP="00781900">
      <w:pPr>
        <w:pStyle w:val="notetext"/>
        <w:rPr>
          <w:sz w:val="20"/>
        </w:rPr>
      </w:pPr>
      <w:r>
        <w:t>Example:</w:t>
      </w:r>
      <w:r>
        <w:tab/>
      </w:r>
      <w:r w:rsidR="00781900">
        <w:t xml:space="preserve">If the </w:t>
      </w:r>
      <w:r w:rsidR="00DA3B1D">
        <w:t xml:space="preserve">second, third, fourth and fifth </w:t>
      </w:r>
      <w:r w:rsidR="00DA3B1D" w:rsidRPr="00862268">
        <w:t>instalments</w:t>
      </w:r>
      <w:r w:rsidR="00781900" w:rsidRPr="00862268">
        <w:t xml:space="preserve"> total </w:t>
      </w:r>
      <w:r w:rsidR="00746383" w:rsidRPr="00862268">
        <w:t>$</w:t>
      </w:r>
      <w:r w:rsidR="001D6E21" w:rsidRPr="00862268">
        <w:t>812,</w:t>
      </w:r>
      <w:r w:rsidR="00D452EC" w:rsidRPr="00862268">
        <w:t>800</w:t>
      </w:r>
      <w:r w:rsidR="00781900" w:rsidRPr="00862268">
        <w:t>:</w:t>
      </w:r>
    </w:p>
    <w:p w14:paraId="18C98A9D" w14:textId="5B05B772" w:rsidR="00781900" w:rsidRPr="00862268" w:rsidRDefault="00781900" w:rsidP="00781900">
      <w:pPr>
        <w:pStyle w:val="notepara"/>
      </w:pPr>
      <w:r w:rsidRPr="00862268">
        <w:t>(a)</w:t>
      </w:r>
      <w:r w:rsidRPr="00862268">
        <w:tab/>
        <w:t>prior to payment of any amount of the second insta</w:t>
      </w:r>
      <w:r w:rsidR="006B4103" w:rsidRPr="00862268">
        <w:t xml:space="preserve">lment, the bank guarantee must provide security for </w:t>
      </w:r>
      <w:r w:rsidRPr="00862268">
        <w:t xml:space="preserve">an amount of </w:t>
      </w:r>
      <w:r w:rsidR="00746383" w:rsidRPr="00862268">
        <w:t>$</w:t>
      </w:r>
      <w:r w:rsidR="001D6E21" w:rsidRPr="00862268">
        <w:t>40,6</w:t>
      </w:r>
      <w:r w:rsidR="00D452EC" w:rsidRPr="00862268">
        <w:t>40</w:t>
      </w:r>
      <w:r w:rsidRPr="00862268">
        <w:t>;</w:t>
      </w:r>
    </w:p>
    <w:p w14:paraId="06D7728B" w14:textId="58EA024B" w:rsidR="00781900" w:rsidRPr="00862268" w:rsidRDefault="00781900" w:rsidP="00781900">
      <w:pPr>
        <w:pStyle w:val="notepara"/>
      </w:pPr>
      <w:r w:rsidRPr="00862268">
        <w:t>(b)</w:t>
      </w:r>
      <w:r w:rsidRPr="00862268">
        <w:tab/>
        <w:t xml:space="preserve">following payment of the second instalment amount, and prior to payment of any amount of the third instalment, the bank guarantee must </w:t>
      </w:r>
      <w:r w:rsidR="006B4103" w:rsidRPr="00862268">
        <w:t>provide security for</w:t>
      </w:r>
      <w:r w:rsidRPr="00862268">
        <w:t xml:space="preserve"> an amount of </w:t>
      </w:r>
      <w:r w:rsidR="00746383" w:rsidRPr="00862268">
        <w:t>$</w:t>
      </w:r>
      <w:r w:rsidR="001D6E21" w:rsidRPr="00862268">
        <w:t>30,</w:t>
      </w:r>
      <w:r w:rsidR="00D452EC" w:rsidRPr="00862268">
        <w:t>480</w:t>
      </w:r>
      <w:r w:rsidRPr="00862268">
        <w:t>;</w:t>
      </w:r>
    </w:p>
    <w:p w14:paraId="1251F93E" w14:textId="2374AB11" w:rsidR="00781900" w:rsidRPr="00862268" w:rsidRDefault="00781900">
      <w:pPr>
        <w:pStyle w:val="notepara"/>
      </w:pPr>
      <w:r w:rsidRPr="00862268">
        <w:t>(c)</w:t>
      </w:r>
      <w:r w:rsidRPr="00862268">
        <w:tab/>
        <w:t xml:space="preserve">following payment of the third instalment amount, and prior to payment of any amount of the fourth instalment, the bank guarantee must </w:t>
      </w:r>
      <w:r w:rsidR="006B4103" w:rsidRPr="00862268">
        <w:t>provide security for</w:t>
      </w:r>
      <w:r w:rsidR="00D54EC6" w:rsidRPr="00862268">
        <w:t xml:space="preserve"> an amount of </w:t>
      </w:r>
      <w:r w:rsidR="00746383" w:rsidRPr="00862268">
        <w:t>$</w:t>
      </w:r>
      <w:r w:rsidR="001D6E21" w:rsidRPr="00862268">
        <w:t>20,</w:t>
      </w:r>
      <w:r w:rsidR="00D452EC" w:rsidRPr="00862268">
        <w:t>320</w:t>
      </w:r>
      <w:r w:rsidR="00D54EC6" w:rsidRPr="00862268">
        <w:t xml:space="preserve">; </w:t>
      </w:r>
      <w:r w:rsidRPr="00862268">
        <w:t>and</w:t>
      </w:r>
    </w:p>
    <w:p w14:paraId="1C32D44C" w14:textId="637F41A9" w:rsidR="00EB392F" w:rsidRDefault="00781900" w:rsidP="00EB392F">
      <w:pPr>
        <w:pStyle w:val="notepara"/>
      </w:pPr>
      <w:r w:rsidRPr="00862268">
        <w:t>(d)</w:t>
      </w:r>
      <w:r w:rsidRPr="00862268">
        <w:tab/>
        <w:t xml:space="preserve">following payment of the fourth instalment amount, and prior to payment of any amount of the fifth instalment, the bank guarantee must </w:t>
      </w:r>
      <w:r w:rsidR="006B4103" w:rsidRPr="00862268">
        <w:t xml:space="preserve">provide security for </w:t>
      </w:r>
      <w:r w:rsidRPr="00862268">
        <w:t xml:space="preserve">an amount of </w:t>
      </w:r>
      <w:r w:rsidR="00746383" w:rsidRPr="00862268">
        <w:t>$</w:t>
      </w:r>
      <w:r w:rsidR="001D6E21" w:rsidRPr="00862268">
        <w:t>10,</w:t>
      </w:r>
      <w:r w:rsidR="00D452EC" w:rsidRPr="00862268">
        <w:t>160</w:t>
      </w:r>
      <w:r w:rsidRPr="00862268">
        <w:t>.</w:t>
      </w:r>
    </w:p>
    <w:p w14:paraId="54C58FB3" w14:textId="655637D3" w:rsidR="00474D61" w:rsidRDefault="00474D61" w:rsidP="00E44F88">
      <w:pPr>
        <w:pStyle w:val="SubsectionHead"/>
      </w:pPr>
      <w:r>
        <w:t>Licence condition to</w:t>
      </w:r>
      <w:r w:rsidR="00027A0C">
        <w:t xml:space="preserve"> provide and</w:t>
      </w:r>
      <w:r>
        <w:t xml:space="preserve"> maintain bank guarantee</w:t>
      </w:r>
    </w:p>
    <w:p w14:paraId="1F920A0F" w14:textId="1A3CC063" w:rsidR="006F2263" w:rsidRDefault="006F2263" w:rsidP="006F2263">
      <w:pPr>
        <w:pStyle w:val="subsection"/>
      </w:pPr>
      <w:r>
        <w:tab/>
        <w:t>(4)</w:t>
      </w:r>
      <w:r>
        <w:tab/>
        <w:t>I direct the ACMA, in issuing a relevant spectrum licence</w:t>
      </w:r>
      <w:r w:rsidR="001676EE">
        <w:t xml:space="preserve"> for which</w:t>
      </w:r>
      <w:r>
        <w:t xml:space="preserve"> the relevant spectrum access charge is to be paid in instalments as set out in section 5, to:</w:t>
      </w:r>
    </w:p>
    <w:p w14:paraId="4098B6CB" w14:textId="77777777" w:rsidR="006F2263" w:rsidRDefault="006F2263" w:rsidP="006F2263">
      <w:pPr>
        <w:pStyle w:val="paragraph"/>
      </w:pPr>
      <w:r>
        <w:tab/>
        <w:t>(a)</w:t>
      </w:r>
      <w:r>
        <w:tab/>
        <w:t>consider whether it thinks fit that the licence include a condition with the effect of requiring the licensee to ensure that a bank guarantee on the terms set out in paragraph 3(c) is in force at all times during the period referred to in paragraph (3)(b); and</w:t>
      </w:r>
    </w:p>
    <w:p w14:paraId="3DA95F51" w14:textId="28AB2CE6" w:rsidR="006F2263" w:rsidRDefault="006F2263" w:rsidP="006F2263">
      <w:pPr>
        <w:pStyle w:val="paragraph"/>
      </w:pPr>
      <w:r>
        <w:tab/>
        <w:t>(b)</w:t>
      </w:r>
      <w:r>
        <w:tab/>
        <w:t>if the ACMA thinks fit that the licence include the condition referred to in paragraph (a)—include such a condition in that licence.</w:t>
      </w:r>
    </w:p>
    <w:p w14:paraId="25BA6A8A" w14:textId="5846A4A8" w:rsidR="006F2263" w:rsidRPr="00474D61" w:rsidRDefault="006F2263" w:rsidP="006F2263">
      <w:pPr>
        <w:pStyle w:val="notetext"/>
      </w:pPr>
      <w:r>
        <w:t>Note:</w:t>
      </w:r>
      <w:r>
        <w:tab/>
        <w:t>Section 71 of the Act provides that the ACMA may include such other conditions (being conditions in addition to those referred to in section</w:t>
      </w:r>
      <w:r w:rsidR="001676EE">
        <w:t>s</w:t>
      </w:r>
      <w:r>
        <w:t xml:space="preserve"> 66 to 69A) as it thinks fit.</w:t>
      </w:r>
    </w:p>
    <w:p w14:paraId="3DE5A520" w14:textId="2A533283" w:rsidR="00D35DC7" w:rsidRPr="00646609" w:rsidRDefault="00D35DC7" w:rsidP="00E44F88">
      <w:pPr>
        <w:pStyle w:val="SubsectionHead"/>
      </w:pPr>
      <w:r w:rsidRPr="00646609">
        <w:t>Definition</w:t>
      </w:r>
      <w:r w:rsidR="00F257CE" w:rsidRPr="00646609">
        <w:t xml:space="preserve"> of bank guarantee</w:t>
      </w:r>
    </w:p>
    <w:p w14:paraId="2BCC35ED" w14:textId="15159461" w:rsidR="00D35DC7" w:rsidRPr="00646609" w:rsidRDefault="00D35DC7" w:rsidP="00D35DC7">
      <w:pPr>
        <w:pStyle w:val="subsection"/>
      </w:pPr>
      <w:r w:rsidRPr="00646609">
        <w:tab/>
        <w:t>(</w:t>
      </w:r>
      <w:r w:rsidR="00474D61">
        <w:t>5</w:t>
      </w:r>
      <w:r w:rsidRPr="00646609">
        <w:t>)</w:t>
      </w:r>
      <w:r w:rsidRPr="00646609">
        <w:tab/>
        <w:t xml:space="preserve">In this section, </w:t>
      </w:r>
      <w:r w:rsidRPr="00646609">
        <w:rPr>
          <w:b/>
          <w:i/>
        </w:rPr>
        <w:t>bank guarantee</w:t>
      </w:r>
      <w:r w:rsidRPr="00646609">
        <w:t xml:space="preserve"> means a</w:t>
      </w:r>
      <w:r w:rsidR="00813BCC">
        <w:t>n irrevocable</w:t>
      </w:r>
      <w:r w:rsidRPr="00646609">
        <w:t xml:space="preserve"> bank guarantee issued by an authorise</w:t>
      </w:r>
      <w:r w:rsidR="00646609">
        <w:t>d</w:t>
      </w:r>
      <w:r w:rsidRPr="00646609">
        <w:t xml:space="preserve"> deposit-taking institution (</w:t>
      </w:r>
      <w:r w:rsidR="00646609">
        <w:t>within the meaning of</w:t>
      </w:r>
      <w:r w:rsidRPr="00646609">
        <w:t xml:space="preserve"> the </w:t>
      </w:r>
      <w:r w:rsidRPr="00646609">
        <w:rPr>
          <w:i/>
        </w:rPr>
        <w:t>Banking Act 1959</w:t>
      </w:r>
      <w:r w:rsidRPr="00646609">
        <w:t xml:space="preserve">) in a form </w:t>
      </w:r>
      <w:r w:rsidR="00F257CE" w:rsidRPr="00646609">
        <w:t>that the</w:t>
      </w:r>
      <w:r w:rsidRPr="00646609">
        <w:t xml:space="preserve"> ACMA</w:t>
      </w:r>
      <w:r w:rsidR="00F257CE" w:rsidRPr="00646609">
        <w:t xml:space="preserve"> considers appropriate</w:t>
      </w:r>
      <w:r w:rsidRPr="00646609">
        <w:t>.</w:t>
      </w:r>
    </w:p>
    <w:p w14:paraId="411A1A24" w14:textId="016AF1BF" w:rsidR="000F3DCC" w:rsidRPr="00646609" w:rsidRDefault="000F3DCC" w:rsidP="000F3DCC">
      <w:pPr>
        <w:pStyle w:val="ActHead5"/>
        <w:ind w:left="0" w:firstLine="0"/>
      </w:pPr>
      <w:r w:rsidRPr="00646609">
        <w:rPr>
          <w:rStyle w:val="CharSectno"/>
        </w:rPr>
        <w:lastRenderedPageBreak/>
        <w:t xml:space="preserve">7 </w:t>
      </w:r>
      <w:r w:rsidRPr="00646609">
        <w:t xml:space="preserve"> No limitation</w:t>
      </w:r>
    </w:p>
    <w:p w14:paraId="27C351ED" w14:textId="25A55577" w:rsidR="000F3DCC" w:rsidRPr="00B54EF1" w:rsidRDefault="000F3DCC" w:rsidP="000F3DCC">
      <w:pPr>
        <w:pStyle w:val="subsection"/>
      </w:pPr>
      <w:r w:rsidRPr="00646609">
        <w:tab/>
      </w:r>
      <w:r w:rsidRPr="00646609">
        <w:tab/>
        <w:t xml:space="preserve">Nothing in this direction limits the ACMA’s </w:t>
      </w:r>
      <w:r w:rsidR="00FF3D80" w:rsidRPr="00646609">
        <w:t xml:space="preserve">exercise of its </w:t>
      </w:r>
      <w:r w:rsidRPr="00646609">
        <w:t>power</w:t>
      </w:r>
      <w:r w:rsidR="00FF3D80" w:rsidRPr="00646609">
        <w:t>s</w:t>
      </w:r>
      <w:r w:rsidRPr="00646609">
        <w:t xml:space="preserve"> </w:t>
      </w:r>
      <w:r w:rsidR="00F257CE" w:rsidRPr="00646609">
        <w:t xml:space="preserve">or performance of its functions </w:t>
      </w:r>
      <w:r w:rsidR="00FF3D80" w:rsidRPr="00646609">
        <w:t>in a manner consistent with the terms of this direction</w:t>
      </w:r>
      <w:r w:rsidRPr="00646609">
        <w:t>.</w:t>
      </w:r>
    </w:p>
    <w:sectPr w:rsidR="000F3DCC" w:rsidRPr="00B54EF1" w:rsidSect="00AD45AC">
      <w:headerReference w:type="even" r:id="rId12"/>
      <w:headerReference w:type="default" r:id="rId13"/>
      <w:footerReference w:type="even" r:id="rId14"/>
      <w:footerReference w:type="default" r:id="rId15"/>
      <w:pgSz w:w="11907" w:h="16839"/>
      <w:pgMar w:top="2381" w:right="2410" w:bottom="4252" w:left="2410" w:header="720" w:footer="3402"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6EEF" w16cex:dateUtc="2020-09-28T04:17:00Z"/>
  <w16cex:commentExtensible w16cex:durableId="231D7996" w16cex:dateUtc="2020-09-28T23:15:00Z"/>
  <w16cex:commentExtensible w16cex:durableId="231D6E67" w16cex:dateUtc="2020-09-28T22:27:00Z"/>
  <w16cex:commentExtensible w16cex:durableId="231D7292" w16cex:dateUtc="2020-09-28T22:45:00Z"/>
  <w16cex:commentExtensible w16cex:durableId="231D6EEE" w16cex:dateUtc="2020-09-28T22:29:00Z"/>
  <w16cex:commentExtensible w16cex:durableId="231D7D42" w16cex:dateUtc="2020-09-28T23:30:00Z"/>
  <w16cex:commentExtensible w16cex:durableId="231C954C" w16cex:dateUtc="2020-09-28T07:01:00Z"/>
  <w16cex:commentExtensible w16cex:durableId="231C96D0" w16cex:dateUtc="2020-09-28T07:07:00Z"/>
  <w16cex:commentExtensible w16cex:durableId="231C58EC" w16cex:dateUtc="2020-09-28T02:43:00Z"/>
  <w16cex:commentExtensible w16cex:durableId="231D8E68" w16cex:dateUtc="2020-09-29T00:43:00Z"/>
  <w16cex:commentExtensible w16cex:durableId="231D734D" w16cex:dateUtc="2020-09-28T22:48:00Z"/>
  <w16cex:commentExtensible w16cex:durableId="231D739A" w16cex:dateUtc="2020-09-28T22:49:00Z"/>
  <w16cex:commentExtensible w16cex:durableId="231D7581" w16cex:dateUtc="2020-09-28T22:57:00Z"/>
  <w16cex:commentExtensible w16cex:durableId="231D7614" w16cex:dateUtc="2020-09-28T23:00:00Z"/>
  <w16cex:commentExtensible w16cex:durableId="231D731D" w16cex:dateUtc="2020-09-28T22:47:00Z"/>
  <w16cex:commentExtensible w16cex:durableId="231D78E0" w16cex:dateUtc="2020-09-28T23:12:00Z"/>
  <w16cex:commentExtensible w16cex:durableId="231D79F4" w16cex:dateUtc="2020-09-2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5955E0" w16cid:durableId="231C2C6E"/>
  <w16cid:commentId w16cid:paraId="6B9E9219" w16cid:durableId="231C2C6F"/>
  <w16cid:commentId w16cid:paraId="359B47F9" w16cid:durableId="231C6EEF"/>
  <w16cid:commentId w16cid:paraId="3821FF15" w16cid:durableId="231C2C70"/>
  <w16cid:commentId w16cid:paraId="2CFBB5FF" w16cid:durableId="231C2C71"/>
  <w16cid:commentId w16cid:paraId="4F339FF9" w16cid:durableId="231C2C72"/>
  <w16cid:commentId w16cid:paraId="04F55807" w16cid:durableId="231D7996"/>
  <w16cid:commentId w16cid:paraId="7F65500E" w16cid:durableId="231D6E67"/>
  <w16cid:commentId w16cid:paraId="76F03AC0" w16cid:durableId="231D7292"/>
  <w16cid:commentId w16cid:paraId="30864B98" w16cid:durableId="231C2C73"/>
  <w16cid:commentId w16cid:paraId="7DE457C4" w16cid:durableId="231D6EEE"/>
  <w16cid:commentId w16cid:paraId="33EB8622" w16cid:durableId="231D7D42"/>
  <w16cid:commentId w16cid:paraId="27B0B02A" w16cid:durableId="231C2C74"/>
  <w16cid:commentId w16cid:paraId="40AAC422" w16cid:durableId="231C2C75"/>
  <w16cid:commentId w16cid:paraId="0ADDD3D7" w16cid:durableId="231C954C"/>
  <w16cid:commentId w16cid:paraId="35C0B4DC" w16cid:durableId="231C96D0"/>
  <w16cid:commentId w16cid:paraId="541E83BB" w16cid:durableId="231C2C76"/>
  <w16cid:commentId w16cid:paraId="507AE5D0" w16cid:durableId="231C58EC"/>
  <w16cid:commentId w16cid:paraId="26039256" w16cid:durableId="231C2C77"/>
  <w16cid:commentId w16cid:paraId="01459AD0" w16cid:durableId="231C2C78"/>
  <w16cid:commentId w16cid:paraId="1754BAE6" w16cid:durableId="231C2C79"/>
  <w16cid:commentId w16cid:paraId="13D87AF0" w16cid:durableId="231C2C7A"/>
  <w16cid:commentId w16cid:paraId="08ACE886" w16cid:durableId="231D8E68"/>
  <w16cid:commentId w16cid:paraId="12C851BF" w16cid:durableId="231D734D"/>
  <w16cid:commentId w16cid:paraId="6386555B" w16cid:durableId="231D739A"/>
  <w16cid:commentId w16cid:paraId="709DE383" w16cid:durableId="231D7581"/>
  <w16cid:commentId w16cid:paraId="1F62DC44" w16cid:durableId="231D7614"/>
  <w16cid:commentId w16cid:paraId="765975A5" w16cid:durableId="231C2C7B"/>
  <w16cid:commentId w16cid:paraId="3CF886F4" w16cid:durableId="231D731D"/>
  <w16cid:commentId w16cid:paraId="23080775" w16cid:durableId="231D78E0"/>
  <w16cid:commentId w16cid:paraId="4A2558ED" w16cid:durableId="231C2C7C"/>
  <w16cid:commentId w16cid:paraId="44CE5F80" w16cid:durableId="231D79F4"/>
  <w16cid:commentId w16cid:paraId="0DCCEA6D" w16cid:durableId="231C2C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F69CB" w14:textId="77777777" w:rsidR="00B80B7F" w:rsidRDefault="00B80B7F">
      <w:r>
        <w:separator/>
      </w:r>
    </w:p>
  </w:endnote>
  <w:endnote w:type="continuationSeparator" w:id="0">
    <w:p w14:paraId="7A91C1CD" w14:textId="77777777" w:rsidR="00B80B7F" w:rsidRDefault="00B80B7F">
      <w:r>
        <w:continuationSeparator/>
      </w:r>
    </w:p>
  </w:endnote>
  <w:endnote w:type="continuationNotice" w:id="1">
    <w:p w14:paraId="4947EBD0" w14:textId="77777777" w:rsidR="00B80B7F" w:rsidRDefault="00B80B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ED08" w14:textId="77777777" w:rsidR="00B80B7F" w:rsidRPr="00074661" w:rsidRDefault="00B80B7F" w:rsidP="00BE2C51">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5232"/>
      <w:gridCol w:w="1332"/>
    </w:tblGrid>
    <w:tr w:rsidR="00B80B7F" w:rsidRPr="00074661" w14:paraId="7220DB6B" w14:textId="77777777" w:rsidTr="00D44E12">
      <w:tc>
        <w:tcPr>
          <w:tcW w:w="523" w:type="dxa"/>
        </w:tcPr>
        <w:p w14:paraId="7B5549B5" w14:textId="387ABA4D" w:rsidR="00B80B7F" w:rsidRPr="00074661" w:rsidRDefault="00B80B7F" w:rsidP="00BE2C51">
          <w:pPr>
            <w:spacing w:line="0" w:lineRule="atLeast"/>
            <w:rPr>
              <w:rFonts w:cs="Times New Roman"/>
              <w:sz w:val="18"/>
            </w:rPr>
          </w:pPr>
          <w:r w:rsidRPr="00074661">
            <w:rPr>
              <w:rFonts w:cs="Times New Roman"/>
              <w:i/>
              <w:sz w:val="18"/>
            </w:rPr>
            <w:fldChar w:fldCharType="begin"/>
          </w:r>
          <w:r w:rsidRPr="00074661">
            <w:rPr>
              <w:rFonts w:cs="Times New Roman"/>
              <w:i/>
              <w:sz w:val="18"/>
            </w:rPr>
            <w:instrText xml:space="preserve"> PAGE </w:instrText>
          </w:r>
          <w:r w:rsidRPr="00074661">
            <w:rPr>
              <w:rFonts w:cs="Times New Roman"/>
              <w:i/>
              <w:sz w:val="18"/>
            </w:rPr>
            <w:fldChar w:fldCharType="separate"/>
          </w:r>
          <w:r w:rsidR="00D63B48">
            <w:rPr>
              <w:rFonts w:cs="Times New Roman"/>
              <w:i/>
              <w:noProof/>
              <w:sz w:val="18"/>
            </w:rPr>
            <w:t>6</w:t>
          </w:r>
          <w:r w:rsidRPr="00074661">
            <w:rPr>
              <w:rFonts w:cs="Times New Roman"/>
              <w:i/>
              <w:sz w:val="18"/>
            </w:rPr>
            <w:fldChar w:fldCharType="end"/>
          </w:r>
        </w:p>
      </w:tc>
      <w:tc>
        <w:tcPr>
          <w:tcW w:w="5232" w:type="dxa"/>
        </w:tcPr>
        <w:p w14:paraId="11F9A40F" w14:textId="48F83A4C" w:rsidR="00B80B7F" w:rsidRPr="00074661" w:rsidRDefault="00B80B7F" w:rsidP="00BE2C51">
          <w:pPr>
            <w:spacing w:line="0" w:lineRule="atLeast"/>
            <w:jc w:val="center"/>
            <w:rPr>
              <w:rFonts w:cs="Times New Roman"/>
              <w:sz w:val="18"/>
            </w:rPr>
          </w:pPr>
          <w:r>
            <w:rPr>
              <w:i/>
              <w:sz w:val="18"/>
            </w:rPr>
            <w:fldChar w:fldCharType="begin"/>
          </w:r>
          <w:r>
            <w:rPr>
              <w:i/>
              <w:sz w:val="18"/>
            </w:rPr>
            <w:instrText xml:space="preserve"> STYLEREF  ShortT </w:instrText>
          </w:r>
          <w:r>
            <w:rPr>
              <w:i/>
              <w:sz w:val="18"/>
            </w:rPr>
            <w:fldChar w:fldCharType="separate"/>
          </w:r>
          <w:r w:rsidR="00D63B48">
            <w:rPr>
              <w:i/>
              <w:noProof/>
              <w:sz w:val="18"/>
            </w:rPr>
            <w:t>Radiocommunications (Spectrum Access Charges—26 GHz Band) Direction 2020</w:t>
          </w:r>
          <w:r>
            <w:rPr>
              <w:i/>
              <w:sz w:val="18"/>
            </w:rPr>
            <w:fldChar w:fldCharType="end"/>
          </w:r>
        </w:p>
      </w:tc>
      <w:tc>
        <w:tcPr>
          <w:tcW w:w="1332" w:type="dxa"/>
        </w:tcPr>
        <w:p w14:paraId="31179E4E" w14:textId="1D7AA8AB" w:rsidR="00B80B7F" w:rsidRPr="00074661" w:rsidRDefault="00B80B7F" w:rsidP="00BE2C51">
          <w:pPr>
            <w:spacing w:line="0" w:lineRule="atLeast"/>
            <w:jc w:val="right"/>
            <w:rPr>
              <w:rFonts w:cs="Times New Roman"/>
              <w:sz w:val="18"/>
            </w:rPr>
          </w:pPr>
          <w:r w:rsidRPr="00074661">
            <w:rPr>
              <w:rFonts w:cs="Times New Roman"/>
              <w:i/>
              <w:sz w:val="18"/>
            </w:rPr>
            <w:fldChar w:fldCharType="begin"/>
          </w:r>
          <w:r w:rsidRPr="00074661">
            <w:rPr>
              <w:rFonts w:cs="Times New Roman"/>
              <w:i/>
              <w:sz w:val="18"/>
            </w:rPr>
            <w:instrText xml:space="preserve"> DOCPROPERTY ActNo </w:instrText>
          </w:r>
          <w:r w:rsidRPr="00074661">
            <w:rPr>
              <w:rFonts w:cs="Times New Roman"/>
              <w:i/>
              <w:sz w:val="18"/>
            </w:rPr>
            <w:fldChar w:fldCharType="separate"/>
          </w:r>
          <w:r w:rsidR="00D63B48">
            <w:rPr>
              <w:rFonts w:cs="Times New Roman"/>
              <w:i/>
              <w:sz w:val="18"/>
            </w:rPr>
            <w:t xml:space="preserve"> </w:t>
          </w:r>
          <w:r w:rsidRPr="00074661">
            <w:rPr>
              <w:rFonts w:cs="Times New Roman"/>
              <w:i/>
              <w:sz w:val="18"/>
            </w:rPr>
            <w:fldChar w:fldCharType="end"/>
          </w:r>
        </w:p>
      </w:tc>
    </w:tr>
    <w:tr w:rsidR="00B80B7F" w:rsidRPr="00074661" w14:paraId="0364C592" w14:textId="77777777" w:rsidTr="00D44E12">
      <w:tc>
        <w:tcPr>
          <w:tcW w:w="7087" w:type="dxa"/>
          <w:gridSpan w:val="3"/>
        </w:tcPr>
        <w:p w14:paraId="718E83D7" w14:textId="77777777" w:rsidR="00B80B7F" w:rsidRPr="00074661" w:rsidRDefault="00B80B7F" w:rsidP="00BE2C51">
          <w:pPr>
            <w:jc w:val="right"/>
            <w:rPr>
              <w:rFonts w:cs="Times New Roman"/>
              <w:sz w:val="18"/>
            </w:rPr>
          </w:pPr>
        </w:p>
      </w:tc>
    </w:tr>
  </w:tbl>
  <w:p w14:paraId="4BFC2C42" w14:textId="77777777" w:rsidR="00B80B7F" w:rsidRPr="00074661" w:rsidRDefault="00B80B7F" w:rsidP="000527F0">
    <w:pPr>
      <w:rPr>
        <w:rFonts w:cs="Times New Roman"/>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DAFAC" w14:textId="77777777" w:rsidR="00B80B7F" w:rsidRPr="002B0EA5" w:rsidRDefault="00B80B7F" w:rsidP="00BE2C5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5232"/>
      <w:gridCol w:w="523"/>
    </w:tblGrid>
    <w:tr w:rsidR="00B80B7F" w14:paraId="455A53D2" w14:textId="77777777" w:rsidTr="00D44E12">
      <w:tc>
        <w:tcPr>
          <w:tcW w:w="1332" w:type="dxa"/>
        </w:tcPr>
        <w:p w14:paraId="1409496E" w14:textId="36BA2B98" w:rsidR="00B80B7F" w:rsidRDefault="00B80B7F" w:rsidP="00BE2C5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63B48">
            <w:rPr>
              <w:i/>
              <w:sz w:val="18"/>
            </w:rPr>
            <w:t xml:space="preserve"> </w:t>
          </w:r>
          <w:r w:rsidRPr="007A1328">
            <w:rPr>
              <w:i/>
              <w:sz w:val="18"/>
            </w:rPr>
            <w:fldChar w:fldCharType="end"/>
          </w:r>
        </w:p>
      </w:tc>
      <w:tc>
        <w:tcPr>
          <w:tcW w:w="5232" w:type="dxa"/>
        </w:tcPr>
        <w:p w14:paraId="4352C2D3" w14:textId="3587EF1E" w:rsidR="00B80B7F" w:rsidRDefault="00B80B7F" w:rsidP="00BE2C51">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63B48">
            <w:rPr>
              <w:i/>
              <w:noProof/>
              <w:sz w:val="18"/>
            </w:rPr>
            <w:t>Radiocommunications (Spectrum Access Charges—26 GHz Band) Direction 2020</w:t>
          </w:r>
          <w:r>
            <w:rPr>
              <w:i/>
              <w:sz w:val="18"/>
            </w:rPr>
            <w:fldChar w:fldCharType="end"/>
          </w:r>
        </w:p>
      </w:tc>
      <w:tc>
        <w:tcPr>
          <w:tcW w:w="523" w:type="dxa"/>
        </w:tcPr>
        <w:p w14:paraId="5908E587" w14:textId="336F747A" w:rsidR="00B80B7F" w:rsidRDefault="00B80B7F" w:rsidP="00BE2C5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3B48">
            <w:rPr>
              <w:i/>
              <w:noProof/>
              <w:sz w:val="18"/>
            </w:rPr>
            <w:t>7</w:t>
          </w:r>
          <w:r w:rsidRPr="00ED79B6">
            <w:rPr>
              <w:i/>
              <w:sz w:val="18"/>
            </w:rPr>
            <w:fldChar w:fldCharType="end"/>
          </w:r>
        </w:p>
      </w:tc>
    </w:tr>
    <w:tr w:rsidR="00B80B7F" w14:paraId="1C1434FC" w14:textId="77777777" w:rsidTr="00D44E12">
      <w:tc>
        <w:tcPr>
          <w:tcW w:w="7087" w:type="dxa"/>
          <w:gridSpan w:val="3"/>
        </w:tcPr>
        <w:p w14:paraId="354E68B8" w14:textId="77777777" w:rsidR="00B80B7F" w:rsidRDefault="00B80B7F" w:rsidP="00BE2C51">
          <w:pPr>
            <w:rPr>
              <w:sz w:val="18"/>
            </w:rPr>
          </w:pPr>
        </w:p>
      </w:tc>
    </w:tr>
  </w:tbl>
  <w:p w14:paraId="4E416EBA" w14:textId="77777777" w:rsidR="00B80B7F" w:rsidRPr="00ED79B6" w:rsidRDefault="00B80B7F" w:rsidP="00074661">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63353" w14:textId="77777777" w:rsidR="00B80B7F" w:rsidRDefault="00B80B7F">
      <w:r>
        <w:separator/>
      </w:r>
    </w:p>
  </w:footnote>
  <w:footnote w:type="continuationSeparator" w:id="0">
    <w:p w14:paraId="05023F15" w14:textId="77777777" w:rsidR="00B80B7F" w:rsidRDefault="00B80B7F">
      <w:r>
        <w:continuationSeparator/>
      </w:r>
    </w:p>
  </w:footnote>
  <w:footnote w:type="continuationNotice" w:id="1">
    <w:p w14:paraId="03A5C016" w14:textId="77777777" w:rsidR="00B80B7F" w:rsidRDefault="00B80B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E8DD" w14:textId="77777777" w:rsidR="00B80B7F" w:rsidRPr="007A1328" w:rsidRDefault="00B80B7F" w:rsidP="00BE2C51">
    <w:pPr>
      <w:rPr>
        <w:b/>
        <w:sz w:val="24"/>
      </w:rPr>
    </w:pPr>
  </w:p>
  <w:p w14:paraId="58C93675" w14:textId="45A46A65" w:rsidR="00B80B7F" w:rsidRPr="007A1328" w:rsidRDefault="00B80B7F" w:rsidP="004976A6">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2A1B" w14:textId="60A874A4" w:rsidR="00B80B7F" w:rsidRPr="007A1328" w:rsidRDefault="00B80B7F" w:rsidP="00BE2C5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D201211" w14:textId="153DA434" w:rsidR="00B80B7F" w:rsidRPr="007A1328" w:rsidRDefault="00B80B7F" w:rsidP="00BE2C5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2620239" w14:textId="57274262" w:rsidR="00B80B7F" w:rsidRPr="007A1328" w:rsidRDefault="00B80B7F" w:rsidP="00BE2C5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4FC1BDA" w14:textId="77777777" w:rsidR="00B80B7F" w:rsidRPr="007A1328" w:rsidRDefault="00B80B7F" w:rsidP="00BE2C51">
    <w:pPr>
      <w:jc w:val="right"/>
      <w:rPr>
        <w:b/>
        <w:sz w:val="24"/>
      </w:rPr>
    </w:pPr>
  </w:p>
  <w:p w14:paraId="26C53730" w14:textId="17EDBF20" w:rsidR="00B80B7F" w:rsidRPr="007A1328" w:rsidRDefault="00B80B7F" w:rsidP="004976A6">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93525"/>
    <w:multiLevelType w:val="hybridMultilevel"/>
    <w:tmpl w:val="001EF60C"/>
    <w:lvl w:ilvl="0" w:tplc="331873A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5B8253D"/>
    <w:multiLevelType w:val="hybridMultilevel"/>
    <w:tmpl w:val="F76A5050"/>
    <w:lvl w:ilvl="0" w:tplc="D7D4759A">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D94FBC"/>
    <w:multiLevelType w:val="hybridMultilevel"/>
    <w:tmpl w:val="6B6EC45C"/>
    <w:lvl w:ilvl="0" w:tplc="56EAA4B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00E7F14"/>
    <w:multiLevelType w:val="hybridMultilevel"/>
    <w:tmpl w:val="C95C5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75B7A12"/>
    <w:multiLevelType w:val="hybridMultilevel"/>
    <w:tmpl w:val="2B4A0C58"/>
    <w:lvl w:ilvl="0" w:tplc="C178A74A">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2A68EC"/>
    <w:multiLevelType w:val="hybridMultilevel"/>
    <w:tmpl w:val="1D7ED334"/>
    <w:lvl w:ilvl="0" w:tplc="36581C1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2" w15:restartNumberingAfterBreak="0">
    <w:nsid w:val="5FC41CF2"/>
    <w:multiLevelType w:val="hybridMultilevel"/>
    <w:tmpl w:val="777C47D4"/>
    <w:lvl w:ilvl="0" w:tplc="7884D792">
      <w:start w:val="1"/>
      <w:numFmt w:val="decimal"/>
      <w:lvlText w:val="(%1)"/>
      <w:lvlJc w:val="left"/>
      <w:pPr>
        <w:ind w:left="1489" w:hanging="360"/>
      </w:pPr>
      <w:rPr>
        <w:rFonts w:hint="default"/>
      </w:rPr>
    </w:lvl>
    <w:lvl w:ilvl="1" w:tplc="0C090019" w:tentative="1">
      <w:start w:val="1"/>
      <w:numFmt w:val="lowerLetter"/>
      <w:lvlText w:val="%2."/>
      <w:lvlJc w:val="left"/>
      <w:pPr>
        <w:ind w:left="2209" w:hanging="360"/>
      </w:pPr>
    </w:lvl>
    <w:lvl w:ilvl="2" w:tplc="0C09001B" w:tentative="1">
      <w:start w:val="1"/>
      <w:numFmt w:val="lowerRoman"/>
      <w:lvlText w:val="%3."/>
      <w:lvlJc w:val="right"/>
      <w:pPr>
        <w:ind w:left="2929" w:hanging="180"/>
      </w:pPr>
    </w:lvl>
    <w:lvl w:ilvl="3" w:tplc="0C09000F" w:tentative="1">
      <w:start w:val="1"/>
      <w:numFmt w:val="decimal"/>
      <w:lvlText w:val="%4."/>
      <w:lvlJc w:val="left"/>
      <w:pPr>
        <w:ind w:left="3649" w:hanging="360"/>
      </w:pPr>
    </w:lvl>
    <w:lvl w:ilvl="4" w:tplc="0C090019" w:tentative="1">
      <w:start w:val="1"/>
      <w:numFmt w:val="lowerLetter"/>
      <w:lvlText w:val="%5."/>
      <w:lvlJc w:val="left"/>
      <w:pPr>
        <w:ind w:left="4369" w:hanging="360"/>
      </w:pPr>
    </w:lvl>
    <w:lvl w:ilvl="5" w:tplc="0C09001B" w:tentative="1">
      <w:start w:val="1"/>
      <w:numFmt w:val="lowerRoman"/>
      <w:lvlText w:val="%6."/>
      <w:lvlJc w:val="right"/>
      <w:pPr>
        <w:ind w:left="5089" w:hanging="180"/>
      </w:pPr>
    </w:lvl>
    <w:lvl w:ilvl="6" w:tplc="0C09000F" w:tentative="1">
      <w:start w:val="1"/>
      <w:numFmt w:val="decimal"/>
      <w:lvlText w:val="%7."/>
      <w:lvlJc w:val="left"/>
      <w:pPr>
        <w:ind w:left="5809" w:hanging="360"/>
      </w:pPr>
    </w:lvl>
    <w:lvl w:ilvl="7" w:tplc="0C090019" w:tentative="1">
      <w:start w:val="1"/>
      <w:numFmt w:val="lowerLetter"/>
      <w:lvlText w:val="%8."/>
      <w:lvlJc w:val="left"/>
      <w:pPr>
        <w:ind w:left="6529" w:hanging="360"/>
      </w:pPr>
    </w:lvl>
    <w:lvl w:ilvl="8" w:tplc="0C09001B" w:tentative="1">
      <w:start w:val="1"/>
      <w:numFmt w:val="lowerRoman"/>
      <w:lvlText w:val="%9."/>
      <w:lvlJc w:val="right"/>
      <w:pPr>
        <w:ind w:left="7249" w:hanging="18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2957D8"/>
    <w:multiLevelType w:val="hybridMultilevel"/>
    <w:tmpl w:val="A198DC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1"/>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9"/>
  </w:num>
  <w:num w:numId="16">
    <w:abstractNumId w:val="17"/>
  </w:num>
  <w:num w:numId="17">
    <w:abstractNumId w:val="23"/>
  </w:num>
  <w:num w:numId="18">
    <w:abstractNumId w:val="15"/>
  </w:num>
  <w:num w:numId="19">
    <w:abstractNumId w:val="13"/>
  </w:num>
  <w:num w:numId="20">
    <w:abstractNumId w:val="21"/>
  </w:num>
  <w:num w:numId="21">
    <w:abstractNumId w:val="22"/>
  </w:num>
  <w:num w:numId="22">
    <w:abstractNumId w:val="14"/>
  </w:num>
  <w:num w:numId="23">
    <w:abstractNumId w:val="10"/>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embedTrueTypeFonts/>
  <w:saveSubsetFonts/>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90"/>
    <w:rsid w:val="00001E7A"/>
    <w:rsid w:val="00002328"/>
    <w:rsid w:val="000030BA"/>
    <w:rsid w:val="000047FD"/>
    <w:rsid w:val="000056EE"/>
    <w:rsid w:val="00007819"/>
    <w:rsid w:val="00010203"/>
    <w:rsid w:val="00012A4E"/>
    <w:rsid w:val="00013A38"/>
    <w:rsid w:val="00016DFD"/>
    <w:rsid w:val="0001739E"/>
    <w:rsid w:val="00020180"/>
    <w:rsid w:val="00022037"/>
    <w:rsid w:val="00022695"/>
    <w:rsid w:val="00023FD2"/>
    <w:rsid w:val="00025FA7"/>
    <w:rsid w:val="000265BC"/>
    <w:rsid w:val="00026EEB"/>
    <w:rsid w:val="00027A0C"/>
    <w:rsid w:val="00027C6F"/>
    <w:rsid w:val="00031EFC"/>
    <w:rsid w:val="00033E2C"/>
    <w:rsid w:val="0003434D"/>
    <w:rsid w:val="0003498B"/>
    <w:rsid w:val="00036586"/>
    <w:rsid w:val="0004081D"/>
    <w:rsid w:val="00040DD1"/>
    <w:rsid w:val="00041822"/>
    <w:rsid w:val="00042B22"/>
    <w:rsid w:val="00043001"/>
    <w:rsid w:val="000472C2"/>
    <w:rsid w:val="000504A1"/>
    <w:rsid w:val="00050C80"/>
    <w:rsid w:val="000510B9"/>
    <w:rsid w:val="0005128E"/>
    <w:rsid w:val="0005136F"/>
    <w:rsid w:val="00051B7E"/>
    <w:rsid w:val="00051C9B"/>
    <w:rsid w:val="000527F0"/>
    <w:rsid w:val="00052921"/>
    <w:rsid w:val="00053572"/>
    <w:rsid w:val="000551A3"/>
    <w:rsid w:val="00055E25"/>
    <w:rsid w:val="00056311"/>
    <w:rsid w:val="00060C7F"/>
    <w:rsid w:val="000617C7"/>
    <w:rsid w:val="00061F6A"/>
    <w:rsid w:val="000620C5"/>
    <w:rsid w:val="00065A0E"/>
    <w:rsid w:val="0006722F"/>
    <w:rsid w:val="00070692"/>
    <w:rsid w:val="0007146A"/>
    <w:rsid w:val="00071791"/>
    <w:rsid w:val="000721B0"/>
    <w:rsid w:val="000727F9"/>
    <w:rsid w:val="000729E4"/>
    <w:rsid w:val="00074661"/>
    <w:rsid w:val="00074D5E"/>
    <w:rsid w:val="000753EE"/>
    <w:rsid w:val="00075B3D"/>
    <w:rsid w:val="000765C8"/>
    <w:rsid w:val="000765DF"/>
    <w:rsid w:val="00076B35"/>
    <w:rsid w:val="00077634"/>
    <w:rsid w:val="00080E25"/>
    <w:rsid w:val="000824EA"/>
    <w:rsid w:val="00083BE7"/>
    <w:rsid w:val="00083CC7"/>
    <w:rsid w:val="00085877"/>
    <w:rsid w:val="00086090"/>
    <w:rsid w:val="00086E1D"/>
    <w:rsid w:val="00090414"/>
    <w:rsid w:val="0009067F"/>
    <w:rsid w:val="000925D8"/>
    <w:rsid w:val="00092802"/>
    <w:rsid w:val="00095CC4"/>
    <w:rsid w:val="00097B55"/>
    <w:rsid w:val="000A3C52"/>
    <w:rsid w:val="000B0A20"/>
    <w:rsid w:val="000B26C3"/>
    <w:rsid w:val="000B52F3"/>
    <w:rsid w:val="000B68A5"/>
    <w:rsid w:val="000B7288"/>
    <w:rsid w:val="000C12AB"/>
    <w:rsid w:val="000C2AB1"/>
    <w:rsid w:val="000C56FE"/>
    <w:rsid w:val="000C5AE2"/>
    <w:rsid w:val="000C5B69"/>
    <w:rsid w:val="000C771F"/>
    <w:rsid w:val="000C78B5"/>
    <w:rsid w:val="000D112D"/>
    <w:rsid w:val="000D32A1"/>
    <w:rsid w:val="000D363E"/>
    <w:rsid w:val="000D3CCA"/>
    <w:rsid w:val="000D44F8"/>
    <w:rsid w:val="000D7167"/>
    <w:rsid w:val="000D736B"/>
    <w:rsid w:val="000D7F47"/>
    <w:rsid w:val="000E06D7"/>
    <w:rsid w:val="000E081D"/>
    <w:rsid w:val="000E17CC"/>
    <w:rsid w:val="000E470D"/>
    <w:rsid w:val="000E63CF"/>
    <w:rsid w:val="000F140F"/>
    <w:rsid w:val="000F3758"/>
    <w:rsid w:val="000F3DCC"/>
    <w:rsid w:val="000F4572"/>
    <w:rsid w:val="000F553C"/>
    <w:rsid w:val="000F74B5"/>
    <w:rsid w:val="00100409"/>
    <w:rsid w:val="00102347"/>
    <w:rsid w:val="00102ADD"/>
    <w:rsid w:val="00103248"/>
    <w:rsid w:val="001034CD"/>
    <w:rsid w:val="00103598"/>
    <w:rsid w:val="00105826"/>
    <w:rsid w:val="001109A1"/>
    <w:rsid w:val="00110F98"/>
    <w:rsid w:val="00111056"/>
    <w:rsid w:val="0011161E"/>
    <w:rsid w:val="0011172E"/>
    <w:rsid w:val="00111E48"/>
    <w:rsid w:val="0011314E"/>
    <w:rsid w:val="00114286"/>
    <w:rsid w:val="00115DA8"/>
    <w:rsid w:val="00117290"/>
    <w:rsid w:val="001209D7"/>
    <w:rsid w:val="00120EE8"/>
    <w:rsid w:val="00121B18"/>
    <w:rsid w:val="00122CA1"/>
    <w:rsid w:val="0012332C"/>
    <w:rsid w:val="0012560F"/>
    <w:rsid w:val="00126C80"/>
    <w:rsid w:val="00126D00"/>
    <w:rsid w:val="00131E5D"/>
    <w:rsid w:val="00133419"/>
    <w:rsid w:val="00133A71"/>
    <w:rsid w:val="00134204"/>
    <w:rsid w:val="00136004"/>
    <w:rsid w:val="001363F5"/>
    <w:rsid w:val="00137EF4"/>
    <w:rsid w:val="0014055A"/>
    <w:rsid w:val="001407EE"/>
    <w:rsid w:val="00143B92"/>
    <w:rsid w:val="0014545E"/>
    <w:rsid w:val="00145C33"/>
    <w:rsid w:val="0014660D"/>
    <w:rsid w:val="001509A9"/>
    <w:rsid w:val="00150C6D"/>
    <w:rsid w:val="001510F9"/>
    <w:rsid w:val="0015255D"/>
    <w:rsid w:val="00152824"/>
    <w:rsid w:val="00152D59"/>
    <w:rsid w:val="00153593"/>
    <w:rsid w:val="001544DD"/>
    <w:rsid w:val="00154AA0"/>
    <w:rsid w:val="00155D34"/>
    <w:rsid w:val="00155E4F"/>
    <w:rsid w:val="00156A5A"/>
    <w:rsid w:val="00157E82"/>
    <w:rsid w:val="00160735"/>
    <w:rsid w:val="00160988"/>
    <w:rsid w:val="00160A6A"/>
    <w:rsid w:val="00160EE0"/>
    <w:rsid w:val="00161468"/>
    <w:rsid w:val="00161736"/>
    <w:rsid w:val="00162BC3"/>
    <w:rsid w:val="00162FDE"/>
    <w:rsid w:val="0016552E"/>
    <w:rsid w:val="001661B3"/>
    <w:rsid w:val="001673B7"/>
    <w:rsid w:val="001676EE"/>
    <w:rsid w:val="0017150E"/>
    <w:rsid w:val="001719FE"/>
    <w:rsid w:val="00171A0A"/>
    <w:rsid w:val="0017420C"/>
    <w:rsid w:val="00175BF9"/>
    <w:rsid w:val="00176457"/>
    <w:rsid w:val="00176547"/>
    <w:rsid w:val="0017669E"/>
    <w:rsid w:val="00176BCE"/>
    <w:rsid w:val="001802C1"/>
    <w:rsid w:val="00180CD3"/>
    <w:rsid w:val="00181999"/>
    <w:rsid w:val="00182100"/>
    <w:rsid w:val="001840EA"/>
    <w:rsid w:val="00184DD7"/>
    <w:rsid w:val="00185AAC"/>
    <w:rsid w:val="00185B10"/>
    <w:rsid w:val="00190D22"/>
    <w:rsid w:val="00191B57"/>
    <w:rsid w:val="0019559B"/>
    <w:rsid w:val="001970E2"/>
    <w:rsid w:val="001A062E"/>
    <w:rsid w:val="001A25BD"/>
    <w:rsid w:val="001A26AC"/>
    <w:rsid w:val="001A284D"/>
    <w:rsid w:val="001A2921"/>
    <w:rsid w:val="001A2B82"/>
    <w:rsid w:val="001A4737"/>
    <w:rsid w:val="001A550E"/>
    <w:rsid w:val="001A5CD0"/>
    <w:rsid w:val="001A745A"/>
    <w:rsid w:val="001B2B49"/>
    <w:rsid w:val="001B3894"/>
    <w:rsid w:val="001B4168"/>
    <w:rsid w:val="001B6479"/>
    <w:rsid w:val="001B680B"/>
    <w:rsid w:val="001B750D"/>
    <w:rsid w:val="001C2D2D"/>
    <w:rsid w:val="001C48B6"/>
    <w:rsid w:val="001C52FA"/>
    <w:rsid w:val="001C5A60"/>
    <w:rsid w:val="001C6C78"/>
    <w:rsid w:val="001C6E23"/>
    <w:rsid w:val="001D00B9"/>
    <w:rsid w:val="001D0BFE"/>
    <w:rsid w:val="001D1730"/>
    <w:rsid w:val="001D33C9"/>
    <w:rsid w:val="001D36C8"/>
    <w:rsid w:val="001D3B36"/>
    <w:rsid w:val="001D3F84"/>
    <w:rsid w:val="001D49E7"/>
    <w:rsid w:val="001D6E21"/>
    <w:rsid w:val="001D7DD2"/>
    <w:rsid w:val="001E1B92"/>
    <w:rsid w:val="001E1FF9"/>
    <w:rsid w:val="001E205A"/>
    <w:rsid w:val="001E242D"/>
    <w:rsid w:val="001E2492"/>
    <w:rsid w:val="001E551F"/>
    <w:rsid w:val="001E6E32"/>
    <w:rsid w:val="001F0063"/>
    <w:rsid w:val="001F0F35"/>
    <w:rsid w:val="001F1819"/>
    <w:rsid w:val="001F1D9C"/>
    <w:rsid w:val="001F204C"/>
    <w:rsid w:val="001F24CF"/>
    <w:rsid w:val="001F3D0A"/>
    <w:rsid w:val="001F472F"/>
    <w:rsid w:val="001F4C6D"/>
    <w:rsid w:val="001F5B50"/>
    <w:rsid w:val="00201096"/>
    <w:rsid w:val="002024E2"/>
    <w:rsid w:val="0020253A"/>
    <w:rsid w:val="00203205"/>
    <w:rsid w:val="00204043"/>
    <w:rsid w:val="0020488A"/>
    <w:rsid w:val="0020650F"/>
    <w:rsid w:val="00207F54"/>
    <w:rsid w:val="002125DA"/>
    <w:rsid w:val="00212A75"/>
    <w:rsid w:val="00220EDA"/>
    <w:rsid w:val="00221EB1"/>
    <w:rsid w:val="00222D3A"/>
    <w:rsid w:val="00222DA1"/>
    <w:rsid w:val="00223A7F"/>
    <w:rsid w:val="00224EED"/>
    <w:rsid w:val="002250FB"/>
    <w:rsid w:val="00226223"/>
    <w:rsid w:val="002271DC"/>
    <w:rsid w:val="00230352"/>
    <w:rsid w:val="00231115"/>
    <w:rsid w:val="00232CD7"/>
    <w:rsid w:val="0023482D"/>
    <w:rsid w:val="002363F8"/>
    <w:rsid w:val="00236609"/>
    <w:rsid w:val="00236EEB"/>
    <w:rsid w:val="00240CD1"/>
    <w:rsid w:val="00242B35"/>
    <w:rsid w:val="00245159"/>
    <w:rsid w:val="002457D1"/>
    <w:rsid w:val="00246624"/>
    <w:rsid w:val="00246A54"/>
    <w:rsid w:val="00246DDB"/>
    <w:rsid w:val="002529EA"/>
    <w:rsid w:val="00253EE7"/>
    <w:rsid w:val="00254B2F"/>
    <w:rsid w:val="00254C12"/>
    <w:rsid w:val="00260641"/>
    <w:rsid w:val="00262431"/>
    <w:rsid w:val="00262A08"/>
    <w:rsid w:val="00262B7A"/>
    <w:rsid w:val="00263069"/>
    <w:rsid w:val="00265E15"/>
    <w:rsid w:val="00265ED0"/>
    <w:rsid w:val="00265F55"/>
    <w:rsid w:val="002673BD"/>
    <w:rsid w:val="00270826"/>
    <w:rsid w:val="0027106F"/>
    <w:rsid w:val="0027210B"/>
    <w:rsid w:val="00272265"/>
    <w:rsid w:val="00272310"/>
    <w:rsid w:val="00272475"/>
    <w:rsid w:val="0027467B"/>
    <w:rsid w:val="00275065"/>
    <w:rsid w:val="002757D6"/>
    <w:rsid w:val="00275F71"/>
    <w:rsid w:val="00283099"/>
    <w:rsid w:val="00283437"/>
    <w:rsid w:val="00285FC8"/>
    <w:rsid w:val="00286BB1"/>
    <w:rsid w:val="002870C2"/>
    <w:rsid w:val="00290303"/>
    <w:rsid w:val="00291E0F"/>
    <w:rsid w:val="002937F9"/>
    <w:rsid w:val="00293C63"/>
    <w:rsid w:val="00294F06"/>
    <w:rsid w:val="002957A9"/>
    <w:rsid w:val="00296435"/>
    <w:rsid w:val="0029646C"/>
    <w:rsid w:val="00296E69"/>
    <w:rsid w:val="002A57A4"/>
    <w:rsid w:val="002B2A9A"/>
    <w:rsid w:val="002B513E"/>
    <w:rsid w:val="002B63A3"/>
    <w:rsid w:val="002B6DA4"/>
    <w:rsid w:val="002C0290"/>
    <w:rsid w:val="002C0E89"/>
    <w:rsid w:val="002C0F7D"/>
    <w:rsid w:val="002C3F3D"/>
    <w:rsid w:val="002C40A0"/>
    <w:rsid w:val="002C42F1"/>
    <w:rsid w:val="002C763B"/>
    <w:rsid w:val="002C77BC"/>
    <w:rsid w:val="002C79E4"/>
    <w:rsid w:val="002C7F8D"/>
    <w:rsid w:val="002D18D2"/>
    <w:rsid w:val="002D35D3"/>
    <w:rsid w:val="002D658C"/>
    <w:rsid w:val="002E2FE3"/>
    <w:rsid w:val="002E3A9B"/>
    <w:rsid w:val="002E43E5"/>
    <w:rsid w:val="002E4402"/>
    <w:rsid w:val="002E4598"/>
    <w:rsid w:val="002E7159"/>
    <w:rsid w:val="002E7D9E"/>
    <w:rsid w:val="002F05DB"/>
    <w:rsid w:val="002F0CE6"/>
    <w:rsid w:val="002F0E3B"/>
    <w:rsid w:val="002F11AE"/>
    <w:rsid w:val="002F149C"/>
    <w:rsid w:val="002F2244"/>
    <w:rsid w:val="002F4254"/>
    <w:rsid w:val="002F5E03"/>
    <w:rsid w:val="002F7F66"/>
    <w:rsid w:val="00300A1C"/>
    <w:rsid w:val="00300FB1"/>
    <w:rsid w:val="00302D1D"/>
    <w:rsid w:val="00304F86"/>
    <w:rsid w:val="0030627F"/>
    <w:rsid w:val="00306E2A"/>
    <w:rsid w:val="00307011"/>
    <w:rsid w:val="003073E4"/>
    <w:rsid w:val="00307878"/>
    <w:rsid w:val="0031126E"/>
    <w:rsid w:val="00312BF2"/>
    <w:rsid w:val="003145C8"/>
    <w:rsid w:val="0031671D"/>
    <w:rsid w:val="003209FE"/>
    <w:rsid w:val="00320E7B"/>
    <w:rsid w:val="0032116B"/>
    <w:rsid w:val="003222C3"/>
    <w:rsid w:val="003229AA"/>
    <w:rsid w:val="00323901"/>
    <w:rsid w:val="003242D2"/>
    <w:rsid w:val="00325C10"/>
    <w:rsid w:val="003269CD"/>
    <w:rsid w:val="00327AAB"/>
    <w:rsid w:val="0033071C"/>
    <w:rsid w:val="003308D1"/>
    <w:rsid w:val="0033106A"/>
    <w:rsid w:val="00332345"/>
    <w:rsid w:val="003328BD"/>
    <w:rsid w:val="003332AF"/>
    <w:rsid w:val="00336768"/>
    <w:rsid w:val="003367C2"/>
    <w:rsid w:val="00336865"/>
    <w:rsid w:val="00336E26"/>
    <w:rsid w:val="00337612"/>
    <w:rsid w:val="00340AEC"/>
    <w:rsid w:val="003412DC"/>
    <w:rsid w:val="00341C71"/>
    <w:rsid w:val="00343A1B"/>
    <w:rsid w:val="00343EA6"/>
    <w:rsid w:val="00344037"/>
    <w:rsid w:val="00347380"/>
    <w:rsid w:val="0034765C"/>
    <w:rsid w:val="00347ABE"/>
    <w:rsid w:val="00351600"/>
    <w:rsid w:val="003526D3"/>
    <w:rsid w:val="00355157"/>
    <w:rsid w:val="003567D5"/>
    <w:rsid w:val="00356E61"/>
    <w:rsid w:val="003570F6"/>
    <w:rsid w:val="003613BB"/>
    <w:rsid w:val="003638FA"/>
    <w:rsid w:val="00363C3E"/>
    <w:rsid w:val="0036497C"/>
    <w:rsid w:val="00364DB8"/>
    <w:rsid w:val="00365485"/>
    <w:rsid w:val="00365707"/>
    <w:rsid w:val="00366209"/>
    <w:rsid w:val="00366F9B"/>
    <w:rsid w:val="0037147E"/>
    <w:rsid w:val="003722D5"/>
    <w:rsid w:val="00374DBE"/>
    <w:rsid w:val="0037528D"/>
    <w:rsid w:val="00375762"/>
    <w:rsid w:val="00376918"/>
    <w:rsid w:val="00377C91"/>
    <w:rsid w:val="00380C43"/>
    <w:rsid w:val="00382AB6"/>
    <w:rsid w:val="00383FC4"/>
    <w:rsid w:val="00385A57"/>
    <w:rsid w:val="00386521"/>
    <w:rsid w:val="0038715C"/>
    <w:rsid w:val="00387563"/>
    <w:rsid w:val="00390E65"/>
    <w:rsid w:val="00393A96"/>
    <w:rsid w:val="00395FAC"/>
    <w:rsid w:val="00396732"/>
    <w:rsid w:val="003A0BD7"/>
    <w:rsid w:val="003A0C0D"/>
    <w:rsid w:val="003A271A"/>
    <w:rsid w:val="003A29E3"/>
    <w:rsid w:val="003A3291"/>
    <w:rsid w:val="003A34CC"/>
    <w:rsid w:val="003A358A"/>
    <w:rsid w:val="003A3951"/>
    <w:rsid w:val="003A4C15"/>
    <w:rsid w:val="003B1355"/>
    <w:rsid w:val="003B55ED"/>
    <w:rsid w:val="003B61F2"/>
    <w:rsid w:val="003C1016"/>
    <w:rsid w:val="003C41F2"/>
    <w:rsid w:val="003C6D45"/>
    <w:rsid w:val="003C700C"/>
    <w:rsid w:val="003C71FC"/>
    <w:rsid w:val="003C76D8"/>
    <w:rsid w:val="003D0A16"/>
    <w:rsid w:val="003D1F25"/>
    <w:rsid w:val="003D20DD"/>
    <w:rsid w:val="003D57BF"/>
    <w:rsid w:val="003D5B35"/>
    <w:rsid w:val="003D7314"/>
    <w:rsid w:val="003E1CCB"/>
    <w:rsid w:val="003E1D45"/>
    <w:rsid w:val="003E1E3F"/>
    <w:rsid w:val="003E2ABA"/>
    <w:rsid w:val="003E5662"/>
    <w:rsid w:val="003E5C4A"/>
    <w:rsid w:val="003E64C5"/>
    <w:rsid w:val="003E6982"/>
    <w:rsid w:val="003E7778"/>
    <w:rsid w:val="003F18D4"/>
    <w:rsid w:val="003F1A97"/>
    <w:rsid w:val="003F1AF9"/>
    <w:rsid w:val="003F22D4"/>
    <w:rsid w:val="003F3B63"/>
    <w:rsid w:val="003F6857"/>
    <w:rsid w:val="003F7349"/>
    <w:rsid w:val="003F743D"/>
    <w:rsid w:val="0040015B"/>
    <w:rsid w:val="00402120"/>
    <w:rsid w:val="00402693"/>
    <w:rsid w:val="00402E52"/>
    <w:rsid w:val="00403326"/>
    <w:rsid w:val="00403373"/>
    <w:rsid w:val="00403AE4"/>
    <w:rsid w:val="0040581C"/>
    <w:rsid w:val="00405873"/>
    <w:rsid w:val="00405A62"/>
    <w:rsid w:val="00406A94"/>
    <w:rsid w:val="004070A9"/>
    <w:rsid w:val="00411455"/>
    <w:rsid w:val="004120B2"/>
    <w:rsid w:val="00412328"/>
    <w:rsid w:val="00412D19"/>
    <w:rsid w:val="004134F6"/>
    <w:rsid w:val="00413922"/>
    <w:rsid w:val="00414DE1"/>
    <w:rsid w:val="0041622E"/>
    <w:rsid w:val="00416715"/>
    <w:rsid w:val="00416A06"/>
    <w:rsid w:val="004207D7"/>
    <w:rsid w:val="00420E93"/>
    <w:rsid w:val="00421C0D"/>
    <w:rsid w:val="00423C02"/>
    <w:rsid w:val="00424431"/>
    <w:rsid w:val="0042496B"/>
    <w:rsid w:val="00425581"/>
    <w:rsid w:val="00427249"/>
    <w:rsid w:val="0043094C"/>
    <w:rsid w:val="00432D28"/>
    <w:rsid w:val="00434C68"/>
    <w:rsid w:val="004403E8"/>
    <w:rsid w:val="00440DE0"/>
    <w:rsid w:val="0044116D"/>
    <w:rsid w:val="00441257"/>
    <w:rsid w:val="0044209A"/>
    <w:rsid w:val="00442444"/>
    <w:rsid w:val="00442DED"/>
    <w:rsid w:val="004454CF"/>
    <w:rsid w:val="00446BE3"/>
    <w:rsid w:val="0044728E"/>
    <w:rsid w:val="00447FF1"/>
    <w:rsid w:val="0045063A"/>
    <w:rsid w:val="00452800"/>
    <w:rsid w:val="00452A16"/>
    <w:rsid w:val="00454D0B"/>
    <w:rsid w:val="00456454"/>
    <w:rsid w:val="00460549"/>
    <w:rsid w:val="004615D6"/>
    <w:rsid w:val="00461A16"/>
    <w:rsid w:val="00463157"/>
    <w:rsid w:val="00464308"/>
    <w:rsid w:val="00464A20"/>
    <w:rsid w:val="004709E2"/>
    <w:rsid w:val="00471344"/>
    <w:rsid w:val="0047221D"/>
    <w:rsid w:val="004742DF"/>
    <w:rsid w:val="00474D61"/>
    <w:rsid w:val="00477B83"/>
    <w:rsid w:val="00480BB9"/>
    <w:rsid w:val="004825F7"/>
    <w:rsid w:val="00482B0A"/>
    <w:rsid w:val="00485A89"/>
    <w:rsid w:val="004871F0"/>
    <w:rsid w:val="00487A4B"/>
    <w:rsid w:val="004906FD"/>
    <w:rsid w:val="00490D1F"/>
    <w:rsid w:val="00490E26"/>
    <w:rsid w:val="00491BE0"/>
    <w:rsid w:val="004920F7"/>
    <w:rsid w:val="00492AF6"/>
    <w:rsid w:val="0049557B"/>
    <w:rsid w:val="00495EBA"/>
    <w:rsid w:val="00495FD3"/>
    <w:rsid w:val="0049763A"/>
    <w:rsid w:val="004976A6"/>
    <w:rsid w:val="00497DA1"/>
    <w:rsid w:val="004A1AD0"/>
    <w:rsid w:val="004A24B4"/>
    <w:rsid w:val="004A7D5D"/>
    <w:rsid w:val="004B07D5"/>
    <w:rsid w:val="004B088C"/>
    <w:rsid w:val="004B0996"/>
    <w:rsid w:val="004B1E60"/>
    <w:rsid w:val="004B1F0D"/>
    <w:rsid w:val="004B3683"/>
    <w:rsid w:val="004B464A"/>
    <w:rsid w:val="004B717C"/>
    <w:rsid w:val="004C0190"/>
    <w:rsid w:val="004C3A75"/>
    <w:rsid w:val="004C3E32"/>
    <w:rsid w:val="004C5A9A"/>
    <w:rsid w:val="004C600A"/>
    <w:rsid w:val="004C6D83"/>
    <w:rsid w:val="004D0718"/>
    <w:rsid w:val="004D2217"/>
    <w:rsid w:val="004D25A4"/>
    <w:rsid w:val="004D25B2"/>
    <w:rsid w:val="004D2CCB"/>
    <w:rsid w:val="004D3472"/>
    <w:rsid w:val="004D460F"/>
    <w:rsid w:val="004D6CAB"/>
    <w:rsid w:val="004D74CA"/>
    <w:rsid w:val="004E0126"/>
    <w:rsid w:val="004E01BE"/>
    <w:rsid w:val="004E1500"/>
    <w:rsid w:val="004E3375"/>
    <w:rsid w:val="004E3516"/>
    <w:rsid w:val="004E3B5D"/>
    <w:rsid w:val="004E58FF"/>
    <w:rsid w:val="004E6561"/>
    <w:rsid w:val="004E6672"/>
    <w:rsid w:val="004E70BA"/>
    <w:rsid w:val="004E74FC"/>
    <w:rsid w:val="004F0A32"/>
    <w:rsid w:val="004F10E6"/>
    <w:rsid w:val="004F586F"/>
    <w:rsid w:val="004F5C0A"/>
    <w:rsid w:val="004F66E5"/>
    <w:rsid w:val="004F6F63"/>
    <w:rsid w:val="004F6F66"/>
    <w:rsid w:val="004F7F16"/>
    <w:rsid w:val="005007C6"/>
    <w:rsid w:val="00500F8B"/>
    <w:rsid w:val="00502C8A"/>
    <w:rsid w:val="0050689B"/>
    <w:rsid w:val="005069EE"/>
    <w:rsid w:val="00507C08"/>
    <w:rsid w:val="00507DDB"/>
    <w:rsid w:val="00512C3B"/>
    <w:rsid w:val="0051543A"/>
    <w:rsid w:val="00515E74"/>
    <w:rsid w:val="005160A0"/>
    <w:rsid w:val="005171AD"/>
    <w:rsid w:val="00517E9B"/>
    <w:rsid w:val="0052120B"/>
    <w:rsid w:val="0052196C"/>
    <w:rsid w:val="00521C09"/>
    <w:rsid w:val="00522EFA"/>
    <w:rsid w:val="00523778"/>
    <w:rsid w:val="00524BE1"/>
    <w:rsid w:val="00524C2B"/>
    <w:rsid w:val="00525F42"/>
    <w:rsid w:val="0052732A"/>
    <w:rsid w:val="0053078F"/>
    <w:rsid w:val="00531B18"/>
    <w:rsid w:val="00531F63"/>
    <w:rsid w:val="00532043"/>
    <w:rsid w:val="0053273C"/>
    <w:rsid w:val="00532B6D"/>
    <w:rsid w:val="00532F03"/>
    <w:rsid w:val="005342BE"/>
    <w:rsid w:val="00535BFA"/>
    <w:rsid w:val="00537CF6"/>
    <w:rsid w:val="005430FE"/>
    <w:rsid w:val="00544E71"/>
    <w:rsid w:val="005475B8"/>
    <w:rsid w:val="00550395"/>
    <w:rsid w:val="00553592"/>
    <w:rsid w:val="00553BBD"/>
    <w:rsid w:val="00553CCE"/>
    <w:rsid w:val="00553D3D"/>
    <w:rsid w:val="005547EB"/>
    <w:rsid w:val="005548F9"/>
    <w:rsid w:val="00555098"/>
    <w:rsid w:val="005550FC"/>
    <w:rsid w:val="00560D28"/>
    <w:rsid w:val="00561460"/>
    <w:rsid w:val="00561E51"/>
    <w:rsid w:val="00562D41"/>
    <w:rsid w:val="00564001"/>
    <w:rsid w:val="00564FF3"/>
    <w:rsid w:val="0056559C"/>
    <w:rsid w:val="005665B2"/>
    <w:rsid w:val="00571FCD"/>
    <w:rsid w:val="005732A7"/>
    <w:rsid w:val="00574104"/>
    <w:rsid w:val="00574A09"/>
    <w:rsid w:val="00574CAE"/>
    <w:rsid w:val="0057642D"/>
    <w:rsid w:val="00577475"/>
    <w:rsid w:val="00580E49"/>
    <w:rsid w:val="00581353"/>
    <w:rsid w:val="005818B9"/>
    <w:rsid w:val="005829CE"/>
    <w:rsid w:val="00584A71"/>
    <w:rsid w:val="005867F2"/>
    <w:rsid w:val="00590B66"/>
    <w:rsid w:val="005914FF"/>
    <w:rsid w:val="00591630"/>
    <w:rsid w:val="0059243F"/>
    <w:rsid w:val="00592EBD"/>
    <w:rsid w:val="005931DA"/>
    <w:rsid w:val="0059382B"/>
    <w:rsid w:val="00593D8A"/>
    <w:rsid w:val="00594F6A"/>
    <w:rsid w:val="00595BC7"/>
    <w:rsid w:val="005962D1"/>
    <w:rsid w:val="00596B78"/>
    <w:rsid w:val="005A04A5"/>
    <w:rsid w:val="005A0F53"/>
    <w:rsid w:val="005A2A56"/>
    <w:rsid w:val="005A388A"/>
    <w:rsid w:val="005A3A13"/>
    <w:rsid w:val="005A472E"/>
    <w:rsid w:val="005A4ABC"/>
    <w:rsid w:val="005A56EF"/>
    <w:rsid w:val="005A5E49"/>
    <w:rsid w:val="005A7398"/>
    <w:rsid w:val="005B045D"/>
    <w:rsid w:val="005B19A9"/>
    <w:rsid w:val="005B2816"/>
    <w:rsid w:val="005B33E8"/>
    <w:rsid w:val="005B3722"/>
    <w:rsid w:val="005B3E0F"/>
    <w:rsid w:val="005B5ACE"/>
    <w:rsid w:val="005C0901"/>
    <w:rsid w:val="005C2096"/>
    <w:rsid w:val="005C20BB"/>
    <w:rsid w:val="005C3553"/>
    <w:rsid w:val="005C3DF5"/>
    <w:rsid w:val="005C510F"/>
    <w:rsid w:val="005C5586"/>
    <w:rsid w:val="005C70B1"/>
    <w:rsid w:val="005C713B"/>
    <w:rsid w:val="005C7344"/>
    <w:rsid w:val="005C7760"/>
    <w:rsid w:val="005C7BB8"/>
    <w:rsid w:val="005D40F1"/>
    <w:rsid w:val="005D491C"/>
    <w:rsid w:val="005D5651"/>
    <w:rsid w:val="005D68FA"/>
    <w:rsid w:val="005D6F22"/>
    <w:rsid w:val="005E3C9E"/>
    <w:rsid w:val="005E42DE"/>
    <w:rsid w:val="005E5309"/>
    <w:rsid w:val="005E5BF6"/>
    <w:rsid w:val="005E686A"/>
    <w:rsid w:val="005E6D7C"/>
    <w:rsid w:val="005E703B"/>
    <w:rsid w:val="005F002D"/>
    <w:rsid w:val="005F17D7"/>
    <w:rsid w:val="005F249E"/>
    <w:rsid w:val="005F491A"/>
    <w:rsid w:val="005F5365"/>
    <w:rsid w:val="005F667E"/>
    <w:rsid w:val="005F6C67"/>
    <w:rsid w:val="005F7A59"/>
    <w:rsid w:val="005F7EB1"/>
    <w:rsid w:val="006021D0"/>
    <w:rsid w:val="00603120"/>
    <w:rsid w:val="006045DF"/>
    <w:rsid w:val="0060499E"/>
    <w:rsid w:val="006060C4"/>
    <w:rsid w:val="00606878"/>
    <w:rsid w:val="00610CB1"/>
    <w:rsid w:val="00612688"/>
    <w:rsid w:val="006133D2"/>
    <w:rsid w:val="006135D9"/>
    <w:rsid w:val="00613791"/>
    <w:rsid w:val="00616B42"/>
    <w:rsid w:val="00617B30"/>
    <w:rsid w:val="00620D9E"/>
    <w:rsid w:val="0062109B"/>
    <w:rsid w:val="00621EFF"/>
    <w:rsid w:val="006228F8"/>
    <w:rsid w:val="00623ED6"/>
    <w:rsid w:val="006251AE"/>
    <w:rsid w:val="00625EBE"/>
    <w:rsid w:val="0062611F"/>
    <w:rsid w:val="00626972"/>
    <w:rsid w:val="00630C62"/>
    <w:rsid w:val="006334F8"/>
    <w:rsid w:val="0063531A"/>
    <w:rsid w:val="00635788"/>
    <w:rsid w:val="00636E7F"/>
    <w:rsid w:val="00640BE3"/>
    <w:rsid w:val="00640C5F"/>
    <w:rsid w:val="00641CB9"/>
    <w:rsid w:val="00642014"/>
    <w:rsid w:val="0064304E"/>
    <w:rsid w:val="00645165"/>
    <w:rsid w:val="00645A49"/>
    <w:rsid w:val="00646609"/>
    <w:rsid w:val="00647421"/>
    <w:rsid w:val="00647899"/>
    <w:rsid w:val="006503AC"/>
    <w:rsid w:val="0065051F"/>
    <w:rsid w:val="00651A97"/>
    <w:rsid w:val="006548E6"/>
    <w:rsid w:val="00655B3B"/>
    <w:rsid w:val="00657009"/>
    <w:rsid w:val="00657047"/>
    <w:rsid w:val="0065794A"/>
    <w:rsid w:val="006606A6"/>
    <w:rsid w:val="00665DE5"/>
    <w:rsid w:val="00666109"/>
    <w:rsid w:val="00666B8A"/>
    <w:rsid w:val="006671F5"/>
    <w:rsid w:val="00670932"/>
    <w:rsid w:val="00670D11"/>
    <w:rsid w:val="00672003"/>
    <w:rsid w:val="00672979"/>
    <w:rsid w:val="00675602"/>
    <w:rsid w:val="00675DB2"/>
    <w:rsid w:val="006766D2"/>
    <w:rsid w:val="00677994"/>
    <w:rsid w:val="006802D6"/>
    <w:rsid w:val="006803D7"/>
    <w:rsid w:val="00680DF0"/>
    <w:rsid w:val="0068466A"/>
    <w:rsid w:val="00686006"/>
    <w:rsid w:val="00686152"/>
    <w:rsid w:val="0068639D"/>
    <w:rsid w:val="00686485"/>
    <w:rsid w:val="00687F22"/>
    <w:rsid w:val="00691778"/>
    <w:rsid w:val="00691AD5"/>
    <w:rsid w:val="00693EFE"/>
    <w:rsid w:val="00696579"/>
    <w:rsid w:val="0069781A"/>
    <w:rsid w:val="006A01B8"/>
    <w:rsid w:val="006A1B1F"/>
    <w:rsid w:val="006A1BED"/>
    <w:rsid w:val="006A4638"/>
    <w:rsid w:val="006A4BA5"/>
    <w:rsid w:val="006A507E"/>
    <w:rsid w:val="006A7760"/>
    <w:rsid w:val="006B09AB"/>
    <w:rsid w:val="006B0CD9"/>
    <w:rsid w:val="006B141F"/>
    <w:rsid w:val="006B25FF"/>
    <w:rsid w:val="006B28EE"/>
    <w:rsid w:val="006B3F9E"/>
    <w:rsid w:val="006B4103"/>
    <w:rsid w:val="006B4CB4"/>
    <w:rsid w:val="006B5622"/>
    <w:rsid w:val="006B6FE0"/>
    <w:rsid w:val="006C31CA"/>
    <w:rsid w:val="006C321B"/>
    <w:rsid w:val="006C4BD9"/>
    <w:rsid w:val="006C4BED"/>
    <w:rsid w:val="006C53D2"/>
    <w:rsid w:val="006C795D"/>
    <w:rsid w:val="006D0603"/>
    <w:rsid w:val="006D18DE"/>
    <w:rsid w:val="006D2642"/>
    <w:rsid w:val="006D2FAB"/>
    <w:rsid w:val="006D6D58"/>
    <w:rsid w:val="006D7F1D"/>
    <w:rsid w:val="006E0D1E"/>
    <w:rsid w:val="006E1327"/>
    <w:rsid w:val="006E15A7"/>
    <w:rsid w:val="006E23CD"/>
    <w:rsid w:val="006E2743"/>
    <w:rsid w:val="006E672E"/>
    <w:rsid w:val="006E6AF8"/>
    <w:rsid w:val="006F2263"/>
    <w:rsid w:val="006F2504"/>
    <w:rsid w:val="006F4850"/>
    <w:rsid w:val="006F53B0"/>
    <w:rsid w:val="006F5AF5"/>
    <w:rsid w:val="006F76CC"/>
    <w:rsid w:val="00700F97"/>
    <w:rsid w:val="007014F3"/>
    <w:rsid w:val="007022CB"/>
    <w:rsid w:val="0070264A"/>
    <w:rsid w:val="00702C41"/>
    <w:rsid w:val="007037DD"/>
    <w:rsid w:val="00703B4D"/>
    <w:rsid w:val="0070492F"/>
    <w:rsid w:val="007064B9"/>
    <w:rsid w:val="00707B9F"/>
    <w:rsid w:val="00711354"/>
    <w:rsid w:val="00711719"/>
    <w:rsid w:val="00711B1E"/>
    <w:rsid w:val="00712FD6"/>
    <w:rsid w:val="00714984"/>
    <w:rsid w:val="00714C74"/>
    <w:rsid w:val="00715B04"/>
    <w:rsid w:val="00716E08"/>
    <w:rsid w:val="00717563"/>
    <w:rsid w:val="0071773A"/>
    <w:rsid w:val="007219E6"/>
    <w:rsid w:val="00725714"/>
    <w:rsid w:val="00725A68"/>
    <w:rsid w:val="00730AB3"/>
    <w:rsid w:val="007315B2"/>
    <w:rsid w:val="00732425"/>
    <w:rsid w:val="00732741"/>
    <w:rsid w:val="00733D1E"/>
    <w:rsid w:val="00733ED9"/>
    <w:rsid w:val="007348D8"/>
    <w:rsid w:val="0073521A"/>
    <w:rsid w:val="007352EF"/>
    <w:rsid w:val="00735B24"/>
    <w:rsid w:val="0073757C"/>
    <w:rsid w:val="0073761F"/>
    <w:rsid w:val="00741706"/>
    <w:rsid w:val="00742BE4"/>
    <w:rsid w:val="00743F86"/>
    <w:rsid w:val="0074530F"/>
    <w:rsid w:val="0074550F"/>
    <w:rsid w:val="00746383"/>
    <w:rsid w:val="00747854"/>
    <w:rsid w:val="007507CB"/>
    <w:rsid w:val="00750F54"/>
    <w:rsid w:val="00751293"/>
    <w:rsid w:val="007557E8"/>
    <w:rsid w:val="00755DC6"/>
    <w:rsid w:val="007573CE"/>
    <w:rsid w:val="007576E3"/>
    <w:rsid w:val="00757D9D"/>
    <w:rsid w:val="007600AC"/>
    <w:rsid w:val="007608EF"/>
    <w:rsid w:val="0076136E"/>
    <w:rsid w:val="0076166A"/>
    <w:rsid w:val="00761E10"/>
    <w:rsid w:val="00762562"/>
    <w:rsid w:val="007640FB"/>
    <w:rsid w:val="00767850"/>
    <w:rsid w:val="00770CA7"/>
    <w:rsid w:val="00772F15"/>
    <w:rsid w:val="00774C09"/>
    <w:rsid w:val="007755B6"/>
    <w:rsid w:val="00776570"/>
    <w:rsid w:val="0077765E"/>
    <w:rsid w:val="007803FF"/>
    <w:rsid w:val="00780DF1"/>
    <w:rsid w:val="00781900"/>
    <w:rsid w:val="0078324E"/>
    <w:rsid w:val="0078378A"/>
    <w:rsid w:val="00783980"/>
    <w:rsid w:val="00783A98"/>
    <w:rsid w:val="00784BFE"/>
    <w:rsid w:val="007851FF"/>
    <w:rsid w:val="00785BE2"/>
    <w:rsid w:val="00785DFE"/>
    <w:rsid w:val="00787D5F"/>
    <w:rsid w:val="00787D8D"/>
    <w:rsid w:val="00787E97"/>
    <w:rsid w:val="00790500"/>
    <w:rsid w:val="00790CB2"/>
    <w:rsid w:val="007916FB"/>
    <w:rsid w:val="00792C57"/>
    <w:rsid w:val="00792D08"/>
    <w:rsid w:val="00792DD1"/>
    <w:rsid w:val="007952D3"/>
    <w:rsid w:val="007958FE"/>
    <w:rsid w:val="0079643C"/>
    <w:rsid w:val="0079666E"/>
    <w:rsid w:val="0079710F"/>
    <w:rsid w:val="00797C09"/>
    <w:rsid w:val="007A01AC"/>
    <w:rsid w:val="007A0273"/>
    <w:rsid w:val="007A1349"/>
    <w:rsid w:val="007A18FD"/>
    <w:rsid w:val="007A3567"/>
    <w:rsid w:val="007A6E0B"/>
    <w:rsid w:val="007A7801"/>
    <w:rsid w:val="007B0E83"/>
    <w:rsid w:val="007B21CD"/>
    <w:rsid w:val="007B46C4"/>
    <w:rsid w:val="007B4BFD"/>
    <w:rsid w:val="007B5948"/>
    <w:rsid w:val="007C012A"/>
    <w:rsid w:val="007C0284"/>
    <w:rsid w:val="007C0378"/>
    <w:rsid w:val="007C18C3"/>
    <w:rsid w:val="007C1B8B"/>
    <w:rsid w:val="007C23A0"/>
    <w:rsid w:val="007C27A1"/>
    <w:rsid w:val="007C378E"/>
    <w:rsid w:val="007C420B"/>
    <w:rsid w:val="007C49D9"/>
    <w:rsid w:val="007C52F1"/>
    <w:rsid w:val="007C6BF9"/>
    <w:rsid w:val="007C7ED2"/>
    <w:rsid w:val="007C7EF6"/>
    <w:rsid w:val="007C7F08"/>
    <w:rsid w:val="007D0137"/>
    <w:rsid w:val="007D1730"/>
    <w:rsid w:val="007D2042"/>
    <w:rsid w:val="007D259C"/>
    <w:rsid w:val="007D4230"/>
    <w:rsid w:val="007D4D7B"/>
    <w:rsid w:val="007D6680"/>
    <w:rsid w:val="007E14DD"/>
    <w:rsid w:val="007E21C3"/>
    <w:rsid w:val="007E5662"/>
    <w:rsid w:val="007E74CC"/>
    <w:rsid w:val="007F1959"/>
    <w:rsid w:val="007F1C99"/>
    <w:rsid w:val="007F2F3A"/>
    <w:rsid w:val="007F3623"/>
    <w:rsid w:val="007F6065"/>
    <w:rsid w:val="007F626A"/>
    <w:rsid w:val="007F6B43"/>
    <w:rsid w:val="007F7012"/>
    <w:rsid w:val="007F77CD"/>
    <w:rsid w:val="008006F9"/>
    <w:rsid w:val="00800EE9"/>
    <w:rsid w:val="0080177F"/>
    <w:rsid w:val="00802693"/>
    <w:rsid w:val="00803540"/>
    <w:rsid w:val="00803C34"/>
    <w:rsid w:val="00804C62"/>
    <w:rsid w:val="00805B1D"/>
    <w:rsid w:val="0081295B"/>
    <w:rsid w:val="00812E73"/>
    <w:rsid w:val="008136D5"/>
    <w:rsid w:val="00813B6F"/>
    <w:rsid w:val="00813BCC"/>
    <w:rsid w:val="00814D20"/>
    <w:rsid w:val="008164E4"/>
    <w:rsid w:val="008200F1"/>
    <w:rsid w:val="00820E6A"/>
    <w:rsid w:val="008222CC"/>
    <w:rsid w:val="00826779"/>
    <w:rsid w:val="00826D3D"/>
    <w:rsid w:val="0083136F"/>
    <w:rsid w:val="0083232E"/>
    <w:rsid w:val="00832D8A"/>
    <w:rsid w:val="00832FE4"/>
    <w:rsid w:val="00833881"/>
    <w:rsid w:val="00834026"/>
    <w:rsid w:val="008345C7"/>
    <w:rsid w:val="00836F81"/>
    <w:rsid w:val="00837950"/>
    <w:rsid w:val="008405E8"/>
    <w:rsid w:val="008421EA"/>
    <w:rsid w:val="008469E4"/>
    <w:rsid w:val="008529D0"/>
    <w:rsid w:val="008546BF"/>
    <w:rsid w:val="008554C2"/>
    <w:rsid w:val="00855B7C"/>
    <w:rsid w:val="00856BBA"/>
    <w:rsid w:val="00861AF5"/>
    <w:rsid w:val="00861B2D"/>
    <w:rsid w:val="00861CC1"/>
    <w:rsid w:val="008621D6"/>
    <w:rsid w:val="00862268"/>
    <w:rsid w:val="008625E2"/>
    <w:rsid w:val="0086264E"/>
    <w:rsid w:val="008661D2"/>
    <w:rsid w:val="00871022"/>
    <w:rsid w:val="0087102C"/>
    <w:rsid w:val="00871399"/>
    <w:rsid w:val="00871BD1"/>
    <w:rsid w:val="00872C9B"/>
    <w:rsid w:val="00872D79"/>
    <w:rsid w:val="00877F21"/>
    <w:rsid w:val="008800E2"/>
    <w:rsid w:val="00880302"/>
    <w:rsid w:val="008830BD"/>
    <w:rsid w:val="00884031"/>
    <w:rsid w:val="008847E0"/>
    <w:rsid w:val="00884A91"/>
    <w:rsid w:val="00884AF0"/>
    <w:rsid w:val="00884C41"/>
    <w:rsid w:val="00885A66"/>
    <w:rsid w:val="00886339"/>
    <w:rsid w:val="008867A6"/>
    <w:rsid w:val="008901CD"/>
    <w:rsid w:val="00890231"/>
    <w:rsid w:val="00890489"/>
    <w:rsid w:val="00890765"/>
    <w:rsid w:val="00890A16"/>
    <w:rsid w:val="00890D18"/>
    <w:rsid w:val="008911A6"/>
    <w:rsid w:val="008957B3"/>
    <w:rsid w:val="008965FC"/>
    <w:rsid w:val="00896DB8"/>
    <w:rsid w:val="008979BD"/>
    <w:rsid w:val="008A0AE3"/>
    <w:rsid w:val="008A0D3A"/>
    <w:rsid w:val="008A0EF2"/>
    <w:rsid w:val="008A1B60"/>
    <w:rsid w:val="008A3D32"/>
    <w:rsid w:val="008A48D0"/>
    <w:rsid w:val="008A5870"/>
    <w:rsid w:val="008A5DD5"/>
    <w:rsid w:val="008A6DDA"/>
    <w:rsid w:val="008B02F9"/>
    <w:rsid w:val="008B09DB"/>
    <w:rsid w:val="008B399F"/>
    <w:rsid w:val="008B7BA7"/>
    <w:rsid w:val="008B7DD7"/>
    <w:rsid w:val="008C0BCA"/>
    <w:rsid w:val="008C117F"/>
    <w:rsid w:val="008C15A7"/>
    <w:rsid w:val="008C1D70"/>
    <w:rsid w:val="008C1E3D"/>
    <w:rsid w:val="008C23F1"/>
    <w:rsid w:val="008C2B87"/>
    <w:rsid w:val="008C38FE"/>
    <w:rsid w:val="008C3C4E"/>
    <w:rsid w:val="008C4D6A"/>
    <w:rsid w:val="008C628F"/>
    <w:rsid w:val="008C6FFC"/>
    <w:rsid w:val="008D027A"/>
    <w:rsid w:val="008D0A2F"/>
    <w:rsid w:val="008D29D4"/>
    <w:rsid w:val="008D2C3B"/>
    <w:rsid w:val="008D2F4A"/>
    <w:rsid w:val="008D3896"/>
    <w:rsid w:val="008D3FB6"/>
    <w:rsid w:val="008D64ED"/>
    <w:rsid w:val="008D6FBE"/>
    <w:rsid w:val="008D7CC2"/>
    <w:rsid w:val="008D7FBC"/>
    <w:rsid w:val="008E02E5"/>
    <w:rsid w:val="008E0640"/>
    <w:rsid w:val="008E1131"/>
    <w:rsid w:val="008E34D8"/>
    <w:rsid w:val="008E4225"/>
    <w:rsid w:val="008E45F9"/>
    <w:rsid w:val="008E5726"/>
    <w:rsid w:val="008E5BB1"/>
    <w:rsid w:val="008E74ED"/>
    <w:rsid w:val="008E7D39"/>
    <w:rsid w:val="008F0F9F"/>
    <w:rsid w:val="008F4A91"/>
    <w:rsid w:val="008F5EC2"/>
    <w:rsid w:val="00900F55"/>
    <w:rsid w:val="00901DA5"/>
    <w:rsid w:val="00902FB5"/>
    <w:rsid w:val="0090335E"/>
    <w:rsid w:val="009042F5"/>
    <w:rsid w:val="00905A06"/>
    <w:rsid w:val="00906D49"/>
    <w:rsid w:val="009070F5"/>
    <w:rsid w:val="009106E4"/>
    <w:rsid w:val="00911EFF"/>
    <w:rsid w:val="009123E3"/>
    <w:rsid w:val="009125B8"/>
    <w:rsid w:val="00913ECD"/>
    <w:rsid w:val="009149F1"/>
    <w:rsid w:val="00914CC9"/>
    <w:rsid w:val="00914D92"/>
    <w:rsid w:val="00915994"/>
    <w:rsid w:val="00916F00"/>
    <w:rsid w:val="00916FDB"/>
    <w:rsid w:val="00922335"/>
    <w:rsid w:val="00923493"/>
    <w:rsid w:val="00924C24"/>
    <w:rsid w:val="009253AD"/>
    <w:rsid w:val="00926114"/>
    <w:rsid w:val="009262D2"/>
    <w:rsid w:val="0093033C"/>
    <w:rsid w:val="00930C1D"/>
    <w:rsid w:val="009356C5"/>
    <w:rsid w:val="009360BD"/>
    <w:rsid w:val="00942C0F"/>
    <w:rsid w:val="009437DF"/>
    <w:rsid w:val="00944599"/>
    <w:rsid w:val="009455F5"/>
    <w:rsid w:val="00946AE0"/>
    <w:rsid w:val="00950B11"/>
    <w:rsid w:val="00950EE1"/>
    <w:rsid w:val="0095322A"/>
    <w:rsid w:val="0095467D"/>
    <w:rsid w:val="00954C65"/>
    <w:rsid w:val="009553F5"/>
    <w:rsid w:val="00955B97"/>
    <w:rsid w:val="00956462"/>
    <w:rsid w:val="0095663E"/>
    <w:rsid w:val="009606F8"/>
    <w:rsid w:val="00960E91"/>
    <w:rsid w:val="00960ECA"/>
    <w:rsid w:val="009635A5"/>
    <w:rsid w:val="00966350"/>
    <w:rsid w:val="009668DE"/>
    <w:rsid w:val="00966987"/>
    <w:rsid w:val="009669B2"/>
    <w:rsid w:val="00966D2A"/>
    <w:rsid w:val="009676B9"/>
    <w:rsid w:val="00970DE9"/>
    <w:rsid w:val="00973C42"/>
    <w:rsid w:val="009746D4"/>
    <w:rsid w:val="009746D8"/>
    <w:rsid w:val="00977DF9"/>
    <w:rsid w:val="00982FFF"/>
    <w:rsid w:val="009836C0"/>
    <w:rsid w:val="00983F35"/>
    <w:rsid w:val="009856EA"/>
    <w:rsid w:val="00985B59"/>
    <w:rsid w:val="0098641C"/>
    <w:rsid w:val="00987DF2"/>
    <w:rsid w:val="0099014C"/>
    <w:rsid w:val="009901D6"/>
    <w:rsid w:val="00992087"/>
    <w:rsid w:val="00992710"/>
    <w:rsid w:val="00992DAC"/>
    <w:rsid w:val="0099319B"/>
    <w:rsid w:val="009940E2"/>
    <w:rsid w:val="009955A7"/>
    <w:rsid w:val="00995E3E"/>
    <w:rsid w:val="00996B0A"/>
    <w:rsid w:val="009A4BDC"/>
    <w:rsid w:val="009A5309"/>
    <w:rsid w:val="009A57A5"/>
    <w:rsid w:val="009A595E"/>
    <w:rsid w:val="009A773E"/>
    <w:rsid w:val="009A7E21"/>
    <w:rsid w:val="009B0608"/>
    <w:rsid w:val="009B10B3"/>
    <w:rsid w:val="009B242B"/>
    <w:rsid w:val="009B252C"/>
    <w:rsid w:val="009B29A9"/>
    <w:rsid w:val="009B32D7"/>
    <w:rsid w:val="009B3986"/>
    <w:rsid w:val="009B5353"/>
    <w:rsid w:val="009C0DF3"/>
    <w:rsid w:val="009C2E05"/>
    <w:rsid w:val="009C72E8"/>
    <w:rsid w:val="009D0100"/>
    <w:rsid w:val="009D44A9"/>
    <w:rsid w:val="009D4A6E"/>
    <w:rsid w:val="009D6E17"/>
    <w:rsid w:val="009E104B"/>
    <w:rsid w:val="009E2539"/>
    <w:rsid w:val="009E3171"/>
    <w:rsid w:val="009E3974"/>
    <w:rsid w:val="009E39CE"/>
    <w:rsid w:val="009E5220"/>
    <w:rsid w:val="009E55D4"/>
    <w:rsid w:val="009E5801"/>
    <w:rsid w:val="009E6F97"/>
    <w:rsid w:val="009F2B76"/>
    <w:rsid w:val="009F3211"/>
    <w:rsid w:val="009F3F34"/>
    <w:rsid w:val="009F46E7"/>
    <w:rsid w:val="009F61D3"/>
    <w:rsid w:val="009F703E"/>
    <w:rsid w:val="009F7A22"/>
    <w:rsid w:val="00A01333"/>
    <w:rsid w:val="00A01FB2"/>
    <w:rsid w:val="00A03A76"/>
    <w:rsid w:val="00A03F01"/>
    <w:rsid w:val="00A04160"/>
    <w:rsid w:val="00A047B4"/>
    <w:rsid w:val="00A05D05"/>
    <w:rsid w:val="00A07733"/>
    <w:rsid w:val="00A11572"/>
    <w:rsid w:val="00A12816"/>
    <w:rsid w:val="00A1281A"/>
    <w:rsid w:val="00A12AEA"/>
    <w:rsid w:val="00A12B40"/>
    <w:rsid w:val="00A13D48"/>
    <w:rsid w:val="00A143DD"/>
    <w:rsid w:val="00A14DD1"/>
    <w:rsid w:val="00A15733"/>
    <w:rsid w:val="00A162E6"/>
    <w:rsid w:val="00A166CB"/>
    <w:rsid w:val="00A178F7"/>
    <w:rsid w:val="00A17D1D"/>
    <w:rsid w:val="00A20966"/>
    <w:rsid w:val="00A20D89"/>
    <w:rsid w:val="00A2158C"/>
    <w:rsid w:val="00A240E5"/>
    <w:rsid w:val="00A26EC4"/>
    <w:rsid w:val="00A26EFD"/>
    <w:rsid w:val="00A27B8D"/>
    <w:rsid w:val="00A30679"/>
    <w:rsid w:val="00A30816"/>
    <w:rsid w:val="00A30A15"/>
    <w:rsid w:val="00A31BE9"/>
    <w:rsid w:val="00A33BCC"/>
    <w:rsid w:val="00A3491E"/>
    <w:rsid w:val="00A3517E"/>
    <w:rsid w:val="00A37792"/>
    <w:rsid w:val="00A37E7E"/>
    <w:rsid w:val="00A40509"/>
    <w:rsid w:val="00A40923"/>
    <w:rsid w:val="00A40DCD"/>
    <w:rsid w:val="00A41806"/>
    <w:rsid w:val="00A420BB"/>
    <w:rsid w:val="00A42213"/>
    <w:rsid w:val="00A428C2"/>
    <w:rsid w:val="00A43AF6"/>
    <w:rsid w:val="00A4455C"/>
    <w:rsid w:val="00A45B5F"/>
    <w:rsid w:val="00A45C77"/>
    <w:rsid w:val="00A464BC"/>
    <w:rsid w:val="00A46F2E"/>
    <w:rsid w:val="00A4716C"/>
    <w:rsid w:val="00A5060D"/>
    <w:rsid w:val="00A50DD4"/>
    <w:rsid w:val="00A538F6"/>
    <w:rsid w:val="00A539BA"/>
    <w:rsid w:val="00A5742A"/>
    <w:rsid w:val="00A5794C"/>
    <w:rsid w:val="00A60B79"/>
    <w:rsid w:val="00A611D5"/>
    <w:rsid w:val="00A64421"/>
    <w:rsid w:val="00A64D50"/>
    <w:rsid w:val="00A650BA"/>
    <w:rsid w:val="00A65E59"/>
    <w:rsid w:val="00A67535"/>
    <w:rsid w:val="00A67927"/>
    <w:rsid w:val="00A706A7"/>
    <w:rsid w:val="00A70B87"/>
    <w:rsid w:val="00A715A3"/>
    <w:rsid w:val="00A7238F"/>
    <w:rsid w:val="00A725A4"/>
    <w:rsid w:val="00A72DDC"/>
    <w:rsid w:val="00A756B7"/>
    <w:rsid w:val="00A84112"/>
    <w:rsid w:val="00A90469"/>
    <w:rsid w:val="00A91F48"/>
    <w:rsid w:val="00A92550"/>
    <w:rsid w:val="00A92A3F"/>
    <w:rsid w:val="00A939BC"/>
    <w:rsid w:val="00A93D60"/>
    <w:rsid w:val="00A9492D"/>
    <w:rsid w:val="00A94CF7"/>
    <w:rsid w:val="00A955D9"/>
    <w:rsid w:val="00A96DE7"/>
    <w:rsid w:val="00AA04DF"/>
    <w:rsid w:val="00AA097C"/>
    <w:rsid w:val="00AA2200"/>
    <w:rsid w:val="00AA43E4"/>
    <w:rsid w:val="00AA4A4C"/>
    <w:rsid w:val="00AA5241"/>
    <w:rsid w:val="00AA6438"/>
    <w:rsid w:val="00AA64FB"/>
    <w:rsid w:val="00AA671B"/>
    <w:rsid w:val="00AB0406"/>
    <w:rsid w:val="00AB071A"/>
    <w:rsid w:val="00AB2B35"/>
    <w:rsid w:val="00AB3442"/>
    <w:rsid w:val="00AB3647"/>
    <w:rsid w:val="00AB370F"/>
    <w:rsid w:val="00AB3721"/>
    <w:rsid w:val="00AB3AB7"/>
    <w:rsid w:val="00AB492E"/>
    <w:rsid w:val="00AB4D55"/>
    <w:rsid w:val="00AB539C"/>
    <w:rsid w:val="00AB6E48"/>
    <w:rsid w:val="00AC0714"/>
    <w:rsid w:val="00AC260E"/>
    <w:rsid w:val="00AC2749"/>
    <w:rsid w:val="00AC2A78"/>
    <w:rsid w:val="00AC2F87"/>
    <w:rsid w:val="00AC3EF3"/>
    <w:rsid w:val="00AC4206"/>
    <w:rsid w:val="00AC5561"/>
    <w:rsid w:val="00AC6723"/>
    <w:rsid w:val="00AC7CC2"/>
    <w:rsid w:val="00AD1409"/>
    <w:rsid w:val="00AD2129"/>
    <w:rsid w:val="00AD27F8"/>
    <w:rsid w:val="00AD2C1D"/>
    <w:rsid w:val="00AD2FDA"/>
    <w:rsid w:val="00AD318A"/>
    <w:rsid w:val="00AD3862"/>
    <w:rsid w:val="00AD3BA7"/>
    <w:rsid w:val="00AD4283"/>
    <w:rsid w:val="00AD45AC"/>
    <w:rsid w:val="00AD4C82"/>
    <w:rsid w:val="00AD56FF"/>
    <w:rsid w:val="00AD5AD3"/>
    <w:rsid w:val="00AD6369"/>
    <w:rsid w:val="00AD7490"/>
    <w:rsid w:val="00AE3BDB"/>
    <w:rsid w:val="00AE5649"/>
    <w:rsid w:val="00AE59B1"/>
    <w:rsid w:val="00AE73B4"/>
    <w:rsid w:val="00AF0266"/>
    <w:rsid w:val="00AF319F"/>
    <w:rsid w:val="00AF50E9"/>
    <w:rsid w:val="00AF77CA"/>
    <w:rsid w:val="00B00606"/>
    <w:rsid w:val="00B00DC0"/>
    <w:rsid w:val="00B01B98"/>
    <w:rsid w:val="00B022E4"/>
    <w:rsid w:val="00B02301"/>
    <w:rsid w:val="00B02802"/>
    <w:rsid w:val="00B02A08"/>
    <w:rsid w:val="00B0347E"/>
    <w:rsid w:val="00B07D2B"/>
    <w:rsid w:val="00B10557"/>
    <w:rsid w:val="00B10903"/>
    <w:rsid w:val="00B11C25"/>
    <w:rsid w:val="00B11FF4"/>
    <w:rsid w:val="00B1270A"/>
    <w:rsid w:val="00B12ACE"/>
    <w:rsid w:val="00B12C0C"/>
    <w:rsid w:val="00B15265"/>
    <w:rsid w:val="00B16BD2"/>
    <w:rsid w:val="00B20DCA"/>
    <w:rsid w:val="00B22B4B"/>
    <w:rsid w:val="00B23D22"/>
    <w:rsid w:val="00B25390"/>
    <w:rsid w:val="00B25BB6"/>
    <w:rsid w:val="00B267A3"/>
    <w:rsid w:val="00B2691A"/>
    <w:rsid w:val="00B2730F"/>
    <w:rsid w:val="00B30277"/>
    <w:rsid w:val="00B312AC"/>
    <w:rsid w:val="00B31CE4"/>
    <w:rsid w:val="00B32109"/>
    <w:rsid w:val="00B3370B"/>
    <w:rsid w:val="00B341F1"/>
    <w:rsid w:val="00B35329"/>
    <w:rsid w:val="00B36F73"/>
    <w:rsid w:val="00B37210"/>
    <w:rsid w:val="00B373DC"/>
    <w:rsid w:val="00B378EF"/>
    <w:rsid w:val="00B4067E"/>
    <w:rsid w:val="00B41A08"/>
    <w:rsid w:val="00B423E1"/>
    <w:rsid w:val="00B425A5"/>
    <w:rsid w:val="00B4372D"/>
    <w:rsid w:val="00B440EB"/>
    <w:rsid w:val="00B44A30"/>
    <w:rsid w:val="00B44BA2"/>
    <w:rsid w:val="00B47FA2"/>
    <w:rsid w:val="00B50B2D"/>
    <w:rsid w:val="00B534EC"/>
    <w:rsid w:val="00B54EF1"/>
    <w:rsid w:val="00B564FE"/>
    <w:rsid w:val="00B56B8D"/>
    <w:rsid w:val="00B57B4D"/>
    <w:rsid w:val="00B602AB"/>
    <w:rsid w:val="00B61209"/>
    <w:rsid w:val="00B61B9D"/>
    <w:rsid w:val="00B64636"/>
    <w:rsid w:val="00B64D46"/>
    <w:rsid w:val="00B65B18"/>
    <w:rsid w:val="00B65D30"/>
    <w:rsid w:val="00B6604D"/>
    <w:rsid w:val="00B664EF"/>
    <w:rsid w:val="00B70432"/>
    <w:rsid w:val="00B74EBD"/>
    <w:rsid w:val="00B750D0"/>
    <w:rsid w:val="00B75122"/>
    <w:rsid w:val="00B75420"/>
    <w:rsid w:val="00B75D7B"/>
    <w:rsid w:val="00B76F60"/>
    <w:rsid w:val="00B779A9"/>
    <w:rsid w:val="00B80B7F"/>
    <w:rsid w:val="00B812D7"/>
    <w:rsid w:val="00B82EAA"/>
    <w:rsid w:val="00B82EF2"/>
    <w:rsid w:val="00B83763"/>
    <w:rsid w:val="00B83997"/>
    <w:rsid w:val="00B87786"/>
    <w:rsid w:val="00B90F48"/>
    <w:rsid w:val="00B91853"/>
    <w:rsid w:val="00B91BFB"/>
    <w:rsid w:val="00B922ED"/>
    <w:rsid w:val="00B947B5"/>
    <w:rsid w:val="00B94967"/>
    <w:rsid w:val="00BA04B6"/>
    <w:rsid w:val="00BA099A"/>
    <w:rsid w:val="00BA0B33"/>
    <w:rsid w:val="00BA0D5A"/>
    <w:rsid w:val="00BA22C5"/>
    <w:rsid w:val="00BA3AA3"/>
    <w:rsid w:val="00BA454E"/>
    <w:rsid w:val="00BA4CD6"/>
    <w:rsid w:val="00BA4E2C"/>
    <w:rsid w:val="00BA56DA"/>
    <w:rsid w:val="00BA5A9A"/>
    <w:rsid w:val="00BA61EE"/>
    <w:rsid w:val="00BA7154"/>
    <w:rsid w:val="00BA761C"/>
    <w:rsid w:val="00BA7815"/>
    <w:rsid w:val="00BB10EB"/>
    <w:rsid w:val="00BB1C21"/>
    <w:rsid w:val="00BB2BDD"/>
    <w:rsid w:val="00BB339B"/>
    <w:rsid w:val="00BB4AFF"/>
    <w:rsid w:val="00BB5A4F"/>
    <w:rsid w:val="00BB626D"/>
    <w:rsid w:val="00BB724F"/>
    <w:rsid w:val="00BC0B39"/>
    <w:rsid w:val="00BC3295"/>
    <w:rsid w:val="00BC3D9E"/>
    <w:rsid w:val="00BC4F37"/>
    <w:rsid w:val="00BC63F3"/>
    <w:rsid w:val="00BD0739"/>
    <w:rsid w:val="00BD12AB"/>
    <w:rsid w:val="00BD1A10"/>
    <w:rsid w:val="00BD3F1E"/>
    <w:rsid w:val="00BD456F"/>
    <w:rsid w:val="00BD4BF4"/>
    <w:rsid w:val="00BD5B32"/>
    <w:rsid w:val="00BD659E"/>
    <w:rsid w:val="00BD7F60"/>
    <w:rsid w:val="00BE2C51"/>
    <w:rsid w:val="00BE5B3F"/>
    <w:rsid w:val="00BE63CA"/>
    <w:rsid w:val="00BE7E1E"/>
    <w:rsid w:val="00BF039D"/>
    <w:rsid w:val="00BF12B8"/>
    <w:rsid w:val="00BF1409"/>
    <w:rsid w:val="00BF44A6"/>
    <w:rsid w:val="00BF45FB"/>
    <w:rsid w:val="00BF6458"/>
    <w:rsid w:val="00BF65E6"/>
    <w:rsid w:val="00BF6D49"/>
    <w:rsid w:val="00C00E04"/>
    <w:rsid w:val="00C01793"/>
    <w:rsid w:val="00C01E41"/>
    <w:rsid w:val="00C02DBF"/>
    <w:rsid w:val="00C0309B"/>
    <w:rsid w:val="00C03332"/>
    <w:rsid w:val="00C040AB"/>
    <w:rsid w:val="00C0430D"/>
    <w:rsid w:val="00C06014"/>
    <w:rsid w:val="00C068DB"/>
    <w:rsid w:val="00C071C9"/>
    <w:rsid w:val="00C07B1D"/>
    <w:rsid w:val="00C13C8E"/>
    <w:rsid w:val="00C143E8"/>
    <w:rsid w:val="00C16F93"/>
    <w:rsid w:val="00C1732D"/>
    <w:rsid w:val="00C17668"/>
    <w:rsid w:val="00C20C39"/>
    <w:rsid w:val="00C2242E"/>
    <w:rsid w:val="00C23B89"/>
    <w:rsid w:val="00C24C71"/>
    <w:rsid w:val="00C24D82"/>
    <w:rsid w:val="00C2521C"/>
    <w:rsid w:val="00C25CE4"/>
    <w:rsid w:val="00C26338"/>
    <w:rsid w:val="00C2651E"/>
    <w:rsid w:val="00C268FF"/>
    <w:rsid w:val="00C27EF7"/>
    <w:rsid w:val="00C321EA"/>
    <w:rsid w:val="00C33891"/>
    <w:rsid w:val="00C33CD1"/>
    <w:rsid w:val="00C33E69"/>
    <w:rsid w:val="00C34B2A"/>
    <w:rsid w:val="00C35717"/>
    <w:rsid w:val="00C35C14"/>
    <w:rsid w:val="00C378FD"/>
    <w:rsid w:val="00C47091"/>
    <w:rsid w:val="00C47468"/>
    <w:rsid w:val="00C47986"/>
    <w:rsid w:val="00C47D2A"/>
    <w:rsid w:val="00C50D81"/>
    <w:rsid w:val="00C50FB8"/>
    <w:rsid w:val="00C5123D"/>
    <w:rsid w:val="00C5142A"/>
    <w:rsid w:val="00C53466"/>
    <w:rsid w:val="00C534C8"/>
    <w:rsid w:val="00C54244"/>
    <w:rsid w:val="00C548AB"/>
    <w:rsid w:val="00C55B9C"/>
    <w:rsid w:val="00C55EC4"/>
    <w:rsid w:val="00C5685E"/>
    <w:rsid w:val="00C56C15"/>
    <w:rsid w:val="00C56E9C"/>
    <w:rsid w:val="00C60711"/>
    <w:rsid w:val="00C634D1"/>
    <w:rsid w:val="00C63BD4"/>
    <w:rsid w:val="00C63FE9"/>
    <w:rsid w:val="00C65016"/>
    <w:rsid w:val="00C66035"/>
    <w:rsid w:val="00C70AEF"/>
    <w:rsid w:val="00C70FAF"/>
    <w:rsid w:val="00C73929"/>
    <w:rsid w:val="00C73DB5"/>
    <w:rsid w:val="00C757B2"/>
    <w:rsid w:val="00C77407"/>
    <w:rsid w:val="00C8071F"/>
    <w:rsid w:val="00C80AEA"/>
    <w:rsid w:val="00C82B39"/>
    <w:rsid w:val="00C82D38"/>
    <w:rsid w:val="00C839E5"/>
    <w:rsid w:val="00C83FC3"/>
    <w:rsid w:val="00C84977"/>
    <w:rsid w:val="00C85260"/>
    <w:rsid w:val="00C8547F"/>
    <w:rsid w:val="00C861D2"/>
    <w:rsid w:val="00C87D72"/>
    <w:rsid w:val="00C920FB"/>
    <w:rsid w:val="00C92281"/>
    <w:rsid w:val="00C92CDA"/>
    <w:rsid w:val="00C9472B"/>
    <w:rsid w:val="00C95A4E"/>
    <w:rsid w:val="00C96597"/>
    <w:rsid w:val="00C969F3"/>
    <w:rsid w:val="00C97211"/>
    <w:rsid w:val="00CA12A7"/>
    <w:rsid w:val="00CA1EB2"/>
    <w:rsid w:val="00CA1FCD"/>
    <w:rsid w:val="00CA2653"/>
    <w:rsid w:val="00CA2747"/>
    <w:rsid w:val="00CA549E"/>
    <w:rsid w:val="00CA5FE9"/>
    <w:rsid w:val="00CA6F71"/>
    <w:rsid w:val="00CB008A"/>
    <w:rsid w:val="00CB2099"/>
    <w:rsid w:val="00CB418B"/>
    <w:rsid w:val="00CB7654"/>
    <w:rsid w:val="00CC0028"/>
    <w:rsid w:val="00CC0106"/>
    <w:rsid w:val="00CC0728"/>
    <w:rsid w:val="00CC0B86"/>
    <w:rsid w:val="00CC1069"/>
    <w:rsid w:val="00CC14D5"/>
    <w:rsid w:val="00CC1B36"/>
    <w:rsid w:val="00CC4DE1"/>
    <w:rsid w:val="00CC4EF4"/>
    <w:rsid w:val="00CC5842"/>
    <w:rsid w:val="00CC5A7E"/>
    <w:rsid w:val="00CC60E7"/>
    <w:rsid w:val="00CC7753"/>
    <w:rsid w:val="00CD0141"/>
    <w:rsid w:val="00CD0C0E"/>
    <w:rsid w:val="00CD11C3"/>
    <w:rsid w:val="00CD14AD"/>
    <w:rsid w:val="00CD1C54"/>
    <w:rsid w:val="00CD2143"/>
    <w:rsid w:val="00CD22C1"/>
    <w:rsid w:val="00CD3D9C"/>
    <w:rsid w:val="00CD5C01"/>
    <w:rsid w:val="00CD6C3F"/>
    <w:rsid w:val="00CE142D"/>
    <w:rsid w:val="00CE1596"/>
    <w:rsid w:val="00CE233A"/>
    <w:rsid w:val="00CE59C5"/>
    <w:rsid w:val="00CE792E"/>
    <w:rsid w:val="00CF2F05"/>
    <w:rsid w:val="00CF325B"/>
    <w:rsid w:val="00CF5973"/>
    <w:rsid w:val="00CF5D22"/>
    <w:rsid w:val="00CF60F8"/>
    <w:rsid w:val="00CF689A"/>
    <w:rsid w:val="00D001E0"/>
    <w:rsid w:val="00D0111E"/>
    <w:rsid w:val="00D035FA"/>
    <w:rsid w:val="00D061BC"/>
    <w:rsid w:val="00D06F31"/>
    <w:rsid w:val="00D10555"/>
    <w:rsid w:val="00D1206A"/>
    <w:rsid w:val="00D13460"/>
    <w:rsid w:val="00D17E95"/>
    <w:rsid w:val="00D222D8"/>
    <w:rsid w:val="00D26CC8"/>
    <w:rsid w:val="00D27EAA"/>
    <w:rsid w:val="00D30298"/>
    <w:rsid w:val="00D304D1"/>
    <w:rsid w:val="00D33DA9"/>
    <w:rsid w:val="00D34D9F"/>
    <w:rsid w:val="00D358ED"/>
    <w:rsid w:val="00D35DC7"/>
    <w:rsid w:val="00D36966"/>
    <w:rsid w:val="00D40E4E"/>
    <w:rsid w:val="00D4327E"/>
    <w:rsid w:val="00D43C47"/>
    <w:rsid w:val="00D44E12"/>
    <w:rsid w:val="00D4502B"/>
    <w:rsid w:val="00D452EC"/>
    <w:rsid w:val="00D467F6"/>
    <w:rsid w:val="00D47481"/>
    <w:rsid w:val="00D50A88"/>
    <w:rsid w:val="00D50AA7"/>
    <w:rsid w:val="00D50D04"/>
    <w:rsid w:val="00D5165A"/>
    <w:rsid w:val="00D51A6A"/>
    <w:rsid w:val="00D52499"/>
    <w:rsid w:val="00D52833"/>
    <w:rsid w:val="00D53BE1"/>
    <w:rsid w:val="00D54D68"/>
    <w:rsid w:val="00D54EC6"/>
    <w:rsid w:val="00D56998"/>
    <w:rsid w:val="00D608D7"/>
    <w:rsid w:val="00D61C41"/>
    <w:rsid w:val="00D62311"/>
    <w:rsid w:val="00D62BB9"/>
    <w:rsid w:val="00D62D1E"/>
    <w:rsid w:val="00D63B48"/>
    <w:rsid w:val="00D67BFF"/>
    <w:rsid w:val="00D72203"/>
    <w:rsid w:val="00D72818"/>
    <w:rsid w:val="00D72D29"/>
    <w:rsid w:val="00D73184"/>
    <w:rsid w:val="00D74F65"/>
    <w:rsid w:val="00D7537A"/>
    <w:rsid w:val="00D76D58"/>
    <w:rsid w:val="00D81637"/>
    <w:rsid w:val="00D81D67"/>
    <w:rsid w:val="00D83180"/>
    <w:rsid w:val="00D85BB3"/>
    <w:rsid w:val="00D8692C"/>
    <w:rsid w:val="00D86D2A"/>
    <w:rsid w:val="00D86E2B"/>
    <w:rsid w:val="00D873E7"/>
    <w:rsid w:val="00D902EB"/>
    <w:rsid w:val="00D93293"/>
    <w:rsid w:val="00D9354D"/>
    <w:rsid w:val="00D9415C"/>
    <w:rsid w:val="00D9466C"/>
    <w:rsid w:val="00D9574F"/>
    <w:rsid w:val="00D96034"/>
    <w:rsid w:val="00D96FAA"/>
    <w:rsid w:val="00D97C6A"/>
    <w:rsid w:val="00D97F3C"/>
    <w:rsid w:val="00DA39B1"/>
    <w:rsid w:val="00DA3B1D"/>
    <w:rsid w:val="00DA47F9"/>
    <w:rsid w:val="00DB002A"/>
    <w:rsid w:val="00DB0205"/>
    <w:rsid w:val="00DB1780"/>
    <w:rsid w:val="00DB1ADD"/>
    <w:rsid w:val="00DB2833"/>
    <w:rsid w:val="00DB3B4C"/>
    <w:rsid w:val="00DB6AD2"/>
    <w:rsid w:val="00DB6EFB"/>
    <w:rsid w:val="00DB7069"/>
    <w:rsid w:val="00DB7755"/>
    <w:rsid w:val="00DB78AA"/>
    <w:rsid w:val="00DB7978"/>
    <w:rsid w:val="00DC0423"/>
    <w:rsid w:val="00DC13C7"/>
    <w:rsid w:val="00DC2447"/>
    <w:rsid w:val="00DC2F75"/>
    <w:rsid w:val="00DC2FF9"/>
    <w:rsid w:val="00DC3DF8"/>
    <w:rsid w:val="00DC686D"/>
    <w:rsid w:val="00DC7046"/>
    <w:rsid w:val="00DD0F30"/>
    <w:rsid w:val="00DD2398"/>
    <w:rsid w:val="00DD355A"/>
    <w:rsid w:val="00DD3616"/>
    <w:rsid w:val="00DD3678"/>
    <w:rsid w:val="00DE0A50"/>
    <w:rsid w:val="00DE0B13"/>
    <w:rsid w:val="00DE2A58"/>
    <w:rsid w:val="00DE5F44"/>
    <w:rsid w:val="00DE5F76"/>
    <w:rsid w:val="00DE6E03"/>
    <w:rsid w:val="00DF0933"/>
    <w:rsid w:val="00DF27AD"/>
    <w:rsid w:val="00DF504E"/>
    <w:rsid w:val="00DF57B8"/>
    <w:rsid w:val="00DF5C3D"/>
    <w:rsid w:val="00DF5F3F"/>
    <w:rsid w:val="00DF6D67"/>
    <w:rsid w:val="00DF7A67"/>
    <w:rsid w:val="00E007FD"/>
    <w:rsid w:val="00E00CCB"/>
    <w:rsid w:val="00E0170F"/>
    <w:rsid w:val="00E01972"/>
    <w:rsid w:val="00E033E7"/>
    <w:rsid w:val="00E046CD"/>
    <w:rsid w:val="00E0556E"/>
    <w:rsid w:val="00E06384"/>
    <w:rsid w:val="00E075A2"/>
    <w:rsid w:val="00E115EE"/>
    <w:rsid w:val="00E12D64"/>
    <w:rsid w:val="00E1335F"/>
    <w:rsid w:val="00E147C5"/>
    <w:rsid w:val="00E14C28"/>
    <w:rsid w:val="00E1675E"/>
    <w:rsid w:val="00E174CE"/>
    <w:rsid w:val="00E204D4"/>
    <w:rsid w:val="00E212D0"/>
    <w:rsid w:val="00E21C9C"/>
    <w:rsid w:val="00E22161"/>
    <w:rsid w:val="00E2352B"/>
    <w:rsid w:val="00E2378E"/>
    <w:rsid w:val="00E24F57"/>
    <w:rsid w:val="00E26242"/>
    <w:rsid w:val="00E26CDE"/>
    <w:rsid w:val="00E26F1E"/>
    <w:rsid w:val="00E3021A"/>
    <w:rsid w:val="00E30BFD"/>
    <w:rsid w:val="00E326C3"/>
    <w:rsid w:val="00E326F4"/>
    <w:rsid w:val="00E3426A"/>
    <w:rsid w:val="00E34B83"/>
    <w:rsid w:val="00E357C9"/>
    <w:rsid w:val="00E36DF4"/>
    <w:rsid w:val="00E371BB"/>
    <w:rsid w:val="00E416C6"/>
    <w:rsid w:val="00E42448"/>
    <w:rsid w:val="00E42DB0"/>
    <w:rsid w:val="00E44F88"/>
    <w:rsid w:val="00E45F2B"/>
    <w:rsid w:val="00E476B6"/>
    <w:rsid w:val="00E479CD"/>
    <w:rsid w:val="00E47D47"/>
    <w:rsid w:val="00E50E49"/>
    <w:rsid w:val="00E51B0C"/>
    <w:rsid w:val="00E51FF8"/>
    <w:rsid w:val="00E529BC"/>
    <w:rsid w:val="00E532CB"/>
    <w:rsid w:val="00E537B4"/>
    <w:rsid w:val="00E61DD6"/>
    <w:rsid w:val="00E62990"/>
    <w:rsid w:val="00E62BED"/>
    <w:rsid w:val="00E63E0D"/>
    <w:rsid w:val="00E64FFE"/>
    <w:rsid w:val="00E66FD9"/>
    <w:rsid w:val="00E67A7B"/>
    <w:rsid w:val="00E724A5"/>
    <w:rsid w:val="00E73966"/>
    <w:rsid w:val="00E73A1B"/>
    <w:rsid w:val="00E75188"/>
    <w:rsid w:val="00E75D5B"/>
    <w:rsid w:val="00E76310"/>
    <w:rsid w:val="00E7672E"/>
    <w:rsid w:val="00E8120A"/>
    <w:rsid w:val="00E8347A"/>
    <w:rsid w:val="00E83CB5"/>
    <w:rsid w:val="00E850A7"/>
    <w:rsid w:val="00E85474"/>
    <w:rsid w:val="00E876A1"/>
    <w:rsid w:val="00E87CFE"/>
    <w:rsid w:val="00E91A76"/>
    <w:rsid w:val="00E924EE"/>
    <w:rsid w:val="00E94FEE"/>
    <w:rsid w:val="00E95A6B"/>
    <w:rsid w:val="00EA0056"/>
    <w:rsid w:val="00EA116C"/>
    <w:rsid w:val="00EA14B9"/>
    <w:rsid w:val="00EA5F6C"/>
    <w:rsid w:val="00EA7207"/>
    <w:rsid w:val="00EB00FD"/>
    <w:rsid w:val="00EB0254"/>
    <w:rsid w:val="00EB0903"/>
    <w:rsid w:val="00EB0B7B"/>
    <w:rsid w:val="00EB1707"/>
    <w:rsid w:val="00EB256F"/>
    <w:rsid w:val="00EB31CA"/>
    <w:rsid w:val="00EB392F"/>
    <w:rsid w:val="00EB39D0"/>
    <w:rsid w:val="00EB5B57"/>
    <w:rsid w:val="00EB7BDE"/>
    <w:rsid w:val="00EB7CE6"/>
    <w:rsid w:val="00EC08B2"/>
    <w:rsid w:val="00EC09FC"/>
    <w:rsid w:val="00EC0C5E"/>
    <w:rsid w:val="00EC1470"/>
    <w:rsid w:val="00EC18DC"/>
    <w:rsid w:val="00EC3020"/>
    <w:rsid w:val="00EC3929"/>
    <w:rsid w:val="00EC40AD"/>
    <w:rsid w:val="00EC6938"/>
    <w:rsid w:val="00ED014F"/>
    <w:rsid w:val="00ED148F"/>
    <w:rsid w:val="00ED153A"/>
    <w:rsid w:val="00ED310D"/>
    <w:rsid w:val="00ED3249"/>
    <w:rsid w:val="00ED3B47"/>
    <w:rsid w:val="00EE004E"/>
    <w:rsid w:val="00EE3C6A"/>
    <w:rsid w:val="00EE54A3"/>
    <w:rsid w:val="00EE589D"/>
    <w:rsid w:val="00EE7017"/>
    <w:rsid w:val="00EE7651"/>
    <w:rsid w:val="00EF2A15"/>
    <w:rsid w:val="00EF2F9D"/>
    <w:rsid w:val="00EF39A2"/>
    <w:rsid w:val="00EF432F"/>
    <w:rsid w:val="00EF4880"/>
    <w:rsid w:val="00EF4F03"/>
    <w:rsid w:val="00EF5436"/>
    <w:rsid w:val="00EF54E6"/>
    <w:rsid w:val="00EF56DB"/>
    <w:rsid w:val="00EF727A"/>
    <w:rsid w:val="00F00C4C"/>
    <w:rsid w:val="00F02FB6"/>
    <w:rsid w:val="00F037D4"/>
    <w:rsid w:val="00F03BA0"/>
    <w:rsid w:val="00F04553"/>
    <w:rsid w:val="00F057F6"/>
    <w:rsid w:val="00F07689"/>
    <w:rsid w:val="00F10055"/>
    <w:rsid w:val="00F10548"/>
    <w:rsid w:val="00F126D4"/>
    <w:rsid w:val="00F1343A"/>
    <w:rsid w:val="00F13B15"/>
    <w:rsid w:val="00F1449F"/>
    <w:rsid w:val="00F153BE"/>
    <w:rsid w:val="00F157AC"/>
    <w:rsid w:val="00F15ED1"/>
    <w:rsid w:val="00F17941"/>
    <w:rsid w:val="00F21027"/>
    <w:rsid w:val="00F21F2B"/>
    <w:rsid w:val="00F23800"/>
    <w:rsid w:val="00F257CE"/>
    <w:rsid w:val="00F26F74"/>
    <w:rsid w:val="00F275BD"/>
    <w:rsid w:val="00F27877"/>
    <w:rsid w:val="00F303FB"/>
    <w:rsid w:val="00F3058D"/>
    <w:rsid w:val="00F30F50"/>
    <w:rsid w:val="00F334E7"/>
    <w:rsid w:val="00F33606"/>
    <w:rsid w:val="00F35903"/>
    <w:rsid w:val="00F3623A"/>
    <w:rsid w:val="00F3797F"/>
    <w:rsid w:val="00F37E3B"/>
    <w:rsid w:val="00F41EA3"/>
    <w:rsid w:val="00F43878"/>
    <w:rsid w:val="00F44A78"/>
    <w:rsid w:val="00F4594E"/>
    <w:rsid w:val="00F45A0E"/>
    <w:rsid w:val="00F46935"/>
    <w:rsid w:val="00F4771F"/>
    <w:rsid w:val="00F504C6"/>
    <w:rsid w:val="00F512CD"/>
    <w:rsid w:val="00F520D5"/>
    <w:rsid w:val="00F52481"/>
    <w:rsid w:val="00F5332E"/>
    <w:rsid w:val="00F54B0B"/>
    <w:rsid w:val="00F54C88"/>
    <w:rsid w:val="00F54EC9"/>
    <w:rsid w:val="00F55371"/>
    <w:rsid w:val="00F57858"/>
    <w:rsid w:val="00F57E8A"/>
    <w:rsid w:val="00F60524"/>
    <w:rsid w:val="00F60AAA"/>
    <w:rsid w:val="00F61562"/>
    <w:rsid w:val="00F61BAB"/>
    <w:rsid w:val="00F630E7"/>
    <w:rsid w:val="00F64B94"/>
    <w:rsid w:val="00F66506"/>
    <w:rsid w:val="00F70E60"/>
    <w:rsid w:val="00F72662"/>
    <w:rsid w:val="00F72E61"/>
    <w:rsid w:val="00F738AB"/>
    <w:rsid w:val="00F73B00"/>
    <w:rsid w:val="00F7544B"/>
    <w:rsid w:val="00F7615C"/>
    <w:rsid w:val="00F7748A"/>
    <w:rsid w:val="00F77F9B"/>
    <w:rsid w:val="00F8004D"/>
    <w:rsid w:val="00F8050C"/>
    <w:rsid w:val="00F80AF7"/>
    <w:rsid w:val="00F81BE7"/>
    <w:rsid w:val="00F837F8"/>
    <w:rsid w:val="00F8464C"/>
    <w:rsid w:val="00F84FC8"/>
    <w:rsid w:val="00F85736"/>
    <w:rsid w:val="00F8632C"/>
    <w:rsid w:val="00F87B42"/>
    <w:rsid w:val="00F91344"/>
    <w:rsid w:val="00F935CE"/>
    <w:rsid w:val="00F94F72"/>
    <w:rsid w:val="00F95F9E"/>
    <w:rsid w:val="00F96701"/>
    <w:rsid w:val="00F97093"/>
    <w:rsid w:val="00FA1CE4"/>
    <w:rsid w:val="00FA1D93"/>
    <w:rsid w:val="00FA2260"/>
    <w:rsid w:val="00FA33E4"/>
    <w:rsid w:val="00FA50A0"/>
    <w:rsid w:val="00FA61AA"/>
    <w:rsid w:val="00FA6DE7"/>
    <w:rsid w:val="00FA7422"/>
    <w:rsid w:val="00FB03E7"/>
    <w:rsid w:val="00FB0CA7"/>
    <w:rsid w:val="00FB2A3E"/>
    <w:rsid w:val="00FB47DB"/>
    <w:rsid w:val="00FB515C"/>
    <w:rsid w:val="00FB6904"/>
    <w:rsid w:val="00FB7CFE"/>
    <w:rsid w:val="00FB7E1C"/>
    <w:rsid w:val="00FC1CF1"/>
    <w:rsid w:val="00FD0E8A"/>
    <w:rsid w:val="00FD189C"/>
    <w:rsid w:val="00FD1AF9"/>
    <w:rsid w:val="00FD212A"/>
    <w:rsid w:val="00FD3817"/>
    <w:rsid w:val="00FD41B2"/>
    <w:rsid w:val="00FD4730"/>
    <w:rsid w:val="00FD4856"/>
    <w:rsid w:val="00FD4915"/>
    <w:rsid w:val="00FD4B3A"/>
    <w:rsid w:val="00FD4C92"/>
    <w:rsid w:val="00FD5A70"/>
    <w:rsid w:val="00FE03CA"/>
    <w:rsid w:val="00FE0EF5"/>
    <w:rsid w:val="00FE1E53"/>
    <w:rsid w:val="00FE3069"/>
    <w:rsid w:val="00FE5D48"/>
    <w:rsid w:val="00FE6284"/>
    <w:rsid w:val="00FE66B0"/>
    <w:rsid w:val="00FE6CC9"/>
    <w:rsid w:val="00FE6E1C"/>
    <w:rsid w:val="00FE75BE"/>
    <w:rsid w:val="00FE79D3"/>
    <w:rsid w:val="00FE7E48"/>
    <w:rsid w:val="00FF0611"/>
    <w:rsid w:val="00FF16E6"/>
    <w:rsid w:val="00FF20D1"/>
    <w:rsid w:val="00FF3D80"/>
    <w:rsid w:val="00FF4011"/>
    <w:rsid w:val="00FF5B0A"/>
    <w:rsid w:val="00FF7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14:docId w14:val="13D85DF5"/>
  <w15:docId w15:val="{164E195B-C1D8-47AB-AFA6-EA541704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53B0"/>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F53B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F53B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6F53B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521C09"/>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F53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F53B0"/>
  </w:style>
  <w:style w:type="character" w:customStyle="1" w:styleId="CharAmSchText">
    <w:name w:val="CharAmSchText"/>
    <w:basedOn w:val="OPCCharBase"/>
    <w:uiPriority w:val="1"/>
    <w:qFormat/>
    <w:rsid w:val="006F53B0"/>
  </w:style>
  <w:style w:type="character" w:customStyle="1" w:styleId="CharChapNo">
    <w:name w:val="CharChapNo"/>
    <w:basedOn w:val="OPCCharBase"/>
    <w:qFormat/>
    <w:rsid w:val="006F53B0"/>
  </w:style>
  <w:style w:type="character" w:customStyle="1" w:styleId="CharChapText">
    <w:name w:val="CharChapText"/>
    <w:basedOn w:val="OPCCharBase"/>
    <w:qFormat/>
    <w:rsid w:val="006F53B0"/>
  </w:style>
  <w:style w:type="character" w:customStyle="1" w:styleId="CharDivNo">
    <w:name w:val="CharDivNo"/>
    <w:basedOn w:val="OPCCharBase"/>
    <w:qFormat/>
    <w:rsid w:val="006F53B0"/>
  </w:style>
  <w:style w:type="character" w:customStyle="1" w:styleId="CharDivText">
    <w:name w:val="CharDivText"/>
    <w:basedOn w:val="OPCCharBase"/>
    <w:qFormat/>
    <w:rsid w:val="006F53B0"/>
  </w:style>
  <w:style w:type="character" w:customStyle="1" w:styleId="CharPartNo">
    <w:name w:val="CharPartNo"/>
    <w:basedOn w:val="OPCCharBase"/>
    <w:qFormat/>
    <w:rsid w:val="006F53B0"/>
  </w:style>
  <w:style w:type="character" w:customStyle="1" w:styleId="CharPartText">
    <w:name w:val="CharPartText"/>
    <w:basedOn w:val="OPCCharBase"/>
    <w:qFormat/>
    <w:rsid w:val="006F53B0"/>
  </w:style>
  <w:style w:type="character" w:customStyle="1" w:styleId="OPCCharBase">
    <w:name w:val="OPCCharBase"/>
    <w:uiPriority w:val="1"/>
    <w:qFormat/>
    <w:rsid w:val="006F53B0"/>
  </w:style>
  <w:style w:type="paragraph" w:customStyle="1" w:styleId="OPCParaBase">
    <w:name w:val="OPCParaBase"/>
    <w:qFormat/>
    <w:rsid w:val="006F53B0"/>
    <w:pPr>
      <w:spacing w:line="260" w:lineRule="atLeast"/>
    </w:pPr>
    <w:rPr>
      <w:sz w:val="22"/>
    </w:rPr>
  </w:style>
  <w:style w:type="character" w:customStyle="1" w:styleId="CharSectno">
    <w:name w:val="CharSectno"/>
    <w:basedOn w:val="OPCCharBase"/>
    <w:qFormat/>
    <w:rsid w:val="006F53B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F53B0"/>
    <w:pPr>
      <w:spacing w:line="240" w:lineRule="auto"/>
      <w:ind w:left="1134"/>
    </w:pPr>
    <w:rPr>
      <w:sz w:val="20"/>
    </w:rPr>
  </w:style>
  <w:style w:type="paragraph" w:customStyle="1" w:styleId="ShortT">
    <w:name w:val="ShortT"/>
    <w:basedOn w:val="OPCParaBase"/>
    <w:next w:val="Normal"/>
    <w:qFormat/>
    <w:rsid w:val="006F53B0"/>
    <w:pPr>
      <w:spacing w:line="240" w:lineRule="auto"/>
    </w:pPr>
    <w:rPr>
      <w:b/>
      <w:sz w:val="40"/>
    </w:rPr>
  </w:style>
  <w:style w:type="paragraph" w:customStyle="1" w:styleId="Penalty">
    <w:name w:val="Penalty"/>
    <w:basedOn w:val="OPCParaBase"/>
    <w:rsid w:val="006F53B0"/>
    <w:pPr>
      <w:tabs>
        <w:tab w:val="left" w:pos="2977"/>
      </w:tabs>
      <w:spacing w:before="180" w:line="240" w:lineRule="auto"/>
      <w:ind w:left="1985" w:hanging="851"/>
    </w:pPr>
  </w:style>
  <w:style w:type="paragraph" w:customStyle="1" w:styleId="ActHead1">
    <w:name w:val="ActHead 1"/>
    <w:aliases w:val="c"/>
    <w:basedOn w:val="OPCParaBase"/>
    <w:next w:val="Normal"/>
    <w:qFormat/>
    <w:rsid w:val="006F53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F53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53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53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F53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6BB1"/>
    <w:pPr>
      <w:keepLines/>
      <w:tabs>
        <w:tab w:val="right" w:leader="dot" w:pos="7088"/>
      </w:tabs>
      <w:spacing w:before="40" w:line="240" w:lineRule="auto"/>
      <w:ind w:left="1985" w:right="567" w:hanging="567"/>
    </w:pPr>
    <w:rPr>
      <w:kern w:val="28"/>
      <w:sz w:val="18"/>
    </w:rPr>
  </w:style>
  <w:style w:type="paragraph" w:styleId="TOC6">
    <w:name w:val="toc 6"/>
    <w:basedOn w:val="OPCParaBase"/>
    <w:next w:val="Normal"/>
    <w:uiPriority w:val="39"/>
    <w:unhideWhenUsed/>
    <w:rsid w:val="006F53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5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F5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53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F53B0"/>
    <w:pPr>
      <w:spacing w:line="240" w:lineRule="auto"/>
    </w:pPr>
    <w:rPr>
      <w:sz w:val="20"/>
    </w:rPr>
  </w:style>
  <w:style w:type="paragraph" w:customStyle="1" w:styleId="ActHead2">
    <w:name w:val="ActHead 2"/>
    <w:aliases w:val="p"/>
    <w:basedOn w:val="OPCParaBase"/>
    <w:next w:val="ActHead3"/>
    <w:qFormat/>
    <w:rsid w:val="006F53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F53B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qFormat/>
    <w:rsid w:val="006F5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5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F5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5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5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5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53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53B0"/>
  </w:style>
  <w:style w:type="paragraph" w:customStyle="1" w:styleId="Blocks">
    <w:name w:val="Blocks"/>
    <w:aliases w:val="bb"/>
    <w:basedOn w:val="OPCParaBase"/>
    <w:qFormat/>
    <w:rsid w:val="006F53B0"/>
    <w:pPr>
      <w:spacing w:line="240" w:lineRule="auto"/>
    </w:pPr>
    <w:rPr>
      <w:sz w:val="24"/>
    </w:rPr>
  </w:style>
  <w:style w:type="paragraph" w:customStyle="1" w:styleId="BoxText">
    <w:name w:val="BoxText"/>
    <w:aliases w:val="bt"/>
    <w:basedOn w:val="OPCParaBase"/>
    <w:qFormat/>
    <w:rsid w:val="006F5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53B0"/>
    <w:rPr>
      <w:b/>
    </w:rPr>
  </w:style>
  <w:style w:type="paragraph" w:customStyle="1" w:styleId="BoxHeadItalic">
    <w:name w:val="BoxHeadItalic"/>
    <w:aliases w:val="bhi"/>
    <w:basedOn w:val="BoxText"/>
    <w:next w:val="BoxStep"/>
    <w:qFormat/>
    <w:rsid w:val="006F53B0"/>
    <w:rPr>
      <w:i/>
    </w:rPr>
  </w:style>
  <w:style w:type="paragraph" w:customStyle="1" w:styleId="BoxList">
    <w:name w:val="BoxList"/>
    <w:aliases w:val="bl"/>
    <w:basedOn w:val="BoxText"/>
    <w:qFormat/>
    <w:rsid w:val="006F53B0"/>
    <w:pPr>
      <w:ind w:left="1559" w:hanging="425"/>
    </w:pPr>
  </w:style>
  <w:style w:type="paragraph" w:customStyle="1" w:styleId="BoxNote">
    <w:name w:val="BoxNote"/>
    <w:aliases w:val="bn"/>
    <w:basedOn w:val="BoxText"/>
    <w:qFormat/>
    <w:rsid w:val="006F53B0"/>
    <w:pPr>
      <w:tabs>
        <w:tab w:val="left" w:pos="1985"/>
      </w:tabs>
      <w:spacing w:before="122" w:line="198" w:lineRule="exact"/>
      <w:ind w:left="2948" w:hanging="1814"/>
    </w:pPr>
    <w:rPr>
      <w:sz w:val="18"/>
    </w:rPr>
  </w:style>
  <w:style w:type="paragraph" w:customStyle="1" w:styleId="BoxPara">
    <w:name w:val="BoxPara"/>
    <w:aliases w:val="bp"/>
    <w:basedOn w:val="BoxText"/>
    <w:qFormat/>
    <w:rsid w:val="006F53B0"/>
    <w:pPr>
      <w:tabs>
        <w:tab w:val="right" w:pos="2268"/>
      </w:tabs>
      <w:ind w:left="2552" w:hanging="1418"/>
    </w:pPr>
  </w:style>
  <w:style w:type="paragraph" w:customStyle="1" w:styleId="BoxStep">
    <w:name w:val="BoxStep"/>
    <w:aliases w:val="bs"/>
    <w:basedOn w:val="BoxText"/>
    <w:qFormat/>
    <w:rsid w:val="006F53B0"/>
    <w:pPr>
      <w:ind w:left="1985" w:hanging="851"/>
    </w:pPr>
  </w:style>
  <w:style w:type="character" w:customStyle="1" w:styleId="CharAmPartNo">
    <w:name w:val="CharAmPartNo"/>
    <w:basedOn w:val="OPCCharBase"/>
    <w:uiPriority w:val="1"/>
    <w:qFormat/>
    <w:rsid w:val="006F53B0"/>
  </w:style>
  <w:style w:type="character" w:customStyle="1" w:styleId="CharAmPartText">
    <w:name w:val="CharAmPartText"/>
    <w:basedOn w:val="OPCCharBase"/>
    <w:uiPriority w:val="1"/>
    <w:qFormat/>
    <w:rsid w:val="006F53B0"/>
  </w:style>
  <w:style w:type="character" w:customStyle="1" w:styleId="CharBoldItalic">
    <w:name w:val="CharBoldItalic"/>
    <w:basedOn w:val="OPCCharBase"/>
    <w:uiPriority w:val="1"/>
    <w:qFormat/>
    <w:rsid w:val="006F53B0"/>
    <w:rPr>
      <w:b/>
      <w:i/>
    </w:rPr>
  </w:style>
  <w:style w:type="character" w:customStyle="1" w:styleId="CharItalic">
    <w:name w:val="CharItalic"/>
    <w:basedOn w:val="OPCCharBase"/>
    <w:uiPriority w:val="1"/>
    <w:qFormat/>
    <w:rsid w:val="006F53B0"/>
    <w:rPr>
      <w:i/>
    </w:rPr>
  </w:style>
  <w:style w:type="character" w:customStyle="1" w:styleId="CharSubdNo">
    <w:name w:val="CharSubdNo"/>
    <w:basedOn w:val="OPCCharBase"/>
    <w:uiPriority w:val="1"/>
    <w:qFormat/>
    <w:rsid w:val="006F53B0"/>
  </w:style>
  <w:style w:type="character" w:customStyle="1" w:styleId="CharSubdText">
    <w:name w:val="CharSubdText"/>
    <w:basedOn w:val="OPCCharBase"/>
    <w:uiPriority w:val="1"/>
    <w:qFormat/>
    <w:rsid w:val="006F53B0"/>
  </w:style>
  <w:style w:type="paragraph" w:customStyle="1" w:styleId="CTA--">
    <w:name w:val="CTA --"/>
    <w:basedOn w:val="OPCParaBase"/>
    <w:next w:val="Normal"/>
    <w:rsid w:val="006F53B0"/>
    <w:pPr>
      <w:spacing w:before="60" w:line="240" w:lineRule="atLeast"/>
      <w:ind w:left="142" w:hanging="142"/>
    </w:pPr>
    <w:rPr>
      <w:sz w:val="20"/>
    </w:rPr>
  </w:style>
  <w:style w:type="paragraph" w:customStyle="1" w:styleId="CTA-">
    <w:name w:val="CTA -"/>
    <w:basedOn w:val="OPCParaBase"/>
    <w:rsid w:val="006F53B0"/>
    <w:pPr>
      <w:spacing w:before="60" w:line="240" w:lineRule="atLeast"/>
      <w:ind w:left="85" w:hanging="85"/>
    </w:pPr>
    <w:rPr>
      <w:sz w:val="20"/>
    </w:rPr>
  </w:style>
  <w:style w:type="paragraph" w:customStyle="1" w:styleId="CTA---">
    <w:name w:val="CTA ---"/>
    <w:basedOn w:val="OPCParaBase"/>
    <w:next w:val="Normal"/>
    <w:rsid w:val="006F53B0"/>
    <w:pPr>
      <w:spacing w:before="60" w:line="240" w:lineRule="atLeast"/>
      <w:ind w:left="198" w:hanging="198"/>
    </w:pPr>
    <w:rPr>
      <w:sz w:val="20"/>
    </w:rPr>
  </w:style>
  <w:style w:type="paragraph" w:customStyle="1" w:styleId="CTA----">
    <w:name w:val="CTA ----"/>
    <w:basedOn w:val="OPCParaBase"/>
    <w:next w:val="Normal"/>
    <w:rsid w:val="006F53B0"/>
    <w:pPr>
      <w:spacing w:before="60" w:line="240" w:lineRule="atLeast"/>
      <w:ind w:left="255" w:hanging="255"/>
    </w:pPr>
    <w:rPr>
      <w:sz w:val="20"/>
    </w:rPr>
  </w:style>
  <w:style w:type="paragraph" w:customStyle="1" w:styleId="CTA1a">
    <w:name w:val="CTA 1(a)"/>
    <w:basedOn w:val="OPCParaBase"/>
    <w:rsid w:val="006F53B0"/>
    <w:pPr>
      <w:tabs>
        <w:tab w:val="right" w:pos="414"/>
      </w:tabs>
      <w:spacing w:before="40" w:line="240" w:lineRule="atLeast"/>
      <w:ind w:left="675" w:hanging="675"/>
    </w:pPr>
    <w:rPr>
      <w:sz w:val="20"/>
    </w:rPr>
  </w:style>
  <w:style w:type="paragraph" w:customStyle="1" w:styleId="CTA1ai">
    <w:name w:val="CTA 1(a)(i)"/>
    <w:basedOn w:val="OPCParaBase"/>
    <w:rsid w:val="006F53B0"/>
    <w:pPr>
      <w:tabs>
        <w:tab w:val="right" w:pos="1004"/>
      </w:tabs>
      <w:spacing w:before="40" w:line="240" w:lineRule="atLeast"/>
      <w:ind w:left="1253" w:hanging="1253"/>
    </w:pPr>
    <w:rPr>
      <w:sz w:val="20"/>
    </w:rPr>
  </w:style>
  <w:style w:type="paragraph" w:customStyle="1" w:styleId="CTA2a">
    <w:name w:val="CTA 2(a)"/>
    <w:basedOn w:val="OPCParaBase"/>
    <w:rsid w:val="006F53B0"/>
    <w:pPr>
      <w:tabs>
        <w:tab w:val="right" w:pos="482"/>
      </w:tabs>
      <w:spacing w:before="40" w:line="240" w:lineRule="atLeast"/>
      <w:ind w:left="748" w:hanging="748"/>
    </w:pPr>
    <w:rPr>
      <w:sz w:val="20"/>
    </w:rPr>
  </w:style>
  <w:style w:type="paragraph" w:customStyle="1" w:styleId="CTA2ai">
    <w:name w:val="CTA 2(a)(i)"/>
    <w:basedOn w:val="OPCParaBase"/>
    <w:rsid w:val="006F53B0"/>
    <w:pPr>
      <w:tabs>
        <w:tab w:val="right" w:pos="1089"/>
      </w:tabs>
      <w:spacing w:before="40" w:line="240" w:lineRule="atLeast"/>
      <w:ind w:left="1327" w:hanging="1327"/>
    </w:pPr>
    <w:rPr>
      <w:sz w:val="20"/>
    </w:rPr>
  </w:style>
  <w:style w:type="paragraph" w:customStyle="1" w:styleId="CTA3a">
    <w:name w:val="CTA 3(a)"/>
    <w:basedOn w:val="OPCParaBase"/>
    <w:rsid w:val="006F53B0"/>
    <w:pPr>
      <w:tabs>
        <w:tab w:val="right" w:pos="556"/>
      </w:tabs>
      <w:spacing w:before="40" w:line="240" w:lineRule="atLeast"/>
      <w:ind w:left="805" w:hanging="805"/>
    </w:pPr>
    <w:rPr>
      <w:sz w:val="20"/>
    </w:rPr>
  </w:style>
  <w:style w:type="paragraph" w:customStyle="1" w:styleId="CTA3ai">
    <w:name w:val="CTA 3(a)(i)"/>
    <w:basedOn w:val="OPCParaBase"/>
    <w:rsid w:val="006F53B0"/>
    <w:pPr>
      <w:tabs>
        <w:tab w:val="right" w:pos="1140"/>
      </w:tabs>
      <w:spacing w:before="40" w:line="240" w:lineRule="atLeast"/>
      <w:ind w:left="1361" w:hanging="1361"/>
    </w:pPr>
    <w:rPr>
      <w:sz w:val="20"/>
    </w:rPr>
  </w:style>
  <w:style w:type="paragraph" w:customStyle="1" w:styleId="CTA4a">
    <w:name w:val="CTA 4(a)"/>
    <w:basedOn w:val="OPCParaBase"/>
    <w:rsid w:val="006F53B0"/>
    <w:pPr>
      <w:tabs>
        <w:tab w:val="right" w:pos="624"/>
      </w:tabs>
      <w:spacing w:before="40" w:line="240" w:lineRule="atLeast"/>
      <w:ind w:left="873" w:hanging="873"/>
    </w:pPr>
    <w:rPr>
      <w:sz w:val="20"/>
    </w:rPr>
  </w:style>
  <w:style w:type="paragraph" w:customStyle="1" w:styleId="CTA4ai">
    <w:name w:val="CTA 4(a)(i)"/>
    <w:basedOn w:val="OPCParaBase"/>
    <w:rsid w:val="006F53B0"/>
    <w:pPr>
      <w:tabs>
        <w:tab w:val="right" w:pos="1213"/>
      </w:tabs>
      <w:spacing w:before="40" w:line="240" w:lineRule="atLeast"/>
      <w:ind w:left="1452" w:hanging="1452"/>
    </w:pPr>
    <w:rPr>
      <w:sz w:val="20"/>
    </w:rPr>
  </w:style>
  <w:style w:type="paragraph" w:customStyle="1" w:styleId="CTACAPS">
    <w:name w:val="CTA CAPS"/>
    <w:basedOn w:val="OPCParaBase"/>
    <w:rsid w:val="006F53B0"/>
    <w:pPr>
      <w:spacing w:before="60" w:line="240" w:lineRule="atLeast"/>
    </w:pPr>
    <w:rPr>
      <w:sz w:val="20"/>
    </w:rPr>
  </w:style>
  <w:style w:type="paragraph" w:customStyle="1" w:styleId="CTAright">
    <w:name w:val="CTA right"/>
    <w:basedOn w:val="OPCParaBase"/>
    <w:rsid w:val="006F53B0"/>
    <w:pPr>
      <w:spacing w:before="60" w:line="240" w:lineRule="auto"/>
      <w:jc w:val="right"/>
    </w:pPr>
    <w:rPr>
      <w:sz w:val="20"/>
    </w:rPr>
  </w:style>
  <w:style w:type="paragraph" w:customStyle="1" w:styleId="subsection">
    <w:name w:val="subsection"/>
    <w:aliases w:val="ss,Subsection"/>
    <w:basedOn w:val="OPCParaBase"/>
    <w:link w:val="subsectionChar"/>
    <w:rsid w:val="006F53B0"/>
    <w:pPr>
      <w:tabs>
        <w:tab w:val="right" w:pos="1021"/>
      </w:tabs>
      <w:spacing w:before="180" w:line="240" w:lineRule="auto"/>
      <w:ind w:left="1134" w:hanging="1134"/>
    </w:pPr>
  </w:style>
  <w:style w:type="paragraph" w:customStyle="1" w:styleId="Definition">
    <w:name w:val="Definition"/>
    <w:aliases w:val="dd"/>
    <w:basedOn w:val="OPCParaBase"/>
    <w:rsid w:val="006F53B0"/>
    <w:pPr>
      <w:spacing w:before="180" w:line="240" w:lineRule="auto"/>
      <w:ind w:left="1134"/>
    </w:pPr>
  </w:style>
  <w:style w:type="character" w:customStyle="1" w:styleId="HeaderChar">
    <w:name w:val="Header Char"/>
    <w:basedOn w:val="DefaultParagraphFont"/>
    <w:link w:val="Header"/>
    <w:rsid w:val="006F53B0"/>
    <w:rPr>
      <w:sz w:val="16"/>
    </w:rPr>
  </w:style>
  <w:style w:type="paragraph" w:customStyle="1" w:styleId="House">
    <w:name w:val="House"/>
    <w:basedOn w:val="OPCParaBase"/>
    <w:rsid w:val="006F53B0"/>
    <w:pPr>
      <w:spacing w:line="240" w:lineRule="auto"/>
    </w:pPr>
    <w:rPr>
      <w:sz w:val="28"/>
    </w:rPr>
  </w:style>
  <w:style w:type="paragraph" w:customStyle="1" w:styleId="Item">
    <w:name w:val="Item"/>
    <w:aliases w:val="i"/>
    <w:basedOn w:val="OPCParaBase"/>
    <w:next w:val="ItemHead"/>
    <w:rsid w:val="006F53B0"/>
    <w:pPr>
      <w:keepLines/>
      <w:spacing w:before="80" w:line="240" w:lineRule="auto"/>
      <w:ind w:left="709"/>
    </w:pPr>
  </w:style>
  <w:style w:type="paragraph" w:customStyle="1" w:styleId="ItemHead">
    <w:name w:val="ItemHead"/>
    <w:aliases w:val="ih"/>
    <w:basedOn w:val="OPCParaBase"/>
    <w:next w:val="Item"/>
    <w:rsid w:val="006F53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53B0"/>
    <w:pPr>
      <w:spacing w:line="240" w:lineRule="auto"/>
    </w:pPr>
    <w:rPr>
      <w:b/>
      <w:sz w:val="32"/>
    </w:rPr>
  </w:style>
  <w:style w:type="paragraph" w:customStyle="1" w:styleId="notedraft">
    <w:name w:val="note(draft)"/>
    <w:aliases w:val="nd"/>
    <w:basedOn w:val="OPCParaBase"/>
    <w:rsid w:val="006F53B0"/>
    <w:pPr>
      <w:spacing w:before="240" w:line="240" w:lineRule="auto"/>
      <w:ind w:left="284" w:hanging="284"/>
    </w:pPr>
    <w:rPr>
      <w:i/>
      <w:sz w:val="24"/>
    </w:rPr>
  </w:style>
  <w:style w:type="paragraph" w:customStyle="1" w:styleId="notemargin">
    <w:name w:val="note(margin)"/>
    <w:aliases w:val="nm"/>
    <w:basedOn w:val="OPCParaBase"/>
    <w:rsid w:val="006F53B0"/>
    <w:pPr>
      <w:tabs>
        <w:tab w:val="left" w:pos="709"/>
      </w:tabs>
      <w:spacing w:before="122" w:line="198" w:lineRule="exact"/>
      <w:ind w:left="709" w:hanging="709"/>
    </w:pPr>
    <w:rPr>
      <w:sz w:val="18"/>
    </w:rPr>
  </w:style>
  <w:style w:type="paragraph" w:customStyle="1" w:styleId="notepara">
    <w:name w:val="note(para)"/>
    <w:aliases w:val="na"/>
    <w:basedOn w:val="OPCParaBase"/>
    <w:rsid w:val="006F53B0"/>
    <w:pPr>
      <w:spacing w:before="40" w:line="198" w:lineRule="exact"/>
      <w:ind w:left="2354" w:hanging="369"/>
    </w:pPr>
    <w:rPr>
      <w:sz w:val="18"/>
    </w:rPr>
  </w:style>
  <w:style w:type="paragraph" w:customStyle="1" w:styleId="noteParlAmend">
    <w:name w:val="note(ParlAmend)"/>
    <w:aliases w:val="npp"/>
    <w:basedOn w:val="OPCParaBase"/>
    <w:next w:val="ParlAmend"/>
    <w:rsid w:val="006F53B0"/>
    <w:pPr>
      <w:spacing w:line="240" w:lineRule="auto"/>
      <w:jc w:val="right"/>
    </w:pPr>
    <w:rPr>
      <w:rFonts w:ascii="Arial" w:hAnsi="Arial"/>
      <w:b/>
      <w:i/>
    </w:rPr>
  </w:style>
  <w:style w:type="paragraph" w:customStyle="1" w:styleId="notetext">
    <w:name w:val="note(text)"/>
    <w:aliases w:val="n"/>
    <w:basedOn w:val="OPCParaBase"/>
    <w:link w:val="notetextChar"/>
    <w:rsid w:val="006F53B0"/>
    <w:pPr>
      <w:spacing w:before="122" w:line="198" w:lineRule="exact"/>
      <w:ind w:left="1985" w:hanging="851"/>
    </w:pPr>
    <w:rPr>
      <w:sz w:val="18"/>
    </w:rPr>
  </w:style>
  <w:style w:type="paragraph" w:customStyle="1" w:styleId="Page1">
    <w:name w:val="Page1"/>
    <w:basedOn w:val="OPCParaBase"/>
    <w:rsid w:val="006F53B0"/>
    <w:pPr>
      <w:spacing w:before="5600" w:line="240" w:lineRule="auto"/>
    </w:pPr>
    <w:rPr>
      <w:b/>
      <w:sz w:val="32"/>
    </w:rPr>
  </w:style>
  <w:style w:type="paragraph" w:customStyle="1" w:styleId="paragraphsub">
    <w:name w:val="paragraph(sub)"/>
    <w:aliases w:val="aa"/>
    <w:basedOn w:val="OPCParaBase"/>
    <w:rsid w:val="006F53B0"/>
    <w:pPr>
      <w:tabs>
        <w:tab w:val="right" w:pos="1985"/>
      </w:tabs>
      <w:spacing w:before="40" w:line="240" w:lineRule="auto"/>
      <w:ind w:left="2098" w:hanging="2098"/>
    </w:pPr>
  </w:style>
  <w:style w:type="paragraph" w:customStyle="1" w:styleId="paragraphsub-sub">
    <w:name w:val="paragraph(sub-sub)"/>
    <w:aliases w:val="aaa"/>
    <w:basedOn w:val="OPCParaBase"/>
    <w:rsid w:val="006F53B0"/>
    <w:pPr>
      <w:tabs>
        <w:tab w:val="right" w:pos="2722"/>
      </w:tabs>
      <w:spacing w:before="40" w:line="240" w:lineRule="auto"/>
      <w:ind w:left="2835" w:hanging="2835"/>
    </w:pPr>
  </w:style>
  <w:style w:type="paragraph" w:customStyle="1" w:styleId="paragraph">
    <w:name w:val="paragraph"/>
    <w:aliases w:val="a"/>
    <w:basedOn w:val="OPCParaBase"/>
    <w:rsid w:val="006F53B0"/>
    <w:pPr>
      <w:tabs>
        <w:tab w:val="right" w:pos="1531"/>
      </w:tabs>
      <w:spacing w:before="40" w:line="240" w:lineRule="auto"/>
      <w:ind w:left="1644" w:hanging="1644"/>
    </w:pPr>
  </w:style>
  <w:style w:type="paragraph" w:customStyle="1" w:styleId="ParlAmend">
    <w:name w:val="ParlAmend"/>
    <w:aliases w:val="pp"/>
    <w:basedOn w:val="OPCParaBase"/>
    <w:rsid w:val="006F53B0"/>
    <w:pPr>
      <w:spacing w:before="240" w:line="240" w:lineRule="atLeast"/>
      <w:ind w:hanging="567"/>
    </w:pPr>
    <w:rPr>
      <w:sz w:val="24"/>
    </w:rPr>
  </w:style>
  <w:style w:type="paragraph" w:customStyle="1" w:styleId="Portfolio">
    <w:name w:val="Portfolio"/>
    <w:basedOn w:val="OPCParaBase"/>
    <w:rsid w:val="006F53B0"/>
    <w:pPr>
      <w:spacing w:line="240" w:lineRule="auto"/>
    </w:pPr>
    <w:rPr>
      <w:i/>
      <w:sz w:val="20"/>
    </w:rPr>
  </w:style>
  <w:style w:type="paragraph" w:customStyle="1" w:styleId="Preamble">
    <w:name w:val="Preamble"/>
    <w:basedOn w:val="OPCParaBase"/>
    <w:next w:val="Normal"/>
    <w:rsid w:val="006F53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53B0"/>
    <w:pPr>
      <w:spacing w:line="240" w:lineRule="auto"/>
    </w:pPr>
    <w:rPr>
      <w:i/>
      <w:sz w:val="20"/>
    </w:rPr>
  </w:style>
  <w:style w:type="paragraph" w:customStyle="1" w:styleId="Session">
    <w:name w:val="Session"/>
    <w:basedOn w:val="OPCParaBase"/>
    <w:rsid w:val="006F53B0"/>
    <w:pPr>
      <w:spacing w:line="240" w:lineRule="auto"/>
    </w:pPr>
    <w:rPr>
      <w:sz w:val="28"/>
    </w:rPr>
  </w:style>
  <w:style w:type="paragraph" w:customStyle="1" w:styleId="Sponsor">
    <w:name w:val="Sponsor"/>
    <w:basedOn w:val="OPCParaBase"/>
    <w:rsid w:val="006F53B0"/>
    <w:pPr>
      <w:spacing w:line="240" w:lineRule="auto"/>
    </w:pPr>
    <w:rPr>
      <w:i/>
    </w:rPr>
  </w:style>
  <w:style w:type="paragraph" w:customStyle="1" w:styleId="Subitem">
    <w:name w:val="Subitem"/>
    <w:aliases w:val="iss"/>
    <w:basedOn w:val="OPCParaBase"/>
    <w:rsid w:val="006F53B0"/>
    <w:pPr>
      <w:spacing w:before="180" w:line="240" w:lineRule="auto"/>
      <w:ind w:left="709" w:hanging="709"/>
    </w:pPr>
  </w:style>
  <w:style w:type="paragraph" w:customStyle="1" w:styleId="SubitemHead">
    <w:name w:val="SubitemHead"/>
    <w:aliases w:val="issh"/>
    <w:basedOn w:val="OPCParaBase"/>
    <w:rsid w:val="006F5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53B0"/>
    <w:pPr>
      <w:spacing w:before="40" w:line="240" w:lineRule="auto"/>
      <w:ind w:left="1134"/>
    </w:pPr>
  </w:style>
  <w:style w:type="paragraph" w:customStyle="1" w:styleId="SubsectionHead">
    <w:name w:val="SubsectionHead"/>
    <w:aliases w:val="ssh"/>
    <w:basedOn w:val="OPCParaBase"/>
    <w:next w:val="subsection"/>
    <w:rsid w:val="006F53B0"/>
    <w:pPr>
      <w:keepNext/>
      <w:keepLines/>
      <w:spacing w:before="240" w:line="240" w:lineRule="auto"/>
      <w:ind w:left="1134"/>
    </w:pPr>
    <w:rPr>
      <w:i/>
    </w:rPr>
  </w:style>
  <w:style w:type="paragraph" w:customStyle="1" w:styleId="Tablea">
    <w:name w:val="Table(a)"/>
    <w:aliases w:val="ta"/>
    <w:basedOn w:val="OPCParaBase"/>
    <w:rsid w:val="006F53B0"/>
    <w:pPr>
      <w:spacing w:before="60" w:line="240" w:lineRule="auto"/>
      <w:ind w:left="284" w:hanging="284"/>
    </w:pPr>
    <w:rPr>
      <w:sz w:val="20"/>
    </w:rPr>
  </w:style>
  <w:style w:type="paragraph" w:customStyle="1" w:styleId="TableAA">
    <w:name w:val="Table(AA)"/>
    <w:aliases w:val="taaa"/>
    <w:basedOn w:val="OPCParaBase"/>
    <w:rsid w:val="006F53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53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53B0"/>
    <w:pPr>
      <w:spacing w:before="60" w:line="240" w:lineRule="atLeast"/>
    </w:pPr>
    <w:rPr>
      <w:sz w:val="20"/>
    </w:rPr>
  </w:style>
  <w:style w:type="paragraph" w:customStyle="1" w:styleId="TLPBoxTextnote">
    <w:name w:val="TLPBoxText(note"/>
    <w:aliases w:val="right)"/>
    <w:basedOn w:val="OPCParaBase"/>
    <w:rsid w:val="006F5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53B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53B0"/>
    <w:pPr>
      <w:spacing w:before="122" w:line="198" w:lineRule="exact"/>
      <w:ind w:left="1985" w:hanging="851"/>
      <w:jc w:val="right"/>
    </w:pPr>
    <w:rPr>
      <w:sz w:val="18"/>
    </w:rPr>
  </w:style>
  <w:style w:type="paragraph" w:customStyle="1" w:styleId="TLPTableBullet">
    <w:name w:val="TLPTableBullet"/>
    <w:aliases w:val="ttb"/>
    <w:basedOn w:val="OPCParaBase"/>
    <w:rsid w:val="006F53B0"/>
    <w:pPr>
      <w:spacing w:line="240" w:lineRule="exact"/>
      <w:ind w:left="284" w:hanging="284"/>
    </w:pPr>
    <w:rPr>
      <w:sz w:val="20"/>
    </w:rPr>
  </w:style>
  <w:style w:type="paragraph" w:customStyle="1" w:styleId="TofSectsGroupHeading">
    <w:name w:val="TofSects(GroupHeading)"/>
    <w:basedOn w:val="OPCParaBase"/>
    <w:next w:val="TofSectsSection"/>
    <w:rsid w:val="006F53B0"/>
    <w:pPr>
      <w:keepLines/>
      <w:spacing w:before="240" w:after="120" w:line="240" w:lineRule="auto"/>
      <w:ind w:left="794"/>
    </w:pPr>
    <w:rPr>
      <w:b/>
      <w:kern w:val="28"/>
      <w:sz w:val="20"/>
    </w:rPr>
  </w:style>
  <w:style w:type="paragraph" w:customStyle="1" w:styleId="TofSectsHeading">
    <w:name w:val="TofSects(Heading)"/>
    <w:basedOn w:val="OPCParaBase"/>
    <w:rsid w:val="006F53B0"/>
    <w:pPr>
      <w:spacing w:before="240" w:after="120" w:line="240" w:lineRule="auto"/>
    </w:pPr>
    <w:rPr>
      <w:b/>
      <w:sz w:val="24"/>
    </w:rPr>
  </w:style>
  <w:style w:type="paragraph" w:customStyle="1" w:styleId="TofSectsSection">
    <w:name w:val="TofSects(Section)"/>
    <w:basedOn w:val="OPCParaBase"/>
    <w:rsid w:val="006F53B0"/>
    <w:pPr>
      <w:keepLines/>
      <w:spacing w:before="40" w:line="240" w:lineRule="auto"/>
      <w:ind w:left="1588" w:hanging="794"/>
    </w:pPr>
    <w:rPr>
      <w:kern w:val="28"/>
      <w:sz w:val="18"/>
    </w:rPr>
  </w:style>
  <w:style w:type="paragraph" w:customStyle="1" w:styleId="TofSectsSubdiv">
    <w:name w:val="TofSects(Subdiv)"/>
    <w:basedOn w:val="OPCParaBase"/>
    <w:rsid w:val="006F53B0"/>
    <w:pPr>
      <w:keepLines/>
      <w:spacing w:before="80" w:line="240" w:lineRule="auto"/>
      <w:ind w:left="1588" w:hanging="794"/>
    </w:pPr>
    <w:rPr>
      <w:kern w:val="28"/>
    </w:rPr>
  </w:style>
  <w:style w:type="paragraph" w:customStyle="1" w:styleId="WRStyle">
    <w:name w:val="WR Style"/>
    <w:aliases w:val="WR"/>
    <w:basedOn w:val="OPCParaBase"/>
    <w:rsid w:val="006F53B0"/>
    <w:pPr>
      <w:spacing w:before="240" w:line="240" w:lineRule="auto"/>
      <w:ind w:left="284" w:hanging="284"/>
    </w:pPr>
    <w:rPr>
      <w:b/>
      <w:i/>
      <w:kern w:val="28"/>
      <w:sz w:val="24"/>
    </w:rPr>
  </w:style>
  <w:style w:type="numbering" w:customStyle="1" w:styleId="OPCBodyList">
    <w:name w:val="OPCBodyList"/>
    <w:uiPriority w:val="99"/>
    <w:rsid w:val="00521C09"/>
    <w:pPr>
      <w:numPr>
        <w:numId w:val="18"/>
      </w:numPr>
    </w:pPr>
  </w:style>
  <w:style w:type="paragraph" w:customStyle="1" w:styleId="noteToPara">
    <w:name w:val="noteToPara"/>
    <w:aliases w:val="ntp"/>
    <w:basedOn w:val="OPCParaBase"/>
    <w:rsid w:val="006F53B0"/>
    <w:pPr>
      <w:spacing w:before="122" w:line="198" w:lineRule="exact"/>
      <w:ind w:left="2353" w:hanging="709"/>
    </w:pPr>
    <w:rPr>
      <w:sz w:val="18"/>
    </w:rPr>
  </w:style>
  <w:style w:type="character" w:customStyle="1" w:styleId="FooterChar">
    <w:name w:val="Footer Char"/>
    <w:basedOn w:val="DefaultParagraphFont"/>
    <w:link w:val="Footer"/>
    <w:rsid w:val="006F53B0"/>
    <w:rPr>
      <w:sz w:val="22"/>
      <w:szCs w:val="24"/>
    </w:rPr>
  </w:style>
  <w:style w:type="character" w:customStyle="1" w:styleId="BalloonTextChar">
    <w:name w:val="Balloon Text Char"/>
    <w:basedOn w:val="DefaultParagraphFont"/>
    <w:link w:val="BalloonText"/>
    <w:uiPriority w:val="99"/>
    <w:rsid w:val="006F53B0"/>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6F5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5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5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53B0"/>
    <w:pPr>
      <w:tabs>
        <w:tab w:val="right" w:pos="1412"/>
      </w:tabs>
      <w:spacing w:before="60" w:line="240" w:lineRule="auto"/>
      <w:ind w:left="1525" w:hanging="1525"/>
    </w:pPr>
    <w:rPr>
      <w:sz w:val="20"/>
    </w:rPr>
  </w:style>
  <w:style w:type="table" w:customStyle="1" w:styleId="CFlag">
    <w:name w:val="CFlag"/>
    <w:basedOn w:val="TableNormal"/>
    <w:uiPriority w:val="99"/>
    <w:rsid w:val="006F53B0"/>
    <w:tblPr/>
  </w:style>
  <w:style w:type="paragraph" w:customStyle="1" w:styleId="InstNo">
    <w:name w:val="InstNo"/>
    <w:basedOn w:val="OPCParaBase"/>
    <w:next w:val="Normal"/>
    <w:rsid w:val="006F53B0"/>
    <w:rPr>
      <w:b/>
      <w:sz w:val="28"/>
      <w:szCs w:val="32"/>
    </w:rPr>
  </w:style>
  <w:style w:type="paragraph" w:customStyle="1" w:styleId="TerritoryT">
    <w:name w:val="TerritoryT"/>
    <w:basedOn w:val="OPCParaBase"/>
    <w:next w:val="Normal"/>
    <w:rsid w:val="006F53B0"/>
    <w:rPr>
      <w:b/>
      <w:sz w:val="32"/>
    </w:rPr>
  </w:style>
  <w:style w:type="paragraph" w:customStyle="1" w:styleId="LegislationMadeUnder">
    <w:name w:val="LegislationMadeUnder"/>
    <w:basedOn w:val="OPCParaBase"/>
    <w:next w:val="Normal"/>
    <w:rsid w:val="006F53B0"/>
    <w:rPr>
      <w:i/>
      <w:sz w:val="32"/>
      <w:szCs w:val="32"/>
    </w:rPr>
  </w:style>
  <w:style w:type="paragraph" w:customStyle="1" w:styleId="SignCoverPageEnd">
    <w:name w:val="SignCoverPageEnd"/>
    <w:basedOn w:val="OPCParaBase"/>
    <w:next w:val="Normal"/>
    <w:rsid w:val="006F53B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F53B0"/>
    <w:pPr>
      <w:pBdr>
        <w:top w:val="single" w:sz="4" w:space="1" w:color="auto"/>
      </w:pBdr>
      <w:spacing w:before="360"/>
      <w:ind w:right="397"/>
      <w:jc w:val="both"/>
    </w:pPr>
  </w:style>
  <w:style w:type="paragraph" w:customStyle="1" w:styleId="NotesHeading2">
    <w:name w:val="NotesHeading 2"/>
    <w:basedOn w:val="OPCParaBase"/>
    <w:next w:val="Normal"/>
    <w:rsid w:val="006F53B0"/>
    <w:rPr>
      <w:b/>
      <w:sz w:val="28"/>
      <w:szCs w:val="28"/>
    </w:rPr>
  </w:style>
  <w:style w:type="paragraph" w:customStyle="1" w:styleId="NotesHeading1">
    <w:name w:val="NotesHeading 1"/>
    <w:basedOn w:val="OPCParaBase"/>
    <w:next w:val="Normal"/>
    <w:rsid w:val="006F53B0"/>
    <w:rPr>
      <w:b/>
      <w:sz w:val="28"/>
      <w:szCs w:val="28"/>
    </w:rPr>
  </w:style>
  <w:style w:type="paragraph" w:customStyle="1" w:styleId="CompiledActNo">
    <w:name w:val="CompiledActNo"/>
    <w:basedOn w:val="OPCParaBase"/>
    <w:next w:val="Normal"/>
    <w:rsid w:val="006F53B0"/>
    <w:rPr>
      <w:b/>
      <w:sz w:val="24"/>
      <w:szCs w:val="24"/>
    </w:rPr>
  </w:style>
  <w:style w:type="paragraph" w:customStyle="1" w:styleId="ENotesHeading1">
    <w:name w:val="ENotesHeading 1"/>
    <w:aliases w:val="Enh1"/>
    <w:basedOn w:val="OPCParaBase"/>
    <w:next w:val="Normal"/>
    <w:rsid w:val="006F53B0"/>
    <w:pPr>
      <w:spacing w:before="120"/>
      <w:outlineLvl w:val="1"/>
    </w:pPr>
    <w:rPr>
      <w:b/>
      <w:sz w:val="28"/>
      <w:szCs w:val="28"/>
    </w:rPr>
  </w:style>
  <w:style w:type="paragraph" w:customStyle="1" w:styleId="ENotesHeading2">
    <w:name w:val="ENotesHeading 2"/>
    <w:aliases w:val="Enh2"/>
    <w:basedOn w:val="OPCParaBase"/>
    <w:next w:val="Normal"/>
    <w:rsid w:val="006F53B0"/>
    <w:pPr>
      <w:spacing w:before="120" w:after="120"/>
      <w:outlineLvl w:val="2"/>
    </w:pPr>
    <w:rPr>
      <w:b/>
      <w:sz w:val="24"/>
      <w:szCs w:val="28"/>
    </w:rPr>
  </w:style>
  <w:style w:type="paragraph" w:customStyle="1" w:styleId="ENotesHeading3">
    <w:name w:val="ENotesHeading 3"/>
    <w:aliases w:val="Enh3"/>
    <w:basedOn w:val="OPCParaBase"/>
    <w:next w:val="Normal"/>
    <w:rsid w:val="006F53B0"/>
    <w:pPr>
      <w:keepNext/>
      <w:spacing w:before="120" w:line="240" w:lineRule="auto"/>
      <w:outlineLvl w:val="4"/>
    </w:pPr>
    <w:rPr>
      <w:b/>
      <w:szCs w:val="24"/>
    </w:rPr>
  </w:style>
  <w:style w:type="paragraph" w:customStyle="1" w:styleId="ENotesText">
    <w:name w:val="ENotesText"/>
    <w:aliases w:val="Ent"/>
    <w:basedOn w:val="OPCParaBase"/>
    <w:next w:val="Normal"/>
    <w:rsid w:val="006F53B0"/>
    <w:pPr>
      <w:spacing w:before="120"/>
    </w:pPr>
  </w:style>
  <w:style w:type="paragraph" w:customStyle="1" w:styleId="CompiledMadeUnder">
    <w:name w:val="CompiledMadeUnder"/>
    <w:basedOn w:val="OPCParaBase"/>
    <w:next w:val="Normal"/>
    <w:rsid w:val="006F53B0"/>
    <w:rPr>
      <w:i/>
      <w:sz w:val="24"/>
      <w:szCs w:val="24"/>
    </w:rPr>
  </w:style>
  <w:style w:type="paragraph" w:customStyle="1" w:styleId="Paragraphsub-sub-sub">
    <w:name w:val="Paragraph(sub-sub-sub)"/>
    <w:aliases w:val="aaaa"/>
    <w:basedOn w:val="OPCParaBase"/>
    <w:rsid w:val="006F53B0"/>
    <w:pPr>
      <w:tabs>
        <w:tab w:val="right" w:pos="3402"/>
      </w:tabs>
      <w:spacing w:before="40" w:line="240" w:lineRule="auto"/>
      <w:ind w:left="3402" w:hanging="3402"/>
    </w:pPr>
  </w:style>
  <w:style w:type="paragraph" w:customStyle="1" w:styleId="TableTextEndNotes">
    <w:name w:val="TableTextEndNotes"/>
    <w:aliases w:val="Tten"/>
    <w:basedOn w:val="Normal"/>
    <w:rsid w:val="006F53B0"/>
    <w:pPr>
      <w:spacing w:before="60" w:line="240" w:lineRule="auto"/>
    </w:pPr>
    <w:rPr>
      <w:rFonts w:cs="Arial"/>
      <w:sz w:val="20"/>
      <w:szCs w:val="22"/>
    </w:rPr>
  </w:style>
  <w:style w:type="paragraph" w:customStyle="1" w:styleId="SubPartCASA">
    <w:name w:val="SubPart(CASA)"/>
    <w:aliases w:val="csp"/>
    <w:basedOn w:val="OPCParaBase"/>
    <w:next w:val="ActHead3"/>
    <w:rsid w:val="006F53B0"/>
    <w:pPr>
      <w:keepNext/>
      <w:keepLines/>
      <w:spacing w:before="280"/>
      <w:outlineLvl w:val="1"/>
    </w:pPr>
    <w:rPr>
      <w:b/>
      <w:kern w:val="28"/>
      <w:sz w:val="32"/>
    </w:rPr>
  </w:style>
  <w:style w:type="paragraph" w:customStyle="1" w:styleId="TableHeading">
    <w:name w:val="TableHeading"/>
    <w:aliases w:val="th"/>
    <w:basedOn w:val="OPCParaBase"/>
    <w:next w:val="Tabletext"/>
    <w:rsid w:val="006F53B0"/>
    <w:pPr>
      <w:keepNext/>
      <w:spacing w:before="60" w:line="240" w:lineRule="atLeast"/>
    </w:pPr>
    <w:rPr>
      <w:b/>
      <w:sz w:val="20"/>
    </w:rPr>
  </w:style>
  <w:style w:type="paragraph" w:customStyle="1" w:styleId="NoteToSubpara">
    <w:name w:val="NoteToSubpara"/>
    <w:aliases w:val="nts"/>
    <w:basedOn w:val="OPCParaBase"/>
    <w:rsid w:val="006F53B0"/>
    <w:pPr>
      <w:spacing w:before="40" w:line="198" w:lineRule="exact"/>
      <w:ind w:left="2835" w:hanging="709"/>
    </w:pPr>
    <w:rPr>
      <w:sz w:val="18"/>
    </w:rPr>
  </w:style>
  <w:style w:type="paragraph" w:customStyle="1" w:styleId="ENoteTableHeading">
    <w:name w:val="ENoteTableHeading"/>
    <w:aliases w:val="enth"/>
    <w:basedOn w:val="OPCParaBase"/>
    <w:rsid w:val="006F53B0"/>
    <w:pPr>
      <w:keepNext/>
      <w:spacing w:before="60" w:line="240" w:lineRule="atLeast"/>
    </w:pPr>
    <w:rPr>
      <w:rFonts w:ascii="Arial" w:hAnsi="Arial"/>
      <w:b/>
      <w:sz w:val="16"/>
    </w:rPr>
  </w:style>
  <w:style w:type="paragraph" w:customStyle="1" w:styleId="ENoteTTi">
    <w:name w:val="ENoteTTi"/>
    <w:aliases w:val="entti"/>
    <w:basedOn w:val="OPCParaBase"/>
    <w:rsid w:val="006F53B0"/>
    <w:pPr>
      <w:keepNext/>
      <w:spacing w:before="60" w:line="240" w:lineRule="atLeast"/>
      <w:ind w:left="170"/>
    </w:pPr>
    <w:rPr>
      <w:sz w:val="16"/>
    </w:rPr>
  </w:style>
  <w:style w:type="paragraph" w:customStyle="1" w:styleId="ENoteTTIndentHeading">
    <w:name w:val="ENoteTTIndentHeading"/>
    <w:aliases w:val="enTTHi"/>
    <w:basedOn w:val="OPCParaBase"/>
    <w:rsid w:val="006F5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53B0"/>
    <w:pPr>
      <w:spacing w:before="60" w:line="240" w:lineRule="atLeast"/>
    </w:pPr>
    <w:rPr>
      <w:sz w:val="16"/>
    </w:rPr>
  </w:style>
  <w:style w:type="paragraph" w:customStyle="1" w:styleId="MadeunderText">
    <w:name w:val="MadeunderText"/>
    <w:basedOn w:val="OPCParaBase"/>
    <w:next w:val="CompiledMadeUnder"/>
    <w:rsid w:val="006F53B0"/>
    <w:pPr>
      <w:spacing w:before="240"/>
    </w:pPr>
    <w:rPr>
      <w:sz w:val="24"/>
      <w:szCs w:val="24"/>
    </w:rPr>
  </w:style>
  <w:style w:type="character" w:customStyle="1" w:styleId="CharSubPartTextCASA">
    <w:name w:val="CharSubPartText(CASA)"/>
    <w:basedOn w:val="OPCCharBase"/>
    <w:uiPriority w:val="1"/>
    <w:rsid w:val="006F53B0"/>
  </w:style>
  <w:style w:type="character" w:customStyle="1" w:styleId="CharSubPartNoCASA">
    <w:name w:val="CharSubPartNo(CASA)"/>
    <w:basedOn w:val="OPCCharBase"/>
    <w:uiPriority w:val="1"/>
    <w:rsid w:val="006F53B0"/>
  </w:style>
  <w:style w:type="paragraph" w:customStyle="1" w:styleId="ENoteTTIndentHeadingSub">
    <w:name w:val="ENoteTTIndentHeadingSub"/>
    <w:aliases w:val="enTTHis"/>
    <w:basedOn w:val="OPCParaBase"/>
    <w:rsid w:val="006F53B0"/>
    <w:pPr>
      <w:keepNext/>
      <w:spacing w:before="60" w:line="240" w:lineRule="atLeast"/>
      <w:ind w:left="340"/>
    </w:pPr>
    <w:rPr>
      <w:b/>
      <w:sz w:val="16"/>
    </w:rPr>
  </w:style>
  <w:style w:type="paragraph" w:customStyle="1" w:styleId="ENoteTTiSub">
    <w:name w:val="ENoteTTiSub"/>
    <w:aliases w:val="enttis"/>
    <w:basedOn w:val="OPCParaBase"/>
    <w:rsid w:val="006F53B0"/>
    <w:pPr>
      <w:keepNext/>
      <w:spacing w:before="60" w:line="240" w:lineRule="atLeast"/>
      <w:ind w:left="340"/>
    </w:pPr>
    <w:rPr>
      <w:sz w:val="16"/>
    </w:rPr>
  </w:style>
  <w:style w:type="paragraph" w:customStyle="1" w:styleId="SubDivisionMigration">
    <w:name w:val="SubDivisionMigration"/>
    <w:aliases w:val="sdm"/>
    <w:basedOn w:val="OPCParaBase"/>
    <w:rsid w:val="006F5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53B0"/>
    <w:pPr>
      <w:keepNext/>
      <w:keepLines/>
      <w:spacing w:before="240" w:line="240" w:lineRule="auto"/>
      <w:ind w:left="1134" w:hanging="1134"/>
    </w:pPr>
    <w:rPr>
      <w:b/>
      <w:sz w:val="28"/>
    </w:rPr>
  </w:style>
  <w:style w:type="paragraph" w:styleId="TOCHeading">
    <w:name w:val="TOC Heading"/>
    <w:basedOn w:val="Heading1"/>
    <w:next w:val="Normal"/>
    <w:uiPriority w:val="39"/>
    <w:unhideWhenUsed/>
    <w:qFormat/>
    <w:rsid w:val="004976A6"/>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definition0">
    <w:name w:val="definition"/>
    <w:basedOn w:val="Normal"/>
    <w:rsid w:val="006B5622"/>
    <w:pPr>
      <w:spacing w:before="100" w:beforeAutospacing="1" w:after="100" w:afterAutospacing="1" w:line="240" w:lineRule="auto"/>
    </w:pPr>
    <w:rPr>
      <w:rFonts w:eastAsia="Times New Roman" w:cs="Times New Roman"/>
      <w:sz w:val="24"/>
      <w:szCs w:val="24"/>
      <w:lang w:eastAsia="en-AU"/>
    </w:rPr>
  </w:style>
  <w:style w:type="character" w:customStyle="1" w:styleId="apple-converted-space">
    <w:name w:val="apple-converted-space"/>
    <w:basedOn w:val="DefaultParagraphFont"/>
    <w:rsid w:val="006B5622"/>
  </w:style>
  <w:style w:type="paragraph" w:customStyle="1" w:styleId="paragrapha">
    <w:name w:val="paragraph(a)"/>
    <w:basedOn w:val="subsection"/>
    <w:rsid w:val="00A464BC"/>
  </w:style>
  <w:style w:type="paragraph" w:customStyle="1" w:styleId="subs2">
    <w:name w:val="subs2"/>
    <w:basedOn w:val="paragraph"/>
    <w:rsid w:val="00FD4856"/>
  </w:style>
  <w:style w:type="paragraph" w:customStyle="1" w:styleId="Sub2">
    <w:name w:val="Sub2"/>
    <w:basedOn w:val="subs2"/>
    <w:rsid w:val="00FD4856"/>
  </w:style>
  <w:style w:type="paragraph" w:styleId="Revision">
    <w:name w:val="Revision"/>
    <w:hidden/>
    <w:uiPriority w:val="99"/>
    <w:semiHidden/>
    <w:rsid w:val="00D56998"/>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ED014F"/>
    <w:rPr>
      <w:sz w:val="22"/>
    </w:rPr>
  </w:style>
  <w:style w:type="character" w:customStyle="1" w:styleId="notetextChar">
    <w:name w:val="note(text) Char"/>
    <w:aliases w:val="n Char"/>
    <w:basedOn w:val="DefaultParagraphFont"/>
    <w:link w:val="notetext"/>
    <w:locked/>
    <w:rsid w:val="00ED014F"/>
    <w:rPr>
      <w:sz w:val="18"/>
    </w:rPr>
  </w:style>
  <w:style w:type="character" w:customStyle="1" w:styleId="UnresolvedMention">
    <w:name w:val="Unresolved Mention"/>
    <w:basedOn w:val="DefaultParagraphFont"/>
    <w:uiPriority w:val="99"/>
    <w:semiHidden/>
    <w:unhideWhenUsed/>
    <w:rsid w:val="006D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3705">
      <w:bodyDiv w:val="1"/>
      <w:marLeft w:val="0"/>
      <w:marRight w:val="0"/>
      <w:marTop w:val="0"/>
      <w:marBottom w:val="0"/>
      <w:divBdr>
        <w:top w:val="none" w:sz="0" w:space="0" w:color="auto"/>
        <w:left w:val="none" w:sz="0" w:space="0" w:color="auto"/>
        <w:bottom w:val="none" w:sz="0" w:space="0" w:color="auto"/>
        <w:right w:val="none" w:sz="0" w:space="0" w:color="auto"/>
      </w:divBdr>
    </w:div>
    <w:div w:id="485896046">
      <w:bodyDiv w:val="1"/>
      <w:marLeft w:val="0"/>
      <w:marRight w:val="0"/>
      <w:marTop w:val="0"/>
      <w:marBottom w:val="0"/>
      <w:divBdr>
        <w:top w:val="none" w:sz="0" w:space="0" w:color="auto"/>
        <w:left w:val="none" w:sz="0" w:space="0" w:color="auto"/>
        <w:bottom w:val="none" w:sz="0" w:space="0" w:color="auto"/>
        <w:right w:val="none" w:sz="0" w:space="0" w:color="auto"/>
      </w:divBdr>
    </w:div>
    <w:div w:id="577325408">
      <w:bodyDiv w:val="1"/>
      <w:marLeft w:val="0"/>
      <w:marRight w:val="0"/>
      <w:marTop w:val="0"/>
      <w:marBottom w:val="0"/>
      <w:divBdr>
        <w:top w:val="none" w:sz="0" w:space="0" w:color="auto"/>
        <w:left w:val="none" w:sz="0" w:space="0" w:color="auto"/>
        <w:bottom w:val="none" w:sz="0" w:space="0" w:color="auto"/>
        <w:right w:val="none" w:sz="0" w:space="0" w:color="auto"/>
      </w:divBdr>
    </w:div>
    <w:div w:id="658115593">
      <w:bodyDiv w:val="1"/>
      <w:marLeft w:val="0"/>
      <w:marRight w:val="0"/>
      <w:marTop w:val="0"/>
      <w:marBottom w:val="0"/>
      <w:divBdr>
        <w:top w:val="none" w:sz="0" w:space="0" w:color="auto"/>
        <w:left w:val="none" w:sz="0" w:space="0" w:color="auto"/>
        <w:bottom w:val="none" w:sz="0" w:space="0" w:color="auto"/>
        <w:right w:val="none" w:sz="0" w:space="0" w:color="auto"/>
      </w:divBdr>
    </w:div>
    <w:div w:id="688066055">
      <w:bodyDiv w:val="1"/>
      <w:marLeft w:val="0"/>
      <w:marRight w:val="0"/>
      <w:marTop w:val="0"/>
      <w:marBottom w:val="0"/>
      <w:divBdr>
        <w:top w:val="none" w:sz="0" w:space="0" w:color="auto"/>
        <w:left w:val="none" w:sz="0" w:space="0" w:color="auto"/>
        <w:bottom w:val="none" w:sz="0" w:space="0" w:color="auto"/>
        <w:right w:val="none" w:sz="0" w:space="0" w:color="auto"/>
      </w:divBdr>
    </w:div>
    <w:div w:id="995230123">
      <w:bodyDiv w:val="1"/>
      <w:marLeft w:val="0"/>
      <w:marRight w:val="0"/>
      <w:marTop w:val="0"/>
      <w:marBottom w:val="0"/>
      <w:divBdr>
        <w:top w:val="none" w:sz="0" w:space="0" w:color="auto"/>
        <w:left w:val="none" w:sz="0" w:space="0" w:color="auto"/>
        <w:bottom w:val="none" w:sz="0" w:space="0" w:color="auto"/>
        <w:right w:val="none" w:sz="0" w:space="0" w:color="auto"/>
      </w:divBdr>
    </w:div>
    <w:div w:id="1091315208">
      <w:bodyDiv w:val="1"/>
      <w:marLeft w:val="0"/>
      <w:marRight w:val="0"/>
      <w:marTop w:val="0"/>
      <w:marBottom w:val="0"/>
      <w:divBdr>
        <w:top w:val="none" w:sz="0" w:space="0" w:color="auto"/>
        <w:left w:val="none" w:sz="0" w:space="0" w:color="auto"/>
        <w:bottom w:val="none" w:sz="0" w:space="0" w:color="auto"/>
        <w:right w:val="none" w:sz="0" w:space="0" w:color="auto"/>
      </w:divBdr>
    </w:div>
    <w:div w:id="1488589935">
      <w:bodyDiv w:val="1"/>
      <w:marLeft w:val="0"/>
      <w:marRight w:val="0"/>
      <w:marTop w:val="0"/>
      <w:marBottom w:val="0"/>
      <w:divBdr>
        <w:top w:val="none" w:sz="0" w:space="0" w:color="auto"/>
        <w:left w:val="none" w:sz="0" w:space="0" w:color="auto"/>
        <w:bottom w:val="none" w:sz="0" w:space="0" w:color="auto"/>
        <w:right w:val="none" w:sz="0" w:space="0" w:color="auto"/>
      </w:divBdr>
    </w:div>
    <w:div w:id="1603758277">
      <w:bodyDiv w:val="1"/>
      <w:marLeft w:val="0"/>
      <w:marRight w:val="0"/>
      <w:marTop w:val="0"/>
      <w:marBottom w:val="0"/>
      <w:divBdr>
        <w:top w:val="none" w:sz="0" w:space="0" w:color="auto"/>
        <w:left w:val="none" w:sz="0" w:space="0" w:color="auto"/>
        <w:bottom w:val="none" w:sz="0" w:space="0" w:color="auto"/>
        <w:right w:val="none" w:sz="0" w:space="0" w:color="auto"/>
      </w:divBdr>
    </w:div>
    <w:div w:id="1652245246">
      <w:bodyDiv w:val="1"/>
      <w:marLeft w:val="0"/>
      <w:marRight w:val="0"/>
      <w:marTop w:val="0"/>
      <w:marBottom w:val="0"/>
      <w:divBdr>
        <w:top w:val="none" w:sz="0" w:space="0" w:color="auto"/>
        <w:left w:val="none" w:sz="0" w:space="0" w:color="auto"/>
        <w:bottom w:val="none" w:sz="0" w:space="0" w:color="auto"/>
        <w:right w:val="none" w:sz="0" w:space="0" w:color="auto"/>
      </w:divBdr>
    </w:div>
    <w:div w:id="1757284323">
      <w:bodyDiv w:val="1"/>
      <w:marLeft w:val="0"/>
      <w:marRight w:val="0"/>
      <w:marTop w:val="0"/>
      <w:marBottom w:val="0"/>
      <w:divBdr>
        <w:top w:val="none" w:sz="0" w:space="0" w:color="auto"/>
        <w:left w:val="none" w:sz="0" w:space="0" w:color="auto"/>
        <w:bottom w:val="none" w:sz="0" w:space="0" w:color="auto"/>
        <w:right w:val="none" w:sz="0" w:space="0" w:color="auto"/>
      </w:divBdr>
    </w:div>
    <w:div w:id="1833174573">
      <w:bodyDiv w:val="1"/>
      <w:marLeft w:val="0"/>
      <w:marRight w:val="0"/>
      <w:marTop w:val="0"/>
      <w:marBottom w:val="0"/>
      <w:divBdr>
        <w:top w:val="none" w:sz="0" w:space="0" w:color="auto"/>
        <w:left w:val="none" w:sz="0" w:space="0" w:color="auto"/>
        <w:bottom w:val="none" w:sz="0" w:space="0" w:color="auto"/>
        <w:right w:val="none" w:sz="0" w:space="0" w:color="auto"/>
      </w:divBdr>
    </w:div>
    <w:div w:id="20738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ED3E705784054886CB1769AE810288" ma:contentTypeVersion="0" ma:contentTypeDescription="Create a new document." ma:contentTypeScope="" ma:versionID="3abd17cfc0c4a56e40f521d82b5d68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061B-E1C6-430A-BA9E-4536087B0FDD}">
  <ds:schemaRefs>
    <ds:schemaRef ds:uri="http://schemas.microsoft.com/sharepoint/v3/contenttype/forms"/>
  </ds:schemaRefs>
</ds:datastoreItem>
</file>

<file path=customXml/itemProps2.xml><?xml version="1.0" encoding="utf-8"?>
<ds:datastoreItem xmlns:ds="http://schemas.openxmlformats.org/officeDocument/2006/customXml" ds:itemID="{A0670941-76BD-489A-BE9C-BF113323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26B32B-9C04-4EE3-9C42-9C7D47CCCF6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5587EEC-4573-4700-A5C2-19A60E00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1</TotalTime>
  <Pages>7</Pages>
  <Words>1484</Words>
  <Characters>7357</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8824</CharactersWithSpaces>
  <SharedDoc>false</SharedDoc>
  <HyperlinkBase/>
  <HLinks>
    <vt:vector size="6" baseType="variant">
      <vt:variant>
        <vt:i4>6160468</vt:i4>
      </vt:variant>
      <vt:variant>
        <vt:i4>3</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Flannery, Angela</dc:creator>
  <cp:keywords/>
  <dc:description/>
  <cp:lastModifiedBy>O'DEA Michael</cp:lastModifiedBy>
  <cp:revision>3</cp:revision>
  <cp:lastPrinted>2020-10-20T23:37:00Z</cp:lastPrinted>
  <dcterms:created xsi:type="dcterms:W3CDTF">2020-10-09T00:51:00Z</dcterms:created>
  <dcterms:modified xsi:type="dcterms:W3CDTF">2020-10-20T23:37:00Z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0</vt:lpwstr>
  </property>
  <property fmtid="{D5CDD505-2E9C-101B-9397-08002B2CF9AE}" pid="3" name="IndexMatter">
    <vt:lpwstr> </vt:lpwstr>
  </property>
  <property fmtid="{D5CDD505-2E9C-101B-9397-08002B2CF9AE}" pid="4" name="Converted">
    <vt:bool>true</vt:bool>
  </property>
  <property fmtid="{D5CDD505-2E9C-101B-9397-08002B2CF9AE}" pid="5" name="Header">
    <vt:lpwstr>Section</vt:lpwstr>
  </property>
  <property fmtid="{D5CDD505-2E9C-101B-9397-08002B2CF9AE}" pid="6" name="ActNo">
    <vt:lpwstr> </vt:lpwstr>
  </property>
  <property fmtid="{D5CDD505-2E9C-101B-9397-08002B2CF9AE}" pid="7" name="ShortT">
    <vt:lpwstr> </vt:lpwstr>
  </property>
  <property fmtid="{D5CDD505-2E9C-101B-9397-08002B2CF9AE}" pid="8" name="Class">
    <vt:lpwstr> </vt:lpwstr>
  </property>
  <property fmtid="{D5CDD505-2E9C-101B-9397-08002B2CF9AE}" pid="9" name="DocType">
    <vt:lpwstr>NEW</vt:lpwstr>
  </property>
  <property fmtid="{D5CDD505-2E9C-101B-9397-08002B2CF9AE}" pid="10" name="Exco">
    <vt:lpwstr>No</vt:lpwstr>
  </property>
  <property fmtid="{D5CDD505-2E9C-101B-9397-08002B2CF9AE}" pid="11" name="Authority">
    <vt:lpwstr/>
  </property>
  <property fmtid="{D5CDD505-2E9C-101B-9397-08002B2CF9AE}" pid="12" name="DateMade">
    <vt:lpwstr> </vt:lpwstr>
  </property>
  <property fmtid="{D5CDD505-2E9C-101B-9397-08002B2CF9AE}" pid="13" name="CounterSign">
    <vt:lpwstr/>
  </property>
  <property fmtid="{D5CDD505-2E9C-101B-9397-08002B2CF9AE}" pid="14" name="ExcoDate">
    <vt:lpwstr> </vt:lpwstr>
  </property>
  <property fmtid="{D5CDD505-2E9C-101B-9397-08002B2CF9AE}" pid="15" name="ContentTypeId">
    <vt:lpwstr>0x0101002FED3E705784054886CB1769AE810288</vt:lpwstr>
  </property>
  <property fmtid="{D5CDD505-2E9C-101B-9397-08002B2CF9AE}" pid="16" name="TrimRevisionNumber">
    <vt:i4>1</vt:i4>
  </property>
  <property fmtid="{D5CDD505-2E9C-101B-9397-08002B2CF9AE}" pid="17" name="_dlc_DocIdItemGuid">
    <vt:lpwstr>e38b85e8-2813-407c-b6fe-cb1a28d66aa3</vt:lpwstr>
  </property>
</Properties>
</file>