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503B05D4" w14:textId="73399F85" w:rsidR="00701B13" w:rsidRDefault="00B60FC6" w:rsidP="004C58B9">
      <w:pPr>
        <w:jc w:val="center"/>
        <w:rPr>
          <w:rFonts w:ascii="Times New Roman" w:hAnsi="Times New Roman" w:cs="Times New Roman"/>
          <w:i/>
        </w:rPr>
      </w:pPr>
      <w:r>
        <w:rPr>
          <w:rFonts w:ascii="Times New Roman" w:hAnsi="Times New Roman" w:cs="Times New Roman"/>
          <w:i/>
        </w:rPr>
        <w:t>Australian Communications and Media Authority Act 2005</w:t>
      </w:r>
    </w:p>
    <w:p w14:paraId="5BD65A2C" w14:textId="3A6AACFD" w:rsidR="004C58B9" w:rsidRDefault="00E14B48" w:rsidP="004C58B9">
      <w:pPr>
        <w:jc w:val="center"/>
        <w:rPr>
          <w:rFonts w:ascii="Times New Roman" w:hAnsi="Times New Roman" w:cs="Times New Roman"/>
          <w:b/>
          <w:i/>
        </w:rPr>
      </w:pPr>
      <w:r w:rsidRPr="00E14B48">
        <w:rPr>
          <w:rFonts w:ascii="Times New Roman" w:hAnsi="Times New Roman" w:cs="Times New Roman"/>
          <w:b/>
          <w:i/>
        </w:rPr>
        <w:t>Radiocommunications (Interpretation) Amendment Determination 2020 (No. 1)</w:t>
      </w:r>
      <w:r w:rsidR="00403C6E">
        <w:rPr>
          <w:rFonts w:ascii="Times New Roman" w:hAnsi="Times New Roman" w:cs="Times New Roman"/>
          <w:b/>
          <w:i/>
        </w:rPr>
        <w:t xml:space="preserve"> </w:t>
      </w:r>
    </w:p>
    <w:p w14:paraId="494E2552" w14:textId="77777777" w:rsidR="004C58B9" w:rsidRDefault="004C58B9" w:rsidP="00736B50">
      <w:pPr>
        <w:spacing w:before="280" w:line="257" w:lineRule="auto"/>
        <w:rPr>
          <w:rFonts w:ascii="Times New Roman" w:hAnsi="Times New Roman" w:cs="Times New Roman"/>
          <w:b/>
        </w:rPr>
      </w:pPr>
      <w:r>
        <w:rPr>
          <w:rFonts w:ascii="Times New Roman" w:hAnsi="Times New Roman" w:cs="Times New Roman"/>
          <w:b/>
        </w:rPr>
        <w:t>Authority</w:t>
      </w:r>
    </w:p>
    <w:p w14:paraId="55FAA4BD" w14:textId="4E550677" w:rsidR="004C58B9" w:rsidRDefault="004C58B9" w:rsidP="00736B50">
      <w:pPr>
        <w:spacing w:line="257" w:lineRule="auto"/>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701B13" w:rsidRPr="00701B13">
        <w:rPr>
          <w:rFonts w:ascii="Times New Roman" w:hAnsi="Times New Roman" w:cs="Times New Roman"/>
          <w:i/>
        </w:rPr>
        <w:t>Radiocommunications (Interpretation) Amendment Determination 2020 (No. 1)</w:t>
      </w:r>
      <w:r w:rsidR="0076268D">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476305" w:rsidRPr="00C352C8">
        <w:rPr>
          <w:rFonts w:ascii="Times New Roman" w:hAnsi="Times New Roman" w:cs="Times New Roman"/>
        </w:rPr>
        <w:t xml:space="preserve">subsection 64(1) of the </w:t>
      </w:r>
      <w:r w:rsidR="00476305" w:rsidRPr="000F22E0">
        <w:rPr>
          <w:rFonts w:ascii="Times New Roman" w:hAnsi="Times New Roman" w:cs="Times New Roman"/>
          <w:i/>
        </w:rPr>
        <w:t>Australian Communications and Media Authority Act 2005</w:t>
      </w:r>
      <w:r w:rsidR="00476305">
        <w:rPr>
          <w:rFonts w:ascii="Times New Roman" w:hAnsi="Times New Roman" w:cs="Times New Roman"/>
          <w:i/>
        </w:rPr>
        <w:t xml:space="preserve"> </w:t>
      </w:r>
      <w:r w:rsidR="00476305" w:rsidRPr="00D5557A">
        <w:rPr>
          <w:rFonts w:ascii="Times New Roman" w:hAnsi="Times New Roman" w:cs="Times New Roman"/>
        </w:rPr>
        <w:t>(</w:t>
      </w:r>
      <w:r w:rsidR="00476305" w:rsidRPr="00D5557A">
        <w:rPr>
          <w:rFonts w:ascii="Times New Roman" w:hAnsi="Times New Roman" w:cs="Times New Roman"/>
          <w:b/>
        </w:rPr>
        <w:t>the ACMA Act</w:t>
      </w:r>
      <w:r w:rsidR="00476305" w:rsidRPr="00D5557A">
        <w:rPr>
          <w:rFonts w:ascii="Times New Roman" w:hAnsi="Times New Roman" w:cs="Times New Roman"/>
        </w:rPr>
        <w:t>)</w:t>
      </w:r>
      <w:r w:rsidR="00476305">
        <w:rPr>
          <w:rFonts w:ascii="Times New Roman" w:hAnsi="Times New Roman" w:cs="Times New Roman"/>
        </w:rPr>
        <w:t xml:space="preserve"> and in accordance with </w:t>
      </w:r>
      <w:r w:rsidR="00476305" w:rsidRPr="00BE3D7C">
        <w:rPr>
          <w:rFonts w:ascii="Times New Roman" w:hAnsi="Times New Roman" w:cs="Times New Roman"/>
        </w:rPr>
        <w:t xml:space="preserve">subsection 33(3) of the </w:t>
      </w:r>
      <w:r w:rsidR="00476305" w:rsidRPr="00FE699B">
        <w:rPr>
          <w:rFonts w:ascii="Times New Roman" w:hAnsi="Times New Roman" w:cs="Times New Roman"/>
          <w:i/>
          <w:iCs/>
        </w:rPr>
        <w:t>Acts Interpretation Act 1901</w:t>
      </w:r>
      <w:r w:rsidR="00476305" w:rsidRPr="00BE3D7C">
        <w:rPr>
          <w:rFonts w:ascii="Times New Roman" w:hAnsi="Times New Roman" w:cs="Times New Roman"/>
        </w:rPr>
        <w:t xml:space="preserve"> (</w:t>
      </w:r>
      <w:r w:rsidR="00476305" w:rsidRPr="00FE699B">
        <w:rPr>
          <w:rFonts w:ascii="Times New Roman" w:hAnsi="Times New Roman" w:cs="Times New Roman"/>
          <w:b/>
          <w:bCs/>
        </w:rPr>
        <w:t>the AIA</w:t>
      </w:r>
      <w:r w:rsidR="00476305" w:rsidRPr="00BE3D7C">
        <w:rPr>
          <w:rFonts w:ascii="Times New Roman" w:hAnsi="Times New Roman" w:cs="Times New Roman"/>
        </w:rPr>
        <w:t>).</w:t>
      </w:r>
    </w:p>
    <w:p w14:paraId="36E77D32" w14:textId="77777777" w:rsidR="006D3BBF" w:rsidRDefault="006D3BBF" w:rsidP="006D3BBF">
      <w:pPr>
        <w:shd w:val="clear" w:color="auto" w:fill="FFFFFF"/>
        <w:spacing w:line="257" w:lineRule="auto"/>
        <w:rPr>
          <w:rFonts w:ascii="Times New Roman" w:eastAsia="Times New Roman" w:hAnsi="Times New Roman" w:cs="Times New Roman"/>
          <w:lang w:eastAsia="en-AU"/>
        </w:rPr>
      </w:pPr>
      <w:r w:rsidRPr="00E20B28">
        <w:rPr>
          <w:rFonts w:ascii="Times New Roman" w:eastAsia="Times New Roman" w:hAnsi="Times New Roman" w:cs="Times New Roman"/>
          <w:color w:val="000000"/>
          <w:lang w:eastAsia="en-AU"/>
        </w:rPr>
        <w:t>Subsection 64(1) of the ACMA Act provides that the ACMA may make a written determination defining one or more expressions used in specified instruments, being instruments that are made by the ACMA under one or more specified laws of the Commonwealth.</w:t>
      </w:r>
    </w:p>
    <w:p w14:paraId="69BAC7E5" w14:textId="77777777" w:rsidR="006D3BBF" w:rsidRPr="00E20B28" w:rsidRDefault="006D3BBF" w:rsidP="006D3BBF">
      <w:pPr>
        <w:shd w:val="clear" w:color="auto" w:fill="FFFFFF"/>
        <w:spacing w:line="257" w:lineRule="auto"/>
        <w:rPr>
          <w:rFonts w:ascii="Times New Roman" w:eastAsia="Times New Roman" w:hAnsi="Times New Roman" w:cs="Times New Roman"/>
          <w:lang w:eastAsia="en-AU"/>
        </w:rPr>
      </w:pPr>
      <w:r w:rsidRPr="00E20B28">
        <w:rPr>
          <w:rFonts w:ascii="Times New Roman" w:eastAsia="Times New Roman" w:hAnsi="Times New Roman" w:cs="Times New Roman"/>
          <w:color w:val="000000"/>
          <w:lang w:eastAsia="en-AU"/>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21BEDB98" w14:textId="7869AFA0" w:rsidR="00C2429C" w:rsidRDefault="00C2429C" w:rsidP="00C2429C">
      <w:pPr>
        <w:rPr>
          <w:rFonts w:ascii="Times New Roman" w:hAnsi="Times New Roman" w:cs="Times New Roman"/>
          <w:b/>
        </w:rPr>
      </w:pPr>
      <w:r>
        <w:rPr>
          <w:rFonts w:ascii="Times New Roman" w:hAnsi="Times New Roman" w:cs="Times New Roman"/>
          <w:b/>
        </w:rPr>
        <w:t>Purpose and operation of the instrument</w:t>
      </w:r>
    </w:p>
    <w:p w14:paraId="132E4966" w14:textId="7B2922C9" w:rsidR="00A07751" w:rsidRDefault="001276BE">
      <w:pPr>
        <w:spacing w:line="257" w:lineRule="auto"/>
        <w:rPr>
          <w:rFonts w:ascii="Times New Roman" w:hAnsi="Times New Roman" w:cs="Times New Roman"/>
        </w:rPr>
      </w:pPr>
      <w:r>
        <w:rPr>
          <w:rFonts w:ascii="Times New Roman" w:hAnsi="Times New Roman" w:cs="Times New Roman"/>
        </w:rPr>
        <w:t>In January 2020</w:t>
      </w:r>
      <w:r w:rsidR="007739D1">
        <w:rPr>
          <w:rFonts w:ascii="Times New Roman" w:hAnsi="Times New Roman" w:cs="Times New Roman"/>
        </w:rPr>
        <w:t>,</w:t>
      </w:r>
      <w:r>
        <w:rPr>
          <w:rFonts w:ascii="Times New Roman" w:hAnsi="Times New Roman" w:cs="Times New Roman"/>
        </w:rPr>
        <w:t xml:space="preserve"> </w:t>
      </w:r>
      <w:r w:rsidR="0093484D">
        <w:rPr>
          <w:rFonts w:ascii="Times New Roman" w:hAnsi="Times New Roman" w:cs="Times New Roman"/>
        </w:rPr>
        <w:t xml:space="preserve">the ACMA determined a new type of transmitter licence – </w:t>
      </w:r>
      <w:r w:rsidR="00D70149">
        <w:rPr>
          <w:rFonts w:ascii="Times New Roman" w:hAnsi="Times New Roman" w:cs="Times New Roman"/>
        </w:rPr>
        <w:t xml:space="preserve">the </w:t>
      </w:r>
      <w:r w:rsidR="00656FC8">
        <w:rPr>
          <w:rFonts w:ascii="Times New Roman" w:hAnsi="Times New Roman" w:cs="Times New Roman"/>
        </w:rPr>
        <w:t xml:space="preserve">area-wide </w:t>
      </w:r>
      <w:r w:rsidR="00770DB1">
        <w:rPr>
          <w:rFonts w:ascii="Times New Roman" w:hAnsi="Times New Roman" w:cs="Times New Roman"/>
        </w:rPr>
        <w:t xml:space="preserve">licence </w:t>
      </w:r>
      <w:r w:rsidR="00095F61">
        <w:rPr>
          <w:rFonts w:ascii="Times New Roman" w:hAnsi="Times New Roman" w:cs="Times New Roman"/>
        </w:rPr>
        <w:t xml:space="preserve">– under </w:t>
      </w:r>
      <w:r w:rsidR="00E63C2F">
        <w:rPr>
          <w:rFonts w:ascii="Times New Roman" w:hAnsi="Times New Roman" w:cs="Times New Roman"/>
        </w:rPr>
        <w:t>s</w:t>
      </w:r>
      <w:r w:rsidR="003449AF">
        <w:rPr>
          <w:rFonts w:ascii="Times New Roman" w:hAnsi="Times New Roman" w:cs="Times New Roman"/>
        </w:rPr>
        <w:t xml:space="preserve">ubsection </w:t>
      </w:r>
      <w:r w:rsidR="00E63C2F">
        <w:rPr>
          <w:rFonts w:ascii="Times New Roman" w:hAnsi="Times New Roman" w:cs="Times New Roman"/>
        </w:rPr>
        <w:t>98</w:t>
      </w:r>
      <w:r w:rsidR="003449AF">
        <w:rPr>
          <w:rFonts w:ascii="Times New Roman" w:hAnsi="Times New Roman" w:cs="Times New Roman"/>
        </w:rPr>
        <w:t>(1)</w:t>
      </w:r>
      <w:r w:rsidR="00E63C2F">
        <w:rPr>
          <w:rFonts w:ascii="Times New Roman" w:hAnsi="Times New Roman" w:cs="Times New Roman"/>
        </w:rPr>
        <w:t xml:space="preserve"> of the </w:t>
      </w:r>
      <w:r w:rsidR="00B60FC6">
        <w:rPr>
          <w:rFonts w:ascii="Times New Roman" w:hAnsi="Times New Roman" w:cs="Times New Roman"/>
          <w:i/>
          <w:iCs/>
        </w:rPr>
        <w:t xml:space="preserve">Radiocommunications Act 1992 </w:t>
      </w:r>
      <w:r w:rsidR="00B60FC6">
        <w:rPr>
          <w:rFonts w:ascii="Times New Roman" w:hAnsi="Times New Roman" w:cs="Times New Roman"/>
        </w:rPr>
        <w:t>(</w:t>
      </w:r>
      <w:r w:rsidR="00B60FC6" w:rsidRPr="00F243C4">
        <w:rPr>
          <w:rFonts w:ascii="Times New Roman" w:hAnsi="Times New Roman" w:cs="Times New Roman"/>
          <w:b/>
          <w:bCs/>
        </w:rPr>
        <w:t xml:space="preserve">the </w:t>
      </w:r>
      <w:r w:rsidR="00E63C2F" w:rsidRPr="00F243C4">
        <w:rPr>
          <w:rFonts w:ascii="Times New Roman" w:hAnsi="Times New Roman" w:cs="Times New Roman"/>
          <w:b/>
          <w:bCs/>
        </w:rPr>
        <w:t>Act</w:t>
      </w:r>
      <w:r w:rsidR="00B60FC6">
        <w:rPr>
          <w:rFonts w:ascii="Times New Roman" w:hAnsi="Times New Roman" w:cs="Times New Roman"/>
        </w:rPr>
        <w:t>)</w:t>
      </w:r>
      <w:r w:rsidR="00E63C2F">
        <w:rPr>
          <w:rFonts w:ascii="Times New Roman" w:hAnsi="Times New Roman" w:cs="Times New Roman"/>
        </w:rPr>
        <w:t xml:space="preserve">. </w:t>
      </w:r>
      <w:r w:rsidR="00300741">
        <w:rPr>
          <w:rFonts w:ascii="Times New Roman" w:hAnsi="Times New Roman" w:cs="Times New Roman"/>
        </w:rPr>
        <w:t xml:space="preserve">At the same time, </w:t>
      </w:r>
      <w:r w:rsidR="00B60FC6">
        <w:rPr>
          <w:rFonts w:ascii="Times New Roman" w:hAnsi="Times New Roman" w:cs="Times New Roman"/>
        </w:rPr>
        <w:t>the ACMA</w:t>
      </w:r>
      <w:r w:rsidR="00300741">
        <w:rPr>
          <w:rFonts w:ascii="Times New Roman" w:hAnsi="Times New Roman" w:cs="Times New Roman"/>
        </w:rPr>
        <w:t xml:space="preserve"> amended </w:t>
      </w:r>
      <w:r w:rsidR="00FF35A1" w:rsidRPr="007739D1">
        <w:rPr>
          <w:rFonts w:ascii="Times New Roman" w:hAnsi="Times New Roman" w:cs="Times New Roman"/>
        </w:rPr>
        <w:t>the</w:t>
      </w:r>
      <w:r w:rsidR="003D1A80" w:rsidRPr="003D1A80">
        <w:rPr>
          <w:rFonts w:ascii="Times New Roman" w:hAnsi="Times New Roman" w:cs="Times New Roman"/>
          <w:i/>
          <w:iCs/>
        </w:rPr>
        <w:t xml:space="preserve"> </w:t>
      </w:r>
      <w:r w:rsidR="003D1A80" w:rsidRPr="00B858F4">
        <w:rPr>
          <w:rFonts w:ascii="Times New Roman" w:hAnsi="Times New Roman" w:cs="Times New Roman"/>
          <w:i/>
          <w:iCs/>
        </w:rPr>
        <w:t>Radiocommunications (Interpretation) Determination 2015</w:t>
      </w:r>
      <w:r w:rsidR="003D1A80" w:rsidRPr="00924BA8">
        <w:rPr>
          <w:rFonts w:ascii="Times New Roman" w:hAnsi="Times New Roman" w:cs="Times New Roman"/>
        </w:rPr>
        <w:t xml:space="preserve"> (</w:t>
      </w:r>
      <w:r w:rsidR="003D1A80" w:rsidRPr="002068FB">
        <w:rPr>
          <w:rFonts w:ascii="Times New Roman" w:hAnsi="Times New Roman" w:cs="Times New Roman"/>
          <w:b/>
          <w:bCs/>
        </w:rPr>
        <w:t>the Interpretation Determination</w:t>
      </w:r>
      <w:r w:rsidR="003D1A80" w:rsidRPr="00924BA8">
        <w:rPr>
          <w:rFonts w:ascii="Times New Roman" w:hAnsi="Times New Roman" w:cs="Times New Roman"/>
        </w:rPr>
        <w:t xml:space="preserve">) </w:t>
      </w:r>
      <w:r w:rsidR="00300741">
        <w:rPr>
          <w:rFonts w:ascii="Times New Roman" w:hAnsi="Times New Roman" w:cs="Times New Roman"/>
        </w:rPr>
        <w:t xml:space="preserve">to include a definition of </w:t>
      </w:r>
      <w:r w:rsidR="00F4454A">
        <w:rPr>
          <w:rFonts w:ascii="Times New Roman" w:hAnsi="Times New Roman" w:cs="Times New Roman"/>
        </w:rPr>
        <w:t>‘area-wide licence’ (</w:t>
      </w:r>
      <w:r w:rsidR="00300741" w:rsidRPr="002068FB">
        <w:rPr>
          <w:rFonts w:ascii="Times New Roman" w:hAnsi="Times New Roman" w:cs="Times New Roman"/>
          <w:b/>
          <w:bCs/>
        </w:rPr>
        <w:t>AWL</w:t>
      </w:r>
      <w:r w:rsidR="00F4454A">
        <w:rPr>
          <w:rFonts w:ascii="Times New Roman" w:hAnsi="Times New Roman" w:cs="Times New Roman"/>
        </w:rPr>
        <w:t>)</w:t>
      </w:r>
      <w:r w:rsidR="001658DE">
        <w:rPr>
          <w:rFonts w:ascii="Times New Roman" w:hAnsi="Times New Roman" w:cs="Times New Roman"/>
        </w:rPr>
        <w:t xml:space="preserve"> and the term ‘area</w:t>
      </w:r>
      <w:r w:rsidR="00E36F00">
        <w:rPr>
          <w:rFonts w:ascii="Times New Roman" w:hAnsi="Times New Roman" w:cs="Times New Roman"/>
        </w:rPr>
        <w:t>-wide service’</w:t>
      </w:r>
      <w:r w:rsidR="00300741">
        <w:rPr>
          <w:rFonts w:ascii="Times New Roman" w:hAnsi="Times New Roman" w:cs="Times New Roman"/>
        </w:rPr>
        <w:t>.</w:t>
      </w:r>
      <w:r w:rsidR="00E36F00">
        <w:rPr>
          <w:rFonts w:ascii="Times New Roman" w:hAnsi="Times New Roman" w:cs="Times New Roman"/>
        </w:rPr>
        <w:t xml:space="preserve"> An ‘area-wide service’ was defined to be a radiocommunications service that is used for radiocommunications between </w:t>
      </w:r>
      <w:r w:rsidR="005710D8">
        <w:rPr>
          <w:rFonts w:ascii="Times New Roman" w:hAnsi="Times New Roman" w:cs="Times New Roman"/>
        </w:rPr>
        <w:t xml:space="preserve">any combination of </w:t>
      </w:r>
      <w:r w:rsidR="00E36F00">
        <w:rPr>
          <w:rFonts w:ascii="Times New Roman" w:hAnsi="Times New Roman" w:cs="Times New Roman"/>
        </w:rPr>
        <w:t xml:space="preserve">persons or things at </w:t>
      </w:r>
      <w:r w:rsidR="005710D8">
        <w:rPr>
          <w:rFonts w:ascii="Times New Roman" w:hAnsi="Times New Roman" w:cs="Times New Roman"/>
        </w:rPr>
        <w:t>fixed points, and</w:t>
      </w:r>
      <w:r w:rsidR="008010A9">
        <w:rPr>
          <w:rFonts w:ascii="Times New Roman" w:hAnsi="Times New Roman" w:cs="Times New Roman"/>
        </w:rPr>
        <w:t>/or</w:t>
      </w:r>
      <w:r w:rsidR="005710D8">
        <w:rPr>
          <w:rFonts w:ascii="Times New Roman" w:hAnsi="Times New Roman" w:cs="Times New Roman"/>
        </w:rPr>
        <w:t xml:space="preserve"> mobile stations.</w:t>
      </w:r>
    </w:p>
    <w:p w14:paraId="4643F68B" w14:textId="74288189" w:rsidR="009D7485" w:rsidRDefault="00431721" w:rsidP="009D7485">
      <w:pPr>
        <w:spacing w:line="257" w:lineRule="auto"/>
        <w:rPr>
          <w:rFonts w:ascii="Times New Roman" w:hAnsi="Times New Roman" w:cs="Times New Roman"/>
        </w:rPr>
      </w:pPr>
      <w:r>
        <w:rPr>
          <w:rFonts w:ascii="Times New Roman" w:hAnsi="Times New Roman" w:cs="Times New Roman"/>
        </w:rPr>
        <w:t xml:space="preserve">The ACMA is </w:t>
      </w:r>
      <w:r w:rsidR="005710D8">
        <w:rPr>
          <w:rFonts w:ascii="Times New Roman" w:hAnsi="Times New Roman" w:cs="Times New Roman"/>
        </w:rPr>
        <w:t xml:space="preserve">preparing to issue </w:t>
      </w:r>
      <w:r w:rsidR="00791386">
        <w:rPr>
          <w:rFonts w:ascii="Times New Roman" w:hAnsi="Times New Roman" w:cs="Times New Roman"/>
        </w:rPr>
        <w:t xml:space="preserve">AWLs in the </w:t>
      </w:r>
      <w:r w:rsidR="00791386" w:rsidRPr="00D6118E">
        <w:rPr>
          <w:rFonts w:ascii="Times New Roman" w:hAnsi="Times New Roman" w:cs="Times New Roman"/>
        </w:rPr>
        <w:t>26</w:t>
      </w:r>
      <w:r w:rsidR="00791386">
        <w:rPr>
          <w:rFonts w:ascii="Times New Roman" w:hAnsi="Times New Roman" w:cs="Times New Roman"/>
        </w:rPr>
        <w:t xml:space="preserve"> GHz (</w:t>
      </w:r>
      <w:r w:rsidR="00791386" w:rsidRPr="00BF52C7">
        <w:rPr>
          <w:rFonts w:ascii="Times New Roman" w:hAnsi="Times New Roman" w:cs="Times New Roman"/>
        </w:rPr>
        <w:t>24.</w:t>
      </w:r>
      <w:r w:rsidR="00791386">
        <w:rPr>
          <w:rFonts w:ascii="Times New Roman" w:hAnsi="Times New Roman" w:cs="Times New Roman"/>
        </w:rPr>
        <w:t>25–</w:t>
      </w:r>
      <w:r w:rsidR="00791386" w:rsidRPr="00BF52C7">
        <w:rPr>
          <w:rFonts w:ascii="Times New Roman" w:hAnsi="Times New Roman" w:cs="Times New Roman"/>
        </w:rPr>
        <w:t xml:space="preserve">27.5 GHz) </w:t>
      </w:r>
      <w:r w:rsidR="00791386">
        <w:rPr>
          <w:rFonts w:ascii="Times New Roman" w:hAnsi="Times New Roman" w:cs="Times New Roman"/>
        </w:rPr>
        <w:t xml:space="preserve">and </w:t>
      </w:r>
      <w:r w:rsidR="00791386" w:rsidRPr="00BF52C7">
        <w:rPr>
          <w:rFonts w:ascii="Times New Roman" w:hAnsi="Times New Roman" w:cs="Times New Roman"/>
        </w:rPr>
        <w:t>28 GHz (27.5</w:t>
      </w:r>
      <w:r w:rsidR="00791386">
        <w:rPr>
          <w:rFonts w:ascii="Times New Roman" w:hAnsi="Times New Roman" w:cs="Times New Roman"/>
        </w:rPr>
        <w:t>–30</w:t>
      </w:r>
      <w:r w:rsidR="00791386" w:rsidRPr="00BF52C7">
        <w:rPr>
          <w:rFonts w:ascii="Times New Roman" w:hAnsi="Times New Roman" w:cs="Times New Roman"/>
        </w:rPr>
        <w:t xml:space="preserve"> GHz) </w:t>
      </w:r>
      <w:r w:rsidR="00791386">
        <w:rPr>
          <w:rFonts w:ascii="Times New Roman" w:hAnsi="Times New Roman" w:cs="Times New Roman"/>
        </w:rPr>
        <w:t xml:space="preserve">bands. </w:t>
      </w:r>
      <w:r w:rsidR="000E4570">
        <w:rPr>
          <w:rFonts w:ascii="Times New Roman" w:hAnsi="Times New Roman" w:cs="Times New Roman"/>
        </w:rPr>
        <w:t>A</w:t>
      </w:r>
      <w:r w:rsidR="009F3395">
        <w:rPr>
          <w:rFonts w:ascii="Times New Roman" w:hAnsi="Times New Roman" w:cs="Times New Roman"/>
        </w:rPr>
        <w:t>s part of the</w:t>
      </w:r>
      <w:r w:rsidR="001E2A15">
        <w:rPr>
          <w:rFonts w:ascii="Times New Roman" w:hAnsi="Times New Roman" w:cs="Times New Roman"/>
        </w:rPr>
        <w:t xml:space="preserve"> </w:t>
      </w:r>
      <w:r w:rsidR="004934E9">
        <w:rPr>
          <w:rFonts w:ascii="Times New Roman" w:hAnsi="Times New Roman" w:cs="Times New Roman"/>
        </w:rPr>
        <w:t xml:space="preserve">development of the </w:t>
      </w:r>
      <w:r w:rsidR="00546774" w:rsidRPr="00546774">
        <w:rPr>
          <w:rFonts w:ascii="Times New Roman" w:hAnsi="Times New Roman" w:cs="Times New Roman"/>
        </w:rPr>
        <w:t xml:space="preserve">technical frameworks for 26 GHz and </w:t>
      </w:r>
      <w:r w:rsidR="005710D8" w:rsidRPr="00546774">
        <w:rPr>
          <w:rFonts w:ascii="Times New Roman" w:hAnsi="Times New Roman" w:cs="Times New Roman"/>
        </w:rPr>
        <w:t>28</w:t>
      </w:r>
      <w:r w:rsidR="005710D8">
        <w:rPr>
          <w:rFonts w:ascii="Times New Roman" w:hAnsi="Times New Roman" w:cs="Times New Roman"/>
        </w:rPr>
        <w:t> </w:t>
      </w:r>
      <w:r w:rsidR="00546774" w:rsidRPr="00546774">
        <w:rPr>
          <w:rFonts w:ascii="Times New Roman" w:hAnsi="Times New Roman" w:cs="Times New Roman"/>
        </w:rPr>
        <w:t xml:space="preserve">GHz </w:t>
      </w:r>
      <w:r w:rsidR="005710D8">
        <w:rPr>
          <w:rFonts w:ascii="Times New Roman" w:hAnsi="Times New Roman" w:cs="Times New Roman"/>
        </w:rPr>
        <w:t>bands</w:t>
      </w:r>
      <w:r w:rsidR="00EB4E7A">
        <w:rPr>
          <w:rFonts w:ascii="Times New Roman" w:hAnsi="Times New Roman" w:cs="Times New Roman"/>
        </w:rPr>
        <w:t xml:space="preserve">, the ACMA </w:t>
      </w:r>
      <w:r w:rsidR="00F27EFD">
        <w:rPr>
          <w:rFonts w:ascii="Times New Roman" w:hAnsi="Times New Roman" w:cs="Times New Roman"/>
        </w:rPr>
        <w:t xml:space="preserve">proposed that AWLs in these bands would authorise the operation of a radiocommunications transmitter for </w:t>
      </w:r>
      <w:r w:rsidR="00766754">
        <w:rPr>
          <w:rFonts w:ascii="Times New Roman" w:hAnsi="Times New Roman" w:cs="Times New Roman"/>
        </w:rPr>
        <w:t>radio</w:t>
      </w:r>
      <w:r w:rsidR="008F2F14">
        <w:rPr>
          <w:rFonts w:ascii="Times New Roman" w:hAnsi="Times New Roman" w:cs="Times New Roman"/>
        </w:rPr>
        <w:t>communications to satellites, as part of</w:t>
      </w:r>
      <w:r w:rsidR="00EB4E7A">
        <w:rPr>
          <w:rFonts w:ascii="Times New Roman" w:hAnsi="Times New Roman" w:cs="Times New Roman"/>
        </w:rPr>
        <w:t xml:space="preserve"> a</w:t>
      </w:r>
      <w:r w:rsidR="000E4570">
        <w:rPr>
          <w:rFonts w:ascii="Times New Roman" w:hAnsi="Times New Roman" w:cs="Times New Roman"/>
        </w:rPr>
        <w:t xml:space="preserve"> fixed-satel</w:t>
      </w:r>
      <w:r w:rsidR="00E211CD">
        <w:rPr>
          <w:rFonts w:ascii="Times New Roman" w:hAnsi="Times New Roman" w:cs="Times New Roman"/>
        </w:rPr>
        <w:t xml:space="preserve">lite </w:t>
      </w:r>
      <w:r w:rsidR="009F3395">
        <w:rPr>
          <w:rFonts w:ascii="Times New Roman" w:hAnsi="Times New Roman" w:cs="Times New Roman"/>
        </w:rPr>
        <w:t>service (</w:t>
      </w:r>
      <w:r w:rsidR="009F3395" w:rsidRPr="006C434F">
        <w:rPr>
          <w:rFonts w:ascii="Times New Roman" w:hAnsi="Times New Roman" w:cs="Times New Roman"/>
          <w:b/>
          <w:bCs/>
        </w:rPr>
        <w:t>FSS</w:t>
      </w:r>
      <w:r w:rsidR="009F3395">
        <w:rPr>
          <w:rFonts w:ascii="Times New Roman" w:hAnsi="Times New Roman" w:cs="Times New Roman"/>
        </w:rPr>
        <w:t>)</w:t>
      </w:r>
      <w:r w:rsidR="00C23C96">
        <w:rPr>
          <w:rFonts w:ascii="Times New Roman" w:hAnsi="Times New Roman" w:cs="Times New Roman"/>
        </w:rPr>
        <w:t xml:space="preserve">. </w:t>
      </w:r>
      <w:r w:rsidR="00A32667">
        <w:rPr>
          <w:rFonts w:ascii="Times New Roman" w:hAnsi="Times New Roman" w:cs="Times New Roman"/>
        </w:rPr>
        <w:t xml:space="preserve">The ACMA has since made </w:t>
      </w:r>
      <w:r w:rsidR="008010A9">
        <w:rPr>
          <w:rFonts w:ascii="Times New Roman" w:hAnsi="Times New Roman" w:cs="Times New Roman"/>
        </w:rPr>
        <w:t xml:space="preserve">the </w:t>
      </w:r>
      <w:r w:rsidR="008010A9">
        <w:rPr>
          <w:rFonts w:ascii="Times New Roman" w:hAnsi="Times New Roman" w:cs="Times New Roman"/>
          <w:i/>
          <w:iCs/>
        </w:rPr>
        <w:t xml:space="preserve">Radiocommunications </w:t>
      </w:r>
      <w:r w:rsidR="00C4499A">
        <w:rPr>
          <w:rFonts w:ascii="Times New Roman" w:hAnsi="Times New Roman" w:cs="Times New Roman"/>
          <w:i/>
          <w:iCs/>
        </w:rPr>
        <w:t xml:space="preserve">Licence Conditions </w:t>
      </w:r>
      <w:r w:rsidR="008010A9">
        <w:rPr>
          <w:rFonts w:ascii="Times New Roman" w:hAnsi="Times New Roman" w:cs="Times New Roman"/>
          <w:i/>
          <w:iCs/>
        </w:rPr>
        <w:t>(Area-</w:t>
      </w:r>
      <w:r w:rsidR="00C4499A">
        <w:rPr>
          <w:rFonts w:ascii="Times New Roman" w:hAnsi="Times New Roman" w:cs="Times New Roman"/>
          <w:i/>
          <w:iCs/>
        </w:rPr>
        <w:t>W</w:t>
      </w:r>
      <w:r w:rsidR="008010A9">
        <w:rPr>
          <w:rFonts w:ascii="Times New Roman" w:hAnsi="Times New Roman" w:cs="Times New Roman"/>
          <w:i/>
          <w:iCs/>
        </w:rPr>
        <w:t xml:space="preserve">ide Licence) </w:t>
      </w:r>
      <w:r w:rsidR="00C4499A">
        <w:rPr>
          <w:rFonts w:ascii="Times New Roman" w:hAnsi="Times New Roman" w:cs="Times New Roman"/>
          <w:i/>
          <w:iCs/>
        </w:rPr>
        <w:t>Amendment Determination 2020 (No. 1)</w:t>
      </w:r>
      <w:r w:rsidR="00C4499A" w:rsidRPr="00F243C4">
        <w:rPr>
          <w:rFonts w:ascii="Times New Roman" w:hAnsi="Times New Roman" w:cs="Times New Roman"/>
        </w:rPr>
        <w:t>, which</w:t>
      </w:r>
      <w:r w:rsidR="00A32667">
        <w:rPr>
          <w:rFonts w:ascii="Times New Roman" w:hAnsi="Times New Roman" w:cs="Times New Roman"/>
        </w:rPr>
        <w:t xml:space="preserve"> facilitate</w:t>
      </w:r>
      <w:r w:rsidR="00C4499A">
        <w:rPr>
          <w:rFonts w:ascii="Times New Roman" w:hAnsi="Times New Roman" w:cs="Times New Roman"/>
        </w:rPr>
        <w:t>s</w:t>
      </w:r>
      <w:r w:rsidR="00A32667">
        <w:rPr>
          <w:rFonts w:ascii="Times New Roman" w:hAnsi="Times New Roman" w:cs="Times New Roman"/>
        </w:rPr>
        <w:t xml:space="preserve"> AWLs</w:t>
      </w:r>
      <w:r w:rsidR="00766754">
        <w:rPr>
          <w:rFonts w:ascii="Times New Roman" w:hAnsi="Times New Roman" w:cs="Times New Roman"/>
        </w:rPr>
        <w:t xml:space="preserve"> authorising radiocommunications transmitters for radiocommunications to FSS satellites.</w:t>
      </w:r>
    </w:p>
    <w:p w14:paraId="3A27B5B0" w14:textId="2295C588" w:rsidR="006F1D10" w:rsidRDefault="006F1D10" w:rsidP="006F1D10">
      <w:pPr>
        <w:spacing w:line="257" w:lineRule="auto"/>
        <w:rPr>
          <w:rFonts w:ascii="Times New Roman" w:hAnsi="Times New Roman" w:cs="Times New Roman"/>
        </w:rPr>
      </w:pPr>
      <w:r w:rsidRPr="00924BA8">
        <w:rPr>
          <w:rFonts w:ascii="Times New Roman" w:hAnsi="Times New Roman" w:cs="Times New Roman"/>
        </w:rPr>
        <w:t xml:space="preserve">The </w:t>
      </w:r>
      <w:r w:rsidR="00030B81">
        <w:rPr>
          <w:rFonts w:ascii="Times New Roman" w:hAnsi="Times New Roman" w:cs="Times New Roman"/>
        </w:rPr>
        <w:t>i</w:t>
      </w:r>
      <w:r w:rsidRPr="00924BA8">
        <w:rPr>
          <w:rFonts w:ascii="Times New Roman" w:hAnsi="Times New Roman" w:cs="Times New Roman"/>
        </w:rPr>
        <w:t>nstrument amend</w:t>
      </w:r>
      <w:r w:rsidR="00516518">
        <w:rPr>
          <w:rFonts w:ascii="Times New Roman" w:hAnsi="Times New Roman" w:cs="Times New Roman"/>
        </w:rPr>
        <w:t>s</w:t>
      </w:r>
      <w:r w:rsidRPr="00924BA8">
        <w:rPr>
          <w:rFonts w:ascii="Times New Roman" w:hAnsi="Times New Roman" w:cs="Times New Roman"/>
        </w:rPr>
        <w:t xml:space="preserve"> the Interpretation Determination </w:t>
      </w:r>
      <w:r>
        <w:rPr>
          <w:rFonts w:ascii="Times New Roman" w:hAnsi="Times New Roman" w:cs="Times New Roman"/>
        </w:rPr>
        <w:t xml:space="preserve">so that earth stations communicating with a space receive station (on a satellite or other space object) may be </w:t>
      </w:r>
      <w:r w:rsidR="00516518">
        <w:rPr>
          <w:rFonts w:ascii="Times New Roman" w:hAnsi="Times New Roman" w:cs="Times New Roman"/>
        </w:rPr>
        <w:t xml:space="preserve">part of an area-wide service, and thereby </w:t>
      </w:r>
      <w:r>
        <w:rPr>
          <w:rFonts w:ascii="Times New Roman" w:hAnsi="Times New Roman" w:cs="Times New Roman"/>
        </w:rPr>
        <w:t xml:space="preserve">authorised under an </w:t>
      </w:r>
      <w:r w:rsidR="00516518">
        <w:rPr>
          <w:rFonts w:ascii="Times New Roman" w:hAnsi="Times New Roman" w:cs="Times New Roman"/>
        </w:rPr>
        <w:t>AWL</w:t>
      </w:r>
      <w:r>
        <w:rPr>
          <w:rFonts w:ascii="Times New Roman" w:hAnsi="Times New Roman" w:cs="Times New Roman"/>
        </w:rPr>
        <w:t>.</w:t>
      </w:r>
    </w:p>
    <w:p w14:paraId="4CE24C4D" w14:textId="77777777" w:rsidR="00D5671E" w:rsidRDefault="00D5671E" w:rsidP="00D5671E">
      <w:pPr>
        <w:spacing w:line="257" w:lineRule="auto"/>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0ECC35" w14:textId="3BF5B0B4" w:rsidR="00977AC5" w:rsidRPr="001147F7" w:rsidRDefault="00D5671E" w:rsidP="00D5671E">
      <w:pPr>
        <w:spacing w:line="257" w:lineRule="auto"/>
        <w:rPr>
          <w:rFonts w:ascii="Times New Roman" w:hAnsi="Times New Roman" w:cs="Times New Roman"/>
        </w:rPr>
      </w:pPr>
      <w:r>
        <w:rPr>
          <w:rFonts w:ascii="Times New Roman" w:hAnsi="Times New Roman" w:cs="Times New Roman"/>
        </w:rPr>
        <w:t xml:space="preserve">The instrument is a </w:t>
      </w:r>
      <w:r w:rsidR="00B76116">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C627C6A" w14:textId="0DC72E35"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21B177E0" w14:textId="50FE632C" w:rsidR="00285C00" w:rsidRPr="00285C00" w:rsidRDefault="00285C00" w:rsidP="004C58B9">
      <w:pPr>
        <w:rPr>
          <w:rFonts w:ascii="Times New Roman" w:hAnsi="Times New Roman" w:cs="Times New Roman"/>
          <w:bCs/>
        </w:rPr>
      </w:pPr>
      <w:r w:rsidRPr="00285C00">
        <w:rPr>
          <w:rFonts w:ascii="Times New Roman" w:hAnsi="Times New Roman" w:cs="Times New Roman"/>
          <w:bCs/>
        </w:rPr>
        <w:t>Th</w:t>
      </w:r>
      <w:r w:rsidR="00A56DAA">
        <w:rPr>
          <w:rFonts w:ascii="Times New Roman" w:hAnsi="Times New Roman" w:cs="Times New Roman"/>
          <w:bCs/>
        </w:rPr>
        <w:t>e</w:t>
      </w:r>
      <w:r w:rsidRPr="00285C00">
        <w:rPr>
          <w:rFonts w:ascii="Times New Roman" w:hAnsi="Times New Roman" w:cs="Times New Roman"/>
          <w:bCs/>
        </w:rPr>
        <w:t xml:space="preserve"> instrument does not incorporate a</w:t>
      </w:r>
      <w:r w:rsidR="00A56DAA">
        <w:rPr>
          <w:rFonts w:ascii="Times New Roman" w:hAnsi="Times New Roman" w:cs="Times New Roman"/>
          <w:bCs/>
        </w:rPr>
        <w:t>ny</w:t>
      </w:r>
      <w:r w:rsidRPr="00285C00">
        <w:rPr>
          <w:rFonts w:ascii="Times New Roman" w:hAnsi="Times New Roman" w:cs="Times New Roman"/>
          <w:bCs/>
        </w:rPr>
        <w:t xml:space="preserve"> document by reference. </w:t>
      </w:r>
    </w:p>
    <w:p w14:paraId="72B96499" w14:textId="77777777" w:rsidR="00D56089" w:rsidRDefault="00D56089" w:rsidP="00F243C4">
      <w:pPr>
        <w:keepNext/>
        <w:spacing w:line="257" w:lineRule="auto"/>
        <w:rPr>
          <w:rFonts w:ascii="Times New Roman" w:hAnsi="Times New Roman" w:cs="Times New Roman"/>
          <w:b/>
        </w:rPr>
      </w:pPr>
      <w:r>
        <w:rPr>
          <w:rFonts w:ascii="Times New Roman" w:hAnsi="Times New Roman" w:cs="Times New Roman"/>
          <w:b/>
        </w:rPr>
        <w:lastRenderedPageBreak/>
        <w:t>Consultation</w:t>
      </w:r>
    </w:p>
    <w:p w14:paraId="4D55320D" w14:textId="6C971B05" w:rsidR="00D56089" w:rsidRDefault="00D56089" w:rsidP="00D56089">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2EDC8D40" w14:textId="4B079108" w:rsidR="00F72FAB" w:rsidRDefault="00F72FAB" w:rsidP="00486EA3">
      <w:pPr>
        <w:pStyle w:val="paragraph"/>
        <w:spacing w:before="0" w:beforeAutospacing="0" w:after="160" w:afterAutospacing="0" w:line="257" w:lineRule="auto"/>
        <w:textAlignment w:val="baseline"/>
        <w:rPr>
          <w:rStyle w:val="normaltextrun"/>
          <w:sz w:val="22"/>
          <w:szCs w:val="22"/>
        </w:rPr>
      </w:pPr>
      <w:r>
        <w:rPr>
          <w:rStyle w:val="normaltextrun"/>
          <w:sz w:val="22"/>
          <w:szCs w:val="22"/>
        </w:rPr>
        <w:t>On 19 August 2020, the ACMA published the “Apparatus Licences in the 26 GHz and 28 GHz bands consultation paper” (</w:t>
      </w:r>
      <w:r>
        <w:rPr>
          <w:rStyle w:val="normaltextrun"/>
          <w:b/>
          <w:bCs/>
          <w:sz w:val="22"/>
          <w:szCs w:val="22"/>
        </w:rPr>
        <w:t>the consultation paper</w:t>
      </w:r>
      <w:r>
        <w:rPr>
          <w:rStyle w:val="normaltextrun"/>
          <w:sz w:val="22"/>
          <w:szCs w:val="22"/>
        </w:rPr>
        <w:t>), a draft Applicant Information Pack, a</w:t>
      </w:r>
      <w:r w:rsidR="00D6179D">
        <w:rPr>
          <w:rStyle w:val="normaltextrun"/>
          <w:sz w:val="22"/>
          <w:szCs w:val="22"/>
        </w:rPr>
        <w:t xml:space="preserve"> draft amended Radiocommunications Licence Conditions (Area-Wide Licence) Determination 2020</w:t>
      </w:r>
      <w:r>
        <w:rPr>
          <w:rStyle w:val="normaltextrun"/>
          <w:sz w:val="22"/>
          <w:szCs w:val="22"/>
        </w:rPr>
        <w:t xml:space="preserve">, </w:t>
      </w:r>
      <w:r w:rsidR="00D6179D">
        <w:rPr>
          <w:rStyle w:val="normaltextrun"/>
          <w:sz w:val="22"/>
          <w:szCs w:val="22"/>
        </w:rPr>
        <w:t>a draft new Radiocommunications Assignment and Licensing Instructions (RALIs) for AWLs in the 26 GHz and 28 GHz bands</w:t>
      </w:r>
      <w:r w:rsidR="00B36099">
        <w:rPr>
          <w:rStyle w:val="normaltextrun"/>
          <w:sz w:val="22"/>
          <w:szCs w:val="22"/>
        </w:rPr>
        <w:t xml:space="preserve">, </w:t>
      </w:r>
      <w:r>
        <w:rPr>
          <w:rStyle w:val="normaltextrun"/>
          <w:sz w:val="22"/>
          <w:szCs w:val="22"/>
        </w:rPr>
        <w:t xml:space="preserve">and a draft of an updated Radiocommunications Assignment and Licensing Instruction for coordination between earth station transmitters in the </w:t>
      </w:r>
      <w:r w:rsidR="00956D60">
        <w:rPr>
          <w:rStyle w:val="normaltextrun"/>
          <w:sz w:val="22"/>
          <w:szCs w:val="22"/>
        </w:rPr>
        <w:t>FSS</w:t>
      </w:r>
      <w:r>
        <w:rPr>
          <w:rStyle w:val="normaltextrun"/>
          <w:sz w:val="22"/>
          <w:szCs w:val="22"/>
        </w:rPr>
        <w:t xml:space="preserve"> and other services in the 25.5–30 GHz band. The ACMA sought comment on the allocation approach, pricing structure and technical framework of AWLs in the two bands, including a proposal to authorise the operation of FSS earth stations under AWLs. The ACMA received 1</w:t>
      </w:r>
      <w:r w:rsidR="00A527ED">
        <w:rPr>
          <w:rStyle w:val="normaltextrun"/>
          <w:sz w:val="22"/>
          <w:szCs w:val="22"/>
        </w:rPr>
        <w:t>6</w:t>
      </w:r>
      <w:r>
        <w:rPr>
          <w:rStyle w:val="normaltextrun"/>
          <w:sz w:val="22"/>
          <w:szCs w:val="22"/>
        </w:rPr>
        <w:t xml:space="preserve"> submissions. </w:t>
      </w:r>
      <w:r w:rsidRPr="003C707B">
        <w:rPr>
          <w:rStyle w:val="normaltextrun"/>
          <w:sz w:val="22"/>
          <w:szCs w:val="22"/>
        </w:rPr>
        <w:t xml:space="preserve">Submitters included members of industry, peak </w:t>
      </w:r>
      <w:proofErr w:type="gramStart"/>
      <w:r w:rsidRPr="003C707B">
        <w:rPr>
          <w:rStyle w:val="normaltextrun"/>
          <w:sz w:val="22"/>
          <w:szCs w:val="22"/>
        </w:rPr>
        <w:t>bodies</w:t>
      </w:r>
      <w:proofErr w:type="gramEnd"/>
      <w:r w:rsidRPr="003C707B">
        <w:rPr>
          <w:rStyle w:val="normaltextrun"/>
          <w:sz w:val="22"/>
          <w:szCs w:val="22"/>
        </w:rPr>
        <w:t xml:space="preserve"> and government agencies</w:t>
      </w:r>
    </w:p>
    <w:p w14:paraId="598061BA" w14:textId="7C53C92D" w:rsidR="007F23CA" w:rsidRDefault="00486EA3" w:rsidP="00486EA3">
      <w:pPr>
        <w:pStyle w:val="paragraph"/>
        <w:spacing w:before="0" w:beforeAutospacing="0" w:after="160" w:afterAutospacing="0" w:line="257" w:lineRule="auto"/>
        <w:textAlignment w:val="baseline"/>
        <w:rPr>
          <w:rStyle w:val="normaltextrun"/>
          <w:sz w:val="22"/>
          <w:szCs w:val="22"/>
        </w:rPr>
      </w:pPr>
      <w:r w:rsidRPr="003E1615">
        <w:rPr>
          <w:rStyle w:val="normaltextrun"/>
          <w:sz w:val="22"/>
          <w:szCs w:val="22"/>
        </w:rPr>
        <w:t xml:space="preserve">Most </w:t>
      </w:r>
      <w:r w:rsidR="001618A9">
        <w:rPr>
          <w:rStyle w:val="normaltextrun"/>
          <w:sz w:val="22"/>
          <w:szCs w:val="22"/>
        </w:rPr>
        <w:t xml:space="preserve">submitters agreed in principle with the proposal to authorise FSS earth-stations under AWLs in the 27–30 GHz range. </w:t>
      </w:r>
      <w:r w:rsidR="007F23CA">
        <w:rPr>
          <w:rStyle w:val="normaltextrun"/>
          <w:sz w:val="22"/>
          <w:szCs w:val="22"/>
        </w:rPr>
        <w:t>A small number of submitters</w:t>
      </w:r>
      <w:r w:rsidR="001618A9">
        <w:rPr>
          <w:rStyle w:val="normaltextrun"/>
          <w:sz w:val="22"/>
          <w:szCs w:val="22"/>
        </w:rPr>
        <w:t xml:space="preserve"> question</w:t>
      </w:r>
      <w:r w:rsidR="00A56DAA">
        <w:rPr>
          <w:rStyle w:val="normaltextrun"/>
          <w:sz w:val="22"/>
          <w:szCs w:val="22"/>
        </w:rPr>
        <w:t>ed</w:t>
      </w:r>
      <w:r w:rsidR="001618A9">
        <w:rPr>
          <w:rStyle w:val="normaltextrun"/>
          <w:sz w:val="22"/>
          <w:szCs w:val="22"/>
        </w:rPr>
        <w:t xml:space="preserve"> </w:t>
      </w:r>
      <w:r w:rsidR="00C572F7">
        <w:rPr>
          <w:rStyle w:val="normaltextrun"/>
          <w:sz w:val="22"/>
          <w:szCs w:val="22"/>
        </w:rPr>
        <w:t xml:space="preserve">aspects of </w:t>
      </w:r>
      <w:r w:rsidR="001618A9">
        <w:rPr>
          <w:rStyle w:val="normaltextrun"/>
          <w:sz w:val="22"/>
          <w:szCs w:val="22"/>
        </w:rPr>
        <w:t>the proposal</w:t>
      </w:r>
      <w:r w:rsidR="00A74E1D">
        <w:rPr>
          <w:rStyle w:val="normaltextrun"/>
          <w:sz w:val="22"/>
          <w:szCs w:val="22"/>
        </w:rPr>
        <w:t xml:space="preserve">, including </w:t>
      </w:r>
      <w:r w:rsidR="001618A9">
        <w:rPr>
          <w:rStyle w:val="normaltextrun"/>
          <w:sz w:val="22"/>
          <w:szCs w:val="22"/>
        </w:rPr>
        <w:t xml:space="preserve"> whether </w:t>
      </w:r>
      <w:r w:rsidR="001D55BC">
        <w:rPr>
          <w:rStyle w:val="normaltextrun"/>
          <w:sz w:val="22"/>
          <w:szCs w:val="22"/>
        </w:rPr>
        <w:t>AWLs should be used</w:t>
      </w:r>
      <w:r w:rsidR="001618A9">
        <w:rPr>
          <w:rStyle w:val="normaltextrun"/>
          <w:sz w:val="22"/>
          <w:szCs w:val="22"/>
        </w:rPr>
        <w:t xml:space="preserve"> in the 29.5–30 GHz range</w:t>
      </w:r>
      <w:r w:rsidR="007F23CA">
        <w:rPr>
          <w:rStyle w:val="normaltextrun"/>
          <w:sz w:val="22"/>
          <w:szCs w:val="22"/>
        </w:rPr>
        <w:t xml:space="preserve">. The ACMA has considered these views and has concluded that the proposal as discussed in the consultation package is appropriate. </w:t>
      </w:r>
    </w:p>
    <w:p w14:paraId="56A66612" w14:textId="15D8FBB8" w:rsidR="00486EA3" w:rsidRPr="002F6E04" w:rsidRDefault="00486EA3" w:rsidP="00486EA3">
      <w:pPr>
        <w:pStyle w:val="paragraph"/>
        <w:spacing w:before="0" w:beforeAutospacing="0" w:after="160" w:afterAutospacing="0" w:line="257" w:lineRule="auto"/>
        <w:textAlignment w:val="baseline"/>
        <w:rPr>
          <w:sz w:val="22"/>
          <w:szCs w:val="22"/>
        </w:rPr>
      </w:pPr>
      <w:r>
        <w:rPr>
          <w:rStyle w:val="normaltextrun"/>
          <w:sz w:val="22"/>
          <w:szCs w:val="22"/>
        </w:rPr>
        <w:t>This consultation package was a key part of the process of implementing previous planning decisions for the deployment of fifth-generation wireless broadband</w:t>
      </w:r>
      <w:r w:rsidR="0022082D">
        <w:rPr>
          <w:rStyle w:val="normaltextrun"/>
          <w:sz w:val="22"/>
          <w:szCs w:val="22"/>
        </w:rPr>
        <w:t xml:space="preserve"> </w:t>
      </w:r>
      <w:r>
        <w:rPr>
          <w:rStyle w:val="normaltextrun"/>
          <w:sz w:val="22"/>
          <w:szCs w:val="22"/>
        </w:rPr>
        <w:t xml:space="preserve">services in the 26 GHz and </w:t>
      </w:r>
      <w:r w:rsidR="00820DD8">
        <w:rPr>
          <w:rStyle w:val="normaltextrun"/>
          <w:sz w:val="22"/>
          <w:szCs w:val="22"/>
        </w:rPr>
        <w:t>28 </w:t>
      </w:r>
      <w:r>
        <w:rPr>
          <w:rStyle w:val="normaltextrun"/>
          <w:sz w:val="22"/>
          <w:szCs w:val="22"/>
        </w:rPr>
        <w:t>GHz bands</w:t>
      </w:r>
      <w:r w:rsidR="0022082D">
        <w:rPr>
          <w:rStyle w:val="normaltextrun"/>
          <w:sz w:val="22"/>
          <w:szCs w:val="22"/>
        </w:rPr>
        <w:t xml:space="preserve">, </w:t>
      </w:r>
      <w:r>
        <w:rPr>
          <w:rStyle w:val="normaltextrun"/>
          <w:sz w:val="22"/>
          <w:szCs w:val="22"/>
        </w:rPr>
        <w:t>and FSS services in the 27–29.5 GHz frequency range. These decisions were the culmination of a lengthy period of consultation, technical studies and engagement domestically and internationally, and are encapsulated in the 26 GHz band planning decisions and preliminary views paper and the 28 GHz band planning decisions and preliminary views paper, which were released in April and September 2019 respectively.</w:t>
      </w:r>
      <w:r>
        <w:rPr>
          <w:rStyle w:val="eop"/>
          <w:sz w:val="22"/>
          <w:szCs w:val="22"/>
        </w:rPr>
        <w:t> </w:t>
      </w:r>
    </w:p>
    <w:p w14:paraId="2E01E108" w14:textId="30EDDE75" w:rsidR="004C58B9" w:rsidRDefault="004C58B9" w:rsidP="00C635AA">
      <w:pPr>
        <w:spacing w:line="257" w:lineRule="auto"/>
        <w:rPr>
          <w:rFonts w:ascii="Times New Roman" w:hAnsi="Times New Roman" w:cs="Times New Roman"/>
          <w:b/>
        </w:rPr>
      </w:pPr>
      <w:r>
        <w:rPr>
          <w:rFonts w:ascii="Times New Roman" w:hAnsi="Times New Roman" w:cs="Times New Roman"/>
          <w:b/>
        </w:rPr>
        <w:t>Regulatory impact assessment</w:t>
      </w:r>
    </w:p>
    <w:p w14:paraId="548CA515" w14:textId="15BC253F" w:rsidR="00432D1C" w:rsidRDefault="00432D1C" w:rsidP="00432D1C">
      <w:pPr>
        <w:spacing w:line="257" w:lineRule="auto"/>
        <w:rPr>
          <w:rFonts w:ascii="Times New Roman" w:hAnsi="Times New Roman" w:cs="Times New Roman"/>
        </w:rPr>
      </w:pPr>
      <w:r w:rsidRPr="008B0DD6">
        <w:rPr>
          <w:rFonts w:ascii="Times New Roman" w:hAnsi="Times New Roman" w:cs="Times New Roman"/>
        </w:rPr>
        <w:t>A preliminary assessment of the proposal to make the instrument was conducted by the Office of Best Practice Regulation (</w:t>
      </w:r>
      <w:r w:rsidRPr="008B0DD6">
        <w:rPr>
          <w:rFonts w:ascii="Times New Roman" w:hAnsi="Times New Roman" w:cs="Times New Roman"/>
          <w:b/>
          <w:bCs/>
        </w:rPr>
        <w:t>OBPR</w:t>
      </w:r>
      <w:r w:rsidRPr="008B0DD6">
        <w:rPr>
          <w:rFonts w:ascii="Times New Roman" w:hAnsi="Times New Roman" w:cs="Times New Roman"/>
        </w:rPr>
        <w:t>), based on information provided by the ACMA, for the purposes of determining whether a Regulation Impact Statement (</w:t>
      </w:r>
      <w:r w:rsidRPr="008B0DD6">
        <w:rPr>
          <w:rFonts w:ascii="Times New Roman" w:hAnsi="Times New Roman" w:cs="Times New Roman"/>
          <w:b/>
          <w:bCs/>
        </w:rPr>
        <w:t>RIS</w:t>
      </w:r>
      <w:r w:rsidRPr="008B0DD6">
        <w:rPr>
          <w:rFonts w:ascii="Times New Roman" w:hAnsi="Times New Roman" w:cs="Times New Roman"/>
        </w:rPr>
        <w:t xml:space="preserve">) would be required. OBPR advised that a RIS would not be required because </w:t>
      </w:r>
      <w:r>
        <w:rPr>
          <w:rFonts w:ascii="Times New Roman" w:hAnsi="Times New Roman" w:cs="Times New Roman"/>
        </w:rPr>
        <w:t xml:space="preserve">the proposed regulatory change is minor or machinery in nature </w:t>
      </w:r>
      <w:r w:rsidR="00264088">
        <w:rPr>
          <w:rFonts w:ascii="Times New Roman" w:hAnsi="Times New Roman" w:cs="Times New Roman"/>
        </w:rPr>
        <w:t>(</w:t>
      </w:r>
      <w:r>
        <w:rPr>
          <w:rFonts w:ascii="Times New Roman" w:hAnsi="Times New Roman" w:cs="Times New Roman"/>
        </w:rPr>
        <w:t>OBPR reference numbe</w:t>
      </w:r>
      <w:r w:rsidR="0099420F">
        <w:rPr>
          <w:rFonts w:ascii="Times New Roman" w:hAnsi="Times New Roman" w:cs="Times New Roman"/>
        </w:rPr>
        <w:t>r 431</w:t>
      </w:r>
      <w:r w:rsidR="00F32488">
        <w:rPr>
          <w:rFonts w:ascii="Times New Roman" w:hAnsi="Times New Roman" w:cs="Times New Roman"/>
        </w:rPr>
        <w:t>43</w:t>
      </w:r>
      <w:r w:rsidR="00A56DAA">
        <w:rPr>
          <w:rFonts w:ascii="Times New Roman" w:hAnsi="Times New Roman" w:cs="Times New Roman"/>
        </w:rPr>
        <w:t>)</w:t>
      </w:r>
      <w:r>
        <w:rPr>
          <w:rFonts w:ascii="Times New Roman" w:hAnsi="Times New Roman" w:cs="Times New Roman"/>
        </w:rPr>
        <w:t>.</w:t>
      </w:r>
    </w:p>
    <w:p w14:paraId="05C8B940" w14:textId="77777777" w:rsidR="00133B95" w:rsidRDefault="00133B95" w:rsidP="00C635AA">
      <w:pPr>
        <w:spacing w:line="257" w:lineRule="auto"/>
        <w:rPr>
          <w:rFonts w:ascii="Times New Roman" w:hAnsi="Times New Roman" w:cs="Times New Roman"/>
          <w:b/>
        </w:rPr>
      </w:pPr>
      <w:r>
        <w:rPr>
          <w:rFonts w:ascii="Times New Roman" w:hAnsi="Times New Roman" w:cs="Times New Roman"/>
          <w:b/>
        </w:rPr>
        <w:t>Statement of compatibility with human rights</w:t>
      </w:r>
    </w:p>
    <w:p w14:paraId="00778221" w14:textId="5F8D11A9" w:rsidR="00133B95" w:rsidRDefault="00133B95" w:rsidP="00C635AA">
      <w:pPr>
        <w:spacing w:line="257" w:lineRule="auto"/>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1B54AF">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03C7D01C" w14:textId="77777777" w:rsidR="00133B95" w:rsidRDefault="00133B95" w:rsidP="00C635AA">
      <w:pPr>
        <w:spacing w:line="257" w:lineRule="auto"/>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4973133C" w14:textId="77777777" w:rsidR="00F9516B" w:rsidRDefault="00F9516B" w:rsidP="00C635AA">
      <w:pPr>
        <w:spacing w:line="257" w:lineRule="auto"/>
        <w:rPr>
          <w:rFonts w:ascii="Times New Roman" w:hAnsi="Times New Roman" w:cs="Times New Roman"/>
          <w:b/>
          <w:i/>
        </w:rPr>
      </w:pPr>
      <w:r>
        <w:rPr>
          <w:rFonts w:ascii="Times New Roman" w:hAnsi="Times New Roman" w:cs="Times New Roman"/>
          <w:b/>
          <w:i/>
        </w:rPr>
        <w:t>Overview of the instrument</w:t>
      </w:r>
    </w:p>
    <w:p w14:paraId="7B90AA38" w14:textId="6F38FE5C" w:rsidR="00EA624A" w:rsidRDefault="001904BC" w:rsidP="00F9516B">
      <w:pPr>
        <w:spacing w:line="257" w:lineRule="auto"/>
        <w:rPr>
          <w:rFonts w:ascii="Times New Roman" w:hAnsi="Times New Roman" w:cs="Times New Roman"/>
        </w:rPr>
      </w:pPr>
      <w:r>
        <w:rPr>
          <w:rFonts w:ascii="Times New Roman" w:hAnsi="Times New Roman" w:cs="Times New Roman"/>
        </w:rPr>
        <w:t xml:space="preserve">An AWL is a type of transmitter licence determined by the ACMA under section 98 of the Act. </w:t>
      </w:r>
      <w:r w:rsidR="00EA624A">
        <w:rPr>
          <w:rFonts w:ascii="Times New Roman" w:hAnsi="Times New Roman" w:cs="Times New Roman"/>
        </w:rPr>
        <w:t>The Interpretation Determination contains several definitions relevant to AWLs, including a definition of an ‘area-wide service’. Before the instrument was made, an area-wide service was defined as a radiocommunications service that is used for radiocommunications between any combination of persons or things at fixed points and</w:t>
      </w:r>
      <w:r w:rsidR="00A56DAA">
        <w:rPr>
          <w:rFonts w:ascii="Times New Roman" w:hAnsi="Times New Roman" w:cs="Times New Roman"/>
        </w:rPr>
        <w:t>/or</w:t>
      </w:r>
      <w:r w:rsidR="00EA624A">
        <w:rPr>
          <w:rFonts w:ascii="Times New Roman" w:hAnsi="Times New Roman" w:cs="Times New Roman"/>
        </w:rPr>
        <w:t xml:space="preserve"> mobile stations.</w:t>
      </w:r>
    </w:p>
    <w:p w14:paraId="5F8C3927" w14:textId="33BCD982" w:rsidR="0073242B" w:rsidRDefault="00EA624A" w:rsidP="00F9516B">
      <w:pPr>
        <w:spacing w:line="257" w:lineRule="auto"/>
        <w:rPr>
          <w:rFonts w:ascii="Times New Roman" w:hAnsi="Times New Roman" w:cs="Times New Roman"/>
        </w:rPr>
      </w:pPr>
      <w:r>
        <w:rPr>
          <w:rFonts w:ascii="Times New Roman" w:hAnsi="Times New Roman" w:cs="Times New Roman"/>
        </w:rPr>
        <w:lastRenderedPageBreak/>
        <w:t xml:space="preserve">The ACMA is preparing to issue AWLs in the 26 GHz and 28 GHz bands. </w:t>
      </w:r>
      <w:r w:rsidR="0024505A">
        <w:rPr>
          <w:rFonts w:ascii="Times New Roman" w:hAnsi="Times New Roman" w:cs="Times New Roman"/>
        </w:rPr>
        <w:t xml:space="preserve">The ACMA intends to allow AWLs in these bands to authorise radiocommunications transmitters that </w:t>
      </w:r>
      <w:r w:rsidR="0073242B">
        <w:rPr>
          <w:rFonts w:ascii="Times New Roman" w:hAnsi="Times New Roman" w:cs="Times New Roman"/>
        </w:rPr>
        <w:t>communicat</w:t>
      </w:r>
      <w:r w:rsidR="00F32488">
        <w:rPr>
          <w:rFonts w:ascii="Times New Roman" w:hAnsi="Times New Roman" w:cs="Times New Roman"/>
        </w:rPr>
        <w:t>e</w:t>
      </w:r>
      <w:r w:rsidR="0073242B">
        <w:rPr>
          <w:rFonts w:ascii="Times New Roman" w:hAnsi="Times New Roman" w:cs="Times New Roman"/>
        </w:rPr>
        <w:t xml:space="preserve"> with satellites in the FSS.</w:t>
      </w:r>
    </w:p>
    <w:p w14:paraId="5EB5CC1F" w14:textId="615A4815" w:rsidR="00F9516B" w:rsidRDefault="00F9516B" w:rsidP="00F9516B">
      <w:pPr>
        <w:spacing w:line="257" w:lineRule="auto"/>
        <w:rPr>
          <w:rFonts w:ascii="Times New Roman" w:hAnsi="Times New Roman" w:cs="Times New Roman"/>
        </w:rPr>
      </w:pPr>
      <w:r w:rsidRPr="00924BA8">
        <w:rPr>
          <w:rFonts w:ascii="Times New Roman" w:hAnsi="Times New Roman" w:cs="Times New Roman"/>
        </w:rPr>
        <w:t xml:space="preserve">The </w:t>
      </w:r>
      <w:r>
        <w:rPr>
          <w:rFonts w:ascii="Times New Roman" w:hAnsi="Times New Roman" w:cs="Times New Roman"/>
        </w:rPr>
        <w:t>i</w:t>
      </w:r>
      <w:r w:rsidRPr="00924BA8">
        <w:rPr>
          <w:rFonts w:ascii="Times New Roman" w:hAnsi="Times New Roman" w:cs="Times New Roman"/>
        </w:rPr>
        <w:t>nstrument amend</w:t>
      </w:r>
      <w:r>
        <w:rPr>
          <w:rFonts w:ascii="Times New Roman" w:hAnsi="Times New Roman" w:cs="Times New Roman"/>
        </w:rPr>
        <w:t>s</w:t>
      </w:r>
      <w:r w:rsidRPr="00924BA8">
        <w:rPr>
          <w:rFonts w:ascii="Times New Roman" w:hAnsi="Times New Roman" w:cs="Times New Roman"/>
        </w:rPr>
        <w:t xml:space="preserve"> the Interpretation Determination </w:t>
      </w:r>
      <w:r>
        <w:rPr>
          <w:rFonts w:ascii="Times New Roman" w:hAnsi="Times New Roman" w:cs="Times New Roman"/>
        </w:rPr>
        <w:t>so that earth stations communicating with a space receive station (on a satellite or other space object) may be part of an area-wide service, and thereby authorised under an AWL.</w:t>
      </w:r>
      <w:r w:rsidR="001904BC">
        <w:rPr>
          <w:rFonts w:ascii="Times New Roman" w:hAnsi="Times New Roman" w:cs="Times New Roman"/>
        </w:rPr>
        <w:t xml:space="preserve"> </w:t>
      </w:r>
    </w:p>
    <w:p w14:paraId="62B66CB7" w14:textId="0A7F1C73" w:rsidR="004C58B9" w:rsidRDefault="004C58B9" w:rsidP="007854EB">
      <w:pPr>
        <w:keepNext/>
        <w:spacing w:line="257" w:lineRule="auto"/>
        <w:rPr>
          <w:rFonts w:ascii="Times New Roman" w:hAnsi="Times New Roman" w:cs="Times New Roman"/>
          <w:b/>
          <w:i/>
        </w:rPr>
      </w:pPr>
      <w:r>
        <w:rPr>
          <w:rFonts w:ascii="Times New Roman" w:hAnsi="Times New Roman" w:cs="Times New Roman"/>
          <w:b/>
          <w:i/>
        </w:rPr>
        <w:t>Human rights implications</w:t>
      </w:r>
    </w:p>
    <w:p w14:paraId="0B759C40" w14:textId="77777777" w:rsidR="004C58B9" w:rsidRDefault="004C58B9" w:rsidP="00C635AA">
      <w:pPr>
        <w:spacing w:line="257" w:lineRule="auto"/>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C635AA">
      <w:pPr>
        <w:spacing w:line="257" w:lineRule="auto"/>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76A7876C"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79129373" w14:textId="77777777" w:rsidR="006D3BBF" w:rsidRDefault="006D3BBF" w:rsidP="000406AE">
      <w:pPr>
        <w:rPr>
          <w:rFonts w:ascii="Times New Roman" w:hAnsi="Times New Roman" w:cs="Times New Roman"/>
          <w:b/>
          <w:sz w:val="28"/>
          <w:szCs w:val="28"/>
        </w:rPr>
      </w:pPr>
      <w:r>
        <w:rPr>
          <w:rFonts w:ascii="Times New Roman" w:hAnsi="Times New Roman" w:cs="Times New Roman"/>
          <w:b/>
          <w:sz w:val="28"/>
          <w:szCs w:val="28"/>
        </w:rPr>
        <w:br w:type="page"/>
      </w:r>
    </w:p>
    <w:p w14:paraId="00392EC9" w14:textId="4AF3766A" w:rsidR="004C58B9" w:rsidRDefault="004C58B9" w:rsidP="007854EB">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266D2A24"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780089" w:rsidRPr="00780089">
        <w:rPr>
          <w:rFonts w:ascii="Times New Roman" w:hAnsi="Times New Roman" w:cs="Times New Roman"/>
          <w:b/>
          <w:i/>
          <w:sz w:val="28"/>
          <w:szCs w:val="28"/>
        </w:rPr>
        <w:t>Radiocommunications (Interpretation) Amendment Determination 2020 (No. 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3B0AFF1A"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780089" w:rsidRPr="00780089">
        <w:rPr>
          <w:rFonts w:ascii="Times New Roman" w:hAnsi="Times New Roman" w:cs="Times New Roman"/>
          <w:i/>
        </w:rPr>
        <w:t>Radiocommunications (Interpretation) Amendment Determination 2020 (No. 1)</w:t>
      </w:r>
      <w:r>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3664AF80" w:rsidR="004C58B9" w:rsidRDefault="004C58B9" w:rsidP="004C58B9">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2E195494" w14:textId="77777777"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1"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940587D" w14:textId="4C9C46B7" w:rsidR="000C07A9" w:rsidRDefault="006D799A" w:rsidP="004C58B9">
      <w:pPr>
        <w:rPr>
          <w:rFonts w:ascii="Times New Roman" w:hAnsi="Times New Roman" w:cs="Times New Roman"/>
        </w:rPr>
      </w:pPr>
      <w:r w:rsidRPr="006D799A">
        <w:rPr>
          <w:rFonts w:ascii="Times New Roman" w:hAnsi="Times New Roman" w:cs="Times New Roman"/>
        </w:rPr>
        <w:t xml:space="preserve">This </w:t>
      </w:r>
      <w:r w:rsidR="00472877">
        <w:rPr>
          <w:rFonts w:ascii="Times New Roman" w:hAnsi="Times New Roman" w:cs="Times New Roman"/>
        </w:rPr>
        <w:t xml:space="preserve">section identifies the provision that authorises the making of the </w:t>
      </w:r>
      <w:r w:rsidRPr="006D799A">
        <w:rPr>
          <w:rFonts w:ascii="Times New Roman" w:hAnsi="Times New Roman" w:cs="Times New Roman"/>
        </w:rPr>
        <w:t>instrument</w:t>
      </w:r>
      <w:r w:rsidR="00472877">
        <w:rPr>
          <w:rFonts w:ascii="Times New Roman" w:hAnsi="Times New Roman" w:cs="Times New Roman"/>
        </w:rPr>
        <w:t xml:space="preserve">, namely </w:t>
      </w:r>
      <w:r w:rsidRPr="006D799A">
        <w:rPr>
          <w:rFonts w:ascii="Times New Roman" w:hAnsi="Times New Roman" w:cs="Times New Roman"/>
        </w:rPr>
        <w:t xml:space="preserve">subsection 64(1) of the </w:t>
      </w:r>
      <w:r w:rsidRPr="00EB0FBE">
        <w:rPr>
          <w:rFonts w:ascii="Times New Roman" w:hAnsi="Times New Roman" w:cs="Times New Roman"/>
          <w:i/>
          <w:iCs/>
        </w:rPr>
        <w:t>Australian Communications and Media Authority Act 2005</w:t>
      </w:r>
      <w:r w:rsidR="006951DD" w:rsidRPr="007854EB">
        <w:rPr>
          <w:rFonts w:ascii="Times New Roman" w:hAnsi="Times New Roman" w:cs="Times New Roman"/>
        </w:rPr>
        <w:t>.</w:t>
      </w:r>
      <w:r w:rsidR="006951DD" w:rsidRPr="00327C21">
        <w:rPr>
          <w:rFonts w:ascii="Times New Roman" w:hAnsi="Times New Roman" w:cs="Times New Roman"/>
        </w:rPr>
        <w:t xml:space="preserve"> </w:t>
      </w:r>
    </w:p>
    <w:p w14:paraId="0599AB41" w14:textId="6D845867"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3709B1">
        <w:rPr>
          <w:rFonts w:ascii="Times New Roman" w:hAnsi="Times New Roman" w:cs="Times New Roman"/>
          <w:b/>
        </w:rPr>
        <w:t>Amendments</w:t>
      </w:r>
    </w:p>
    <w:p w14:paraId="6D325FF9" w14:textId="2251B4EC" w:rsidR="00D90D91" w:rsidRPr="005F5AA2" w:rsidRDefault="00472877" w:rsidP="00820EC4">
      <w:pPr>
        <w:pStyle w:val="paragraph"/>
        <w:spacing w:before="0" w:beforeAutospacing="0" w:after="0" w:afterAutospacing="0"/>
        <w:textAlignment w:val="baseline"/>
        <w:rPr>
          <w:sz w:val="22"/>
          <w:szCs w:val="22"/>
        </w:rPr>
      </w:pPr>
      <w:r>
        <w:rPr>
          <w:sz w:val="22"/>
          <w:szCs w:val="22"/>
        </w:rPr>
        <w:t>Section 4 provides that the instrument specified in Schedule 1 is amended as set out in the items in that Schedule.</w:t>
      </w:r>
    </w:p>
    <w:p w14:paraId="00081C7D" w14:textId="1043487D" w:rsidR="00415160" w:rsidRDefault="00415160" w:rsidP="00820EC4">
      <w:pPr>
        <w:pStyle w:val="paragraph"/>
        <w:spacing w:before="0" w:beforeAutospacing="0" w:after="0" w:afterAutospacing="0"/>
        <w:textAlignment w:val="baseline"/>
        <w:rPr>
          <w:sz w:val="22"/>
          <w:szCs w:val="22"/>
        </w:rPr>
      </w:pPr>
    </w:p>
    <w:p w14:paraId="612D9108" w14:textId="0E48C18C" w:rsidR="00501822" w:rsidRDefault="00501822" w:rsidP="00501822">
      <w:pPr>
        <w:rPr>
          <w:rFonts w:ascii="Times New Roman" w:hAnsi="Times New Roman" w:cs="Times New Roman"/>
          <w:b/>
        </w:rPr>
      </w:pPr>
      <w:r>
        <w:rPr>
          <w:rFonts w:ascii="Times New Roman" w:hAnsi="Times New Roman" w:cs="Times New Roman"/>
          <w:b/>
        </w:rPr>
        <w:t>Schedule 1</w:t>
      </w:r>
      <w:r w:rsidR="00C00B3C">
        <w:rPr>
          <w:rFonts w:ascii="Times New Roman" w:hAnsi="Times New Roman" w:cs="Times New Roman"/>
          <w:b/>
        </w:rPr>
        <w:t xml:space="preserve"> – Amendments</w:t>
      </w:r>
    </w:p>
    <w:p w14:paraId="57A6B731" w14:textId="43ED2FFA" w:rsidR="00FF0687" w:rsidRPr="005F5AA2" w:rsidRDefault="00564289" w:rsidP="00FF0687">
      <w:pPr>
        <w:pStyle w:val="paragraph"/>
        <w:spacing w:before="0" w:beforeAutospacing="0" w:after="0" w:afterAutospacing="0"/>
        <w:textAlignment w:val="baseline"/>
        <w:rPr>
          <w:sz w:val="22"/>
          <w:szCs w:val="22"/>
        </w:rPr>
      </w:pPr>
      <w:r w:rsidRPr="005F5AA2">
        <w:rPr>
          <w:sz w:val="22"/>
          <w:szCs w:val="22"/>
        </w:rPr>
        <w:t xml:space="preserve">Schedule </w:t>
      </w:r>
      <w:r w:rsidR="00472877">
        <w:rPr>
          <w:sz w:val="22"/>
          <w:szCs w:val="22"/>
        </w:rPr>
        <w:t xml:space="preserve">1 makes two amendments to the Interpretation Determination. First, it </w:t>
      </w:r>
      <w:r w:rsidR="00F2270A">
        <w:rPr>
          <w:sz w:val="22"/>
          <w:szCs w:val="22"/>
        </w:rPr>
        <w:t>replaces</w:t>
      </w:r>
      <w:r w:rsidRPr="005F5AA2">
        <w:rPr>
          <w:sz w:val="22"/>
          <w:szCs w:val="22"/>
        </w:rPr>
        <w:t xml:space="preserve"> the definition of </w:t>
      </w:r>
      <w:r w:rsidR="00FB088C">
        <w:rPr>
          <w:sz w:val="22"/>
          <w:szCs w:val="22"/>
        </w:rPr>
        <w:t>‘</w:t>
      </w:r>
      <w:r w:rsidRPr="005F5AA2">
        <w:rPr>
          <w:sz w:val="22"/>
          <w:szCs w:val="22"/>
        </w:rPr>
        <w:t>area-wide service</w:t>
      </w:r>
      <w:r w:rsidR="00FB088C">
        <w:rPr>
          <w:sz w:val="22"/>
          <w:szCs w:val="22"/>
        </w:rPr>
        <w:t>’</w:t>
      </w:r>
      <w:r w:rsidR="00F2270A">
        <w:rPr>
          <w:sz w:val="22"/>
          <w:szCs w:val="22"/>
        </w:rPr>
        <w:t>; the definition now</w:t>
      </w:r>
      <w:r w:rsidR="00FA06E7">
        <w:rPr>
          <w:sz w:val="22"/>
          <w:szCs w:val="22"/>
        </w:rPr>
        <w:t xml:space="preserve"> provides that an area-wide service </w:t>
      </w:r>
      <w:r w:rsidR="00EC353F" w:rsidRPr="005F5AA2">
        <w:rPr>
          <w:sz w:val="22"/>
          <w:szCs w:val="22"/>
        </w:rPr>
        <w:t>include</w:t>
      </w:r>
      <w:r w:rsidR="00044D67">
        <w:rPr>
          <w:sz w:val="22"/>
          <w:szCs w:val="22"/>
        </w:rPr>
        <w:t>s</w:t>
      </w:r>
      <w:r w:rsidR="00EC353F" w:rsidRPr="005F5AA2">
        <w:rPr>
          <w:sz w:val="22"/>
          <w:szCs w:val="22"/>
        </w:rPr>
        <w:t xml:space="preserve"> a </w:t>
      </w:r>
      <w:r w:rsidR="003C4B23">
        <w:rPr>
          <w:sz w:val="22"/>
          <w:szCs w:val="22"/>
        </w:rPr>
        <w:t xml:space="preserve">radiocommunications </w:t>
      </w:r>
      <w:r w:rsidR="00EF5769" w:rsidRPr="005F5AA2">
        <w:rPr>
          <w:sz w:val="22"/>
          <w:szCs w:val="22"/>
        </w:rPr>
        <w:t xml:space="preserve">service </w:t>
      </w:r>
      <w:r w:rsidR="003C4B23">
        <w:rPr>
          <w:sz w:val="22"/>
          <w:szCs w:val="22"/>
        </w:rPr>
        <w:t xml:space="preserve">that is </w:t>
      </w:r>
      <w:r w:rsidR="00EF5769" w:rsidRPr="005F5AA2">
        <w:rPr>
          <w:sz w:val="22"/>
          <w:szCs w:val="22"/>
        </w:rPr>
        <w:t xml:space="preserve">used for </w:t>
      </w:r>
      <w:r w:rsidR="00843B03" w:rsidRPr="005F5AA2">
        <w:rPr>
          <w:sz w:val="22"/>
          <w:szCs w:val="22"/>
        </w:rPr>
        <w:t xml:space="preserve">radiocommunications </w:t>
      </w:r>
      <w:r w:rsidR="003C4B23">
        <w:rPr>
          <w:sz w:val="22"/>
          <w:szCs w:val="22"/>
        </w:rPr>
        <w:t>to</w:t>
      </w:r>
      <w:r w:rsidR="003C4B23" w:rsidRPr="005F5AA2">
        <w:rPr>
          <w:sz w:val="22"/>
          <w:szCs w:val="22"/>
        </w:rPr>
        <w:t xml:space="preserve"> </w:t>
      </w:r>
      <w:r w:rsidR="00331F0B" w:rsidRPr="005F5AA2">
        <w:rPr>
          <w:sz w:val="22"/>
          <w:szCs w:val="22"/>
        </w:rPr>
        <w:t>space receive stations. This will enable an earth station</w:t>
      </w:r>
      <w:r w:rsidR="003C4B23">
        <w:rPr>
          <w:sz w:val="22"/>
          <w:szCs w:val="22"/>
        </w:rPr>
        <w:t>, which communicates to space receive stations,</w:t>
      </w:r>
      <w:r w:rsidR="00331F0B" w:rsidRPr="005F5AA2">
        <w:rPr>
          <w:sz w:val="22"/>
          <w:szCs w:val="22"/>
        </w:rPr>
        <w:t xml:space="preserve"> to be authorised by an area-wide licence.</w:t>
      </w:r>
      <w:r w:rsidR="003C4B23">
        <w:rPr>
          <w:sz w:val="22"/>
          <w:szCs w:val="22"/>
        </w:rPr>
        <w:t xml:space="preserve"> </w:t>
      </w:r>
    </w:p>
    <w:p w14:paraId="5D48A80A" w14:textId="692C29FB" w:rsidR="003C4B23" w:rsidRDefault="003C4B23" w:rsidP="00820EC4">
      <w:pPr>
        <w:pStyle w:val="paragraph"/>
        <w:spacing w:before="0" w:beforeAutospacing="0" w:after="0" w:afterAutospacing="0"/>
        <w:textAlignment w:val="baseline"/>
        <w:rPr>
          <w:sz w:val="22"/>
          <w:szCs w:val="22"/>
        </w:rPr>
      </w:pPr>
    </w:p>
    <w:p w14:paraId="238252D6" w14:textId="28418E21" w:rsidR="00415160" w:rsidRPr="005F5AA2" w:rsidRDefault="003C4B23" w:rsidP="00820EC4">
      <w:pPr>
        <w:pStyle w:val="paragraph"/>
        <w:spacing w:before="0" w:beforeAutospacing="0" w:after="0" w:afterAutospacing="0"/>
        <w:textAlignment w:val="baseline"/>
        <w:rPr>
          <w:sz w:val="22"/>
          <w:szCs w:val="22"/>
        </w:rPr>
      </w:pPr>
      <w:r>
        <w:rPr>
          <w:sz w:val="22"/>
          <w:szCs w:val="22"/>
        </w:rPr>
        <w:t xml:space="preserve">Secondly, it makes a consequential amendment to </w:t>
      </w:r>
      <w:r w:rsidR="00415160" w:rsidRPr="005F5AA2">
        <w:rPr>
          <w:sz w:val="22"/>
          <w:szCs w:val="22"/>
        </w:rPr>
        <w:t xml:space="preserve">the definition of an </w:t>
      </w:r>
      <w:r>
        <w:rPr>
          <w:sz w:val="22"/>
          <w:szCs w:val="22"/>
        </w:rPr>
        <w:t>‘</w:t>
      </w:r>
      <w:r w:rsidR="00415160" w:rsidRPr="005F5AA2">
        <w:rPr>
          <w:sz w:val="22"/>
          <w:szCs w:val="22"/>
        </w:rPr>
        <w:t>earth licence</w:t>
      </w:r>
      <w:r>
        <w:rPr>
          <w:sz w:val="22"/>
          <w:szCs w:val="22"/>
        </w:rPr>
        <w:t>’</w:t>
      </w:r>
      <w:r w:rsidR="00415160" w:rsidRPr="005F5AA2">
        <w:rPr>
          <w:sz w:val="22"/>
          <w:szCs w:val="22"/>
        </w:rPr>
        <w:t>.</w:t>
      </w:r>
    </w:p>
    <w:p w14:paraId="458AF617" w14:textId="77777777" w:rsidR="00025ACE" w:rsidRPr="004C58B9" w:rsidRDefault="00025ACE" w:rsidP="00327C21"/>
    <w:sectPr w:rsidR="00025ACE" w:rsidRPr="004C58B9"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62D06" w14:textId="77777777" w:rsidR="004A0DED" w:rsidRDefault="004A0DED" w:rsidP="00025ACE">
      <w:pPr>
        <w:spacing w:after="0" w:line="240" w:lineRule="auto"/>
      </w:pPr>
      <w:r>
        <w:separator/>
      </w:r>
    </w:p>
  </w:endnote>
  <w:endnote w:type="continuationSeparator" w:id="0">
    <w:p w14:paraId="00E0A890" w14:textId="77777777" w:rsidR="004A0DED" w:rsidRDefault="004A0DED" w:rsidP="00025ACE">
      <w:pPr>
        <w:spacing w:after="0" w:line="240" w:lineRule="auto"/>
      </w:pPr>
      <w:r>
        <w:continuationSeparator/>
      </w:r>
    </w:p>
  </w:endnote>
  <w:endnote w:type="continuationNotice" w:id="1">
    <w:p w14:paraId="6FE5B473" w14:textId="77777777" w:rsidR="004A0DED" w:rsidRDefault="004A0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67ECD21F"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F2025C">
          <w:rPr>
            <w:rFonts w:ascii="Times New Roman" w:hAnsi="Times New Roman" w:cs="Times New Roman"/>
            <w:i/>
          </w:rPr>
          <w:t>Radiocommunications</w:t>
        </w:r>
        <w:r w:rsidR="00053227">
          <w:rPr>
            <w:rFonts w:ascii="Times New Roman" w:hAnsi="Times New Roman" w:cs="Times New Roman"/>
            <w:i/>
          </w:rPr>
          <w:t> </w:t>
        </w:r>
        <w:r w:rsidR="00F2025C">
          <w:rPr>
            <w:rFonts w:ascii="Times New Roman" w:hAnsi="Times New Roman" w:cs="Times New Roman"/>
            <w:i/>
          </w:rPr>
          <w:t>(Interpretation)</w:t>
        </w:r>
        <w:r w:rsidR="00053227">
          <w:rPr>
            <w:rFonts w:ascii="Times New Roman" w:hAnsi="Times New Roman" w:cs="Times New Roman"/>
            <w:i/>
          </w:rPr>
          <w:t> </w:t>
        </w:r>
        <w:r w:rsidR="00F2025C">
          <w:rPr>
            <w:rFonts w:ascii="Times New Roman" w:hAnsi="Times New Roman" w:cs="Times New Roman"/>
            <w:i/>
          </w:rPr>
          <w:t>Amendment Determination 2020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0A218" w14:textId="77777777" w:rsidR="004A0DED" w:rsidRDefault="004A0DED" w:rsidP="00025ACE">
      <w:pPr>
        <w:spacing w:after="0" w:line="240" w:lineRule="auto"/>
      </w:pPr>
      <w:r>
        <w:separator/>
      </w:r>
    </w:p>
  </w:footnote>
  <w:footnote w:type="continuationSeparator" w:id="0">
    <w:p w14:paraId="478D70B8" w14:textId="77777777" w:rsidR="004A0DED" w:rsidRDefault="004A0DED" w:rsidP="00025ACE">
      <w:pPr>
        <w:spacing w:after="0" w:line="240" w:lineRule="auto"/>
      </w:pPr>
      <w:r>
        <w:continuationSeparator/>
      </w:r>
    </w:p>
  </w:footnote>
  <w:footnote w:type="continuationNotice" w:id="1">
    <w:p w14:paraId="22718929" w14:textId="77777777" w:rsidR="004A0DED" w:rsidRDefault="004A0D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53B6D"/>
    <w:multiLevelType w:val="hybridMultilevel"/>
    <w:tmpl w:val="E9C85E04"/>
    <w:lvl w:ilvl="0" w:tplc="FDBCA8D8">
      <w:start w:val="2"/>
      <w:numFmt w:val="decimal"/>
      <w:lvlText w:val="%1."/>
      <w:lvlJc w:val="left"/>
      <w:pPr>
        <w:tabs>
          <w:tab w:val="num" w:pos="720"/>
        </w:tabs>
        <w:ind w:left="720" w:hanging="360"/>
      </w:pPr>
    </w:lvl>
    <w:lvl w:ilvl="1" w:tplc="F47A8C50" w:tentative="1">
      <w:start w:val="1"/>
      <w:numFmt w:val="decimal"/>
      <w:lvlText w:val="%2."/>
      <w:lvlJc w:val="left"/>
      <w:pPr>
        <w:tabs>
          <w:tab w:val="num" w:pos="1440"/>
        </w:tabs>
        <w:ind w:left="1440" w:hanging="360"/>
      </w:pPr>
    </w:lvl>
    <w:lvl w:ilvl="2" w:tplc="4EF2293E" w:tentative="1">
      <w:start w:val="1"/>
      <w:numFmt w:val="decimal"/>
      <w:lvlText w:val="%3."/>
      <w:lvlJc w:val="left"/>
      <w:pPr>
        <w:tabs>
          <w:tab w:val="num" w:pos="2160"/>
        </w:tabs>
        <w:ind w:left="2160" w:hanging="360"/>
      </w:pPr>
    </w:lvl>
    <w:lvl w:ilvl="3" w:tplc="921CA3B8" w:tentative="1">
      <w:start w:val="1"/>
      <w:numFmt w:val="decimal"/>
      <w:lvlText w:val="%4."/>
      <w:lvlJc w:val="left"/>
      <w:pPr>
        <w:tabs>
          <w:tab w:val="num" w:pos="2880"/>
        </w:tabs>
        <w:ind w:left="2880" w:hanging="360"/>
      </w:pPr>
    </w:lvl>
    <w:lvl w:ilvl="4" w:tplc="6DE42EE0" w:tentative="1">
      <w:start w:val="1"/>
      <w:numFmt w:val="decimal"/>
      <w:lvlText w:val="%5."/>
      <w:lvlJc w:val="left"/>
      <w:pPr>
        <w:tabs>
          <w:tab w:val="num" w:pos="3600"/>
        </w:tabs>
        <w:ind w:left="3600" w:hanging="360"/>
      </w:pPr>
    </w:lvl>
    <w:lvl w:ilvl="5" w:tplc="C966CDC6" w:tentative="1">
      <w:start w:val="1"/>
      <w:numFmt w:val="decimal"/>
      <w:lvlText w:val="%6."/>
      <w:lvlJc w:val="left"/>
      <w:pPr>
        <w:tabs>
          <w:tab w:val="num" w:pos="4320"/>
        </w:tabs>
        <w:ind w:left="4320" w:hanging="360"/>
      </w:pPr>
    </w:lvl>
    <w:lvl w:ilvl="6" w:tplc="A68A6AA6" w:tentative="1">
      <w:start w:val="1"/>
      <w:numFmt w:val="decimal"/>
      <w:lvlText w:val="%7."/>
      <w:lvlJc w:val="left"/>
      <w:pPr>
        <w:tabs>
          <w:tab w:val="num" w:pos="5040"/>
        </w:tabs>
        <w:ind w:left="5040" w:hanging="360"/>
      </w:pPr>
    </w:lvl>
    <w:lvl w:ilvl="7" w:tplc="C65C2A46" w:tentative="1">
      <w:start w:val="1"/>
      <w:numFmt w:val="decimal"/>
      <w:lvlText w:val="%8."/>
      <w:lvlJc w:val="left"/>
      <w:pPr>
        <w:tabs>
          <w:tab w:val="num" w:pos="5760"/>
        </w:tabs>
        <w:ind w:left="5760" w:hanging="360"/>
      </w:pPr>
    </w:lvl>
    <w:lvl w:ilvl="8" w:tplc="2A9AAEE6" w:tentative="1">
      <w:start w:val="1"/>
      <w:numFmt w:val="decimal"/>
      <w:lvlText w:val="%9."/>
      <w:lvlJc w:val="left"/>
      <w:pPr>
        <w:tabs>
          <w:tab w:val="num" w:pos="6480"/>
        </w:tabs>
        <w:ind w:left="6480" w:hanging="360"/>
      </w:p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B65AFF"/>
    <w:multiLevelType w:val="hybridMultilevel"/>
    <w:tmpl w:val="4AC27FBE"/>
    <w:lvl w:ilvl="0" w:tplc="B10A74A0">
      <w:start w:val="1"/>
      <w:numFmt w:val="decimal"/>
      <w:lvlText w:val="%1."/>
      <w:lvlJc w:val="left"/>
      <w:pPr>
        <w:tabs>
          <w:tab w:val="num" w:pos="720"/>
        </w:tabs>
        <w:ind w:left="720" w:hanging="360"/>
      </w:pPr>
    </w:lvl>
    <w:lvl w:ilvl="1" w:tplc="AF6408BC" w:tentative="1">
      <w:start w:val="1"/>
      <w:numFmt w:val="decimal"/>
      <w:lvlText w:val="%2."/>
      <w:lvlJc w:val="left"/>
      <w:pPr>
        <w:tabs>
          <w:tab w:val="num" w:pos="1440"/>
        </w:tabs>
        <w:ind w:left="1440" w:hanging="360"/>
      </w:pPr>
    </w:lvl>
    <w:lvl w:ilvl="2" w:tplc="6DA4AF08" w:tentative="1">
      <w:start w:val="1"/>
      <w:numFmt w:val="decimal"/>
      <w:lvlText w:val="%3."/>
      <w:lvlJc w:val="left"/>
      <w:pPr>
        <w:tabs>
          <w:tab w:val="num" w:pos="2160"/>
        </w:tabs>
        <w:ind w:left="2160" w:hanging="360"/>
      </w:pPr>
    </w:lvl>
    <w:lvl w:ilvl="3" w:tplc="7CEA9AE4" w:tentative="1">
      <w:start w:val="1"/>
      <w:numFmt w:val="decimal"/>
      <w:lvlText w:val="%4."/>
      <w:lvlJc w:val="left"/>
      <w:pPr>
        <w:tabs>
          <w:tab w:val="num" w:pos="2880"/>
        </w:tabs>
        <w:ind w:left="2880" w:hanging="360"/>
      </w:pPr>
    </w:lvl>
    <w:lvl w:ilvl="4" w:tplc="CBC619D0" w:tentative="1">
      <w:start w:val="1"/>
      <w:numFmt w:val="decimal"/>
      <w:lvlText w:val="%5."/>
      <w:lvlJc w:val="left"/>
      <w:pPr>
        <w:tabs>
          <w:tab w:val="num" w:pos="3600"/>
        </w:tabs>
        <w:ind w:left="3600" w:hanging="360"/>
      </w:pPr>
    </w:lvl>
    <w:lvl w:ilvl="5" w:tplc="9934D524" w:tentative="1">
      <w:start w:val="1"/>
      <w:numFmt w:val="decimal"/>
      <w:lvlText w:val="%6."/>
      <w:lvlJc w:val="left"/>
      <w:pPr>
        <w:tabs>
          <w:tab w:val="num" w:pos="4320"/>
        </w:tabs>
        <w:ind w:left="4320" w:hanging="360"/>
      </w:pPr>
    </w:lvl>
    <w:lvl w:ilvl="6" w:tplc="74626E7A" w:tentative="1">
      <w:start w:val="1"/>
      <w:numFmt w:val="decimal"/>
      <w:lvlText w:val="%7."/>
      <w:lvlJc w:val="left"/>
      <w:pPr>
        <w:tabs>
          <w:tab w:val="num" w:pos="5040"/>
        </w:tabs>
        <w:ind w:left="5040" w:hanging="360"/>
      </w:pPr>
    </w:lvl>
    <w:lvl w:ilvl="7" w:tplc="BBEA70DE" w:tentative="1">
      <w:start w:val="1"/>
      <w:numFmt w:val="decimal"/>
      <w:lvlText w:val="%8."/>
      <w:lvlJc w:val="left"/>
      <w:pPr>
        <w:tabs>
          <w:tab w:val="num" w:pos="5760"/>
        </w:tabs>
        <w:ind w:left="5760" w:hanging="360"/>
      </w:pPr>
    </w:lvl>
    <w:lvl w:ilvl="8" w:tplc="8768458E" w:tentative="1">
      <w:start w:val="1"/>
      <w:numFmt w:val="decimal"/>
      <w:lvlText w:val="%9."/>
      <w:lvlJc w:val="left"/>
      <w:pPr>
        <w:tabs>
          <w:tab w:val="num" w:pos="6480"/>
        </w:tabs>
        <w:ind w:left="6480" w:hanging="360"/>
      </w:p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7B583D"/>
    <w:multiLevelType w:val="hybridMultilevel"/>
    <w:tmpl w:val="C4E07B30"/>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4"/>
  </w:num>
  <w:num w:numId="6">
    <w:abstractNumId w:val="0"/>
  </w:num>
  <w:num w:numId="7">
    <w:abstractNumId w:val="3"/>
  </w:num>
  <w:num w:numId="8">
    <w:abstractNumId w:val="9"/>
  </w:num>
  <w:num w:numId="9">
    <w:abstractNumId w:val="1"/>
  </w:num>
  <w:num w:numId="10">
    <w:abstractNumId w:val="3"/>
  </w:num>
  <w:num w:numId="11">
    <w:abstractNumId w:val="5"/>
  </w:num>
  <w:num w:numId="12">
    <w:abstractNumId w:val="4"/>
  </w:num>
  <w:num w:numId="13">
    <w:abstractNumId w:val="9"/>
  </w:num>
  <w:num w:numId="14">
    <w:abstractNumId w:val="1"/>
  </w:num>
  <w:num w:numId="15">
    <w:abstractNumId w:val="3"/>
  </w:num>
  <w:num w:numId="16">
    <w:abstractNumId w:val="5"/>
  </w:num>
  <w:num w:numId="17">
    <w:abstractNumId w:val="4"/>
  </w:num>
  <w:num w:numId="18">
    <w:abstractNumId w:val="6"/>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5A2"/>
    <w:rsid w:val="0000199A"/>
    <w:rsid w:val="00002640"/>
    <w:rsid w:val="0000297F"/>
    <w:rsid w:val="00003720"/>
    <w:rsid w:val="000052B3"/>
    <w:rsid w:val="00006EC2"/>
    <w:rsid w:val="000124F9"/>
    <w:rsid w:val="00013079"/>
    <w:rsid w:val="00017EC0"/>
    <w:rsid w:val="00021B66"/>
    <w:rsid w:val="00023F6A"/>
    <w:rsid w:val="00024D87"/>
    <w:rsid w:val="00025ACE"/>
    <w:rsid w:val="00026AAA"/>
    <w:rsid w:val="00027CE2"/>
    <w:rsid w:val="00030412"/>
    <w:rsid w:val="00030B81"/>
    <w:rsid w:val="00031C5E"/>
    <w:rsid w:val="00031F5D"/>
    <w:rsid w:val="00034A8B"/>
    <w:rsid w:val="00037F0E"/>
    <w:rsid w:val="000400B5"/>
    <w:rsid w:val="00040458"/>
    <w:rsid w:val="000406AE"/>
    <w:rsid w:val="00044D67"/>
    <w:rsid w:val="00045EE6"/>
    <w:rsid w:val="000464F0"/>
    <w:rsid w:val="00052AAD"/>
    <w:rsid w:val="00052C55"/>
    <w:rsid w:val="00053227"/>
    <w:rsid w:val="0006010B"/>
    <w:rsid w:val="00061033"/>
    <w:rsid w:val="0006647B"/>
    <w:rsid w:val="00070D91"/>
    <w:rsid w:val="000726C7"/>
    <w:rsid w:val="00074A8D"/>
    <w:rsid w:val="00076D5C"/>
    <w:rsid w:val="00076F5D"/>
    <w:rsid w:val="0008008C"/>
    <w:rsid w:val="00080B7E"/>
    <w:rsid w:val="00082354"/>
    <w:rsid w:val="00092B2D"/>
    <w:rsid w:val="00094058"/>
    <w:rsid w:val="00095AB3"/>
    <w:rsid w:val="00095F61"/>
    <w:rsid w:val="000963D9"/>
    <w:rsid w:val="00096D82"/>
    <w:rsid w:val="000A0308"/>
    <w:rsid w:val="000A1381"/>
    <w:rsid w:val="000A3A94"/>
    <w:rsid w:val="000A5752"/>
    <w:rsid w:val="000B0665"/>
    <w:rsid w:val="000B0BA7"/>
    <w:rsid w:val="000B33B6"/>
    <w:rsid w:val="000B4B6C"/>
    <w:rsid w:val="000C07A9"/>
    <w:rsid w:val="000C2851"/>
    <w:rsid w:val="000C3EEB"/>
    <w:rsid w:val="000C5F84"/>
    <w:rsid w:val="000C6436"/>
    <w:rsid w:val="000D07E8"/>
    <w:rsid w:val="000D1F3F"/>
    <w:rsid w:val="000D4ECE"/>
    <w:rsid w:val="000E1955"/>
    <w:rsid w:val="000E38C9"/>
    <w:rsid w:val="000E4570"/>
    <w:rsid w:val="000E6F58"/>
    <w:rsid w:val="000F6255"/>
    <w:rsid w:val="000F6A0B"/>
    <w:rsid w:val="00100BC3"/>
    <w:rsid w:val="0010262C"/>
    <w:rsid w:val="00104130"/>
    <w:rsid w:val="00107B99"/>
    <w:rsid w:val="00107D43"/>
    <w:rsid w:val="00112987"/>
    <w:rsid w:val="00113364"/>
    <w:rsid w:val="00113448"/>
    <w:rsid w:val="001147F7"/>
    <w:rsid w:val="0011569C"/>
    <w:rsid w:val="0011687B"/>
    <w:rsid w:val="00117351"/>
    <w:rsid w:val="00120ADA"/>
    <w:rsid w:val="00121822"/>
    <w:rsid w:val="00121B9E"/>
    <w:rsid w:val="00122072"/>
    <w:rsid w:val="00126A00"/>
    <w:rsid w:val="001276BE"/>
    <w:rsid w:val="001310B0"/>
    <w:rsid w:val="00133B95"/>
    <w:rsid w:val="00134705"/>
    <w:rsid w:val="001431F1"/>
    <w:rsid w:val="00144F08"/>
    <w:rsid w:val="001453AE"/>
    <w:rsid w:val="00146A0C"/>
    <w:rsid w:val="00151AEF"/>
    <w:rsid w:val="00153987"/>
    <w:rsid w:val="001544FD"/>
    <w:rsid w:val="001551E9"/>
    <w:rsid w:val="001618A9"/>
    <w:rsid w:val="00161C73"/>
    <w:rsid w:val="00164B92"/>
    <w:rsid w:val="001658DE"/>
    <w:rsid w:val="00166E8E"/>
    <w:rsid w:val="00170FC0"/>
    <w:rsid w:val="00171591"/>
    <w:rsid w:val="00172951"/>
    <w:rsid w:val="00173C7D"/>
    <w:rsid w:val="00180F45"/>
    <w:rsid w:val="0018276C"/>
    <w:rsid w:val="0018340F"/>
    <w:rsid w:val="00183836"/>
    <w:rsid w:val="00183C2A"/>
    <w:rsid w:val="00185BDC"/>
    <w:rsid w:val="00185F36"/>
    <w:rsid w:val="001875D5"/>
    <w:rsid w:val="001904BC"/>
    <w:rsid w:val="001952E9"/>
    <w:rsid w:val="001963CF"/>
    <w:rsid w:val="001A3CB6"/>
    <w:rsid w:val="001A5EA0"/>
    <w:rsid w:val="001B0061"/>
    <w:rsid w:val="001B026B"/>
    <w:rsid w:val="001B0CAC"/>
    <w:rsid w:val="001B18E4"/>
    <w:rsid w:val="001B2415"/>
    <w:rsid w:val="001B2F91"/>
    <w:rsid w:val="001B54AF"/>
    <w:rsid w:val="001C4BF8"/>
    <w:rsid w:val="001C5421"/>
    <w:rsid w:val="001D47B3"/>
    <w:rsid w:val="001D55BC"/>
    <w:rsid w:val="001D5C25"/>
    <w:rsid w:val="001E1170"/>
    <w:rsid w:val="001E2A15"/>
    <w:rsid w:val="001E343E"/>
    <w:rsid w:val="001E6032"/>
    <w:rsid w:val="001E7681"/>
    <w:rsid w:val="001F1E9C"/>
    <w:rsid w:val="001F42D0"/>
    <w:rsid w:val="002068FB"/>
    <w:rsid w:val="00207780"/>
    <w:rsid w:val="00212847"/>
    <w:rsid w:val="00213A46"/>
    <w:rsid w:val="002142B4"/>
    <w:rsid w:val="002176AA"/>
    <w:rsid w:val="0021793C"/>
    <w:rsid w:val="0022082D"/>
    <w:rsid w:val="00232418"/>
    <w:rsid w:val="00236551"/>
    <w:rsid w:val="002378BD"/>
    <w:rsid w:val="00237CB8"/>
    <w:rsid w:val="0024054A"/>
    <w:rsid w:val="00241D7A"/>
    <w:rsid w:val="0024505A"/>
    <w:rsid w:val="002508F7"/>
    <w:rsid w:val="002556F3"/>
    <w:rsid w:val="002571BD"/>
    <w:rsid w:val="00257B49"/>
    <w:rsid w:val="002600F5"/>
    <w:rsid w:val="00263735"/>
    <w:rsid w:val="00264088"/>
    <w:rsid w:val="002674E7"/>
    <w:rsid w:val="00267874"/>
    <w:rsid w:val="00270D5C"/>
    <w:rsid w:val="00272D75"/>
    <w:rsid w:val="00274738"/>
    <w:rsid w:val="00285C00"/>
    <w:rsid w:val="00286F0F"/>
    <w:rsid w:val="00287227"/>
    <w:rsid w:val="002A477C"/>
    <w:rsid w:val="002A6D28"/>
    <w:rsid w:val="002B2535"/>
    <w:rsid w:val="002B287C"/>
    <w:rsid w:val="002B5A34"/>
    <w:rsid w:val="002B6260"/>
    <w:rsid w:val="002B6699"/>
    <w:rsid w:val="002C12DF"/>
    <w:rsid w:val="002C2256"/>
    <w:rsid w:val="002C29E4"/>
    <w:rsid w:val="002C365F"/>
    <w:rsid w:val="002C3A4D"/>
    <w:rsid w:val="002C3B57"/>
    <w:rsid w:val="002C5B28"/>
    <w:rsid w:val="002C6276"/>
    <w:rsid w:val="002C701B"/>
    <w:rsid w:val="002D1AE9"/>
    <w:rsid w:val="002D5ADF"/>
    <w:rsid w:val="002E3B2A"/>
    <w:rsid w:val="002F09E3"/>
    <w:rsid w:val="002F36E0"/>
    <w:rsid w:val="002F4836"/>
    <w:rsid w:val="002F4948"/>
    <w:rsid w:val="002F4A7D"/>
    <w:rsid w:val="002F52E5"/>
    <w:rsid w:val="00300741"/>
    <w:rsid w:val="00301D8F"/>
    <w:rsid w:val="00304FD7"/>
    <w:rsid w:val="003057A5"/>
    <w:rsid w:val="00305FA8"/>
    <w:rsid w:val="00306E9D"/>
    <w:rsid w:val="00310B23"/>
    <w:rsid w:val="00311CEE"/>
    <w:rsid w:val="00314358"/>
    <w:rsid w:val="00314951"/>
    <w:rsid w:val="00322629"/>
    <w:rsid w:val="00322757"/>
    <w:rsid w:val="00324ADD"/>
    <w:rsid w:val="00327C21"/>
    <w:rsid w:val="00330DA2"/>
    <w:rsid w:val="00331E4A"/>
    <w:rsid w:val="00331F0B"/>
    <w:rsid w:val="00332BD0"/>
    <w:rsid w:val="00333529"/>
    <w:rsid w:val="00340254"/>
    <w:rsid w:val="0034065B"/>
    <w:rsid w:val="00342101"/>
    <w:rsid w:val="003434D4"/>
    <w:rsid w:val="003449AF"/>
    <w:rsid w:val="00344A0A"/>
    <w:rsid w:val="0034546F"/>
    <w:rsid w:val="00346249"/>
    <w:rsid w:val="00346AC5"/>
    <w:rsid w:val="00351ADF"/>
    <w:rsid w:val="00351CB8"/>
    <w:rsid w:val="00355820"/>
    <w:rsid w:val="00362FC7"/>
    <w:rsid w:val="003647E5"/>
    <w:rsid w:val="0036752E"/>
    <w:rsid w:val="00370620"/>
    <w:rsid w:val="003709B1"/>
    <w:rsid w:val="00373739"/>
    <w:rsid w:val="00375FA7"/>
    <w:rsid w:val="00382484"/>
    <w:rsid w:val="003831E8"/>
    <w:rsid w:val="00383587"/>
    <w:rsid w:val="00385EF1"/>
    <w:rsid w:val="00386D62"/>
    <w:rsid w:val="00392666"/>
    <w:rsid w:val="003971C1"/>
    <w:rsid w:val="003A09AA"/>
    <w:rsid w:val="003A2148"/>
    <w:rsid w:val="003A3635"/>
    <w:rsid w:val="003A477A"/>
    <w:rsid w:val="003A4AC1"/>
    <w:rsid w:val="003A6160"/>
    <w:rsid w:val="003A7407"/>
    <w:rsid w:val="003B3D92"/>
    <w:rsid w:val="003B4780"/>
    <w:rsid w:val="003B4D32"/>
    <w:rsid w:val="003B564B"/>
    <w:rsid w:val="003C2F82"/>
    <w:rsid w:val="003C34E0"/>
    <w:rsid w:val="003C44B4"/>
    <w:rsid w:val="003C4B23"/>
    <w:rsid w:val="003D1A80"/>
    <w:rsid w:val="003D2A58"/>
    <w:rsid w:val="003D3A3E"/>
    <w:rsid w:val="003D74BE"/>
    <w:rsid w:val="003D7D28"/>
    <w:rsid w:val="003E1615"/>
    <w:rsid w:val="003E25B6"/>
    <w:rsid w:val="003E46A4"/>
    <w:rsid w:val="003E47C4"/>
    <w:rsid w:val="003F1493"/>
    <w:rsid w:val="003F38A5"/>
    <w:rsid w:val="003F42AF"/>
    <w:rsid w:val="00403C6E"/>
    <w:rsid w:val="0041003E"/>
    <w:rsid w:val="00413E47"/>
    <w:rsid w:val="00415160"/>
    <w:rsid w:val="00416EF6"/>
    <w:rsid w:val="00420A6B"/>
    <w:rsid w:val="0042419A"/>
    <w:rsid w:val="00425A10"/>
    <w:rsid w:val="0043033E"/>
    <w:rsid w:val="00431012"/>
    <w:rsid w:val="00431721"/>
    <w:rsid w:val="00432D1C"/>
    <w:rsid w:val="00433DDC"/>
    <w:rsid w:val="004362E3"/>
    <w:rsid w:val="0044070E"/>
    <w:rsid w:val="0044363C"/>
    <w:rsid w:val="00443C55"/>
    <w:rsid w:val="00446CB7"/>
    <w:rsid w:val="00447CE3"/>
    <w:rsid w:val="00450F48"/>
    <w:rsid w:val="0045489F"/>
    <w:rsid w:val="00457818"/>
    <w:rsid w:val="00460365"/>
    <w:rsid w:val="00464D60"/>
    <w:rsid w:val="00466697"/>
    <w:rsid w:val="004666AD"/>
    <w:rsid w:val="00471D69"/>
    <w:rsid w:val="00472877"/>
    <w:rsid w:val="00473852"/>
    <w:rsid w:val="00474889"/>
    <w:rsid w:val="004759F3"/>
    <w:rsid w:val="00476305"/>
    <w:rsid w:val="004769B2"/>
    <w:rsid w:val="0048062A"/>
    <w:rsid w:val="004816C4"/>
    <w:rsid w:val="004826DD"/>
    <w:rsid w:val="00483B18"/>
    <w:rsid w:val="0048412E"/>
    <w:rsid w:val="0048511B"/>
    <w:rsid w:val="00486EA3"/>
    <w:rsid w:val="004916EC"/>
    <w:rsid w:val="00492E5C"/>
    <w:rsid w:val="004934E9"/>
    <w:rsid w:val="00495F5F"/>
    <w:rsid w:val="004971D6"/>
    <w:rsid w:val="004A0D91"/>
    <w:rsid w:val="004A0DED"/>
    <w:rsid w:val="004A1064"/>
    <w:rsid w:val="004A36C8"/>
    <w:rsid w:val="004A4366"/>
    <w:rsid w:val="004A582C"/>
    <w:rsid w:val="004B5D85"/>
    <w:rsid w:val="004B63A7"/>
    <w:rsid w:val="004C2D66"/>
    <w:rsid w:val="004C4483"/>
    <w:rsid w:val="004C58B9"/>
    <w:rsid w:val="004D2843"/>
    <w:rsid w:val="004D66E9"/>
    <w:rsid w:val="004E0B28"/>
    <w:rsid w:val="004E0C94"/>
    <w:rsid w:val="004E0D07"/>
    <w:rsid w:val="004E790E"/>
    <w:rsid w:val="004F343B"/>
    <w:rsid w:val="00501007"/>
    <w:rsid w:val="00501822"/>
    <w:rsid w:val="00502007"/>
    <w:rsid w:val="0050389F"/>
    <w:rsid w:val="0050737D"/>
    <w:rsid w:val="00512593"/>
    <w:rsid w:val="00513A99"/>
    <w:rsid w:val="00516064"/>
    <w:rsid w:val="00516518"/>
    <w:rsid w:val="005175D6"/>
    <w:rsid w:val="005240CD"/>
    <w:rsid w:val="0052687A"/>
    <w:rsid w:val="00535A48"/>
    <w:rsid w:val="005425E5"/>
    <w:rsid w:val="00543387"/>
    <w:rsid w:val="00544D7E"/>
    <w:rsid w:val="00546774"/>
    <w:rsid w:val="005470D1"/>
    <w:rsid w:val="005512E2"/>
    <w:rsid w:val="00552255"/>
    <w:rsid w:val="00552F7D"/>
    <w:rsid w:val="005577DA"/>
    <w:rsid w:val="00561609"/>
    <w:rsid w:val="00564289"/>
    <w:rsid w:val="00565743"/>
    <w:rsid w:val="00570974"/>
    <w:rsid w:val="005710D8"/>
    <w:rsid w:val="00572122"/>
    <w:rsid w:val="00573B38"/>
    <w:rsid w:val="0057458F"/>
    <w:rsid w:val="00575AEE"/>
    <w:rsid w:val="00585D2D"/>
    <w:rsid w:val="00593D70"/>
    <w:rsid w:val="005954A8"/>
    <w:rsid w:val="005957CF"/>
    <w:rsid w:val="005958D6"/>
    <w:rsid w:val="005964CF"/>
    <w:rsid w:val="005A084B"/>
    <w:rsid w:val="005A610A"/>
    <w:rsid w:val="005A68A4"/>
    <w:rsid w:val="005A6925"/>
    <w:rsid w:val="005B695E"/>
    <w:rsid w:val="005C2B5C"/>
    <w:rsid w:val="005C5A9E"/>
    <w:rsid w:val="005C65EB"/>
    <w:rsid w:val="005D2E79"/>
    <w:rsid w:val="005D3956"/>
    <w:rsid w:val="005D7272"/>
    <w:rsid w:val="005E724D"/>
    <w:rsid w:val="005E7DF4"/>
    <w:rsid w:val="005F2D07"/>
    <w:rsid w:val="005F3727"/>
    <w:rsid w:val="005F570E"/>
    <w:rsid w:val="005F5AA2"/>
    <w:rsid w:val="005F5BE6"/>
    <w:rsid w:val="005F73B2"/>
    <w:rsid w:val="005F7536"/>
    <w:rsid w:val="00602208"/>
    <w:rsid w:val="00603B3F"/>
    <w:rsid w:val="00603BB2"/>
    <w:rsid w:val="00604576"/>
    <w:rsid w:val="00605B8C"/>
    <w:rsid w:val="0061082E"/>
    <w:rsid w:val="0061186A"/>
    <w:rsid w:val="006120D1"/>
    <w:rsid w:val="00612550"/>
    <w:rsid w:val="00615DC1"/>
    <w:rsid w:val="00620BBC"/>
    <w:rsid w:val="00621A7E"/>
    <w:rsid w:val="00622DA4"/>
    <w:rsid w:val="00625C06"/>
    <w:rsid w:val="006312B1"/>
    <w:rsid w:val="00631FE9"/>
    <w:rsid w:val="00632D59"/>
    <w:rsid w:val="00632E7C"/>
    <w:rsid w:val="00634B02"/>
    <w:rsid w:val="00637EF4"/>
    <w:rsid w:val="00637F78"/>
    <w:rsid w:val="006406B3"/>
    <w:rsid w:val="00641906"/>
    <w:rsid w:val="00644619"/>
    <w:rsid w:val="00651520"/>
    <w:rsid w:val="00654D81"/>
    <w:rsid w:val="00655DE4"/>
    <w:rsid w:val="00656FC8"/>
    <w:rsid w:val="00660501"/>
    <w:rsid w:val="00663AF2"/>
    <w:rsid w:val="0066753B"/>
    <w:rsid w:val="00670716"/>
    <w:rsid w:val="00671216"/>
    <w:rsid w:val="0068152E"/>
    <w:rsid w:val="00681803"/>
    <w:rsid w:val="00681986"/>
    <w:rsid w:val="00681A34"/>
    <w:rsid w:val="00686F06"/>
    <w:rsid w:val="00687290"/>
    <w:rsid w:val="00687E92"/>
    <w:rsid w:val="00692303"/>
    <w:rsid w:val="006940DB"/>
    <w:rsid w:val="00694DBB"/>
    <w:rsid w:val="006951DD"/>
    <w:rsid w:val="00695B48"/>
    <w:rsid w:val="00695D52"/>
    <w:rsid w:val="00696659"/>
    <w:rsid w:val="006A0953"/>
    <w:rsid w:val="006A0BDF"/>
    <w:rsid w:val="006A1E74"/>
    <w:rsid w:val="006A3F92"/>
    <w:rsid w:val="006A4B4B"/>
    <w:rsid w:val="006A53BB"/>
    <w:rsid w:val="006A6D00"/>
    <w:rsid w:val="006B19BF"/>
    <w:rsid w:val="006B2283"/>
    <w:rsid w:val="006B436A"/>
    <w:rsid w:val="006B57CD"/>
    <w:rsid w:val="006B66DA"/>
    <w:rsid w:val="006C226D"/>
    <w:rsid w:val="006C434F"/>
    <w:rsid w:val="006C4872"/>
    <w:rsid w:val="006C4F60"/>
    <w:rsid w:val="006C59D5"/>
    <w:rsid w:val="006D3BBF"/>
    <w:rsid w:val="006D5038"/>
    <w:rsid w:val="006D799A"/>
    <w:rsid w:val="006E3081"/>
    <w:rsid w:val="006E4463"/>
    <w:rsid w:val="006E5776"/>
    <w:rsid w:val="006F1D10"/>
    <w:rsid w:val="006F2247"/>
    <w:rsid w:val="006F32BF"/>
    <w:rsid w:val="00701B13"/>
    <w:rsid w:val="00701FE0"/>
    <w:rsid w:val="0070587A"/>
    <w:rsid w:val="00706F43"/>
    <w:rsid w:val="00710B0B"/>
    <w:rsid w:val="007256A7"/>
    <w:rsid w:val="00725EA9"/>
    <w:rsid w:val="0072606C"/>
    <w:rsid w:val="0073242B"/>
    <w:rsid w:val="0073258F"/>
    <w:rsid w:val="00732D3D"/>
    <w:rsid w:val="00736B50"/>
    <w:rsid w:val="007370C5"/>
    <w:rsid w:val="007379D9"/>
    <w:rsid w:val="00742A60"/>
    <w:rsid w:val="0074453B"/>
    <w:rsid w:val="007450EE"/>
    <w:rsid w:val="007456D8"/>
    <w:rsid w:val="00745A24"/>
    <w:rsid w:val="0074661C"/>
    <w:rsid w:val="0074730B"/>
    <w:rsid w:val="00747B9B"/>
    <w:rsid w:val="00750397"/>
    <w:rsid w:val="007505A4"/>
    <w:rsid w:val="00754527"/>
    <w:rsid w:val="00756CF9"/>
    <w:rsid w:val="0076113F"/>
    <w:rsid w:val="00761939"/>
    <w:rsid w:val="0076268D"/>
    <w:rsid w:val="007645A4"/>
    <w:rsid w:val="00766475"/>
    <w:rsid w:val="00766754"/>
    <w:rsid w:val="00766B35"/>
    <w:rsid w:val="00770DB1"/>
    <w:rsid w:val="0077364D"/>
    <w:rsid w:val="007739D1"/>
    <w:rsid w:val="0077467D"/>
    <w:rsid w:val="00775B49"/>
    <w:rsid w:val="00780089"/>
    <w:rsid w:val="007854EB"/>
    <w:rsid w:val="007856A9"/>
    <w:rsid w:val="0078605A"/>
    <w:rsid w:val="007868E7"/>
    <w:rsid w:val="00791386"/>
    <w:rsid w:val="00791C9A"/>
    <w:rsid w:val="00791F82"/>
    <w:rsid w:val="007932D9"/>
    <w:rsid w:val="007938CA"/>
    <w:rsid w:val="00794C5F"/>
    <w:rsid w:val="0079502C"/>
    <w:rsid w:val="007A0103"/>
    <w:rsid w:val="007A2277"/>
    <w:rsid w:val="007A2F99"/>
    <w:rsid w:val="007A78E3"/>
    <w:rsid w:val="007B2D5D"/>
    <w:rsid w:val="007B2E77"/>
    <w:rsid w:val="007B5620"/>
    <w:rsid w:val="007B71D9"/>
    <w:rsid w:val="007C06DD"/>
    <w:rsid w:val="007C1A93"/>
    <w:rsid w:val="007C3F10"/>
    <w:rsid w:val="007C75CD"/>
    <w:rsid w:val="007C7C1B"/>
    <w:rsid w:val="007D0878"/>
    <w:rsid w:val="007D0D79"/>
    <w:rsid w:val="007D1ECD"/>
    <w:rsid w:val="007D2333"/>
    <w:rsid w:val="007D5CD7"/>
    <w:rsid w:val="007D5E0A"/>
    <w:rsid w:val="007D6921"/>
    <w:rsid w:val="007F23CA"/>
    <w:rsid w:val="007F5B3D"/>
    <w:rsid w:val="008010A9"/>
    <w:rsid w:val="0080121A"/>
    <w:rsid w:val="00801B78"/>
    <w:rsid w:val="00805358"/>
    <w:rsid w:val="008070A8"/>
    <w:rsid w:val="00810499"/>
    <w:rsid w:val="0081166D"/>
    <w:rsid w:val="0081203C"/>
    <w:rsid w:val="00812152"/>
    <w:rsid w:val="00815386"/>
    <w:rsid w:val="00820DD8"/>
    <w:rsid w:val="00820EC4"/>
    <w:rsid w:val="0082177D"/>
    <w:rsid w:val="00821F3F"/>
    <w:rsid w:val="008227A6"/>
    <w:rsid w:val="0083125B"/>
    <w:rsid w:val="00832A33"/>
    <w:rsid w:val="00840933"/>
    <w:rsid w:val="00841634"/>
    <w:rsid w:val="0084188A"/>
    <w:rsid w:val="00843B03"/>
    <w:rsid w:val="008441CF"/>
    <w:rsid w:val="0084470A"/>
    <w:rsid w:val="00845BF6"/>
    <w:rsid w:val="00851BC0"/>
    <w:rsid w:val="00851E9B"/>
    <w:rsid w:val="00852D57"/>
    <w:rsid w:val="008533A0"/>
    <w:rsid w:val="00856368"/>
    <w:rsid w:val="008612AF"/>
    <w:rsid w:val="008677FA"/>
    <w:rsid w:val="00867FE8"/>
    <w:rsid w:val="00874189"/>
    <w:rsid w:val="00875009"/>
    <w:rsid w:val="0087707C"/>
    <w:rsid w:val="00877102"/>
    <w:rsid w:val="0087757A"/>
    <w:rsid w:val="008828D5"/>
    <w:rsid w:val="00883DD3"/>
    <w:rsid w:val="00884D65"/>
    <w:rsid w:val="0089551B"/>
    <w:rsid w:val="00897FD5"/>
    <w:rsid w:val="008A06CE"/>
    <w:rsid w:val="008A07D8"/>
    <w:rsid w:val="008A1939"/>
    <w:rsid w:val="008A1FDF"/>
    <w:rsid w:val="008A3EB6"/>
    <w:rsid w:val="008A510D"/>
    <w:rsid w:val="008B0246"/>
    <w:rsid w:val="008B0447"/>
    <w:rsid w:val="008B1968"/>
    <w:rsid w:val="008B5C03"/>
    <w:rsid w:val="008B6F87"/>
    <w:rsid w:val="008C129D"/>
    <w:rsid w:val="008C3EFF"/>
    <w:rsid w:val="008C584E"/>
    <w:rsid w:val="008D1C45"/>
    <w:rsid w:val="008D2F9B"/>
    <w:rsid w:val="008D46AF"/>
    <w:rsid w:val="008D7A63"/>
    <w:rsid w:val="008E32C6"/>
    <w:rsid w:val="008E3483"/>
    <w:rsid w:val="008E4DCB"/>
    <w:rsid w:val="008F2F14"/>
    <w:rsid w:val="008F4622"/>
    <w:rsid w:val="008F4C58"/>
    <w:rsid w:val="00900224"/>
    <w:rsid w:val="00900E91"/>
    <w:rsid w:val="00902789"/>
    <w:rsid w:val="00904701"/>
    <w:rsid w:val="0090572C"/>
    <w:rsid w:val="0091080B"/>
    <w:rsid w:val="00910E09"/>
    <w:rsid w:val="00911095"/>
    <w:rsid w:val="00914116"/>
    <w:rsid w:val="00914A50"/>
    <w:rsid w:val="00920629"/>
    <w:rsid w:val="009215AD"/>
    <w:rsid w:val="00922908"/>
    <w:rsid w:val="00924BA8"/>
    <w:rsid w:val="00926833"/>
    <w:rsid w:val="0093022E"/>
    <w:rsid w:val="00930233"/>
    <w:rsid w:val="00930CA6"/>
    <w:rsid w:val="00932330"/>
    <w:rsid w:val="0093484D"/>
    <w:rsid w:val="00936D34"/>
    <w:rsid w:val="00936FC8"/>
    <w:rsid w:val="00940D2E"/>
    <w:rsid w:val="009424C9"/>
    <w:rsid w:val="00954310"/>
    <w:rsid w:val="00954932"/>
    <w:rsid w:val="009554F6"/>
    <w:rsid w:val="00956BB9"/>
    <w:rsid w:val="00956D60"/>
    <w:rsid w:val="00962871"/>
    <w:rsid w:val="00962D35"/>
    <w:rsid w:val="00962E12"/>
    <w:rsid w:val="00963A06"/>
    <w:rsid w:val="009670B7"/>
    <w:rsid w:val="009723D1"/>
    <w:rsid w:val="0097255B"/>
    <w:rsid w:val="0097266F"/>
    <w:rsid w:val="009732C1"/>
    <w:rsid w:val="009740A1"/>
    <w:rsid w:val="00977705"/>
    <w:rsid w:val="00977AC5"/>
    <w:rsid w:val="009854AC"/>
    <w:rsid w:val="00985874"/>
    <w:rsid w:val="00986622"/>
    <w:rsid w:val="00986F99"/>
    <w:rsid w:val="0099021B"/>
    <w:rsid w:val="009906C0"/>
    <w:rsid w:val="0099420F"/>
    <w:rsid w:val="00995EE6"/>
    <w:rsid w:val="009A4EF3"/>
    <w:rsid w:val="009A5A0B"/>
    <w:rsid w:val="009A6993"/>
    <w:rsid w:val="009B367A"/>
    <w:rsid w:val="009B3BA8"/>
    <w:rsid w:val="009B580E"/>
    <w:rsid w:val="009B5B58"/>
    <w:rsid w:val="009B6610"/>
    <w:rsid w:val="009D274B"/>
    <w:rsid w:val="009D4F55"/>
    <w:rsid w:val="009D5783"/>
    <w:rsid w:val="009D67A8"/>
    <w:rsid w:val="009D7485"/>
    <w:rsid w:val="009E1B2C"/>
    <w:rsid w:val="009E1C7F"/>
    <w:rsid w:val="009E709F"/>
    <w:rsid w:val="009E78EB"/>
    <w:rsid w:val="009F0EE4"/>
    <w:rsid w:val="009F1EA8"/>
    <w:rsid w:val="009F1F0D"/>
    <w:rsid w:val="009F3395"/>
    <w:rsid w:val="009F3B50"/>
    <w:rsid w:val="009F463E"/>
    <w:rsid w:val="009F4DF6"/>
    <w:rsid w:val="009F7219"/>
    <w:rsid w:val="00A0628C"/>
    <w:rsid w:val="00A07751"/>
    <w:rsid w:val="00A07A2F"/>
    <w:rsid w:val="00A12449"/>
    <w:rsid w:val="00A12A32"/>
    <w:rsid w:val="00A14000"/>
    <w:rsid w:val="00A15385"/>
    <w:rsid w:val="00A178AD"/>
    <w:rsid w:val="00A213A8"/>
    <w:rsid w:val="00A217A1"/>
    <w:rsid w:val="00A21F3E"/>
    <w:rsid w:val="00A232F6"/>
    <w:rsid w:val="00A32667"/>
    <w:rsid w:val="00A36096"/>
    <w:rsid w:val="00A3757C"/>
    <w:rsid w:val="00A47B2D"/>
    <w:rsid w:val="00A47B67"/>
    <w:rsid w:val="00A51423"/>
    <w:rsid w:val="00A5180A"/>
    <w:rsid w:val="00A527ED"/>
    <w:rsid w:val="00A53709"/>
    <w:rsid w:val="00A56DAA"/>
    <w:rsid w:val="00A64EC4"/>
    <w:rsid w:val="00A67DC3"/>
    <w:rsid w:val="00A7023B"/>
    <w:rsid w:val="00A70741"/>
    <w:rsid w:val="00A74E1D"/>
    <w:rsid w:val="00A813BE"/>
    <w:rsid w:val="00A81F2D"/>
    <w:rsid w:val="00A85DEB"/>
    <w:rsid w:val="00A9331F"/>
    <w:rsid w:val="00A94A2F"/>
    <w:rsid w:val="00AA2DF2"/>
    <w:rsid w:val="00AA6088"/>
    <w:rsid w:val="00AA6705"/>
    <w:rsid w:val="00AA7D32"/>
    <w:rsid w:val="00AB3E70"/>
    <w:rsid w:val="00AB5D26"/>
    <w:rsid w:val="00AB65E7"/>
    <w:rsid w:val="00AC2050"/>
    <w:rsid w:val="00AC2E07"/>
    <w:rsid w:val="00AC4206"/>
    <w:rsid w:val="00AC4F0B"/>
    <w:rsid w:val="00AC4FC4"/>
    <w:rsid w:val="00AC5C8D"/>
    <w:rsid w:val="00AD3414"/>
    <w:rsid w:val="00AD500F"/>
    <w:rsid w:val="00AD5E63"/>
    <w:rsid w:val="00AE1607"/>
    <w:rsid w:val="00AE2030"/>
    <w:rsid w:val="00AE2CB4"/>
    <w:rsid w:val="00AE3858"/>
    <w:rsid w:val="00AE6898"/>
    <w:rsid w:val="00AE69F6"/>
    <w:rsid w:val="00AE7040"/>
    <w:rsid w:val="00AF04B8"/>
    <w:rsid w:val="00AF080D"/>
    <w:rsid w:val="00AF34C9"/>
    <w:rsid w:val="00AF6545"/>
    <w:rsid w:val="00B00FC3"/>
    <w:rsid w:val="00B018EB"/>
    <w:rsid w:val="00B05B11"/>
    <w:rsid w:val="00B064B4"/>
    <w:rsid w:val="00B07DC3"/>
    <w:rsid w:val="00B17765"/>
    <w:rsid w:val="00B21480"/>
    <w:rsid w:val="00B22E82"/>
    <w:rsid w:val="00B24502"/>
    <w:rsid w:val="00B27235"/>
    <w:rsid w:val="00B3292D"/>
    <w:rsid w:val="00B36099"/>
    <w:rsid w:val="00B370C6"/>
    <w:rsid w:val="00B3714E"/>
    <w:rsid w:val="00B37CEC"/>
    <w:rsid w:val="00B4001B"/>
    <w:rsid w:val="00B401EA"/>
    <w:rsid w:val="00B41214"/>
    <w:rsid w:val="00B42DB6"/>
    <w:rsid w:val="00B51F17"/>
    <w:rsid w:val="00B52584"/>
    <w:rsid w:val="00B52F5E"/>
    <w:rsid w:val="00B536F7"/>
    <w:rsid w:val="00B559EF"/>
    <w:rsid w:val="00B60FC6"/>
    <w:rsid w:val="00B642FE"/>
    <w:rsid w:val="00B665E6"/>
    <w:rsid w:val="00B727F3"/>
    <w:rsid w:val="00B76116"/>
    <w:rsid w:val="00B814DC"/>
    <w:rsid w:val="00B828E6"/>
    <w:rsid w:val="00B82B10"/>
    <w:rsid w:val="00B853AB"/>
    <w:rsid w:val="00B858F4"/>
    <w:rsid w:val="00B90F17"/>
    <w:rsid w:val="00B94B30"/>
    <w:rsid w:val="00B97075"/>
    <w:rsid w:val="00BA2315"/>
    <w:rsid w:val="00BA3310"/>
    <w:rsid w:val="00BA4109"/>
    <w:rsid w:val="00BA436B"/>
    <w:rsid w:val="00BA4436"/>
    <w:rsid w:val="00BA6777"/>
    <w:rsid w:val="00BA6E14"/>
    <w:rsid w:val="00BA7919"/>
    <w:rsid w:val="00BA7D17"/>
    <w:rsid w:val="00BB076E"/>
    <w:rsid w:val="00BB1CF2"/>
    <w:rsid w:val="00BB7A25"/>
    <w:rsid w:val="00BC0A3C"/>
    <w:rsid w:val="00BC0F30"/>
    <w:rsid w:val="00BC5916"/>
    <w:rsid w:val="00BC5AD8"/>
    <w:rsid w:val="00BC5B86"/>
    <w:rsid w:val="00BC5B99"/>
    <w:rsid w:val="00BC621F"/>
    <w:rsid w:val="00BC74C4"/>
    <w:rsid w:val="00BD11CF"/>
    <w:rsid w:val="00BD1569"/>
    <w:rsid w:val="00BD4207"/>
    <w:rsid w:val="00BD772A"/>
    <w:rsid w:val="00BE3F67"/>
    <w:rsid w:val="00BE4853"/>
    <w:rsid w:val="00BE51A8"/>
    <w:rsid w:val="00BE70D1"/>
    <w:rsid w:val="00BF4FCA"/>
    <w:rsid w:val="00BF52C7"/>
    <w:rsid w:val="00BF7095"/>
    <w:rsid w:val="00BF7470"/>
    <w:rsid w:val="00C00B3C"/>
    <w:rsid w:val="00C00B9E"/>
    <w:rsid w:val="00C032F0"/>
    <w:rsid w:val="00C03503"/>
    <w:rsid w:val="00C073A7"/>
    <w:rsid w:val="00C10A61"/>
    <w:rsid w:val="00C10E3A"/>
    <w:rsid w:val="00C12113"/>
    <w:rsid w:val="00C13833"/>
    <w:rsid w:val="00C1424B"/>
    <w:rsid w:val="00C14388"/>
    <w:rsid w:val="00C150C1"/>
    <w:rsid w:val="00C20621"/>
    <w:rsid w:val="00C21933"/>
    <w:rsid w:val="00C22DAD"/>
    <w:rsid w:val="00C23C96"/>
    <w:rsid w:val="00C2429C"/>
    <w:rsid w:val="00C34051"/>
    <w:rsid w:val="00C35E62"/>
    <w:rsid w:val="00C35F39"/>
    <w:rsid w:val="00C42F96"/>
    <w:rsid w:val="00C4499A"/>
    <w:rsid w:val="00C517D3"/>
    <w:rsid w:val="00C52681"/>
    <w:rsid w:val="00C52C2A"/>
    <w:rsid w:val="00C5449A"/>
    <w:rsid w:val="00C572F7"/>
    <w:rsid w:val="00C57E29"/>
    <w:rsid w:val="00C60253"/>
    <w:rsid w:val="00C60743"/>
    <w:rsid w:val="00C60D93"/>
    <w:rsid w:val="00C61DCB"/>
    <w:rsid w:val="00C635AA"/>
    <w:rsid w:val="00C63E8C"/>
    <w:rsid w:val="00C645B6"/>
    <w:rsid w:val="00C659A7"/>
    <w:rsid w:val="00C65C2C"/>
    <w:rsid w:val="00C72DC7"/>
    <w:rsid w:val="00C740BE"/>
    <w:rsid w:val="00C74873"/>
    <w:rsid w:val="00C76FFC"/>
    <w:rsid w:val="00C83186"/>
    <w:rsid w:val="00C84254"/>
    <w:rsid w:val="00C84467"/>
    <w:rsid w:val="00C874DF"/>
    <w:rsid w:val="00C8791E"/>
    <w:rsid w:val="00C9259F"/>
    <w:rsid w:val="00C92C5E"/>
    <w:rsid w:val="00C92D82"/>
    <w:rsid w:val="00C94E7D"/>
    <w:rsid w:val="00C95F41"/>
    <w:rsid w:val="00C978F7"/>
    <w:rsid w:val="00CA22FA"/>
    <w:rsid w:val="00CA3398"/>
    <w:rsid w:val="00CA40FA"/>
    <w:rsid w:val="00CA6926"/>
    <w:rsid w:val="00CA735C"/>
    <w:rsid w:val="00CB3AD5"/>
    <w:rsid w:val="00CB4CC3"/>
    <w:rsid w:val="00CB76FB"/>
    <w:rsid w:val="00CC1C65"/>
    <w:rsid w:val="00CC6183"/>
    <w:rsid w:val="00CD0D86"/>
    <w:rsid w:val="00CD26CE"/>
    <w:rsid w:val="00CD626D"/>
    <w:rsid w:val="00CD688D"/>
    <w:rsid w:val="00CD71EB"/>
    <w:rsid w:val="00CE11CB"/>
    <w:rsid w:val="00CE392B"/>
    <w:rsid w:val="00CE3CC8"/>
    <w:rsid w:val="00CE5861"/>
    <w:rsid w:val="00CF352C"/>
    <w:rsid w:val="00CF36C8"/>
    <w:rsid w:val="00CF40B2"/>
    <w:rsid w:val="00CF4C0A"/>
    <w:rsid w:val="00CF7E24"/>
    <w:rsid w:val="00D046BD"/>
    <w:rsid w:val="00D057A9"/>
    <w:rsid w:val="00D067D9"/>
    <w:rsid w:val="00D0797D"/>
    <w:rsid w:val="00D10EDB"/>
    <w:rsid w:val="00D13D39"/>
    <w:rsid w:val="00D204EA"/>
    <w:rsid w:val="00D219EC"/>
    <w:rsid w:val="00D23BD5"/>
    <w:rsid w:val="00D2518B"/>
    <w:rsid w:val="00D26876"/>
    <w:rsid w:val="00D27A40"/>
    <w:rsid w:val="00D32526"/>
    <w:rsid w:val="00D32E4E"/>
    <w:rsid w:val="00D34702"/>
    <w:rsid w:val="00D35790"/>
    <w:rsid w:val="00D36438"/>
    <w:rsid w:val="00D40B92"/>
    <w:rsid w:val="00D41C0B"/>
    <w:rsid w:val="00D434CD"/>
    <w:rsid w:val="00D45A6D"/>
    <w:rsid w:val="00D46280"/>
    <w:rsid w:val="00D46447"/>
    <w:rsid w:val="00D4670D"/>
    <w:rsid w:val="00D5385A"/>
    <w:rsid w:val="00D56089"/>
    <w:rsid w:val="00D5671E"/>
    <w:rsid w:val="00D57387"/>
    <w:rsid w:val="00D60CA0"/>
    <w:rsid w:val="00D6118E"/>
    <w:rsid w:val="00D6179D"/>
    <w:rsid w:val="00D629CE"/>
    <w:rsid w:val="00D70149"/>
    <w:rsid w:val="00D7022C"/>
    <w:rsid w:val="00D72C25"/>
    <w:rsid w:val="00D7480F"/>
    <w:rsid w:val="00D8179C"/>
    <w:rsid w:val="00D8215F"/>
    <w:rsid w:val="00D82269"/>
    <w:rsid w:val="00D8445A"/>
    <w:rsid w:val="00D90D91"/>
    <w:rsid w:val="00D91035"/>
    <w:rsid w:val="00DA0D39"/>
    <w:rsid w:val="00DA2087"/>
    <w:rsid w:val="00DA259C"/>
    <w:rsid w:val="00DA6253"/>
    <w:rsid w:val="00DB2572"/>
    <w:rsid w:val="00DB42A2"/>
    <w:rsid w:val="00DB4A50"/>
    <w:rsid w:val="00DB760C"/>
    <w:rsid w:val="00DB7A1B"/>
    <w:rsid w:val="00DC42F0"/>
    <w:rsid w:val="00DC6419"/>
    <w:rsid w:val="00DC6EE3"/>
    <w:rsid w:val="00DD0145"/>
    <w:rsid w:val="00DD0685"/>
    <w:rsid w:val="00DD0A49"/>
    <w:rsid w:val="00DD3BCB"/>
    <w:rsid w:val="00DD3D58"/>
    <w:rsid w:val="00DD5367"/>
    <w:rsid w:val="00DE2854"/>
    <w:rsid w:val="00DE4670"/>
    <w:rsid w:val="00DF2758"/>
    <w:rsid w:val="00DF32AF"/>
    <w:rsid w:val="00DF4C08"/>
    <w:rsid w:val="00E01F51"/>
    <w:rsid w:val="00E024C0"/>
    <w:rsid w:val="00E03104"/>
    <w:rsid w:val="00E03E0A"/>
    <w:rsid w:val="00E0481D"/>
    <w:rsid w:val="00E13FED"/>
    <w:rsid w:val="00E14B48"/>
    <w:rsid w:val="00E20015"/>
    <w:rsid w:val="00E20303"/>
    <w:rsid w:val="00E20B28"/>
    <w:rsid w:val="00E211CD"/>
    <w:rsid w:val="00E22C24"/>
    <w:rsid w:val="00E2622E"/>
    <w:rsid w:val="00E26993"/>
    <w:rsid w:val="00E27BCD"/>
    <w:rsid w:val="00E30E59"/>
    <w:rsid w:val="00E33694"/>
    <w:rsid w:val="00E337E6"/>
    <w:rsid w:val="00E34CD4"/>
    <w:rsid w:val="00E3532C"/>
    <w:rsid w:val="00E36F00"/>
    <w:rsid w:val="00E403FA"/>
    <w:rsid w:val="00E40D8D"/>
    <w:rsid w:val="00E46D37"/>
    <w:rsid w:val="00E47203"/>
    <w:rsid w:val="00E47FDB"/>
    <w:rsid w:val="00E51988"/>
    <w:rsid w:val="00E51FA3"/>
    <w:rsid w:val="00E52C53"/>
    <w:rsid w:val="00E54E8A"/>
    <w:rsid w:val="00E57E08"/>
    <w:rsid w:val="00E623C4"/>
    <w:rsid w:val="00E6364B"/>
    <w:rsid w:val="00E63C2F"/>
    <w:rsid w:val="00E71EF2"/>
    <w:rsid w:val="00E733C4"/>
    <w:rsid w:val="00E73461"/>
    <w:rsid w:val="00E73A9B"/>
    <w:rsid w:val="00E74316"/>
    <w:rsid w:val="00E74BA5"/>
    <w:rsid w:val="00E752D0"/>
    <w:rsid w:val="00E7713D"/>
    <w:rsid w:val="00E80AA0"/>
    <w:rsid w:val="00E82199"/>
    <w:rsid w:val="00E8298C"/>
    <w:rsid w:val="00E833DA"/>
    <w:rsid w:val="00E83D02"/>
    <w:rsid w:val="00E8728F"/>
    <w:rsid w:val="00E9559A"/>
    <w:rsid w:val="00EA624A"/>
    <w:rsid w:val="00EA7828"/>
    <w:rsid w:val="00EB06D2"/>
    <w:rsid w:val="00EB0C79"/>
    <w:rsid w:val="00EB0FBE"/>
    <w:rsid w:val="00EB1088"/>
    <w:rsid w:val="00EB4958"/>
    <w:rsid w:val="00EB4E7A"/>
    <w:rsid w:val="00EB5C04"/>
    <w:rsid w:val="00EB6FC9"/>
    <w:rsid w:val="00EC29B7"/>
    <w:rsid w:val="00EC353F"/>
    <w:rsid w:val="00EC54C3"/>
    <w:rsid w:val="00EC76A0"/>
    <w:rsid w:val="00ED0FA7"/>
    <w:rsid w:val="00ED1048"/>
    <w:rsid w:val="00ED3A38"/>
    <w:rsid w:val="00ED7AC5"/>
    <w:rsid w:val="00EE29BE"/>
    <w:rsid w:val="00EE3664"/>
    <w:rsid w:val="00EE5390"/>
    <w:rsid w:val="00EE5C41"/>
    <w:rsid w:val="00EE5E7F"/>
    <w:rsid w:val="00EF3A9E"/>
    <w:rsid w:val="00EF5769"/>
    <w:rsid w:val="00EF58CA"/>
    <w:rsid w:val="00EF7EB4"/>
    <w:rsid w:val="00F06C6A"/>
    <w:rsid w:val="00F1270E"/>
    <w:rsid w:val="00F2025C"/>
    <w:rsid w:val="00F2270A"/>
    <w:rsid w:val="00F243C4"/>
    <w:rsid w:val="00F27EFD"/>
    <w:rsid w:val="00F30613"/>
    <w:rsid w:val="00F32488"/>
    <w:rsid w:val="00F33BD8"/>
    <w:rsid w:val="00F33E44"/>
    <w:rsid w:val="00F36D08"/>
    <w:rsid w:val="00F406BB"/>
    <w:rsid w:val="00F4414D"/>
    <w:rsid w:val="00F4454A"/>
    <w:rsid w:val="00F45B4C"/>
    <w:rsid w:val="00F4723E"/>
    <w:rsid w:val="00F5175C"/>
    <w:rsid w:val="00F51A18"/>
    <w:rsid w:val="00F56A7F"/>
    <w:rsid w:val="00F56B22"/>
    <w:rsid w:val="00F61A6E"/>
    <w:rsid w:val="00F649F5"/>
    <w:rsid w:val="00F6721C"/>
    <w:rsid w:val="00F6725F"/>
    <w:rsid w:val="00F675AA"/>
    <w:rsid w:val="00F72FAB"/>
    <w:rsid w:val="00F736C8"/>
    <w:rsid w:val="00F73B02"/>
    <w:rsid w:val="00F7642C"/>
    <w:rsid w:val="00F76815"/>
    <w:rsid w:val="00F77F04"/>
    <w:rsid w:val="00F80CBF"/>
    <w:rsid w:val="00F87FAA"/>
    <w:rsid w:val="00F90708"/>
    <w:rsid w:val="00F93710"/>
    <w:rsid w:val="00F94C1D"/>
    <w:rsid w:val="00F9516B"/>
    <w:rsid w:val="00FA06E7"/>
    <w:rsid w:val="00FA2C26"/>
    <w:rsid w:val="00FA2C96"/>
    <w:rsid w:val="00FA6A66"/>
    <w:rsid w:val="00FA6CB5"/>
    <w:rsid w:val="00FB088C"/>
    <w:rsid w:val="00FB2244"/>
    <w:rsid w:val="00FB23FF"/>
    <w:rsid w:val="00FB4437"/>
    <w:rsid w:val="00FB5226"/>
    <w:rsid w:val="00FB6354"/>
    <w:rsid w:val="00FB6702"/>
    <w:rsid w:val="00FC0BF3"/>
    <w:rsid w:val="00FC2CED"/>
    <w:rsid w:val="00FC2F5C"/>
    <w:rsid w:val="00FC4039"/>
    <w:rsid w:val="00FC67DA"/>
    <w:rsid w:val="00FC6D92"/>
    <w:rsid w:val="00FD15C7"/>
    <w:rsid w:val="00FD3989"/>
    <w:rsid w:val="00FD45FF"/>
    <w:rsid w:val="00FD6A58"/>
    <w:rsid w:val="00FD76BD"/>
    <w:rsid w:val="00FE05E8"/>
    <w:rsid w:val="00FE5009"/>
    <w:rsid w:val="00FE523E"/>
    <w:rsid w:val="00FE6F67"/>
    <w:rsid w:val="00FE79F0"/>
    <w:rsid w:val="00FF0687"/>
    <w:rsid w:val="00FF35A1"/>
    <w:rsid w:val="00FF4320"/>
    <w:rsid w:val="00FF6495"/>
    <w:rsid w:val="00FF6D7F"/>
    <w:rsid w:val="1C564D45"/>
    <w:rsid w:val="7ADB17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793DF"/>
  <w15:chartTrackingRefBased/>
  <w15:docId w15:val="{A6FEF971-F7B9-408A-A88F-985FB05C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basedOn w:val="Normal"/>
    <w:rsid w:val="006B19BF"/>
    <w:pPr>
      <w:spacing w:before="100" w:beforeAutospacing="1" w:after="100" w:afterAutospacing="1" w:line="240" w:lineRule="auto"/>
    </w:pPr>
    <w:rPr>
      <w:rFonts w:ascii="Calibri" w:hAnsi="Calibri" w:cs="Calibri"/>
      <w:lang w:eastAsia="en-AU"/>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unhideWhenUsed/>
    <w:rsid w:val="0050737D"/>
    <w:pPr>
      <w:spacing w:after="0" w:line="240" w:lineRule="auto"/>
    </w:pPr>
    <w:rPr>
      <w:sz w:val="20"/>
      <w:szCs w:val="20"/>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rsid w:val="0050737D"/>
    <w:rPr>
      <w:sz w:val="20"/>
      <w:szCs w:val="20"/>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Style 13,FR"/>
    <w:basedOn w:val="DefaultParagraphFont"/>
    <w:uiPriority w:val="99"/>
    <w:unhideWhenUsed/>
    <w:qFormat/>
    <w:rsid w:val="0050737D"/>
    <w:rPr>
      <w:vertAlign w:val="superscript"/>
    </w:rPr>
  </w:style>
  <w:style w:type="paragraph" w:customStyle="1" w:styleId="paragraph">
    <w:name w:val="paragraph"/>
    <w:basedOn w:val="Normal"/>
    <w:rsid w:val="00820EC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0EC4"/>
  </w:style>
  <w:style w:type="character" w:customStyle="1" w:styleId="eop">
    <w:name w:val="eop"/>
    <w:basedOn w:val="DefaultParagraphFont"/>
    <w:rsid w:val="0082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9364">
      <w:bodyDiv w:val="1"/>
      <w:marLeft w:val="0"/>
      <w:marRight w:val="0"/>
      <w:marTop w:val="0"/>
      <w:marBottom w:val="0"/>
      <w:divBdr>
        <w:top w:val="none" w:sz="0" w:space="0" w:color="auto"/>
        <w:left w:val="none" w:sz="0" w:space="0" w:color="auto"/>
        <w:bottom w:val="none" w:sz="0" w:space="0" w:color="auto"/>
        <w:right w:val="none" w:sz="0" w:space="0" w:color="auto"/>
      </w:divBdr>
      <w:divsChild>
        <w:div w:id="193929160">
          <w:marLeft w:val="0"/>
          <w:marRight w:val="0"/>
          <w:marTop w:val="0"/>
          <w:marBottom w:val="0"/>
          <w:divBdr>
            <w:top w:val="none" w:sz="0" w:space="0" w:color="auto"/>
            <w:left w:val="none" w:sz="0" w:space="0" w:color="auto"/>
            <w:bottom w:val="none" w:sz="0" w:space="0" w:color="auto"/>
            <w:right w:val="none" w:sz="0" w:space="0" w:color="auto"/>
          </w:divBdr>
        </w:div>
        <w:div w:id="282884799">
          <w:marLeft w:val="0"/>
          <w:marRight w:val="0"/>
          <w:marTop w:val="0"/>
          <w:marBottom w:val="0"/>
          <w:divBdr>
            <w:top w:val="none" w:sz="0" w:space="0" w:color="auto"/>
            <w:left w:val="none" w:sz="0" w:space="0" w:color="auto"/>
            <w:bottom w:val="none" w:sz="0" w:space="0" w:color="auto"/>
            <w:right w:val="none" w:sz="0" w:space="0" w:color="auto"/>
          </w:divBdr>
        </w:div>
        <w:div w:id="986932828">
          <w:marLeft w:val="0"/>
          <w:marRight w:val="0"/>
          <w:marTop w:val="0"/>
          <w:marBottom w:val="0"/>
          <w:divBdr>
            <w:top w:val="none" w:sz="0" w:space="0" w:color="auto"/>
            <w:left w:val="none" w:sz="0" w:space="0" w:color="auto"/>
            <w:bottom w:val="none" w:sz="0" w:space="0" w:color="auto"/>
            <w:right w:val="none" w:sz="0" w:space="0" w:color="auto"/>
          </w:divBdr>
        </w:div>
        <w:div w:id="1063524649">
          <w:marLeft w:val="0"/>
          <w:marRight w:val="0"/>
          <w:marTop w:val="0"/>
          <w:marBottom w:val="0"/>
          <w:divBdr>
            <w:top w:val="none" w:sz="0" w:space="0" w:color="auto"/>
            <w:left w:val="none" w:sz="0" w:space="0" w:color="auto"/>
            <w:bottom w:val="none" w:sz="0" w:space="0" w:color="auto"/>
            <w:right w:val="none" w:sz="0" w:space="0" w:color="auto"/>
          </w:divBdr>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04035071">
      <w:bodyDiv w:val="1"/>
      <w:marLeft w:val="0"/>
      <w:marRight w:val="0"/>
      <w:marTop w:val="0"/>
      <w:marBottom w:val="0"/>
      <w:divBdr>
        <w:top w:val="none" w:sz="0" w:space="0" w:color="auto"/>
        <w:left w:val="none" w:sz="0" w:space="0" w:color="auto"/>
        <w:bottom w:val="none" w:sz="0" w:space="0" w:color="auto"/>
        <w:right w:val="none" w:sz="0" w:space="0" w:color="auto"/>
      </w:divBdr>
      <w:divsChild>
        <w:div w:id="223877673">
          <w:marLeft w:val="0"/>
          <w:marRight w:val="0"/>
          <w:marTop w:val="0"/>
          <w:marBottom w:val="0"/>
          <w:divBdr>
            <w:top w:val="none" w:sz="0" w:space="0" w:color="auto"/>
            <w:left w:val="none" w:sz="0" w:space="0" w:color="auto"/>
            <w:bottom w:val="none" w:sz="0" w:space="0" w:color="auto"/>
            <w:right w:val="none" w:sz="0" w:space="0" w:color="auto"/>
          </w:divBdr>
        </w:div>
        <w:div w:id="342980686">
          <w:marLeft w:val="0"/>
          <w:marRight w:val="0"/>
          <w:marTop w:val="0"/>
          <w:marBottom w:val="0"/>
          <w:divBdr>
            <w:top w:val="none" w:sz="0" w:space="0" w:color="auto"/>
            <w:left w:val="none" w:sz="0" w:space="0" w:color="auto"/>
            <w:bottom w:val="none" w:sz="0" w:space="0" w:color="auto"/>
            <w:right w:val="none" w:sz="0" w:space="0" w:color="auto"/>
          </w:divBdr>
          <w:divsChild>
            <w:div w:id="250624471">
              <w:marLeft w:val="0"/>
              <w:marRight w:val="0"/>
              <w:marTop w:val="0"/>
              <w:marBottom w:val="0"/>
              <w:divBdr>
                <w:top w:val="none" w:sz="0" w:space="0" w:color="auto"/>
                <w:left w:val="none" w:sz="0" w:space="0" w:color="auto"/>
                <w:bottom w:val="none" w:sz="0" w:space="0" w:color="auto"/>
                <w:right w:val="none" w:sz="0" w:space="0" w:color="auto"/>
              </w:divBdr>
            </w:div>
            <w:div w:id="859775865">
              <w:marLeft w:val="0"/>
              <w:marRight w:val="0"/>
              <w:marTop w:val="0"/>
              <w:marBottom w:val="0"/>
              <w:divBdr>
                <w:top w:val="none" w:sz="0" w:space="0" w:color="auto"/>
                <w:left w:val="none" w:sz="0" w:space="0" w:color="auto"/>
                <w:bottom w:val="none" w:sz="0" w:space="0" w:color="auto"/>
                <w:right w:val="none" w:sz="0" w:space="0" w:color="auto"/>
              </w:divBdr>
            </w:div>
            <w:div w:id="1387680842">
              <w:marLeft w:val="0"/>
              <w:marRight w:val="0"/>
              <w:marTop w:val="0"/>
              <w:marBottom w:val="0"/>
              <w:divBdr>
                <w:top w:val="none" w:sz="0" w:space="0" w:color="auto"/>
                <w:left w:val="none" w:sz="0" w:space="0" w:color="auto"/>
                <w:bottom w:val="none" w:sz="0" w:space="0" w:color="auto"/>
                <w:right w:val="none" w:sz="0" w:space="0" w:color="auto"/>
              </w:divBdr>
            </w:div>
            <w:div w:id="2093425351">
              <w:marLeft w:val="0"/>
              <w:marRight w:val="0"/>
              <w:marTop w:val="0"/>
              <w:marBottom w:val="0"/>
              <w:divBdr>
                <w:top w:val="none" w:sz="0" w:space="0" w:color="auto"/>
                <w:left w:val="none" w:sz="0" w:space="0" w:color="auto"/>
                <w:bottom w:val="none" w:sz="0" w:space="0" w:color="auto"/>
                <w:right w:val="none" w:sz="0" w:space="0" w:color="auto"/>
              </w:divBdr>
            </w:div>
          </w:divsChild>
        </w:div>
        <w:div w:id="415905598">
          <w:marLeft w:val="0"/>
          <w:marRight w:val="0"/>
          <w:marTop w:val="0"/>
          <w:marBottom w:val="0"/>
          <w:divBdr>
            <w:top w:val="none" w:sz="0" w:space="0" w:color="auto"/>
            <w:left w:val="none" w:sz="0" w:space="0" w:color="auto"/>
            <w:bottom w:val="none" w:sz="0" w:space="0" w:color="auto"/>
            <w:right w:val="none" w:sz="0" w:space="0" w:color="auto"/>
          </w:divBdr>
        </w:div>
        <w:div w:id="768935317">
          <w:marLeft w:val="0"/>
          <w:marRight w:val="0"/>
          <w:marTop w:val="0"/>
          <w:marBottom w:val="0"/>
          <w:divBdr>
            <w:top w:val="none" w:sz="0" w:space="0" w:color="auto"/>
            <w:left w:val="none" w:sz="0" w:space="0" w:color="auto"/>
            <w:bottom w:val="none" w:sz="0" w:space="0" w:color="auto"/>
            <w:right w:val="none" w:sz="0" w:space="0" w:color="auto"/>
          </w:divBdr>
        </w:div>
        <w:div w:id="939097565">
          <w:marLeft w:val="0"/>
          <w:marRight w:val="0"/>
          <w:marTop w:val="0"/>
          <w:marBottom w:val="0"/>
          <w:divBdr>
            <w:top w:val="none" w:sz="0" w:space="0" w:color="auto"/>
            <w:left w:val="none" w:sz="0" w:space="0" w:color="auto"/>
            <w:bottom w:val="none" w:sz="0" w:space="0" w:color="auto"/>
            <w:right w:val="none" w:sz="0" w:space="0" w:color="auto"/>
          </w:divBdr>
          <w:divsChild>
            <w:div w:id="206529193">
              <w:marLeft w:val="0"/>
              <w:marRight w:val="0"/>
              <w:marTop w:val="0"/>
              <w:marBottom w:val="0"/>
              <w:divBdr>
                <w:top w:val="none" w:sz="0" w:space="0" w:color="auto"/>
                <w:left w:val="none" w:sz="0" w:space="0" w:color="auto"/>
                <w:bottom w:val="none" w:sz="0" w:space="0" w:color="auto"/>
                <w:right w:val="none" w:sz="0" w:space="0" w:color="auto"/>
              </w:divBdr>
            </w:div>
            <w:div w:id="412775856">
              <w:marLeft w:val="0"/>
              <w:marRight w:val="0"/>
              <w:marTop w:val="0"/>
              <w:marBottom w:val="0"/>
              <w:divBdr>
                <w:top w:val="none" w:sz="0" w:space="0" w:color="auto"/>
                <w:left w:val="none" w:sz="0" w:space="0" w:color="auto"/>
                <w:bottom w:val="none" w:sz="0" w:space="0" w:color="auto"/>
                <w:right w:val="none" w:sz="0" w:space="0" w:color="auto"/>
              </w:divBdr>
            </w:div>
            <w:div w:id="635374319">
              <w:marLeft w:val="0"/>
              <w:marRight w:val="0"/>
              <w:marTop w:val="0"/>
              <w:marBottom w:val="0"/>
              <w:divBdr>
                <w:top w:val="none" w:sz="0" w:space="0" w:color="auto"/>
                <w:left w:val="none" w:sz="0" w:space="0" w:color="auto"/>
                <w:bottom w:val="none" w:sz="0" w:space="0" w:color="auto"/>
                <w:right w:val="none" w:sz="0" w:space="0" w:color="auto"/>
              </w:divBdr>
            </w:div>
            <w:div w:id="662196608">
              <w:marLeft w:val="0"/>
              <w:marRight w:val="0"/>
              <w:marTop w:val="0"/>
              <w:marBottom w:val="0"/>
              <w:divBdr>
                <w:top w:val="none" w:sz="0" w:space="0" w:color="auto"/>
                <w:left w:val="none" w:sz="0" w:space="0" w:color="auto"/>
                <w:bottom w:val="none" w:sz="0" w:space="0" w:color="auto"/>
                <w:right w:val="none" w:sz="0" w:space="0" w:color="auto"/>
              </w:divBdr>
            </w:div>
            <w:div w:id="1788575026">
              <w:marLeft w:val="0"/>
              <w:marRight w:val="0"/>
              <w:marTop w:val="0"/>
              <w:marBottom w:val="0"/>
              <w:divBdr>
                <w:top w:val="none" w:sz="0" w:space="0" w:color="auto"/>
                <w:left w:val="none" w:sz="0" w:space="0" w:color="auto"/>
                <w:bottom w:val="none" w:sz="0" w:space="0" w:color="auto"/>
                <w:right w:val="none" w:sz="0" w:space="0" w:color="auto"/>
              </w:divBdr>
            </w:div>
          </w:divsChild>
        </w:div>
        <w:div w:id="1098212916">
          <w:marLeft w:val="0"/>
          <w:marRight w:val="0"/>
          <w:marTop w:val="0"/>
          <w:marBottom w:val="0"/>
          <w:divBdr>
            <w:top w:val="none" w:sz="0" w:space="0" w:color="auto"/>
            <w:left w:val="none" w:sz="0" w:space="0" w:color="auto"/>
            <w:bottom w:val="none" w:sz="0" w:space="0" w:color="auto"/>
            <w:right w:val="none" w:sz="0" w:space="0" w:color="auto"/>
          </w:divBdr>
        </w:div>
        <w:div w:id="1276326974">
          <w:marLeft w:val="0"/>
          <w:marRight w:val="0"/>
          <w:marTop w:val="0"/>
          <w:marBottom w:val="0"/>
          <w:divBdr>
            <w:top w:val="none" w:sz="0" w:space="0" w:color="auto"/>
            <w:left w:val="none" w:sz="0" w:space="0" w:color="auto"/>
            <w:bottom w:val="none" w:sz="0" w:space="0" w:color="auto"/>
            <w:right w:val="none" w:sz="0" w:space="0" w:color="auto"/>
          </w:divBdr>
        </w:div>
        <w:div w:id="1640915767">
          <w:marLeft w:val="0"/>
          <w:marRight w:val="0"/>
          <w:marTop w:val="0"/>
          <w:marBottom w:val="0"/>
          <w:divBdr>
            <w:top w:val="none" w:sz="0" w:space="0" w:color="auto"/>
            <w:left w:val="none" w:sz="0" w:space="0" w:color="auto"/>
            <w:bottom w:val="none" w:sz="0" w:space="0" w:color="auto"/>
            <w:right w:val="none" w:sz="0" w:space="0" w:color="auto"/>
          </w:divBdr>
        </w:div>
      </w:divsChild>
    </w:div>
    <w:div w:id="1152983017">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92321142">
      <w:bodyDiv w:val="1"/>
      <w:marLeft w:val="0"/>
      <w:marRight w:val="0"/>
      <w:marTop w:val="0"/>
      <w:marBottom w:val="0"/>
      <w:divBdr>
        <w:top w:val="none" w:sz="0" w:space="0" w:color="auto"/>
        <w:left w:val="none" w:sz="0" w:space="0" w:color="auto"/>
        <w:bottom w:val="none" w:sz="0" w:space="0" w:color="auto"/>
        <w:right w:val="none" w:sz="0" w:space="0" w:color="auto"/>
      </w:divBdr>
    </w:div>
    <w:div w:id="20010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2" ma:contentTypeDescription="Create a new document." ma:contentTypeScope="" ma:versionID="3783a9537d11613c96b654263e9f707a">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2eeec387aa50df3d1e800dec52d4f4ab"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7A986-7581-46AE-95A5-495EDDA5ECF4}">
  <ds:schemaRefs>
    <ds:schemaRef ds:uri="http://schemas.openxmlformats.org/officeDocument/2006/bibliography"/>
  </ds:schemaRefs>
</ds:datastoreItem>
</file>

<file path=customXml/itemProps2.xml><?xml version="1.0" encoding="utf-8"?>
<ds:datastoreItem xmlns:ds="http://schemas.openxmlformats.org/officeDocument/2006/customXml" ds:itemID="{D84A20D3-5249-4064-B676-33B74048141D}">
  <ds:schemaRefs>
    <ds:schemaRef ds:uri="http://purl.org/dc/elements/1.1/"/>
    <ds:schemaRef ds:uri="fe763861-97b4-4142-9b42-ef40e7c6d928"/>
    <ds:schemaRef ds:uri="http://schemas.openxmlformats.org/package/2006/metadata/core-properties"/>
    <ds:schemaRef ds:uri="http://www.w3.org/XML/1998/namespace"/>
    <ds:schemaRef ds:uri="http://schemas.microsoft.com/office/infopath/2007/PartnerControls"/>
    <ds:schemaRef ds:uri="http://purl.org/dc/terms/"/>
    <ds:schemaRef ds:uri="ffcaacd4-51b0-487d-9500-5676dac395a7"/>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3EFA84A5-5D5B-4FFC-9356-09EE9D797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7487</Characters>
  <Application>Microsoft Office Word</Application>
  <DocSecurity>0</DocSecurity>
  <Lines>62</Lines>
  <Paragraphs>17</Paragraphs>
  <ScaleCrop>false</ScaleCrop>
  <Company>Australian Communications and Media Authority</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Patrick Belton</cp:lastModifiedBy>
  <cp:revision>2</cp:revision>
  <cp:lastPrinted>2016-07-26T10:08:00Z</cp:lastPrinted>
  <dcterms:created xsi:type="dcterms:W3CDTF">2020-10-20T05:34:00Z</dcterms:created>
  <dcterms:modified xsi:type="dcterms:W3CDTF">2020-10-20T05:34:00Z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0x0101008555A5086EF26D4CA4BE251424758475</vt:lpwstr>
  </property>
  <property fmtid="{D5CDD505-2E9C-101B-9397-08002B2CF9AE}" pid="3" name="_dlc_DocIdItemGuid">
    <vt:lpwstr>f16ee754-90b0-4beb-947f-379ec3d94164</vt:lpwstr>
  </property>
</Properties>
</file>