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13FF8" w14:textId="3B89F2D0" w:rsidR="00EB212C" w:rsidRPr="00EB212C" w:rsidRDefault="00EB212C" w:rsidP="00EB212C">
      <w:pPr>
        <w:spacing w:after="200" w:line="276" w:lineRule="auto"/>
        <w:ind w:left="0"/>
        <w:jc w:val="center"/>
        <w:rPr>
          <w:rFonts w:ascii="Times New Roman" w:eastAsia="Calibri" w:hAnsi="Times New Roman" w:cs="Times New Roman"/>
          <w:b/>
          <w:sz w:val="24"/>
          <w:szCs w:val="24"/>
        </w:rPr>
      </w:pPr>
      <w:r w:rsidRPr="00EB212C">
        <w:rPr>
          <w:rFonts w:ascii="Times New Roman" w:eastAsia="Calibri" w:hAnsi="Times New Roman" w:cs="Times New Roman"/>
          <w:b/>
          <w:sz w:val="24"/>
          <w:szCs w:val="24"/>
        </w:rPr>
        <w:t>EXPLANATORY STATEMENT</w:t>
      </w:r>
    </w:p>
    <w:p w14:paraId="3ACFB721" w14:textId="77777777" w:rsidR="00EB212C" w:rsidRPr="00EB212C" w:rsidRDefault="00EB212C" w:rsidP="00EB212C">
      <w:pPr>
        <w:spacing w:after="200" w:line="276" w:lineRule="auto"/>
        <w:ind w:left="0"/>
        <w:jc w:val="center"/>
        <w:rPr>
          <w:rFonts w:ascii="Times New Roman" w:eastAsia="Calibri" w:hAnsi="Times New Roman" w:cs="Times New Roman"/>
          <w:b/>
          <w:i/>
          <w:sz w:val="24"/>
          <w:szCs w:val="24"/>
        </w:rPr>
      </w:pPr>
      <w:r w:rsidRPr="0008420C">
        <w:rPr>
          <w:rFonts w:ascii="Times New Roman" w:eastAsia="Calibri" w:hAnsi="Times New Roman" w:cs="Times New Roman"/>
          <w:b/>
          <w:i/>
          <w:sz w:val="24"/>
          <w:szCs w:val="24"/>
        </w:rPr>
        <w:t>Broadcasting Services Act 1992</w:t>
      </w:r>
    </w:p>
    <w:p w14:paraId="4DB14301" w14:textId="75034807" w:rsidR="00EB212C" w:rsidRPr="00EB212C" w:rsidRDefault="00EB212C" w:rsidP="00EB212C">
      <w:pPr>
        <w:autoSpaceDE w:val="0"/>
        <w:autoSpaceDN w:val="0"/>
        <w:spacing w:after="0" w:line="276" w:lineRule="auto"/>
        <w:ind w:left="0"/>
        <w:jc w:val="center"/>
        <w:rPr>
          <w:rFonts w:ascii="Times New Roman" w:eastAsia="Times New Roman" w:hAnsi="Times New Roman" w:cs="Times New Roman"/>
          <w:b/>
          <w:bCs/>
          <w:sz w:val="24"/>
          <w:szCs w:val="24"/>
          <w:lang w:eastAsia="en-AU"/>
        </w:rPr>
      </w:pPr>
      <w:bookmarkStart w:id="0" w:name="OLE_LINK2"/>
      <w:bookmarkStart w:id="1" w:name="OLE_LINK1"/>
      <w:r w:rsidRPr="0008420C">
        <w:rPr>
          <w:rFonts w:ascii="Times New Roman" w:eastAsia="Times New Roman" w:hAnsi="Times New Roman" w:cs="Times New Roman"/>
          <w:b/>
          <w:bCs/>
          <w:sz w:val="24"/>
          <w:szCs w:val="24"/>
          <w:lang w:eastAsia="en-AU"/>
        </w:rPr>
        <w:t>Broadcasting Services (Australian and Children’s Television Standards) Direction 2020</w:t>
      </w:r>
    </w:p>
    <w:bookmarkEnd w:id="0"/>
    <w:bookmarkEnd w:id="1"/>
    <w:p w14:paraId="3B7494E7" w14:textId="77777777" w:rsidR="00EB212C" w:rsidRPr="00EB212C" w:rsidRDefault="00EB212C" w:rsidP="00EB212C">
      <w:pPr>
        <w:spacing w:after="200" w:line="276" w:lineRule="auto"/>
        <w:ind w:left="0"/>
        <w:jc w:val="center"/>
        <w:rPr>
          <w:rFonts w:ascii="Times New Roman" w:eastAsia="Calibri" w:hAnsi="Times New Roman" w:cs="Times New Roman"/>
          <w:sz w:val="24"/>
          <w:szCs w:val="24"/>
        </w:rPr>
      </w:pPr>
      <w:r w:rsidRPr="00EB212C">
        <w:rPr>
          <w:rFonts w:ascii="Times New Roman" w:eastAsia="Calibri" w:hAnsi="Times New Roman" w:cs="Times New Roman"/>
          <w:sz w:val="24"/>
          <w:szCs w:val="24"/>
        </w:rPr>
        <w:t>Issued by the Authority of the Minister for Communications, Cyber Safety and the Arts</w:t>
      </w:r>
    </w:p>
    <w:p w14:paraId="340385F5" w14:textId="63B9019A" w:rsidR="00EB212C" w:rsidRPr="0008420C" w:rsidRDefault="00EB212C" w:rsidP="00EB212C">
      <w:pPr>
        <w:spacing w:after="200" w:line="276" w:lineRule="auto"/>
        <w:ind w:left="0"/>
        <w:rPr>
          <w:rFonts w:ascii="Times New Roman" w:eastAsia="Calibri" w:hAnsi="Times New Roman" w:cs="Times New Roman"/>
          <w:sz w:val="24"/>
          <w:szCs w:val="24"/>
          <w:u w:val="single"/>
        </w:rPr>
      </w:pPr>
      <w:r w:rsidRPr="00EB212C">
        <w:rPr>
          <w:rFonts w:ascii="Times New Roman" w:eastAsia="Calibri" w:hAnsi="Times New Roman" w:cs="Times New Roman"/>
          <w:sz w:val="24"/>
          <w:szCs w:val="24"/>
          <w:u w:val="single"/>
        </w:rPr>
        <w:t>Authority</w:t>
      </w:r>
    </w:p>
    <w:p w14:paraId="5FE4DC1D" w14:textId="747C0F4E" w:rsidR="0032634F" w:rsidRPr="00AB396F" w:rsidRDefault="0032634F" w:rsidP="0032634F">
      <w:pPr>
        <w:spacing w:after="200"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Subsection 122(1) of the </w:t>
      </w:r>
      <w:r w:rsidRPr="0032634F">
        <w:rPr>
          <w:rFonts w:ascii="Times New Roman" w:eastAsia="Calibri" w:hAnsi="Times New Roman" w:cs="Times New Roman"/>
          <w:i/>
          <w:sz w:val="24"/>
          <w:szCs w:val="24"/>
        </w:rPr>
        <w:t>Broadcasting Services Act 1992</w:t>
      </w:r>
      <w:r>
        <w:rPr>
          <w:rFonts w:ascii="Times New Roman" w:eastAsia="Calibri" w:hAnsi="Times New Roman" w:cs="Times New Roman"/>
          <w:sz w:val="24"/>
          <w:szCs w:val="24"/>
        </w:rPr>
        <w:t xml:space="preserve"> (BSA) requires t</w:t>
      </w:r>
      <w:r w:rsidRPr="0032634F">
        <w:rPr>
          <w:rFonts w:ascii="Times New Roman" w:eastAsia="Calibri" w:hAnsi="Times New Roman" w:cs="Times New Roman"/>
          <w:sz w:val="24"/>
          <w:szCs w:val="24"/>
        </w:rPr>
        <w:t xml:space="preserve">he </w:t>
      </w:r>
      <w:r>
        <w:rPr>
          <w:rFonts w:ascii="Times New Roman" w:eastAsia="Calibri" w:hAnsi="Times New Roman" w:cs="Times New Roman"/>
          <w:sz w:val="24"/>
          <w:szCs w:val="24"/>
        </w:rPr>
        <w:t>Australian Communications and Media Authority (ACMA)</w:t>
      </w:r>
      <w:r w:rsidRPr="0032634F">
        <w:rPr>
          <w:rFonts w:ascii="Times New Roman" w:eastAsia="Calibri" w:hAnsi="Times New Roman" w:cs="Times New Roman"/>
          <w:sz w:val="24"/>
          <w:szCs w:val="24"/>
        </w:rPr>
        <w:t xml:space="preserve"> </w:t>
      </w:r>
      <w:r>
        <w:rPr>
          <w:rFonts w:ascii="Times New Roman" w:eastAsia="Calibri" w:hAnsi="Times New Roman" w:cs="Times New Roman"/>
          <w:sz w:val="24"/>
          <w:szCs w:val="24"/>
        </w:rPr>
        <w:t>to</w:t>
      </w:r>
      <w:r w:rsidRPr="0032634F">
        <w:rPr>
          <w:rFonts w:ascii="Times New Roman" w:eastAsia="Calibri" w:hAnsi="Times New Roman" w:cs="Times New Roman"/>
          <w:sz w:val="24"/>
          <w:szCs w:val="24"/>
        </w:rPr>
        <w:t>, by legislative instrument, determine standards that are to be observed by commercial television broadcasting licensees.</w:t>
      </w:r>
      <w:r>
        <w:rPr>
          <w:rFonts w:ascii="Times New Roman" w:eastAsia="Calibri" w:hAnsi="Times New Roman" w:cs="Times New Roman"/>
          <w:sz w:val="24"/>
          <w:szCs w:val="24"/>
        </w:rPr>
        <w:t xml:space="preserve"> </w:t>
      </w:r>
      <w:r w:rsidR="00AB396F">
        <w:rPr>
          <w:rFonts w:ascii="Times New Roman" w:eastAsia="Calibri" w:hAnsi="Times New Roman" w:cs="Times New Roman"/>
          <w:sz w:val="24"/>
          <w:szCs w:val="24"/>
        </w:rPr>
        <w:t>Under subsection 122(2), these s</w:t>
      </w:r>
      <w:r>
        <w:rPr>
          <w:rFonts w:ascii="Times New Roman" w:eastAsia="Calibri" w:hAnsi="Times New Roman" w:cs="Times New Roman"/>
          <w:sz w:val="24"/>
          <w:szCs w:val="24"/>
        </w:rPr>
        <w:t>tandards must relate to programs for children and the Australian content of programs.</w:t>
      </w:r>
      <w:r w:rsidR="00AB396F">
        <w:rPr>
          <w:rFonts w:ascii="Times New Roman" w:eastAsia="Calibri" w:hAnsi="Times New Roman" w:cs="Times New Roman"/>
          <w:sz w:val="24"/>
          <w:szCs w:val="24"/>
        </w:rPr>
        <w:t xml:space="preserve"> The standards currently in place are the </w:t>
      </w:r>
      <w:r w:rsidR="00AB396F" w:rsidRPr="00AB396F">
        <w:rPr>
          <w:rFonts w:ascii="Times New Roman" w:eastAsia="Calibri" w:hAnsi="Times New Roman" w:cs="Times New Roman"/>
          <w:i/>
          <w:sz w:val="24"/>
          <w:szCs w:val="24"/>
        </w:rPr>
        <w:t>Broadcasting Services (Au</w:t>
      </w:r>
      <w:r w:rsidR="00AB396F">
        <w:rPr>
          <w:rFonts w:ascii="Times New Roman" w:eastAsia="Calibri" w:hAnsi="Times New Roman" w:cs="Times New Roman"/>
          <w:i/>
          <w:sz w:val="24"/>
          <w:szCs w:val="24"/>
        </w:rPr>
        <w:t>stralian Content) Standard 2016</w:t>
      </w:r>
      <w:r w:rsidR="00AB396F">
        <w:rPr>
          <w:rFonts w:ascii="Times New Roman" w:eastAsia="Calibri" w:hAnsi="Times New Roman" w:cs="Times New Roman"/>
          <w:sz w:val="24"/>
          <w:szCs w:val="24"/>
        </w:rPr>
        <w:t xml:space="preserve"> </w:t>
      </w:r>
      <w:r w:rsidR="005817BC">
        <w:rPr>
          <w:rFonts w:ascii="Times New Roman" w:eastAsia="Calibri" w:hAnsi="Times New Roman" w:cs="Times New Roman"/>
          <w:sz w:val="24"/>
          <w:szCs w:val="24"/>
        </w:rPr>
        <w:t xml:space="preserve">(ACS) </w:t>
      </w:r>
      <w:r w:rsidR="00AB396F">
        <w:rPr>
          <w:rFonts w:ascii="Times New Roman" w:eastAsia="Calibri" w:hAnsi="Times New Roman" w:cs="Times New Roman"/>
          <w:sz w:val="24"/>
          <w:szCs w:val="24"/>
        </w:rPr>
        <w:t xml:space="preserve">and the </w:t>
      </w:r>
      <w:r w:rsidR="00AB396F" w:rsidRPr="00AB396F">
        <w:rPr>
          <w:rFonts w:ascii="Times New Roman" w:eastAsia="Calibri" w:hAnsi="Times New Roman" w:cs="Times New Roman"/>
          <w:i/>
          <w:sz w:val="24"/>
          <w:szCs w:val="24"/>
        </w:rPr>
        <w:t>Children’s Television Standards 2009</w:t>
      </w:r>
      <w:r w:rsidR="00AB396F">
        <w:rPr>
          <w:rFonts w:ascii="Times New Roman" w:eastAsia="Calibri" w:hAnsi="Times New Roman" w:cs="Times New Roman"/>
          <w:sz w:val="24"/>
          <w:szCs w:val="24"/>
        </w:rPr>
        <w:t xml:space="preserve"> </w:t>
      </w:r>
      <w:r w:rsidR="007F33A9">
        <w:rPr>
          <w:rFonts w:ascii="Times New Roman" w:eastAsia="Calibri" w:hAnsi="Times New Roman" w:cs="Times New Roman"/>
          <w:sz w:val="24"/>
          <w:szCs w:val="24"/>
        </w:rPr>
        <w:t>(CTS).</w:t>
      </w:r>
    </w:p>
    <w:p w14:paraId="7D6ED077" w14:textId="2EE5F6A7" w:rsidR="004A1556" w:rsidRDefault="00D320E0" w:rsidP="004A1556">
      <w:pPr>
        <w:spacing w:after="200" w:line="276" w:lineRule="auto"/>
        <w:ind w:left="0"/>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The </w:t>
      </w:r>
      <w:r w:rsidRPr="003C41AC">
        <w:rPr>
          <w:rFonts w:ascii="Times New Roman" w:eastAsia="Calibri" w:hAnsi="Times New Roman" w:cs="Times New Roman"/>
          <w:i/>
          <w:sz w:val="24"/>
          <w:szCs w:val="24"/>
        </w:rPr>
        <w:t xml:space="preserve">Broadcasting Services (Australian </w:t>
      </w:r>
      <w:bookmarkStart w:id="2" w:name="_GoBack"/>
      <w:bookmarkEnd w:id="2"/>
      <w:r w:rsidRPr="003C41AC">
        <w:rPr>
          <w:rFonts w:ascii="Times New Roman" w:eastAsia="Calibri" w:hAnsi="Times New Roman" w:cs="Times New Roman"/>
          <w:i/>
          <w:sz w:val="24"/>
          <w:szCs w:val="24"/>
        </w:rPr>
        <w:t>and Children’s Television Standards) Direction 2020</w:t>
      </w:r>
      <w:r w:rsidRPr="0008420C">
        <w:rPr>
          <w:rFonts w:ascii="Times New Roman" w:eastAsia="Calibri" w:hAnsi="Times New Roman" w:cs="Times New Roman"/>
          <w:sz w:val="24"/>
          <w:szCs w:val="24"/>
        </w:rPr>
        <w:t xml:space="preserve"> (the Direction) is made by the </w:t>
      </w:r>
      <w:r w:rsidR="004B5635" w:rsidRPr="004B5635">
        <w:rPr>
          <w:rFonts w:ascii="Times New Roman" w:eastAsia="Calibri" w:hAnsi="Times New Roman" w:cs="Times New Roman"/>
          <w:sz w:val="24"/>
          <w:szCs w:val="24"/>
        </w:rPr>
        <w:t>Minister for Communications, Cyber Safety and the Arts</w:t>
      </w:r>
      <w:r w:rsidRPr="0008420C">
        <w:rPr>
          <w:rFonts w:ascii="Times New Roman" w:eastAsia="Calibri" w:hAnsi="Times New Roman" w:cs="Times New Roman"/>
          <w:sz w:val="24"/>
          <w:szCs w:val="24"/>
        </w:rPr>
        <w:t xml:space="preserve"> under subsection 122(7) of the </w:t>
      </w:r>
      <w:r w:rsidRPr="003C41AC">
        <w:rPr>
          <w:rFonts w:ascii="Times New Roman" w:eastAsia="Calibri" w:hAnsi="Times New Roman" w:cs="Times New Roman"/>
          <w:sz w:val="24"/>
          <w:szCs w:val="24"/>
        </w:rPr>
        <w:t>BSA</w:t>
      </w:r>
      <w:r w:rsidRPr="0008420C">
        <w:rPr>
          <w:rFonts w:ascii="Times New Roman" w:eastAsia="Calibri" w:hAnsi="Times New Roman" w:cs="Times New Roman"/>
          <w:sz w:val="24"/>
          <w:szCs w:val="24"/>
        </w:rPr>
        <w:t xml:space="preserve">. </w:t>
      </w:r>
      <w:r w:rsidR="004A1556">
        <w:rPr>
          <w:rFonts w:ascii="Times New Roman" w:eastAsia="Calibri" w:hAnsi="Times New Roman" w:cs="Times New Roman"/>
          <w:sz w:val="24"/>
          <w:szCs w:val="24"/>
        </w:rPr>
        <w:t xml:space="preserve">Subsection 122(7) allows the Minister, by legislative instrument, to direct ACMA in relation to its power to determine </w:t>
      </w:r>
      <w:r w:rsidR="007042D5">
        <w:rPr>
          <w:rFonts w:ascii="Times New Roman" w:eastAsia="Calibri" w:hAnsi="Times New Roman" w:cs="Times New Roman"/>
          <w:sz w:val="24"/>
          <w:szCs w:val="24"/>
        </w:rPr>
        <w:t>s</w:t>
      </w:r>
      <w:r w:rsidR="004A1556">
        <w:rPr>
          <w:rFonts w:ascii="Times New Roman" w:eastAsia="Calibri" w:hAnsi="Times New Roman" w:cs="Times New Roman"/>
          <w:sz w:val="24"/>
          <w:szCs w:val="24"/>
        </w:rPr>
        <w:t>tandards</w:t>
      </w:r>
      <w:r w:rsidR="007042D5">
        <w:rPr>
          <w:rFonts w:ascii="Times New Roman" w:eastAsia="Calibri" w:hAnsi="Times New Roman" w:cs="Times New Roman"/>
          <w:sz w:val="24"/>
          <w:szCs w:val="24"/>
        </w:rPr>
        <w:t xml:space="preserve"> under section 122</w:t>
      </w:r>
      <w:r w:rsidR="004A1556">
        <w:rPr>
          <w:rFonts w:ascii="Times New Roman" w:eastAsia="Calibri" w:hAnsi="Times New Roman" w:cs="Times New Roman"/>
          <w:sz w:val="24"/>
          <w:szCs w:val="24"/>
        </w:rPr>
        <w:t>. Under subsection 122(8), ACMA must comply with such a Ministerial direction.</w:t>
      </w:r>
    </w:p>
    <w:p w14:paraId="0DEE6481" w14:textId="60AEFD2C" w:rsidR="00EB212C" w:rsidRPr="00EB212C" w:rsidRDefault="00EB212C" w:rsidP="00EB212C">
      <w:pPr>
        <w:spacing w:after="200" w:line="276" w:lineRule="auto"/>
        <w:ind w:left="0"/>
        <w:rPr>
          <w:rFonts w:ascii="Times New Roman" w:eastAsia="Calibri" w:hAnsi="Times New Roman" w:cs="Times New Roman"/>
          <w:sz w:val="24"/>
          <w:szCs w:val="24"/>
          <w:u w:val="single"/>
        </w:rPr>
      </w:pPr>
      <w:r w:rsidRPr="00EB212C">
        <w:rPr>
          <w:rFonts w:ascii="Times New Roman" w:eastAsia="Calibri" w:hAnsi="Times New Roman" w:cs="Times New Roman"/>
          <w:sz w:val="24"/>
          <w:szCs w:val="24"/>
          <w:u w:val="single"/>
        </w:rPr>
        <w:t>Purpose</w:t>
      </w:r>
    </w:p>
    <w:p w14:paraId="714E02C0" w14:textId="683AC33C" w:rsidR="0074250F" w:rsidRPr="003C41AC" w:rsidRDefault="00311E5A" w:rsidP="0074250F">
      <w:pPr>
        <w:pStyle w:val="subsection"/>
        <w:tabs>
          <w:tab w:val="clear" w:pos="1021"/>
          <w:tab w:val="right" w:pos="993"/>
        </w:tabs>
        <w:spacing w:before="0" w:after="200" w:line="276" w:lineRule="auto"/>
        <w:ind w:left="0" w:firstLine="0"/>
        <w:rPr>
          <w:rFonts w:eastAsia="Calibri"/>
          <w:sz w:val="24"/>
          <w:szCs w:val="24"/>
          <w:lang w:eastAsia="en-US"/>
        </w:rPr>
      </w:pPr>
      <w:r>
        <w:rPr>
          <w:rFonts w:eastAsia="Calibri"/>
          <w:sz w:val="24"/>
          <w:szCs w:val="24"/>
          <w:lang w:eastAsia="en-US"/>
        </w:rPr>
        <w:t xml:space="preserve">The purpose of the Direction is to reduce and simplify the Australian content obligations that apply to commercial television broadcasting licensees under the ACS and CTS, while retaining important safeguards for the protection of children. Specifically, the Direction will require ACMA, </w:t>
      </w:r>
      <w:r w:rsidR="0074250F" w:rsidRPr="003C41AC">
        <w:rPr>
          <w:rFonts w:eastAsia="Calibri"/>
          <w:sz w:val="24"/>
          <w:szCs w:val="24"/>
          <w:lang w:eastAsia="en-US"/>
        </w:rPr>
        <w:t>in the exercise of its powers under subsection 122(1) of the BSA, to amend</w:t>
      </w:r>
      <w:r w:rsidR="00256EF2">
        <w:rPr>
          <w:rFonts w:eastAsia="Calibri"/>
          <w:sz w:val="24"/>
          <w:szCs w:val="24"/>
          <w:lang w:eastAsia="en-US"/>
        </w:rPr>
        <w:t xml:space="preserve"> (or revoke and remake)</w:t>
      </w:r>
      <w:r w:rsidR="0074250F" w:rsidRPr="003C41AC">
        <w:rPr>
          <w:rFonts w:eastAsia="Calibri"/>
          <w:sz w:val="24"/>
          <w:szCs w:val="24"/>
          <w:lang w:eastAsia="en-US"/>
        </w:rPr>
        <w:t xml:space="preserve"> one or more Standard(s) to remove the requirements for commercial television broadcasting licensees to broadcast minimum amounts of:</w:t>
      </w:r>
    </w:p>
    <w:p w14:paraId="58CC7815" w14:textId="77777777" w:rsidR="0074250F" w:rsidRPr="003C41AC" w:rsidRDefault="0074250F" w:rsidP="0074250F">
      <w:pPr>
        <w:pStyle w:val="subsection"/>
        <w:numPr>
          <w:ilvl w:val="0"/>
          <w:numId w:val="5"/>
        </w:numPr>
        <w:tabs>
          <w:tab w:val="clear" w:pos="1021"/>
          <w:tab w:val="right" w:pos="1418"/>
        </w:tabs>
        <w:spacing w:before="0" w:after="200" w:line="276" w:lineRule="auto"/>
        <w:rPr>
          <w:rFonts w:eastAsia="Calibri"/>
          <w:sz w:val="24"/>
          <w:szCs w:val="24"/>
          <w:lang w:eastAsia="en-US"/>
        </w:rPr>
      </w:pPr>
      <w:r w:rsidRPr="003C41AC">
        <w:rPr>
          <w:rFonts w:eastAsia="Calibri"/>
          <w:sz w:val="24"/>
          <w:szCs w:val="24"/>
          <w:lang w:eastAsia="en-US"/>
        </w:rPr>
        <w:t xml:space="preserve">C material (including C programs); </w:t>
      </w:r>
    </w:p>
    <w:p w14:paraId="3727B30B" w14:textId="77777777" w:rsidR="0074250F" w:rsidRPr="003C41AC" w:rsidRDefault="0074250F" w:rsidP="0074250F">
      <w:pPr>
        <w:pStyle w:val="subsection"/>
        <w:numPr>
          <w:ilvl w:val="0"/>
          <w:numId w:val="5"/>
        </w:numPr>
        <w:tabs>
          <w:tab w:val="clear" w:pos="1021"/>
          <w:tab w:val="right" w:pos="1418"/>
        </w:tabs>
        <w:spacing w:before="0" w:after="200" w:line="276" w:lineRule="auto"/>
        <w:rPr>
          <w:rFonts w:eastAsia="Calibri"/>
          <w:sz w:val="24"/>
          <w:szCs w:val="24"/>
          <w:lang w:eastAsia="en-US"/>
        </w:rPr>
      </w:pPr>
      <w:r w:rsidRPr="003C41AC">
        <w:rPr>
          <w:rFonts w:eastAsia="Calibri"/>
          <w:sz w:val="24"/>
          <w:szCs w:val="24"/>
          <w:lang w:eastAsia="en-US"/>
        </w:rPr>
        <w:t xml:space="preserve">P material (including P programs); </w:t>
      </w:r>
    </w:p>
    <w:p w14:paraId="090C78AD" w14:textId="77777777" w:rsidR="0074250F" w:rsidRPr="003C41AC" w:rsidRDefault="0074250F" w:rsidP="0074250F">
      <w:pPr>
        <w:pStyle w:val="subsection"/>
        <w:numPr>
          <w:ilvl w:val="0"/>
          <w:numId w:val="5"/>
        </w:numPr>
        <w:tabs>
          <w:tab w:val="clear" w:pos="1021"/>
          <w:tab w:val="right" w:pos="1418"/>
        </w:tabs>
        <w:spacing w:before="0" w:after="200" w:line="276" w:lineRule="auto"/>
        <w:rPr>
          <w:rFonts w:eastAsia="Calibri"/>
          <w:sz w:val="24"/>
          <w:szCs w:val="24"/>
          <w:lang w:eastAsia="en-US"/>
        </w:rPr>
      </w:pPr>
      <w:r w:rsidRPr="003C41AC">
        <w:rPr>
          <w:rFonts w:eastAsia="Calibri"/>
          <w:sz w:val="24"/>
          <w:szCs w:val="24"/>
          <w:lang w:eastAsia="en-US"/>
        </w:rPr>
        <w:t xml:space="preserve">Australian drama programs; and </w:t>
      </w:r>
    </w:p>
    <w:p w14:paraId="3E7E49DB" w14:textId="77777777" w:rsidR="0074250F" w:rsidRPr="003C41AC" w:rsidRDefault="0074250F" w:rsidP="0074250F">
      <w:pPr>
        <w:pStyle w:val="subsection"/>
        <w:numPr>
          <w:ilvl w:val="0"/>
          <w:numId w:val="5"/>
        </w:numPr>
        <w:tabs>
          <w:tab w:val="clear" w:pos="1021"/>
          <w:tab w:val="right" w:pos="1418"/>
        </w:tabs>
        <w:spacing w:before="0" w:after="200" w:line="276" w:lineRule="auto"/>
        <w:rPr>
          <w:rFonts w:eastAsia="Calibri"/>
          <w:sz w:val="24"/>
          <w:szCs w:val="24"/>
          <w:lang w:eastAsia="en-US"/>
        </w:rPr>
      </w:pPr>
      <w:r w:rsidRPr="003C41AC">
        <w:rPr>
          <w:rFonts w:eastAsia="Calibri"/>
          <w:sz w:val="24"/>
          <w:szCs w:val="24"/>
          <w:lang w:eastAsia="en-US"/>
        </w:rPr>
        <w:t>documentary programs.</w:t>
      </w:r>
    </w:p>
    <w:p w14:paraId="72763606" w14:textId="61C8D552" w:rsidR="0074250F" w:rsidRDefault="0074250F" w:rsidP="0074250F">
      <w:pPr>
        <w:spacing w:after="200" w:line="276" w:lineRule="auto"/>
        <w:ind w:left="0"/>
        <w:rPr>
          <w:rFonts w:ascii="Times New Roman" w:eastAsia="Calibri" w:hAnsi="Times New Roman" w:cs="Times New Roman"/>
          <w:sz w:val="24"/>
          <w:szCs w:val="24"/>
        </w:rPr>
      </w:pPr>
      <w:r w:rsidRPr="003C41AC">
        <w:rPr>
          <w:rFonts w:ascii="Times New Roman" w:eastAsia="Calibri" w:hAnsi="Times New Roman" w:cs="Times New Roman"/>
          <w:sz w:val="24"/>
          <w:szCs w:val="24"/>
        </w:rPr>
        <w:t>The Direction also directs ACMA, in the exercise of its powers under subsection 122(1) of the BSA, to amend one or more Standard(s) to introduce a new points-based Australian program quota</w:t>
      </w:r>
      <w:r w:rsidR="00C41A7D">
        <w:rPr>
          <w:rFonts w:ascii="Times New Roman" w:eastAsia="Calibri" w:hAnsi="Times New Roman" w:cs="Times New Roman"/>
          <w:sz w:val="24"/>
          <w:szCs w:val="24"/>
        </w:rPr>
        <w:t>,</w:t>
      </w:r>
      <w:r w:rsidRPr="003C41AC">
        <w:rPr>
          <w:rFonts w:ascii="Times New Roman" w:eastAsia="Calibri" w:hAnsi="Times New Roman" w:cs="Times New Roman"/>
          <w:sz w:val="24"/>
          <w:szCs w:val="24"/>
        </w:rPr>
        <w:t xml:space="preserve"> requiring each commercial television broadcasting licensee to provide at least 250 points of first release Australian programs in each calendar year, commencing from 1 January 2021.</w:t>
      </w:r>
    </w:p>
    <w:p w14:paraId="427F06FA" w14:textId="09A401EE" w:rsidR="00B77CD0" w:rsidRDefault="00AF6765" w:rsidP="0074250F">
      <w:pPr>
        <w:spacing w:after="200" w:line="276" w:lineRule="auto"/>
        <w:ind w:left="0"/>
        <w:rPr>
          <w:rFonts w:ascii="Times New Roman" w:hAnsi="Times New Roman" w:cs="Times New Roman"/>
          <w:sz w:val="24"/>
          <w:szCs w:val="24"/>
        </w:rPr>
      </w:pPr>
      <w:r>
        <w:rPr>
          <w:rFonts w:ascii="Times New Roman" w:eastAsia="Calibri" w:hAnsi="Times New Roman" w:cs="Times New Roman"/>
          <w:sz w:val="24"/>
          <w:szCs w:val="24"/>
        </w:rPr>
        <w:t xml:space="preserve">ACMA is directed </w:t>
      </w:r>
      <w:r w:rsidR="00EB212C" w:rsidRPr="00EB212C">
        <w:rPr>
          <w:rFonts w:ascii="Times New Roman" w:eastAsia="Calibri" w:hAnsi="Times New Roman" w:cs="Times New Roman"/>
          <w:sz w:val="24"/>
          <w:szCs w:val="24"/>
        </w:rPr>
        <w:t xml:space="preserve">to </w:t>
      </w:r>
      <w:r w:rsidR="00FA4D0B" w:rsidRPr="0008420C">
        <w:rPr>
          <w:rFonts w:ascii="Times New Roman" w:hAnsi="Times New Roman" w:cs="Times New Roman"/>
          <w:sz w:val="24"/>
          <w:szCs w:val="24"/>
        </w:rPr>
        <w:t>provide that the new quota may be acquitted through any combination of the program genres listed in column 1 of the table at Schedule 1</w:t>
      </w:r>
      <w:r w:rsidR="00C41A7D">
        <w:rPr>
          <w:rFonts w:ascii="Times New Roman" w:hAnsi="Times New Roman" w:cs="Times New Roman"/>
          <w:sz w:val="24"/>
          <w:szCs w:val="24"/>
        </w:rPr>
        <w:t xml:space="preserve"> to the Direction</w:t>
      </w:r>
      <w:r w:rsidR="00FA4D0B" w:rsidRPr="0008420C">
        <w:rPr>
          <w:rFonts w:ascii="Times New Roman" w:hAnsi="Times New Roman" w:cs="Times New Roman"/>
          <w:sz w:val="24"/>
          <w:szCs w:val="24"/>
        </w:rPr>
        <w:t xml:space="preserve">, and for the points allocated to each genre to be those listed in </w:t>
      </w:r>
      <w:r w:rsidR="00C41A7D">
        <w:rPr>
          <w:rFonts w:ascii="Times New Roman" w:hAnsi="Times New Roman" w:cs="Times New Roman"/>
          <w:sz w:val="24"/>
          <w:szCs w:val="24"/>
        </w:rPr>
        <w:t xml:space="preserve">column 2 of the table at </w:t>
      </w:r>
      <w:r w:rsidR="00FA4D0B" w:rsidRPr="0008420C">
        <w:rPr>
          <w:rFonts w:ascii="Times New Roman" w:hAnsi="Times New Roman" w:cs="Times New Roman"/>
          <w:sz w:val="24"/>
          <w:szCs w:val="24"/>
        </w:rPr>
        <w:t>Schedule 1</w:t>
      </w:r>
      <w:r w:rsidR="00C41A7D">
        <w:rPr>
          <w:rFonts w:ascii="Times New Roman" w:hAnsi="Times New Roman" w:cs="Times New Roman"/>
          <w:sz w:val="24"/>
          <w:szCs w:val="24"/>
        </w:rPr>
        <w:t xml:space="preserve"> to the Direction</w:t>
      </w:r>
      <w:r w:rsidR="00FA4D0B" w:rsidRPr="0008420C">
        <w:rPr>
          <w:rFonts w:ascii="Times New Roman" w:hAnsi="Times New Roman" w:cs="Times New Roman"/>
          <w:sz w:val="24"/>
          <w:szCs w:val="24"/>
        </w:rPr>
        <w:t xml:space="preserve">. </w:t>
      </w:r>
    </w:p>
    <w:p w14:paraId="5FE6AB04" w14:textId="30E05EB6" w:rsidR="00FA4D0B" w:rsidRPr="0008420C" w:rsidRDefault="00FA4D0B" w:rsidP="003C41AC">
      <w:pPr>
        <w:spacing w:after="200" w:line="276" w:lineRule="auto"/>
        <w:ind w:left="0"/>
        <w:rPr>
          <w:rFonts w:ascii="Times New Roman" w:hAnsi="Times New Roman" w:cs="Times New Roman"/>
          <w:sz w:val="24"/>
          <w:szCs w:val="24"/>
        </w:rPr>
      </w:pPr>
      <w:r w:rsidRPr="0008420C">
        <w:rPr>
          <w:rFonts w:ascii="Times New Roman" w:hAnsi="Times New Roman" w:cs="Times New Roman"/>
          <w:sz w:val="24"/>
          <w:szCs w:val="24"/>
        </w:rPr>
        <w:lastRenderedPageBreak/>
        <w:t>Further, the new Standard(s) should not prescribe a mi</w:t>
      </w:r>
      <w:r w:rsidR="00311E5A">
        <w:rPr>
          <w:rFonts w:ascii="Times New Roman" w:hAnsi="Times New Roman" w:cs="Times New Roman"/>
          <w:sz w:val="24"/>
          <w:szCs w:val="24"/>
        </w:rPr>
        <w:t xml:space="preserve">nimum amount of points to be </w:t>
      </w:r>
      <w:r w:rsidR="0012399B">
        <w:rPr>
          <w:rFonts w:ascii="Times New Roman" w:hAnsi="Times New Roman" w:cs="Times New Roman"/>
          <w:sz w:val="24"/>
          <w:szCs w:val="24"/>
        </w:rPr>
        <w:t>acquitted</w:t>
      </w:r>
      <w:r w:rsidR="0038404C">
        <w:rPr>
          <w:rFonts w:ascii="Times New Roman" w:hAnsi="Times New Roman" w:cs="Times New Roman"/>
          <w:sz w:val="24"/>
          <w:szCs w:val="24"/>
        </w:rPr>
        <w:t xml:space="preserve"> from any one program genre</w:t>
      </w:r>
      <w:r w:rsidRPr="0008420C">
        <w:rPr>
          <w:rFonts w:ascii="Times New Roman" w:hAnsi="Times New Roman" w:cs="Times New Roman"/>
          <w:sz w:val="24"/>
          <w:szCs w:val="24"/>
        </w:rPr>
        <w:t xml:space="preserve"> listed in Schedule 1</w:t>
      </w:r>
      <w:r w:rsidR="002A74C3">
        <w:rPr>
          <w:rFonts w:ascii="Times New Roman" w:hAnsi="Times New Roman" w:cs="Times New Roman"/>
          <w:sz w:val="24"/>
          <w:szCs w:val="24"/>
        </w:rPr>
        <w:t xml:space="preserve"> to the Direction</w:t>
      </w:r>
      <w:r w:rsidRPr="0008420C">
        <w:rPr>
          <w:rFonts w:ascii="Times New Roman" w:hAnsi="Times New Roman" w:cs="Times New Roman"/>
          <w:sz w:val="24"/>
          <w:szCs w:val="24"/>
        </w:rPr>
        <w:t xml:space="preserve">, </w:t>
      </w:r>
      <w:r w:rsidR="0008420C">
        <w:rPr>
          <w:rFonts w:ascii="Times New Roman" w:hAnsi="Times New Roman" w:cs="Times New Roman"/>
          <w:sz w:val="24"/>
          <w:szCs w:val="24"/>
        </w:rPr>
        <w:t xml:space="preserve">with the exception of </w:t>
      </w:r>
      <w:r w:rsidRPr="0008420C">
        <w:rPr>
          <w:rFonts w:ascii="Times New Roman" w:hAnsi="Times New Roman" w:cs="Times New Roman"/>
          <w:sz w:val="24"/>
          <w:szCs w:val="24"/>
        </w:rPr>
        <w:t>documentary programs</w:t>
      </w:r>
      <w:r w:rsidR="0008420C">
        <w:rPr>
          <w:rFonts w:ascii="Times New Roman" w:hAnsi="Times New Roman" w:cs="Times New Roman"/>
          <w:sz w:val="24"/>
          <w:szCs w:val="24"/>
        </w:rPr>
        <w:t>, of which</w:t>
      </w:r>
      <w:r w:rsidR="0008420C" w:rsidRPr="0008420C">
        <w:rPr>
          <w:rFonts w:ascii="Times New Roman" w:hAnsi="Times New Roman" w:cs="Times New Roman"/>
          <w:sz w:val="24"/>
          <w:szCs w:val="24"/>
        </w:rPr>
        <w:t xml:space="preserve"> a maximum of 50 points per year may be acquitted</w:t>
      </w:r>
      <w:r w:rsidR="0008420C">
        <w:rPr>
          <w:rFonts w:ascii="Times New Roman" w:hAnsi="Times New Roman" w:cs="Times New Roman"/>
          <w:sz w:val="24"/>
          <w:szCs w:val="24"/>
        </w:rPr>
        <w:t>.</w:t>
      </w:r>
    </w:p>
    <w:p w14:paraId="1EF74FED" w14:textId="783EC9E6" w:rsidR="00FA4D0B" w:rsidRDefault="00B77CD0" w:rsidP="00FA4D0B">
      <w:pPr>
        <w:pStyle w:val="subsection"/>
        <w:tabs>
          <w:tab w:val="clear" w:pos="1021"/>
          <w:tab w:val="right" w:pos="1418"/>
        </w:tabs>
        <w:spacing w:before="0" w:after="240"/>
        <w:ind w:left="0" w:firstLine="0"/>
        <w:rPr>
          <w:sz w:val="24"/>
          <w:szCs w:val="24"/>
        </w:rPr>
      </w:pPr>
      <w:r>
        <w:rPr>
          <w:sz w:val="24"/>
          <w:szCs w:val="24"/>
        </w:rPr>
        <w:t>F</w:t>
      </w:r>
      <w:r w:rsidR="00FA4D0B" w:rsidRPr="0008420C">
        <w:rPr>
          <w:sz w:val="24"/>
          <w:szCs w:val="24"/>
        </w:rPr>
        <w:t>irst release Australian programs may only be counted towards the new quota the first time that the</w:t>
      </w:r>
      <w:r>
        <w:rPr>
          <w:sz w:val="24"/>
          <w:szCs w:val="24"/>
        </w:rPr>
        <w:t xml:space="preserve">y are broadcast by the licensee, and </w:t>
      </w:r>
      <w:r w:rsidR="00FA4D0B" w:rsidRPr="0008420C">
        <w:rPr>
          <w:sz w:val="24"/>
          <w:szCs w:val="24"/>
        </w:rPr>
        <w:t xml:space="preserve">commercial television broadcasting licensees </w:t>
      </w:r>
      <w:r>
        <w:rPr>
          <w:sz w:val="24"/>
          <w:szCs w:val="24"/>
        </w:rPr>
        <w:t xml:space="preserve">will be able </w:t>
      </w:r>
      <w:r w:rsidR="00FA4D0B" w:rsidRPr="0008420C">
        <w:rPr>
          <w:sz w:val="24"/>
          <w:szCs w:val="24"/>
        </w:rPr>
        <w:t>to carry over points accrued in excess of the new quota from the year in which the points were accrued to the following calendar year</w:t>
      </w:r>
      <w:r w:rsidR="00FA4D0B" w:rsidRPr="007F33A9">
        <w:rPr>
          <w:sz w:val="24"/>
          <w:szCs w:val="24"/>
        </w:rPr>
        <w:t>, up to a maximum of 50 points</w:t>
      </w:r>
      <w:r w:rsidRPr="007F33A9">
        <w:rPr>
          <w:sz w:val="24"/>
          <w:szCs w:val="24"/>
        </w:rPr>
        <w:t>.</w:t>
      </w:r>
    </w:p>
    <w:p w14:paraId="1BD46A41" w14:textId="18B78CD4" w:rsidR="002F3DD0" w:rsidRDefault="002F3DD0" w:rsidP="008B1C10">
      <w:pPr>
        <w:pStyle w:val="subsection"/>
        <w:tabs>
          <w:tab w:val="right" w:pos="1418"/>
        </w:tabs>
        <w:spacing w:before="0"/>
        <w:ind w:left="0" w:firstLine="0"/>
        <w:rPr>
          <w:sz w:val="24"/>
          <w:szCs w:val="24"/>
        </w:rPr>
      </w:pPr>
      <w:r>
        <w:rPr>
          <w:sz w:val="24"/>
          <w:szCs w:val="24"/>
        </w:rPr>
        <w:t>A</w:t>
      </w:r>
      <w:r w:rsidRPr="002F3DD0">
        <w:rPr>
          <w:sz w:val="24"/>
          <w:szCs w:val="24"/>
        </w:rPr>
        <w:t>cquired program</w:t>
      </w:r>
      <w:r w:rsidR="00D344E9">
        <w:rPr>
          <w:sz w:val="24"/>
          <w:szCs w:val="24"/>
        </w:rPr>
        <w:t>s</w:t>
      </w:r>
      <w:r w:rsidRPr="002F3DD0">
        <w:rPr>
          <w:sz w:val="24"/>
          <w:szCs w:val="24"/>
        </w:rPr>
        <w:t xml:space="preserve">, including acquired New Zealand programming, </w:t>
      </w:r>
      <w:r w:rsidR="008B1C10">
        <w:rPr>
          <w:sz w:val="24"/>
          <w:szCs w:val="24"/>
        </w:rPr>
        <w:t>will</w:t>
      </w:r>
      <w:r w:rsidRPr="002F3DD0">
        <w:rPr>
          <w:sz w:val="24"/>
          <w:szCs w:val="24"/>
        </w:rPr>
        <w:t xml:space="preserve"> not be able to be </w:t>
      </w:r>
      <w:r w:rsidR="008B1C10">
        <w:rPr>
          <w:sz w:val="24"/>
          <w:szCs w:val="24"/>
        </w:rPr>
        <w:t xml:space="preserve">used to acquit the new quota, with the exception of acquired </w:t>
      </w:r>
      <w:r w:rsidR="00D344E9">
        <w:rPr>
          <w:sz w:val="24"/>
          <w:szCs w:val="24"/>
        </w:rPr>
        <w:t xml:space="preserve">films that are </w:t>
      </w:r>
      <w:r w:rsidR="008B1C10">
        <w:rPr>
          <w:sz w:val="24"/>
          <w:szCs w:val="24"/>
        </w:rPr>
        <w:t>Australian</w:t>
      </w:r>
      <w:r w:rsidR="00D344E9">
        <w:rPr>
          <w:sz w:val="24"/>
          <w:szCs w:val="24"/>
        </w:rPr>
        <w:t>, Australian official co-productions, Australian/New Zealand programs</w:t>
      </w:r>
      <w:r w:rsidR="008B1C10">
        <w:rPr>
          <w:sz w:val="24"/>
          <w:szCs w:val="24"/>
        </w:rPr>
        <w:t xml:space="preserve"> or New Zealand </w:t>
      </w:r>
      <w:r w:rsidR="00D344E9">
        <w:rPr>
          <w:sz w:val="24"/>
          <w:szCs w:val="24"/>
        </w:rPr>
        <w:t>programs</w:t>
      </w:r>
      <w:r w:rsidRPr="002F3DD0">
        <w:rPr>
          <w:sz w:val="24"/>
          <w:szCs w:val="24"/>
        </w:rPr>
        <w:t>.</w:t>
      </w:r>
    </w:p>
    <w:p w14:paraId="47E26D4B" w14:textId="77777777" w:rsidR="008B1C10" w:rsidRPr="007F33A9" w:rsidRDefault="008B1C10" w:rsidP="008B1C10">
      <w:pPr>
        <w:pStyle w:val="subsection"/>
        <w:tabs>
          <w:tab w:val="right" w:pos="1418"/>
        </w:tabs>
        <w:spacing w:before="0"/>
        <w:ind w:left="0" w:firstLine="0"/>
        <w:rPr>
          <w:sz w:val="24"/>
          <w:szCs w:val="24"/>
        </w:rPr>
      </w:pPr>
    </w:p>
    <w:p w14:paraId="4CA27C0C" w14:textId="71C00EAC" w:rsidR="002D20A8" w:rsidRDefault="00B77CD0" w:rsidP="0010709B">
      <w:pPr>
        <w:pStyle w:val="subsection"/>
        <w:tabs>
          <w:tab w:val="clear" w:pos="1021"/>
          <w:tab w:val="right" w:pos="1418"/>
        </w:tabs>
        <w:spacing w:before="0" w:after="240" w:line="276" w:lineRule="auto"/>
        <w:ind w:left="0" w:firstLine="0"/>
        <w:rPr>
          <w:sz w:val="24"/>
          <w:szCs w:val="24"/>
        </w:rPr>
      </w:pPr>
      <w:r w:rsidRPr="007F33A9">
        <w:rPr>
          <w:sz w:val="24"/>
          <w:szCs w:val="24"/>
        </w:rPr>
        <w:t xml:space="preserve">Similar to the deeming measures included in the </w:t>
      </w:r>
      <w:r w:rsidRPr="00824507">
        <w:rPr>
          <w:bCs/>
          <w:i/>
          <w:sz w:val="24"/>
          <w:szCs w:val="24"/>
        </w:rPr>
        <w:t>Broadcasting Services Amendment (Regional Commercial Radio and Other Measures) Bill 2020</w:t>
      </w:r>
      <w:r>
        <w:rPr>
          <w:sz w:val="24"/>
          <w:szCs w:val="24"/>
        </w:rPr>
        <w:t xml:space="preserve">, the Direction will require  ACMA to </w:t>
      </w:r>
      <w:r w:rsidR="00FA4D0B" w:rsidRPr="0008420C">
        <w:rPr>
          <w:sz w:val="24"/>
          <w:szCs w:val="24"/>
        </w:rPr>
        <w:t>provide for the new quota to be deemed to have b</w:t>
      </w:r>
      <w:r w:rsidR="0038404C">
        <w:rPr>
          <w:sz w:val="24"/>
          <w:szCs w:val="24"/>
        </w:rPr>
        <w:t xml:space="preserve">een complied with by a regional or </w:t>
      </w:r>
      <w:r w:rsidR="00FA4D0B" w:rsidRPr="0008420C">
        <w:rPr>
          <w:sz w:val="24"/>
          <w:szCs w:val="24"/>
        </w:rPr>
        <w:t>remote commercial television broadcasting licensee if the amount of first release Australian programs broadcast by the licensee in a given calendar year is not less than the amount broadcast by a metropolitan commercial television broadcasting licensee on an equivalent metropolitan c</w:t>
      </w:r>
      <w:r>
        <w:rPr>
          <w:sz w:val="24"/>
          <w:szCs w:val="24"/>
        </w:rPr>
        <w:t>hannel</w:t>
      </w:r>
      <w:r w:rsidR="002D20A8">
        <w:rPr>
          <w:sz w:val="24"/>
          <w:szCs w:val="24"/>
        </w:rPr>
        <w:t xml:space="preserve"> </w:t>
      </w:r>
      <w:r w:rsidR="00104ED1">
        <w:rPr>
          <w:sz w:val="24"/>
          <w:szCs w:val="24"/>
        </w:rPr>
        <w:t>(</w:t>
      </w:r>
      <w:r w:rsidR="00EA7F65">
        <w:rPr>
          <w:sz w:val="24"/>
          <w:szCs w:val="24"/>
        </w:rPr>
        <w:t xml:space="preserve">where that channel </w:t>
      </w:r>
      <w:r w:rsidR="002D20A8">
        <w:rPr>
          <w:sz w:val="24"/>
          <w:szCs w:val="24"/>
        </w:rPr>
        <w:t xml:space="preserve">is </w:t>
      </w:r>
      <w:r w:rsidR="00104ED1">
        <w:rPr>
          <w:sz w:val="24"/>
          <w:szCs w:val="24"/>
        </w:rPr>
        <w:t xml:space="preserve">also </w:t>
      </w:r>
      <w:r w:rsidR="002D20A8">
        <w:rPr>
          <w:sz w:val="24"/>
          <w:szCs w:val="24"/>
        </w:rPr>
        <w:t>broadcast by the regional or remote licensee</w:t>
      </w:r>
      <w:r w:rsidR="00104ED1">
        <w:rPr>
          <w:sz w:val="24"/>
          <w:szCs w:val="24"/>
        </w:rPr>
        <w:t>)</w:t>
      </w:r>
      <w:r>
        <w:rPr>
          <w:sz w:val="24"/>
          <w:szCs w:val="24"/>
        </w:rPr>
        <w:t xml:space="preserve"> during the same year.</w:t>
      </w:r>
    </w:p>
    <w:p w14:paraId="53DD9AE6" w14:textId="7DC162F6" w:rsidR="00FA4D0B" w:rsidRDefault="00B77CD0" w:rsidP="0010709B">
      <w:pPr>
        <w:spacing w:line="276" w:lineRule="auto"/>
        <w:ind w:left="0"/>
        <w:rPr>
          <w:rFonts w:ascii="Times New Roman" w:hAnsi="Times New Roman" w:cs="Times New Roman"/>
          <w:sz w:val="24"/>
          <w:szCs w:val="24"/>
        </w:rPr>
      </w:pPr>
      <w:r w:rsidRPr="00AD685B">
        <w:rPr>
          <w:rFonts w:ascii="Times New Roman" w:hAnsi="Times New Roman" w:cs="Times New Roman"/>
          <w:sz w:val="24"/>
          <w:szCs w:val="24"/>
        </w:rPr>
        <w:t xml:space="preserve">The Direction also directs ACMA to </w:t>
      </w:r>
      <w:r w:rsidR="00FA4D0B" w:rsidRPr="00AD685B">
        <w:rPr>
          <w:rFonts w:ascii="Times New Roman" w:hAnsi="Times New Roman" w:cs="Times New Roman"/>
          <w:sz w:val="24"/>
          <w:szCs w:val="24"/>
        </w:rPr>
        <w:t>require commercial television broadcasting licensees to pro</w:t>
      </w:r>
      <w:r w:rsidR="00FA4D0B" w:rsidRPr="00AD685B">
        <w:rPr>
          <w:rFonts w:ascii="Times New Roman" w:hAnsi="Times New Roman" w:cs="Times New Roman"/>
          <w:color w:val="000000"/>
          <w:sz w:val="24"/>
          <w:szCs w:val="24"/>
          <w:shd w:val="clear" w:color="auto" w:fill="FFFFFF"/>
        </w:rPr>
        <w:t xml:space="preserve">vide information to </w:t>
      </w:r>
      <w:r w:rsidRPr="00AD685B">
        <w:rPr>
          <w:rFonts w:ascii="Times New Roman" w:hAnsi="Times New Roman" w:cs="Times New Roman"/>
          <w:color w:val="000000"/>
          <w:sz w:val="24"/>
          <w:szCs w:val="24"/>
          <w:shd w:val="clear" w:color="auto" w:fill="FFFFFF"/>
        </w:rPr>
        <w:t>ACMA, d</w:t>
      </w:r>
      <w:r w:rsidR="00FA4D0B" w:rsidRPr="00AD685B">
        <w:rPr>
          <w:rFonts w:ascii="Times New Roman" w:hAnsi="Times New Roman" w:cs="Times New Roman"/>
          <w:color w:val="000000"/>
          <w:sz w:val="24"/>
          <w:szCs w:val="24"/>
          <w:shd w:val="clear" w:color="auto" w:fill="FFFFFF"/>
        </w:rPr>
        <w:t>emonstrating the licensee’s compliance</w:t>
      </w:r>
      <w:r w:rsidR="00FA4D0B" w:rsidRPr="00AD685B">
        <w:rPr>
          <w:rFonts w:ascii="Times New Roman" w:hAnsi="Times New Roman" w:cs="Times New Roman"/>
          <w:sz w:val="24"/>
          <w:szCs w:val="24"/>
        </w:rPr>
        <w:t xml:space="preserve"> with the new quota, including the number of hours of programming of each genre that is broadcast, the licence fees and/or production budget per hour for each film or program claimed against the quota</w:t>
      </w:r>
      <w:r w:rsidR="0038404C">
        <w:rPr>
          <w:rFonts w:ascii="Times New Roman" w:hAnsi="Times New Roman" w:cs="Times New Roman"/>
          <w:sz w:val="24"/>
          <w:szCs w:val="24"/>
        </w:rPr>
        <w:t>,</w:t>
      </w:r>
      <w:r w:rsidR="00AD2BA4" w:rsidRPr="00AD685B">
        <w:rPr>
          <w:rFonts w:ascii="Times New Roman" w:hAnsi="Times New Roman" w:cs="Times New Roman"/>
          <w:sz w:val="24"/>
          <w:szCs w:val="24"/>
        </w:rPr>
        <w:t xml:space="preserve"> and the actual expenditure by broadcasters</w:t>
      </w:r>
      <w:r w:rsidR="00FA4D0B" w:rsidRPr="00AD685B">
        <w:rPr>
          <w:rFonts w:ascii="Times New Roman" w:hAnsi="Times New Roman" w:cs="Times New Roman"/>
          <w:sz w:val="24"/>
          <w:szCs w:val="24"/>
        </w:rPr>
        <w:t>.</w:t>
      </w:r>
    </w:p>
    <w:p w14:paraId="6C98D664" w14:textId="3CEEBA3B" w:rsidR="00137628" w:rsidRPr="00137628" w:rsidRDefault="00137628" w:rsidP="00137628">
      <w:pPr>
        <w:spacing w:after="200" w:line="276" w:lineRule="auto"/>
        <w:ind w:left="0"/>
        <w:rPr>
          <w:rFonts w:ascii="Times New Roman" w:hAnsi="Times New Roman" w:cs="Times New Roman"/>
          <w:sz w:val="24"/>
          <w:szCs w:val="24"/>
        </w:rPr>
      </w:pPr>
      <w:r>
        <w:rPr>
          <w:rFonts w:ascii="Times New Roman" w:hAnsi="Times New Roman" w:cs="Times New Roman"/>
          <w:sz w:val="24"/>
          <w:szCs w:val="24"/>
        </w:rPr>
        <w:t>The Direction requires</w:t>
      </w:r>
      <w:r w:rsidRPr="00137628">
        <w:rPr>
          <w:rFonts w:ascii="Times New Roman" w:hAnsi="Times New Roman" w:cs="Times New Roman"/>
          <w:sz w:val="24"/>
          <w:szCs w:val="24"/>
        </w:rPr>
        <w:t xml:space="preserve"> ACMA to</w:t>
      </w:r>
      <w:r>
        <w:rPr>
          <w:rFonts w:ascii="Times New Roman" w:hAnsi="Times New Roman" w:cs="Times New Roman"/>
          <w:sz w:val="24"/>
          <w:szCs w:val="24"/>
        </w:rPr>
        <w:t xml:space="preserve"> </w:t>
      </w:r>
      <w:r w:rsidRPr="00137628">
        <w:rPr>
          <w:rFonts w:ascii="Times New Roman" w:hAnsi="Times New Roman" w:cs="Times New Roman"/>
          <w:sz w:val="24"/>
          <w:szCs w:val="24"/>
        </w:rPr>
        <w:t xml:space="preserve">retain </w:t>
      </w:r>
      <w:r w:rsidR="006C4BD9">
        <w:rPr>
          <w:rFonts w:ascii="Times New Roman" w:hAnsi="Times New Roman" w:cs="Times New Roman"/>
          <w:sz w:val="24"/>
          <w:szCs w:val="24"/>
        </w:rPr>
        <w:t>certain</w:t>
      </w:r>
      <w:r w:rsidRPr="00137628">
        <w:rPr>
          <w:rFonts w:ascii="Times New Roman" w:hAnsi="Times New Roman" w:cs="Times New Roman"/>
          <w:sz w:val="24"/>
          <w:szCs w:val="24"/>
        </w:rPr>
        <w:t xml:space="preserve"> requirements relating to the protection of children </w:t>
      </w:r>
      <w:r>
        <w:rPr>
          <w:rFonts w:ascii="Times New Roman" w:hAnsi="Times New Roman" w:cs="Times New Roman"/>
          <w:sz w:val="24"/>
          <w:szCs w:val="24"/>
        </w:rPr>
        <w:t xml:space="preserve">and to </w:t>
      </w:r>
      <w:r w:rsidRPr="00137628">
        <w:rPr>
          <w:rFonts w:ascii="Times New Roman" w:hAnsi="Times New Roman" w:cs="Times New Roman"/>
          <w:sz w:val="24"/>
          <w:szCs w:val="24"/>
        </w:rPr>
        <w:t>require commercial television broadcasting licensees to identify any C program or P program that they broadcast using the applicable C or P symbol</w:t>
      </w:r>
      <w:r>
        <w:rPr>
          <w:rFonts w:ascii="Times New Roman" w:hAnsi="Times New Roman" w:cs="Times New Roman"/>
          <w:sz w:val="24"/>
          <w:szCs w:val="24"/>
        </w:rPr>
        <w:t xml:space="preserve">. </w:t>
      </w:r>
      <w:r w:rsidRPr="00137628">
        <w:rPr>
          <w:rFonts w:ascii="Times New Roman" w:hAnsi="Times New Roman" w:cs="Times New Roman"/>
          <w:sz w:val="24"/>
          <w:szCs w:val="24"/>
        </w:rPr>
        <w:t xml:space="preserve">ACMA </w:t>
      </w:r>
      <w:r>
        <w:rPr>
          <w:rFonts w:ascii="Times New Roman" w:hAnsi="Times New Roman" w:cs="Times New Roman"/>
          <w:sz w:val="24"/>
          <w:szCs w:val="24"/>
        </w:rPr>
        <w:t>will</w:t>
      </w:r>
      <w:r w:rsidRPr="00137628">
        <w:rPr>
          <w:rFonts w:ascii="Times New Roman" w:hAnsi="Times New Roman" w:cs="Times New Roman"/>
          <w:sz w:val="24"/>
          <w:szCs w:val="24"/>
        </w:rPr>
        <w:t xml:space="preserve"> retain its role in the classification of C programs and P programs until such time as amendments are made to the </w:t>
      </w:r>
      <w:r w:rsidRPr="00137628">
        <w:rPr>
          <w:rFonts w:ascii="Times New Roman" w:hAnsi="Times New Roman" w:cs="Times New Roman"/>
          <w:i/>
          <w:sz w:val="24"/>
          <w:szCs w:val="24"/>
        </w:rPr>
        <w:t xml:space="preserve">Commercial Television Industry Code of Practice </w:t>
      </w:r>
      <w:r w:rsidRPr="00137628">
        <w:rPr>
          <w:rFonts w:ascii="Times New Roman" w:hAnsi="Times New Roman" w:cs="Times New Roman"/>
          <w:sz w:val="24"/>
          <w:szCs w:val="24"/>
        </w:rPr>
        <w:t>to enable commercial television broadcasting licensees to classify children’s content</w:t>
      </w:r>
      <w:r>
        <w:rPr>
          <w:rFonts w:ascii="Times New Roman" w:hAnsi="Times New Roman" w:cs="Times New Roman"/>
          <w:sz w:val="24"/>
          <w:szCs w:val="24"/>
        </w:rPr>
        <w:t xml:space="preserve">. </w:t>
      </w:r>
    </w:p>
    <w:p w14:paraId="3E55BB9D" w14:textId="36A75AC2" w:rsidR="00137628" w:rsidRPr="00137628" w:rsidRDefault="00137628" w:rsidP="00137628">
      <w:pPr>
        <w:spacing w:after="200" w:line="276" w:lineRule="auto"/>
        <w:ind w:left="0"/>
      </w:pPr>
      <w:r>
        <w:rPr>
          <w:rFonts w:ascii="Times New Roman" w:hAnsi="Times New Roman" w:cs="Times New Roman"/>
          <w:sz w:val="24"/>
          <w:szCs w:val="24"/>
        </w:rPr>
        <w:t xml:space="preserve">The requirement that </w:t>
      </w:r>
      <w:r w:rsidRPr="00137628">
        <w:rPr>
          <w:rFonts w:ascii="Times New Roman" w:hAnsi="Times New Roman" w:cs="Times New Roman"/>
          <w:sz w:val="24"/>
          <w:szCs w:val="24"/>
        </w:rPr>
        <w:t xml:space="preserve">a P program cannot include any advertising immediately before, during or immediately after the broadcast of the </w:t>
      </w:r>
      <w:r>
        <w:rPr>
          <w:rFonts w:ascii="Times New Roman" w:hAnsi="Times New Roman" w:cs="Times New Roman"/>
          <w:sz w:val="24"/>
          <w:szCs w:val="24"/>
        </w:rPr>
        <w:t>program</w:t>
      </w:r>
      <w:r w:rsidR="0038404C">
        <w:rPr>
          <w:rFonts w:ascii="Times New Roman" w:hAnsi="Times New Roman" w:cs="Times New Roman"/>
          <w:sz w:val="24"/>
          <w:szCs w:val="24"/>
        </w:rPr>
        <w:t>,</w:t>
      </w:r>
      <w:r>
        <w:rPr>
          <w:rFonts w:ascii="Times New Roman" w:hAnsi="Times New Roman" w:cs="Times New Roman"/>
          <w:sz w:val="24"/>
          <w:szCs w:val="24"/>
        </w:rPr>
        <w:t xml:space="preserve"> will remain. </w:t>
      </w:r>
      <w:r w:rsidRPr="00137628">
        <w:rPr>
          <w:rFonts w:ascii="Times New Roman" w:hAnsi="Times New Roman" w:cs="Times New Roman"/>
          <w:sz w:val="24"/>
          <w:szCs w:val="24"/>
        </w:rPr>
        <w:t>C program</w:t>
      </w:r>
      <w:r>
        <w:rPr>
          <w:rFonts w:ascii="Times New Roman" w:hAnsi="Times New Roman" w:cs="Times New Roman"/>
          <w:sz w:val="24"/>
          <w:szCs w:val="24"/>
        </w:rPr>
        <w:t>s</w:t>
      </w:r>
      <w:r w:rsidRPr="00137628">
        <w:rPr>
          <w:rFonts w:ascii="Times New Roman" w:hAnsi="Times New Roman" w:cs="Times New Roman"/>
          <w:sz w:val="24"/>
          <w:szCs w:val="24"/>
        </w:rPr>
        <w:t xml:space="preserve"> </w:t>
      </w:r>
      <w:r>
        <w:rPr>
          <w:rFonts w:ascii="Times New Roman" w:hAnsi="Times New Roman" w:cs="Times New Roman"/>
          <w:sz w:val="24"/>
          <w:szCs w:val="24"/>
        </w:rPr>
        <w:t>may</w:t>
      </w:r>
      <w:r w:rsidRPr="00137628">
        <w:rPr>
          <w:rFonts w:ascii="Times New Roman" w:hAnsi="Times New Roman" w:cs="Times New Roman"/>
          <w:sz w:val="24"/>
          <w:szCs w:val="24"/>
        </w:rPr>
        <w:t xml:space="preserve"> include advertising and other non-program material in line with </w:t>
      </w:r>
      <w:r>
        <w:rPr>
          <w:rFonts w:ascii="Times New Roman" w:hAnsi="Times New Roman" w:cs="Times New Roman"/>
          <w:sz w:val="24"/>
          <w:szCs w:val="24"/>
        </w:rPr>
        <w:t xml:space="preserve">the current </w:t>
      </w:r>
      <w:r w:rsidRPr="00137628">
        <w:rPr>
          <w:rFonts w:ascii="Times New Roman" w:hAnsi="Times New Roman" w:cs="Times New Roman"/>
          <w:sz w:val="24"/>
          <w:szCs w:val="24"/>
        </w:rPr>
        <w:t>requirements con</w:t>
      </w:r>
      <w:r w:rsidR="00F44793">
        <w:rPr>
          <w:rFonts w:ascii="Times New Roman" w:hAnsi="Times New Roman" w:cs="Times New Roman"/>
          <w:sz w:val="24"/>
          <w:szCs w:val="24"/>
        </w:rPr>
        <w:t>tained in Part 3 of the CTS.</w:t>
      </w:r>
      <w:r w:rsidR="0044323A">
        <w:rPr>
          <w:rFonts w:ascii="Times New Roman" w:hAnsi="Times New Roman" w:cs="Times New Roman"/>
          <w:sz w:val="24"/>
          <w:szCs w:val="24"/>
        </w:rPr>
        <w:t xml:space="preserve"> The r</w:t>
      </w:r>
      <w:r w:rsidRPr="00137628">
        <w:rPr>
          <w:rFonts w:ascii="Times New Roman" w:hAnsi="Times New Roman" w:cs="Times New Roman"/>
          <w:sz w:val="24"/>
          <w:szCs w:val="24"/>
        </w:rPr>
        <w:t>equirement for P programs broadcast by commercial television broadcasting licensees to be Australian programs</w:t>
      </w:r>
      <w:r w:rsidR="0044323A">
        <w:rPr>
          <w:rFonts w:ascii="Times New Roman" w:hAnsi="Times New Roman" w:cs="Times New Roman"/>
          <w:sz w:val="24"/>
          <w:szCs w:val="24"/>
        </w:rPr>
        <w:t xml:space="preserve"> will be removed</w:t>
      </w:r>
      <w:r w:rsidRPr="00137628">
        <w:rPr>
          <w:rFonts w:ascii="Times New Roman" w:hAnsi="Times New Roman" w:cs="Times New Roman"/>
          <w:sz w:val="24"/>
          <w:szCs w:val="24"/>
        </w:rPr>
        <w:t>.</w:t>
      </w:r>
    </w:p>
    <w:p w14:paraId="10CCF42D" w14:textId="48A668B2" w:rsidR="0010709B" w:rsidRDefault="0044323A" w:rsidP="0044323A">
      <w:pPr>
        <w:spacing w:line="276" w:lineRule="auto"/>
        <w:ind w:left="0"/>
        <w:rPr>
          <w:rFonts w:ascii="Times New Roman" w:eastAsia="Calibri" w:hAnsi="Times New Roman" w:cs="Times New Roman"/>
          <w:sz w:val="24"/>
          <w:szCs w:val="24"/>
        </w:rPr>
      </w:pPr>
      <w:r w:rsidRPr="00B45354">
        <w:rPr>
          <w:rFonts w:ascii="Times New Roman" w:eastAsia="Calibri" w:hAnsi="Times New Roman" w:cs="Times New Roman"/>
          <w:sz w:val="24"/>
          <w:szCs w:val="24"/>
        </w:rPr>
        <w:t xml:space="preserve">Simplifying obligations on commercial broadcasters and subscription television providers will reduce the regulatory burden on these businesses and </w:t>
      </w:r>
      <w:r w:rsidR="0038404C">
        <w:rPr>
          <w:rFonts w:ascii="Times New Roman" w:eastAsia="Calibri" w:hAnsi="Times New Roman" w:cs="Times New Roman"/>
          <w:sz w:val="24"/>
          <w:szCs w:val="24"/>
        </w:rPr>
        <w:t>incentivise</w:t>
      </w:r>
      <w:r w:rsidRPr="00B45354">
        <w:rPr>
          <w:rFonts w:ascii="Times New Roman" w:eastAsia="Calibri" w:hAnsi="Times New Roman" w:cs="Times New Roman"/>
          <w:sz w:val="24"/>
          <w:szCs w:val="24"/>
        </w:rPr>
        <w:t xml:space="preserve"> them to produce higher quality </w:t>
      </w:r>
      <w:r w:rsidR="007F33A9">
        <w:rPr>
          <w:rFonts w:ascii="Times New Roman" w:eastAsia="Calibri" w:hAnsi="Times New Roman" w:cs="Times New Roman"/>
          <w:sz w:val="24"/>
          <w:szCs w:val="24"/>
        </w:rPr>
        <w:t>Australian</w:t>
      </w:r>
      <w:r w:rsidRPr="00B45354">
        <w:rPr>
          <w:rFonts w:ascii="Times New Roman" w:eastAsia="Calibri" w:hAnsi="Times New Roman" w:cs="Times New Roman"/>
          <w:sz w:val="24"/>
          <w:szCs w:val="24"/>
        </w:rPr>
        <w:t xml:space="preserve"> content.</w:t>
      </w:r>
    </w:p>
    <w:p w14:paraId="330B4FC7" w14:textId="77777777" w:rsidR="00104ED1" w:rsidRPr="0008420C" w:rsidRDefault="00104ED1" w:rsidP="0044323A">
      <w:pPr>
        <w:spacing w:line="276" w:lineRule="auto"/>
        <w:ind w:left="0"/>
        <w:rPr>
          <w:rFonts w:ascii="Times New Roman" w:eastAsia="Calibri" w:hAnsi="Times New Roman" w:cs="Times New Roman"/>
          <w:sz w:val="24"/>
          <w:szCs w:val="24"/>
        </w:rPr>
      </w:pPr>
    </w:p>
    <w:p w14:paraId="0F83C891" w14:textId="77777777" w:rsidR="00EB212C" w:rsidRPr="00EB212C" w:rsidRDefault="00EB212C" w:rsidP="00EB212C">
      <w:pPr>
        <w:spacing w:after="200" w:line="276" w:lineRule="auto"/>
        <w:ind w:left="0"/>
        <w:rPr>
          <w:rFonts w:ascii="Times New Roman" w:eastAsia="Calibri" w:hAnsi="Times New Roman" w:cs="Times New Roman"/>
          <w:sz w:val="24"/>
          <w:szCs w:val="24"/>
          <w:u w:val="single"/>
        </w:rPr>
      </w:pPr>
      <w:r w:rsidRPr="00EB212C">
        <w:rPr>
          <w:rFonts w:ascii="Times New Roman" w:eastAsia="Calibri" w:hAnsi="Times New Roman" w:cs="Times New Roman"/>
          <w:sz w:val="24"/>
          <w:szCs w:val="24"/>
          <w:u w:val="single"/>
        </w:rPr>
        <w:lastRenderedPageBreak/>
        <w:t>Background</w:t>
      </w:r>
    </w:p>
    <w:p w14:paraId="65FC2361" w14:textId="443DDDC1" w:rsidR="00B77CD0" w:rsidRPr="00B77CD0" w:rsidRDefault="00B77CD0" w:rsidP="00B77CD0">
      <w:pPr>
        <w:spacing w:after="200" w:line="276" w:lineRule="auto"/>
        <w:ind w:left="0"/>
        <w:rPr>
          <w:rFonts w:ascii="Times New Roman" w:eastAsia="Calibri" w:hAnsi="Times New Roman" w:cs="Times New Roman"/>
          <w:sz w:val="24"/>
          <w:szCs w:val="24"/>
        </w:rPr>
      </w:pPr>
      <w:r w:rsidRPr="00B77CD0">
        <w:rPr>
          <w:rFonts w:ascii="Times New Roman" w:eastAsia="Calibri" w:hAnsi="Times New Roman" w:cs="Times New Roman"/>
          <w:sz w:val="24"/>
          <w:szCs w:val="24"/>
        </w:rPr>
        <w:t xml:space="preserve">As part of its response to the recommendations of the Australian Competition and Consumer Commission’s (ACCC) Digital Platforms Inquiry, the </w:t>
      </w:r>
      <w:r w:rsidR="00AB396F">
        <w:rPr>
          <w:rFonts w:ascii="Times New Roman" w:eastAsia="Calibri" w:hAnsi="Times New Roman" w:cs="Times New Roman"/>
          <w:sz w:val="24"/>
          <w:szCs w:val="24"/>
        </w:rPr>
        <w:t xml:space="preserve">Australian </w:t>
      </w:r>
      <w:r w:rsidRPr="00B77CD0">
        <w:rPr>
          <w:rFonts w:ascii="Times New Roman" w:eastAsia="Calibri" w:hAnsi="Times New Roman" w:cs="Times New Roman"/>
          <w:sz w:val="24"/>
          <w:szCs w:val="24"/>
        </w:rPr>
        <w:t>Government determined that there should be an immediate focus on Australian content obligations on free-to-air television broadcasters (including drama and children’s content). In April</w:t>
      </w:r>
      <w:r>
        <w:rPr>
          <w:rFonts w:ascii="Times New Roman" w:eastAsia="Calibri" w:hAnsi="Times New Roman" w:cs="Times New Roman"/>
          <w:sz w:val="24"/>
          <w:szCs w:val="24"/>
        </w:rPr>
        <w:t xml:space="preserve"> 2020</w:t>
      </w:r>
      <w:r w:rsidRPr="00B77CD0">
        <w:rPr>
          <w:rFonts w:ascii="Times New Roman" w:eastAsia="Calibri" w:hAnsi="Times New Roman" w:cs="Times New Roman"/>
          <w:sz w:val="24"/>
          <w:szCs w:val="24"/>
        </w:rPr>
        <w:t>, the Government released an Options</w:t>
      </w:r>
      <w:r w:rsidRPr="00B77CD0" w:rsidDel="00BF7F38">
        <w:rPr>
          <w:rFonts w:ascii="Times New Roman" w:eastAsia="Calibri" w:hAnsi="Times New Roman" w:cs="Times New Roman"/>
          <w:sz w:val="24"/>
          <w:szCs w:val="24"/>
        </w:rPr>
        <w:t xml:space="preserve"> </w:t>
      </w:r>
      <w:r w:rsidRPr="00B77CD0">
        <w:rPr>
          <w:rFonts w:ascii="Times New Roman" w:eastAsia="Calibri" w:hAnsi="Times New Roman" w:cs="Times New Roman"/>
          <w:sz w:val="24"/>
          <w:szCs w:val="24"/>
        </w:rPr>
        <w:t xml:space="preserve">Paper prepared by ACMA and Screen Australia – </w:t>
      </w:r>
      <w:r w:rsidRPr="00B77CD0">
        <w:rPr>
          <w:rFonts w:ascii="Times New Roman" w:eastAsia="Calibri" w:hAnsi="Times New Roman" w:cs="Times New Roman"/>
          <w:i/>
          <w:sz w:val="24"/>
          <w:szCs w:val="24"/>
        </w:rPr>
        <w:t>Supporting Australian Stories on our Screens</w:t>
      </w:r>
      <w:r w:rsidR="007A66B4">
        <w:rPr>
          <w:rFonts w:ascii="Times New Roman" w:eastAsia="Calibri" w:hAnsi="Times New Roman" w:cs="Times New Roman"/>
          <w:sz w:val="24"/>
          <w:szCs w:val="24"/>
        </w:rPr>
        <w:t xml:space="preserve"> (the Options Paper)</w:t>
      </w:r>
      <w:r w:rsidRPr="00B77CD0">
        <w:rPr>
          <w:rFonts w:ascii="Times New Roman" w:eastAsia="Calibri" w:hAnsi="Times New Roman" w:cs="Times New Roman"/>
          <w:sz w:val="24"/>
          <w:szCs w:val="24"/>
        </w:rPr>
        <w:t xml:space="preserve">. The Options Paper considered Government intervention and support for Australian screen content and stories, particularly drama, documentary and children’s programming. </w:t>
      </w:r>
    </w:p>
    <w:p w14:paraId="25B8DD3A" w14:textId="7C3A378D" w:rsidR="0050580C" w:rsidRPr="0050580C" w:rsidRDefault="007A66B4" w:rsidP="0050580C">
      <w:pPr>
        <w:spacing w:after="200" w:line="276" w:lineRule="auto"/>
        <w:ind w:left="0"/>
        <w:rPr>
          <w:rFonts w:ascii="Times New Roman" w:hAnsi="Times New Roman" w:cs="Times New Roman"/>
          <w:sz w:val="24"/>
          <w:szCs w:val="24"/>
        </w:rPr>
      </w:pPr>
      <w:r>
        <w:rPr>
          <w:rFonts w:ascii="Times New Roman" w:hAnsi="Times New Roman" w:cs="Times New Roman"/>
          <w:sz w:val="24"/>
          <w:szCs w:val="24"/>
        </w:rPr>
        <w:t>Submissions to the Options Paper observed that t</w:t>
      </w:r>
      <w:r w:rsidR="0050580C" w:rsidRPr="0050580C">
        <w:rPr>
          <w:rFonts w:ascii="Times New Roman" w:hAnsi="Times New Roman" w:cs="Times New Roman"/>
          <w:sz w:val="24"/>
          <w:szCs w:val="24"/>
        </w:rPr>
        <w:t xml:space="preserve">he </w:t>
      </w:r>
      <w:r w:rsidR="0050580C">
        <w:rPr>
          <w:rFonts w:ascii="Times New Roman" w:hAnsi="Times New Roman" w:cs="Times New Roman"/>
          <w:sz w:val="24"/>
          <w:szCs w:val="24"/>
        </w:rPr>
        <w:t xml:space="preserve">current </w:t>
      </w:r>
      <w:r w:rsidR="0050580C" w:rsidRPr="0050580C">
        <w:rPr>
          <w:rFonts w:ascii="Times New Roman" w:hAnsi="Times New Roman" w:cs="Times New Roman"/>
          <w:sz w:val="24"/>
          <w:szCs w:val="24"/>
        </w:rPr>
        <w:t xml:space="preserve">regulation faced by commercial and subscription television broadcasters can be complex, overly prescriptive and burdensome. This is jeopardising the ability of these businesses to continue to operate and produce quality Australian content. </w:t>
      </w:r>
    </w:p>
    <w:p w14:paraId="442D7A0F" w14:textId="56D5AAE4" w:rsidR="007A66B4" w:rsidRDefault="00B45354" w:rsidP="00B45354">
      <w:pPr>
        <w:spacing w:after="200" w:line="276" w:lineRule="auto"/>
        <w:ind w:left="0"/>
        <w:rPr>
          <w:rFonts w:ascii="Times New Roman" w:eastAsia="Calibri" w:hAnsi="Times New Roman" w:cs="Times New Roman"/>
          <w:sz w:val="24"/>
          <w:szCs w:val="24"/>
        </w:rPr>
      </w:pPr>
      <w:r w:rsidRPr="00B45354">
        <w:rPr>
          <w:rFonts w:ascii="Times New Roman" w:eastAsia="Calibri" w:hAnsi="Times New Roman" w:cs="Times New Roman"/>
          <w:sz w:val="24"/>
          <w:szCs w:val="24"/>
        </w:rPr>
        <w:t xml:space="preserve">Declining audiences have led to decreasing revenues for the advertising-reliant business models of the commercial free-to-air broadcasters. </w:t>
      </w:r>
      <w:r>
        <w:rPr>
          <w:rFonts w:ascii="Times New Roman" w:eastAsia="Calibri" w:hAnsi="Times New Roman" w:cs="Times New Roman"/>
          <w:sz w:val="24"/>
          <w:szCs w:val="24"/>
        </w:rPr>
        <w:t>However, a</w:t>
      </w:r>
      <w:r w:rsidRPr="00B45354">
        <w:rPr>
          <w:rFonts w:ascii="Times New Roman" w:eastAsia="Calibri" w:hAnsi="Times New Roman" w:cs="Times New Roman"/>
          <w:sz w:val="24"/>
          <w:szCs w:val="24"/>
        </w:rPr>
        <w:t>s the revenues of commercial free-to-air broadcasters have declined</w:t>
      </w:r>
      <w:r w:rsidR="00ED1E78">
        <w:rPr>
          <w:rFonts w:ascii="Times New Roman" w:eastAsia="Calibri" w:hAnsi="Times New Roman" w:cs="Times New Roman"/>
          <w:sz w:val="24"/>
          <w:szCs w:val="24"/>
        </w:rPr>
        <w:t>,</w:t>
      </w:r>
      <w:r w:rsidRPr="00B45354">
        <w:rPr>
          <w:rFonts w:ascii="Times New Roman" w:eastAsia="Calibri" w:hAnsi="Times New Roman" w:cs="Times New Roman"/>
          <w:sz w:val="24"/>
          <w:szCs w:val="24"/>
        </w:rPr>
        <w:t xml:space="preserve"> they have still been required to meet Australian content obligations. </w:t>
      </w:r>
    </w:p>
    <w:p w14:paraId="3B510066" w14:textId="766017B9" w:rsidR="00B45354" w:rsidRPr="00B45354" w:rsidRDefault="00B45354" w:rsidP="00B45354">
      <w:pPr>
        <w:spacing w:after="200" w:line="276" w:lineRule="auto"/>
        <w:ind w:left="0"/>
        <w:rPr>
          <w:rFonts w:ascii="Times New Roman" w:eastAsia="Calibri" w:hAnsi="Times New Roman" w:cs="Times New Roman"/>
          <w:sz w:val="24"/>
          <w:szCs w:val="24"/>
        </w:rPr>
      </w:pPr>
      <w:r w:rsidRPr="00B45354">
        <w:rPr>
          <w:rFonts w:ascii="Times New Roman" w:eastAsia="Calibri" w:hAnsi="Times New Roman" w:cs="Times New Roman"/>
          <w:sz w:val="24"/>
          <w:szCs w:val="24"/>
        </w:rPr>
        <w:t xml:space="preserve">While broadcasters are comfortably meeting the overall 55 per cent </w:t>
      </w:r>
      <w:r w:rsidR="00BA5301">
        <w:rPr>
          <w:rFonts w:ascii="Times New Roman" w:eastAsia="Calibri" w:hAnsi="Times New Roman" w:cs="Times New Roman"/>
          <w:sz w:val="24"/>
          <w:szCs w:val="24"/>
        </w:rPr>
        <w:t xml:space="preserve">Australian content </w:t>
      </w:r>
      <w:r w:rsidRPr="00B45354">
        <w:rPr>
          <w:rFonts w:ascii="Times New Roman" w:eastAsia="Calibri" w:hAnsi="Times New Roman" w:cs="Times New Roman"/>
          <w:sz w:val="24"/>
          <w:szCs w:val="24"/>
        </w:rPr>
        <w:t>transmission quota</w:t>
      </w:r>
      <w:r w:rsidR="007F33A9">
        <w:rPr>
          <w:rFonts w:ascii="Times New Roman" w:eastAsia="Calibri" w:hAnsi="Times New Roman" w:cs="Times New Roman"/>
          <w:sz w:val="24"/>
          <w:szCs w:val="24"/>
        </w:rPr>
        <w:t xml:space="preserve"> in section </w:t>
      </w:r>
      <w:r w:rsidR="00BA5301">
        <w:rPr>
          <w:rFonts w:ascii="Times New Roman" w:eastAsia="Calibri" w:hAnsi="Times New Roman" w:cs="Times New Roman"/>
          <w:sz w:val="24"/>
          <w:szCs w:val="24"/>
        </w:rPr>
        <w:t>121G of the BSA</w:t>
      </w:r>
      <w:r w:rsidRPr="00B45354">
        <w:rPr>
          <w:rFonts w:ascii="Times New Roman" w:eastAsia="Calibri" w:hAnsi="Times New Roman" w:cs="Times New Roman"/>
          <w:sz w:val="24"/>
          <w:szCs w:val="24"/>
        </w:rPr>
        <w:t xml:space="preserve"> – which requires that 55 per cent of all programming broadcast between 6</w:t>
      </w:r>
      <w:r w:rsidR="00ED1E78">
        <w:rPr>
          <w:rFonts w:ascii="Times New Roman" w:eastAsia="Calibri" w:hAnsi="Times New Roman" w:cs="Times New Roman"/>
          <w:sz w:val="24"/>
          <w:szCs w:val="24"/>
        </w:rPr>
        <w:t xml:space="preserve"> </w:t>
      </w:r>
      <w:r w:rsidRPr="00B45354">
        <w:rPr>
          <w:rFonts w:ascii="Times New Roman" w:eastAsia="Calibri" w:hAnsi="Times New Roman" w:cs="Times New Roman"/>
          <w:sz w:val="24"/>
          <w:szCs w:val="24"/>
        </w:rPr>
        <w:t xml:space="preserve">am and midnight on primary channels each year to be Australian – they have </w:t>
      </w:r>
      <w:r>
        <w:rPr>
          <w:rFonts w:ascii="Times New Roman" w:eastAsia="Calibri" w:hAnsi="Times New Roman" w:cs="Times New Roman"/>
          <w:sz w:val="24"/>
          <w:szCs w:val="24"/>
        </w:rPr>
        <w:t>indicated</w:t>
      </w:r>
      <w:r w:rsidRPr="00B45354">
        <w:rPr>
          <w:rFonts w:ascii="Times New Roman" w:eastAsia="Calibri" w:hAnsi="Times New Roman" w:cs="Times New Roman"/>
          <w:sz w:val="24"/>
          <w:szCs w:val="24"/>
        </w:rPr>
        <w:t xml:space="preserve"> that they are struggling to meet sub-quota requirements for drama, documentaries and children’s content. </w:t>
      </w:r>
    </w:p>
    <w:p w14:paraId="2D892990" w14:textId="5F7B09FE" w:rsidR="00B45354" w:rsidRPr="00B45354" w:rsidRDefault="00B45354" w:rsidP="00B45354">
      <w:pPr>
        <w:spacing w:after="200" w:line="276" w:lineRule="auto"/>
        <w:ind w:left="0"/>
        <w:rPr>
          <w:rFonts w:ascii="Times New Roman" w:eastAsia="Calibri" w:hAnsi="Times New Roman" w:cs="Times New Roman"/>
          <w:sz w:val="24"/>
          <w:szCs w:val="24"/>
        </w:rPr>
      </w:pPr>
      <w:r w:rsidRPr="00B45354">
        <w:rPr>
          <w:rFonts w:ascii="Times New Roman" w:eastAsia="Calibri" w:hAnsi="Times New Roman" w:cs="Times New Roman"/>
          <w:sz w:val="24"/>
          <w:szCs w:val="24"/>
        </w:rPr>
        <w:t xml:space="preserve">These sub-quota obligations are costly for broadcasters and in some cases can be difficult to monetise. It can be significantly more profitable for broadcasters to broadcast other genres </w:t>
      </w:r>
      <w:r>
        <w:rPr>
          <w:rFonts w:ascii="Times New Roman" w:eastAsia="Calibri" w:hAnsi="Times New Roman" w:cs="Times New Roman"/>
          <w:sz w:val="24"/>
          <w:szCs w:val="24"/>
        </w:rPr>
        <w:t>which are not</w:t>
      </w:r>
      <w:r w:rsidRPr="00B45354">
        <w:rPr>
          <w:rFonts w:ascii="Times New Roman" w:eastAsia="Calibri" w:hAnsi="Times New Roman" w:cs="Times New Roman"/>
          <w:sz w:val="24"/>
          <w:szCs w:val="24"/>
        </w:rPr>
        <w:t xml:space="preserve"> regulated, such as light entertainment and news, as these have </w:t>
      </w:r>
      <w:r w:rsidR="003D1A1E">
        <w:rPr>
          <w:rFonts w:ascii="Times New Roman" w:eastAsia="Calibri" w:hAnsi="Times New Roman" w:cs="Times New Roman"/>
          <w:sz w:val="24"/>
          <w:szCs w:val="24"/>
        </w:rPr>
        <w:t>may have</w:t>
      </w:r>
      <w:r w:rsidR="003D1A1E" w:rsidRPr="00B45354">
        <w:rPr>
          <w:rFonts w:ascii="Times New Roman" w:eastAsia="Calibri" w:hAnsi="Times New Roman" w:cs="Times New Roman"/>
          <w:sz w:val="24"/>
          <w:szCs w:val="24"/>
        </w:rPr>
        <w:t xml:space="preserve"> </w:t>
      </w:r>
      <w:r w:rsidRPr="00B45354">
        <w:rPr>
          <w:rFonts w:ascii="Times New Roman" w:eastAsia="Calibri" w:hAnsi="Times New Roman" w:cs="Times New Roman"/>
          <w:sz w:val="24"/>
          <w:szCs w:val="24"/>
        </w:rPr>
        <w:t xml:space="preserve">lower production costs and higher audience numbers. </w:t>
      </w:r>
    </w:p>
    <w:p w14:paraId="1F5E1A14" w14:textId="04A69616" w:rsidR="000A4DA9" w:rsidRPr="000A4DA9" w:rsidRDefault="000A4DA9" w:rsidP="00E72D16">
      <w:pPr>
        <w:pStyle w:val="Bulletlevel1"/>
        <w:spacing w:line="276" w:lineRule="auto"/>
        <w:ind w:left="0" w:firstLine="0"/>
        <w:contextualSpacing w:val="0"/>
        <w:rPr>
          <w:rFonts w:ascii="Times New Roman" w:hAnsi="Times New Roman" w:cs="Times New Roman"/>
          <w:sz w:val="24"/>
          <w:szCs w:val="24"/>
        </w:rPr>
      </w:pPr>
      <w:r w:rsidRPr="000A4DA9">
        <w:rPr>
          <w:rFonts w:ascii="Times New Roman" w:hAnsi="Times New Roman" w:cs="Times New Roman"/>
          <w:sz w:val="24"/>
          <w:szCs w:val="24"/>
        </w:rPr>
        <w:t xml:space="preserve">For children’s content, the current system of quotas is </w:t>
      </w:r>
      <w:r w:rsidR="009D3B86">
        <w:rPr>
          <w:rFonts w:ascii="Times New Roman" w:hAnsi="Times New Roman" w:cs="Times New Roman"/>
          <w:sz w:val="24"/>
          <w:szCs w:val="24"/>
        </w:rPr>
        <w:t xml:space="preserve">also </w:t>
      </w:r>
      <w:r w:rsidRPr="000A4DA9">
        <w:rPr>
          <w:rFonts w:ascii="Times New Roman" w:hAnsi="Times New Roman" w:cs="Times New Roman"/>
          <w:sz w:val="24"/>
          <w:szCs w:val="24"/>
        </w:rPr>
        <w:t xml:space="preserve">disproportionately burdensome </w:t>
      </w:r>
      <w:r w:rsidR="009D3B86">
        <w:rPr>
          <w:rFonts w:ascii="Times New Roman" w:hAnsi="Times New Roman" w:cs="Times New Roman"/>
          <w:sz w:val="24"/>
          <w:szCs w:val="24"/>
        </w:rPr>
        <w:t xml:space="preserve">for </w:t>
      </w:r>
      <w:r w:rsidRPr="000A4DA9">
        <w:rPr>
          <w:rFonts w:ascii="Times New Roman" w:hAnsi="Times New Roman" w:cs="Times New Roman"/>
          <w:sz w:val="24"/>
          <w:szCs w:val="24"/>
        </w:rPr>
        <w:t xml:space="preserve">commercial broadcasters, requiring that they show large volumes of C and P programs </w:t>
      </w:r>
      <w:r w:rsidR="00E72D16">
        <w:rPr>
          <w:rFonts w:ascii="Times New Roman" w:hAnsi="Times New Roman" w:cs="Times New Roman"/>
          <w:sz w:val="24"/>
          <w:szCs w:val="24"/>
        </w:rPr>
        <w:t>which</w:t>
      </w:r>
      <w:r w:rsidRPr="000A4DA9">
        <w:rPr>
          <w:rFonts w:ascii="Times New Roman" w:hAnsi="Times New Roman" w:cs="Times New Roman"/>
          <w:sz w:val="24"/>
          <w:szCs w:val="24"/>
        </w:rPr>
        <w:t xml:space="preserve"> </w:t>
      </w:r>
      <w:r w:rsidR="009D3B86">
        <w:rPr>
          <w:rFonts w:ascii="Times New Roman" w:hAnsi="Times New Roman" w:cs="Times New Roman"/>
          <w:sz w:val="24"/>
          <w:szCs w:val="24"/>
        </w:rPr>
        <w:t>may b</w:t>
      </w:r>
      <w:r w:rsidRPr="000A4DA9">
        <w:rPr>
          <w:rFonts w:ascii="Times New Roman" w:hAnsi="Times New Roman" w:cs="Times New Roman"/>
          <w:sz w:val="24"/>
          <w:szCs w:val="24"/>
        </w:rPr>
        <w:t xml:space="preserve">e expensive to produce, difficult to monetise due to strict advertising restrictions, and </w:t>
      </w:r>
      <w:r w:rsidR="009D3B86">
        <w:rPr>
          <w:rFonts w:ascii="Times New Roman" w:hAnsi="Times New Roman" w:cs="Times New Roman"/>
          <w:sz w:val="24"/>
          <w:szCs w:val="24"/>
        </w:rPr>
        <w:t xml:space="preserve">consistently attract lower </w:t>
      </w:r>
      <w:r w:rsidRPr="000A4DA9">
        <w:rPr>
          <w:rFonts w:ascii="Times New Roman" w:hAnsi="Times New Roman" w:cs="Times New Roman"/>
          <w:sz w:val="24"/>
          <w:szCs w:val="24"/>
        </w:rPr>
        <w:t>audiences when compared to G</w:t>
      </w:r>
      <w:r w:rsidRPr="000A4DA9">
        <w:rPr>
          <w:rFonts w:ascii="Times New Roman" w:hAnsi="Times New Roman" w:cs="Times New Roman"/>
          <w:sz w:val="24"/>
          <w:szCs w:val="24"/>
        </w:rPr>
        <w:noBreakHyphen/>
        <w:t xml:space="preserve">rated programming. </w:t>
      </w:r>
    </w:p>
    <w:p w14:paraId="7BF9BBCD" w14:textId="77777777" w:rsidR="00EB212C" w:rsidRPr="00EB212C" w:rsidRDefault="00EB212C" w:rsidP="00EB212C">
      <w:pPr>
        <w:spacing w:after="200" w:line="276" w:lineRule="auto"/>
        <w:ind w:left="0"/>
        <w:rPr>
          <w:rFonts w:ascii="Times New Roman" w:eastAsia="Calibri" w:hAnsi="Times New Roman" w:cs="Times New Roman"/>
          <w:sz w:val="24"/>
          <w:szCs w:val="24"/>
          <w:u w:val="single"/>
        </w:rPr>
      </w:pPr>
      <w:r w:rsidRPr="00EB212C">
        <w:rPr>
          <w:rFonts w:ascii="Times New Roman" w:eastAsia="Calibri" w:hAnsi="Times New Roman" w:cs="Times New Roman"/>
          <w:sz w:val="24"/>
          <w:szCs w:val="24"/>
          <w:u w:val="single"/>
        </w:rPr>
        <w:t>Consultation</w:t>
      </w:r>
    </w:p>
    <w:p w14:paraId="37663DE9" w14:textId="2BD097BE" w:rsidR="00AD685B" w:rsidRPr="00ED1E78" w:rsidRDefault="000A4DA9" w:rsidP="00924608">
      <w:pPr>
        <w:pStyle w:val="Heading3"/>
        <w:keepNext w:val="0"/>
        <w:spacing w:after="200" w:line="276" w:lineRule="auto"/>
        <w:rPr>
          <w:rFonts w:ascii="Times New Roman" w:hAnsi="Times New Roman" w:cs="Times New Roman"/>
          <w:b w:val="0"/>
          <w:color w:val="auto"/>
          <w:sz w:val="24"/>
        </w:rPr>
      </w:pPr>
      <w:r w:rsidRPr="00ED1E78">
        <w:rPr>
          <w:rFonts w:ascii="Times New Roman" w:hAnsi="Times New Roman" w:cs="Times New Roman"/>
          <w:b w:val="0"/>
          <w:color w:val="auto"/>
          <w:sz w:val="24"/>
        </w:rPr>
        <w:t>The Government has conducted extensive consultation on Australian content regulation over the last ten years, most recently in 2020 with the</w:t>
      </w:r>
      <w:r w:rsidR="007F33A9">
        <w:rPr>
          <w:rFonts w:ascii="Times New Roman" w:hAnsi="Times New Roman" w:cs="Times New Roman"/>
          <w:b w:val="0"/>
          <w:color w:val="auto"/>
          <w:sz w:val="24"/>
        </w:rPr>
        <w:t xml:space="preserve"> Options Paper </w:t>
      </w:r>
      <w:r w:rsidR="006903F9" w:rsidRPr="00ED1E78">
        <w:rPr>
          <w:rFonts w:ascii="Times New Roman" w:hAnsi="Times New Roman" w:cs="Times New Roman"/>
          <w:b w:val="0"/>
          <w:color w:val="auto"/>
          <w:sz w:val="24"/>
        </w:rPr>
        <w:t>process</w:t>
      </w:r>
      <w:r w:rsidRPr="00ED1E78">
        <w:rPr>
          <w:rFonts w:ascii="Times New Roman" w:hAnsi="Times New Roman" w:cs="Times New Roman"/>
          <w:b w:val="0"/>
          <w:color w:val="auto"/>
          <w:sz w:val="24"/>
        </w:rPr>
        <w:t xml:space="preserve">. Other notable consultations include the 2012 </w:t>
      </w:r>
      <w:r w:rsidRPr="00ED1E78">
        <w:rPr>
          <w:rFonts w:ascii="Times New Roman" w:hAnsi="Times New Roman" w:cs="Times New Roman"/>
          <w:b w:val="0"/>
          <w:i/>
          <w:color w:val="auto"/>
          <w:sz w:val="24"/>
        </w:rPr>
        <w:t>Convergence Review</w:t>
      </w:r>
      <w:r w:rsidRPr="00ED1E78">
        <w:rPr>
          <w:rFonts w:ascii="Times New Roman" w:hAnsi="Times New Roman" w:cs="Times New Roman"/>
          <w:b w:val="0"/>
          <w:color w:val="auto"/>
          <w:sz w:val="24"/>
        </w:rPr>
        <w:t>.</w:t>
      </w:r>
      <w:bookmarkStart w:id="3" w:name="_Toc51665343"/>
      <w:bookmarkStart w:id="4" w:name="_Toc51666079"/>
      <w:bookmarkStart w:id="5" w:name="_Toc52453874"/>
    </w:p>
    <w:p w14:paraId="694EE3D5" w14:textId="7EB66C50" w:rsidR="000A4DA9" w:rsidRPr="00ED1E78" w:rsidRDefault="000A4DA9" w:rsidP="000A4DA9">
      <w:pPr>
        <w:pStyle w:val="Heading3"/>
        <w:spacing w:after="200" w:line="276" w:lineRule="auto"/>
        <w:rPr>
          <w:rFonts w:ascii="Times New Roman" w:hAnsi="Times New Roman" w:cs="Times New Roman"/>
          <w:b w:val="0"/>
          <w:i/>
          <w:color w:val="auto"/>
          <w:sz w:val="24"/>
        </w:rPr>
      </w:pPr>
      <w:r w:rsidRPr="00ED1E78">
        <w:rPr>
          <w:rFonts w:ascii="Times New Roman" w:hAnsi="Times New Roman" w:cs="Times New Roman"/>
          <w:b w:val="0"/>
          <w:i/>
          <w:color w:val="auto"/>
          <w:sz w:val="24"/>
        </w:rPr>
        <w:t xml:space="preserve">Supporting Australian Stories on our Screens </w:t>
      </w:r>
      <w:bookmarkEnd w:id="3"/>
      <w:bookmarkEnd w:id="4"/>
      <w:bookmarkEnd w:id="5"/>
      <w:r w:rsidRPr="00ED1E78">
        <w:rPr>
          <w:rFonts w:ascii="Times New Roman" w:hAnsi="Times New Roman" w:cs="Times New Roman"/>
          <w:b w:val="0"/>
          <w:i/>
          <w:color w:val="auto"/>
          <w:sz w:val="24"/>
        </w:rPr>
        <w:t xml:space="preserve"> </w:t>
      </w:r>
    </w:p>
    <w:p w14:paraId="1287576C" w14:textId="63AF1E64" w:rsidR="000A4DA9" w:rsidRPr="000A4DA9" w:rsidRDefault="000A4DA9" w:rsidP="000A4DA9">
      <w:pPr>
        <w:spacing w:after="200" w:line="276" w:lineRule="auto"/>
        <w:ind w:left="0"/>
        <w:rPr>
          <w:rFonts w:ascii="Times New Roman" w:hAnsi="Times New Roman" w:cs="Times New Roman"/>
          <w:sz w:val="24"/>
          <w:szCs w:val="24"/>
        </w:rPr>
      </w:pPr>
      <w:r w:rsidRPr="000A4DA9">
        <w:rPr>
          <w:rFonts w:ascii="Times New Roman" w:hAnsi="Times New Roman" w:cs="Times New Roman"/>
          <w:sz w:val="24"/>
          <w:szCs w:val="24"/>
        </w:rPr>
        <w:t>The Options Paper was released for consultation between 15 April 2020 and 3</w:t>
      </w:r>
      <w:r>
        <w:rPr>
          <w:rFonts w:ascii="Times New Roman" w:hAnsi="Times New Roman" w:cs="Times New Roman"/>
          <w:sz w:val="24"/>
          <w:szCs w:val="24"/>
        </w:rPr>
        <w:t> </w:t>
      </w:r>
      <w:r w:rsidRPr="000A4DA9">
        <w:rPr>
          <w:rFonts w:ascii="Times New Roman" w:hAnsi="Times New Roman" w:cs="Times New Roman"/>
          <w:sz w:val="24"/>
          <w:szCs w:val="24"/>
        </w:rPr>
        <w:t>July</w:t>
      </w:r>
      <w:r>
        <w:rPr>
          <w:rFonts w:ascii="Times New Roman" w:hAnsi="Times New Roman" w:cs="Times New Roman"/>
          <w:sz w:val="24"/>
          <w:szCs w:val="24"/>
        </w:rPr>
        <w:t> </w:t>
      </w:r>
      <w:r w:rsidRPr="000A4DA9">
        <w:rPr>
          <w:rFonts w:ascii="Times New Roman" w:hAnsi="Times New Roman" w:cs="Times New Roman"/>
          <w:sz w:val="24"/>
          <w:szCs w:val="24"/>
        </w:rPr>
        <w:t xml:space="preserve">2020. </w:t>
      </w:r>
      <w:r w:rsidR="00523318">
        <w:rPr>
          <w:rFonts w:ascii="Times New Roman" w:hAnsi="Times New Roman" w:cs="Times New Roman"/>
          <w:sz w:val="24"/>
          <w:szCs w:val="24"/>
        </w:rPr>
        <w:t>T</w:t>
      </w:r>
      <w:r w:rsidRPr="000A4DA9">
        <w:rPr>
          <w:rFonts w:ascii="Times New Roman" w:hAnsi="Times New Roman" w:cs="Times New Roman"/>
          <w:sz w:val="24"/>
          <w:szCs w:val="24"/>
        </w:rPr>
        <w:t xml:space="preserve">he paper presented a number of options for reform: </w:t>
      </w:r>
    </w:p>
    <w:p w14:paraId="6D317311" w14:textId="6BE35CDB" w:rsidR="000A4DA9" w:rsidRPr="000A4DA9" w:rsidRDefault="000A4DA9" w:rsidP="000A4DA9">
      <w:pPr>
        <w:pStyle w:val="ListParagraph"/>
        <w:numPr>
          <w:ilvl w:val="0"/>
          <w:numId w:val="8"/>
        </w:numPr>
        <w:spacing w:after="200" w:line="276" w:lineRule="auto"/>
        <w:rPr>
          <w:rFonts w:ascii="Times New Roman" w:hAnsi="Times New Roman" w:cs="Times New Roman"/>
          <w:sz w:val="24"/>
          <w:szCs w:val="24"/>
        </w:rPr>
      </w:pPr>
      <w:r w:rsidRPr="000A4DA9">
        <w:rPr>
          <w:rFonts w:ascii="Times New Roman" w:hAnsi="Times New Roman" w:cs="Times New Roman"/>
          <w:sz w:val="24"/>
          <w:szCs w:val="24"/>
        </w:rPr>
        <w:t xml:space="preserve">status quo </w:t>
      </w:r>
      <w:r w:rsidR="00D344E9" w:rsidRPr="000A4DA9">
        <w:rPr>
          <w:rFonts w:ascii="Times New Roman" w:hAnsi="Times New Roman" w:cs="Times New Roman"/>
          <w:sz w:val="24"/>
          <w:szCs w:val="24"/>
        </w:rPr>
        <w:t>–</w:t>
      </w:r>
      <w:r w:rsidRPr="000A4DA9">
        <w:rPr>
          <w:rFonts w:ascii="Times New Roman" w:hAnsi="Times New Roman" w:cs="Times New Roman"/>
          <w:sz w:val="24"/>
          <w:szCs w:val="24"/>
        </w:rPr>
        <w:t xml:space="preserve"> retain existing regulations and incentives, focussing on traditional platforms; </w:t>
      </w:r>
    </w:p>
    <w:p w14:paraId="1D185328" w14:textId="77777777" w:rsidR="000A4DA9" w:rsidRPr="000A4DA9" w:rsidRDefault="000A4DA9" w:rsidP="000A4DA9">
      <w:pPr>
        <w:pStyle w:val="ListParagraph"/>
        <w:numPr>
          <w:ilvl w:val="0"/>
          <w:numId w:val="8"/>
        </w:numPr>
        <w:spacing w:after="200" w:line="276" w:lineRule="auto"/>
        <w:rPr>
          <w:rFonts w:ascii="Times New Roman" w:hAnsi="Times New Roman" w:cs="Times New Roman"/>
          <w:sz w:val="24"/>
          <w:szCs w:val="24"/>
        </w:rPr>
      </w:pPr>
      <w:r w:rsidRPr="000A4DA9">
        <w:rPr>
          <w:rFonts w:ascii="Times New Roman" w:hAnsi="Times New Roman" w:cs="Times New Roman"/>
          <w:sz w:val="24"/>
          <w:szCs w:val="24"/>
        </w:rPr>
        <w:lastRenderedPageBreak/>
        <w:t xml:space="preserve">minimal change – fine-tuning and modernising existing regulatory and funding arrangements; </w:t>
      </w:r>
    </w:p>
    <w:p w14:paraId="411A267B" w14:textId="77777777" w:rsidR="00C9050A" w:rsidRDefault="000A4DA9" w:rsidP="000A4DA9">
      <w:pPr>
        <w:pStyle w:val="ListParagraph"/>
        <w:numPr>
          <w:ilvl w:val="0"/>
          <w:numId w:val="8"/>
        </w:numPr>
        <w:spacing w:after="200" w:line="276" w:lineRule="auto"/>
        <w:rPr>
          <w:rFonts w:ascii="Times New Roman" w:hAnsi="Times New Roman" w:cs="Times New Roman"/>
          <w:sz w:val="24"/>
          <w:szCs w:val="24"/>
        </w:rPr>
      </w:pPr>
      <w:r w:rsidRPr="000A4DA9">
        <w:rPr>
          <w:rFonts w:ascii="Times New Roman" w:hAnsi="Times New Roman" w:cs="Times New Roman"/>
          <w:sz w:val="24"/>
          <w:szCs w:val="24"/>
        </w:rPr>
        <w:t xml:space="preserve">significant change – establishing platform-neutral, future facing obligations and incentives which reflect the business models; and </w:t>
      </w:r>
    </w:p>
    <w:p w14:paraId="493AE24C" w14:textId="6444DE89" w:rsidR="000A4DA9" w:rsidRPr="000A4DA9" w:rsidRDefault="000A4DA9" w:rsidP="000A4DA9">
      <w:pPr>
        <w:pStyle w:val="ListParagraph"/>
        <w:numPr>
          <w:ilvl w:val="0"/>
          <w:numId w:val="8"/>
        </w:numPr>
        <w:spacing w:after="200" w:line="276" w:lineRule="auto"/>
        <w:rPr>
          <w:rFonts w:ascii="Times New Roman" w:hAnsi="Times New Roman" w:cs="Times New Roman"/>
          <w:sz w:val="24"/>
          <w:szCs w:val="24"/>
        </w:rPr>
      </w:pPr>
      <w:r w:rsidRPr="000A4DA9">
        <w:rPr>
          <w:rFonts w:ascii="Times New Roman" w:hAnsi="Times New Roman" w:cs="Times New Roman"/>
          <w:sz w:val="24"/>
          <w:szCs w:val="24"/>
        </w:rPr>
        <w:t xml:space="preserve">deregulation – removing all regulation and removing or revising incentives. </w:t>
      </w:r>
    </w:p>
    <w:p w14:paraId="7308635C" w14:textId="77777777" w:rsidR="000A4DA9" w:rsidRPr="000A4DA9" w:rsidRDefault="000A4DA9" w:rsidP="000A4DA9">
      <w:pPr>
        <w:spacing w:after="200" w:line="276" w:lineRule="auto"/>
        <w:ind w:left="0"/>
        <w:rPr>
          <w:rFonts w:ascii="Times New Roman" w:hAnsi="Times New Roman" w:cs="Times New Roman"/>
          <w:sz w:val="24"/>
          <w:szCs w:val="24"/>
        </w:rPr>
      </w:pPr>
      <w:r w:rsidRPr="000A4DA9">
        <w:rPr>
          <w:rFonts w:ascii="Times New Roman" w:hAnsi="Times New Roman" w:cs="Times New Roman"/>
          <w:sz w:val="24"/>
          <w:szCs w:val="24"/>
        </w:rPr>
        <w:t xml:space="preserve">The Minister for Communications, Cyber Safety and the Arts also conducted a number of roundtable discussions and meetings with a wide range of stakeholders. </w:t>
      </w:r>
    </w:p>
    <w:p w14:paraId="5836C68D" w14:textId="77777777" w:rsidR="00ED1E78" w:rsidRDefault="000A4DA9" w:rsidP="00462A98">
      <w:pPr>
        <w:spacing w:after="200" w:line="276" w:lineRule="auto"/>
        <w:ind w:left="0"/>
        <w:rPr>
          <w:rFonts w:ascii="Times New Roman" w:hAnsi="Times New Roman" w:cs="Times New Roman"/>
          <w:sz w:val="24"/>
          <w:szCs w:val="24"/>
        </w:rPr>
      </w:pPr>
      <w:r w:rsidRPr="000A4DA9">
        <w:rPr>
          <w:rFonts w:ascii="Times New Roman" w:hAnsi="Times New Roman" w:cs="Times New Roman"/>
          <w:sz w:val="24"/>
          <w:szCs w:val="24"/>
        </w:rPr>
        <w:t xml:space="preserve">The majority of submissions provided strong support for the continued production of Australian content and for Government support for the sector through incentives and offsets. </w:t>
      </w:r>
    </w:p>
    <w:p w14:paraId="1DDA78F6" w14:textId="1F4D70EF" w:rsidR="000A4DA9" w:rsidRDefault="000A4DA9" w:rsidP="00462A98">
      <w:pPr>
        <w:spacing w:after="200" w:line="276" w:lineRule="auto"/>
        <w:ind w:left="0"/>
        <w:rPr>
          <w:rFonts w:ascii="Times New Roman" w:hAnsi="Times New Roman" w:cs="Times New Roman"/>
          <w:sz w:val="24"/>
          <w:szCs w:val="24"/>
        </w:rPr>
      </w:pPr>
      <w:r w:rsidRPr="000A4DA9">
        <w:rPr>
          <w:rFonts w:ascii="Times New Roman" w:hAnsi="Times New Roman" w:cs="Times New Roman"/>
          <w:sz w:val="24"/>
          <w:szCs w:val="24"/>
        </w:rPr>
        <w:t>The bulk of submissions also indicated support for the retention of some form of quota or investment obligation to produce Australian content, and fo</w:t>
      </w:r>
      <w:r w:rsidR="00462A98">
        <w:rPr>
          <w:rFonts w:ascii="Times New Roman" w:hAnsi="Times New Roman" w:cs="Times New Roman"/>
          <w:sz w:val="24"/>
          <w:szCs w:val="24"/>
        </w:rPr>
        <w:t>r the extension of these demand</w:t>
      </w:r>
      <w:r w:rsidR="00462A98">
        <w:rPr>
          <w:rFonts w:ascii="Times New Roman" w:hAnsi="Times New Roman" w:cs="Times New Roman"/>
          <w:sz w:val="24"/>
          <w:szCs w:val="24"/>
        </w:rPr>
        <w:noBreakHyphen/>
      </w:r>
      <w:r w:rsidRPr="000A4DA9">
        <w:rPr>
          <w:rFonts w:ascii="Times New Roman" w:hAnsi="Times New Roman" w:cs="Times New Roman"/>
          <w:sz w:val="24"/>
          <w:szCs w:val="24"/>
        </w:rPr>
        <w:t>side obligations to streaming services</w:t>
      </w:r>
      <w:r w:rsidR="002F099F">
        <w:rPr>
          <w:rFonts w:ascii="Times New Roman" w:hAnsi="Times New Roman" w:cs="Times New Roman"/>
          <w:sz w:val="24"/>
          <w:szCs w:val="24"/>
        </w:rPr>
        <w:t xml:space="preserve">. </w:t>
      </w:r>
    </w:p>
    <w:p w14:paraId="003746A4" w14:textId="37CF64AC" w:rsidR="00C51AA3" w:rsidRDefault="00C51AA3" w:rsidP="00C51AA3">
      <w:pPr>
        <w:spacing w:after="200" w:line="276" w:lineRule="auto"/>
        <w:ind w:left="0"/>
        <w:rPr>
          <w:rFonts w:ascii="Times New Roman" w:hAnsi="Times New Roman" w:cs="Times New Roman"/>
          <w:sz w:val="24"/>
          <w:szCs w:val="24"/>
        </w:rPr>
      </w:pPr>
      <w:r w:rsidRPr="00BA5301">
        <w:rPr>
          <w:rFonts w:ascii="Times New Roman" w:hAnsi="Times New Roman" w:cs="Times New Roman"/>
          <w:sz w:val="24"/>
          <w:szCs w:val="24"/>
        </w:rPr>
        <w:t xml:space="preserve">ACMA was consulted </w:t>
      </w:r>
      <w:r>
        <w:rPr>
          <w:rFonts w:ascii="Times New Roman" w:hAnsi="Times New Roman" w:cs="Times New Roman"/>
          <w:sz w:val="24"/>
          <w:szCs w:val="24"/>
        </w:rPr>
        <w:t>during the preparation of this</w:t>
      </w:r>
      <w:r w:rsidRPr="00BA5301">
        <w:rPr>
          <w:rFonts w:ascii="Times New Roman" w:hAnsi="Times New Roman" w:cs="Times New Roman"/>
          <w:sz w:val="24"/>
          <w:szCs w:val="24"/>
        </w:rPr>
        <w:t xml:space="preserve"> Direction</w:t>
      </w:r>
      <w:r>
        <w:rPr>
          <w:rFonts w:ascii="Times New Roman" w:hAnsi="Times New Roman" w:cs="Times New Roman"/>
          <w:sz w:val="24"/>
          <w:szCs w:val="24"/>
        </w:rPr>
        <w:t>.</w:t>
      </w:r>
    </w:p>
    <w:p w14:paraId="2A55E5CA" w14:textId="1937EC8B" w:rsidR="00D344E9" w:rsidRPr="00D344E9" w:rsidRDefault="00D344E9" w:rsidP="00C51AA3">
      <w:pPr>
        <w:spacing w:after="200" w:line="276" w:lineRule="auto"/>
        <w:ind w:left="0"/>
        <w:rPr>
          <w:rFonts w:ascii="Times New Roman" w:hAnsi="Times New Roman" w:cs="Times New Roman"/>
          <w:sz w:val="24"/>
          <w:szCs w:val="24"/>
          <w:u w:val="single"/>
        </w:rPr>
      </w:pPr>
      <w:r w:rsidRPr="00D344E9">
        <w:rPr>
          <w:rFonts w:ascii="Times New Roman" w:hAnsi="Times New Roman" w:cs="Times New Roman"/>
          <w:sz w:val="24"/>
          <w:szCs w:val="24"/>
          <w:u w:val="single"/>
        </w:rPr>
        <w:t>Regulation Impact</w:t>
      </w:r>
    </w:p>
    <w:p w14:paraId="60A4E668" w14:textId="46C8C583" w:rsidR="00C51AA3" w:rsidRPr="00BA5301" w:rsidRDefault="00C51AA3" w:rsidP="00C51AA3">
      <w:pPr>
        <w:spacing w:after="200" w:line="276" w:lineRule="auto"/>
        <w:ind w:left="0"/>
        <w:rPr>
          <w:rFonts w:ascii="Times New Roman" w:hAnsi="Times New Roman" w:cs="Times New Roman"/>
          <w:sz w:val="24"/>
          <w:szCs w:val="24"/>
        </w:rPr>
      </w:pPr>
      <w:r>
        <w:rPr>
          <w:rFonts w:ascii="Times New Roman" w:hAnsi="Times New Roman" w:cs="Times New Roman"/>
          <w:sz w:val="24"/>
          <w:szCs w:val="24"/>
        </w:rPr>
        <w:t xml:space="preserve">A Regulation Impact Statement </w:t>
      </w:r>
      <w:r w:rsidR="00AB5F91">
        <w:rPr>
          <w:rFonts w:ascii="Times New Roman" w:hAnsi="Times New Roman" w:cs="Times New Roman"/>
          <w:sz w:val="24"/>
          <w:szCs w:val="24"/>
        </w:rPr>
        <w:t xml:space="preserve">(RIS) </w:t>
      </w:r>
      <w:r>
        <w:rPr>
          <w:rFonts w:ascii="Times New Roman" w:hAnsi="Times New Roman" w:cs="Times New Roman"/>
          <w:sz w:val="24"/>
          <w:szCs w:val="24"/>
        </w:rPr>
        <w:t xml:space="preserve">has been prepared in relation to the </w:t>
      </w:r>
      <w:r w:rsidR="00AB5F91">
        <w:rPr>
          <w:rFonts w:ascii="Times New Roman" w:hAnsi="Times New Roman" w:cs="Times New Roman"/>
          <w:sz w:val="24"/>
          <w:szCs w:val="24"/>
        </w:rPr>
        <w:t>Government’s Screen Content Reforms, which include the new Australian content quota</w:t>
      </w:r>
      <w:r w:rsidR="005C5898">
        <w:rPr>
          <w:rFonts w:ascii="Times New Roman" w:hAnsi="Times New Roman" w:cs="Times New Roman"/>
          <w:sz w:val="24"/>
          <w:szCs w:val="24"/>
        </w:rPr>
        <w:t xml:space="preserve"> (reference number</w:t>
      </w:r>
      <w:r w:rsidR="00AB5F91">
        <w:rPr>
          <w:rFonts w:ascii="Times New Roman" w:hAnsi="Times New Roman" w:cs="Times New Roman"/>
          <w:sz w:val="24"/>
          <w:szCs w:val="24"/>
        </w:rPr>
        <w:t xml:space="preserve"> 42957). The RIS is available on the website of the Office of Best Practice Regulation: </w:t>
      </w:r>
      <w:r w:rsidR="000975AE" w:rsidRPr="000975AE">
        <w:rPr>
          <w:rFonts w:ascii="Times New Roman" w:hAnsi="Times New Roman" w:cs="Times New Roman"/>
          <w:sz w:val="24"/>
          <w:szCs w:val="24"/>
        </w:rPr>
        <w:t>www.pmc.gov.au/regulation</w:t>
      </w:r>
      <w:r w:rsidR="000975AE">
        <w:rPr>
          <w:rFonts w:ascii="Times New Roman" w:hAnsi="Times New Roman" w:cs="Times New Roman"/>
          <w:sz w:val="24"/>
          <w:szCs w:val="24"/>
        </w:rPr>
        <w:t>.</w:t>
      </w:r>
    </w:p>
    <w:p w14:paraId="318434B8" w14:textId="77777777" w:rsidR="00EB212C" w:rsidRPr="00EB212C" w:rsidRDefault="00EB212C" w:rsidP="00EB212C">
      <w:pPr>
        <w:spacing w:after="200" w:line="276" w:lineRule="auto"/>
        <w:ind w:left="0"/>
        <w:rPr>
          <w:rFonts w:ascii="Times New Roman" w:eastAsia="Calibri" w:hAnsi="Times New Roman" w:cs="Times New Roman"/>
          <w:sz w:val="24"/>
          <w:szCs w:val="24"/>
          <w:u w:val="single"/>
        </w:rPr>
      </w:pPr>
      <w:r w:rsidRPr="00EB212C">
        <w:rPr>
          <w:rFonts w:ascii="Times New Roman" w:eastAsia="Calibri" w:hAnsi="Times New Roman" w:cs="Times New Roman"/>
          <w:sz w:val="24"/>
          <w:szCs w:val="24"/>
          <w:u w:val="single"/>
        </w:rPr>
        <w:t>Statement of Compatibility with Human Rights</w:t>
      </w:r>
    </w:p>
    <w:p w14:paraId="4797F105" w14:textId="77777777" w:rsidR="0012399B" w:rsidRDefault="00EB212C" w:rsidP="00EB212C">
      <w:pPr>
        <w:spacing w:after="200" w:line="276" w:lineRule="auto"/>
        <w:ind w:left="0"/>
        <w:rPr>
          <w:rFonts w:ascii="Times New Roman" w:eastAsia="Calibri" w:hAnsi="Times New Roman" w:cs="Times New Roman"/>
          <w:iCs/>
          <w:color w:val="000000"/>
          <w:sz w:val="24"/>
          <w:szCs w:val="24"/>
          <w:shd w:val="clear" w:color="auto" w:fill="FFFFFF"/>
        </w:rPr>
      </w:pPr>
      <w:r w:rsidRPr="00EB212C">
        <w:rPr>
          <w:rFonts w:ascii="Times New Roman" w:eastAsia="Calibri" w:hAnsi="Times New Roman" w:cs="Times New Roman"/>
          <w:sz w:val="24"/>
          <w:szCs w:val="24"/>
        </w:rPr>
        <w:t xml:space="preserve">As </w:t>
      </w:r>
      <w:r w:rsidRPr="00EB212C">
        <w:rPr>
          <w:rFonts w:ascii="Times New Roman" w:eastAsia="Calibri" w:hAnsi="Times New Roman" w:cs="Times New Roman"/>
          <w:color w:val="000000"/>
          <w:sz w:val="24"/>
          <w:szCs w:val="24"/>
          <w:shd w:val="clear" w:color="auto" w:fill="FFFFFF"/>
        </w:rPr>
        <w:t>section 42 of the </w:t>
      </w:r>
      <w:r w:rsidRPr="00EB212C">
        <w:rPr>
          <w:rFonts w:ascii="Times New Roman" w:eastAsia="Calibri" w:hAnsi="Times New Roman" w:cs="Times New Roman"/>
          <w:i/>
          <w:iCs/>
          <w:color w:val="000000"/>
          <w:sz w:val="24"/>
          <w:szCs w:val="24"/>
          <w:shd w:val="clear" w:color="auto" w:fill="FFFFFF"/>
        </w:rPr>
        <w:t>Legislation Act 2003 </w:t>
      </w:r>
      <w:r w:rsidRPr="00EB212C">
        <w:rPr>
          <w:rFonts w:ascii="Times New Roman" w:eastAsia="Calibri" w:hAnsi="Times New Roman" w:cs="Times New Roman"/>
          <w:color w:val="000000"/>
          <w:sz w:val="24"/>
          <w:szCs w:val="24"/>
          <w:shd w:val="clear" w:color="auto" w:fill="FFFFFF"/>
        </w:rPr>
        <w:t xml:space="preserve">does not apply to this instrument, being exempted under Part 4 of the </w:t>
      </w:r>
      <w:r w:rsidRPr="00EB212C">
        <w:rPr>
          <w:rFonts w:ascii="Times New Roman" w:eastAsia="Calibri" w:hAnsi="Times New Roman" w:cs="Times New Roman"/>
          <w:i/>
          <w:color w:val="000000"/>
          <w:sz w:val="24"/>
          <w:szCs w:val="24"/>
          <w:shd w:val="clear" w:color="auto" w:fill="FFFFFF"/>
        </w:rPr>
        <w:t>Legislation (Exemption and Other Matters) Regulation 2015</w:t>
      </w:r>
      <w:r w:rsidRPr="00EB212C">
        <w:rPr>
          <w:rFonts w:ascii="Times New Roman" w:eastAsia="Calibri" w:hAnsi="Times New Roman" w:cs="Times New Roman"/>
          <w:color w:val="000000"/>
          <w:sz w:val="24"/>
          <w:szCs w:val="24"/>
          <w:shd w:val="clear" w:color="auto" w:fill="FFFFFF"/>
        </w:rPr>
        <w:t>, a Statement of Compatibility with Human Rights is not required under section 9 of the </w:t>
      </w:r>
      <w:r w:rsidRPr="00EB212C">
        <w:rPr>
          <w:rFonts w:ascii="Times New Roman" w:eastAsia="Calibri" w:hAnsi="Times New Roman" w:cs="Times New Roman"/>
          <w:i/>
          <w:iCs/>
          <w:color w:val="000000"/>
          <w:sz w:val="24"/>
          <w:szCs w:val="24"/>
          <w:shd w:val="clear" w:color="auto" w:fill="FFFFFF"/>
        </w:rPr>
        <w:t>Human Rights (Parliamentary Scrutiny) Act 2011.</w:t>
      </w:r>
    </w:p>
    <w:p w14:paraId="099B1409" w14:textId="6830296D" w:rsidR="0012399B" w:rsidRPr="0012399B" w:rsidRDefault="0012399B" w:rsidP="0012399B">
      <w:pPr>
        <w:spacing w:after="200"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Further details of the Direction are set out at </w:t>
      </w:r>
      <w:r>
        <w:rPr>
          <w:rFonts w:ascii="Times New Roman" w:eastAsia="Calibri" w:hAnsi="Times New Roman" w:cs="Times New Roman"/>
          <w:sz w:val="24"/>
          <w:szCs w:val="24"/>
          <w:u w:val="single"/>
        </w:rPr>
        <w:t>Attachment A</w:t>
      </w:r>
      <w:r>
        <w:rPr>
          <w:rFonts w:ascii="Times New Roman" w:eastAsia="Calibri" w:hAnsi="Times New Roman" w:cs="Times New Roman"/>
          <w:sz w:val="24"/>
          <w:szCs w:val="24"/>
        </w:rPr>
        <w:t>.</w:t>
      </w:r>
    </w:p>
    <w:p w14:paraId="64FD8DF5" w14:textId="6E3BDD06" w:rsidR="0012399B" w:rsidRPr="0008420C" w:rsidRDefault="0012399B" w:rsidP="0012399B">
      <w:pPr>
        <w:spacing w:after="200" w:line="276" w:lineRule="auto"/>
        <w:ind w:left="0"/>
        <w:rPr>
          <w:rFonts w:ascii="Times New Roman" w:eastAsia="Calibri" w:hAnsi="Times New Roman" w:cs="Times New Roman"/>
          <w:sz w:val="24"/>
          <w:szCs w:val="24"/>
        </w:rPr>
      </w:pPr>
      <w:r w:rsidRPr="0008420C">
        <w:rPr>
          <w:rFonts w:ascii="Times New Roman" w:eastAsia="Calibri" w:hAnsi="Times New Roman" w:cs="Times New Roman"/>
          <w:sz w:val="24"/>
          <w:szCs w:val="24"/>
        </w:rPr>
        <w:t xml:space="preserve">The Direction is a legislative instrument for the purposes of the </w:t>
      </w:r>
      <w:r>
        <w:rPr>
          <w:rFonts w:ascii="Times New Roman" w:eastAsia="Calibri" w:hAnsi="Times New Roman" w:cs="Times New Roman"/>
          <w:i/>
          <w:sz w:val="24"/>
          <w:szCs w:val="24"/>
        </w:rPr>
        <w:t>Legislation</w:t>
      </w:r>
      <w:r w:rsidRPr="003C41AC">
        <w:rPr>
          <w:rFonts w:ascii="Times New Roman" w:eastAsia="Calibri" w:hAnsi="Times New Roman" w:cs="Times New Roman"/>
          <w:i/>
          <w:sz w:val="24"/>
          <w:szCs w:val="24"/>
        </w:rPr>
        <w:t xml:space="preserve"> Act 2003</w:t>
      </w:r>
      <w:r w:rsidRPr="0008420C">
        <w:rPr>
          <w:rFonts w:ascii="Times New Roman" w:eastAsia="Calibri" w:hAnsi="Times New Roman" w:cs="Times New Roman"/>
          <w:sz w:val="24"/>
          <w:szCs w:val="24"/>
        </w:rPr>
        <w:t>.</w:t>
      </w:r>
      <w:r w:rsidRPr="003C41AC">
        <w:rPr>
          <w:rFonts w:ascii="Times New Roman" w:eastAsia="Calibri" w:hAnsi="Times New Roman" w:cs="Times New Roman"/>
          <w:sz w:val="24"/>
          <w:szCs w:val="24"/>
        </w:rPr>
        <w:t xml:space="preserve"> </w:t>
      </w:r>
      <w:r w:rsidRPr="0012399B">
        <w:rPr>
          <w:rFonts w:ascii="Times New Roman" w:eastAsia="Calibri" w:hAnsi="Times New Roman" w:cs="Times New Roman"/>
          <w:sz w:val="24"/>
          <w:szCs w:val="24"/>
        </w:rPr>
        <w:t xml:space="preserve">However, this instrument is not subject to disallowance, as it is a direction by a Minister to a body (see item 2 of the table in section 9 of the </w:t>
      </w:r>
      <w:r w:rsidRPr="0012399B">
        <w:rPr>
          <w:rFonts w:ascii="Times New Roman" w:eastAsia="Calibri" w:hAnsi="Times New Roman" w:cs="Times New Roman"/>
          <w:i/>
          <w:iCs/>
          <w:sz w:val="24"/>
          <w:szCs w:val="24"/>
        </w:rPr>
        <w:t>Legislation (Exemptions and Other Matters) Regulation 2015</w:t>
      </w:r>
      <w:r w:rsidRPr="0012399B">
        <w:rPr>
          <w:rFonts w:ascii="Times New Roman" w:eastAsia="Calibri" w:hAnsi="Times New Roman" w:cs="Times New Roman"/>
          <w:sz w:val="24"/>
          <w:szCs w:val="24"/>
        </w:rPr>
        <w:t>).</w:t>
      </w:r>
    </w:p>
    <w:p w14:paraId="37E739FB" w14:textId="77777777" w:rsidR="00EB212C" w:rsidRPr="00EB212C" w:rsidRDefault="00EB212C" w:rsidP="00EB212C">
      <w:pPr>
        <w:spacing w:after="200" w:line="276" w:lineRule="auto"/>
        <w:ind w:left="0"/>
        <w:rPr>
          <w:rFonts w:ascii="Times New Roman" w:eastAsia="Calibri" w:hAnsi="Times New Roman" w:cs="Times New Roman"/>
          <w:b/>
          <w:sz w:val="24"/>
          <w:szCs w:val="24"/>
          <w:u w:val="single"/>
        </w:rPr>
      </w:pPr>
      <w:r w:rsidRPr="00EB212C">
        <w:rPr>
          <w:rFonts w:ascii="Times New Roman" w:eastAsia="Calibri" w:hAnsi="Times New Roman" w:cs="Times New Roman"/>
          <w:b/>
          <w:sz w:val="24"/>
          <w:szCs w:val="24"/>
          <w:u w:val="single"/>
        </w:rPr>
        <w:br w:type="page"/>
      </w:r>
    </w:p>
    <w:p w14:paraId="3CA8226F" w14:textId="77777777" w:rsidR="00EB212C" w:rsidRPr="00EB212C" w:rsidRDefault="00EB212C" w:rsidP="00EB212C">
      <w:pPr>
        <w:spacing w:after="200" w:line="276" w:lineRule="auto"/>
        <w:ind w:left="0"/>
        <w:jc w:val="right"/>
        <w:rPr>
          <w:rFonts w:ascii="Times New Roman" w:eastAsia="Calibri" w:hAnsi="Times New Roman" w:cs="Times New Roman"/>
          <w:b/>
          <w:sz w:val="24"/>
          <w:szCs w:val="24"/>
          <w:u w:val="single"/>
        </w:rPr>
      </w:pPr>
      <w:r w:rsidRPr="00EB212C">
        <w:rPr>
          <w:rFonts w:ascii="Times New Roman" w:eastAsia="Calibri" w:hAnsi="Times New Roman" w:cs="Times New Roman"/>
          <w:b/>
          <w:sz w:val="24"/>
          <w:szCs w:val="24"/>
          <w:u w:val="single"/>
        </w:rPr>
        <w:lastRenderedPageBreak/>
        <w:t>Attachment A</w:t>
      </w:r>
    </w:p>
    <w:p w14:paraId="193DC468" w14:textId="77777777" w:rsidR="00EB212C" w:rsidRPr="00EB212C" w:rsidRDefault="00EB212C" w:rsidP="00EB212C">
      <w:pPr>
        <w:autoSpaceDE w:val="0"/>
        <w:autoSpaceDN w:val="0"/>
        <w:spacing w:after="200" w:line="276" w:lineRule="auto"/>
        <w:ind w:left="0"/>
        <w:rPr>
          <w:rFonts w:ascii="Times New Roman" w:eastAsia="Calibri" w:hAnsi="Times New Roman" w:cs="Times New Roman"/>
          <w:color w:val="000000"/>
          <w:sz w:val="24"/>
          <w:szCs w:val="24"/>
          <w:u w:val="single"/>
        </w:rPr>
      </w:pPr>
      <w:r w:rsidRPr="00EB212C">
        <w:rPr>
          <w:rFonts w:ascii="Times New Roman" w:eastAsia="Calibri" w:hAnsi="Times New Roman" w:cs="Times New Roman"/>
          <w:color w:val="000000"/>
          <w:sz w:val="24"/>
          <w:szCs w:val="24"/>
          <w:u w:val="single"/>
        </w:rPr>
        <w:t>Notes on sections</w:t>
      </w:r>
    </w:p>
    <w:p w14:paraId="71A49994" w14:textId="77777777" w:rsidR="00EB212C" w:rsidRPr="00EB212C" w:rsidRDefault="00EB212C" w:rsidP="00EB212C">
      <w:pPr>
        <w:autoSpaceDE w:val="0"/>
        <w:autoSpaceDN w:val="0"/>
        <w:spacing w:after="200" w:line="276" w:lineRule="auto"/>
        <w:ind w:left="0"/>
        <w:rPr>
          <w:rFonts w:ascii="Times New Roman" w:eastAsia="Calibri" w:hAnsi="Times New Roman" w:cs="Times New Roman"/>
          <w:color w:val="000000"/>
          <w:sz w:val="24"/>
          <w:szCs w:val="24"/>
        </w:rPr>
      </w:pPr>
      <w:r w:rsidRPr="00EB212C">
        <w:rPr>
          <w:rFonts w:ascii="Times New Roman" w:eastAsia="Calibri" w:hAnsi="Times New Roman" w:cs="Times New Roman"/>
          <w:color w:val="000000"/>
          <w:sz w:val="24"/>
          <w:szCs w:val="24"/>
          <w:u w:val="single"/>
        </w:rPr>
        <w:t>Section 1</w:t>
      </w:r>
      <w:r w:rsidRPr="00EB212C">
        <w:rPr>
          <w:rFonts w:ascii="Times New Roman" w:eastAsia="Calibri" w:hAnsi="Times New Roman" w:cs="Times New Roman"/>
          <w:color w:val="000000"/>
          <w:sz w:val="24"/>
          <w:szCs w:val="24"/>
        </w:rPr>
        <w:t xml:space="preserve"> provides </w:t>
      </w:r>
      <w:r w:rsidR="005817BC">
        <w:rPr>
          <w:rFonts w:ascii="Times New Roman" w:eastAsia="Calibri" w:hAnsi="Times New Roman" w:cs="Times New Roman"/>
          <w:color w:val="000000"/>
          <w:sz w:val="24"/>
          <w:szCs w:val="24"/>
        </w:rPr>
        <w:t xml:space="preserve">that </w:t>
      </w:r>
      <w:r w:rsidRPr="00EB212C">
        <w:rPr>
          <w:rFonts w:ascii="Times New Roman" w:eastAsia="Calibri" w:hAnsi="Times New Roman" w:cs="Times New Roman"/>
          <w:color w:val="000000"/>
          <w:sz w:val="24"/>
          <w:szCs w:val="24"/>
        </w:rPr>
        <w:t>the name of the Direction</w:t>
      </w:r>
      <w:r w:rsidR="005817BC">
        <w:rPr>
          <w:rFonts w:ascii="Times New Roman" w:eastAsia="Calibri" w:hAnsi="Times New Roman" w:cs="Times New Roman"/>
          <w:color w:val="000000"/>
          <w:sz w:val="24"/>
          <w:szCs w:val="24"/>
        </w:rPr>
        <w:t xml:space="preserve"> is the </w:t>
      </w:r>
      <w:r w:rsidR="005817BC" w:rsidRPr="005817BC">
        <w:rPr>
          <w:rFonts w:ascii="Times New Roman" w:eastAsia="Calibri" w:hAnsi="Times New Roman" w:cs="Times New Roman"/>
          <w:i/>
          <w:color w:val="000000"/>
          <w:sz w:val="24"/>
          <w:szCs w:val="24"/>
        </w:rPr>
        <w:t>Broadcasting Services (Australian and Children’s Television Standards) Direction 2020</w:t>
      </w:r>
      <w:r w:rsidRPr="00EB212C">
        <w:rPr>
          <w:rFonts w:ascii="Times New Roman" w:eastAsia="Calibri" w:hAnsi="Times New Roman" w:cs="Times New Roman"/>
          <w:color w:val="000000"/>
          <w:sz w:val="24"/>
          <w:szCs w:val="24"/>
        </w:rPr>
        <w:t>.</w:t>
      </w:r>
    </w:p>
    <w:p w14:paraId="52A4ADC3" w14:textId="77777777" w:rsidR="00EB212C" w:rsidRPr="00EB212C" w:rsidRDefault="00EB212C" w:rsidP="00EB212C">
      <w:pPr>
        <w:autoSpaceDE w:val="0"/>
        <w:autoSpaceDN w:val="0"/>
        <w:spacing w:after="200" w:line="276" w:lineRule="auto"/>
        <w:ind w:left="0"/>
        <w:rPr>
          <w:rFonts w:ascii="Times New Roman" w:eastAsia="Calibri" w:hAnsi="Times New Roman" w:cs="Times New Roman"/>
          <w:color w:val="000000"/>
          <w:sz w:val="24"/>
          <w:szCs w:val="24"/>
        </w:rPr>
      </w:pPr>
      <w:r w:rsidRPr="00EB212C">
        <w:rPr>
          <w:rFonts w:ascii="Times New Roman" w:eastAsia="Calibri" w:hAnsi="Times New Roman" w:cs="Times New Roman"/>
          <w:color w:val="000000"/>
          <w:sz w:val="24"/>
          <w:szCs w:val="24"/>
          <w:u w:val="single"/>
        </w:rPr>
        <w:t>Section 2</w:t>
      </w:r>
      <w:r w:rsidRPr="00EB212C">
        <w:rPr>
          <w:rFonts w:ascii="Times New Roman" w:eastAsia="Calibri" w:hAnsi="Times New Roman" w:cs="Times New Roman"/>
          <w:color w:val="000000"/>
          <w:sz w:val="24"/>
          <w:szCs w:val="24"/>
        </w:rPr>
        <w:t xml:space="preserve"> provides that the Direction will commence the day after it is registered.</w:t>
      </w:r>
    </w:p>
    <w:p w14:paraId="12AAFA5E" w14:textId="4F9F898C" w:rsidR="00EB212C" w:rsidRPr="00EB212C" w:rsidRDefault="00EB212C" w:rsidP="00EB212C">
      <w:pPr>
        <w:autoSpaceDE w:val="0"/>
        <w:autoSpaceDN w:val="0"/>
        <w:spacing w:after="200" w:line="276" w:lineRule="auto"/>
        <w:ind w:left="0"/>
        <w:rPr>
          <w:rFonts w:ascii="Times New Roman" w:eastAsia="Calibri" w:hAnsi="Times New Roman" w:cs="Times New Roman"/>
          <w:color w:val="000000"/>
          <w:sz w:val="24"/>
          <w:szCs w:val="24"/>
        </w:rPr>
      </w:pPr>
      <w:r w:rsidRPr="00EB212C">
        <w:rPr>
          <w:rFonts w:ascii="Times New Roman" w:eastAsia="Calibri" w:hAnsi="Times New Roman" w:cs="Times New Roman"/>
          <w:color w:val="000000"/>
          <w:sz w:val="24"/>
          <w:szCs w:val="24"/>
          <w:u w:val="single"/>
        </w:rPr>
        <w:t>Section 3</w:t>
      </w:r>
      <w:r w:rsidRPr="00EB212C">
        <w:rPr>
          <w:rFonts w:ascii="Times New Roman" w:eastAsia="Calibri" w:hAnsi="Times New Roman" w:cs="Times New Roman"/>
          <w:color w:val="000000"/>
          <w:sz w:val="24"/>
          <w:szCs w:val="24"/>
        </w:rPr>
        <w:t xml:space="preserve"> provides that the Direction will be </w:t>
      </w:r>
      <w:r w:rsidR="00C430BC">
        <w:rPr>
          <w:rFonts w:ascii="Times New Roman" w:eastAsia="Calibri" w:hAnsi="Times New Roman" w:cs="Times New Roman"/>
          <w:color w:val="000000"/>
          <w:sz w:val="24"/>
          <w:szCs w:val="24"/>
        </w:rPr>
        <w:t>self-</w:t>
      </w:r>
      <w:r w:rsidRPr="00EB212C">
        <w:rPr>
          <w:rFonts w:ascii="Times New Roman" w:eastAsia="Calibri" w:hAnsi="Times New Roman" w:cs="Times New Roman"/>
          <w:color w:val="000000"/>
          <w:sz w:val="24"/>
          <w:szCs w:val="24"/>
        </w:rPr>
        <w:t>repealed on</w:t>
      </w:r>
      <w:r w:rsidR="002F099F">
        <w:rPr>
          <w:rFonts w:ascii="Times New Roman" w:eastAsia="Calibri" w:hAnsi="Times New Roman" w:cs="Times New Roman"/>
          <w:color w:val="000000"/>
          <w:sz w:val="24"/>
          <w:szCs w:val="24"/>
        </w:rPr>
        <w:t xml:space="preserve"> 1 July 2021</w:t>
      </w:r>
      <w:r w:rsidRPr="00EB212C">
        <w:rPr>
          <w:rFonts w:ascii="Times New Roman" w:eastAsia="Calibri" w:hAnsi="Times New Roman" w:cs="Times New Roman"/>
          <w:color w:val="000000"/>
          <w:sz w:val="24"/>
          <w:szCs w:val="24"/>
        </w:rPr>
        <w:t xml:space="preserve">. </w:t>
      </w:r>
    </w:p>
    <w:p w14:paraId="4453AA89" w14:textId="061F14F5" w:rsidR="00EB212C" w:rsidRPr="00EB212C" w:rsidRDefault="00EB212C" w:rsidP="00EB212C">
      <w:pPr>
        <w:autoSpaceDE w:val="0"/>
        <w:autoSpaceDN w:val="0"/>
        <w:spacing w:after="200" w:line="276" w:lineRule="auto"/>
        <w:ind w:left="0"/>
        <w:rPr>
          <w:rFonts w:ascii="Times New Roman" w:eastAsia="Calibri" w:hAnsi="Times New Roman" w:cs="Times New Roman"/>
          <w:color w:val="000000"/>
          <w:sz w:val="24"/>
          <w:szCs w:val="24"/>
        </w:rPr>
      </w:pPr>
      <w:r w:rsidRPr="00EB212C">
        <w:rPr>
          <w:rFonts w:ascii="Times New Roman" w:eastAsia="Calibri" w:hAnsi="Times New Roman" w:cs="Times New Roman"/>
          <w:color w:val="000000"/>
          <w:sz w:val="24"/>
          <w:szCs w:val="24"/>
          <w:u w:val="single"/>
        </w:rPr>
        <w:t>Section 4</w:t>
      </w:r>
      <w:r w:rsidRPr="00EB212C">
        <w:rPr>
          <w:rFonts w:ascii="Times New Roman" w:eastAsia="Calibri" w:hAnsi="Times New Roman" w:cs="Times New Roman"/>
          <w:color w:val="000000"/>
          <w:sz w:val="24"/>
          <w:szCs w:val="24"/>
        </w:rPr>
        <w:t xml:space="preserve"> states the legislative authority for the Direction as being subsection 1</w:t>
      </w:r>
      <w:r w:rsidR="002F099F">
        <w:rPr>
          <w:rFonts w:ascii="Times New Roman" w:eastAsia="Calibri" w:hAnsi="Times New Roman" w:cs="Times New Roman"/>
          <w:color w:val="000000"/>
          <w:sz w:val="24"/>
          <w:szCs w:val="24"/>
        </w:rPr>
        <w:t>22(7)</w:t>
      </w:r>
      <w:r w:rsidRPr="00EB212C">
        <w:rPr>
          <w:rFonts w:ascii="Times New Roman" w:eastAsia="Calibri" w:hAnsi="Times New Roman" w:cs="Times New Roman"/>
          <w:color w:val="000000"/>
          <w:sz w:val="24"/>
          <w:szCs w:val="24"/>
        </w:rPr>
        <w:t xml:space="preserve"> of the </w:t>
      </w:r>
      <w:r w:rsidR="002F099F">
        <w:rPr>
          <w:rFonts w:ascii="Times New Roman" w:eastAsia="Calibri" w:hAnsi="Times New Roman" w:cs="Times New Roman"/>
          <w:color w:val="000000"/>
          <w:sz w:val="24"/>
          <w:szCs w:val="24"/>
        </w:rPr>
        <w:t>BSA</w:t>
      </w:r>
      <w:r w:rsidRPr="00EB212C">
        <w:rPr>
          <w:rFonts w:ascii="Times New Roman" w:eastAsia="Calibri" w:hAnsi="Times New Roman" w:cs="Times New Roman"/>
          <w:color w:val="000000"/>
          <w:sz w:val="24"/>
          <w:szCs w:val="24"/>
        </w:rPr>
        <w:t xml:space="preserve">. </w:t>
      </w:r>
    </w:p>
    <w:p w14:paraId="58C2210F" w14:textId="1CC7BC7B" w:rsidR="00EB212C" w:rsidRDefault="00EB212C" w:rsidP="00EB212C">
      <w:pPr>
        <w:autoSpaceDE w:val="0"/>
        <w:autoSpaceDN w:val="0"/>
        <w:spacing w:after="200" w:line="276" w:lineRule="auto"/>
        <w:ind w:left="0"/>
        <w:rPr>
          <w:rFonts w:ascii="Times New Roman" w:eastAsia="Calibri" w:hAnsi="Times New Roman" w:cs="Times New Roman"/>
          <w:color w:val="000000"/>
          <w:sz w:val="24"/>
          <w:szCs w:val="24"/>
        </w:rPr>
      </w:pPr>
      <w:r w:rsidRPr="00EB212C">
        <w:rPr>
          <w:rFonts w:ascii="Times New Roman" w:eastAsia="Calibri" w:hAnsi="Times New Roman" w:cs="Times New Roman"/>
          <w:color w:val="000000"/>
          <w:sz w:val="24"/>
          <w:szCs w:val="24"/>
          <w:u w:val="single"/>
        </w:rPr>
        <w:t>Section 5</w:t>
      </w:r>
      <w:r w:rsidRPr="00EB212C">
        <w:rPr>
          <w:rFonts w:ascii="Times New Roman" w:eastAsia="Calibri" w:hAnsi="Times New Roman" w:cs="Times New Roman"/>
          <w:color w:val="000000"/>
          <w:sz w:val="24"/>
          <w:szCs w:val="24"/>
        </w:rPr>
        <w:t xml:space="preserve"> defines the terms used throughout the Direction. </w:t>
      </w:r>
    </w:p>
    <w:p w14:paraId="3596786D" w14:textId="700DC42B" w:rsidR="002E3A2A" w:rsidRDefault="002E3A2A" w:rsidP="00EB212C">
      <w:pPr>
        <w:autoSpaceDE w:val="0"/>
        <w:autoSpaceDN w:val="0"/>
        <w:spacing w:after="200" w:line="276" w:lineRule="auto"/>
        <w:ind w:left="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The definitions largely reflect existing definitions in the BSA</w:t>
      </w:r>
      <w:r w:rsidR="005817BC">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ACS and CTS.</w:t>
      </w:r>
    </w:p>
    <w:p w14:paraId="4EA095D8" w14:textId="0797D7DC" w:rsidR="007042D5" w:rsidRPr="007042D5" w:rsidRDefault="007042D5" w:rsidP="00EB212C">
      <w:pPr>
        <w:autoSpaceDE w:val="0"/>
        <w:autoSpaceDN w:val="0"/>
        <w:spacing w:after="200" w:line="276" w:lineRule="auto"/>
        <w:ind w:left="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The definition of </w:t>
      </w:r>
      <w:r>
        <w:rPr>
          <w:rFonts w:ascii="Times New Roman" w:eastAsia="Calibri" w:hAnsi="Times New Roman" w:cs="Times New Roman"/>
          <w:i/>
          <w:color w:val="000000"/>
          <w:sz w:val="24"/>
          <w:szCs w:val="24"/>
        </w:rPr>
        <w:t>amend</w:t>
      </w:r>
      <w:r>
        <w:rPr>
          <w:rFonts w:ascii="Times New Roman" w:eastAsia="Calibri" w:hAnsi="Times New Roman" w:cs="Times New Roman"/>
          <w:color w:val="000000"/>
          <w:sz w:val="24"/>
          <w:szCs w:val="24"/>
        </w:rPr>
        <w:t xml:space="preserve"> has been included to clarify that it is intended to be open to ACMA to revoke, or revoke and remake, one or more Standard(s) to give effect to the </w:t>
      </w:r>
      <w:r w:rsidR="00B44848">
        <w:rPr>
          <w:rFonts w:ascii="Times New Roman" w:eastAsia="Calibri" w:hAnsi="Times New Roman" w:cs="Times New Roman"/>
          <w:color w:val="000000"/>
          <w:sz w:val="24"/>
          <w:szCs w:val="24"/>
        </w:rPr>
        <w:t>D</w:t>
      </w:r>
      <w:r>
        <w:rPr>
          <w:rFonts w:ascii="Times New Roman" w:eastAsia="Calibri" w:hAnsi="Times New Roman" w:cs="Times New Roman"/>
          <w:color w:val="000000"/>
          <w:sz w:val="24"/>
          <w:szCs w:val="24"/>
        </w:rPr>
        <w:t xml:space="preserve">irection.   </w:t>
      </w:r>
    </w:p>
    <w:p w14:paraId="308B60AA" w14:textId="6849C604" w:rsidR="002E3A2A" w:rsidRDefault="002E3A2A" w:rsidP="00EB212C">
      <w:pPr>
        <w:autoSpaceDE w:val="0"/>
        <w:autoSpaceDN w:val="0"/>
        <w:spacing w:after="200" w:line="276" w:lineRule="auto"/>
        <w:ind w:left="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The definition of </w:t>
      </w:r>
      <w:r w:rsidRPr="00AD685B">
        <w:rPr>
          <w:rFonts w:ascii="Times New Roman" w:eastAsia="Calibri" w:hAnsi="Times New Roman" w:cs="Times New Roman"/>
          <w:i/>
          <w:color w:val="000000"/>
          <w:sz w:val="24"/>
          <w:szCs w:val="24"/>
        </w:rPr>
        <w:t>acquired</w:t>
      </w:r>
      <w:r>
        <w:rPr>
          <w:rFonts w:ascii="Times New Roman" w:eastAsia="Calibri" w:hAnsi="Times New Roman" w:cs="Times New Roman"/>
          <w:color w:val="000000"/>
          <w:sz w:val="24"/>
          <w:szCs w:val="24"/>
        </w:rPr>
        <w:t xml:space="preserve"> differs from the definition in the ACS as it specifically excludes a program that is commissioned</w:t>
      </w:r>
      <w:r w:rsidR="00C430BC">
        <w:rPr>
          <w:rFonts w:ascii="Times New Roman" w:eastAsia="Calibri" w:hAnsi="Times New Roman" w:cs="Times New Roman"/>
          <w:color w:val="000000"/>
          <w:sz w:val="24"/>
          <w:szCs w:val="24"/>
        </w:rPr>
        <w:t xml:space="preserve"> by a licensee</w:t>
      </w:r>
      <w:r>
        <w:rPr>
          <w:rFonts w:ascii="Times New Roman" w:eastAsia="Calibri" w:hAnsi="Times New Roman" w:cs="Times New Roman"/>
          <w:color w:val="000000"/>
          <w:sz w:val="24"/>
          <w:szCs w:val="24"/>
        </w:rPr>
        <w:t>. This change relates to the different points that may be acquitted for commissioned programs and acquired films.</w:t>
      </w:r>
      <w:r w:rsidR="002F3DD0">
        <w:rPr>
          <w:rFonts w:ascii="Times New Roman" w:eastAsia="Calibri" w:hAnsi="Times New Roman" w:cs="Times New Roman"/>
          <w:color w:val="000000"/>
          <w:sz w:val="24"/>
          <w:szCs w:val="24"/>
        </w:rPr>
        <w:t xml:space="preserve"> </w:t>
      </w:r>
    </w:p>
    <w:p w14:paraId="030E7263" w14:textId="2DC27506" w:rsidR="00B44848" w:rsidRPr="00B44848" w:rsidRDefault="007B6B54" w:rsidP="00B44848">
      <w:pPr>
        <w:autoSpaceDE w:val="0"/>
        <w:autoSpaceDN w:val="0"/>
        <w:spacing w:after="200" w:line="276" w:lineRule="auto"/>
        <w:ind w:left="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The definition of </w:t>
      </w:r>
      <w:r w:rsidRPr="00AD685B">
        <w:rPr>
          <w:rFonts w:ascii="Times New Roman" w:eastAsia="Calibri" w:hAnsi="Times New Roman" w:cs="Times New Roman"/>
          <w:i/>
          <w:color w:val="000000"/>
          <w:sz w:val="24"/>
          <w:szCs w:val="24"/>
        </w:rPr>
        <w:t>Australian drama program</w:t>
      </w:r>
      <w:r>
        <w:rPr>
          <w:rFonts w:ascii="Times New Roman" w:eastAsia="Calibri" w:hAnsi="Times New Roman" w:cs="Times New Roman"/>
          <w:color w:val="000000"/>
          <w:sz w:val="24"/>
          <w:szCs w:val="24"/>
        </w:rPr>
        <w:t xml:space="preserve"> reflects the existing ACS definition with subparagraph </w:t>
      </w:r>
      <w:r w:rsidR="005817BC">
        <w:rPr>
          <w:rFonts w:ascii="Times New Roman" w:eastAsia="Calibri" w:hAnsi="Times New Roman" w:cs="Times New Roman"/>
          <w:color w:val="000000"/>
          <w:sz w:val="24"/>
          <w:szCs w:val="24"/>
        </w:rPr>
        <w:t>6</w:t>
      </w:r>
      <w:r>
        <w:rPr>
          <w:rFonts w:ascii="Times New Roman" w:eastAsia="Calibri" w:hAnsi="Times New Roman" w:cs="Times New Roman"/>
          <w:color w:val="000000"/>
          <w:sz w:val="24"/>
          <w:szCs w:val="24"/>
        </w:rPr>
        <w:t xml:space="preserve">(c)(ii) removed. The effect of this change is that </w:t>
      </w:r>
      <w:r w:rsidR="00C430BC">
        <w:rPr>
          <w:rFonts w:ascii="Times New Roman" w:eastAsia="Calibri" w:hAnsi="Times New Roman" w:cs="Times New Roman"/>
          <w:color w:val="000000"/>
          <w:sz w:val="24"/>
          <w:szCs w:val="24"/>
        </w:rPr>
        <w:t>an Australian drama program for the purposes of the Direction will include an Australian children’s drama</w:t>
      </w:r>
      <w:r w:rsidR="00B44848">
        <w:rPr>
          <w:rFonts w:ascii="Times New Roman" w:eastAsia="Calibri" w:hAnsi="Times New Roman" w:cs="Times New Roman"/>
          <w:color w:val="000000"/>
          <w:sz w:val="24"/>
          <w:szCs w:val="24"/>
        </w:rPr>
        <w:t>, including</w:t>
      </w:r>
      <w:r w:rsidR="00B44848" w:rsidRPr="00B44848">
        <w:rPr>
          <w:rFonts w:ascii="Times New Roman" w:eastAsia="Calibri" w:hAnsi="Times New Roman" w:cs="Times New Roman"/>
          <w:color w:val="000000"/>
          <w:sz w:val="24"/>
          <w:szCs w:val="24"/>
        </w:rPr>
        <w:t xml:space="preserve"> partially scripted programs. </w:t>
      </w:r>
    </w:p>
    <w:p w14:paraId="59F49FA6" w14:textId="3ECC4551" w:rsidR="00A207B5" w:rsidRDefault="00A207B5" w:rsidP="00EB212C">
      <w:pPr>
        <w:autoSpaceDE w:val="0"/>
        <w:autoSpaceDN w:val="0"/>
        <w:spacing w:after="200" w:line="276" w:lineRule="auto"/>
        <w:ind w:left="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The definition of </w:t>
      </w:r>
      <w:r w:rsidRPr="00AD685B">
        <w:rPr>
          <w:rFonts w:ascii="Times New Roman" w:eastAsia="Calibri" w:hAnsi="Times New Roman" w:cs="Times New Roman"/>
          <w:i/>
          <w:color w:val="000000"/>
          <w:sz w:val="24"/>
          <w:szCs w:val="24"/>
        </w:rPr>
        <w:t>children</w:t>
      </w:r>
      <w:r>
        <w:rPr>
          <w:rFonts w:ascii="Times New Roman" w:eastAsia="Calibri" w:hAnsi="Times New Roman" w:cs="Times New Roman"/>
          <w:color w:val="000000"/>
          <w:sz w:val="24"/>
          <w:szCs w:val="24"/>
        </w:rPr>
        <w:t xml:space="preserve"> is amended to refer to people younger than 15 years of age. This change will make the meaning of children</w:t>
      </w:r>
      <w:r>
        <w:t xml:space="preserve"> </w:t>
      </w:r>
      <w:r w:rsidRPr="00A207B5">
        <w:rPr>
          <w:rFonts w:ascii="Times New Roman" w:eastAsia="Calibri" w:hAnsi="Times New Roman" w:cs="Times New Roman"/>
          <w:color w:val="000000"/>
          <w:sz w:val="24"/>
          <w:szCs w:val="24"/>
        </w:rPr>
        <w:t xml:space="preserve">consistent with the definition of children in the </w:t>
      </w:r>
      <w:r w:rsidRPr="000975AE">
        <w:rPr>
          <w:rFonts w:ascii="Times New Roman" w:eastAsia="Calibri" w:hAnsi="Times New Roman" w:cs="Times New Roman"/>
          <w:i/>
          <w:color w:val="000000"/>
          <w:sz w:val="24"/>
          <w:szCs w:val="24"/>
        </w:rPr>
        <w:t>Commercial Television Industry Code of Practice</w:t>
      </w:r>
      <w:r w:rsidRPr="00A207B5">
        <w:rPr>
          <w:rFonts w:ascii="Times New Roman" w:eastAsia="Calibri" w:hAnsi="Times New Roman" w:cs="Times New Roman"/>
          <w:color w:val="000000"/>
          <w:sz w:val="24"/>
          <w:szCs w:val="24"/>
        </w:rPr>
        <w:t>. The effect of this is that the meaning of chil</w:t>
      </w:r>
      <w:r w:rsidR="000975AE">
        <w:rPr>
          <w:rFonts w:ascii="Times New Roman" w:eastAsia="Calibri" w:hAnsi="Times New Roman" w:cs="Times New Roman"/>
          <w:color w:val="000000"/>
          <w:sz w:val="24"/>
          <w:szCs w:val="24"/>
        </w:rPr>
        <w:t>dren will include anyone from 0 to 1</w:t>
      </w:r>
      <w:r w:rsidRPr="00A207B5">
        <w:rPr>
          <w:rFonts w:ascii="Times New Roman" w:eastAsia="Calibri" w:hAnsi="Times New Roman" w:cs="Times New Roman"/>
          <w:color w:val="000000"/>
          <w:sz w:val="24"/>
          <w:szCs w:val="24"/>
        </w:rPr>
        <w:t xml:space="preserve">4 years </w:t>
      </w:r>
      <w:r w:rsidR="000975AE">
        <w:rPr>
          <w:rFonts w:ascii="Times New Roman" w:eastAsia="Calibri" w:hAnsi="Times New Roman" w:cs="Times New Roman"/>
          <w:color w:val="000000"/>
          <w:sz w:val="24"/>
          <w:szCs w:val="24"/>
        </w:rPr>
        <w:t>of age</w:t>
      </w:r>
      <w:r w:rsidRPr="00A207B5">
        <w:rPr>
          <w:rFonts w:ascii="Times New Roman" w:eastAsia="Calibri" w:hAnsi="Times New Roman" w:cs="Times New Roman"/>
          <w:color w:val="000000"/>
          <w:sz w:val="24"/>
          <w:szCs w:val="24"/>
        </w:rPr>
        <w:t>.</w:t>
      </w:r>
    </w:p>
    <w:p w14:paraId="006C790E" w14:textId="443C322E" w:rsidR="00182493" w:rsidRDefault="002E3A2A" w:rsidP="00560D92">
      <w:pPr>
        <w:spacing w:after="200" w:line="276" w:lineRule="auto"/>
        <w:ind w:left="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w:t>
      </w:r>
      <w:r w:rsidR="00237820">
        <w:rPr>
          <w:rFonts w:ascii="Times New Roman" w:eastAsia="Calibri" w:hAnsi="Times New Roman" w:cs="Times New Roman"/>
          <w:color w:val="000000"/>
          <w:sz w:val="24"/>
          <w:szCs w:val="24"/>
        </w:rPr>
        <w:t xml:space="preserve"> new definition of </w:t>
      </w:r>
      <w:r w:rsidR="00237820" w:rsidRPr="00AD685B">
        <w:rPr>
          <w:rFonts w:ascii="Times New Roman" w:eastAsia="Calibri" w:hAnsi="Times New Roman" w:cs="Times New Roman"/>
          <w:i/>
          <w:color w:val="000000"/>
          <w:sz w:val="24"/>
          <w:szCs w:val="24"/>
        </w:rPr>
        <w:t>commissioned</w:t>
      </w:r>
      <w:r w:rsidR="00237820">
        <w:rPr>
          <w:rFonts w:ascii="Times New Roman" w:eastAsia="Calibri" w:hAnsi="Times New Roman" w:cs="Times New Roman"/>
          <w:color w:val="000000"/>
          <w:sz w:val="24"/>
          <w:szCs w:val="24"/>
        </w:rPr>
        <w:t xml:space="preserve"> is inserted. </w:t>
      </w:r>
      <w:r w:rsidR="00DC3B22">
        <w:rPr>
          <w:rFonts w:ascii="Times New Roman" w:eastAsia="Calibri" w:hAnsi="Times New Roman" w:cs="Times New Roman"/>
          <w:color w:val="000000"/>
          <w:sz w:val="24"/>
          <w:szCs w:val="24"/>
        </w:rPr>
        <w:t>‘</w:t>
      </w:r>
      <w:r w:rsidR="00237820">
        <w:rPr>
          <w:rFonts w:ascii="Times New Roman" w:eastAsia="Calibri" w:hAnsi="Times New Roman" w:cs="Times New Roman"/>
          <w:color w:val="000000"/>
          <w:sz w:val="24"/>
          <w:szCs w:val="24"/>
        </w:rPr>
        <w:t>Commissioned</w:t>
      </w:r>
      <w:r w:rsidR="00DC3B22">
        <w:rPr>
          <w:rFonts w:ascii="Times New Roman" w:eastAsia="Calibri" w:hAnsi="Times New Roman" w:cs="Times New Roman"/>
          <w:color w:val="000000"/>
          <w:sz w:val="24"/>
          <w:szCs w:val="24"/>
        </w:rPr>
        <w:t>’</w:t>
      </w:r>
      <w:r w:rsidR="00237820">
        <w:rPr>
          <w:rFonts w:ascii="Times New Roman" w:eastAsia="Calibri" w:hAnsi="Times New Roman" w:cs="Times New Roman"/>
          <w:color w:val="000000"/>
          <w:sz w:val="24"/>
          <w:szCs w:val="24"/>
        </w:rPr>
        <w:t xml:space="preserve"> is defined as where a commercial television broadcasting licensee or program supplier has made a</w:t>
      </w:r>
      <w:r w:rsidR="00182493">
        <w:rPr>
          <w:rFonts w:ascii="Times New Roman" w:eastAsia="Calibri" w:hAnsi="Times New Roman" w:cs="Times New Roman"/>
          <w:color w:val="000000"/>
          <w:sz w:val="24"/>
          <w:szCs w:val="24"/>
        </w:rPr>
        <w:t xml:space="preserve"> material and meaningful</w:t>
      </w:r>
      <w:r w:rsidR="00237820">
        <w:rPr>
          <w:rFonts w:ascii="Times New Roman" w:eastAsia="Calibri" w:hAnsi="Times New Roman" w:cs="Times New Roman"/>
          <w:color w:val="000000"/>
          <w:sz w:val="24"/>
          <w:szCs w:val="24"/>
        </w:rPr>
        <w:t xml:space="preserve"> financial contribution to the production of a program before the production has been completed. This includes in-house production and domestic co-productions such as with </w:t>
      </w:r>
      <w:r w:rsidR="00DC3B22">
        <w:rPr>
          <w:rFonts w:ascii="Times New Roman" w:eastAsia="Calibri" w:hAnsi="Times New Roman" w:cs="Times New Roman"/>
          <w:color w:val="000000"/>
          <w:sz w:val="24"/>
          <w:szCs w:val="24"/>
        </w:rPr>
        <w:t xml:space="preserve">national broadcasters, </w:t>
      </w:r>
      <w:r w:rsidR="00237820">
        <w:rPr>
          <w:rFonts w:ascii="Times New Roman" w:eastAsia="Calibri" w:hAnsi="Times New Roman" w:cs="Times New Roman"/>
          <w:color w:val="000000"/>
          <w:sz w:val="24"/>
          <w:szCs w:val="24"/>
        </w:rPr>
        <w:t xml:space="preserve">streaming video services or subscription broadcast channels. </w:t>
      </w:r>
      <w:bookmarkStart w:id="6" w:name="_Hlk54857165"/>
      <w:r w:rsidR="00182493">
        <w:rPr>
          <w:rFonts w:ascii="Times New Roman" w:eastAsia="Calibri" w:hAnsi="Times New Roman" w:cs="Times New Roman"/>
          <w:color w:val="000000"/>
          <w:sz w:val="24"/>
          <w:szCs w:val="24"/>
        </w:rPr>
        <w:t>While ‘</w:t>
      </w:r>
      <w:r w:rsidR="00182493" w:rsidRPr="00182493">
        <w:rPr>
          <w:rFonts w:ascii="Times New Roman" w:eastAsia="Calibri" w:hAnsi="Times New Roman" w:cs="Times New Roman"/>
          <w:color w:val="000000"/>
          <w:sz w:val="24"/>
          <w:szCs w:val="24"/>
        </w:rPr>
        <w:t>m</w:t>
      </w:r>
      <w:r w:rsidR="00182493">
        <w:rPr>
          <w:rFonts w:ascii="Times New Roman" w:eastAsia="Calibri" w:hAnsi="Times New Roman" w:cs="Times New Roman"/>
          <w:color w:val="000000"/>
          <w:sz w:val="24"/>
          <w:szCs w:val="24"/>
        </w:rPr>
        <w:t xml:space="preserve">aterial and </w:t>
      </w:r>
      <w:r w:rsidR="00182493" w:rsidRPr="00182493">
        <w:rPr>
          <w:rFonts w:ascii="Times New Roman" w:eastAsia="Calibri" w:hAnsi="Times New Roman" w:cs="Times New Roman"/>
          <w:color w:val="000000"/>
          <w:sz w:val="24"/>
          <w:szCs w:val="24"/>
        </w:rPr>
        <w:t>m</w:t>
      </w:r>
      <w:r w:rsidR="00182493">
        <w:rPr>
          <w:rFonts w:ascii="Times New Roman" w:eastAsia="Calibri" w:hAnsi="Times New Roman" w:cs="Times New Roman"/>
          <w:color w:val="000000"/>
          <w:sz w:val="24"/>
          <w:szCs w:val="24"/>
        </w:rPr>
        <w:t>eaningful’ is no</w:t>
      </w:r>
      <w:r w:rsidR="00182493" w:rsidRPr="00182493">
        <w:rPr>
          <w:rFonts w:ascii="Times New Roman" w:eastAsia="Calibri" w:hAnsi="Times New Roman" w:cs="Times New Roman"/>
          <w:color w:val="000000"/>
          <w:sz w:val="24"/>
          <w:szCs w:val="24"/>
        </w:rPr>
        <w:t xml:space="preserve">t defined in </w:t>
      </w:r>
      <w:r w:rsidR="007A2DDA">
        <w:rPr>
          <w:rFonts w:ascii="Times New Roman" w:eastAsia="Calibri" w:hAnsi="Times New Roman" w:cs="Times New Roman"/>
          <w:color w:val="000000"/>
          <w:sz w:val="24"/>
          <w:szCs w:val="24"/>
        </w:rPr>
        <w:t>the Direction</w:t>
      </w:r>
      <w:r w:rsidR="00182493" w:rsidRPr="00182493">
        <w:rPr>
          <w:rFonts w:ascii="Times New Roman" w:eastAsia="Calibri" w:hAnsi="Times New Roman" w:cs="Times New Roman"/>
          <w:color w:val="000000"/>
          <w:sz w:val="24"/>
          <w:szCs w:val="24"/>
        </w:rPr>
        <w:t xml:space="preserve">, </w:t>
      </w:r>
      <w:r w:rsidR="00182493">
        <w:rPr>
          <w:rFonts w:ascii="Times New Roman" w:eastAsia="Calibri" w:hAnsi="Times New Roman" w:cs="Times New Roman"/>
          <w:color w:val="000000"/>
          <w:sz w:val="24"/>
          <w:szCs w:val="24"/>
        </w:rPr>
        <w:t xml:space="preserve">this </w:t>
      </w:r>
      <w:r w:rsidR="007A2DDA">
        <w:rPr>
          <w:rFonts w:ascii="Times New Roman" w:eastAsia="Calibri" w:hAnsi="Times New Roman" w:cs="Times New Roman"/>
          <w:color w:val="000000"/>
          <w:sz w:val="24"/>
          <w:szCs w:val="24"/>
        </w:rPr>
        <w:t>construction</w:t>
      </w:r>
      <w:r w:rsidR="00182493">
        <w:rPr>
          <w:rFonts w:ascii="Times New Roman" w:eastAsia="Calibri" w:hAnsi="Times New Roman" w:cs="Times New Roman"/>
          <w:color w:val="000000"/>
          <w:sz w:val="24"/>
          <w:szCs w:val="24"/>
        </w:rPr>
        <w:t xml:space="preserve"> is intended to </w:t>
      </w:r>
      <w:r w:rsidR="00182493" w:rsidRPr="00182493">
        <w:rPr>
          <w:rFonts w:ascii="Times New Roman" w:eastAsia="Calibri" w:hAnsi="Times New Roman" w:cs="Times New Roman"/>
          <w:color w:val="000000"/>
          <w:sz w:val="24"/>
          <w:szCs w:val="24"/>
        </w:rPr>
        <w:t xml:space="preserve">ensure </w:t>
      </w:r>
      <w:r w:rsidR="00182493" w:rsidRPr="00DE135C">
        <w:rPr>
          <w:rFonts w:ascii="Times New Roman" w:eastAsia="Calibri" w:hAnsi="Times New Roman" w:cs="Times New Roman"/>
          <w:color w:val="000000"/>
          <w:sz w:val="24"/>
          <w:szCs w:val="24"/>
        </w:rPr>
        <w:t xml:space="preserve">that </w:t>
      </w:r>
      <w:r w:rsidR="0039110F" w:rsidRPr="00DE135C">
        <w:rPr>
          <w:rFonts w:ascii="Times New Roman" w:eastAsia="Calibri" w:hAnsi="Times New Roman" w:cs="Times New Roman"/>
          <w:color w:val="000000"/>
          <w:sz w:val="24"/>
          <w:szCs w:val="24"/>
        </w:rPr>
        <w:t>licensees only count their commissioned programs towards the new quota where the financial contribution by the licensee or the program supplier is not insignificant. In addition to establishing that the contribution amount as a proportion of the overall production budget was significant, consideration may also be given to whether the contribution was reasonable in the circumstances.</w:t>
      </w:r>
      <w:bookmarkEnd w:id="6"/>
    </w:p>
    <w:p w14:paraId="6FF9753D" w14:textId="08F1B8AE" w:rsidR="00A574E2" w:rsidRDefault="00125CFB" w:rsidP="00560D92">
      <w:pPr>
        <w:spacing w:after="200" w:line="276" w:lineRule="auto"/>
        <w:ind w:left="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w:t>
      </w:r>
      <w:r w:rsidR="00626A43">
        <w:rPr>
          <w:rFonts w:ascii="Times New Roman" w:eastAsia="Calibri" w:hAnsi="Times New Roman" w:cs="Times New Roman"/>
          <w:color w:val="000000"/>
          <w:sz w:val="24"/>
          <w:szCs w:val="24"/>
        </w:rPr>
        <w:t>ew definition</w:t>
      </w:r>
      <w:r>
        <w:rPr>
          <w:rFonts w:ascii="Times New Roman" w:eastAsia="Calibri" w:hAnsi="Times New Roman" w:cs="Times New Roman"/>
          <w:color w:val="000000"/>
          <w:sz w:val="24"/>
          <w:szCs w:val="24"/>
        </w:rPr>
        <w:t>s</w:t>
      </w:r>
      <w:r w:rsidR="00626A43">
        <w:rPr>
          <w:rFonts w:ascii="Times New Roman" w:eastAsia="Calibri" w:hAnsi="Times New Roman" w:cs="Times New Roman"/>
          <w:color w:val="000000"/>
          <w:sz w:val="24"/>
          <w:szCs w:val="24"/>
        </w:rPr>
        <w:t xml:space="preserve"> of </w:t>
      </w:r>
      <w:r w:rsidR="00626A43" w:rsidRPr="00AD685B">
        <w:rPr>
          <w:rFonts w:ascii="Times New Roman" w:eastAsia="Calibri" w:hAnsi="Times New Roman" w:cs="Times New Roman"/>
          <w:i/>
          <w:color w:val="000000"/>
          <w:sz w:val="24"/>
          <w:szCs w:val="24"/>
        </w:rPr>
        <w:t>equivalent metropolitan channel</w:t>
      </w:r>
      <w:r>
        <w:rPr>
          <w:rFonts w:ascii="Times New Roman" w:eastAsia="Calibri" w:hAnsi="Times New Roman" w:cs="Times New Roman"/>
          <w:color w:val="000000"/>
          <w:sz w:val="24"/>
          <w:szCs w:val="24"/>
        </w:rPr>
        <w:t xml:space="preserve">, </w:t>
      </w:r>
      <w:r w:rsidRPr="00AD685B">
        <w:rPr>
          <w:rFonts w:ascii="Times New Roman" w:eastAsia="Calibri" w:hAnsi="Times New Roman" w:cs="Times New Roman"/>
          <w:i/>
          <w:color w:val="000000"/>
          <w:sz w:val="24"/>
          <w:szCs w:val="24"/>
        </w:rPr>
        <w:t>metropolitan commercial television broadcasting licensee</w:t>
      </w:r>
      <w:r>
        <w:rPr>
          <w:rFonts w:ascii="Times New Roman" w:eastAsia="Calibri" w:hAnsi="Times New Roman" w:cs="Times New Roman"/>
          <w:color w:val="000000"/>
          <w:sz w:val="24"/>
          <w:szCs w:val="24"/>
        </w:rPr>
        <w:t xml:space="preserve">, </w:t>
      </w:r>
      <w:r w:rsidRPr="00AD685B">
        <w:rPr>
          <w:rFonts w:ascii="Times New Roman" w:eastAsia="Calibri" w:hAnsi="Times New Roman" w:cs="Times New Roman"/>
          <w:i/>
          <w:color w:val="000000"/>
          <w:sz w:val="24"/>
          <w:szCs w:val="24"/>
        </w:rPr>
        <w:t>metropolitan licence area, regional/remote commercial television broadcasting licensee</w:t>
      </w:r>
      <w:r w:rsidR="005C388F">
        <w:rPr>
          <w:rFonts w:ascii="Times New Roman" w:eastAsia="Calibri" w:hAnsi="Times New Roman" w:cs="Times New Roman"/>
          <w:i/>
          <w:color w:val="000000"/>
          <w:sz w:val="24"/>
          <w:szCs w:val="24"/>
        </w:rPr>
        <w:t>,</w:t>
      </w:r>
      <w:r w:rsidRPr="00AD685B">
        <w:rPr>
          <w:rFonts w:ascii="Times New Roman" w:eastAsia="Calibri" w:hAnsi="Times New Roman" w:cs="Times New Roman"/>
          <w:i/>
          <w:color w:val="000000"/>
          <w:sz w:val="24"/>
          <w:szCs w:val="24"/>
        </w:rPr>
        <w:t xml:space="preserve"> regional/remote licence area</w:t>
      </w:r>
      <w:r w:rsidR="00626A43" w:rsidRPr="00125CFB">
        <w:rPr>
          <w:rFonts w:ascii="Times New Roman" w:eastAsia="Calibri" w:hAnsi="Times New Roman" w:cs="Times New Roman"/>
          <w:color w:val="000000"/>
          <w:sz w:val="24"/>
          <w:szCs w:val="24"/>
        </w:rPr>
        <w:t xml:space="preserve"> </w:t>
      </w:r>
      <w:r w:rsidR="005C388F">
        <w:rPr>
          <w:rFonts w:ascii="Times New Roman" w:eastAsia="Calibri" w:hAnsi="Times New Roman" w:cs="Times New Roman"/>
          <w:color w:val="000000"/>
          <w:sz w:val="24"/>
          <w:szCs w:val="24"/>
        </w:rPr>
        <w:t xml:space="preserve">and </w:t>
      </w:r>
      <w:r w:rsidR="005C388F">
        <w:rPr>
          <w:rFonts w:ascii="Times New Roman" w:eastAsia="Calibri" w:hAnsi="Times New Roman" w:cs="Times New Roman"/>
          <w:i/>
          <w:color w:val="000000"/>
          <w:sz w:val="24"/>
          <w:szCs w:val="24"/>
        </w:rPr>
        <w:t>relevant regional channel</w:t>
      </w:r>
      <w:r w:rsidR="005C388F">
        <w:rPr>
          <w:rFonts w:ascii="Times New Roman" w:eastAsia="Calibri" w:hAnsi="Times New Roman" w:cs="Times New Roman"/>
          <w:color w:val="000000"/>
          <w:sz w:val="24"/>
          <w:szCs w:val="24"/>
        </w:rPr>
        <w:t xml:space="preserve"> </w:t>
      </w:r>
      <w:r w:rsidR="00DC3B22">
        <w:rPr>
          <w:rFonts w:ascii="Times New Roman" w:eastAsia="Calibri" w:hAnsi="Times New Roman" w:cs="Times New Roman"/>
          <w:color w:val="000000"/>
          <w:sz w:val="24"/>
          <w:szCs w:val="24"/>
        </w:rPr>
        <w:t>are</w:t>
      </w:r>
      <w:r w:rsidR="00626A43">
        <w:rPr>
          <w:rFonts w:ascii="Times New Roman" w:eastAsia="Calibri" w:hAnsi="Times New Roman" w:cs="Times New Roman"/>
          <w:color w:val="000000"/>
          <w:sz w:val="24"/>
          <w:szCs w:val="24"/>
        </w:rPr>
        <w:t xml:space="preserve"> included. Th</w:t>
      </w:r>
      <w:r>
        <w:rPr>
          <w:rFonts w:ascii="Times New Roman" w:eastAsia="Calibri" w:hAnsi="Times New Roman" w:cs="Times New Roman"/>
          <w:color w:val="000000"/>
          <w:sz w:val="24"/>
          <w:szCs w:val="24"/>
        </w:rPr>
        <w:t>e</w:t>
      </w:r>
      <w:r w:rsidR="00626A43">
        <w:rPr>
          <w:rFonts w:ascii="Times New Roman" w:eastAsia="Calibri" w:hAnsi="Times New Roman" w:cs="Times New Roman"/>
          <w:color w:val="000000"/>
          <w:sz w:val="24"/>
          <w:szCs w:val="24"/>
        </w:rPr>
        <w:t>s</w:t>
      </w:r>
      <w:r>
        <w:rPr>
          <w:rFonts w:ascii="Times New Roman" w:eastAsia="Calibri" w:hAnsi="Times New Roman" w:cs="Times New Roman"/>
          <w:color w:val="000000"/>
          <w:sz w:val="24"/>
          <w:szCs w:val="24"/>
        </w:rPr>
        <w:t>e</w:t>
      </w:r>
      <w:r w:rsidR="00626A43">
        <w:rPr>
          <w:rFonts w:ascii="Times New Roman" w:eastAsia="Calibri" w:hAnsi="Times New Roman" w:cs="Times New Roman"/>
          <w:color w:val="000000"/>
          <w:sz w:val="24"/>
          <w:szCs w:val="24"/>
        </w:rPr>
        <w:t xml:space="preserve"> definition</w:t>
      </w:r>
      <w:r>
        <w:rPr>
          <w:rFonts w:ascii="Times New Roman" w:eastAsia="Calibri" w:hAnsi="Times New Roman" w:cs="Times New Roman"/>
          <w:color w:val="000000"/>
          <w:sz w:val="24"/>
          <w:szCs w:val="24"/>
        </w:rPr>
        <w:t>s</w:t>
      </w:r>
      <w:r w:rsidR="00626A4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are</w:t>
      </w:r>
      <w:r w:rsidR="00626A43">
        <w:rPr>
          <w:rFonts w:ascii="Times New Roman" w:eastAsia="Calibri" w:hAnsi="Times New Roman" w:cs="Times New Roman"/>
          <w:color w:val="000000"/>
          <w:sz w:val="24"/>
          <w:szCs w:val="24"/>
        </w:rPr>
        <w:t xml:space="preserve"> relevant to the requirement in </w:t>
      </w:r>
      <w:r w:rsidR="004B1601">
        <w:rPr>
          <w:rFonts w:ascii="Times New Roman" w:eastAsia="Calibri" w:hAnsi="Times New Roman" w:cs="Times New Roman"/>
          <w:color w:val="000000"/>
          <w:sz w:val="24"/>
          <w:szCs w:val="24"/>
        </w:rPr>
        <w:t xml:space="preserve">paragraph 6(2)(k) of </w:t>
      </w:r>
      <w:r w:rsidR="00626A43">
        <w:rPr>
          <w:rFonts w:ascii="Times New Roman" w:eastAsia="Calibri" w:hAnsi="Times New Roman" w:cs="Times New Roman"/>
          <w:color w:val="000000"/>
          <w:sz w:val="24"/>
          <w:szCs w:val="24"/>
        </w:rPr>
        <w:t xml:space="preserve">the </w:t>
      </w:r>
      <w:r w:rsidR="00626A43">
        <w:rPr>
          <w:rFonts w:ascii="Times New Roman" w:eastAsia="Calibri" w:hAnsi="Times New Roman" w:cs="Times New Roman"/>
          <w:color w:val="000000"/>
          <w:sz w:val="24"/>
          <w:szCs w:val="24"/>
        </w:rPr>
        <w:lastRenderedPageBreak/>
        <w:t>Direction</w:t>
      </w:r>
      <w:r w:rsidR="000975AE">
        <w:rPr>
          <w:rFonts w:ascii="Times New Roman" w:eastAsia="Calibri" w:hAnsi="Times New Roman" w:cs="Times New Roman"/>
          <w:color w:val="000000"/>
          <w:sz w:val="24"/>
          <w:szCs w:val="24"/>
        </w:rPr>
        <w:t>. Under paragraph</w:t>
      </w:r>
      <w:r w:rsidR="00607177">
        <w:rPr>
          <w:rFonts w:ascii="Times New Roman" w:eastAsia="Calibri" w:hAnsi="Times New Roman" w:cs="Times New Roman"/>
          <w:color w:val="000000"/>
          <w:sz w:val="24"/>
          <w:szCs w:val="24"/>
        </w:rPr>
        <w:t xml:space="preserve"> 6(2)(k) of the Direction</w:t>
      </w:r>
      <w:r w:rsidR="000975AE">
        <w:rPr>
          <w:rFonts w:ascii="Times New Roman" w:eastAsia="Calibri" w:hAnsi="Times New Roman" w:cs="Times New Roman"/>
          <w:color w:val="000000"/>
          <w:sz w:val="24"/>
          <w:szCs w:val="24"/>
        </w:rPr>
        <w:t xml:space="preserve">, the obligations of the new quota </w:t>
      </w:r>
      <w:r w:rsidR="00607177">
        <w:rPr>
          <w:rFonts w:ascii="Times New Roman" w:eastAsia="Calibri" w:hAnsi="Times New Roman" w:cs="Times New Roman"/>
          <w:color w:val="000000"/>
          <w:sz w:val="24"/>
          <w:szCs w:val="24"/>
        </w:rPr>
        <w:t xml:space="preserve">to be created by the ACMA will be </w:t>
      </w:r>
      <w:r w:rsidR="000975AE">
        <w:rPr>
          <w:rFonts w:ascii="Times New Roman" w:eastAsia="Calibri" w:hAnsi="Times New Roman" w:cs="Times New Roman"/>
          <w:color w:val="000000"/>
          <w:sz w:val="24"/>
          <w:szCs w:val="24"/>
        </w:rPr>
        <w:t xml:space="preserve">deemed to have been </w:t>
      </w:r>
      <w:r w:rsidR="00626A43" w:rsidRPr="00626A43">
        <w:rPr>
          <w:rFonts w:ascii="Times New Roman" w:eastAsia="Calibri" w:hAnsi="Times New Roman" w:cs="Times New Roman"/>
          <w:color w:val="000000"/>
          <w:sz w:val="24"/>
          <w:szCs w:val="24"/>
        </w:rPr>
        <w:t xml:space="preserve">complied with by a regional/remote commercial television broadcasting licensee </w:t>
      </w:r>
      <w:r w:rsidR="002D20A8" w:rsidRPr="000B48B1">
        <w:rPr>
          <w:rFonts w:ascii="Times New Roman" w:eastAsia="Calibri" w:hAnsi="Times New Roman" w:cs="Times New Roman"/>
          <w:color w:val="000000"/>
          <w:sz w:val="24"/>
          <w:szCs w:val="24"/>
        </w:rPr>
        <w:t>if the amount of first release Australian programs broadcast by the licensee in a given calendar year</w:t>
      </w:r>
      <w:r w:rsidR="009F535D">
        <w:rPr>
          <w:rFonts w:ascii="Times New Roman" w:eastAsia="Calibri" w:hAnsi="Times New Roman" w:cs="Times New Roman"/>
          <w:color w:val="000000"/>
          <w:sz w:val="24"/>
          <w:szCs w:val="24"/>
        </w:rPr>
        <w:t xml:space="preserve"> on the relevant regional channel</w:t>
      </w:r>
      <w:r w:rsidR="002D20A8" w:rsidRPr="000B48B1">
        <w:rPr>
          <w:rFonts w:ascii="Times New Roman" w:eastAsia="Calibri" w:hAnsi="Times New Roman" w:cs="Times New Roman"/>
          <w:color w:val="000000"/>
          <w:sz w:val="24"/>
          <w:szCs w:val="24"/>
        </w:rPr>
        <w:t xml:space="preserve"> is not less than the amount broadcast by a metropolitan commercial television broadcasting licensee on the equivalent metropolitan channel during the same year</w:t>
      </w:r>
      <w:r w:rsidR="00800573">
        <w:rPr>
          <w:rFonts w:ascii="Times New Roman" w:eastAsia="Calibri" w:hAnsi="Times New Roman" w:cs="Times New Roman"/>
          <w:color w:val="000000"/>
          <w:sz w:val="24"/>
          <w:szCs w:val="24"/>
        </w:rPr>
        <w:t>.</w:t>
      </w:r>
      <w:r w:rsidR="009F535D">
        <w:rPr>
          <w:rFonts w:ascii="Times New Roman" w:eastAsia="Calibri" w:hAnsi="Times New Roman" w:cs="Times New Roman"/>
          <w:color w:val="000000"/>
          <w:sz w:val="24"/>
          <w:szCs w:val="24"/>
        </w:rPr>
        <w:t xml:space="preserve"> </w:t>
      </w:r>
    </w:p>
    <w:p w14:paraId="0C292289" w14:textId="5334CCE7" w:rsidR="002D20A8" w:rsidRDefault="009F535D" w:rsidP="00560D92">
      <w:pPr>
        <w:spacing w:after="200" w:line="276" w:lineRule="auto"/>
        <w:ind w:left="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Relevantly, the definition of </w:t>
      </w:r>
      <w:r w:rsidRPr="00F03F96">
        <w:rPr>
          <w:rFonts w:ascii="Times New Roman" w:eastAsia="Calibri" w:hAnsi="Times New Roman" w:cs="Times New Roman"/>
          <w:i/>
          <w:color w:val="000000"/>
          <w:sz w:val="24"/>
          <w:szCs w:val="24"/>
        </w:rPr>
        <w:t>equivalent metropolitan channel</w:t>
      </w:r>
      <w:r>
        <w:rPr>
          <w:rFonts w:ascii="Times New Roman" w:eastAsia="Calibri" w:hAnsi="Times New Roman" w:cs="Times New Roman"/>
          <w:color w:val="000000"/>
          <w:sz w:val="24"/>
          <w:szCs w:val="24"/>
        </w:rPr>
        <w:t xml:space="preserve"> </w:t>
      </w:r>
      <w:r w:rsidR="00607177">
        <w:rPr>
          <w:rFonts w:ascii="Times New Roman" w:eastAsia="Calibri" w:hAnsi="Times New Roman" w:cs="Times New Roman"/>
          <w:color w:val="000000"/>
          <w:sz w:val="24"/>
          <w:szCs w:val="24"/>
        </w:rPr>
        <w:t xml:space="preserve">is central to </w:t>
      </w:r>
      <w:r>
        <w:rPr>
          <w:rFonts w:ascii="Times New Roman" w:eastAsia="Calibri" w:hAnsi="Times New Roman" w:cs="Times New Roman"/>
          <w:color w:val="000000"/>
          <w:sz w:val="24"/>
          <w:szCs w:val="24"/>
        </w:rPr>
        <w:t>the circumstances in which th</w:t>
      </w:r>
      <w:r w:rsidR="00607177">
        <w:rPr>
          <w:rFonts w:ascii="Times New Roman" w:eastAsia="Calibri" w:hAnsi="Times New Roman" w:cs="Times New Roman"/>
          <w:color w:val="000000"/>
          <w:sz w:val="24"/>
          <w:szCs w:val="24"/>
        </w:rPr>
        <w:t>e</w:t>
      </w:r>
      <w:r>
        <w:rPr>
          <w:rFonts w:ascii="Times New Roman" w:eastAsia="Calibri" w:hAnsi="Times New Roman" w:cs="Times New Roman"/>
          <w:color w:val="000000"/>
          <w:sz w:val="24"/>
          <w:szCs w:val="24"/>
        </w:rPr>
        <w:t xml:space="preserve"> deeming provision </w:t>
      </w:r>
      <w:r w:rsidR="00340D6E">
        <w:rPr>
          <w:rFonts w:ascii="Times New Roman" w:eastAsia="Calibri" w:hAnsi="Times New Roman" w:cs="Times New Roman"/>
          <w:color w:val="000000"/>
          <w:sz w:val="24"/>
          <w:szCs w:val="24"/>
        </w:rPr>
        <w:t>is to</w:t>
      </w:r>
      <w:r>
        <w:rPr>
          <w:rFonts w:ascii="Times New Roman" w:eastAsia="Calibri" w:hAnsi="Times New Roman" w:cs="Times New Roman"/>
          <w:color w:val="000000"/>
          <w:sz w:val="24"/>
          <w:szCs w:val="24"/>
        </w:rPr>
        <w:t xml:space="preserve"> have effect. An equivalent metropolitan channel, in relation to a relevant regional channel, is one that: is broadcast by a metropolitan commercial television broadcasting licensee; is the subject of an affiliation agreement between the metropolitan and the regional/remote commercial television broadcasting licensee; and (by reason of that agreement) contains program content that is the same, or substantially the same, as the relevant regional channel</w:t>
      </w:r>
      <w:r w:rsidR="00607177">
        <w:rPr>
          <w:rFonts w:ascii="Times New Roman" w:eastAsia="Calibri" w:hAnsi="Times New Roman" w:cs="Times New Roman"/>
          <w:color w:val="000000"/>
          <w:sz w:val="24"/>
          <w:szCs w:val="24"/>
        </w:rPr>
        <w:t xml:space="preserve">. The </w:t>
      </w:r>
      <w:r w:rsidR="00BE16E7" w:rsidRPr="00F03F96">
        <w:rPr>
          <w:rFonts w:ascii="Times New Roman" w:eastAsia="Calibri" w:hAnsi="Times New Roman" w:cs="Times New Roman"/>
          <w:i/>
          <w:color w:val="000000"/>
          <w:sz w:val="24"/>
          <w:szCs w:val="24"/>
        </w:rPr>
        <w:t>relevant regional channel</w:t>
      </w:r>
      <w:r w:rsidR="00BE16E7">
        <w:rPr>
          <w:rFonts w:ascii="Times New Roman" w:eastAsia="Calibri" w:hAnsi="Times New Roman" w:cs="Times New Roman"/>
          <w:color w:val="000000"/>
          <w:sz w:val="24"/>
          <w:szCs w:val="24"/>
        </w:rPr>
        <w:t xml:space="preserve"> is defined to mean the channel </w:t>
      </w:r>
      <w:r w:rsidR="00607177" w:rsidRPr="00607177">
        <w:rPr>
          <w:rFonts w:ascii="Times New Roman" w:eastAsia="Calibri" w:hAnsi="Times New Roman" w:cs="Times New Roman"/>
          <w:color w:val="000000"/>
          <w:sz w:val="24"/>
          <w:szCs w:val="24"/>
        </w:rPr>
        <w:t xml:space="preserve">broadcast by </w:t>
      </w:r>
      <w:r w:rsidR="00607177">
        <w:rPr>
          <w:rFonts w:ascii="Times New Roman" w:eastAsia="Calibri" w:hAnsi="Times New Roman" w:cs="Times New Roman"/>
          <w:color w:val="000000"/>
          <w:sz w:val="24"/>
          <w:szCs w:val="24"/>
        </w:rPr>
        <w:t xml:space="preserve">the </w:t>
      </w:r>
      <w:r w:rsidR="00607177" w:rsidRPr="00607177">
        <w:rPr>
          <w:rFonts w:ascii="Times New Roman" w:eastAsia="Calibri" w:hAnsi="Times New Roman" w:cs="Times New Roman"/>
          <w:color w:val="000000"/>
          <w:sz w:val="24"/>
          <w:szCs w:val="24"/>
        </w:rPr>
        <w:t>regional/remote commercial television broadcasting licensee</w:t>
      </w:r>
      <w:r>
        <w:rPr>
          <w:rFonts w:ascii="Times New Roman" w:eastAsia="Calibri" w:hAnsi="Times New Roman" w:cs="Times New Roman"/>
          <w:color w:val="000000"/>
          <w:sz w:val="24"/>
          <w:szCs w:val="24"/>
        </w:rPr>
        <w:t xml:space="preserve">.    </w:t>
      </w:r>
    </w:p>
    <w:p w14:paraId="19B16699" w14:textId="77777777" w:rsidR="00B6577F" w:rsidRDefault="003E1E98" w:rsidP="00EB212C">
      <w:pPr>
        <w:autoSpaceDE w:val="0"/>
        <w:autoSpaceDN w:val="0"/>
        <w:spacing w:after="200" w:line="276" w:lineRule="auto"/>
        <w:ind w:left="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 definition of </w:t>
      </w:r>
      <w:r>
        <w:rPr>
          <w:rFonts w:ascii="Times New Roman" w:eastAsia="Calibri" w:hAnsi="Times New Roman" w:cs="Times New Roman"/>
          <w:i/>
          <w:color w:val="000000"/>
          <w:sz w:val="24"/>
          <w:szCs w:val="24"/>
        </w:rPr>
        <w:t>film</w:t>
      </w:r>
      <w:r>
        <w:rPr>
          <w:rFonts w:ascii="Times New Roman" w:eastAsia="Calibri" w:hAnsi="Times New Roman" w:cs="Times New Roman"/>
          <w:color w:val="000000"/>
          <w:sz w:val="24"/>
          <w:szCs w:val="24"/>
        </w:rPr>
        <w:t xml:space="preserve"> is provided to replace the references to ‘feature film’ in the current ACS. </w:t>
      </w:r>
      <w:r w:rsidR="00D344E9">
        <w:rPr>
          <w:rFonts w:ascii="Times New Roman" w:eastAsia="Calibri" w:hAnsi="Times New Roman" w:cs="Times New Roman"/>
          <w:color w:val="000000"/>
          <w:sz w:val="24"/>
          <w:szCs w:val="24"/>
        </w:rPr>
        <w:t>This</w:t>
      </w:r>
      <w:r>
        <w:rPr>
          <w:rFonts w:ascii="Times New Roman" w:eastAsia="Calibri" w:hAnsi="Times New Roman" w:cs="Times New Roman"/>
          <w:color w:val="000000"/>
          <w:sz w:val="24"/>
          <w:szCs w:val="24"/>
        </w:rPr>
        <w:t xml:space="preserve"> definition of film will </w:t>
      </w:r>
      <w:r w:rsidR="00D344E9">
        <w:rPr>
          <w:rFonts w:ascii="Times New Roman" w:eastAsia="Calibri" w:hAnsi="Times New Roman" w:cs="Times New Roman"/>
          <w:color w:val="000000"/>
          <w:sz w:val="24"/>
          <w:szCs w:val="24"/>
        </w:rPr>
        <w:t xml:space="preserve">be able to </w:t>
      </w:r>
      <w:r>
        <w:rPr>
          <w:rFonts w:ascii="Times New Roman" w:eastAsia="Calibri" w:hAnsi="Times New Roman" w:cs="Times New Roman"/>
          <w:color w:val="000000"/>
          <w:sz w:val="24"/>
          <w:szCs w:val="24"/>
        </w:rPr>
        <w:t>extend to films that are not released in cinemas, such as films released online on-demand or on streaming video services</w:t>
      </w:r>
      <w:r w:rsidR="003E0D98">
        <w:rPr>
          <w:rFonts w:ascii="Times New Roman" w:eastAsia="Calibri" w:hAnsi="Times New Roman" w:cs="Times New Roman"/>
          <w:color w:val="000000"/>
          <w:sz w:val="24"/>
          <w:szCs w:val="24"/>
        </w:rPr>
        <w:t xml:space="preserve"> as well as tele</w:t>
      </w:r>
      <w:r w:rsidR="003F79C5">
        <w:rPr>
          <w:rFonts w:ascii="Times New Roman" w:eastAsia="Calibri" w:hAnsi="Times New Roman" w:cs="Times New Roman"/>
          <w:color w:val="000000"/>
          <w:sz w:val="24"/>
          <w:szCs w:val="24"/>
        </w:rPr>
        <w:noBreakHyphen/>
      </w:r>
      <w:r w:rsidR="003E0D98">
        <w:rPr>
          <w:rFonts w:ascii="Times New Roman" w:eastAsia="Calibri" w:hAnsi="Times New Roman" w:cs="Times New Roman"/>
          <w:color w:val="000000"/>
          <w:sz w:val="24"/>
          <w:szCs w:val="24"/>
        </w:rPr>
        <w:t>movies</w:t>
      </w:r>
      <w:r>
        <w:rPr>
          <w:rFonts w:ascii="Times New Roman" w:eastAsia="Calibri" w:hAnsi="Times New Roman" w:cs="Times New Roman"/>
          <w:color w:val="000000"/>
          <w:sz w:val="24"/>
          <w:szCs w:val="24"/>
        </w:rPr>
        <w:t xml:space="preserve">. The definition includes scripted films and documentary films but excludes </w:t>
      </w:r>
      <w:r w:rsidR="00367C91">
        <w:rPr>
          <w:rFonts w:ascii="Times New Roman" w:eastAsia="Calibri" w:hAnsi="Times New Roman" w:cs="Times New Roman"/>
          <w:color w:val="000000"/>
          <w:sz w:val="24"/>
          <w:szCs w:val="24"/>
        </w:rPr>
        <w:t xml:space="preserve">a </w:t>
      </w:r>
      <w:r>
        <w:rPr>
          <w:rFonts w:ascii="Times New Roman" w:eastAsia="Calibri" w:hAnsi="Times New Roman" w:cs="Times New Roman"/>
          <w:color w:val="000000"/>
          <w:sz w:val="24"/>
          <w:szCs w:val="24"/>
        </w:rPr>
        <w:t xml:space="preserve">program that </w:t>
      </w:r>
      <w:r w:rsidR="00367C91">
        <w:rPr>
          <w:rFonts w:ascii="Times New Roman" w:eastAsia="Calibri" w:hAnsi="Times New Roman" w:cs="Times New Roman"/>
          <w:color w:val="000000"/>
          <w:sz w:val="24"/>
          <w:szCs w:val="24"/>
        </w:rPr>
        <w:t>is</w:t>
      </w:r>
      <w:r>
        <w:rPr>
          <w:rFonts w:ascii="Times New Roman" w:eastAsia="Calibri" w:hAnsi="Times New Roman" w:cs="Times New Roman"/>
          <w:color w:val="000000"/>
          <w:sz w:val="24"/>
          <w:szCs w:val="24"/>
        </w:rPr>
        <w:t xml:space="preserve"> </w:t>
      </w:r>
      <w:r w:rsidR="003F79C5">
        <w:rPr>
          <w:rFonts w:ascii="Times New Roman" w:eastAsia="Calibri" w:hAnsi="Times New Roman" w:cs="Times New Roman"/>
          <w:color w:val="000000"/>
          <w:sz w:val="24"/>
          <w:szCs w:val="24"/>
        </w:rPr>
        <w:t xml:space="preserve">not </w:t>
      </w:r>
      <w:r>
        <w:rPr>
          <w:rFonts w:ascii="Times New Roman" w:eastAsia="Calibri" w:hAnsi="Times New Roman" w:cs="Times New Roman"/>
          <w:color w:val="000000"/>
          <w:sz w:val="24"/>
          <w:szCs w:val="24"/>
        </w:rPr>
        <w:t xml:space="preserve">stand-alone, </w:t>
      </w:r>
      <w:r w:rsidR="003F79C5">
        <w:rPr>
          <w:rFonts w:ascii="Times New Roman" w:eastAsia="Calibri" w:hAnsi="Times New Roman" w:cs="Times New Roman"/>
          <w:color w:val="000000"/>
          <w:sz w:val="24"/>
          <w:szCs w:val="24"/>
        </w:rPr>
        <w:t xml:space="preserve">or a program that is </w:t>
      </w:r>
      <w:r>
        <w:rPr>
          <w:rFonts w:ascii="Times New Roman" w:eastAsia="Calibri" w:hAnsi="Times New Roman" w:cs="Times New Roman"/>
          <w:color w:val="000000"/>
          <w:sz w:val="24"/>
          <w:szCs w:val="24"/>
        </w:rPr>
        <w:t xml:space="preserve">part of a series, serial or mini-series or a pilot. </w:t>
      </w:r>
    </w:p>
    <w:p w14:paraId="6F60B265" w14:textId="2590B432" w:rsidR="00560D92" w:rsidRPr="00EB212C" w:rsidRDefault="00560D92" w:rsidP="00EB212C">
      <w:pPr>
        <w:autoSpaceDE w:val="0"/>
        <w:autoSpaceDN w:val="0"/>
        <w:spacing w:after="200" w:line="276" w:lineRule="auto"/>
        <w:ind w:left="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The definition of </w:t>
      </w:r>
      <w:r w:rsidRPr="00AD685B">
        <w:rPr>
          <w:rFonts w:ascii="Times New Roman" w:eastAsia="Calibri" w:hAnsi="Times New Roman" w:cs="Times New Roman"/>
          <w:i/>
          <w:color w:val="000000"/>
          <w:sz w:val="24"/>
          <w:szCs w:val="24"/>
        </w:rPr>
        <w:t>first release</w:t>
      </w:r>
      <w:r>
        <w:rPr>
          <w:rFonts w:ascii="Times New Roman" w:eastAsia="Calibri" w:hAnsi="Times New Roman" w:cs="Times New Roman"/>
          <w:color w:val="000000"/>
          <w:sz w:val="24"/>
          <w:szCs w:val="24"/>
        </w:rPr>
        <w:t xml:space="preserve"> in the current ACS is amended to provide that a program </w:t>
      </w:r>
      <w:r w:rsidR="00486A92">
        <w:rPr>
          <w:rFonts w:ascii="Times New Roman" w:eastAsia="Calibri" w:hAnsi="Times New Roman" w:cs="Times New Roman"/>
          <w:color w:val="000000"/>
          <w:sz w:val="24"/>
          <w:szCs w:val="24"/>
        </w:rPr>
        <w:t xml:space="preserve">(including a program </w:t>
      </w:r>
      <w:r>
        <w:rPr>
          <w:rFonts w:ascii="Times New Roman" w:eastAsia="Calibri" w:hAnsi="Times New Roman" w:cs="Times New Roman"/>
          <w:color w:val="000000"/>
          <w:sz w:val="24"/>
          <w:szCs w:val="24"/>
        </w:rPr>
        <w:t>that has been previously broadcas</w:t>
      </w:r>
      <w:r w:rsidR="00486A92">
        <w:rPr>
          <w:rFonts w:ascii="Times New Roman" w:eastAsia="Calibri" w:hAnsi="Times New Roman" w:cs="Times New Roman"/>
          <w:color w:val="000000"/>
          <w:sz w:val="24"/>
          <w:szCs w:val="24"/>
        </w:rPr>
        <w:t xml:space="preserve">t by a subscription </w:t>
      </w:r>
      <w:r w:rsidR="00AE4A02">
        <w:rPr>
          <w:rFonts w:ascii="Times New Roman" w:eastAsia="Calibri" w:hAnsi="Times New Roman" w:cs="Times New Roman"/>
          <w:color w:val="000000"/>
          <w:sz w:val="24"/>
          <w:szCs w:val="24"/>
        </w:rPr>
        <w:t xml:space="preserve">television </w:t>
      </w:r>
      <w:r w:rsidR="00486A92">
        <w:rPr>
          <w:rFonts w:ascii="Times New Roman" w:eastAsia="Calibri" w:hAnsi="Times New Roman" w:cs="Times New Roman"/>
          <w:color w:val="000000"/>
          <w:sz w:val="24"/>
          <w:szCs w:val="24"/>
        </w:rPr>
        <w:t xml:space="preserve">broadcaster) </w:t>
      </w:r>
      <w:r>
        <w:rPr>
          <w:rFonts w:ascii="Times New Roman" w:eastAsia="Calibri" w:hAnsi="Times New Roman" w:cs="Times New Roman"/>
          <w:color w:val="000000"/>
          <w:sz w:val="24"/>
          <w:szCs w:val="24"/>
        </w:rPr>
        <w:t>can be used to acquit the new quota if it is broadcast within 2 years of co</w:t>
      </w:r>
      <w:r w:rsidR="00486A92">
        <w:rPr>
          <w:rFonts w:ascii="Times New Roman" w:eastAsia="Calibri" w:hAnsi="Times New Roman" w:cs="Times New Roman"/>
          <w:color w:val="000000"/>
          <w:sz w:val="24"/>
          <w:szCs w:val="24"/>
        </w:rPr>
        <w:t>mpletion of the program</w:t>
      </w:r>
      <w:r w:rsidR="00AE4A02">
        <w:rPr>
          <w:rFonts w:ascii="Times New Roman" w:eastAsia="Calibri" w:hAnsi="Times New Roman" w:cs="Times New Roman"/>
          <w:color w:val="000000"/>
          <w:sz w:val="24"/>
          <w:szCs w:val="24"/>
        </w:rPr>
        <w:t xml:space="preserve"> production</w:t>
      </w:r>
      <w:r w:rsidR="00486A92">
        <w:rPr>
          <w:rFonts w:ascii="Times New Roman" w:eastAsia="Calibri" w:hAnsi="Times New Roman" w:cs="Times New Roman"/>
          <w:color w:val="000000"/>
          <w:sz w:val="24"/>
          <w:szCs w:val="24"/>
        </w:rPr>
        <w:t xml:space="preserve">. </w:t>
      </w:r>
      <w:bookmarkStart w:id="7" w:name="_Hlk54857247"/>
      <w:r w:rsidR="00B61D98">
        <w:rPr>
          <w:rFonts w:ascii="Times New Roman" w:eastAsia="Calibri" w:hAnsi="Times New Roman" w:cs="Times New Roman"/>
          <w:color w:val="000000"/>
          <w:sz w:val="24"/>
          <w:szCs w:val="24"/>
        </w:rPr>
        <w:t xml:space="preserve">The </w:t>
      </w:r>
      <w:r w:rsidR="00B6577F">
        <w:rPr>
          <w:rFonts w:ascii="Times New Roman" w:eastAsia="Calibri" w:hAnsi="Times New Roman" w:cs="Times New Roman"/>
          <w:color w:val="000000"/>
          <w:sz w:val="24"/>
          <w:szCs w:val="24"/>
        </w:rPr>
        <w:t xml:space="preserve">note to the </w:t>
      </w:r>
      <w:r w:rsidR="00B61D98">
        <w:rPr>
          <w:rFonts w:ascii="Times New Roman" w:eastAsia="Calibri" w:hAnsi="Times New Roman" w:cs="Times New Roman"/>
          <w:color w:val="000000"/>
          <w:sz w:val="24"/>
          <w:szCs w:val="24"/>
        </w:rPr>
        <w:t>definition</w:t>
      </w:r>
      <w:r w:rsidR="00B6577F">
        <w:rPr>
          <w:rFonts w:ascii="Times New Roman" w:eastAsia="Calibri" w:hAnsi="Times New Roman" w:cs="Times New Roman"/>
          <w:color w:val="000000"/>
          <w:sz w:val="24"/>
          <w:szCs w:val="24"/>
        </w:rPr>
        <w:t xml:space="preserve"> confirms </w:t>
      </w:r>
      <w:r w:rsidR="00C47D41">
        <w:rPr>
          <w:rFonts w:ascii="Times New Roman" w:eastAsia="Calibri" w:hAnsi="Times New Roman" w:cs="Times New Roman"/>
          <w:color w:val="000000"/>
          <w:sz w:val="24"/>
          <w:szCs w:val="24"/>
        </w:rPr>
        <w:t>that the definition</w:t>
      </w:r>
      <w:r w:rsidR="00B61D98">
        <w:rPr>
          <w:rFonts w:ascii="Times New Roman" w:eastAsia="Calibri" w:hAnsi="Times New Roman" w:cs="Times New Roman"/>
          <w:color w:val="000000"/>
          <w:sz w:val="24"/>
          <w:szCs w:val="24"/>
        </w:rPr>
        <w:t xml:space="preserve"> does not prevent a program from b</w:t>
      </w:r>
      <w:r w:rsidR="00486A92">
        <w:rPr>
          <w:rFonts w:ascii="Times New Roman" w:eastAsia="Calibri" w:hAnsi="Times New Roman" w:cs="Times New Roman"/>
          <w:color w:val="000000"/>
          <w:sz w:val="24"/>
          <w:szCs w:val="24"/>
        </w:rPr>
        <w:t>eing defined as first release if</w:t>
      </w:r>
      <w:r w:rsidR="00B61D98">
        <w:rPr>
          <w:rFonts w:ascii="Times New Roman" w:eastAsia="Calibri" w:hAnsi="Times New Roman" w:cs="Times New Roman"/>
          <w:color w:val="000000"/>
          <w:sz w:val="24"/>
          <w:szCs w:val="24"/>
        </w:rPr>
        <w:t xml:space="preserve"> i</w:t>
      </w:r>
      <w:r w:rsidR="00214773">
        <w:rPr>
          <w:rFonts w:ascii="Times New Roman" w:eastAsia="Calibri" w:hAnsi="Times New Roman" w:cs="Times New Roman"/>
          <w:color w:val="000000"/>
          <w:sz w:val="24"/>
          <w:szCs w:val="24"/>
        </w:rPr>
        <w:t>t</w:t>
      </w:r>
      <w:r w:rsidR="00B61D98">
        <w:rPr>
          <w:rFonts w:ascii="Times New Roman" w:eastAsia="Calibri" w:hAnsi="Times New Roman" w:cs="Times New Roman"/>
          <w:color w:val="000000"/>
          <w:sz w:val="24"/>
          <w:szCs w:val="24"/>
        </w:rPr>
        <w:t xml:space="preserve"> has </w:t>
      </w:r>
      <w:r w:rsidR="00551CDD">
        <w:rPr>
          <w:rFonts w:ascii="Times New Roman" w:eastAsia="Calibri" w:hAnsi="Times New Roman" w:cs="Times New Roman"/>
          <w:color w:val="000000"/>
          <w:sz w:val="24"/>
          <w:szCs w:val="24"/>
        </w:rPr>
        <w:t xml:space="preserve">already </w:t>
      </w:r>
      <w:r w:rsidR="00B61D98">
        <w:rPr>
          <w:rFonts w:ascii="Times New Roman" w:eastAsia="Calibri" w:hAnsi="Times New Roman" w:cs="Times New Roman"/>
          <w:color w:val="000000"/>
          <w:sz w:val="24"/>
          <w:szCs w:val="24"/>
        </w:rPr>
        <w:t xml:space="preserve">been </w:t>
      </w:r>
      <w:r w:rsidR="00551CDD">
        <w:rPr>
          <w:rFonts w:ascii="Times New Roman" w:eastAsia="Calibri" w:hAnsi="Times New Roman" w:cs="Times New Roman"/>
          <w:color w:val="000000"/>
          <w:sz w:val="24"/>
          <w:szCs w:val="24"/>
        </w:rPr>
        <w:t xml:space="preserve">made available </w:t>
      </w:r>
      <w:r w:rsidR="00B61D98">
        <w:rPr>
          <w:rFonts w:ascii="Times New Roman" w:eastAsia="Calibri" w:hAnsi="Times New Roman" w:cs="Times New Roman"/>
          <w:color w:val="000000"/>
          <w:sz w:val="24"/>
          <w:szCs w:val="24"/>
        </w:rPr>
        <w:t xml:space="preserve">on a </w:t>
      </w:r>
      <w:r w:rsidR="00AC5FF6">
        <w:rPr>
          <w:rFonts w:ascii="Times New Roman" w:eastAsia="Calibri" w:hAnsi="Times New Roman" w:cs="Times New Roman"/>
          <w:color w:val="000000"/>
          <w:sz w:val="24"/>
          <w:szCs w:val="24"/>
        </w:rPr>
        <w:t xml:space="preserve">subscription or broadcast video on demand service. </w:t>
      </w:r>
      <w:bookmarkEnd w:id="7"/>
    </w:p>
    <w:p w14:paraId="3D8F42EB" w14:textId="65224988" w:rsidR="00FC2ACD" w:rsidRPr="00FC2ACD" w:rsidRDefault="00EB212C" w:rsidP="00D816F8">
      <w:pPr>
        <w:autoSpaceDE w:val="0"/>
        <w:autoSpaceDN w:val="0"/>
        <w:spacing w:after="200" w:line="276" w:lineRule="auto"/>
        <w:ind w:left="0"/>
        <w:rPr>
          <w:rFonts w:ascii="Times New Roman" w:eastAsia="Calibri" w:hAnsi="Times New Roman" w:cs="Times New Roman"/>
          <w:sz w:val="24"/>
          <w:szCs w:val="24"/>
        </w:rPr>
      </w:pPr>
      <w:r w:rsidRPr="00EB212C">
        <w:rPr>
          <w:rFonts w:ascii="Times New Roman" w:eastAsia="Calibri" w:hAnsi="Times New Roman" w:cs="Times New Roman"/>
          <w:color w:val="000000"/>
          <w:sz w:val="24"/>
          <w:szCs w:val="24"/>
          <w:u w:val="single"/>
        </w:rPr>
        <w:t>Section 6</w:t>
      </w:r>
      <w:r w:rsidRPr="00EB212C">
        <w:rPr>
          <w:rFonts w:ascii="Times New Roman" w:eastAsia="Calibri" w:hAnsi="Times New Roman" w:cs="Times New Roman"/>
          <w:color w:val="000000"/>
          <w:sz w:val="24"/>
          <w:szCs w:val="24"/>
        </w:rPr>
        <w:t xml:space="preserve"> </w:t>
      </w:r>
      <w:r w:rsidR="00FC2ACD">
        <w:rPr>
          <w:rFonts w:ascii="Times New Roman" w:eastAsia="Calibri" w:hAnsi="Times New Roman" w:cs="Times New Roman"/>
          <w:color w:val="000000"/>
          <w:sz w:val="24"/>
          <w:szCs w:val="24"/>
        </w:rPr>
        <w:t xml:space="preserve">is the main operative section, and requires </w:t>
      </w:r>
      <w:r w:rsidRPr="00EB212C">
        <w:rPr>
          <w:rFonts w:ascii="Times New Roman" w:eastAsia="Calibri" w:hAnsi="Times New Roman" w:cs="Times New Roman"/>
          <w:color w:val="000000"/>
          <w:sz w:val="24"/>
          <w:szCs w:val="24"/>
        </w:rPr>
        <w:t>ACMA to</w:t>
      </w:r>
      <w:r w:rsidR="00FC2ACD">
        <w:rPr>
          <w:rFonts w:ascii="Times New Roman" w:eastAsia="Calibri" w:hAnsi="Times New Roman" w:cs="Times New Roman"/>
          <w:color w:val="000000"/>
          <w:sz w:val="24"/>
          <w:szCs w:val="24"/>
        </w:rPr>
        <w:t xml:space="preserve"> </w:t>
      </w:r>
      <w:r w:rsidR="00FC2ACD" w:rsidRPr="00FC2ACD">
        <w:rPr>
          <w:rFonts w:ascii="Times New Roman" w:eastAsia="Calibri" w:hAnsi="Times New Roman" w:cs="Times New Roman"/>
          <w:sz w:val="24"/>
          <w:szCs w:val="24"/>
        </w:rPr>
        <w:t>exercise its powers under subsection 122(1) of the Act, to amend one or more Standard(s) to</w:t>
      </w:r>
      <w:r w:rsidR="00D816F8">
        <w:rPr>
          <w:rFonts w:ascii="Times New Roman" w:eastAsia="Calibri" w:hAnsi="Times New Roman" w:cs="Times New Roman"/>
          <w:sz w:val="24"/>
          <w:szCs w:val="24"/>
        </w:rPr>
        <w:t xml:space="preserve"> r</w:t>
      </w:r>
      <w:r w:rsidR="00FC2ACD" w:rsidRPr="00FC2ACD">
        <w:rPr>
          <w:rFonts w:ascii="Times New Roman" w:eastAsia="Calibri" w:hAnsi="Times New Roman" w:cs="Times New Roman"/>
          <w:sz w:val="24"/>
          <w:szCs w:val="24"/>
        </w:rPr>
        <w:t>emove the requirements for commercial television broadcasting licensees to broadcast minimum amounts of</w:t>
      </w:r>
      <w:r w:rsidR="00311E5A">
        <w:rPr>
          <w:rFonts w:ascii="Times New Roman" w:eastAsia="Calibri" w:hAnsi="Times New Roman" w:cs="Times New Roman"/>
          <w:sz w:val="24"/>
          <w:szCs w:val="24"/>
        </w:rPr>
        <w:t xml:space="preserve"> material listed at </w:t>
      </w:r>
      <w:r w:rsidR="00AE4A02">
        <w:rPr>
          <w:rFonts w:ascii="Times New Roman" w:eastAsia="Calibri" w:hAnsi="Times New Roman" w:cs="Times New Roman"/>
          <w:sz w:val="24"/>
          <w:szCs w:val="24"/>
        </w:rPr>
        <w:t>paragraph</w:t>
      </w:r>
      <w:r w:rsidR="00D816F8">
        <w:rPr>
          <w:rFonts w:ascii="Times New Roman" w:eastAsia="Calibri" w:hAnsi="Times New Roman" w:cs="Times New Roman"/>
          <w:sz w:val="24"/>
          <w:szCs w:val="24"/>
        </w:rPr>
        <w:t xml:space="preserve"> 6(1)(a)</w:t>
      </w:r>
      <w:r w:rsidR="00692588">
        <w:rPr>
          <w:rFonts w:ascii="Times New Roman" w:eastAsia="Calibri" w:hAnsi="Times New Roman" w:cs="Times New Roman"/>
          <w:sz w:val="24"/>
          <w:szCs w:val="24"/>
        </w:rPr>
        <w:t xml:space="preserve"> of the Direction</w:t>
      </w:r>
      <w:r w:rsidR="00D816F8">
        <w:rPr>
          <w:rFonts w:ascii="Times New Roman" w:eastAsia="Calibri" w:hAnsi="Times New Roman" w:cs="Times New Roman"/>
          <w:sz w:val="24"/>
          <w:szCs w:val="24"/>
        </w:rPr>
        <w:t xml:space="preserve">. </w:t>
      </w:r>
    </w:p>
    <w:p w14:paraId="0169B5F4" w14:textId="7D8C6FBD" w:rsidR="00FC2ACD" w:rsidRPr="00FC2ACD" w:rsidRDefault="00AE4A02" w:rsidP="00D816F8">
      <w:pPr>
        <w:spacing w:after="200"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Paragraph</w:t>
      </w:r>
      <w:r w:rsidR="005E03AC">
        <w:rPr>
          <w:rFonts w:ascii="Times New Roman" w:eastAsia="Calibri" w:hAnsi="Times New Roman" w:cs="Times New Roman"/>
          <w:sz w:val="24"/>
          <w:szCs w:val="24"/>
        </w:rPr>
        <w:t xml:space="preserve"> 6(1)(b) requires ACMA to </w:t>
      </w:r>
      <w:r w:rsidR="00FC2ACD" w:rsidRPr="00FC2ACD">
        <w:rPr>
          <w:rFonts w:ascii="Times New Roman" w:eastAsia="Calibri" w:hAnsi="Times New Roman" w:cs="Times New Roman"/>
          <w:sz w:val="24"/>
          <w:szCs w:val="24"/>
        </w:rPr>
        <w:t xml:space="preserve">remove </w:t>
      </w:r>
      <w:r w:rsidR="005E03AC">
        <w:rPr>
          <w:rFonts w:ascii="Times New Roman" w:eastAsia="Calibri" w:hAnsi="Times New Roman" w:cs="Times New Roman"/>
          <w:sz w:val="24"/>
          <w:szCs w:val="24"/>
        </w:rPr>
        <w:t xml:space="preserve">a number of </w:t>
      </w:r>
      <w:r w:rsidR="00FC2ACD" w:rsidRPr="00FC2ACD">
        <w:rPr>
          <w:rFonts w:ascii="Times New Roman" w:eastAsia="Calibri" w:hAnsi="Times New Roman" w:cs="Times New Roman"/>
          <w:sz w:val="24"/>
          <w:szCs w:val="24"/>
        </w:rPr>
        <w:t>requirements</w:t>
      </w:r>
      <w:r w:rsidR="00256EF2">
        <w:rPr>
          <w:rFonts w:ascii="Times New Roman" w:eastAsia="Calibri" w:hAnsi="Times New Roman" w:cs="Times New Roman"/>
          <w:sz w:val="24"/>
          <w:szCs w:val="24"/>
        </w:rPr>
        <w:t xml:space="preserve"> associated with t</w:t>
      </w:r>
      <w:r w:rsidR="00311E5A">
        <w:rPr>
          <w:rFonts w:ascii="Times New Roman" w:eastAsia="Calibri" w:hAnsi="Times New Roman" w:cs="Times New Roman"/>
          <w:sz w:val="24"/>
          <w:szCs w:val="24"/>
        </w:rPr>
        <w:t xml:space="preserve">he material listed at </w:t>
      </w:r>
      <w:r>
        <w:rPr>
          <w:rFonts w:ascii="Times New Roman" w:eastAsia="Calibri" w:hAnsi="Times New Roman" w:cs="Times New Roman"/>
          <w:sz w:val="24"/>
          <w:szCs w:val="24"/>
        </w:rPr>
        <w:t>paragraph</w:t>
      </w:r>
      <w:r w:rsidR="00256EF2">
        <w:rPr>
          <w:rFonts w:ascii="Times New Roman" w:eastAsia="Calibri" w:hAnsi="Times New Roman" w:cs="Times New Roman"/>
          <w:sz w:val="24"/>
          <w:szCs w:val="24"/>
        </w:rPr>
        <w:t xml:space="preserve"> 6(1)(a)</w:t>
      </w:r>
      <w:r w:rsidR="005E03AC">
        <w:rPr>
          <w:rFonts w:ascii="Times New Roman" w:eastAsia="Calibri" w:hAnsi="Times New Roman" w:cs="Times New Roman"/>
          <w:sz w:val="24"/>
          <w:szCs w:val="24"/>
        </w:rPr>
        <w:t>.</w:t>
      </w:r>
      <w:r w:rsidR="00FC2ACD" w:rsidRPr="00FC2ACD">
        <w:rPr>
          <w:rFonts w:ascii="Times New Roman" w:eastAsia="Calibri" w:hAnsi="Times New Roman" w:cs="Times New Roman"/>
          <w:sz w:val="24"/>
          <w:szCs w:val="24"/>
        </w:rPr>
        <w:t xml:space="preserve"> </w:t>
      </w:r>
    </w:p>
    <w:p w14:paraId="4F761527" w14:textId="5F8EBB04" w:rsidR="00FC2ACD" w:rsidRPr="00FC2ACD" w:rsidRDefault="00AE4A02" w:rsidP="00D816F8">
      <w:pPr>
        <w:spacing w:after="200"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Paragraph </w:t>
      </w:r>
      <w:r w:rsidR="005E03AC">
        <w:rPr>
          <w:rFonts w:ascii="Times New Roman" w:eastAsia="Calibri" w:hAnsi="Times New Roman" w:cs="Times New Roman"/>
          <w:sz w:val="24"/>
          <w:szCs w:val="24"/>
        </w:rPr>
        <w:t xml:space="preserve">6(1)(c) </w:t>
      </w:r>
      <w:r w:rsidR="00FC2ACD" w:rsidRPr="00FC2ACD">
        <w:rPr>
          <w:rFonts w:ascii="Times New Roman" w:eastAsia="Calibri" w:hAnsi="Times New Roman" w:cs="Times New Roman"/>
          <w:sz w:val="24"/>
          <w:szCs w:val="24"/>
        </w:rPr>
        <w:t>r</w:t>
      </w:r>
      <w:r w:rsidR="005E03AC">
        <w:rPr>
          <w:rFonts w:ascii="Times New Roman" w:eastAsia="Calibri" w:hAnsi="Times New Roman" w:cs="Times New Roman"/>
          <w:sz w:val="24"/>
          <w:szCs w:val="24"/>
        </w:rPr>
        <w:t>equires ACMA to r</w:t>
      </w:r>
      <w:r w:rsidR="00FC2ACD" w:rsidRPr="00FC2ACD">
        <w:rPr>
          <w:rFonts w:ascii="Times New Roman" w:eastAsia="Calibri" w:hAnsi="Times New Roman" w:cs="Times New Roman"/>
          <w:sz w:val="24"/>
          <w:szCs w:val="24"/>
        </w:rPr>
        <w:t>emove</w:t>
      </w:r>
      <w:r w:rsidR="005E03AC">
        <w:rPr>
          <w:rFonts w:ascii="Times New Roman" w:eastAsia="Calibri" w:hAnsi="Times New Roman" w:cs="Times New Roman"/>
          <w:sz w:val="24"/>
          <w:szCs w:val="24"/>
        </w:rPr>
        <w:t xml:space="preserve"> </w:t>
      </w:r>
      <w:r w:rsidR="00FC2ACD" w:rsidRPr="00FC2ACD">
        <w:rPr>
          <w:rFonts w:ascii="Times New Roman" w:eastAsia="Calibri" w:hAnsi="Times New Roman" w:cs="Times New Roman"/>
          <w:sz w:val="24"/>
          <w:szCs w:val="24"/>
        </w:rPr>
        <w:t>the concepts of the C band; P band; C material; P material; C period; P period; and prime time.</w:t>
      </w:r>
    </w:p>
    <w:p w14:paraId="51C84FD8" w14:textId="2686EB76" w:rsidR="00BB17E2" w:rsidRDefault="00AE4A02" w:rsidP="00BB17E2">
      <w:pPr>
        <w:spacing w:after="200"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Paragraph </w:t>
      </w:r>
      <w:r w:rsidR="005E03AC">
        <w:rPr>
          <w:rFonts w:ascii="Times New Roman" w:eastAsia="Calibri" w:hAnsi="Times New Roman" w:cs="Times New Roman"/>
          <w:sz w:val="24"/>
          <w:szCs w:val="24"/>
        </w:rPr>
        <w:t xml:space="preserve">6(2)(a) </w:t>
      </w:r>
      <w:r w:rsidR="00FC2ACD" w:rsidRPr="00FC2ACD">
        <w:rPr>
          <w:rFonts w:ascii="Times New Roman" w:eastAsia="Calibri" w:hAnsi="Times New Roman" w:cs="Times New Roman"/>
          <w:sz w:val="24"/>
          <w:szCs w:val="24"/>
        </w:rPr>
        <w:t>direct</w:t>
      </w:r>
      <w:r w:rsidR="005E03AC">
        <w:rPr>
          <w:rFonts w:ascii="Times New Roman" w:eastAsia="Calibri" w:hAnsi="Times New Roman" w:cs="Times New Roman"/>
          <w:sz w:val="24"/>
          <w:szCs w:val="24"/>
        </w:rPr>
        <w:t>s</w:t>
      </w:r>
      <w:r w:rsidR="00FC2ACD" w:rsidRPr="00FC2ACD">
        <w:rPr>
          <w:rFonts w:ascii="Times New Roman" w:eastAsia="Calibri" w:hAnsi="Times New Roman" w:cs="Times New Roman"/>
          <w:sz w:val="24"/>
          <w:szCs w:val="24"/>
        </w:rPr>
        <w:t xml:space="preserve"> ACMA to</w:t>
      </w:r>
      <w:r w:rsidR="00BB17E2">
        <w:rPr>
          <w:rFonts w:ascii="Times New Roman" w:eastAsia="Calibri" w:hAnsi="Times New Roman" w:cs="Times New Roman"/>
          <w:sz w:val="24"/>
          <w:szCs w:val="24"/>
        </w:rPr>
        <w:t xml:space="preserve"> </w:t>
      </w:r>
      <w:r w:rsidR="00FC2ACD" w:rsidRPr="00FC2ACD">
        <w:rPr>
          <w:rFonts w:ascii="Times New Roman" w:eastAsia="Calibri" w:hAnsi="Times New Roman" w:cs="Times New Roman"/>
          <w:sz w:val="24"/>
          <w:szCs w:val="24"/>
        </w:rPr>
        <w:t>introduce a new points-based Australian program quota</w:t>
      </w:r>
      <w:r w:rsidR="00BB17E2">
        <w:rPr>
          <w:rFonts w:ascii="Times New Roman" w:eastAsia="Calibri" w:hAnsi="Times New Roman" w:cs="Times New Roman"/>
          <w:sz w:val="24"/>
          <w:szCs w:val="24"/>
        </w:rPr>
        <w:t xml:space="preserve"> and sets out the detail of the new quota and its application. </w:t>
      </w:r>
    </w:p>
    <w:p w14:paraId="7AB79CCA" w14:textId="39AE3C4F" w:rsidR="00FC2ACD" w:rsidRPr="00FC2ACD" w:rsidRDefault="00AE4A02" w:rsidP="00BB17E2">
      <w:pPr>
        <w:spacing w:after="200"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Paragraph</w:t>
      </w:r>
      <w:r w:rsidR="00BB17E2">
        <w:rPr>
          <w:rFonts w:ascii="Times New Roman" w:eastAsia="Calibri" w:hAnsi="Times New Roman" w:cs="Times New Roman"/>
          <w:sz w:val="24"/>
          <w:szCs w:val="24"/>
        </w:rPr>
        <w:t xml:space="preserve"> 6(2)(b) </w:t>
      </w:r>
      <w:r w:rsidR="00FC2ACD" w:rsidRPr="00FC2ACD">
        <w:rPr>
          <w:rFonts w:ascii="Times New Roman" w:eastAsia="Calibri" w:hAnsi="Times New Roman" w:cs="Times New Roman"/>
          <w:sz w:val="24"/>
          <w:szCs w:val="24"/>
        </w:rPr>
        <w:t>provide</w:t>
      </w:r>
      <w:r w:rsidR="00BB17E2">
        <w:rPr>
          <w:rFonts w:ascii="Times New Roman" w:eastAsia="Calibri" w:hAnsi="Times New Roman" w:cs="Times New Roman"/>
          <w:sz w:val="24"/>
          <w:szCs w:val="24"/>
        </w:rPr>
        <w:t>s</w:t>
      </w:r>
      <w:r w:rsidR="00FC2ACD" w:rsidRPr="00FC2ACD">
        <w:rPr>
          <w:rFonts w:ascii="Times New Roman" w:eastAsia="Calibri" w:hAnsi="Times New Roman" w:cs="Times New Roman"/>
          <w:sz w:val="24"/>
          <w:szCs w:val="24"/>
        </w:rPr>
        <w:t xml:space="preserve"> that the new quota </w:t>
      </w:r>
      <w:r w:rsidR="00692588">
        <w:rPr>
          <w:rFonts w:ascii="Times New Roman" w:eastAsia="Calibri" w:hAnsi="Times New Roman" w:cs="Times New Roman"/>
          <w:sz w:val="24"/>
          <w:szCs w:val="24"/>
        </w:rPr>
        <w:t xml:space="preserve">is to </w:t>
      </w:r>
      <w:r w:rsidR="00FC2ACD" w:rsidRPr="00FC2ACD">
        <w:rPr>
          <w:rFonts w:ascii="Times New Roman" w:eastAsia="Calibri" w:hAnsi="Times New Roman" w:cs="Times New Roman"/>
          <w:sz w:val="24"/>
          <w:szCs w:val="24"/>
        </w:rPr>
        <w:t>commence from 1 January 2021</w:t>
      </w:r>
      <w:r w:rsidR="00BB17E2">
        <w:rPr>
          <w:rFonts w:ascii="Times New Roman" w:eastAsia="Calibri" w:hAnsi="Times New Roman" w:cs="Times New Roman"/>
          <w:sz w:val="24"/>
          <w:szCs w:val="24"/>
        </w:rPr>
        <w:t>.</w:t>
      </w:r>
    </w:p>
    <w:p w14:paraId="7106EE23" w14:textId="223865B1" w:rsidR="00FC2ACD" w:rsidRPr="00FC2ACD" w:rsidRDefault="00AE4A02" w:rsidP="00BB17E2">
      <w:pPr>
        <w:spacing w:after="200"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Paragraph </w:t>
      </w:r>
      <w:r w:rsidR="00BB17E2">
        <w:rPr>
          <w:rFonts w:ascii="Times New Roman" w:eastAsia="Calibri" w:hAnsi="Times New Roman" w:cs="Times New Roman"/>
          <w:sz w:val="24"/>
          <w:szCs w:val="24"/>
        </w:rPr>
        <w:t xml:space="preserve">6(2)(c) </w:t>
      </w:r>
      <w:r w:rsidR="00FC2ACD" w:rsidRPr="00FC2ACD">
        <w:rPr>
          <w:rFonts w:ascii="Times New Roman" w:eastAsia="Calibri" w:hAnsi="Times New Roman" w:cs="Times New Roman"/>
          <w:sz w:val="24"/>
          <w:szCs w:val="24"/>
        </w:rPr>
        <w:t>provide</w:t>
      </w:r>
      <w:r>
        <w:rPr>
          <w:rFonts w:ascii="Times New Roman" w:eastAsia="Calibri" w:hAnsi="Times New Roman" w:cs="Times New Roman"/>
          <w:sz w:val="24"/>
          <w:szCs w:val="24"/>
        </w:rPr>
        <w:t>s</w:t>
      </w:r>
      <w:r w:rsidR="00FC2ACD" w:rsidRPr="00FC2ACD">
        <w:rPr>
          <w:rFonts w:ascii="Times New Roman" w:eastAsia="Calibri" w:hAnsi="Times New Roman" w:cs="Times New Roman"/>
          <w:sz w:val="24"/>
          <w:szCs w:val="24"/>
        </w:rPr>
        <w:t xml:space="preserve"> that the new quota may be acquitted through any combination of the program genres listed </w:t>
      </w:r>
      <w:r w:rsidR="000975AE">
        <w:rPr>
          <w:rFonts w:ascii="Times New Roman" w:eastAsia="Calibri" w:hAnsi="Times New Roman" w:cs="Times New Roman"/>
          <w:sz w:val="24"/>
          <w:szCs w:val="24"/>
        </w:rPr>
        <w:t xml:space="preserve">in Schedule 1 </w:t>
      </w:r>
      <w:r w:rsidR="00FC2ACD" w:rsidRPr="00FC2ACD">
        <w:rPr>
          <w:rFonts w:ascii="Times New Roman" w:eastAsia="Calibri" w:hAnsi="Times New Roman" w:cs="Times New Roman"/>
          <w:sz w:val="24"/>
          <w:szCs w:val="24"/>
        </w:rPr>
        <w:t xml:space="preserve">and for the points allocated to each genre </w:t>
      </w:r>
      <w:r w:rsidR="00BB17E2">
        <w:rPr>
          <w:rFonts w:ascii="Times New Roman" w:eastAsia="Calibri" w:hAnsi="Times New Roman" w:cs="Times New Roman"/>
          <w:sz w:val="24"/>
          <w:szCs w:val="24"/>
        </w:rPr>
        <w:t>as</w:t>
      </w:r>
      <w:r w:rsidR="00FC2ACD" w:rsidRPr="00FC2ACD">
        <w:rPr>
          <w:rFonts w:ascii="Times New Roman" w:eastAsia="Calibri" w:hAnsi="Times New Roman" w:cs="Times New Roman"/>
          <w:sz w:val="24"/>
          <w:szCs w:val="24"/>
        </w:rPr>
        <w:t xml:space="preserve"> listed in Schedule 1</w:t>
      </w:r>
      <w:r w:rsidR="00BB17E2">
        <w:rPr>
          <w:rFonts w:ascii="Times New Roman" w:eastAsia="Calibri" w:hAnsi="Times New Roman" w:cs="Times New Roman"/>
          <w:sz w:val="24"/>
          <w:szCs w:val="24"/>
        </w:rPr>
        <w:t>.</w:t>
      </w:r>
    </w:p>
    <w:p w14:paraId="5AF12A53" w14:textId="003863F6" w:rsidR="00BB17E2" w:rsidRDefault="00AE4A02" w:rsidP="00BB17E2">
      <w:pPr>
        <w:spacing w:after="200"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Paragraph </w:t>
      </w:r>
      <w:r w:rsidR="00BB17E2">
        <w:rPr>
          <w:rFonts w:ascii="Times New Roman" w:eastAsia="Calibri" w:hAnsi="Times New Roman" w:cs="Times New Roman"/>
          <w:sz w:val="24"/>
          <w:szCs w:val="24"/>
        </w:rPr>
        <w:t xml:space="preserve">6(2)(d) directs ACMA to allow </w:t>
      </w:r>
      <w:r w:rsidR="00FC2ACD" w:rsidRPr="00FC2ACD">
        <w:rPr>
          <w:rFonts w:ascii="Times New Roman" w:eastAsia="Calibri" w:hAnsi="Times New Roman" w:cs="Times New Roman"/>
          <w:sz w:val="24"/>
          <w:szCs w:val="24"/>
        </w:rPr>
        <w:t xml:space="preserve">for the production budget and licence fee figures listed at Schedule 1 to increase, but not decrease, </w:t>
      </w:r>
      <w:r w:rsidR="00692588">
        <w:rPr>
          <w:rFonts w:ascii="Times New Roman" w:eastAsia="Calibri" w:hAnsi="Times New Roman" w:cs="Times New Roman"/>
          <w:sz w:val="24"/>
          <w:szCs w:val="24"/>
        </w:rPr>
        <w:t xml:space="preserve">annually </w:t>
      </w:r>
      <w:r w:rsidR="00FC2ACD" w:rsidRPr="00FC2ACD">
        <w:rPr>
          <w:rFonts w:ascii="Times New Roman" w:eastAsia="Calibri" w:hAnsi="Times New Roman" w:cs="Times New Roman"/>
          <w:sz w:val="24"/>
          <w:szCs w:val="24"/>
        </w:rPr>
        <w:t>accord</w:t>
      </w:r>
      <w:r w:rsidR="00BB17E2">
        <w:rPr>
          <w:rFonts w:ascii="Times New Roman" w:eastAsia="Calibri" w:hAnsi="Times New Roman" w:cs="Times New Roman"/>
          <w:sz w:val="24"/>
          <w:szCs w:val="24"/>
        </w:rPr>
        <w:t xml:space="preserve">ing to </w:t>
      </w:r>
      <w:r w:rsidR="00FC2ACD" w:rsidRPr="00FC2ACD">
        <w:rPr>
          <w:rFonts w:ascii="Times New Roman" w:eastAsia="Calibri" w:hAnsi="Times New Roman" w:cs="Times New Roman"/>
          <w:sz w:val="24"/>
          <w:szCs w:val="24"/>
        </w:rPr>
        <w:t>the All Groups Consumer Price Index</w:t>
      </w:r>
      <w:r w:rsidR="00BB17E2">
        <w:rPr>
          <w:rFonts w:ascii="Times New Roman" w:eastAsia="Calibri" w:hAnsi="Times New Roman" w:cs="Times New Roman"/>
          <w:sz w:val="24"/>
          <w:szCs w:val="24"/>
        </w:rPr>
        <w:t>.</w:t>
      </w:r>
    </w:p>
    <w:p w14:paraId="10E9D2A0" w14:textId="284EBEDF" w:rsidR="00FC2ACD" w:rsidRPr="00FC2ACD" w:rsidRDefault="00AE4A02" w:rsidP="00BB17E2">
      <w:pPr>
        <w:spacing w:after="200"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Paragraph </w:t>
      </w:r>
      <w:r w:rsidR="00E805BE">
        <w:rPr>
          <w:rFonts w:ascii="Times New Roman" w:eastAsia="Calibri" w:hAnsi="Times New Roman" w:cs="Times New Roman"/>
          <w:sz w:val="24"/>
          <w:szCs w:val="24"/>
        </w:rPr>
        <w:t>6(2)(e) directs ACMA to ensure</w:t>
      </w:r>
      <w:r w:rsidR="00FC2ACD" w:rsidRPr="00FC2ACD">
        <w:rPr>
          <w:rFonts w:ascii="Times New Roman" w:eastAsia="Calibri" w:hAnsi="Times New Roman" w:cs="Times New Roman"/>
          <w:sz w:val="24"/>
          <w:szCs w:val="24"/>
        </w:rPr>
        <w:t xml:space="preserve"> that first release Australian programs </w:t>
      </w:r>
      <w:r w:rsidR="00B87CA8">
        <w:rPr>
          <w:rFonts w:ascii="Times New Roman" w:eastAsia="Calibri" w:hAnsi="Times New Roman" w:cs="Times New Roman"/>
          <w:sz w:val="24"/>
          <w:szCs w:val="24"/>
        </w:rPr>
        <w:t>can only be used to acquit</w:t>
      </w:r>
      <w:r w:rsidR="00FC2ACD" w:rsidRPr="00FC2ACD">
        <w:rPr>
          <w:rFonts w:ascii="Times New Roman" w:eastAsia="Calibri" w:hAnsi="Times New Roman" w:cs="Times New Roman"/>
          <w:sz w:val="24"/>
          <w:szCs w:val="24"/>
        </w:rPr>
        <w:t xml:space="preserve"> the new quota the first time that they are broadcast </w:t>
      </w:r>
      <w:r w:rsidR="00E805BE">
        <w:rPr>
          <w:rFonts w:ascii="Times New Roman" w:eastAsia="Calibri" w:hAnsi="Times New Roman" w:cs="Times New Roman"/>
          <w:sz w:val="24"/>
          <w:szCs w:val="24"/>
        </w:rPr>
        <w:t xml:space="preserve">on commercial free-to-air television. </w:t>
      </w:r>
    </w:p>
    <w:p w14:paraId="754203F6" w14:textId="3C1ABC77" w:rsidR="00FC2ACD" w:rsidRPr="00FC2ACD" w:rsidRDefault="00AE4A02" w:rsidP="00BB17E2">
      <w:pPr>
        <w:spacing w:after="200"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Paragraph </w:t>
      </w:r>
      <w:r w:rsidR="00660608">
        <w:rPr>
          <w:rFonts w:ascii="Times New Roman" w:eastAsia="Calibri" w:hAnsi="Times New Roman" w:cs="Times New Roman"/>
          <w:sz w:val="24"/>
          <w:szCs w:val="24"/>
        </w:rPr>
        <w:t xml:space="preserve">6(2)(f) specifies that </w:t>
      </w:r>
      <w:r w:rsidR="00FC2ACD" w:rsidRPr="00FC2ACD">
        <w:rPr>
          <w:rFonts w:ascii="Times New Roman" w:eastAsia="Calibri" w:hAnsi="Times New Roman" w:cs="Times New Roman"/>
          <w:sz w:val="24"/>
          <w:szCs w:val="24"/>
        </w:rPr>
        <w:t xml:space="preserve">only </w:t>
      </w:r>
      <w:r w:rsidR="000F3042">
        <w:rPr>
          <w:rFonts w:ascii="Times New Roman" w:eastAsia="Calibri" w:hAnsi="Times New Roman" w:cs="Times New Roman"/>
          <w:sz w:val="24"/>
          <w:szCs w:val="24"/>
        </w:rPr>
        <w:t xml:space="preserve">relevant </w:t>
      </w:r>
      <w:r w:rsidR="00FC2ACD" w:rsidRPr="00FC2ACD">
        <w:rPr>
          <w:rFonts w:ascii="Times New Roman" w:eastAsia="Calibri" w:hAnsi="Times New Roman" w:cs="Times New Roman"/>
          <w:sz w:val="24"/>
          <w:szCs w:val="24"/>
        </w:rPr>
        <w:t xml:space="preserve">programming </w:t>
      </w:r>
      <w:r w:rsidR="000F3042">
        <w:rPr>
          <w:rFonts w:ascii="Times New Roman" w:eastAsia="Calibri" w:hAnsi="Times New Roman" w:cs="Times New Roman"/>
          <w:sz w:val="24"/>
          <w:szCs w:val="24"/>
        </w:rPr>
        <w:t xml:space="preserve">which is </w:t>
      </w:r>
      <w:r w:rsidR="00FC2ACD" w:rsidRPr="00FC2ACD">
        <w:rPr>
          <w:rFonts w:ascii="Times New Roman" w:eastAsia="Calibri" w:hAnsi="Times New Roman" w:cs="Times New Roman"/>
          <w:sz w:val="24"/>
          <w:szCs w:val="24"/>
        </w:rPr>
        <w:t>broadcast between 6:00</w:t>
      </w:r>
      <w:r w:rsidR="00311E5A">
        <w:rPr>
          <w:rFonts w:ascii="Times New Roman" w:eastAsia="Calibri" w:hAnsi="Times New Roman" w:cs="Times New Roman"/>
          <w:sz w:val="24"/>
          <w:szCs w:val="24"/>
        </w:rPr>
        <w:t xml:space="preserve"> </w:t>
      </w:r>
      <w:r w:rsidR="00FC2ACD" w:rsidRPr="00FC2ACD">
        <w:rPr>
          <w:rFonts w:ascii="Times New Roman" w:eastAsia="Calibri" w:hAnsi="Times New Roman" w:cs="Times New Roman"/>
          <w:sz w:val="24"/>
          <w:szCs w:val="24"/>
        </w:rPr>
        <w:t xml:space="preserve">am and midnight each day may be used to acquit the new </w:t>
      </w:r>
      <w:r w:rsidR="000F3042">
        <w:rPr>
          <w:rFonts w:ascii="Times New Roman" w:eastAsia="Calibri" w:hAnsi="Times New Roman" w:cs="Times New Roman"/>
          <w:sz w:val="24"/>
          <w:szCs w:val="24"/>
        </w:rPr>
        <w:t>quota.</w:t>
      </w:r>
    </w:p>
    <w:p w14:paraId="009EEB48" w14:textId="439F28BD" w:rsidR="00FC2ACD" w:rsidRDefault="00AE4A02" w:rsidP="00BB17E2">
      <w:pPr>
        <w:spacing w:after="200"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Paragraph </w:t>
      </w:r>
      <w:r w:rsidR="00C100EC">
        <w:rPr>
          <w:rFonts w:ascii="Times New Roman" w:eastAsia="Calibri" w:hAnsi="Times New Roman" w:cs="Times New Roman"/>
          <w:sz w:val="24"/>
          <w:szCs w:val="24"/>
        </w:rPr>
        <w:t xml:space="preserve">6(2)(g) directs ACMA </w:t>
      </w:r>
      <w:r w:rsidR="00B87CA8">
        <w:rPr>
          <w:rFonts w:ascii="Times New Roman" w:eastAsia="Calibri" w:hAnsi="Times New Roman" w:cs="Times New Roman"/>
          <w:sz w:val="24"/>
          <w:szCs w:val="24"/>
        </w:rPr>
        <w:t xml:space="preserve">to </w:t>
      </w:r>
      <w:r w:rsidR="00FC2ACD" w:rsidRPr="00FC2ACD">
        <w:rPr>
          <w:rFonts w:ascii="Times New Roman" w:eastAsia="Calibri" w:hAnsi="Times New Roman" w:cs="Times New Roman"/>
          <w:sz w:val="24"/>
          <w:szCs w:val="24"/>
        </w:rPr>
        <w:t xml:space="preserve">not prescribe </w:t>
      </w:r>
      <w:r w:rsidR="00C100EC">
        <w:rPr>
          <w:rFonts w:ascii="Times New Roman" w:eastAsia="Calibri" w:hAnsi="Times New Roman" w:cs="Times New Roman"/>
          <w:sz w:val="24"/>
          <w:szCs w:val="24"/>
        </w:rPr>
        <w:t>the</w:t>
      </w:r>
      <w:r w:rsidR="00FC2ACD" w:rsidRPr="00FC2ACD">
        <w:rPr>
          <w:rFonts w:ascii="Times New Roman" w:eastAsia="Calibri" w:hAnsi="Times New Roman" w:cs="Times New Roman"/>
          <w:sz w:val="24"/>
          <w:szCs w:val="24"/>
        </w:rPr>
        <w:t xml:space="preserve"> minimum amount of points to be </w:t>
      </w:r>
      <w:r w:rsidR="000975AE">
        <w:rPr>
          <w:rFonts w:ascii="Times New Roman" w:eastAsia="Calibri" w:hAnsi="Times New Roman" w:cs="Times New Roman"/>
          <w:sz w:val="24"/>
          <w:szCs w:val="24"/>
        </w:rPr>
        <w:t>acquitted</w:t>
      </w:r>
      <w:r w:rsidR="00FC2ACD" w:rsidRPr="00FC2ACD">
        <w:rPr>
          <w:rFonts w:ascii="Times New Roman" w:eastAsia="Calibri" w:hAnsi="Times New Roman" w:cs="Times New Roman"/>
          <w:sz w:val="24"/>
          <w:szCs w:val="24"/>
        </w:rPr>
        <w:t xml:space="preserve"> from any one program genre</w:t>
      </w:r>
      <w:r w:rsidR="00C100EC">
        <w:rPr>
          <w:rFonts w:ascii="Times New Roman" w:eastAsia="Calibri" w:hAnsi="Times New Roman" w:cs="Times New Roman"/>
          <w:sz w:val="24"/>
          <w:szCs w:val="24"/>
        </w:rPr>
        <w:t xml:space="preserve">, in order to allow broadcasters </w:t>
      </w:r>
      <w:r w:rsidR="00A122EE" w:rsidRPr="00A122EE">
        <w:rPr>
          <w:rFonts w:ascii="Times New Roman" w:eastAsia="Calibri" w:hAnsi="Times New Roman" w:cs="Times New Roman"/>
          <w:sz w:val="24"/>
          <w:szCs w:val="24"/>
        </w:rPr>
        <w:t xml:space="preserve">the flexibility to determine what content they broadcast to meet the overall </w:t>
      </w:r>
      <w:r w:rsidR="00692588">
        <w:rPr>
          <w:rFonts w:ascii="Times New Roman" w:eastAsia="Calibri" w:hAnsi="Times New Roman" w:cs="Times New Roman"/>
          <w:sz w:val="24"/>
          <w:szCs w:val="24"/>
        </w:rPr>
        <w:t>new</w:t>
      </w:r>
      <w:r w:rsidR="00692588" w:rsidRPr="00A122EE">
        <w:rPr>
          <w:rFonts w:ascii="Times New Roman" w:eastAsia="Calibri" w:hAnsi="Times New Roman" w:cs="Times New Roman"/>
          <w:sz w:val="24"/>
          <w:szCs w:val="24"/>
        </w:rPr>
        <w:t xml:space="preserve"> </w:t>
      </w:r>
      <w:r w:rsidR="00A122EE" w:rsidRPr="00A122EE">
        <w:rPr>
          <w:rFonts w:ascii="Times New Roman" w:eastAsia="Calibri" w:hAnsi="Times New Roman" w:cs="Times New Roman"/>
          <w:sz w:val="24"/>
          <w:szCs w:val="24"/>
        </w:rPr>
        <w:t>quota</w:t>
      </w:r>
      <w:r w:rsidR="00486A92">
        <w:rPr>
          <w:rFonts w:ascii="Times New Roman" w:eastAsia="Calibri" w:hAnsi="Times New Roman" w:cs="Times New Roman"/>
          <w:sz w:val="24"/>
          <w:szCs w:val="24"/>
        </w:rPr>
        <w:t xml:space="preserve">. </w:t>
      </w:r>
      <w:bookmarkStart w:id="8" w:name="_Hlk54857568"/>
      <w:r w:rsidR="00486A92">
        <w:rPr>
          <w:rFonts w:ascii="Times New Roman" w:eastAsia="Calibri" w:hAnsi="Times New Roman" w:cs="Times New Roman"/>
          <w:sz w:val="24"/>
          <w:szCs w:val="24"/>
        </w:rPr>
        <w:t>It is intended that this a</w:t>
      </w:r>
      <w:r w:rsidR="00B87CA8">
        <w:rPr>
          <w:rFonts w:ascii="Times New Roman" w:eastAsia="Calibri" w:hAnsi="Times New Roman" w:cs="Times New Roman"/>
          <w:sz w:val="24"/>
          <w:szCs w:val="24"/>
        </w:rPr>
        <w:t xml:space="preserve">pproach </w:t>
      </w:r>
      <w:r w:rsidR="00A122EE" w:rsidRPr="00A122EE">
        <w:rPr>
          <w:rFonts w:ascii="Times New Roman" w:eastAsia="Calibri" w:hAnsi="Times New Roman" w:cs="Times New Roman"/>
          <w:sz w:val="24"/>
          <w:szCs w:val="24"/>
        </w:rPr>
        <w:t>w</w:t>
      </w:r>
      <w:r w:rsidR="00A122EE">
        <w:rPr>
          <w:rFonts w:ascii="Times New Roman" w:eastAsia="Calibri" w:hAnsi="Times New Roman" w:cs="Times New Roman"/>
          <w:sz w:val="24"/>
          <w:szCs w:val="24"/>
        </w:rPr>
        <w:t>ill</w:t>
      </w:r>
      <w:r w:rsidR="00A122EE" w:rsidRPr="00A122EE">
        <w:rPr>
          <w:rFonts w:ascii="Times New Roman" w:eastAsia="Calibri" w:hAnsi="Times New Roman" w:cs="Times New Roman"/>
          <w:sz w:val="24"/>
          <w:szCs w:val="24"/>
        </w:rPr>
        <w:t xml:space="preserve"> better balance the regulatory burden across platforms.</w:t>
      </w:r>
    </w:p>
    <w:bookmarkEnd w:id="8"/>
    <w:p w14:paraId="6BB4E6D2" w14:textId="6BA0F28E" w:rsidR="00FC2ACD" w:rsidRPr="00FC2ACD" w:rsidRDefault="004B1601" w:rsidP="00BB17E2">
      <w:pPr>
        <w:spacing w:after="200"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Paragraph </w:t>
      </w:r>
      <w:r w:rsidR="00A122EE">
        <w:rPr>
          <w:rFonts w:ascii="Times New Roman" w:eastAsia="Calibri" w:hAnsi="Times New Roman" w:cs="Times New Roman"/>
          <w:sz w:val="24"/>
          <w:szCs w:val="24"/>
        </w:rPr>
        <w:t xml:space="preserve">6(2)(h) directs ACMA to specify that, in the case of commissioned documentary programs, </w:t>
      </w:r>
      <w:r w:rsidR="00FC2ACD" w:rsidRPr="00FC2ACD">
        <w:rPr>
          <w:rFonts w:ascii="Times New Roman" w:eastAsia="Calibri" w:hAnsi="Times New Roman" w:cs="Times New Roman"/>
          <w:sz w:val="24"/>
          <w:szCs w:val="24"/>
        </w:rPr>
        <w:t>a maximum of 50 points may be acquit</w:t>
      </w:r>
      <w:r w:rsidR="00A122EE">
        <w:rPr>
          <w:rFonts w:ascii="Times New Roman" w:eastAsia="Calibri" w:hAnsi="Times New Roman" w:cs="Times New Roman"/>
          <w:sz w:val="24"/>
          <w:szCs w:val="24"/>
        </w:rPr>
        <w:t xml:space="preserve">ted each year. </w:t>
      </w:r>
      <w:r w:rsidR="00FC2ACD" w:rsidRPr="00FC2ACD">
        <w:rPr>
          <w:rFonts w:ascii="Times New Roman" w:eastAsia="Calibri" w:hAnsi="Times New Roman" w:cs="Times New Roman"/>
          <w:sz w:val="24"/>
          <w:szCs w:val="24"/>
        </w:rPr>
        <w:t xml:space="preserve"> </w:t>
      </w:r>
    </w:p>
    <w:p w14:paraId="1607F2F0" w14:textId="60AFFBBA" w:rsidR="00FC2ACD" w:rsidRPr="00FC2ACD" w:rsidRDefault="004B1601" w:rsidP="00A122EE">
      <w:pPr>
        <w:spacing w:after="200"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Paragraph </w:t>
      </w:r>
      <w:r w:rsidR="00A122EE">
        <w:rPr>
          <w:rFonts w:ascii="Times New Roman" w:eastAsia="Calibri" w:hAnsi="Times New Roman" w:cs="Times New Roman"/>
          <w:sz w:val="24"/>
          <w:szCs w:val="24"/>
        </w:rPr>
        <w:t xml:space="preserve">6(2)(i) </w:t>
      </w:r>
      <w:r w:rsidR="00FC2ACD" w:rsidRPr="00FC2ACD">
        <w:rPr>
          <w:rFonts w:ascii="Times New Roman" w:eastAsia="Calibri" w:hAnsi="Times New Roman" w:cs="Times New Roman"/>
          <w:sz w:val="24"/>
          <w:szCs w:val="24"/>
        </w:rPr>
        <w:t>enable</w:t>
      </w:r>
      <w:r w:rsidR="00A122EE">
        <w:rPr>
          <w:rFonts w:ascii="Times New Roman" w:eastAsia="Calibri" w:hAnsi="Times New Roman" w:cs="Times New Roman"/>
          <w:sz w:val="24"/>
          <w:szCs w:val="24"/>
        </w:rPr>
        <w:t>s</w:t>
      </w:r>
      <w:r w:rsidR="00FC2ACD" w:rsidRPr="00FC2ACD">
        <w:rPr>
          <w:rFonts w:ascii="Times New Roman" w:eastAsia="Calibri" w:hAnsi="Times New Roman" w:cs="Times New Roman"/>
          <w:sz w:val="24"/>
          <w:szCs w:val="24"/>
        </w:rPr>
        <w:t xml:space="preserve"> commercial television broadcasting licensees to carry over points accrued in excess of the new quota from the year in which the points were accrued to the following calendar year, up to a maximum of 50 points</w:t>
      </w:r>
      <w:r w:rsidR="00A122EE">
        <w:rPr>
          <w:rFonts w:ascii="Times New Roman" w:eastAsia="Calibri" w:hAnsi="Times New Roman" w:cs="Times New Roman"/>
          <w:sz w:val="24"/>
          <w:szCs w:val="24"/>
        </w:rPr>
        <w:t xml:space="preserve">. </w:t>
      </w:r>
    </w:p>
    <w:p w14:paraId="49FFAEBD" w14:textId="65912C34" w:rsidR="00FC2ACD" w:rsidRPr="00FC2ACD" w:rsidRDefault="004B1601" w:rsidP="00A122EE">
      <w:pPr>
        <w:spacing w:after="200"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Paragraph </w:t>
      </w:r>
      <w:r w:rsidR="00A122EE">
        <w:rPr>
          <w:rFonts w:ascii="Times New Roman" w:eastAsia="Calibri" w:hAnsi="Times New Roman" w:cs="Times New Roman"/>
          <w:sz w:val="24"/>
          <w:szCs w:val="24"/>
        </w:rPr>
        <w:t xml:space="preserve">6(2)(j) provides for </w:t>
      </w:r>
      <w:r w:rsidR="00FC2ACD" w:rsidRPr="00FC2ACD">
        <w:rPr>
          <w:rFonts w:ascii="Times New Roman" w:eastAsia="Calibri" w:hAnsi="Times New Roman" w:cs="Times New Roman"/>
          <w:sz w:val="24"/>
          <w:szCs w:val="24"/>
        </w:rPr>
        <w:t>Australian official co</w:t>
      </w:r>
      <w:r w:rsidR="00FC2ACD" w:rsidRPr="00FC2ACD">
        <w:rPr>
          <w:rFonts w:ascii="Times New Roman" w:eastAsia="Calibri" w:hAnsi="Times New Roman" w:cs="Times New Roman"/>
          <w:sz w:val="24"/>
          <w:szCs w:val="24"/>
        </w:rPr>
        <w:noBreakHyphen/>
        <w:t>productions, New Zealand programs and Australia</w:t>
      </w:r>
      <w:r w:rsidR="00367C91">
        <w:rPr>
          <w:rFonts w:ascii="Times New Roman" w:eastAsia="Calibri" w:hAnsi="Times New Roman" w:cs="Times New Roman"/>
          <w:sz w:val="24"/>
          <w:szCs w:val="24"/>
        </w:rPr>
        <w:t>n</w:t>
      </w:r>
      <w:r w:rsidR="00FC2ACD" w:rsidRPr="00FC2ACD">
        <w:rPr>
          <w:rFonts w:ascii="Times New Roman" w:eastAsia="Calibri" w:hAnsi="Times New Roman" w:cs="Times New Roman"/>
          <w:sz w:val="24"/>
          <w:szCs w:val="24"/>
        </w:rPr>
        <w:t xml:space="preserve">/New Zealand programs </w:t>
      </w:r>
      <w:r w:rsidR="00A122EE">
        <w:rPr>
          <w:rFonts w:ascii="Times New Roman" w:eastAsia="Calibri" w:hAnsi="Times New Roman" w:cs="Times New Roman"/>
          <w:sz w:val="24"/>
          <w:szCs w:val="24"/>
        </w:rPr>
        <w:t xml:space="preserve">to be </w:t>
      </w:r>
      <w:r w:rsidR="00B87CA8">
        <w:rPr>
          <w:rFonts w:ascii="Times New Roman" w:eastAsia="Calibri" w:hAnsi="Times New Roman" w:cs="Times New Roman"/>
          <w:sz w:val="24"/>
          <w:szCs w:val="24"/>
        </w:rPr>
        <w:t>recognised</w:t>
      </w:r>
      <w:r w:rsidR="00A122EE">
        <w:rPr>
          <w:rFonts w:ascii="Times New Roman" w:eastAsia="Calibri" w:hAnsi="Times New Roman" w:cs="Times New Roman"/>
          <w:sz w:val="24"/>
          <w:szCs w:val="24"/>
        </w:rPr>
        <w:t xml:space="preserve"> </w:t>
      </w:r>
      <w:r w:rsidR="00FC2ACD" w:rsidRPr="00FC2ACD">
        <w:rPr>
          <w:rFonts w:ascii="Times New Roman" w:eastAsia="Calibri" w:hAnsi="Times New Roman" w:cs="Times New Roman"/>
          <w:sz w:val="24"/>
          <w:szCs w:val="24"/>
        </w:rPr>
        <w:t>equally with Australian programs for the purposes of the new quota</w:t>
      </w:r>
      <w:r w:rsidR="00A122EE">
        <w:rPr>
          <w:rFonts w:ascii="Times New Roman" w:eastAsia="Calibri" w:hAnsi="Times New Roman" w:cs="Times New Roman"/>
          <w:sz w:val="24"/>
          <w:szCs w:val="24"/>
        </w:rPr>
        <w:t>.</w:t>
      </w:r>
      <w:r w:rsidR="00FC2ACD" w:rsidRPr="00FC2ACD">
        <w:rPr>
          <w:rFonts w:ascii="Times New Roman" w:eastAsia="Calibri" w:hAnsi="Times New Roman" w:cs="Times New Roman"/>
          <w:sz w:val="24"/>
          <w:szCs w:val="24"/>
        </w:rPr>
        <w:t xml:space="preserve"> </w:t>
      </w:r>
      <w:r w:rsidR="00F772CE">
        <w:rPr>
          <w:rFonts w:ascii="Times New Roman" w:eastAsia="Calibri" w:hAnsi="Times New Roman" w:cs="Times New Roman"/>
          <w:sz w:val="24"/>
          <w:szCs w:val="24"/>
        </w:rPr>
        <w:t xml:space="preserve">As such, where the Direction refers to ‘Australian’ programs elsewhere in sections 6 to 8 and in Schedule 1, </w:t>
      </w:r>
      <w:r w:rsidR="00F14731">
        <w:rPr>
          <w:rFonts w:ascii="Times New Roman" w:eastAsia="Calibri" w:hAnsi="Times New Roman" w:cs="Times New Roman"/>
          <w:sz w:val="24"/>
          <w:szCs w:val="24"/>
        </w:rPr>
        <w:t>these</w:t>
      </w:r>
      <w:r w:rsidR="00F772CE">
        <w:rPr>
          <w:rFonts w:ascii="Times New Roman" w:eastAsia="Calibri" w:hAnsi="Times New Roman" w:cs="Times New Roman"/>
          <w:sz w:val="24"/>
          <w:szCs w:val="24"/>
        </w:rPr>
        <w:t xml:space="preserve"> reference</w:t>
      </w:r>
      <w:r w:rsidR="00F14731">
        <w:rPr>
          <w:rFonts w:ascii="Times New Roman" w:eastAsia="Calibri" w:hAnsi="Times New Roman" w:cs="Times New Roman"/>
          <w:sz w:val="24"/>
          <w:szCs w:val="24"/>
        </w:rPr>
        <w:t>s</w:t>
      </w:r>
      <w:r w:rsidR="00F772CE">
        <w:rPr>
          <w:rFonts w:ascii="Times New Roman" w:eastAsia="Calibri" w:hAnsi="Times New Roman" w:cs="Times New Roman"/>
          <w:sz w:val="24"/>
          <w:szCs w:val="24"/>
        </w:rPr>
        <w:t xml:space="preserve"> should be taken to incorporate this recognition in paragraph 6(2)(j).</w:t>
      </w:r>
      <w:r w:rsidR="00F772CE" w:rsidDel="00F772CE">
        <w:rPr>
          <w:rStyle w:val="CommentReference"/>
          <w:rFonts w:ascii="Times New Roman" w:hAnsi="Times New Roman"/>
        </w:rPr>
        <w:t xml:space="preserve"> </w:t>
      </w:r>
    </w:p>
    <w:p w14:paraId="70DF626C" w14:textId="0FED2239" w:rsidR="00FC2ACD" w:rsidRPr="00FC2ACD" w:rsidRDefault="004B1601" w:rsidP="00A122EE">
      <w:pPr>
        <w:spacing w:after="200"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Paragraph </w:t>
      </w:r>
      <w:r w:rsidR="002F1609">
        <w:rPr>
          <w:rFonts w:ascii="Times New Roman" w:eastAsia="Calibri" w:hAnsi="Times New Roman" w:cs="Times New Roman"/>
          <w:sz w:val="24"/>
          <w:szCs w:val="24"/>
        </w:rPr>
        <w:t xml:space="preserve">6(2)(k) </w:t>
      </w:r>
      <w:r w:rsidR="00FC2ACD" w:rsidRPr="00FC2ACD">
        <w:rPr>
          <w:rFonts w:ascii="Times New Roman" w:eastAsia="Calibri" w:hAnsi="Times New Roman" w:cs="Times New Roman"/>
          <w:sz w:val="24"/>
          <w:szCs w:val="24"/>
        </w:rPr>
        <w:t>provide</w:t>
      </w:r>
      <w:r w:rsidR="002F1609">
        <w:rPr>
          <w:rFonts w:ascii="Times New Roman" w:eastAsia="Calibri" w:hAnsi="Times New Roman" w:cs="Times New Roman"/>
          <w:sz w:val="24"/>
          <w:szCs w:val="24"/>
        </w:rPr>
        <w:t>s</w:t>
      </w:r>
      <w:r w:rsidR="00FC2ACD" w:rsidRPr="00FC2ACD">
        <w:rPr>
          <w:rFonts w:ascii="Times New Roman" w:eastAsia="Calibri" w:hAnsi="Times New Roman" w:cs="Times New Roman"/>
          <w:sz w:val="24"/>
          <w:szCs w:val="24"/>
        </w:rPr>
        <w:t xml:space="preserve"> for the new quota to be deemed to have been complied with by a regional/remote commercial television broadcasting licensee if the amount of first release Australian programs broadcast by the licensee in a given calendar year is not less than the amount broadcast by a metropolitan commercial television broadcasting licensee on an equivalent metropolitan c</w:t>
      </w:r>
      <w:r w:rsidR="002F1609">
        <w:rPr>
          <w:rFonts w:ascii="Times New Roman" w:eastAsia="Calibri" w:hAnsi="Times New Roman" w:cs="Times New Roman"/>
          <w:sz w:val="24"/>
          <w:szCs w:val="24"/>
        </w:rPr>
        <w:t>hannel</w:t>
      </w:r>
      <w:r w:rsidR="00662D43">
        <w:rPr>
          <w:rFonts w:ascii="Times New Roman" w:eastAsia="Calibri" w:hAnsi="Times New Roman" w:cs="Times New Roman"/>
          <w:sz w:val="24"/>
          <w:szCs w:val="24"/>
        </w:rPr>
        <w:t xml:space="preserve"> </w:t>
      </w:r>
      <w:r w:rsidR="00104ED1">
        <w:rPr>
          <w:rFonts w:ascii="Times New Roman" w:eastAsia="Calibri" w:hAnsi="Times New Roman" w:cs="Times New Roman"/>
          <w:sz w:val="24"/>
          <w:szCs w:val="24"/>
        </w:rPr>
        <w:t>(</w:t>
      </w:r>
      <w:r w:rsidR="00EA7F65">
        <w:rPr>
          <w:rFonts w:ascii="Times New Roman" w:eastAsia="Calibri" w:hAnsi="Times New Roman" w:cs="Times New Roman"/>
          <w:sz w:val="24"/>
          <w:szCs w:val="24"/>
        </w:rPr>
        <w:t xml:space="preserve">where that channel is </w:t>
      </w:r>
      <w:r w:rsidR="00104ED1">
        <w:rPr>
          <w:rFonts w:ascii="Times New Roman" w:eastAsia="Calibri" w:hAnsi="Times New Roman" w:cs="Times New Roman"/>
          <w:sz w:val="24"/>
          <w:szCs w:val="24"/>
        </w:rPr>
        <w:t xml:space="preserve">also </w:t>
      </w:r>
      <w:r w:rsidR="002D20A8" w:rsidRPr="000B48B1">
        <w:rPr>
          <w:rFonts w:ascii="Times New Roman" w:eastAsia="Calibri" w:hAnsi="Times New Roman" w:cs="Times New Roman"/>
          <w:sz w:val="24"/>
          <w:szCs w:val="24"/>
        </w:rPr>
        <w:t>broadcast by the regional/remote commercial t</w:t>
      </w:r>
      <w:r w:rsidR="00104ED1" w:rsidRPr="00104ED1">
        <w:rPr>
          <w:rFonts w:ascii="Times New Roman" w:eastAsia="Calibri" w:hAnsi="Times New Roman" w:cs="Times New Roman"/>
          <w:sz w:val="24"/>
          <w:szCs w:val="24"/>
        </w:rPr>
        <w:t>elevision broadcasting licensee</w:t>
      </w:r>
      <w:r w:rsidR="00104ED1">
        <w:rPr>
          <w:rFonts w:ascii="Times New Roman" w:eastAsia="Calibri" w:hAnsi="Times New Roman" w:cs="Times New Roman"/>
          <w:sz w:val="24"/>
          <w:szCs w:val="24"/>
        </w:rPr>
        <w:t xml:space="preserve">) </w:t>
      </w:r>
      <w:r w:rsidR="002D20A8" w:rsidRPr="000B48B1">
        <w:rPr>
          <w:rFonts w:ascii="Times New Roman" w:eastAsia="Calibri" w:hAnsi="Times New Roman" w:cs="Times New Roman"/>
          <w:sz w:val="24"/>
          <w:szCs w:val="24"/>
        </w:rPr>
        <w:t>during the same year.</w:t>
      </w:r>
      <w:r w:rsidR="002D20A8">
        <w:rPr>
          <w:rFonts w:ascii="Times New Roman" w:eastAsia="Calibri" w:hAnsi="Times New Roman" w:cs="Times New Roman"/>
          <w:sz w:val="24"/>
          <w:szCs w:val="24"/>
        </w:rPr>
        <w:t xml:space="preserve"> </w:t>
      </w:r>
      <w:r w:rsidR="00B87CA8">
        <w:rPr>
          <w:rFonts w:ascii="Times New Roman" w:eastAsia="Calibri" w:hAnsi="Times New Roman" w:cs="Times New Roman"/>
          <w:sz w:val="24"/>
          <w:szCs w:val="24"/>
        </w:rPr>
        <w:t xml:space="preserve">This deeming provision </w:t>
      </w:r>
      <w:r>
        <w:rPr>
          <w:rFonts w:ascii="Times New Roman" w:eastAsia="Calibri" w:hAnsi="Times New Roman" w:cs="Times New Roman"/>
          <w:sz w:val="24"/>
          <w:szCs w:val="24"/>
        </w:rPr>
        <w:t>is intended to</w:t>
      </w:r>
      <w:r w:rsidR="00311E5A">
        <w:rPr>
          <w:rFonts w:ascii="Times New Roman" w:eastAsia="Calibri" w:hAnsi="Times New Roman" w:cs="Times New Roman"/>
          <w:sz w:val="24"/>
          <w:szCs w:val="24"/>
        </w:rPr>
        <w:t xml:space="preserve"> provide</w:t>
      </w:r>
      <w:r w:rsidR="00B87CA8">
        <w:rPr>
          <w:rFonts w:ascii="Times New Roman" w:eastAsia="Calibri" w:hAnsi="Times New Roman" w:cs="Times New Roman"/>
          <w:sz w:val="24"/>
          <w:szCs w:val="24"/>
        </w:rPr>
        <w:t xml:space="preserve"> relief to a regional or remote broadcaster that does not carry the full suite of multichannels that the relevant metropolitan affiliate uses to broadcast content to acquit the new quota. </w:t>
      </w:r>
    </w:p>
    <w:p w14:paraId="44CFBA4D" w14:textId="05F56DDF" w:rsidR="00FC2ACD" w:rsidRPr="002F1609" w:rsidRDefault="004B1601" w:rsidP="00A122EE">
      <w:pPr>
        <w:spacing w:after="200"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t xml:space="preserve">Paragraph </w:t>
      </w:r>
      <w:r w:rsidR="002F1609">
        <w:rPr>
          <w:rFonts w:ascii="Times New Roman" w:eastAsia="Calibri" w:hAnsi="Times New Roman" w:cs="Times New Roman"/>
          <w:sz w:val="24"/>
          <w:szCs w:val="24"/>
        </w:rPr>
        <w:t>6(2)(</w:t>
      </w:r>
      <w:r w:rsidR="000873D9">
        <w:rPr>
          <w:rFonts w:ascii="Times New Roman" w:eastAsia="Calibri" w:hAnsi="Times New Roman" w:cs="Times New Roman"/>
          <w:sz w:val="24"/>
          <w:szCs w:val="24"/>
        </w:rPr>
        <w:t>l</w:t>
      </w:r>
      <w:r w:rsidR="002F1609">
        <w:rPr>
          <w:rFonts w:ascii="Times New Roman" w:eastAsia="Calibri" w:hAnsi="Times New Roman" w:cs="Times New Roman"/>
          <w:sz w:val="24"/>
          <w:szCs w:val="24"/>
        </w:rPr>
        <w:t xml:space="preserve">) directs ACMA to </w:t>
      </w:r>
      <w:r w:rsidR="00FC2ACD" w:rsidRPr="00FC2ACD">
        <w:rPr>
          <w:rFonts w:ascii="Times New Roman" w:eastAsia="Calibri" w:hAnsi="Times New Roman" w:cs="Times New Roman"/>
          <w:sz w:val="24"/>
          <w:szCs w:val="24"/>
        </w:rPr>
        <w:t>require commercial television broadcast</w:t>
      </w:r>
      <w:r w:rsidR="002F1609">
        <w:rPr>
          <w:rFonts w:ascii="Times New Roman" w:eastAsia="Calibri" w:hAnsi="Times New Roman" w:cs="Times New Roman"/>
          <w:sz w:val="24"/>
          <w:szCs w:val="24"/>
        </w:rPr>
        <w:t>er</w:t>
      </w:r>
      <w:r w:rsidR="00FC2ACD" w:rsidRPr="00FC2ACD">
        <w:rPr>
          <w:rFonts w:ascii="Times New Roman" w:eastAsia="Calibri" w:hAnsi="Times New Roman" w:cs="Times New Roman"/>
          <w:sz w:val="24"/>
          <w:szCs w:val="24"/>
        </w:rPr>
        <w:t xml:space="preserve">s to provide </w:t>
      </w:r>
      <w:r w:rsidR="002F1609">
        <w:rPr>
          <w:rFonts w:ascii="Times New Roman" w:eastAsia="Calibri" w:hAnsi="Times New Roman" w:cs="Times New Roman"/>
          <w:sz w:val="24"/>
          <w:szCs w:val="24"/>
        </w:rPr>
        <w:t xml:space="preserve">it </w:t>
      </w:r>
      <w:r w:rsidR="00B87CA8">
        <w:rPr>
          <w:rFonts w:ascii="Times New Roman" w:eastAsia="Calibri" w:hAnsi="Times New Roman" w:cs="Times New Roman"/>
          <w:sz w:val="24"/>
          <w:szCs w:val="24"/>
        </w:rPr>
        <w:t xml:space="preserve">with </w:t>
      </w:r>
      <w:r w:rsidR="00FC2ACD" w:rsidRPr="00FC2ACD">
        <w:rPr>
          <w:rFonts w:ascii="Times New Roman" w:eastAsia="Calibri" w:hAnsi="Times New Roman" w:cs="Times New Roman"/>
          <w:sz w:val="24"/>
          <w:szCs w:val="24"/>
        </w:rPr>
        <w:t xml:space="preserve">information </w:t>
      </w:r>
      <w:r w:rsidR="00B87CA8">
        <w:rPr>
          <w:rFonts w:ascii="Times New Roman" w:eastAsia="Calibri" w:hAnsi="Times New Roman" w:cs="Times New Roman"/>
          <w:sz w:val="24"/>
          <w:szCs w:val="24"/>
        </w:rPr>
        <w:t>that</w:t>
      </w:r>
      <w:r w:rsidR="002F1609">
        <w:rPr>
          <w:rFonts w:ascii="Times New Roman" w:eastAsia="Calibri" w:hAnsi="Times New Roman" w:cs="Times New Roman"/>
          <w:sz w:val="24"/>
          <w:szCs w:val="24"/>
        </w:rPr>
        <w:t xml:space="preserve"> </w:t>
      </w:r>
      <w:r w:rsidR="00FC2ACD" w:rsidRPr="00FC2ACD">
        <w:rPr>
          <w:rFonts w:ascii="Times New Roman" w:eastAsia="Calibri" w:hAnsi="Times New Roman" w:cs="Times New Roman"/>
          <w:sz w:val="24"/>
          <w:szCs w:val="24"/>
        </w:rPr>
        <w:t>demonstrat</w:t>
      </w:r>
      <w:r w:rsidR="002F1609">
        <w:rPr>
          <w:rFonts w:ascii="Times New Roman" w:eastAsia="Calibri" w:hAnsi="Times New Roman" w:cs="Times New Roman"/>
          <w:sz w:val="24"/>
          <w:szCs w:val="24"/>
        </w:rPr>
        <w:t>es</w:t>
      </w:r>
      <w:r w:rsidR="00FC2ACD" w:rsidRPr="00FC2ACD">
        <w:rPr>
          <w:rFonts w:ascii="Times New Roman" w:eastAsia="Calibri" w:hAnsi="Times New Roman" w:cs="Times New Roman"/>
          <w:sz w:val="24"/>
          <w:szCs w:val="24"/>
        </w:rPr>
        <w:t xml:space="preserve"> </w:t>
      </w:r>
      <w:r w:rsidR="002F1609">
        <w:rPr>
          <w:rFonts w:ascii="Times New Roman" w:eastAsia="Calibri" w:hAnsi="Times New Roman" w:cs="Times New Roman"/>
          <w:sz w:val="24"/>
          <w:szCs w:val="24"/>
        </w:rPr>
        <w:t>broadcasters’</w:t>
      </w:r>
      <w:r w:rsidR="00FC2ACD" w:rsidRPr="00FC2ACD">
        <w:rPr>
          <w:rFonts w:ascii="Times New Roman" w:eastAsia="Calibri" w:hAnsi="Times New Roman" w:cs="Times New Roman"/>
          <w:sz w:val="24"/>
          <w:szCs w:val="24"/>
        </w:rPr>
        <w:t xml:space="preserve"> compliance with the new quota, </w:t>
      </w:r>
      <w:r w:rsidR="002F1609">
        <w:rPr>
          <w:rFonts w:ascii="Times New Roman" w:eastAsia="Calibri" w:hAnsi="Times New Roman" w:cs="Times New Roman"/>
          <w:sz w:val="24"/>
          <w:szCs w:val="24"/>
        </w:rPr>
        <w:t>and s</w:t>
      </w:r>
      <w:r w:rsidR="002F1609" w:rsidRPr="002F1609">
        <w:rPr>
          <w:rFonts w:ascii="Times New Roman" w:eastAsia="Calibri" w:hAnsi="Times New Roman" w:cs="Times New Roman"/>
          <w:sz w:val="24"/>
          <w:szCs w:val="24"/>
        </w:rPr>
        <w:t>pecifies the kind</w:t>
      </w:r>
      <w:r w:rsidR="00692588">
        <w:rPr>
          <w:rFonts w:ascii="Times New Roman" w:eastAsia="Calibri" w:hAnsi="Times New Roman" w:cs="Times New Roman"/>
          <w:sz w:val="24"/>
          <w:szCs w:val="24"/>
        </w:rPr>
        <w:t>s</w:t>
      </w:r>
      <w:r w:rsidR="002F1609" w:rsidRPr="002F1609">
        <w:rPr>
          <w:rFonts w:ascii="Times New Roman" w:eastAsia="Calibri" w:hAnsi="Times New Roman" w:cs="Times New Roman"/>
          <w:sz w:val="24"/>
          <w:szCs w:val="24"/>
        </w:rPr>
        <w:t xml:space="preserve"> of information </w:t>
      </w:r>
      <w:r w:rsidR="00C51AA3">
        <w:rPr>
          <w:rFonts w:ascii="Times New Roman" w:eastAsia="Calibri" w:hAnsi="Times New Roman" w:cs="Times New Roman"/>
          <w:sz w:val="24"/>
          <w:szCs w:val="24"/>
        </w:rPr>
        <w:t>that</w:t>
      </w:r>
      <w:r w:rsidR="002F1609" w:rsidRPr="002F1609">
        <w:rPr>
          <w:rFonts w:ascii="Times New Roman" w:eastAsia="Calibri" w:hAnsi="Times New Roman" w:cs="Times New Roman"/>
          <w:sz w:val="24"/>
          <w:szCs w:val="24"/>
        </w:rPr>
        <w:t xml:space="preserve"> </w:t>
      </w:r>
      <w:r w:rsidR="00B00879">
        <w:rPr>
          <w:rFonts w:ascii="Times New Roman" w:eastAsia="Calibri" w:hAnsi="Times New Roman" w:cs="Times New Roman"/>
          <w:sz w:val="24"/>
          <w:szCs w:val="24"/>
        </w:rPr>
        <w:t>may be required</w:t>
      </w:r>
      <w:r w:rsidR="002F1609" w:rsidRPr="002F1609">
        <w:rPr>
          <w:rFonts w:ascii="Times New Roman" w:eastAsia="Calibri" w:hAnsi="Times New Roman" w:cs="Times New Roman"/>
          <w:sz w:val="24"/>
          <w:szCs w:val="24"/>
        </w:rPr>
        <w:t>.</w:t>
      </w:r>
    </w:p>
    <w:p w14:paraId="4DB099AF" w14:textId="78DE2B96" w:rsidR="00182493" w:rsidRPr="00A42565" w:rsidRDefault="00FC2ACD" w:rsidP="00A42565">
      <w:pPr>
        <w:ind w:left="0"/>
        <w:rPr>
          <w:rFonts w:ascii="Times New Roman" w:hAnsi="Times New Roman" w:cs="Times New Roman"/>
          <w:sz w:val="24"/>
          <w:szCs w:val="24"/>
        </w:rPr>
      </w:pPr>
      <w:r w:rsidRPr="00A42565">
        <w:rPr>
          <w:rFonts w:ascii="Times New Roman" w:hAnsi="Times New Roman" w:cs="Times New Roman"/>
          <w:sz w:val="24"/>
          <w:szCs w:val="24"/>
          <w:u w:val="single"/>
        </w:rPr>
        <w:t xml:space="preserve">Section 7 </w:t>
      </w:r>
      <w:r w:rsidR="00A42565">
        <w:rPr>
          <w:rFonts w:ascii="Times New Roman" w:hAnsi="Times New Roman" w:cs="Times New Roman"/>
          <w:sz w:val="24"/>
          <w:szCs w:val="24"/>
        </w:rPr>
        <w:t xml:space="preserve">deals with transitional arrangements which will apply during the introduction of the new quota. </w:t>
      </w:r>
    </w:p>
    <w:p w14:paraId="706256CB" w14:textId="670AD68A" w:rsidR="00B87CA8" w:rsidRPr="00AD685B" w:rsidRDefault="00017EFF" w:rsidP="00AD685B">
      <w:pPr>
        <w:pStyle w:val="subsection"/>
        <w:tabs>
          <w:tab w:val="clear" w:pos="1021"/>
          <w:tab w:val="right" w:pos="993"/>
        </w:tabs>
        <w:spacing w:before="0" w:after="200" w:line="276" w:lineRule="auto"/>
        <w:ind w:left="0" w:firstLine="0"/>
        <w:rPr>
          <w:rFonts w:eastAsiaTheme="minorHAnsi"/>
          <w:sz w:val="24"/>
          <w:szCs w:val="24"/>
          <w:lang w:eastAsia="en-US"/>
        </w:rPr>
      </w:pPr>
      <w:r>
        <w:rPr>
          <w:rFonts w:eastAsia="Calibri"/>
          <w:sz w:val="24"/>
          <w:szCs w:val="24"/>
        </w:rPr>
        <w:t xml:space="preserve">Paragraph </w:t>
      </w:r>
      <w:r w:rsidR="00A42565">
        <w:rPr>
          <w:sz w:val="24"/>
          <w:szCs w:val="24"/>
        </w:rPr>
        <w:t xml:space="preserve">7(1)(a) </w:t>
      </w:r>
      <w:r w:rsidR="00FC2ACD" w:rsidRPr="002F1609">
        <w:rPr>
          <w:sz w:val="24"/>
          <w:szCs w:val="24"/>
        </w:rPr>
        <w:t>direct</w:t>
      </w:r>
      <w:r w:rsidR="00A42565">
        <w:rPr>
          <w:sz w:val="24"/>
          <w:szCs w:val="24"/>
        </w:rPr>
        <w:t>s</w:t>
      </w:r>
      <w:r w:rsidR="00FC2ACD" w:rsidRPr="002F1609">
        <w:rPr>
          <w:sz w:val="24"/>
          <w:szCs w:val="24"/>
        </w:rPr>
        <w:t xml:space="preserve"> </w:t>
      </w:r>
      <w:r w:rsidR="00A42565">
        <w:rPr>
          <w:sz w:val="24"/>
          <w:szCs w:val="24"/>
        </w:rPr>
        <w:t xml:space="preserve">ACMA </w:t>
      </w:r>
      <w:r w:rsidR="00FC2ACD" w:rsidRPr="002F1609">
        <w:rPr>
          <w:sz w:val="24"/>
          <w:szCs w:val="24"/>
        </w:rPr>
        <w:t>to</w:t>
      </w:r>
      <w:r w:rsidR="00A42565">
        <w:rPr>
          <w:sz w:val="24"/>
          <w:szCs w:val="24"/>
        </w:rPr>
        <w:t xml:space="preserve"> </w:t>
      </w:r>
      <w:r w:rsidR="00FC2ACD" w:rsidRPr="002F1609">
        <w:rPr>
          <w:sz w:val="24"/>
          <w:szCs w:val="24"/>
        </w:rPr>
        <w:t xml:space="preserve">remove the quota obligations listed in </w:t>
      </w:r>
      <w:r w:rsidR="00A42565" w:rsidRPr="00924608">
        <w:rPr>
          <w:sz w:val="24"/>
          <w:szCs w:val="24"/>
        </w:rPr>
        <w:t>subsection</w:t>
      </w:r>
      <w:r w:rsidR="00FC2ACD" w:rsidRPr="00924608">
        <w:rPr>
          <w:sz w:val="24"/>
          <w:szCs w:val="24"/>
        </w:rPr>
        <w:t xml:space="preserve"> 6(1)</w:t>
      </w:r>
      <w:r w:rsidR="00FC2ACD" w:rsidRPr="002F1609">
        <w:rPr>
          <w:sz w:val="24"/>
          <w:szCs w:val="24"/>
        </w:rPr>
        <w:t xml:space="preserve"> </w:t>
      </w:r>
      <w:r w:rsidR="00FC2ACD" w:rsidRPr="00AD685B">
        <w:rPr>
          <w:rFonts w:eastAsiaTheme="minorHAnsi"/>
          <w:sz w:val="24"/>
          <w:szCs w:val="24"/>
          <w:lang w:eastAsia="en-US"/>
        </w:rPr>
        <w:t>above from 1 January 2021</w:t>
      </w:r>
      <w:r w:rsidR="00924608">
        <w:rPr>
          <w:rFonts w:eastAsiaTheme="minorHAnsi"/>
          <w:sz w:val="24"/>
          <w:szCs w:val="24"/>
          <w:lang w:eastAsia="en-US"/>
        </w:rPr>
        <w:t>.</w:t>
      </w:r>
    </w:p>
    <w:p w14:paraId="58082692" w14:textId="6CDB4635" w:rsidR="00DC3B22" w:rsidRDefault="00017EFF" w:rsidP="00AD685B">
      <w:pPr>
        <w:spacing w:after="200" w:line="276" w:lineRule="auto"/>
        <w:ind w:left="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Paragraph </w:t>
      </w:r>
      <w:r w:rsidR="00A42565" w:rsidRPr="00924608">
        <w:rPr>
          <w:rFonts w:ascii="Times New Roman" w:eastAsia="Calibri" w:hAnsi="Times New Roman" w:cs="Times New Roman"/>
          <w:sz w:val="24"/>
          <w:szCs w:val="24"/>
        </w:rPr>
        <w:t xml:space="preserve">7(1)(b) allows </w:t>
      </w:r>
      <w:r w:rsidR="00DC3B22" w:rsidRPr="00924608">
        <w:rPr>
          <w:rFonts w:ascii="Times New Roman" w:eastAsia="Calibri" w:hAnsi="Times New Roman" w:cs="Times New Roman"/>
          <w:sz w:val="24"/>
          <w:szCs w:val="24"/>
        </w:rPr>
        <w:t xml:space="preserve">annual </w:t>
      </w:r>
      <w:r w:rsidR="00FC2ACD" w:rsidRPr="00924608">
        <w:rPr>
          <w:rFonts w:ascii="Times New Roman" w:eastAsia="Calibri" w:hAnsi="Times New Roman" w:cs="Times New Roman"/>
          <w:sz w:val="24"/>
          <w:szCs w:val="24"/>
        </w:rPr>
        <w:t>reporting obligations for the 2020 compliance year to continue to apply</w:t>
      </w:r>
      <w:r w:rsidR="00C13B63" w:rsidRPr="00924608">
        <w:rPr>
          <w:rFonts w:ascii="Times New Roman" w:eastAsia="Calibri" w:hAnsi="Times New Roman" w:cs="Times New Roman"/>
          <w:sz w:val="24"/>
          <w:szCs w:val="24"/>
        </w:rPr>
        <w:t xml:space="preserve">, </w:t>
      </w:r>
      <w:r w:rsidR="00FC2ACD" w:rsidRPr="00924608">
        <w:rPr>
          <w:rFonts w:ascii="Times New Roman" w:eastAsia="Calibri" w:hAnsi="Times New Roman" w:cs="Times New Roman"/>
          <w:sz w:val="24"/>
          <w:szCs w:val="24"/>
        </w:rPr>
        <w:t xml:space="preserve">but </w:t>
      </w:r>
      <w:r w:rsidR="00C13B63" w:rsidRPr="00924608">
        <w:rPr>
          <w:rFonts w:ascii="Times New Roman" w:eastAsia="Calibri" w:hAnsi="Times New Roman" w:cs="Times New Roman"/>
          <w:sz w:val="24"/>
          <w:szCs w:val="24"/>
        </w:rPr>
        <w:t>directs ACMA that</w:t>
      </w:r>
      <w:r w:rsidR="00FC2ACD" w:rsidRPr="00924608">
        <w:rPr>
          <w:rFonts w:ascii="Times New Roman" w:eastAsia="Calibri" w:hAnsi="Times New Roman" w:cs="Times New Roman"/>
          <w:sz w:val="24"/>
          <w:szCs w:val="24"/>
        </w:rPr>
        <w:t xml:space="preserve"> any </w:t>
      </w:r>
      <w:r w:rsidR="00DC3B22" w:rsidRPr="00924608">
        <w:rPr>
          <w:rFonts w:ascii="Times New Roman" w:eastAsia="Calibri" w:hAnsi="Times New Roman" w:cs="Times New Roman"/>
          <w:sz w:val="24"/>
          <w:szCs w:val="24"/>
        </w:rPr>
        <w:t xml:space="preserve">triennial </w:t>
      </w:r>
      <w:r w:rsidR="00FC2ACD" w:rsidRPr="00924608">
        <w:rPr>
          <w:rFonts w:ascii="Times New Roman" w:eastAsia="Calibri" w:hAnsi="Times New Roman" w:cs="Times New Roman"/>
          <w:sz w:val="24"/>
          <w:szCs w:val="24"/>
        </w:rPr>
        <w:t xml:space="preserve">reporting obligations </w:t>
      </w:r>
      <w:r w:rsidR="00692588">
        <w:rPr>
          <w:rFonts w:ascii="Times New Roman" w:eastAsia="Calibri" w:hAnsi="Times New Roman" w:cs="Times New Roman"/>
          <w:sz w:val="24"/>
          <w:szCs w:val="24"/>
        </w:rPr>
        <w:t xml:space="preserve">are to </w:t>
      </w:r>
      <w:r w:rsidR="00FC2ACD" w:rsidRPr="00924608">
        <w:rPr>
          <w:rFonts w:ascii="Times New Roman" w:eastAsia="Calibri" w:hAnsi="Times New Roman" w:cs="Times New Roman"/>
          <w:sz w:val="24"/>
          <w:szCs w:val="24"/>
        </w:rPr>
        <w:t>cease from 1 January 2021</w:t>
      </w:r>
      <w:r w:rsidR="00B87CA8" w:rsidRPr="00924608">
        <w:rPr>
          <w:rFonts w:ascii="Times New Roman" w:eastAsia="Calibri" w:hAnsi="Times New Roman" w:cs="Times New Roman"/>
          <w:sz w:val="24"/>
          <w:szCs w:val="24"/>
        </w:rPr>
        <w:t>, with the exception of Australian C drama</w:t>
      </w:r>
      <w:r w:rsidR="00C13B63" w:rsidRPr="00924608">
        <w:rPr>
          <w:rFonts w:ascii="Times New Roman" w:eastAsia="Calibri" w:hAnsi="Times New Roman" w:cs="Times New Roman"/>
          <w:sz w:val="24"/>
          <w:szCs w:val="24"/>
        </w:rPr>
        <w:t>.</w:t>
      </w:r>
      <w:r w:rsidR="00DC3B22" w:rsidRPr="00924608">
        <w:rPr>
          <w:rFonts w:ascii="Times New Roman" w:eastAsia="Calibri" w:hAnsi="Times New Roman" w:cs="Times New Roman"/>
          <w:sz w:val="24"/>
          <w:szCs w:val="24"/>
        </w:rPr>
        <w:t xml:space="preserve"> New reporting obligations are put in place from the 2021 compliance year onwards. </w:t>
      </w:r>
    </w:p>
    <w:p w14:paraId="6521E7DA" w14:textId="4CA8BAFA" w:rsidR="00FC2ACD" w:rsidRPr="00AD685B" w:rsidRDefault="00017EFF" w:rsidP="00AD685B">
      <w:pPr>
        <w:spacing w:after="200" w:line="276" w:lineRule="auto"/>
        <w:ind w:left="0"/>
        <w:rPr>
          <w:rFonts w:eastAsia="Calibri"/>
          <w:sz w:val="24"/>
          <w:szCs w:val="24"/>
        </w:rPr>
      </w:pPr>
      <w:r>
        <w:rPr>
          <w:rFonts w:ascii="Times New Roman" w:eastAsia="Calibri" w:hAnsi="Times New Roman" w:cs="Times New Roman"/>
          <w:sz w:val="24"/>
          <w:szCs w:val="24"/>
        </w:rPr>
        <w:t xml:space="preserve">Paragraph </w:t>
      </w:r>
      <w:r w:rsidR="007B0DE3" w:rsidRPr="00AD685B">
        <w:rPr>
          <w:rFonts w:ascii="Times New Roman" w:eastAsia="Calibri" w:hAnsi="Times New Roman" w:cs="Times New Roman"/>
          <w:sz w:val="24"/>
          <w:szCs w:val="24"/>
        </w:rPr>
        <w:t xml:space="preserve">7(1)(c) </w:t>
      </w:r>
      <w:r w:rsidR="00FC2ACD" w:rsidRPr="00AD685B">
        <w:rPr>
          <w:rFonts w:ascii="Times New Roman" w:eastAsia="Calibri" w:hAnsi="Times New Roman" w:cs="Times New Roman"/>
          <w:sz w:val="24"/>
          <w:szCs w:val="24"/>
        </w:rPr>
        <w:t>provide</w:t>
      </w:r>
      <w:r w:rsidR="007B0DE3" w:rsidRPr="00AD685B">
        <w:rPr>
          <w:rFonts w:ascii="Times New Roman" w:eastAsia="Calibri" w:hAnsi="Times New Roman" w:cs="Times New Roman"/>
          <w:sz w:val="24"/>
          <w:szCs w:val="24"/>
        </w:rPr>
        <w:t>s</w:t>
      </w:r>
      <w:r w:rsidR="00FC2ACD" w:rsidRPr="00AD685B">
        <w:rPr>
          <w:rFonts w:ascii="Times New Roman" w:eastAsia="Calibri" w:hAnsi="Times New Roman" w:cs="Times New Roman"/>
          <w:sz w:val="24"/>
          <w:szCs w:val="24"/>
        </w:rPr>
        <w:t xml:space="preserve"> that any first release </w:t>
      </w:r>
      <w:r w:rsidR="00D66D30">
        <w:rPr>
          <w:rFonts w:ascii="Times New Roman" w:eastAsia="Calibri" w:hAnsi="Times New Roman" w:cs="Times New Roman"/>
          <w:sz w:val="24"/>
          <w:szCs w:val="24"/>
        </w:rPr>
        <w:t xml:space="preserve">Australian </w:t>
      </w:r>
      <w:r w:rsidR="00692588">
        <w:rPr>
          <w:rFonts w:ascii="Times New Roman" w:eastAsia="Calibri" w:hAnsi="Times New Roman" w:cs="Times New Roman"/>
          <w:sz w:val="24"/>
          <w:szCs w:val="24"/>
        </w:rPr>
        <w:t xml:space="preserve">films acquired before 1 January 2021, and any other </w:t>
      </w:r>
      <w:r w:rsidR="006C4BD9">
        <w:rPr>
          <w:rFonts w:ascii="Times New Roman" w:eastAsia="Calibri" w:hAnsi="Times New Roman" w:cs="Times New Roman"/>
          <w:sz w:val="24"/>
          <w:szCs w:val="24"/>
        </w:rPr>
        <w:t xml:space="preserve">first release </w:t>
      </w:r>
      <w:r w:rsidR="00FC2ACD" w:rsidRPr="00AD685B">
        <w:rPr>
          <w:rFonts w:ascii="Times New Roman" w:eastAsia="Calibri" w:hAnsi="Times New Roman" w:cs="Times New Roman"/>
          <w:sz w:val="24"/>
          <w:szCs w:val="24"/>
        </w:rPr>
        <w:t>Australian programs commissioned before 1</w:t>
      </w:r>
      <w:r w:rsidR="007B0DE3" w:rsidRPr="00AD685B">
        <w:rPr>
          <w:rFonts w:ascii="Times New Roman" w:eastAsia="Calibri" w:hAnsi="Times New Roman" w:cs="Times New Roman"/>
          <w:sz w:val="24"/>
          <w:szCs w:val="24"/>
        </w:rPr>
        <w:t> </w:t>
      </w:r>
      <w:r w:rsidR="00FC2ACD" w:rsidRPr="00AD685B">
        <w:rPr>
          <w:rFonts w:ascii="Times New Roman" w:eastAsia="Calibri" w:hAnsi="Times New Roman" w:cs="Times New Roman"/>
          <w:sz w:val="24"/>
          <w:szCs w:val="24"/>
        </w:rPr>
        <w:t xml:space="preserve">January 2021, </w:t>
      </w:r>
      <w:r w:rsidR="007B0DE3" w:rsidRPr="00AD685B">
        <w:rPr>
          <w:rFonts w:ascii="Times New Roman" w:eastAsia="Calibri" w:hAnsi="Times New Roman" w:cs="Times New Roman"/>
          <w:sz w:val="24"/>
          <w:szCs w:val="24"/>
        </w:rPr>
        <w:t xml:space="preserve">which are </w:t>
      </w:r>
      <w:r w:rsidR="00FC2ACD" w:rsidRPr="00AD685B">
        <w:rPr>
          <w:rFonts w:ascii="Times New Roman" w:eastAsia="Calibri" w:hAnsi="Times New Roman" w:cs="Times New Roman"/>
          <w:sz w:val="24"/>
          <w:szCs w:val="24"/>
        </w:rPr>
        <w:t>broadcast on or after 1 January 2021, may be used to acquit the new quota for the 2021</w:t>
      </w:r>
      <w:r w:rsidR="007B0DE3" w:rsidRPr="00AD685B">
        <w:rPr>
          <w:rFonts w:ascii="Times New Roman" w:eastAsia="Calibri" w:hAnsi="Times New Roman" w:cs="Times New Roman"/>
          <w:sz w:val="24"/>
          <w:szCs w:val="24"/>
        </w:rPr>
        <w:t xml:space="preserve"> compliance year.</w:t>
      </w:r>
      <w:r w:rsidR="000D0A5D">
        <w:rPr>
          <w:rFonts w:ascii="Times New Roman" w:eastAsia="Calibri" w:hAnsi="Times New Roman" w:cs="Times New Roman"/>
          <w:sz w:val="24"/>
          <w:szCs w:val="24"/>
        </w:rPr>
        <w:t xml:space="preserve"> </w:t>
      </w:r>
    </w:p>
    <w:p w14:paraId="60C88922" w14:textId="63517D5F" w:rsidR="00FC2ACD" w:rsidRPr="002F1609" w:rsidRDefault="006C4BD9" w:rsidP="006979C6">
      <w:pPr>
        <w:pStyle w:val="subsection"/>
        <w:tabs>
          <w:tab w:val="clear" w:pos="1021"/>
          <w:tab w:val="right" w:pos="567"/>
        </w:tabs>
        <w:spacing w:before="0" w:after="200" w:line="276" w:lineRule="auto"/>
        <w:ind w:left="0" w:firstLine="0"/>
        <w:rPr>
          <w:sz w:val="24"/>
          <w:szCs w:val="24"/>
        </w:rPr>
      </w:pPr>
      <w:r>
        <w:rPr>
          <w:rFonts w:eastAsia="Calibri"/>
          <w:sz w:val="24"/>
          <w:szCs w:val="24"/>
        </w:rPr>
        <w:t xml:space="preserve">Paragraph </w:t>
      </w:r>
      <w:r w:rsidR="007B0DE3">
        <w:rPr>
          <w:sz w:val="24"/>
          <w:szCs w:val="24"/>
        </w:rPr>
        <w:t xml:space="preserve">7(1)(d) directs ACMA not to allow </w:t>
      </w:r>
      <w:r w:rsidR="00FC2ACD" w:rsidRPr="002F1609">
        <w:rPr>
          <w:sz w:val="24"/>
          <w:szCs w:val="24"/>
        </w:rPr>
        <w:t xml:space="preserve">other Australian first release programs acquired before 1 January 2021 </w:t>
      </w:r>
      <w:r w:rsidR="007B0DE3">
        <w:rPr>
          <w:sz w:val="24"/>
          <w:szCs w:val="24"/>
        </w:rPr>
        <w:t>to</w:t>
      </w:r>
      <w:r w:rsidR="00FC2ACD" w:rsidRPr="002F1609">
        <w:rPr>
          <w:sz w:val="24"/>
          <w:szCs w:val="24"/>
        </w:rPr>
        <w:t xml:space="preserve"> be used to acquit the new quota</w:t>
      </w:r>
      <w:r w:rsidR="007B0DE3">
        <w:rPr>
          <w:sz w:val="24"/>
          <w:szCs w:val="24"/>
        </w:rPr>
        <w:t xml:space="preserve">. However, these programs </w:t>
      </w:r>
      <w:r w:rsidR="00FC2ACD" w:rsidRPr="002F1609">
        <w:rPr>
          <w:sz w:val="24"/>
          <w:szCs w:val="24"/>
        </w:rPr>
        <w:t xml:space="preserve">may still be used to acquit the overall Australian content transmission </w:t>
      </w:r>
      <w:r w:rsidR="007B0DE3">
        <w:rPr>
          <w:sz w:val="24"/>
          <w:szCs w:val="24"/>
        </w:rPr>
        <w:t>quota in section 121G of the BSA.</w:t>
      </w:r>
    </w:p>
    <w:p w14:paraId="0841CF9F" w14:textId="0190ACA4" w:rsidR="00FC2ACD" w:rsidRPr="002F1609" w:rsidRDefault="006C4BD9" w:rsidP="006979C6">
      <w:pPr>
        <w:pStyle w:val="subsection"/>
        <w:tabs>
          <w:tab w:val="clear" w:pos="1021"/>
          <w:tab w:val="right" w:pos="567"/>
        </w:tabs>
        <w:spacing w:before="0" w:after="200" w:line="276" w:lineRule="auto"/>
        <w:ind w:left="0" w:firstLine="0"/>
        <w:rPr>
          <w:sz w:val="24"/>
          <w:szCs w:val="24"/>
        </w:rPr>
      </w:pPr>
      <w:r>
        <w:rPr>
          <w:rFonts w:eastAsia="Calibri"/>
          <w:sz w:val="24"/>
          <w:szCs w:val="24"/>
        </w:rPr>
        <w:t xml:space="preserve">Paragraph </w:t>
      </w:r>
      <w:r w:rsidR="007B0DE3">
        <w:rPr>
          <w:sz w:val="24"/>
          <w:szCs w:val="24"/>
        </w:rPr>
        <w:t>7(1)(e) directs ACMA not to allow</w:t>
      </w:r>
      <w:r w:rsidR="00FC2ACD" w:rsidRPr="002F1609">
        <w:rPr>
          <w:sz w:val="24"/>
          <w:szCs w:val="24"/>
        </w:rPr>
        <w:t xml:space="preserve"> licensees </w:t>
      </w:r>
      <w:r w:rsidR="007B0DE3">
        <w:rPr>
          <w:sz w:val="24"/>
          <w:szCs w:val="24"/>
        </w:rPr>
        <w:t xml:space="preserve">to </w:t>
      </w:r>
      <w:r w:rsidR="00FC2ACD" w:rsidRPr="002F1609">
        <w:rPr>
          <w:sz w:val="24"/>
          <w:szCs w:val="24"/>
        </w:rPr>
        <w:t xml:space="preserve">carry forward any points or program hours accrued in excess of </w:t>
      </w:r>
      <w:r w:rsidR="007B0DE3">
        <w:rPr>
          <w:sz w:val="24"/>
          <w:szCs w:val="24"/>
        </w:rPr>
        <w:t>the</w:t>
      </w:r>
      <w:r w:rsidR="00FC2ACD" w:rsidRPr="002F1609">
        <w:rPr>
          <w:sz w:val="24"/>
          <w:szCs w:val="24"/>
        </w:rPr>
        <w:t xml:space="preserve"> annual sub-quotas </w:t>
      </w:r>
      <w:r w:rsidR="007B0DE3">
        <w:rPr>
          <w:sz w:val="24"/>
          <w:szCs w:val="24"/>
        </w:rPr>
        <w:t xml:space="preserve">which applied during </w:t>
      </w:r>
      <w:r w:rsidR="00FC2ACD" w:rsidRPr="002F1609">
        <w:rPr>
          <w:sz w:val="24"/>
          <w:szCs w:val="24"/>
        </w:rPr>
        <w:t>2020</w:t>
      </w:r>
      <w:r w:rsidR="007B0DE3">
        <w:rPr>
          <w:sz w:val="24"/>
          <w:szCs w:val="24"/>
        </w:rPr>
        <w:t>.</w:t>
      </w:r>
      <w:r w:rsidR="00486A92">
        <w:rPr>
          <w:sz w:val="24"/>
          <w:szCs w:val="24"/>
        </w:rPr>
        <w:t xml:space="preserve"> However, programs or films commissioned or acquired (respectively) before 1 January 2021 can be used to acquit the new quota for the 2021 compliance year, as per </w:t>
      </w:r>
      <w:r>
        <w:rPr>
          <w:sz w:val="24"/>
          <w:szCs w:val="24"/>
        </w:rPr>
        <w:t>p</w:t>
      </w:r>
      <w:r>
        <w:rPr>
          <w:rFonts w:eastAsia="Calibri"/>
          <w:sz w:val="24"/>
          <w:szCs w:val="24"/>
        </w:rPr>
        <w:t xml:space="preserve">aragraph </w:t>
      </w:r>
      <w:r w:rsidR="00486A92">
        <w:rPr>
          <w:sz w:val="24"/>
          <w:szCs w:val="24"/>
        </w:rPr>
        <w:t xml:space="preserve">subsection 7(1)(c). </w:t>
      </w:r>
    </w:p>
    <w:p w14:paraId="24F9C53C" w14:textId="31314A6F" w:rsidR="00FC2ACD" w:rsidRPr="00E91FFA" w:rsidRDefault="00FC2ACD" w:rsidP="006979C6">
      <w:pPr>
        <w:spacing w:after="200" w:line="276" w:lineRule="auto"/>
        <w:ind w:left="0"/>
        <w:rPr>
          <w:rFonts w:ascii="Times New Roman" w:hAnsi="Times New Roman" w:cs="Times New Roman"/>
          <w:sz w:val="24"/>
          <w:szCs w:val="24"/>
        </w:rPr>
      </w:pPr>
      <w:r w:rsidRPr="00E91FFA">
        <w:rPr>
          <w:rFonts w:ascii="Times New Roman" w:hAnsi="Times New Roman" w:cs="Times New Roman"/>
          <w:sz w:val="24"/>
          <w:szCs w:val="24"/>
          <w:u w:val="single"/>
        </w:rPr>
        <w:t xml:space="preserve">Section 8 </w:t>
      </w:r>
      <w:r w:rsidR="00E91FFA">
        <w:rPr>
          <w:rFonts w:ascii="Times New Roman" w:hAnsi="Times New Roman" w:cs="Times New Roman"/>
          <w:sz w:val="24"/>
          <w:szCs w:val="24"/>
        </w:rPr>
        <w:t>covers the measures intended to protect children from the possible harmful effects of television. The intention is that, should commercial free-to-air television bro</w:t>
      </w:r>
      <w:r w:rsidR="00486A92">
        <w:rPr>
          <w:rFonts w:ascii="Times New Roman" w:hAnsi="Times New Roman" w:cs="Times New Roman"/>
          <w:sz w:val="24"/>
          <w:szCs w:val="24"/>
        </w:rPr>
        <w:t xml:space="preserve">adcasters choose to broadcast </w:t>
      </w:r>
      <w:r w:rsidR="00E91FFA">
        <w:rPr>
          <w:rFonts w:ascii="Times New Roman" w:hAnsi="Times New Roman" w:cs="Times New Roman"/>
          <w:sz w:val="24"/>
          <w:szCs w:val="24"/>
        </w:rPr>
        <w:t xml:space="preserve">material which meets the criteria for C and P programs, the existing child protection measures contained in the </w:t>
      </w:r>
      <w:r w:rsidR="00E91FFA" w:rsidRPr="00E91FFA">
        <w:rPr>
          <w:rFonts w:ascii="Times New Roman" w:hAnsi="Times New Roman" w:cs="Times New Roman"/>
          <w:i/>
          <w:sz w:val="24"/>
          <w:szCs w:val="24"/>
        </w:rPr>
        <w:t>Children's Television Standards 2016</w:t>
      </w:r>
      <w:r w:rsidR="00E91FFA">
        <w:rPr>
          <w:rFonts w:ascii="Times New Roman" w:hAnsi="Times New Roman" w:cs="Times New Roman"/>
          <w:sz w:val="24"/>
          <w:szCs w:val="24"/>
        </w:rPr>
        <w:t xml:space="preserve"> (CTS) will continue to apply. </w:t>
      </w:r>
    </w:p>
    <w:p w14:paraId="139B3A5F" w14:textId="1195C57F" w:rsidR="00FC2ACD" w:rsidRPr="002F1609" w:rsidRDefault="006C4BD9" w:rsidP="00F50A16">
      <w:pPr>
        <w:pStyle w:val="subsection"/>
        <w:tabs>
          <w:tab w:val="clear" w:pos="1021"/>
          <w:tab w:val="right" w:pos="993"/>
        </w:tabs>
        <w:spacing w:before="0" w:after="200" w:line="276" w:lineRule="auto"/>
        <w:ind w:left="0" w:firstLine="0"/>
        <w:rPr>
          <w:sz w:val="24"/>
          <w:szCs w:val="24"/>
        </w:rPr>
      </w:pPr>
      <w:r>
        <w:rPr>
          <w:rFonts w:eastAsia="Calibri"/>
          <w:sz w:val="24"/>
          <w:szCs w:val="24"/>
        </w:rPr>
        <w:t xml:space="preserve">Subparagraph </w:t>
      </w:r>
      <w:r w:rsidR="00F50A16">
        <w:rPr>
          <w:sz w:val="24"/>
          <w:szCs w:val="24"/>
        </w:rPr>
        <w:t>8(1)(a)</w:t>
      </w:r>
      <w:r w:rsidR="00486A92">
        <w:rPr>
          <w:sz w:val="24"/>
          <w:szCs w:val="24"/>
        </w:rPr>
        <w:t>(</w:t>
      </w:r>
      <w:r w:rsidR="00F50A16">
        <w:rPr>
          <w:sz w:val="24"/>
          <w:szCs w:val="24"/>
        </w:rPr>
        <w:t>i</w:t>
      </w:r>
      <w:r w:rsidR="00486A92">
        <w:rPr>
          <w:sz w:val="24"/>
          <w:szCs w:val="24"/>
        </w:rPr>
        <w:t>)</w:t>
      </w:r>
      <w:r w:rsidR="00F50A16">
        <w:rPr>
          <w:sz w:val="24"/>
          <w:szCs w:val="24"/>
        </w:rPr>
        <w:t xml:space="preserve"> </w:t>
      </w:r>
      <w:r w:rsidR="00FC2ACD" w:rsidRPr="002F1609">
        <w:rPr>
          <w:sz w:val="24"/>
          <w:szCs w:val="24"/>
        </w:rPr>
        <w:t>direct</w:t>
      </w:r>
      <w:r w:rsidR="00F50A16">
        <w:rPr>
          <w:sz w:val="24"/>
          <w:szCs w:val="24"/>
        </w:rPr>
        <w:t>s</w:t>
      </w:r>
      <w:r w:rsidR="00FC2ACD" w:rsidRPr="002F1609">
        <w:rPr>
          <w:sz w:val="24"/>
          <w:szCs w:val="24"/>
        </w:rPr>
        <w:t xml:space="preserve"> </w:t>
      </w:r>
      <w:r w:rsidR="00F50A16">
        <w:rPr>
          <w:sz w:val="24"/>
          <w:szCs w:val="24"/>
        </w:rPr>
        <w:t xml:space="preserve">ACMA to </w:t>
      </w:r>
      <w:r w:rsidR="00FC2ACD" w:rsidRPr="002F1609">
        <w:rPr>
          <w:sz w:val="24"/>
          <w:szCs w:val="24"/>
        </w:rPr>
        <w:t xml:space="preserve">retain </w:t>
      </w:r>
      <w:r w:rsidR="00F50A16">
        <w:rPr>
          <w:sz w:val="24"/>
          <w:szCs w:val="24"/>
        </w:rPr>
        <w:t xml:space="preserve">those </w:t>
      </w:r>
      <w:r w:rsidR="00FC2ACD" w:rsidRPr="002F1609">
        <w:rPr>
          <w:sz w:val="24"/>
          <w:szCs w:val="24"/>
        </w:rPr>
        <w:t>requirements</w:t>
      </w:r>
      <w:r w:rsidR="00F50A16">
        <w:rPr>
          <w:sz w:val="24"/>
          <w:szCs w:val="24"/>
        </w:rPr>
        <w:t xml:space="preserve"> which</w:t>
      </w:r>
      <w:r w:rsidR="00FC2ACD" w:rsidRPr="002F1609">
        <w:rPr>
          <w:sz w:val="24"/>
          <w:szCs w:val="24"/>
        </w:rPr>
        <w:t xml:space="preserve"> relat</w:t>
      </w:r>
      <w:r w:rsidR="00F50A16">
        <w:rPr>
          <w:sz w:val="24"/>
          <w:szCs w:val="24"/>
        </w:rPr>
        <w:t>e</w:t>
      </w:r>
      <w:r w:rsidR="00FC2ACD" w:rsidRPr="002F1609">
        <w:rPr>
          <w:sz w:val="24"/>
          <w:szCs w:val="24"/>
        </w:rPr>
        <w:t xml:space="preserve"> to the protection of children that are equivalent to those set out in CTS 30 – CTS 34</w:t>
      </w:r>
      <w:r w:rsidR="00F50A16">
        <w:rPr>
          <w:sz w:val="24"/>
          <w:szCs w:val="24"/>
        </w:rPr>
        <w:t>.</w:t>
      </w:r>
      <w:r w:rsidR="00FC2ACD" w:rsidRPr="002F1609">
        <w:rPr>
          <w:sz w:val="24"/>
          <w:szCs w:val="24"/>
        </w:rPr>
        <w:t xml:space="preserve"> </w:t>
      </w:r>
    </w:p>
    <w:p w14:paraId="451AF88C" w14:textId="39E4A29C" w:rsidR="00FC2ACD" w:rsidRPr="002F1609" w:rsidRDefault="006C4BD9" w:rsidP="00634EB4">
      <w:pPr>
        <w:pStyle w:val="subsection"/>
        <w:tabs>
          <w:tab w:val="clear" w:pos="1021"/>
          <w:tab w:val="right" w:pos="1418"/>
        </w:tabs>
        <w:spacing w:before="0" w:after="200" w:line="276" w:lineRule="auto"/>
        <w:ind w:left="0" w:firstLine="0"/>
        <w:rPr>
          <w:sz w:val="24"/>
          <w:szCs w:val="24"/>
        </w:rPr>
      </w:pPr>
      <w:r>
        <w:rPr>
          <w:rFonts w:eastAsia="Calibri"/>
          <w:sz w:val="24"/>
          <w:szCs w:val="24"/>
        </w:rPr>
        <w:t>Subparagraph</w:t>
      </w:r>
      <w:r w:rsidDel="006C4BD9">
        <w:rPr>
          <w:sz w:val="24"/>
          <w:szCs w:val="24"/>
        </w:rPr>
        <w:t xml:space="preserve"> </w:t>
      </w:r>
      <w:r w:rsidR="00F50A16">
        <w:rPr>
          <w:sz w:val="24"/>
          <w:szCs w:val="24"/>
        </w:rPr>
        <w:t>8(1)(a)</w:t>
      </w:r>
      <w:r w:rsidR="00486A92">
        <w:rPr>
          <w:sz w:val="24"/>
          <w:szCs w:val="24"/>
        </w:rPr>
        <w:t>(</w:t>
      </w:r>
      <w:r w:rsidR="00F50A16">
        <w:rPr>
          <w:sz w:val="24"/>
          <w:szCs w:val="24"/>
        </w:rPr>
        <w:t>ii</w:t>
      </w:r>
      <w:r w:rsidR="00486A92">
        <w:rPr>
          <w:sz w:val="24"/>
          <w:szCs w:val="24"/>
        </w:rPr>
        <w:t>)</w:t>
      </w:r>
      <w:r w:rsidR="00F50A16">
        <w:rPr>
          <w:sz w:val="24"/>
          <w:szCs w:val="24"/>
        </w:rPr>
        <w:t xml:space="preserve"> directs ACMA to </w:t>
      </w:r>
      <w:r w:rsidR="00FC2ACD" w:rsidRPr="002F1609">
        <w:rPr>
          <w:sz w:val="24"/>
          <w:szCs w:val="24"/>
        </w:rPr>
        <w:t xml:space="preserve">retain </w:t>
      </w:r>
      <w:r w:rsidR="00F50A16">
        <w:rPr>
          <w:sz w:val="24"/>
          <w:szCs w:val="24"/>
        </w:rPr>
        <w:t xml:space="preserve">child protection </w:t>
      </w:r>
      <w:r w:rsidR="00FC2ACD" w:rsidRPr="002F1609">
        <w:rPr>
          <w:sz w:val="24"/>
          <w:szCs w:val="24"/>
        </w:rPr>
        <w:t>requirements equivalent to those set out in Part 3 of the CTS (excluding CTS 30 – CTS 34), but</w:t>
      </w:r>
      <w:r w:rsidR="00F50A16">
        <w:rPr>
          <w:sz w:val="24"/>
          <w:szCs w:val="24"/>
        </w:rPr>
        <w:t xml:space="preserve"> to</w:t>
      </w:r>
      <w:r w:rsidR="00FC2ACD" w:rsidRPr="002F1609">
        <w:rPr>
          <w:sz w:val="24"/>
          <w:szCs w:val="24"/>
        </w:rPr>
        <w:t xml:space="preserve"> specify that these protections apply to any C program or P program broadcast between 6:00am and midnight</w:t>
      </w:r>
      <w:r>
        <w:rPr>
          <w:sz w:val="24"/>
          <w:szCs w:val="24"/>
        </w:rPr>
        <w:t xml:space="preserve"> (rather than at all times as currently)</w:t>
      </w:r>
      <w:r w:rsidR="00F50A16">
        <w:rPr>
          <w:sz w:val="24"/>
          <w:szCs w:val="24"/>
        </w:rPr>
        <w:t>.</w:t>
      </w:r>
      <w:r w:rsidR="00FC2ACD" w:rsidRPr="002F1609">
        <w:rPr>
          <w:sz w:val="24"/>
          <w:szCs w:val="24"/>
        </w:rPr>
        <w:t xml:space="preserve"> </w:t>
      </w:r>
    </w:p>
    <w:p w14:paraId="36BDE8E1" w14:textId="1B17C582" w:rsidR="00FC2ACD" w:rsidRPr="002F1609" w:rsidRDefault="006C4BD9" w:rsidP="00634EB4">
      <w:pPr>
        <w:pStyle w:val="subsection"/>
        <w:tabs>
          <w:tab w:val="clear" w:pos="1021"/>
          <w:tab w:val="right" w:pos="1418"/>
        </w:tabs>
        <w:spacing w:before="0" w:after="200" w:line="276" w:lineRule="auto"/>
        <w:ind w:left="0" w:firstLine="0"/>
        <w:rPr>
          <w:sz w:val="24"/>
          <w:szCs w:val="24"/>
        </w:rPr>
      </w:pPr>
      <w:r>
        <w:rPr>
          <w:sz w:val="24"/>
          <w:szCs w:val="24"/>
        </w:rPr>
        <w:t>Paragraph</w:t>
      </w:r>
      <w:r w:rsidR="0027094F">
        <w:rPr>
          <w:sz w:val="24"/>
          <w:szCs w:val="24"/>
        </w:rPr>
        <w:t xml:space="preserve"> 8(1)(b) will </w:t>
      </w:r>
      <w:r w:rsidR="00FC2ACD" w:rsidRPr="002F1609">
        <w:rPr>
          <w:sz w:val="24"/>
          <w:szCs w:val="24"/>
        </w:rPr>
        <w:t>require commercial television broadcasting licensees to identify any C program or P program</w:t>
      </w:r>
      <w:r w:rsidR="0027094F">
        <w:rPr>
          <w:sz w:val="24"/>
          <w:szCs w:val="24"/>
        </w:rPr>
        <w:t>s</w:t>
      </w:r>
      <w:r w:rsidR="00FC2ACD" w:rsidRPr="002F1609">
        <w:rPr>
          <w:sz w:val="24"/>
          <w:szCs w:val="24"/>
        </w:rPr>
        <w:t xml:space="preserve"> broadcast </w:t>
      </w:r>
      <w:r w:rsidR="0027094F">
        <w:rPr>
          <w:sz w:val="24"/>
          <w:szCs w:val="24"/>
        </w:rPr>
        <w:t xml:space="preserve">by </w:t>
      </w:r>
      <w:r w:rsidR="00FC2ACD" w:rsidRPr="002F1609">
        <w:rPr>
          <w:sz w:val="24"/>
          <w:szCs w:val="24"/>
        </w:rPr>
        <w:t xml:space="preserve">using the applicable C or P symbol, and to include </w:t>
      </w:r>
      <w:r w:rsidR="0027094F">
        <w:rPr>
          <w:sz w:val="24"/>
          <w:szCs w:val="24"/>
        </w:rPr>
        <w:t>these</w:t>
      </w:r>
      <w:r w:rsidR="00FC2ACD" w:rsidRPr="002F1609">
        <w:rPr>
          <w:sz w:val="24"/>
          <w:szCs w:val="24"/>
        </w:rPr>
        <w:t xml:space="preserve"> symbols in broadcast schedules, electronic program guides and on </w:t>
      </w:r>
      <w:r w:rsidR="0027094F">
        <w:rPr>
          <w:sz w:val="24"/>
          <w:szCs w:val="24"/>
        </w:rPr>
        <w:t>their</w:t>
      </w:r>
      <w:r w:rsidR="00FC2ACD" w:rsidRPr="002F1609">
        <w:rPr>
          <w:sz w:val="24"/>
          <w:szCs w:val="24"/>
        </w:rPr>
        <w:t xml:space="preserve"> websites</w:t>
      </w:r>
      <w:r w:rsidR="0027094F">
        <w:rPr>
          <w:sz w:val="24"/>
          <w:szCs w:val="24"/>
        </w:rPr>
        <w:t>.</w:t>
      </w:r>
    </w:p>
    <w:p w14:paraId="2E9BC74C" w14:textId="14950950" w:rsidR="00FC2ACD" w:rsidRPr="002F1609" w:rsidRDefault="006C4BD9" w:rsidP="00634EB4">
      <w:pPr>
        <w:pStyle w:val="subsection"/>
        <w:tabs>
          <w:tab w:val="clear" w:pos="1021"/>
          <w:tab w:val="right" w:pos="1418"/>
        </w:tabs>
        <w:spacing w:before="0" w:after="200" w:line="276" w:lineRule="auto"/>
        <w:ind w:left="0" w:firstLine="0"/>
        <w:rPr>
          <w:sz w:val="24"/>
          <w:szCs w:val="24"/>
        </w:rPr>
      </w:pPr>
      <w:r>
        <w:rPr>
          <w:sz w:val="24"/>
          <w:szCs w:val="24"/>
        </w:rPr>
        <w:t xml:space="preserve">Paragraph </w:t>
      </w:r>
      <w:r w:rsidR="0027094F">
        <w:rPr>
          <w:sz w:val="24"/>
          <w:szCs w:val="24"/>
        </w:rPr>
        <w:t xml:space="preserve">8(1)(c) </w:t>
      </w:r>
      <w:r w:rsidR="00277520">
        <w:rPr>
          <w:sz w:val="24"/>
          <w:szCs w:val="24"/>
        </w:rPr>
        <w:t>directs</w:t>
      </w:r>
      <w:r w:rsidR="00FC2ACD" w:rsidRPr="002F1609">
        <w:rPr>
          <w:sz w:val="24"/>
          <w:szCs w:val="24"/>
        </w:rPr>
        <w:t xml:space="preserve"> ACMA </w:t>
      </w:r>
      <w:r w:rsidR="00277520">
        <w:rPr>
          <w:sz w:val="24"/>
          <w:szCs w:val="24"/>
        </w:rPr>
        <w:t xml:space="preserve">to continue to </w:t>
      </w:r>
      <w:r w:rsidR="00FC2ACD" w:rsidRPr="002F1609">
        <w:rPr>
          <w:sz w:val="24"/>
          <w:szCs w:val="24"/>
        </w:rPr>
        <w:t>classif</w:t>
      </w:r>
      <w:r w:rsidR="00277520">
        <w:rPr>
          <w:sz w:val="24"/>
          <w:szCs w:val="24"/>
        </w:rPr>
        <w:t>y</w:t>
      </w:r>
      <w:r w:rsidR="00FC2ACD" w:rsidRPr="002F1609">
        <w:rPr>
          <w:sz w:val="24"/>
          <w:szCs w:val="24"/>
        </w:rPr>
        <w:t xml:space="preserve"> C and P programs</w:t>
      </w:r>
      <w:r w:rsidR="00277520">
        <w:rPr>
          <w:sz w:val="24"/>
          <w:szCs w:val="24"/>
        </w:rPr>
        <w:t>,</w:t>
      </w:r>
      <w:r w:rsidR="00FC2ACD" w:rsidRPr="002F1609">
        <w:rPr>
          <w:sz w:val="24"/>
          <w:szCs w:val="24"/>
        </w:rPr>
        <w:t xml:space="preserve"> until </w:t>
      </w:r>
      <w:r w:rsidR="00277520">
        <w:rPr>
          <w:sz w:val="24"/>
          <w:szCs w:val="24"/>
        </w:rPr>
        <w:t xml:space="preserve">relevant </w:t>
      </w:r>
      <w:r w:rsidR="00FC2ACD" w:rsidRPr="002F1609">
        <w:rPr>
          <w:sz w:val="24"/>
          <w:szCs w:val="24"/>
        </w:rPr>
        <w:t xml:space="preserve">amendments are made to the </w:t>
      </w:r>
      <w:r w:rsidR="00FC2ACD" w:rsidRPr="002F1609">
        <w:rPr>
          <w:i/>
          <w:sz w:val="24"/>
          <w:szCs w:val="24"/>
        </w:rPr>
        <w:t>Commercial Television Industry Code of Practice</w:t>
      </w:r>
      <w:r w:rsidR="00277520">
        <w:rPr>
          <w:sz w:val="24"/>
          <w:szCs w:val="24"/>
        </w:rPr>
        <w:t xml:space="preserve"> (the Code)</w:t>
      </w:r>
      <w:r w:rsidR="00FC2ACD" w:rsidRPr="002F1609">
        <w:rPr>
          <w:i/>
          <w:sz w:val="24"/>
          <w:szCs w:val="24"/>
        </w:rPr>
        <w:t xml:space="preserve"> </w:t>
      </w:r>
      <w:r w:rsidR="00FC2ACD" w:rsidRPr="002F1609">
        <w:rPr>
          <w:sz w:val="24"/>
          <w:szCs w:val="24"/>
        </w:rPr>
        <w:t>to enable commercial television broadcasting licensees to classify children’s content</w:t>
      </w:r>
      <w:r w:rsidR="00277520">
        <w:rPr>
          <w:sz w:val="24"/>
          <w:szCs w:val="24"/>
        </w:rPr>
        <w:t>.</w:t>
      </w:r>
      <w:r w:rsidR="00497F12">
        <w:rPr>
          <w:sz w:val="24"/>
          <w:szCs w:val="24"/>
        </w:rPr>
        <w:t xml:space="preserve"> </w:t>
      </w:r>
      <w:r w:rsidR="00497F12" w:rsidRPr="00276BA7">
        <w:rPr>
          <w:sz w:val="24"/>
          <w:szCs w:val="24"/>
        </w:rPr>
        <w:t xml:space="preserve">This is </w:t>
      </w:r>
      <w:r w:rsidR="00B00879" w:rsidRPr="00276BA7">
        <w:rPr>
          <w:sz w:val="24"/>
          <w:szCs w:val="24"/>
        </w:rPr>
        <w:t>intended to ensure consistency in</w:t>
      </w:r>
      <w:r w:rsidR="00497F12" w:rsidRPr="00276BA7">
        <w:rPr>
          <w:sz w:val="24"/>
          <w:szCs w:val="24"/>
        </w:rPr>
        <w:t xml:space="preserve"> the classification of programming by commercial television broadcasting licensees.</w:t>
      </w:r>
      <w:r w:rsidR="00497F12">
        <w:rPr>
          <w:sz w:val="24"/>
          <w:szCs w:val="24"/>
        </w:rPr>
        <w:t xml:space="preserve"> </w:t>
      </w:r>
    </w:p>
    <w:p w14:paraId="293973FF" w14:textId="1FB18CDA" w:rsidR="00FC2ACD" w:rsidRPr="002F1609" w:rsidRDefault="006C4BD9" w:rsidP="00634EB4">
      <w:pPr>
        <w:pStyle w:val="subsection"/>
        <w:tabs>
          <w:tab w:val="clear" w:pos="1021"/>
          <w:tab w:val="right" w:pos="1418"/>
        </w:tabs>
        <w:spacing w:before="0" w:after="200" w:line="276" w:lineRule="auto"/>
        <w:ind w:left="0" w:firstLine="0"/>
        <w:rPr>
          <w:sz w:val="24"/>
          <w:szCs w:val="24"/>
        </w:rPr>
      </w:pPr>
      <w:r>
        <w:rPr>
          <w:sz w:val="24"/>
          <w:szCs w:val="24"/>
        </w:rPr>
        <w:t xml:space="preserve">Paragraph </w:t>
      </w:r>
      <w:r w:rsidR="006A0D0A">
        <w:rPr>
          <w:sz w:val="24"/>
          <w:szCs w:val="24"/>
        </w:rPr>
        <w:t xml:space="preserve">8(1)(d) </w:t>
      </w:r>
      <w:r w:rsidR="00FC2ACD" w:rsidRPr="002F1609">
        <w:rPr>
          <w:sz w:val="24"/>
          <w:szCs w:val="24"/>
        </w:rPr>
        <w:t>provide</w:t>
      </w:r>
      <w:r w:rsidR="00486A92">
        <w:rPr>
          <w:sz w:val="24"/>
          <w:szCs w:val="24"/>
        </w:rPr>
        <w:t>s</w:t>
      </w:r>
      <w:r w:rsidR="00FC2ACD" w:rsidRPr="002F1609">
        <w:rPr>
          <w:sz w:val="24"/>
          <w:szCs w:val="24"/>
        </w:rPr>
        <w:t xml:space="preserve"> that a P program cannot include any advertising immediately before, during or immediately after the broadcast of the </w:t>
      </w:r>
      <w:r w:rsidR="00277520">
        <w:rPr>
          <w:sz w:val="24"/>
          <w:szCs w:val="24"/>
        </w:rPr>
        <w:t>program.</w:t>
      </w:r>
    </w:p>
    <w:p w14:paraId="36056395" w14:textId="06A07025" w:rsidR="00277520" w:rsidRDefault="006C4BD9" w:rsidP="00634EB4">
      <w:pPr>
        <w:pStyle w:val="subsection"/>
        <w:tabs>
          <w:tab w:val="clear" w:pos="1021"/>
          <w:tab w:val="right" w:pos="1418"/>
        </w:tabs>
        <w:spacing w:before="0" w:after="200" w:line="276" w:lineRule="auto"/>
        <w:ind w:left="0" w:firstLine="0"/>
        <w:rPr>
          <w:sz w:val="24"/>
          <w:szCs w:val="24"/>
        </w:rPr>
      </w:pPr>
      <w:r>
        <w:rPr>
          <w:sz w:val="24"/>
          <w:szCs w:val="24"/>
        </w:rPr>
        <w:lastRenderedPageBreak/>
        <w:t xml:space="preserve">Paragraph </w:t>
      </w:r>
      <w:r w:rsidR="006A0D0A">
        <w:rPr>
          <w:sz w:val="24"/>
          <w:szCs w:val="24"/>
        </w:rPr>
        <w:t xml:space="preserve">8(1)(e) </w:t>
      </w:r>
      <w:r w:rsidR="00486A92">
        <w:rPr>
          <w:sz w:val="24"/>
          <w:szCs w:val="24"/>
        </w:rPr>
        <w:t xml:space="preserve">provides </w:t>
      </w:r>
      <w:r w:rsidR="00FC2ACD" w:rsidRPr="002F1609">
        <w:rPr>
          <w:sz w:val="24"/>
          <w:szCs w:val="24"/>
        </w:rPr>
        <w:t>that a C program can include advertising and other non-program material in line with requirements relating to advertising and other non-program material con</w:t>
      </w:r>
      <w:r w:rsidR="00277520">
        <w:rPr>
          <w:sz w:val="24"/>
          <w:szCs w:val="24"/>
        </w:rPr>
        <w:t>tained in Part 3 of the CTS.</w:t>
      </w:r>
    </w:p>
    <w:p w14:paraId="2173AA05" w14:textId="5AFD134D" w:rsidR="00FC2ACD" w:rsidRPr="002F1609" w:rsidRDefault="006C4BD9" w:rsidP="00634EB4">
      <w:pPr>
        <w:pStyle w:val="subsection"/>
        <w:tabs>
          <w:tab w:val="clear" w:pos="1021"/>
          <w:tab w:val="right" w:pos="1418"/>
        </w:tabs>
        <w:spacing w:before="0" w:after="200" w:line="276" w:lineRule="auto"/>
        <w:ind w:left="0" w:firstLine="0"/>
        <w:rPr>
          <w:sz w:val="24"/>
          <w:szCs w:val="24"/>
        </w:rPr>
      </w:pPr>
      <w:r>
        <w:rPr>
          <w:sz w:val="24"/>
          <w:szCs w:val="24"/>
        </w:rPr>
        <w:t xml:space="preserve">Paragraph </w:t>
      </w:r>
      <w:r w:rsidR="006A0D0A">
        <w:rPr>
          <w:sz w:val="24"/>
          <w:szCs w:val="24"/>
        </w:rPr>
        <w:t xml:space="preserve">8(1)(f) </w:t>
      </w:r>
      <w:r w:rsidR="00FC2ACD" w:rsidRPr="002F1609">
        <w:rPr>
          <w:sz w:val="24"/>
          <w:szCs w:val="24"/>
        </w:rPr>
        <w:t>remove</w:t>
      </w:r>
      <w:r w:rsidR="00486A92">
        <w:rPr>
          <w:sz w:val="24"/>
          <w:szCs w:val="24"/>
        </w:rPr>
        <w:t>s</w:t>
      </w:r>
      <w:r w:rsidR="00FC2ACD" w:rsidRPr="002F1609">
        <w:rPr>
          <w:sz w:val="24"/>
          <w:szCs w:val="24"/>
        </w:rPr>
        <w:t xml:space="preserve"> the requirement for P programs broadcast by commercial television broadcasting licensees to be Australian programs.</w:t>
      </w:r>
    </w:p>
    <w:p w14:paraId="1E6F45EA" w14:textId="504D177D" w:rsidR="00FC2ACD" w:rsidRPr="002F1609" w:rsidRDefault="00FC2ACD" w:rsidP="00634EB4">
      <w:pPr>
        <w:spacing w:after="200" w:line="276" w:lineRule="auto"/>
        <w:ind w:left="0"/>
        <w:rPr>
          <w:sz w:val="24"/>
          <w:szCs w:val="24"/>
        </w:rPr>
      </w:pPr>
      <w:r w:rsidRPr="00561AD0">
        <w:rPr>
          <w:rFonts w:ascii="Times New Roman" w:hAnsi="Times New Roman" w:cs="Times New Roman"/>
          <w:sz w:val="24"/>
          <w:szCs w:val="24"/>
          <w:u w:val="single"/>
        </w:rPr>
        <w:t>Section 9</w:t>
      </w:r>
      <w:r w:rsidRPr="00634EB4">
        <w:rPr>
          <w:rFonts w:ascii="Times New Roman" w:hAnsi="Times New Roman" w:cs="Times New Roman"/>
          <w:sz w:val="24"/>
          <w:szCs w:val="24"/>
        </w:rPr>
        <w:t xml:space="preserve"> direct</w:t>
      </w:r>
      <w:r w:rsidR="00634EB4">
        <w:rPr>
          <w:rFonts w:ascii="Times New Roman" w:hAnsi="Times New Roman" w:cs="Times New Roman"/>
          <w:sz w:val="24"/>
          <w:szCs w:val="24"/>
        </w:rPr>
        <w:t>s</w:t>
      </w:r>
      <w:r w:rsidRPr="00634EB4">
        <w:rPr>
          <w:rFonts w:ascii="Times New Roman" w:hAnsi="Times New Roman" w:cs="Times New Roman"/>
          <w:sz w:val="24"/>
          <w:szCs w:val="24"/>
        </w:rPr>
        <w:t xml:space="preserve"> </w:t>
      </w:r>
      <w:r w:rsidR="00634EB4">
        <w:rPr>
          <w:rFonts w:ascii="Times New Roman" w:hAnsi="Times New Roman" w:cs="Times New Roman"/>
          <w:sz w:val="24"/>
          <w:szCs w:val="24"/>
        </w:rPr>
        <w:t>ACMA</w:t>
      </w:r>
      <w:r w:rsidRPr="00634EB4">
        <w:rPr>
          <w:rFonts w:ascii="Times New Roman" w:hAnsi="Times New Roman" w:cs="Times New Roman"/>
          <w:sz w:val="24"/>
          <w:szCs w:val="24"/>
        </w:rPr>
        <w:t xml:space="preserve"> to make any other amendments to </w:t>
      </w:r>
      <w:r w:rsidR="00277520">
        <w:rPr>
          <w:rFonts w:ascii="Times New Roman" w:hAnsi="Times New Roman" w:cs="Times New Roman"/>
          <w:sz w:val="24"/>
          <w:szCs w:val="24"/>
        </w:rPr>
        <w:t>the</w:t>
      </w:r>
      <w:r w:rsidRPr="00634EB4">
        <w:rPr>
          <w:rFonts w:ascii="Times New Roman" w:hAnsi="Times New Roman" w:cs="Times New Roman"/>
          <w:sz w:val="24"/>
          <w:szCs w:val="24"/>
        </w:rPr>
        <w:t xml:space="preserve"> Standard(s) that it considers necessary</w:t>
      </w:r>
      <w:r w:rsidR="00634EB4">
        <w:rPr>
          <w:rFonts w:ascii="Times New Roman" w:hAnsi="Times New Roman" w:cs="Times New Roman"/>
          <w:sz w:val="24"/>
          <w:szCs w:val="24"/>
        </w:rPr>
        <w:t xml:space="preserve"> </w:t>
      </w:r>
      <w:r w:rsidR="006C4BD9">
        <w:rPr>
          <w:rFonts w:ascii="Times New Roman" w:hAnsi="Times New Roman" w:cs="Times New Roman"/>
          <w:sz w:val="24"/>
          <w:szCs w:val="24"/>
        </w:rPr>
        <w:t>or convenient</w:t>
      </w:r>
      <w:r w:rsidR="00634EB4">
        <w:rPr>
          <w:rFonts w:ascii="Times New Roman" w:hAnsi="Times New Roman" w:cs="Times New Roman"/>
          <w:sz w:val="24"/>
          <w:szCs w:val="24"/>
        </w:rPr>
        <w:t xml:space="preserve"> </w:t>
      </w:r>
      <w:r w:rsidRPr="00634EB4">
        <w:rPr>
          <w:rFonts w:ascii="Times New Roman" w:hAnsi="Times New Roman" w:cs="Times New Roman"/>
          <w:sz w:val="24"/>
          <w:szCs w:val="24"/>
        </w:rPr>
        <w:t xml:space="preserve">to give effect to this </w:t>
      </w:r>
      <w:r w:rsidR="00634EB4">
        <w:rPr>
          <w:rFonts w:ascii="Times New Roman" w:hAnsi="Times New Roman" w:cs="Times New Roman"/>
          <w:sz w:val="24"/>
          <w:szCs w:val="24"/>
        </w:rPr>
        <w:t>D</w:t>
      </w:r>
      <w:r w:rsidRPr="00634EB4">
        <w:rPr>
          <w:rFonts w:ascii="Times New Roman" w:hAnsi="Times New Roman" w:cs="Times New Roman"/>
          <w:sz w:val="24"/>
          <w:szCs w:val="24"/>
        </w:rPr>
        <w:t>irection.</w:t>
      </w:r>
    </w:p>
    <w:p w14:paraId="4A09EBDB" w14:textId="09887D6A" w:rsidR="00FC2ACD" w:rsidRPr="002F1609" w:rsidRDefault="00EB232A" w:rsidP="003E0D98">
      <w:pPr>
        <w:spacing w:after="200" w:line="276" w:lineRule="auto"/>
        <w:ind w:left="0"/>
        <w:rPr>
          <w:rFonts w:ascii="Times New Roman" w:hAnsi="Times New Roman" w:cs="Times New Roman"/>
          <w:sz w:val="24"/>
          <w:szCs w:val="24"/>
        </w:rPr>
      </w:pPr>
      <w:r w:rsidRPr="007042D5">
        <w:rPr>
          <w:rFonts w:ascii="Times New Roman" w:hAnsi="Times New Roman" w:cs="Times New Roman"/>
          <w:sz w:val="24"/>
          <w:szCs w:val="24"/>
          <w:u w:val="single"/>
        </w:rPr>
        <w:t>Schedule 1</w:t>
      </w:r>
      <w:r>
        <w:rPr>
          <w:rFonts w:ascii="Times New Roman" w:hAnsi="Times New Roman" w:cs="Times New Roman"/>
          <w:sz w:val="24"/>
          <w:szCs w:val="24"/>
        </w:rPr>
        <w:t xml:space="preserve"> describes the genres and point allocations to form part of the new quota.</w:t>
      </w:r>
    </w:p>
    <w:sectPr w:rsidR="00FC2ACD" w:rsidRPr="002F1609" w:rsidSect="00486A92">
      <w:pgSz w:w="11906" w:h="16838"/>
      <w:pgMar w:top="1135" w:right="1440" w:bottom="993"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F6301" w16cid:durableId="23451AC6"/>
  <w16cid:commentId w16cid:paraId="4B01424A" w16cid:durableId="23451AA9"/>
  <w16cid:commentId w16cid:paraId="0013FE2C" w16cid:durableId="23451A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A05F2" w14:textId="77777777" w:rsidR="00340D6E" w:rsidRDefault="00340D6E" w:rsidP="00B45354">
      <w:pPr>
        <w:spacing w:after="0"/>
      </w:pPr>
      <w:r>
        <w:separator/>
      </w:r>
    </w:p>
  </w:endnote>
  <w:endnote w:type="continuationSeparator" w:id="0">
    <w:p w14:paraId="227B34B5" w14:textId="77777777" w:rsidR="00340D6E" w:rsidRDefault="00340D6E" w:rsidP="00B45354">
      <w:pPr>
        <w:spacing w:after="0"/>
      </w:pPr>
      <w:r>
        <w:continuationSeparator/>
      </w:r>
    </w:p>
  </w:endnote>
  <w:endnote w:type="continuationNotice" w:id="1">
    <w:p w14:paraId="3B406795" w14:textId="77777777" w:rsidR="00340D6E" w:rsidRDefault="00340D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BAF68" w14:textId="77777777" w:rsidR="00340D6E" w:rsidRDefault="00340D6E" w:rsidP="00B45354">
      <w:pPr>
        <w:spacing w:after="0"/>
      </w:pPr>
      <w:r>
        <w:separator/>
      </w:r>
    </w:p>
  </w:footnote>
  <w:footnote w:type="continuationSeparator" w:id="0">
    <w:p w14:paraId="191EF2A2" w14:textId="77777777" w:rsidR="00340D6E" w:rsidRDefault="00340D6E" w:rsidP="00B45354">
      <w:pPr>
        <w:spacing w:after="0"/>
      </w:pPr>
      <w:r>
        <w:continuationSeparator/>
      </w:r>
    </w:p>
  </w:footnote>
  <w:footnote w:type="continuationNotice" w:id="1">
    <w:p w14:paraId="16A284C8" w14:textId="77777777" w:rsidR="00340D6E" w:rsidRDefault="00340D6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AB4"/>
    <w:multiLevelType w:val="hybridMultilevel"/>
    <w:tmpl w:val="09EAC71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38B2BEC"/>
    <w:multiLevelType w:val="hybridMultilevel"/>
    <w:tmpl w:val="B5C61BC4"/>
    <w:lvl w:ilvl="0" w:tplc="46A802B0">
      <w:start w:val="1"/>
      <w:numFmt w:val="decimal"/>
      <w:lvlText w:val="(%1)"/>
      <w:lvlJc w:val="left"/>
      <w:pPr>
        <w:ind w:left="390" w:hanging="390"/>
      </w:pPr>
      <w:rPr>
        <w:rFonts w:hint="default"/>
      </w:rPr>
    </w:lvl>
    <w:lvl w:ilvl="1" w:tplc="D6422A4C">
      <w:start w:val="1"/>
      <w:numFmt w:val="lowerLetter"/>
      <w:lvlText w:val="(%2)"/>
      <w:lvlJc w:val="left"/>
      <w:pPr>
        <w:ind w:left="4261" w:hanging="360"/>
      </w:pPr>
      <w:rPr>
        <w:rFonts w:hint="default"/>
      </w:rPr>
    </w:lvl>
    <w:lvl w:ilvl="2" w:tplc="0C09001B">
      <w:start w:val="1"/>
      <w:numFmt w:val="lowerRoman"/>
      <w:lvlText w:val="%3."/>
      <w:lvlJc w:val="right"/>
      <w:pPr>
        <w:ind w:left="4981" w:hanging="180"/>
      </w:pPr>
    </w:lvl>
    <w:lvl w:ilvl="3" w:tplc="0C09000F">
      <w:start w:val="1"/>
      <w:numFmt w:val="decimal"/>
      <w:lvlText w:val="%4."/>
      <w:lvlJc w:val="left"/>
      <w:pPr>
        <w:ind w:left="5701" w:hanging="360"/>
      </w:pPr>
    </w:lvl>
    <w:lvl w:ilvl="4" w:tplc="0C090019" w:tentative="1">
      <w:start w:val="1"/>
      <w:numFmt w:val="lowerLetter"/>
      <w:lvlText w:val="%5."/>
      <w:lvlJc w:val="left"/>
      <w:pPr>
        <w:ind w:left="6421" w:hanging="360"/>
      </w:pPr>
    </w:lvl>
    <w:lvl w:ilvl="5" w:tplc="0C09001B" w:tentative="1">
      <w:start w:val="1"/>
      <w:numFmt w:val="lowerRoman"/>
      <w:lvlText w:val="%6."/>
      <w:lvlJc w:val="right"/>
      <w:pPr>
        <w:ind w:left="7141" w:hanging="180"/>
      </w:pPr>
    </w:lvl>
    <w:lvl w:ilvl="6" w:tplc="0C09000F" w:tentative="1">
      <w:start w:val="1"/>
      <w:numFmt w:val="decimal"/>
      <w:lvlText w:val="%7."/>
      <w:lvlJc w:val="left"/>
      <w:pPr>
        <w:ind w:left="7861" w:hanging="360"/>
      </w:pPr>
    </w:lvl>
    <w:lvl w:ilvl="7" w:tplc="0C090019" w:tentative="1">
      <w:start w:val="1"/>
      <w:numFmt w:val="lowerLetter"/>
      <w:lvlText w:val="%8."/>
      <w:lvlJc w:val="left"/>
      <w:pPr>
        <w:ind w:left="8581" w:hanging="360"/>
      </w:pPr>
    </w:lvl>
    <w:lvl w:ilvl="8" w:tplc="0C09001B" w:tentative="1">
      <w:start w:val="1"/>
      <w:numFmt w:val="lowerRoman"/>
      <w:lvlText w:val="%9."/>
      <w:lvlJc w:val="right"/>
      <w:pPr>
        <w:ind w:left="9301" w:hanging="180"/>
      </w:pPr>
    </w:lvl>
  </w:abstractNum>
  <w:abstractNum w:abstractNumId="2" w15:restartNumberingAfterBreak="0">
    <w:nsid w:val="0A922918"/>
    <w:multiLevelType w:val="hybridMultilevel"/>
    <w:tmpl w:val="4C5CC250"/>
    <w:lvl w:ilvl="0" w:tplc="C0C4AC94">
      <w:start w:val="1"/>
      <w:numFmt w:val="lowerLetter"/>
      <w:lvlText w:val="(%1)"/>
      <w:lvlJc w:val="left"/>
      <w:pPr>
        <w:ind w:left="2350" w:hanging="360"/>
      </w:pPr>
      <w:rPr>
        <w:rFonts w:hint="default"/>
      </w:rPr>
    </w:lvl>
    <w:lvl w:ilvl="1" w:tplc="0C090019" w:tentative="1">
      <w:start w:val="1"/>
      <w:numFmt w:val="lowerLetter"/>
      <w:lvlText w:val="%2."/>
      <w:lvlJc w:val="left"/>
      <w:pPr>
        <w:ind w:left="-471" w:hanging="360"/>
      </w:pPr>
    </w:lvl>
    <w:lvl w:ilvl="2" w:tplc="0C09001B" w:tentative="1">
      <w:start w:val="1"/>
      <w:numFmt w:val="lowerRoman"/>
      <w:lvlText w:val="%3."/>
      <w:lvlJc w:val="right"/>
      <w:pPr>
        <w:ind w:left="249" w:hanging="180"/>
      </w:pPr>
    </w:lvl>
    <w:lvl w:ilvl="3" w:tplc="0C09000F" w:tentative="1">
      <w:start w:val="1"/>
      <w:numFmt w:val="decimal"/>
      <w:lvlText w:val="%4."/>
      <w:lvlJc w:val="left"/>
      <w:pPr>
        <w:ind w:left="969" w:hanging="360"/>
      </w:pPr>
    </w:lvl>
    <w:lvl w:ilvl="4" w:tplc="0C090019" w:tentative="1">
      <w:start w:val="1"/>
      <w:numFmt w:val="lowerLetter"/>
      <w:lvlText w:val="%5."/>
      <w:lvlJc w:val="left"/>
      <w:pPr>
        <w:ind w:left="1689" w:hanging="360"/>
      </w:pPr>
    </w:lvl>
    <w:lvl w:ilvl="5" w:tplc="0C09001B" w:tentative="1">
      <w:start w:val="1"/>
      <w:numFmt w:val="lowerRoman"/>
      <w:lvlText w:val="%6."/>
      <w:lvlJc w:val="right"/>
      <w:pPr>
        <w:ind w:left="2409" w:hanging="180"/>
      </w:pPr>
    </w:lvl>
    <w:lvl w:ilvl="6" w:tplc="0C09000F" w:tentative="1">
      <w:start w:val="1"/>
      <w:numFmt w:val="decimal"/>
      <w:lvlText w:val="%7."/>
      <w:lvlJc w:val="left"/>
      <w:pPr>
        <w:ind w:left="3129" w:hanging="360"/>
      </w:pPr>
    </w:lvl>
    <w:lvl w:ilvl="7" w:tplc="0C090019" w:tentative="1">
      <w:start w:val="1"/>
      <w:numFmt w:val="lowerLetter"/>
      <w:lvlText w:val="%8."/>
      <w:lvlJc w:val="left"/>
      <w:pPr>
        <w:ind w:left="3849" w:hanging="360"/>
      </w:pPr>
    </w:lvl>
    <w:lvl w:ilvl="8" w:tplc="0C09001B" w:tentative="1">
      <w:start w:val="1"/>
      <w:numFmt w:val="lowerRoman"/>
      <w:lvlText w:val="%9."/>
      <w:lvlJc w:val="right"/>
      <w:pPr>
        <w:ind w:left="4569" w:hanging="180"/>
      </w:pPr>
    </w:lvl>
  </w:abstractNum>
  <w:abstractNum w:abstractNumId="3" w15:restartNumberingAfterBreak="0">
    <w:nsid w:val="11870A7B"/>
    <w:multiLevelType w:val="hybridMultilevel"/>
    <w:tmpl w:val="95D697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lvl>
    <w:lvl w:ilvl="1">
      <w:start w:val="1"/>
      <w:numFmt w:val="lowerLetter"/>
      <w:pStyle w:val="BodyPara"/>
      <w:lvlText w:val="(%2)"/>
      <w:lvlJc w:val="left"/>
      <w:pPr>
        <w:tabs>
          <w:tab w:val="num" w:pos="1440"/>
        </w:tabs>
        <w:ind w:left="1440" w:hanging="720"/>
      </w:p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575CD3"/>
    <w:multiLevelType w:val="hybridMultilevel"/>
    <w:tmpl w:val="B5C61BC4"/>
    <w:lvl w:ilvl="0" w:tplc="46A802B0">
      <w:start w:val="1"/>
      <w:numFmt w:val="decimal"/>
      <w:lvlText w:val="(%1)"/>
      <w:lvlJc w:val="left"/>
      <w:pPr>
        <w:ind w:left="390" w:hanging="390"/>
      </w:pPr>
      <w:rPr>
        <w:rFonts w:hint="default"/>
      </w:rPr>
    </w:lvl>
    <w:lvl w:ilvl="1" w:tplc="D6422A4C">
      <w:start w:val="1"/>
      <w:numFmt w:val="lowerLetter"/>
      <w:lvlText w:val="(%2)"/>
      <w:lvlJc w:val="left"/>
      <w:pPr>
        <w:ind w:left="4261" w:hanging="360"/>
      </w:pPr>
      <w:rPr>
        <w:rFonts w:hint="default"/>
      </w:rPr>
    </w:lvl>
    <w:lvl w:ilvl="2" w:tplc="0C09001B">
      <w:start w:val="1"/>
      <w:numFmt w:val="lowerRoman"/>
      <w:lvlText w:val="%3."/>
      <w:lvlJc w:val="right"/>
      <w:pPr>
        <w:ind w:left="4981" w:hanging="180"/>
      </w:pPr>
    </w:lvl>
    <w:lvl w:ilvl="3" w:tplc="0C09000F">
      <w:start w:val="1"/>
      <w:numFmt w:val="decimal"/>
      <w:lvlText w:val="%4."/>
      <w:lvlJc w:val="left"/>
      <w:pPr>
        <w:ind w:left="5701" w:hanging="360"/>
      </w:pPr>
    </w:lvl>
    <w:lvl w:ilvl="4" w:tplc="0C090019" w:tentative="1">
      <w:start w:val="1"/>
      <w:numFmt w:val="lowerLetter"/>
      <w:lvlText w:val="%5."/>
      <w:lvlJc w:val="left"/>
      <w:pPr>
        <w:ind w:left="6421" w:hanging="360"/>
      </w:pPr>
    </w:lvl>
    <w:lvl w:ilvl="5" w:tplc="0C09001B" w:tentative="1">
      <w:start w:val="1"/>
      <w:numFmt w:val="lowerRoman"/>
      <w:lvlText w:val="%6."/>
      <w:lvlJc w:val="right"/>
      <w:pPr>
        <w:ind w:left="7141" w:hanging="180"/>
      </w:pPr>
    </w:lvl>
    <w:lvl w:ilvl="6" w:tplc="0C09000F" w:tentative="1">
      <w:start w:val="1"/>
      <w:numFmt w:val="decimal"/>
      <w:lvlText w:val="%7."/>
      <w:lvlJc w:val="left"/>
      <w:pPr>
        <w:ind w:left="7861" w:hanging="360"/>
      </w:pPr>
    </w:lvl>
    <w:lvl w:ilvl="7" w:tplc="0C090019" w:tentative="1">
      <w:start w:val="1"/>
      <w:numFmt w:val="lowerLetter"/>
      <w:lvlText w:val="%8."/>
      <w:lvlJc w:val="left"/>
      <w:pPr>
        <w:ind w:left="8581" w:hanging="360"/>
      </w:pPr>
    </w:lvl>
    <w:lvl w:ilvl="8" w:tplc="0C09001B" w:tentative="1">
      <w:start w:val="1"/>
      <w:numFmt w:val="lowerRoman"/>
      <w:lvlText w:val="%9."/>
      <w:lvlJc w:val="right"/>
      <w:pPr>
        <w:ind w:left="9301" w:hanging="180"/>
      </w:pPr>
    </w:lvl>
  </w:abstractNum>
  <w:abstractNum w:abstractNumId="6" w15:restartNumberingAfterBreak="0">
    <w:nsid w:val="24B6025C"/>
    <w:multiLevelType w:val="hybridMultilevel"/>
    <w:tmpl w:val="48B6F3C4"/>
    <w:lvl w:ilvl="0" w:tplc="D6422A4C">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26E96745"/>
    <w:multiLevelType w:val="hybridMultilevel"/>
    <w:tmpl w:val="299CCC1C"/>
    <w:lvl w:ilvl="0" w:tplc="0C090001">
      <w:start w:val="1"/>
      <w:numFmt w:val="bullet"/>
      <w:lvlText w:val=""/>
      <w:lvlJc w:val="left"/>
      <w:pPr>
        <w:ind w:left="390" w:hanging="390"/>
      </w:pPr>
      <w:rPr>
        <w:rFonts w:ascii="Symbol" w:hAnsi="Symbol" w:hint="default"/>
      </w:rPr>
    </w:lvl>
    <w:lvl w:ilvl="1" w:tplc="D6422A4C">
      <w:start w:val="1"/>
      <w:numFmt w:val="lowerLetter"/>
      <w:lvlText w:val="(%2)"/>
      <w:lvlJc w:val="left"/>
      <w:pPr>
        <w:ind w:left="4261" w:hanging="360"/>
      </w:pPr>
      <w:rPr>
        <w:rFonts w:hint="default"/>
      </w:rPr>
    </w:lvl>
    <w:lvl w:ilvl="2" w:tplc="0C09001B">
      <w:start w:val="1"/>
      <w:numFmt w:val="lowerRoman"/>
      <w:lvlText w:val="%3."/>
      <w:lvlJc w:val="right"/>
      <w:pPr>
        <w:ind w:left="4981" w:hanging="180"/>
      </w:pPr>
    </w:lvl>
    <w:lvl w:ilvl="3" w:tplc="0C09000F">
      <w:start w:val="1"/>
      <w:numFmt w:val="decimal"/>
      <w:lvlText w:val="%4."/>
      <w:lvlJc w:val="left"/>
      <w:pPr>
        <w:ind w:left="5701" w:hanging="360"/>
      </w:pPr>
    </w:lvl>
    <w:lvl w:ilvl="4" w:tplc="0C090019" w:tentative="1">
      <w:start w:val="1"/>
      <w:numFmt w:val="lowerLetter"/>
      <w:lvlText w:val="%5."/>
      <w:lvlJc w:val="left"/>
      <w:pPr>
        <w:ind w:left="6421" w:hanging="360"/>
      </w:pPr>
    </w:lvl>
    <w:lvl w:ilvl="5" w:tplc="0C09001B" w:tentative="1">
      <w:start w:val="1"/>
      <w:numFmt w:val="lowerRoman"/>
      <w:lvlText w:val="%6."/>
      <w:lvlJc w:val="right"/>
      <w:pPr>
        <w:ind w:left="7141" w:hanging="180"/>
      </w:pPr>
    </w:lvl>
    <w:lvl w:ilvl="6" w:tplc="0C09000F" w:tentative="1">
      <w:start w:val="1"/>
      <w:numFmt w:val="decimal"/>
      <w:lvlText w:val="%7."/>
      <w:lvlJc w:val="left"/>
      <w:pPr>
        <w:ind w:left="7861" w:hanging="360"/>
      </w:pPr>
    </w:lvl>
    <w:lvl w:ilvl="7" w:tplc="0C090019" w:tentative="1">
      <w:start w:val="1"/>
      <w:numFmt w:val="lowerLetter"/>
      <w:lvlText w:val="%8."/>
      <w:lvlJc w:val="left"/>
      <w:pPr>
        <w:ind w:left="8581" w:hanging="360"/>
      </w:pPr>
    </w:lvl>
    <w:lvl w:ilvl="8" w:tplc="0C09001B" w:tentative="1">
      <w:start w:val="1"/>
      <w:numFmt w:val="lowerRoman"/>
      <w:lvlText w:val="%9."/>
      <w:lvlJc w:val="right"/>
      <w:pPr>
        <w:ind w:left="9301" w:hanging="180"/>
      </w:pPr>
    </w:lvl>
  </w:abstractNum>
  <w:abstractNum w:abstractNumId="8" w15:restartNumberingAfterBreak="0">
    <w:nsid w:val="2E2755D7"/>
    <w:multiLevelType w:val="hybridMultilevel"/>
    <w:tmpl w:val="B5C61BC4"/>
    <w:lvl w:ilvl="0" w:tplc="46A802B0">
      <w:start w:val="1"/>
      <w:numFmt w:val="decimal"/>
      <w:lvlText w:val="(%1)"/>
      <w:lvlJc w:val="left"/>
      <w:pPr>
        <w:ind w:left="390" w:hanging="390"/>
      </w:pPr>
      <w:rPr>
        <w:rFonts w:hint="default"/>
      </w:rPr>
    </w:lvl>
    <w:lvl w:ilvl="1" w:tplc="D6422A4C">
      <w:start w:val="1"/>
      <w:numFmt w:val="lowerLetter"/>
      <w:lvlText w:val="(%2)"/>
      <w:lvlJc w:val="left"/>
      <w:pPr>
        <w:ind w:left="4261" w:hanging="360"/>
      </w:pPr>
      <w:rPr>
        <w:rFonts w:hint="default"/>
      </w:rPr>
    </w:lvl>
    <w:lvl w:ilvl="2" w:tplc="0C09001B">
      <w:start w:val="1"/>
      <w:numFmt w:val="lowerRoman"/>
      <w:lvlText w:val="%3."/>
      <w:lvlJc w:val="right"/>
      <w:pPr>
        <w:ind w:left="4981" w:hanging="180"/>
      </w:pPr>
    </w:lvl>
    <w:lvl w:ilvl="3" w:tplc="0C09000F">
      <w:start w:val="1"/>
      <w:numFmt w:val="decimal"/>
      <w:lvlText w:val="%4."/>
      <w:lvlJc w:val="left"/>
      <w:pPr>
        <w:ind w:left="5701" w:hanging="360"/>
      </w:pPr>
    </w:lvl>
    <w:lvl w:ilvl="4" w:tplc="0C090019" w:tentative="1">
      <w:start w:val="1"/>
      <w:numFmt w:val="lowerLetter"/>
      <w:lvlText w:val="%5."/>
      <w:lvlJc w:val="left"/>
      <w:pPr>
        <w:ind w:left="6421" w:hanging="360"/>
      </w:pPr>
    </w:lvl>
    <w:lvl w:ilvl="5" w:tplc="0C09001B" w:tentative="1">
      <w:start w:val="1"/>
      <w:numFmt w:val="lowerRoman"/>
      <w:lvlText w:val="%6."/>
      <w:lvlJc w:val="right"/>
      <w:pPr>
        <w:ind w:left="7141" w:hanging="180"/>
      </w:pPr>
    </w:lvl>
    <w:lvl w:ilvl="6" w:tplc="0C09000F" w:tentative="1">
      <w:start w:val="1"/>
      <w:numFmt w:val="decimal"/>
      <w:lvlText w:val="%7."/>
      <w:lvlJc w:val="left"/>
      <w:pPr>
        <w:ind w:left="7861" w:hanging="360"/>
      </w:pPr>
    </w:lvl>
    <w:lvl w:ilvl="7" w:tplc="0C090019" w:tentative="1">
      <w:start w:val="1"/>
      <w:numFmt w:val="lowerLetter"/>
      <w:lvlText w:val="%8."/>
      <w:lvlJc w:val="left"/>
      <w:pPr>
        <w:ind w:left="8581" w:hanging="360"/>
      </w:pPr>
    </w:lvl>
    <w:lvl w:ilvl="8" w:tplc="0C09001B" w:tentative="1">
      <w:start w:val="1"/>
      <w:numFmt w:val="lowerRoman"/>
      <w:lvlText w:val="%9."/>
      <w:lvlJc w:val="right"/>
      <w:pPr>
        <w:ind w:left="9301" w:hanging="180"/>
      </w:pPr>
    </w:lvl>
  </w:abstractNum>
  <w:abstractNum w:abstractNumId="9" w15:restartNumberingAfterBreak="0">
    <w:nsid w:val="2EF95279"/>
    <w:multiLevelType w:val="hybridMultilevel"/>
    <w:tmpl w:val="7A08179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337E55"/>
    <w:multiLevelType w:val="hybridMultilevel"/>
    <w:tmpl w:val="9C8641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C65683"/>
    <w:multiLevelType w:val="hybridMultilevel"/>
    <w:tmpl w:val="B5C61BC4"/>
    <w:lvl w:ilvl="0" w:tplc="46A802B0">
      <w:start w:val="1"/>
      <w:numFmt w:val="decimal"/>
      <w:lvlText w:val="(%1)"/>
      <w:lvlJc w:val="left"/>
      <w:pPr>
        <w:ind w:left="390" w:hanging="390"/>
      </w:pPr>
      <w:rPr>
        <w:rFonts w:hint="default"/>
      </w:rPr>
    </w:lvl>
    <w:lvl w:ilvl="1" w:tplc="D6422A4C">
      <w:start w:val="1"/>
      <w:numFmt w:val="lowerLetter"/>
      <w:lvlText w:val="(%2)"/>
      <w:lvlJc w:val="left"/>
      <w:pPr>
        <w:ind w:left="4261" w:hanging="360"/>
      </w:pPr>
      <w:rPr>
        <w:rFonts w:hint="default"/>
      </w:rPr>
    </w:lvl>
    <w:lvl w:ilvl="2" w:tplc="0C09001B">
      <w:start w:val="1"/>
      <w:numFmt w:val="lowerRoman"/>
      <w:lvlText w:val="%3."/>
      <w:lvlJc w:val="right"/>
      <w:pPr>
        <w:ind w:left="4981" w:hanging="180"/>
      </w:pPr>
    </w:lvl>
    <w:lvl w:ilvl="3" w:tplc="0C09000F">
      <w:start w:val="1"/>
      <w:numFmt w:val="decimal"/>
      <w:lvlText w:val="%4."/>
      <w:lvlJc w:val="left"/>
      <w:pPr>
        <w:ind w:left="5701" w:hanging="360"/>
      </w:pPr>
    </w:lvl>
    <w:lvl w:ilvl="4" w:tplc="0C090019" w:tentative="1">
      <w:start w:val="1"/>
      <w:numFmt w:val="lowerLetter"/>
      <w:lvlText w:val="%5."/>
      <w:lvlJc w:val="left"/>
      <w:pPr>
        <w:ind w:left="6421" w:hanging="360"/>
      </w:pPr>
    </w:lvl>
    <w:lvl w:ilvl="5" w:tplc="0C09001B" w:tentative="1">
      <w:start w:val="1"/>
      <w:numFmt w:val="lowerRoman"/>
      <w:lvlText w:val="%6."/>
      <w:lvlJc w:val="right"/>
      <w:pPr>
        <w:ind w:left="7141" w:hanging="180"/>
      </w:pPr>
    </w:lvl>
    <w:lvl w:ilvl="6" w:tplc="0C09000F" w:tentative="1">
      <w:start w:val="1"/>
      <w:numFmt w:val="decimal"/>
      <w:lvlText w:val="%7."/>
      <w:lvlJc w:val="left"/>
      <w:pPr>
        <w:ind w:left="7861" w:hanging="360"/>
      </w:pPr>
    </w:lvl>
    <w:lvl w:ilvl="7" w:tplc="0C090019" w:tentative="1">
      <w:start w:val="1"/>
      <w:numFmt w:val="lowerLetter"/>
      <w:lvlText w:val="%8."/>
      <w:lvlJc w:val="left"/>
      <w:pPr>
        <w:ind w:left="8581" w:hanging="360"/>
      </w:pPr>
    </w:lvl>
    <w:lvl w:ilvl="8" w:tplc="0C09001B" w:tentative="1">
      <w:start w:val="1"/>
      <w:numFmt w:val="lowerRoman"/>
      <w:lvlText w:val="%9."/>
      <w:lvlJc w:val="right"/>
      <w:pPr>
        <w:ind w:left="9301" w:hanging="180"/>
      </w:pPr>
    </w:lvl>
  </w:abstractNum>
  <w:abstractNum w:abstractNumId="12" w15:restartNumberingAfterBreak="0">
    <w:nsid w:val="42865DA6"/>
    <w:multiLevelType w:val="hybridMultilevel"/>
    <w:tmpl w:val="031E03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A973798"/>
    <w:multiLevelType w:val="hybridMultilevel"/>
    <w:tmpl w:val="E22EB7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D82AD4"/>
    <w:multiLevelType w:val="hybridMultilevel"/>
    <w:tmpl w:val="8E7EF13A"/>
    <w:lvl w:ilvl="0" w:tplc="0C090001">
      <w:start w:val="1"/>
      <w:numFmt w:val="bullet"/>
      <w:lvlText w:val=""/>
      <w:lvlJc w:val="left"/>
      <w:pPr>
        <w:ind w:left="780" w:hanging="390"/>
      </w:pPr>
      <w:rPr>
        <w:rFonts w:ascii="Symbol" w:hAnsi="Symbol" w:hint="default"/>
      </w:rPr>
    </w:lvl>
    <w:lvl w:ilvl="1" w:tplc="D6422A4C">
      <w:start w:val="1"/>
      <w:numFmt w:val="lowerLetter"/>
      <w:lvlText w:val="(%2)"/>
      <w:lvlJc w:val="left"/>
      <w:pPr>
        <w:ind w:left="4651" w:hanging="360"/>
      </w:pPr>
      <w:rPr>
        <w:rFonts w:hint="default"/>
      </w:rPr>
    </w:lvl>
    <w:lvl w:ilvl="2" w:tplc="0C09001B">
      <w:start w:val="1"/>
      <w:numFmt w:val="lowerRoman"/>
      <w:lvlText w:val="%3."/>
      <w:lvlJc w:val="right"/>
      <w:pPr>
        <w:ind w:left="5371" w:hanging="180"/>
      </w:pPr>
    </w:lvl>
    <w:lvl w:ilvl="3" w:tplc="0C09000F">
      <w:start w:val="1"/>
      <w:numFmt w:val="decimal"/>
      <w:lvlText w:val="%4."/>
      <w:lvlJc w:val="left"/>
      <w:pPr>
        <w:ind w:left="6091" w:hanging="360"/>
      </w:pPr>
    </w:lvl>
    <w:lvl w:ilvl="4" w:tplc="0C090019" w:tentative="1">
      <w:start w:val="1"/>
      <w:numFmt w:val="lowerLetter"/>
      <w:lvlText w:val="%5."/>
      <w:lvlJc w:val="left"/>
      <w:pPr>
        <w:ind w:left="6811" w:hanging="360"/>
      </w:pPr>
    </w:lvl>
    <w:lvl w:ilvl="5" w:tplc="0C09001B" w:tentative="1">
      <w:start w:val="1"/>
      <w:numFmt w:val="lowerRoman"/>
      <w:lvlText w:val="%6."/>
      <w:lvlJc w:val="right"/>
      <w:pPr>
        <w:ind w:left="7531" w:hanging="180"/>
      </w:pPr>
    </w:lvl>
    <w:lvl w:ilvl="6" w:tplc="0C09000F" w:tentative="1">
      <w:start w:val="1"/>
      <w:numFmt w:val="decimal"/>
      <w:lvlText w:val="%7."/>
      <w:lvlJc w:val="left"/>
      <w:pPr>
        <w:ind w:left="8251" w:hanging="360"/>
      </w:pPr>
    </w:lvl>
    <w:lvl w:ilvl="7" w:tplc="0C090019" w:tentative="1">
      <w:start w:val="1"/>
      <w:numFmt w:val="lowerLetter"/>
      <w:lvlText w:val="%8."/>
      <w:lvlJc w:val="left"/>
      <w:pPr>
        <w:ind w:left="8971" w:hanging="360"/>
      </w:pPr>
    </w:lvl>
    <w:lvl w:ilvl="8" w:tplc="0C09001B" w:tentative="1">
      <w:start w:val="1"/>
      <w:numFmt w:val="lowerRoman"/>
      <w:lvlText w:val="%9."/>
      <w:lvlJc w:val="right"/>
      <w:pPr>
        <w:ind w:left="9691" w:hanging="180"/>
      </w:pPr>
    </w:lvl>
  </w:abstractNum>
  <w:abstractNum w:abstractNumId="15" w15:restartNumberingAfterBreak="0">
    <w:nsid w:val="5D037EE1"/>
    <w:multiLevelType w:val="hybridMultilevel"/>
    <w:tmpl w:val="8AA446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4E7740"/>
    <w:multiLevelType w:val="hybridMultilevel"/>
    <w:tmpl w:val="235E2A9A"/>
    <w:lvl w:ilvl="0" w:tplc="0C2E9742">
      <w:start w:val="11"/>
      <w:numFmt w:val="lowerLetter"/>
      <w:lvlText w:val="(%1)"/>
      <w:lvlJc w:val="left"/>
      <w:pPr>
        <w:ind w:left="4261" w:hanging="360"/>
      </w:pPr>
    </w:lvl>
    <w:lvl w:ilvl="1" w:tplc="0C090019">
      <w:start w:val="1"/>
      <w:numFmt w:val="lowerLetter"/>
      <w:lvlText w:val="%2."/>
      <w:lvlJc w:val="left"/>
      <w:pPr>
        <w:ind w:left="4981" w:hanging="360"/>
      </w:pPr>
    </w:lvl>
    <w:lvl w:ilvl="2" w:tplc="0C09001B">
      <w:start w:val="1"/>
      <w:numFmt w:val="lowerRoman"/>
      <w:lvlText w:val="%3."/>
      <w:lvlJc w:val="right"/>
      <w:pPr>
        <w:ind w:left="5701" w:hanging="180"/>
      </w:pPr>
    </w:lvl>
    <w:lvl w:ilvl="3" w:tplc="0C09000F">
      <w:start w:val="1"/>
      <w:numFmt w:val="decimal"/>
      <w:lvlText w:val="%4."/>
      <w:lvlJc w:val="left"/>
      <w:pPr>
        <w:ind w:left="6421" w:hanging="360"/>
      </w:pPr>
    </w:lvl>
    <w:lvl w:ilvl="4" w:tplc="0C090019">
      <w:start w:val="1"/>
      <w:numFmt w:val="lowerLetter"/>
      <w:lvlText w:val="%5."/>
      <w:lvlJc w:val="left"/>
      <w:pPr>
        <w:ind w:left="7141" w:hanging="360"/>
      </w:pPr>
    </w:lvl>
    <w:lvl w:ilvl="5" w:tplc="0C09001B">
      <w:start w:val="1"/>
      <w:numFmt w:val="lowerRoman"/>
      <w:lvlText w:val="%6."/>
      <w:lvlJc w:val="right"/>
      <w:pPr>
        <w:ind w:left="7861" w:hanging="180"/>
      </w:pPr>
    </w:lvl>
    <w:lvl w:ilvl="6" w:tplc="0C09000F">
      <w:start w:val="1"/>
      <w:numFmt w:val="decimal"/>
      <w:lvlText w:val="%7."/>
      <w:lvlJc w:val="left"/>
      <w:pPr>
        <w:ind w:left="8581" w:hanging="360"/>
      </w:pPr>
    </w:lvl>
    <w:lvl w:ilvl="7" w:tplc="0C090019">
      <w:start w:val="1"/>
      <w:numFmt w:val="lowerLetter"/>
      <w:lvlText w:val="%8."/>
      <w:lvlJc w:val="left"/>
      <w:pPr>
        <w:ind w:left="9301" w:hanging="360"/>
      </w:pPr>
    </w:lvl>
    <w:lvl w:ilvl="8" w:tplc="0C09001B">
      <w:start w:val="1"/>
      <w:numFmt w:val="lowerRoman"/>
      <w:lvlText w:val="%9."/>
      <w:lvlJc w:val="right"/>
      <w:pPr>
        <w:ind w:left="10021" w:hanging="180"/>
      </w:pPr>
    </w:lvl>
  </w:abstractNum>
  <w:abstractNum w:abstractNumId="17" w15:restartNumberingAfterBreak="0">
    <w:nsid w:val="6CAB2ED2"/>
    <w:multiLevelType w:val="hybridMultilevel"/>
    <w:tmpl w:val="D9DC74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2D078A"/>
    <w:multiLevelType w:val="hybridMultilevel"/>
    <w:tmpl w:val="B5C61BC4"/>
    <w:lvl w:ilvl="0" w:tplc="46A802B0">
      <w:start w:val="1"/>
      <w:numFmt w:val="decimal"/>
      <w:lvlText w:val="(%1)"/>
      <w:lvlJc w:val="left"/>
      <w:pPr>
        <w:ind w:left="390" w:hanging="390"/>
      </w:pPr>
      <w:rPr>
        <w:rFonts w:hint="default"/>
      </w:rPr>
    </w:lvl>
    <w:lvl w:ilvl="1" w:tplc="D6422A4C">
      <w:start w:val="1"/>
      <w:numFmt w:val="lowerLetter"/>
      <w:lvlText w:val="(%2)"/>
      <w:lvlJc w:val="left"/>
      <w:pPr>
        <w:ind w:left="4261" w:hanging="360"/>
      </w:pPr>
      <w:rPr>
        <w:rFonts w:hint="default"/>
      </w:rPr>
    </w:lvl>
    <w:lvl w:ilvl="2" w:tplc="0C09001B">
      <w:start w:val="1"/>
      <w:numFmt w:val="lowerRoman"/>
      <w:lvlText w:val="%3."/>
      <w:lvlJc w:val="right"/>
      <w:pPr>
        <w:ind w:left="4981" w:hanging="180"/>
      </w:pPr>
    </w:lvl>
    <w:lvl w:ilvl="3" w:tplc="0C09000F">
      <w:start w:val="1"/>
      <w:numFmt w:val="decimal"/>
      <w:lvlText w:val="%4."/>
      <w:lvlJc w:val="left"/>
      <w:pPr>
        <w:ind w:left="5701" w:hanging="360"/>
      </w:pPr>
    </w:lvl>
    <w:lvl w:ilvl="4" w:tplc="0C090019" w:tentative="1">
      <w:start w:val="1"/>
      <w:numFmt w:val="lowerLetter"/>
      <w:lvlText w:val="%5."/>
      <w:lvlJc w:val="left"/>
      <w:pPr>
        <w:ind w:left="6421" w:hanging="360"/>
      </w:pPr>
    </w:lvl>
    <w:lvl w:ilvl="5" w:tplc="0C09001B" w:tentative="1">
      <w:start w:val="1"/>
      <w:numFmt w:val="lowerRoman"/>
      <w:lvlText w:val="%6."/>
      <w:lvlJc w:val="right"/>
      <w:pPr>
        <w:ind w:left="7141" w:hanging="180"/>
      </w:pPr>
    </w:lvl>
    <w:lvl w:ilvl="6" w:tplc="0C09000F" w:tentative="1">
      <w:start w:val="1"/>
      <w:numFmt w:val="decimal"/>
      <w:lvlText w:val="%7."/>
      <w:lvlJc w:val="left"/>
      <w:pPr>
        <w:ind w:left="7861" w:hanging="360"/>
      </w:pPr>
    </w:lvl>
    <w:lvl w:ilvl="7" w:tplc="0C090019" w:tentative="1">
      <w:start w:val="1"/>
      <w:numFmt w:val="lowerLetter"/>
      <w:lvlText w:val="%8."/>
      <w:lvlJc w:val="left"/>
      <w:pPr>
        <w:ind w:left="8581" w:hanging="360"/>
      </w:pPr>
    </w:lvl>
    <w:lvl w:ilvl="8" w:tplc="0C09001B" w:tentative="1">
      <w:start w:val="1"/>
      <w:numFmt w:val="lowerRoman"/>
      <w:lvlText w:val="%9."/>
      <w:lvlJc w:val="right"/>
      <w:pPr>
        <w:ind w:left="9301" w:hanging="180"/>
      </w:pPr>
    </w:lvl>
  </w:abstractNum>
  <w:abstractNum w:abstractNumId="19" w15:restartNumberingAfterBreak="0">
    <w:nsid w:val="7F232C80"/>
    <w:multiLevelType w:val="hybridMultilevel"/>
    <w:tmpl w:val="B5C61BC4"/>
    <w:lvl w:ilvl="0" w:tplc="46A802B0">
      <w:start w:val="1"/>
      <w:numFmt w:val="decimal"/>
      <w:lvlText w:val="(%1)"/>
      <w:lvlJc w:val="left"/>
      <w:pPr>
        <w:ind w:left="390" w:hanging="390"/>
      </w:pPr>
      <w:rPr>
        <w:rFonts w:hint="default"/>
      </w:rPr>
    </w:lvl>
    <w:lvl w:ilvl="1" w:tplc="D6422A4C">
      <w:start w:val="1"/>
      <w:numFmt w:val="lowerLetter"/>
      <w:lvlText w:val="(%2)"/>
      <w:lvlJc w:val="left"/>
      <w:pPr>
        <w:ind w:left="4261" w:hanging="360"/>
      </w:pPr>
      <w:rPr>
        <w:rFonts w:hint="default"/>
      </w:rPr>
    </w:lvl>
    <w:lvl w:ilvl="2" w:tplc="0C09001B">
      <w:start w:val="1"/>
      <w:numFmt w:val="lowerRoman"/>
      <w:lvlText w:val="%3."/>
      <w:lvlJc w:val="right"/>
      <w:pPr>
        <w:ind w:left="4981" w:hanging="180"/>
      </w:pPr>
    </w:lvl>
    <w:lvl w:ilvl="3" w:tplc="0C09000F">
      <w:start w:val="1"/>
      <w:numFmt w:val="decimal"/>
      <w:lvlText w:val="%4."/>
      <w:lvlJc w:val="left"/>
      <w:pPr>
        <w:ind w:left="5701" w:hanging="360"/>
      </w:pPr>
    </w:lvl>
    <w:lvl w:ilvl="4" w:tplc="0C090019" w:tentative="1">
      <w:start w:val="1"/>
      <w:numFmt w:val="lowerLetter"/>
      <w:lvlText w:val="%5."/>
      <w:lvlJc w:val="left"/>
      <w:pPr>
        <w:ind w:left="6421" w:hanging="360"/>
      </w:pPr>
    </w:lvl>
    <w:lvl w:ilvl="5" w:tplc="0C09001B" w:tentative="1">
      <w:start w:val="1"/>
      <w:numFmt w:val="lowerRoman"/>
      <w:lvlText w:val="%6."/>
      <w:lvlJc w:val="right"/>
      <w:pPr>
        <w:ind w:left="7141" w:hanging="180"/>
      </w:pPr>
    </w:lvl>
    <w:lvl w:ilvl="6" w:tplc="0C09000F" w:tentative="1">
      <w:start w:val="1"/>
      <w:numFmt w:val="decimal"/>
      <w:lvlText w:val="%7."/>
      <w:lvlJc w:val="left"/>
      <w:pPr>
        <w:ind w:left="7861" w:hanging="360"/>
      </w:pPr>
    </w:lvl>
    <w:lvl w:ilvl="7" w:tplc="0C090019" w:tentative="1">
      <w:start w:val="1"/>
      <w:numFmt w:val="lowerLetter"/>
      <w:lvlText w:val="%8."/>
      <w:lvlJc w:val="left"/>
      <w:pPr>
        <w:ind w:left="8581" w:hanging="360"/>
      </w:pPr>
    </w:lvl>
    <w:lvl w:ilvl="8" w:tplc="0C09001B" w:tentative="1">
      <w:start w:val="1"/>
      <w:numFmt w:val="lowerRoman"/>
      <w:lvlText w:val="%9."/>
      <w:lvlJc w:val="right"/>
      <w:pPr>
        <w:ind w:left="9301" w:hanging="180"/>
      </w:pPr>
    </w:lvl>
  </w:abstractNum>
  <w:num w:numId="1">
    <w:abstractNumId w:val="8"/>
  </w:num>
  <w:num w:numId="2">
    <w:abstractNumId w:val="11"/>
  </w:num>
  <w:num w:numId="3">
    <w:abstractNumId w:val="6"/>
  </w:num>
  <w:num w:numId="4">
    <w:abstractNumId w:val="9"/>
  </w:num>
  <w:num w:numId="5">
    <w:abstractNumId w:val="13"/>
  </w:num>
  <w:num w:numId="6">
    <w:abstractNumId w:val="12"/>
  </w:num>
  <w:num w:numId="7">
    <w:abstractNumId w:val="0"/>
  </w:num>
  <w:num w:numId="8">
    <w:abstractNumId w:val="3"/>
  </w:num>
  <w:num w:numId="9">
    <w:abstractNumId w:val="18"/>
  </w:num>
  <w:num w:numId="10">
    <w:abstractNumId w:val="5"/>
  </w:num>
  <w:num w:numId="11">
    <w:abstractNumId w:val="10"/>
  </w:num>
  <w:num w:numId="12">
    <w:abstractNumId w:val="19"/>
  </w:num>
  <w:num w:numId="13">
    <w:abstractNumId w:val="2"/>
  </w:num>
  <w:num w:numId="14">
    <w:abstractNumId w:val="1"/>
  </w:num>
  <w:num w:numId="15">
    <w:abstractNumId w:val="14"/>
  </w:num>
  <w:num w:numId="16">
    <w:abstractNumId w:val="7"/>
  </w:num>
  <w:num w:numId="17">
    <w:abstractNumId w:val="15"/>
  </w:num>
  <w:num w:numId="18">
    <w:abstractNumId w:val="17"/>
  </w:num>
  <w:num w:numId="19">
    <w:abstractNumId w:val="4"/>
  </w:num>
  <w:num w:numId="20">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2C"/>
    <w:rsid w:val="00015690"/>
    <w:rsid w:val="00017EFF"/>
    <w:rsid w:val="00052AC1"/>
    <w:rsid w:val="0008420C"/>
    <w:rsid w:val="000873D9"/>
    <w:rsid w:val="000975AE"/>
    <w:rsid w:val="000A4DA9"/>
    <w:rsid w:val="000B48B1"/>
    <w:rsid w:val="000D0A5D"/>
    <w:rsid w:val="000F3042"/>
    <w:rsid w:val="00102907"/>
    <w:rsid w:val="00102EDA"/>
    <w:rsid w:val="00104ED1"/>
    <w:rsid w:val="0010709B"/>
    <w:rsid w:val="0012399B"/>
    <w:rsid w:val="00125CFB"/>
    <w:rsid w:val="00137628"/>
    <w:rsid w:val="001428BB"/>
    <w:rsid w:val="00174602"/>
    <w:rsid w:val="00182493"/>
    <w:rsid w:val="001A1C6D"/>
    <w:rsid w:val="001B4D39"/>
    <w:rsid w:val="002048D3"/>
    <w:rsid w:val="00214773"/>
    <w:rsid w:val="00227ACB"/>
    <w:rsid w:val="00237820"/>
    <w:rsid w:val="002450D4"/>
    <w:rsid w:val="002536C5"/>
    <w:rsid w:val="00256E15"/>
    <w:rsid w:val="00256EF2"/>
    <w:rsid w:val="0027094F"/>
    <w:rsid w:val="00276BA7"/>
    <w:rsid w:val="00277520"/>
    <w:rsid w:val="002A74C3"/>
    <w:rsid w:val="002D20A8"/>
    <w:rsid w:val="002E3A2A"/>
    <w:rsid w:val="002F099F"/>
    <w:rsid w:val="002F1609"/>
    <w:rsid w:val="002F3DD0"/>
    <w:rsid w:val="00301402"/>
    <w:rsid w:val="00311E5A"/>
    <w:rsid w:val="0032634F"/>
    <w:rsid w:val="0033394F"/>
    <w:rsid w:val="003343F7"/>
    <w:rsid w:val="00340D6E"/>
    <w:rsid w:val="003417B9"/>
    <w:rsid w:val="00367C91"/>
    <w:rsid w:val="0038404C"/>
    <w:rsid w:val="0039110F"/>
    <w:rsid w:val="003C41AC"/>
    <w:rsid w:val="003D06C8"/>
    <w:rsid w:val="003D1A1E"/>
    <w:rsid w:val="003E0D98"/>
    <w:rsid w:val="003E1E98"/>
    <w:rsid w:val="003F79C5"/>
    <w:rsid w:val="00417125"/>
    <w:rsid w:val="0044323A"/>
    <w:rsid w:val="00462A98"/>
    <w:rsid w:val="004829B2"/>
    <w:rsid w:val="00486A92"/>
    <w:rsid w:val="00497F12"/>
    <w:rsid w:val="004A1556"/>
    <w:rsid w:val="004B1601"/>
    <w:rsid w:val="004B5635"/>
    <w:rsid w:val="0050580C"/>
    <w:rsid w:val="00505972"/>
    <w:rsid w:val="00523318"/>
    <w:rsid w:val="00524911"/>
    <w:rsid w:val="005408A3"/>
    <w:rsid w:val="00551CDD"/>
    <w:rsid w:val="00556FB3"/>
    <w:rsid w:val="00560D92"/>
    <w:rsid w:val="00561AD0"/>
    <w:rsid w:val="005626B6"/>
    <w:rsid w:val="00565229"/>
    <w:rsid w:val="005817BC"/>
    <w:rsid w:val="005841B4"/>
    <w:rsid w:val="005870D6"/>
    <w:rsid w:val="005C1CED"/>
    <w:rsid w:val="005C388F"/>
    <w:rsid w:val="005C5898"/>
    <w:rsid w:val="005D4A1F"/>
    <w:rsid w:val="005E03AC"/>
    <w:rsid w:val="005E092D"/>
    <w:rsid w:val="00605D2C"/>
    <w:rsid w:val="00607177"/>
    <w:rsid w:val="006151AC"/>
    <w:rsid w:val="00626A43"/>
    <w:rsid w:val="00634EB4"/>
    <w:rsid w:val="00660608"/>
    <w:rsid w:val="00662D43"/>
    <w:rsid w:val="00680227"/>
    <w:rsid w:val="006802F9"/>
    <w:rsid w:val="006903F9"/>
    <w:rsid w:val="00692588"/>
    <w:rsid w:val="006979C6"/>
    <w:rsid w:val="006A0D0A"/>
    <w:rsid w:val="006A7254"/>
    <w:rsid w:val="006C4BD9"/>
    <w:rsid w:val="006C7828"/>
    <w:rsid w:val="007042D5"/>
    <w:rsid w:val="0074250F"/>
    <w:rsid w:val="007854BF"/>
    <w:rsid w:val="007A146D"/>
    <w:rsid w:val="007A2DDA"/>
    <w:rsid w:val="007A66B4"/>
    <w:rsid w:val="007B0DE3"/>
    <w:rsid w:val="007B6B54"/>
    <w:rsid w:val="007F33A9"/>
    <w:rsid w:val="00800573"/>
    <w:rsid w:val="00824507"/>
    <w:rsid w:val="008851AA"/>
    <w:rsid w:val="00885AC5"/>
    <w:rsid w:val="0089699F"/>
    <w:rsid w:val="008A2B46"/>
    <w:rsid w:val="008B028F"/>
    <w:rsid w:val="008B1C10"/>
    <w:rsid w:val="008B7811"/>
    <w:rsid w:val="008F6860"/>
    <w:rsid w:val="0091225D"/>
    <w:rsid w:val="00924608"/>
    <w:rsid w:val="0093426A"/>
    <w:rsid w:val="0096171E"/>
    <w:rsid w:val="009A1A41"/>
    <w:rsid w:val="009D3B86"/>
    <w:rsid w:val="009E7DC9"/>
    <w:rsid w:val="009F535D"/>
    <w:rsid w:val="00A122EE"/>
    <w:rsid w:val="00A207B5"/>
    <w:rsid w:val="00A42565"/>
    <w:rsid w:val="00A574E2"/>
    <w:rsid w:val="00A644E7"/>
    <w:rsid w:val="00AB396F"/>
    <w:rsid w:val="00AB5F91"/>
    <w:rsid w:val="00AC5FF6"/>
    <w:rsid w:val="00AD2BA4"/>
    <w:rsid w:val="00AD685B"/>
    <w:rsid w:val="00AE4A02"/>
    <w:rsid w:val="00AF2BDA"/>
    <w:rsid w:val="00AF6765"/>
    <w:rsid w:val="00B00879"/>
    <w:rsid w:val="00B44848"/>
    <w:rsid w:val="00B45354"/>
    <w:rsid w:val="00B51C82"/>
    <w:rsid w:val="00B61D98"/>
    <w:rsid w:val="00B64F07"/>
    <w:rsid w:val="00B6577F"/>
    <w:rsid w:val="00B74F56"/>
    <w:rsid w:val="00B77CD0"/>
    <w:rsid w:val="00B81886"/>
    <w:rsid w:val="00B87CA8"/>
    <w:rsid w:val="00B91A36"/>
    <w:rsid w:val="00BA5301"/>
    <w:rsid w:val="00BB17E2"/>
    <w:rsid w:val="00BD5BC5"/>
    <w:rsid w:val="00BE16E7"/>
    <w:rsid w:val="00BE6861"/>
    <w:rsid w:val="00BF1D8E"/>
    <w:rsid w:val="00C100EC"/>
    <w:rsid w:val="00C13B63"/>
    <w:rsid w:val="00C1516C"/>
    <w:rsid w:val="00C212AA"/>
    <w:rsid w:val="00C41A7D"/>
    <w:rsid w:val="00C430BC"/>
    <w:rsid w:val="00C47D41"/>
    <w:rsid w:val="00C51AA3"/>
    <w:rsid w:val="00C9050A"/>
    <w:rsid w:val="00C90D16"/>
    <w:rsid w:val="00C95C71"/>
    <w:rsid w:val="00CF37B1"/>
    <w:rsid w:val="00D30AA3"/>
    <w:rsid w:val="00D320E0"/>
    <w:rsid w:val="00D344E9"/>
    <w:rsid w:val="00D52499"/>
    <w:rsid w:val="00D56FC2"/>
    <w:rsid w:val="00D56FD1"/>
    <w:rsid w:val="00D62CB4"/>
    <w:rsid w:val="00D66D30"/>
    <w:rsid w:val="00D816F8"/>
    <w:rsid w:val="00DC3B22"/>
    <w:rsid w:val="00DE135C"/>
    <w:rsid w:val="00DE4329"/>
    <w:rsid w:val="00E02907"/>
    <w:rsid w:val="00E311E4"/>
    <w:rsid w:val="00E420C0"/>
    <w:rsid w:val="00E44A28"/>
    <w:rsid w:val="00E455B7"/>
    <w:rsid w:val="00E53269"/>
    <w:rsid w:val="00E72D16"/>
    <w:rsid w:val="00E805BE"/>
    <w:rsid w:val="00E91FFA"/>
    <w:rsid w:val="00EA29ED"/>
    <w:rsid w:val="00EA7F65"/>
    <w:rsid w:val="00EB212C"/>
    <w:rsid w:val="00EB232A"/>
    <w:rsid w:val="00EC41FF"/>
    <w:rsid w:val="00ED1E78"/>
    <w:rsid w:val="00EE0057"/>
    <w:rsid w:val="00F03F96"/>
    <w:rsid w:val="00F133A1"/>
    <w:rsid w:val="00F14731"/>
    <w:rsid w:val="00F16AE1"/>
    <w:rsid w:val="00F44793"/>
    <w:rsid w:val="00F50A16"/>
    <w:rsid w:val="00F772CE"/>
    <w:rsid w:val="00FA0F1E"/>
    <w:rsid w:val="00FA4D0B"/>
    <w:rsid w:val="00FA5E27"/>
    <w:rsid w:val="00FB29F6"/>
    <w:rsid w:val="00FB34B9"/>
    <w:rsid w:val="00FC2ACD"/>
    <w:rsid w:val="00FC71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2FBCE5C"/>
  <w15:chartTrackingRefBased/>
  <w15:docId w15:val="{30AF2424-5B34-4F7B-8DF8-96B749AF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40"/>
        <w:ind w:left="71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0A4DA9"/>
    <w:pPr>
      <w:keepNext/>
      <w:spacing w:after="120"/>
      <w:ind w:left="0"/>
      <w:outlineLvl w:val="2"/>
    </w:pPr>
    <w:rPr>
      <w:rFonts w:asciiTheme="majorHAnsi" w:eastAsiaTheme="majorEastAsia" w:hAnsiTheme="majorHAnsi" w:cstheme="majorBidi"/>
      <w:b/>
      <w:color w:val="001C40"/>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D320E0"/>
    <w:rPr>
      <w:sz w:val="16"/>
      <w:szCs w:val="16"/>
    </w:rPr>
  </w:style>
  <w:style w:type="paragraph" w:styleId="CommentText">
    <w:name w:val="annotation text"/>
    <w:basedOn w:val="Normal"/>
    <w:link w:val="CommentTextChar"/>
    <w:rsid w:val="00D320E0"/>
    <w:pPr>
      <w:spacing w:after="0" w:line="260" w:lineRule="atLeast"/>
      <w:ind w:left="0"/>
    </w:pPr>
    <w:rPr>
      <w:rFonts w:ascii="Times New Roman" w:hAnsi="Times New Roman"/>
      <w:sz w:val="20"/>
      <w:szCs w:val="20"/>
    </w:rPr>
  </w:style>
  <w:style w:type="character" w:customStyle="1" w:styleId="CommentTextChar">
    <w:name w:val="Comment Text Char"/>
    <w:basedOn w:val="DefaultParagraphFont"/>
    <w:link w:val="CommentText"/>
    <w:rsid w:val="00D320E0"/>
    <w:rPr>
      <w:rFonts w:ascii="Times New Roman" w:hAnsi="Times New Roman"/>
      <w:sz w:val="20"/>
      <w:szCs w:val="20"/>
    </w:rPr>
  </w:style>
  <w:style w:type="paragraph" w:customStyle="1" w:styleId="subsection">
    <w:name w:val="subsection"/>
    <w:aliases w:val="ss"/>
    <w:basedOn w:val="Normal"/>
    <w:link w:val="subsectionChar"/>
    <w:rsid w:val="00D320E0"/>
    <w:pPr>
      <w:tabs>
        <w:tab w:val="right" w:pos="1021"/>
      </w:tabs>
      <w:spacing w:before="180" w:after="0"/>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320E0"/>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D320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0E0"/>
    <w:rPr>
      <w:rFonts w:ascii="Segoe UI" w:hAnsi="Segoe UI" w:cs="Segoe UI"/>
      <w:sz w:val="18"/>
      <w:szCs w:val="18"/>
    </w:rPr>
  </w:style>
  <w:style w:type="paragraph" w:styleId="ListParagraph">
    <w:name w:val="List Paragraph"/>
    <w:aliases w:val="List Paragraph—numbers,Bulletr List Paragraph,FooterText,L,List Paragraph1,List Paragraph2,List Paragraph21,Listeafsnit1,Paragraphe de liste1,Parágrafo da Lista1,Recommendation,bullet point list,numbered,リスト段落1,列出段落,列出段落1"/>
    <w:basedOn w:val="Normal"/>
    <w:link w:val="ListParagraphChar"/>
    <w:uiPriority w:val="34"/>
    <w:qFormat/>
    <w:rsid w:val="00D320E0"/>
    <w:pPr>
      <w:ind w:left="720"/>
      <w:contextualSpacing/>
    </w:pPr>
  </w:style>
  <w:style w:type="paragraph" w:styleId="BodyText">
    <w:name w:val="Body Text"/>
    <w:basedOn w:val="Normal"/>
    <w:link w:val="BodyTextChar"/>
    <w:uiPriority w:val="99"/>
    <w:semiHidden/>
    <w:unhideWhenUsed/>
    <w:rsid w:val="00B77CD0"/>
    <w:pPr>
      <w:spacing w:after="120"/>
    </w:pPr>
  </w:style>
  <w:style w:type="character" w:customStyle="1" w:styleId="BodyTextChar">
    <w:name w:val="Body Text Char"/>
    <w:basedOn w:val="DefaultParagraphFont"/>
    <w:link w:val="BodyText"/>
    <w:uiPriority w:val="99"/>
    <w:semiHidden/>
    <w:rsid w:val="00B77CD0"/>
  </w:style>
  <w:style w:type="paragraph" w:styleId="NoSpacing">
    <w:name w:val="No Spacing"/>
    <w:uiPriority w:val="1"/>
    <w:qFormat/>
    <w:rsid w:val="00B45354"/>
    <w:pPr>
      <w:spacing w:after="0"/>
      <w:ind w:left="0"/>
    </w:pPr>
  </w:style>
  <w:style w:type="paragraph" w:styleId="FootnoteText">
    <w:name w:val="footnote text"/>
    <w:aliases w:val="ACMA Footnote Text Char1,Footnote Text Char1,Footnote text,ACMA Footnote Text,footnote text,Footnote Text Char Char,Footnote Text Char1 Char Char,Footnote Text Char Char Char Char,Footnote Text Char1 Char Char Char Char"/>
    <w:basedOn w:val="Normal"/>
    <w:link w:val="FootnoteTextChar"/>
    <w:uiPriority w:val="99"/>
    <w:unhideWhenUsed/>
    <w:qFormat/>
    <w:rsid w:val="00B45354"/>
    <w:pPr>
      <w:spacing w:after="0"/>
      <w:ind w:left="0"/>
    </w:pPr>
    <w:rPr>
      <w:sz w:val="20"/>
      <w:szCs w:val="20"/>
    </w:rPr>
  </w:style>
  <w:style w:type="character" w:customStyle="1" w:styleId="FootnoteTextChar">
    <w:name w:val="Footnote Text Char"/>
    <w:aliases w:val="ACMA Footnote Text Char1 Char,Footnote Text Char1 Char,Footnote text Char,ACMA Footnote Text Char,footnote text Char,Footnote Text Char Char Char,Footnote Text Char1 Char Char Char,Footnote Text Char Char Char Char Char"/>
    <w:basedOn w:val="DefaultParagraphFont"/>
    <w:link w:val="FootnoteText"/>
    <w:uiPriority w:val="99"/>
    <w:qFormat/>
    <w:rsid w:val="00B45354"/>
    <w:rPr>
      <w:sz w:val="20"/>
      <w:szCs w:val="20"/>
    </w:rPr>
  </w:style>
  <w:style w:type="character" w:styleId="FootnoteReference">
    <w:name w:val="footnote reference"/>
    <w:aliases w:val="Appel note de bas de p,Appel note de bas de p + 11 pt,Italic,Footnote,Footnote symbol,Appel note de bas de p1,Appel note de bas de p2,Appel note de bas de p3,Footnote Reference/,Style 12,(NECG) Footnote Reference,Style 124,o,fr"/>
    <w:basedOn w:val="DefaultParagraphFont"/>
    <w:uiPriority w:val="99"/>
    <w:unhideWhenUsed/>
    <w:qFormat/>
    <w:rsid w:val="00B45354"/>
    <w:rPr>
      <w:vertAlign w:val="superscript"/>
    </w:rPr>
  </w:style>
  <w:style w:type="character" w:styleId="Hyperlink">
    <w:name w:val="Hyperlink"/>
    <w:basedOn w:val="DefaultParagraphFont"/>
    <w:uiPriority w:val="99"/>
    <w:unhideWhenUsed/>
    <w:rsid w:val="00B45354"/>
    <w:rPr>
      <w:color w:val="155589"/>
      <w:u w:val="single"/>
    </w:rPr>
  </w:style>
  <w:style w:type="paragraph" w:customStyle="1" w:styleId="Bulletlevel1">
    <w:name w:val="Bullet level 1"/>
    <w:basedOn w:val="Normal"/>
    <w:qFormat/>
    <w:rsid w:val="000A4DA9"/>
    <w:pPr>
      <w:spacing w:after="200"/>
      <w:ind w:left="360" w:hanging="360"/>
      <w:contextualSpacing/>
    </w:pPr>
  </w:style>
  <w:style w:type="character" w:customStyle="1" w:styleId="Heading3Char">
    <w:name w:val="Heading 3 Char"/>
    <w:basedOn w:val="DefaultParagraphFont"/>
    <w:link w:val="Heading3"/>
    <w:uiPriority w:val="9"/>
    <w:rsid w:val="000A4DA9"/>
    <w:rPr>
      <w:rFonts w:asciiTheme="majorHAnsi" w:eastAsiaTheme="majorEastAsia" w:hAnsiTheme="majorHAnsi" w:cstheme="majorBidi"/>
      <w:b/>
      <w:color w:val="001C40"/>
      <w:sz w:val="30"/>
      <w:szCs w:val="24"/>
    </w:rPr>
  </w:style>
  <w:style w:type="character" w:customStyle="1" w:styleId="ListParagraphChar">
    <w:name w:val="List Paragraph Char"/>
    <w:aliases w:val="List Paragraph—numbers Char,Bulletr List Paragraph Char,FooterText Char,L Char,List Paragraph1 Char,List Paragraph2 Char,List Paragraph21 Char,Listeafsnit1 Char,Paragraphe de liste1 Char,Parágrafo da Lista1 Char,Recommendation Char"/>
    <w:link w:val="ListParagraph"/>
    <w:uiPriority w:val="34"/>
    <w:rsid w:val="000A4DA9"/>
  </w:style>
  <w:style w:type="paragraph" w:styleId="Header">
    <w:name w:val="header"/>
    <w:basedOn w:val="Normal"/>
    <w:link w:val="HeaderChar"/>
    <w:uiPriority w:val="99"/>
    <w:unhideWhenUsed/>
    <w:rsid w:val="00B91A36"/>
    <w:pPr>
      <w:tabs>
        <w:tab w:val="center" w:pos="4513"/>
        <w:tab w:val="right" w:pos="9026"/>
      </w:tabs>
      <w:spacing w:after="0"/>
    </w:pPr>
  </w:style>
  <w:style w:type="character" w:customStyle="1" w:styleId="HeaderChar">
    <w:name w:val="Header Char"/>
    <w:basedOn w:val="DefaultParagraphFont"/>
    <w:link w:val="Header"/>
    <w:uiPriority w:val="99"/>
    <w:rsid w:val="00B91A36"/>
  </w:style>
  <w:style w:type="paragraph" w:styleId="Footer">
    <w:name w:val="footer"/>
    <w:basedOn w:val="Normal"/>
    <w:link w:val="FooterChar"/>
    <w:uiPriority w:val="99"/>
    <w:unhideWhenUsed/>
    <w:rsid w:val="00B91A36"/>
    <w:pPr>
      <w:tabs>
        <w:tab w:val="center" w:pos="4513"/>
        <w:tab w:val="right" w:pos="9026"/>
      </w:tabs>
      <w:spacing w:after="0"/>
    </w:pPr>
  </w:style>
  <w:style w:type="character" w:customStyle="1" w:styleId="FooterChar">
    <w:name w:val="Footer Char"/>
    <w:basedOn w:val="DefaultParagraphFont"/>
    <w:link w:val="Footer"/>
    <w:uiPriority w:val="99"/>
    <w:rsid w:val="00B91A36"/>
  </w:style>
  <w:style w:type="paragraph" w:styleId="CommentSubject">
    <w:name w:val="annotation subject"/>
    <w:basedOn w:val="CommentText"/>
    <w:next w:val="CommentText"/>
    <w:link w:val="CommentSubjectChar"/>
    <w:uiPriority w:val="99"/>
    <w:semiHidden/>
    <w:unhideWhenUsed/>
    <w:rsid w:val="002450D4"/>
    <w:pPr>
      <w:spacing w:after="240" w:line="240" w:lineRule="auto"/>
      <w:ind w:left="714"/>
    </w:pPr>
    <w:rPr>
      <w:rFonts w:asciiTheme="minorHAnsi" w:hAnsiTheme="minorHAnsi"/>
      <w:b/>
      <w:bCs/>
    </w:rPr>
  </w:style>
  <w:style w:type="character" w:customStyle="1" w:styleId="CommentSubjectChar">
    <w:name w:val="Comment Subject Char"/>
    <w:basedOn w:val="CommentTextChar"/>
    <w:link w:val="CommentSubject"/>
    <w:uiPriority w:val="99"/>
    <w:semiHidden/>
    <w:rsid w:val="002450D4"/>
    <w:rPr>
      <w:rFonts w:ascii="Times New Roman" w:hAnsi="Times New Roman"/>
      <w:b/>
      <w:bCs/>
      <w:sz w:val="20"/>
      <w:szCs w:val="20"/>
    </w:rPr>
  </w:style>
  <w:style w:type="paragraph" w:customStyle="1" w:styleId="BodyNum">
    <w:name w:val="BodyNum"/>
    <w:aliases w:val="b1"/>
    <w:basedOn w:val="Normal"/>
    <w:pPr>
      <w:numPr>
        <w:numId w:val="19"/>
      </w:numPr>
      <w:spacing w:before="240" w:after="0"/>
    </w:pPr>
    <w:rPr>
      <w:rFonts w:ascii="Times New Roman" w:eastAsia="Times New Roman" w:hAnsi="Times New Roman" w:cs="Times New Roman"/>
      <w:sz w:val="24"/>
      <w:szCs w:val="20"/>
      <w:lang w:eastAsia="en-AU"/>
    </w:rPr>
  </w:style>
  <w:style w:type="paragraph" w:customStyle="1" w:styleId="BodyPara">
    <w:name w:val="BodyPara"/>
    <w:aliases w:val="ba"/>
    <w:basedOn w:val="Normal"/>
    <w:pPr>
      <w:numPr>
        <w:ilvl w:val="1"/>
        <w:numId w:val="19"/>
      </w:numPr>
      <w:spacing w:before="240" w:after="0"/>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pPr>
      <w:numPr>
        <w:ilvl w:val="2"/>
        <w:numId w:val="19"/>
      </w:numPr>
      <w:tabs>
        <w:tab w:val="left" w:pos="2160"/>
      </w:tabs>
      <w:spacing w:before="240" w:after="0"/>
    </w:pPr>
    <w:rPr>
      <w:rFonts w:ascii="Times New Roman" w:eastAsia="Times New Roman" w:hAnsi="Times New Roman" w:cs="Times New Roman"/>
      <w:sz w:val="24"/>
      <w:szCs w:val="20"/>
      <w:lang w:eastAsia="en-AU"/>
    </w:rPr>
  </w:style>
  <w:style w:type="paragraph" w:customStyle="1" w:styleId="BodySubPara">
    <w:name w:val="BodySubPara"/>
    <w:aliases w:val="bi"/>
    <w:basedOn w:val="Normal"/>
    <w:pPr>
      <w:numPr>
        <w:ilvl w:val="3"/>
        <w:numId w:val="19"/>
      </w:numPr>
      <w:spacing w:before="240" w:after="0"/>
    </w:pPr>
    <w:rPr>
      <w:rFonts w:ascii="Times New Roman" w:eastAsia="Times New Roman" w:hAnsi="Times New Roman" w:cs="Times New Roman"/>
      <w:sz w:val="24"/>
      <w:szCs w:val="20"/>
      <w:lang w:eastAsia="en-AU"/>
    </w:rPr>
  </w:style>
  <w:style w:type="numbering" w:customStyle="1" w:styleId="OPCBodyList">
    <w:name w:val="OPCBodyList"/>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23921">
      <w:bodyDiv w:val="1"/>
      <w:marLeft w:val="0"/>
      <w:marRight w:val="0"/>
      <w:marTop w:val="0"/>
      <w:marBottom w:val="0"/>
      <w:divBdr>
        <w:top w:val="none" w:sz="0" w:space="0" w:color="auto"/>
        <w:left w:val="none" w:sz="0" w:space="0" w:color="auto"/>
        <w:bottom w:val="none" w:sz="0" w:space="0" w:color="auto"/>
        <w:right w:val="none" w:sz="0" w:space="0" w:color="auto"/>
      </w:divBdr>
    </w:div>
    <w:div w:id="666444579">
      <w:bodyDiv w:val="1"/>
      <w:marLeft w:val="0"/>
      <w:marRight w:val="0"/>
      <w:marTop w:val="0"/>
      <w:marBottom w:val="0"/>
      <w:divBdr>
        <w:top w:val="none" w:sz="0" w:space="0" w:color="auto"/>
        <w:left w:val="none" w:sz="0" w:space="0" w:color="auto"/>
        <w:bottom w:val="none" w:sz="0" w:space="0" w:color="auto"/>
        <w:right w:val="none" w:sz="0" w:space="0" w:color="auto"/>
      </w:divBdr>
    </w:div>
    <w:div w:id="752704241">
      <w:bodyDiv w:val="1"/>
      <w:marLeft w:val="0"/>
      <w:marRight w:val="0"/>
      <w:marTop w:val="0"/>
      <w:marBottom w:val="0"/>
      <w:divBdr>
        <w:top w:val="none" w:sz="0" w:space="0" w:color="auto"/>
        <w:left w:val="none" w:sz="0" w:space="0" w:color="auto"/>
        <w:bottom w:val="none" w:sz="0" w:space="0" w:color="auto"/>
        <w:right w:val="none" w:sz="0" w:space="0" w:color="auto"/>
      </w:divBdr>
    </w:div>
    <w:div w:id="770048411">
      <w:bodyDiv w:val="1"/>
      <w:marLeft w:val="0"/>
      <w:marRight w:val="0"/>
      <w:marTop w:val="0"/>
      <w:marBottom w:val="0"/>
      <w:divBdr>
        <w:top w:val="none" w:sz="0" w:space="0" w:color="auto"/>
        <w:left w:val="none" w:sz="0" w:space="0" w:color="auto"/>
        <w:bottom w:val="none" w:sz="0" w:space="0" w:color="auto"/>
        <w:right w:val="none" w:sz="0" w:space="0" w:color="auto"/>
      </w:divBdr>
    </w:div>
    <w:div w:id="1608659126">
      <w:bodyDiv w:val="1"/>
      <w:marLeft w:val="0"/>
      <w:marRight w:val="0"/>
      <w:marTop w:val="0"/>
      <w:marBottom w:val="0"/>
      <w:divBdr>
        <w:top w:val="none" w:sz="0" w:space="0" w:color="auto"/>
        <w:left w:val="none" w:sz="0" w:space="0" w:color="auto"/>
        <w:bottom w:val="none" w:sz="0" w:space="0" w:color="auto"/>
        <w:right w:val="none" w:sz="0" w:space="0" w:color="auto"/>
      </w:divBdr>
    </w:div>
    <w:div w:id="1660886352">
      <w:bodyDiv w:val="1"/>
      <w:marLeft w:val="0"/>
      <w:marRight w:val="0"/>
      <w:marTop w:val="0"/>
      <w:marBottom w:val="0"/>
      <w:divBdr>
        <w:top w:val="none" w:sz="0" w:space="0" w:color="auto"/>
        <w:left w:val="none" w:sz="0" w:space="0" w:color="auto"/>
        <w:bottom w:val="none" w:sz="0" w:space="0" w:color="auto"/>
        <w:right w:val="none" w:sz="0" w:space="0" w:color="auto"/>
      </w:divBdr>
    </w:div>
    <w:div w:id="20669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A43D2CD35FFB49BF862108867D7647" ma:contentTypeVersion="0" ma:contentTypeDescription="Create a new document." ma:contentTypeScope="" ma:versionID="91a0098f7af4c64823896541312289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E090-3B23-4496-94D6-9C3EF266808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C516D2E9-2143-4A96-B817-EB19D1E226A5}">
  <ds:schemaRefs>
    <ds:schemaRef ds:uri="http://schemas.microsoft.com/sharepoint/v3/contenttype/forms"/>
  </ds:schemaRefs>
</ds:datastoreItem>
</file>

<file path=customXml/itemProps3.xml><?xml version="1.0" encoding="utf-8"?>
<ds:datastoreItem xmlns:ds="http://schemas.openxmlformats.org/officeDocument/2006/customXml" ds:itemID="{AEEC0F44-6025-4E1A-9FD7-14B2B20C6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90E686-8EF3-4BE3-B2F3-E7C1E61B0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3427</Words>
  <Characters>19535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ACCTS Explanatory Statement - revised with Minister's final amendments - 3 Nov 2020.docx</vt:lpstr>
    </vt:vector>
  </TitlesOfParts>
  <Company>Department of Communications and the Arts</Company>
  <LinksUpToDate>false</LinksUpToDate>
  <CharactersWithSpaces>22917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ACCTS Explanatory Statement - revised with Minister's final amendments - 3 Nov 2020.docx</dc:title>
  <dc:subject/>
  <dc:creator>Watson, Jen</dc:creator>
  <cp:keywords/>
  <dc:description/>
  <cp:lastModifiedBy>O'DEA Michael</cp:lastModifiedBy>
  <cp:revision>3</cp:revision>
  <cp:lastPrinted>2020-11-12T01:00:00Z</cp:lastPrinted>
  <dcterms:created xsi:type="dcterms:W3CDTF">2020-11-12T00:56:00Z</dcterms:created>
  <dcterms:modified xsi:type="dcterms:W3CDTF">2020-11-12T01:00:00Z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0x01010090A43D2CD35FFB49BF862108867D7647</vt:lpwstr>
  </property>
  <property fmtid="{D5CDD505-2E9C-101B-9397-08002B2CF9AE}" pid="3" name="_dlc_DocIdItemGuid">
    <vt:lpwstr>cae70269-f1aa-4871-b05b-37ef5f168f22</vt:lpwstr>
  </property>
  <property fmtid="{D5CDD505-2E9C-101B-9397-08002B2CF9AE}" pid="4" name="TrimRevisionNumber">
    <vt:i4>4</vt:i4>
  </property>
</Properties>
</file>