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D5883" w14:textId="77777777" w:rsidR="00521C09" w:rsidRPr="00BD3DBA" w:rsidRDefault="009566D5" w:rsidP="00790500">
      <w:r>
        <w:rPr>
          <w:noProof/>
          <w:lang w:eastAsia="en-AU"/>
        </w:rPr>
        <w:drawing>
          <wp:inline distT="0" distB="0" distL="0" distR="0" wp14:anchorId="15F690A5" wp14:editId="2F17CA75">
            <wp:extent cx="1503045" cy="1104900"/>
            <wp:effectExtent l="0" t="0" r="1905" b="0"/>
            <wp:docPr id="1" name="Picture 1" descr="Commonwealth Coat of Arms of Austral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97DD8" w14:textId="77777777" w:rsidR="00E73966" w:rsidRPr="00BD3DBA" w:rsidRDefault="00E73966" w:rsidP="00790500"/>
    <w:p w14:paraId="31ADA2A8" w14:textId="77777777" w:rsidR="00521C09" w:rsidRPr="00BD3DBA" w:rsidRDefault="006954D6" w:rsidP="00521C09">
      <w:pPr>
        <w:pStyle w:val="ShortT"/>
      </w:pPr>
      <w:r>
        <w:t>Broadcasting Services (</w:t>
      </w:r>
      <w:r w:rsidR="002A47B3">
        <w:t xml:space="preserve">Australian </w:t>
      </w:r>
      <w:r w:rsidR="00A77BAF">
        <w:t xml:space="preserve">Content </w:t>
      </w:r>
      <w:r w:rsidR="002A47B3">
        <w:t xml:space="preserve">and </w:t>
      </w:r>
      <w:r>
        <w:t>Children’s Television Standards)</w:t>
      </w:r>
      <w:r w:rsidR="00FE0B45" w:rsidRPr="00BD3DBA">
        <w:t xml:space="preserve"> Direction 20</w:t>
      </w:r>
      <w:r w:rsidR="00365C69">
        <w:t>20</w:t>
      </w:r>
    </w:p>
    <w:p w14:paraId="6D45E30A" w14:textId="6AA3961F" w:rsidR="00914D92" w:rsidRPr="00383FC9" w:rsidRDefault="00914D92" w:rsidP="00BE2C51">
      <w:pPr>
        <w:pStyle w:val="SignCoverPageStart"/>
        <w:spacing w:before="240"/>
        <w:rPr>
          <w:szCs w:val="22"/>
        </w:rPr>
      </w:pPr>
      <w:r w:rsidRPr="00383FC9">
        <w:rPr>
          <w:szCs w:val="22"/>
        </w:rPr>
        <w:t xml:space="preserve">I, </w:t>
      </w:r>
      <w:r w:rsidR="002A47B3" w:rsidRPr="00383FC9">
        <w:rPr>
          <w:szCs w:val="22"/>
        </w:rPr>
        <w:t>PAUL FLETCHER</w:t>
      </w:r>
      <w:r w:rsidRPr="00383FC9">
        <w:rPr>
          <w:szCs w:val="22"/>
        </w:rPr>
        <w:t xml:space="preserve">, </w:t>
      </w:r>
      <w:r w:rsidR="00670D11" w:rsidRPr="00383FC9">
        <w:rPr>
          <w:szCs w:val="22"/>
        </w:rPr>
        <w:t>Minister for Communications</w:t>
      </w:r>
      <w:r w:rsidR="002A47B3" w:rsidRPr="00383FC9">
        <w:rPr>
          <w:szCs w:val="22"/>
        </w:rPr>
        <w:t>, Cyber Safety</w:t>
      </w:r>
      <w:r w:rsidR="006954D6" w:rsidRPr="00383FC9">
        <w:rPr>
          <w:szCs w:val="22"/>
        </w:rPr>
        <w:t xml:space="preserve"> and the Arts</w:t>
      </w:r>
      <w:r w:rsidRPr="00383FC9">
        <w:rPr>
          <w:szCs w:val="22"/>
        </w:rPr>
        <w:t>,</w:t>
      </w:r>
      <w:r w:rsidR="00FE0B45" w:rsidRPr="00383FC9">
        <w:rPr>
          <w:szCs w:val="22"/>
        </w:rPr>
        <w:t xml:space="preserve"> </w:t>
      </w:r>
      <w:r w:rsidR="008469E1" w:rsidRPr="00383FC9">
        <w:rPr>
          <w:szCs w:val="22"/>
        </w:rPr>
        <w:t>give</w:t>
      </w:r>
      <w:r w:rsidRPr="00383FC9">
        <w:rPr>
          <w:szCs w:val="22"/>
        </w:rPr>
        <w:t xml:space="preserve"> the following </w:t>
      </w:r>
      <w:r w:rsidR="007D6927">
        <w:rPr>
          <w:szCs w:val="22"/>
        </w:rPr>
        <w:t>D</w:t>
      </w:r>
      <w:r w:rsidR="00FE0B45" w:rsidRPr="00383FC9">
        <w:rPr>
          <w:szCs w:val="22"/>
        </w:rPr>
        <w:t>irection</w:t>
      </w:r>
      <w:r w:rsidR="00F07DA1" w:rsidRPr="00383FC9">
        <w:rPr>
          <w:szCs w:val="22"/>
        </w:rPr>
        <w:t xml:space="preserve"> under subsection 122(7) of the </w:t>
      </w:r>
      <w:r w:rsidR="00F07DA1" w:rsidRPr="00383FC9">
        <w:rPr>
          <w:i/>
          <w:szCs w:val="22"/>
        </w:rPr>
        <w:t>Broadcasting Services Act 1992</w:t>
      </w:r>
      <w:r w:rsidRPr="00383FC9">
        <w:rPr>
          <w:szCs w:val="22"/>
        </w:rPr>
        <w:t>.</w:t>
      </w:r>
      <w:r w:rsidR="00DE12EB" w:rsidRPr="00383FC9">
        <w:rPr>
          <w:szCs w:val="22"/>
        </w:rPr>
        <w:t xml:space="preserve"> </w:t>
      </w:r>
    </w:p>
    <w:p w14:paraId="2D23F8EF" w14:textId="625B8736" w:rsidR="00914D92" w:rsidRPr="00383FC9" w:rsidRDefault="00914D92" w:rsidP="00BE2C51">
      <w:pPr>
        <w:keepNext/>
        <w:spacing w:before="720" w:line="240" w:lineRule="atLeast"/>
        <w:ind w:right="397"/>
        <w:jc w:val="both"/>
        <w:rPr>
          <w:szCs w:val="22"/>
        </w:rPr>
      </w:pPr>
      <w:r w:rsidRPr="00383FC9">
        <w:rPr>
          <w:szCs w:val="22"/>
        </w:rPr>
        <w:t xml:space="preserve">Dated </w:t>
      </w:r>
      <w:bookmarkStart w:id="0" w:name="BKCheck15B_2"/>
      <w:bookmarkEnd w:id="0"/>
      <w:r w:rsidR="00910C46">
        <w:rPr>
          <w:szCs w:val="22"/>
        </w:rPr>
        <w:t xml:space="preserve">  2 November 2020</w:t>
      </w:r>
      <w:bookmarkStart w:id="1" w:name="_GoBack"/>
      <w:bookmarkEnd w:id="1"/>
    </w:p>
    <w:p w14:paraId="5811BDDE" w14:textId="77777777" w:rsidR="00EB2A69" w:rsidRPr="00383FC9" w:rsidRDefault="00EB2A69" w:rsidP="00BE2C51">
      <w:pPr>
        <w:keepNext/>
        <w:spacing w:before="720" w:line="240" w:lineRule="atLeast"/>
        <w:ind w:right="397"/>
        <w:jc w:val="both"/>
        <w:rPr>
          <w:szCs w:val="22"/>
        </w:rPr>
      </w:pPr>
    </w:p>
    <w:p w14:paraId="3BADCDB5" w14:textId="77777777" w:rsidR="00914D92" w:rsidRPr="00383FC9" w:rsidRDefault="002A47B3" w:rsidP="00E00CCB">
      <w:pPr>
        <w:keepNext/>
        <w:tabs>
          <w:tab w:val="left" w:pos="3402"/>
        </w:tabs>
        <w:spacing w:before="960" w:line="300" w:lineRule="atLeast"/>
        <w:ind w:right="397"/>
        <w:rPr>
          <w:b/>
          <w:szCs w:val="22"/>
        </w:rPr>
      </w:pPr>
      <w:r w:rsidRPr="00383FC9">
        <w:rPr>
          <w:b/>
          <w:szCs w:val="22"/>
        </w:rPr>
        <w:t>PAUL FLETCHER</w:t>
      </w:r>
    </w:p>
    <w:p w14:paraId="15B96D5A" w14:textId="77777777" w:rsidR="00914D92" w:rsidRPr="00383FC9" w:rsidRDefault="00914D92" w:rsidP="00BE2C51">
      <w:pPr>
        <w:pStyle w:val="SignCoverPageEnd"/>
        <w:rPr>
          <w:sz w:val="22"/>
          <w:szCs w:val="22"/>
        </w:rPr>
      </w:pPr>
      <w:r w:rsidRPr="00383FC9">
        <w:rPr>
          <w:sz w:val="22"/>
          <w:szCs w:val="22"/>
        </w:rPr>
        <w:t>Minister for Communications</w:t>
      </w:r>
      <w:r w:rsidR="009238B8">
        <w:rPr>
          <w:sz w:val="22"/>
          <w:szCs w:val="22"/>
        </w:rPr>
        <w:t>, Cyber Safety</w:t>
      </w:r>
      <w:r w:rsidR="006954D6" w:rsidRPr="00383FC9">
        <w:rPr>
          <w:sz w:val="22"/>
          <w:szCs w:val="22"/>
        </w:rPr>
        <w:t xml:space="preserve"> and the Arts</w:t>
      </w:r>
    </w:p>
    <w:p w14:paraId="05A4CBF3" w14:textId="77777777" w:rsidR="00521C09" w:rsidRPr="00BD3DBA" w:rsidRDefault="00521C09" w:rsidP="005142A9">
      <w:pPr>
        <w:pStyle w:val="Header"/>
        <w:keepNext w:val="0"/>
        <w:tabs>
          <w:tab w:val="clear" w:pos="4150"/>
          <w:tab w:val="clear" w:pos="8307"/>
        </w:tabs>
        <w:spacing w:line="240" w:lineRule="auto"/>
      </w:pPr>
      <w:r w:rsidRPr="00BD3DBA">
        <w:rPr>
          <w:rStyle w:val="CharChapNo"/>
        </w:rPr>
        <w:t xml:space="preserve"> </w:t>
      </w:r>
      <w:r w:rsidRPr="00BD3DBA">
        <w:rPr>
          <w:rStyle w:val="CharChapText"/>
        </w:rPr>
        <w:t xml:space="preserve"> </w:t>
      </w:r>
      <w:r w:rsidRPr="00BD3DBA">
        <w:rPr>
          <w:rStyle w:val="CharPartNo"/>
        </w:rPr>
        <w:t xml:space="preserve"> </w:t>
      </w:r>
      <w:r w:rsidRPr="00BD3DBA">
        <w:rPr>
          <w:rStyle w:val="CharPartText"/>
        </w:rPr>
        <w:t xml:space="preserve"> </w:t>
      </w:r>
      <w:r w:rsidRPr="00BD3DBA">
        <w:rPr>
          <w:rStyle w:val="CharDivNo"/>
        </w:rPr>
        <w:t xml:space="preserve"> </w:t>
      </w:r>
      <w:r w:rsidRPr="00BD3DBA">
        <w:rPr>
          <w:rStyle w:val="CharDivText"/>
        </w:rPr>
        <w:t xml:space="preserve"> </w:t>
      </w:r>
    </w:p>
    <w:p w14:paraId="42D1976E" w14:textId="77777777" w:rsidR="00BF3F2F" w:rsidRDefault="00BF3F2F" w:rsidP="00F07DA1">
      <w:pPr>
        <w:pStyle w:val="ActHead2"/>
        <w:rPr>
          <w:rStyle w:val="CharPartNo"/>
        </w:rPr>
        <w:sectPr w:rsidR="00BF3F2F" w:rsidSect="00DC7F01">
          <w:headerReference w:type="even" r:id="rId12"/>
          <w:headerReference w:type="default" r:id="rId13"/>
          <w:footerReference w:type="even" r:id="rId14"/>
          <w:footerReference w:type="default" r:id="rId15"/>
          <w:pgSz w:w="11907" w:h="16839" w:code="9"/>
          <w:pgMar w:top="1673" w:right="1797" w:bottom="1440" w:left="1797" w:header="720" w:footer="709" w:gutter="0"/>
          <w:cols w:space="720"/>
          <w:titlePg/>
          <w:docGrid w:linePitch="360"/>
        </w:sectPr>
      </w:pPr>
      <w:bookmarkStart w:id="2" w:name="_Toc418165038"/>
      <w:bookmarkStart w:id="3" w:name="_Toc418067266"/>
      <w:bookmarkStart w:id="4" w:name="_Toc418067518"/>
      <w:bookmarkStart w:id="5" w:name="_Toc418067534"/>
      <w:bookmarkStart w:id="6" w:name="_Toc418067960"/>
      <w:bookmarkStart w:id="7" w:name="_Toc418165041"/>
    </w:p>
    <w:p w14:paraId="7DAB2914" w14:textId="77777777" w:rsidR="00BF3F2F" w:rsidRDefault="00BF3F2F" w:rsidP="00BF3F2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4C6319E" w14:textId="6BC4F50F" w:rsidR="006E430F" w:rsidRDefault="00BF3F2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6E430F">
        <w:rPr>
          <w:noProof/>
        </w:rPr>
        <w:t>Part 1—Introduction</w:t>
      </w:r>
      <w:r w:rsidR="006E430F">
        <w:rPr>
          <w:noProof/>
        </w:rPr>
        <w:tab/>
      </w:r>
      <w:r w:rsidR="006E430F">
        <w:rPr>
          <w:noProof/>
        </w:rPr>
        <w:fldChar w:fldCharType="begin"/>
      </w:r>
      <w:r w:rsidR="006E430F">
        <w:rPr>
          <w:noProof/>
        </w:rPr>
        <w:instrText xml:space="preserve"> PAGEREF _Toc55896122 \h </w:instrText>
      </w:r>
      <w:r w:rsidR="006E430F">
        <w:rPr>
          <w:noProof/>
        </w:rPr>
      </w:r>
      <w:r w:rsidR="006E430F">
        <w:rPr>
          <w:noProof/>
        </w:rPr>
        <w:fldChar w:fldCharType="separate"/>
      </w:r>
      <w:r w:rsidR="006E430F">
        <w:rPr>
          <w:noProof/>
        </w:rPr>
        <w:t>1</w:t>
      </w:r>
      <w:r w:rsidR="006E430F">
        <w:rPr>
          <w:noProof/>
        </w:rPr>
        <w:fldChar w:fldCharType="end"/>
      </w:r>
    </w:p>
    <w:p w14:paraId="026A4C99" w14:textId="69B3CD32" w:rsidR="006E430F" w:rsidRDefault="006E43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_Toc55896123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3094706" w14:textId="5870A55C" w:rsidR="006E430F" w:rsidRDefault="006E43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_Toc55896124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5F688EC" w14:textId="06115D57" w:rsidR="006E430F" w:rsidRDefault="006E43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_Toc55896125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DEFAB1C" w14:textId="036942F8" w:rsidR="006E430F" w:rsidRDefault="006E43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_Toc55896126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E844829" w14:textId="16B2B4A6" w:rsidR="006E430F" w:rsidRDefault="006E430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 2—Direction to the ACMA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_Toc55896127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3D11174" w14:textId="0FA02A98" w:rsidR="006E430F" w:rsidRDefault="006E430F" w:rsidP="006E430F">
      <w:pPr>
        <w:pStyle w:val="TOC5"/>
        <w:ind w:left="1418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Modifications to quota arrangements for Australian and children’s                  programs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_Toc55896128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69770B3" w14:textId="250C868E" w:rsidR="006E430F" w:rsidRDefault="006E43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Transitional arrangements for quota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_Toc55896129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ACB4989" w14:textId="77E3F2D8" w:rsidR="006E430F" w:rsidRDefault="006E43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Protection of children from possible harmful effects of television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_Toc55896130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3D0E3AF" w14:textId="0887ACB8" w:rsidR="006E430F" w:rsidRDefault="006E43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Consequential 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_Toc55896131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FBBA564" w14:textId="5281BCFF" w:rsidR="006E430F" w:rsidRDefault="006E430F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1—Genre point allocation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_Toc55896132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E15C4D0" w14:textId="103462FD" w:rsidR="00BF3F2F" w:rsidRDefault="00BF3F2F" w:rsidP="00BF3F2F">
      <w:pPr>
        <w:outlineLvl w:val="0"/>
      </w:pPr>
      <w:r>
        <w:fldChar w:fldCharType="end"/>
      </w:r>
    </w:p>
    <w:p w14:paraId="742C2997" w14:textId="77777777" w:rsidR="00BF3F2F" w:rsidRPr="00A802BC" w:rsidRDefault="00BF3F2F" w:rsidP="00BF3F2F">
      <w:pPr>
        <w:outlineLvl w:val="0"/>
        <w:rPr>
          <w:sz w:val="20"/>
        </w:rPr>
      </w:pPr>
    </w:p>
    <w:p w14:paraId="5D447160" w14:textId="77777777" w:rsidR="00BF3F2F" w:rsidRDefault="00BF3F2F" w:rsidP="00BF3F2F"/>
    <w:p w14:paraId="25BE62E4" w14:textId="77777777" w:rsidR="00BF3F2F" w:rsidRPr="003B18AD" w:rsidRDefault="00BF3F2F" w:rsidP="00BF3F2F"/>
    <w:p w14:paraId="13E497B4" w14:textId="77777777" w:rsidR="00645A3B" w:rsidRDefault="00645A3B" w:rsidP="00645A3B">
      <w:pPr>
        <w:pStyle w:val="ActHead2"/>
        <w:tabs>
          <w:tab w:val="left" w:pos="2060"/>
        </w:tabs>
        <w:rPr>
          <w:rStyle w:val="CharPartNo"/>
        </w:rPr>
      </w:pPr>
      <w:r>
        <w:rPr>
          <w:rStyle w:val="CharPartNo"/>
        </w:rPr>
        <w:tab/>
      </w:r>
      <w:r>
        <w:rPr>
          <w:rStyle w:val="CharPartNo"/>
        </w:rPr>
        <w:tab/>
      </w:r>
    </w:p>
    <w:p w14:paraId="7FCD0589" w14:textId="77777777" w:rsidR="00BF3F2F" w:rsidRPr="00645A3B" w:rsidRDefault="00645A3B" w:rsidP="00645A3B">
      <w:pPr>
        <w:tabs>
          <w:tab w:val="left" w:pos="2060"/>
        </w:tabs>
        <w:rPr>
          <w:lang w:eastAsia="en-AU"/>
        </w:rPr>
        <w:sectPr w:rsidR="00BF3F2F" w:rsidRPr="00645A3B" w:rsidSect="004D3F1C">
          <w:headerReference w:type="first" r:id="rId16"/>
          <w:footerReference w:type="first" r:id="rId17"/>
          <w:pgSz w:w="11907" w:h="16839" w:code="9"/>
          <w:pgMar w:top="1673" w:right="1797" w:bottom="1440" w:left="1797" w:header="720" w:footer="709" w:gutter="0"/>
          <w:pgNumType w:fmt="lowerRoman" w:start="1"/>
          <w:cols w:space="720"/>
          <w:titlePg/>
          <w:docGrid w:linePitch="360"/>
        </w:sectPr>
      </w:pPr>
      <w:r>
        <w:rPr>
          <w:lang w:eastAsia="en-AU"/>
        </w:rPr>
        <w:tab/>
      </w:r>
    </w:p>
    <w:p w14:paraId="775A664E" w14:textId="77777777" w:rsidR="00F07DA1" w:rsidRPr="00C00AA1" w:rsidRDefault="00F07DA1" w:rsidP="00F07DA1">
      <w:pPr>
        <w:pStyle w:val="ActHead2"/>
      </w:pPr>
      <w:bookmarkStart w:id="8" w:name="_Toc55896122"/>
      <w:r w:rsidRPr="00C00AA1">
        <w:rPr>
          <w:rStyle w:val="CharPartNo"/>
        </w:rPr>
        <w:lastRenderedPageBreak/>
        <w:t>Part 1</w:t>
      </w:r>
      <w:r w:rsidRPr="00C00AA1">
        <w:t>—</w:t>
      </w:r>
      <w:bookmarkEnd w:id="2"/>
      <w:r w:rsidRPr="00C00AA1">
        <w:rPr>
          <w:rStyle w:val="CharPartText"/>
        </w:rPr>
        <w:t>Introduction</w:t>
      </w:r>
      <w:bookmarkEnd w:id="8"/>
    </w:p>
    <w:p w14:paraId="6213C32F" w14:textId="77777777" w:rsidR="00275065" w:rsidRPr="00BD3DBA" w:rsidRDefault="00275065" w:rsidP="00521C09">
      <w:pPr>
        <w:pStyle w:val="ActHead5"/>
      </w:pPr>
      <w:bookmarkStart w:id="9" w:name="_Toc55896123"/>
      <w:proofErr w:type="gramStart"/>
      <w:r w:rsidRPr="00BD3DBA">
        <w:rPr>
          <w:rStyle w:val="CharSectno"/>
        </w:rPr>
        <w:t>1</w:t>
      </w:r>
      <w:r w:rsidR="00521C09" w:rsidRPr="00BD3DBA">
        <w:t xml:space="preserve">  </w:t>
      </w:r>
      <w:r w:rsidRPr="00BD3DBA">
        <w:t>Name</w:t>
      </w:r>
      <w:bookmarkEnd w:id="3"/>
      <w:bookmarkEnd w:id="4"/>
      <w:bookmarkEnd w:id="5"/>
      <w:bookmarkEnd w:id="6"/>
      <w:bookmarkEnd w:id="7"/>
      <w:bookmarkEnd w:id="9"/>
      <w:proofErr w:type="gramEnd"/>
    </w:p>
    <w:p w14:paraId="2B33BDDD" w14:textId="77777777" w:rsidR="00160EE0" w:rsidRPr="00BD3DBA" w:rsidRDefault="00275065" w:rsidP="00B30005">
      <w:pPr>
        <w:pStyle w:val="subsection"/>
        <w:tabs>
          <w:tab w:val="clear" w:pos="1021"/>
          <w:tab w:val="right" w:pos="851"/>
        </w:tabs>
        <w:ind w:left="851" w:firstLine="0"/>
      </w:pPr>
      <w:r w:rsidRPr="00BD3DBA">
        <w:t>This</w:t>
      </w:r>
      <w:r w:rsidR="00AC3EF3" w:rsidRPr="00BD3DBA">
        <w:t xml:space="preserve"> </w:t>
      </w:r>
      <w:r w:rsidR="00AD5C89">
        <w:t>Direction</w:t>
      </w:r>
      <w:r w:rsidR="00AD5C89" w:rsidRPr="00BD3DBA">
        <w:t xml:space="preserve"> </w:t>
      </w:r>
      <w:r w:rsidRPr="00BD3DBA">
        <w:t>is the</w:t>
      </w:r>
      <w:r w:rsidR="00AC3EF3" w:rsidRPr="00BD3DBA">
        <w:t xml:space="preserve"> </w:t>
      </w:r>
      <w:r w:rsidR="006954D6">
        <w:rPr>
          <w:i/>
        </w:rPr>
        <w:t>Broadcasting Services (</w:t>
      </w:r>
      <w:r w:rsidR="002A47B3">
        <w:rPr>
          <w:i/>
        </w:rPr>
        <w:t xml:space="preserve">Australian and </w:t>
      </w:r>
      <w:r w:rsidR="006954D6">
        <w:rPr>
          <w:i/>
        </w:rPr>
        <w:t>Children’s Television Standards) Direction 20</w:t>
      </w:r>
      <w:r w:rsidR="002A47B3">
        <w:rPr>
          <w:i/>
        </w:rPr>
        <w:t>20</w:t>
      </w:r>
      <w:r w:rsidR="00C47468" w:rsidRPr="00BD3DBA">
        <w:t>.</w:t>
      </w:r>
    </w:p>
    <w:p w14:paraId="7B078E50" w14:textId="77777777" w:rsidR="00611361" w:rsidRPr="00BD3DBA" w:rsidRDefault="00611361" w:rsidP="00611361">
      <w:pPr>
        <w:pStyle w:val="ActHead5"/>
      </w:pPr>
      <w:bookmarkStart w:id="10" w:name="_Toc485208921"/>
      <w:bookmarkStart w:id="11" w:name="_Toc55896124"/>
      <w:bookmarkStart w:id="12" w:name="_Toc418067267"/>
      <w:bookmarkStart w:id="13" w:name="_Toc418067519"/>
      <w:bookmarkStart w:id="14" w:name="_Toc418067535"/>
      <w:bookmarkStart w:id="15" w:name="_Toc418067961"/>
      <w:bookmarkStart w:id="16" w:name="_Toc418165042"/>
      <w:proofErr w:type="gramStart"/>
      <w:r w:rsidRPr="00BD3DBA">
        <w:rPr>
          <w:rStyle w:val="CharSectno"/>
        </w:rPr>
        <w:t>2</w:t>
      </w:r>
      <w:r w:rsidRPr="00BD3DBA">
        <w:t xml:space="preserve">  Commencement</w:t>
      </w:r>
      <w:bookmarkEnd w:id="10"/>
      <w:bookmarkEnd w:id="11"/>
      <w:proofErr w:type="gramEnd"/>
    </w:p>
    <w:p w14:paraId="6BEB9AC1" w14:textId="77777777" w:rsidR="00FE0B45" w:rsidRDefault="00FE0B45" w:rsidP="00B30005">
      <w:pPr>
        <w:pStyle w:val="subsection"/>
        <w:tabs>
          <w:tab w:val="clear" w:pos="1021"/>
          <w:tab w:val="right" w:pos="851"/>
        </w:tabs>
        <w:ind w:left="851" w:firstLine="0"/>
      </w:pPr>
      <w:r w:rsidRPr="00BD3DBA">
        <w:t xml:space="preserve">This </w:t>
      </w:r>
      <w:r w:rsidR="00AD5C89">
        <w:t>Direction</w:t>
      </w:r>
      <w:r w:rsidR="00AD5C89" w:rsidRPr="00BD3DBA">
        <w:t xml:space="preserve"> </w:t>
      </w:r>
      <w:r w:rsidRPr="00BD3DBA">
        <w:t>commences on the day after it is registered.</w:t>
      </w:r>
    </w:p>
    <w:p w14:paraId="489CDC84" w14:textId="77777777" w:rsidR="00787B98" w:rsidRPr="00383FC9" w:rsidRDefault="00787B98" w:rsidP="00787B98">
      <w:pPr>
        <w:keepNext/>
        <w:spacing w:before="280" w:line="240" w:lineRule="auto"/>
        <w:ind w:left="1134" w:hanging="1134"/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en-AU"/>
        </w:rPr>
      </w:pPr>
      <w:r w:rsidRPr="00383FC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en-AU"/>
        </w:rPr>
        <w:t>3</w:t>
      </w:r>
      <w:proofErr w:type="gramStart"/>
      <w:r w:rsidRPr="00383FC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en-AU"/>
        </w:rPr>
        <w:t>  Repeal</w:t>
      </w:r>
      <w:proofErr w:type="gramEnd"/>
      <w:r w:rsidRPr="00383FC9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en-AU"/>
        </w:rPr>
        <w:t xml:space="preserve"> of this Direction</w:t>
      </w:r>
    </w:p>
    <w:p w14:paraId="44C49E47" w14:textId="77777777" w:rsidR="00787B98" w:rsidRPr="00BD3DBA" w:rsidRDefault="00787B98" w:rsidP="00787B98">
      <w:pPr>
        <w:pStyle w:val="subsection"/>
        <w:tabs>
          <w:tab w:val="clear" w:pos="1021"/>
          <w:tab w:val="right" w:pos="851"/>
        </w:tabs>
        <w:ind w:left="851" w:firstLine="0"/>
      </w:pPr>
      <w:r w:rsidRPr="00383FC9">
        <w:rPr>
          <w:rFonts w:ascii="&amp;quot" w:hAnsi="&amp;quot"/>
          <w:color w:val="000000"/>
          <w:szCs w:val="22"/>
        </w:rPr>
        <w:t>This Direction is repealed on 1 July 202</w:t>
      </w:r>
      <w:r w:rsidR="009238B8">
        <w:rPr>
          <w:rFonts w:ascii="&amp;quot" w:hAnsi="&amp;quot"/>
          <w:color w:val="000000"/>
          <w:szCs w:val="22"/>
        </w:rPr>
        <w:t>1</w:t>
      </w:r>
      <w:r w:rsidRPr="00383FC9">
        <w:rPr>
          <w:rFonts w:ascii="&amp;quot" w:hAnsi="&amp;quot"/>
          <w:color w:val="000000"/>
          <w:szCs w:val="22"/>
        </w:rPr>
        <w:t>.</w:t>
      </w:r>
    </w:p>
    <w:p w14:paraId="45F8D9F7" w14:textId="77777777" w:rsidR="006646A5" w:rsidRPr="00BD3DBA" w:rsidRDefault="00787B98" w:rsidP="006646A5">
      <w:pPr>
        <w:pStyle w:val="ActHead5"/>
      </w:pPr>
      <w:bookmarkStart w:id="17" w:name="_Toc55896125"/>
      <w:bookmarkStart w:id="18" w:name="_Toc418067268"/>
      <w:bookmarkStart w:id="19" w:name="_Toc418067520"/>
      <w:bookmarkStart w:id="20" w:name="_Toc418067536"/>
      <w:bookmarkStart w:id="21" w:name="_Toc418067962"/>
      <w:bookmarkStart w:id="22" w:name="_Toc418165043"/>
      <w:bookmarkEnd w:id="12"/>
      <w:bookmarkEnd w:id="13"/>
      <w:bookmarkEnd w:id="14"/>
      <w:bookmarkEnd w:id="15"/>
      <w:bookmarkEnd w:id="16"/>
      <w:proofErr w:type="gramStart"/>
      <w:r>
        <w:rPr>
          <w:rStyle w:val="CharSectno"/>
        </w:rPr>
        <w:t>4</w:t>
      </w:r>
      <w:r w:rsidR="006646A5" w:rsidRPr="00BD3DBA">
        <w:t xml:space="preserve">  Authority</w:t>
      </w:r>
      <w:bookmarkEnd w:id="17"/>
      <w:proofErr w:type="gramEnd"/>
    </w:p>
    <w:p w14:paraId="76CEC034" w14:textId="77777777" w:rsidR="006646A5" w:rsidRPr="00BD3DBA" w:rsidRDefault="006646A5" w:rsidP="00B30005">
      <w:pPr>
        <w:pStyle w:val="subsection"/>
        <w:tabs>
          <w:tab w:val="clear" w:pos="1021"/>
          <w:tab w:val="right" w:pos="851"/>
        </w:tabs>
        <w:ind w:left="851" w:firstLine="0"/>
      </w:pPr>
      <w:r w:rsidRPr="00BD3DBA">
        <w:t xml:space="preserve">This </w:t>
      </w:r>
      <w:r w:rsidR="00AD5C89">
        <w:t>Direction</w:t>
      </w:r>
      <w:r w:rsidR="00AD5C89" w:rsidRPr="00BD3DBA">
        <w:t xml:space="preserve"> </w:t>
      </w:r>
      <w:r w:rsidRPr="00BD3DBA">
        <w:t xml:space="preserve">is made under </w:t>
      </w:r>
      <w:r w:rsidR="00FE0B45" w:rsidRPr="00BD3DBA">
        <w:t xml:space="preserve">subsection </w:t>
      </w:r>
      <w:r w:rsidR="006954D6">
        <w:t>122(7)</w:t>
      </w:r>
      <w:r w:rsidR="00FE0B45" w:rsidRPr="00BD3DBA">
        <w:t xml:space="preserve"> </w:t>
      </w:r>
      <w:r w:rsidRPr="00BD3DBA">
        <w:t xml:space="preserve">of the </w:t>
      </w:r>
      <w:r w:rsidR="00887B7C">
        <w:t>Act</w:t>
      </w:r>
      <w:r w:rsidRPr="00BD3DBA">
        <w:t>.</w:t>
      </w:r>
    </w:p>
    <w:p w14:paraId="74B0852C" w14:textId="77777777" w:rsidR="006646A5" w:rsidRPr="00BD3DBA" w:rsidRDefault="00787B98" w:rsidP="00B31421">
      <w:pPr>
        <w:pStyle w:val="ActHead5"/>
      </w:pPr>
      <w:bookmarkStart w:id="23" w:name="_Toc418067269"/>
      <w:bookmarkStart w:id="24" w:name="_Toc418067521"/>
      <w:bookmarkStart w:id="25" w:name="_Toc418067537"/>
      <w:bookmarkStart w:id="26" w:name="_Toc418067963"/>
      <w:bookmarkStart w:id="27" w:name="_Toc418165044"/>
      <w:bookmarkStart w:id="28" w:name="_Toc454803175"/>
      <w:bookmarkStart w:id="29" w:name="_Toc55896126"/>
      <w:bookmarkEnd w:id="18"/>
      <w:bookmarkEnd w:id="19"/>
      <w:bookmarkEnd w:id="20"/>
      <w:bookmarkEnd w:id="21"/>
      <w:bookmarkEnd w:id="22"/>
      <w:proofErr w:type="gramStart"/>
      <w:r>
        <w:rPr>
          <w:rStyle w:val="CharSectno"/>
        </w:rPr>
        <w:t>5</w:t>
      </w:r>
      <w:r w:rsidR="006646A5" w:rsidRPr="00BD3DBA">
        <w:t xml:space="preserve">  </w:t>
      </w:r>
      <w:bookmarkEnd w:id="23"/>
      <w:bookmarkEnd w:id="24"/>
      <w:bookmarkEnd w:id="25"/>
      <w:bookmarkEnd w:id="26"/>
      <w:bookmarkEnd w:id="27"/>
      <w:bookmarkEnd w:id="28"/>
      <w:r w:rsidR="00F07DA1">
        <w:t>Definitions</w:t>
      </w:r>
      <w:bookmarkEnd w:id="29"/>
      <w:proofErr w:type="gramEnd"/>
    </w:p>
    <w:p w14:paraId="32F1D39C" w14:textId="40BEA611" w:rsidR="000C5AE2" w:rsidRPr="00BD3DBA" w:rsidRDefault="00196625" w:rsidP="000A7379">
      <w:pPr>
        <w:pStyle w:val="subsection"/>
        <w:keepNext/>
        <w:keepLines/>
        <w:tabs>
          <w:tab w:val="clear" w:pos="1021"/>
          <w:tab w:val="right" w:pos="0"/>
          <w:tab w:val="left" w:pos="851"/>
        </w:tabs>
        <w:ind w:left="0" w:firstLine="0"/>
      </w:pPr>
      <w:r>
        <w:tab/>
      </w:r>
      <w:r w:rsidR="000C5AE2" w:rsidRPr="00BD3DBA">
        <w:t xml:space="preserve">In this </w:t>
      </w:r>
      <w:r w:rsidR="00AD5C89">
        <w:t>Direction</w:t>
      </w:r>
      <w:r w:rsidR="000C5AE2" w:rsidRPr="00BD3DBA">
        <w:t>:</w:t>
      </w:r>
    </w:p>
    <w:p w14:paraId="4A88D2EC" w14:textId="77777777" w:rsidR="002540D7" w:rsidRPr="002540D7" w:rsidRDefault="002540D7" w:rsidP="006646A5">
      <w:pPr>
        <w:pStyle w:val="Definition"/>
      </w:pPr>
      <w:bookmarkStart w:id="30" w:name="_Toc418165046"/>
      <w:r>
        <w:rPr>
          <w:b/>
          <w:i/>
        </w:rPr>
        <w:t xml:space="preserve">ACMA </w:t>
      </w:r>
      <w:r>
        <w:t>means the Australian Communications and Media Authority.</w:t>
      </w:r>
    </w:p>
    <w:p w14:paraId="7E107908" w14:textId="3097F89B" w:rsidR="00BF0804" w:rsidRPr="00BF0804" w:rsidRDefault="00BF0804" w:rsidP="006646A5">
      <w:pPr>
        <w:pStyle w:val="Definition"/>
      </w:pPr>
      <w:proofErr w:type="gramStart"/>
      <w:r>
        <w:rPr>
          <w:b/>
          <w:i/>
        </w:rPr>
        <w:t>acquired</w:t>
      </w:r>
      <w:proofErr w:type="gramEnd"/>
      <w:r>
        <w:t xml:space="preserve">, in relation to a program, means </w:t>
      </w:r>
      <w:r w:rsidR="00ED3BC0">
        <w:t>a</w:t>
      </w:r>
      <w:r w:rsidR="00ED3BC0" w:rsidRPr="00ED3BC0">
        <w:t xml:space="preserve">cquired by a </w:t>
      </w:r>
      <w:r w:rsidR="001142C1">
        <w:t xml:space="preserve">commercial television broadcasting </w:t>
      </w:r>
      <w:r w:rsidR="00ED3BC0" w:rsidRPr="00ED3BC0">
        <w:t>licensee or its program supplier un</w:t>
      </w:r>
      <w:r w:rsidR="00ED3BC0">
        <w:t xml:space="preserve">der a legally binding agreement, but does not include a program </w:t>
      </w:r>
      <w:r>
        <w:t>commissioned</w:t>
      </w:r>
      <w:r w:rsidR="00ED3BC0">
        <w:t xml:space="preserve"> by the licensee</w:t>
      </w:r>
      <w:r>
        <w:t>.</w:t>
      </w:r>
    </w:p>
    <w:p w14:paraId="59001BD2" w14:textId="36AAC4A4" w:rsidR="0038371F" w:rsidRPr="00FA4F87" w:rsidRDefault="0038371F" w:rsidP="006646A5">
      <w:pPr>
        <w:pStyle w:val="Definition"/>
      </w:pPr>
      <w:r>
        <w:rPr>
          <w:b/>
          <w:i/>
        </w:rPr>
        <w:t>ACS</w:t>
      </w:r>
      <w:r>
        <w:t xml:space="preserve"> means the </w:t>
      </w:r>
      <w:r w:rsidRPr="0038371F">
        <w:rPr>
          <w:i/>
        </w:rPr>
        <w:t>Broadcasting Services (Australian Content) Standard 2016</w:t>
      </w:r>
      <w:r w:rsidR="00FA4F87">
        <w:t xml:space="preserve"> as in force </w:t>
      </w:r>
      <w:r w:rsidR="0020547C">
        <w:t>on</w:t>
      </w:r>
      <w:r w:rsidR="00FA4F87">
        <w:t xml:space="preserve"> the date of this </w:t>
      </w:r>
      <w:r w:rsidR="007D6927">
        <w:t>D</w:t>
      </w:r>
      <w:r w:rsidR="00FA4F87">
        <w:t>irection.</w:t>
      </w:r>
    </w:p>
    <w:p w14:paraId="74382120" w14:textId="77777777" w:rsidR="0072061F" w:rsidRDefault="006646A5" w:rsidP="006646A5">
      <w:pPr>
        <w:pStyle w:val="Definition"/>
      </w:pPr>
      <w:r w:rsidRPr="00BD3DBA">
        <w:rPr>
          <w:b/>
          <w:i/>
        </w:rPr>
        <w:t>Act</w:t>
      </w:r>
      <w:r w:rsidRPr="00BD3DBA">
        <w:t xml:space="preserve"> </w:t>
      </w:r>
      <w:r w:rsidRPr="003B1417">
        <w:t xml:space="preserve">means </w:t>
      </w:r>
      <w:r w:rsidR="00C97B8B" w:rsidRPr="003B1417">
        <w:t xml:space="preserve">the </w:t>
      </w:r>
      <w:r w:rsidR="006954D6" w:rsidRPr="003B1417">
        <w:rPr>
          <w:i/>
        </w:rPr>
        <w:t>Broadcasting Services Act 1992</w:t>
      </w:r>
      <w:r w:rsidRPr="003B1417">
        <w:t>.</w:t>
      </w:r>
    </w:p>
    <w:p w14:paraId="285BC0A9" w14:textId="1FA98AE0" w:rsidR="000D409A" w:rsidRPr="00A0438D" w:rsidRDefault="00BF0804" w:rsidP="006646A5">
      <w:pPr>
        <w:pStyle w:val="Definition"/>
        <w:rPr>
          <w:b/>
        </w:rPr>
      </w:pPr>
      <w:proofErr w:type="gramStart"/>
      <w:r>
        <w:rPr>
          <w:b/>
          <w:i/>
        </w:rPr>
        <w:t>a</w:t>
      </w:r>
      <w:r w:rsidR="000D409A">
        <w:rPr>
          <w:b/>
          <w:i/>
        </w:rPr>
        <w:t>mend</w:t>
      </w:r>
      <w:proofErr w:type="gramEnd"/>
      <w:r w:rsidR="000D409A">
        <w:rPr>
          <w:b/>
          <w:i/>
        </w:rPr>
        <w:t xml:space="preserve"> </w:t>
      </w:r>
      <w:r w:rsidR="000D409A" w:rsidRPr="00A0438D">
        <w:t>includes revoke and remake.</w:t>
      </w:r>
    </w:p>
    <w:p w14:paraId="40A8756C" w14:textId="06B05177" w:rsidR="0038371F" w:rsidRDefault="0038371F" w:rsidP="006646A5">
      <w:pPr>
        <w:pStyle w:val="Definition"/>
      </w:pPr>
      <w:r>
        <w:rPr>
          <w:b/>
          <w:i/>
        </w:rPr>
        <w:t xml:space="preserve">Australian drama program </w:t>
      </w:r>
      <w:r>
        <w:t xml:space="preserve">has the meaning given by </w:t>
      </w:r>
      <w:r w:rsidR="00DD26C4">
        <w:t xml:space="preserve">section 6 of </w:t>
      </w:r>
      <w:r>
        <w:t>the ACS</w:t>
      </w:r>
      <w:r w:rsidR="001278DA">
        <w:t xml:space="preserve"> but as if subparagraph </w:t>
      </w:r>
      <w:r w:rsidR="004344F6">
        <w:t>6</w:t>
      </w:r>
      <w:r w:rsidR="001278DA">
        <w:t>(c</w:t>
      </w:r>
      <w:proofErr w:type="gramStart"/>
      <w:r w:rsidR="001278DA">
        <w:t>)(</w:t>
      </w:r>
      <w:proofErr w:type="gramEnd"/>
      <w:r w:rsidR="001278DA">
        <w:t>ii) of the definition were removed</w:t>
      </w:r>
      <w:r>
        <w:t>.</w:t>
      </w:r>
    </w:p>
    <w:p w14:paraId="19AD7CF7" w14:textId="47CF7514" w:rsidR="001278DA" w:rsidRDefault="001278DA" w:rsidP="006646A5">
      <w:pPr>
        <w:pStyle w:val="Definition"/>
        <w:rPr>
          <w:b/>
          <w:i/>
        </w:rPr>
      </w:pPr>
      <w:r>
        <w:rPr>
          <w:color w:val="000000"/>
          <w:sz w:val="18"/>
          <w:szCs w:val="18"/>
          <w:shd w:val="clear" w:color="auto" w:fill="FFFFFF"/>
        </w:rPr>
        <w:t xml:space="preserve">Note:          Subparagraph </w:t>
      </w:r>
      <w:r w:rsidR="004344F6">
        <w:rPr>
          <w:color w:val="000000"/>
          <w:sz w:val="18"/>
          <w:szCs w:val="18"/>
          <w:shd w:val="clear" w:color="auto" w:fill="FFFFFF"/>
        </w:rPr>
        <w:t>6</w:t>
      </w:r>
      <w:r>
        <w:rPr>
          <w:color w:val="000000"/>
          <w:sz w:val="18"/>
          <w:szCs w:val="18"/>
          <w:shd w:val="clear" w:color="auto" w:fill="FFFFFF"/>
        </w:rPr>
        <w:t>(c</w:t>
      </w:r>
      <w:proofErr w:type="gramStart"/>
      <w:r>
        <w:rPr>
          <w:color w:val="000000"/>
          <w:sz w:val="18"/>
          <w:szCs w:val="18"/>
          <w:shd w:val="clear" w:color="auto" w:fill="FFFFFF"/>
        </w:rPr>
        <w:t>)(</w:t>
      </w:r>
      <w:proofErr w:type="gramEnd"/>
      <w:r>
        <w:rPr>
          <w:color w:val="000000"/>
          <w:sz w:val="18"/>
          <w:szCs w:val="18"/>
          <w:shd w:val="clear" w:color="auto" w:fill="FFFFFF"/>
        </w:rPr>
        <w:t>ii) of the definition states that an Australian drama program does not include an Australian children’s drama.</w:t>
      </w:r>
    </w:p>
    <w:p w14:paraId="2F9FC335" w14:textId="77777777" w:rsidR="001714C1" w:rsidRDefault="001714C1" w:rsidP="006646A5">
      <w:pPr>
        <w:pStyle w:val="Definition"/>
        <w:rPr>
          <w:rFonts w:ascii="&amp;quot" w:hAnsi="&amp;quot"/>
          <w:b/>
          <w:bCs/>
          <w:i/>
          <w:iCs/>
          <w:color w:val="000000"/>
        </w:rPr>
      </w:pPr>
      <w:r>
        <w:rPr>
          <w:rFonts w:ascii="&amp;quot" w:hAnsi="&amp;quot"/>
          <w:b/>
          <w:bCs/>
          <w:i/>
          <w:iCs/>
          <w:color w:val="000000"/>
        </w:rPr>
        <w:t>Australian/New Zealand program</w:t>
      </w:r>
      <w:r>
        <w:rPr>
          <w:rFonts w:ascii="&amp;quot" w:hAnsi="&amp;quot"/>
          <w:color w:val="000000"/>
        </w:rPr>
        <w:t xml:space="preserve"> has the meaning given by</w:t>
      </w:r>
      <w:r w:rsidRPr="001714C1">
        <w:t xml:space="preserve"> </w:t>
      </w:r>
      <w:r>
        <w:t>section 6 of the ACS.</w:t>
      </w:r>
    </w:p>
    <w:p w14:paraId="1F1099EE" w14:textId="77777777" w:rsidR="001714C1" w:rsidRPr="001714C1" w:rsidRDefault="001714C1" w:rsidP="006646A5">
      <w:pPr>
        <w:pStyle w:val="Definition"/>
      </w:pPr>
      <w:r>
        <w:rPr>
          <w:rFonts w:ascii="&amp;quot" w:hAnsi="&amp;quot"/>
          <w:b/>
          <w:bCs/>
          <w:i/>
          <w:iCs/>
          <w:color w:val="000000"/>
        </w:rPr>
        <w:t>Australian official co</w:t>
      </w:r>
      <w:r>
        <w:rPr>
          <w:rFonts w:ascii="&amp;quot" w:hAnsi="&amp;quot"/>
          <w:b/>
          <w:bCs/>
          <w:i/>
          <w:iCs/>
          <w:color w:val="000000"/>
        </w:rPr>
        <w:noBreakHyphen/>
        <w:t>production</w:t>
      </w:r>
      <w:r>
        <w:rPr>
          <w:rFonts w:ascii="&amp;quot" w:hAnsi="&amp;quot"/>
          <w:bCs/>
          <w:iCs/>
          <w:color w:val="000000"/>
        </w:rPr>
        <w:t xml:space="preserve"> </w:t>
      </w:r>
      <w:r>
        <w:t>has the meaning given by section 6 of the ACS.</w:t>
      </w:r>
    </w:p>
    <w:p w14:paraId="5AEDF27C" w14:textId="77777777" w:rsidR="00D97529" w:rsidRDefault="00D97529" w:rsidP="006646A5">
      <w:pPr>
        <w:pStyle w:val="Definition"/>
      </w:pPr>
      <w:r>
        <w:rPr>
          <w:b/>
          <w:i/>
        </w:rPr>
        <w:t>Australian program</w:t>
      </w:r>
      <w:r>
        <w:rPr>
          <w:i/>
        </w:rPr>
        <w:t xml:space="preserve"> </w:t>
      </w:r>
      <w:r>
        <w:t xml:space="preserve">has the meaning given by section 7 of the ACS. </w:t>
      </w:r>
    </w:p>
    <w:p w14:paraId="757C73A2" w14:textId="77777777" w:rsidR="00EC7719" w:rsidRPr="00EC7719" w:rsidRDefault="00EC7719" w:rsidP="006646A5">
      <w:pPr>
        <w:pStyle w:val="Definition"/>
      </w:pPr>
      <w:r>
        <w:rPr>
          <w:b/>
          <w:i/>
        </w:rPr>
        <w:t>C band</w:t>
      </w:r>
      <w:r>
        <w:t xml:space="preserve"> has the meaning given by CTS 5(1) of the CTS. </w:t>
      </w:r>
    </w:p>
    <w:p w14:paraId="426CFFF8" w14:textId="77777777" w:rsidR="00DD6370" w:rsidRDefault="00DD6370" w:rsidP="006646A5">
      <w:pPr>
        <w:pStyle w:val="Definition"/>
      </w:pPr>
      <w:r w:rsidRPr="003B1417">
        <w:rPr>
          <w:b/>
          <w:i/>
        </w:rPr>
        <w:t xml:space="preserve">C material </w:t>
      </w:r>
      <w:r w:rsidRPr="003B1417">
        <w:t>has the meaning given by CTS 5(1) of the</w:t>
      </w:r>
      <w:r>
        <w:t xml:space="preserve"> CTS</w:t>
      </w:r>
      <w:r w:rsidR="00EC639A">
        <w:t>.</w:t>
      </w:r>
    </w:p>
    <w:p w14:paraId="6AA49925" w14:textId="77777777" w:rsidR="00EC7719" w:rsidRPr="00056E30" w:rsidRDefault="00EC7719" w:rsidP="006646A5">
      <w:pPr>
        <w:pStyle w:val="Definition"/>
      </w:pPr>
      <w:r>
        <w:rPr>
          <w:b/>
          <w:i/>
        </w:rPr>
        <w:lastRenderedPageBreak/>
        <w:t>C period</w:t>
      </w:r>
      <w:r>
        <w:t xml:space="preserve"> has the meaning given by CTS 5(1) of the CTS.</w:t>
      </w:r>
    </w:p>
    <w:p w14:paraId="4794084B" w14:textId="77777777" w:rsidR="008B4AF2" w:rsidRPr="003B1417" w:rsidRDefault="008B4AF2" w:rsidP="006646A5">
      <w:pPr>
        <w:pStyle w:val="Definition"/>
      </w:pPr>
      <w:r w:rsidRPr="003B1417">
        <w:rPr>
          <w:b/>
          <w:i/>
        </w:rPr>
        <w:t xml:space="preserve">C program </w:t>
      </w:r>
      <w:r w:rsidR="00982380">
        <w:t xml:space="preserve">means a program which meets the </w:t>
      </w:r>
      <w:r w:rsidR="00500F13">
        <w:t>criteria</w:t>
      </w:r>
      <w:r w:rsidR="00982380">
        <w:t xml:space="preserve"> </w:t>
      </w:r>
      <w:r w:rsidR="00500F13">
        <w:t>in</w:t>
      </w:r>
      <w:r w:rsidR="00982380">
        <w:t xml:space="preserve"> </w:t>
      </w:r>
      <w:r w:rsidR="00FE1704">
        <w:t>CTS</w:t>
      </w:r>
      <w:r w:rsidR="00982380">
        <w:t xml:space="preserve"> 6(1) of the CTS</w:t>
      </w:r>
      <w:r w:rsidRPr="003B1417">
        <w:t>.</w:t>
      </w:r>
    </w:p>
    <w:p w14:paraId="150EF5A6" w14:textId="77777777" w:rsidR="00D836EC" w:rsidRPr="003B1417" w:rsidRDefault="001061CC" w:rsidP="004D59CF">
      <w:pPr>
        <w:pStyle w:val="Definition"/>
      </w:pPr>
      <w:proofErr w:type="gramStart"/>
      <w:r>
        <w:rPr>
          <w:b/>
          <w:i/>
        </w:rPr>
        <w:t>c</w:t>
      </w:r>
      <w:r w:rsidR="00D836EC" w:rsidRPr="003B1417">
        <w:rPr>
          <w:b/>
          <w:i/>
        </w:rPr>
        <w:t>hildren</w:t>
      </w:r>
      <w:proofErr w:type="gramEnd"/>
      <w:r w:rsidR="00D836EC" w:rsidRPr="003B1417">
        <w:rPr>
          <w:b/>
          <w:i/>
        </w:rPr>
        <w:t xml:space="preserve"> </w:t>
      </w:r>
      <w:r w:rsidR="001142C1">
        <w:t>means people younger than 15 years of age</w:t>
      </w:r>
      <w:r w:rsidR="00D836EC" w:rsidRPr="003B1417">
        <w:t>.</w:t>
      </w:r>
    </w:p>
    <w:p w14:paraId="79F290F5" w14:textId="639D0AAE" w:rsidR="00A77BAF" w:rsidRPr="00A77BAF" w:rsidRDefault="003F1934" w:rsidP="004D59CF">
      <w:pPr>
        <w:pStyle w:val="Definition"/>
      </w:pPr>
      <w:proofErr w:type="gramStart"/>
      <w:r>
        <w:rPr>
          <w:b/>
          <w:i/>
        </w:rPr>
        <w:t>c</w:t>
      </w:r>
      <w:r w:rsidR="00A77BAF">
        <w:rPr>
          <w:b/>
          <w:i/>
        </w:rPr>
        <w:t>hildren’s</w:t>
      </w:r>
      <w:proofErr w:type="gramEnd"/>
      <w:r w:rsidR="00A77BAF">
        <w:rPr>
          <w:b/>
          <w:i/>
        </w:rPr>
        <w:t xml:space="preserve"> program</w:t>
      </w:r>
      <w:r w:rsidR="008226CC">
        <w:rPr>
          <w:b/>
          <w:i/>
        </w:rPr>
        <w:t xml:space="preserve"> (non-drama)</w:t>
      </w:r>
      <w:r w:rsidR="00A77BAF">
        <w:t xml:space="preserve"> means</w:t>
      </w:r>
      <w:r w:rsidR="006C5701">
        <w:t xml:space="preserve"> a C program</w:t>
      </w:r>
      <w:r w:rsidR="00B62A83">
        <w:t xml:space="preserve"> or P </w:t>
      </w:r>
      <w:r w:rsidR="007D30A0">
        <w:t>program</w:t>
      </w:r>
      <w:r w:rsidR="006C5701">
        <w:t xml:space="preserve"> that is </w:t>
      </w:r>
      <w:r w:rsidR="00EC59DF">
        <w:t xml:space="preserve">not an Australian </w:t>
      </w:r>
      <w:r w:rsidR="00EA76F8">
        <w:t>d</w:t>
      </w:r>
      <w:r w:rsidR="00D97529">
        <w:t>rama</w:t>
      </w:r>
      <w:r w:rsidR="00EC59DF">
        <w:t xml:space="preserve"> program.</w:t>
      </w:r>
    </w:p>
    <w:p w14:paraId="1E53ED8F" w14:textId="77777777" w:rsidR="001061CC" w:rsidRPr="001061CC" w:rsidRDefault="00BF0804" w:rsidP="004D59CF">
      <w:pPr>
        <w:pStyle w:val="Definition"/>
      </w:pPr>
      <w:proofErr w:type="gramStart"/>
      <w:r>
        <w:rPr>
          <w:b/>
          <w:i/>
        </w:rPr>
        <w:t>c</w:t>
      </w:r>
      <w:r w:rsidR="001061CC">
        <w:rPr>
          <w:b/>
          <w:i/>
        </w:rPr>
        <w:t>ommercial</w:t>
      </w:r>
      <w:proofErr w:type="gramEnd"/>
      <w:r w:rsidR="001061CC">
        <w:rPr>
          <w:b/>
          <w:i/>
        </w:rPr>
        <w:t xml:space="preserve"> television broadcasting licensee </w:t>
      </w:r>
      <w:r w:rsidR="001061CC">
        <w:t>has the meaning given by the Act.</w:t>
      </w:r>
    </w:p>
    <w:p w14:paraId="14CD490A" w14:textId="06A8FA7A" w:rsidR="00BF0804" w:rsidRPr="00BF0804" w:rsidRDefault="00BF0804" w:rsidP="006646A5">
      <w:pPr>
        <w:pStyle w:val="Definition"/>
      </w:pPr>
      <w:proofErr w:type="gramStart"/>
      <w:r>
        <w:rPr>
          <w:b/>
          <w:i/>
        </w:rPr>
        <w:t>commissioned</w:t>
      </w:r>
      <w:proofErr w:type="gramEnd"/>
      <w:r>
        <w:t xml:space="preserve">, in relation to a program, means </w:t>
      </w:r>
      <w:r w:rsidR="0032064B">
        <w:t xml:space="preserve">that </w:t>
      </w:r>
      <w:r>
        <w:t xml:space="preserve">a </w:t>
      </w:r>
      <w:r w:rsidR="00CE6074">
        <w:t>c</w:t>
      </w:r>
      <w:r w:rsidRPr="00BF0804">
        <w:t>ommercial television broadcasting licensee</w:t>
      </w:r>
      <w:r w:rsidR="00D755B5">
        <w:t xml:space="preserve"> or its program supplier</w:t>
      </w:r>
      <w:r w:rsidRPr="00BF0804">
        <w:t xml:space="preserve"> </w:t>
      </w:r>
      <w:r>
        <w:t>has</w:t>
      </w:r>
      <w:r w:rsidRPr="00BF0804">
        <w:t xml:space="preserve"> made a</w:t>
      </w:r>
      <w:r w:rsidR="00980F9B">
        <w:t xml:space="preserve"> material and meaningful</w:t>
      </w:r>
      <w:r w:rsidRPr="00BF0804">
        <w:t xml:space="preserve"> financial contribution to the production </w:t>
      </w:r>
      <w:r>
        <w:t xml:space="preserve">of a program </w:t>
      </w:r>
      <w:r w:rsidRPr="00BF0804">
        <w:t>before the production has been completed</w:t>
      </w:r>
      <w:r>
        <w:t xml:space="preserve"> (and includes in-house production)</w:t>
      </w:r>
      <w:r w:rsidRPr="00BF0804">
        <w:t xml:space="preserve">.     </w:t>
      </w:r>
    </w:p>
    <w:p w14:paraId="2277C00E" w14:textId="50469B46" w:rsidR="00EB2A69" w:rsidRDefault="00EB2A69" w:rsidP="00EB2A69">
      <w:pPr>
        <w:pStyle w:val="Definition"/>
      </w:pPr>
      <w:r w:rsidRPr="003B1417">
        <w:rPr>
          <w:b/>
          <w:i/>
        </w:rPr>
        <w:t xml:space="preserve">CTS </w:t>
      </w:r>
      <w:r w:rsidRPr="003B1417">
        <w:t xml:space="preserve">means the </w:t>
      </w:r>
      <w:r w:rsidRPr="003B1417">
        <w:rPr>
          <w:i/>
        </w:rPr>
        <w:t>Children’s Television Standards 2009</w:t>
      </w:r>
      <w:r w:rsidR="00FA4F87">
        <w:t xml:space="preserve"> as in force </w:t>
      </w:r>
      <w:r w:rsidR="0020547C">
        <w:t>on</w:t>
      </w:r>
      <w:r w:rsidR="00FA4F87">
        <w:t xml:space="preserve"> the date of this </w:t>
      </w:r>
      <w:r w:rsidR="007D6927">
        <w:t>D</w:t>
      </w:r>
      <w:r w:rsidR="00FA4F87">
        <w:t>irection</w:t>
      </w:r>
      <w:r w:rsidRPr="003B1417">
        <w:t>.</w:t>
      </w:r>
    </w:p>
    <w:p w14:paraId="670F8E22" w14:textId="77777777" w:rsidR="0038371F" w:rsidRPr="0038371F" w:rsidRDefault="001061CC" w:rsidP="00EB2A69">
      <w:pPr>
        <w:pStyle w:val="Definition"/>
      </w:pPr>
      <w:proofErr w:type="gramStart"/>
      <w:r>
        <w:rPr>
          <w:b/>
          <w:i/>
        </w:rPr>
        <w:t>d</w:t>
      </w:r>
      <w:r w:rsidR="0038371F">
        <w:rPr>
          <w:b/>
          <w:i/>
        </w:rPr>
        <w:t>ocumentary</w:t>
      </w:r>
      <w:proofErr w:type="gramEnd"/>
      <w:r w:rsidR="0038371F">
        <w:rPr>
          <w:b/>
          <w:i/>
        </w:rPr>
        <w:t xml:space="preserve"> </w:t>
      </w:r>
      <w:r>
        <w:rPr>
          <w:b/>
          <w:i/>
        </w:rPr>
        <w:t>p</w:t>
      </w:r>
      <w:r w:rsidR="0038371F">
        <w:rPr>
          <w:b/>
          <w:i/>
        </w:rPr>
        <w:t>rogram</w:t>
      </w:r>
      <w:r w:rsidR="003B27FD">
        <w:t xml:space="preserve"> has the meaning given by </w:t>
      </w:r>
      <w:r>
        <w:t xml:space="preserve">section 6 of </w:t>
      </w:r>
      <w:r w:rsidR="003B27FD">
        <w:t>the ACS.</w:t>
      </w:r>
    </w:p>
    <w:p w14:paraId="0CA81233" w14:textId="77777777" w:rsidR="0050329A" w:rsidRPr="002049E3" w:rsidRDefault="0050329A" w:rsidP="0050329A">
      <w:pPr>
        <w:pStyle w:val="Definition"/>
        <w:rPr>
          <w:rFonts w:eastAsiaTheme="minorHAnsi"/>
          <w:szCs w:val="22"/>
        </w:rPr>
      </w:pPr>
      <w:proofErr w:type="gramStart"/>
      <w:r w:rsidRPr="002049E3">
        <w:rPr>
          <w:b/>
          <w:bCs/>
          <w:i/>
          <w:iCs/>
          <w:szCs w:val="22"/>
        </w:rPr>
        <w:t>equivalent</w:t>
      </w:r>
      <w:proofErr w:type="gramEnd"/>
      <w:r w:rsidRPr="002049E3">
        <w:rPr>
          <w:b/>
          <w:bCs/>
          <w:i/>
          <w:iCs/>
          <w:szCs w:val="22"/>
        </w:rPr>
        <w:t xml:space="preserve"> metropolitan channel</w:t>
      </w:r>
      <w:r w:rsidRPr="002049E3">
        <w:rPr>
          <w:szCs w:val="22"/>
        </w:rPr>
        <w:t>, in relation to a relevant regional channel,</w:t>
      </w:r>
      <w:r w:rsidRPr="002049E3">
        <w:rPr>
          <w:b/>
          <w:bCs/>
          <w:szCs w:val="22"/>
        </w:rPr>
        <w:t xml:space="preserve"> </w:t>
      </w:r>
      <w:r>
        <w:rPr>
          <w:szCs w:val="22"/>
        </w:rPr>
        <w:t>means a channel which</w:t>
      </w:r>
      <w:r w:rsidRPr="002049E3">
        <w:rPr>
          <w:szCs w:val="22"/>
        </w:rPr>
        <w:t>:</w:t>
      </w:r>
    </w:p>
    <w:p w14:paraId="26CEE0A8" w14:textId="77777777" w:rsidR="0050329A" w:rsidRPr="002049E3" w:rsidRDefault="0050329A" w:rsidP="0050329A">
      <w:pPr>
        <w:pStyle w:val="ListParagraph"/>
        <w:numPr>
          <w:ilvl w:val="0"/>
          <w:numId w:val="15"/>
        </w:numPr>
        <w:spacing w:before="40"/>
        <w:ind w:left="1560" w:hanging="426"/>
        <w:rPr>
          <w:rFonts w:ascii="Times New Roman" w:hAnsi="Times New Roman"/>
          <w:lang w:eastAsia="en-AU"/>
        </w:rPr>
      </w:pPr>
      <w:r w:rsidRPr="002049E3">
        <w:rPr>
          <w:rFonts w:ascii="Times New Roman" w:hAnsi="Times New Roman"/>
          <w:lang w:eastAsia="en-AU"/>
        </w:rPr>
        <w:t xml:space="preserve">is broadcast by a metropolitan commercial television broadcasting licensee; </w:t>
      </w:r>
    </w:p>
    <w:p w14:paraId="698D545C" w14:textId="77777777" w:rsidR="0050329A" w:rsidRPr="002049E3" w:rsidRDefault="0050329A" w:rsidP="0050329A">
      <w:pPr>
        <w:pStyle w:val="ListParagraph"/>
        <w:numPr>
          <w:ilvl w:val="0"/>
          <w:numId w:val="15"/>
        </w:numPr>
        <w:spacing w:before="40"/>
        <w:ind w:left="1560" w:hanging="426"/>
        <w:rPr>
          <w:rFonts w:ascii="Times New Roman" w:hAnsi="Times New Roman"/>
          <w:lang w:eastAsia="en-AU"/>
        </w:rPr>
      </w:pPr>
      <w:r w:rsidRPr="002049E3">
        <w:rPr>
          <w:rFonts w:ascii="Times New Roman" w:hAnsi="Times New Roman"/>
          <w:lang w:eastAsia="en-AU"/>
        </w:rPr>
        <w:t>is the subject of a content affiliation agreement between the metropolitan commercial television broadcasting licensee and a regional/remote commercial television broadcasting licensee; and</w:t>
      </w:r>
    </w:p>
    <w:p w14:paraId="6DEA4AA0" w14:textId="77777777" w:rsidR="0050329A" w:rsidRPr="002049E3" w:rsidRDefault="0050329A" w:rsidP="0050329A">
      <w:pPr>
        <w:pStyle w:val="ListParagraph"/>
        <w:numPr>
          <w:ilvl w:val="0"/>
          <w:numId w:val="15"/>
        </w:numPr>
        <w:spacing w:before="40"/>
        <w:ind w:left="1560" w:hanging="426"/>
        <w:rPr>
          <w:rFonts w:ascii="Times New Roman" w:hAnsi="Times New Roman"/>
          <w:lang w:eastAsia="en-AU"/>
        </w:rPr>
      </w:pPr>
      <w:proofErr w:type="gramStart"/>
      <w:r w:rsidRPr="002049E3">
        <w:rPr>
          <w:rFonts w:ascii="Times New Roman" w:hAnsi="Times New Roman"/>
          <w:lang w:eastAsia="en-AU"/>
        </w:rPr>
        <w:t>by</w:t>
      </w:r>
      <w:proofErr w:type="gramEnd"/>
      <w:r w:rsidRPr="002049E3">
        <w:rPr>
          <w:rFonts w:ascii="Times New Roman" w:hAnsi="Times New Roman"/>
          <w:lang w:eastAsia="en-AU"/>
        </w:rPr>
        <w:t xml:space="preserve"> reason of that content affiliation agreement, contains program content which is the same, or substantially the same, as the relevant regional channel.</w:t>
      </w:r>
    </w:p>
    <w:p w14:paraId="6B00DA5E" w14:textId="66CDF942" w:rsidR="00603134" w:rsidRDefault="00603134" w:rsidP="00603134">
      <w:pPr>
        <w:pStyle w:val="Definition"/>
        <w:rPr>
          <w:rFonts w:eastAsiaTheme="minorHAnsi"/>
        </w:rPr>
      </w:pPr>
      <w:proofErr w:type="gramStart"/>
      <w:r>
        <w:rPr>
          <w:b/>
          <w:bCs/>
          <w:i/>
          <w:iCs/>
        </w:rPr>
        <w:t>film</w:t>
      </w:r>
      <w:proofErr w:type="gramEnd"/>
      <w:r>
        <w:rPr>
          <w:b/>
          <w:bCs/>
          <w:i/>
          <w:iCs/>
        </w:rPr>
        <w:t xml:space="preserve"> </w:t>
      </w:r>
      <w:r>
        <w:t xml:space="preserve">means a program that is a feature film, </w:t>
      </w:r>
      <w:r w:rsidRPr="00DC7F01">
        <w:t>or a film of like nature</w:t>
      </w:r>
      <w:r>
        <w:t>, that:</w:t>
      </w:r>
    </w:p>
    <w:p w14:paraId="170CE20F" w14:textId="4E54C01E" w:rsidR="003714BD" w:rsidRPr="003714BD" w:rsidRDefault="003714BD" w:rsidP="005456BF">
      <w:pPr>
        <w:pStyle w:val="Definition"/>
        <w:numPr>
          <w:ilvl w:val="0"/>
          <w:numId w:val="14"/>
        </w:numPr>
        <w:spacing w:before="40"/>
        <w:ind w:left="1491" w:hanging="357"/>
      </w:pPr>
      <w:r>
        <w:rPr>
          <w:bCs/>
          <w:iCs/>
        </w:rPr>
        <w:t xml:space="preserve">is scripted and/or a documentary; </w:t>
      </w:r>
    </w:p>
    <w:p w14:paraId="1AC64475" w14:textId="56F884D6" w:rsidR="00603134" w:rsidRDefault="00603134" w:rsidP="005456BF">
      <w:pPr>
        <w:pStyle w:val="Definition"/>
        <w:numPr>
          <w:ilvl w:val="0"/>
          <w:numId w:val="14"/>
        </w:numPr>
        <w:spacing w:before="40"/>
        <w:ind w:left="1491" w:hanging="357"/>
        <w:rPr>
          <w:b/>
          <w:bCs/>
          <w:i/>
          <w:iCs/>
        </w:rPr>
      </w:pPr>
      <w:r>
        <w:t xml:space="preserve">is standalone; </w:t>
      </w:r>
    </w:p>
    <w:p w14:paraId="433CFD2B" w14:textId="77777777" w:rsidR="00603134" w:rsidRDefault="00603134" w:rsidP="005456BF">
      <w:pPr>
        <w:pStyle w:val="Definition"/>
        <w:numPr>
          <w:ilvl w:val="0"/>
          <w:numId w:val="14"/>
        </w:numPr>
        <w:spacing w:before="40"/>
        <w:ind w:left="1491" w:hanging="357"/>
        <w:rPr>
          <w:b/>
          <w:bCs/>
          <w:i/>
          <w:iCs/>
        </w:rPr>
      </w:pPr>
      <w:r>
        <w:t>does not form part of a serial, series or mini-series; and</w:t>
      </w:r>
    </w:p>
    <w:p w14:paraId="15C92B19" w14:textId="77777777" w:rsidR="00603134" w:rsidRDefault="00603134" w:rsidP="005456BF">
      <w:pPr>
        <w:pStyle w:val="Definition"/>
        <w:numPr>
          <w:ilvl w:val="0"/>
          <w:numId w:val="14"/>
        </w:numPr>
        <w:spacing w:before="40"/>
        <w:ind w:left="1491" w:hanging="357"/>
        <w:rPr>
          <w:b/>
          <w:bCs/>
          <w:i/>
          <w:iCs/>
        </w:rPr>
      </w:pPr>
      <w:proofErr w:type="gramStart"/>
      <w:r>
        <w:t>is</w:t>
      </w:r>
      <w:proofErr w:type="gramEnd"/>
      <w:r>
        <w:t xml:space="preserve"> not a pilot.</w:t>
      </w:r>
    </w:p>
    <w:p w14:paraId="2C56EF72" w14:textId="0CC80735" w:rsidR="001845A1" w:rsidRDefault="001845A1" w:rsidP="000751F6">
      <w:pPr>
        <w:pStyle w:val="Definition"/>
      </w:pPr>
      <w:proofErr w:type="gramStart"/>
      <w:r>
        <w:rPr>
          <w:b/>
          <w:i/>
        </w:rPr>
        <w:t>first</w:t>
      </w:r>
      <w:proofErr w:type="gramEnd"/>
      <w:r>
        <w:rPr>
          <w:b/>
          <w:i/>
        </w:rPr>
        <w:t xml:space="preserve"> release</w:t>
      </w:r>
      <w:r>
        <w:t xml:space="preserve"> </w:t>
      </w:r>
      <w:r w:rsidR="00FF067E">
        <w:t xml:space="preserve">means a </w:t>
      </w:r>
      <w:r w:rsidR="00FF067E" w:rsidRPr="00FF067E">
        <w:t xml:space="preserve">program </w:t>
      </w:r>
      <w:r w:rsidR="00FF067E">
        <w:t>that</w:t>
      </w:r>
      <w:r w:rsidR="00FF067E" w:rsidRPr="00FF067E">
        <w:t xml:space="preserve"> is first broadcast in </w:t>
      </w:r>
      <w:r w:rsidR="00FF067E">
        <w:t>a</w:t>
      </w:r>
      <w:r w:rsidR="00FF067E" w:rsidRPr="00FF067E">
        <w:t xml:space="preserve"> licence area</w:t>
      </w:r>
      <w:r w:rsidR="00CD295B">
        <w:t xml:space="preserve"> (whether or not the program has already been broadcast in the licence area by a subscription television broadcasting service)</w:t>
      </w:r>
      <w:r w:rsidR="00BA5E61">
        <w:t xml:space="preserve"> </w:t>
      </w:r>
      <w:r w:rsidR="00FF067E" w:rsidRPr="00FF067E">
        <w:t>within 2 years of the completion of production of the program.</w:t>
      </w:r>
    </w:p>
    <w:p w14:paraId="415219A3" w14:textId="77777777" w:rsidR="00B635C3" w:rsidRDefault="00B635C3" w:rsidP="00D150BA">
      <w:pPr>
        <w:spacing w:line="240" w:lineRule="auto"/>
        <w:ind w:left="1559"/>
        <w:rPr>
          <w:color w:val="FF0000"/>
          <w:sz w:val="16"/>
          <w:szCs w:val="16"/>
        </w:rPr>
      </w:pPr>
    </w:p>
    <w:p w14:paraId="048D1DF2" w14:textId="1061389F" w:rsidR="00D150BA" w:rsidRPr="00D150BA" w:rsidRDefault="00D150BA" w:rsidP="00D150BA">
      <w:pPr>
        <w:spacing w:line="240" w:lineRule="auto"/>
        <w:ind w:left="1559"/>
        <w:rPr>
          <w:rFonts w:cs="Calibri"/>
          <w:color w:val="FF0000"/>
          <w:sz w:val="16"/>
          <w:szCs w:val="16"/>
        </w:rPr>
      </w:pPr>
      <w:r w:rsidRPr="00F05398">
        <w:rPr>
          <w:sz w:val="16"/>
          <w:szCs w:val="16"/>
        </w:rPr>
        <w:t>Note: A program may be considered a first release program even if it has</w:t>
      </w:r>
      <w:r w:rsidRPr="00BC49FA">
        <w:rPr>
          <w:sz w:val="16"/>
          <w:szCs w:val="16"/>
        </w:rPr>
        <w:t xml:space="preserve"> </w:t>
      </w:r>
      <w:r w:rsidR="00F05398" w:rsidRPr="00BC49FA">
        <w:rPr>
          <w:sz w:val="16"/>
          <w:szCs w:val="16"/>
        </w:rPr>
        <w:t>already</w:t>
      </w:r>
      <w:r w:rsidR="00F05398" w:rsidRPr="00BC49FA">
        <w:rPr>
          <w:sz w:val="16"/>
          <w:szCs w:val="16"/>
          <w:shd w:val="clear" w:color="auto" w:fill="FFFFFF" w:themeFill="background1"/>
        </w:rPr>
        <w:t xml:space="preserve"> </w:t>
      </w:r>
      <w:r w:rsidRPr="00BC49FA">
        <w:rPr>
          <w:sz w:val="16"/>
          <w:szCs w:val="16"/>
          <w:shd w:val="clear" w:color="auto" w:fill="FFFFFF" w:themeFill="background1"/>
        </w:rPr>
        <w:t>be</w:t>
      </w:r>
      <w:r w:rsidRPr="00F05398">
        <w:rPr>
          <w:sz w:val="16"/>
          <w:szCs w:val="16"/>
          <w:shd w:val="clear" w:color="auto" w:fill="FFFFFF" w:themeFill="background1"/>
        </w:rPr>
        <w:t xml:space="preserve">en made available on a subscription </w:t>
      </w:r>
      <w:r w:rsidR="009E5583" w:rsidRPr="00F05398">
        <w:rPr>
          <w:sz w:val="16"/>
          <w:szCs w:val="16"/>
          <w:shd w:val="clear" w:color="auto" w:fill="FFFFFF" w:themeFill="background1"/>
        </w:rPr>
        <w:t>or broadcast</w:t>
      </w:r>
      <w:r w:rsidRPr="00F05398">
        <w:rPr>
          <w:sz w:val="16"/>
          <w:szCs w:val="16"/>
          <w:shd w:val="clear" w:color="auto" w:fill="FFFFFF" w:themeFill="background1"/>
        </w:rPr>
        <w:t xml:space="preserve"> video on demand service. </w:t>
      </w:r>
    </w:p>
    <w:p w14:paraId="31BB5C1D" w14:textId="77777777" w:rsidR="00EC7719" w:rsidRPr="00EC7719" w:rsidRDefault="00B61912" w:rsidP="00EB2A69">
      <w:pPr>
        <w:pStyle w:val="Definition"/>
      </w:pPr>
      <w:proofErr w:type="gramStart"/>
      <w:r>
        <w:rPr>
          <w:rFonts w:ascii="&amp;quot" w:hAnsi="&amp;quot"/>
          <w:b/>
          <w:bCs/>
          <w:i/>
          <w:iCs/>
          <w:color w:val="000000"/>
        </w:rPr>
        <w:t>licence</w:t>
      </w:r>
      <w:proofErr w:type="gramEnd"/>
      <w:r>
        <w:rPr>
          <w:rFonts w:ascii="&amp;quot" w:hAnsi="&amp;quot"/>
          <w:b/>
          <w:bCs/>
          <w:i/>
          <w:iCs/>
          <w:color w:val="000000"/>
        </w:rPr>
        <w:t xml:space="preserve"> fee</w:t>
      </w:r>
      <w:r>
        <w:rPr>
          <w:rFonts w:ascii="&amp;quot" w:hAnsi="&amp;quot"/>
          <w:i/>
          <w:iCs/>
          <w:color w:val="000000"/>
        </w:rPr>
        <w:t xml:space="preserve"> </w:t>
      </w:r>
      <w:r>
        <w:rPr>
          <w:rFonts w:ascii="&amp;quot" w:hAnsi="&amp;quot"/>
          <w:iCs/>
          <w:color w:val="000000"/>
        </w:rPr>
        <w:t>has the meaning given by section 6 of the ACS.</w:t>
      </w:r>
    </w:p>
    <w:p w14:paraId="7BC97FE0" w14:textId="77777777" w:rsidR="00535CAC" w:rsidRDefault="00535CAC" w:rsidP="00535CAC">
      <w:pPr>
        <w:spacing w:before="180" w:line="240" w:lineRule="auto"/>
        <w:ind w:left="1134"/>
        <w:rPr>
          <w:rFonts w:ascii="&amp;quot" w:eastAsia="Times New Roman" w:hAnsi="&amp;quot" w:cs="Times New Roman"/>
          <w:b/>
          <w:bCs/>
          <w:i/>
          <w:iCs/>
          <w:color w:val="000000"/>
          <w:szCs w:val="22"/>
          <w:lang w:eastAsia="en-AU"/>
        </w:rPr>
      </w:pPr>
      <w:proofErr w:type="gramStart"/>
      <w:r>
        <w:rPr>
          <w:rFonts w:ascii="&amp;quot" w:hAnsi="&amp;quot"/>
          <w:b/>
          <w:bCs/>
          <w:i/>
          <w:iCs/>
          <w:color w:val="000000"/>
          <w:szCs w:val="22"/>
        </w:rPr>
        <w:t>metropolitan</w:t>
      </w:r>
      <w:proofErr w:type="gramEnd"/>
      <w:r>
        <w:rPr>
          <w:rFonts w:ascii="&amp;quot" w:hAnsi="&amp;quot"/>
          <w:b/>
          <w:bCs/>
          <w:i/>
          <w:iCs/>
          <w:color w:val="000000"/>
          <w:szCs w:val="22"/>
        </w:rPr>
        <w:t xml:space="preserve"> commercial television broadcasting licensee</w:t>
      </w:r>
      <w:r>
        <w:rPr>
          <w:rFonts w:ascii="&amp;quot" w:hAnsi="&amp;quot"/>
          <w:color w:val="000000"/>
          <w:szCs w:val="22"/>
        </w:rPr>
        <w:t xml:space="preserve"> means a commercial television broadcasting licensee whose licence area is a metropolitan licence area.</w:t>
      </w:r>
    </w:p>
    <w:p w14:paraId="7C3BAF2E" w14:textId="77777777" w:rsidR="00535CAC" w:rsidRPr="00535CAC" w:rsidRDefault="00535CAC" w:rsidP="00535CAC">
      <w:pPr>
        <w:spacing w:before="180" w:line="240" w:lineRule="auto"/>
        <w:ind w:left="1134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proofErr w:type="gramStart"/>
      <w:r w:rsidRPr="00535CAC">
        <w:rPr>
          <w:rFonts w:ascii="&amp;quot" w:eastAsia="Times New Roman" w:hAnsi="&amp;quot" w:cs="Times New Roman"/>
          <w:b/>
          <w:bCs/>
          <w:i/>
          <w:iCs/>
          <w:color w:val="000000"/>
          <w:szCs w:val="22"/>
          <w:lang w:eastAsia="en-AU"/>
        </w:rPr>
        <w:t>metropolitan</w:t>
      </w:r>
      <w:proofErr w:type="gramEnd"/>
      <w:r w:rsidRPr="00535CAC">
        <w:rPr>
          <w:rFonts w:ascii="&amp;quot" w:eastAsia="Times New Roman" w:hAnsi="&amp;quot" w:cs="Times New Roman"/>
          <w:b/>
          <w:bCs/>
          <w:i/>
          <w:iCs/>
          <w:color w:val="000000"/>
          <w:szCs w:val="22"/>
          <w:lang w:eastAsia="en-AU"/>
        </w:rPr>
        <w:t xml:space="preserve"> licence area</w:t>
      </w:r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 xml:space="preserve"> means a licence area in which is situated the General Post Office of the capital city of:</w:t>
      </w:r>
    </w:p>
    <w:p w14:paraId="18BC6CD4" w14:textId="77777777" w:rsidR="00535CAC" w:rsidRPr="00535CAC" w:rsidRDefault="00535CAC" w:rsidP="00535CAC">
      <w:pPr>
        <w:spacing w:before="40" w:line="240" w:lineRule="auto"/>
        <w:ind w:left="1644" w:hanging="1644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                     (a)  New South Wales; or</w:t>
      </w:r>
    </w:p>
    <w:p w14:paraId="0FA7B0E6" w14:textId="77777777" w:rsidR="00535CAC" w:rsidRPr="00535CAC" w:rsidRDefault="00535CAC" w:rsidP="00535CAC">
      <w:pPr>
        <w:spacing w:before="40" w:line="240" w:lineRule="auto"/>
        <w:ind w:left="1644" w:hanging="1644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lastRenderedPageBreak/>
        <w:t>                     (b)  Victoria; or</w:t>
      </w:r>
    </w:p>
    <w:p w14:paraId="2F3A1DA7" w14:textId="77777777" w:rsidR="00535CAC" w:rsidRPr="00535CAC" w:rsidRDefault="00535CAC" w:rsidP="00535CAC">
      <w:pPr>
        <w:spacing w:before="40" w:line="240" w:lineRule="auto"/>
        <w:ind w:left="1644" w:hanging="1644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                     (c)  Queensland; or</w:t>
      </w:r>
    </w:p>
    <w:p w14:paraId="63906F0D" w14:textId="77777777" w:rsidR="00535CAC" w:rsidRPr="00535CAC" w:rsidRDefault="00535CAC" w:rsidP="00535CAC">
      <w:pPr>
        <w:spacing w:before="40" w:line="240" w:lineRule="auto"/>
        <w:ind w:left="1644" w:hanging="1644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                     (d)  Western Australia; or</w:t>
      </w:r>
    </w:p>
    <w:p w14:paraId="37012854" w14:textId="77777777" w:rsidR="00535CAC" w:rsidRPr="00535CAC" w:rsidRDefault="00535CAC" w:rsidP="00535CAC">
      <w:pPr>
        <w:spacing w:before="40" w:line="240" w:lineRule="auto"/>
        <w:ind w:left="1644" w:hanging="1644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                     (e)  South Australia.</w:t>
      </w:r>
    </w:p>
    <w:p w14:paraId="4274F9DA" w14:textId="77777777" w:rsidR="001714C1" w:rsidRDefault="001714C1" w:rsidP="00EB2A69">
      <w:pPr>
        <w:pStyle w:val="Definition"/>
        <w:rPr>
          <w:b/>
          <w:i/>
        </w:rPr>
      </w:pPr>
      <w:r>
        <w:rPr>
          <w:rFonts w:ascii="&amp;quot" w:hAnsi="&amp;quot"/>
          <w:b/>
          <w:bCs/>
          <w:i/>
          <w:iCs/>
          <w:color w:val="000000"/>
        </w:rPr>
        <w:t>New Zealand program</w:t>
      </w:r>
      <w:r>
        <w:rPr>
          <w:rFonts w:ascii="&amp;quot" w:hAnsi="&amp;quot"/>
          <w:color w:val="000000"/>
        </w:rPr>
        <w:t xml:space="preserve"> has the meaning given by </w:t>
      </w:r>
      <w:r>
        <w:rPr>
          <w:rFonts w:ascii="&amp;quot" w:hAnsi="&amp;quot"/>
          <w:iCs/>
          <w:color w:val="000000"/>
        </w:rPr>
        <w:t>section 6 of the ACS.</w:t>
      </w:r>
    </w:p>
    <w:p w14:paraId="1CA20A25" w14:textId="77777777" w:rsidR="00EC7719" w:rsidRPr="00EC7719" w:rsidRDefault="00EB2A69" w:rsidP="00EB2A69">
      <w:pPr>
        <w:pStyle w:val="Definition"/>
      </w:pPr>
      <w:r>
        <w:rPr>
          <w:b/>
          <w:i/>
        </w:rPr>
        <w:t xml:space="preserve">P material </w:t>
      </w:r>
      <w:r>
        <w:t>has the meaning given by CTS 5(1) of the</w:t>
      </w:r>
      <w:r w:rsidRPr="0066667B">
        <w:rPr>
          <w:i/>
        </w:rPr>
        <w:t xml:space="preserve"> </w:t>
      </w:r>
      <w:r>
        <w:t>CTS.</w:t>
      </w:r>
    </w:p>
    <w:p w14:paraId="0F6C0124" w14:textId="77777777" w:rsidR="00383CC0" w:rsidRDefault="00383CC0" w:rsidP="006646A5">
      <w:pPr>
        <w:pStyle w:val="Definition"/>
        <w:rPr>
          <w:b/>
          <w:i/>
        </w:rPr>
      </w:pPr>
      <w:r>
        <w:rPr>
          <w:b/>
          <w:i/>
        </w:rPr>
        <w:t xml:space="preserve">P period </w:t>
      </w:r>
      <w:r>
        <w:t>has the meaning given by CTS 5(1) of the CTS.</w:t>
      </w:r>
    </w:p>
    <w:p w14:paraId="3D74716F" w14:textId="77777777" w:rsidR="008B4AF2" w:rsidRDefault="008B4AF2" w:rsidP="006646A5">
      <w:pPr>
        <w:pStyle w:val="Definition"/>
      </w:pPr>
      <w:r w:rsidRPr="003B1417">
        <w:rPr>
          <w:b/>
          <w:i/>
        </w:rPr>
        <w:t xml:space="preserve">P program </w:t>
      </w:r>
      <w:r w:rsidR="00982380">
        <w:t xml:space="preserve">means a program which meets the </w:t>
      </w:r>
      <w:r w:rsidR="00500F13">
        <w:t>criteria in</w:t>
      </w:r>
      <w:r w:rsidR="00982380">
        <w:t xml:space="preserve"> CTS 6(2) of the CTS</w:t>
      </w:r>
      <w:r w:rsidR="00982380" w:rsidRPr="003B1417">
        <w:t>.</w:t>
      </w:r>
    </w:p>
    <w:p w14:paraId="3730815F" w14:textId="77777777" w:rsidR="00383CC0" w:rsidRPr="00383CC0" w:rsidRDefault="00383CC0" w:rsidP="00383CC0">
      <w:pPr>
        <w:spacing w:before="180" w:line="240" w:lineRule="auto"/>
        <w:ind w:left="1134"/>
        <w:rPr>
          <w:rFonts w:ascii="&amp;quot" w:hAnsi="&amp;quot"/>
          <w:bCs/>
          <w:iCs/>
          <w:color w:val="000000"/>
          <w:szCs w:val="22"/>
        </w:rPr>
      </w:pPr>
      <w:proofErr w:type="gramStart"/>
      <w:r>
        <w:rPr>
          <w:rFonts w:ascii="&amp;quot" w:hAnsi="&amp;quot"/>
          <w:b/>
          <w:bCs/>
          <w:i/>
          <w:iCs/>
          <w:color w:val="000000"/>
          <w:szCs w:val="22"/>
        </w:rPr>
        <w:t>prime</w:t>
      </w:r>
      <w:proofErr w:type="gramEnd"/>
      <w:r>
        <w:rPr>
          <w:rFonts w:ascii="&amp;quot" w:hAnsi="&amp;quot"/>
          <w:b/>
          <w:bCs/>
          <w:i/>
          <w:iCs/>
          <w:color w:val="000000"/>
          <w:szCs w:val="22"/>
        </w:rPr>
        <w:t xml:space="preserve"> time</w:t>
      </w:r>
      <w:r>
        <w:rPr>
          <w:rFonts w:ascii="&amp;quot" w:hAnsi="&amp;quot"/>
          <w:bCs/>
          <w:iCs/>
          <w:color w:val="000000"/>
          <w:szCs w:val="22"/>
        </w:rPr>
        <w:t xml:space="preserve"> has the </w:t>
      </w:r>
      <w:r>
        <w:rPr>
          <w:rFonts w:ascii="&amp;quot" w:hAnsi="&amp;quot"/>
          <w:iCs/>
          <w:color w:val="000000"/>
        </w:rPr>
        <w:t>meaning given by section 6 of the ACS.</w:t>
      </w:r>
    </w:p>
    <w:p w14:paraId="5ADFEF61" w14:textId="77777777" w:rsidR="00383CC0" w:rsidRDefault="00383CC0" w:rsidP="00383CC0">
      <w:pPr>
        <w:pStyle w:val="Definition"/>
        <w:rPr>
          <w:b/>
          <w:i/>
        </w:rPr>
      </w:pPr>
      <w:proofErr w:type="gramStart"/>
      <w:r>
        <w:rPr>
          <w:b/>
          <w:i/>
        </w:rPr>
        <w:t>production</w:t>
      </w:r>
      <w:proofErr w:type="gramEnd"/>
      <w:r>
        <w:rPr>
          <w:b/>
          <w:i/>
        </w:rPr>
        <w:t xml:space="preserve"> budget</w:t>
      </w:r>
      <w:r>
        <w:t xml:space="preserve">, in relation to a program, means </w:t>
      </w:r>
      <w:r w:rsidRPr="005D08AC">
        <w:t xml:space="preserve">expenditure </w:t>
      </w:r>
      <w:r>
        <w:t xml:space="preserve">that is </w:t>
      </w:r>
      <w:r w:rsidRPr="005D08AC">
        <w:t>incurred in, or that is reasonably attributable to, the</w:t>
      </w:r>
      <w:r>
        <w:t xml:space="preserve"> making of the program. </w:t>
      </w:r>
      <w:r>
        <w:rPr>
          <w:b/>
          <w:i/>
        </w:rPr>
        <w:t xml:space="preserve"> </w:t>
      </w:r>
    </w:p>
    <w:p w14:paraId="5BEF3C38" w14:textId="77777777" w:rsidR="00535CAC" w:rsidRDefault="00535CAC" w:rsidP="00535CAC">
      <w:pPr>
        <w:spacing w:before="180" w:line="240" w:lineRule="auto"/>
        <w:ind w:left="1134"/>
        <w:rPr>
          <w:rFonts w:ascii="&amp;quot" w:eastAsia="Times New Roman" w:hAnsi="&amp;quot" w:cs="Times New Roman"/>
          <w:b/>
          <w:bCs/>
          <w:i/>
          <w:iCs/>
          <w:color w:val="000000"/>
          <w:szCs w:val="22"/>
          <w:lang w:eastAsia="en-AU"/>
        </w:rPr>
      </w:pPr>
      <w:proofErr w:type="gramStart"/>
      <w:r>
        <w:rPr>
          <w:rFonts w:ascii="&amp;quot" w:hAnsi="&amp;quot"/>
          <w:b/>
          <w:bCs/>
          <w:i/>
          <w:iCs/>
          <w:color w:val="000000"/>
          <w:szCs w:val="22"/>
        </w:rPr>
        <w:t>regional/remote</w:t>
      </w:r>
      <w:proofErr w:type="gramEnd"/>
      <w:r>
        <w:rPr>
          <w:rFonts w:ascii="&amp;quot" w:hAnsi="&amp;quot"/>
          <w:b/>
          <w:bCs/>
          <w:i/>
          <w:iCs/>
          <w:color w:val="000000"/>
          <w:szCs w:val="22"/>
        </w:rPr>
        <w:t xml:space="preserve"> commercial television broadcasting licensee</w:t>
      </w:r>
      <w:r>
        <w:rPr>
          <w:rFonts w:ascii="&amp;quot" w:hAnsi="&amp;quot"/>
          <w:color w:val="000000"/>
          <w:szCs w:val="22"/>
        </w:rPr>
        <w:t xml:space="preserve"> means a commercial television broadcasting licensee whose licence area is a regional/remote licence area.</w:t>
      </w:r>
    </w:p>
    <w:p w14:paraId="03E62456" w14:textId="47E5DE8C" w:rsidR="00535CAC" w:rsidRPr="00535CAC" w:rsidRDefault="00FA4F87" w:rsidP="00535CAC">
      <w:pPr>
        <w:spacing w:before="180" w:line="240" w:lineRule="auto"/>
        <w:ind w:left="1134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proofErr w:type="gramStart"/>
      <w:r>
        <w:rPr>
          <w:rFonts w:ascii="&amp;quot" w:eastAsia="Times New Roman" w:hAnsi="&amp;quot" w:cs="Times New Roman"/>
          <w:b/>
          <w:bCs/>
          <w:i/>
          <w:iCs/>
          <w:color w:val="000000"/>
          <w:szCs w:val="22"/>
          <w:lang w:eastAsia="en-AU"/>
        </w:rPr>
        <w:t>r</w:t>
      </w:r>
      <w:r w:rsidR="00535CAC">
        <w:rPr>
          <w:rFonts w:ascii="&amp;quot" w:eastAsia="Times New Roman" w:hAnsi="&amp;quot" w:cs="Times New Roman"/>
          <w:b/>
          <w:bCs/>
          <w:i/>
          <w:iCs/>
          <w:color w:val="000000"/>
          <w:szCs w:val="22"/>
          <w:lang w:eastAsia="en-AU"/>
        </w:rPr>
        <w:t>egional/</w:t>
      </w:r>
      <w:r w:rsidR="00535CAC" w:rsidRPr="00535CAC">
        <w:rPr>
          <w:rFonts w:ascii="&amp;quot" w:eastAsia="Times New Roman" w:hAnsi="&amp;quot" w:cs="Times New Roman"/>
          <w:b/>
          <w:bCs/>
          <w:i/>
          <w:iCs/>
          <w:color w:val="000000"/>
          <w:szCs w:val="22"/>
          <w:lang w:eastAsia="en-AU"/>
        </w:rPr>
        <w:t>remote</w:t>
      </w:r>
      <w:proofErr w:type="gramEnd"/>
      <w:r w:rsidR="00535CAC" w:rsidRPr="00535CAC">
        <w:rPr>
          <w:rFonts w:ascii="&amp;quot" w:eastAsia="Times New Roman" w:hAnsi="&amp;quot" w:cs="Times New Roman"/>
          <w:b/>
          <w:bCs/>
          <w:i/>
          <w:iCs/>
          <w:color w:val="000000"/>
          <w:szCs w:val="22"/>
          <w:lang w:eastAsia="en-AU"/>
        </w:rPr>
        <w:t xml:space="preserve"> licence area </w:t>
      </w:r>
      <w:r w:rsidR="00535CAC"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means any of the following licence areas:</w:t>
      </w:r>
    </w:p>
    <w:p w14:paraId="2F0CB19D" w14:textId="77777777" w:rsidR="00535CAC" w:rsidRPr="00535CAC" w:rsidRDefault="00535CAC" w:rsidP="00535CAC">
      <w:pPr>
        <w:spacing w:before="40" w:line="240" w:lineRule="auto"/>
        <w:ind w:left="1644" w:hanging="1644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                     (a)  Northern New South Wales TV1;</w:t>
      </w:r>
    </w:p>
    <w:p w14:paraId="15069A9F" w14:textId="77777777" w:rsidR="00535CAC" w:rsidRPr="00535CAC" w:rsidRDefault="00535CAC" w:rsidP="00535CAC">
      <w:pPr>
        <w:spacing w:before="40" w:line="240" w:lineRule="auto"/>
        <w:ind w:left="1644" w:hanging="1644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                     (b)  Southern New South Wales TV1;</w:t>
      </w:r>
    </w:p>
    <w:p w14:paraId="39667D49" w14:textId="77777777" w:rsidR="00535CAC" w:rsidRPr="00535CAC" w:rsidRDefault="00535CAC" w:rsidP="00535CAC">
      <w:pPr>
        <w:spacing w:before="40" w:line="240" w:lineRule="auto"/>
        <w:ind w:left="1644" w:hanging="1644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                     (c)  Regional Victoria TV1;</w:t>
      </w:r>
    </w:p>
    <w:p w14:paraId="2BE123DA" w14:textId="77777777" w:rsidR="00535CAC" w:rsidRPr="00535CAC" w:rsidRDefault="00535CAC" w:rsidP="00535CAC">
      <w:pPr>
        <w:spacing w:before="40" w:line="240" w:lineRule="auto"/>
        <w:ind w:left="1644" w:hanging="1644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                     (</w:t>
      </w:r>
      <w:proofErr w:type="gramStart"/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d</w:t>
      </w:r>
      <w:proofErr w:type="gramEnd"/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)  Eastern Victoria TV1;</w:t>
      </w:r>
    </w:p>
    <w:p w14:paraId="77291CDC" w14:textId="77777777" w:rsidR="00535CAC" w:rsidRPr="00535CAC" w:rsidRDefault="00535CAC" w:rsidP="00535CAC">
      <w:pPr>
        <w:spacing w:before="40" w:line="240" w:lineRule="auto"/>
        <w:ind w:left="1644" w:hanging="1644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                     (</w:t>
      </w:r>
      <w:proofErr w:type="gramStart"/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e</w:t>
      </w:r>
      <w:proofErr w:type="gramEnd"/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)  Western Victoria TV1;</w:t>
      </w:r>
    </w:p>
    <w:p w14:paraId="7F452CBD" w14:textId="77777777" w:rsidR="00535CAC" w:rsidRPr="00535CAC" w:rsidRDefault="00535CAC" w:rsidP="00535CAC">
      <w:pPr>
        <w:spacing w:before="40" w:line="240" w:lineRule="auto"/>
        <w:ind w:left="1644" w:hanging="1644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                      (f)  Regional Queensland TV1;</w:t>
      </w:r>
    </w:p>
    <w:p w14:paraId="1BD24294" w14:textId="77777777" w:rsidR="00535CAC" w:rsidRPr="00535CAC" w:rsidRDefault="00535CAC" w:rsidP="00535CAC">
      <w:pPr>
        <w:spacing w:before="40" w:line="240" w:lineRule="auto"/>
        <w:ind w:left="1644" w:hanging="1644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                     (g)  Tasmania TV1;</w:t>
      </w:r>
    </w:p>
    <w:p w14:paraId="6C50DB3D" w14:textId="77777777" w:rsidR="00535CAC" w:rsidRPr="00535CAC" w:rsidRDefault="00535CAC" w:rsidP="00535CAC">
      <w:pPr>
        <w:spacing w:before="40" w:line="240" w:lineRule="auto"/>
        <w:ind w:left="1644" w:hanging="1644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                     (h)  Broken Hill TV1;</w:t>
      </w:r>
    </w:p>
    <w:p w14:paraId="74F7AB31" w14:textId="77777777" w:rsidR="00535CAC" w:rsidRPr="00535CAC" w:rsidRDefault="00535CAC" w:rsidP="00535CAC">
      <w:pPr>
        <w:spacing w:before="40" w:line="240" w:lineRule="auto"/>
        <w:ind w:left="1644" w:hanging="1644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                      (</w:t>
      </w:r>
      <w:proofErr w:type="spellStart"/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i</w:t>
      </w:r>
      <w:proofErr w:type="spellEnd"/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)  Darwin TV1;</w:t>
      </w:r>
    </w:p>
    <w:p w14:paraId="5C6F76B4" w14:textId="77777777" w:rsidR="00535CAC" w:rsidRPr="00535CAC" w:rsidRDefault="00535CAC" w:rsidP="00535CAC">
      <w:pPr>
        <w:spacing w:before="40" w:line="240" w:lineRule="auto"/>
        <w:ind w:left="1644" w:hanging="1644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                      (j)  Geraldton TV1;</w:t>
      </w:r>
    </w:p>
    <w:p w14:paraId="3B29B3A1" w14:textId="77777777" w:rsidR="00535CAC" w:rsidRPr="00535CAC" w:rsidRDefault="00535CAC" w:rsidP="00535CAC">
      <w:pPr>
        <w:spacing w:before="40" w:line="240" w:lineRule="auto"/>
        <w:ind w:left="1644" w:hanging="1644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                     (k)  Griffith and MIA TV1;</w:t>
      </w:r>
    </w:p>
    <w:p w14:paraId="49DCF1F7" w14:textId="77777777" w:rsidR="00535CAC" w:rsidRPr="00535CAC" w:rsidRDefault="00535CAC" w:rsidP="00535CAC">
      <w:pPr>
        <w:spacing w:before="40" w:line="240" w:lineRule="auto"/>
        <w:ind w:left="1644" w:hanging="1644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                      (l)  Kalgoorlie TV1;</w:t>
      </w:r>
    </w:p>
    <w:p w14:paraId="3C3B7FB3" w14:textId="77777777" w:rsidR="00535CAC" w:rsidRPr="00535CAC" w:rsidRDefault="00535CAC" w:rsidP="00535CAC">
      <w:pPr>
        <w:spacing w:before="40" w:line="240" w:lineRule="auto"/>
        <w:ind w:left="1644" w:hanging="1644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                    (m)  Mildura/</w:t>
      </w:r>
      <w:proofErr w:type="spellStart"/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Sunraysia</w:t>
      </w:r>
      <w:proofErr w:type="spellEnd"/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 xml:space="preserve"> TV1;</w:t>
      </w:r>
    </w:p>
    <w:p w14:paraId="519ED03E" w14:textId="77777777" w:rsidR="00535CAC" w:rsidRPr="00535CAC" w:rsidRDefault="00535CAC" w:rsidP="00535CAC">
      <w:pPr>
        <w:spacing w:before="40" w:line="240" w:lineRule="auto"/>
        <w:ind w:left="1644" w:hanging="1644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                     (n)  Mount Gambier/South East TV1;</w:t>
      </w:r>
    </w:p>
    <w:p w14:paraId="54A7A8AC" w14:textId="77777777" w:rsidR="00535CAC" w:rsidRPr="00535CAC" w:rsidRDefault="00535CAC" w:rsidP="00535CAC">
      <w:pPr>
        <w:spacing w:before="40" w:line="240" w:lineRule="auto"/>
        <w:ind w:left="1644" w:hanging="1644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                     (o)  Mt Isa TV1;</w:t>
      </w:r>
    </w:p>
    <w:p w14:paraId="3EFEB9A2" w14:textId="77777777" w:rsidR="00535CAC" w:rsidRPr="00535CAC" w:rsidRDefault="00535CAC" w:rsidP="00535CAC">
      <w:pPr>
        <w:spacing w:before="40" w:line="240" w:lineRule="auto"/>
        <w:ind w:left="1644" w:hanging="1644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                     (p)  Riverland TV1;</w:t>
      </w:r>
    </w:p>
    <w:p w14:paraId="4D244BF3" w14:textId="77777777" w:rsidR="00535CAC" w:rsidRPr="00535CAC" w:rsidRDefault="00535CAC" w:rsidP="00535CAC">
      <w:pPr>
        <w:spacing w:before="40" w:line="240" w:lineRule="auto"/>
        <w:ind w:left="1644" w:hanging="1644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                     (q)  South West and Great Southern TV1;</w:t>
      </w:r>
    </w:p>
    <w:p w14:paraId="048289CA" w14:textId="77777777" w:rsidR="00535CAC" w:rsidRPr="00535CAC" w:rsidRDefault="00535CAC" w:rsidP="00535CAC">
      <w:pPr>
        <w:spacing w:before="40" w:line="240" w:lineRule="auto"/>
        <w:ind w:left="1644" w:hanging="1644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                      (r)  Spencer Gulf TV1;</w:t>
      </w:r>
    </w:p>
    <w:p w14:paraId="1EECBC10" w14:textId="77777777" w:rsidR="00535CAC" w:rsidRPr="00535CAC" w:rsidRDefault="00535CAC" w:rsidP="00535CAC">
      <w:pPr>
        <w:spacing w:before="40" w:line="240" w:lineRule="auto"/>
        <w:ind w:left="1644" w:hanging="1644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                      (s)  Remote and Regional WA TV1;</w:t>
      </w:r>
    </w:p>
    <w:p w14:paraId="7AF775B2" w14:textId="77777777" w:rsidR="00535CAC" w:rsidRPr="00535CAC" w:rsidRDefault="00535CAC" w:rsidP="00535CAC">
      <w:pPr>
        <w:spacing w:before="40" w:line="240" w:lineRule="auto"/>
        <w:ind w:left="1644" w:hanging="1644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                      (t)  Remote Central and Eastern Australia TV1;</w:t>
      </w:r>
    </w:p>
    <w:p w14:paraId="026B1D3D" w14:textId="77777777" w:rsidR="00535CAC" w:rsidRPr="00535CAC" w:rsidRDefault="00535CAC" w:rsidP="00535CAC">
      <w:pPr>
        <w:spacing w:before="40" w:line="240" w:lineRule="auto"/>
        <w:ind w:left="1644" w:hanging="1644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                     (</w:t>
      </w:r>
      <w:proofErr w:type="gramStart"/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u</w:t>
      </w:r>
      <w:proofErr w:type="gramEnd"/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)  Western Zone TV1;</w:t>
      </w:r>
    </w:p>
    <w:p w14:paraId="624D4C1B" w14:textId="77777777" w:rsidR="00535CAC" w:rsidRPr="00535CAC" w:rsidRDefault="00535CAC" w:rsidP="00535CAC">
      <w:pPr>
        <w:spacing w:before="40" w:line="240" w:lineRule="auto"/>
        <w:ind w:left="1644" w:hanging="1644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                     (v)  South Eastern Australia TV3;</w:t>
      </w:r>
    </w:p>
    <w:p w14:paraId="4A6D8253" w14:textId="77777777" w:rsidR="00535CAC" w:rsidRPr="00535CAC" w:rsidRDefault="00535CAC" w:rsidP="00535CAC">
      <w:pPr>
        <w:spacing w:before="40" w:line="240" w:lineRule="auto"/>
        <w:ind w:left="1644" w:hanging="1644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                    (</w:t>
      </w:r>
      <w:proofErr w:type="gramStart"/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w</w:t>
      </w:r>
      <w:proofErr w:type="gramEnd"/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)  Northern Australia TV3;</w:t>
      </w:r>
    </w:p>
    <w:p w14:paraId="662D84D0" w14:textId="77777777" w:rsidR="00535CAC" w:rsidRPr="00535CAC" w:rsidRDefault="00535CAC" w:rsidP="00535CAC">
      <w:pPr>
        <w:spacing w:before="40" w:line="240" w:lineRule="auto"/>
        <w:ind w:left="1644" w:hanging="1644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                     (x)  Western Australia TV3;</w:t>
      </w:r>
    </w:p>
    <w:p w14:paraId="7B4D1785" w14:textId="48BF2BCF" w:rsidR="00535CAC" w:rsidRDefault="00535CAC" w:rsidP="00535CAC">
      <w:pPr>
        <w:spacing w:before="40" w:line="240" w:lineRule="auto"/>
        <w:ind w:left="1644" w:hanging="1644"/>
        <w:rPr>
          <w:rFonts w:ascii="&amp;quot" w:eastAsia="Times New Roman" w:hAnsi="&amp;quot" w:cs="Times New Roman"/>
          <w:color w:val="000000"/>
          <w:szCs w:val="22"/>
          <w:lang w:eastAsia="en-AU"/>
        </w:rPr>
      </w:pPr>
      <w:r w:rsidRPr="00535CAC">
        <w:rPr>
          <w:rFonts w:ascii="&amp;quot" w:eastAsia="Times New Roman" w:hAnsi="&amp;quot" w:cs="Times New Roman"/>
          <w:color w:val="000000"/>
          <w:szCs w:val="22"/>
          <w:lang w:eastAsia="en-AU"/>
        </w:rPr>
        <w:t>                     (y)  Remote and Central Eastern Australia TV2.</w:t>
      </w:r>
    </w:p>
    <w:p w14:paraId="542D1079" w14:textId="5F6E536E" w:rsidR="00F05398" w:rsidRPr="004A5DD6" w:rsidRDefault="00F05398" w:rsidP="00F05398">
      <w:pPr>
        <w:pStyle w:val="subsection"/>
        <w:tabs>
          <w:tab w:val="clear" w:pos="1021"/>
          <w:tab w:val="right" w:pos="1418"/>
        </w:tabs>
        <w:ind w:firstLine="0"/>
        <w:rPr>
          <w:rFonts w:ascii="Calibri" w:hAnsi="Calibri" w:cs="Calibri"/>
          <w:b/>
          <w:bCs/>
          <w:szCs w:val="22"/>
        </w:rPr>
      </w:pPr>
      <w:proofErr w:type="gramStart"/>
      <w:r w:rsidRPr="004A5DD6">
        <w:rPr>
          <w:b/>
          <w:i/>
        </w:rPr>
        <w:lastRenderedPageBreak/>
        <w:t>relevant</w:t>
      </w:r>
      <w:proofErr w:type="gramEnd"/>
      <w:r w:rsidRPr="004A5DD6">
        <w:rPr>
          <w:b/>
          <w:i/>
        </w:rPr>
        <w:t xml:space="preserve"> regional channel</w:t>
      </w:r>
      <w:r w:rsidRPr="004A5DD6">
        <w:t xml:space="preserve"> means a channel which is broadcast by a regional/remote commercial television broadcasting licensee.</w:t>
      </w:r>
    </w:p>
    <w:p w14:paraId="578C421A" w14:textId="2E5B88B8" w:rsidR="005030D0" w:rsidRPr="005030D0" w:rsidRDefault="005030D0" w:rsidP="006646A5">
      <w:pPr>
        <w:pStyle w:val="Definition"/>
      </w:pPr>
      <w:r>
        <w:rPr>
          <w:b/>
          <w:i/>
        </w:rPr>
        <w:t xml:space="preserve">Standard </w:t>
      </w:r>
      <w:r>
        <w:t xml:space="preserve">means </w:t>
      </w:r>
      <w:r w:rsidR="00DF72DE">
        <w:t xml:space="preserve">a </w:t>
      </w:r>
      <w:r>
        <w:t xml:space="preserve">standard determined by the ACMA under subsection 122(1) of the </w:t>
      </w:r>
      <w:r w:rsidR="001B0E4F">
        <w:t>Act</w:t>
      </w:r>
      <w:r>
        <w:rPr>
          <w:i/>
        </w:rPr>
        <w:t xml:space="preserve"> </w:t>
      </w:r>
      <w:r>
        <w:t xml:space="preserve">that </w:t>
      </w:r>
      <w:r w:rsidR="00DF72DE">
        <w:t xml:space="preserve">is </w:t>
      </w:r>
      <w:r>
        <w:t>to be observed by commercial television broadcasting licensees</w:t>
      </w:r>
      <w:r w:rsidR="00DA5B29" w:rsidRPr="001408DA">
        <w:t xml:space="preserve">, but does not include the </w:t>
      </w:r>
      <w:r w:rsidR="00DA5B29" w:rsidRPr="001408DA">
        <w:rPr>
          <w:i/>
          <w:iCs/>
        </w:rPr>
        <w:t>Broadcasting Services (Australian Content in Advertising) Standard 2018</w:t>
      </w:r>
      <w:r>
        <w:t>.</w:t>
      </w:r>
    </w:p>
    <w:p w14:paraId="7341841F" w14:textId="77777777" w:rsidR="00F07DA1" w:rsidRDefault="00F07DA1" w:rsidP="00F07DA1">
      <w:pPr>
        <w:pStyle w:val="ActHead2"/>
        <w:rPr>
          <w:rStyle w:val="CharPartText"/>
        </w:rPr>
      </w:pPr>
      <w:bookmarkStart w:id="31" w:name="_Toc55896127"/>
      <w:bookmarkStart w:id="32" w:name="_Toc454803177"/>
      <w:bookmarkEnd w:id="30"/>
      <w:r w:rsidRPr="00C50EEB">
        <w:rPr>
          <w:rStyle w:val="CharPartNo"/>
        </w:rPr>
        <w:t>Part 2</w:t>
      </w:r>
      <w:r w:rsidRPr="00C50EEB">
        <w:t>—</w:t>
      </w:r>
      <w:r>
        <w:rPr>
          <w:rStyle w:val="CharPartText"/>
        </w:rPr>
        <w:t>Direction to the ACMA</w:t>
      </w:r>
      <w:bookmarkEnd w:id="31"/>
    </w:p>
    <w:p w14:paraId="33768F20" w14:textId="77777777" w:rsidR="007410BD" w:rsidRDefault="00D54858" w:rsidP="007410BD">
      <w:pPr>
        <w:pStyle w:val="ActHead5"/>
        <w:ind w:left="0" w:firstLine="0"/>
      </w:pPr>
      <w:bookmarkStart w:id="33" w:name="_Toc55896128"/>
      <w:r>
        <w:rPr>
          <w:rStyle w:val="CharSectno"/>
        </w:rPr>
        <w:t>6</w:t>
      </w:r>
      <w:r w:rsidRPr="00BD3DBA">
        <w:t xml:space="preserve"> Modifications</w:t>
      </w:r>
      <w:r w:rsidR="005C19CB">
        <w:t xml:space="preserve"> to q</w:t>
      </w:r>
      <w:r w:rsidR="00AD0E04">
        <w:t>uota</w:t>
      </w:r>
      <w:r w:rsidR="008120D9">
        <w:t xml:space="preserve"> arrangements</w:t>
      </w:r>
      <w:r w:rsidR="00AD0E04">
        <w:t xml:space="preserve"> for Australian and </w:t>
      </w:r>
      <w:r w:rsidR="003F1934">
        <w:t>c</w:t>
      </w:r>
      <w:r w:rsidR="00AD0E04">
        <w:t>hildren’s programs</w:t>
      </w:r>
      <w:bookmarkEnd w:id="33"/>
    </w:p>
    <w:p w14:paraId="665D8DD2" w14:textId="77777777" w:rsidR="00211D3D" w:rsidRDefault="00D97529" w:rsidP="005456BF">
      <w:pPr>
        <w:pStyle w:val="subsection"/>
        <w:numPr>
          <w:ilvl w:val="0"/>
          <w:numId w:val="7"/>
        </w:numPr>
        <w:tabs>
          <w:tab w:val="clear" w:pos="1021"/>
          <w:tab w:val="right" w:pos="993"/>
        </w:tabs>
        <w:ind w:left="851" w:hanging="851"/>
      </w:pPr>
      <w:r w:rsidRPr="001F21AC">
        <w:t>I direct the ACMA, in the exercise of its powers under subsection 122(1) of the Act</w:t>
      </w:r>
      <w:r>
        <w:t>,</w:t>
      </w:r>
      <w:r w:rsidRPr="001F21AC">
        <w:t xml:space="preserve"> to </w:t>
      </w:r>
      <w:r w:rsidR="008226CC">
        <w:t>a</w:t>
      </w:r>
      <w:r w:rsidRPr="001F21AC">
        <w:t>mend</w:t>
      </w:r>
      <w:r>
        <w:t xml:space="preserve"> </w:t>
      </w:r>
      <w:r w:rsidRPr="001F21AC">
        <w:t>one or more Standard</w:t>
      </w:r>
      <w:r w:rsidR="00DF20E9">
        <w:t>(s)</w:t>
      </w:r>
      <w:r>
        <w:t xml:space="preserve"> </w:t>
      </w:r>
      <w:r w:rsidRPr="001F21AC">
        <w:t>to</w:t>
      </w:r>
      <w:r w:rsidR="00211D3D">
        <w:t>:</w:t>
      </w:r>
    </w:p>
    <w:p w14:paraId="2E16B145" w14:textId="77777777" w:rsidR="00FA4F87" w:rsidRDefault="005C19CB" w:rsidP="005456BF">
      <w:pPr>
        <w:pStyle w:val="subsection"/>
        <w:numPr>
          <w:ilvl w:val="1"/>
          <w:numId w:val="6"/>
        </w:numPr>
        <w:tabs>
          <w:tab w:val="clear" w:pos="1021"/>
          <w:tab w:val="right" w:pos="1418"/>
        </w:tabs>
        <w:ind w:left="1418" w:hanging="425"/>
      </w:pPr>
      <w:r>
        <w:t xml:space="preserve">remove the requirements for </w:t>
      </w:r>
      <w:r w:rsidRPr="00C42EA9">
        <w:t xml:space="preserve">commercial television broadcasting licensees </w:t>
      </w:r>
      <w:r>
        <w:t xml:space="preserve">to broadcast </w:t>
      </w:r>
      <w:r w:rsidRPr="00C42EA9">
        <w:t>minimum amounts</w:t>
      </w:r>
      <w:r>
        <w:t xml:space="preserve"> of</w:t>
      </w:r>
      <w:r w:rsidR="00FA4F87">
        <w:t>:</w:t>
      </w:r>
    </w:p>
    <w:p w14:paraId="379B60D6" w14:textId="4D848CC5" w:rsidR="00FA4F87" w:rsidRDefault="005C19CB" w:rsidP="005456BF">
      <w:pPr>
        <w:pStyle w:val="subsection"/>
        <w:numPr>
          <w:ilvl w:val="2"/>
          <w:numId w:val="6"/>
        </w:numPr>
        <w:tabs>
          <w:tab w:val="clear" w:pos="1021"/>
          <w:tab w:val="right" w:pos="1418"/>
        </w:tabs>
        <w:ind w:left="1843" w:hanging="142"/>
      </w:pPr>
      <w:r>
        <w:t>C material</w:t>
      </w:r>
      <w:r w:rsidR="00DA5B29">
        <w:t xml:space="preserve"> (including C programs</w:t>
      </w:r>
      <w:r w:rsidR="00452A02">
        <w:t>)</w:t>
      </w:r>
      <w:r>
        <w:t xml:space="preserve">; </w:t>
      </w:r>
    </w:p>
    <w:p w14:paraId="5EDEB121" w14:textId="17C0016B" w:rsidR="00FA4F87" w:rsidRDefault="005C19CB" w:rsidP="005456BF">
      <w:pPr>
        <w:pStyle w:val="subsection"/>
        <w:numPr>
          <w:ilvl w:val="2"/>
          <w:numId w:val="6"/>
        </w:numPr>
        <w:tabs>
          <w:tab w:val="clear" w:pos="1021"/>
          <w:tab w:val="right" w:pos="1418"/>
        </w:tabs>
        <w:ind w:left="1843" w:hanging="142"/>
      </w:pPr>
      <w:r>
        <w:t>P material</w:t>
      </w:r>
      <w:r w:rsidR="00DA5B29">
        <w:t xml:space="preserve"> (including P programs)</w:t>
      </w:r>
      <w:r>
        <w:t xml:space="preserve">; </w:t>
      </w:r>
    </w:p>
    <w:p w14:paraId="203E3274" w14:textId="77777777" w:rsidR="00FA4F87" w:rsidRDefault="005C19CB" w:rsidP="005456BF">
      <w:pPr>
        <w:pStyle w:val="subsection"/>
        <w:numPr>
          <w:ilvl w:val="2"/>
          <w:numId w:val="6"/>
        </w:numPr>
        <w:tabs>
          <w:tab w:val="clear" w:pos="1021"/>
          <w:tab w:val="right" w:pos="1418"/>
        </w:tabs>
        <w:ind w:left="1843" w:hanging="142"/>
      </w:pPr>
      <w:r>
        <w:t>Australian drama programs; and</w:t>
      </w:r>
      <w:r w:rsidR="00211D3D">
        <w:t xml:space="preserve"> </w:t>
      </w:r>
    </w:p>
    <w:p w14:paraId="0D226276" w14:textId="77777777" w:rsidR="005C19CB" w:rsidRDefault="00211D3D" w:rsidP="005456BF">
      <w:pPr>
        <w:pStyle w:val="subsection"/>
        <w:numPr>
          <w:ilvl w:val="2"/>
          <w:numId w:val="6"/>
        </w:numPr>
        <w:tabs>
          <w:tab w:val="clear" w:pos="1021"/>
          <w:tab w:val="right" w:pos="1418"/>
        </w:tabs>
        <w:ind w:left="1843" w:hanging="142"/>
      </w:pPr>
      <w:r>
        <w:t>documentary programs;</w:t>
      </w:r>
    </w:p>
    <w:p w14:paraId="7B2805EE" w14:textId="40F08EC5" w:rsidR="00D3205C" w:rsidRDefault="00D3205C" w:rsidP="005456BF">
      <w:pPr>
        <w:pStyle w:val="subsection"/>
        <w:numPr>
          <w:ilvl w:val="1"/>
          <w:numId w:val="6"/>
        </w:numPr>
        <w:tabs>
          <w:tab w:val="clear" w:pos="1021"/>
          <w:tab w:val="right" w:pos="1418"/>
        </w:tabs>
        <w:ind w:left="1418" w:hanging="425"/>
      </w:pPr>
      <w:r>
        <w:t xml:space="preserve">remove the associated requirements related to the broadcast of repeat programs, </w:t>
      </w:r>
      <w:r w:rsidR="00A0649A">
        <w:t>3 year</w:t>
      </w:r>
      <w:r>
        <w:t xml:space="preserve"> quotas, minimum duration for Australian documentary programs, </w:t>
      </w:r>
      <w:r w:rsidRPr="002F1915">
        <w:t>limits on the repetition of C</w:t>
      </w:r>
      <w:r>
        <w:t xml:space="preserve"> programs</w:t>
      </w:r>
      <w:r w:rsidRPr="002F1915">
        <w:t xml:space="preserve"> or P programs</w:t>
      </w:r>
      <w:r>
        <w:t xml:space="preserve">, </w:t>
      </w:r>
      <w:r w:rsidRPr="002F1915">
        <w:t xml:space="preserve">limits on </w:t>
      </w:r>
      <w:r w:rsidR="00A0649A">
        <w:t xml:space="preserve">the </w:t>
      </w:r>
      <w:r w:rsidRPr="002F1915">
        <w:t>broadcast</w:t>
      </w:r>
      <w:r w:rsidR="00A0649A">
        <w:t xml:space="preserve"> of</w:t>
      </w:r>
      <w:r w:rsidRPr="002F1915">
        <w:t xml:space="preserve"> multiple episodes of C </w:t>
      </w:r>
      <w:r>
        <w:t xml:space="preserve">programs </w:t>
      </w:r>
      <w:r w:rsidRPr="002F1915">
        <w:t>or P programs within certain timeframes</w:t>
      </w:r>
      <w:r>
        <w:t>, and requirements for notifying the public about the scheduling of C programs and P program</w:t>
      </w:r>
      <w:r w:rsidR="0032064B">
        <w:t>s</w:t>
      </w:r>
      <w:r>
        <w:t xml:space="preserve"> (</w:t>
      </w:r>
      <w:r w:rsidR="00A0649A">
        <w:t>except</w:t>
      </w:r>
      <w:r>
        <w:t xml:space="preserve"> those listed </w:t>
      </w:r>
      <w:r w:rsidRPr="002443DB">
        <w:t xml:space="preserve">at </w:t>
      </w:r>
      <w:r w:rsidR="00DA5B29" w:rsidRPr="002443DB">
        <w:t>paragraph</w:t>
      </w:r>
      <w:r w:rsidRPr="002443DB">
        <w:t xml:space="preserve"> 8(1)(b) below)</w:t>
      </w:r>
      <w:r w:rsidR="00FA4F87" w:rsidRPr="002443DB">
        <w:t>;</w:t>
      </w:r>
      <w:r w:rsidR="00A869B0" w:rsidRPr="002443DB">
        <w:t xml:space="preserve"> and</w:t>
      </w:r>
    </w:p>
    <w:p w14:paraId="3DCFC304" w14:textId="35E0AF18" w:rsidR="007D30A0" w:rsidRDefault="00157744" w:rsidP="005456BF">
      <w:pPr>
        <w:pStyle w:val="subsection"/>
        <w:numPr>
          <w:ilvl w:val="1"/>
          <w:numId w:val="6"/>
        </w:numPr>
        <w:tabs>
          <w:tab w:val="clear" w:pos="1021"/>
          <w:tab w:val="right" w:pos="1418"/>
        </w:tabs>
        <w:ind w:left="1418" w:hanging="425"/>
      </w:pPr>
      <w:r>
        <w:t xml:space="preserve">remove </w:t>
      </w:r>
      <w:r w:rsidR="006267AC">
        <w:t xml:space="preserve">the concepts of </w:t>
      </w:r>
      <w:r w:rsidR="00A87B49">
        <w:t xml:space="preserve">the </w:t>
      </w:r>
      <w:r>
        <w:t>C band</w:t>
      </w:r>
      <w:r w:rsidR="00383CC0">
        <w:t xml:space="preserve">; </w:t>
      </w:r>
      <w:r>
        <w:t>P band</w:t>
      </w:r>
      <w:r w:rsidR="007D30A0">
        <w:t>;</w:t>
      </w:r>
      <w:r w:rsidR="00211D3D">
        <w:t xml:space="preserve"> </w:t>
      </w:r>
      <w:r w:rsidR="00CB47DD">
        <w:t xml:space="preserve">C material; P material; </w:t>
      </w:r>
      <w:r w:rsidR="00383CC0">
        <w:t>C period; P period; and prime time</w:t>
      </w:r>
      <w:r w:rsidR="00D3205C">
        <w:t>.</w:t>
      </w:r>
    </w:p>
    <w:p w14:paraId="543B46E7" w14:textId="77777777" w:rsidR="005C19CB" w:rsidRPr="001F21AC" w:rsidRDefault="005C19CB" w:rsidP="005456BF">
      <w:pPr>
        <w:pStyle w:val="subsection"/>
        <w:numPr>
          <w:ilvl w:val="0"/>
          <w:numId w:val="7"/>
        </w:numPr>
        <w:tabs>
          <w:tab w:val="clear" w:pos="1021"/>
          <w:tab w:val="right" w:pos="993"/>
        </w:tabs>
        <w:ind w:left="851" w:hanging="851"/>
      </w:pPr>
      <w:r w:rsidRPr="001F21AC">
        <w:t>I direct the ACMA, in the exercise of its powers under subsection 122(1) of the Act</w:t>
      </w:r>
      <w:r>
        <w:t>,</w:t>
      </w:r>
      <w:r w:rsidRPr="001F21AC">
        <w:t xml:space="preserve"> to </w:t>
      </w:r>
      <w:r>
        <w:t>a</w:t>
      </w:r>
      <w:r w:rsidRPr="001F21AC">
        <w:t>mend</w:t>
      </w:r>
      <w:r>
        <w:t xml:space="preserve"> </w:t>
      </w:r>
      <w:r w:rsidRPr="001F21AC">
        <w:t>one or more Standard</w:t>
      </w:r>
      <w:r>
        <w:t xml:space="preserve">(s) </w:t>
      </w:r>
      <w:r w:rsidRPr="001F21AC">
        <w:t>to:</w:t>
      </w:r>
    </w:p>
    <w:p w14:paraId="27BA0499" w14:textId="71A14704" w:rsidR="00FA4F87" w:rsidRDefault="00C42EA9" w:rsidP="005456BF">
      <w:pPr>
        <w:pStyle w:val="subsection"/>
        <w:numPr>
          <w:ilvl w:val="0"/>
          <w:numId w:val="9"/>
        </w:numPr>
        <w:tabs>
          <w:tab w:val="clear" w:pos="1021"/>
        </w:tabs>
        <w:ind w:left="1418" w:hanging="425"/>
      </w:pPr>
      <w:r>
        <w:t xml:space="preserve">introduce a </w:t>
      </w:r>
      <w:r w:rsidR="008226CC">
        <w:t xml:space="preserve">new </w:t>
      </w:r>
      <w:r>
        <w:t xml:space="preserve">points-based </w:t>
      </w:r>
      <w:r w:rsidR="00B2333F">
        <w:t xml:space="preserve">Australian program </w:t>
      </w:r>
      <w:r>
        <w:t xml:space="preserve">quota </w:t>
      </w:r>
      <w:r w:rsidR="00FA4F87">
        <w:t>(</w:t>
      </w:r>
      <w:r w:rsidR="00FA4F87">
        <w:rPr>
          <w:b/>
          <w:i/>
        </w:rPr>
        <w:t>‘new quota’</w:t>
      </w:r>
      <w:r w:rsidR="00FA4F87">
        <w:t xml:space="preserve">) </w:t>
      </w:r>
      <w:r>
        <w:t xml:space="preserve">requiring </w:t>
      </w:r>
      <w:r w:rsidR="00B2333F">
        <w:t xml:space="preserve">each </w:t>
      </w:r>
      <w:r w:rsidRPr="00C42EA9">
        <w:t xml:space="preserve">commercial television broadcasting licensee </w:t>
      </w:r>
      <w:r>
        <w:t>to provide</w:t>
      </w:r>
      <w:r w:rsidR="00B2333F">
        <w:t xml:space="preserve"> </w:t>
      </w:r>
      <w:r>
        <w:t xml:space="preserve">at least 250 points of </w:t>
      </w:r>
      <w:r w:rsidR="00FF067E">
        <w:t xml:space="preserve">first release </w:t>
      </w:r>
      <w:r>
        <w:t>Australian programs in each calendar year</w:t>
      </w:r>
      <w:r w:rsidR="00B2333F">
        <w:t xml:space="preserve"> </w:t>
      </w:r>
      <w:r w:rsidR="00075BF1" w:rsidRPr="00357C9C">
        <w:t>(inclusive of any carry over p</w:t>
      </w:r>
      <w:r w:rsidR="00075BF1">
        <w:t>oints applied under paragraph (</w:t>
      </w:r>
      <w:proofErr w:type="spellStart"/>
      <w:r w:rsidR="00075BF1">
        <w:t>i</w:t>
      </w:r>
      <w:proofErr w:type="spellEnd"/>
      <w:r w:rsidR="00075BF1" w:rsidRPr="00357C9C">
        <w:t>))</w:t>
      </w:r>
      <w:r w:rsidR="00075BF1">
        <w:t xml:space="preserve"> </w:t>
      </w:r>
      <w:r w:rsidR="00B2333F">
        <w:t>across their primary and/or multi-channelled commercial television broadcasting services</w:t>
      </w:r>
      <w:r w:rsidR="00FA4F87">
        <w:t>;</w:t>
      </w:r>
    </w:p>
    <w:p w14:paraId="5CF0DB76" w14:textId="761EDA1A" w:rsidR="00FF067E" w:rsidRDefault="00CB3C67" w:rsidP="005456BF">
      <w:pPr>
        <w:pStyle w:val="subsection"/>
        <w:numPr>
          <w:ilvl w:val="0"/>
          <w:numId w:val="9"/>
        </w:numPr>
        <w:tabs>
          <w:tab w:val="clear" w:pos="1021"/>
        </w:tabs>
        <w:ind w:left="1418" w:hanging="425"/>
      </w:pPr>
      <w:r>
        <w:t xml:space="preserve">provide </w:t>
      </w:r>
      <w:r w:rsidR="00FA4F87">
        <w:t>that the new quota commence</w:t>
      </w:r>
      <w:r w:rsidR="000E5EC1">
        <w:t xml:space="preserve"> </w:t>
      </w:r>
      <w:r w:rsidR="00B2333F">
        <w:t>from</w:t>
      </w:r>
      <w:r w:rsidR="000E5EC1">
        <w:t xml:space="preserve"> </w:t>
      </w:r>
      <w:r w:rsidR="00CE6074">
        <w:t xml:space="preserve">1 January </w:t>
      </w:r>
      <w:r w:rsidR="000E5EC1">
        <w:t>2021;</w:t>
      </w:r>
    </w:p>
    <w:p w14:paraId="1F2013E3" w14:textId="35BC5DDA" w:rsidR="001F31D0" w:rsidRDefault="00B61912" w:rsidP="005456BF">
      <w:pPr>
        <w:pStyle w:val="subsection"/>
        <w:numPr>
          <w:ilvl w:val="0"/>
          <w:numId w:val="9"/>
        </w:numPr>
        <w:tabs>
          <w:tab w:val="clear" w:pos="1021"/>
          <w:tab w:val="right" w:pos="1418"/>
        </w:tabs>
        <w:ind w:left="1418" w:hanging="425"/>
      </w:pPr>
      <w:r>
        <w:t xml:space="preserve">provide </w:t>
      </w:r>
      <w:r w:rsidR="004D7F7A">
        <w:t>that</w:t>
      </w:r>
      <w:r>
        <w:t xml:space="preserve"> the </w:t>
      </w:r>
      <w:r w:rsidR="00FA4F87">
        <w:t>new</w:t>
      </w:r>
      <w:r w:rsidR="00B5644B">
        <w:t xml:space="preserve"> </w:t>
      </w:r>
      <w:r>
        <w:t xml:space="preserve">quota </w:t>
      </w:r>
      <w:r w:rsidR="004D7F7A">
        <w:t>may be acquitted</w:t>
      </w:r>
      <w:r>
        <w:t xml:space="preserve"> through any combination of</w:t>
      </w:r>
      <w:r w:rsidR="00B2333F">
        <w:t xml:space="preserve"> the program genres listed </w:t>
      </w:r>
      <w:r w:rsidR="004D7F7A">
        <w:t>in</w:t>
      </w:r>
      <w:r w:rsidR="00B2333F">
        <w:t xml:space="preserve"> column 1 of the table at Schedule 1 to this </w:t>
      </w:r>
      <w:r w:rsidR="007D6927">
        <w:t>D</w:t>
      </w:r>
      <w:r w:rsidR="00B2333F">
        <w:t xml:space="preserve">irection, and for the points allocated to each genre to be those listed in column 2 of the table </w:t>
      </w:r>
      <w:r w:rsidR="00FF067E">
        <w:t xml:space="preserve">at </w:t>
      </w:r>
      <w:r w:rsidR="00B2333F">
        <w:t>Schedule</w:t>
      </w:r>
      <w:r w:rsidR="00FF067E">
        <w:t xml:space="preserve"> </w:t>
      </w:r>
      <w:r w:rsidR="00B2333F">
        <w:t>1</w:t>
      </w:r>
      <w:r w:rsidR="00FF067E">
        <w:t xml:space="preserve"> to this </w:t>
      </w:r>
      <w:r w:rsidR="007D6927">
        <w:t>D</w:t>
      </w:r>
      <w:r w:rsidR="00FF067E">
        <w:t>irection;</w:t>
      </w:r>
    </w:p>
    <w:p w14:paraId="624E1FCB" w14:textId="51290FF9" w:rsidR="00390473" w:rsidRDefault="001F31D0" w:rsidP="005456BF">
      <w:pPr>
        <w:pStyle w:val="subsection"/>
        <w:numPr>
          <w:ilvl w:val="0"/>
          <w:numId w:val="9"/>
        </w:numPr>
        <w:tabs>
          <w:tab w:val="clear" w:pos="1021"/>
          <w:tab w:val="right" w:pos="1418"/>
        </w:tabs>
        <w:ind w:left="1418" w:hanging="425"/>
      </w:pPr>
      <w:r>
        <w:lastRenderedPageBreak/>
        <w:t>provide for the production budget</w:t>
      </w:r>
      <w:r w:rsidR="00075BF1">
        <w:t xml:space="preserve"> and licence fee</w:t>
      </w:r>
      <w:r>
        <w:t xml:space="preserve"> figures listed at Schedule 1 to increase</w:t>
      </w:r>
      <w:r w:rsidR="00075BF1">
        <w:t>, but not decrease,</w:t>
      </w:r>
      <w:r>
        <w:t xml:space="preserve"> </w:t>
      </w:r>
      <w:r w:rsidR="00B1377D">
        <w:t>annually</w:t>
      </w:r>
      <w:r w:rsidR="00FA4F87">
        <w:t xml:space="preserve"> </w:t>
      </w:r>
      <w:r>
        <w:t xml:space="preserve">in accordance with the </w:t>
      </w:r>
      <w:r w:rsidRPr="001F31D0">
        <w:t>All Groups Consumer Price Index</w:t>
      </w:r>
      <w:r>
        <w:t xml:space="preserve">; </w:t>
      </w:r>
    </w:p>
    <w:p w14:paraId="3243872D" w14:textId="77777777" w:rsidR="001142C1" w:rsidRDefault="001142C1" w:rsidP="005456BF">
      <w:pPr>
        <w:pStyle w:val="subsection"/>
        <w:numPr>
          <w:ilvl w:val="0"/>
          <w:numId w:val="9"/>
        </w:numPr>
        <w:tabs>
          <w:tab w:val="clear" w:pos="1021"/>
          <w:tab w:val="right" w:pos="1418"/>
        </w:tabs>
        <w:ind w:left="1418" w:hanging="425"/>
      </w:pPr>
      <w:r>
        <w:t xml:space="preserve">provide that </w:t>
      </w:r>
      <w:r w:rsidR="00075BF1">
        <w:t xml:space="preserve">first release </w:t>
      </w:r>
      <w:r>
        <w:t xml:space="preserve">Australian programs may only be counted towards the </w:t>
      </w:r>
      <w:r w:rsidR="00014D65">
        <w:t xml:space="preserve">new </w:t>
      </w:r>
      <w:r>
        <w:t>quota the first time that they are broadcast by the licensee;</w:t>
      </w:r>
    </w:p>
    <w:p w14:paraId="639AA3CF" w14:textId="2F56B01B" w:rsidR="00FF067E" w:rsidRDefault="00390473" w:rsidP="005456BF">
      <w:pPr>
        <w:pStyle w:val="subsection"/>
        <w:numPr>
          <w:ilvl w:val="0"/>
          <w:numId w:val="9"/>
        </w:numPr>
        <w:tabs>
          <w:tab w:val="clear" w:pos="1021"/>
          <w:tab w:val="right" w:pos="1418"/>
        </w:tabs>
        <w:ind w:left="1418" w:hanging="425"/>
      </w:pPr>
      <w:r>
        <w:t xml:space="preserve">provide that only </w:t>
      </w:r>
      <w:r w:rsidR="00075BF1">
        <w:t xml:space="preserve">first release Australian </w:t>
      </w:r>
      <w:r w:rsidR="009B4686">
        <w:t xml:space="preserve">programs </w:t>
      </w:r>
      <w:r>
        <w:t xml:space="preserve">broadcast between 6:00am and midnight each day may be used to acquit the </w:t>
      </w:r>
      <w:r w:rsidR="0020547C">
        <w:t xml:space="preserve">new </w:t>
      </w:r>
      <w:r>
        <w:t>quota;</w:t>
      </w:r>
    </w:p>
    <w:p w14:paraId="791B6C54" w14:textId="43A02230" w:rsidR="00B2333F" w:rsidRDefault="00014D65" w:rsidP="005456BF">
      <w:pPr>
        <w:pStyle w:val="subsection"/>
        <w:numPr>
          <w:ilvl w:val="0"/>
          <w:numId w:val="9"/>
        </w:numPr>
        <w:tabs>
          <w:tab w:val="clear" w:pos="1021"/>
        </w:tabs>
        <w:ind w:left="1418" w:hanging="425"/>
      </w:pPr>
      <w:r>
        <w:t>not prescribe a minimum amount of points to be accrued from any one program genre</w:t>
      </w:r>
      <w:r w:rsidR="00075BF1">
        <w:t>,</w:t>
      </w:r>
      <w:r w:rsidR="00075BF1" w:rsidRPr="00075BF1">
        <w:t xml:space="preserve"> </w:t>
      </w:r>
      <w:r w:rsidR="00075BF1" w:rsidRPr="00357C9C">
        <w:t>listed in the first column of the table in Schedule 1</w:t>
      </w:r>
      <w:r w:rsidR="00A4431D">
        <w:t xml:space="preserve"> to this Direction</w:t>
      </w:r>
      <w:r w:rsidR="005C19CB">
        <w:t>;</w:t>
      </w:r>
    </w:p>
    <w:p w14:paraId="2635AE76" w14:textId="77777777" w:rsidR="005C19CB" w:rsidRDefault="005C19CB" w:rsidP="005456BF">
      <w:pPr>
        <w:pStyle w:val="subsection"/>
        <w:numPr>
          <w:ilvl w:val="0"/>
          <w:numId w:val="9"/>
        </w:numPr>
        <w:tabs>
          <w:tab w:val="clear" w:pos="1021"/>
        </w:tabs>
        <w:ind w:left="1418" w:hanging="425"/>
      </w:pPr>
      <w:r>
        <w:t xml:space="preserve">provide that a </w:t>
      </w:r>
      <w:r w:rsidRPr="005C19CB">
        <w:t xml:space="preserve">maximum of 50 points </w:t>
      </w:r>
      <w:r>
        <w:t>per year may be</w:t>
      </w:r>
      <w:r w:rsidRPr="005C19CB">
        <w:t xml:space="preserve"> acquitted on commissioned documentar</w:t>
      </w:r>
      <w:r w:rsidR="003A251A">
        <w:t>y programs</w:t>
      </w:r>
      <w:r>
        <w:t>;</w:t>
      </w:r>
      <w:r w:rsidR="00AE162E">
        <w:t xml:space="preserve"> </w:t>
      </w:r>
    </w:p>
    <w:p w14:paraId="7472AC59" w14:textId="77777777" w:rsidR="001714C1" w:rsidRDefault="00AE162E" w:rsidP="005456BF">
      <w:pPr>
        <w:pStyle w:val="subsection"/>
        <w:numPr>
          <w:ilvl w:val="0"/>
          <w:numId w:val="9"/>
        </w:numPr>
        <w:tabs>
          <w:tab w:val="clear" w:pos="1021"/>
          <w:tab w:val="right" w:pos="1418"/>
        </w:tabs>
        <w:ind w:left="1418" w:hanging="425"/>
      </w:pPr>
      <w:r>
        <w:t xml:space="preserve">enable </w:t>
      </w:r>
      <w:r w:rsidR="00FF067E" w:rsidRPr="00C42EA9">
        <w:t>commercial television broadcasting licensees</w:t>
      </w:r>
      <w:r w:rsidR="00FF067E">
        <w:t xml:space="preserve"> to carry over points accrued in excess of the </w:t>
      </w:r>
      <w:r w:rsidR="00014D65">
        <w:t xml:space="preserve">new </w:t>
      </w:r>
      <w:r w:rsidR="00FF067E">
        <w:t xml:space="preserve">quota </w:t>
      </w:r>
      <w:r w:rsidR="008120D9">
        <w:t>from the year in which the</w:t>
      </w:r>
      <w:r w:rsidR="00A94E43">
        <w:t xml:space="preserve"> points</w:t>
      </w:r>
      <w:r w:rsidR="008120D9">
        <w:t xml:space="preserve"> were accrued to </w:t>
      </w:r>
      <w:r w:rsidR="00B62A83">
        <w:t>the following calendar year, up to a maximum of 50 points</w:t>
      </w:r>
      <w:r w:rsidR="00FF067E">
        <w:t>;</w:t>
      </w:r>
      <w:r w:rsidR="00C106CE">
        <w:t xml:space="preserve"> </w:t>
      </w:r>
    </w:p>
    <w:p w14:paraId="6E4AB71C" w14:textId="6CC9F04F" w:rsidR="001236A1" w:rsidRDefault="001714C1" w:rsidP="005456BF">
      <w:pPr>
        <w:pStyle w:val="subsection"/>
        <w:numPr>
          <w:ilvl w:val="0"/>
          <w:numId w:val="9"/>
        </w:numPr>
        <w:tabs>
          <w:tab w:val="clear" w:pos="1021"/>
          <w:tab w:val="right" w:pos="1418"/>
        </w:tabs>
        <w:ind w:left="1418" w:hanging="425"/>
      </w:pPr>
      <w:r>
        <w:rPr>
          <w:color w:val="000000"/>
          <w:shd w:val="clear" w:color="auto" w:fill="FFFFFF"/>
        </w:rPr>
        <w:t>recognise Australian official co</w:t>
      </w:r>
      <w:r>
        <w:rPr>
          <w:color w:val="000000"/>
          <w:shd w:val="clear" w:color="auto" w:fill="FFFFFF"/>
        </w:rPr>
        <w:noBreakHyphen/>
        <w:t>productions, New Zealand programs and Australia</w:t>
      </w:r>
      <w:r w:rsidR="00BD0A43">
        <w:rPr>
          <w:color w:val="000000"/>
          <w:shd w:val="clear" w:color="auto" w:fill="FFFFFF"/>
        </w:rPr>
        <w:t>n</w:t>
      </w:r>
      <w:r>
        <w:rPr>
          <w:color w:val="000000"/>
          <w:shd w:val="clear" w:color="auto" w:fill="FFFFFF"/>
        </w:rPr>
        <w:t>/New Zealand programs equally with Australian programs for the purposes of compliance with the new quota;</w:t>
      </w:r>
      <w:r>
        <w:t xml:space="preserve"> </w:t>
      </w:r>
    </w:p>
    <w:p w14:paraId="435F92DA" w14:textId="00F5FECF" w:rsidR="00FF067E" w:rsidRDefault="001236A1" w:rsidP="005456BF">
      <w:pPr>
        <w:pStyle w:val="subsection"/>
        <w:numPr>
          <w:ilvl w:val="0"/>
          <w:numId w:val="9"/>
        </w:numPr>
        <w:tabs>
          <w:tab w:val="clear" w:pos="1021"/>
          <w:tab w:val="right" w:pos="1418"/>
        </w:tabs>
        <w:ind w:left="1418" w:hanging="425"/>
      </w:pPr>
      <w:r w:rsidRPr="00DD4980">
        <w:t xml:space="preserve">provide for the </w:t>
      </w:r>
      <w:r w:rsidR="00014D65" w:rsidRPr="00DD4980">
        <w:t xml:space="preserve">new </w:t>
      </w:r>
      <w:r w:rsidRPr="00DD4980">
        <w:t xml:space="preserve">quota </w:t>
      </w:r>
      <w:r w:rsidR="00E569FD" w:rsidRPr="00DD4980">
        <w:t>to be deemed to have been complied with</w:t>
      </w:r>
      <w:r w:rsidR="00014D65" w:rsidRPr="00DD4980">
        <w:t xml:space="preserve"> by a regional/remote commercial television broadcasting licensee</w:t>
      </w:r>
      <w:r w:rsidR="00E569FD" w:rsidRPr="00DD4980">
        <w:t xml:space="preserve"> </w:t>
      </w:r>
      <w:r w:rsidR="009059A6" w:rsidRPr="00DD4980">
        <w:t xml:space="preserve">in respect of a relevant regional channel if the amount of first release Australian programs broadcast by the licensee </w:t>
      </w:r>
      <w:r w:rsidR="00E569FD" w:rsidRPr="00DD4980">
        <w:t>in a given</w:t>
      </w:r>
      <w:r w:rsidR="00014D65" w:rsidRPr="00DD4980">
        <w:t xml:space="preserve"> calendar</w:t>
      </w:r>
      <w:r w:rsidR="00E569FD" w:rsidRPr="00DD4980">
        <w:t xml:space="preserve"> year</w:t>
      </w:r>
      <w:r w:rsidR="009059A6" w:rsidRPr="00DD4980">
        <w:t xml:space="preserve"> on the relevant regional channel</w:t>
      </w:r>
      <w:r w:rsidR="00E569FD" w:rsidRPr="00DD4980">
        <w:t xml:space="preserve"> is not less than the amount</w:t>
      </w:r>
      <w:r w:rsidR="00CE6876" w:rsidRPr="00DD4980">
        <w:t xml:space="preserve"> </w:t>
      </w:r>
      <w:r w:rsidR="00D62C54" w:rsidRPr="00DD4980">
        <w:t xml:space="preserve">broadcast </w:t>
      </w:r>
      <w:r w:rsidR="005740AF" w:rsidRPr="00DD4980">
        <w:t xml:space="preserve">by a metropolitan commercial television broadcasting licensee </w:t>
      </w:r>
      <w:r w:rsidR="00DD4980" w:rsidRPr="00DD4980">
        <w:t>on</w:t>
      </w:r>
      <w:r w:rsidR="00535CAC" w:rsidRPr="00DD4980">
        <w:t xml:space="preserve"> </w:t>
      </w:r>
      <w:r w:rsidR="009059A6" w:rsidRPr="00DD4980">
        <w:t xml:space="preserve">the </w:t>
      </w:r>
      <w:r w:rsidR="00D62C54" w:rsidRPr="00DD4980">
        <w:t>equivalent metropolitan channel</w:t>
      </w:r>
      <w:r w:rsidR="00D62C54">
        <w:t>; and</w:t>
      </w:r>
      <w:r w:rsidR="00E569FD">
        <w:t xml:space="preserve">  </w:t>
      </w:r>
    </w:p>
    <w:p w14:paraId="65560962" w14:textId="203FDE74" w:rsidR="00EC31A6" w:rsidRDefault="00AE162E" w:rsidP="005456BF">
      <w:pPr>
        <w:pStyle w:val="subsection"/>
        <w:numPr>
          <w:ilvl w:val="0"/>
          <w:numId w:val="9"/>
        </w:numPr>
        <w:tabs>
          <w:tab w:val="clear" w:pos="1021"/>
          <w:tab w:val="right" w:pos="1418"/>
        </w:tabs>
        <w:ind w:left="1418" w:hanging="425"/>
      </w:pPr>
      <w:r>
        <w:t xml:space="preserve">require </w:t>
      </w:r>
      <w:r w:rsidRPr="00C42EA9">
        <w:t>commercial television broadcasting licensees</w:t>
      </w:r>
      <w:r>
        <w:t xml:space="preserve"> to pro</w:t>
      </w:r>
      <w:r>
        <w:rPr>
          <w:color w:val="000000"/>
          <w:shd w:val="clear" w:color="auto" w:fill="FFFFFF"/>
        </w:rPr>
        <w:t>vide information to the ACMA</w:t>
      </w:r>
      <w:r w:rsidR="00014D65">
        <w:rPr>
          <w:color w:val="000000"/>
          <w:shd w:val="clear" w:color="auto" w:fill="FFFFFF"/>
        </w:rPr>
        <w:t xml:space="preserve"> (at the times and in the format prescribed by the ACMA)</w:t>
      </w:r>
      <w:r>
        <w:rPr>
          <w:color w:val="000000"/>
          <w:shd w:val="clear" w:color="auto" w:fill="FFFFFF"/>
        </w:rPr>
        <w:t xml:space="preserve"> demonstrating the licensee’s compliance</w:t>
      </w:r>
      <w:r>
        <w:t xml:space="preserve"> with the new </w:t>
      </w:r>
      <w:r w:rsidR="0097233A">
        <w:t>quota</w:t>
      </w:r>
      <w:r w:rsidR="00B62A83">
        <w:t>, including</w:t>
      </w:r>
      <w:r w:rsidR="00EC31A6">
        <w:t>:</w:t>
      </w:r>
    </w:p>
    <w:p w14:paraId="5B666AEE" w14:textId="69B4FC1A" w:rsidR="00341FD4" w:rsidRDefault="00B62A83" w:rsidP="005456BF">
      <w:pPr>
        <w:pStyle w:val="subsection"/>
        <w:numPr>
          <w:ilvl w:val="1"/>
          <w:numId w:val="9"/>
        </w:numPr>
        <w:tabs>
          <w:tab w:val="clear" w:pos="1021"/>
          <w:tab w:val="right" w:pos="1418"/>
        </w:tabs>
        <w:ind w:left="1843" w:hanging="142"/>
      </w:pPr>
      <w:r>
        <w:t>the number of hours</w:t>
      </w:r>
      <w:r w:rsidR="00075BF1">
        <w:t xml:space="preserve"> of programming of each genre that is</w:t>
      </w:r>
      <w:r>
        <w:t xml:space="preserve"> broadcast</w:t>
      </w:r>
      <w:r w:rsidR="00341FD4">
        <w:t>;</w:t>
      </w:r>
      <w:r w:rsidR="0007283E">
        <w:t xml:space="preserve"> </w:t>
      </w:r>
    </w:p>
    <w:p w14:paraId="3B164227" w14:textId="20EA8B70" w:rsidR="00341FD4" w:rsidRDefault="00B62A83" w:rsidP="005456BF">
      <w:pPr>
        <w:pStyle w:val="subsection"/>
        <w:numPr>
          <w:ilvl w:val="1"/>
          <w:numId w:val="9"/>
        </w:numPr>
        <w:tabs>
          <w:tab w:val="clear" w:pos="1021"/>
          <w:tab w:val="right" w:pos="1418"/>
        </w:tabs>
        <w:ind w:left="1843" w:hanging="142"/>
      </w:pPr>
      <w:r>
        <w:t xml:space="preserve">the </w:t>
      </w:r>
      <w:r w:rsidR="00CA68C0">
        <w:t xml:space="preserve">licence fees and/or </w:t>
      </w:r>
      <w:r>
        <w:t>production</w:t>
      </w:r>
      <w:r w:rsidR="0095378D">
        <w:t xml:space="preserve"> budget</w:t>
      </w:r>
      <w:r>
        <w:t xml:space="preserve"> cost</w:t>
      </w:r>
      <w:r w:rsidR="0095378D">
        <w:t xml:space="preserve"> per hour</w:t>
      </w:r>
      <w:r w:rsidR="00CA68C0">
        <w:t xml:space="preserve"> for each program</w:t>
      </w:r>
      <w:r w:rsidR="007A0E5B">
        <w:t xml:space="preserve"> claimed against the quota</w:t>
      </w:r>
      <w:r w:rsidR="00341FD4">
        <w:t>; and</w:t>
      </w:r>
    </w:p>
    <w:p w14:paraId="44917B67" w14:textId="0C7FDA9C" w:rsidR="00AE162E" w:rsidRDefault="00341FD4" w:rsidP="005456BF">
      <w:pPr>
        <w:pStyle w:val="subsection"/>
        <w:numPr>
          <w:ilvl w:val="1"/>
          <w:numId w:val="9"/>
        </w:numPr>
        <w:tabs>
          <w:tab w:val="clear" w:pos="1021"/>
          <w:tab w:val="right" w:pos="1418"/>
        </w:tabs>
        <w:ind w:left="1843" w:hanging="142"/>
      </w:pPr>
      <w:proofErr w:type="gramStart"/>
      <w:r>
        <w:t>the</w:t>
      </w:r>
      <w:proofErr w:type="gramEnd"/>
      <w:r>
        <w:t xml:space="preserve"> licensee’s total expenditure on </w:t>
      </w:r>
      <w:r w:rsidR="00B1377D">
        <w:t xml:space="preserve">first release </w:t>
      </w:r>
      <w:r w:rsidR="00E73D40">
        <w:t xml:space="preserve">Australian </w:t>
      </w:r>
      <w:r>
        <w:t>programs of each genre that are broadcast</w:t>
      </w:r>
      <w:r w:rsidR="00815F5A">
        <w:t xml:space="preserve"> in compliance with the new quota</w:t>
      </w:r>
      <w:r>
        <w:t xml:space="preserve">. </w:t>
      </w:r>
    </w:p>
    <w:p w14:paraId="2B5E2097" w14:textId="77777777" w:rsidR="00D54858" w:rsidRPr="0020547C" w:rsidRDefault="00D54858" w:rsidP="0020547C">
      <w:pPr>
        <w:pStyle w:val="ActHead5"/>
        <w:ind w:left="0" w:firstLine="0"/>
        <w:rPr>
          <w:rStyle w:val="CharSectno"/>
        </w:rPr>
      </w:pPr>
      <w:bookmarkStart w:id="34" w:name="_Toc55896129"/>
      <w:r w:rsidRPr="0020547C">
        <w:rPr>
          <w:rStyle w:val="CharSectno"/>
        </w:rPr>
        <w:t>7 Transitional arrangements</w:t>
      </w:r>
      <w:r w:rsidR="00C106CE" w:rsidRPr="0020547C">
        <w:rPr>
          <w:rStyle w:val="CharSectno"/>
        </w:rPr>
        <w:t xml:space="preserve"> for quota</w:t>
      </w:r>
      <w:bookmarkEnd w:id="34"/>
    </w:p>
    <w:p w14:paraId="5514F9A6" w14:textId="4EDF8C0A" w:rsidR="00D54858" w:rsidRDefault="00D54858" w:rsidP="005456BF">
      <w:pPr>
        <w:pStyle w:val="subsection"/>
        <w:numPr>
          <w:ilvl w:val="0"/>
          <w:numId w:val="11"/>
        </w:numPr>
        <w:tabs>
          <w:tab w:val="clear" w:pos="1021"/>
          <w:tab w:val="right" w:pos="993"/>
        </w:tabs>
      </w:pPr>
      <w:r>
        <w:t xml:space="preserve">I direct the ACMA, </w:t>
      </w:r>
      <w:r w:rsidR="00AB4EE3">
        <w:t xml:space="preserve">in </w:t>
      </w:r>
      <w:r w:rsidR="000D2EFC">
        <w:t xml:space="preserve">removing existing requirements and </w:t>
      </w:r>
      <w:r w:rsidR="00AB4EE3">
        <w:t>giving effect to the new quota,</w:t>
      </w:r>
      <w:r w:rsidRPr="001F21AC">
        <w:t xml:space="preserve"> to </w:t>
      </w:r>
      <w:r>
        <w:t>a</w:t>
      </w:r>
      <w:r w:rsidRPr="001F21AC">
        <w:t>mend</w:t>
      </w:r>
      <w:r>
        <w:t xml:space="preserve"> </w:t>
      </w:r>
      <w:r w:rsidRPr="001F21AC">
        <w:t>one or more Standard</w:t>
      </w:r>
      <w:r>
        <w:t>(s), to:</w:t>
      </w:r>
    </w:p>
    <w:p w14:paraId="20BA495F" w14:textId="56B672B5" w:rsidR="000D2EFC" w:rsidRDefault="0095378D" w:rsidP="005456BF">
      <w:pPr>
        <w:pStyle w:val="subsection"/>
        <w:numPr>
          <w:ilvl w:val="0"/>
          <w:numId w:val="12"/>
        </w:numPr>
        <w:tabs>
          <w:tab w:val="clear" w:pos="1021"/>
          <w:tab w:val="right" w:pos="993"/>
        </w:tabs>
        <w:ind w:left="1418" w:hanging="425"/>
      </w:pPr>
      <w:r>
        <w:t>remove</w:t>
      </w:r>
      <w:r w:rsidR="000D2EFC">
        <w:t xml:space="preserve"> the quota obligations </w:t>
      </w:r>
      <w:r w:rsidR="00713951">
        <w:t xml:space="preserve">and associated matters </w:t>
      </w:r>
      <w:r w:rsidR="000D2EFC">
        <w:t>listed in</w:t>
      </w:r>
      <w:r w:rsidR="002443DB">
        <w:t xml:space="preserve"> subsection 6(1)</w:t>
      </w:r>
      <w:r w:rsidR="000D2EFC">
        <w:t xml:space="preserve"> above </w:t>
      </w:r>
      <w:r>
        <w:t>from 1 January 2021</w:t>
      </w:r>
      <w:r w:rsidR="000D2EFC">
        <w:t>;</w:t>
      </w:r>
    </w:p>
    <w:p w14:paraId="74D142BE" w14:textId="77777777" w:rsidR="00EB6385" w:rsidRDefault="000D2EFC" w:rsidP="005456BF">
      <w:pPr>
        <w:pStyle w:val="subsection"/>
        <w:numPr>
          <w:ilvl w:val="0"/>
          <w:numId w:val="12"/>
        </w:numPr>
        <w:tabs>
          <w:tab w:val="clear" w:pos="1021"/>
          <w:tab w:val="right" w:pos="993"/>
        </w:tabs>
        <w:ind w:left="1418" w:hanging="425"/>
      </w:pPr>
      <w:r>
        <w:t xml:space="preserve">provide </w:t>
      </w:r>
      <w:r w:rsidR="00014D65">
        <w:t>for</w:t>
      </w:r>
      <w:r w:rsidR="00EB6385">
        <w:t>:</w:t>
      </w:r>
    </w:p>
    <w:p w14:paraId="6E2FE3FB" w14:textId="0893BE1E" w:rsidR="00EB6385" w:rsidRDefault="00E0617F" w:rsidP="005456BF">
      <w:pPr>
        <w:pStyle w:val="subsection"/>
        <w:numPr>
          <w:ilvl w:val="2"/>
          <w:numId w:val="12"/>
        </w:numPr>
        <w:tabs>
          <w:tab w:val="clear" w:pos="1021"/>
          <w:tab w:val="right" w:pos="993"/>
        </w:tabs>
        <w:ind w:left="1843" w:hanging="142"/>
      </w:pPr>
      <w:r>
        <w:lastRenderedPageBreak/>
        <w:t xml:space="preserve">any </w:t>
      </w:r>
      <w:r w:rsidR="001A0D1E">
        <w:t xml:space="preserve">annual </w:t>
      </w:r>
      <w:r w:rsidR="000D2EFC">
        <w:t xml:space="preserve">reporting obligations for </w:t>
      </w:r>
      <w:r w:rsidR="00014D65">
        <w:t xml:space="preserve">the </w:t>
      </w:r>
      <w:r w:rsidR="000D2EFC">
        <w:t xml:space="preserve">2020 </w:t>
      </w:r>
      <w:r w:rsidR="00014D65">
        <w:t xml:space="preserve">compliance year </w:t>
      </w:r>
      <w:r w:rsidR="0020547C">
        <w:t xml:space="preserve">to </w:t>
      </w:r>
      <w:r w:rsidR="000D2EFC">
        <w:t>continue to apply</w:t>
      </w:r>
      <w:r w:rsidR="00EB6385">
        <w:t>;</w:t>
      </w:r>
    </w:p>
    <w:p w14:paraId="0D042E0B" w14:textId="41F329A4" w:rsidR="007031F9" w:rsidRDefault="007031F9" w:rsidP="005456BF">
      <w:pPr>
        <w:pStyle w:val="subsection"/>
        <w:numPr>
          <w:ilvl w:val="2"/>
          <w:numId w:val="12"/>
        </w:numPr>
        <w:tabs>
          <w:tab w:val="clear" w:pos="1021"/>
          <w:tab w:val="right" w:pos="993"/>
        </w:tabs>
        <w:ind w:left="1843" w:hanging="142"/>
      </w:pPr>
      <w:r>
        <w:t xml:space="preserve">for </w:t>
      </w:r>
      <w:r w:rsidR="00D23448" w:rsidRPr="00D23448">
        <w:rPr>
          <w:rStyle w:val="CommentReference"/>
          <w:rFonts w:eastAsiaTheme="minorHAnsi" w:cstheme="minorBidi"/>
          <w:sz w:val="22"/>
          <w:szCs w:val="22"/>
          <w:lang w:eastAsia="en-US"/>
        </w:rPr>
        <w:t>a C program</w:t>
      </w:r>
      <w:r>
        <w:t xml:space="preserve">, any reporting obligations related to </w:t>
      </w:r>
      <w:r w:rsidR="001163C5">
        <w:t>the</w:t>
      </w:r>
      <w:r>
        <w:t xml:space="preserve"> 3-year quota period </w:t>
      </w:r>
      <w:r w:rsidR="001163C5">
        <w:t>for 2018-19-20</w:t>
      </w:r>
      <w:r w:rsidR="00713951">
        <w:t xml:space="preserve"> </w:t>
      </w:r>
      <w:r>
        <w:t>to continue to apply; and</w:t>
      </w:r>
    </w:p>
    <w:p w14:paraId="26B1A7A9" w14:textId="6C08B403" w:rsidR="000D2EFC" w:rsidRDefault="007031F9" w:rsidP="005456BF">
      <w:pPr>
        <w:pStyle w:val="subsection"/>
        <w:numPr>
          <w:ilvl w:val="2"/>
          <w:numId w:val="12"/>
        </w:numPr>
        <w:tabs>
          <w:tab w:val="clear" w:pos="1021"/>
          <w:tab w:val="right" w:pos="993"/>
        </w:tabs>
        <w:ind w:left="1843" w:hanging="142"/>
      </w:pPr>
      <w:r>
        <w:t xml:space="preserve">for any other program, </w:t>
      </w:r>
      <w:r w:rsidR="000D2EFC">
        <w:t>any reporting obligations related to a 3</w:t>
      </w:r>
      <w:r w:rsidR="00D2532C">
        <w:t xml:space="preserve"> </w:t>
      </w:r>
      <w:r w:rsidR="000D2EFC">
        <w:t xml:space="preserve">year period </w:t>
      </w:r>
      <w:r w:rsidR="00014D65">
        <w:t xml:space="preserve">to </w:t>
      </w:r>
      <w:r w:rsidR="000D2EFC">
        <w:t>cease</w:t>
      </w:r>
      <w:r w:rsidR="00E55FB5" w:rsidRPr="00E55FB5">
        <w:t xml:space="preserve"> </w:t>
      </w:r>
      <w:r w:rsidR="00E55FB5">
        <w:t>from 1</w:t>
      </w:r>
      <w:r>
        <w:t> </w:t>
      </w:r>
      <w:r w:rsidR="00E55FB5">
        <w:t>January</w:t>
      </w:r>
      <w:r>
        <w:t> </w:t>
      </w:r>
      <w:r w:rsidR="00E55FB5">
        <w:t>2021</w:t>
      </w:r>
      <w:r w:rsidR="000D2EFC">
        <w:t>;</w:t>
      </w:r>
    </w:p>
    <w:p w14:paraId="504E3F83" w14:textId="207F20E1" w:rsidR="00D54858" w:rsidRDefault="00D54858" w:rsidP="005456BF">
      <w:pPr>
        <w:pStyle w:val="subsection"/>
        <w:numPr>
          <w:ilvl w:val="0"/>
          <w:numId w:val="12"/>
        </w:numPr>
        <w:tabs>
          <w:tab w:val="clear" w:pos="1021"/>
          <w:tab w:val="right" w:pos="993"/>
        </w:tabs>
        <w:ind w:left="1418" w:hanging="425"/>
      </w:pPr>
      <w:r>
        <w:t xml:space="preserve">provide that any first release </w:t>
      </w:r>
      <w:r w:rsidR="00DF4641">
        <w:t xml:space="preserve">Australian </w:t>
      </w:r>
      <w:r w:rsidR="002568AD">
        <w:t xml:space="preserve">film that </w:t>
      </w:r>
      <w:r w:rsidR="00B03DBE">
        <w:t>was</w:t>
      </w:r>
      <w:r w:rsidR="002568AD">
        <w:t xml:space="preserve"> acquired before </w:t>
      </w:r>
      <w:r w:rsidR="00885DA8">
        <w:t xml:space="preserve">1 </w:t>
      </w:r>
      <w:r w:rsidR="002568AD">
        <w:t xml:space="preserve">January 2021, and any other first release </w:t>
      </w:r>
      <w:r w:rsidR="00E55FB5">
        <w:t xml:space="preserve">Australian </w:t>
      </w:r>
      <w:r w:rsidR="0020547C">
        <w:t xml:space="preserve">program </w:t>
      </w:r>
      <w:r>
        <w:t xml:space="preserve">that </w:t>
      </w:r>
      <w:r w:rsidR="00B03DBE">
        <w:t>was</w:t>
      </w:r>
      <w:r>
        <w:t xml:space="preserve"> commissioned before 1 January 2021, </w:t>
      </w:r>
      <w:r w:rsidR="006D02FB">
        <w:t>and broadcast on or after 1 January 2021</w:t>
      </w:r>
      <w:r w:rsidR="000D2EFC">
        <w:t>,</w:t>
      </w:r>
      <w:r w:rsidR="006D02FB">
        <w:t xml:space="preserve"> </w:t>
      </w:r>
      <w:r>
        <w:t xml:space="preserve">may be used to acquit the </w:t>
      </w:r>
      <w:r w:rsidR="00211D3D">
        <w:t xml:space="preserve">new </w:t>
      </w:r>
      <w:r>
        <w:t xml:space="preserve">quota for </w:t>
      </w:r>
      <w:r w:rsidR="00014D65">
        <w:t xml:space="preserve">the </w:t>
      </w:r>
      <w:r>
        <w:t>2021</w:t>
      </w:r>
      <w:r w:rsidR="00014D65">
        <w:t xml:space="preserve"> compliance year</w:t>
      </w:r>
      <w:r w:rsidR="009D342F">
        <w:t xml:space="preserve"> where it meets all other applicable requirements</w:t>
      </w:r>
      <w:r>
        <w:t xml:space="preserve">; </w:t>
      </w:r>
    </w:p>
    <w:p w14:paraId="1CB0E188" w14:textId="25792651" w:rsidR="000D2EFC" w:rsidRDefault="00D54858" w:rsidP="005456BF">
      <w:pPr>
        <w:pStyle w:val="subsection"/>
        <w:numPr>
          <w:ilvl w:val="0"/>
          <w:numId w:val="12"/>
        </w:numPr>
        <w:tabs>
          <w:tab w:val="clear" w:pos="1021"/>
          <w:tab w:val="right" w:pos="993"/>
        </w:tabs>
        <w:ind w:left="1418" w:hanging="425"/>
      </w:pPr>
      <w:r>
        <w:t xml:space="preserve">provide that other </w:t>
      </w:r>
      <w:r w:rsidR="0095378D">
        <w:t>Australian first release</w:t>
      </w:r>
      <w:r w:rsidR="00E55FB5">
        <w:t xml:space="preserve"> </w:t>
      </w:r>
      <w:r w:rsidR="0020547C">
        <w:t xml:space="preserve">programs </w:t>
      </w:r>
      <w:r>
        <w:t xml:space="preserve">acquired before 1 January 2021 may not be used to acquit the </w:t>
      </w:r>
      <w:r w:rsidR="00211D3D">
        <w:t xml:space="preserve">new </w:t>
      </w:r>
      <w:r>
        <w:t>quota, but may still be used to acquit the overall Australian content transmission quota in section 121G of the Act</w:t>
      </w:r>
      <w:r w:rsidR="000D2EFC">
        <w:t>;</w:t>
      </w:r>
    </w:p>
    <w:p w14:paraId="48C8CFEF" w14:textId="63505418" w:rsidR="00C106CE" w:rsidRDefault="000D2EFC" w:rsidP="005456BF">
      <w:pPr>
        <w:pStyle w:val="subsection"/>
        <w:numPr>
          <w:ilvl w:val="0"/>
          <w:numId w:val="12"/>
        </w:numPr>
        <w:tabs>
          <w:tab w:val="clear" w:pos="1021"/>
          <w:tab w:val="right" w:pos="993"/>
        </w:tabs>
        <w:ind w:left="1418" w:hanging="425"/>
      </w:pPr>
      <w:r>
        <w:t xml:space="preserve">provide that licensees may not carry forward any </w:t>
      </w:r>
      <w:r w:rsidR="009D342F">
        <w:t xml:space="preserve">Australian drama </w:t>
      </w:r>
      <w:r w:rsidR="0095575D">
        <w:t xml:space="preserve">program </w:t>
      </w:r>
      <w:r w:rsidR="009D342F">
        <w:t>points, or Australian documentary, C program</w:t>
      </w:r>
      <w:r w:rsidR="0095575D">
        <w:t xml:space="preserve"> </w:t>
      </w:r>
      <w:r w:rsidR="009D342F">
        <w:t xml:space="preserve">or P program hours accrued in excess of current annual sub-quotas from 2020 </w:t>
      </w:r>
      <w:r>
        <w:t xml:space="preserve"> to the 2021 compliance year</w:t>
      </w:r>
      <w:r w:rsidR="003A251A">
        <w:t>.</w:t>
      </w:r>
    </w:p>
    <w:p w14:paraId="0CEC702A" w14:textId="77777777" w:rsidR="00D97529" w:rsidRDefault="00D54858" w:rsidP="00D97529">
      <w:pPr>
        <w:pStyle w:val="ActHead5"/>
        <w:ind w:left="0" w:firstLine="0"/>
      </w:pPr>
      <w:bookmarkStart w:id="35" w:name="_Toc55896130"/>
      <w:r>
        <w:t>8 Protection</w:t>
      </w:r>
      <w:r w:rsidR="00D97529">
        <w:t xml:space="preserve"> of children from possible harmful effects of television</w:t>
      </w:r>
      <w:bookmarkEnd w:id="35"/>
    </w:p>
    <w:p w14:paraId="6597BFBE" w14:textId="77777777" w:rsidR="00D97529" w:rsidRDefault="00D97529" w:rsidP="005456BF">
      <w:pPr>
        <w:pStyle w:val="subsection"/>
        <w:numPr>
          <w:ilvl w:val="0"/>
          <w:numId w:val="10"/>
        </w:numPr>
        <w:tabs>
          <w:tab w:val="clear" w:pos="1021"/>
          <w:tab w:val="right" w:pos="993"/>
        </w:tabs>
      </w:pPr>
      <w:r w:rsidRPr="001F21AC">
        <w:t>I direct the ACMA, in the exercise of its powers under subsection 122(1) of the Act</w:t>
      </w:r>
      <w:r>
        <w:t>,</w:t>
      </w:r>
      <w:r w:rsidRPr="001F21AC">
        <w:t xml:space="preserve"> to </w:t>
      </w:r>
      <w:r w:rsidR="00B5644B">
        <w:t>a</w:t>
      </w:r>
      <w:r w:rsidRPr="001F21AC">
        <w:t>mend</w:t>
      </w:r>
      <w:r>
        <w:t xml:space="preserve"> </w:t>
      </w:r>
      <w:r w:rsidRPr="001F21AC">
        <w:t>one or more Standard</w:t>
      </w:r>
      <w:r w:rsidR="00DF20E9">
        <w:t>(s)</w:t>
      </w:r>
      <w:r>
        <w:t xml:space="preserve"> </w:t>
      </w:r>
      <w:r w:rsidRPr="001F21AC">
        <w:t>to:</w:t>
      </w:r>
    </w:p>
    <w:p w14:paraId="79FB4CE2" w14:textId="396572C6" w:rsidR="00C32E62" w:rsidRDefault="00AB4EE3" w:rsidP="005456BF">
      <w:pPr>
        <w:pStyle w:val="subsection"/>
        <w:numPr>
          <w:ilvl w:val="1"/>
          <w:numId w:val="8"/>
        </w:numPr>
        <w:tabs>
          <w:tab w:val="clear" w:pos="1021"/>
          <w:tab w:val="right" w:pos="1418"/>
        </w:tabs>
        <w:ind w:left="1418" w:hanging="425"/>
      </w:pPr>
      <w:r>
        <w:t>subject to paragraphs</w:t>
      </w:r>
      <w:r w:rsidR="002443DB">
        <w:t xml:space="preserve"> (b) to (f) </w:t>
      </w:r>
      <w:r>
        <w:t>below</w:t>
      </w:r>
      <w:r w:rsidR="00C32E62">
        <w:t>:</w:t>
      </w:r>
    </w:p>
    <w:p w14:paraId="0B98D7AA" w14:textId="0A1B01CF" w:rsidR="00672855" w:rsidRDefault="00672855" w:rsidP="005456BF">
      <w:pPr>
        <w:pStyle w:val="subsection"/>
        <w:numPr>
          <w:ilvl w:val="2"/>
          <w:numId w:val="6"/>
        </w:numPr>
        <w:tabs>
          <w:tab w:val="clear" w:pos="1021"/>
          <w:tab w:val="right" w:pos="1418"/>
        </w:tabs>
        <w:ind w:left="1843" w:hanging="142"/>
      </w:pPr>
      <w:r>
        <w:t xml:space="preserve">retain requirements relating to the protection of children that are equivalent to those set out in CTS 30 – CTS 34 </w:t>
      </w:r>
      <w:r w:rsidR="001816E6">
        <w:t>(</w:t>
      </w:r>
      <w:r>
        <w:t>inclusive</w:t>
      </w:r>
      <w:r w:rsidR="001816E6">
        <w:t>)</w:t>
      </w:r>
      <w:r>
        <w:t xml:space="preserve">; </w:t>
      </w:r>
    </w:p>
    <w:p w14:paraId="278C5D70" w14:textId="5FAE2300" w:rsidR="00C32E62" w:rsidRDefault="00821B5A" w:rsidP="005456BF">
      <w:pPr>
        <w:pStyle w:val="subsection"/>
        <w:numPr>
          <w:ilvl w:val="2"/>
          <w:numId w:val="6"/>
        </w:numPr>
        <w:tabs>
          <w:tab w:val="clear" w:pos="1021"/>
          <w:tab w:val="right" w:pos="1418"/>
        </w:tabs>
        <w:ind w:left="1843" w:hanging="142"/>
      </w:pPr>
      <w:r>
        <w:t xml:space="preserve">retain requirements relating to </w:t>
      </w:r>
      <w:r w:rsidR="00074758">
        <w:t>the protection of c</w:t>
      </w:r>
      <w:r>
        <w:t xml:space="preserve">hildren </w:t>
      </w:r>
      <w:r w:rsidR="00074758">
        <w:t xml:space="preserve">that are equivalent to those set out in Part 3 of the </w:t>
      </w:r>
      <w:r w:rsidR="009C60AA">
        <w:t>CT</w:t>
      </w:r>
      <w:r w:rsidR="00074758">
        <w:t>S</w:t>
      </w:r>
      <w:r w:rsidR="009D342F">
        <w:t xml:space="preserve"> (</w:t>
      </w:r>
      <w:r w:rsidR="00672855">
        <w:t xml:space="preserve">excluding </w:t>
      </w:r>
      <w:r w:rsidR="009D342F">
        <w:t>CTS 30</w:t>
      </w:r>
      <w:r w:rsidR="00672855">
        <w:t xml:space="preserve"> – CTS </w:t>
      </w:r>
      <w:r w:rsidR="009D342F">
        <w:t>34)</w:t>
      </w:r>
      <w:r>
        <w:t xml:space="preserve">, but specify that these </w:t>
      </w:r>
      <w:r w:rsidR="00074758">
        <w:t xml:space="preserve">protections </w:t>
      </w:r>
      <w:r>
        <w:t xml:space="preserve">apply to any C </w:t>
      </w:r>
      <w:r w:rsidR="00500F13">
        <w:t>program</w:t>
      </w:r>
      <w:r>
        <w:t xml:space="preserve"> </w:t>
      </w:r>
      <w:r w:rsidR="00672855">
        <w:t>or</w:t>
      </w:r>
      <w:r>
        <w:t xml:space="preserve"> P </w:t>
      </w:r>
      <w:r w:rsidR="00500F13">
        <w:t>program</w:t>
      </w:r>
      <w:r w:rsidR="00323AB8">
        <w:t xml:space="preserve">s </w:t>
      </w:r>
      <w:r>
        <w:t xml:space="preserve">broadcast </w:t>
      </w:r>
      <w:r w:rsidR="00074758">
        <w:t>between 6:00am and midnight</w:t>
      </w:r>
      <w:r w:rsidR="00C062F0">
        <w:t xml:space="preserve"> (including any breaks during or immediately adjacent to the broadcast)</w:t>
      </w:r>
      <w:r>
        <w:t xml:space="preserve">; </w:t>
      </w:r>
    </w:p>
    <w:p w14:paraId="1445A34E" w14:textId="77777777" w:rsidR="001236A1" w:rsidRDefault="00BB6B78" w:rsidP="005456BF">
      <w:pPr>
        <w:pStyle w:val="subsection"/>
        <w:numPr>
          <w:ilvl w:val="1"/>
          <w:numId w:val="8"/>
        </w:numPr>
        <w:tabs>
          <w:tab w:val="clear" w:pos="1021"/>
          <w:tab w:val="right" w:pos="1418"/>
        </w:tabs>
        <w:ind w:left="1418" w:hanging="425"/>
      </w:pPr>
      <w:r>
        <w:t xml:space="preserve">require commercial television broadcasting licensees to </w:t>
      </w:r>
      <w:r w:rsidRPr="00BB6B78">
        <w:t xml:space="preserve">identify </w:t>
      </w:r>
      <w:r>
        <w:t xml:space="preserve">any </w:t>
      </w:r>
      <w:r w:rsidRPr="00BB6B78">
        <w:t xml:space="preserve">C </w:t>
      </w:r>
      <w:r>
        <w:t xml:space="preserve">program or </w:t>
      </w:r>
      <w:r w:rsidRPr="00BB6B78">
        <w:t xml:space="preserve">P program </w:t>
      </w:r>
      <w:r>
        <w:t>that they broadcast</w:t>
      </w:r>
      <w:r w:rsidR="009D342F">
        <w:t xml:space="preserve"> using the applicable C or P symbol</w:t>
      </w:r>
      <w:r w:rsidR="001236A1">
        <w:t>, and to include C and P symbols in broadcast schedules, electronic program guides and on licensee websites;</w:t>
      </w:r>
    </w:p>
    <w:p w14:paraId="4E9692F2" w14:textId="3EEB9D30" w:rsidR="00BB6B78" w:rsidRPr="00BB6B78" w:rsidRDefault="00A869B0" w:rsidP="005456BF">
      <w:pPr>
        <w:pStyle w:val="subsection"/>
        <w:numPr>
          <w:ilvl w:val="1"/>
          <w:numId w:val="8"/>
        </w:numPr>
        <w:tabs>
          <w:tab w:val="clear" w:pos="1021"/>
          <w:tab w:val="right" w:pos="1418"/>
        </w:tabs>
        <w:ind w:left="1418" w:hanging="425"/>
      </w:pPr>
      <w:r w:rsidRPr="001C305B">
        <w:t xml:space="preserve">provide </w:t>
      </w:r>
      <w:r>
        <w:t>for</w:t>
      </w:r>
      <w:r w:rsidRPr="001C305B">
        <w:t xml:space="preserve"> the ACMA (or a person or body appointed by the ACMA) </w:t>
      </w:r>
      <w:r>
        <w:t>to</w:t>
      </w:r>
      <w:r w:rsidRPr="001C305B">
        <w:t xml:space="preserve"> retain its role in the classification of C </w:t>
      </w:r>
      <w:r>
        <w:t xml:space="preserve">programs </w:t>
      </w:r>
      <w:r w:rsidRPr="001C305B">
        <w:t xml:space="preserve">and P </w:t>
      </w:r>
      <w:r w:rsidRPr="0032064B">
        <w:t xml:space="preserve">programs until such time as amendments </w:t>
      </w:r>
      <w:r w:rsidR="001816E6" w:rsidRPr="0032064B">
        <w:t>are</w:t>
      </w:r>
      <w:r w:rsidRPr="0032064B">
        <w:t xml:space="preserve"> made to the </w:t>
      </w:r>
      <w:r w:rsidRPr="0032064B">
        <w:rPr>
          <w:i/>
        </w:rPr>
        <w:t xml:space="preserve">Commercial Television Industry Code of Practice </w:t>
      </w:r>
      <w:r w:rsidR="0020547C" w:rsidRPr="0032064B">
        <w:t>to enable</w:t>
      </w:r>
      <w:r w:rsidR="0020547C" w:rsidRPr="0020547C">
        <w:t xml:space="preserve"> commercial television broadcasting licensees to classify children’s content</w:t>
      </w:r>
      <w:r w:rsidR="00BB6B78" w:rsidRPr="00BB6B78">
        <w:t>;</w:t>
      </w:r>
    </w:p>
    <w:p w14:paraId="0733DC61" w14:textId="77777777" w:rsidR="000E5EC1" w:rsidRPr="000E5EC1" w:rsidRDefault="000E5EC1" w:rsidP="005456BF">
      <w:pPr>
        <w:pStyle w:val="subsection"/>
        <w:numPr>
          <w:ilvl w:val="1"/>
          <w:numId w:val="8"/>
        </w:numPr>
        <w:tabs>
          <w:tab w:val="clear" w:pos="1021"/>
          <w:tab w:val="right" w:pos="1418"/>
        </w:tabs>
        <w:ind w:left="1418" w:hanging="425"/>
      </w:pPr>
      <w:r w:rsidRPr="000E5EC1">
        <w:t xml:space="preserve">provide that a </w:t>
      </w:r>
      <w:r>
        <w:t>P</w:t>
      </w:r>
      <w:r w:rsidRPr="000E5EC1">
        <w:t xml:space="preserve"> program cannot include any advertising immediately before, during or </w:t>
      </w:r>
      <w:r w:rsidR="00074758">
        <w:t xml:space="preserve">immediately </w:t>
      </w:r>
      <w:r w:rsidRPr="000E5EC1">
        <w:t xml:space="preserve">after the </w:t>
      </w:r>
      <w:r>
        <w:t xml:space="preserve">broadcast of the </w:t>
      </w:r>
      <w:r w:rsidRPr="000E5EC1">
        <w:t>program;</w:t>
      </w:r>
      <w:r w:rsidR="003A251A">
        <w:t xml:space="preserve"> </w:t>
      </w:r>
    </w:p>
    <w:p w14:paraId="6B9A1844" w14:textId="79AD700B" w:rsidR="00AB4EE3" w:rsidRDefault="000E5EC1" w:rsidP="005456BF">
      <w:pPr>
        <w:pStyle w:val="subsection"/>
        <w:numPr>
          <w:ilvl w:val="1"/>
          <w:numId w:val="8"/>
        </w:numPr>
        <w:tabs>
          <w:tab w:val="clear" w:pos="1021"/>
          <w:tab w:val="right" w:pos="1418"/>
        </w:tabs>
        <w:ind w:left="1418" w:hanging="425"/>
      </w:pPr>
      <w:r w:rsidRPr="000E5EC1">
        <w:lastRenderedPageBreak/>
        <w:t xml:space="preserve">provide that a </w:t>
      </w:r>
      <w:r>
        <w:t xml:space="preserve">C </w:t>
      </w:r>
      <w:r w:rsidRPr="000E5EC1">
        <w:t>program can include advertising</w:t>
      </w:r>
      <w:r w:rsidR="009D342F">
        <w:t xml:space="preserve"> and other non-program material</w:t>
      </w:r>
      <w:r w:rsidRPr="000E5EC1">
        <w:t xml:space="preserve"> in line with requirements</w:t>
      </w:r>
      <w:r w:rsidR="00AB4EE3">
        <w:t xml:space="preserve"> relating to advertising</w:t>
      </w:r>
      <w:r w:rsidR="009D342F">
        <w:t xml:space="preserve"> and other non-program material</w:t>
      </w:r>
      <w:r w:rsidR="00AB4EE3">
        <w:t xml:space="preserve"> contained in Part 3 of the CTS; and</w:t>
      </w:r>
    </w:p>
    <w:p w14:paraId="11A1D28B" w14:textId="6C4ABBED" w:rsidR="00AB4EE3" w:rsidRDefault="00AB4EE3" w:rsidP="005456BF">
      <w:pPr>
        <w:pStyle w:val="subsection"/>
        <w:numPr>
          <w:ilvl w:val="1"/>
          <w:numId w:val="8"/>
        </w:numPr>
        <w:tabs>
          <w:tab w:val="clear" w:pos="1021"/>
          <w:tab w:val="right" w:pos="1418"/>
        </w:tabs>
        <w:ind w:left="1418" w:hanging="425"/>
      </w:pPr>
      <w:proofErr w:type="gramStart"/>
      <w:r>
        <w:t>remove</w:t>
      </w:r>
      <w:proofErr w:type="gramEnd"/>
      <w:r>
        <w:t xml:space="preserve"> the requirement for </w:t>
      </w:r>
      <w:r w:rsidR="00383CC0">
        <w:t>P</w:t>
      </w:r>
      <w:r w:rsidRPr="00AD0E04">
        <w:t xml:space="preserve"> programs broadcast by commercial television broadcasting licensees to be Australian programs</w:t>
      </w:r>
      <w:r>
        <w:t>.</w:t>
      </w:r>
    </w:p>
    <w:p w14:paraId="0816D4AC" w14:textId="77777777" w:rsidR="003A251A" w:rsidRDefault="003A251A" w:rsidP="003A251A">
      <w:pPr>
        <w:pStyle w:val="ActHead5"/>
        <w:ind w:left="0" w:firstLine="0"/>
      </w:pPr>
      <w:bookmarkStart w:id="36" w:name="_Toc55896131"/>
      <w:r>
        <w:t>9 Consequential amendments</w:t>
      </w:r>
      <w:bookmarkEnd w:id="36"/>
    </w:p>
    <w:p w14:paraId="6EE98A78" w14:textId="16694A11" w:rsidR="003A251A" w:rsidRPr="003A251A" w:rsidRDefault="003A251A" w:rsidP="005456BF">
      <w:pPr>
        <w:pStyle w:val="subsection"/>
        <w:numPr>
          <w:ilvl w:val="0"/>
          <w:numId w:val="13"/>
        </w:numPr>
        <w:tabs>
          <w:tab w:val="clear" w:pos="1021"/>
          <w:tab w:val="right" w:pos="993"/>
        </w:tabs>
      </w:pPr>
      <w:r w:rsidRPr="003A251A">
        <w:t xml:space="preserve">I direct the ACMA, in the exercise of its powers under subsection 122(1) of the Act, to make any other amendments </w:t>
      </w:r>
      <w:r>
        <w:t xml:space="preserve">to one or more Standard(s) </w:t>
      </w:r>
      <w:r w:rsidRPr="003A251A">
        <w:t xml:space="preserve">that it considers necessary or convenient to </w:t>
      </w:r>
      <w:r w:rsidR="00AB4EE3">
        <w:t xml:space="preserve">give effect to </w:t>
      </w:r>
      <w:r w:rsidRPr="003A251A">
        <w:t xml:space="preserve">this </w:t>
      </w:r>
      <w:r w:rsidR="007D6927">
        <w:t>D</w:t>
      </w:r>
      <w:r>
        <w:t>irection</w:t>
      </w:r>
      <w:r w:rsidRPr="003A251A">
        <w:t>.</w:t>
      </w:r>
    </w:p>
    <w:p w14:paraId="10722272" w14:textId="77777777" w:rsidR="003A251A" w:rsidRDefault="003A251A" w:rsidP="003A251A">
      <w:pPr>
        <w:pStyle w:val="subsection"/>
        <w:tabs>
          <w:tab w:val="clear" w:pos="1021"/>
          <w:tab w:val="right" w:pos="993"/>
        </w:tabs>
        <w:ind w:left="390" w:firstLine="0"/>
      </w:pPr>
    </w:p>
    <w:p w14:paraId="19581E05" w14:textId="77777777" w:rsidR="000A28C1" w:rsidRDefault="000A28C1" w:rsidP="0010641B">
      <w:pPr>
        <w:pStyle w:val="ActHead2"/>
        <w:rPr>
          <w:rStyle w:val="CharPartNo"/>
        </w:rPr>
      </w:pPr>
      <w:r>
        <w:rPr>
          <w:rStyle w:val="CharPartNo"/>
        </w:rPr>
        <w:br w:type="page"/>
      </w:r>
    </w:p>
    <w:p w14:paraId="6BB21323" w14:textId="10F16FBB" w:rsidR="008226CC" w:rsidRPr="0010641B" w:rsidRDefault="00B2333F" w:rsidP="0010641B">
      <w:pPr>
        <w:pStyle w:val="ActHead2"/>
        <w:rPr>
          <w:rStyle w:val="CharPartNo"/>
        </w:rPr>
      </w:pPr>
      <w:bookmarkStart w:id="37" w:name="_Toc55896132"/>
      <w:r w:rsidRPr="0010641B">
        <w:rPr>
          <w:rStyle w:val="CharPartNo"/>
        </w:rPr>
        <w:lastRenderedPageBreak/>
        <w:t>Schedule</w:t>
      </w:r>
      <w:r w:rsidR="008226CC" w:rsidRPr="0010641B">
        <w:rPr>
          <w:rStyle w:val="CharPartNo"/>
        </w:rPr>
        <w:t xml:space="preserve"> </w:t>
      </w:r>
      <w:r w:rsidRPr="0010641B">
        <w:rPr>
          <w:rStyle w:val="CharPartNo"/>
        </w:rPr>
        <w:t>1</w:t>
      </w:r>
      <w:r w:rsidR="009566D5" w:rsidRPr="009566D5">
        <w:rPr>
          <w:rStyle w:val="CharPartNo"/>
        </w:rPr>
        <w:t>—</w:t>
      </w:r>
      <w:r w:rsidR="009566D5">
        <w:rPr>
          <w:rStyle w:val="CharPartNo"/>
        </w:rPr>
        <w:t>Genre</w:t>
      </w:r>
      <w:r w:rsidR="00645A3B">
        <w:rPr>
          <w:rStyle w:val="CharPartNo"/>
        </w:rPr>
        <w:t xml:space="preserve"> point allocation</w:t>
      </w:r>
      <w:bookmarkEnd w:id="37"/>
    </w:p>
    <w:p w14:paraId="2995070C" w14:textId="77777777" w:rsidR="008226CC" w:rsidRDefault="008226CC" w:rsidP="008226CC">
      <w:pPr>
        <w:spacing w:line="240" w:lineRule="auto"/>
      </w:pPr>
    </w:p>
    <w:tbl>
      <w:tblPr>
        <w:tblW w:w="9067" w:type="dxa"/>
        <w:tblLook w:val="04A0" w:firstRow="1" w:lastRow="0" w:firstColumn="1" w:lastColumn="0" w:noHBand="0" w:noVBand="1"/>
        <w:tblCaption w:val="Modified content quota - genre and points per hour"/>
      </w:tblPr>
      <w:tblGrid>
        <w:gridCol w:w="7366"/>
        <w:gridCol w:w="1701"/>
      </w:tblGrid>
      <w:tr w:rsidR="0070594A" w:rsidRPr="008226CC" w14:paraId="0F978083" w14:textId="77777777" w:rsidTr="00645A3B">
        <w:trPr>
          <w:cantSplit/>
          <w:trHeight w:val="130"/>
          <w:tblHeader/>
        </w:trPr>
        <w:tc>
          <w:tcPr>
            <w:tcW w:w="73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/>
            <w:vAlign w:val="center"/>
          </w:tcPr>
          <w:p w14:paraId="52CE24CF" w14:textId="30CDF688" w:rsidR="0070594A" w:rsidRPr="00F637B0" w:rsidRDefault="0070594A" w:rsidP="0010641B">
            <w:pPr>
              <w:pStyle w:val="Tablerowcolumnheading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37B0">
              <w:rPr>
                <w:rFonts w:ascii="Times New Roman" w:hAnsi="Times New Roman"/>
                <w:color w:val="auto"/>
                <w:sz w:val="24"/>
                <w:szCs w:val="24"/>
              </w:rPr>
              <w:t>Column 1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/>
            <w:vAlign w:val="center"/>
          </w:tcPr>
          <w:p w14:paraId="496700D3" w14:textId="7EE8B000" w:rsidR="0070594A" w:rsidRPr="00F637B0" w:rsidRDefault="0070594A" w:rsidP="00645A3B">
            <w:pPr>
              <w:pStyle w:val="Tablerowcolumnheading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37B0">
              <w:rPr>
                <w:rFonts w:ascii="Times New Roman" w:hAnsi="Times New Roman"/>
                <w:color w:val="auto"/>
                <w:sz w:val="24"/>
                <w:szCs w:val="24"/>
              </w:rPr>
              <w:t>Column 2</w:t>
            </w:r>
          </w:p>
        </w:tc>
      </w:tr>
      <w:tr w:rsidR="008226CC" w:rsidRPr="008226CC" w14:paraId="0FDCE78B" w14:textId="77777777" w:rsidTr="00645A3B">
        <w:trPr>
          <w:cantSplit/>
          <w:trHeight w:val="130"/>
          <w:tblHeader/>
        </w:trPr>
        <w:tc>
          <w:tcPr>
            <w:tcW w:w="73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/>
            <w:vAlign w:val="center"/>
            <w:hideMark/>
          </w:tcPr>
          <w:p w14:paraId="553C2F66" w14:textId="77777777" w:rsidR="008226CC" w:rsidRPr="00F637B0" w:rsidRDefault="008226CC" w:rsidP="0010641B">
            <w:pPr>
              <w:pStyle w:val="Tablerowcolumnheading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37B0">
              <w:rPr>
                <w:rFonts w:ascii="Times New Roman" w:hAnsi="Times New Roman"/>
                <w:color w:val="auto"/>
                <w:sz w:val="24"/>
                <w:szCs w:val="24"/>
              </w:rPr>
              <w:t>Genre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/>
            <w:vAlign w:val="center"/>
            <w:hideMark/>
          </w:tcPr>
          <w:p w14:paraId="00F3464F" w14:textId="3AF5A6B9" w:rsidR="008226CC" w:rsidRPr="00F637B0" w:rsidRDefault="008226CC" w:rsidP="00645A3B">
            <w:pPr>
              <w:pStyle w:val="Tablerowcolumnheading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37B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Points per hour </w:t>
            </w:r>
            <w:r w:rsidR="001C1456" w:rsidRPr="00F637B0">
              <w:rPr>
                <w:rFonts w:ascii="Times New Roman" w:hAnsi="Times New Roman"/>
                <w:color w:val="auto"/>
                <w:sz w:val="24"/>
                <w:szCs w:val="24"/>
              </w:rPr>
              <w:t>broadcast</w:t>
            </w:r>
          </w:p>
        </w:tc>
      </w:tr>
      <w:tr w:rsidR="008226CC" w:rsidRPr="008226CC" w14:paraId="1603EB9E" w14:textId="77777777" w:rsidTr="009832D2">
        <w:trPr>
          <w:cantSplit/>
          <w:trHeight w:val="137"/>
        </w:trPr>
        <w:tc>
          <w:tcPr>
            <w:tcW w:w="73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AB84BC" w14:textId="77777777" w:rsidR="008226CC" w:rsidRPr="008226CC" w:rsidRDefault="008226CC" w:rsidP="000F14E1">
            <w:pPr>
              <w:pStyle w:val="Tabletext0"/>
              <w:rPr>
                <w:rFonts w:ascii="Times New Roman" w:hAnsi="Times New Roman"/>
                <w:sz w:val="24"/>
                <w:szCs w:val="24"/>
              </w:rPr>
            </w:pPr>
            <w:r w:rsidRPr="008226CC">
              <w:rPr>
                <w:rFonts w:ascii="Times New Roman" w:hAnsi="Times New Roman"/>
                <w:sz w:val="24"/>
                <w:szCs w:val="24"/>
              </w:rPr>
              <w:t xml:space="preserve">Commissioned </w:t>
            </w:r>
            <w:r w:rsidR="003F4E95">
              <w:rPr>
                <w:rFonts w:ascii="Times New Roman" w:hAnsi="Times New Roman"/>
                <w:sz w:val="24"/>
                <w:szCs w:val="24"/>
              </w:rPr>
              <w:t xml:space="preserve">first release Australian 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 xml:space="preserve">documentary program (capped at </w:t>
            </w:r>
            <w:r w:rsidR="00B61912">
              <w:rPr>
                <w:rFonts w:ascii="Times New Roman" w:hAnsi="Times New Roman"/>
                <w:sz w:val="24"/>
                <w:szCs w:val="24"/>
              </w:rPr>
              <w:t xml:space="preserve">a maximum 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>50 points</w:t>
            </w:r>
            <w:r w:rsidR="00B61912">
              <w:rPr>
                <w:rFonts w:ascii="Times New Roman" w:hAnsi="Times New Roman"/>
                <w:sz w:val="24"/>
                <w:szCs w:val="24"/>
              </w:rPr>
              <w:t xml:space="preserve"> per calendar year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0FD8FB" w14:textId="77777777" w:rsidR="008226CC" w:rsidRPr="008226CC" w:rsidRDefault="008226CC" w:rsidP="000F14E1">
            <w:pPr>
              <w:pStyle w:val="Tabletext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226CC" w:rsidRPr="008226CC" w14:paraId="13BC208D" w14:textId="77777777" w:rsidTr="009832D2">
        <w:trPr>
          <w:cantSplit/>
          <w:trHeight w:val="130"/>
        </w:trPr>
        <w:tc>
          <w:tcPr>
            <w:tcW w:w="73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F72C0B3" w14:textId="77777777" w:rsidR="008226CC" w:rsidRPr="008226CC" w:rsidRDefault="008226CC" w:rsidP="003F4E95">
            <w:pPr>
              <w:pStyle w:val="Tabletext0"/>
              <w:rPr>
                <w:rFonts w:ascii="Times New Roman" w:hAnsi="Times New Roman"/>
                <w:sz w:val="24"/>
                <w:szCs w:val="24"/>
              </w:rPr>
            </w:pPr>
            <w:r w:rsidRPr="008226CC">
              <w:rPr>
                <w:rFonts w:ascii="Times New Roman" w:hAnsi="Times New Roman"/>
                <w:sz w:val="24"/>
                <w:szCs w:val="24"/>
              </w:rPr>
              <w:t>Commissioned</w:t>
            </w:r>
            <w:r w:rsidR="003F4E95">
              <w:rPr>
                <w:rFonts w:ascii="Times New Roman" w:hAnsi="Times New Roman"/>
                <w:sz w:val="24"/>
                <w:szCs w:val="24"/>
              </w:rPr>
              <w:t xml:space="preserve"> first release Australian 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 xml:space="preserve">children’s </w:t>
            </w:r>
            <w:r>
              <w:rPr>
                <w:rFonts w:ascii="Times New Roman" w:hAnsi="Times New Roman"/>
                <w:sz w:val="24"/>
                <w:szCs w:val="24"/>
              </w:rPr>
              <w:t>program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 xml:space="preserve"> (non-drama)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57649F" w14:textId="77777777" w:rsidR="008226CC" w:rsidRPr="008226CC" w:rsidRDefault="008226CC" w:rsidP="000F14E1">
            <w:pPr>
              <w:pStyle w:val="Tabletext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C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8226CC" w:rsidRPr="008226CC" w14:paraId="7624F759" w14:textId="77777777" w:rsidTr="009832D2">
        <w:trPr>
          <w:cantSplit/>
          <w:trHeight w:val="130"/>
        </w:trPr>
        <w:tc>
          <w:tcPr>
            <w:tcW w:w="73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396D35" w14:textId="2CCE277C" w:rsidR="008226CC" w:rsidRPr="008226CC" w:rsidRDefault="008226CC" w:rsidP="00AC1798">
            <w:pPr>
              <w:pStyle w:val="Tabletext0"/>
              <w:rPr>
                <w:rFonts w:ascii="Times New Roman" w:hAnsi="Times New Roman"/>
                <w:sz w:val="24"/>
                <w:szCs w:val="24"/>
              </w:rPr>
            </w:pPr>
            <w:r w:rsidRPr="008226CC">
              <w:rPr>
                <w:rFonts w:ascii="Times New Roman" w:hAnsi="Times New Roman"/>
                <w:sz w:val="24"/>
                <w:szCs w:val="24"/>
              </w:rPr>
              <w:t xml:space="preserve">Commissioned </w:t>
            </w:r>
            <w:r w:rsidR="003F4E95">
              <w:rPr>
                <w:rFonts w:ascii="Times New Roman" w:hAnsi="Times New Roman"/>
                <w:sz w:val="24"/>
                <w:szCs w:val="24"/>
              </w:rPr>
              <w:t xml:space="preserve">first release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Australian 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>drama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program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C1798">
              <w:rPr>
                <w:rFonts w:ascii="Times New Roman" w:hAnsi="Times New Roman"/>
                <w:sz w:val="24"/>
                <w:szCs w:val="24"/>
              </w:rPr>
              <w:t>≤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>$450,000 production budget per hour)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1F55A2" w14:textId="77777777" w:rsidR="008226CC" w:rsidRPr="008226CC" w:rsidRDefault="008226CC" w:rsidP="000F14E1">
            <w:pPr>
              <w:pStyle w:val="Tabletext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C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8226CC" w:rsidRPr="008226CC" w14:paraId="77F85013" w14:textId="77777777" w:rsidTr="009832D2">
        <w:trPr>
          <w:cantSplit/>
          <w:trHeight w:val="137"/>
        </w:trPr>
        <w:tc>
          <w:tcPr>
            <w:tcW w:w="73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3206D3" w14:textId="53434EFE" w:rsidR="008226CC" w:rsidRPr="008226CC" w:rsidRDefault="008226CC" w:rsidP="00AC1798">
            <w:pPr>
              <w:pStyle w:val="Tabletext0"/>
              <w:rPr>
                <w:rFonts w:ascii="Times New Roman" w:hAnsi="Times New Roman"/>
                <w:sz w:val="24"/>
                <w:szCs w:val="24"/>
              </w:rPr>
            </w:pPr>
            <w:r w:rsidRPr="008226CC">
              <w:rPr>
                <w:rFonts w:ascii="Times New Roman" w:hAnsi="Times New Roman"/>
                <w:sz w:val="24"/>
                <w:szCs w:val="24"/>
              </w:rPr>
              <w:t xml:space="preserve">Commissioned </w:t>
            </w:r>
            <w:r w:rsidR="003F4E95">
              <w:rPr>
                <w:rFonts w:ascii="Times New Roman" w:hAnsi="Times New Roman"/>
                <w:sz w:val="24"/>
                <w:szCs w:val="24"/>
              </w:rPr>
              <w:t xml:space="preserve">first release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Australian 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>drama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program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C1798">
              <w:rPr>
                <w:rFonts w:ascii="Times New Roman" w:hAnsi="Times New Roman"/>
                <w:sz w:val="24"/>
                <w:szCs w:val="24"/>
              </w:rPr>
              <w:t>&gt;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>$450,00</w:t>
            </w:r>
            <w:r w:rsidR="00AC1798">
              <w:rPr>
                <w:rFonts w:ascii="Times New Roman" w:hAnsi="Times New Roman"/>
                <w:sz w:val="24"/>
                <w:szCs w:val="24"/>
              </w:rPr>
              <w:t>0 to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798">
              <w:rPr>
                <w:rFonts w:ascii="Times New Roman" w:hAnsi="Times New Roman"/>
                <w:sz w:val="24"/>
                <w:szCs w:val="24"/>
              </w:rPr>
              <w:t>≤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>$700,000 production budget per hour)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3C78F0" w14:textId="77777777" w:rsidR="008226CC" w:rsidRPr="008226CC" w:rsidRDefault="008226CC" w:rsidP="000F14E1">
            <w:pPr>
              <w:pStyle w:val="Tabletext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226CC" w:rsidRPr="008226CC" w14:paraId="190669A7" w14:textId="77777777" w:rsidTr="009832D2">
        <w:trPr>
          <w:cantSplit/>
          <w:trHeight w:val="130"/>
        </w:trPr>
        <w:tc>
          <w:tcPr>
            <w:tcW w:w="73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24E549" w14:textId="24520CE5" w:rsidR="008226CC" w:rsidRPr="008226CC" w:rsidRDefault="008226CC" w:rsidP="00AC1798">
            <w:pPr>
              <w:pStyle w:val="Tabletext0"/>
              <w:rPr>
                <w:rFonts w:ascii="Times New Roman" w:hAnsi="Times New Roman"/>
                <w:sz w:val="24"/>
                <w:szCs w:val="24"/>
              </w:rPr>
            </w:pPr>
            <w:r w:rsidRPr="008226CC">
              <w:rPr>
                <w:rFonts w:ascii="Times New Roman" w:hAnsi="Times New Roman"/>
                <w:sz w:val="24"/>
                <w:szCs w:val="24"/>
              </w:rPr>
              <w:t xml:space="preserve">Commissioned </w:t>
            </w:r>
            <w:r w:rsidR="003F4E95">
              <w:rPr>
                <w:rFonts w:ascii="Times New Roman" w:hAnsi="Times New Roman"/>
                <w:sz w:val="24"/>
                <w:szCs w:val="24"/>
              </w:rPr>
              <w:t xml:space="preserve">first release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Australian 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>drama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program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C1798">
              <w:rPr>
                <w:rFonts w:ascii="Times New Roman" w:hAnsi="Times New Roman"/>
                <w:sz w:val="24"/>
                <w:szCs w:val="24"/>
              </w:rPr>
              <w:t>&gt;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>$700,00</w:t>
            </w:r>
            <w:r w:rsidR="00AC1798">
              <w:rPr>
                <w:rFonts w:ascii="Times New Roman" w:hAnsi="Times New Roman"/>
                <w:sz w:val="24"/>
                <w:szCs w:val="24"/>
              </w:rPr>
              <w:t>0 to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798">
              <w:rPr>
                <w:rFonts w:ascii="Times New Roman" w:hAnsi="Times New Roman"/>
                <w:sz w:val="24"/>
                <w:szCs w:val="24"/>
              </w:rPr>
              <w:t>≤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>$1</w:t>
            </w:r>
            <w:r w:rsidR="003F4E95">
              <w:rPr>
                <w:rFonts w:ascii="Times New Roman" w:hAnsi="Times New Roman"/>
                <w:sz w:val="24"/>
                <w:szCs w:val="24"/>
              </w:rPr>
              <w:t>,000,000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 xml:space="preserve"> production budget per hour)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7CE913" w14:textId="77777777" w:rsidR="008226CC" w:rsidRPr="008226CC" w:rsidRDefault="008226CC" w:rsidP="000F14E1">
            <w:pPr>
              <w:pStyle w:val="Tabletext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226CC" w:rsidRPr="008226CC" w14:paraId="723F168D" w14:textId="77777777" w:rsidTr="009832D2">
        <w:trPr>
          <w:cantSplit/>
          <w:trHeight w:val="130"/>
        </w:trPr>
        <w:tc>
          <w:tcPr>
            <w:tcW w:w="73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0FE6F0" w14:textId="2C8F2F85" w:rsidR="008226CC" w:rsidRPr="008226CC" w:rsidRDefault="008226CC" w:rsidP="00AC1798">
            <w:pPr>
              <w:pStyle w:val="Tabletext0"/>
              <w:rPr>
                <w:rFonts w:ascii="Times New Roman" w:hAnsi="Times New Roman"/>
                <w:sz w:val="24"/>
                <w:szCs w:val="24"/>
              </w:rPr>
            </w:pPr>
            <w:r w:rsidRPr="008226CC">
              <w:rPr>
                <w:rFonts w:ascii="Times New Roman" w:hAnsi="Times New Roman"/>
                <w:sz w:val="24"/>
                <w:szCs w:val="24"/>
              </w:rPr>
              <w:t xml:space="preserve">Commissioned </w:t>
            </w:r>
            <w:r w:rsidR="003F4E95">
              <w:rPr>
                <w:rFonts w:ascii="Times New Roman" w:hAnsi="Times New Roman"/>
                <w:sz w:val="24"/>
                <w:szCs w:val="24"/>
              </w:rPr>
              <w:t xml:space="preserve">first release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Australian 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>drama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program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C1798">
              <w:rPr>
                <w:rFonts w:ascii="Times New Roman" w:hAnsi="Times New Roman"/>
                <w:sz w:val="24"/>
                <w:szCs w:val="24"/>
              </w:rPr>
              <w:t>&gt;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>$1</w:t>
            </w:r>
            <w:r w:rsidR="003F4E95">
              <w:rPr>
                <w:rFonts w:ascii="Times New Roman" w:hAnsi="Times New Roman"/>
                <w:sz w:val="24"/>
                <w:szCs w:val="24"/>
              </w:rPr>
              <w:t>,000,00</w:t>
            </w:r>
            <w:r w:rsidR="00AC1798">
              <w:rPr>
                <w:rFonts w:ascii="Times New Roman" w:hAnsi="Times New Roman"/>
                <w:sz w:val="24"/>
                <w:szCs w:val="24"/>
              </w:rPr>
              <w:t>0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AC1798">
              <w:rPr>
                <w:rFonts w:ascii="Times New Roman" w:hAnsi="Times New Roman"/>
                <w:sz w:val="24"/>
                <w:szCs w:val="24"/>
              </w:rPr>
              <w:t>≤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>$1</w:t>
            </w:r>
            <w:r w:rsidR="003F4E95">
              <w:rPr>
                <w:rFonts w:ascii="Times New Roman" w:hAnsi="Times New Roman"/>
                <w:sz w:val="24"/>
                <w:szCs w:val="24"/>
              </w:rPr>
              <w:t>,400,000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 xml:space="preserve"> production budget per hour)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1B52AA" w14:textId="77777777" w:rsidR="008226CC" w:rsidRPr="008226CC" w:rsidRDefault="008226CC" w:rsidP="000F14E1">
            <w:pPr>
              <w:pStyle w:val="Tabletext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226CC" w:rsidRPr="008226CC" w14:paraId="3B9DE49B" w14:textId="77777777" w:rsidTr="009832D2">
        <w:trPr>
          <w:cantSplit/>
          <w:trHeight w:val="130"/>
        </w:trPr>
        <w:tc>
          <w:tcPr>
            <w:tcW w:w="73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511468" w14:textId="4A4D5E09" w:rsidR="008226CC" w:rsidRPr="008226CC" w:rsidRDefault="008226CC" w:rsidP="004E3B6E">
            <w:pPr>
              <w:pStyle w:val="Tabletext0"/>
              <w:rPr>
                <w:rFonts w:ascii="Times New Roman" w:hAnsi="Times New Roman"/>
                <w:sz w:val="24"/>
                <w:szCs w:val="24"/>
              </w:rPr>
            </w:pPr>
            <w:r w:rsidRPr="008226CC">
              <w:rPr>
                <w:rFonts w:ascii="Times New Roman" w:hAnsi="Times New Roman"/>
                <w:sz w:val="24"/>
                <w:szCs w:val="24"/>
              </w:rPr>
              <w:t xml:space="preserve">Commissioned </w:t>
            </w:r>
            <w:r w:rsidR="003F4E95">
              <w:rPr>
                <w:rFonts w:ascii="Times New Roman" w:hAnsi="Times New Roman"/>
                <w:sz w:val="24"/>
                <w:szCs w:val="24"/>
              </w:rPr>
              <w:t xml:space="preserve">first release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Australian 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>drama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program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E3B6E">
              <w:rPr>
                <w:rFonts w:ascii="Times New Roman" w:hAnsi="Times New Roman"/>
                <w:sz w:val="24"/>
                <w:szCs w:val="24"/>
              </w:rPr>
              <w:t>&gt;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>$1</w:t>
            </w:r>
            <w:r w:rsidR="003F4E95">
              <w:rPr>
                <w:rFonts w:ascii="Times New Roman" w:hAnsi="Times New Roman"/>
                <w:sz w:val="24"/>
                <w:szCs w:val="24"/>
              </w:rPr>
              <w:t>,400,00</w:t>
            </w:r>
            <w:r w:rsidR="00AC1798">
              <w:rPr>
                <w:rFonts w:ascii="Times New Roman" w:hAnsi="Times New Roman"/>
                <w:sz w:val="24"/>
                <w:szCs w:val="24"/>
              </w:rPr>
              <w:t>0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 xml:space="preserve"> production budget per hour)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688DD48" w14:textId="77777777" w:rsidR="008226CC" w:rsidRPr="008226CC" w:rsidRDefault="008226CC" w:rsidP="000F14E1">
            <w:pPr>
              <w:pStyle w:val="Tabletext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F7694" w:rsidRPr="008226CC" w14:paraId="3A33FDDF" w14:textId="77777777" w:rsidTr="009832D2">
        <w:trPr>
          <w:cantSplit/>
          <w:trHeight w:val="130"/>
        </w:trPr>
        <w:tc>
          <w:tcPr>
            <w:tcW w:w="73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57D2CB" w14:textId="1E95888D" w:rsidR="00FF7694" w:rsidRPr="008226CC" w:rsidRDefault="00FF7694" w:rsidP="00AC1798">
            <w:pPr>
              <w:pStyle w:val="Tabletext0"/>
              <w:rPr>
                <w:rFonts w:ascii="Times New Roman" w:hAnsi="Times New Roman"/>
                <w:sz w:val="24"/>
                <w:szCs w:val="24"/>
              </w:rPr>
            </w:pPr>
            <w:r w:rsidRPr="008226CC">
              <w:rPr>
                <w:rFonts w:ascii="Times New Roman" w:hAnsi="Times New Roman"/>
                <w:sz w:val="24"/>
                <w:szCs w:val="24"/>
              </w:rPr>
              <w:t xml:space="preserve">Acquired </w:t>
            </w:r>
            <w:r w:rsidR="003F4E95">
              <w:rPr>
                <w:rFonts w:ascii="Times New Roman" w:hAnsi="Times New Roman"/>
                <w:sz w:val="24"/>
                <w:szCs w:val="24"/>
              </w:rPr>
              <w:t xml:space="preserve">first release Australian 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 xml:space="preserve">film (licence fee </w:t>
            </w:r>
            <w:r w:rsidR="003F4E95">
              <w:rPr>
                <w:rFonts w:ascii="Times New Roman" w:hAnsi="Times New Roman"/>
                <w:sz w:val="24"/>
                <w:szCs w:val="24"/>
              </w:rPr>
              <w:t xml:space="preserve">per film </w:t>
            </w:r>
            <w:r w:rsidR="00AC1798">
              <w:rPr>
                <w:rFonts w:ascii="Times New Roman" w:hAnsi="Times New Roman"/>
                <w:sz w:val="24"/>
                <w:szCs w:val="24"/>
              </w:rPr>
              <w:t>&lt;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>$50,000)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3E9056" w14:textId="77777777" w:rsidR="00FF7694" w:rsidRPr="008226CC" w:rsidRDefault="00FF7694" w:rsidP="00FF7694">
            <w:pPr>
              <w:pStyle w:val="Tabletext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7694" w:rsidRPr="008226CC" w14:paraId="4A354C00" w14:textId="77777777" w:rsidTr="009832D2">
        <w:trPr>
          <w:cantSplit/>
          <w:trHeight w:val="130"/>
        </w:trPr>
        <w:tc>
          <w:tcPr>
            <w:tcW w:w="73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9F2A8D" w14:textId="3EBF5BC2" w:rsidR="00FF7694" w:rsidRPr="008226CC" w:rsidRDefault="00FF7694" w:rsidP="00AC1798">
            <w:pPr>
              <w:pStyle w:val="Tabletext0"/>
              <w:rPr>
                <w:rFonts w:ascii="Times New Roman" w:hAnsi="Times New Roman"/>
                <w:sz w:val="24"/>
                <w:szCs w:val="24"/>
              </w:rPr>
            </w:pPr>
            <w:r w:rsidRPr="008226CC">
              <w:rPr>
                <w:rFonts w:ascii="Times New Roman" w:hAnsi="Times New Roman"/>
                <w:sz w:val="24"/>
                <w:szCs w:val="24"/>
              </w:rPr>
              <w:t xml:space="preserve">Acquired </w:t>
            </w:r>
            <w:r w:rsidR="003F4E95">
              <w:rPr>
                <w:rFonts w:ascii="Times New Roman" w:hAnsi="Times New Roman"/>
                <w:sz w:val="24"/>
                <w:szCs w:val="24"/>
              </w:rPr>
              <w:t xml:space="preserve">first release Australian 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 xml:space="preserve">film (licence fee </w:t>
            </w:r>
            <w:r w:rsidR="003F4E95">
              <w:rPr>
                <w:rFonts w:ascii="Times New Roman" w:hAnsi="Times New Roman"/>
                <w:sz w:val="24"/>
                <w:szCs w:val="24"/>
              </w:rPr>
              <w:t xml:space="preserve">per film </w:t>
            </w:r>
            <w:r w:rsidR="00AC1798">
              <w:rPr>
                <w:rFonts w:ascii="Times New Roman" w:hAnsi="Times New Roman"/>
                <w:sz w:val="24"/>
                <w:szCs w:val="24"/>
              </w:rPr>
              <w:t>≥</w:t>
            </w:r>
            <w:r w:rsidRPr="008226CC">
              <w:rPr>
                <w:rFonts w:ascii="Times New Roman" w:hAnsi="Times New Roman"/>
                <w:sz w:val="24"/>
                <w:szCs w:val="24"/>
              </w:rPr>
              <w:t>$50,000)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305B8F" w14:textId="77777777" w:rsidR="00FF7694" w:rsidRPr="008226CC" w:rsidRDefault="00FF7694" w:rsidP="00FF7694">
            <w:pPr>
              <w:pStyle w:val="Tabletext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6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bookmarkEnd w:id="32"/>
    </w:tbl>
    <w:p w14:paraId="79B167AD" w14:textId="77777777" w:rsidR="00C42EA9" w:rsidRDefault="00C42EA9" w:rsidP="001C1456">
      <w:pPr>
        <w:spacing w:line="240" w:lineRule="auto"/>
      </w:pPr>
    </w:p>
    <w:sectPr w:rsidR="00C42EA9" w:rsidSect="004D3F1C">
      <w:headerReference w:type="default" r:id="rId18"/>
      <w:pgSz w:w="11907" w:h="16839" w:code="9"/>
      <w:pgMar w:top="1673" w:right="1797" w:bottom="1440" w:left="1797" w:header="720" w:footer="709" w:gutter="0"/>
      <w:pgNumType w:start="1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5011A" w16cex:dateUtc="2020-10-28T21:51:00Z"/>
  <w16cex:commentExtensible w16cex:durableId="234500FC" w16cex:dateUtc="2020-10-28T21:51:00Z"/>
  <w16cex:commentExtensible w16cex:durableId="234500BB" w16cex:dateUtc="2020-10-28T21:50:00Z"/>
  <w16cex:commentExtensible w16cex:durableId="23450024" w16cex:dateUtc="2020-10-28T21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6F2ED5" w16cid:durableId="2345011A"/>
  <w16cid:commentId w16cid:paraId="4664D433" w16cid:durableId="234500FC"/>
  <w16cid:commentId w16cid:paraId="3B0C033E" w16cid:durableId="234500BB"/>
  <w16cid:commentId w16cid:paraId="600187A7" w16cid:durableId="234500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23A93" w14:textId="77777777" w:rsidR="006769BD" w:rsidRDefault="006769BD">
      <w:r>
        <w:separator/>
      </w:r>
    </w:p>
  </w:endnote>
  <w:endnote w:type="continuationSeparator" w:id="0">
    <w:p w14:paraId="51492D48" w14:textId="77777777" w:rsidR="006769BD" w:rsidRDefault="006769BD">
      <w:r>
        <w:continuationSeparator/>
      </w:r>
    </w:p>
  </w:endnote>
  <w:endnote w:type="continuationNotice" w:id="1">
    <w:p w14:paraId="62C4FBFE" w14:textId="77777777" w:rsidR="006769BD" w:rsidRDefault="006769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64062" w14:textId="77777777" w:rsidR="00AC5A75" w:rsidRPr="002B0EA5" w:rsidRDefault="00AC5A75" w:rsidP="00645A3B">
    <w:pPr>
      <w:pBdr>
        <w:top w:val="single" w:sz="6" w:space="1" w:color="auto"/>
      </w:pBdr>
      <w:spacing w:line="0" w:lineRule="atLeast"/>
      <w:jc w:val="center"/>
      <w:rPr>
        <w:sz w:val="16"/>
        <w:szCs w:val="16"/>
      </w:rPr>
    </w:pPr>
  </w:p>
  <w:tbl>
    <w:tblPr>
      <w:tblStyle w:val="TableGrid"/>
      <w:tblW w:w="5000" w:type="pct"/>
      <w:jc w:val="center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AC5A75" w14:paraId="593C0A4F" w14:textId="77777777" w:rsidTr="00672855">
      <w:trPr>
        <w:jc w:val="center"/>
      </w:trPr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180CC36" w14:textId="50D1F732" w:rsidR="00AC5A75" w:rsidRDefault="00AC5A75" w:rsidP="00645A3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0C46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52720F0" w14:textId="38F8D08D" w:rsidR="00AC5A75" w:rsidRDefault="00AC5A75" w:rsidP="00645A3B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10C46">
            <w:rPr>
              <w:i/>
              <w:noProof/>
              <w:sz w:val="18"/>
            </w:rPr>
            <w:t>Broadcasting Services (Australian Content and Children’s Television Standards) Direction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927718D" w14:textId="77777777" w:rsidR="00AC5A75" w:rsidRDefault="00AC5A75" w:rsidP="00645A3B">
          <w:pPr>
            <w:spacing w:line="0" w:lineRule="atLeast"/>
            <w:jc w:val="right"/>
            <w:rPr>
              <w:sz w:val="18"/>
            </w:rPr>
          </w:pPr>
        </w:p>
      </w:tc>
    </w:tr>
  </w:tbl>
  <w:p w14:paraId="6F645B9A" w14:textId="77777777" w:rsidR="00AC5A75" w:rsidRPr="00645A3B" w:rsidRDefault="00AC5A75" w:rsidP="00645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2A66" w14:textId="77777777" w:rsidR="006B63EE" w:rsidRPr="002B0EA5" w:rsidRDefault="006B63EE" w:rsidP="006B63EE">
    <w:pPr>
      <w:pBdr>
        <w:top w:val="single" w:sz="6" w:space="1" w:color="auto"/>
      </w:pBdr>
      <w:spacing w:line="0" w:lineRule="atLeast"/>
      <w:jc w:val="center"/>
      <w:rPr>
        <w:sz w:val="16"/>
        <w:szCs w:val="16"/>
      </w:rPr>
    </w:pPr>
  </w:p>
  <w:tbl>
    <w:tblPr>
      <w:tblStyle w:val="TableGrid"/>
      <w:tblW w:w="5000" w:type="pct"/>
      <w:jc w:val="center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6B63EE" w14:paraId="1EAD640E" w14:textId="77777777" w:rsidTr="008702EB">
      <w:trPr>
        <w:jc w:val="center"/>
      </w:trPr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1C53E75" w14:textId="77777777" w:rsidR="006B63EE" w:rsidRDefault="006B63EE" w:rsidP="006B63E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6F9D935" w14:textId="185607DB" w:rsidR="006B63EE" w:rsidRDefault="006B63EE" w:rsidP="006B63EE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10C46">
            <w:rPr>
              <w:i/>
              <w:noProof/>
              <w:sz w:val="18"/>
            </w:rPr>
            <w:t>Broadcasting Services (Australian Content and Children’s Television Standards) Direction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A0EA3C3" w14:textId="15620B8E" w:rsidR="006B63EE" w:rsidRDefault="006B63EE" w:rsidP="006B63E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0C46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B1D17D" w14:textId="07CE12E6" w:rsidR="00AC5A75" w:rsidRDefault="00AC5A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EFB2C" w14:textId="77777777" w:rsidR="00AC5A75" w:rsidRPr="002B0EA5" w:rsidRDefault="00AC5A75" w:rsidP="004D3F1C">
    <w:pPr>
      <w:pBdr>
        <w:top w:val="single" w:sz="6" w:space="1" w:color="auto"/>
      </w:pBdr>
      <w:spacing w:line="0" w:lineRule="atLeast"/>
      <w:jc w:val="center"/>
      <w:rPr>
        <w:sz w:val="16"/>
        <w:szCs w:val="16"/>
      </w:rPr>
    </w:pPr>
  </w:p>
  <w:tbl>
    <w:tblPr>
      <w:tblStyle w:val="TableGrid"/>
      <w:tblW w:w="5000" w:type="pct"/>
      <w:jc w:val="center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C5A75" w14:paraId="0670C327" w14:textId="77777777" w:rsidTr="00645A3B">
      <w:trPr>
        <w:jc w:val="center"/>
      </w:trPr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DF6BCB3" w14:textId="77777777" w:rsidR="00AC5A75" w:rsidRDefault="00AC5A75" w:rsidP="004D3F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DB1E037" w14:textId="31F1FAF1" w:rsidR="00AC5A75" w:rsidRDefault="00AC5A75" w:rsidP="004D3F1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10C46">
            <w:rPr>
              <w:i/>
              <w:noProof/>
              <w:sz w:val="18"/>
            </w:rPr>
            <w:t>Broadcasting Services (Australian Content and Children’s Television Standards) Direction 2020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BF378DE" w14:textId="208F707D" w:rsidR="00AC5A75" w:rsidRDefault="00AC5A75" w:rsidP="004D3F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10C4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EFB753A" w14:textId="77777777" w:rsidR="00AC5A75" w:rsidRDefault="00AC5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71F89" w14:textId="77777777" w:rsidR="006769BD" w:rsidRDefault="006769BD">
      <w:r>
        <w:separator/>
      </w:r>
    </w:p>
  </w:footnote>
  <w:footnote w:type="continuationSeparator" w:id="0">
    <w:p w14:paraId="10323758" w14:textId="77777777" w:rsidR="006769BD" w:rsidRDefault="006769BD">
      <w:r>
        <w:continuationSeparator/>
      </w:r>
    </w:p>
  </w:footnote>
  <w:footnote w:type="continuationNotice" w:id="1">
    <w:p w14:paraId="2147AA2C" w14:textId="77777777" w:rsidR="006769BD" w:rsidRDefault="006769B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D4A60" w14:textId="77777777" w:rsidR="00AC5A75" w:rsidRDefault="00AC5A75" w:rsidP="009566D5">
    <w:pPr>
      <w:jc w:val="right"/>
      <w:rPr>
        <w:sz w:val="20"/>
      </w:rPr>
    </w:pPr>
  </w:p>
  <w:p w14:paraId="08DB20F7" w14:textId="77777777" w:rsidR="00AC5A75" w:rsidRDefault="00AC5A75" w:rsidP="009566D5">
    <w:pPr>
      <w:jc w:val="right"/>
      <w:rPr>
        <w:sz w:val="20"/>
      </w:rPr>
    </w:pPr>
  </w:p>
  <w:p w14:paraId="598C6045" w14:textId="77777777" w:rsidR="00AC5A75" w:rsidRDefault="00AC5A75" w:rsidP="009566D5">
    <w:pPr>
      <w:jc w:val="right"/>
      <w:rPr>
        <w:sz w:val="20"/>
      </w:rPr>
    </w:pPr>
  </w:p>
  <w:p w14:paraId="79562E46" w14:textId="77777777" w:rsidR="00AC5A75" w:rsidRDefault="00AC5A75" w:rsidP="009566D5">
    <w:pPr>
      <w:jc w:val="right"/>
      <w:rPr>
        <w:b/>
        <w:sz w:val="24"/>
      </w:rPr>
    </w:pPr>
  </w:p>
  <w:p w14:paraId="7A3A3341" w14:textId="77777777" w:rsidR="00AC5A75" w:rsidRDefault="00AC5A75" w:rsidP="009566D5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95F6E" w14:textId="4AF71F11" w:rsidR="00AC5A75" w:rsidRPr="007A1328" w:rsidRDefault="00AC5A75" w:rsidP="00BE2C5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43EF068" w14:textId="77777777" w:rsidR="00AC5A75" w:rsidRDefault="00AC5A75" w:rsidP="00BE2C51">
    <w:pPr>
      <w:jc w:val="right"/>
      <w:rPr>
        <w:sz w:val="20"/>
      </w:rPr>
    </w:pPr>
  </w:p>
  <w:p w14:paraId="1D997969" w14:textId="77777777" w:rsidR="00AC5A75" w:rsidRDefault="00AC5A75" w:rsidP="00BE2C51">
    <w:pPr>
      <w:jc w:val="right"/>
      <w:rPr>
        <w:sz w:val="20"/>
      </w:rPr>
    </w:pPr>
  </w:p>
  <w:p w14:paraId="23D36A64" w14:textId="39F920A4" w:rsidR="00AC5A75" w:rsidRPr="007A1328" w:rsidRDefault="00AC5A75" w:rsidP="00BE2C5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00A54F7B" w14:textId="5427B582" w:rsidR="00AC5A75" w:rsidRPr="007A1328" w:rsidRDefault="00AC5A75" w:rsidP="00BE2C5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0E6CA4B" w14:textId="77777777" w:rsidR="00AC5A75" w:rsidRPr="007A1328" w:rsidRDefault="00AC5A75" w:rsidP="00BE2C51">
    <w:pPr>
      <w:jc w:val="right"/>
      <w:rPr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9E84D" w14:textId="77777777" w:rsidR="00AC5A75" w:rsidRDefault="00AC5A75" w:rsidP="009566D5">
    <w:pPr>
      <w:jc w:val="right"/>
      <w:rPr>
        <w:sz w:val="20"/>
      </w:rPr>
    </w:pPr>
  </w:p>
  <w:p w14:paraId="6DD1CA15" w14:textId="77777777" w:rsidR="00AC5A75" w:rsidRDefault="00AC5A75" w:rsidP="009566D5">
    <w:pPr>
      <w:jc w:val="right"/>
      <w:rPr>
        <w:sz w:val="20"/>
      </w:rPr>
    </w:pPr>
  </w:p>
  <w:p w14:paraId="244267FD" w14:textId="77777777" w:rsidR="00AC5A75" w:rsidRDefault="00AC5A75" w:rsidP="009566D5">
    <w:pPr>
      <w:jc w:val="right"/>
      <w:rPr>
        <w:sz w:val="20"/>
      </w:rPr>
    </w:pPr>
  </w:p>
  <w:p w14:paraId="229C1F2B" w14:textId="77777777" w:rsidR="00AC5A75" w:rsidRDefault="00AC5A75" w:rsidP="009566D5">
    <w:pPr>
      <w:jc w:val="right"/>
      <w:rPr>
        <w:b/>
        <w:sz w:val="24"/>
      </w:rPr>
    </w:pPr>
  </w:p>
  <w:p w14:paraId="5A646852" w14:textId="77777777" w:rsidR="00AC5A75" w:rsidRDefault="00AC5A75" w:rsidP="009566D5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6A06D" w14:textId="77777777" w:rsidR="00AC5A75" w:rsidRDefault="00AC5A75" w:rsidP="009566D5">
    <w:pPr>
      <w:jc w:val="right"/>
      <w:rPr>
        <w:sz w:val="20"/>
      </w:rPr>
    </w:pPr>
  </w:p>
  <w:p w14:paraId="1F952A59" w14:textId="77777777" w:rsidR="00AC5A75" w:rsidRDefault="00AC5A75" w:rsidP="009566D5">
    <w:pPr>
      <w:jc w:val="right"/>
      <w:rPr>
        <w:sz w:val="20"/>
      </w:rPr>
    </w:pPr>
  </w:p>
  <w:p w14:paraId="38866D60" w14:textId="77777777" w:rsidR="00AC5A75" w:rsidRDefault="00AC5A75" w:rsidP="009566D5">
    <w:pPr>
      <w:jc w:val="right"/>
      <w:rPr>
        <w:sz w:val="20"/>
      </w:rPr>
    </w:pPr>
  </w:p>
  <w:p w14:paraId="181EDBF0" w14:textId="77777777" w:rsidR="00AC5A75" w:rsidRDefault="00AC5A75" w:rsidP="009566D5">
    <w:pPr>
      <w:jc w:val="right"/>
      <w:rPr>
        <w:b/>
        <w:sz w:val="24"/>
      </w:rPr>
    </w:pPr>
  </w:p>
  <w:p w14:paraId="72E8346A" w14:textId="77777777" w:rsidR="00AC5A75" w:rsidRDefault="00AC5A75" w:rsidP="009566D5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BEC"/>
    <w:multiLevelType w:val="hybridMultilevel"/>
    <w:tmpl w:val="B5C61BC4"/>
    <w:lvl w:ilvl="0" w:tplc="46A802B0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D6422A4C">
      <w:start w:val="1"/>
      <w:numFmt w:val="lowerLetter"/>
      <w:lvlText w:val="(%2)"/>
      <w:lvlJc w:val="left"/>
      <w:pPr>
        <w:ind w:left="4261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4981" w:hanging="180"/>
      </w:pPr>
    </w:lvl>
    <w:lvl w:ilvl="3" w:tplc="0C09000F">
      <w:start w:val="1"/>
      <w:numFmt w:val="decimal"/>
      <w:lvlText w:val="%4."/>
      <w:lvlJc w:val="left"/>
      <w:pPr>
        <w:ind w:left="5701" w:hanging="360"/>
      </w:pPr>
    </w:lvl>
    <w:lvl w:ilvl="4" w:tplc="0C090019" w:tentative="1">
      <w:start w:val="1"/>
      <w:numFmt w:val="lowerLetter"/>
      <w:lvlText w:val="%5."/>
      <w:lvlJc w:val="left"/>
      <w:pPr>
        <w:ind w:left="6421" w:hanging="360"/>
      </w:pPr>
    </w:lvl>
    <w:lvl w:ilvl="5" w:tplc="0C09001B" w:tentative="1">
      <w:start w:val="1"/>
      <w:numFmt w:val="lowerRoman"/>
      <w:lvlText w:val="%6."/>
      <w:lvlJc w:val="right"/>
      <w:pPr>
        <w:ind w:left="7141" w:hanging="180"/>
      </w:pPr>
    </w:lvl>
    <w:lvl w:ilvl="6" w:tplc="0C09000F" w:tentative="1">
      <w:start w:val="1"/>
      <w:numFmt w:val="decimal"/>
      <w:lvlText w:val="%7."/>
      <w:lvlJc w:val="left"/>
      <w:pPr>
        <w:ind w:left="7861" w:hanging="360"/>
      </w:pPr>
    </w:lvl>
    <w:lvl w:ilvl="7" w:tplc="0C090019" w:tentative="1">
      <w:start w:val="1"/>
      <w:numFmt w:val="lowerLetter"/>
      <w:lvlText w:val="%8."/>
      <w:lvlJc w:val="left"/>
      <w:pPr>
        <w:ind w:left="8581" w:hanging="360"/>
      </w:pPr>
    </w:lvl>
    <w:lvl w:ilvl="8" w:tplc="0C09001B" w:tentative="1">
      <w:start w:val="1"/>
      <w:numFmt w:val="lowerRoman"/>
      <w:lvlText w:val="%9."/>
      <w:lvlJc w:val="right"/>
      <w:pPr>
        <w:ind w:left="9301" w:hanging="180"/>
      </w:pPr>
    </w:lvl>
  </w:abstractNum>
  <w:abstractNum w:abstractNumId="1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A922918"/>
    <w:multiLevelType w:val="hybridMultilevel"/>
    <w:tmpl w:val="4C5CC250"/>
    <w:lvl w:ilvl="0" w:tplc="C0C4AC94">
      <w:start w:val="1"/>
      <w:numFmt w:val="lowerLetter"/>
      <w:lvlText w:val="(%1)"/>
      <w:lvlJc w:val="left"/>
      <w:pPr>
        <w:ind w:left="426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C575CD3"/>
    <w:multiLevelType w:val="hybridMultilevel"/>
    <w:tmpl w:val="B5C61BC4"/>
    <w:lvl w:ilvl="0" w:tplc="46A802B0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D6422A4C">
      <w:start w:val="1"/>
      <w:numFmt w:val="lowerLetter"/>
      <w:lvlText w:val="(%2)"/>
      <w:lvlJc w:val="left"/>
      <w:pPr>
        <w:ind w:left="4261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4981" w:hanging="180"/>
      </w:pPr>
    </w:lvl>
    <w:lvl w:ilvl="3" w:tplc="0C09000F">
      <w:start w:val="1"/>
      <w:numFmt w:val="decimal"/>
      <w:lvlText w:val="%4."/>
      <w:lvlJc w:val="left"/>
      <w:pPr>
        <w:ind w:left="5701" w:hanging="360"/>
      </w:pPr>
    </w:lvl>
    <w:lvl w:ilvl="4" w:tplc="0C090019" w:tentative="1">
      <w:start w:val="1"/>
      <w:numFmt w:val="lowerLetter"/>
      <w:lvlText w:val="%5."/>
      <w:lvlJc w:val="left"/>
      <w:pPr>
        <w:ind w:left="6421" w:hanging="360"/>
      </w:pPr>
    </w:lvl>
    <w:lvl w:ilvl="5" w:tplc="0C09001B" w:tentative="1">
      <w:start w:val="1"/>
      <w:numFmt w:val="lowerRoman"/>
      <w:lvlText w:val="%6."/>
      <w:lvlJc w:val="right"/>
      <w:pPr>
        <w:ind w:left="7141" w:hanging="180"/>
      </w:pPr>
    </w:lvl>
    <w:lvl w:ilvl="6" w:tplc="0C09000F" w:tentative="1">
      <w:start w:val="1"/>
      <w:numFmt w:val="decimal"/>
      <w:lvlText w:val="%7."/>
      <w:lvlJc w:val="left"/>
      <w:pPr>
        <w:ind w:left="7861" w:hanging="360"/>
      </w:pPr>
    </w:lvl>
    <w:lvl w:ilvl="7" w:tplc="0C090019" w:tentative="1">
      <w:start w:val="1"/>
      <w:numFmt w:val="lowerLetter"/>
      <w:lvlText w:val="%8."/>
      <w:lvlJc w:val="left"/>
      <w:pPr>
        <w:ind w:left="8581" w:hanging="360"/>
      </w:pPr>
    </w:lvl>
    <w:lvl w:ilvl="8" w:tplc="0C09001B" w:tentative="1">
      <w:start w:val="1"/>
      <w:numFmt w:val="lowerRoman"/>
      <w:lvlText w:val="%9."/>
      <w:lvlJc w:val="right"/>
      <w:pPr>
        <w:ind w:left="9301" w:hanging="180"/>
      </w:pPr>
    </w:lvl>
  </w:abstractNum>
  <w:abstractNum w:abstractNumId="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4B6025C"/>
    <w:multiLevelType w:val="hybridMultilevel"/>
    <w:tmpl w:val="33E654E6"/>
    <w:lvl w:ilvl="0" w:tplc="D6422A4C">
      <w:start w:val="1"/>
      <w:numFmt w:val="lowerLetter"/>
      <w:lvlText w:val="(%1)"/>
      <w:lvlJc w:val="left"/>
      <w:pPr>
        <w:ind w:left="4261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4981" w:hanging="360"/>
      </w:pPr>
    </w:lvl>
    <w:lvl w:ilvl="2" w:tplc="0C09001B">
      <w:start w:val="1"/>
      <w:numFmt w:val="lowerRoman"/>
      <w:lvlText w:val="%3."/>
      <w:lvlJc w:val="right"/>
      <w:pPr>
        <w:ind w:left="5701" w:hanging="180"/>
      </w:pPr>
    </w:lvl>
    <w:lvl w:ilvl="3" w:tplc="0C09000F" w:tentative="1">
      <w:start w:val="1"/>
      <w:numFmt w:val="decimal"/>
      <w:lvlText w:val="%4."/>
      <w:lvlJc w:val="left"/>
      <w:pPr>
        <w:ind w:left="6421" w:hanging="360"/>
      </w:pPr>
    </w:lvl>
    <w:lvl w:ilvl="4" w:tplc="0C090019" w:tentative="1">
      <w:start w:val="1"/>
      <w:numFmt w:val="lowerLetter"/>
      <w:lvlText w:val="%5."/>
      <w:lvlJc w:val="left"/>
      <w:pPr>
        <w:ind w:left="7141" w:hanging="360"/>
      </w:pPr>
    </w:lvl>
    <w:lvl w:ilvl="5" w:tplc="0C09001B" w:tentative="1">
      <w:start w:val="1"/>
      <w:numFmt w:val="lowerRoman"/>
      <w:lvlText w:val="%6."/>
      <w:lvlJc w:val="right"/>
      <w:pPr>
        <w:ind w:left="7861" w:hanging="180"/>
      </w:pPr>
    </w:lvl>
    <w:lvl w:ilvl="6" w:tplc="0C09000F" w:tentative="1">
      <w:start w:val="1"/>
      <w:numFmt w:val="decimal"/>
      <w:lvlText w:val="%7."/>
      <w:lvlJc w:val="left"/>
      <w:pPr>
        <w:ind w:left="8581" w:hanging="360"/>
      </w:pPr>
    </w:lvl>
    <w:lvl w:ilvl="7" w:tplc="0C090019" w:tentative="1">
      <w:start w:val="1"/>
      <w:numFmt w:val="lowerLetter"/>
      <w:lvlText w:val="%8."/>
      <w:lvlJc w:val="left"/>
      <w:pPr>
        <w:ind w:left="9301" w:hanging="360"/>
      </w:pPr>
    </w:lvl>
    <w:lvl w:ilvl="8" w:tplc="0C09001B" w:tentative="1">
      <w:start w:val="1"/>
      <w:numFmt w:val="lowerRoman"/>
      <w:lvlText w:val="%9."/>
      <w:lvlJc w:val="right"/>
      <w:pPr>
        <w:ind w:left="10021" w:hanging="180"/>
      </w:pPr>
    </w:lvl>
  </w:abstractNum>
  <w:abstractNum w:abstractNumId="7" w15:restartNumberingAfterBreak="0">
    <w:nsid w:val="2E2755D7"/>
    <w:multiLevelType w:val="hybridMultilevel"/>
    <w:tmpl w:val="B5C61BC4"/>
    <w:lvl w:ilvl="0" w:tplc="46A802B0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D6422A4C">
      <w:start w:val="1"/>
      <w:numFmt w:val="lowerLetter"/>
      <w:lvlText w:val="(%2)"/>
      <w:lvlJc w:val="left"/>
      <w:pPr>
        <w:ind w:left="4261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4981" w:hanging="180"/>
      </w:pPr>
    </w:lvl>
    <w:lvl w:ilvl="3" w:tplc="0C09000F">
      <w:start w:val="1"/>
      <w:numFmt w:val="decimal"/>
      <w:lvlText w:val="%4."/>
      <w:lvlJc w:val="left"/>
      <w:pPr>
        <w:ind w:left="5701" w:hanging="360"/>
      </w:pPr>
    </w:lvl>
    <w:lvl w:ilvl="4" w:tplc="0C090019" w:tentative="1">
      <w:start w:val="1"/>
      <w:numFmt w:val="lowerLetter"/>
      <w:lvlText w:val="%5."/>
      <w:lvlJc w:val="left"/>
      <w:pPr>
        <w:ind w:left="6421" w:hanging="360"/>
      </w:pPr>
    </w:lvl>
    <w:lvl w:ilvl="5" w:tplc="0C09001B" w:tentative="1">
      <w:start w:val="1"/>
      <w:numFmt w:val="lowerRoman"/>
      <w:lvlText w:val="%6."/>
      <w:lvlJc w:val="right"/>
      <w:pPr>
        <w:ind w:left="7141" w:hanging="180"/>
      </w:pPr>
    </w:lvl>
    <w:lvl w:ilvl="6" w:tplc="0C09000F" w:tentative="1">
      <w:start w:val="1"/>
      <w:numFmt w:val="decimal"/>
      <w:lvlText w:val="%7."/>
      <w:lvlJc w:val="left"/>
      <w:pPr>
        <w:ind w:left="7861" w:hanging="360"/>
      </w:pPr>
    </w:lvl>
    <w:lvl w:ilvl="7" w:tplc="0C090019" w:tentative="1">
      <w:start w:val="1"/>
      <w:numFmt w:val="lowerLetter"/>
      <w:lvlText w:val="%8."/>
      <w:lvlJc w:val="left"/>
      <w:pPr>
        <w:ind w:left="8581" w:hanging="360"/>
      </w:pPr>
    </w:lvl>
    <w:lvl w:ilvl="8" w:tplc="0C09001B" w:tentative="1">
      <w:start w:val="1"/>
      <w:numFmt w:val="lowerRoman"/>
      <w:lvlText w:val="%9."/>
      <w:lvlJc w:val="right"/>
      <w:pPr>
        <w:ind w:left="9301" w:hanging="180"/>
      </w:pPr>
    </w:lvl>
  </w:abstractNum>
  <w:abstractNum w:abstractNumId="8" w15:restartNumberingAfterBreak="0">
    <w:nsid w:val="38CC33C1"/>
    <w:multiLevelType w:val="hybridMultilevel"/>
    <w:tmpl w:val="FE688D1C"/>
    <w:lvl w:ilvl="0" w:tplc="DDDE2A7A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3BC65683"/>
    <w:multiLevelType w:val="hybridMultilevel"/>
    <w:tmpl w:val="B5C61BC4"/>
    <w:lvl w:ilvl="0" w:tplc="46A802B0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D6422A4C">
      <w:start w:val="1"/>
      <w:numFmt w:val="lowerLetter"/>
      <w:lvlText w:val="(%2)"/>
      <w:lvlJc w:val="left"/>
      <w:pPr>
        <w:ind w:left="4261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4981" w:hanging="180"/>
      </w:pPr>
    </w:lvl>
    <w:lvl w:ilvl="3" w:tplc="0C09000F">
      <w:start w:val="1"/>
      <w:numFmt w:val="decimal"/>
      <w:lvlText w:val="%4."/>
      <w:lvlJc w:val="left"/>
      <w:pPr>
        <w:ind w:left="5701" w:hanging="360"/>
      </w:pPr>
    </w:lvl>
    <w:lvl w:ilvl="4" w:tplc="0C090019" w:tentative="1">
      <w:start w:val="1"/>
      <w:numFmt w:val="lowerLetter"/>
      <w:lvlText w:val="%5."/>
      <w:lvlJc w:val="left"/>
      <w:pPr>
        <w:ind w:left="6421" w:hanging="360"/>
      </w:pPr>
    </w:lvl>
    <w:lvl w:ilvl="5" w:tplc="0C09001B" w:tentative="1">
      <w:start w:val="1"/>
      <w:numFmt w:val="lowerRoman"/>
      <w:lvlText w:val="%6."/>
      <w:lvlJc w:val="right"/>
      <w:pPr>
        <w:ind w:left="7141" w:hanging="180"/>
      </w:pPr>
    </w:lvl>
    <w:lvl w:ilvl="6" w:tplc="0C09000F" w:tentative="1">
      <w:start w:val="1"/>
      <w:numFmt w:val="decimal"/>
      <w:lvlText w:val="%7."/>
      <w:lvlJc w:val="left"/>
      <w:pPr>
        <w:ind w:left="7861" w:hanging="360"/>
      </w:pPr>
    </w:lvl>
    <w:lvl w:ilvl="7" w:tplc="0C090019" w:tentative="1">
      <w:start w:val="1"/>
      <w:numFmt w:val="lowerLetter"/>
      <w:lvlText w:val="%8."/>
      <w:lvlJc w:val="left"/>
      <w:pPr>
        <w:ind w:left="8581" w:hanging="360"/>
      </w:pPr>
    </w:lvl>
    <w:lvl w:ilvl="8" w:tplc="0C09001B" w:tentative="1">
      <w:start w:val="1"/>
      <w:numFmt w:val="lowerRoman"/>
      <w:lvlText w:val="%9."/>
      <w:lvlJc w:val="right"/>
      <w:pPr>
        <w:ind w:left="9301" w:hanging="180"/>
      </w:pPr>
    </w:lvl>
  </w:abstractNum>
  <w:abstractNum w:abstractNumId="11" w15:restartNumberingAfterBreak="0">
    <w:nsid w:val="3C344428"/>
    <w:multiLevelType w:val="hybridMultilevel"/>
    <w:tmpl w:val="F124A910"/>
    <w:lvl w:ilvl="0" w:tplc="66787716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5141795F"/>
    <w:multiLevelType w:val="hybridMultilevel"/>
    <w:tmpl w:val="EC2286C4"/>
    <w:lvl w:ilvl="0" w:tplc="DE86414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D078A"/>
    <w:multiLevelType w:val="hybridMultilevel"/>
    <w:tmpl w:val="B5C61BC4"/>
    <w:lvl w:ilvl="0" w:tplc="46A802B0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D6422A4C">
      <w:start w:val="1"/>
      <w:numFmt w:val="lowerLetter"/>
      <w:lvlText w:val="(%2)"/>
      <w:lvlJc w:val="left"/>
      <w:pPr>
        <w:ind w:left="4261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4981" w:hanging="180"/>
      </w:pPr>
    </w:lvl>
    <w:lvl w:ilvl="3" w:tplc="0C09000F">
      <w:start w:val="1"/>
      <w:numFmt w:val="decimal"/>
      <w:lvlText w:val="%4."/>
      <w:lvlJc w:val="left"/>
      <w:pPr>
        <w:ind w:left="5701" w:hanging="360"/>
      </w:pPr>
    </w:lvl>
    <w:lvl w:ilvl="4" w:tplc="0C090019" w:tentative="1">
      <w:start w:val="1"/>
      <w:numFmt w:val="lowerLetter"/>
      <w:lvlText w:val="%5."/>
      <w:lvlJc w:val="left"/>
      <w:pPr>
        <w:ind w:left="6421" w:hanging="360"/>
      </w:pPr>
    </w:lvl>
    <w:lvl w:ilvl="5" w:tplc="0C09001B" w:tentative="1">
      <w:start w:val="1"/>
      <w:numFmt w:val="lowerRoman"/>
      <w:lvlText w:val="%6."/>
      <w:lvlJc w:val="right"/>
      <w:pPr>
        <w:ind w:left="7141" w:hanging="180"/>
      </w:pPr>
    </w:lvl>
    <w:lvl w:ilvl="6" w:tplc="0C09000F" w:tentative="1">
      <w:start w:val="1"/>
      <w:numFmt w:val="decimal"/>
      <w:lvlText w:val="%7."/>
      <w:lvlJc w:val="left"/>
      <w:pPr>
        <w:ind w:left="7861" w:hanging="360"/>
      </w:pPr>
    </w:lvl>
    <w:lvl w:ilvl="7" w:tplc="0C090019" w:tentative="1">
      <w:start w:val="1"/>
      <w:numFmt w:val="lowerLetter"/>
      <w:lvlText w:val="%8."/>
      <w:lvlJc w:val="left"/>
      <w:pPr>
        <w:ind w:left="8581" w:hanging="360"/>
      </w:pPr>
    </w:lvl>
    <w:lvl w:ilvl="8" w:tplc="0C09001B" w:tentative="1">
      <w:start w:val="1"/>
      <w:numFmt w:val="lowerRoman"/>
      <w:lvlText w:val="%9."/>
      <w:lvlJc w:val="right"/>
      <w:pPr>
        <w:ind w:left="9301" w:hanging="180"/>
      </w:pPr>
    </w:lvl>
  </w:abstractNum>
  <w:abstractNum w:abstractNumId="15" w15:restartNumberingAfterBreak="0">
    <w:nsid w:val="7F232C80"/>
    <w:multiLevelType w:val="hybridMultilevel"/>
    <w:tmpl w:val="B5C61BC4"/>
    <w:lvl w:ilvl="0" w:tplc="46A802B0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D6422A4C">
      <w:start w:val="1"/>
      <w:numFmt w:val="lowerLetter"/>
      <w:lvlText w:val="(%2)"/>
      <w:lvlJc w:val="left"/>
      <w:pPr>
        <w:ind w:left="4261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4981" w:hanging="180"/>
      </w:pPr>
    </w:lvl>
    <w:lvl w:ilvl="3" w:tplc="0C09000F">
      <w:start w:val="1"/>
      <w:numFmt w:val="decimal"/>
      <w:lvlText w:val="%4."/>
      <w:lvlJc w:val="left"/>
      <w:pPr>
        <w:ind w:left="5701" w:hanging="360"/>
      </w:pPr>
    </w:lvl>
    <w:lvl w:ilvl="4" w:tplc="0C090019" w:tentative="1">
      <w:start w:val="1"/>
      <w:numFmt w:val="lowerLetter"/>
      <w:lvlText w:val="%5."/>
      <w:lvlJc w:val="left"/>
      <w:pPr>
        <w:ind w:left="6421" w:hanging="360"/>
      </w:pPr>
    </w:lvl>
    <w:lvl w:ilvl="5" w:tplc="0C09001B" w:tentative="1">
      <w:start w:val="1"/>
      <w:numFmt w:val="lowerRoman"/>
      <w:lvlText w:val="%6."/>
      <w:lvlJc w:val="right"/>
      <w:pPr>
        <w:ind w:left="7141" w:hanging="180"/>
      </w:pPr>
    </w:lvl>
    <w:lvl w:ilvl="6" w:tplc="0C09000F" w:tentative="1">
      <w:start w:val="1"/>
      <w:numFmt w:val="decimal"/>
      <w:lvlText w:val="%7."/>
      <w:lvlJc w:val="left"/>
      <w:pPr>
        <w:ind w:left="7861" w:hanging="360"/>
      </w:pPr>
    </w:lvl>
    <w:lvl w:ilvl="7" w:tplc="0C090019" w:tentative="1">
      <w:start w:val="1"/>
      <w:numFmt w:val="lowerLetter"/>
      <w:lvlText w:val="%8."/>
      <w:lvlJc w:val="left"/>
      <w:pPr>
        <w:ind w:left="8581" w:hanging="360"/>
      </w:pPr>
    </w:lvl>
    <w:lvl w:ilvl="8" w:tplc="0C09001B" w:tentative="1">
      <w:start w:val="1"/>
      <w:numFmt w:val="lowerRoman"/>
      <w:lvlText w:val="%9."/>
      <w:lvlJc w:val="right"/>
      <w:pPr>
        <w:ind w:left="9301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14"/>
  </w:num>
  <w:num w:numId="9">
    <w:abstractNumId w:val="6"/>
  </w:num>
  <w:num w:numId="10">
    <w:abstractNumId w:val="4"/>
  </w:num>
  <w:num w:numId="11">
    <w:abstractNumId w:val="15"/>
  </w:num>
  <w:num w:numId="12">
    <w:abstractNumId w:val="2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embedTrueTypeFonts/>
  <w:saveSubset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AU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90"/>
    <w:rsid w:val="0000119B"/>
    <w:rsid w:val="00001E7A"/>
    <w:rsid w:val="00002328"/>
    <w:rsid w:val="000047FD"/>
    <w:rsid w:val="0000554E"/>
    <w:rsid w:val="000056EE"/>
    <w:rsid w:val="00005D06"/>
    <w:rsid w:val="00007819"/>
    <w:rsid w:val="00010203"/>
    <w:rsid w:val="00012A4E"/>
    <w:rsid w:val="00013A38"/>
    <w:rsid w:val="00014D65"/>
    <w:rsid w:val="00015ECA"/>
    <w:rsid w:val="0001739E"/>
    <w:rsid w:val="00020180"/>
    <w:rsid w:val="00021322"/>
    <w:rsid w:val="000220AD"/>
    <w:rsid w:val="00022695"/>
    <w:rsid w:val="00023213"/>
    <w:rsid w:val="00023FD2"/>
    <w:rsid w:val="000265BC"/>
    <w:rsid w:val="000317C2"/>
    <w:rsid w:val="00031EFC"/>
    <w:rsid w:val="0003434D"/>
    <w:rsid w:val="0003498B"/>
    <w:rsid w:val="00036586"/>
    <w:rsid w:val="0003709E"/>
    <w:rsid w:val="0004081D"/>
    <w:rsid w:val="00041F15"/>
    <w:rsid w:val="000472C2"/>
    <w:rsid w:val="00050C80"/>
    <w:rsid w:val="000510B9"/>
    <w:rsid w:val="0005136F"/>
    <w:rsid w:val="00051C9B"/>
    <w:rsid w:val="000527F0"/>
    <w:rsid w:val="000551A3"/>
    <w:rsid w:val="00055E25"/>
    <w:rsid w:val="00056E30"/>
    <w:rsid w:val="000617C7"/>
    <w:rsid w:val="000620C5"/>
    <w:rsid w:val="000644C7"/>
    <w:rsid w:val="00065A0E"/>
    <w:rsid w:val="0006722F"/>
    <w:rsid w:val="00067DD1"/>
    <w:rsid w:val="00071791"/>
    <w:rsid w:val="000721B0"/>
    <w:rsid w:val="000727F9"/>
    <w:rsid w:val="0007283E"/>
    <w:rsid w:val="000729E4"/>
    <w:rsid w:val="00074661"/>
    <w:rsid w:val="00074758"/>
    <w:rsid w:val="00074D5E"/>
    <w:rsid w:val="000751F6"/>
    <w:rsid w:val="000753EE"/>
    <w:rsid w:val="00075B3D"/>
    <w:rsid w:val="00075BF1"/>
    <w:rsid w:val="00076B35"/>
    <w:rsid w:val="00077634"/>
    <w:rsid w:val="00080E25"/>
    <w:rsid w:val="000824EA"/>
    <w:rsid w:val="00083CC7"/>
    <w:rsid w:val="00085877"/>
    <w:rsid w:val="00085FAF"/>
    <w:rsid w:val="00086090"/>
    <w:rsid w:val="00086E1D"/>
    <w:rsid w:val="00090414"/>
    <w:rsid w:val="0009067F"/>
    <w:rsid w:val="0009091F"/>
    <w:rsid w:val="0009135A"/>
    <w:rsid w:val="00092802"/>
    <w:rsid w:val="00095CC4"/>
    <w:rsid w:val="000977EA"/>
    <w:rsid w:val="00097B55"/>
    <w:rsid w:val="000A12E2"/>
    <w:rsid w:val="000A1490"/>
    <w:rsid w:val="000A28C1"/>
    <w:rsid w:val="000A3C52"/>
    <w:rsid w:val="000A726D"/>
    <w:rsid w:val="000A7379"/>
    <w:rsid w:val="000B0A20"/>
    <w:rsid w:val="000B0DA1"/>
    <w:rsid w:val="000B26C3"/>
    <w:rsid w:val="000B3DDD"/>
    <w:rsid w:val="000B52F3"/>
    <w:rsid w:val="000B68A5"/>
    <w:rsid w:val="000B7C68"/>
    <w:rsid w:val="000C12AB"/>
    <w:rsid w:val="000C2AB1"/>
    <w:rsid w:val="000C2C5E"/>
    <w:rsid w:val="000C4F5A"/>
    <w:rsid w:val="000C56FE"/>
    <w:rsid w:val="000C5AE2"/>
    <w:rsid w:val="000C6D21"/>
    <w:rsid w:val="000C7422"/>
    <w:rsid w:val="000C78B5"/>
    <w:rsid w:val="000D112D"/>
    <w:rsid w:val="000D1EFA"/>
    <w:rsid w:val="000D22EC"/>
    <w:rsid w:val="000D2EFC"/>
    <w:rsid w:val="000D3530"/>
    <w:rsid w:val="000D363E"/>
    <w:rsid w:val="000D409A"/>
    <w:rsid w:val="000D4353"/>
    <w:rsid w:val="000D44F8"/>
    <w:rsid w:val="000D7167"/>
    <w:rsid w:val="000D736B"/>
    <w:rsid w:val="000E081D"/>
    <w:rsid w:val="000E0F53"/>
    <w:rsid w:val="000E2BC8"/>
    <w:rsid w:val="000E3722"/>
    <w:rsid w:val="000E470D"/>
    <w:rsid w:val="000E4B53"/>
    <w:rsid w:val="000E5EC1"/>
    <w:rsid w:val="000E764F"/>
    <w:rsid w:val="000F140F"/>
    <w:rsid w:val="000F14E1"/>
    <w:rsid w:val="000F3758"/>
    <w:rsid w:val="001009F4"/>
    <w:rsid w:val="00102347"/>
    <w:rsid w:val="00102ADD"/>
    <w:rsid w:val="0010510E"/>
    <w:rsid w:val="00105AA0"/>
    <w:rsid w:val="001061CC"/>
    <w:rsid w:val="0010641B"/>
    <w:rsid w:val="00110F98"/>
    <w:rsid w:val="0011161E"/>
    <w:rsid w:val="0011172E"/>
    <w:rsid w:val="00111E48"/>
    <w:rsid w:val="0011314E"/>
    <w:rsid w:val="00114286"/>
    <w:rsid w:val="001142C1"/>
    <w:rsid w:val="001146B9"/>
    <w:rsid w:val="00114EF6"/>
    <w:rsid w:val="00115912"/>
    <w:rsid w:val="00115EA0"/>
    <w:rsid w:val="001163C5"/>
    <w:rsid w:val="00117290"/>
    <w:rsid w:val="00121B18"/>
    <w:rsid w:val="00122CA1"/>
    <w:rsid w:val="001236A1"/>
    <w:rsid w:val="0012560F"/>
    <w:rsid w:val="00126C80"/>
    <w:rsid w:val="00126D00"/>
    <w:rsid w:val="00126DF1"/>
    <w:rsid w:val="001278DA"/>
    <w:rsid w:val="00133419"/>
    <w:rsid w:val="00134204"/>
    <w:rsid w:val="00135839"/>
    <w:rsid w:val="001363F5"/>
    <w:rsid w:val="00137EF4"/>
    <w:rsid w:val="00141E76"/>
    <w:rsid w:val="00143B92"/>
    <w:rsid w:val="00145C33"/>
    <w:rsid w:val="0014660D"/>
    <w:rsid w:val="0015010B"/>
    <w:rsid w:val="001509A9"/>
    <w:rsid w:val="001510F9"/>
    <w:rsid w:val="00152824"/>
    <w:rsid w:val="00153593"/>
    <w:rsid w:val="001544DD"/>
    <w:rsid w:val="00154AA0"/>
    <w:rsid w:val="00156A5A"/>
    <w:rsid w:val="00157744"/>
    <w:rsid w:val="00157E82"/>
    <w:rsid w:val="00160197"/>
    <w:rsid w:val="00160A6A"/>
    <w:rsid w:val="00160EE0"/>
    <w:rsid w:val="001614E1"/>
    <w:rsid w:val="0016408F"/>
    <w:rsid w:val="0016552E"/>
    <w:rsid w:val="001661B3"/>
    <w:rsid w:val="00167E66"/>
    <w:rsid w:val="00170906"/>
    <w:rsid w:val="001710B4"/>
    <w:rsid w:val="001714C1"/>
    <w:rsid w:val="0017150E"/>
    <w:rsid w:val="00171A0A"/>
    <w:rsid w:val="0017420C"/>
    <w:rsid w:val="00176457"/>
    <w:rsid w:val="0017669E"/>
    <w:rsid w:val="00176BCE"/>
    <w:rsid w:val="00176C6A"/>
    <w:rsid w:val="00176FFB"/>
    <w:rsid w:val="00180CD3"/>
    <w:rsid w:val="00181146"/>
    <w:rsid w:val="001816E6"/>
    <w:rsid w:val="00182100"/>
    <w:rsid w:val="001840EA"/>
    <w:rsid w:val="001845A1"/>
    <w:rsid w:val="00187DB6"/>
    <w:rsid w:val="00190601"/>
    <w:rsid w:val="00190D22"/>
    <w:rsid w:val="00191B57"/>
    <w:rsid w:val="00195947"/>
    <w:rsid w:val="00196625"/>
    <w:rsid w:val="00197D8C"/>
    <w:rsid w:val="00197FC1"/>
    <w:rsid w:val="001A062E"/>
    <w:rsid w:val="001A0D1E"/>
    <w:rsid w:val="001A25BD"/>
    <w:rsid w:val="001A26AC"/>
    <w:rsid w:val="001A284D"/>
    <w:rsid w:val="001A2921"/>
    <w:rsid w:val="001A2B82"/>
    <w:rsid w:val="001A455A"/>
    <w:rsid w:val="001A4737"/>
    <w:rsid w:val="001A67BB"/>
    <w:rsid w:val="001A745A"/>
    <w:rsid w:val="001A79F3"/>
    <w:rsid w:val="001B0E4F"/>
    <w:rsid w:val="001B2B49"/>
    <w:rsid w:val="001B33D5"/>
    <w:rsid w:val="001B4168"/>
    <w:rsid w:val="001B6479"/>
    <w:rsid w:val="001B64E3"/>
    <w:rsid w:val="001B680B"/>
    <w:rsid w:val="001B750D"/>
    <w:rsid w:val="001C1456"/>
    <w:rsid w:val="001C2AAE"/>
    <w:rsid w:val="001C2D2D"/>
    <w:rsid w:val="001C48B6"/>
    <w:rsid w:val="001C52FA"/>
    <w:rsid w:val="001C5A60"/>
    <w:rsid w:val="001C6C78"/>
    <w:rsid w:val="001C6E23"/>
    <w:rsid w:val="001D104F"/>
    <w:rsid w:val="001D1730"/>
    <w:rsid w:val="001D2A7D"/>
    <w:rsid w:val="001D49E7"/>
    <w:rsid w:val="001D7DD2"/>
    <w:rsid w:val="001E1FF9"/>
    <w:rsid w:val="001E551F"/>
    <w:rsid w:val="001E6E32"/>
    <w:rsid w:val="001E7712"/>
    <w:rsid w:val="001F0F35"/>
    <w:rsid w:val="001F1819"/>
    <w:rsid w:val="001F204C"/>
    <w:rsid w:val="001F21AC"/>
    <w:rsid w:val="001F24CF"/>
    <w:rsid w:val="001F31D0"/>
    <w:rsid w:val="001F3D0A"/>
    <w:rsid w:val="001F4C6D"/>
    <w:rsid w:val="0020253A"/>
    <w:rsid w:val="0020488A"/>
    <w:rsid w:val="00204B53"/>
    <w:rsid w:val="0020547C"/>
    <w:rsid w:val="0020650F"/>
    <w:rsid w:val="00211D3D"/>
    <w:rsid w:val="002125DA"/>
    <w:rsid w:val="00217A59"/>
    <w:rsid w:val="00220EDA"/>
    <w:rsid w:val="00221EB1"/>
    <w:rsid w:val="00222DA1"/>
    <w:rsid w:val="00223A7F"/>
    <w:rsid w:val="00223F3D"/>
    <w:rsid w:val="0022439C"/>
    <w:rsid w:val="00224A76"/>
    <w:rsid w:val="002250FB"/>
    <w:rsid w:val="00225350"/>
    <w:rsid w:val="00226223"/>
    <w:rsid w:val="00226470"/>
    <w:rsid w:val="002271DC"/>
    <w:rsid w:val="00230352"/>
    <w:rsid w:val="00234607"/>
    <w:rsid w:val="00236609"/>
    <w:rsid w:val="002404C0"/>
    <w:rsid w:val="00240CD1"/>
    <w:rsid w:val="00241EA6"/>
    <w:rsid w:val="00243DE8"/>
    <w:rsid w:val="002443DB"/>
    <w:rsid w:val="0024502E"/>
    <w:rsid w:val="00245159"/>
    <w:rsid w:val="00252107"/>
    <w:rsid w:val="00253EE7"/>
    <w:rsid w:val="002540D7"/>
    <w:rsid w:val="00254B2F"/>
    <w:rsid w:val="00254C12"/>
    <w:rsid w:val="002568AD"/>
    <w:rsid w:val="00260641"/>
    <w:rsid w:val="00262431"/>
    <w:rsid w:val="00263912"/>
    <w:rsid w:val="00264313"/>
    <w:rsid w:val="00265E15"/>
    <w:rsid w:val="00265ED0"/>
    <w:rsid w:val="002673BD"/>
    <w:rsid w:val="00267414"/>
    <w:rsid w:val="00270826"/>
    <w:rsid w:val="0027106F"/>
    <w:rsid w:val="0027190E"/>
    <w:rsid w:val="0027210B"/>
    <w:rsid w:val="00272310"/>
    <w:rsid w:val="0027467B"/>
    <w:rsid w:val="00275065"/>
    <w:rsid w:val="002757D6"/>
    <w:rsid w:val="00276D88"/>
    <w:rsid w:val="00281A5C"/>
    <w:rsid w:val="00282DC2"/>
    <w:rsid w:val="00283099"/>
    <w:rsid w:val="00286220"/>
    <w:rsid w:val="00286BB1"/>
    <w:rsid w:val="002870C2"/>
    <w:rsid w:val="0029233D"/>
    <w:rsid w:val="00292E08"/>
    <w:rsid w:val="002937F9"/>
    <w:rsid w:val="00293C63"/>
    <w:rsid w:val="002957A9"/>
    <w:rsid w:val="00296435"/>
    <w:rsid w:val="0029646C"/>
    <w:rsid w:val="0029676C"/>
    <w:rsid w:val="00296E69"/>
    <w:rsid w:val="002A2022"/>
    <w:rsid w:val="002A47B3"/>
    <w:rsid w:val="002A57A4"/>
    <w:rsid w:val="002A7E39"/>
    <w:rsid w:val="002B2A9A"/>
    <w:rsid w:val="002B63A3"/>
    <w:rsid w:val="002B6504"/>
    <w:rsid w:val="002C0290"/>
    <w:rsid w:val="002C0E89"/>
    <w:rsid w:val="002C0F7D"/>
    <w:rsid w:val="002C2241"/>
    <w:rsid w:val="002C40A0"/>
    <w:rsid w:val="002C42F1"/>
    <w:rsid w:val="002C77BC"/>
    <w:rsid w:val="002C79E4"/>
    <w:rsid w:val="002C7F8D"/>
    <w:rsid w:val="002D35D3"/>
    <w:rsid w:val="002D5CE5"/>
    <w:rsid w:val="002D658C"/>
    <w:rsid w:val="002E2401"/>
    <w:rsid w:val="002E2FE3"/>
    <w:rsid w:val="002E3A9B"/>
    <w:rsid w:val="002E4402"/>
    <w:rsid w:val="002E50CC"/>
    <w:rsid w:val="002E6778"/>
    <w:rsid w:val="002E6E3F"/>
    <w:rsid w:val="002F05DB"/>
    <w:rsid w:val="002F0CE6"/>
    <w:rsid w:val="002F11AE"/>
    <w:rsid w:val="002F149C"/>
    <w:rsid w:val="002F1915"/>
    <w:rsid w:val="002F424C"/>
    <w:rsid w:val="002F5E03"/>
    <w:rsid w:val="002F6FE7"/>
    <w:rsid w:val="002F7F66"/>
    <w:rsid w:val="00302D1D"/>
    <w:rsid w:val="00303CE9"/>
    <w:rsid w:val="00304F86"/>
    <w:rsid w:val="0030627F"/>
    <w:rsid w:val="00307011"/>
    <w:rsid w:val="003073E4"/>
    <w:rsid w:val="00311701"/>
    <w:rsid w:val="00312BF2"/>
    <w:rsid w:val="00316C4E"/>
    <w:rsid w:val="0032064B"/>
    <w:rsid w:val="003216AA"/>
    <w:rsid w:val="00322161"/>
    <w:rsid w:val="003229AA"/>
    <w:rsid w:val="00323901"/>
    <w:rsid w:val="00323AB8"/>
    <w:rsid w:val="003242D2"/>
    <w:rsid w:val="00325C10"/>
    <w:rsid w:val="003269CD"/>
    <w:rsid w:val="00327AAB"/>
    <w:rsid w:val="00330DA4"/>
    <w:rsid w:val="0033106A"/>
    <w:rsid w:val="00332345"/>
    <w:rsid w:val="003328BD"/>
    <w:rsid w:val="003332AF"/>
    <w:rsid w:val="00336768"/>
    <w:rsid w:val="003367C2"/>
    <w:rsid w:val="00336865"/>
    <w:rsid w:val="00336E26"/>
    <w:rsid w:val="003412DC"/>
    <w:rsid w:val="00341C71"/>
    <w:rsid w:val="00341FD4"/>
    <w:rsid w:val="00343A1B"/>
    <w:rsid w:val="00343EA6"/>
    <w:rsid w:val="00344037"/>
    <w:rsid w:val="0034598C"/>
    <w:rsid w:val="00346E13"/>
    <w:rsid w:val="00347380"/>
    <w:rsid w:val="00347ABE"/>
    <w:rsid w:val="00347AC1"/>
    <w:rsid w:val="00351600"/>
    <w:rsid w:val="003526D3"/>
    <w:rsid w:val="003567D5"/>
    <w:rsid w:val="003570F6"/>
    <w:rsid w:val="00357A01"/>
    <w:rsid w:val="0036023F"/>
    <w:rsid w:val="00363C3E"/>
    <w:rsid w:val="0036497C"/>
    <w:rsid w:val="00364DB8"/>
    <w:rsid w:val="00365485"/>
    <w:rsid w:val="00365707"/>
    <w:rsid w:val="00365C69"/>
    <w:rsid w:val="00366209"/>
    <w:rsid w:val="00366F9B"/>
    <w:rsid w:val="003714BD"/>
    <w:rsid w:val="003722D5"/>
    <w:rsid w:val="00372833"/>
    <w:rsid w:val="00373DA9"/>
    <w:rsid w:val="00374DBE"/>
    <w:rsid w:val="0037528D"/>
    <w:rsid w:val="00376918"/>
    <w:rsid w:val="00376F3A"/>
    <w:rsid w:val="00377C91"/>
    <w:rsid w:val="00382AB6"/>
    <w:rsid w:val="0038371F"/>
    <w:rsid w:val="00383CC0"/>
    <w:rsid w:val="00383FC9"/>
    <w:rsid w:val="00384790"/>
    <w:rsid w:val="00385A57"/>
    <w:rsid w:val="00385D2A"/>
    <w:rsid w:val="00386521"/>
    <w:rsid w:val="0038715C"/>
    <w:rsid w:val="0039016A"/>
    <w:rsid w:val="00390473"/>
    <w:rsid w:val="00390E65"/>
    <w:rsid w:val="00393A96"/>
    <w:rsid w:val="00394ADF"/>
    <w:rsid w:val="00395FAC"/>
    <w:rsid w:val="00396732"/>
    <w:rsid w:val="00396796"/>
    <w:rsid w:val="00397B8B"/>
    <w:rsid w:val="003A0BD7"/>
    <w:rsid w:val="003A0C0D"/>
    <w:rsid w:val="003A251A"/>
    <w:rsid w:val="003A271A"/>
    <w:rsid w:val="003A29E3"/>
    <w:rsid w:val="003A2ECF"/>
    <w:rsid w:val="003A3291"/>
    <w:rsid w:val="003A34CC"/>
    <w:rsid w:val="003A358A"/>
    <w:rsid w:val="003A3951"/>
    <w:rsid w:val="003A4C15"/>
    <w:rsid w:val="003B1417"/>
    <w:rsid w:val="003B27FD"/>
    <w:rsid w:val="003B55ED"/>
    <w:rsid w:val="003B77EE"/>
    <w:rsid w:val="003C1016"/>
    <w:rsid w:val="003C25CD"/>
    <w:rsid w:val="003C351F"/>
    <w:rsid w:val="003C41F2"/>
    <w:rsid w:val="003C4A5D"/>
    <w:rsid w:val="003C4E32"/>
    <w:rsid w:val="003C6D45"/>
    <w:rsid w:val="003C700C"/>
    <w:rsid w:val="003C71FC"/>
    <w:rsid w:val="003D0A14"/>
    <w:rsid w:val="003D0A16"/>
    <w:rsid w:val="003D1F25"/>
    <w:rsid w:val="003D20DD"/>
    <w:rsid w:val="003D5B35"/>
    <w:rsid w:val="003D7578"/>
    <w:rsid w:val="003E0AEF"/>
    <w:rsid w:val="003E1CCB"/>
    <w:rsid w:val="003E5662"/>
    <w:rsid w:val="003E64C5"/>
    <w:rsid w:val="003F18D4"/>
    <w:rsid w:val="003F1934"/>
    <w:rsid w:val="003F1A97"/>
    <w:rsid w:val="003F1AF9"/>
    <w:rsid w:val="003F29DD"/>
    <w:rsid w:val="003F3B63"/>
    <w:rsid w:val="003F4E95"/>
    <w:rsid w:val="003F594D"/>
    <w:rsid w:val="003F72F4"/>
    <w:rsid w:val="003F7349"/>
    <w:rsid w:val="0040199B"/>
    <w:rsid w:val="00402693"/>
    <w:rsid w:val="00402E52"/>
    <w:rsid w:val="00403373"/>
    <w:rsid w:val="004033E6"/>
    <w:rsid w:val="00403AE4"/>
    <w:rsid w:val="004057C3"/>
    <w:rsid w:val="0040581C"/>
    <w:rsid w:val="00405873"/>
    <w:rsid w:val="00406A94"/>
    <w:rsid w:val="004070A9"/>
    <w:rsid w:val="00407866"/>
    <w:rsid w:val="00411455"/>
    <w:rsid w:val="004120B2"/>
    <w:rsid w:val="004134F6"/>
    <w:rsid w:val="00414DE1"/>
    <w:rsid w:val="00416A06"/>
    <w:rsid w:val="004207D7"/>
    <w:rsid w:val="00420E93"/>
    <w:rsid w:val="00423C02"/>
    <w:rsid w:val="00424431"/>
    <w:rsid w:val="0042496B"/>
    <w:rsid w:val="00425581"/>
    <w:rsid w:val="00427249"/>
    <w:rsid w:val="004307C8"/>
    <w:rsid w:val="004344F6"/>
    <w:rsid w:val="00440DE0"/>
    <w:rsid w:val="00441257"/>
    <w:rsid w:val="0044229F"/>
    <w:rsid w:val="00442444"/>
    <w:rsid w:val="00442DED"/>
    <w:rsid w:val="00444217"/>
    <w:rsid w:val="004454CF"/>
    <w:rsid w:val="004467A4"/>
    <w:rsid w:val="0044728E"/>
    <w:rsid w:val="00447FF1"/>
    <w:rsid w:val="0045063A"/>
    <w:rsid w:val="00450E57"/>
    <w:rsid w:val="00451375"/>
    <w:rsid w:val="0045154F"/>
    <w:rsid w:val="00452A02"/>
    <w:rsid w:val="00453C07"/>
    <w:rsid w:val="00454D0B"/>
    <w:rsid w:val="00455719"/>
    <w:rsid w:val="00455A22"/>
    <w:rsid w:val="00456454"/>
    <w:rsid w:val="00460549"/>
    <w:rsid w:val="00463D35"/>
    <w:rsid w:val="004703F2"/>
    <w:rsid w:val="004709E2"/>
    <w:rsid w:val="00471344"/>
    <w:rsid w:val="0047221D"/>
    <w:rsid w:val="004742DF"/>
    <w:rsid w:val="00475FBD"/>
    <w:rsid w:val="004760A5"/>
    <w:rsid w:val="00477B83"/>
    <w:rsid w:val="00480BB9"/>
    <w:rsid w:val="00482089"/>
    <w:rsid w:val="004825F7"/>
    <w:rsid w:val="00482B0A"/>
    <w:rsid w:val="00485A89"/>
    <w:rsid w:val="00485B24"/>
    <w:rsid w:val="00486A46"/>
    <w:rsid w:val="00487A4B"/>
    <w:rsid w:val="004906FD"/>
    <w:rsid w:val="00490E26"/>
    <w:rsid w:val="004920F7"/>
    <w:rsid w:val="00492AF6"/>
    <w:rsid w:val="00495EBA"/>
    <w:rsid w:val="00495FD3"/>
    <w:rsid w:val="004976A6"/>
    <w:rsid w:val="00497DA1"/>
    <w:rsid w:val="004A11AD"/>
    <w:rsid w:val="004A5DD6"/>
    <w:rsid w:val="004A7D5D"/>
    <w:rsid w:val="004B088C"/>
    <w:rsid w:val="004B0996"/>
    <w:rsid w:val="004B1E60"/>
    <w:rsid w:val="004B3683"/>
    <w:rsid w:val="004B41FF"/>
    <w:rsid w:val="004B717C"/>
    <w:rsid w:val="004C0190"/>
    <w:rsid w:val="004C3A75"/>
    <w:rsid w:val="004C3E77"/>
    <w:rsid w:val="004C5A42"/>
    <w:rsid w:val="004C6D83"/>
    <w:rsid w:val="004C7886"/>
    <w:rsid w:val="004D0718"/>
    <w:rsid w:val="004D25B2"/>
    <w:rsid w:val="004D2CCB"/>
    <w:rsid w:val="004D3481"/>
    <w:rsid w:val="004D371F"/>
    <w:rsid w:val="004D3F06"/>
    <w:rsid w:val="004D3F1C"/>
    <w:rsid w:val="004D460F"/>
    <w:rsid w:val="004D53AA"/>
    <w:rsid w:val="004D59CF"/>
    <w:rsid w:val="004D7859"/>
    <w:rsid w:val="004D7F7A"/>
    <w:rsid w:val="004E01BE"/>
    <w:rsid w:val="004E0A54"/>
    <w:rsid w:val="004E1500"/>
    <w:rsid w:val="004E3375"/>
    <w:rsid w:val="004E3516"/>
    <w:rsid w:val="004E3B6E"/>
    <w:rsid w:val="004E4AC5"/>
    <w:rsid w:val="004E5688"/>
    <w:rsid w:val="004E58FF"/>
    <w:rsid w:val="004E6561"/>
    <w:rsid w:val="004E6672"/>
    <w:rsid w:val="004E70BA"/>
    <w:rsid w:val="004E74FC"/>
    <w:rsid w:val="004F0A32"/>
    <w:rsid w:val="004F10E6"/>
    <w:rsid w:val="004F1671"/>
    <w:rsid w:val="004F2154"/>
    <w:rsid w:val="004F2D13"/>
    <w:rsid w:val="004F353A"/>
    <w:rsid w:val="004F39D0"/>
    <w:rsid w:val="004F3A6E"/>
    <w:rsid w:val="004F586F"/>
    <w:rsid w:val="004F6F63"/>
    <w:rsid w:val="00500F13"/>
    <w:rsid w:val="00502C8A"/>
    <w:rsid w:val="005030D0"/>
    <w:rsid w:val="0050329A"/>
    <w:rsid w:val="00504859"/>
    <w:rsid w:val="005069EE"/>
    <w:rsid w:val="00507B5F"/>
    <w:rsid w:val="00507C08"/>
    <w:rsid w:val="00512C3B"/>
    <w:rsid w:val="005142A9"/>
    <w:rsid w:val="0051543A"/>
    <w:rsid w:val="005160A0"/>
    <w:rsid w:val="005171AD"/>
    <w:rsid w:val="005175C9"/>
    <w:rsid w:val="00517E9B"/>
    <w:rsid w:val="0052120B"/>
    <w:rsid w:val="0052196C"/>
    <w:rsid w:val="00521987"/>
    <w:rsid w:val="00521C09"/>
    <w:rsid w:val="005239D3"/>
    <w:rsid w:val="00523E95"/>
    <w:rsid w:val="00524BE1"/>
    <w:rsid w:val="00524C2B"/>
    <w:rsid w:val="00525F42"/>
    <w:rsid w:val="0052732A"/>
    <w:rsid w:val="00532043"/>
    <w:rsid w:val="0053273C"/>
    <w:rsid w:val="00532F03"/>
    <w:rsid w:val="00534D07"/>
    <w:rsid w:val="00535BFA"/>
    <w:rsid w:val="00535CAC"/>
    <w:rsid w:val="00537FAA"/>
    <w:rsid w:val="005430FE"/>
    <w:rsid w:val="005456BF"/>
    <w:rsid w:val="00553BBD"/>
    <w:rsid w:val="00553CCE"/>
    <w:rsid w:val="005547EB"/>
    <w:rsid w:val="005548F9"/>
    <w:rsid w:val="00555098"/>
    <w:rsid w:val="0056057B"/>
    <w:rsid w:val="00560D28"/>
    <w:rsid w:val="00561460"/>
    <w:rsid w:val="00562062"/>
    <w:rsid w:val="005628E7"/>
    <w:rsid w:val="00564001"/>
    <w:rsid w:val="00564FF3"/>
    <w:rsid w:val="0056559C"/>
    <w:rsid w:val="005665B2"/>
    <w:rsid w:val="00566FFA"/>
    <w:rsid w:val="00567C2B"/>
    <w:rsid w:val="00570BFE"/>
    <w:rsid w:val="00571FCD"/>
    <w:rsid w:val="00572527"/>
    <w:rsid w:val="005732A7"/>
    <w:rsid w:val="005740AF"/>
    <w:rsid w:val="00574A09"/>
    <w:rsid w:val="00574CAE"/>
    <w:rsid w:val="00577475"/>
    <w:rsid w:val="00577DA1"/>
    <w:rsid w:val="00580E49"/>
    <w:rsid w:val="00581353"/>
    <w:rsid w:val="005818B9"/>
    <w:rsid w:val="00584A71"/>
    <w:rsid w:val="005867F2"/>
    <w:rsid w:val="00590B66"/>
    <w:rsid w:val="005914FF"/>
    <w:rsid w:val="0059382B"/>
    <w:rsid w:val="00594F6A"/>
    <w:rsid w:val="00596B78"/>
    <w:rsid w:val="0059707B"/>
    <w:rsid w:val="00597F51"/>
    <w:rsid w:val="005A04A5"/>
    <w:rsid w:val="005A0F53"/>
    <w:rsid w:val="005A2A56"/>
    <w:rsid w:val="005A388A"/>
    <w:rsid w:val="005A538A"/>
    <w:rsid w:val="005A5E49"/>
    <w:rsid w:val="005A62F0"/>
    <w:rsid w:val="005A7398"/>
    <w:rsid w:val="005B045D"/>
    <w:rsid w:val="005B19A9"/>
    <w:rsid w:val="005B2816"/>
    <w:rsid w:val="005B3ADA"/>
    <w:rsid w:val="005C19CB"/>
    <w:rsid w:val="005C2096"/>
    <w:rsid w:val="005C20BB"/>
    <w:rsid w:val="005C3553"/>
    <w:rsid w:val="005C5586"/>
    <w:rsid w:val="005C70B1"/>
    <w:rsid w:val="005C713B"/>
    <w:rsid w:val="005C7171"/>
    <w:rsid w:val="005C741A"/>
    <w:rsid w:val="005C7760"/>
    <w:rsid w:val="005C7BB8"/>
    <w:rsid w:val="005D0766"/>
    <w:rsid w:val="005D08AC"/>
    <w:rsid w:val="005D3838"/>
    <w:rsid w:val="005D40F1"/>
    <w:rsid w:val="005D491C"/>
    <w:rsid w:val="005D5651"/>
    <w:rsid w:val="005D68FA"/>
    <w:rsid w:val="005D6F22"/>
    <w:rsid w:val="005E252C"/>
    <w:rsid w:val="005E3C9E"/>
    <w:rsid w:val="005E42DE"/>
    <w:rsid w:val="005E5309"/>
    <w:rsid w:val="005E58B4"/>
    <w:rsid w:val="005E5BF6"/>
    <w:rsid w:val="005E6D7C"/>
    <w:rsid w:val="005E703B"/>
    <w:rsid w:val="005E7BB7"/>
    <w:rsid w:val="005F17D7"/>
    <w:rsid w:val="005F45CC"/>
    <w:rsid w:val="005F5365"/>
    <w:rsid w:val="005F667E"/>
    <w:rsid w:val="005F76C0"/>
    <w:rsid w:val="005F7A59"/>
    <w:rsid w:val="00602117"/>
    <w:rsid w:val="00603134"/>
    <w:rsid w:val="006045DF"/>
    <w:rsid w:val="0060499E"/>
    <w:rsid w:val="00605CFB"/>
    <w:rsid w:val="00605DA4"/>
    <w:rsid w:val="006060C4"/>
    <w:rsid w:val="00606CDB"/>
    <w:rsid w:val="00610690"/>
    <w:rsid w:val="00610CB1"/>
    <w:rsid w:val="00611361"/>
    <w:rsid w:val="00612688"/>
    <w:rsid w:val="006133D2"/>
    <w:rsid w:val="00614B3F"/>
    <w:rsid w:val="0062109B"/>
    <w:rsid w:val="006228F8"/>
    <w:rsid w:val="00625974"/>
    <w:rsid w:val="00625EBE"/>
    <w:rsid w:val="006267AC"/>
    <w:rsid w:val="00626972"/>
    <w:rsid w:val="00630C62"/>
    <w:rsid w:val="006334F8"/>
    <w:rsid w:val="00634B93"/>
    <w:rsid w:val="00641CB9"/>
    <w:rsid w:val="00642014"/>
    <w:rsid w:val="0064304E"/>
    <w:rsid w:val="00644E85"/>
    <w:rsid w:val="00645165"/>
    <w:rsid w:val="00645A3B"/>
    <w:rsid w:val="00645A49"/>
    <w:rsid w:val="00647421"/>
    <w:rsid w:val="00647518"/>
    <w:rsid w:val="006503AC"/>
    <w:rsid w:val="0065051F"/>
    <w:rsid w:val="00651A97"/>
    <w:rsid w:val="006548E6"/>
    <w:rsid w:val="00655429"/>
    <w:rsid w:val="006555D9"/>
    <w:rsid w:val="00657009"/>
    <w:rsid w:val="00657047"/>
    <w:rsid w:val="0065794A"/>
    <w:rsid w:val="006646A5"/>
    <w:rsid w:val="006647D2"/>
    <w:rsid w:val="00666109"/>
    <w:rsid w:val="0066667B"/>
    <w:rsid w:val="00666B8A"/>
    <w:rsid w:val="006671F5"/>
    <w:rsid w:val="00670D11"/>
    <w:rsid w:val="00672003"/>
    <w:rsid w:val="00672855"/>
    <w:rsid w:val="00672979"/>
    <w:rsid w:val="00675314"/>
    <w:rsid w:val="006753E5"/>
    <w:rsid w:val="00675602"/>
    <w:rsid w:val="00675DB2"/>
    <w:rsid w:val="0067606B"/>
    <w:rsid w:val="006769BD"/>
    <w:rsid w:val="006801F4"/>
    <w:rsid w:val="0068036C"/>
    <w:rsid w:val="00680DF0"/>
    <w:rsid w:val="00683DCB"/>
    <w:rsid w:val="00686152"/>
    <w:rsid w:val="00686485"/>
    <w:rsid w:val="00691AD5"/>
    <w:rsid w:val="00692656"/>
    <w:rsid w:val="006954D6"/>
    <w:rsid w:val="00695925"/>
    <w:rsid w:val="006A13BA"/>
    <w:rsid w:val="006A1BED"/>
    <w:rsid w:val="006A24B6"/>
    <w:rsid w:val="006A4638"/>
    <w:rsid w:val="006A4BA5"/>
    <w:rsid w:val="006B09A2"/>
    <w:rsid w:val="006B0CD9"/>
    <w:rsid w:val="006B141F"/>
    <w:rsid w:val="006B28EE"/>
    <w:rsid w:val="006B3F9E"/>
    <w:rsid w:val="006B47A8"/>
    <w:rsid w:val="006B63EE"/>
    <w:rsid w:val="006B6FE0"/>
    <w:rsid w:val="006B7F37"/>
    <w:rsid w:val="006C151C"/>
    <w:rsid w:val="006C31CA"/>
    <w:rsid w:val="006C4BED"/>
    <w:rsid w:val="006C53D2"/>
    <w:rsid w:val="006C5701"/>
    <w:rsid w:val="006C5E61"/>
    <w:rsid w:val="006C795D"/>
    <w:rsid w:val="006D02FB"/>
    <w:rsid w:val="006D0603"/>
    <w:rsid w:val="006D18DE"/>
    <w:rsid w:val="006D2642"/>
    <w:rsid w:val="006D350D"/>
    <w:rsid w:val="006E1327"/>
    <w:rsid w:val="006E15A7"/>
    <w:rsid w:val="006E23CD"/>
    <w:rsid w:val="006E430F"/>
    <w:rsid w:val="006E4FAF"/>
    <w:rsid w:val="006E5D7D"/>
    <w:rsid w:val="006E6AF8"/>
    <w:rsid w:val="006F2504"/>
    <w:rsid w:val="006F4850"/>
    <w:rsid w:val="006F53B0"/>
    <w:rsid w:val="00700F97"/>
    <w:rsid w:val="007014F3"/>
    <w:rsid w:val="0070264A"/>
    <w:rsid w:val="007031F9"/>
    <w:rsid w:val="007037DD"/>
    <w:rsid w:val="00703B4D"/>
    <w:rsid w:val="0070410B"/>
    <w:rsid w:val="0070594A"/>
    <w:rsid w:val="007071B5"/>
    <w:rsid w:val="00707B9F"/>
    <w:rsid w:val="00711354"/>
    <w:rsid w:val="00711719"/>
    <w:rsid w:val="00712FD6"/>
    <w:rsid w:val="0071368F"/>
    <w:rsid w:val="00713951"/>
    <w:rsid w:val="00713A99"/>
    <w:rsid w:val="00714984"/>
    <w:rsid w:val="00715B04"/>
    <w:rsid w:val="00716BC1"/>
    <w:rsid w:val="00716BD4"/>
    <w:rsid w:val="00717563"/>
    <w:rsid w:val="0072061F"/>
    <w:rsid w:val="00725A68"/>
    <w:rsid w:val="00725DDA"/>
    <w:rsid w:val="00726C7A"/>
    <w:rsid w:val="00730732"/>
    <w:rsid w:val="00730AB3"/>
    <w:rsid w:val="00732425"/>
    <w:rsid w:val="00732741"/>
    <w:rsid w:val="00733D1E"/>
    <w:rsid w:val="00733ED9"/>
    <w:rsid w:val="0073521A"/>
    <w:rsid w:val="007352EF"/>
    <w:rsid w:val="00735B24"/>
    <w:rsid w:val="0073761F"/>
    <w:rsid w:val="007404F8"/>
    <w:rsid w:val="007410BD"/>
    <w:rsid w:val="00741706"/>
    <w:rsid w:val="00742BE4"/>
    <w:rsid w:val="00743F86"/>
    <w:rsid w:val="0074530F"/>
    <w:rsid w:val="00746754"/>
    <w:rsid w:val="007507CB"/>
    <w:rsid w:val="007508EF"/>
    <w:rsid w:val="00750F54"/>
    <w:rsid w:val="00751293"/>
    <w:rsid w:val="00751367"/>
    <w:rsid w:val="00753890"/>
    <w:rsid w:val="00754A7B"/>
    <w:rsid w:val="00755DC6"/>
    <w:rsid w:val="0075636E"/>
    <w:rsid w:val="00756918"/>
    <w:rsid w:val="007576E3"/>
    <w:rsid w:val="00757A18"/>
    <w:rsid w:val="00757D9D"/>
    <w:rsid w:val="007600AC"/>
    <w:rsid w:val="00761E10"/>
    <w:rsid w:val="007640FB"/>
    <w:rsid w:val="00767802"/>
    <w:rsid w:val="00767850"/>
    <w:rsid w:val="00772F15"/>
    <w:rsid w:val="007755B6"/>
    <w:rsid w:val="00776570"/>
    <w:rsid w:val="0077765E"/>
    <w:rsid w:val="007803FF"/>
    <w:rsid w:val="0078324E"/>
    <w:rsid w:val="00783980"/>
    <w:rsid w:val="00783ABE"/>
    <w:rsid w:val="007855DD"/>
    <w:rsid w:val="00785DFE"/>
    <w:rsid w:val="00787B98"/>
    <w:rsid w:val="00787D5F"/>
    <w:rsid w:val="00787E97"/>
    <w:rsid w:val="00790500"/>
    <w:rsid w:val="007916FB"/>
    <w:rsid w:val="00792C57"/>
    <w:rsid w:val="00792D08"/>
    <w:rsid w:val="007952D3"/>
    <w:rsid w:val="0079643C"/>
    <w:rsid w:val="0079710F"/>
    <w:rsid w:val="00797C09"/>
    <w:rsid w:val="007A0273"/>
    <w:rsid w:val="007A0E5B"/>
    <w:rsid w:val="007A1349"/>
    <w:rsid w:val="007A18FD"/>
    <w:rsid w:val="007A2573"/>
    <w:rsid w:val="007A3567"/>
    <w:rsid w:val="007A7801"/>
    <w:rsid w:val="007B0E83"/>
    <w:rsid w:val="007B21CD"/>
    <w:rsid w:val="007B2773"/>
    <w:rsid w:val="007B5948"/>
    <w:rsid w:val="007B6CA7"/>
    <w:rsid w:val="007C012A"/>
    <w:rsid w:val="007C0378"/>
    <w:rsid w:val="007C0B29"/>
    <w:rsid w:val="007C16ED"/>
    <w:rsid w:val="007C18C3"/>
    <w:rsid w:val="007C23A0"/>
    <w:rsid w:val="007C27A1"/>
    <w:rsid w:val="007C32CD"/>
    <w:rsid w:val="007C378E"/>
    <w:rsid w:val="007C42F6"/>
    <w:rsid w:val="007C49D9"/>
    <w:rsid w:val="007C6BF9"/>
    <w:rsid w:val="007C7C13"/>
    <w:rsid w:val="007C7ED2"/>
    <w:rsid w:val="007D1730"/>
    <w:rsid w:val="007D2042"/>
    <w:rsid w:val="007D30A0"/>
    <w:rsid w:val="007D4230"/>
    <w:rsid w:val="007D4D7B"/>
    <w:rsid w:val="007D535F"/>
    <w:rsid w:val="007D6927"/>
    <w:rsid w:val="007D720B"/>
    <w:rsid w:val="007D73B8"/>
    <w:rsid w:val="007E00D5"/>
    <w:rsid w:val="007E1138"/>
    <w:rsid w:val="007E21C3"/>
    <w:rsid w:val="007E496B"/>
    <w:rsid w:val="007E5662"/>
    <w:rsid w:val="007E7023"/>
    <w:rsid w:val="007F3623"/>
    <w:rsid w:val="007F6065"/>
    <w:rsid w:val="007F660B"/>
    <w:rsid w:val="007F6B43"/>
    <w:rsid w:val="007F6C80"/>
    <w:rsid w:val="007F77CD"/>
    <w:rsid w:val="00800EE9"/>
    <w:rsid w:val="00802693"/>
    <w:rsid w:val="00804C62"/>
    <w:rsid w:val="00805B1D"/>
    <w:rsid w:val="008120D9"/>
    <w:rsid w:val="0081295B"/>
    <w:rsid w:val="00812E73"/>
    <w:rsid w:val="00813B6F"/>
    <w:rsid w:val="00815F5A"/>
    <w:rsid w:val="008167CF"/>
    <w:rsid w:val="00817D6D"/>
    <w:rsid w:val="008200EF"/>
    <w:rsid w:val="008200F1"/>
    <w:rsid w:val="00820C9D"/>
    <w:rsid w:val="00820D54"/>
    <w:rsid w:val="00820E6A"/>
    <w:rsid w:val="00821B5A"/>
    <w:rsid w:val="008226CC"/>
    <w:rsid w:val="00824F4C"/>
    <w:rsid w:val="00826D3D"/>
    <w:rsid w:val="00830DCB"/>
    <w:rsid w:val="0083232E"/>
    <w:rsid w:val="00833881"/>
    <w:rsid w:val="00834026"/>
    <w:rsid w:val="00836F81"/>
    <w:rsid w:val="00837950"/>
    <w:rsid w:val="008405E8"/>
    <w:rsid w:val="008421EA"/>
    <w:rsid w:val="00843496"/>
    <w:rsid w:val="008469E1"/>
    <w:rsid w:val="00847151"/>
    <w:rsid w:val="008529D0"/>
    <w:rsid w:val="00853C55"/>
    <w:rsid w:val="008547A6"/>
    <w:rsid w:val="00855A39"/>
    <w:rsid w:val="00855B7C"/>
    <w:rsid w:val="00860B62"/>
    <w:rsid w:val="0086170F"/>
    <w:rsid w:val="00861B2D"/>
    <w:rsid w:val="008621D6"/>
    <w:rsid w:val="008673D1"/>
    <w:rsid w:val="00867DF8"/>
    <w:rsid w:val="00870898"/>
    <w:rsid w:val="00870A16"/>
    <w:rsid w:val="008714E6"/>
    <w:rsid w:val="00871BD1"/>
    <w:rsid w:val="00872D79"/>
    <w:rsid w:val="00872F6C"/>
    <w:rsid w:val="008800E2"/>
    <w:rsid w:val="00880302"/>
    <w:rsid w:val="008847E0"/>
    <w:rsid w:val="00884A91"/>
    <w:rsid w:val="00884AF0"/>
    <w:rsid w:val="00885A66"/>
    <w:rsid w:val="00885DA8"/>
    <w:rsid w:val="00887B7C"/>
    <w:rsid w:val="008901CD"/>
    <w:rsid w:val="00890231"/>
    <w:rsid w:val="00890489"/>
    <w:rsid w:val="00890765"/>
    <w:rsid w:val="00890A16"/>
    <w:rsid w:val="008911A6"/>
    <w:rsid w:val="008965FC"/>
    <w:rsid w:val="00896DB8"/>
    <w:rsid w:val="008A0AE3"/>
    <w:rsid w:val="008A0D3A"/>
    <w:rsid w:val="008A0EF2"/>
    <w:rsid w:val="008A1B60"/>
    <w:rsid w:val="008A3D32"/>
    <w:rsid w:val="008A5870"/>
    <w:rsid w:val="008A5DD5"/>
    <w:rsid w:val="008A6DDA"/>
    <w:rsid w:val="008B02F9"/>
    <w:rsid w:val="008B09DB"/>
    <w:rsid w:val="008B11EF"/>
    <w:rsid w:val="008B1B47"/>
    <w:rsid w:val="008B25E2"/>
    <w:rsid w:val="008B435A"/>
    <w:rsid w:val="008B4AF2"/>
    <w:rsid w:val="008B4B75"/>
    <w:rsid w:val="008B7DD7"/>
    <w:rsid w:val="008C117F"/>
    <w:rsid w:val="008C15A7"/>
    <w:rsid w:val="008C1D70"/>
    <w:rsid w:val="008C23F1"/>
    <w:rsid w:val="008C2B87"/>
    <w:rsid w:val="008C2CBF"/>
    <w:rsid w:val="008C38FE"/>
    <w:rsid w:val="008C519B"/>
    <w:rsid w:val="008C628F"/>
    <w:rsid w:val="008C6E4D"/>
    <w:rsid w:val="008C6FFC"/>
    <w:rsid w:val="008D027A"/>
    <w:rsid w:val="008D2C3B"/>
    <w:rsid w:val="008D2F4A"/>
    <w:rsid w:val="008D3896"/>
    <w:rsid w:val="008D3FB6"/>
    <w:rsid w:val="008D64ED"/>
    <w:rsid w:val="008D6FBE"/>
    <w:rsid w:val="008E02E5"/>
    <w:rsid w:val="008E0640"/>
    <w:rsid w:val="008E1131"/>
    <w:rsid w:val="008E45F9"/>
    <w:rsid w:val="008E74ED"/>
    <w:rsid w:val="008E7D39"/>
    <w:rsid w:val="008F234E"/>
    <w:rsid w:val="008F5A17"/>
    <w:rsid w:val="008F5EC2"/>
    <w:rsid w:val="008F620E"/>
    <w:rsid w:val="00900C1E"/>
    <w:rsid w:val="00901DA5"/>
    <w:rsid w:val="00902FB5"/>
    <w:rsid w:val="0090335E"/>
    <w:rsid w:val="009042F5"/>
    <w:rsid w:val="00904685"/>
    <w:rsid w:val="009059A6"/>
    <w:rsid w:val="00905A06"/>
    <w:rsid w:val="00906D49"/>
    <w:rsid w:val="009070F5"/>
    <w:rsid w:val="00910C46"/>
    <w:rsid w:val="00911EFF"/>
    <w:rsid w:val="009123E3"/>
    <w:rsid w:val="009125B8"/>
    <w:rsid w:val="00913ECD"/>
    <w:rsid w:val="009149F1"/>
    <w:rsid w:val="00914CC9"/>
    <w:rsid w:val="00914D92"/>
    <w:rsid w:val="00915994"/>
    <w:rsid w:val="009162B0"/>
    <w:rsid w:val="009162D1"/>
    <w:rsid w:val="00916FDB"/>
    <w:rsid w:val="00921191"/>
    <w:rsid w:val="00922335"/>
    <w:rsid w:val="00923493"/>
    <w:rsid w:val="009238B8"/>
    <w:rsid w:val="00924C24"/>
    <w:rsid w:val="00926159"/>
    <w:rsid w:val="0093033C"/>
    <w:rsid w:val="00930C1D"/>
    <w:rsid w:val="00932420"/>
    <w:rsid w:val="00933F18"/>
    <w:rsid w:val="009356C5"/>
    <w:rsid w:val="009360BD"/>
    <w:rsid w:val="009408BB"/>
    <w:rsid w:val="00942C0F"/>
    <w:rsid w:val="009437DF"/>
    <w:rsid w:val="00944599"/>
    <w:rsid w:val="00946AE0"/>
    <w:rsid w:val="009500E2"/>
    <w:rsid w:val="00950B11"/>
    <w:rsid w:val="0095322A"/>
    <w:rsid w:val="0095378D"/>
    <w:rsid w:val="009553F5"/>
    <w:rsid w:val="00955509"/>
    <w:rsid w:val="0095575D"/>
    <w:rsid w:val="009566D5"/>
    <w:rsid w:val="009574CB"/>
    <w:rsid w:val="00960E91"/>
    <w:rsid w:val="009635A5"/>
    <w:rsid w:val="00966987"/>
    <w:rsid w:val="009669B2"/>
    <w:rsid w:val="00966A7F"/>
    <w:rsid w:val="00966D2A"/>
    <w:rsid w:val="009676B9"/>
    <w:rsid w:val="00970DE9"/>
    <w:rsid w:val="00971F42"/>
    <w:rsid w:val="0097233A"/>
    <w:rsid w:val="00973BB3"/>
    <w:rsid w:val="009746D4"/>
    <w:rsid w:val="009746D8"/>
    <w:rsid w:val="0098033F"/>
    <w:rsid w:val="00980F9B"/>
    <w:rsid w:val="00982380"/>
    <w:rsid w:val="00982FFF"/>
    <w:rsid w:val="009832D2"/>
    <w:rsid w:val="00983F35"/>
    <w:rsid w:val="00985B59"/>
    <w:rsid w:val="0098641C"/>
    <w:rsid w:val="00987515"/>
    <w:rsid w:val="00987DF2"/>
    <w:rsid w:val="009901D6"/>
    <w:rsid w:val="00992087"/>
    <w:rsid w:val="00992710"/>
    <w:rsid w:val="00992DAC"/>
    <w:rsid w:val="0099319B"/>
    <w:rsid w:val="009955A7"/>
    <w:rsid w:val="00995E3E"/>
    <w:rsid w:val="00996B0A"/>
    <w:rsid w:val="009A4BDC"/>
    <w:rsid w:val="009A57A5"/>
    <w:rsid w:val="009A595E"/>
    <w:rsid w:val="009A7B92"/>
    <w:rsid w:val="009B10B3"/>
    <w:rsid w:val="009B242B"/>
    <w:rsid w:val="009B252C"/>
    <w:rsid w:val="009B32D7"/>
    <w:rsid w:val="009B3986"/>
    <w:rsid w:val="009B4686"/>
    <w:rsid w:val="009C0C18"/>
    <w:rsid w:val="009C60AA"/>
    <w:rsid w:val="009D0A0B"/>
    <w:rsid w:val="009D3371"/>
    <w:rsid w:val="009D342F"/>
    <w:rsid w:val="009E104B"/>
    <w:rsid w:val="009E2539"/>
    <w:rsid w:val="009E2773"/>
    <w:rsid w:val="009E3171"/>
    <w:rsid w:val="009E3974"/>
    <w:rsid w:val="009E39CE"/>
    <w:rsid w:val="009E3F0D"/>
    <w:rsid w:val="009E5220"/>
    <w:rsid w:val="009E5583"/>
    <w:rsid w:val="009E5BAC"/>
    <w:rsid w:val="009E5C42"/>
    <w:rsid w:val="009E665D"/>
    <w:rsid w:val="009E6F97"/>
    <w:rsid w:val="009E6FB0"/>
    <w:rsid w:val="009F0FAD"/>
    <w:rsid w:val="009F1CC8"/>
    <w:rsid w:val="009F3211"/>
    <w:rsid w:val="009F3F34"/>
    <w:rsid w:val="009F46E7"/>
    <w:rsid w:val="009F59B4"/>
    <w:rsid w:val="009F61D3"/>
    <w:rsid w:val="00A01333"/>
    <w:rsid w:val="00A01FB2"/>
    <w:rsid w:val="00A027C2"/>
    <w:rsid w:val="00A0438D"/>
    <w:rsid w:val="00A0649A"/>
    <w:rsid w:val="00A07733"/>
    <w:rsid w:val="00A102B6"/>
    <w:rsid w:val="00A12816"/>
    <w:rsid w:val="00A1281A"/>
    <w:rsid w:val="00A12B40"/>
    <w:rsid w:val="00A143DD"/>
    <w:rsid w:val="00A162E6"/>
    <w:rsid w:val="00A17D1D"/>
    <w:rsid w:val="00A20966"/>
    <w:rsid w:val="00A2158C"/>
    <w:rsid w:val="00A22D2A"/>
    <w:rsid w:val="00A240E5"/>
    <w:rsid w:val="00A26EC4"/>
    <w:rsid w:val="00A26F7E"/>
    <w:rsid w:val="00A30816"/>
    <w:rsid w:val="00A30A15"/>
    <w:rsid w:val="00A314C6"/>
    <w:rsid w:val="00A31BE9"/>
    <w:rsid w:val="00A33BCC"/>
    <w:rsid w:val="00A3491E"/>
    <w:rsid w:val="00A35877"/>
    <w:rsid w:val="00A37E7E"/>
    <w:rsid w:val="00A40509"/>
    <w:rsid w:val="00A40923"/>
    <w:rsid w:val="00A41806"/>
    <w:rsid w:val="00A41860"/>
    <w:rsid w:val="00A420BB"/>
    <w:rsid w:val="00A42213"/>
    <w:rsid w:val="00A428C2"/>
    <w:rsid w:val="00A43AF6"/>
    <w:rsid w:val="00A4431D"/>
    <w:rsid w:val="00A45C77"/>
    <w:rsid w:val="00A45D0B"/>
    <w:rsid w:val="00A4716C"/>
    <w:rsid w:val="00A537DC"/>
    <w:rsid w:val="00A56066"/>
    <w:rsid w:val="00A568A2"/>
    <w:rsid w:val="00A5794C"/>
    <w:rsid w:val="00A60B79"/>
    <w:rsid w:val="00A611D5"/>
    <w:rsid w:val="00A64421"/>
    <w:rsid w:val="00A647AA"/>
    <w:rsid w:val="00A64D50"/>
    <w:rsid w:val="00A650BA"/>
    <w:rsid w:val="00A65E59"/>
    <w:rsid w:val="00A67535"/>
    <w:rsid w:val="00A67927"/>
    <w:rsid w:val="00A70FC1"/>
    <w:rsid w:val="00A715A3"/>
    <w:rsid w:val="00A716DB"/>
    <w:rsid w:val="00A7238F"/>
    <w:rsid w:val="00A725A4"/>
    <w:rsid w:val="00A72D84"/>
    <w:rsid w:val="00A72DDC"/>
    <w:rsid w:val="00A7414F"/>
    <w:rsid w:val="00A76010"/>
    <w:rsid w:val="00A76219"/>
    <w:rsid w:val="00A77BAF"/>
    <w:rsid w:val="00A8120F"/>
    <w:rsid w:val="00A85BDF"/>
    <w:rsid w:val="00A869B0"/>
    <w:rsid w:val="00A86D58"/>
    <w:rsid w:val="00A87905"/>
    <w:rsid w:val="00A87B49"/>
    <w:rsid w:val="00A91F48"/>
    <w:rsid w:val="00A925D3"/>
    <w:rsid w:val="00A92A3F"/>
    <w:rsid w:val="00A92F4B"/>
    <w:rsid w:val="00A9383C"/>
    <w:rsid w:val="00A939BC"/>
    <w:rsid w:val="00A9492D"/>
    <w:rsid w:val="00A94E43"/>
    <w:rsid w:val="00A951AC"/>
    <w:rsid w:val="00A955D9"/>
    <w:rsid w:val="00A95FF4"/>
    <w:rsid w:val="00A9738F"/>
    <w:rsid w:val="00A97D66"/>
    <w:rsid w:val="00AA04DF"/>
    <w:rsid w:val="00AA097C"/>
    <w:rsid w:val="00AA2200"/>
    <w:rsid w:val="00AA43E4"/>
    <w:rsid w:val="00AA5D8B"/>
    <w:rsid w:val="00AA64FB"/>
    <w:rsid w:val="00AA7925"/>
    <w:rsid w:val="00AB0406"/>
    <w:rsid w:val="00AB258F"/>
    <w:rsid w:val="00AB3442"/>
    <w:rsid w:val="00AB3647"/>
    <w:rsid w:val="00AB370F"/>
    <w:rsid w:val="00AB3AB7"/>
    <w:rsid w:val="00AB492E"/>
    <w:rsid w:val="00AB4EE3"/>
    <w:rsid w:val="00AB539C"/>
    <w:rsid w:val="00AB75BA"/>
    <w:rsid w:val="00AB79F2"/>
    <w:rsid w:val="00AC0714"/>
    <w:rsid w:val="00AC0B2F"/>
    <w:rsid w:val="00AC1798"/>
    <w:rsid w:val="00AC260E"/>
    <w:rsid w:val="00AC2749"/>
    <w:rsid w:val="00AC3EF3"/>
    <w:rsid w:val="00AC4206"/>
    <w:rsid w:val="00AC5561"/>
    <w:rsid w:val="00AC5A75"/>
    <w:rsid w:val="00AC6723"/>
    <w:rsid w:val="00AC7CC2"/>
    <w:rsid w:val="00AD0E04"/>
    <w:rsid w:val="00AD1409"/>
    <w:rsid w:val="00AD2C1D"/>
    <w:rsid w:val="00AD2FDA"/>
    <w:rsid w:val="00AD318A"/>
    <w:rsid w:val="00AD36AE"/>
    <w:rsid w:val="00AD3862"/>
    <w:rsid w:val="00AD3BA7"/>
    <w:rsid w:val="00AD4C82"/>
    <w:rsid w:val="00AD56FF"/>
    <w:rsid w:val="00AD5C89"/>
    <w:rsid w:val="00AD61B7"/>
    <w:rsid w:val="00AD6369"/>
    <w:rsid w:val="00AD64E4"/>
    <w:rsid w:val="00AD7490"/>
    <w:rsid w:val="00AE0B81"/>
    <w:rsid w:val="00AE162E"/>
    <w:rsid w:val="00AE3BDB"/>
    <w:rsid w:val="00AE4B61"/>
    <w:rsid w:val="00AE5649"/>
    <w:rsid w:val="00AE726D"/>
    <w:rsid w:val="00AF2157"/>
    <w:rsid w:val="00AF319F"/>
    <w:rsid w:val="00AF77CA"/>
    <w:rsid w:val="00B022E4"/>
    <w:rsid w:val="00B02301"/>
    <w:rsid w:val="00B02802"/>
    <w:rsid w:val="00B0347E"/>
    <w:rsid w:val="00B03D36"/>
    <w:rsid w:val="00B03DBE"/>
    <w:rsid w:val="00B07A73"/>
    <w:rsid w:val="00B07D2B"/>
    <w:rsid w:val="00B11B0E"/>
    <w:rsid w:val="00B11FF4"/>
    <w:rsid w:val="00B121B3"/>
    <w:rsid w:val="00B1270A"/>
    <w:rsid w:val="00B12ACE"/>
    <w:rsid w:val="00B1377D"/>
    <w:rsid w:val="00B15265"/>
    <w:rsid w:val="00B15F77"/>
    <w:rsid w:val="00B177F1"/>
    <w:rsid w:val="00B20DCA"/>
    <w:rsid w:val="00B2333F"/>
    <w:rsid w:val="00B23C00"/>
    <w:rsid w:val="00B23D22"/>
    <w:rsid w:val="00B25390"/>
    <w:rsid w:val="00B258E9"/>
    <w:rsid w:val="00B25D3B"/>
    <w:rsid w:val="00B267A3"/>
    <w:rsid w:val="00B268E9"/>
    <w:rsid w:val="00B2730F"/>
    <w:rsid w:val="00B30005"/>
    <w:rsid w:val="00B30277"/>
    <w:rsid w:val="00B312AC"/>
    <w:rsid w:val="00B31421"/>
    <w:rsid w:val="00B32109"/>
    <w:rsid w:val="00B341F1"/>
    <w:rsid w:val="00B35329"/>
    <w:rsid w:val="00B3678E"/>
    <w:rsid w:val="00B37210"/>
    <w:rsid w:val="00B4004E"/>
    <w:rsid w:val="00B4067E"/>
    <w:rsid w:val="00B41A08"/>
    <w:rsid w:val="00B423E1"/>
    <w:rsid w:val="00B425A5"/>
    <w:rsid w:val="00B4372D"/>
    <w:rsid w:val="00B440EB"/>
    <w:rsid w:val="00B44A30"/>
    <w:rsid w:val="00B4618A"/>
    <w:rsid w:val="00B50634"/>
    <w:rsid w:val="00B50B2D"/>
    <w:rsid w:val="00B534EC"/>
    <w:rsid w:val="00B5535D"/>
    <w:rsid w:val="00B5644B"/>
    <w:rsid w:val="00B564FE"/>
    <w:rsid w:val="00B56B8D"/>
    <w:rsid w:val="00B60249"/>
    <w:rsid w:val="00B602AB"/>
    <w:rsid w:val="00B61209"/>
    <w:rsid w:val="00B61912"/>
    <w:rsid w:val="00B627BF"/>
    <w:rsid w:val="00B62A83"/>
    <w:rsid w:val="00B62B26"/>
    <w:rsid w:val="00B635C3"/>
    <w:rsid w:val="00B64636"/>
    <w:rsid w:val="00B64D46"/>
    <w:rsid w:val="00B6536F"/>
    <w:rsid w:val="00B65B18"/>
    <w:rsid w:val="00B65D30"/>
    <w:rsid w:val="00B6604D"/>
    <w:rsid w:val="00B664EF"/>
    <w:rsid w:val="00B70432"/>
    <w:rsid w:val="00B720D2"/>
    <w:rsid w:val="00B74075"/>
    <w:rsid w:val="00B74EBD"/>
    <w:rsid w:val="00B750D0"/>
    <w:rsid w:val="00B75420"/>
    <w:rsid w:val="00B75D7B"/>
    <w:rsid w:val="00B76F60"/>
    <w:rsid w:val="00B779A9"/>
    <w:rsid w:val="00B77A9F"/>
    <w:rsid w:val="00B80B69"/>
    <w:rsid w:val="00B80DC4"/>
    <w:rsid w:val="00B82EAA"/>
    <w:rsid w:val="00B83763"/>
    <w:rsid w:val="00B83997"/>
    <w:rsid w:val="00B84330"/>
    <w:rsid w:val="00B90419"/>
    <w:rsid w:val="00B90D95"/>
    <w:rsid w:val="00B91BFB"/>
    <w:rsid w:val="00B922ED"/>
    <w:rsid w:val="00B947B5"/>
    <w:rsid w:val="00B94967"/>
    <w:rsid w:val="00BA04BD"/>
    <w:rsid w:val="00BA0D5A"/>
    <w:rsid w:val="00BA18B4"/>
    <w:rsid w:val="00BA2D69"/>
    <w:rsid w:val="00BA2F47"/>
    <w:rsid w:val="00BA3AA3"/>
    <w:rsid w:val="00BA454E"/>
    <w:rsid w:val="00BA4CD6"/>
    <w:rsid w:val="00BA4E2C"/>
    <w:rsid w:val="00BA56DA"/>
    <w:rsid w:val="00BA5A9A"/>
    <w:rsid w:val="00BA5E61"/>
    <w:rsid w:val="00BA61EE"/>
    <w:rsid w:val="00BA761C"/>
    <w:rsid w:val="00BA7815"/>
    <w:rsid w:val="00BB3E75"/>
    <w:rsid w:val="00BB4AFF"/>
    <w:rsid w:val="00BB626D"/>
    <w:rsid w:val="00BB6B78"/>
    <w:rsid w:val="00BB7F70"/>
    <w:rsid w:val="00BC0619"/>
    <w:rsid w:val="00BC3295"/>
    <w:rsid w:val="00BC3D9E"/>
    <w:rsid w:val="00BC49FA"/>
    <w:rsid w:val="00BC63F3"/>
    <w:rsid w:val="00BC656A"/>
    <w:rsid w:val="00BD0739"/>
    <w:rsid w:val="00BD0A43"/>
    <w:rsid w:val="00BD12AB"/>
    <w:rsid w:val="00BD1A10"/>
    <w:rsid w:val="00BD3075"/>
    <w:rsid w:val="00BD3DBA"/>
    <w:rsid w:val="00BD3F1E"/>
    <w:rsid w:val="00BD4BF4"/>
    <w:rsid w:val="00BD7EE4"/>
    <w:rsid w:val="00BE2C51"/>
    <w:rsid w:val="00BE63CA"/>
    <w:rsid w:val="00BF039D"/>
    <w:rsid w:val="00BF0804"/>
    <w:rsid w:val="00BF12B8"/>
    <w:rsid w:val="00BF16D1"/>
    <w:rsid w:val="00BF3F2F"/>
    <w:rsid w:val="00BF45FB"/>
    <w:rsid w:val="00BF65E6"/>
    <w:rsid w:val="00BF6D49"/>
    <w:rsid w:val="00C00E04"/>
    <w:rsid w:val="00C01793"/>
    <w:rsid w:val="00C01E41"/>
    <w:rsid w:val="00C02D23"/>
    <w:rsid w:val="00C02DBF"/>
    <w:rsid w:val="00C03332"/>
    <w:rsid w:val="00C040AB"/>
    <w:rsid w:val="00C0430D"/>
    <w:rsid w:val="00C06014"/>
    <w:rsid w:val="00C062F0"/>
    <w:rsid w:val="00C071C9"/>
    <w:rsid w:val="00C0799B"/>
    <w:rsid w:val="00C07B1D"/>
    <w:rsid w:val="00C106CE"/>
    <w:rsid w:val="00C13C8E"/>
    <w:rsid w:val="00C143E8"/>
    <w:rsid w:val="00C15CEC"/>
    <w:rsid w:val="00C16989"/>
    <w:rsid w:val="00C1732D"/>
    <w:rsid w:val="00C17668"/>
    <w:rsid w:val="00C2242E"/>
    <w:rsid w:val="00C24C71"/>
    <w:rsid w:val="00C24D82"/>
    <w:rsid w:val="00C25CE4"/>
    <w:rsid w:val="00C26338"/>
    <w:rsid w:val="00C2651E"/>
    <w:rsid w:val="00C3007D"/>
    <w:rsid w:val="00C321EA"/>
    <w:rsid w:val="00C329BA"/>
    <w:rsid w:val="00C32E62"/>
    <w:rsid w:val="00C3336C"/>
    <w:rsid w:val="00C335B4"/>
    <w:rsid w:val="00C336B8"/>
    <w:rsid w:val="00C33891"/>
    <w:rsid w:val="00C33E69"/>
    <w:rsid w:val="00C34B2A"/>
    <w:rsid w:val="00C35C14"/>
    <w:rsid w:val="00C3635C"/>
    <w:rsid w:val="00C42987"/>
    <w:rsid w:val="00C42EA9"/>
    <w:rsid w:val="00C4390C"/>
    <w:rsid w:val="00C47091"/>
    <w:rsid w:val="00C47468"/>
    <w:rsid w:val="00C50FB8"/>
    <w:rsid w:val="00C5123D"/>
    <w:rsid w:val="00C5142A"/>
    <w:rsid w:val="00C534C8"/>
    <w:rsid w:val="00C54244"/>
    <w:rsid w:val="00C55B9C"/>
    <w:rsid w:val="00C5685E"/>
    <w:rsid w:val="00C56C15"/>
    <w:rsid w:val="00C60711"/>
    <w:rsid w:val="00C63BD4"/>
    <w:rsid w:val="00C63FE9"/>
    <w:rsid w:val="00C65016"/>
    <w:rsid w:val="00C67C80"/>
    <w:rsid w:val="00C70AEF"/>
    <w:rsid w:val="00C70FAF"/>
    <w:rsid w:val="00C71614"/>
    <w:rsid w:val="00C73929"/>
    <w:rsid w:val="00C742DE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87D72"/>
    <w:rsid w:val="00C91719"/>
    <w:rsid w:val="00C92281"/>
    <w:rsid w:val="00C92CDA"/>
    <w:rsid w:val="00C93150"/>
    <w:rsid w:val="00C94559"/>
    <w:rsid w:val="00C9472B"/>
    <w:rsid w:val="00C9554D"/>
    <w:rsid w:val="00C95A0B"/>
    <w:rsid w:val="00C95A4E"/>
    <w:rsid w:val="00C96597"/>
    <w:rsid w:val="00C969F3"/>
    <w:rsid w:val="00C97211"/>
    <w:rsid w:val="00C97B8B"/>
    <w:rsid w:val="00CA12A7"/>
    <w:rsid w:val="00CA1EB2"/>
    <w:rsid w:val="00CA2653"/>
    <w:rsid w:val="00CA2747"/>
    <w:rsid w:val="00CA3CE7"/>
    <w:rsid w:val="00CA68C0"/>
    <w:rsid w:val="00CB18D2"/>
    <w:rsid w:val="00CB2099"/>
    <w:rsid w:val="00CB3C67"/>
    <w:rsid w:val="00CB418B"/>
    <w:rsid w:val="00CB47DD"/>
    <w:rsid w:val="00CB57A8"/>
    <w:rsid w:val="00CC0028"/>
    <w:rsid w:val="00CC0106"/>
    <w:rsid w:val="00CC0728"/>
    <w:rsid w:val="00CC1069"/>
    <w:rsid w:val="00CC1B36"/>
    <w:rsid w:val="00CC4EF4"/>
    <w:rsid w:val="00CC5842"/>
    <w:rsid w:val="00CC5A7E"/>
    <w:rsid w:val="00CC60E7"/>
    <w:rsid w:val="00CC7753"/>
    <w:rsid w:val="00CD0141"/>
    <w:rsid w:val="00CD0699"/>
    <w:rsid w:val="00CD0C0E"/>
    <w:rsid w:val="00CD11C3"/>
    <w:rsid w:val="00CD2143"/>
    <w:rsid w:val="00CD22C1"/>
    <w:rsid w:val="00CD295B"/>
    <w:rsid w:val="00CD5C01"/>
    <w:rsid w:val="00CD5F8C"/>
    <w:rsid w:val="00CD6AB4"/>
    <w:rsid w:val="00CE142D"/>
    <w:rsid w:val="00CE233A"/>
    <w:rsid w:val="00CE6074"/>
    <w:rsid w:val="00CE6876"/>
    <w:rsid w:val="00CE7D63"/>
    <w:rsid w:val="00CF2F05"/>
    <w:rsid w:val="00CF4708"/>
    <w:rsid w:val="00CF5D22"/>
    <w:rsid w:val="00CF60F8"/>
    <w:rsid w:val="00CF689A"/>
    <w:rsid w:val="00CF77DB"/>
    <w:rsid w:val="00D02F1D"/>
    <w:rsid w:val="00D035FA"/>
    <w:rsid w:val="00D061BC"/>
    <w:rsid w:val="00D06F31"/>
    <w:rsid w:val="00D10555"/>
    <w:rsid w:val="00D1206A"/>
    <w:rsid w:val="00D14B60"/>
    <w:rsid w:val="00D150BA"/>
    <w:rsid w:val="00D222D8"/>
    <w:rsid w:val="00D23448"/>
    <w:rsid w:val="00D2532C"/>
    <w:rsid w:val="00D27473"/>
    <w:rsid w:val="00D27EAA"/>
    <w:rsid w:val="00D30298"/>
    <w:rsid w:val="00D304D1"/>
    <w:rsid w:val="00D3205C"/>
    <w:rsid w:val="00D33DA9"/>
    <w:rsid w:val="00D34D9F"/>
    <w:rsid w:val="00D358ED"/>
    <w:rsid w:val="00D361F0"/>
    <w:rsid w:val="00D36966"/>
    <w:rsid w:val="00D377C2"/>
    <w:rsid w:val="00D40E4E"/>
    <w:rsid w:val="00D42354"/>
    <w:rsid w:val="00D4327E"/>
    <w:rsid w:val="00D43C47"/>
    <w:rsid w:val="00D43CB5"/>
    <w:rsid w:val="00D43CD6"/>
    <w:rsid w:val="00D4502B"/>
    <w:rsid w:val="00D467F6"/>
    <w:rsid w:val="00D50462"/>
    <w:rsid w:val="00D50A88"/>
    <w:rsid w:val="00D50AA7"/>
    <w:rsid w:val="00D50D04"/>
    <w:rsid w:val="00D51A6A"/>
    <w:rsid w:val="00D52499"/>
    <w:rsid w:val="00D52833"/>
    <w:rsid w:val="00D53BE1"/>
    <w:rsid w:val="00D54858"/>
    <w:rsid w:val="00D5570B"/>
    <w:rsid w:val="00D55E6C"/>
    <w:rsid w:val="00D608D7"/>
    <w:rsid w:val="00D61C41"/>
    <w:rsid w:val="00D62311"/>
    <w:rsid w:val="00D62BB9"/>
    <w:rsid w:val="00D62C54"/>
    <w:rsid w:val="00D67BFF"/>
    <w:rsid w:val="00D72203"/>
    <w:rsid w:val="00D72818"/>
    <w:rsid w:val="00D72D29"/>
    <w:rsid w:val="00D72EAE"/>
    <w:rsid w:val="00D74F65"/>
    <w:rsid w:val="00D755B5"/>
    <w:rsid w:val="00D75BF5"/>
    <w:rsid w:val="00D76D58"/>
    <w:rsid w:val="00D77939"/>
    <w:rsid w:val="00D80A0A"/>
    <w:rsid w:val="00D81D67"/>
    <w:rsid w:val="00D836EC"/>
    <w:rsid w:val="00D85BB3"/>
    <w:rsid w:val="00D85C03"/>
    <w:rsid w:val="00D86D2A"/>
    <w:rsid w:val="00D873E7"/>
    <w:rsid w:val="00D87B66"/>
    <w:rsid w:val="00D91F09"/>
    <w:rsid w:val="00D93293"/>
    <w:rsid w:val="00D9415C"/>
    <w:rsid w:val="00D9574F"/>
    <w:rsid w:val="00D96034"/>
    <w:rsid w:val="00D96FAA"/>
    <w:rsid w:val="00D97529"/>
    <w:rsid w:val="00D97700"/>
    <w:rsid w:val="00D97C6A"/>
    <w:rsid w:val="00D97F3C"/>
    <w:rsid w:val="00DA24B3"/>
    <w:rsid w:val="00DA24EB"/>
    <w:rsid w:val="00DA39B1"/>
    <w:rsid w:val="00DA3DD7"/>
    <w:rsid w:val="00DA47F9"/>
    <w:rsid w:val="00DA5B29"/>
    <w:rsid w:val="00DA6928"/>
    <w:rsid w:val="00DB1780"/>
    <w:rsid w:val="00DB18C2"/>
    <w:rsid w:val="00DB2833"/>
    <w:rsid w:val="00DB3B4C"/>
    <w:rsid w:val="00DB63D6"/>
    <w:rsid w:val="00DB6AD2"/>
    <w:rsid w:val="00DB6EFB"/>
    <w:rsid w:val="00DB78AA"/>
    <w:rsid w:val="00DB7978"/>
    <w:rsid w:val="00DC13C7"/>
    <w:rsid w:val="00DC2F75"/>
    <w:rsid w:val="00DC46EF"/>
    <w:rsid w:val="00DC686D"/>
    <w:rsid w:val="00DC7046"/>
    <w:rsid w:val="00DC7F01"/>
    <w:rsid w:val="00DD0F30"/>
    <w:rsid w:val="00DD26C4"/>
    <w:rsid w:val="00DD355A"/>
    <w:rsid w:val="00DD3616"/>
    <w:rsid w:val="00DD4135"/>
    <w:rsid w:val="00DD4980"/>
    <w:rsid w:val="00DD6370"/>
    <w:rsid w:val="00DE0A50"/>
    <w:rsid w:val="00DE0B13"/>
    <w:rsid w:val="00DE12EB"/>
    <w:rsid w:val="00DE1609"/>
    <w:rsid w:val="00DE2A58"/>
    <w:rsid w:val="00DE30E1"/>
    <w:rsid w:val="00DE47E1"/>
    <w:rsid w:val="00DE6E03"/>
    <w:rsid w:val="00DF142C"/>
    <w:rsid w:val="00DF20E9"/>
    <w:rsid w:val="00DF3E93"/>
    <w:rsid w:val="00DF4641"/>
    <w:rsid w:val="00DF5C3D"/>
    <w:rsid w:val="00DF6D67"/>
    <w:rsid w:val="00DF72DE"/>
    <w:rsid w:val="00DF7A67"/>
    <w:rsid w:val="00E00CCB"/>
    <w:rsid w:val="00E0170F"/>
    <w:rsid w:val="00E01972"/>
    <w:rsid w:val="00E01CA2"/>
    <w:rsid w:val="00E046CD"/>
    <w:rsid w:val="00E0617F"/>
    <w:rsid w:val="00E06384"/>
    <w:rsid w:val="00E06C17"/>
    <w:rsid w:val="00E076F5"/>
    <w:rsid w:val="00E1000A"/>
    <w:rsid w:val="00E115EE"/>
    <w:rsid w:val="00E12D64"/>
    <w:rsid w:val="00E1335F"/>
    <w:rsid w:val="00E147C5"/>
    <w:rsid w:val="00E14C28"/>
    <w:rsid w:val="00E15494"/>
    <w:rsid w:val="00E212D0"/>
    <w:rsid w:val="00E21C9C"/>
    <w:rsid w:val="00E22161"/>
    <w:rsid w:val="00E2352B"/>
    <w:rsid w:val="00E2378E"/>
    <w:rsid w:val="00E24263"/>
    <w:rsid w:val="00E26242"/>
    <w:rsid w:val="00E26CDE"/>
    <w:rsid w:val="00E26F1E"/>
    <w:rsid w:val="00E3021A"/>
    <w:rsid w:val="00E30BFD"/>
    <w:rsid w:val="00E326F4"/>
    <w:rsid w:val="00E34B83"/>
    <w:rsid w:val="00E36DF4"/>
    <w:rsid w:val="00E371BB"/>
    <w:rsid w:val="00E42448"/>
    <w:rsid w:val="00E42AA9"/>
    <w:rsid w:val="00E42DB0"/>
    <w:rsid w:val="00E4522F"/>
    <w:rsid w:val="00E47468"/>
    <w:rsid w:val="00E476B6"/>
    <w:rsid w:val="00E479CD"/>
    <w:rsid w:val="00E47D47"/>
    <w:rsid w:val="00E51B0C"/>
    <w:rsid w:val="00E51FF8"/>
    <w:rsid w:val="00E529BC"/>
    <w:rsid w:val="00E537B4"/>
    <w:rsid w:val="00E557D7"/>
    <w:rsid w:val="00E55FB5"/>
    <w:rsid w:val="00E565B7"/>
    <w:rsid w:val="00E569FD"/>
    <w:rsid w:val="00E61DD6"/>
    <w:rsid w:val="00E62BED"/>
    <w:rsid w:val="00E73966"/>
    <w:rsid w:val="00E73A1B"/>
    <w:rsid w:val="00E73D40"/>
    <w:rsid w:val="00E749D8"/>
    <w:rsid w:val="00E76310"/>
    <w:rsid w:val="00E7672E"/>
    <w:rsid w:val="00E83CB5"/>
    <w:rsid w:val="00E85474"/>
    <w:rsid w:val="00E876A1"/>
    <w:rsid w:val="00E87CFE"/>
    <w:rsid w:val="00E87D1A"/>
    <w:rsid w:val="00E91A76"/>
    <w:rsid w:val="00E924EE"/>
    <w:rsid w:val="00E925CF"/>
    <w:rsid w:val="00E94FEE"/>
    <w:rsid w:val="00E95A6B"/>
    <w:rsid w:val="00EA0056"/>
    <w:rsid w:val="00EA14B9"/>
    <w:rsid w:val="00EA6108"/>
    <w:rsid w:val="00EA76F8"/>
    <w:rsid w:val="00EB00FD"/>
    <w:rsid w:val="00EB0254"/>
    <w:rsid w:val="00EB0B7B"/>
    <w:rsid w:val="00EB1707"/>
    <w:rsid w:val="00EB1745"/>
    <w:rsid w:val="00EB256F"/>
    <w:rsid w:val="00EB2A69"/>
    <w:rsid w:val="00EB31CA"/>
    <w:rsid w:val="00EB4BEE"/>
    <w:rsid w:val="00EB5B57"/>
    <w:rsid w:val="00EB6385"/>
    <w:rsid w:val="00EB7BDE"/>
    <w:rsid w:val="00EC0C5E"/>
    <w:rsid w:val="00EC1470"/>
    <w:rsid w:val="00EC18DC"/>
    <w:rsid w:val="00EC31A6"/>
    <w:rsid w:val="00EC59DF"/>
    <w:rsid w:val="00EC639A"/>
    <w:rsid w:val="00EC6938"/>
    <w:rsid w:val="00EC7719"/>
    <w:rsid w:val="00ED148F"/>
    <w:rsid w:val="00ED153A"/>
    <w:rsid w:val="00ED310D"/>
    <w:rsid w:val="00ED3249"/>
    <w:rsid w:val="00ED3B47"/>
    <w:rsid w:val="00ED3BC0"/>
    <w:rsid w:val="00EE3C3B"/>
    <w:rsid w:val="00EE54A3"/>
    <w:rsid w:val="00EE6926"/>
    <w:rsid w:val="00EE7017"/>
    <w:rsid w:val="00EE7651"/>
    <w:rsid w:val="00EF2A15"/>
    <w:rsid w:val="00EF2F9D"/>
    <w:rsid w:val="00EF3803"/>
    <w:rsid w:val="00EF4880"/>
    <w:rsid w:val="00EF4F03"/>
    <w:rsid w:val="00EF54E6"/>
    <w:rsid w:val="00F00C4C"/>
    <w:rsid w:val="00F02FB6"/>
    <w:rsid w:val="00F03BA0"/>
    <w:rsid w:val="00F04553"/>
    <w:rsid w:val="00F05398"/>
    <w:rsid w:val="00F057F6"/>
    <w:rsid w:val="00F0599F"/>
    <w:rsid w:val="00F07689"/>
    <w:rsid w:val="00F07DA1"/>
    <w:rsid w:val="00F10055"/>
    <w:rsid w:val="00F10548"/>
    <w:rsid w:val="00F114BF"/>
    <w:rsid w:val="00F126D4"/>
    <w:rsid w:val="00F1343A"/>
    <w:rsid w:val="00F13B15"/>
    <w:rsid w:val="00F1449F"/>
    <w:rsid w:val="00F157AC"/>
    <w:rsid w:val="00F15ED1"/>
    <w:rsid w:val="00F17941"/>
    <w:rsid w:val="00F21027"/>
    <w:rsid w:val="00F21BFC"/>
    <w:rsid w:val="00F22C91"/>
    <w:rsid w:val="00F24EEE"/>
    <w:rsid w:val="00F27877"/>
    <w:rsid w:val="00F27E46"/>
    <w:rsid w:val="00F3058D"/>
    <w:rsid w:val="00F33606"/>
    <w:rsid w:val="00F35903"/>
    <w:rsid w:val="00F3623A"/>
    <w:rsid w:val="00F3797F"/>
    <w:rsid w:val="00F37E3B"/>
    <w:rsid w:val="00F405B0"/>
    <w:rsid w:val="00F41EA3"/>
    <w:rsid w:val="00F4594E"/>
    <w:rsid w:val="00F45A0E"/>
    <w:rsid w:val="00F46935"/>
    <w:rsid w:val="00F4771F"/>
    <w:rsid w:val="00F4783D"/>
    <w:rsid w:val="00F47DA1"/>
    <w:rsid w:val="00F504C6"/>
    <w:rsid w:val="00F52E2C"/>
    <w:rsid w:val="00F52F67"/>
    <w:rsid w:val="00F5332E"/>
    <w:rsid w:val="00F549D6"/>
    <w:rsid w:val="00F54B0B"/>
    <w:rsid w:val="00F54EC9"/>
    <w:rsid w:val="00F55371"/>
    <w:rsid w:val="00F55A6B"/>
    <w:rsid w:val="00F57858"/>
    <w:rsid w:val="00F60524"/>
    <w:rsid w:val="00F60AAA"/>
    <w:rsid w:val="00F61562"/>
    <w:rsid w:val="00F61982"/>
    <w:rsid w:val="00F637B0"/>
    <w:rsid w:val="00F65563"/>
    <w:rsid w:val="00F72662"/>
    <w:rsid w:val="00F738AB"/>
    <w:rsid w:val="00F7544B"/>
    <w:rsid w:val="00F7595B"/>
    <w:rsid w:val="00F75A02"/>
    <w:rsid w:val="00F7748A"/>
    <w:rsid w:val="00F77F9B"/>
    <w:rsid w:val="00F8004D"/>
    <w:rsid w:val="00F80AF7"/>
    <w:rsid w:val="00F81BE7"/>
    <w:rsid w:val="00F8229E"/>
    <w:rsid w:val="00F8464C"/>
    <w:rsid w:val="00F85736"/>
    <w:rsid w:val="00F8632C"/>
    <w:rsid w:val="00F87B42"/>
    <w:rsid w:val="00F90B9C"/>
    <w:rsid w:val="00F91B40"/>
    <w:rsid w:val="00F94515"/>
    <w:rsid w:val="00F94F72"/>
    <w:rsid w:val="00F96701"/>
    <w:rsid w:val="00FA2260"/>
    <w:rsid w:val="00FA33E4"/>
    <w:rsid w:val="00FA4F87"/>
    <w:rsid w:val="00FA61AA"/>
    <w:rsid w:val="00FA6DE7"/>
    <w:rsid w:val="00FB0772"/>
    <w:rsid w:val="00FB2A3E"/>
    <w:rsid w:val="00FB4763"/>
    <w:rsid w:val="00FB515C"/>
    <w:rsid w:val="00FC185A"/>
    <w:rsid w:val="00FC1CF1"/>
    <w:rsid w:val="00FD0E8A"/>
    <w:rsid w:val="00FD189C"/>
    <w:rsid w:val="00FD1DD2"/>
    <w:rsid w:val="00FD212A"/>
    <w:rsid w:val="00FD3D32"/>
    <w:rsid w:val="00FD41B2"/>
    <w:rsid w:val="00FD4915"/>
    <w:rsid w:val="00FD4B3A"/>
    <w:rsid w:val="00FD4C92"/>
    <w:rsid w:val="00FD55A9"/>
    <w:rsid w:val="00FD780D"/>
    <w:rsid w:val="00FE03CA"/>
    <w:rsid w:val="00FE0B45"/>
    <w:rsid w:val="00FE1704"/>
    <w:rsid w:val="00FE24D7"/>
    <w:rsid w:val="00FE6284"/>
    <w:rsid w:val="00FE79D3"/>
    <w:rsid w:val="00FF0611"/>
    <w:rsid w:val="00FF067E"/>
    <w:rsid w:val="00FF16E6"/>
    <w:rsid w:val="00FF20D1"/>
    <w:rsid w:val="00FF3C93"/>
    <w:rsid w:val="00FF5B0A"/>
    <w:rsid w:val="00FF7694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C6A4755"/>
  <w15:docId w15:val="{8D04D14D-E26A-4E3A-9CB1-8FEF14AB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53B0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6F53B0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6F53B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uiPriority w:val="99"/>
    <w:rsid w:val="00772F15"/>
    <w:rPr>
      <w:color w:val="auto"/>
      <w:u w:val="single"/>
    </w:rPr>
  </w:style>
  <w:style w:type="character" w:styleId="LineNumber">
    <w:name w:val="line number"/>
    <w:basedOn w:val="OPCCharBase"/>
    <w:uiPriority w:val="99"/>
    <w:unhideWhenUsed/>
    <w:rsid w:val="006F53B0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521C09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F53B0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772F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uiPriority w:val="1"/>
    <w:qFormat/>
    <w:rsid w:val="006F53B0"/>
  </w:style>
  <w:style w:type="character" w:customStyle="1" w:styleId="CharAmSchText">
    <w:name w:val="CharAmSchText"/>
    <w:basedOn w:val="OPCCharBase"/>
    <w:uiPriority w:val="1"/>
    <w:qFormat/>
    <w:rsid w:val="006F53B0"/>
  </w:style>
  <w:style w:type="character" w:customStyle="1" w:styleId="CharChapNo">
    <w:name w:val="CharChapNo"/>
    <w:basedOn w:val="OPCCharBase"/>
    <w:qFormat/>
    <w:rsid w:val="006F53B0"/>
  </w:style>
  <w:style w:type="character" w:customStyle="1" w:styleId="CharChapText">
    <w:name w:val="CharChapText"/>
    <w:basedOn w:val="OPCCharBase"/>
    <w:qFormat/>
    <w:rsid w:val="006F53B0"/>
  </w:style>
  <w:style w:type="character" w:customStyle="1" w:styleId="CharDivNo">
    <w:name w:val="CharDivNo"/>
    <w:basedOn w:val="OPCCharBase"/>
    <w:qFormat/>
    <w:rsid w:val="006F53B0"/>
  </w:style>
  <w:style w:type="character" w:customStyle="1" w:styleId="CharDivText">
    <w:name w:val="CharDivText"/>
    <w:basedOn w:val="OPCCharBase"/>
    <w:qFormat/>
    <w:rsid w:val="006F53B0"/>
  </w:style>
  <w:style w:type="character" w:customStyle="1" w:styleId="CharPartNo">
    <w:name w:val="CharPartNo"/>
    <w:basedOn w:val="OPCCharBase"/>
    <w:qFormat/>
    <w:rsid w:val="006F53B0"/>
  </w:style>
  <w:style w:type="character" w:customStyle="1" w:styleId="CharPartText">
    <w:name w:val="CharPartText"/>
    <w:basedOn w:val="OPCCharBase"/>
    <w:qFormat/>
    <w:rsid w:val="006F53B0"/>
  </w:style>
  <w:style w:type="character" w:customStyle="1" w:styleId="OPCCharBase">
    <w:name w:val="OPCCharBase"/>
    <w:uiPriority w:val="1"/>
    <w:qFormat/>
    <w:rsid w:val="006F53B0"/>
  </w:style>
  <w:style w:type="paragraph" w:customStyle="1" w:styleId="OPCParaBase">
    <w:name w:val="OPCParaBase"/>
    <w:qFormat/>
    <w:rsid w:val="006F53B0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F53B0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6F53B0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6F53B0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6F53B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6F53B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F53B0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86BB1"/>
    <w:pPr>
      <w:keepLines/>
      <w:tabs>
        <w:tab w:val="right" w:leader="dot" w:pos="708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F53B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6F53B0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6F53B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6F53B0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3">
    <w:name w:val="ActHead 3"/>
    <w:aliases w:val="d"/>
    <w:basedOn w:val="OPCParaBase"/>
    <w:next w:val="ActHead4"/>
    <w:qFormat/>
    <w:rsid w:val="006F53B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F53B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F53B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F53B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F53B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F53B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F53B0"/>
  </w:style>
  <w:style w:type="paragraph" w:customStyle="1" w:styleId="Blocks">
    <w:name w:val="Blocks"/>
    <w:aliases w:val="bb"/>
    <w:basedOn w:val="OPCParaBase"/>
    <w:qFormat/>
    <w:rsid w:val="006F53B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F53B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F53B0"/>
    <w:rPr>
      <w:i/>
    </w:rPr>
  </w:style>
  <w:style w:type="paragraph" w:customStyle="1" w:styleId="BoxList">
    <w:name w:val="BoxList"/>
    <w:aliases w:val="bl"/>
    <w:basedOn w:val="BoxText"/>
    <w:qFormat/>
    <w:rsid w:val="006F53B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F53B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F53B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F53B0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F53B0"/>
  </w:style>
  <w:style w:type="character" w:customStyle="1" w:styleId="CharAmPartText">
    <w:name w:val="CharAmPartText"/>
    <w:basedOn w:val="OPCCharBase"/>
    <w:uiPriority w:val="1"/>
    <w:qFormat/>
    <w:rsid w:val="006F53B0"/>
  </w:style>
  <w:style w:type="character" w:customStyle="1" w:styleId="CharBoldItalic">
    <w:name w:val="CharBoldItalic"/>
    <w:basedOn w:val="OPCCharBase"/>
    <w:uiPriority w:val="1"/>
    <w:qFormat/>
    <w:rsid w:val="006F53B0"/>
    <w:rPr>
      <w:b/>
      <w:i/>
    </w:rPr>
  </w:style>
  <w:style w:type="character" w:customStyle="1" w:styleId="CharItalic">
    <w:name w:val="CharItalic"/>
    <w:basedOn w:val="OPCCharBase"/>
    <w:uiPriority w:val="1"/>
    <w:qFormat/>
    <w:rsid w:val="006F53B0"/>
    <w:rPr>
      <w:i/>
    </w:rPr>
  </w:style>
  <w:style w:type="character" w:customStyle="1" w:styleId="CharSubdNo">
    <w:name w:val="CharSubdNo"/>
    <w:basedOn w:val="OPCCharBase"/>
    <w:uiPriority w:val="1"/>
    <w:qFormat/>
    <w:rsid w:val="006F53B0"/>
  </w:style>
  <w:style w:type="character" w:customStyle="1" w:styleId="CharSubdText">
    <w:name w:val="CharSubdText"/>
    <w:basedOn w:val="OPCCharBase"/>
    <w:uiPriority w:val="1"/>
    <w:qFormat/>
    <w:rsid w:val="006F53B0"/>
  </w:style>
  <w:style w:type="paragraph" w:customStyle="1" w:styleId="CTA--">
    <w:name w:val="CTA --"/>
    <w:basedOn w:val="OPCParaBase"/>
    <w:next w:val="Normal"/>
    <w:rsid w:val="006F53B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F53B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F53B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F53B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F53B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F53B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F53B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F53B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F53B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F53B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F53B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F53B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F53B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F53B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F53B0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6F53B0"/>
    <w:rPr>
      <w:sz w:val="16"/>
    </w:rPr>
  </w:style>
  <w:style w:type="paragraph" w:customStyle="1" w:styleId="House">
    <w:name w:val="House"/>
    <w:basedOn w:val="OPCParaBase"/>
    <w:rsid w:val="006F53B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F53B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F53B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F53B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F53B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F53B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F53B0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F53B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6F53B0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F53B0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F53B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F53B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F53B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F53B0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F53B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F53B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F53B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F53B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F53B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F53B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F53B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F53B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F53B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F53B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F53B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F53B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F53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F53B0"/>
    <w:pPr>
      <w:numPr>
        <w:numId w:val="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F53B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F53B0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F53B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F53B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F53B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F53B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F53B0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521C09"/>
    <w:pPr>
      <w:numPr>
        <w:numId w:val="5"/>
      </w:numPr>
    </w:pPr>
  </w:style>
  <w:style w:type="paragraph" w:customStyle="1" w:styleId="noteToPara">
    <w:name w:val="noteToPara"/>
    <w:aliases w:val="ntp"/>
    <w:basedOn w:val="OPCParaBase"/>
    <w:rsid w:val="006F53B0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F53B0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F53B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EndNotespara">
    <w:name w:val="EndNotes(para)"/>
    <w:aliases w:val="eta"/>
    <w:basedOn w:val="OPCParaBase"/>
    <w:next w:val="EndNotessubpara"/>
    <w:rsid w:val="006F53B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F53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F53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F53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table" w:customStyle="1" w:styleId="CFlag">
    <w:name w:val="CFlag"/>
    <w:basedOn w:val="TableNormal"/>
    <w:uiPriority w:val="99"/>
    <w:rsid w:val="006F53B0"/>
    <w:tblPr/>
  </w:style>
  <w:style w:type="paragraph" w:customStyle="1" w:styleId="InstNo">
    <w:name w:val="InstNo"/>
    <w:basedOn w:val="OPCParaBase"/>
    <w:next w:val="Normal"/>
    <w:rsid w:val="006F53B0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6F53B0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6F53B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F53B0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F53B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6F53B0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6F53B0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F53B0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Normal"/>
    <w:rsid w:val="006F53B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F53B0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6F53B0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6F53B0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F53B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F53B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F53B0"/>
    <w:pPr>
      <w:spacing w:before="60" w:line="240" w:lineRule="auto"/>
    </w:pPr>
    <w:rPr>
      <w:rFonts w:cs="Arial"/>
      <w:sz w:val="20"/>
      <w:szCs w:val="22"/>
    </w:rPr>
  </w:style>
  <w:style w:type="paragraph" w:customStyle="1" w:styleId="SubPartCASA">
    <w:name w:val="SubPart(CASA)"/>
    <w:aliases w:val="csp"/>
    <w:basedOn w:val="OPCParaBase"/>
    <w:next w:val="ActHead3"/>
    <w:rsid w:val="006F53B0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6F53B0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6F53B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F53B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F53B0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6F53B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F53B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F53B0"/>
    <w:pPr>
      <w:spacing w:before="240"/>
    </w:pPr>
    <w:rPr>
      <w:sz w:val="24"/>
      <w:szCs w:val="24"/>
    </w:rPr>
  </w:style>
  <w:style w:type="character" w:customStyle="1" w:styleId="CharSubPartTextCASA">
    <w:name w:val="CharSubPartText(CASA)"/>
    <w:basedOn w:val="OPCCharBase"/>
    <w:uiPriority w:val="1"/>
    <w:rsid w:val="006F53B0"/>
  </w:style>
  <w:style w:type="character" w:customStyle="1" w:styleId="CharSubPartNoCASA">
    <w:name w:val="CharSubPartNo(CASA)"/>
    <w:basedOn w:val="OPCCharBase"/>
    <w:uiPriority w:val="1"/>
    <w:rsid w:val="006F53B0"/>
  </w:style>
  <w:style w:type="paragraph" w:customStyle="1" w:styleId="ENoteTTIndentHeadingSub">
    <w:name w:val="ENoteTTIndentHeadingSub"/>
    <w:aliases w:val="enTTHis"/>
    <w:basedOn w:val="OPCParaBase"/>
    <w:rsid w:val="006F53B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F53B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F53B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F53B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976A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11361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rsid w:val="00611361"/>
    <w:rPr>
      <w:sz w:val="18"/>
    </w:rPr>
  </w:style>
  <w:style w:type="paragraph" w:customStyle="1" w:styleId="Normla">
    <w:name w:val="Normla"/>
    <w:basedOn w:val="Header"/>
    <w:rsid w:val="00566FFA"/>
    <w:rPr>
      <w:sz w:val="28"/>
    </w:rPr>
  </w:style>
  <w:style w:type="character" w:customStyle="1" w:styleId="CommentTextChar">
    <w:name w:val="Comment Text Char"/>
    <w:basedOn w:val="DefaultParagraphFont"/>
    <w:link w:val="CommentText"/>
    <w:rsid w:val="00DA24B3"/>
    <w:rPr>
      <w:rFonts w:eastAsia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CF77DB"/>
    <w:pPr>
      <w:spacing w:line="240" w:lineRule="auto"/>
      <w:ind w:left="720"/>
    </w:pPr>
    <w:rPr>
      <w:rFonts w:ascii="Calibri" w:hAnsi="Calibri" w:cs="Times New Roman"/>
      <w:szCs w:val="22"/>
    </w:rPr>
  </w:style>
  <w:style w:type="paragraph" w:styleId="Revision">
    <w:name w:val="Revision"/>
    <w:hidden/>
    <w:uiPriority w:val="99"/>
    <w:semiHidden/>
    <w:rsid w:val="00B23C00"/>
    <w:rPr>
      <w:rFonts w:eastAsiaTheme="minorHAnsi" w:cstheme="minorBidi"/>
      <w:sz w:val="22"/>
      <w:lang w:eastAsia="en-US"/>
    </w:rPr>
  </w:style>
  <w:style w:type="paragraph" w:customStyle="1" w:styleId="acthead50">
    <w:name w:val="acthead5"/>
    <w:basedOn w:val="Normal"/>
    <w:rsid w:val="00383F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DD26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para0">
    <w:name w:val="notepara"/>
    <w:basedOn w:val="Normal"/>
    <w:rsid w:val="00DD26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224A76"/>
  </w:style>
  <w:style w:type="paragraph" w:customStyle="1" w:styleId="paragraphsub0">
    <w:name w:val="paragraphsub"/>
    <w:basedOn w:val="Normal"/>
    <w:rsid w:val="00224A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 text"/>
    <w:basedOn w:val="Normal"/>
    <w:qFormat/>
    <w:rsid w:val="008226CC"/>
    <w:pPr>
      <w:spacing w:line="240" w:lineRule="auto"/>
    </w:pPr>
    <w:rPr>
      <w:rFonts w:ascii="Segoe UI" w:eastAsia="Times New Roman" w:hAnsi="Segoe UI" w:cs="Times New Roman"/>
      <w:sz w:val="20"/>
    </w:rPr>
  </w:style>
  <w:style w:type="paragraph" w:customStyle="1" w:styleId="Tablerowcolumnheading">
    <w:name w:val="Table row/column heading"/>
    <w:basedOn w:val="Normal"/>
    <w:next w:val="Normal"/>
    <w:rsid w:val="008226CC"/>
    <w:pPr>
      <w:spacing w:line="240" w:lineRule="auto"/>
    </w:pPr>
    <w:rPr>
      <w:rFonts w:ascii="Segoe UI" w:eastAsia="Times New Roman" w:hAnsi="Segoe UI" w:cs="Times New Roman"/>
      <w:b/>
      <w:bCs/>
      <w:color w:val="002D72"/>
      <w:sz w:val="20"/>
    </w:rPr>
  </w:style>
  <w:style w:type="paragraph" w:customStyle="1" w:styleId="r1">
    <w:name w:val="r1"/>
    <w:basedOn w:val="Normal"/>
    <w:rsid w:val="00CD295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r2">
    <w:name w:val="r2"/>
    <w:basedOn w:val="Normal"/>
    <w:rsid w:val="00CD295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a3s">
    <w:name w:val="a3s"/>
    <w:basedOn w:val="Normal"/>
    <w:rsid w:val="004F2D1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hr">
    <w:name w:val="hr"/>
    <w:basedOn w:val="Normal"/>
    <w:rsid w:val="00C945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5C717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5C717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535C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basedOn w:val="Normal"/>
    <w:rsid w:val="00BA5E61"/>
    <w:pPr>
      <w:autoSpaceDE w:val="0"/>
      <w:autoSpaceDN w:val="0"/>
      <w:spacing w:line="240" w:lineRule="auto"/>
    </w:pPr>
    <w:rPr>
      <w:rFonts w:ascii="Arial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9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52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3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1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93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2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15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2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44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31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19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3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1FC39C800FF40B3A133F5A91914B1" ma:contentTypeVersion="0" ma:contentTypeDescription="Create a new document." ma:contentTypeScope="" ma:versionID="48686a039f29bc0aac061155d2a801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C774F-E266-43E8-9F9D-E0B3F922F4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FE9E6-3452-4D36-A366-26F40E45CF0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877F21-DDA2-46FF-814F-0E3629566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4B103B-D292-4ED5-A7A2-BD28B4C6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2</TotalTime>
  <Pages>12</Pages>
  <Words>2345</Words>
  <Characters>13309</Characters>
  <Application>Microsoft Office Word</Application>
  <DocSecurity>0</DocSecurity>
  <PresentationFormat/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ACCTS Direction - revised with Minister's final amendments - 3 Nov 2020.docx</vt:lpstr>
    </vt:vector>
  </TitlesOfParts>
  <Manager/>
  <Company/>
  <LinksUpToDate>false</LinksUpToDate>
  <CharactersWithSpaces>15623</CharactersWithSpaces>
  <SharedDoc>false</SharedDoc>
  <HyperlinkBase/>
  <HLinks>
    <vt:vector size="6" baseType="variant">
      <vt:variant>
        <vt:i4>6160468</vt:i4>
      </vt:variant>
      <vt:variant>
        <vt:i4>3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ACCTS Direction - revised with Minister's final amendments - 3 Nov 2020.docx</dc:title>
  <dc:subject/>
  <dc:creator>Greenaway, Marie-Claire</dc:creator>
  <cp:keywords/>
  <dc:description/>
  <cp:lastModifiedBy>O'DEA Michael</cp:lastModifiedBy>
  <cp:revision>4</cp:revision>
  <cp:lastPrinted>2018-11-23T03:23:00Z</cp:lastPrinted>
  <dcterms:created xsi:type="dcterms:W3CDTF">2020-11-10T04:50:00Z</dcterms:created>
  <dcterms:modified xsi:type="dcterms:W3CDTF">2020-11-10T06:32:00Z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0</vt:lpwstr>
  </property>
  <property fmtid="{D5CDD505-2E9C-101B-9397-08002B2CF9AE}" pid="3" name="IndexMatter">
    <vt:lpwstr> </vt:lpwstr>
  </property>
  <property fmtid="{D5CDD505-2E9C-101B-9397-08002B2CF9AE}" pid="4" name="Converted">
    <vt:bool>true</vt:bool>
  </property>
  <property fmtid="{D5CDD505-2E9C-101B-9397-08002B2CF9AE}" pid="5" name="Header">
    <vt:lpwstr>Section</vt:lpwstr>
  </property>
  <property fmtid="{D5CDD505-2E9C-101B-9397-08002B2CF9AE}" pid="6" name="ActNo">
    <vt:lpwstr> </vt:lpwstr>
  </property>
  <property fmtid="{D5CDD505-2E9C-101B-9397-08002B2CF9AE}" pid="7" name="ShortT">
    <vt:lpwstr> </vt:lpwstr>
  </property>
  <property fmtid="{D5CDD505-2E9C-101B-9397-08002B2CF9AE}" pid="8" name="Class">
    <vt:lpwstr> </vt:lpwstr>
  </property>
  <property fmtid="{D5CDD505-2E9C-101B-9397-08002B2CF9AE}" pid="9" name="DocType">
    <vt:lpwstr>NEW</vt:lpwstr>
  </property>
  <property fmtid="{D5CDD505-2E9C-101B-9397-08002B2CF9AE}" pid="10" name="Exco">
    <vt:lpwstr>No</vt:lpwstr>
  </property>
  <property fmtid="{D5CDD505-2E9C-101B-9397-08002B2CF9AE}" pid="11" name="Authority">
    <vt:lpwstr/>
  </property>
  <property fmtid="{D5CDD505-2E9C-101B-9397-08002B2CF9AE}" pid="12" name="DateMade">
    <vt:lpwstr> </vt:lpwstr>
  </property>
  <property fmtid="{D5CDD505-2E9C-101B-9397-08002B2CF9AE}" pid="13" name="CounterSign">
    <vt:lpwstr/>
  </property>
  <property fmtid="{D5CDD505-2E9C-101B-9397-08002B2CF9AE}" pid="14" name="ExcoDate">
    <vt:lpwstr> </vt:lpwstr>
  </property>
  <property fmtid="{D5CDD505-2E9C-101B-9397-08002B2CF9AE}" pid="15" name="ContentTypeId">
    <vt:lpwstr>0x0101000121FC39C800FF40B3A133F5A91914B1</vt:lpwstr>
  </property>
  <property fmtid="{D5CDD505-2E9C-101B-9397-08002B2CF9AE}" pid="16" name="TrimRevisionNumber">
    <vt:i4>5</vt:i4>
  </property>
  <property fmtid="{D5CDD505-2E9C-101B-9397-08002B2CF9AE}" pid="17" name="_dlc_DocIdItemGuid">
    <vt:lpwstr>ea180ede-3c9d-43f0-831d-9965a9e2cb0c</vt:lpwstr>
  </property>
  <property fmtid="{D5CDD505-2E9C-101B-9397-08002B2CF9AE}" pid="18" name="e74c999a0f514bafbaad1ae53c56eac2">
    <vt:lpwstr/>
  </property>
  <property fmtid="{D5CDD505-2E9C-101B-9397-08002B2CF9AE}" pid="19" name="l30152c64bc5409cb0d6af5fc7998329">
    <vt:lpwstr/>
  </property>
  <property fmtid="{D5CDD505-2E9C-101B-9397-08002B2CF9AE}" pid="20" name="a26f7cb41fae41ebb6c8e377b7c30d71">
    <vt:lpwstr/>
  </property>
  <property fmtid="{D5CDD505-2E9C-101B-9397-08002B2CF9AE}" pid="21" name="hab31d4ae2264d5c8e77fd86c07e7635">
    <vt:lpwstr/>
  </property>
  <property fmtid="{D5CDD505-2E9C-101B-9397-08002B2CF9AE}" pid="22" name="l7f7762656034748af4098221ba10b64">
    <vt:lpwstr/>
  </property>
  <property fmtid="{D5CDD505-2E9C-101B-9397-08002B2CF9AE}" pid="23" name="e65fcc6ef396426b9c231bd6b3bc54de">
    <vt:lpwstr/>
  </property>
  <property fmtid="{D5CDD505-2E9C-101B-9397-08002B2CF9AE}" pid="24" name="c1aa94c1bcce43cc9138ccb9c7bf6e69">
    <vt:lpwstr/>
  </property>
  <property fmtid="{D5CDD505-2E9C-101B-9397-08002B2CF9AE}" pid="25" name="ie56bdfdc4a44ef997c05b4ed8c67594">
    <vt:lpwstr/>
  </property>
  <property fmtid="{D5CDD505-2E9C-101B-9397-08002B2CF9AE}" pid="26" name="dd9c7627a75f4720a6ccce58a35e4d75">
    <vt:lpwstr/>
  </property>
  <property fmtid="{D5CDD505-2E9C-101B-9397-08002B2CF9AE}" pid="27" name="me786d0e3c9949dc83d6a9826d3f7afb">
    <vt:lpwstr/>
  </property>
  <property fmtid="{D5CDD505-2E9C-101B-9397-08002B2CF9AE}" pid="28" name="TaxCatchAll">
    <vt:lpwstr/>
  </property>
  <property fmtid="{D5CDD505-2E9C-101B-9397-08002B2CF9AE}" pid="29" name="trimRootDocClassification">
    <vt:lpwstr/>
  </property>
  <property fmtid="{D5CDD505-2E9C-101B-9397-08002B2CF9AE}" pid="30" name="trimRootDocAssigneeLocation">
    <vt:lpwstr/>
  </property>
  <property fmtid="{D5CDD505-2E9C-101B-9397-08002B2CF9AE}" pid="31" name="trimRootDocOtherContactLocation">
    <vt:lpwstr/>
  </property>
  <property fmtid="{D5CDD505-2E9C-101B-9397-08002B2CF9AE}" pid="32" name="trimRootDocACLCanUpdateMetadata_List">
    <vt:lpwstr/>
  </property>
  <property fmtid="{D5CDD505-2E9C-101B-9397-08002B2CF9AE}" pid="33" name="trimRootDocACLCanModifyAccess_List">
    <vt:lpwstr/>
  </property>
  <property fmtid="{D5CDD505-2E9C-101B-9397-08002B2CF9AE}" pid="34" name="trimRootDocACLCanUpdateDocument_List">
    <vt:lpwstr/>
  </property>
  <property fmtid="{D5CDD505-2E9C-101B-9397-08002B2CF9AE}" pid="35" name="trimRootDocACLCanViewMetadata_List">
    <vt:lpwstr/>
  </property>
  <property fmtid="{D5CDD505-2E9C-101B-9397-08002B2CF9AE}" pid="36" name="trimRootDocACLCanViewDocument_List">
    <vt:lpwstr/>
  </property>
  <property fmtid="{D5CDD505-2E9C-101B-9397-08002B2CF9AE}" pid="37" name="trimRootDocOwnerLocation">
    <vt:lpwstr/>
  </property>
  <property fmtid="{D5CDD505-2E9C-101B-9397-08002B2CF9AE}" pid="38" name="trimRootDocACLCanContributeDocuments_List">
    <vt:lpwstr/>
  </property>
</Properties>
</file>