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C9A50" w14:textId="77777777" w:rsidR="002533F0" w:rsidRPr="001A321E" w:rsidRDefault="002533F0" w:rsidP="00FD21B4">
      <w:pPr>
        <w:spacing w:before="0" w:after="120"/>
        <w:ind w:right="91"/>
        <w:jc w:val="center"/>
        <w:rPr>
          <w:rFonts w:ascii="Arial" w:hAnsi="Arial" w:cs="Arial"/>
          <w:b/>
          <w:szCs w:val="24"/>
          <w:u w:val="single"/>
        </w:rPr>
      </w:pPr>
      <w:r w:rsidRPr="001A321E">
        <w:rPr>
          <w:rFonts w:ascii="Arial" w:hAnsi="Arial" w:cs="Arial"/>
          <w:b/>
          <w:szCs w:val="24"/>
          <w:u w:val="single"/>
        </w:rPr>
        <w:t>EXPLANATORY STATEMENT</w:t>
      </w:r>
    </w:p>
    <w:p w14:paraId="7F7C9A51" w14:textId="77777777" w:rsidR="00EC0C59" w:rsidRPr="001A321E" w:rsidRDefault="00EC0C59" w:rsidP="002533F0">
      <w:pPr>
        <w:spacing w:before="0"/>
        <w:ind w:right="91"/>
        <w:jc w:val="center"/>
        <w:rPr>
          <w:rFonts w:ascii="Arial" w:hAnsi="Arial" w:cs="Arial"/>
          <w:b/>
          <w:szCs w:val="24"/>
          <w:u w:val="single"/>
        </w:rPr>
      </w:pPr>
    </w:p>
    <w:p w14:paraId="7F7C9A52" w14:textId="77777777" w:rsidR="002533F0" w:rsidRPr="001A321E" w:rsidRDefault="002533F0" w:rsidP="002533F0">
      <w:pPr>
        <w:spacing w:before="0"/>
        <w:ind w:right="91"/>
        <w:jc w:val="center"/>
        <w:rPr>
          <w:rFonts w:ascii="Arial" w:hAnsi="Arial" w:cs="Arial"/>
          <w:szCs w:val="24"/>
        </w:rPr>
      </w:pPr>
      <w:r w:rsidRPr="001A321E">
        <w:rPr>
          <w:rFonts w:ascii="Arial" w:hAnsi="Arial" w:cs="Arial"/>
          <w:szCs w:val="24"/>
        </w:rPr>
        <w:t>Issued by the authority of the</w:t>
      </w:r>
      <w:r w:rsidR="00AD1645" w:rsidRPr="001A321E">
        <w:rPr>
          <w:rFonts w:ascii="Arial" w:hAnsi="Arial" w:cs="Arial"/>
          <w:szCs w:val="24"/>
        </w:rPr>
        <w:t xml:space="preserve"> Minister</w:t>
      </w:r>
      <w:r w:rsidR="00C455A2" w:rsidRPr="001A321E">
        <w:rPr>
          <w:rFonts w:ascii="Arial" w:hAnsi="Arial" w:cs="Arial"/>
          <w:szCs w:val="24"/>
        </w:rPr>
        <w:t xml:space="preserve"> for</w:t>
      </w:r>
      <w:r w:rsidR="00AD1645" w:rsidRPr="001A321E">
        <w:rPr>
          <w:rFonts w:ascii="Arial" w:hAnsi="Arial" w:cs="Arial"/>
          <w:szCs w:val="24"/>
        </w:rPr>
        <w:t xml:space="preserve"> </w:t>
      </w:r>
      <w:r w:rsidR="00FD21B4" w:rsidRPr="001A321E">
        <w:rPr>
          <w:rFonts w:ascii="Arial" w:hAnsi="Arial" w:cs="Arial"/>
          <w:szCs w:val="24"/>
        </w:rPr>
        <w:t>Families and Social Services</w:t>
      </w:r>
      <w:r w:rsidR="00446D6C" w:rsidRPr="001A321E">
        <w:rPr>
          <w:rFonts w:ascii="Arial" w:hAnsi="Arial" w:cs="Arial"/>
          <w:szCs w:val="24"/>
        </w:rPr>
        <w:t xml:space="preserve"> </w:t>
      </w:r>
    </w:p>
    <w:p w14:paraId="7F7C9A53" w14:textId="77777777" w:rsidR="002533F0" w:rsidRPr="001A321E" w:rsidRDefault="002533F0" w:rsidP="002533F0">
      <w:pPr>
        <w:spacing w:before="0"/>
        <w:ind w:right="91"/>
        <w:jc w:val="center"/>
        <w:rPr>
          <w:rFonts w:ascii="Arial" w:hAnsi="Arial" w:cs="Arial"/>
          <w:i/>
          <w:szCs w:val="24"/>
        </w:rPr>
      </w:pPr>
    </w:p>
    <w:p w14:paraId="7F7C9A54" w14:textId="77777777" w:rsidR="00966756" w:rsidRPr="001A321E" w:rsidRDefault="00FD21B4" w:rsidP="002533F0">
      <w:pPr>
        <w:spacing w:before="0"/>
        <w:ind w:right="91"/>
        <w:jc w:val="center"/>
        <w:rPr>
          <w:rFonts w:ascii="Arial" w:hAnsi="Arial" w:cs="Arial"/>
          <w:i/>
          <w:szCs w:val="24"/>
        </w:rPr>
      </w:pPr>
      <w:r w:rsidRPr="001A321E">
        <w:rPr>
          <w:rFonts w:ascii="Arial" w:hAnsi="Arial" w:cs="Arial"/>
          <w:i/>
          <w:szCs w:val="24"/>
        </w:rPr>
        <w:t>Coronavirus Economic Response Package Omnibus Act 2020</w:t>
      </w:r>
    </w:p>
    <w:p w14:paraId="7F7C9A55" w14:textId="77777777" w:rsidR="00196615" w:rsidRPr="001A321E" w:rsidRDefault="00196615" w:rsidP="002533F0">
      <w:pPr>
        <w:spacing w:before="0"/>
        <w:ind w:right="91"/>
        <w:jc w:val="center"/>
        <w:rPr>
          <w:rFonts w:ascii="Arial" w:hAnsi="Arial" w:cs="Arial"/>
          <w:i/>
          <w:szCs w:val="24"/>
        </w:rPr>
      </w:pPr>
    </w:p>
    <w:p w14:paraId="7F7C9A56" w14:textId="77777777" w:rsidR="00196615" w:rsidRPr="001A321E" w:rsidRDefault="00196615" w:rsidP="002533F0">
      <w:pPr>
        <w:spacing w:before="0"/>
        <w:ind w:right="91"/>
        <w:jc w:val="center"/>
        <w:rPr>
          <w:rFonts w:ascii="Arial" w:hAnsi="Arial" w:cs="Arial"/>
          <w:i/>
          <w:szCs w:val="24"/>
        </w:rPr>
      </w:pPr>
      <w:r w:rsidRPr="001A321E">
        <w:rPr>
          <w:rFonts w:ascii="Arial" w:hAnsi="Arial" w:cs="Arial"/>
          <w:i/>
          <w:szCs w:val="24"/>
        </w:rPr>
        <w:t>Social Security Act 1991</w:t>
      </w:r>
    </w:p>
    <w:p w14:paraId="7F7C9A57" w14:textId="77777777" w:rsidR="00966756" w:rsidRPr="001A321E" w:rsidRDefault="00966756" w:rsidP="002533F0">
      <w:pPr>
        <w:spacing w:before="0"/>
        <w:ind w:right="91"/>
        <w:jc w:val="center"/>
        <w:rPr>
          <w:rFonts w:ascii="Arial" w:hAnsi="Arial" w:cs="Arial"/>
          <w:szCs w:val="24"/>
        </w:rPr>
      </w:pPr>
    </w:p>
    <w:p w14:paraId="7F7C9A58" w14:textId="77777777" w:rsidR="002533F0" w:rsidRPr="001A321E" w:rsidRDefault="00FD21B4" w:rsidP="002533F0">
      <w:pPr>
        <w:spacing w:before="0"/>
        <w:ind w:right="91"/>
        <w:jc w:val="center"/>
        <w:rPr>
          <w:rFonts w:ascii="Arial" w:hAnsi="Arial" w:cs="Arial"/>
          <w:i/>
          <w:szCs w:val="24"/>
        </w:rPr>
      </w:pPr>
      <w:r w:rsidRPr="001A321E">
        <w:rPr>
          <w:rFonts w:ascii="Arial" w:hAnsi="Arial" w:cs="Arial"/>
          <w:i/>
          <w:szCs w:val="24"/>
        </w:rPr>
        <w:t xml:space="preserve">Social Security (Coronavirus Economic Response – 2020 Measures No. </w:t>
      </w:r>
      <w:r w:rsidR="0099111C" w:rsidRPr="001A321E">
        <w:rPr>
          <w:rFonts w:ascii="Arial" w:hAnsi="Arial" w:cs="Arial"/>
          <w:i/>
          <w:szCs w:val="24"/>
        </w:rPr>
        <w:t>15</w:t>
      </w:r>
      <w:r w:rsidRPr="001A321E">
        <w:rPr>
          <w:rFonts w:ascii="Arial" w:hAnsi="Arial" w:cs="Arial"/>
          <w:i/>
          <w:szCs w:val="24"/>
        </w:rPr>
        <w:t>) Determination 2020</w:t>
      </w:r>
    </w:p>
    <w:p w14:paraId="7F7C9A59" w14:textId="77777777" w:rsidR="002533F0" w:rsidRPr="001A321E" w:rsidRDefault="002533F0" w:rsidP="002533F0">
      <w:pPr>
        <w:spacing w:before="0"/>
        <w:ind w:right="91"/>
        <w:jc w:val="center"/>
        <w:rPr>
          <w:rFonts w:ascii="Arial" w:hAnsi="Arial" w:cs="Arial"/>
          <w:i/>
          <w:szCs w:val="24"/>
        </w:rPr>
      </w:pPr>
    </w:p>
    <w:p w14:paraId="7F7C9A5A" w14:textId="77777777" w:rsidR="0015134A" w:rsidRPr="001A321E" w:rsidRDefault="0015134A" w:rsidP="004B54CA">
      <w:pPr>
        <w:rPr>
          <w:rStyle w:val="BookTitle"/>
          <w:rFonts w:ascii="Arial" w:hAnsi="Arial" w:cs="Arial"/>
          <w:b/>
          <w:i w:val="0"/>
          <w:iCs w:val="0"/>
          <w:smallCaps w:val="0"/>
          <w:spacing w:val="0"/>
          <w:szCs w:val="24"/>
        </w:rPr>
      </w:pPr>
      <w:r w:rsidRPr="001A321E">
        <w:rPr>
          <w:rStyle w:val="BookTitle"/>
          <w:rFonts w:ascii="Arial" w:hAnsi="Arial" w:cs="Arial"/>
          <w:b/>
          <w:i w:val="0"/>
          <w:iCs w:val="0"/>
          <w:smallCaps w:val="0"/>
          <w:spacing w:val="0"/>
          <w:szCs w:val="24"/>
        </w:rPr>
        <w:t>Background</w:t>
      </w:r>
    </w:p>
    <w:p w14:paraId="7F7C9A5B" w14:textId="5507C63C" w:rsidR="002E726C" w:rsidRPr="001A321E" w:rsidRDefault="002E726C" w:rsidP="002E726C">
      <w:pPr>
        <w:rPr>
          <w:rFonts w:ascii="Arial" w:hAnsi="Arial" w:cs="Arial"/>
          <w:szCs w:val="24"/>
        </w:rPr>
      </w:pPr>
      <w:r w:rsidRPr="001A321E">
        <w:rPr>
          <w:rFonts w:ascii="Arial" w:hAnsi="Arial" w:cs="Arial"/>
          <w:szCs w:val="24"/>
        </w:rPr>
        <w:t xml:space="preserve">The </w:t>
      </w:r>
      <w:r w:rsidRPr="001A321E">
        <w:rPr>
          <w:rFonts w:ascii="Arial" w:hAnsi="Arial" w:cs="Arial"/>
          <w:i/>
          <w:szCs w:val="24"/>
        </w:rPr>
        <w:t>Coronavirus Economic Response Package Omnibus Act 2020</w:t>
      </w:r>
      <w:r w:rsidRPr="001A321E">
        <w:rPr>
          <w:rFonts w:ascii="Arial" w:hAnsi="Arial" w:cs="Arial"/>
          <w:szCs w:val="24"/>
        </w:rPr>
        <w:t xml:space="preserve"> (the</w:t>
      </w:r>
      <w:r w:rsidR="005A2B51" w:rsidRPr="001A321E">
        <w:rPr>
          <w:rFonts w:ascii="Arial" w:hAnsi="Arial" w:cs="Arial"/>
          <w:szCs w:val="24"/>
        </w:rPr>
        <w:t> </w:t>
      </w:r>
      <w:r w:rsidR="00FC52A5" w:rsidRPr="001A321E">
        <w:rPr>
          <w:rFonts w:ascii="Arial" w:hAnsi="Arial" w:cs="Arial"/>
          <w:szCs w:val="24"/>
        </w:rPr>
        <w:t>Omnibus</w:t>
      </w:r>
      <w:r w:rsidR="00644E03" w:rsidRPr="001A321E">
        <w:rPr>
          <w:rFonts w:ascii="Arial" w:hAnsi="Arial" w:cs="Arial"/>
          <w:szCs w:val="24"/>
        </w:rPr>
        <w:t> </w:t>
      </w:r>
      <w:r w:rsidRPr="001A321E">
        <w:rPr>
          <w:rFonts w:ascii="Arial" w:hAnsi="Arial" w:cs="Arial"/>
          <w:szCs w:val="24"/>
        </w:rPr>
        <w:t xml:space="preserve">Act) amended the </w:t>
      </w:r>
      <w:r w:rsidRPr="001A321E">
        <w:rPr>
          <w:rFonts w:ascii="Arial" w:hAnsi="Arial" w:cs="Arial"/>
          <w:i/>
          <w:szCs w:val="24"/>
        </w:rPr>
        <w:t>Social Security Act 1991</w:t>
      </w:r>
      <w:r w:rsidRPr="001A321E">
        <w:rPr>
          <w:rFonts w:ascii="Arial" w:hAnsi="Arial" w:cs="Arial"/>
          <w:szCs w:val="24"/>
        </w:rPr>
        <w:t xml:space="preserve"> (</w:t>
      </w:r>
      <w:r w:rsidR="00FC52A5" w:rsidRPr="001A321E">
        <w:rPr>
          <w:rFonts w:ascii="Arial" w:hAnsi="Arial" w:cs="Arial"/>
          <w:szCs w:val="24"/>
        </w:rPr>
        <w:t>the</w:t>
      </w:r>
      <w:r w:rsidRPr="001A321E">
        <w:rPr>
          <w:rFonts w:ascii="Arial" w:hAnsi="Arial" w:cs="Arial"/>
          <w:szCs w:val="24"/>
        </w:rPr>
        <w:t xml:space="preserve"> Act) to provide additional financial assistance to Australians financially impacted by </w:t>
      </w:r>
      <w:r w:rsidR="00791C2F" w:rsidRPr="001A321E">
        <w:rPr>
          <w:rFonts w:ascii="Arial" w:hAnsi="Arial" w:cs="Arial"/>
          <w:szCs w:val="24"/>
        </w:rPr>
        <w:t>the Coronavirus known as COVID-19</w:t>
      </w:r>
      <w:r w:rsidRPr="001A321E">
        <w:rPr>
          <w:rFonts w:ascii="Arial" w:hAnsi="Arial" w:cs="Arial"/>
          <w:szCs w:val="24"/>
        </w:rPr>
        <w:t xml:space="preserve">. </w:t>
      </w:r>
    </w:p>
    <w:p w14:paraId="7F7C9A5C" w14:textId="5B2BCD12" w:rsidR="00B24BD8" w:rsidRPr="001A321E" w:rsidRDefault="002E726C" w:rsidP="002E726C">
      <w:pPr>
        <w:rPr>
          <w:rFonts w:ascii="Arial" w:hAnsi="Arial" w:cs="Arial"/>
          <w:szCs w:val="24"/>
        </w:rPr>
      </w:pPr>
      <w:r w:rsidRPr="001A321E">
        <w:rPr>
          <w:rFonts w:ascii="Arial" w:hAnsi="Arial" w:cs="Arial"/>
          <w:szCs w:val="24"/>
        </w:rPr>
        <w:t xml:space="preserve">Item 40A of Schedule 11 to the </w:t>
      </w:r>
      <w:r w:rsidR="004260D7" w:rsidRPr="001A321E">
        <w:rPr>
          <w:rFonts w:ascii="Arial" w:hAnsi="Arial" w:cs="Arial"/>
          <w:szCs w:val="24"/>
        </w:rPr>
        <w:t>Omnibus </w:t>
      </w:r>
      <w:r w:rsidRPr="001A321E">
        <w:rPr>
          <w:rFonts w:ascii="Arial" w:hAnsi="Arial" w:cs="Arial"/>
          <w:szCs w:val="24"/>
        </w:rPr>
        <w:t>Ac</w:t>
      </w:r>
      <w:r w:rsidR="005A2B51" w:rsidRPr="001A321E">
        <w:rPr>
          <w:rFonts w:ascii="Arial" w:hAnsi="Arial" w:cs="Arial"/>
          <w:szCs w:val="24"/>
        </w:rPr>
        <w:t xml:space="preserve">t allows the Minister to make </w:t>
      </w:r>
      <w:proofErr w:type="gramStart"/>
      <w:r w:rsidR="005A2B51" w:rsidRPr="001A321E">
        <w:rPr>
          <w:rFonts w:ascii="Arial" w:hAnsi="Arial" w:cs="Arial"/>
          <w:szCs w:val="24"/>
        </w:rPr>
        <w:t>a</w:t>
      </w:r>
      <w:proofErr w:type="gramEnd"/>
      <w:r w:rsidR="005A2B51" w:rsidRPr="001A321E">
        <w:rPr>
          <w:rFonts w:ascii="Arial" w:hAnsi="Arial" w:cs="Arial"/>
          <w:szCs w:val="24"/>
        </w:rPr>
        <w:t> </w:t>
      </w:r>
      <w:r w:rsidRPr="001A321E">
        <w:rPr>
          <w:rFonts w:ascii="Arial" w:hAnsi="Arial" w:cs="Arial"/>
          <w:szCs w:val="24"/>
        </w:rPr>
        <w:t>determination modifying the operation of the social security law relating to the qualification for, or the rate of, a social security payment.</w:t>
      </w:r>
      <w:r w:rsidR="00644E03" w:rsidRPr="001A321E">
        <w:rPr>
          <w:rFonts w:ascii="Arial" w:hAnsi="Arial" w:cs="Arial"/>
          <w:szCs w:val="24"/>
        </w:rPr>
        <w:t xml:space="preserve"> </w:t>
      </w:r>
      <w:r w:rsidR="005A2B51" w:rsidRPr="001A321E">
        <w:rPr>
          <w:rFonts w:ascii="Arial" w:hAnsi="Arial" w:cs="Arial"/>
          <w:szCs w:val="24"/>
        </w:rPr>
        <w:t xml:space="preserve"> The Minister must be </w:t>
      </w:r>
      <w:r w:rsidRPr="001A321E">
        <w:rPr>
          <w:rFonts w:ascii="Arial" w:hAnsi="Arial" w:cs="Arial"/>
          <w:szCs w:val="24"/>
        </w:rPr>
        <w:t xml:space="preserve">satisfied that the determination is in response to circumstances relating to the Coronavirus known as COVID-19.  Such a determination is a legislative instrument subject to disallowance. </w:t>
      </w:r>
      <w:r w:rsidR="00B24BD8" w:rsidRPr="001A321E">
        <w:rPr>
          <w:rFonts w:ascii="Arial" w:hAnsi="Arial" w:cs="Arial"/>
          <w:szCs w:val="24"/>
        </w:rPr>
        <w:br/>
      </w:r>
    </w:p>
    <w:p w14:paraId="7F7C9A5D" w14:textId="77777777" w:rsidR="002E726C" w:rsidRPr="001A321E" w:rsidRDefault="00B24BD8" w:rsidP="00743C1C">
      <w:pPr>
        <w:spacing w:before="0"/>
        <w:ind w:right="91"/>
        <w:rPr>
          <w:rFonts w:ascii="Arial" w:hAnsi="Arial" w:cs="Arial"/>
          <w:szCs w:val="24"/>
        </w:rPr>
      </w:pPr>
      <w:r w:rsidRPr="001A321E">
        <w:rPr>
          <w:rFonts w:ascii="Arial" w:hAnsi="Arial" w:cs="Arial"/>
          <w:szCs w:val="24"/>
        </w:rPr>
        <w:t>The Social Security (Coronavirus Economic Response – 2020 Measures No. 15) Determination 2020 (t</w:t>
      </w:r>
      <w:r w:rsidR="002E726C" w:rsidRPr="001A321E">
        <w:rPr>
          <w:rFonts w:ascii="Arial" w:hAnsi="Arial" w:cs="Arial"/>
          <w:szCs w:val="24"/>
        </w:rPr>
        <w:t xml:space="preserve">his </w:t>
      </w:r>
      <w:r w:rsidRPr="001A321E">
        <w:rPr>
          <w:rFonts w:ascii="Arial" w:hAnsi="Arial" w:cs="Arial"/>
          <w:szCs w:val="24"/>
        </w:rPr>
        <w:t>D</w:t>
      </w:r>
      <w:r w:rsidR="002E726C" w:rsidRPr="001A321E">
        <w:rPr>
          <w:rFonts w:ascii="Arial" w:hAnsi="Arial" w:cs="Arial"/>
          <w:szCs w:val="24"/>
        </w:rPr>
        <w:t>etermination</w:t>
      </w:r>
      <w:r w:rsidRPr="001A321E">
        <w:rPr>
          <w:rFonts w:ascii="Arial" w:hAnsi="Arial" w:cs="Arial"/>
          <w:szCs w:val="24"/>
        </w:rPr>
        <w:t>)</w:t>
      </w:r>
      <w:r w:rsidR="002E726C" w:rsidRPr="001A321E">
        <w:rPr>
          <w:rFonts w:ascii="Arial" w:hAnsi="Arial" w:cs="Arial"/>
          <w:szCs w:val="24"/>
        </w:rPr>
        <w:t xml:space="preserve"> is made in response to circumstances relating to the Coronavirus known as COVID-19.</w:t>
      </w:r>
    </w:p>
    <w:p w14:paraId="7F7C9A5E" w14:textId="206B24D1" w:rsidR="002E726C" w:rsidRPr="001A321E" w:rsidRDefault="001358CA" w:rsidP="002E726C">
      <w:pPr>
        <w:rPr>
          <w:rFonts w:ascii="Arial" w:hAnsi="Arial" w:cs="Arial"/>
          <w:szCs w:val="24"/>
        </w:rPr>
      </w:pPr>
      <w:r w:rsidRPr="001A321E">
        <w:rPr>
          <w:rFonts w:ascii="Arial" w:hAnsi="Arial" w:cs="Arial"/>
          <w:szCs w:val="24"/>
        </w:rPr>
        <w:t>D</w:t>
      </w:r>
      <w:r w:rsidR="004260D7" w:rsidRPr="001A321E">
        <w:rPr>
          <w:rFonts w:ascii="Arial" w:hAnsi="Arial" w:cs="Arial"/>
          <w:szCs w:val="24"/>
        </w:rPr>
        <w:t>etermination</w:t>
      </w:r>
      <w:r w:rsidRPr="001A321E">
        <w:rPr>
          <w:rFonts w:ascii="Arial" w:hAnsi="Arial" w:cs="Arial"/>
          <w:szCs w:val="24"/>
        </w:rPr>
        <w:t>s made</w:t>
      </w:r>
      <w:r w:rsidR="004260D7" w:rsidRPr="001A321E">
        <w:rPr>
          <w:rFonts w:ascii="Arial" w:hAnsi="Arial" w:cs="Arial"/>
          <w:szCs w:val="24"/>
        </w:rPr>
        <w:t xml:space="preserve"> under </w:t>
      </w:r>
      <w:r w:rsidR="003A016F" w:rsidRPr="001A321E">
        <w:rPr>
          <w:rFonts w:ascii="Arial" w:hAnsi="Arial" w:cs="Arial"/>
          <w:szCs w:val="24"/>
        </w:rPr>
        <w:t>i</w:t>
      </w:r>
      <w:r w:rsidR="004260D7" w:rsidRPr="001A321E">
        <w:rPr>
          <w:rFonts w:ascii="Arial" w:hAnsi="Arial" w:cs="Arial"/>
          <w:szCs w:val="24"/>
        </w:rPr>
        <w:t>tem 40A of Schedule 11 to the Omnibus Act</w:t>
      </w:r>
      <w:r w:rsidR="00BB00D1" w:rsidRPr="001A321E">
        <w:rPr>
          <w:rFonts w:ascii="Arial" w:hAnsi="Arial" w:cs="Arial"/>
          <w:szCs w:val="24"/>
        </w:rPr>
        <w:t xml:space="preserve"> </w:t>
      </w:r>
      <w:r w:rsidRPr="001A321E">
        <w:rPr>
          <w:rFonts w:ascii="Arial" w:hAnsi="Arial" w:cs="Arial"/>
          <w:szCs w:val="24"/>
        </w:rPr>
        <w:t xml:space="preserve">have </w:t>
      </w:r>
      <w:r w:rsidR="005A2B51" w:rsidRPr="001A321E">
        <w:rPr>
          <w:rFonts w:ascii="Arial" w:hAnsi="Arial" w:cs="Arial"/>
          <w:szCs w:val="24"/>
        </w:rPr>
        <w:t>no </w:t>
      </w:r>
      <w:r w:rsidR="002E726C" w:rsidRPr="001A321E">
        <w:rPr>
          <w:rFonts w:ascii="Arial" w:hAnsi="Arial" w:cs="Arial"/>
          <w:szCs w:val="24"/>
        </w:rPr>
        <w:t xml:space="preserve">operation after 31 December 2020. </w:t>
      </w:r>
    </w:p>
    <w:p w14:paraId="7F7C9A5F" w14:textId="73BB3099" w:rsidR="00F71F1B" w:rsidRPr="001A321E" w:rsidRDefault="00F71F1B" w:rsidP="00F71F1B">
      <w:pPr>
        <w:rPr>
          <w:rFonts w:ascii="Arial" w:hAnsi="Arial" w:cs="Arial"/>
          <w:szCs w:val="24"/>
        </w:rPr>
      </w:pPr>
      <w:r w:rsidRPr="001A321E">
        <w:rPr>
          <w:rFonts w:ascii="Arial" w:hAnsi="Arial" w:cs="Arial"/>
          <w:szCs w:val="24"/>
        </w:rPr>
        <w:t>Schedule 11 to the Omnibus Act also amended the Ac</w:t>
      </w:r>
      <w:r w:rsidR="005A2B51" w:rsidRPr="001A321E">
        <w:rPr>
          <w:rFonts w:ascii="Arial" w:hAnsi="Arial" w:cs="Arial"/>
          <w:szCs w:val="24"/>
        </w:rPr>
        <w:t>t to provide for the payment of </w:t>
      </w:r>
      <w:r w:rsidRPr="001A321E">
        <w:rPr>
          <w:rFonts w:ascii="Arial" w:hAnsi="Arial" w:cs="Arial"/>
          <w:szCs w:val="24"/>
        </w:rPr>
        <w:t xml:space="preserve">the COVID-19 supplement to recipients of </w:t>
      </w:r>
      <w:proofErr w:type="spellStart"/>
      <w:r w:rsidRPr="001A321E">
        <w:rPr>
          <w:rFonts w:ascii="Arial" w:hAnsi="Arial" w:cs="Arial"/>
          <w:szCs w:val="24"/>
        </w:rPr>
        <w:t>JobSeeker</w:t>
      </w:r>
      <w:proofErr w:type="spellEnd"/>
      <w:r w:rsidRPr="001A321E">
        <w:rPr>
          <w:rFonts w:ascii="Arial" w:hAnsi="Arial" w:cs="Arial"/>
          <w:szCs w:val="24"/>
        </w:rPr>
        <w:t xml:space="preserve"> Payment</w:t>
      </w:r>
      <w:r w:rsidR="003567C0" w:rsidRPr="001A321E">
        <w:rPr>
          <w:rStyle w:val="FootnoteReference"/>
          <w:rFonts w:ascii="Arial" w:hAnsi="Arial" w:cs="Arial"/>
          <w:szCs w:val="24"/>
        </w:rPr>
        <w:footnoteReference w:id="1"/>
      </w:r>
      <w:r w:rsidRPr="001A321E">
        <w:rPr>
          <w:rFonts w:ascii="Arial" w:hAnsi="Arial" w:cs="Arial"/>
          <w:szCs w:val="24"/>
        </w:rPr>
        <w:t>, Parenting Payment</w:t>
      </w:r>
      <w:r w:rsidR="003567C0" w:rsidRPr="001A321E">
        <w:rPr>
          <w:rStyle w:val="FootnoteReference"/>
          <w:rFonts w:ascii="Arial" w:hAnsi="Arial" w:cs="Arial"/>
          <w:szCs w:val="24"/>
        </w:rPr>
        <w:footnoteReference w:id="2"/>
      </w:r>
      <w:r w:rsidRPr="001A321E">
        <w:rPr>
          <w:rFonts w:ascii="Arial" w:hAnsi="Arial" w:cs="Arial"/>
          <w:szCs w:val="24"/>
        </w:rPr>
        <w:t>, Youth Allowance (Other)</w:t>
      </w:r>
      <w:r w:rsidR="00441CF1" w:rsidRPr="001A321E">
        <w:rPr>
          <w:rStyle w:val="FootnoteReference"/>
          <w:rFonts w:ascii="Arial" w:hAnsi="Arial" w:cs="Arial"/>
          <w:szCs w:val="24"/>
        </w:rPr>
        <w:footnoteReference w:id="3"/>
      </w:r>
      <w:r w:rsidRPr="001A321E">
        <w:rPr>
          <w:rFonts w:ascii="Arial" w:hAnsi="Arial" w:cs="Arial"/>
          <w:szCs w:val="24"/>
        </w:rPr>
        <w:t xml:space="preserve"> and Sickness Allowance</w:t>
      </w:r>
      <w:r w:rsidR="00441CF1" w:rsidRPr="001A321E">
        <w:rPr>
          <w:rStyle w:val="FootnoteReference"/>
          <w:rFonts w:ascii="Arial" w:hAnsi="Arial" w:cs="Arial"/>
          <w:szCs w:val="24"/>
        </w:rPr>
        <w:footnoteReference w:id="4"/>
      </w:r>
      <w:r w:rsidRPr="001A321E">
        <w:rPr>
          <w:rFonts w:ascii="Arial" w:hAnsi="Arial" w:cs="Arial"/>
          <w:szCs w:val="24"/>
        </w:rPr>
        <w:t xml:space="preserve"> for an initial period that ended on 24 September 2020</w:t>
      </w:r>
      <w:r w:rsidR="000E4DFA" w:rsidRPr="001A321E">
        <w:rPr>
          <w:rFonts w:ascii="Arial" w:hAnsi="Arial" w:cs="Arial"/>
          <w:szCs w:val="24"/>
        </w:rPr>
        <w:t>.</w:t>
      </w:r>
      <w:r w:rsidR="00441CF1" w:rsidRPr="001A321E">
        <w:rPr>
          <w:rStyle w:val="FootnoteReference"/>
          <w:rFonts w:ascii="Arial" w:hAnsi="Arial" w:cs="Arial"/>
          <w:szCs w:val="24"/>
        </w:rPr>
        <w:footnoteReference w:id="5"/>
      </w:r>
      <w:r w:rsidRPr="001A321E">
        <w:rPr>
          <w:rFonts w:ascii="Arial" w:hAnsi="Arial" w:cs="Arial"/>
          <w:szCs w:val="24"/>
        </w:rPr>
        <w:t xml:space="preserve">  The period for which the supplement is payable </w:t>
      </w:r>
      <w:r w:rsidR="00441CF1" w:rsidRPr="001A321E">
        <w:rPr>
          <w:rFonts w:ascii="Arial" w:hAnsi="Arial" w:cs="Arial"/>
          <w:szCs w:val="24"/>
        </w:rPr>
        <w:t xml:space="preserve">to recipients of </w:t>
      </w:r>
      <w:proofErr w:type="spellStart"/>
      <w:r w:rsidR="00441CF1" w:rsidRPr="001A321E">
        <w:rPr>
          <w:rFonts w:ascii="Arial" w:hAnsi="Arial" w:cs="Arial"/>
          <w:szCs w:val="24"/>
        </w:rPr>
        <w:t>JobSeeker</w:t>
      </w:r>
      <w:proofErr w:type="spellEnd"/>
      <w:r w:rsidR="00441CF1" w:rsidRPr="001A321E">
        <w:rPr>
          <w:rFonts w:ascii="Arial" w:hAnsi="Arial" w:cs="Arial"/>
          <w:szCs w:val="24"/>
        </w:rPr>
        <w:t xml:space="preserve"> Payment, Parenting Payment and Youth Allowance </w:t>
      </w:r>
      <w:r w:rsidRPr="001A321E">
        <w:rPr>
          <w:rFonts w:ascii="Arial" w:hAnsi="Arial" w:cs="Arial"/>
          <w:szCs w:val="24"/>
        </w:rPr>
        <w:t>was then extended, by legislative instrument</w:t>
      </w:r>
      <w:r w:rsidR="00441CF1" w:rsidRPr="001A321E">
        <w:rPr>
          <w:rFonts w:ascii="Arial" w:hAnsi="Arial" w:cs="Arial"/>
          <w:szCs w:val="24"/>
        </w:rPr>
        <w:t>,</w:t>
      </w:r>
      <w:r w:rsidRPr="001A321E">
        <w:rPr>
          <w:rFonts w:ascii="Arial" w:hAnsi="Arial" w:cs="Arial"/>
          <w:szCs w:val="24"/>
        </w:rPr>
        <w:t xml:space="preserve"> to 18 December 2020 at a rate o</w:t>
      </w:r>
      <w:r w:rsidR="005A2B51" w:rsidRPr="001A321E">
        <w:rPr>
          <w:rFonts w:ascii="Arial" w:hAnsi="Arial" w:cs="Arial"/>
          <w:szCs w:val="24"/>
        </w:rPr>
        <w:t>f $250 a </w:t>
      </w:r>
      <w:r w:rsidRPr="001A321E">
        <w:rPr>
          <w:rFonts w:ascii="Arial" w:hAnsi="Arial" w:cs="Arial"/>
          <w:szCs w:val="24"/>
        </w:rPr>
        <w:t>fortnight</w:t>
      </w:r>
      <w:r w:rsidRPr="001A321E">
        <w:rPr>
          <w:rStyle w:val="BookTitle"/>
          <w:rFonts w:ascii="Arial" w:hAnsi="Arial" w:cs="Arial"/>
          <w:i w:val="0"/>
          <w:iCs w:val="0"/>
          <w:smallCaps w:val="0"/>
          <w:spacing w:val="0"/>
          <w:szCs w:val="24"/>
        </w:rPr>
        <w:t>.</w:t>
      </w:r>
    </w:p>
    <w:p w14:paraId="7F7C9A60" w14:textId="1CBFB014" w:rsidR="00F71F1B" w:rsidRPr="001A321E" w:rsidRDefault="00F71F1B" w:rsidP="00F71F1B">
      <w:pPr>
        <w:rPr>
          <w:rFonts w:ascii="Arial" w:hAnsi="Arial" w:cs="Arial"/>
          <w:szCs w:val="24"/>
        </w:rPr>
      </w:pPr>
      <w:r w:rsidRPr="001A321E">
        <w:rPr>
          <w:rFonts w:ascii="Arial" w:hAnsi="Arial" w:cs="Arial"/>
          <w:szCs w:val="24"/>
        </w:rPr>
        <w:lastRenderedPageBreak/>
        <w:t xml:space="preserve">Schedule 11 to the Omnibus Act also amended the Act to insert new section 1210B.  This section provides that the Minister may make a legislative instrument determining other social security payment recipients that can be paid the COVID-19 supplement and the rate of payment and period in respect of which it can be paid.  The Minister made legislative instruments determining </w:t>
      </w:r>
      <w:proofErr w:type="spellStart"/>
      <w:r w:rsidRPr="001A321E">
        <w:rPr>
          <w:rFonts w:ascii="Arial" w:hAnsi="Arial" w:cs="Arial"/>
          <w:szCs w:val="24"/>
        </w:rPr>
        <w:t>Austudy</w:t>
      </w:r>
      <w:proofErr w:type="spellEnd"/>
      <w:r w:rsidRPr="001A321E">
        <w:rPr>
          <w:rFonts w:ascii="Arial" w:hAnsi="Arial" w:cs="Arial"/>
          <w:szCs w:val="24"/>
        </w:rPr>
        <w:t xml:space="preserve"> Payment, Special Benefit, Partner Allowance and Widow Allowance as payments in respect of which the supplement can be paid.  The period for whi</w:t>
      </w:r>
      <w:r w:rsidR="005A2B51" w:rsidRPr="001A321E">
        <w:rPr>
          <w:rFonts w:ascii="Arial" w:hAnsi="Arial" w:cs="Arial"/>
          <w:szCs w:val="24"/>
        </w:rPr>
        <w:t>ch the supplement is payable to </w:t>
      </w:r>
      <w:r w:rsidRPr="001A321E">
        <w:rPr>
          <w:rFonts w:ascii="Arial" w:hAnsi="Arial" w:cs="Arial"/>
          <w:szCs w:val="24"/>
        </w:rPr>
        <w:t>recipients of these payments ha</w:t>
      </w:r>
      <w:r w:rsidR="005A2B51" w:rsidRPr="001A321E">
        <w:rPr>
          <w:rFonts w:ascii="Arial" w:hAnsi="Arial" w:cs="Arial"/>
          <w:szCs w:val="24"/>
        </w:rPr>
        <w:t>d</w:t>
      </w:r>
      <w:r w:rsidRPr="001A321E">
        <w:rPr>
          <w:rFonts w:ascii="Arial" w:hAnsi="Arial" w:cs="Arial"/>
          <w:szCs w:val="24"/>
        </w:rPr>
        <w:t xml:space="preserve"> also been extended</w:t>
      </w:r>
      <w:r w:rsidR="00441CF1" w:rsidRPr="001A321E">
        <w:rPr>
          <w:rFonts w:ascii="Arial" w:hAnsi="Arial" w:cs="Arial"/>
          <w:szCs w:val="24"/>
        </w:rPr>
        <w:t>, by legislative instrument,</w:t>
      </w:r>
      <w:r w:rsidR="005A2B51" w:rsidRPr="001A321E">
        <w:rPr>
          <w:rFonts w:ascii="Arial" w:hAnsi="Arial" w:cs="Arial"/>
          <w:szCs w:val="24"/>
        </w:rPr>
        <w:t xml:space="preserve"> to </w:t>
      </w:r>
      <w:r w:rsidRPr="001A321E">
        <w:rPr>
          <w:rFonts w:ascii="Arial" w:hAnsi="Arial" w:cs="Arial"/>
          <w:szCs w:val="24"/>
        </w:rPr>
        <w:t>18 December 2020 at a rate of $250 a fortnight</w:t>
      </w:r>
      <w:r w:rsidRPr="001A321E">
        <w:rPr>
          <w:rStyle w:val="BookTitle"/>
          <w:rFonts w:ascii="Arial" w:hAnsi="Arial" w:cs="Arial"/>
          <w:i w:val="0"/>
          <w:iCs w:val="0"/>
          <w:smallCaps w:val="0"/>
          <w:spacing w:val="0"/>
          <w:szCs w:val="24"/>
        </w:rPr>
        <w:t>.</w:t>
      </w:r>
    </w:p>
    <w:p w14:paraId="7F7C9A61" w14:textId="77777777" w:rsidR="002E726C" w:rsidRPr="001A321E" w:rsidRDefault="002E726C" w:rsidP="002E726C">
      <w:pPr>
        <w:spacing w:before="0"/>
        <w:rPr>
          <w:rFonts w:ascii="Arial" w:hAnsi="Arial" w:cs="Arial"/>
        </w:rPr>
      </w:pPr>
    </w:p>
    <w:p w14:paraId="7F7C9A62" w14:textId="77777777" w:rsidR="000B408C" w:rsidRPr="001A321E" w:rsidRDefault="002E726C" w:rsidP="002E726C">
      <w:pPr>
        <w:spacing w:before="0"/>
        <w:ind w:right="91"/>
        <w:rPr>
          <w:rFonts w:ascii="Arial" w:hAnsi="Arial" w:cs="Arial"/>
          <w:b/>
          <w:szCs w:val="24"/>
        </w:rPr>
      </w:pPr>
      <w:r w:rsidRPr="001A321E">
        <w:rPr>
          <w:rFonts w:ascii="Arial" w:hAnsi="Arial" w:cs="Arial"/>
          <w:b/>
          <w:szCs w:val="24"/>
        </w:rPr>
        <w:t>Purpose</w:t>
      </w:r>
    </w:p>
    <w:p w14:paraId="7F7C9A63" w14:textId="77777777" w:rsidR="00F71F1B" w:rsidRPr="001A321E" w:rsidRDefault="00F71F1B" w:rsidP="002E726C">
      <w:pPr>
        <w:rPr>
          <w:rStyle w:val="BookTitle"/>
          <w:rFonts w:ascii="Arial" w:hAnsi="Arial" w:cs="Arial"/>
          <w:iCs w:val="0"/>
          <w:smallCaps w:val="0"/>
          <w:spacing w:val="0"/>
          <w:szCs w:val="24"/>
        </w:rPr>
      </w:pPr>
      <w:r w:rsidRPr="001A321E">
        <w:rPr>
          <w:rStyle w:val="BookTitle"/>
          <w:rFonts w:ascii="Arial" w:hAnsi="Arial" w:cs="Arial"/>
          <w:iCs w:val="0"/>
          <w:smallCaps w:val="0"/>
          <w:spacing w:val="0"/>
          <w:szCs w:val="24"/>
        </w:rPr>
        <w:t xml:space="preserve">Extension of the COVID-19 supplement period </w:t>
      </w:r>
      <w:r w:rsidR="00034A98" w:rsidRPr="001A321E">
        <w:rPr>
          <w:rStyle w:val="BookTitle"/>
          <w:rFonts w:ascii="Arial" w:hAnsi="Arial" w:cs="Arial"/>
          <w:iCs w:val="0"/>
          <w:smallCaps w:val="0"/>
          <w:spacing w:val="0"/>
          <w:szCs w:val="24"/>
        </w:rPr>
        <w:t>through</w:t>
      </w:r>
      <w:r w:rsidRPr="001A321E">
        <w:rPr>
          <w:rStyle w:val="BookTitle"/>
          <w:rFonts w:ascii="Arial" w:hAnsi="Arial" w:cs="Arial"/>
          <w:iCs w:val="0"/>
          <w:smallCaps w:val="0"/>
          <w:spacing w:val="0"/>
          <w:szCs w:val="24"/>
        </w:rPr>
        <w:t xml:space="preserve"> to 31 December 2020</w:t>
      </w:r>
    </w:p>
    <w:p w14:paraId="7F7C9A64" w14:textId="77777777" w:rsidR="00F71F1B" w:rsidRPr="001A321E" w:rsidRDefault="00B24BD8" w:rsidP="002E726C">
      <w:pPr>
        <w:rPr>
          <w:rStyle w:val="BookTitle"/>
          <w:rFonts w:ascii="Arial" w:hAnsi="Arial" w:cs="Arial"/>
          <w:i w:val="0"/>
          <w:iCs w:val="0"/>
          <w:smallCaps w:val="0"/>
          <w:spacing w:val="0"/>
          <w:szCs w:val="24"/>
        </w:rPr>
      </w:pPr>
      <w:r w:rsidRPr="001A321E">
        <w:rPr>
          <w:rStyle w:val="BookTitle"/>
          <w:rFonts w:ascii="Arial" w:hAnsi="Arial" w:cs="Arial"/>
          <w:i w:val="0"/>
          <w:iCs w:val="0"/>
          <w:smallCaps w:val="0"/>
          <w:spacing w:val="0"/>
          <w:szCs w:val="24"/>
        </w:rPr>
        <w:t xml:space="preserve">This Determination </w:t>
      </w:r>
      <w:r w:rsidR="00034A98" w:rsidRPr="001A321E">
        <w:rPr>
          <w:rStyle w:val="BookTitle"/>
          <w:rFonts w:ascii="Arial" w:hAnsi="Arial" w:cs="Arial"/>
          <w:i w:val="0"/>
          <w:iCs w:val="0"/>
          <w:smallCaps w:val="0"/>
          <w:spacing w:val="0"/>
          <w:szCs w:val="24"/>
        </w:rPr>
        <w:t>ensures</w:t>
      </w:r>
      <w:r w:rsidR="00F71F1B" w:rsidRPr="001A321E">
        <w:rPr>
          <w:rStyle w:val="BookTitle"/>
          <w:rFonts w:ascii="Arial" w:hAnsi="Arial" w:cs="Arial"/>
          <w:i w:val="0"/>
          <w:iCs w:val="0"/>
          <w:smallCaps w:val="0"/>
          <w:spacing w:val="0"/>
          <w:szCs w:val="24"/>
        </w:rPr>
        <w:t xml:space="preserve"> the continued payment of the COVID-19 supplement </w:t>
      </w:r>
      <w:r w:rsidR="0061423C" w:rsidRPr="001A321E">
        <w:rPr>
          <w:rStyle w:val="BookTitle"/>
          <w:rFonts w:ascii="Arial" w:hAnsi="Arial" w:cs="Arial"/>
          <w:i w:val="0"/>
          <w:iCs w:val="0"/>
          <w:smallCaps w:val="0"/>
          <w:spacing w:val="0"/>
          <w:szCs w:val="24"/>
        </w:rPr>
        <w:t xml:space="preserve">through </w:t>
      </w:r>
      <w:r w:rsidR="000E4DFA" w:rsidRPr="001A321E">
        <w:rPr>
          <w:rStyle w:val="BookTitle"/>
          <w:rFonts w:ascii="Arial" w:hAnsi="Arial" w:cs="Arial"/>
          <w:i w:val="0"/>
          <w:iCs w:val="0"/>
          <w:smallCaps w:val="0"/>
          <w:spacing w:val="0"/>
          <w:szCs w:val="24"/>
        </w:rPr>
        <w:t xml:space="preserve">to </w:t>
      </w:r>
      <w:r w:rsidR="0061423C" w:rsidRPr="001A321E">
        <w:rPr>
          <w:rStyle w:val="BookTitle"/>
          <w:rFonts w:ascii="Arial" w:hAnsi="Arial" w:cs="Arial"/>
          <w:i w:val="0"/>
          <w:iCs w:val="0"/>
          <w:smallCaps w:val="0"/>
          <w:spacing w:val="0"/>
          <w:szCs w:val="24"/>
        </w:rPr>
        <w:t xml:space="preserve">the end of 2020 </w:t>
      </w:r>
      <w:r w:rsidR="000E4DFA" w:rsidRPr="001A321E">
        <w:rPr>
          <w:rStyle w:val="BookTitle"/>
          <w:rFonts w:ascii="Arial" w:hAnsi="Arial" w:cs="Arial"/>
          <w:i w:val="0"/>
          <w:iCs w:val="0"/>
          <w:smallCaps w:val="0"/>
          <w:spacing w:val="0"/>
          <w:szCs w:val="24"/>
        </w:rPr>
        <w:t>for</w:t>
      </w:r>
      <w:r w:rsidR="00F71F1B" w:rsidRPr="001A321E">
        <w:rPr>
          <w:rStyle w:val="BookTitle"/>
          <w:rFonts w:ascii="Arial" w:hAnsi="Arial" w:cs="Arial"/>
          <w:i w:val="0"/>
          <w:iCs w:val="0"/>
          <w:smallCaps w:val="0"/>
          <w:spacing w:val="0"/>
          <w:szCs w:val="24"/>
        </w:rPr>
        <w:t xml:space="preserve"> recipients </w:t>
      </w:r>
      <w:r w:rsidR="00441CF1" w:rsidRPr="001A321E">
        <w:rPr>
          <w:rStyle w:val="BookTitle"/>
          <w:rFonts w:ascii="Arial" w:hAnsi="Arial" w:cs="Arial"/>
          <w:i w:val="0"/>
          <w:iCs w:val="0"/>
          <w:smallCaps w:val="0"/>
          <w:spacing w:val="0"/>
          <w:szCs w:val="24"/>
        </w:rPr>
        <w:t xml:space="preserve">of </w:t>
      </w:r>
      <w:proofErr w:type="spellStart"/>
      <w:r w:rsidR="00441CF1" w:rsidRPr="001A321E">
        <w:rPr>
          <w:rStyle w:val="BookTitle"/>
          <w:rFonts w:ascii="Arial" w:hAnsi="Arial" w:cs="Arial"/>
          <w:i w:val="0"/>
          <w:iCs w:val="0"/>
          <w:smallCaps w:val="0"/>
          <w:spacing w:val="0"/>
          <w:szCs w:val="24"/>
        </w:rPr>
        <w:t>J</w:t>
      </w:r>
      <w:r w:rsidR="00441CF1" w:rsidRPr="001A321E">
        <w:rPr>
          <w:rFonts w:ascii="Arial" w:hAnsi="Arial" w:cs="Arial"/>
          <w:szCs w:val="24"/>
        </w:rPr>
        <w:t>obSeeker</w:t>
      </w:r>
      <w:proofErr w:type="spellEnd"/>
      <w:r w:rsidR="00441CF1" w:rsidRPr="001A321E">
        <w:rPr>
          <w:rFonts w:ascii="Arial" w:hAnsi="Arial" w:cs="Arial"/>
          <w:szCs w:val="24"/>
        </w:rPr>
        <w:t xml:space="preserve"> Payment, Parenting Payment, Youth Allowance, </w:t>
      </w:r>
      <w:proofErr w:type="spellStart"/>
      <w:r w:rsidR="00441CF1" w:rsidRPr="001A321E">
        <w:rPr>
          <w:rFonts w:ascii="Arial" w:hAnsi="Arial" w:cs="Arial"/>
          <w:szCs w:val="24"/>
        </w:rPr>
        <w:t>Austudy</w:t>
      </w:r>
      <w:proofErr w:type="spellEnd"/>
      <w:r w:rsidR="00441CF1" w:rsidRPr="001A321E">
        <w:rPr>
          <w:rFonts w:ascii="Arial" w:hAnsi="Arial" w:cs="Arial"/>
          <w:szCs w:val="24"/>
        </w:rPr>
        <w:t xml:space="preserve"> Payment, Special Benefit, Partner Allowance and Widow Allowance</w:t>
      </w:r>
      <w:r w:rsidR="008C3B1D" w:rsidRPr="001A321E">
        <w:rPr>
          <w:rFonts w:ascii="Arial" w:hAnsi="Arial" w:cs="Arial"/>
          <w:szCs w:val="24"/>
        </w:rPr>
        <w:t>. The supplement will continue</w:t>
      </w:r>
      <w:r w:rsidR="00441CF1" w:rsidRPr="001A321E">
        <w:rPr>
          <w:rFonts w:ascii="Arial" w:hAnsi="Arial" w:cs="Arial"/>
          <w:szCs w:val="24"/>
        </w:rPr>
        <w:t xml:space="preserve"> to be paid to recipients of these payments at a rate of $250 a fortnight for social security instalment periods that begin on a day during the period 19 December 2020 to 31 December 2020 (inclusive).</w:t>
      </w:r>
    </w:p>
    <w:p w14:paraId="7F7C9A65" w14:textId="77777777" w:rsidR="00F71F1B" w:rsidRPr="001A321E" w:rsidRDefault="00F71F1B" w:rsidP="002E726C">
      <w:pPr>
        <w:rPr>
          <w:rStyle w:val="BookTitle"/>
          <w:rFonts w:ascii="Arial" w:hAnsi="Arial" w:cs="Arial"/>
          <w:iCs w:val="0"/>
          <w:smallCaps w:val="0"/>
          <w:spacing w:val="0"/>
          <w:szCs w:val="24"/>
        </w:rPr>
      </w:pPr>
      <w:r w:rsidRPr="001A321E">
        <w:rPr>
          <w:rStyle w:val="BookTitle"/>
          <w:rFonts w:ascii="Arial" w:hAnsi="Arial" w:cs="Arial"/>
          <w:iCs w:val="0"/>
          <w:smallCaps w:val="0"/>
          <w:spacing w:val="0"/>
          <w:szCs w:val="24"/>
        </w:rPr>
        <w:t>Extension of the nil rate period</w:t>
      </w:r>
    </w:p>
    <w:p w14:paraId="7F7C9A66" w14:textId="77777777" w:rsidR="00341C77" w:rsidRPr="001A321E" w:rsidRDefault="00034A98" w:rsidP="002E726C">
      <w:pPr>
        <w:rPr>
          <w:rStyle w:val="BookTitle"/>
          <w:rFonts w:ascii="Arial" w:hAnsi="Arial" w:cs="Arial"/>
          <w:i w:val="0"/>
          <w:iCs w:val="0"/>
          <w:smallCaps w:val="0"/>
          <w:spacing w:val="0"/>
          <w:szCs w:val="24"/>
        </w:rPr>
      </w:pPr>
      <w:r w:rsidRPr="001A321E">
        <w:rPr>
          <w:rStyle w:val="BookTitle"/>
          <w:rFonts w:ascii="Arial" w:hAnsi="Arial" w:cs="Arial"/>
          <w:i w:val="0"/>
          <w:iCs w:val="0"/>
          <w:smallCaps w:val="0"/>
          <w:spacing w:val="0"/>
          <w:szCs w:val="24"/>
        </w:rPr>
        <w:t>Th</w:t>
      </w:r>
      <w:r w:rsidR="00B24BD8" w:rsidRPr="001A321E">
        <w:rPr>
          <w:rStyle w:val="BookTitle"/>
          <w:rFonts w:ascii="Arial" w:hAnsi="Arial" w:cs="Arial"/>
          <w:i w:val="0"/>
          <w:iCs w:val="0"/>
          <w:smallCaps w:val="0"/>
          <w:spacing w:val="0"/>
          <w:szCs w:val="24"/>
        </w:rPr>
        <w:t>is Determination</w:t>
      </w:r>
      <w:r w:rsidRPr="001A321E">
        <w:rPr>
          <w:rStyle w:val="BookTitle"/>
          <w:rFonts w:ascii="Arial" w:hAnsi="Arial" w:cs="Arial"/>
          <w:i w:val="0"/>
          <w:iCs w:val="0"/>
          <w:smallCaps w:val="0"/>
          <w:spacing w:val="0"/>
          <w:szCs w:val="24"/>
        </w:rPr>
        <w:t xml:space="preserve"> also </w:t>
      </w:r>
      <w:r w:rsidR="002E726C" w:rsidRPr="001A321E">
        <w:rPr>
          <w:rStyle w:val="BookTitle"/>
          <w:rFonts w:ascii="Arial" w:hAnsi="Arial" w:cs="Arial"/>
          <w:i w:val="0"/>
          <w:iCs w:val="0"/>
          <w:smallCaps w:val="0"/>
          <w:spacing w:val="0"/>
          <w:szCs w:val="24"/>
        </w:rPr>
        <w:t xml:space="preserve">amends </w:t>
      </w:r>
      <w:r w:rsidR="004260D7" w:rsidRPr="001A321E">
        <w:rPr>
          <w:rStyle w:val="BookTitle"/>
          <w:rFonts w:ascii="Arial" w:hAnsi="Arial" w:cs="Arial"/>
          <w:i w:val="0"/>
          <w:iCs w:val="0"/>
          <w:smallCaps w:val="0"/>
          <w:spacing w:val="0"/>
          <w:szCs w:val="24"/>
        </w:rPr>
        <w:t xml:space="preserve">the </w:t>
      </w:r>
      <w:r w:rsidR="004260D7" w:rsidRPr="001A321E">
        <w:rPr>
          <w:rStyle w:val="BookTitle"/>
          <w:rFonts w:ascii="Arial" w:hAnsi="Arial" w:cs="Arial"/>
          <w:iCs w:val="0"/>
          <w:smallCaps w:val="0"/>
          <w:spacing w:val="0"/>
          <w:szCs w:val="24"/>
        </w:rPr>
        <w:t xml:space="preserve">Social Security (Coronavirus Economic Response – 2020 Measures No. 11) Determination 2020 </w:t>
      </w:r>
      <w:r w:rsidR="004260D7" w:rsidRPr="001A321E">
        <w:rPr>
          <w:rStyle w:val="BookTitle"/>
          <w:rFonts w:ascii="Arial" w:hAnsi="Arial" w:cs="Arial"/>
          <w:i w:val="0"/>
          <w:iCs w:val="0"/>
          <w:smallCaps w:val="0"/>
          <w:spacing w:val="0"/>
          <w:szCs w:val="24"/>
        </w:rPr>
        <w:t>(the No. 11 Determination)</w:t>
      </w:r>
      <w:r w:rsidR="00A616BC" w:rsidRPr="001A321E">
        <w:rPr>
          <w:rStyle w:val="BookTitle"/>
          <w:rFonts w:ascii="Arial" w:hAnsi="Arial" w:cs="Arial"/>
          <w:i w:val="0"/>
          <w:iCs w:val="0"/>
          <w:smallCaps w:val="0"/>
          <w:spacing w:val="0"/>
          <w:szCs w:val="24"/>
        </w:rPr>
        <w:t>.</w:t>
      </w:r>
    </w:p>
    <w:p w14:paraId="7F7C9A67" w14:textId="3BC9FADA" w:rsidR="00770879" w:rsidRPr="001A321E" w:rsidRDefault="004260D7" w:rsidP="00A81375">
      <w:pPr>
        <w:rPr>
          <w:rStyle w:val="BookTitle"/>
          <w:rFonts w:ascii="Arial" w:hAnsi="Arial" w:cs="Arial"/>
          <w:i w:val="0"/>
          <w:iCs w:val="0"/>
          <w:smallCaps w:val="0"/>
          <w:spacing w:val="0"/>
          <w:szCs w:val="24"/>
        </w:rPr>
      </w:pPr>
      <w:r w:rsidRPr="001A321E">
        <w:rPr>
          <w:rStyle w:val="BookTitle"/>
          <w:rFonts w:ascii="Arial" w:hAnsi="Arial" w:cs="Arial"/>
          <w:i w:val="0"/>
          <w:iCs w:val="0"/>
          <w:smallCaps w:val="0"/>
          <w:spacing w:val="0"/>
          <w:szCs w:val="24"/>
        </w:rPr>
        <w:t xml:space="preserve">The No. 11 Determination </w:t>
      </w:r>
      <w:r w:rsidR="007D5480" w:rsidRPr="001A321E">
        <w:rPr>
          <w:rStyle w:val="BookTitle"/>
          <w:rFonts w:ascii="Arial" w:hAnsi="Arial" w:cs="Arial"/>
          <w:i w:val="0"/>
          <w:iCs w:val="0"/>
          <w:smallCaps w:val="0"/>
          <w:spacing w:val="0"/>
          <w:szCs w:val="24"/>
        </w:rPr>
        <w:t xml:space="preserve">currently </w:t>
      </w:r>
      <w:r w:rsidR="00B13376" w:rsidRPr="001A321E">
        <w:rPr>
          <w:rStyle w:val="BookTitle"/>
          <w:rFonts w:ascii="Arial" w:hAnsi="Arial" w:cs="Arial"/>
          <w:i w:val="0"/>
          <w:iCs w:val="0"/>
          <w:smallCaps w:val="0"/>
          <w:spacing w:val="0"/>
          <w:szCs w:val="24"/>
        </w:rPr>
        <w:t>modifies</w:t>
      </w:r>
      <w:r w:rsidRPr="001A321E">
        <w:rPr>
          <w:rStyle w:val="BookTitle"/>
          <w:rFonts w:ascii="Arial" w:hAnsi="Arial" w:cs="Arial"/>
          <w:i w:val="0"/>
          <w:iCs w:val="0"/>
          <w:smallCaps w:val="0"/>
          <w:spacing w:val="0"/>
          <w:szCs w:val="24"/>
        </w:rPr>
        <w:t xml:space="preserve"> s</w:t>
      </w:r>
      <w:r w:rsidR="00EC0057" w:rsidRPr="001A321E">
        <w:rPr>
          <w:rStyle w:val="BookTitle"/>
          <w:rFonts w:ascii="Arial" w:hAnsi="Arial" w:cs="Arial"/>
          <w:i w:val="0"/>
          <w:iCs w:val="0"/>
          <w:smallCaps w:val="0"/>
          <w:spacing w:val="0"/>
          <w:szCs w:val="24"/>
        </w:rPr>
        <w:t>ection 23</w:t>
      </w:r>
      <w:r w:rsidR="00F52441" w:rsidRPr="001A321E">
        <w:rPr>
          <w:rStyle w:val="BookTitle"/>
          <w:rFonts w:ascii="Arial" w:hAnsi="Arial" w:cs="Arial"/>
          <w:i w:val="0"/>
          <w:iCs w:val="0"/>
          <w:smallCaps w:val="0"/>
          <w:spacing w:val="0"/>
          <w:szCs w:val="24"/>
        </w:rPr>
        <w:t xml:space="preserve"> of the Act </w:t>
      </w:r>
      <w:r w:rsidR="007D5480" w:rsidRPr="001A321E">
        <w:rPr>
          <w:rStyle w:val="BookTitle"/>
          <w:rFonts w:ascii="Arial" w:hAnsi="Arial" w:cs="Arial"/>
          <w:i w:val="0"/>
          <w:iCs w:val="0"/>
          <w:smallCaps w:val="0"/>
          <w:spacing w:val="0"/>
          <w:szCs w:val="24"/>
        </w:rPr>
        <w:t xml:space="preserve">so that a </w:t>
      </w:r>
      <w:r w:rsidR="00B13376" w:rsidRPr="001A321E">
        <w:rPr>
          <w:rStyle w:val="BookTitle"/>
          <w:rFonts w:ascii="Arial" w:hAnsi="Arial" w:cs="Arial"/>
          <w:i w:val="0"/>
          <w:iCs w:val="0"/>
          <w:smallCaps w:val="0"/>
          <w:spacing w:val="0"/>
          <w:szCs w:val="24"/>
        </w:rPr>
        <w:t>person continues to be treated as ‘receiving’ a social secur</w:t>
      </w:r>
      <w:r w:rsidR="005A2B51" w:rsidRPr="001A321E">
        <w:rPr>
          <w:rStyle w:val="BookTitle"/>
          <w:rFonts w:ascii="Arial" w:hAnsi="Arial" w:cs="Arial"/>
          <w:i w:val="0"/>
          <w:iCs w:val="0"/>
          <w:smallCaps w:val="0"/>
          <w:spacing w:val="0"/>
          <w:szCs w:val="24"/>
        </w:rPr>
        <w:t>ity pension or benefit until 16 </w:t>
      </w:r>
      <w:r w:rsidR="00B13376" w:rsidRPr="001A321E">
        <w:rPr>
          <w:rStyle w:val="BookTitle"/>
          <w:rFonts w:ascii="Arial" w:hAnsi="Arial" w:cs="Arial"/>
          <w:i w:val="0"/>
          <w:iCs w:val="0"/>
          <w:smallCaps w:val="0"/>
          <w:spacing w:val="0"/>
          <w:szCs w:val="24"/>
        </w:rPr>
        <w:t xml:space="preserve">November 2020 where the </w:t>
      </w:r>
      <w:r w:rsidRPr="001A321E">
        <w:rPr>
          <w:rStyle w:val="BookTitle"/>
          <w:rFonts w:ascii="Arial" w:hAnsi="Arial" w:cs="Arial"/>
          <w:i w:val="0"/>
          <w:iCs w:val="0"/>
          <w:smallCaps w:val="0"/>
          <w:spacing w:val="0"/>
          <w:szCs w:val="24"/>
        </w:rPr>
        <w:t xml:space="preserve">person’s </w:t>
      </w:r>
      <w:r w:rsidR="00E677D9" w:rsidRPr="001A321E">
        <w:rPr>
          <w:rStyle w:val="BookTitle"/>
          <w:rFonts w:ascii="Arial" w:hAnsi="Arial" w:cs="Arial"/>
          <w:i w:val="0"/>
          <w:iCs w:val="0"/>
          <w:smallCaps w:val="0"/>
          <w:spacing w:val="0"/>
          <w:szCs w:val="24"/>
        </w:rPr>
        <w:t xml:space="preserve">standard </w:t>
      </w:r>
      <w:r w:rsidRPr="001A321E">
        <w:rPr>
          <w:rStyle w:val="BookTitle"/>
          <w:rFonts w:ascii="Arial" w:hAnsi="Arial" w:cs="Arial"/>
          <w:i w:val="0"/>
          <w:iCs w:val="0"/>
          <w:smallCaps w:val="0"/>
          <w:spacing w:val="0"/>
          <w:szCs w:val="24"/>
        </w:rPr>
        <w:t xml:space="preserve">12-week </w:t>
      </w:r>
      <w:r w:rsidR="00075989" w:rsidRPr="001A321E">
        <w:rPr>
          <w:rStyle w:val="BookTitle"/>
          <w:rFonts w:ascii="Arial" w:hAnsi="Arial" w:cs="Arial"/>
          <w:i w:val="0"/>
          <w:iCs w:val="0"/>
          <w:smallCaps w:val="0"/>
          <w:spacing w:val="0"/>
          <w:szCs w:val="24"/>
        </w:rPr>
        <w:t xml:space="preserve">employment income </w:t>
      </w:r>
      <w:r w:rsidRPr="001A321E">
        <w:rPr>
          <w:rStyle w:val="BookTitle"/>
          <w:rFonts w:ascii="Arial" w:hAnsi="Arial" w:cs="Arial"/>
          <w:i w:val="0"/>
          <w:iCs w:val="0"/>
          <w:smallCaps w:val="0"/>
          <w:spacing w:val="0"/>
          <w:szCs w:val="24"/>
        </w:rPr>
        <w:t xml:space="preserve">nil rate period </w:t>
      </w:r>
      <w:r w:rsidR="00034A98" w:rsidRPr="001A321E">
        <w:rPr>
          <w:rStyle w:val="BookTitle"/>
          <w:rFonts w:ascii="Arial" w:hAnsi="Arial" w:cs="Arial"/>
          <w:i w:val="0"/>
          <w:iCs w:val="0"/>
          <w:smallCaps w:val="0"/>
          <w:spacing w:val="0"/>
          <w:szCs w:val="24"/>
        </w:rPr>
        <w:t>(</w:t>
      </w:r>
      <w:r w:rsidRPr="001A321E">
        <w:rPr>
          <w:rStyle w:val="BookTitle"/>
          <w:rFonts w:ascii="Arial" w:hAnsi="Arial" w:cs="Arial"/>
          <w:i w:val="0"/>
          <w:iCs w:val="0"/>
          <w:smallCaps w:val="0"/>
          <w:spacing w:val="0"/>
          <w:szCs w:val="24"/>
        </w:rPr>
        <w:t xml:space="preserve">under </w:t>
      </w:r>
      <w:r w:rsidR="007D5480" w:rsidRPr="001A321E">
        <w:rPr>
          <w:rStyle w:val="BookTitle"/>
          <w:rFonts w:ascii="Arial" w:hAnsi="Arial" w:cs="Arial"/>
          <w:i w:val="0"/>
          <w:iCs w:val="0"/>
          <w:smallCaps w:val="0"/>
          <w:spacing w:val="0"/>
          <w:szCs w:val="24"/>
        </w:rPr>
        <w:t>paragraph</w:t>
      </w:r>
      <w:r w:rsidRPr="001A321E">
        <w:rPr>
          <w:rStyle w:val="BookTitle"/>
          <w:rFonts w:ascii="Arial" w:hAnsi="Arial" w:cs="Arial"/>
          <w:i w:val="0"/>
          <w:iCs w:val="0"/>
          <w:smallCaps w:val="0"/>
          <w:spacing w:val="0"/>
          <w:szCs w:val="24"/>
        </w:rPr>
        <w:t xml:space="preserve"> 23(4A</w:t>
      </w:r>
      <w:proofErr w:type="gramStart"/>
      <w:r w:rsidRPr="001A321E">
        <w:rPr>
          <w:rStyle w:val="BookTitle"/>
          <w:rFonts w:ascii="Arial" w:hAnsi="Arial" w:cs="Arial"/>
          <w:i w:val="0"/>
          <w:iCs w:val="0"/>
          <w:smallCaps w:val="0"/>
          <w:spacing w:val="0"/>
          <w:szCs w:val="24"/>
        </w:rPr>
        <w:t>)</w:t>
      </w:r>
      <w:r w:rsidR="007D5480" w:rsidRPr="001A321E">
        <w:rPr>
          <w:rStyle w:val="BookTitle"/>
          <w:rFonts w:ascii="Arial" w:hAnsi="Arial" w:cs="Arial"/>
          <w:i w:val="0"/>
          <w:iCs w:val="0"/>
          <w:smallCaps w:val="0"/>
          <w:spacing w:val="0"/>
          <w:szCs w:val="24"/>
        </w:rPr>
        <w:t>(</w:t>
      </w:r>
      <w:proofErr w:type="gramEnd"/>
      <w:r w:rsidR="007D5480" w:rsidRPr="001A321E">
        <w:rPr>
          <w:rStyle w:val="BookTitle"/>
          <w:rFonts w:ascii="Arial" w:hAnsi="Arial" w:cs="Arial"/>
          <w:i w:val="0"/>
          <w:iCs w:val="0"/>
          <w:smallCaps w:val="0"/>
          <w:spacing w:val="0"/>
          <w:szCs w:val="24"/>
        </w:rPr>
        <w:t>h)</w:t>
      </w:r>
      <w:r w:rsidRPr="001A321E">
        <w:rPr>
          <w:rStyle w:val="BookTitle"/>
          <w:rFonts w:ascii="Arial" w:hAnsi="Arial" w:cs="Arial"/>
          <w:i w:val="0"/>
          <w:iCs w:val="0"/>
          <w:smallCaps w:val="0"/>
          <w:spacing w:val="0"/>
          <w:szCs w:val="24"/>
        </w:rPr>
        <w:t xml:space="preserve"> of the Act</w:t>
      </w:r>
      <w:r w:rsidR="00034A98" w:rsidRPr="001A321E">
        <w:rPr>
          <w:rStyle w:val="BookTitle"/>
          <w:rFonts w:ascii="Arial" w:hAnsi="Arial" w:cs="Arial"/>
          <w:i w:val="0"/>
          <w:iCs w:val="0"/>
          <w:smallCaps w:val="0"/>
          <w:spacing w:val="0"/>
          <w:szCs w:val="24"/>
        </w:rPr>
        <w:t>)</w:t>
      </w:r>
      <w:r w:rsidR="005A2B51" w:rsidRPr="001A321E">
        <w:rPr>
          <w:rStyle w:val="BookTitle"/>
          <w:rFonts w:ascii="Arial" w:hAnsi="Arial" w:cs="Arial"/>
          <w:i w:val="0"/>
          <w:iCs w:val="0"/>
          <w:smallCaps w:val="0"/>
          <w:spacing w:val="0"/>
          <w:szCs w:val="24"/>
        </w:rPr>
        <w:t xml:space="preserve"> ends during the period 22 June </w:t>
      </w:r>
      <w:r w:rsidRPr="001A321E">
        <w:rPr>
          <w:rStyle w:val="BookTitle"/>
          <w:rFonts w:ascii="Arial" w:hAnsi="Arial" w:cs="Arial"/>
          <w:i w:val="0"/>
          <w:iCs w:val="0"/>
          <w:smallCaps w:val="0"/>
          <w:spacing w:val="0"/>
          <w:szCs w:val="24"/>
        </w:rPr>
        <w:t xml:space="preserve">2020 </w:t>
      </w:r>
      <w:r w:rsidR="00B13376" w:rsidRPr="001A321E">
        <w:rPr>
          <w:rStyle w:val="BookTitle"/>
          <w:rFonts w:ascii="Arial" w:hAnsi="Arial" w:cs="Arial"/>
          <w:i w:val="0"/>
          <w:iCs w:val="0"/>
          <w:smallCaps w:val="0"/>
          <w:spacing w:val="0"/>
          <w:szCs w:val="24"/>
        </w:rPr>
        <w:t xml:space="preserve">to </w:t>
      </w:r>
      <w:r w:rsidRPr="001A321E">
        <w:rPr>
          <w:rStyle w:val="BookTitle"/>
          <w:rFonts w:ascii="Arial" w:hAnsi="Arial" w:cs="Arial"/>
          <w:i w:val="0"/>
          <w:iCs w:val="0"/>
          <w:smallCaps w:val="0"/>
          <w:spacing w:val="0"/>
          <w:szCs w:val="24"/>
        </w:rPr>
        <w:t>16 November 2020</w:t>
      </w:r>
      <w:r w:rsidR="00EC0057" w:rsidRPr="001A321E">
        <w:rPr>
          <w:rStyle w:val="BookTitle"/>
          <w:rFonts w:ascii="Arial" w:hAnsi="Arial" w:cs="Arial"/>
          <w:i w:val="0"/>
          <w:iCs w:val="0"/>
          <w:smallCaps w:val="0"/>
          <w:spacing w:val="0"/>
          <w:szCs w:val="24"/>
        </w:rPr>
        <w:t>.</w:t>
      </w:r>
    </w:p>
    <w:p w14:paraId="7F7C9A68" w14:textId="646AE69E" w:rsidR="007D5480" w:rsidRPr="001A321E" w:rsidRDefault="007D5480" w:rsidP="00A81375">
      <w:pPr>
        <w:rPr>
          <w:rStyle w:val="BookTitle"/>
          <w:rFonts w:ascii="Arial" w:hAnsi="Arial" w:cs="Arial"/>
          <w:i w:val="0"/>
          <w:iCs w:val="0"/>
          <w:smallCaps w:val="0"/>
          <w:spacing w:val="0"/>
          <w:szCs w:val="24"/>
        </w:rPr>
      </w:pPr>
      <w:r w:rsidRPr="001A321E">
        <w:rPr>
          <w:rStyle w:val="BookTitle"/>
          <w:rFonts w:ascii="Arial" w:hAnsi="Arial" w:cs="Arial"/>
          <w:i w:val="0"/>
          <w:iCs w:val="0"/>
          <w:smallCaps w:val="0"/>
          <w:spacing w:val="0"/>
          <w:szCs w:val="24"/>
        </w:rPr>
        <w:t>A</w:t>
      </w:r>
      <w:r w:rsidR="00075989" w:rsidRPr="001A321E">
        <w:rPr>
          <w:rStyle w:val="BookTitle"/>
          <w:rFonts w:ascii="Arial" w:hAnsi="Arial" w:cs="Arial"/>
          <w:i w:val="0"/>
          <w:iCs w:val="0"/>
          <w:smallCaps w:val="0"/>
          <w:spacing w:val="0"/>
          <w:szCs w:val="24"/>
        </w:rPr>
        <w:t>n employment income</w:t>
      </w:r>
      <w:r w:rsidRPr="001A321E">
        <w:rPr>
          <w:rStyle w:val="BookTitle"/>
          <w:rFonts w:ascii="Arial" w:hAnsi="Arial" w:cs="Arial"/>
          <w:i w:val="0"/>
          <w:iCs w:val="0"/>
          <w:smallCaps w:val="0"/>
          <w:spacing w:val="0"/>
          <w:szCs w:val="24"/>
        </w:rPr>
        <w:t xml:space="preserve"> nil rate period under </w:t>
      </w:r>
      <w:r w:rsidR="00B13376" w:rsidRPr="001A321E">
        <w:rPr>
          <w:rStyle w:val="BookTitle"/>
          <w:rFonts w:ascii="Arial" w:hAnsi="Arial" w:cs="Arial"/>
          <w:i w:val="0"/>
          <w:iCs w:val="0"/>
          <w:smallCaps w:val="0"/>
          <w:spacing w:val="0"/>
          <w:szCs w:val="24"/>
        </w:rPr>
        <w:t>section 23 of</w:t>
      </w:r>
      <w:r w:rsidRPr="001A321E">
        <w:rPr>
          <w:rStyle w:val="BookTitle"/>
          <w:rFonts w:ascii="Arial" w:hAnsi="Arial" w:cs="Arial"/>
          <w:i w:val="0"/>
          <w:iCs w:val="0"/>
          <w:smallCaps w:val="0"/>
          <w:spacing w:val="0"/>
          <w:szCs w:val="24"/>
        </w:rPr>
        <w:t xml:space="preserve"> the Act ensures that </w:t>
      </w:r>
      <w:r w:rsidR="00E677D9" w:rsidRPr="001A321E">
        <w:rPr>
          <w:rStyle w:val="BookTitle"/>
          <w:rFonts w:ascii="Arial" w:hAnsi="Arial" w:cs="Arial"/>
          <w:i w:val="0"/>
          <w:iCs w:val="0"/>
          <w:smallCaps w:val="0"/>
          <w:spacing w:val="0"/>
          <w:szCs w:val="24"/>
        </w:rPr>
        <w:t>a</w:t>
      </w:r>
      <w:r w:rsidR="005A2B51" w:rsidRPr="001A321E">
        <w:rPr>
          <w:rStyle w:val="BookTitle"/>
          <w:rFonts w:ascii="Arial" w:hAnsi="Arial" w:cs="Arial"/>
          <w:i w:val="0"/>
          <w:iCs w:val="0"/>
          <w:smallCaps w:val="0"/>
          <w:spacing w:val="0"/>
          <w:szCs w:val="24"/>
        </w:rPr>
        <w:t> </w:t>
      </w:r>
      <w:r w:rsidR="006719C6" w:rsidRPr="001A321E">
        <w:rPr>
          <w:rStyle w:val="BookTitle"/>
          <w:rFonts w:ascii="Arial" w:hAnsi="Arial" w:cs="Arial"/>
          <w:i w:val="0"/>
          <w:iCs w:val="0"/>
          <w:smallCaps w:val="0"/>
          <w:spacing w:val="0"/>
          <w:szCs w:val="24"/>
        </w:rPr>
        <w:t>social security pension or benefit recipient</w:t>
      </w:r>
      <w:r w:rsidRPr="001A321E">
        <w:rPr>
          <w:rStyle w:val="BookTitle"/>
          <w:rFonts w:ascii="Arial" w:hAnsi="Arial" w:cs="Arial"/>
          <w:i w:val="0"/>
          <w:iCs w:val="0"/>
          <w:smallCaps w:val="0"/>
          <w:spacing w:val="0"/>
          <w:szCs w:val="24"/>
        </w:rPr>
        <w:t xml:space="preserve"> can continue to access certai</w:t>
      </w:r>
      <w:r w:rsidR="00E677D9" w:rsidRPr="001A321E">
        <w:rPr>
          <w:rStyle w:val="BookTitle"/>
          <w:rFonts w:ascii="Arial" w:hAnsi="Arial" w:cs="Arial"/>
          <w:i w:val="0"/>
          <w:iCs w:val="0"/>
          <w:smallCaps w:val="0"/>
          <w:spacing w:val="0"/>
          <w:szCs w:val="24"/>
        </w:rPr>
        <w:t>n ancillary benefits (such as</w:t>
      </w:r>
      <w:r w:rsidR="00075989" w:rsidRPr="001A321E">
        <w:rPr>
          <w:rStyle w:val="BookTitle"/>
          <w:rFonts w:ascii="Arial" w:hAnsi="Arial" w:cs="Arial"/>
          <w:i w:val="0"/>
          <w:iCs w:val="0"/>
          <w:smallCaps w:val="0"/>
          <w:spacing w:val="0"/>
          <w:szCs w:val="24"/>
        </w:rPr>
        <w:t xml:space="preserve"> </w:t>
      </w:r>
      <w:r w:rsidRPr="001A321E">
        <w:rPr>
          <w:rStyle w:val="BookTitle"/>
          <w:rFonts w:ascii="Arial" w:hAnsi="Arial" w:cs="Arial"/>
          <w:i w:val="0"/>
          <w:iCs w:val="0"/>
          <w:smallCaps w:val="0"/>
          <w:spacing w:val="0"/>
          <w:szCs w:val="24"/>
        </w:rPr>
        <w:t>concession cards) they would ordinarily lose access to</w:t>
      </w:r>
      <w:r w:rsidR="00075989" w:rsidRPr="001A321E">
        <w:rPr>
          <w:rStyle w:val="BookTitle"/>
          <w:rFonts w:ascii="Arial" w:hAnsi="Arial" w:cs="Arial"/>
          <w:i w:val="0"/>
          <w:iCs w:val="0"/>
          <w:smallCaps w:val="0"/>
          <w:spacing w:val="0"/>
          <w:szCs w:val="24"/>
        </w:rPr>
        <w:t xml:space="preserve"> because their rate of </w:t>
      </w:r>
      <w:r w:rsidR="00E677D9" w:rsidRPr="001A321E">
        <w:rPr>
          <w:rStyle w:val="BookTitle"/>
          <w:rFonts w:ascii="Arial" w:hAnsi="Arial" w:cs="Arial"/>
          <w:i w:val="0"/>
          <w:iCs w:val="0"/>
          <w:smallCaps w:val="0"/>
          <w:spacing w:val="0"/>
          <w:szCs w:val="24"/>
        </w:rPr>
        <w:t xml:space="preserve">pension or benefit </w:t>
      </w:r>
      <w:r w:rsidR="00075989" w:rsidRPr="001A321E">
        <w:rPr>
          <w:rStyle w:val="BookTitle"/>
          <w:rFonts w:ascii="Arial" w:hAnsi="Arial" w:cs="Arial"/>
          <w:i w:val="0"/>
          <w:iCs w:val="0"/>
          <w:smallCaps w:val="0"/>
          <w:spacing w:val="0"/>
          <w:szCs w:val="24"/>
        </w:rPr>
        <w:t>is nil</w:t>
      </w:r>
      <w:r w:rsidRPr="001A321E">
        <w:rPr>
          <w:rStyle w:val="BookTitle"/>
          <w:rFonts w:ascii="Arial" w:hAnsi="Arial" w:cs="Arial"/>
          <w:i w:val="0"/>
          <w:iCs w:val="0"/>
          <w:smallCaps w:val="0"/>
          <w:spacing w:val="0"/>
          <w:szCs w:val="24"/>
        </w:rPr>
        <w:t xml:space="preserve">. </w:t>
      </w:r>
    </w:p>
    <w:p w14:paraId="7F7C9A69" w14:textId="6D8F58DA" w:rsidR="00B13376" w:rsidRPr="001A321E" w:rsidRDefault="00075989" w:rsidP="00A81375">
      <w:pPr>
        <w:rPr>
          <w:rStyle w:val="BookTitle"/>
          <w:rFonts w:ascii="Arial" w:hAnsi="Arial" w:cs="Arial"/>
          <w:i w:val="0"/>
          <w:iCs w:val="0"/>
          <w:smallCaps w:val="0"/>
          <w:spacing w:val="0"/>
          <w:szCs w:val="24"/>
        </w:rPr>
      </w:pPr>
      <w:r w:rsidRPr="001A321E">
        <w:rPr>
          <w:rStyle w:val="BookTitle"/>
          <w:rFonts w:ascii="Arial" w:hAnsi="Arial" w:cs="Arial"/>
          <w:i w:val="0"/>
          <w:iCs w:val="0"/>
          <w:smallCaps w:val="0"/>
          <w:spacing w:val="0"/>
          <w:szCs w:val="24"/>
        </w:rPr>
        <w:t>A</w:t>
      </w:r>
      <w:r w:rsidR="00B13376" w:rsidRPr="001A321E">
        <w:rPr>
          <w:rStyle w:val="BookTitle"/>
          <w:rFonts w:ascii="Arial" w:hAnsi="Arial" w:cs="Arial"/>
          <w:i w:val="0"/>
          <w:iCs w:val="0"/>
          <w:smallCaps w:val="0"/>
          <w:spacing w:val="0"/>
          <w:szCs w:val="24"/>
        </w:rPr>
        <w:t xml:space="preserve"> 12-week </w:t>
      </w:r>
      <w:r w:rsidRPr="001A321E">
        <w:rPr>
          <w:rStyle w:val="BookTitle"/>
          <w:rFonts w:ascii="Arial" w:hAnsi="Arial" w:cs="Arial"/>
          <w:i w:val="0"/>
          <w:iCs w:val="0"/>
          <w:smallCaps w:val="0"/>
          <w:spacing w:val="0"/>
          <w:szCs w:val="24"/>
        </w:rPr>
        <w:t xml:space="preserve">employment income </w:t>
      </w:r>
      <w:r w:rsidR="00B13376" w:rsidRPr="001A321E">
        <w:rPr>
          <w:rStyle w:val="BookTitle"/>
          <w:rFonts w:ascii="Arial" w:hAnsi="Arial" w:cs="Arial"/>
          <w:i w:val="0"/>
          <w:iCs w:val="0"/>
          <w:smallCaps w:val="0"/>
          <w:spacing w:val="0"/>
          <w:szCs w:val="24"/>
        </w:rPr>
        <w:t xml:space="preserve">nil rate period under paragraph 23(4A)(h) of the Act begins </w:t>
      </w:r>
      <w:r w:rsidRPr="001A321E">
        <w:rPr>
          <w:rStyle w:val="BookTitle"/>
          <w:rFonts w:ascii="Arial" w:hAnsi="Arial" w:cs="Arial"/>
          <w:i w:val="0"/>
          <w:iCs w:val="0"/>
          <w:smallCaps w:val="0"/>
          <w:spacing w:val="0"/>
          <w:szCs w:val="24"/>
        </w:rPr>
        <w:t>after</w:t>
      </w:r>
      <w:r w:rsidR="00B13376" w:rsidRPr="001A321E">
        <w:rPr>
          <w:rStyle w:val="BookTitle"/>
          <w:rFonts w:ascii="Arial" w:hAnsi="Arial" w:cs="Arial"/>
          <w:i w:val="0"/>
          <w:iCs w:val="0"/>
          <w:smallCaps w:val="0"/>
          <w:spacing w:val="0"/>
          <w:szCs w:val="24"/>
        </w:rPr>
        <w:t xml:space="preserve"> the end of the social security instalment period in which a person’s rate of a social security pension or benefit is reduced to nil due to employment income</w:t>
      </w:r>
      <w:r w:rsidR="00E677D9" w:rsidRPr="001A321E">
        <w:rPr>
          <w:rStyle w:val="BookTitle"/>
          <w:rFonts w:ascii="Arial" w:hAnsi="Arial" w:cs="Arial"/>
          <w:i w:val="0"/>
          <w:iCs w:val="0"/>
          <w:smallCaps w:val="0"/>
          <w:spacing w:val="0"/>
          <w:szCs w:val="24"/>
        </w:rPr>
        <w:t xml:space="preserve"> (whether this </w:t>
      </w:r>
      <w:r w:rsidR="00034A98" w:rsidRPr="001A321E">
        <w:rPr>
          <w:rStyle w:val="BookTitle"/>
          <w:rFonts w:ascii="Arial" w:hAnsi="Arial" w:cs="Arial"/>
          <w:i w:val="0"/>
          <w:iCs w:val="0"/>
          <w:smallCaps w:val="0"/>
          <w:spacing w:val="0"/>
          <w:szCs w:val="24"/>
        </w:rPr>
        <w:t xml:space="preserve">is </w:t>
      </w:r>
      <w:r w:rsidR="00E677D9" w:rsidRPr="001A321E">
        <w:rPr>
          <w:rStyle w:val="BookTitle"/>
          <w:rFonts w:ascii="Arial" w:hAnsi="Arial" w:cs="Arial"/>
          <w:i w:val="0"/>
          <w:iCs w:val="0"/>
          <w:smallCaps w:val="0"/>
          <w:spacing w:val="0"/>
          <w:szCs w:val="24"/>
        </w:rPr>
        <w:t>the recipient’s employment income or their partner’s)</w:t>
      </w:r>
      <w:r w:rsidR="005A2B51" w:rsidRPr="001A321E">
        <w:rPr>
          <w:rStyle w:val="BookTitle"/>
          <w:rFonts w:ascii="Arial" w:hAnsi="Arial" w:cs="Arial"/>
          <w:i w:val="0"/>
          <w:iCs w:val="0"/>
          <w:smallCaps w:val="0"/>
          <w:spacing w:val="0"/>
          <w:szCs w:val="24"/>
        </w:rPr>
        <w:t xml:space="preserve">. </w:t>
      </w:r>
      <w:r w:rsidR="00111250" w:rsidRPr="001A321E">
        <w:rPr>
          <w:rStyle w:val="BookTitle"/>
          <w:rFonts w:ascii="Arial" w:hAnsi="Arial" w:cs="Arial"/>
          <w:i w:val="0"/>
          <w:iCs w:val="0"/>
          <w:smallCaps w:val="0"/>
          <w:spacing w:val="0"/>
          <w:szCs w:val="24"/>
        </w:rPr>
        <w:t xml:space="preserve"> </w:t>
      </w:r>
      <w:r w:rsidR="005A2B51" w:rsidRPr="001A321E">
        <w:rPr>
          <w:rStyle w:val="BookTitle"/>
          <w:rFonts w:ascii="Arial" w:hAnsi="Arial" w:cs="Arial"/>
          <w:i w:val="0"/>
          <w:iCs w:val="0"/>
          <w:smallCaps w:val="0"/>
          <w:spacing w:val="0"/>
          <w:szCs w:val="24"/>
        </w:rPr>
        <w:t>Ordinarily, a </w:t>
      </w:r>
      <w:r w:rsidR="00B13376" w:rsidRPr="001A321E">
        <w:rPr>
          <w:rStyle w:val="BookTitle"/>
          <w:rFonts w:ascii="Arial" w:hAnsi="Arial" w:cs="Arial"/>
          <w:i w:val="0"/>
          <w:iCs w:val="0"/>
          <w:smallCaps w:val="0"/>
          <w:spacing w:val="0"/>
          <w:szCs w:val="24"/>
        </w:rPr>
        <w:t>person would only have a</w:t>
      </w:r>
      <w:r w:rsidRPr="001A321E">
        <w:rPr>
          <w:rStyle w:val="BookTitle"/>
          <w:rFonts w:ascii="Arial" w:hAnsi="Arial" w:cs="Arial"/>
          <w:i w:val="0"/>
          <w:iCs w:val="0"/>
          <w:smallCaps w:val="0"/>
          <w:spacing w:val="0"/>
          <w:szCs w:val="24"/>
        </w:rPr>
        <w:t xml:space="preserve"> </w:t>
      </w:r>
      <w:r w:rsidR="00B13376" w:rsidRPr="001A321E">
        <w:rPr>
          <w:rStyle w:val="BookTitle"/>
          <w:rFonts w:ascii="Arial" w:hAnsi="Arial" w:cs="Arial"/>
          <w:i w:val="0"/>
          <w:iCs w:val="0"/>
          <w:smallCaps w:val="0"/>
          <w:spacing w:val="0"/>
          <w:szCs w:val="24"/>
        </w:rPr>
        <w:t xml:space="preserve">12-week </w:t>
      </w:r>
      <w:r w:rsidRPr="001A321E">
        <w:rPr>
          <w:rStyle w:val="BookTitle"/>
          <w:rFonts w:ascii="Arial" w:hAnsi="Arial" w:cs="Arial"/>
          <w:i w:val="0"/>
          <w:iCs w:val="0"/>
          <w:smallCaps w:val="0"/>
          <w:spacing w:val="0"/>
          <w:szCs w:val="24"/>
        </w:rPr>
        <w:t xml:space="preserve">employment income </w:t>
      </w:r>
      <w:r w:rsidR="00B13376" w:rsidRPr="001A321E">
        <w:rPr>
          <w:rStyle w:val="BookTitle"/>
          <w:rFonts w:ascii="Arial" w:hAnsi="Arial" w:cs="Arial"/>
          <w:i w:val="0"/>
          <w:iCs w:val="0"/>
          <w:smallCaps w:val="0"/>
          <w:spacing w:val="0"/>
          <w:szCs w:val="24"/>
        </w:rPr>
        <w:t xml:space="preserve">nil rate period. </w:t>
      </w:r>
      <w:r w:rsidR="00111250" w:rsidRPr="001A321E">
        <w:rPr>
          <w:rStyle w:val="BookTitle"/>
          <w:rFonts w:ascii="Arial" w:hAnsi="Arial" w:cs="Arial"/>
          <w:i w:val="0"/>
          <w:iCs w:val="0"/>
          <w:smallCaps w:val="0"/>
          <w:spacing w:val="0"/>
          <w:szCs w:val="24"/>
        </w:rPr>
        <w:t xml:space="preserve"> </w:t>
      </w:r>
      <w:r w:rsidR="00B13376" w:rsidRPr="001A321E">
        <w:rPr>
          <w:rStyle w:val="BookTitle"/>
          <w:rFonts w:ascii="Arial" w:hAnsi="Arial" w:cs="Arial"/>
          <w:i w:val="0"/>
          <w:iCs w:val="0"/>
          <w:smallCaps w:val="0"/>
          <w:spacing w:val="0"/>
          <w:szCs w:val="24"/>
        </w:rPr>
        <w:t>After the 12-week period has ended</w:t>
      </w:r>
      <w:r w:rsidR="00111250" w:rsidRPr="001A321E">
        <w:rPr>
          <w:rStyle w:val="BookTitle"/>
          <w:rFonts w:ascii="Arial" w:hAnsi="Arial" w:cs="Arial"/>
          <w:i w:val="0"/>
          <w:iCs w:val="0"/>
          <w:smallCaps w:val="0"/>
          <w:spacing w:val="0"/>
          <w:szCs w:val="24"/>
        </w:rPr>
        <w:t>,</w:t>
      </w:r>
      <w:r w:rsidR="00B13376" w:rsidRPr="001A321E">
        <w:rPr>
          <w:rStyle w:val="BookTitle"/>
          <w:rFonts w:ascii="Arial" w:hAnsi="Arial" w:cs="Arial"/>
          <w:i w:val="0"/>
          <w:iCs w:val="0"/>
          <w:smallCaps w:val="0"/>
          <w:spacing w:val="0"/>
          <w:szCs w:val="24"/>
        </w:rPr>
        <w:t xml:space="preserve"> they </w:t>
      </w:r>
      <w:r w:rsidRPr="001A321E">
        <w:rPr>
          <w:rStyle w:val="BookTitle"/>
          <w:rFonts w:ascii="Arial" w:hAnsi="Arial" w:cs="Arial"/>
          <w:i w:val="0"/>
          <w:iCs w:val="0"/>
          <w:smallCaps w:val="0"/>
          <w:spacing w:val="0"/>
          <w:szCs w:val="24"/>
        </w:rPr>
        <w:t xml:space="preserve">would </w:t>
      </w:r>
      <w:r w:rsidR="00B13376" w:rsidRPr="001A321E">
        <w:rPr>
          <w:rStyle w:val="BookTitle"/>
          <w:rFonts w:ascii="Arial" w:hAnsi="Arial" w:cs="Arial"/>
          <w:i w:val="0"/>
          <w:iCs w:val="0"/>
          <w:smallCaps w:val="0"/>
          <w:spacing w:val="0"/>
          <w:szCs w:val="24"/>
        </w:rPr>
        <w:t>then lose access to the ancillary benefits that result from a</w:t>
      </w:r>
      <w:r w:rsidRPr="001A321E">
        <w:rPr>
          <w:rStyle w:val="BookTitle"/>
          <w:rFonts w:ascii="Arial" w:hAnsi="Arial" w:cs="Arial"/>
          <w:i w:val="0"/>
          <w:iCs w:val="0"/>
          <w:smallCaps w:val="0"/>
          <w:spacing w:val="0"/>
          <w:szCs w:val="24"/>
        </w:rPr>
        <w:t>n employment income</w:t>
      </w:r>
      <w:r w:rsidR="00B13376" w:rsidRPr="001A321E">
        <w:rPr>
          <w:rStyle w:val="BookTitle"/>
          <w:rFonts w:ascii="Arial" w:hAnsi="Arial" w:cs="Arial"/>
          <w:i w:val="0"/>
          <w:iCs w:val="0"/>
          <w:smallCaps w:val="0"/>
          <w:spacing w:val="0"/>
          <w:szCs w:val="24"/>
        </w:rPr>
        <w:t xml:space="preserve"> nil rate period.</w:t>
      </w:r>
    </w:p>
    <w:p w14:paraId="7F7C9A6A" w14:textId="1E24E840" w:rsidR="00E677D9" w:rsidRPr="001A321E" w:rsidRDefault="004260D7" w:rsidP="005A2B51">
      <w:pPr>
        <w:keepLines/>
        <w:rPr>
          <w:rStyle w:val="BookTitle"/>
          <w:rFonts w:ascii="Arial" w:hAnsi="Arial" w:cs="Arial"/>
          <w:i w:val="0"/>
          <w:iCs w:val="0"/>
          <w:smallCaps w:val="0"/>
          <w:spacing w:val="0"/>
          <w:szCs w:val="24"/>
        </w:rPr>
      </w:pPr>
      <w:r w:rsidRPr="001A321E">
        <w:rPr>
          <w:rStyle w:val="BookTitle"/>
          <w:rFonts w:ascii="Arial" w:hAnsi="Arial" w:cs="Arial"/>
          <w:i w:val="0"/>
          <w:iCs w:val="0"/>
          <w:smallCaps w:val="0"/>
          <w:spacing w:val="0"/>
          <w:szCs w:val="24"/>
        </w:rPr>
        <w:lastRenderedPageBreak/>
        <w:t>The No. 11 Determination</w:t>
      </w:r>
      <w:r w:rsidR="00CF7DE3" w:rsidRPr="001A321E">
        <w:rPr>
          <w:rStyle w:val="BookTitle"/>
          <w:rFonts w:ascii="Arial" w:hAnsi="Arial" w:cs="Arial"/>
          <w:i w:val="0"/>
          <w:iCs w:val="0"/>
          <w:smallCaps w:val="0"/>
          <w:spacing w:val="0"/>
          <w:szCs w:val="24"/>
        </w:rPr>
        <w:t xml:space="preserve"> </w:t>
      </w:r>
      <w:r w:rsidRPr="001A321E">
        <w:rPr>
          <w:rStyle w:val="BookTitle"/>
          <w:rFonts w:ascii="Arial" w:hAnsi="Arial" w:cs="Arial"/>
          <w:i w:val="0"/>
          <w:iCs w:val="0"/>
          <w:smallCaps w:val="0"/>
          <w:spacing w:val="0"/>
          <w:szCs w:val="24"/>
        </w:rPr>
        <w:t xml:space="preserve">temporarily amended </w:t>
      </w:r>
      <w:r w:rsidR="00357B3B" w:rsidRPr="001A321E">
        <w:rPr>
          <w:rStyle w:val="BookTitle"/>
          <w:rFonts w:ascii="Arial" w:hAnsi="Arial" w:cs="Arial"/>
          <w:i w:val="0"/>
          <w:iCs w:val="0"/>
          <w:smallCaps w:val="0"/>
          <w:spacing w:val="0"/>
          <w:szCs w:val="24"/>
        </w:rPr>
        <w:t>subsections 23(4A) and 23(4AA)</w:t>
      </w:r>
      <w:r w:rsidR="005A2B51" w:rsidRPr="001A321E">
        <w:rPr>
          <w:rStyle w:val="BookTitle"/>
          <w:rFonts w:ascii="Arial" w:hAnsi="Arial" w:cs="Arial"/>
          <w:i w:val="0"/>
          <w:iCs w:val="0"/>
          <w:smallCaps w:val="0"/>
          <w:spacing w:val="0"/>
          <w:szCs w:val="24"/>
        </w:rPr>
        <w:t xml:space="preserve"> of </w:t>
      </w:r>
      <w:r w:rsidRPr="001A321E">
        <w:rPr>
          <w:rStyle w:val="BookTitle"/>
          <w:rFonts w:ascii="Arial" w:hAnsi="Arial" w:cs="Arial"/>
          <w:i w:val="0"/>
          <w:iCs w:val="0"/>
          <w:smallCaps w:val="0"/>
          <w:spacing w:val="0"/>
          <w:szCs w:val="24"/>
        </w:rPr>
        <w:t xml:space="preserve">the Act and inserted a temporary subsection 23(4AB). </w:t>
      </w:r>
      <w:r w:rsidR="005A2B51" w:rsidRPr="001A321E">
        <w:rPr>
          <w:rStyle w:val="BookTitle"/>
          <w:rFonts w:ascii="Arial" w:hAnsi="Arial" w:cs="Arial"/>
          <w:i w:val="0"/>
          <w:iCs w:val="0"/>
          <w:smallCaps w:val="0"/>
          <w:spacing w:val="0"/>
          <w:szCs w:val="24"/>
        </w:rPr>
        <w:t xml:space="preserve"> </w:t>
      </w:r>
      <w:r w:rsidRPr="001A321E">
        <w:rPr>
          <w:rStyle w:val="BookTitle"/>
          <w:rFonts w:ascii="Arial" w:hAnsi="Arial" w:cs="Arial"/>
          <w:i w:val="0"/>
          <w:iCs w:val="0"/>
          <w:smallCaps w:val="0"/>
          <w:spacing w:val="0"/>
          <w:szCs w:val="24"/>
        </w:rPr>
        <w:t>The effect of the</w:t>
      </w:r>
      <w:r w:rsidR="007D5480" w:rsidRPr="001A321E">
        <w:rPr>
          <w:rStyle w:val="BookTitle"/>
          <w:rFonts w:ascii="Arial" w:hAnsi="Arial" w:cs="Arial"/>
          <w:i w:val="0"/>
          <w:iCs w:val="0"/>
          <w:smallCaps w:val="0"/>
          <w:spacing w:val="0"/>
          <w:szCs w:val="24"/>
        </w:rPr>
        <w:t>se</w:t>
      </w:r>
      <w:r w:rsidRPr="001A321E">
        <w:rPr>
          <w:rStyle w:val="BookTitle"/>
          <w:rFonts w:ascii="Arial" w:hAnsi="Arial" w:cs="Arial"/>
          <w:i w:val="0"/>
          <w:iCs w:val="0"/>
          <w:smallCaps w:val="0"/>
          <w:spacing w:val="0"/>
          <w:szCs w:val="24"/>
        </w:rPr>
        <w:t xml:space="preserve"> </w:t>
      </w:r>
      <w:r w:rsidR="00075989" w:rsidRPr="001A321E">
        <w:rPr>
          <w:rStyle w:val="BookTitle"/>
          <w:rFonts w:ascii="Arial" w:hAnsi="Arial" w:cs="Arial"/>
          <w:i w:val="0"/>
          <w:iCs w:val="0"/>
          <w:smallCaps w:val="0"/>
          <w:spacing w:val="0"/>
          <w:szCs w:val="24"/>
        </w:rPr>
        <w:t xml:space="preserve">temporary modifications to the social security law </w:t>
      </w:r>
      <w:r w:rsidRPr="001A321E">
        <w:rPr>
          <w:rStyle w:val="BookTitle"/>
          <w:rFonts w:ascii="Arial" w:hAnsi="Arial" w:cs="Arial"/>
          <w:i w:val="0"/>
          <w:iCs w:val="0"/>
          <w:smallCaps w:val="0"/>
          <w:spacing w:val="0"/>
          <w:szCs w:val="24"/>
        </w:rPr>
        <w:t>was</w:t>
      </w:r>
      <w:r w:rsidR="00357B3B" w:rsidRPr="001A321E">
        <w:rPr>
          <w:rStyle w:val="BookTitle"/>
          <w:rFonts w:ascii="Arial" w:hAnsi="Arial" w:cs="Arial"/>
          <w:i w:val="0"/>
          <w:iCs w:val="0"/>
          <w:smallCaps w:val="0"/>
          <w:spacing w:val="0"/>
          <w:szCs w:val="24"/>
        </w:rPr>
        <w:t xml:space="preserve"> to ensure that recipients </w:t>
      </w:r>
      <w:r w:rsidRPr="001A321E">
        <w:rPr>
          <w:rStyle w:val="BookTitle"/>
          <w:rFonts w:ascii="Arial" w:hAnsi="Arial" w:cs="Arial"/>
          <w:i w:val="0"/>
          <w:iCs w:val="0"/>
          <w:smallCaps w:val="0"/>
          <w:spacing w:val="0"/>
          <w:szCs w:val="24"/>
        </w:rPr>
        <w:t xml:space="preserve">could have an extended </w:t>
      </w:r>
      <w:r w:rsidR="00075989" w:rsidRPr="001A321E">
        <w:rPr>
          <w:rStyle w:val="BookTitle"/>
          <w:rFonts w:ascii="Arial" w:hAnsi="Arial" w:cs="Arial"/>
          <w:i w:val="0"/>
          <w:iCs w:val="0"/>
          <w:smallCaps w:val="0"/>
          <w:spacing w:val="0"/>
          <w:szCs w:val="24"/>
        </w:rPr>
        <w:t xml:space="preserve">employment income </w:t>
      </w:r>
      <w:r w:rsidRPr="001A321E">
        <w:rPr>
          <w:rStyle w:val="BookTitle"/>
          <w:rFonts w:ascii="Arial" w:hAnsi="Arial" w:cs="Arial"/>
          <w:i w:val="0"/>
          <w:iCs w:val="0"/>
          <w:smallCaps w:val="0"/>
          <w:spacing w:val="0"/>
          <w:szCs w:val="24"/>
        </w:rPr>
        <w:t>nil</w:t>
      </w:r>
      <w:r w:rsidR="00A616BC" w:rsidRPr="001A321E">
        <w:rPr>
          <w:rStyle w:val="BookTitle"/>
          <w:rFonts w:ascii="Arial" w:hAnsi="Arial" w:cs="Arial"/>
          <w:i w:val="0"/>
          <w:iCs w:val="0"/>
          <w:smallCaps w:val="0"/>
          <w:spacing w:val="0"/>
          <w:szCs w:val="24"/>
        </w:rPr>
        <w:t xml:space="preserve"> rate period</w:t>
      </w:r>
      <w:r w:rsidR="007D5480" w:rsidRPr="001A321E">
        <w:rPr>
          <w:rStyle w:val="BookTitle"/>
          <w:rFonts w:ascii="Arial" w:hAnsi="Arial" w:cs="Arial"/>
          <w:i w:val="0"/>
          <w:iCs w:val="0"/>
          <w:smallCaps w:val="0"/>
          <w:spacing w:val="0"/>
          <w:szCs w:val="24"/>
        </w:rPr>
        <w:t xml:space="preserve"> </w:t>
      </w:r>
      <w:r w:rsidRPr="001A321E">
        <w:rPr>
          <w:rStyle w:val="BookTitle"/>
          <w:rFonts w:ascii="Arial" w:hAnsi="Arial" w:cs="Arial"/>
          <w:i w:val="0"/>
          <w:iCs w:val="0"/>
          <w:smallCaps w:val="0"/>
          <w:spacing w:val="0"/>
          <w:szCs w:val="24"/>
        </w:rPr>
        <w:t xml:space="preserve">that would allow them to retain access to </w:t>
      </w:r>
      <w:r w:rsidR="00075989" w:rsidRPr="001A321E">
        <w:rPr>
          <w:rStyle w:val="BookTitle"/>
          <w:rFonts w:ascii="Arial" w:hAnsi="Arial" w:cs="Arial"/>
          <w:i w:val="0"/>
          <w:iCs w:val="0"/>
          <w:smallCaps w:val="0"/>
          <w:spacing w:val="0"/>
          <w:szCs w:val="24"/>
        </w:rPr>
        <w:t>their</w:t>
      </w:r>
      <w:r w:rsidR="007D5480" w:rsidRPr="001A321E">
        <w:rPr>
          <w:rStyle w:val="BookTitle"/>
          <w:rFonts w:ascii="Arial" w:hAnsi="Arial" w:cs="Arial"/>
          <w:i w:val="0"/>
          <w:iCs w:val="0"/>
          <w:smallCaps w:val="0"/>
          <w:spacing w:val="0"/>
          <w:szCs w:val="24"/>
        </w:rPr>
        <w:t xml:space="preserve"> ancillary benefits</w:t>
      </w:r>
      <w:r w:rsidR="00B13376" w:rsidRPr="001A321E">
        <w:rPr>
          <w:rStyle w:val="BookTitle"/>
          <w:rFonts w:ascii="Arial" w:hAnsi="Arial" w:cs="Arial"/>
          <w:i w:val="0"/>
          <w:iCs w:val="0"/>
          <w:smallCaps w:val="0"/>
          <w:spacing w:val="0"/>
          <w:szCs w:val="24"/>
        </w:rPr>
        <w:t xml:space="preserve"> for longer</w:t>
      </w:r>
      <w:r w:rsidR="00CF62E2" w:rsidRPr="001A321E">
        <w:rPr>
          <w:rStyle w:val="BookTitle"/>
          <w:rFonts w:ascii="Arial" w:hAnsi="Arial" w:cs="Arial"/>
          <w:i w:val="0"/>
          <w:iCs w:val="0"/>
          <w:smallCaps w:val="0"/>
          <w:spacing w:val="0"/>
          <w:szCs w:val="24"/>
        </w:rPr>
        <w:t xml:space="preserve"> than the standard 12 weeks provided for in the Act</w:t>
      </w:r>
      <w:r w:rsidR="007D5480" w:rsidRPr="001A321E">
        <w:rPr>
          <w:rStyle w:val="BookTitle"/>
          <w:rFonts w:ascii="Arial" w:hAnsi="Arial" w:cs="Arial"/>
          <w:i w:val="0"/>
          <w:iCs w:val="0"/>
          <w:smallCaps w:val="0"/>
          <w:spacing w:val="0"/>
          <w:szCs w:val="24"/>
        </w:rPr>
        <w:t>.</w:t>
      </w:r>
      <w:r w:rsidR="00357B3B" w:rsidRPr="001A321E">
        <w:rPr>
          <w:rStyle w:val="BookTitle"/>
          <w:rFonts w:ascii="Arial" w:hAnsi="Arial" w:cs="Arial"/>
          <w:i w:val="0"/>
          <w:iCs w:val="0"/>
          <w:smallCaps w:val="0"/>
          <w:spacing w:val="0"/>
          <w:szCs w:val="24"/>
        </w:rPr>
        <w:t xml:space="preserve">  </w:t>
      </w:r>
      <w:r w:rsidR="007D5480" w:rsidRPr="001A321E">
        <w:rPr>
          <w:rStyle w:val="BookTitle"/>
          <w:rFonts w:ascii="Arial" w:hAnsi="Arial" w:cs="Arial"/>
          <w:i w:val="0"/>
          <w:iCs w:val="0"/>
          <w:smallCaps w:val="0"/>
          <w:spacing w:val="0"/>
          <w:szCs w:val="24"/>
        </w:rPr>
        <w:t>The amendments extended the</w:t>
      </w:r>
      <w:r w:rsidR="00075989" w:rsidRPr="001A321E">
        <w:rPr>
          <w:rStyle w:val="BookTitle"/>
          <w:rFonts w:ascii="Arial" w:hAnsi="Arial" w:cs="Arial"/>
          <w:i w:val="0"/>
          <w:iCs w:val="0"/>
          <w:smallCaps w:val="0"/>
          <w:spacing w:val="0"/>
          <w:szCs w:val="24"/>
        </w:rPr>
        <w:t xml:space="preserve"> employment income</w:t>
      </w:r>
      <w:r w:rsidR="007D5480" w:rsidRPr="001A321E">
        <w:rPr>
          <w:rStyle w:val="BookTitle"/>
          <w:rFonts w:ascii="Arial" w:hAnsi="Arial" w:cs="Arial"/>
          <w:i w:val="0"/>
          <w:iCs w:val="0"/>
          <w:smallCaps w:val="0"/>
          <w:spacing w:val="0"/>
          <w:szCs w:val="24"/>
        </w:rPr>
        <w:t xml:space="preserve"> nil rate period through to 16 November 2020</w:t>
      </w:r>
      <w:r w:rsidR="00034A98" w:rsidRPr="001A321E">
        <w:rPr>
          <w:rStyle w:val="BookTitle"/>
          <w:rFonts w:ascii="Arial" w:hAnsi="Arial" w:cs="Arial"/>
          <w:i w:val="0"/>
          <w:iCs w:val="0"/>
          <w:smallCaps w:val="0"/>
          <w:spacing w:val="0"/>
          <w:szCs w:val="24"/>
        </w:rPr>
        <w:t xml:space="preserve"> for social security benefit and pension recipients whose standard 12-week period ended betwe</w:t>
      </w:r>
      <w:r w:rsidR="00111250" w:rsidRPr="001A321E">
        <w:rPr>
          <w:rStyle w:val="BookTitle"/>
          <w:rFonts w:ascii="Arial" w:hAnsi="Arial" w:cs="Arial"/>
          <w:i w:val="0"/>
          <w:iCs w:val="0"/>
          <w:smallCaps w:val="0"/>
          <w:spacing w:val="0"/>
          <w:szCs w:val="24"/>
        </w:rPr>
        <w:t>en 22 June 2020 and 16 November </w:t>
      </w:r>
      <w:r w:rsidR="00034A98" w:rsidRPr="001A321E">
        <w:rPr>
          <w:rStyle w:val="BookTitle"/>
          <w:rFonts w:ascii="Arial" w:hAnsi="Arial" w:cs="Arial"/>
          <w:i w:val="0"/>
          <w:iCs w:val="0"/>
          <w:smallCaps w:val="0"/>
          <w:spacing w:val="0"/>
          <w:szCs w:val="24"/>
        </w:rPr>
        <w:t>2020</w:t>
      </w:r>
      <w:r w:rsidR="007D5480" w:rsidRPr="001A321E">
        <w:rPr>
          <w:rStyle w:val="BookTitle"/>
          <w:rFonts w:ascii="Arial" w:hAnsi="Arial" w:cs="Arial"/>
          <w:i w:val="0"/>
          <w:iCs w:val="0"/>
          <w:smallCaps w:val="0"/>
          <w:spacing w:val="0"/>
          <w:szCs w:val="24"/>
        </w:rPr>
        <w:t xml:space="preserve">. </w:t>
      </w:r>
      <w:r w:rsidR="00111250" w:rsidRPr="001A321E">
        <w:rPr>
          <w:rStyle w:val="BookTitle"/>
          <w:rFonts w:ascii="Arial" w:hAnsi="Arial" w:cs="Arial"/>
          <w:i w:val="0"/>
          <w:iCs w:val="0"/>
          <w:smallCaps w:val="0"/>
          <w:spacing w:val="0"/>
          <w:szCs w:val="24"/>
        </w:rPr>
        <w:t xml:space="preserve"> </w:t>
      </w:r>
      <w:r w:rsidR="00E677D9" w:rsidRPr="001A321E">
        <w:rPr>
          <w:rStyle w:val="BookTitle"/>
          <w:rFonts w:ascii="Arial" w:hAnsi="Arial" w:cs="Arial"/>
          <w:i w:val="0"/>
          <w:iCs w:val="0"/>
          <w:smallCaps w:val="0"/>
          <w:spacing w:val="0"/>
          <w:szCs w:val="24"/>
        </w:rPr>
        <w:t xml:space="preserve">The </w:t>
      </w:r>
      <w:r w:rsidR="00E677D9" w:rsidRPr="001A321E">
        <w:rPr>
          <w:rFonts w:ascii="Arial" w:hAnsi="Arial" w:cs="Arial"/>
          <w:szCs w:val="24"/>
        </w:rPr>
        <w:t>amendments made by this</w:t>
      </w:r>
      <w:r w:rsidR="00E677D9" w:rsidRPr="001A321E">
        <w:rPr>
          <w:rStyle w:val="BookTitle"/>
          <w:rFonts w:ascii="Arial" w:hAnsi="Arial" w:cs="Arial"/>
          <w:i w:val="0"/>
          <w:iCs w:val="0"/>
          <w:smallCaps w:val="0"/>
          <w:spacing w:val="0"/>
          <w:szCs w:val="24"/>
        </w:rPr>
        <w:t xml:space="preserve"> </w:t>
      </w:r>
      <w:r w:rsidR="00B24BD8" w:rsidRPr="001A321E">
        <w:rPr>
          <w:rStyle w:val="BookTitle"/>
          <w:rFonts w:ascii="Arial" w:hAnsi="Arial" w:cs="Arial"/>
          <w:i w:val="0"/>
          <w:iCs w:val="0"/>
          <w:smallCaps w:val="0"/>
          <w:spacing w:val="0"/>
          <w:szCs w:val="24"/>
        </w:rPr>
        <w:t>Determination</w:t>
      </w:r>
      <w:r w:rsidR="00E677D9" w:rsidRPr="001A321E">
        <w:rPr>
          <w:rStyle w:val="BookTitle"/>
          <w:rFonts w:ascii="Arial" w:hAnsi="Arial" w:cs="Arial"/>
          <w:i w:val="0"/>
          <w:iCs w:val="0"/>
          <w:smallCaps w:val="0"/>
          <w:spacing w:val="0"/>
          <w:szCs w:val="24"/>
        </w:rPr>
        <w:t xml:space="preserve"> extend</w:t>
      </w:r>
      <w:r w:rsidR="007D5480" w:rsidRPr="001A321E">
        <w:rPr>
          <w:rStyle w:val="BookTitle"/>
          <w:rFonts w:ascii="Arial" w:hAnsi="Arial" w:cs="Arial"/>
          <w:i w:val="0"/>
          <w:iCs w:val="0"/>
          <w:smallCaps w:val="0"/>
          <w:spacing w:val="0"/>
          <w:szCs w:val="24"/>
        </w:rPr>
        <w:t xml:space="preserve"> </w:t>
      </w:r>
      <w:r w:rsidR="00075989" w:rsidRPr="001A321E">
        <w:rPr>
          <w:rStyle w:val="BookTitle"/>
          <w:rFonts w:ascii="Arial" w:hAnsi="Arial" w:cs="Arial"/>
          <w:i w:val="0"/>
          <w:iCs w:val="0"/>
          <w:smallCaps w:val="0"/>
          <w:spacing w:val="0"/>
          <w:szCs w:val="24"/>
        </w:rPr>
        <w:t xml:space="preserve">the end date of </w:t>
      </w:r>
      <w:r w:rsidR="00034A98" w:rsidRPr="001A321E">
        <w:rPr>
          <w:rStyle w:val="BookTitle"/>
          <w:rFonts w:ascii="Arial" w:hAnsi="Arial" w:cs="Arial"/>
          <w:i w:val="0"/>
          <w:iCs w:val="0"/>
          <w:smallCaps w:val="0"/>
          <w:spacing w:val="0"/>
          <w:szCs w:val="24"/>
        </w:rPr>
        <w:t xml:space="preserve">the employment income nil rate period </w:t>
      </w:r>
      <w:r w:rsidR="00075989" w:rsidRPr="001A321E">
        <w:rPr>
          <w:rStyle w:val="BookTitle"/>
          <w:rFonts w:ascii="Arial" w:hAnsi="Arial" w:cs="Arial"/>
          <w:i w:val="0"/>
          <w:iCs w:val="0"/>
          <w:smallCaps w:val="0"/>
          <w:spacing w:val="0"/>
          <w:szCs w:val="24"/>
        </w:rPr>
        <w:t>to</w:t>
      </w:r>
      <w:r w:rsidR="007D5480" w:rsidRPr="001A321E">
        <w:rPr>
          <w:rStyle w:val="BookTitle"/>
          <w:rFonts w:ascii="Arial" w:hAnsi="Arial" w:cs="Arial"/>
          <w:i w:val="0"/>
          <w:iCs w:val="0"/>
          <w:smallCaps w:val="0"/>
          <w:spacing w:val="0"/>
          <w:szCs w:val="24"/>
        </w:rPr>
        <w:t xml:space="preserve"> 31 December 2020. </w:t>
      </w:r>
    </w:p>
    <w:p w14:paraId="7F7C9A6B" w14:textId="77777777" w:rsidR="007D5480" w:rsidRPr="001A321E" w:rsidRDefault="007D5480" w:rsidP="002E726C">
      <w:pPr>
        <w:rPr>
          <w:rStyle w:val="BookTitle"/>
          <w:rFonts w:ascii="Arial" w:hAnsi="Arial" w:cs="Arial"/>
          <w:i w:val="0"/>
          <w:iCs w:val="0"/>
          <w:smallCaps w:val="0"/>
          <w:spacing w:val="0"/>
          <w:szCs w:val="24"/>
        </w:rPr>
      </w:pPr>
      <w:r w:rsidRPr="001A321E">
        <w:rPr>
          <w:rStyle w:val="BookTitle"/>
          <w:rFonts w:ascii="Arial" w:hAnsi="Arial" w:cs="Arial"/>
          <w:i w:val="0"/>
          <w:iCs w:val="0"/>
          <w:smallCaps w:val="0"/>
          <w:spacing w:val="0"/>
          <w:szCs w:val="24"/>
        </w:rPr>
        <w:t xml:space="preserve">Therefore, if a person’s </w:t>
      </w:r>
      <w:r w:rsidR="00034A98" w:rsidRPr="001A321E">
        <w:rPr>
          <w:rStyle w:val="BookTitle"/>
          <w:rFonts w:ascii="Arial" w:hAnsi="Arial" w:cs="Arial"/>
          <w:i w:val="0"/>
          <w:iCs w:val="0"/>
          <w:smallCaps w:val="0"/>
          <w:spacing w:val="0"/>
          <w:szCs w:val="24"/>
        </w:rPr>
        <w:t xml:space="preserve">standard </w:t>
      </w:r>
      <w:r w:rsidRPr="001A321E">
        <w:rPr>
          <w:rStyle w:val="BookTitle"/>
          <w:rFonts w:ascii="Arial" w:hAnsi="Arial" w:cs="Arial"/>
          <w:i w:val="0"/>
          <w:iCs w:val="0"/>
          <w:smallCaps w:val="0"/>
          <w:spacing w:val="0"/>
          <w:szCs w:val="24"/>
        </w:rPr>
        <w:t xml:space="preserve">12-week </w:t>
      </w:r>
      <w:r w:rsidR="00075989" w:rsidRPr="001A321E">
        <w:rPr>
          <w:rStyle w:val="BookTitle"/>
          <w:rFonts w:ascii="Arial" w:hAnsi="Arial" w:cs="Arial"/>
          <w:i w:val="0"/>
          <w:iCs w:val="0"/>
          <w:smallCaps w:val="0"/>
          <w:spacing w:val="0"/>
          <w:szCs w:val="24"/>
        </w:rPr>
        <w:t xml:space="preserve">employment income </w:t>
      </w:r>
      <w:r w:rsidRPr="001A321E">
        <w:rPr>
          <w:rStyle w:val="BookTitle"/>
          <w:rFonts w:ascii="Arial" w:hAnsi="Arial" w:cs="Arial"/>
          <w:i w:val="0"/>
          <w:iCs w:val="0"/>
          <w:smallCaps w:val="0"/>
          <w:spacing w:val="0"/>
          <w:szCs w:val="24"/>
        </w:rPr>
        <w:t xml:space="preserve">nil rate period ends on a day during the period 22 June </w:t>
      </w:r>
      <w:r w:rsidR="00536162" w:rsidRPr="001A321E">
        <w:rPr>
          <w:rStyle w:val="BookTitle"/>
          <w:rFonts w:ascii="Arial" w:hAnsi="Arial" w:cs="Arial"/>
          <w:i w:val="0"/>
          <w:iCs w:val="0"/>
          <w:smallCaps w:val="0"/>
          <w:spacing w:val="0"/>
          <w:szCs w:val="24"/>
        </w:rPr>
        <w:t xml:space="preserve">2020 to 31 December 2020, the end date of their </w:t>
      </w:r>
      <w:r w:rsidR="00075989" w:rsidRPr="001A321E">
        <w:rPr>
          <w:rStyle w:val="BookTitle"/>
          <w:rFonts w:ascii="Arial" w:hAnsi="Arial" w:cs="Arial"/>
          <w:i w:val="0"/>
          <w:iCs w:val="0"/>
          <w:smallCaps w:val="0"/>
          <w:spacing w:val="0"/>
          <w:szCs w:val="24"/>
        </w:rPr>
        <w:t xml:space="preserve">employment income </w:t>
      </w:r>
      <w:r w:rsidRPr="001A321E">
        <w:rPr>
          <w:rStyle w:val="BookTitle"/>
          <w:rFonts w:ascii="Arial" w:hAnsi="Arial" w:cs="Arial"/>
          <w:i w:val="0"/>
          <w:iCs w:val="0"/>
          <w:smallCaps w:val="0"/>
          <w:spacing w:val="0"/>
          <w:szCs w:val="24"/>
        </w:rPr>
        <w:t>nil rate period will be 31 December 2020.</w:t>
      </w:r>
    </w:p>
    <w:p w14:paraId="7F7C9A6C" w14:textId="453EB26C" w:rsidR="00CF62E2" w:rsidRPr="001A321E" w:rsidRDefault="00CF62E2" w:rsidP="002E726C">
      <w:pPr>
        <w:rPr>
          <w:rFonts w:ascii="Arial" w:hAnsi="Arial" w:cs="Arial"/>
          <w:szCs w:val="24"/>
        </w:rPr>
      </w:pPr>
      <w:r w:rsidRPr="001A321E">
        <w:rPr>
          <w:rFonts w:ascii="Arial" w:hAnsi="Arial" w:cs="Arial"/>
          <w:szCs w:val="24"/>
        </w:rPr>
        <w:t xml:space="preserve">The amendments made by this </w:t>
      </w:r>
      <w:r w:rsidR="008E6906" w:rsidRPr="001A321E">
        <w:rPr>
          <w:rFonts w:ascii="Arial" w:hAnsi="Arial" w:cs="Arial"/>
          <w:szCs w:val="24"/>
        </w:rPr>
        <w:t xml:space="preserve">Determination </w:t>
      </w:r>
      <w:r w:rsidRPr="001A321E">
        <w:rPr>
          <w:rFonts w:ascii="Arial" w:hAnsi="Arial" w:cs="Arial"/>
          <w:szCs w:val="24"/>
        </w:rPr>
        <w:t xml:space="preserve">will ensure that increased partner income from </w:t>
      </w:r>
      <w:proofErr w:type="spellStart"/>
      <w:r w:rsidRPr="001A321E">
        <w:rPr>
          <w:rFonts w:ascii="Arial" w:hAnsi="Arial" w:cs="Arial"/>
          <w:szCs w:val="24"/>
        </w:rPr>
        <w:t>JobKeeper</w:t>
      </w:r>
      <w:proofErr w:type="spellEnd"/>
      <w:r w:rsidRPr="001A321E">
        <w:rPr>
          <w:rFonts w:ascii="Arial" w:hAnsi="Arial" w:cs="Arial"/>
          <w:szCs w:val="24"/>
        </w:rPr>
        <w:t xml:space="preserve"> does not result in the loss of s</w:t>
      </w:r>
      <w:r w:rsidR="00111250" w:rsidRPr="001A321E">
        <w:rPr>
          <w:rFonts w:ascii="Arial" w:hAnsi="Arial" w:cs="Arial"/>
          <w:szCs w:val="24"/>
        </w:rPr>
        <w:t>ocial security benefits such as </w:t>
      </w:r>
      <w:r w:rsidRPr="001A321E">
        <w:rPr>
          <w:rFonts w:ascii="Arial" w:hAnsi="Arial" w:cs="Arial"/>
          <w:szCs w:val="24"/>
        </w:rPr>
        <w:t>a concession cards.</w:t>
      </w:r>
    </w:p>
    <w:p w14:paraId="7F7C9A6D" w14:textId="6BED31ED" w:rsidR="008E6906" w:rsidRPr="001A321E" w:rsidRDefault="00B24BD8" w:rsidP="00B24BD8">
      <w:pPr>
        <w:rPr>
          <w:rStyle w:val="BookTitle"/>
          <w:rFonts w:ascii="Arial" w:hAnsi="Arial" w:cs="Arial"/>
          <w:i w:val="0"/>
          <w:iCs w:val="0"/>
          <w:smallCaps w:val="0"/>
          <w:spacing w:val="0"/>
          <w:szCs w:val="24"/>
        </w:rPr>
      </w:pPr>
      <w:r w:rsidRPr="001A321E">
        <w:rPr>
          <w:rStyle w:val="BookTitle"/>
          <w:rFonts w:ascii="Arial" w:hAnsi="Arial" w:cs="Arial"/>
          <w:i w:val="0"/>
          <w:iCs w:val="0"/>
          <w:smallCaps w:val="0"/>
          <w:spacing w:val="0"/>
          <w:szCs w:val="24"/>
        </w:rPr>
        <w:t xml:space="preserve">Subsection 33(3) of the </w:t>
      </w:r>
      <w:r w:rsidRPr="001A321E">
        <w:rPr>
          <w:rStyle w:val="BookTitle"/>
          <w:rFonts w:ascii="Arial" w:hAnsi="Arial" w:cs="Arial"/>
          <w:iCs w:val="0"/>
          <w:smallCaps w:val="0"/>
          <w:spacing w:val="0"/>
          <w:szCs w:val="24"/>
        </w:rPr>
        <w:t>Acts Interpretation Act 1901</w:t>
      </w:r>
      <w:r w:rsidRPr="001A321E">
        <w:rPr>
          <w:rStyle w:val="BookTitle"/>
          <w:rFonts w:ascii="Arial" w:hAnsi="Arial" w:cs="Arial"/>
          <w:i w:val="0"/>
          <w:iCs w:val="0"/>
          <w:smallCaps w:val="0"/>
          <w:spacing w:val="0"/>
          <w:szCs w:val="24"/>
        </w:rPr>
        <w:t xml:space="preserve"> provides that the power to make a legislative instrument 'shall be construed as including a power exercisable in the like manner and subject to the like conditions (if any) to repeal, rescind, revoke, amend, or vary any such instrument'.  In making </w:t>
      </w:r>
      <w:r w:rsidR="00111250" w:rsidRPr="001A321E">
        <w:rPr>
          <w:rStyle w:val="BookTitle"/>
          <w:rFonts w:ascii="Arial" w:hAnsi="Arial" w:cs="Arial"/>
          <w:i w:val="0"/>
          <w:iCs w:val="0"/>
          <w:smallCaps w:val="0"/>
          <w:spacing w:val="0"/>
          <w:szCs w:val="24"/>
        </w:rPr>
        <w:t>the amendments in Schedule 1 to </w:t>
      </w:r>
      <w:r w:rsidRPr="001A321E">
        <w:rPr>
          <w:rStyle w:val="BookTitle"/>
          <w:rFonts w:ascii="Arial" w:hAnsi="Arial" w:cs="Arial"/>
          <w:i w:val="0"/>
          <w:iCs w:val="0"/>
          <w:smallCaps w:val="0"/>
          <w:spacing w:val="0"/>
          <w:szCs w:val="24"/>
        </w:rPr>
        <w:t xml:space="preserve">this </w:t>
      </w:r>
      <w:r w:rsidR="008E6906" w:rsidRPr="001A321E">
        <w:rPr>
          <w:rStyle w:val="BookTitle"/>
          <w:rFonts w:ascii="Arial" w:hAnsi="Arial" w:cs="Arial"/>
          <w:i w:val="0"/>
          <w:iCs w:val="0"/>
          <w:smallCaps w:val="0"/>
          <w:spacing w:val="0"/>
          <w:szCs w:val="24"/>
        </w:rPr>
        <w:t>Determination</w:t>
      </w:r>
      <w:r w:rsidRPr="001A321E">
        <w:rPr>
          <w:rStyle w:val="BookTitle"/>
          <w:rFonts w:ascii="Arial" w:hAnsi="Arial" w:cs="Arial"/>
          <w:i w:val="0"/>
          <w:iCs w:val="0"/>
          <w:smallCaps w:val="0"/>
          <w:spacing w:val="0"/>
          <w:szCs w:val="24"/>
        </w:rPr>
        <w:t>, the Minister is relying upon this subsection in conjunction with the instrument-making powers in item 40A of Schedule 11 to the Omnibus Act and section 1210B of the Act.</w:t>
      </w:r>
    </w:p>
    <w:p w14:paraId="7F7C9A6E" w14:textId="77777777" w:rsidR="00B24BD8" w:rsidRPr="001A321E" w:rsidRDefault="008E6906" w:rsidP="002E726C">
      <w:pPr>
        <w:rPr>
          <w:rStyle w:val="BookTitle"/>
          <w:rFonts w:ascii="Arial" w:hAnsi="Arial" w:cs="Arial"/>
          <w:i w:val="0"/>
          <w:iCs w:val="0"/>
          <w:smallCaps w:val="0"/>
          <w:spacing w:val="0"/>
          <w:szCs w:val="24"/>
        </w:rPr>
      </w:pPr>
      <w:r w:rsidRPr="001A321E">
        <w:rPr>
          <w:rStyle w:val="BookTitle"/>
          <w:rFonts w:ascii="Arial" w:hAnsi="Arial" w:cs="Arial"/>
          <w:i w:val="0"/>
          <w:iCs w:val="0"/>
          <w:smallCaps w:val="0"/>
          <w:spacing w:val="0"/>
          <w:szCs w:val="24"/>
        </w:rPr>
        <w:t>This Determination is a legislative instrument subject to disallowance.</w:t>
      </w:r>
    </w:p>
    <w:p w14:paraId="7F7C9A6F" w14:textId="77777777" w:rsidR="002E726C" w:rsidRPr="001A321E" w:rsidRDefault="002E726C" w:rsidP="002E726C">
      <w:pPr>
        <w:rPr>
          <w:rFonts w:ascii="Arial" w:hAnsi="Arial" w:cs="Arial"/>
          <w:szCs w:val="24"/>
        </w:rPr>
      </w:pPr>
      <w:r w:rsidRPr="001A321E">
        <w:rPr>
          <w:rStyle w:val="BookTitle"/>
          <w:rFonts w:ascii="Arial" w:hAnsi="Arial" w:cs="Arial"/>
          <w:b/>
          <w:i w:val="0"/>
          <w:iCs w:val="0"/>
          <w:smallCaps w:val="0"/>
          <w:spacing w:val="0"/>
          <w:szCs w:val="24"/>
        </w:rPr>
        <w:t>Commencement</w:t>
      </w:r>
    </w:p>
    <w:p w14:paraId="7F7C9A70" w14:textId="77777777" w:rsidR="000B4130" w:rsidRPr="001A321E" w:rsidRDefault="0042132E" w:rsidP="004B54CA">
      <w:pPr>
        <w:rPr>
          <w:rStyle w:val="BookTitle"/>
          <w:rFonts w:ascii="Arial" w:hAnsi="Arial" w:cs="Arial"/>
          <w:i w:val="0"/>
          <w:iCs w:val="0"/>
          <w:smallCaps w:val="0"/>
          <w:spacing w:val="0"/>
          <w:szCs w:val="24"/>
        </w:rPr>
      </w:pPr>
      <w:r w:rsidRPr="001A321E">
        <w:rPr>
          <w:rStyle w:val="BookTitle"/>
          <w:rFonts w:ascii="Arial" w:hAnsi="Arial" w:cs="Arial"/>
          <w:i w:val="0"/>
          <w:iCs w:val="0"/>
          <w:smallCaps w:val="0"/>
          <w:spacing w:val="0"/>
          <w:szCs w:val="24"/>
        </w:rPr>
        <w:t>Th</w:t>
      </w:r>
      <w:r w:rsidR="008E6906" w:rsidRPr="001A321E">
        <w:rPr>
          <w:rStyle w:val="BookTitle"/>
          <w:rFonts w:ascii="Arial" w:hAnsi="Arial" w:cs="Arial"/>
          <w:i w:val="0"/>
          <w:iCs w:val="0"/>
          <w:smallCaps w:val="0"/>
          <w:spacing w:val="0"/>
          <w:szCs w:val="24"/>
        </w:rPr>
        <w:t>is Determination</w:t>
      </w:r>
      <w:r w:rsidR="000B4130" w:rsidRPr="001A321E">
        <w:rPr>
          <w:rStyle w:val="BookTitle"/>
          <w:rFonts w:ascii="Arial" w:hAnsi="Arial" w:cs="Arial"/>
          <w:i w:val="0"/>
          <w:iCs w:val="0"/>
          <w:smallCaps w:val="0"/>
          <w:spacing w:val="0"/>
          <w:szCs w:val="24"/>
        </w:rPr>
        <w:t xml:space="preserve"> commences on </w:t>
      </w:r>
      <w:r w:rsidR="00FC52A5" w:rsidRPr="001A321E">
        <w:rPr>
          <w:rStyle w:val="BookTitle"/>
          <w:rFonts w:ascii="Arial" w:hAnsi="Arial" w:cs="Arial"/>
          <w:i w:val="0"/>
          <w:iCs w:val="0"/>
          <w:smallCaps w:val="0"/>
          <w:spacing w:val="0"/>
          <w:szCs w:val="24"/>
        </w:rPr>
        <w:t>t</w:t>
      </w:r>
      <w:r w:rsidR="000B4130" w:rsidRPr="001A321E">
        <w:rPr>
          <w:rStyle w:val="BookTitle"/>
          <w:rFonts w:ascii="Arial" w:hAnsi="Arial" w:cs="Arial"/>
          <w:i w:val="0"/>
          <w:iCs w:val="0"/>
          <w:smallCaps w:val="0"/>
          <w:spacing w:val="0"/>
          <w:szCs w:val="24"/>
        </w:rPr>
        <w:t>he day after it is registered</w:t>
      </w:r>
      <w:r w:rsidR="00FC52A5" w:rsidRPr="001A321E">
        <w:rPr>
          <w:rStyle w:val="BookTitle"/>
          <w:rFonts w:ascii="Arial" w:hAnsi="Arial" w:cs="Arial"/>
          <w:i w:val="0"/>
          <w:iCs w:val="0"/>
          <w:smallCaps w:val="0"/>
          <w:spacing w:val="0"/>
          <w:szCs w:val="24"/>
        </w:rPr>
        <w:t xml:space="preserve"> on the Federal Register of Legislation</w:t>
      </w:r>
      <w:r w:rsidR="000B4130" w:rsidRPr="001A321E">
        <w:rPr>
          <w:rStyle w:val="BookTitle"/>
          <w:rFonts w:ascii="Arial" w:hAnsi="Arial" w:cs="Arial"/>
          <w:i w:val="0"/>
          <w:iCs w:val="0"/>
          <w:smallCaps w:val="0"/>
          <w:spacing w:val="0"/>
          <w:szCs w:val="24"/>
        </w:rPr>
        <w:t>.</w:t>
      </w:r>
    </w:p>
    <w:p w14:paraId="7F7C9A71" w14:textId="77777777" w:rsidR="006A6D51" w:rsidRPr="001A321E" w:rsidRDefault="006A6D51" w:rsidP="00E01E71">
      <w:pPr>
        <w:rPr>
          <w:rStyle w:val="BookTitle"/>
          <w:rFonts w:ascii="Arial" w:hAnsi="Arial" w:cs="Arial"/>
          <w:b/>
          <w:i w:val="0"/>
          <w:iCs w:val="0"/>
          <w:smallCaps w:val="0"/>
          <w:spacing w:val="0"/>
          <w:szCs w:val="24"/>
        </w:rPr>
      </w:pPr>
      <w:r w:rsidRPr="001A321E">
        <w:rPr>
          <w:rStyle w:val="BookTitle"/>
          <w:rFonts w:ascii="Arial" w:hAnsi="Arial" w:cs="Arial"/>
          <w:b/>
          <w:i w:val="0"/>
          <w:iCs w:val="0"/>
          <w:smallCaps w:val="0"/>
          <w:spacing w:val="0"/>
          <w:szCs w:val="24"/>
        </w:rPr>
        <w:t>Consultation</w:t>
      </w:r>
    </w:p>
    <w:p w14:paraId="7F7C9A72" w14:textId="66FDD44F" w:rsidR="007A4E37" w:rsidRPr="001A321E" w:rsidRDefault="00FC52A5" w:rsidP="008F6F39">
      <w:pPr>
        <w:rPr>
          <w:rFonts w:ascii="Arial" w:hAnsi="Arial" w:cs="Arial"/>
          <w:b/>
          <w:szCs w:val="24"/>
        </w:rPr>
      </w:pPr>
      <w:r w:rsidRPr="001A321E">
        <w:rPr>
          <w:rFonts w:ascii="Arial" w:hAnsi="Arial" w:cs="Arial"/>
          <w:szCs w:val="24"/>
        </w:rPr>
        <w:t xml:space="preserve">Due to the </w:t>
      </w:r>
      <w:r w:rsidR="004260D7" w:rsidRPr="001A321E">
        <w:rPr>
          <w:rFonts w:ascii="Arial" w:hAnsi="Arial" w:cs="Arial"/>
          <w:szCs w:val="24"/>
        </w:rPr>
        <w:t xml:space="preserve">beneficial </w:t>
      </w:r>
      <w:r w:rsidR="004B2F53" w:rsidRPr="001A321E">
        <w:rPr>
          <w:rFonts w:ascii="Arial" w:hAnsi="Arial" w:cs="Arial"/>
          <w:szCs w:val="24"/>
        </w:rPr>
        <w:t xml:space="preserve">and temporary </w:t>
      </w:r>
      <w:r w:rsidR="004260D7" w:rsidRPr="001A321E">
        <w:rPr>
          <w:rFonts w:ascii="Arial" w:hAnsi="Arial" w:cs="Arial"/>
          <w:szCs w:val="24"/>
        </w:rPr>
        <w:t>nature of th</w:t>
      </w:r>
      <w:r w:rsidR="004B2F53" w:rsidRPr="001A321E">
        <w:rPr>
          <w:rFonts w:ascii="Arial" w:hAnsi="Arial" w:cs="Arial"/>
          <w:szCs w:val="24"/>
        </w:rPr>
        <w:t>e changes made by this Determination,</w:t>
      </w:r>
      <w:r w:rsidR="000E4DFA" w:rsidRPr="001A321E">
        <w:rPr>
          <w:rFonts w:ascii="Arial" w:hAnsi="Arial" w:cs="Arial"/>
          <w:szCs w:val="24"/>
        </w:rPr>
        <w:t xml:space="preserve"> </w:t>
      </w:r>
      <w:r w:rsidR="004260D7" w:rsidRPr="001A321E">
        <w:rPr>
          <w:rFonts w:ascii="Arial" w:hAnsi="Arial" w:cs="Arial"/>
          <w:szCs w:val="24"/>
        </w:rPr>
        <w:t xml:space="preserve">and the fact it extends existing </w:t>
      </w:r>
      <w:r w:rsidR="004B2F53" w:rsidRPr="001A321E">
        <w:rPr>
          <w:rFonts w:ascii="Arial" w:hAnsi="Arial" w:cs="Arial"/>
          <w:szCs w:val="24"/>
        </w:rPr>
        <w:t xml:space="preserve">temporary </w:t>
      </w:r>
      <w:r w:rsidR="004260D7" w:rsidRPr="001A321E">
        <w:rPr>
          <w:rFonts w:ascii="Arial" w:hAnsi="Arial" w:cs="Arial"/>
          <w:szCs w:val="24"/>
        </w:rPr>
        <w:t>arrangements</w:t>
      </w:r>
      <w:r w:rsidR="00111250" w:rsidRPr="001A321E">
        <w:rPr>
          <w:rFonts w:ascii="Arial" w:hAnsi="Arial" w:cs="Arial"/>
          <w:szCs w:val="24"/>
        </w:rPr>
        <w:t>, no </w:t>
      </w:r>
      <w:r w:rsidRPr="001A321E">
        <w:rPr>
          <w:rFonts w:ascii="Arial" w:hAnsi="Arial" w:cs="Arial"/>
          <w:szCs w:val="24"/>
        </w:rPr>
        <w:t xml:space="preserve">consultation was undertaken on this </w:t>
      </w:r>
      <w:r w:rsidR="008E6906" w:rsidRPr="001A321E">
        <w:rPr>
          <w:rFonts w:ascii="Arial" w:hAnsi="Arial" w:cs="Arial"/>
          <w:szCs w:val="24"/>
        </w:rPr>
        <w:t>Determination</w:t>
      </w:r>
      <w:r w:rsidRPr="001A321E">
        <w:rPr>
          <w:rFonts w:ascii="Arial" w:hAnsi="Arial" w:cs="Arial"/>
          <w:szCs w:val="24"/>
        </w:rPr>
        <w:t>.</w:t>
      </w:r>
    </w:p>
    <w:p w14:paraId="7F7C9A73" w14:textId="77777777" w:rsidR="002329E1" w:rsidRPr="001A321E" w:rsidRDefault="002329E1" w:rsidP="003A04AD">
      <w:pPr>
        <w:spacing w:after="240"/>
        <w:jc w:val="both"/>
        <w:rPr>
          <w:rFonts w:ascii="Arial" w:hAnsi="Arial" w:cs="Arial"/>
          <w:b/>
          <w:szCs w:val="24"/>
        </w:rPr>
      </w:pPr>
      <w:r w:rsidRPr="001A321E">
        <w:rPr>
          <w:rFonts w:ascii="Arial" w:hAnsi="Arial" w:cs="Arial"/>
          <w:b/>
          <w:szCs w:val="24"/>
        </w:rPr>
        <w:t>Regulat</w:t>
      </w:r>
      <w:r w:rsidR="00D459E0" w:rsidRPr="001A321E">
        <w:rPr>
          <w:rFonts w:ascii="Arial" w:hAnsi="Arial" w:cs="Arial"/>
          <w:b/>
          <w:szCs w:val="24"/>
        </w:rPr>
        <w:t>ion</w:t>
      </w:r>
      <w:r w:rsidRPr="001A321E">
        <w:rPr>
          <w:rFonts w:ascii="Arial" w:hAnsi="Arial" w:cs="Arial"/>
          <w:b/>
          <w:szCs w:val="24"/>
        </w:rPr>
        <w:t xml:space="preserve"> Impact </w:t>
      </w:r>
      <w:r w:rsidR="00D459E0" w:rsidRPr="001A321E">
        <w:rPr>
          <w:rFonts w:ascii="Arial" w:hAnsi="Arial" w:cs="Arial"/>
          <w:b/>
          <w:szCs w:val="24"/>
        </w:rPr>
        <w:t>Statement</w:t>
      </w:r>
      <w:r w:rsidR="00F52853" w:rsidRPr="001A321E">
        <w:rPr>
          <w:rFonts w:ascii="Arial" w:hAnsi="Arial" w:cs="Arial"/>
          <w:b/>
          <w:szCs w:val="24"/>
        </w:rPr>
        <w:t xml:space="preserve"> (RIS)</w:t>
      </w:r>
    </w:p>
    <w:p w14:paraId="7F7C9A74" w14:textId="194C1537" w:rsidR="00FC52A5" w:rsidRPr="001A321E" w:rsidRDefault="00FC52A5" w:rsidP="003A04AD">
      <w:pPr>
        <w:rPr>
          <w:rFonts w:ascii="Arial" w:hAnsi="Arial" w:cs="Arial"/>
          <w:szCs w:val="24"/>
        </w:rPr>
      </w:pPr>
      <w:r w:rsidRPr="001A321E">
        <w:rPr>
          <w:rFonts w:ascii="Arial" w:hAnsi="Arial" w:cs="Arial"/>
          <w:szCs w:val="24"/>
        </w:rPr>
        <w:t>An exemption from the Regulation Impact Statem</w:t>
      </w:r>
      <w:r w:rsidR="00111250" w:rsidRPr="001A321E">
        <w:rPr>
          <w:rFonts w:ascii="Arial" w:hAnsi="Arial" w:cs="Arial"/>
          <w:szCs w:val="24"/>
        </w:rPr>
        <w:t>ent requirements was granted by </w:t>
      </w:r>
      <w:r w:rsidRPr="001A321E">
        <w:rPr>
          <w:rFonts w:ascii="Arial" w:hAnsi="Arial" w:cs="Arial"/>
          <w:szCs w:val="24"/>
        </w:rPr>
        <w:t>the Prime Minister due to urgent and unforeseen events (OBPR ID: 26371).</w:t>
      </w:r>
    </w:p>
    <w:p w14:paraId="7F7C9A75" w14:textId="77777777" w:rsidR="006A6D51" w:rsidRPr="001A321E" w:rsidRDefault="006A6D51" w:rsidP="008F6F39">
      <w:pPr>
        <w:keepNext/>
        <w:keepLines/>
        <w:rPr>
          <w:rStyle w:val="BookTitle"/>
          <w:rFonts w:ascii="Arial" w:eastAsiaTheme="minorEastAsia" w:hAnsi="Arial" w:cs="Arial"/>
          <w:b/>
          <w:i w:val="0"/>
          <w:iCs w:val="0"/>
          <w:smallCaps w:val="0"/>
          <w:spacing w:val="0"/>
          <w:sz w:val="22"/>
          <w:szCs w:val="24"/>
        </w:rPr>
      </w:pPr>
      <w:r w:rsidRPr="001A321E">
        <w:rPr>
          <w:rStyle w:val="BookTitle"/>
          <w:rFonts w:ascii="Arial" w:hAnsi="Arial" w:cs="Arial"/>
          <w:b/>
          <w:i w:val="0"/>
          <w:iCs w:val="0"/>
          <w:smallCaps w:val="0"/>
          <w:spacing w:val="0"/>
          <w:szCs w:val="24"/>
        </w:rPr>
        <w:lastRenderedPageBreak/>
        <w:t>Explanation of the provisions</w:t>
      </w:r>
    </w:p>
    <w:p w14:paraId="7F7C9A76" w14:textId="77777777" w:rsidR="00671753" w:rsidRPr="001A321E" w:rsidRDefault="00671753" w:rsidP="008F6F39">
      <w:pPr>
        <w:keepNext/>
        <w:keepLines/>
        <w:rPr>
          <w:rStyle w:val="BookTitle"/>
          <w:rFonts w:ascii="Arial" w:hAnsi="Arial" w:cs="Arial"/>
          <w:b/>
          <w:i w:val="0"/>
          <w:iCs w:val="0"/>
          <w:smallCaps w:val="0"/>
          <w:spacing w:val="0"/>
          <w:szCs w:val="24"/>
          <w:u w:val="single"/>
        </w:rPr>
      </w:pPr>
      <w:r w:rsidRPr="001A321E">
        <w:rPr>
          <w:rStyle w:val="BookTitle"/>
          <w:rFonts w:ascii="Arial" w:hAnsi="Arial" w:cs="Arial"/>
          <w:b/>
          <w:i w:val="0"/>
          <w:iCs w:val="0"/>
          <w:smallCaps w:val="0"/>
          <w:spacing w:val="0"/>
          <w:szCs w:val="24"/>
          <w:u w:val="single"/>
        </w:rPr>
        <w:t>Part 1 – Preliminary</w:t>
      </w:r>
    </w:p>
    <w:p w14:paraId="7F7C9A77" w14:textId="77777777" w:rsidR="00FC52A5" w:rsidRPr="001A321E" w:rsidRDefault="003336A7" w:rsidP="008F6F39">
      <w:pPr>
        <w:keepNext/>
        <w:keepLines/>
        <w:rPr>
          <w:rStyle w:val="BookTitle"/>
          <w:rFonts w:ascii="Arial" w:eastAsiaTheme="minorEastAsia" w:hAnsi="Arial" w:cs="Arial"/>
          <w:i w:val="0"/>
          <w:iCs w:val="0"/>
          <w:smallCaps w:val="0"/>
          <w:spacing w:val="0"/>
          <w:sz w:val="22"/>
          <w:szCs w:val="24"/>
          <w:u w:val="single"/>
        </w:rPr>
      </w:pPr>
      <w:r w:rsidRPr="001A321E">
        <w:rPr>
          <w:rStyle w:val="BookTitle"/>
          <w:rFonts w:ascii="Arial" w:hAnsi="Arial" w:cs="Arial"/>
          <w:i w:val="0"/>
          <w:iCs w:val="0"/>
          <w:smallCaps w:val="0"/>
          <w:spacing w:val="0"/>
          <w:szCs w:val="24"/>
          <w:u w:val="single"/>
        </w:rPr>
        <w:t xml:space="preserve">Section </w:t>
      </w:r>
      <w:r w:rsidR="00FC52A5" w:rsidRPr="001A321E">
        <w:rPr>
          <w:rStyle w:val="BookTitle"/>
          <w:rFonts w:ascii="Arial" w:hAnsi="Arial" w:cs="Arial"/>
          <w:i w:val="0"/>
          <w:iCs w:val="0"/>
          <w:smallCaps w:val="0"/>
          <w:spacing w:val="0"/>
          <w:szCs w:val="24"/>
          <w:u w:val="single"/>
        </w:rPr>
        <w:t>1 - Name</w:t>
      </w:r>
    </w:p>
    <w:p w14:paraId="7F7C9A78" w14:textId="77777777" w:rsidR="00FC52A5" w:rsidRPr="001A321E" w:rsidRDefault="003336A7" w:rsidP="008F6F39">
      <w:pPr>
        <w:keepNext/>
        <w:keepLines/>
        <w:rPr>
          <w:rStyle w:val="BookTitle"/>
          <w:rFonts w:ascii="Arial" w:eastAsiaTheme="minorEastAsia" w:hAnsi="Arial" w:cs="Arial"/>
          <w:i w:val="0"/>
          <w:iCs w:val="0"/>
          <w:smallCaps w:val="0"/>
          <w:spacing w:val="0"/>
          <w:sz w:val="22"/>
          <w:szCs w:val="24"/>
        </w:rPr>
      </w:pPr>
      <w:r w:rsidRPr="001A321E">
        <w:rPr>
          <w:rStyle w:val="BookTitle"/>
          <w:rFonts w:ascii="Arial" w:hAnsi="Arial" w:cs="Arial"/>
          <w:i w:val="0"/>
          <w:iCs w:val="0"/>
          <w:smallCaps w:val="0"/>
          <w:spacing w:val="0"/>
          <w:szCs w:val="24"/>
        </w:rPr>
        <w:t>Se</w:t>
      </w:r>
      <w:r w:rsidR="0010103F" w:rsidRPr="001A321E">
        <w:rPr>
          <w:rStyle w:val="BookTitle"/>
          <w:rFonts w:ascii="Arial" w:hAnsi="Arial" w:cs="Arial"/>
          <w:i w:val="0"/>
          <w:iCs w:val="0"/>
          <w:smallCaps w:val="0"/>
          <w:spacing w:val="0"/>
          <w:szCs w:val="24"/>
        </w:rPr>
        <w:t>c</w:t>
      </w:r>
      <w:r w:rsidRPr="001A321E">
        <w:rPr>
          <w:rStyle w:val="BookTitle"/>
          <w:rFonts w:ascii="Arial" w:hAnsi="Arial" w:cs="Arial"/>
          <w:i w:val="0"/>
          <w:iCs w:val="0"/>
          <w:smallCaps w:val="0"/>
          <w:spacing w:val="0"/>
          <w:szCs w:val="24"/>
        </w:rPr>
        <w:t xml:space="preserve">tion </w:t>
      </w:r>
      <w:r w:rsidR="00FC52A5" w:rsidRPr="001A321E">
        <w:rPr>
          <w:rStyle w:val="BookTitle"/>
          <w:rFonts w:ascii="Arial" w:hAnsi="Arial" w:cs="Arial"/>
          <w:i w:val="0"/>
          <w:iCs w:val="0"/>
          <w:smallCaps w:val="0"/>
          <w:spacing w:val="0"/>
          <w:szCs w:val="24"/>
        </w:rPr>
        <w:t>1 provides the name of th</w:t>
      </w:r>
      <w:r w:rsidR="008E6906" w:rsidRPr="001A321E">
        <w:rPr>
          <w:rStyle w:val="BookTitle"/>
          <w:rFonts w:ascii="Arial" w:hAnsi="Arial" w:cs="Arial"/>
          <w:i w:val="0"/>
          <w:iCs w:val="0"/>
          <w:smallCaps w:val="0"/>
          <w:spacing w:val="0"/>
          <w:szCs w:val="24"/>
        </w:rPr>
        <w:t>is Determination</w:t>
      </w:r>
      <w:r w:rsidR="00FC52A5" w:rsidRPr="001A321E">
        <w:rPr>
          <w:rStyle w:val="BookTitle"/>
          <w:rFonts w:ascii="Arial" w:hAnsi="Arial" w:cs="Arial"/>
          <w:i w:val="0"/>
          <w:iCs w:val="0"/>
          <w:smallCaps w:val="0"/>
          <w:spacing w:val="0"/>
          <w:szCs w:val="24"/>
        </w:rPr>
        <w:t xml:space="preserve">, the </w:t>
      </w:r>
      <w:r w:rsidR="00FC52A5" w:rsidRPr="001A321E">
        <w:rPr>
          <w:rStyle w:val="BookTitle"/>
          <w:rFonts w:ascii="Arial" w:hAnsi="Arial" w:cs="Arial"/>
          <w:iCs w:val="0"/>
          <w:smallCaps w:val="0"/>
          <w:spacing w:val="0"/>
          <w:szCs w:val="24"/>
        </w:rPr>
        <w:t xml:space="preserve">Social Security (Coronavirus Economic Response – 2020 Measures No. </w:t>
      </w:r>
      <w:r w:rsidR="0099111C" w:rsidRPr="001A321E">
        <w:rPr>
          <w:rStyle w:val="BookTitle"/>
          <w:rFonts w:ascii="Arial" w:hAnsi="Arial" w:cs="Arial"/>
          <w:iCs w:val="0"/>
          <w:smallCaps w:val="0"/>
          <w:spacing w:val="0"/>
          <w:szCs w:val="24"/>
        </w:rPr>
        <w:t>15</w:t>
      </w:r>
      <w:r w:rsidR="00FC52A5" w:rsidRPr="001A321E">
        <w:rPr>
          <w:rStyle w:val="BookTitle"/>
          <w:rFonts w:ascii="Arial" w:hAnsi="Arial" w:cs="Arial"/>
          <w:iCs w:val="0"/>
          <w:smallCaps w:val="0"/>
          <w:spacing w:val="0"/>
          <w:szCs w:val="24"/>
        </w:rPr>
        <w:t>) Determination 2020</w:t>
      </w:r>
      <w:r w:rsidR="00FC52A5" w:rsidRPr="001A321E">
        <w:rPr>
          <w:rStyle w:val="BookTitle"/>
          <w:rFonts w:ascii="Arial" w:hAnsi="Arial" w:cs="Arial"/>
          <w:i w:val="0"/>
          <w:iCs w:val="0"/>
          <w:smallCaps w:val="0"/>
          <w:spacing w:val="0"/>
          <w:szCs w:val="24"/>
        </w:rPr>
        <w:t>.</w:t>
      </w:r>
    </w:p>
    <w:p w14:paraId="7F7C9A79" w14:textId="77777777" w:rsidR="00FC52A5" w:rsidRPr="001A321E" w:rsidRDefault="003336A7" w:rsidP="00F537A0">
      <w:pPr>
        <w:keepNext/>
        <w:keepLines/>
        <w:rPr>
          <w:rStyle w:val="BookTitle"/>
          <w:rFonts w:ascii="Arial" w:hAnsi="Arial" w:cs="Arial"/>
          <w:i w:val="0"/>
          <w:iCs w:val="0"/>
          <w:smallCaps w:val="0"/>
          <w:spacing w:val="0"/>
          <w:szCs w:val="24"/>
          <w:u w:val="single"/>
        </w:rPr>
      </w:pPr>
      <w:r w:rsidRPr="001A321E">
        <w:rPr>
          <w:rStyle w:val="BookTitle"/>
          <w:rFonts w:ascii="Arial" w:hAnsi="Arial" w:cs="Arial"/>
          <w:i w:val="0"/>
          <w:iCs w:val="0"/>
          <w:smallCaps w:val="0"/>
          <w:spacing w:val="0"/>
          <w:szCs w:val="24"/>
          <w:u w:val="single"/>
        </w:rPr>
        <w:t xml:space="preserve">Section </w:t>
      </w:r>
      <w:r w:rsidR="00FC52A5" w:rsidRPr="001A321E">
        <w:rPr>
          <w:rStyle w:val="BookTitle"/>
          <w:rFonts w:ascii="Arial" w:hAnsi="Arial" w:cs="Arial"/>
          <w:i w:val="0"/>
          <w:iCs w:val="0"/>
          <w:smallCaps w:val="0"/>
          <w:spacing w:val="0"/>
          <w:szCs w:val="24"/>
          <w:u w:val="single"/>
        </w:rPr>
        <w:t>2 - Commencement</w:t>
      </w:r>
    </w:p>
    <w:p w14:paraId="7F7C9A7A" w14:textId="1D065A0A" w:rsidR="000E4DFA" w:rsidRPr="001A321E" w:rsidRDefault="003336A7" w:rsidP="00196615">
      <w:pPr>
        <w:keepNext/>
        <w:keepLines/>
        <w:rPr>
          <w:rStyle w:val="BookTitle"/>
          <w:rFonts w:ascii="Arial" w:hAnsi="Arial" w:cs="Arial"/>
          <w:i w:val="0"/>
          <w:iCs w:val="0"/>
          <w:smallCaps w:val="0"/>
          <w:spacing w:val="0"/>
          <w:szCs w:val="24"/>
        </w:rPr>
      </w:pPr>
      <w:r w:rsidRPr="001A321E">
        <w:rPr>
          <w:rStyle w:val="BookTitle"/>
          <w:rFonts w:ascii="Arial" w:hAnsi="Arial" w:cs="Arial"/>
          <w:i w:val="0"/>
          <w:iCs w:val="0"/>
          <w:smallCaps w:val="0"/>
          <w:spacing w:val="0"/>
          <w:szCs w:val="24"/>
        </w:rPr>
        <w:t xml:space="preserve">Section </w:t>
      </w:r>
      <w:r w:rsidR="00FC52A5" w:rsidRPr="001A321E">
        <w:rPr>
          <w:rStyle w:val="BookTitle"/>
          <w:rFonts w:ascii="Arial" w:hAnsi="Arial" w:cs="Arial"/>
          <w:i w:val="0"/>
          <w:iCs w:val="0"/>
          <w:smallCaps w:val="0"/>
          <w:spacing w:val="0"/>
          <w:szCs w:val="24"/>
        </w:rPr>
        <w:t>2 sets out the commencement of th</w:t>
      </w:r>
      <w:r w:rsidR="008E6906" w:rsidRPr="001A321E">
        <w:rPr>
          <w:rStyle w:val="BookTitle"/>
          <w:rFonts w:ascii="Arial" w:hAnsi="Arial" w:cs="Arial"/>
          <w:i w:val="0"/>
          <w:iCs w:val="0"/>
          <w:smallCaps w:val="0"/>
          <w:spacing w:val="0"/>
          <w:szCs w:val="24"/>
        </w:rPr>
        <w:t>is Determination</w:t>
      </w:r>
      <w:r w:rsidR="00111250" w:rsidRPr="001A321E">
        <w:rPr>
          <w:rStyle w:val="BookTitle"/>
          <w:rFonts w:ascii="Arial" w:hAnsi="Arial" w:cs="Arial"/>
          <w:i w:val="0"/>
          <w:iCs w:val="0"/>
          <w:smallCaps w:val="0"/>
          <w:spacing w:val="0"/>
          <w:szCs w:val="24"/>
        </w:rPr>
        <w:t xml:space="preserve"> as the day after it is </w:t>
      </w:r>
      <w:r w:rsidR="00FC52A5" w:rsidRPr="001A321E">
        <w:rPr>
          <w:rStyle w:val="BookTitle"/>
          <w:rFonts w:ascii="Arial" w:hAnsi="Arial" w:cs="Arial"/>
          <w:i w:val="0"/>
          <w:iCs w:val="0"/>
          <w:smallCaps w:val="0"/>
          <w:spacing w:val="0"/>
          <w:szCs w:val="24"/>
        </w:rPr>
        <w:t>registered on the Federal Register of Legislation.</w:t>
      </w:r>
    </w:p>
    <w:p w14:paraId="7F7C9A7B" w14:textId="77777777" w:rsidR="000E4DFA" w:rsidRPr="001A321E" w:rsidRDefault="003336A7" w:rsidP="00034A98">
      <w:pPr>
        <w:rPr>
          <w:rStyle w:val="BookTitle"/>
          <w:rFonts w:ascii="Arial" w:hAnsi="Arial" w:cs="Arial"/>
          <w:i w:val="0"/>
          <w:iCs w:val="0"/>
          <w:smallCaps w:val="0"/>
          <w:spacing w:val="0"/>
          <w:szCs w:val="24"/>
          <w:u w:val="single"/>
        </w:rPr>
      </w:pPr>
      <w:r w:rsidRPr="001A321E">
        <w:rPr>
          <w:rStyle w:val="BookTitle"/>
          <w:rFonts w:ascii="Arial" w:hAnsi="Arial" w:cs="Arial"/>
          <w:i w:val="0"/>
          <w:iCs w:val="0"/>
          <w:smallCaps w:val="0"/>
          <w:spacing w:val="0"/>
          <w:szCs w:val="24"/>
          <w:u w:val="single"/>
        </w:rPr>
        <w:t xml:space="preserve">Section </w:t>
      </w:r>
      <w:r w:rsidR="00FC52A5" w:rsidRPr="001A321E">
        <w:rPr>
          <w:rStyle w:val="BookTitle"/>
          <w:rFonts w:ascii="Arial" w:hAnsi="Arial" w:cs="Arial"/>
          <w:i w:val="0"/>
          <w:iCs w:val="0"/>
          <w:smallCaps w:val="0"/>
          <w:spacing w:val="0"/>
          <w:szCs w:val="24"/>
          <w:u w:val="single"/>
        </w:rPr>
        <w:t xml:space="preserve">3 </w:t>
      </w:r>
      <w:r w:rsidR="000E4DFA" w:rsidRPr="001A321E">
        <w:rPr>
          <w:rStyle w:val="BookTitle"/>
          <w:rFonts w:ascii="Arial" w:hAnsi="Arial" w:cs="Arial"/>
          <w:i w:val="0"/>
          <w:iCs w:val="0"/>
          <w:smallCaps w:val="0"/>
          <w:spacing w:val="0"/>
          <w:szCs w:val="24"/>
          <w:u w:val="single"/>
        </w:rPr>
        <w:t>–</w:t>
      </w:r>
      <w:r w:rsidR="00FC52A5" w:rsidRPr="001A321E">
        <w:rPr>
          <w:rStyle w:val="BookTitle"/>
          <w:rFonts w:ascii="Arial" w:hAnsi="Arial" w:cs="Arial"/>
          <w:i w:val="0"/>
          <w:iCs w:val="0"/>
          <w:smallCaps w:val="0"/>
          <w:spacing w:val="0"/>
          <w:szCs w:val="24"/>
          <w:u w:val="single"/>
        </w:rPr>
        <w:t xml:space="preserve"> Authority</w:t>
      </w:r>
    </w:p>
    <w:p w14:paraId="7F7C9A7C" w14:textId="77777777" w:rsidR="00FC52A5" w:rsidRPr="001A321E" w:rsidRDefault="003336A7" w:rsidP="00034A98">
      <w:pPr>
        <w:rPr>
          <w:rStyle w:val="BookTitle"/>
          <w:rFonts w:ascii="Arial" w:hAnsi="Arial" w:cs="Arial"/>
          <w:i w:val="0"/>
          <w:iCs w:val="0"/>
          <w:smallCaps w:val="0"/>
          <w:spacing w:val="0"/>
          <w:szCs w:val="24"/>
        </w:rPr>
      </w:pPr>
      <w:r w:rsidRPr="001A321E">
        <w:rPr>
          <w:rStyle w:val="BookTitle"/>
          <w:rFonts w:ascii="Arial" w:hAnsi="Arial" w:cs="Arial"/>
          <w:i w:val="0"/>
          <w:iCs w:val="0"/>
          <w:smallCaps w:val="0"/>
          <w:spacing w:val="0"/>
          <w:szCs w:val="24"/>
        </w:rPr>
        <w:t xml:space="preserve">Section </w:t>
      </w:r>
      <w:r w:rsidR="00FC52A5" w:rsidRPr="001A321E">
        <w:rPr>
          <w:rStyle w:val="BookTitle"/>
          <w:rFonts w:ascii="Arial" w:hAnsi="Arial" w:cs="Arial"/>
          <w:i w:val="0"/>
          <w:iCs w:val="0"/>
          <w:smallCaps w:val="0"/>
          <w:spacing w:val="0"/>
          <w:szCs w:val="24"/>
        </w:rPr>
        <w:t>3 provides that th</w:t>
      </w:r>
      <w:r w:rsidR="008E6906" w:rsidRPr="001A321E">
        <w:rPr>
          <w:rStyle w:val="BookTitle"/>
          <w:rFonts w:ascii="Arial" w:hAnsi="Arial" w:cs="Arial"/>
          <w:i w:val="0"/>
          <w:iCs w:val="0"/>
          <w:smallCaps w:val="0"/>
          <w:spacing w:val="0"/>
          <w:szCs w:val="24"/>
        </w:rPr>
        <w:t>is Determination</w:t>
      </w:r>
      <w:r w:rsidR="00FC52A5" w:rsidRPr="001A321E">
        <w:rPr>
          <w:rStyle w:val="BookTitle"/>
          <w:rFonts w:ascii="Arial" w:hAnsi="Arial" w:cs="Arial"/>
          <w:i w:val="0"/>
          <w:iCs w:val="0"/>
          <w:smallCaps w:val="0"/>
          <w:spacing w:val="0"/>
          <w:szCs w:val="24"/>
        </w:rPr>
        <w:t xml:space="preserve"> is made under section</w:t>
      </w:r>
      <w:r w:rsidR="00AB71A5" w:rsidRPr="001A321E">
        <w:rPr>
          <w:rStyle w:val="BookTitle"/>
          <w:rFonts w:ascii="Arial" w:hAnsi="Arial" w:cs="Arial"/>
          <w:i w:val="0"/>
          <w:iCs w:val="0"/>
          <w:smallCaps w:val="0"/>
          <w:spacing w:val="0"/>
          <w:szCs w:val="24"/>
        </w:rPr>
        <w:t>s 504, 557, 646</w:t>
      </w:r>
      <w:r w:rsidR="00B24BD8" w:rsidRPr="001A321E">
        <w:rPr>
          <w:rStyle w:val="BookTitle"/>
          <w:rFonts w:ascii="Arial" w:hAnsi="Arial" w:cs="Arial"/>
          <w:i w:val="0"/>
          <w:iCs w:val="0"/>
          <w:smallCaps w:val="0"/>
          <w:spacing w:val="0"/>
          <w:szCs w:val="24"/>
        </w:rPr>
        <w:t xml:space="preserve"> and </w:t>
      </w:r>
      <w:r w:rsidR="00AB71A5" w:rsidRPr="001A321E">
        <w:rPr>
          <w:rStyle w:val="BookTitle"/>
          <w:rFonts w:ascii="Arial" w:hAnsi="Arial" w:cs="Arial"/>
          <w:i w:val="0"/>
          <w:iCs w:val="0"/>
          <w:smallCaps w:val="0"/>
          <w:spacing w:val="0"/>
          <w:szCs w:val="24"/>
        </w:rPr>
        <w:t xml:space="preserve">1210B </w:t>
      </w:r>
      <w:r w:rsidR="000B1F23" w:rsidRPr="001A321E">
        <w:rPr>
          <w:rStyle w:val="BookTitle"/>
          <w:rFonts w:ascii="Arial" w:hAnsi="Arial" w:cs="Arial"/>
          <w:i w:val="0"/>
          <w:iCs w:val="0"/>
          <w:smallCaps w:val="0"/>
          <w:spacing w:val="0"/>
          <w:szCs w:val="24"/>
        </w:rPr>
        <w:t xml:space="preserve">of the Act </w:t>
      </w:r>
      <w:r w:rsidR="00AB71A5" w:rsidRPr="001A321E">
        <w:rPr>
          <w:rStyle w:val="BookTitle"/>
          <w:rFonts w:ascii="Arial" w:hAnsi="Arial" w:cs="Arial"/>
          <w:i w:val="0"/>
          <w:iCs w:val="0"/>
          <w:smallCaps w:val="0"/>
          <w:spacing w:val="0"/>
          <w:szCs w:val="24"/>
        </w:rPr>
        <w:t>and</w:t>
      </w:r>
      <w:r w:rsidR="00FC52A5" w:rsidRPr="001A321E">
        <w:rPr>
          <w:rStyle w:val="BookTitle"/>
          <w:rFonts w:ascii="Arial" w:hAnsi="Arial" w:cs="Arial"/>
          <w:i w:val="0"/>
          <w:iCs w:val="0"/>
          <w:smallCaps w:val="0"/>
          <w:spacing w:val="0"/>
          <w:szCs w:val="24"/>
        </w:rPr>
        <w:t xml:space="preserve"> </w:t>
      </w:r>
      <w:r w:rsidR="0098604B" w:rsidRPr="001A321E">
        <w:rPr>
          <w:rStyle w:val="BookTitle"/>
          <w:rFonts w:ascii="Arial" w:hAnsi="Arial" w:cs="Arial"/>
          <w:i w:val="0"/>
          <w:iCs w:val="0"/>
          <w:smallCaps w:val="0"/>
          <w:spacing w:val="0"/>
          <w:szCs w:val="24"/>
        </w:rPr>
        <w:t>i</w:t>
      </w:r>
      <w:r w:rsidR="00AB71A5" w:rsidRPr="001A321E">
        <w:rPr>
          <w:rStyle w:val="BookTitle"/>
          <w:rFonts w:ascii="Arial" w:hAnsi="Arial" w:cs="Arial"/>
          <w:i w:val="0"/>
          <w:iCs w:val="0"/>
          <w:smallCaps w:val="0"/>
          <w:spacing w:val="0"/>
          <w:szCs w:val="24"/>
        </w:rPr>
        <w:t xml:space="preserve">tem </w:t>
      </w:r>
      <w:r w:rsidR="00FC52A5" w:rsidRPr="001A321E">
        <w:rPr>
          <w:rStyle w:val="BookTitle"/>
          <w:rFonts w:ascii="Arial" w:hAnsi="Arial" w:cs="Arial"/>
          <w:i w:val="0"/>
          <w:iCs w:val="0"/>
          <w:smallCaps w:val="0"/>
          <w:spacing w:val="0"/>
          <w:szCs w:val="24"/>
        </w:rPr>
        <w:t>40A of Schedule 11 to the Omnibus Act.</w:t>
      </w:r>
    </w:p>
    <w:p w14:paraId="7F7C9A7D" w14:textId="77777777" w:rsidR="00FC52A5" w:rsidRPr="001A321E" w:rsidRDefault="003336A7" w:rsidP="00F537A0">
      <w:pPr>
        <w:keepNext/>
        <w:keepLines/>
        <w:rPr>
          <w:rStyle w:val="BookTitle"/>
          <w:rFonts w:ascii="Arial" w:hAnsi="Arial" w:cs="Arial"/>
          <w:i w:val="0"/>
          <w:iCs w:val="0"/>
          <w:smallCaps w:val="0"/>
          <w:spacing w:val="0"/>
          <w:szCs w:val="24"/>
          <w:u w:val="single"/>
        </w:rPr>
      </w:pPr>
      <w:r w:rsidRPr="001A321E">
        <w:rPr>
          <w:rStyle w:val="BookTitle"/>
          <w:rFonts w:ascii="Arial" w:hAnsi="Arial" w:cs="Arial"/>
          <w:i w:val="0"/>
          <w:iCs w:val="0"/>
          <w:smallCaps w:val="0"/>
          <w:spacing w:val="0"/>
          <w:szCs w:val="24"/>
          <w:u w:val="single"/>
        </w:rPr>
        <w:t xml:space="preserve">Section </w:t>
      </w:r>
      <w:r w:rsidR="002B2DA3" w:rsidRPr="001A321E">
        <w:rPr>
          <w:rStyle w:val="BookTitle"/>
          <w:rFonts w:ascii="Arial" w:hAnsi="Arial" w:cs="Arial"/>
          <w:i w:val="0"/>
          <w:iCs w:val="0"/>
          <w:smallCaps w:val="0"/>
          <w:spacing w:val="0"/>
          <w:szCs w:val="24"/>
          <w:u w:val="single"/>
        </w:rPr>
        <w:t xml:space="preserve">4 – </w:t>
      </w:r>
      <w:r w:rsidR="00756870" w:rsidRPr="001A321E">
        <w:rPr>
          <w:rStyle w:val="BookTitle"/>
          <w:rFonts w:ascii="Arial" w:hAnsi="Arial" w:cs="Arial"/>
          <w:i w:val="0"/>
          <w:iCs w:val="0"/>
          <w:smallCaps w:val="0"/>
          <w:spacing w:val="0"/>
          <w:szCs w:val="24"/>
          <w:u w:val="single"/>
        </w:rPr>
        <w:t>Schedules</w:t>
      </w:r>
    </w:p>
    <w:p w14:paraId="7F7C9A7E" w14:textId="77777777" w:rsidR="002B2DA3" w:rsidRPr="001A321E" w:rsidRDefault="003336A7" w:rsidP="00F537A0">
      <w:pPr>
        <w:keepNext/>
        <w:keepLines/>
        <w:rPr>
          <w:rStyle w:val="BookTitle"/>
          <w:rFonts w:ascii="Arial" w:hAnsi="Arial" w:cs="Arial"/>
          <w:i w:val="0"/>
          <w:iCs w:val="0"/>
          <w:smallCaps w:val="0"/>
          <w:spacing w:val="0"/>
          <w:szCs w:val="24"/>
        </w:rPr>
      </w:pPr>
      <w:r w:rsidRPr="001A321E">
        <w:rPr>
          <w:rStyle w:val="BookTitle"/>
          <w:rFonts w:ascii="Arial" w:hAnsi="Arial" w:cs="Arial"/>
          <w:i w:val="0"/>
          <w:iCs w:val="0"/>
          <w:smallCaps w:val="0"/>
          <w:spacing w:val="0"/>
          <w:szCs w:val="24"/>
        </w:rPr>
        <w:t xml:space="preserve">Section </w:t>
      </w:r>
      <w:r w:rsidR="002B2DA3" w:rsidRPr="001A321E">
        <w:rPr>
          <w:rStyle w:val="BookTitle"/>
          <w:rFonts w:ascii="Arial" w:hAnsi="Arial" w:cs="Arial"/>
          <w:i w:val="0"/>
          <w:iCs w:val="0"/>
          <w:smallCaps w:val="0"/>
          <w:spacing w:val="0"/>
          <w:szCs w:val="24"/>
        </w:rPr>
        <w:t xml:space="preserve">4 provides that </w:t>
      </w:r>
      <w:r w:rsidR="00756870" w:rsidRPr="001A321E">
        <w:rPr>
          <w:rStyle w:val="BookTitle"/>
          <w:rFonts w:ascii="Arial" w:hAnsi="Arial" w:cs="Arial"/>
          <w:i w:val="0"/>
          <w:iCs w:val="0"/>
          <w:smallCaps w:val="0"/>
          <w:spacing w:val="0"/>
          <w:szCs w:val="24"/>
        </w:rPr>
        <w:t xml:space="preserve">each instrument that is specified in a </w:t>
      </w:r>
      <w:r w:rsidR="00163E37" w:rsidRPr="001A321E">
        <w:rPr>
          <w:rStyle w:val="BookTitle"/>
          <w:rFonts w:ascii="Arial" w:hAnsi="Arial" w:cs="Arial"/>
          <w:i w:val="0"/>
          <w:iCs w:val="0"/>
          <w:smallCaps w:val="0"/>
          <w:spacing w:val="0"/>
          <w:szCs w:val="24"/>
        </w:rPr>
        <w:t xml:space="preserve">schedule </w:t>
      </w:r>
      <w:r w:rsidR="00756870" w:rsidRPr="001A321E">
        <w:rPr>
          <w:rStyle w:val="BookTitle"/>
          <w:rFonts w:ascii="Arial" w:hAnsi="Arial" w:cs="Arial"/>
          <w:i w:val="0"/>
          <w:iCs w:val="0"/>
          <w:smallCaps w:val="0"/>
          <w:spacing w:val="0"/>
          <w:szCs w:val="24"/>
        </w:rPr>
        <w:t xml:space="preserve">to this </w:t>
      </w:r>
      <w:r w:rsidR="008E6906" w:rsidRPr="001A321E">
        <w:rPr>
          <w:rStyle w:val="BookTitle"/>
          <w:rFonts w:ascii="Arial" w:hAnsi="Arial" w:cs="Arial"/>
          <w:i w:val="0"/>
          <w:iCs w:val="0"/>
          <w:smallCaps w:val="0"/>
          <w:spacing w:val="0"/>
          <w:szCs w:val="24"/>
        </w:rPr>
        <w:t>Determination</w:t>
      </w:r>
      <w:r w:rsidR="00756870" w:rsidRPr="001A321E">
        <w:rPr>
          <w:rStyle w:val="BookTitle"/>
          <w:rFonts w:ascii="Arial" w:hAnsi="Arial" w:cs="Arial"/>
          <w:i w:val="0"/>
          <w:iCs w:val="0"/>
          <w:smallCaps w:val="0"/>
          <w:spacing w:val="0"/>
          <w:szCs w:val="24"/>
        </w:rPr>
        <w:t xml:space="preserve"> is amended or repealed as set out in the applicable items in the </w:t>
      </w:r>
      <w:r w:rsidR="00163E37" w:rsidRPr="001A321E">
        <w:rPr>
          <w:rStyle w:val="BookTitle"/>
          <w:rFonts w:ascii="Arial" w:hAnsi="Arial" w:cs="Arial"/>
          <w:i w:val="0"/>
          <w:iCs w:val="0"/>
          <w:smallCaps w:val="0"/>
          <w:spacing w:val="0"/>
          <w:szCs w:val="24"/>
        </w:rPr>
        <w:t xml:space="preserve">schedule </w:t>
      </w:r>
      <w:r w:rsidR="00756870" w:rsidRPr="001A321E">
        <w:rPr>
          <w:rStyle w:val="BookTitle"/>
          <w:rFonts w:ascii="Arial" w:hAnsi="Arial" w:cs="Arial"/>
          <w:i w:val="0"/>
          <w:iCs w:val="0"/>
          <w:smallCaps w:val="0"/>
          <w:spacing w:val="0"/>
          <w:szCs w:val="24"/>
        </w:rPr>
        <w:t xml:space="preserve">concerned, and any other item in a </w:t>
      </w:r>
      <w:r w:rsidR="00163E37" w:rsidRPr="001A321E">
        <w:rPr>
          <w:rStyle w:val="BookTitle"/>
          <w:rFonts w:ascii="Arial" w:hAnsi="Arial" w:cs="Arial"/>
          <w:i w:val="0"/>
          <w:iCs w:val="0"/>
          <w:smallCaps w:val="0"/>
          <w:spacing w:val="0"/>
          <w:szCs w:val="24"/>
        </w:rPr>
        <w:t xml:space="preserve">schedule </w:t>
      </w:r>
      <w:r w:rsidR="00756870" w:rsidRPr="001A321E">
        <w:rPr>
          <w:rStyle w:val="BookTitle"/>
          <w:rFonts w:ascii="Arial" w:hAnsi="Arial" w:cs="Arial"/>
          <w:i w:val="0"/>
          <w:iCs w:val="0"/>
          <w:smallCaps w:val="0"/>
          <w:spacing w:val="0"/>
          <w:szCs w:val="24"/>
        </w:rPr>
        <w:t xml:space="preserve">to this </w:t>
      </w:r>
      <w:r w:rsidR="008E6906" w:rsidRPr="001A321E">
        <w:rPr>
          <w:rStyle w:val="BookTitle"/>
          <w:rFonts w:ascii="Arial" w:hAnsi="Arial" w:cs="Arial"/>
          <w:i w:val="0"/>
          <w:iCs w:val="0"/>
          <w:smallCaps w:val="0"/>
          <w:spacing w:val="0"/>
          <w:szCs w:val="24"/>
        </w:rPr>
        <w:t>Determination</w:t>
      </w:r>
      <w:r w:rsidR="00756870" w:rsidRPr="001A321E">
        <w:rPr>
          <w:rStyle w:val="BookTitle"/>
          <w:rFonts w:ascii="Arial" w:hAnsi="Arial" w:cs="Arial"/>
          <w:i w:val="0"/>
          <w:iCs w:val="0"/>
          <w:smallCaps w:val="0"/>
          <w:spacing w:val="0"/>
          <w:szCs w:val="24"/>
        </w:rPr>
        <w:t xml:space="preserve"> has effect according to its terms</w:t>
      </w:r>
      <w:r w:rsidR="002103C5" w:rsidRPr="001A321E">
        <w:rPr>
          <w:rStyle w:val="BookTitle"/>
          <w:rFonts w:ascii="Arial" w:hAnsi="Arial" w:cs="Arial"/>
          <w:i w:val="0"/>
          <w:iCs w:val="0"/>
          <w:smallCaps w:val="0"/>
          <w:spacing w:val="0"/>
          <w:szCs w:val="24"/>
        </w:rPr>
        <w:t>.</w:t>
      </w:r>
    </w:p>
    <w:p w14:paraId="7F7C9A7F" w14:textId="77777777" w:rsidR="00671753" w:rsidRPr="001A321E" w:rsidRDefault="00671753" w:rsidP="00871F28">
      <w:pPr>
        <w:rPr>
          <w:rStyle w:val="BookTitle"/>
          <w:rFonts w:ascii="Arial" w:hAnsi="Arial" w:cs="Arial"/>
          <w:i w:val="0"/>
          <w:iCs w:val="0"/>
          <w:smallCaps w:val="0"/>
          <w:spacing w:val="0"/>
          <w:szCs w:val="24"/>
          <w:u w:val="single"/>
        </w:rPr>
      </w:pPr>
      <w:r w:rsidRPr="001A321E">
        <w:rPr>
          <w:rStyle w:val="BookTitle"/>
          <w:rFonts w:ascii="Arial" w:hAnsi="Arial" w:cs="Arial"/>
          <w:b/>
          <w:i w:val="0"/>
          <w:iCs w:val="0"/>
          <w:smallCaps w:val="0"/>
          <w:spacing w:val="0"/>
          <w:szCs w:val="24"/>
          <w:u w:val="single"/>
        </w:rPr>
        <w:t>Part 2 - COVID 19 supplement</w:t>
      </w:r>
    </w:p>
    <w:p w14:paraId="7F7C9A80" w14:textId="77777777" w:rsidR="00021B15" w:rsidRPr="001A321E" w:rsidRDefault="00671753" w:rsidP="00871F28">
      <w:pPr>
        <w:rPr>
          <w:rStyle w:val="BookTitle"/>
          <w:rFonts w:ascii="Arial" w:hAnsi="Arial" w:cs="Arial"/>
          <w:i w:val="0"/>
          <w:iCs w:val="0"/>
          <w:smallCaps w:val="0"/>
          <w:spacing w:val="0"/>
          <w:szCs w:val="24"/>
          <w:u w:val="single"/>
        </w:rPr>
      </w:pPr>
      <w:r w:rsidRPr="001A321E">
        <w:rPr>
          <w:rStyle w:val="BookTitle"/>
          <w:rFonts w:ascii="Arial" w:hAnsi="Arial" w:cs="Arial"/>
          <w:i w:val="0"/>
          <w:iCs w:val="0"/>
          <w:smallCaps w:val="0"/>
          <w:spacing w:val="0"/>
          <w:szCs w:val="24"/>
          <w:u w:val="single"/>
        </w:rPr>
        <w:t>Sections 5 to 7</w:t>
      </w:r>
      <w:r w:rsidR="00163E37" w:rsidRPr="001A321E">
        <w:rPr>
          <w:rStyle w:val="BookTitle"/>
          <w:rFonts w:ascii="Arial" w:hAnsi="Arial" w:cs="Arial"/>
          <w:i w:val="0"/>
          <w:iCs w:val="0"/>
          <w:smallCaps w:val="0"/>
          <w:spacing w:val="0"/>
          <w:szCs w:val="24"/>
          <w:u w:val="single"/>
        </w:rPr>
        <w:t xml:space="preserve"> – COVID-19 supplement – Parenting Payment, </w:t>
      </w:r>
      <w:r w:rsidR="00163E37" w:rsidRPr="001A321E">
        <w:rPr>
          <w:rFonts w:ascii="Arial" w:hAnsi="Arial" w:cs="Arial"/>
          <w:szCs w:val="24"/>
          <w:u w:val="single"/>
        </w:rPr>
        <w:t xml:space="preserve">Youth Allowance and </w:t>
      </w:r>
      <w:proofErr w:type="spellStart"/>
      <w:r w:rsidR="00163E37" w:rsidRPr="001A321E">
        <w:rPr>
          <w:rFonts w:ascii="Arial" w:hAnsi="Arial" w:cs="Arial"/>
          <w:szCs w:val="24"/>
          <w:u w:val="single"/>
        </w:rPr>
        <w:t>JobSeeker</w:t>
      </w:r>
      <w:proofErr w:type="spellEnd"/>
      <w:r w:rsidR="00163E37" w:rsidRPr="001A321E">
        <w:rPr>
          <w:rFonts w:ascii="Arial" w:hAnsi="Arial" w:cs="Arial"/>
          <w:szCs w:val="24"/>
          <w:u w:val="single"/>
        </w:rPr>
        <w:t xml:space="preserve"> Payment</w:t>
      </w:r>
    </w:p>
    <w:p w14:paraId="7F7C9A81" w14:textId="35AD6C6D" w:rsidR="00EB27A8" w:rsidRPr="001A321E" w:rsidRDefault="00EB27A8" w:rsidP="00EB27A8">
      <w:pPr>
        <w:rPr>
          <w:rFonts w:ascii="Arial" w:hAnsi="Arial" w:cs="Arial"/>
          <w:szCs w:val="24"/>
        </w:rPr>
      </w:pPr>
      <w:r w:rsidRPr="001A321E">
        <w:rPr>
          <w:rFonts w:ascii="Arial" w:hAnsi="Arial" w:cs="Arial"/>
          <w:szCs w:val="24"/>
        </w:rPr>
        <w:t>Sections 5 to 7 ensure the COVID-19 supplem</w:t>
      </w:r>
      <w:r w:rsidR="00111250" w:rsidRPr="001A321E">
        <w:rPr>
          <w:rFonts w:ascii="Arial" w:hAnsi="Arial" w:cs="Arial"/>
          <w:szCs w:val="24"/>
        </w:rPr>
        <w:t>ent will continue to be paid to </w:t>
      </w:r>
      <w:r w:rsidRPr="001A321E">
        <w:rPr>
          <w:rFonts w:ascii="Arial" w:hAnsi="Arial" w:cs="Arial"/>
          <w:szCs w:val="24"/>
        </w:rPr>
        <w:t xml:space="preserve">recipients of </w:t>
      </w:r>
      <w:proofErr w:type="spellStart"/>
      <w:r w:rsidRPr="001A321E">
        <w:rPr>
          <w:rStyle w:val="BookTitle"/>
          <w:rFonts w:ascii="Arial" w:hAnsi="Arial" w:cs="Arial"/>
          <w:i w:val="0"/>
          <w:iCs w:val="0"/>
          <w:smallCaps w:val="0"/>
          <w:spacing w:val="0"/>
          <w:szCs w:val="24"/>
        </w:rPr>
        <w:t>J</w:t>
      </w:r>
      <w:r w:rsidRPr="001A321E">
        <w:rPr>
          <w:rFonts w:ascii="Arial" w:hAnsi="Arial" w:cs="Arial"/>
          <w:szCs w:val="24"/>
        </w:rPr>
        <w:t>obSeeker</w:t>
      </w:r>
      <w:proofErr w:type="spellEnd"/>
      <w:r w:rsidRPr="001A321E">
        <w:rPr>
          <w:rFonts w:ascii="Arial" w:hAnsi="Arial" w:cs="Arial"/>
          <w:szCs w:val="24"/>
        </w:rPr>
        <w:t xml:space="preserve"> Payment, Parenting Payment </w:t>
      </w:r>
      <w:r w:rsidR="00B24BD8" w:rsidRPr="001A321E">
        <w:rPr>
          <w:rFonts w:ascii="Arial" w:hAnsi="Arial" w:cs="Arial"/>
          <w:szCs w:val="24"/>
        </w:rPr>
        <w:t>and</w:t>
      </w:r>
      <w:r w:rsidRPr="001A321E">
        <w:rPr>
          <w:rFonts w:ascii="Arial" w:hAnsi="Arial" w:cs="Arial"/>
          <w:szCs w:val="24"/>
        </w:rPr>
        <w:t xml:space="preserve"> Youth Allowance</w:t>
      </w:r>
      <w:r w:rsidRPr="001A321E" w:rsidDel="00EB27A8">
        <w:rPr>
          <w:rFonts w:ascii="Arial" w:hAnsi="Arial" w:cs="Arial"/>
          <w:szCs w:val="24"/>
        </w:rPr>
        <w:t xml:space="preserve"> </w:t>
      </w:r>
      <w:r w:rsidR="00111250" w:rsidRPr="001A321E">
        <w:rPr>
          <w:rFonts w:ascii="Arial" w:hAnsi="Arial" w:cs="Arial"/>
          <w:szCs w:val="24"/>
        </w:rPr>
        <w:t>at a </w:t>
      </w:r>
      <w:r w:rsidRPr="001A321E">
        <w:rPr>
          <w:rFonts w:ascii="Arial" w:hAnsi="Arial" w:cs="Arial"/>
          <w:szCs w:val="24"/>
        </w:rPr>
        <w:t>rate of $250 a fortnight for social security instalment periods that begin on a day during the period 19 December 2020 to 31 December 2020 (inclusive).</w:t>
      </w:r>
    </w:p>
    <w:p w14:paraId="7F7C9A82" w14:textId="77777777" w:rsidR="008C3B1D" w:rsidRPr="001A321E" w:rsidRDefault="00E22B70" w:rsidP="00871F28">
      <w:pPr>
        <w:rPr>
          <w:rFonts w:ascii="Arial" w:hAnsi="Arial" w:cs="Arial"/>
          <w:szCs w:val="24"/>
        </w:rPr>
      </w:pPr>
      <w:r w:rsidRPr="001A321E">
        <w:rPr>
          <w:rStyle w:val="BookTitle"/>
          <w:rFonts w:ascii="Arial" w:hAnsi="Arial" w:cs="Arial"/>
          <w:i w:val="0"/>
          <w:iCs w:val="0"/>
          <w:smallCaps w:val="0"/>
          <w:spacing w:val="0"/>
          <w:szCs w:val="24"/>
        </w:rPr>
        <w:t xml:space="preserve">The </w:t>
      </w:r>
      <w:r w:rsidRPr="001A321E">
        <w:rPr>
          <w:rStyle w:val="BookTitle"/>
          <w:rFonts w:ascii="Arial" w:hAnsi="Arial" w:cs="Arial"/>
          <w:iCs w:val="0"/>
          <w:smallCaps w:val="0"/>
          <w:spacing w:val="0"/>
          <w:szCs w:val="24"/>
        </w:rPr>
        <w:t>Social Security (Coronavirus Economic Response – 2020 Measures No. 14) Determination 2020</w:t>
      </w:r>
      <w:r w:rsidRPr="001A321E">
        <w:rPr>
          <w:rStyle w:val="BookTitle"/>
          <w:rFonts w:ascii="Arial" w:hAnsi="Arial" w:cs="Arial"/>
          <w:i w:val="0"/>
          <w:iCs w:val="0"/>
          <w:smallCaps w:val="0"/>
          <w:spacing w:val="0"/>
          <w:szCs w:val="24"/>
        </w:rPr>
        <w:t xml:space="preserve"> currently provide</w:t>
      </w:r>
      <w:r w:rsidR="009D2A2B" w:rsidRPr="001A321E">
        <w:rPr>
          <w:rStyle w:val="BookTitle"/>
          <w:rFonts w:ascii="Arial" w:hAnsi="Arial" w:cs="Arial"/>
          <w:i w:val="0"/>
          <w:iCs w:val="0"/>
          <w:smallCaps w:val="0"/>
          <w:spacing w:val="0"/>
          <w:szCs w:val="24"/>
        </w:rPr>
        <w:t>s</w:t>
      </w:r>
      <w:r w:rsidRPr="001A321E">
        <w:rPr>
          <w:rStyle w:val="BookTitle"/>
          <w:rFonts w:ascii="Arial" w:hAnsi="Arial" w:cs="Arial"/>
          <w:i w:val="0"/>
          <w:iCs w:val="0"/>
          <w:smallCaps w:val="0"/>
          <w:spacing w:val="0"/>
          <w:szCs w:val="24"/>
        </w:rPr>
        <w:t xml:space="preserve"> for the payment of the COVID-19 supplement to recipients of </w:t>
      </w:r>
      <w:r w:rsidR="00163E37" w:rsidRPr="001A321E">
        <w:rPr>
          <w:rStyle w:val="BookTitle"/>
          <w:rFonts w:ascii="Arial" w:hAnsi="Arial" w:cs="Arial"/>
          <w:i w:val="0"/>
          <w:iCs w:val="0"/>
          <w:smallCaps w:val="0"/>
          <w:spacing w:val="0"/>
          <w:szCs w:val="24"/>
        </w:rPr>
        <w:t>these payments</w:t>
      </w:r>
      <w:r w:rsidRPr="001A321E">
        <w:rPr>
          <w:rFonts w:ascii="Arial" w:hAnsi="Arial" w:cs="Arial"/>
          <w:szCs w:val="24"/>
        </w:rPr>
        <w:t xml:space="preserve"> </w:t>
      </w:r>
      <w:r w:rsidR="009D2A2B" w:rsidRPr="001A321E">
        <w:rPr>
          <w:rFonts w:ascii="Arial" w:hAnsi="Arial" w:cs="Arial"/>
          <w:szCs w:val="24"/>
        </w:rPr>
        <w:t>for the period</w:t>
      </w:r>
      <w:r w:rsidRPr="001A321E">
        <w:rPr>
          <w:rFonts w:ascii="Arial" w:hAnsi="Arial" w:cs="Arial"/>
          <w:szCs w:val="24"/>
        </w:rPr>
        <w:t xml:space="preserve"> 25 September 2020 to 18 December 2020</w:t>
      </w:r>
      <w:r w:rsidR="00D37C22" w:rsidRPr="001A321E">
        <w:rPr>
          <w:rFonts w:ascii="Arial" w:hAnsi="Arial" w:cs="Arial"/>
          <w:szCs w:val="24"/>
        </w:rPr>
        <w:t xml:space="preserve"> (inclusive)</w:t>
      </w:r>
      <w:r w:rsidRPr="001A321E">
        <w:rPr>
          <w:rFonts w:ascii="Arial" w:hAnsi="Arial" w:cs="Arial"/>
          <w:szCs w:val="24"/>
        </w:rPr>
        <w:t xml:space="preserve"> at </w:t>
      </w:r>
      <w:r w:rsidR="00B24BD8" w:rsidRPr="001A321E">
        <w:rPr>
          <w:rFonts w:ascii="Arial" w:hAnsi="Arial" w:cs="Arial"/>
          <w:szCs w:val="24"/>
        </w:rPr>
        <w:t xml:space="preserve">a </w:t>
      </w:r>
      <w:r w:rsidRPr="001A321E">
        <w:rPr>
          <w:rFonts w:ascii="Arial" w:hAnsi="Arial" w:cs="Arial"/>
          <w:szCs w:val="24"/>
        </w:rPr>
        <w:t>rate of $250</w:t>
      </w:r>
      <w:r w:rsidR="009D2A2B" w:rsidRPr="001A321E">
        <w:rPr>
          <w:rFonts w:ascii="Arial" w:hAnsi="Arial" w:cs="Arial"/>
          <w:szCs w:val="24"/>
        </w:rPr>
        <w:t xml:space="preserve"> a fortnight.</w:t>
      </w:r>
    </w:p>
    <w:p w14:paraId="7F7C9A83" w14:textId="77777777" w:rsidR="00871F28" w:rsidRPr="001A321E" w:rsidRDefault="00871F28" w:rsidP="00871F28">
      <w:pPr>
        <w:rPr>
          <w:rStyle w:val="BookTitle"/>
          <w:rFonts w:ascii="Arial" w:hAnsi="Arial" w:cs="Arial"/>
          <w:b/>
          <w:i w:val="0"/>
          <w:iCs w:val="0"/>
          <w:smallCaps w:val="0"/>
          <w:spacing w:val="0"/>
          <w:szCs w:val="24"/>
          <w:u w:val="single"/>
        </w:rPr>
      </w:pPr>
      <w:r w:rsidRPr="001A321E">
        <w:rPr>
          <w:rStyle w:val="BookTitle"/>
          <w:rFonts w:ascii="Arial" w:hAnsi="Arial" w:cs="Arial"/>
          <w:b/>
          <w:i w:val="0"/>
          <w:iCs w:val="0"/>
          <w:smallCaps w:val="0"/>
          <w:spacing w:val="0"/>
          <w:szCs w:val="24"/>
          <w:u w:val="single"/>
        </w:rPr>
        <w:t xml:space="preserve">Schedule </w:t>
      </w:r>
      <w:r w:rsidR="00446D6C" w:rsidRPr="001A321E">
        <w:rPr>
          <w:rStyle w:val="BookTitle"/>
          <w:rFonts w:ascii="Arial" w:hAnsi="Arial" w:cs="Arial"/>
          <w:b/>
          <w:i w:val="0"/>
          <w:iCs w:val="0"/>
          <w:smallCaps w:val="0"/>
          <w:spacing w:val="0"/>
          <w:szCs w:val="24"/>
          <w:u w:val="single"/>
        </w:rPr>
        <w:t>1</w:t>
      </w:r>
      <w:r w:rsidR="002B2DA3" w:rsidRPr="001A321E">
        <w:rPr>
          <w:rStyle w:val="BookTitle"/>
          <w:rFonts w:ascii="Arial" w:hAnsi="Arial" w:cs="Arial"/>
          <w:b/>
          <w:i w:val="0"/>
          <w:iCs w:val="0"/>
          <w:smallCaps w:val="0"/>
          <w:spacing w:val="0"/>
          <w:szCs w:val="24"/>
          <w:u w:val="single"/>
        </w:rPr>
        <w:t xml:space="preserve"> – </w:t>
      </w:r>
      <w:r w:rsidR="00756870" w:rsidRPr="001A321E">
        <w:rPr>
          <w:rStyle w:val="BookTitle"/>
          <w:rFonts w:ascii="Arial" w:hAnsi="Arial" w:cs="Arial"/>
          <w:b/>
          <w:i w:val="0"/>
          <w:iCs w:val="0"/>
          <w:smallCaps w:val="0"/>
          <w:spacing w:val="0"/>
          <w:szCs w:val="24"/>
          <w:u w:val="single"/>
        </w:rPr>
        <w:t xml:space="preserve">Amendments </w:t>
      </w:r>
    </w:p>
    <w:p w14:paraId="7F7C9A84" w14:textId="77777777" w:rsidR="00021B15" w:rsidRPr="001A321E" w:rsidRDefault="00671753" w:rsidP="00871F28">
      <w:pPr>
        <w:rPr>
          <w:rStyle w:val="BookTitle"/>
          <w:rFonts w:ascii="Arial" w:hAnsi="Arial" w:cs="Arial"/>
          <w:i w:val="0"/>
          <w:iCs w:val="0"/>
          <w:smallCaps w:val="0"/>
          <w:spacing w:val="0"/>
          <w:szCs w:val="24"/>
          <w:u w:val="single"/>
        </w:rPr>
      </w:pPr>
      <w:r w:rsidRPr="001A321E">
        <w:rPr>
          <w:rStyle w:val="BookTitle"/>
          <w:rFonts w:ascii="Arial" w:hAnsi="Arial" w:cs="Arial"/>
          <w:i w:val="0"/>
          <w:iCs w:val="0"/>
          <w:smallCaps w:val="0"/>
          <w:spacing w:val="0"/>
          <w:szCs w:val="24"/>
          <w:u w:val="single"/>
        </w:rPr>
        <w:t xml:space="preserve">Items 1 to 4 </w:t>
      </w:r>
    </w:p>
    <w:p w14:paraId="7F7C9A85" w14:textId="77777777" w:rsidR="003567C0" w:rsidRPr="001A321E" w:rsidRDefault="00021B15" w:rsidP="00871F28">
      <w:pPr>
        <w:rPr>
          <w:rStyle w:val="BookTitle"/>
          <w:rFonts w:ascii="Arial" w:hAnsi="Arial" w:cs="Arial"/>
          <w:i w:val="0"/>
          <w:iCs w:val="0"/>
          <w:smallCaps w:val="0"/>
          <w:spacing w:val="0"/>
          <w:szCs w:val="24"/>
        </w:rPr>
      </w:pPr>
      <w:r w:rsidRPr="001A321E">
        <w:rPr>
          <w:rStyle w:val="BookTitle"/>
          <w:rFonts w:ascii="Arial" w:hAnsi="Arial" w:cs="Arial"/>
          <w:i w:val="0"/>
          <w:iCs w:val="0"/>
          <w:smallCaps w:val="0"/>
          <w:spacing w:val="0"/>
          <w:szCs w:val="24"/>
        </w:rPr>
        <w:t xml:space="preserve">Items 1 to 4 </w:t>
      </w:r>
      <w:r w:rsidR="00E22B70" w:rsidRPr="001A321E">
        <w:rPr>
          <w:rStyle w:val="BookTitle"/>
          <w:rFonts w:ascii="Arial" w:hAnsi="Arial" w:cs="Arial"/>
          <w:i w:val="0"/>
          <w:iCs w:val="0"/>
          <w:smallCaps w:val="0"/>
          <w:spacing w:val="0"/>
          <w:szCs w:val="24"/>
        </w:rPr>
        <w:t xml:space="preserve">amend the </w:t>
      </w:r>
      <w:r w:rsidR="00E22B70" w:rsidRPr="001A321E">
        <w:rPr>
          <w:rStyle w:val="BookTitle"/>
          <w:rFonts w:ascii="Arial" w:hAnsi="Arial" w:cs="Arial"/>
          <w:iCs w:val="0"/>
          <w:smallCaps w:val="0"/>
          <w:spacing w:val="0"/>
          <w:szCs w:val="24"/>
        </w:rPr>
        <w:t xml:space="preserve">Social Security (Coronavirus Economic Response – 2020 Measures No. 2) Determination 2020 </w:t>
      </w:r>
      <w:r w:rsidR="003567C0" w:rsidRPr="001A321E">
        <w:rPr>
          <w:rStyle w:val="BookTitle"/>
          <w:rFonts w:ascii="Arial" w:hAnsi="Arial" w:cs="Arial"/>
          <w:i w:val="0"/>
          <w:iCs w:val="0"/>
          <w:smallCaps w:val="0"/>
          <w:spacing w:val="0"/>
          <w:szCs w:val="24"/>
        </w:rPr>
        <w:t xml:space="preserve">(the No. 2 Determination) </w:t>
      </w:r>
      <w:r w:rsidR="00E22B70" w:rsidRPr="001A321E">
        <w:rPr>
          <w:rStyle w:val="BookTitle"/>
          <w:rFonts w:ascii="Arial" w:hAnsi="Arial" w:cs="Arial"/>
          <w:i w:val="0"/>
          <w:iCs w:val="0"/>
          <w:smallCaps w:val="0"/>
          <w:spacing w:val="0"/>
          <w:szCs w:val="24"/>
        </w:rPr>
        <w:t xml:space="preserve">and the </w:t>
      </w:r>
      <w:r w:rsidR="00E22B70" w:rsidRPr="001A321E">
        <w:rPr>
          <w:rStyle w:val="BookTitle"/>
          <w:rFonts w:ascii="Arial" w:hAnsi="Arial" w:cs="Arial"/>
          <w:iCs w:val="0"/>
          <w:smallCaps w:val="0"/>
          <w:spacing w:val="0"/>
          <w:szCs w:val="24"/>
        </w:rPr>
        <w:t>Social Security (Coronavirus Economic Response – 2020 Measures No. 6) Determination 2020</w:t>
      </w:r>
      <w:r w:rsidR="003567C0" w:rsidRPr="001A321E">
        <w:rPr>
          <w:rStyle w:val="BookTitle"/>
          <w:rFonts w:ascii="Arial" w:hAnsi="Arial" w:cs="Arial"/>
          <w:i w:val="0"/>
          <w:iCs w:val="0"/>
          <w:smallCaps w:val="0"/>
          <w:spacing w:val="0"/>
          <w:szCs w:val="24"/>
        </w:rPr>
        <w:t xml:space="preserve"> (the No. 6 Determination)</w:t>
      </w:r>
      <w:r w:rsidR="00E22B70" w:rsidRPr="001A321E">
        <w:rPr>
          <w:rStyle w:val="BookTitle"/>
          <w:rFonts w:ascii="Arial" w:hAnsi="Arial" w:cs="Arial"/>
          <w:i w:val="0"/>
          <w:iCs w:val="0"/>
          <w:smallCaps w:val="0"/>
          <w:spacing w:val="0"/>
          <w:szCs w:val="24"/>
        </w:rPr>
        <w:t xml:space="preserve">. </w:t>
      </w:r>
    </w:p>
    <w:p w14:paraId="7F7C9A86" w14:textId="4A2E1BD2" w:rsidR="00E22B70" w:rsidRPr="001A321E" w:rsidRDefault="003567C0" w:rsidP="00871F28">
      <w:pPr>
        <w:rPr>
          <w:rFonts w:ascii="Arial" w:hAnsi="Arial" w:cs="Arial"/>
          <w:szCs w:val="24"/>
        </w:rPr>
      </w:pPr>
      <w:r w:rsidRPr="001A321E">
        <w:rPr>
          <w:rStyle w:val="BookTitle"/>
          <w:rFonts w:ascii="Arial" w:hAnsi="Arial" w:cs="Arial"/>
          <w:i w:val="0"/>
          <w:iCs w:val="0"/>
          <w:smallCaps w:val="0"/>
          <w:spacing w:val="0"/>
          <w:szCs w:val="24"/>
        </w:rPr>
        <w:lastRenderedPageBreak/>
        <w:t xml:space="preserve">The No. 2 Determination </w:t>
      </w:r>
      <w:r w:rsidR="00E22B70" w:rsidRPr="001A321E">
        <w:rPr>
          <w:rStyle w:val="BookTitle"/>
          <w:rFonts w:ascii="Arial" w:hAnsi="Arial" w:cs="Arial"/>
          <w:i w:val="0"/>
          <w:iCs w:val="0"/>
          <w:smallCaps w:val="0"/>
          <w:spacing w:val="0"/>
          <w:szCs w:val="24"/>
        </w:rPr>
        <w:t>provide</w:t>
      </w:r>
      <w:r w:rsidRPr="001A321E">
        <w:rPr>
          <w:rStyle w:val="BookTitle"/>
          <w:rFonts w:ascii="Arial" w:hAnsi="Arial" w:cs="Arial"/>
          <w:i w:val="0"/>
          <w:iCs w:val="0"/>
          <w:smallCaps w:val="0"/>
          <w:spacing w:val="0"/>
          <w:szCs w:val="24"/>
        </w:rPr>
        <w:t>s</w:t>
      </w:r>
      <w:r w:rsidR="00E22B70" w:rsidRPr="001A321E">
        <w:rPr>
          <w:rStyle w:val="BookTitle"/>
          <w:rFonts w:ascii="Arial" w:hAnsi="Arial" w:cs="Arial"/>
          <w:i w:val="0"/>
          <w:iCs w:val="0"/>
          <w:smallCaps w:val="0"/>
          <w:spacing w:val="0"/>
          <w:szCs w:val="24"/>
        </w:rPr>
        <w:t xml:space="preserve"> for the paymen</w:t>
      </w:r>
      <w:r w:rsidR="00111250" w:rsidRPr="001A321E">
        <w:rPr>
          <w:rStyle w:val="BookTitle"/>
          <w:rFonts w:ascii="Arial" w:hAnsi="Arial" w:cs="Arial"/>
          <w:i w:val="0"/>
          <w:iCs w:val="0"/>
          <w:smallCaps w:val="0"/>
          <w:spacing w:val="0"/>
          <w:szCs w:val="24"/>
        </w:rPr>
        <w:t>t of the COVID-19 supplement to </w:t>
      </w:r>
      <w:r w:rsidR="00E22B70" w:rsidRPr="001A321E">
        <w:rPr>
          <w:rStyle w:val="BookTitle"/>
          <w:rFonts w:ascii="Arial" w:hAnsi="Arial" w:cs="Arial"/>
          <w:i w:val="0"/>
          <w:iCs w:val="0"/>
          <w:smallCaps w:val="0"/>
          <w:spacing w:val="0"/>
          <w:szCs w:val="24"/>
        </w:rPr>
        <w:t xml:space="preserve">recipients of </w:t>
      </w:r>
      <w:proofErr w:type="spellStart"/>
      <w:r w:rsidR="00E22B70" w:rsidRPr="001A321E">
        <w:rPr>
          <w:rFonts w:ascii="Arial" w:hAnsi="Arial" w:cs="Arial"/>
          <w:szCs w:val="24"/>
        </w:rPr>
        <w:t>Austudy</w:t>
      </w:r>
      <w:proofErr w:type="spellEnd"/>
      <w:r w:rsidR="00E22B70" w:rsidRPr="001A321E">
        <w:rPr>
          <w:rFonts w:ascii="Arial" w:hAnsi="Arial" w:cs="Arial"/>
          <w:szCs w:val="24"/>
        </w:rPr>
        <w:t xml:space="preserve"> Payment </w:t>
      </w:r>
      <w:r w:rsidR="009D2A2B" w:rsidRPr="001A321E">
        <w:rPr>
          <w:rFonts w:ascii="Arial" w:hAnsi="Arial" w:cs="Arial"/>
          <w:szCs w:val="24"/>
        </w:rPr>
        <w:t>for the period</w:t>
      </w:r>
      <w:r w:rsidR="00E22B70" w:rsidRPr="001A321E">
        <w:rPr>
          <w:rFonts w:ascii="Arial" w:hAnsi="Arial" w:cs="Arial"/>
          <w:szCs w:val="24"/>
        </w:rPr>
        <w:t xml:space="preserve"> 2</w:t>
      </w:r>
      <w:r w:rsidR="00111250" w:rsidRPr="001A321E">
        <w:rPr>
          <w:rFonts w:ascii="Arial" w:hAnsi="Arial" w:cs="Arial"/>
          <w:szCs w:val="24"/>
        </w:rPr>
        <w:t>5 September 2020 to 18 December </w:t>
      </w:r>
      <w:r w:rsidR="00E22B70" w:rsidRPr="001A321E">
        <w:rPr>
          <w:rFonts w:ascii="Arial" w:hAnsi="Arial" w:cs="Arial"/>
          <w:szCs w:val="24"/>
        </w:rPr>
        <w:t>2020</w:t>
      </w:r>
      <w:r w:rsidR="00D37C22" w:rsidRPr="001A321E">
        <w:rPr>
          <w:rFonts w:ascii="Arial" w:hAnsi="Arial" w:cs="Arial"/>
          <w:szCs w:val="24"/>
        </w:rPr>
        <w:t xml:space="preserve"> (inclusive)</w:t>
      </w:r>
      <w:r w:rsidR="00E22B70" w:rsidRPr="001A321E">
        <w:rPr>
          <w:rFonts w:ascii="Arial" w:hAnsi="Arial" w:cs="Arial"/>
          <w:szCs w:val="24"/>
        </w:rPr>
        <w:t xml:space="preserve"> at rate of $250</w:t>
      </w:r>
      <w:r w:rsidR="005E73C6" w:rsidRPr="001A321E">
        <w:rPr>
          <w:rFonts w:ascii="Arial" w:hAnsi="Arial" w:cs="Arial"/>
          <w:szCs w:val="24"/>
        </w:rPr>
        <w:t xml:space="preserve"> a fortnight</w:t>
      </w:r>
      <w:r w:rsidR="00E22B70" w:rsidRPr="001A321E">
        <w:rPr>
          <w:rFonts w:ascii="Arial" w:hAnsi="Arial" w:cs="Arial"/>
          <w:szCs w:val="24"/>
        </w:rPr>
        <w:t>.</w:t>
      </w:r>
    </w:p>
    <w:p w14:paraId="7F7C9A87" w14:textId="17FE0E95" w:rsidR="003567C0" w:rsidRPr="001A321E" w:rsidRDefault="003567C0" w:rsidP="00871F28">
      <w:pPr>
        <w:rPr>
          <w:rStyle w:val="BookTitle"/>
          <w:rFonts w:ascii="Arial" w:hAnsi="Arial" w:cs="Arial"/>
          <w:i w:val="0"/>
          <w:iCs w:val="0"/>
          <w:smallCaps w:val="0"/>
          <w:spacing w:val="0"/>
          <w:szCs w:val="24"/>
        </w:rPr>
      </w:pPr>
      <w:r w:rsidRPr="001A321E">
        <w:rPr>
          <w:rStyle w:val="BookTitle"/>
          <w:rFonts w:ascii="Arial" w:hAnsi="Arial" w:cs="Arial"/>
          <w:i w:val="0"/>
          <w:iCs w:val="0"/>
          <w:smallCaps w:val="0"/>
          <w:spacing w:val="0"/>
          <w:szCs w:val="24"/>
        </w:rPr>
        <w:t>The No. 6 Determination provides for the paymen</w:t>
      </w:r>
      <w:r w:rsidR="00111250" w:rsidRPr="001A321E">
        <w:rPr>
          <w:rStyle w:val="BookTitle"/>
          <w:rFonts w:ascii="Arial" w:hAnsi="Arial" w:cs="Arial"/>
          <w:i w:val="0"/>
          <w:iCs w:val="0"/>
          <w:smallCaps w:val="0"/>
          <w:spacing w:val="0"/>
          <w:szCs w:val="24"/>
        </w:rPr>
        <w:t>t of the COVID-19 supplement to </w:t>
      </w:r>
      <w:r w:rsidRPr="001A321E">
        <w:rPr>
          <w:rStyle w:val="BookTitle"/>
          <w:rFonts w:ascii="Arial" w:hAnsi="Arial" w:cs="Arial"/>
          <w:i w:val="0"/>
          <w:iCs w:val="0"/>
          <w:smallCaps w:val="0"/>
          <w:spacing w:val="0"/>
          <w:szCs w:val="24"/>
        </w:rPr>
        <w:t xml:space="preserve">recipients of </w:t>
      </w:r>
      <w:r w:rsidRPr="001A321E">
        <w:rPr>
          <w:rFonts w:ascii="Arial" w:hAnsi="Arial" w:cs="Arial"/>
          <w:szCs w:val="24"/>
        </w:rPr>
        <w:t xml:space="preserve">Special Benefit, Partner Allowance and Widow Allowance for the period 25 September 2020 to 18 December 2020 (inclusive) at rate of $250 </w:t>
      </w:r>
      <w:r w:rsidR="00111250" w:rsidRPr="001A321E">
        <w:rPr>
          <w:rFonts w:ascii="Arial" w:hAnsi="Arial" w:cs="Arial"/>
          <w:szCs w:val="24"/>
        </w:rPr>
        <w:t>a </w:t>
      </w:r>
      <w:r w:rsidRPr="001A321E">
        <w:rPr>
          <w:rFonts w:ascii="Arial" w:hAnsi="Arial" w:cs="Arial"/>
          <w:szCs w:val="24"/>
        </w:rPr>
        <w:t>fortnight.</w:t>
      </w:r>
    </w:p>
    <w:p w14:paraId="7F7C9A88" w14:textId="4E7D1F24" w:rsidR="00671753" w:rsidRPr="001A321E" w:rsidRDefault="00E22B70" w:rsidP="00163E37">
      <w:pPr>
        <w:rPr>
          <w:rFonts w:ascii="Arial" w:hAnsi="Arial" w:cs="Arial"/>
          <w:szCs w:val="24"/>
        </w:rPr>
      </w:pPr>
      <w:r w:rsidRPr="001A321E">
        <w:rPr>
          <w:rStyle w:val="BookTitle"/>
          <w:rFonts w:ascii="Arial" w:hAnsi="Arial" w:cs="Arial"/>
          <w:i w:val="0"/>
          <w:iCs w:val="0"/>
          <w:smallCaps w:val="0"/>
          <w:spacing w:val="0"/>
          <w:szCs w:val="24"/>
        </w:rPr>
        <w:t xml:space="preserve">The amendments made by items 1 to 4 </w:t>
      </w:r>
      <w:r w:rsidR="009D2A2B" w:rsidRPr="001A321E">
        <w:rPr>
          <w:rStyle w:val="BookTitle"/>
          <w:rFonts w:ascii="Arial" w:hAnsi="Arial" w:cs="Arial"/>
          <w:i w:val="0"/>
          <w:iCs w:val="0"/>
          <w:smallCaps w:val="0"/>
          <w:spacing w:val="0"/>
          <w:szCs w:val="24"/>
        </w:rPr>
        <w:t>ensure the</w:t>
      </w:r>
      <w:r w:rsidR="00021B15" w:rsidRPr="001A321E">
        <w:rPr>
          <w:rFonts w:ascii="Arial" w:hAnsi="Arial" w:cs="Arial"/>
          <w:szCs w:val="24"/>
        </w:rPr>
        <w:t xml:space="preserve"> supplement will continue</w:t>
      </w:r>
      <w:r w:rsidR="00111250" w:rsidRPr="001A321E">
        <w:rPr>
          <w:rFonts w:ascii="Arial" w:hAnsi="Arial" w:cs="Arial"/>
          <w:szCs w:val="24"/>
        </w:rPr>
        <w:t xml:space="preserve"> to be </w:t>
      </w:r>
      <w:r w:rsidR="00671753" w:rsidRPr="001A321E">
        <w:rPr>
          <w:rFonts w:ascii="Arial" w:hAnsi="Arial" w:cs="Arial"/>
          <w:szCs w:val="24"/>
        </w:rPr>
        <w:t>paid to recipients of these payments at a rate of $250 a fortnight</w:t>
      </w:r>
      <w:r w:rsidR="002E7F27" w:rsidRPr="001A321E">
        <w:rPr>
          <w:rFonts w:ascii="Arial" w:hAnsi="Arial" w:cs="Arial"/>
          <w:szCs w:val="24"/>
        </w:rPr>
        <w:t xml:space="preserve"> </w:t>
      </w:r>
      <w:r w:rsidR="00671753" w:rsidRPr="001A321E">
        <w:rPr>
          <w:rFonts w:ascii="Arial" w:hAnsi="Arial" w:cs="Arial"/>
          <w:szCs w:val="24"/>
        </w:rPr>
        <w:t>for social security instalment periods that begin on a day during the period 19 December 2020 to 31 December 2020 (inclusive).</w:t>
      </w:r>
    </w:p>
    <w:p w14:paraId="7F7C9A89" w14:textId="77777777" w:rsidR="00871F28" w:rsidRPr="001A321E" w:rsidRDefault="000B408C" w:rsidP="00871F28">
      <w:pPr>
        <w:rPr>
          <w:rStyle w:val="BookTitle"/>
          <w:rFonts w:ascii="Arial" w:hAnsi="Arial" w:cs="Arial"/>
          <w:i w:val="0"/>
          <w:iCs w:val="0"/>
          <w:smallCaps w:val="0"/>
          <w:spacing w:val="0"/>
          <w:szCs w:val="24"/>
          <w:u w:val="single"/>
        </w:rPr>
      </w:pPr>
      <w:r w:rsidRPr="001A321E">
        <w:rPr>
          <w:rStyle w:val="BookTitle"/>
          <w:rFonts w:ascii="Arial" w:hAnsi="Arial" w:cs="Arial"/>
          <w:i w:val="0"/>
          <w:iCs w:val="0"/>
          <w:smallCaps w:val="0"/>
          <w:spacing w:val="0"/>
          <w:szCs w:val="24"/>
          <w:u w:val="single"/>
        </w:rPr>
        <w:t>Ite</w:t>
      </w:r>
      <w:r w:rsidR="00C25712" w:rsidRPr="001A321E">
        <w:rPr>
          <w:rStyle w:val="BookTitle"/>
          <w:rFonts w:ascii="Arial" w:hAnsi="Arial" w:cs="Arial"/>
          <w:i w:val="0"/>
          <w:iCs w:val="0"/>
          <w:smallCaps w:val="0"/>
          <w:spacing w:val="0"/>
          <w:szCs w:val="24"/>
          <w:u w:val="single"/>
        </w:rPr>
        <w:t xml:space="preserve">ms </w:t>
      </w:r>
      <w:r w:rsidR="00671753" w:rsidRPr="001A321E">
        <w:rPr>
          <w:rStyle w:val="BookTitle"/>
          <w:rFonts w:ascii="Arial" w:hAnsi="Arial" w:cs="Arial"/>
          <w:i w:val="0"/>
          <w:iCs w:val="0"/>
          <w:smallCaps w:val="0"/>
          <w:spacing w:val="0"/>
          <w:szCs w:val="24"/>
          <w:u w:val="single"/>
        </w:rPr>
        <w:t xml:space="preserve">5 </w:t>
      </w:r>
      <w:r w:rsidR="00C25712" w:rsidRPr="001A321E">
        <w:rPr>
          <w:rStyle w:val="BookTitle"/>
          <w:rFonts w:ascii="Arial" w:hAnsi="Arial" w:cs="Arial"/>
          <w:i w:val="0"/>
          <w:iCs w:val="0"/>
          <w:smallCaps w:val="0"/>
          <w:spacing w:val="0"/>
          <w:szCs w:val="24"/>
          <w:u w:val="single"/>
        </w:rPr>
        <w:t xml:space="preserve">and </w:t>
      </w:r>
      <w:r w:rsidR="00671753" w:rsidRPr="001A321E">
        <w:rPr>
          <w:rStyle w:val="BookTitle"/>
          <w:rFonts w:ascii="Arial" w:hAnsi="Arial" w:cs="Arial"/>
          <w:i w:val="0"/>
          <w:iCs w:val="0"/>
          <w:smallCaps w:val="0"/>
          <w:spacing w:val="0"/>
          <w:szCs w:val="24"/>
          <w:u w:val="single"/>
        </w:rPr>
        <w:t xml:space="preserve">6 </w:t>
      </w:r>
    </w:p>
    <w:p w14:paraId="7F7C9A8A" w14:textId="1B615F6F" w:rsidR="007A4E37" w:rsidRPr="001A321E" w:rsidRDefault="000B408C" w:rsidP="00F537A0">
      <w:pPr>
        <w:rPr>
          <w:rFonts w:ascii="Arial" w:hAnsi="Arial" w:cs="Arial"/>
          <w:b/>
          <w:szCs w:val="24"/>
        </w:rPr>
      </w:pPr>
      <w:r w:rsidRPr="001A321E">
        <w:rPr>
          <w:rStyle w:val="BookTitle"/>
          <w:rFonts w:ascii="Arial" w:hAnsi="Arial" w:cs="Arial"/>
          <w:i w:val="0"/>
          <w:iCs w:val="0"/>
          <w:smallCaps w:val="0"/>
          <w:spacing w:val="0"/>
          <w:szCs w:val="24"/>
        </w:rPr>
        <w:t>Item</w:t>
      </w:r>
      <w:r w:rsidR="00C25712" w:rsidRPr="001A321E">
        <w:rPr>
          <w:rStyle w:val="BookTitle"/>
          <w:rFonts w:ascii="Arial" w:hAnsi="Arial" w:cs="Arial"/>
          <w:i w:val="0"/>
          <w:iCs w:val="0"/>
          <w:smallCaps w:val="0"/>
          <w:spacing w:val="0"/>
          <w:szCs w:val="24"/>
        </w:rPr>
        <w:t>s</w:t>
      </w:r>
      <w:r w:rsidRPr="001A321E">
        <w:rPr>
          <w:rStyle w:val="BookTitle"/>
          <w:rFonts w:ascii="Arial" w:hAnsi="Arial" w:cs="Arial"/>
          <w:i w:val="0"/>
          <w:iCs w:val="0"/>
          <w:smallCaps w:val="0"/>
          <w:spacing w:val="0"/>
          <w:szCs w:val="24"/>
        </w:rPr>
        <w:t xml:space="preserve"> </w:t>
      </w:r>
      <w:r w:rsidR="00AB71A5" w:rsidRPr="001A321E">
        <w:rPr>
          <w:rStyle w:val="BookTitle"/>
          <w:rFonts w:ascii="Arial" w:hAnsi="Arial" w:cs="Arial"/>
          <w:i w:val="0"/>
          <w:iCs w:val="0"/>
          <w:smallCaps w:val="0"/>
          <w:spacing w:val="0"/>
          <w:szCs w:val="24"/>
        </w:rPr>
        <w:t xml:space="preserve">5 </w:t>
      </w:r>
      <w:r w:rsidR="00C25712" w:rsidRPr="001A321E">
        <w:rPr>
          <w:rStyle w:val="BookTitle"/>
          <w:rFonts w:ascii="Arial" w:hAnsi="Arial" w:cs="Arial"/>
          <w:i w:val="0"/>
          <w:iCs w:val="0"/>
          <w:smallCaps w:val="0"/>
          <w:spacing w:val="0"/>
          <w:szCs w:val="24"/>
        </w:rPr>
        <w:t xml:space="preserve">and </w:t>
      </w:r>
      <w:r w:rsidR="00AB71A5" w:rsidRPr="001A321E">
        <w:rPr>
          <w:rStyle w:val="BookTitle"/>
          <w:rFonts w:ascii="Arial" w:hAnsi="Arial" w:cs="Arial"/>
          <w:i w:val="0"/>
          <w:iCs w:val="0"/>
          <w:smallCaps w:val="0"/>
          <w:spacing w:val="0"/>
          <w:szCs w:val="24"/>
        </w:rPr>
        <w:t>6</w:t>
      </w:r>
      <w:r w:rsidRPr="001A321E">
        <w:rPr>
          <w:rStyle w:val="BookTitle"/>
          <w:rFonts w:ascii="Arial" w:hAnsi="Arial" w:cs="Arial"/>
          <w:i w:val="0"/>
          <w:iCs w:val="0"/>
          <w:smallCaps w:val="0"/>
          <w:spacing w:val="0"/>
          <w:szCs w:val="24"/>
        </w:rPr>
        <w:t xml:space="preserve"> </w:t>
      </w:r>
      <w:r w:rsidR="00756870" w:rsidRPr="001A321E">
        <w:rPr>
          <w:rStyle w:val="BookTitle"/>
          <w:rFonts w:ascii="Arial" w:hAnsi="Arial" w:cs="Arial"/>
          <w:i w:val="0"/>
          <w:iCs w:val="0"/>
          <w:smallCaps w:val="0"/>
          <w:spacing w:val="0"/>
          <w:szCs w:val="24"/>
        </w:rPr>
        <w:t xml:space="preserve">amend </w:t>
      </w:r>
      <w:r w:rsidR="007C1727" w:rsidRPr="001A321E">
        <w:rPr>
          <w:rStyle w:val="BookTitle"/>
          <w:rFonts w:ascii="Arial" w:hAnsi="Arial" w:cs="Arial"/>
          <w:i w:val="0"/>
          <w:iCs w:val="0"/>
          <w:smallCaps w:val="0"/>
          <w:spacing w:val="0"/>
          <w:szCs w:val="24"/>
        </w:rPr>
        <w:t>s</w:t>
      </w:r>
      <w:r w:rsidR="00756870" w:rsidRPr="001A321E">
        <w:rPr>
          <w:rStyle w:val="BookTitle"/>
          <w:rFonts w:ascii="Arial" w:hAnsi="Arial" w:cs="Arial"/>
          <w:i w:val="0"/>
          <w:iCs w:val="0"/>
          <w:smallCaps w:val="0"/>
          <w:spacing w:val="0"/>
          <w:szCs w:val="24"/>
        </w:rPr>
        <w:t>ub</w:t>
      </w:r>
      <w:r w:rsidR="00111250" w:rsidRPr="001A321E">
        <w:rPr>
          <w:rStyle w:val="BookTitle"/>
          <w:rFonts w:ascii="Arial" w:hAnsi="Arial" w:cs="Arial"/>
          <w:i w:val="0"/>
          <w:iCs w:val="0"/>
          <w:smallCaps w:val="0"/>
          <w:spacing w:val="0"/>
          <w:szCs w:val="24"/>
        </w:rPr>
        <w:t>-</w:t>
      </w:r>
      <w:r w:rsidR="00756870" w:rsidRPr="001A321E">
        <w:rPr>
          <w:rStyle w:val="BookTitle"/>
          <w:rFonts w:ascii="Arial" w:hAnsi="Arial" w:cs="Arial"/>
          <w:i w:val="0"/>
          <w:iCs w:val="0"/>
          <w:smallCaps w:val="0"/>
          <w:spacing w:val="0"/>
          <w:szCs w:val="24"/>
        </w:rPr>
        <w:t xml:space="preserve">item 1(3) of Schedule 1 to the No. 11 Determination. </w:t>
      </w:r>
      <w:r w:rsidR="00111250" w:rsidRPr="001A321E">
        <w:rPr>
          <w:rStyle w:val="BookTitle"/>
          <w:rFonts w:ascii="Arial" w:hAnsi="Arial" w:cs="Arial"/>
          <w:i w:val="0"/>
          <w:iCs w:val="0"/>
          <w:smallCaps w:val="0"/>
          <w:spacing w:val="0"/>
          <w:szCs w:val="24"/>
        </w:rPr>
        <w:t xml:space="preserve"> The </w:t>
      </w:r>
      <w:r w:rsidR="00756870" w:rsidRPr="001A321E">
        <w:rPr>
          <w:rStyle w:val="BookTitle"/>
          <w:rFonts w:ascii="Arial" w:hAnsi="Arial" w:cs="Arial"/>
          <w:i w:val="0"/>
          <w:iCs w:val="0"/>
          <w:smallCaps w:val="0"/>
          <w:spacing w:val="0"/>
          <w:szCs w:val="24"/>
        </w:rPr>
        <w:t>effect of these items is to amend</w:t>
      </w:r>
      <w:r w:rsidR="00C25712" w:rsidRPr="001A321E">
        <w:rPr>
          <w:rStyle w:val="BookTitle"/>
          <w:rFonts w:ascii="Arial" w:hAnsi="Arial" w:cs="Arial"/>
          <w:i w:val="0"/>
          <w:iCs w:val="0"/>
          <w:smallCaps w:val="0"/>
          <w:spacing w:val="0"/>
          <w:szCs w:val="24"/>
        </w:rPr>
        <w:t xml:space="preserve"> </w:t>
      </w:r>
      <w:r w:rsidR="00756870" w:rsidRPr="001A321E">
        <w:rPr>
          <w:rStyle w:val="BookTitle"/>
          <w:rFonts w:ascii="Arial" w:hAnsi="Arial" w:cs="Arial"/>
          <w:i w:val="0"/>
          <w:iCs w:val="0"/>
          <w:smallCaps w:val="0"/>
          <w:spacing w:val="0"/>
          <w:szCs w:val="24"/>
        </w:rPr>
        <w:t xml:space="preserve">temporary </w:t>
      </w:r>
      <w:r w:rsidR="00791C2F" w:rsidRPr="001A321E">
        <w:rPr>
          <w:rStyle w:val="BookTitle"/>
          <w:rFonts w:ascii="Arial" w:hAnsi="Arial" w:cs="Arial"/>
          <w:i w:val="0"/>
          <w:iCs w:val="0"/>
          <w:smallCaps w:val="0"/>
          <w:spacing w:val="0"/>
          <w:szCs w:val="24"/>
        </w:rPr>
        <w:t xml:space="preserve">subsection </w:t>
      </w:r>
      <w:r w:rsidR="00770879" w:rsidRPr="001A321E">
        <w:rPr>
          <w:rStyle w:val="BookTitle"/>
          <w:rFonts w:ascii="Arial" w:hAnsi="Arial" w:cs="Arial"/>
          <w:i w:val="0"/>
          <w:iCs w:val="0"/>
          <w:smallCaps w:val="0"/>
          <w:spacing w:val="0"/>
          <w:szCs w:val="24"/>
        </w:rPr>
        <w:t>23</w:t>
      </w:r>
      <w:r w:rsidR="00791C2F" w:rsidRPr="001A321E">
        <w:rPr>
          <w:rStyle w:val="BookTitle"/>
          <w:rFonts w:ascii="Arial" w:hAnsi="Arial" w:cs="Arial"/>
          <w:i w:val="0"/>
          <w:iCs w:val="0"/>
          <w:smallCaps w:val="0"/>
          <w:spacing w:val="0"/>
          <w:szCs w:val="24"/>
        </w:rPr>
        <w:t>(4AB)</w:t>
      </w:r>
      <w:r w:rsidR="00756870" w:rsidRPr="001A321E">
        <w:rPr>
          <w:rStyle w:val="BookTitle"/>
          <w:rFonts w:ascii="Arial" w:hAnsi="Arial" w:cs="Arial"/>
          <w:i w:val="0"/>
          <w:iCs w:val="0"/>
          <w:smallCaps w:val="0"/>
          <w:spacing w:val="0"/>
          <w:szCs w:val="24"/>
        </w:rPr>
        <w:t xml:space="preserve"> of the</w:t>
      </w:r>
      <w:r w:rsidR="00021B15" w:rsidRPr="001A321E">
        <w:rPr>
          <w:rStyle w:val="BookTitle"/>
          <w:rFonts w:ascii="Arial" w:hAnsi="Arial" w:cs="Arial"/>
          <w:i w:val="0"/>
          <w:iCs w:val="0"/>
          <w:smallCaps w:val="0"/>
          <w:spacing w:val="0"/>
          <w:szCs w:val="24"/>
        </w:rPr>
        <w:t xml:space="preserve"> Act</w:t>
      </w:r>
      <w:r w:rsidR="00111250" w:rsidRPr="001A321E">
        <w:rPr>
          <w:rStyle w:val="BookTitle"/>
          <w:rFonts w:ascii="Arial" w:hAnsi="Arial" w:cs="Arial"/>
          <w:i w:val="0"/>
          <w:iCs w:val="0"/>
          <w:smallCaps w:val="0"/>
          <w:spacing w:val="0"/>
          <w:szCs w:val="24"/>
        </w:rPr>
        <w:t xml:space="preserve"> to </w:t>
      </w:r>
      <w:r w:rsidR="00791C2F" w:rsidRPr="001A321E">
        <w:rPr>
          <w:rStyle w:val="BookTitle"/>
          <w:rFonts w:ascii="Arial" w:hAnsi="Arial" w:cs="Arial"/>
          <w:i w:val="0"/>
          <w:iCs w:val="0"/>
          <w:smallCaps w:val="0"/>
          <w:spacing w:val="0"/>
          <w:szCs w:val="24"/>
        </w:rPr>
        <w:t>ensure</w:t>
      </w:r>
      <w:r w:rsidR="00756870" w:rsidRPr="001A321E">
        <w:rPr>
          <w:rStyle w:val="BookTitle"/>
          <w:rFonts w:ascii="Arial" w:hAnsi="Arial" w:cs="Arial"/>
          <w:i w:val="0"/>
          <w:iCs w:val="0"/>
          <w:smallCaps w:val="0"/>
          <w:spacing w:val="0"/>
          <w:szCs w:val="24"/>
        </w:rPr>
        <w:t xml:space="preserve"> </w:t>
      </w:r>
      <w:r w:rsidR="00791C2F" w:rsidRPr="001A321E">
        <w:rPr>
          <w:rStyle w:val="BookTitle"/>
          <w:rFonts w:ascii="Arial" w:hAnsi="Arial" w:cs="Arial"/>
          <w:i w:val="0"/>
          <w:iCs w:val="0"/>
          <w:smallCaps w:val="0"/>
          <w:spacing w:val="0"/>
          <w:szCs w:val="24"/>
        </w:rPr>
        <w:t>that</w:t>
      </w:r>
      <w:r w:rsidR="00B24BD8" w:rsidRPr="001A321E">
        <w:rPr>
          <w:rStyle w:val="BookTitle"/>
          <w:rFonts w:ascii="Arial" w:hAnsi="Arial" w:cs="Arial"/>
          <w:i w:val="0"/>
          <w:iCs w:val="0"/>
          <w:smallCaps w:val="0"/>
          <w:spacing w:val="0"/>
          <w:szCs w:val="24"/>
        </w:rPr>
        <w:t>,</w:t>
      </w:r>
      <w:r w:rsidR="00791C2F" w:rsidRPr="001A321E">
        <w:rPr>
          <w:rStyle w:val="BookTitle"/>
          <w:rFonts w:ascii="Arial" w:hAnsi="Arial" w:cs="Arial"/>
          <w:i w:val="0"/>
          <w:iCs w:val="0"/>
          <w:smallCaps w:val="0"/>
          <w:spacing w:val="0"/>
          <w:szCs w:val="24"/>
        </w:rPr>
        <w:t xml:space="preserve"> where a person’s rate of a social</w:t>
      </w:r>
      <w:r w:rsidR="00111250" w:rsidRPr="001A321E">
        <w:rPr>
          <w:rStyle w:val="BookTitle"/>
          <w:rFonts w:ascii="Arial" w:hAnsi="Arial" w:cs="Arial"/>
          <w:i w:val="0"/>
          <w:iCs w:val="0"/>
          <w:smallCaps w:val="0"/>
          <w:spacing w:val="0"/>
          <w:szCs w:val="24"/>
        </w:rPr>
        <w:t xml:space="preserve"> security pension or benefit is </w:t>
      </w:r>
      <w:r w:rsidR="00791C2F" w:rsidRPr="001A321E">
        <w:rPr>
          <w:rStyle w:val="BookTitle"/>
          <w:rFonts w:ascii="Arial" w:hAnsi="Arial" w:cs="Arial"/>
          <w:i w:val="0"/>
          <w:iCs w:val="0"/>
          <w:smallCaps w:val="0"/>
          <w:spacing w:val="0"/>
          <w:szCs w:val="24"/>
        </w:rPr>
        <w:t>reduced to nil due to the person’s (or their pa</w:t>
      </w:r>
      <w:r w:rsidR="00111250" w:rsidRPr="001A321E">
        <w:rPr>
          <w:rStyle w:val="BookTitle"/>
          <w:rFonts w:ascii="Arial" w:hAnsi="Arial" w:cs="Arial"/>
          <w:i w:val="0"/>
          <w:iCs w:val="0"/>
          <w:smallCaps w:val="0"/>
          <w:spacing w:val="0"/>
          <w:szCs w:val="24"/>
        </w:rPr>
        <w:t>rtner’s) employment income, and </w:t>
      </w:r>
      <w:r w:rsidR="00791C2F" w:rsidRPr="001A321E">
        <w:rPr>
          <w:rStyle w:val="BookTitle"/>
          <w:rFonts w:ascii="Arial" w:hAnsi="Arial" w:cs="Arial"/>
          <w:i w:val="0"/>
          <w:iCs w:val="0"/>
          <w:smallCaps w:val="0"/>
          <w:spacing w:val="0"/>
          <w:szCs w:val="24"/>
        </w:rPr>
        <w:t>the</w:t>
      </w:r>
      <w:r w:rsidR="00756870" w:rsidRPr="001A321E">
        <w:rPr>
          <w:rStyle w:val="BookTitle"/>
          <w:rFonts w:ascii="Arial" w:hAnsi="Arial" w:cs="Arial"/>
          <w:i w:val="0"/>
          <w:iCs w:val="0"/>
          <w:smallCaps w:val="0"/>
          <w:spacing w:val="0"/>
          <w:szCs w:val="24"/>
        </w:rPr>
        <w:t>ir</w:t>
      </w:r>
      <w:r w:rsidR="00791C2F" w:rsidRPr="001A321E">
        <w:rPr>
          <w:rStyle w:val="BookTitle"/>
          <w:rFonts w:ascii="Arial" w:hAnsi="Arial" w:cs="Arial"/>
          <w:i w:val="0"/>
          <w:iCs w:val="0"/>
          <w:smallCaps w:val="0"/>
          <w:spacing w:val="0"/>
          <w:szCs w:val="24"/>
        </w:rPr>
        <w:t xml:space="preserve"> </w:t>
      </w:r>
      <w:r w:rsidR="00561D84" w:rsidRPr="001A321E">
        <w:rPr>
          <w:rStyle w:val="BookTitle"/>
          <w:rFonts w:ascii="Arial" w:hAnsi="Arial" w:cs="Arial"/>
          <w:i w:val="0"/>
          <w:iCs w:val="0"/>
          <w:smallCaps w:val="0"/>
          <w:spacing w:val="0"/>
          <w:szCs w:val="24"/>
        </w:rPr>
        <w:t xml:space="preserve">standard </w:t>
      </w:r>
      <w:r w:rsidR="00791C2F" w:rsidRPr="001A321E">
        <w:rPr>
          <w:rStyle w:val="BookTitle"/>
          <w:rFonts w:ascii="Arial" w:hAnsi="Arial" w:cs="Arial"/>
          <w:i w:val="0"/>
          <w:iCs w:val="0"/>
          <w:smallCaps w:val="0"/>
          <w:spacing w:val="0"/>
          <w:szCs w:val="24"/>
        </w:rPr>
        <w:t xml:space="preserve">12-week </w:t>
      </w:r>
      <w:r w:rsidR="00756870" w:rsidRPr="001A321E">
        <w:rPr>
          <w:rStyle w:val="BookTitle"/>
          <w:rFonts w:ascii="Arial" w:hAnsi="Arial" w:cs="Arial"/>
          <w:i w:val="0"/>
          <w:iCs w:val="0"/>
          <w:smallCaps w:val="0"/>
          <w:spacing w:val="0"/>
          <w:szCs w:val="24"/>
        </w:rPr>
        <w:t xml:space="preserve">employment </w:t>
      </w:r>
      <w:r w:rsidR="00A81375" w:rsidRPr="001A321E">
        <w:rPr>
          <w:rStyle w:val="BookTitle"/>
          <w:rFonts w:ascii="Arial" w:hAnsi="Arial" w:cs="Arial"/>
          <w:i w:val="0"/>
          <w:iCs w:val="0"/>
          <w:smallCaps w:val="0"/>
          <w:spacing w:val="0"/>
          <w:szCs w:val="24"/>
        </w:rPr>
        <w:t xml:space="preserve">income </w:t>
      </w:r>
      <w:r w:rsidR="00791C2F" w:rsidRPr="001A321E">
        <w:rPr>
          <w:rStyle w:val="BookTitle"/>
          <w:rFonts w:ascii="Arial" w:hAnsi="Arial" w:cs="Arial"/>
          <w:i w:val="0"/>
          <w:iCs w:val="0"/>
          <w:smallCaps w:val="0"/>
          <w:spacing w:val="0"/>
          <w:szCs w:val="24"/>
        </w:rPr>
        <w:t>nil rate period in paragraph 23(4A)(h) ends during the period 22 June 2020 to 31 December 2020, the person will be treated as receiving a social security pensi</w:t>
      </w:r>
      <w:r w:rsidR="00111250" w:rsidRPr="001A321E">
        <w:rPr>
          <w:rStyle w:val="BookTitle"/>
          <w:rFonts w:ascii="Arial" w:hAnsi="Arial" w:cs="Arial"/>
          <w:i w:val="0"/>
          <w:iCs w:val="0"/>
          <w:smallCaps w:val="0"/>
          <w:spacing w:val="0"/>
          <w:szCs w:val="24"/>
        </w:rPr>
        <w:t>on or benefit until 31 December </w:t>
      </w:r>
      <w:r w:rsidR="00791C2F" w:rsidRPr="001A321E">
        <w:rPr>
          <w:rStyle w:val="BookTitle"/>
          <w:rFonts w:ascii="Arial" w:hAnsi="Arial" w:cs="Arial"/>
          <w:i w:val="0"/>
          <w:iCs w:val="0"/>
          <w:smallCaps w:val="0"/>
          <w:spacing w:val="0"/>
          <w:szCs w:val="24"/>
        </w:rPr>
        <w:t xml:space="preserve">2020. </w:t>
      </w:r>
      <w:bookmarkStart w:id="0" w:name="_Toc290210739"/>
    </w:p>
    <w:p w14:paraId="7F7C9A8B" w14:textId="77777777" w:rsidR="002F70E6" w:rsidRPr="001A321E" w:rsidRDefault="00BB00D1" w:rsidP="002F70E6">
      <w:pPr>
        <w:spacing w:before="360" w:after="120"/>
        <w:jc w:val="center"/>
        <w:rPr>
          <w:rFonts w:ascii="Arial" w:hAnsi="Arial" w:cs="Arial"/>
          <w:b/>
          <w:szCs w:val="24"/>
        </w:rPr>
      </w:pPr>
      <w:r w:rsidRPr="001A321E">
        <w:rPr>
          <w:rFonts w:ascii="Arial" w:hAnsi="Arial" w:cs="Arial"/>
          <w:b/>
          <w:szCs w:val="24"/>
        </w:rPr>
        <w:br w:type="column"/>
      </w:r>
      <w:r w:rsidR="002F70E6" w:rsidRPr="001A321E">
        <w:rPr>
          <w:rFonts w:ascii="Arial" w:hAnsi="Arial" w:cs="Arial"/>
          <w:b/>
          <w:szCs w:val="24"/>
        </w:rPr>
        <w:lastRenderedPageBreak/>
        <w:t>Statement of Compatibility with Human Rights</w:t>
      </w:r>
    </w:p>
    <w:p w14:paraId="7F7C9A8C" w14:textId="77777777" w:rsidR="002F70E6" w:rsidRPr="001A321E" w:rsidRDefault="002F70E6" w:rsidP="002F70E6">
      <w:pPr>
        <w:spacing w:before="120" w:after="120"/>
        <w:jc w:val="center"/>
        <w:rPr>
          <w:rFonts w:ascii="Arial" w:hAnsi="Arial" w:cs="Arial"/>
          <w:szCs w:val="24"/>
        </w:rPr>
      </w:pPr>
      <w:r w:rsidRPr="001A321E">
        <w:rPr>
          <w:rFonts w:ascii="Arial" w:hAnsi="Arial" w:cs="Arial"/>
          <w:i/>
          <w:szCs w:val="24"/>
        </w:rPr>
        <w:t>Prepared in accordance with Part 3 of the Human Rights (Parliamentary Scrutiny) Act 2011</w:t>
      </w:r>
    </w:p>
    <w:p w14:paraId="7F7C9A8D" w14:textId="77777777" w:rsidR="002F70E6" w:rsidRPr="001A321E" w:rsidRDefault="002F70E6" w:rsidP="002F70E6">
      <w:pPr>
        <w:spacing w:before="120" w:after="120"/>
        <w:jc w:val="center"/>
        <w:rPr>
          <w:rFonts w:ascii="Arial" w:hAnsi="Arial" w:cs="Arial"/>
          <w:szCs w:val="24"/>
        </w:rPr>
      </w:pPr>
    </w:p>
    <w:p w14:paraId="7F7C9A8E" w14:textId="77777777" w:rsidR="002F70E6" w:rsidRPr="001A321E" w:rsidRDefault="00F4138C" w:rsidP="002F70E6">
      <w:pPr>
        <w:spacing w:before="120" w:after="120"/>
        <w:jc w:val="center"/>
        <w:rPr>
          <w:rFonts w:ascii="Arial" w:hAnsi="Arial" w:cs="Arial"/>
          <w:b/>
          <w:szCs w:val="24"/>
        </w:rPr>
      </w:pPr>
      <w:r w:rsidRPr="001A321E">
        <w:rPr>
          <w:rFonts w:ascii="Arial" w:hAnsi="Arial" w:cs="Arial"/>
          <w:b/>
          <w:szCs w:val="24"/>
        </w:rPr>
        <w:t>Social Security</w:t>
      </w:r>
      <w:r w:rsidR="002F70E6" w:rsidRPr="001A321E">
        <w:rPr>
          <w:rFonts w:ascii="Arial" w:hAnsi="Arial" w:cs="Arial"/>
          <w:b/>
          <w:szCs w:val="24"/>
        </w:rPr>
        <w:t xml:space="preserve"> </w:t>
      </w:r>
      <w:r w:rsidRPr="001A321E">
        <w:rPr>
          <w:rFonts w:ascii="Arial" w:hAnsi="Arial" w:cs="Arial"/>
          <w:b/>
          <w:bCs/>
          <w:szCs w:val="24"/>
        </w:rPr>
        <w:t>(Coronavirus Economic Response—2020 Measures No. </w:t>
      </w:r>
      <w:r w:rsidR="00E677D9" w:rsidRPr="001A321E">
        <w:rPr>
          <w:rFonts w:ascii="Arial" w:hAnsi="Arial" w:cs="Arial"/>
          <w:b/>
          <w:bCs/>
          <w:szCs w:val="24"/>
        </w:rPr>
        <w:t>15</w:t>
      </w:r>
      <w:r w:rsidRPr="001A321E">
        <w:rPr>
          <w:rFonts w:ascii="Arial" w:hAnsi="Arial" w:cs="Arial"/>
          <w:b/>
          <w:bCs/>
          <w:szCs w:val="24"/>
        </w:rPr>
        <w:t>) Determination 2020</w:t>
      </w:r>
      <w:r w:rsidRPr="001A321E" w:rsidDel="00F4138C">
        <w:rPr>
          <w:rFonts w:ascii="Arial" w:hAnsi="Arial" w:cs="Arial"/>
          <w:b/>
          <w:szCs w:val="24"/>
        </w:rPr>
        <w:t xml:space="preserve"> </w:t>
      </w:r>
    </w:p>
    <w:p w14:paraId="7F7C9A8F" w14:textId="77777777" w:rsidR="002F70E6" w:rsidRPr="001A321E" w:rsidRDefault="002F70E6" w:rsidP="002F70E6">
      <w:pPr>
        <w:spacing w:before="120" w:after="120"/>
        <w:jc w:val="center"/>
        <w:rPr>
          <w:rFonts w:ascii="Arial" w:hAnsi="Arial" w:cs="Arial"/>
          <w:szCs w:val="24"/>
        </w:rPr>
      </w:pPr>
    </w:p>
    <w:p w14:paraId="7F7C9A90" w14:textId="2E9B8BD9" w:rsidR="002F70E6" w:rsidRPr="001A321E" w:rsidRDefault="008E6906" w:rsidP="00A81375">
      <w:pPr>
        <w:spacing w:before="120" w:after="120"/>
        <w:rPr>
          <w:rFonts w:ascii="Arial" w:hAnsi="Arial" w:cs="Arial"/>
          <w:szCs w:val="24"/>
        </w:rPr>
      </w:pPr>
      <w:r w:rsidRPr="001A321E">
        <w:rPr>
          <w:rStyle w:val="BookTitle"/>
          <w:rFonts w:ascii="Arial" w:hAnsi="Arial" w:cs="Arial"/>
          <w:i w:val="0"/>
          <w:iCs w:val="0"/>
          <w:smallCaps w:val="0"/>
          <w:spacing w:val="0"/>
          <w:szCs w:val="24"/>
        </w:rPr>
        <w:t xml:space="preserve">The Social Security (Coronavirus Economic Response – 2020 Measures No. 15) Determination 2020 (this Determination) </w:t>
      </w:r>
      <w:r w:rsidR="002F70E6" w:rsidRPr="001A321E">
        <w:rPr>
          <w:rFonts w:ascii="Arial" w:hAnsi="Arial" w:cs="Arial"/>
          <w:szCs w:val="24"/>
        </w:rPr>
        <w:t>is compatible with the human rights and freedoms recognised or declared in the international ins</w:t>
      </w:r>
      <w:r w:rsidR="00111250" w:rsidRPr="001A321E">
        <w:rPr>
          <w:rFonts w:ascii="Arial" w:hAnsi="Arial" w:cs="Arial"/>
          <w:szCs w:val="24"/>
        </w:rPr>
        <w:t>truments listed in section 3 of </w:t>
      </w:r>
      <w:r w:rsidR="002F70E6" w:rsidRPr="001A321E">
        <w:rPr>
          <w:rFonts w:ascii="Arial" w:hAnsi="Arial" w:cs="Arial"/>
          <w:szCs w:val="24"/>
        </w:rPr>
        <w:t xml:space="preserve">the </w:t>
      </w:r>
      <w:r w:rsidR="002F70E6" w:rsidRPr="001A321E">
        <w:rPr>
          <w:rFonts w:ascii="Arial" w:hAnsi="Arial" w:cs="Arial"/>
          <w:i/>
          <w:szCs w:val="24"/>
        </w:rPr>
        <w:t>Human Rights (Parliamentary Scrutiny) Act 2011</w:t>
      </w:r>
      <w:r w:rsidR="002F70E6" w:rsidRPr="001A321E">
        <w:rPr>
          <w:rFonts w:ascii="Arial" w:hAnsi="Arial" w:cs="Arial"/>
          <w:szCs w:val="24"/>
        </w:rPr>
        <w:t>.</w:t>
      </w:r>
    </w:p>
    <w:p w14:paraId="7F7C9A91" w14:textId="77777777" w:rsidR="002F70E6" w:rsidRPr="001A321E" w:rsidRDefault="002F70E6" w:rsidP="002F70E6">
      <w:pPr>
        <w:spacing w:after="120"/>
        <w:jc w:val="both"/>
        <w:rPr>
          <w:rFonts w:ascii="Arial" w:hAnsi="Arial" w:cs="Arial"/>
          <w:b/>
          <w:szCs w:val="24"/>
        </w:rPr>
      </w:pPr>
      <w:r w:rsidRPr="001A321E">
        <w:rPr>
          <w:rFonts w:ascii="Arial" w:hAnsi="Arial" w:cs="Arial"/>
          <w:b/>
          <w:szCs w:val="24"/>
        </w:rPr>
        <w:t>Overview of the legislative instrument</w:t>
      </w:r>
    </w:p>
    <w:p w14:paraId="7F7C9A92" w14:textId="1805C273" w:rsidR="003336A7" w:rsidRPr="001A321E" w:rsidRDefault="003336A7" w:rsidP="002F70E6">
      <w:pPr>
        <w:spacing w:before="120" w:after="120"/>
        <w:rPr>
          <w:rFonts w:ascii="Arial" w:hAnsi="Arial" w:cs="Arial"/>
          <w:iCs/>
          <w:szCs w:val="24"/>
        </w:rPr>
      </w:pPr>
      <w:r w:rsidRPr="001A321E">
        <w:rPr>
          <w:rStyle w:val="BookTitle"/>
          <w:rFonts w:ascii="Arial" w:hAnsi="Arial" w:cs="Arial"/>
          <w:i w:val="0"/>
          <w:iCs w:val="0"/>
          <w:smallCaps w:val="0"/>
          <w:spacing w:val="0"/>
          <w:szCs w:val="24"/>
        </w:rPr>
        <w:t>Th</w:t>
      </w:r>
      <w:r w:rsidR="008E6906" w:rsidRPr="001A321E">
        <w:rPr>
          <w:rStyle w:val="BookTitle"/>
          <w:rFonts w:ascii="Arial" w:hAnsi="Arial" w:cs="Arial"/>
          <w:i w:val="0"/>
          <w:iCs w:val="0"/>
          <w:smallCaps w:val="0"/>
          <w:spacing w:val="0"/>
          <w:szCs w:val="24"/>
        </w:rPr>
        <w:t>is Determination</w:t>
      </w:r>
      <w:r w:rsidRPr="001A321E">
        <w:rPr>
          <w:rStyle w:val="BookTitle"/>
          <w:rFonts w:ascii="Arial" w:hAnsi="Arial" w:cs="Arial"/>
          <w:i w:val="0"/>
          <w:iCs w:val="0"/>
          <w:smallCaps w:val="0"/>
          <w:spacing w:val="0"/>
          <w:szCs w:val="24"/>
        </w:rPr>
        <w:t xml:space="preserve"> will ensure the continued payment of the COVID-19 supplement to recipients of </w:t>
      </w:r>
      <w:proofErr w:type="spellStart"/>
      <w:r w:rsidRPr="001A321E">
        <w:rPr>
          <w:rStyle w:val="BookTitle"/>
          <w:rFonts w:ascii="Arial" w:hAnsi="Arial" w:cs="Arial"/>
          <w:i w:val="0"/>
          <w:iCs w:val="0"/>
          <w:smallCaps w:val="0"/>
          <w:spacing w:val="0"/>
          <w:szCs w:val="24"/>
        </w:rPr>
        <w:t>J</w:t>
      </w:r>
      <w:r w:rsidRPr="001A321E">
        <w:rPr>
          <w:rFonts w:ascii="Arial" w:hAnsi="Arial" w:cs="Arial"/>
          <w:szCs w:val="24"/>
        </w:rPr>
        <w:t>obSeeker</w:t>
      </w:r>
      <w:proofErr w:type="spellEnd"/>
      <w:r w:rsidRPr="001A321E">
        <w:rPr>
          <w:rFonts w:ascii="Arial" w:hAnsi="Arial" w:cs="Arial"/>
          <w:szCs w:val="24"/>
        </w:rPr>
        <w:t xml:space="preserve"> Payment, Parenting Payment, Youth Allowance, </w:t>
      </w:r>
      <w:proofErr w:type="spellStart"/>
      <w:r w:rsidRPr="001A321E">
        <w:rPr>
          <w:rFonts w:ascii="Arial" w:hAnsi="Arial" w:cs="Arial"/>
          <w:szCs w:val="24"/>
        </w:rPr>
        <w:t>Austudy</w:t>
      </w:r>
      <w:proofErr w:type="spellEnd"/>
      <w:r w:rsidRPr="001A321E">
        <w:rPr>
          <w:rFonts w:ascii="Arial" w:hAnsi="Arial" w:cs="Arial"/>
          <w:szCs w:val="24"/>
        </w:rPr>
        <w:t xml:space="preserve"> Payment, Special Benefit, Partner Allowance and Widow Allowance</w:t>
      </w:r>
      <w:r w:rsidR="00021B15" w:rsidRPr="001A321E">
        <w:rPr>
          <w:rFonts w:ascii="Arial" w:hAnsi="Arial" w:cs="Arial"/>
          <w:szCs w:val="24"/>
        </w:rPr>
        <w:t xml:space="preserve">. </w:t>
      </w:r>
      <w:r w:rsidR="00111250" w:rsidRPr="001A321E">
        <w:rPr>
          <w:rFonts w:ascii="Arial" w:hAnsi="Arial" w:cs="Arial"/>
          <w:szCs w:val="24"/>
        </w:rPr>
        <w:t xml:space="preserve"> The </w:t>
      </w:r>
      <w:r w:rsidR="00021B15" w:rsidRPr="001A321E">
        <w:rPr>
          <w:rFonts w:ascii="Arial" w:hAnsi="Arial" w:cs="Arial"/>
          <w:szCs w:val="24"/>
        </w:rPr>
        <w:t>supplement will continue</w:t>
      </w:r>
      <w:r w:rsidRPr="001A321E">
        <w:rPr>
          <w:rFonts w:ascii="Arial" w:hAnsi="Arial" w:cs="Arial"/>
          <w:szCs w:val="24"/>
        </w:rPr>
        <w:t xml:space="preserve"> to be paid to recipients</w:t>
      </w:r>
      <w:r w:rsidR="00111250" w:rsidRPr="001A321E">
        <w:rPr>
          <w:rFonts w:ascii="Arial" w:hAnsi="Arial" w:cs="Arial"/>
          <w:szCs w:val="24"/>
        </w:rPr>
        <w:t xml:space="preserve"> of these payments at a rate of </w:t>
      </w:r>
      <w:r w:rsidRPr="001A321E">
        <w:rPr>
          <w:rFonts w:ascii="Arial" w:hAnsi="Arial" w:cs="Arial"/>
          <w:szCs w:val="24"/>
        </w:rPr>
        <w:t>$250 a fortnight for social security instalment periods that begin on a day during the period 19 December 2020 to 31 December 2020 (inclusive).</w:t>
      </w:r>
    </w:p>
    <w:p w14:paraId="7F7C9A93" w14:textId="1C57B6E0" w:rsidR="002F70E6" w:rsidRPr="001A321E" w:rsidRDefault="002F70E6" w:rsidP="002F70E6">
      <w:pPr>
        <w:spacing w:before="120" w:after="120"/>
        <w:rPr>
          <w:rFonts w:ascii="Arial" w:hAnsi="Arial" w:cs="Arial"/>
          <w:szCs w:val="24"/>
        </w:rPr>
      </w:pPr>
      <w:r w:rsidRPr="001A321E">
        <w:rPr>
          <w:rFonts w:ascii="Arial" w:hAnsi="Arial" w:cs="Arial"/>
          <w:iCs/>
          <w:szCs w:val="24"/>
        </w:rPr>
        <w:t>Th</w:t>
      </w:r>
      <w:r w:rsidR="008E6906" w:rsidRPr="001A321E">
        <w:rPr>
          <w:rFonts w:ascii="Arial" w:hAnsi="Arial" w:cs="Arial"/>
          <w:iCs/>
          <w:szCs w:val="24"/>
        </w:rPr>
        <w:t>is Determination</w:t>
      </w:r>
      <w:r w:rsidR="003336A7" w:rsidRPr="001A321E">
        <w:rPr>
          <w:rFonts w:ascii="Arial" w:hAnsi="Arial" w:cs="Arial"/>
          <w:iCs/>
          <w:szCs w:val="24"/>
        </w:rPr>
        <w:t xml:space="preserve"> also</w:t>
      </w:r>
      <w:r w:rsidRPr="001A321E">
        <w:rPr>
          <w:rFonts w:ascii="Arial" w:hAnsi="Arial" w:cs="Arial"/>
          <w:iCs/>
          <w:szCs w:val="24"/>
        </w:rPr>
        <w:t xml:space="preserve"> amends </w:t>
      </w:r>
      <w:r w:rsidR="00F4138C" w:rsidRPr="001A321E">
        <w:rPr>
          <w:rFonts w:ascii="Arial" w:hAnsi="Arial" w:cs="Arial"/>
          <w:iCs/>
          <w:szCs w:val="24"/>
        </w:rPr>
        <w:t>temporary sub</w:t>
      </w:r>
      <w:r w:rsidRPr="001A321E">
        <w:rPr>
          <w:rFonts w:ascii="Arial" w:hAnsi="Arial" w:cs="Arial"/>
          <w:iCs/>
          <w:szCs w:val="24"/>
        </w:rPr>
        <w:t>section 23</w:t>
      </w:r>
      <w:r w:rsidR="00F4138C" w:rsidRPr="001A321E">
        <w:rPr>
          <w:rFonts w:ascii="Arial" w:hAnsi="Arial" w:cs="Arial"/>
          <w:iCs/>
          <w:szCs w:val="24"/>
        </w:rPr>
        <w:t>(4AB)</w:t>
      </w:r>
      <w:r w:rsidR="00F4138C" w:rsidRPr="001A321E">
        <w:rPr>
          <w:rStyle w:val="FootnoteReference"/>
          <w:rFonts w:ascii="Arial" w:hAnsi="Arial" w:cs="Arial"/>
          <w:iCs/>
          <w:szCs w:val="24"/>
        </w:rPr>
        <w:footnoteReference w:id="6"/>
      </w:r>
      <w:r w:rsidRPr="001A321E">
        <w:rPr>
          <w:rFonts w:ascii="Arial" w:hAnsi="Arial" w:cs="Arial"/>
          <w:iCs/>
          <w:szCs w:val="24"/>
        </w:rPr>
        <w:t xml:space="preserve"> of the </w:t>
      </w:r>
      <w:r w:rsidRPr="001A321E">
        <w:rPr>
          <w:rFonts w:ascii="Arial" w:hAnsi="Arial" w:cs="Arial"/>
          <w:i/>
          <w:iCs/>
          <w:szCs w:val="24"/>
        </w:rPr>
        <w:t>Social Security Act</w:t>
      </w:r>
      <w:r w:rsidR="008F6F39" w:rsidRPr="001A321E">
        <w:rPr>
          <w:rFonts w:ascii="Arial" w:hAnsi="Arial" w:cs="Arial"/>
          <w:i/>
          <w:iCs/>
          <w:szCs w:val="24"/>
        </w:rPr>
        <w:t> </w:t>
      </w:r>
      <w:r w:rsidRPr="001A321E">
        <w:rPr>
          <w:rFonts w:ascii="Arial" w:hAnsi="Arial" w:cs="Arial"/>
          <w:i/>
          <w:iCs/>
          <w:szCs w:val="24"/>
        </w:rPr>
        <w:t xml:space="preserve">1991 </w:t>
      </w:r>
      <w:r w:rsidR="00021B15" w:rsidRPr="001A321E">
        <w:rPr>
          <w:rFonts w:ascii="Arial" w:hAnsi="Arial" w:cs="Arial"/>
          <w:iCs/>
          <w:szCs w:val="24"/>
        </w:rPr>
        <w:t xml:space="preserve">(the Act) </w:t>
      </w:r>
      <w:r w:rsidRPr="001A321E">
        <w:rPr>
          <w:rFonts w:ascii="Arial" w:hAnsi="Arial" w:cs="Arial"/>
          <w:iCs/>
          <w:szCs w:val="24"/>
        </w:rPr>
        <w:t>to</w:t>
      </w:r>
      <w:r w:rsidRPr="001A321E">
        <w:rPr>
          <w:rFonts w:ascii="Arial" w:hAnsi="Arial" w:cs="Arial"/>
          <w:i/>
          <w:iCs/>
          <w:szCs w:val="24"/>
        </w:rPr>
        <w:t xml:space="preserve"> </w:t>
      </w:r>
      <w:r w:rsidRPr="001A321E">
        <w:rPr>
          <w:rFonts w:ascii="Arial" w:hAnsi="Arial" w:cs="Arial"/>
          <w:szCs w:val="24"/>
        </w:rPr>
        <w:t>extend the employment income nil rate period</w:t>
      </w:r>
      <w:r w:rsidRPr="001A321E">
        <w:rPr>
          <w:rStyle w:val="FootnoteReference"/>
          <w:rFonts w:ascii="Arial" w:eastAsiaTheme="majorEastAsia" w:hAnsi="Arial" w:cs="Arial"/>
          <w:szCs w:val="24"/>
        </w:rPr>
        <w:footnoteReference w:id="7"/>
      </w:r>
      <w:r w:rsidR="00111250" w:rsidRPr="001A321E">
        <w:rPr>
          <w:rFonts w:ascii="Arial" w:hAnsi="Arial" w:cs="Arial"/>
          <w:szCs w:val="24"/>
        </w:rPr>
        <w:t xml:space="preserve"> to 31 </w:t>
      </w:r>
      <w:r w:rsidR="00075989" w:rsidRPr="001A321E">
        <w:rPr>
          <w:rFonts w:ascii="Arial" w:hAnsi="Arial" w:cs="Arial"/>
          <w:szCs w:val="24"/>
        </w:rPr>
        <w:t xml:space="preserve">December 2020 for social security </w:t>
      </w:r>
      <w:r w:rsidR="00CF62E2" w:rsidRPr="001A321E">
        <w:rPr>
          <w:rFonts w:ascii="Arial" w:hAnsi="Arial" w:cs="Arial"/>
          <w:szCs w:val="24"/>
        </w:rPr>
        <w:t xml:space="preserve">benefit and pension </w:t>
      </w:r>
      <w:r w:rsidR="00075989" w:rsidRPr="001A321E">
        <w:rPr>
          <w:rFonts w:ascii="Arial" w:hAnsi="Arial" w:cs="Arial"/>
          <w:szCs w:val="24"/>
        </w:rPr>
        <w:t>rec</w:t>
      </w:r>
      <w:r w:rsidR="00F4138C" w:rsidRPr="001A321E">
        <w:rPr>
          <w:rFonts w:ascii="Arial" w:hAnsi="Arial" w:cs="Arial"/>
          <w:szCs w:val="24"/>
        </w:rPr>
        <w:t xml:space="preserve">ipients whose </w:t>
      </w:r>
      <w:r w:rsidR="00111250" w:rsidRPr="001A321E">
        <w:rPr>
          <w:rFonts w:ascii="Arial" w:hAnsi="Arial" w:cs="Arial"/>
          <w:szCs w:val="24"/>
        </w:rPr>
        <w:t>12</w:t>
      </w:r>
      <w:r w:rsidR="00111250" w:rsidRPr="001A321E">
        <w:rPr>
          <w:rFonts w:ascii="Arial" w:hAnsi="Arial" w:cs="Arial"/>
          <w:szCs w:val="24"/>
        </w:rPr>
        <w:noBreakHyphen/>
      </w:r>
      <w:r w:rsidR="00D17BB1" w:rsidRPr="001A321E">
        <w:rPr>
          <w:rFonts w:ascii="Arial" w:hAnsi="Arial" w:cs="Arial"/>
          <w:szCs w:val="24"/>
        </w:rPr>
        <w:t>week employment income nil rate period under paragraph 23(4A</w:t>
      </w:r>
      <w:proofErr w:type="gramStart"/>
      <w:r w:rsidR="00D17BB1" w:rsidRPr="001A321E">
        <w:rPr>
          <w:rFonts w:ascii="Arial" w:hAnsi="Arial" w:cs="Arial"/>
          <w:szCs w:val="24"/>
        </w:rPr>
        <w:t>)(</w:t>
      </w:r>
      <w:proofErr w:type="gramEnd"/>
      <w:r w:rsidR="00D17BB1" w:rsidRPr="001A321E">
        <w:rPr>
          <w:rFonts w:ascii="Arial" w:hAnsi="Arial" w:cs="Arial"/>
          <w:szCs w:val="24"/>
        </w:rPr>
        <w:t>h) of the</w:t>
      </w:r>
      <w:r w:rsidR="00021B15" w:rsidRPr="001A321E">
        <w:rPr>
          <w:rFonts w:ascii="Arial" w:hAnsi="Arial" w:cs="Arial"/>
          <w:szCs w:val="24"/>
        </w:rPr>
        <w:t xml:space="preserve"> Act</w:t>
      </w:r>
      <w:r w:rsidR="00D17BB1" w:rsidRPr="001A321E">
        <w:rPr>
          <w:rFonts w:ascii="Arial" w:hAnsi="Arial" w:cs="Arial"/>
          <w:i/>
          <w:iCs/>
          <w:szCs w:val="24"/>
        </w:rPr>
        <w:t xml:space="preserve"> </w:t>
      </w:r>
      <w:r w:rsidR="00D17BB1" w:rsidRPr="001A321E">
        <w:rPr>
          <w:rFonts w:ascii="Arial" w:hAnsi="Arial" w:cs="Arial"/>
          <w:szCs w:val="24"/>
        </w:rPr>
        <w:t xml:space="preserve">ends during the period 22 June 2020 to </w:t>
      </w:r>
      <w:r w:rsidR="000838CF" w:rsidRPr="001A321E">
        <w:rPr>
          <w:rFonts w:ascii="Arial" w:hAnsi="Arial" w:cs="Arial"/>
          <w:szCs w:val="24"/>
        </w:rPr>
        <w:t>31</w:t>
      </w:r>
      <w:r w:rsidR="00D17BB1" w:rsidRPr="001A321E">
        <w:rPr>
          <w:rFonts w:ascii="Arial" w:hAnsi="Arial" w:cs="Arial"/>
          <w:szCs w:val="24"/>
        </w:rPr>
        <w:t xml:space="preserve"> </w:t>
      </w:r>
      <w:r w:rsidR="000838CF" w:rsidRPr="001A321E">
        <w:rPr>
          <w:rFonts w:ascii="Arial" w:hAnsi="Arial" w:cs="Arial"/>
          <w:szCs w:val="24"/>
        </w:rPr>
        <w:t>December</w:t>
      </w:r>
      <w:r w:rsidR="00D17BB1" w:rsidRPr="001A321E">
        <w:rPr>
          <w:rFonts w:ascii="Arial" w:hAnsi="Arial" w:cs="Arial"/>
          <w:szCs w:val="24"/>
        </w:rPr>
        <w:t xml:space="preserve"> 2020</w:t>
      </w:r>
      <w:r w:rsidRPr="001A321E">
        <w:rPr>
          <w:rFonts w:ascii="Arial" w:hAnsi="Arial" w:cs="Arial"/>
          <w:szCs w:val="24"/>
        </w:rPr>
        <w:t xml:space="preserve">. </w:t>
      </w:r>
      <w:r w:rsidR="00A218C0" w:rsidRPr="001A321E">
        <w:rPr>
          <w:rFonts w:ascii="Arial" w:hAnsi="Arial" w:cs="Arial"/>
          <w:szCs w:val="24"/>
        </w:rPr>
        <w:t xml:space="preserve"> </w:t>
      </w:r>
    </w:p>
    <w:p w14:paraId="7F7C9A94" w14:textId="4D00650F" w:rsidR="003336A7" w:rsidRPr="001A321E" w:rsidRDefault="00536162" w:rsidP="00536162">
      <w:pPr>
        <w:rPr>
          <w:rStyle w:val="BookTitle"/>
          <w:rFonts w:ascii="Arial" w:hAnsi="Arial" w:cs="Arial"/>
          <w:i w:val="0"/>
          <w:iCs w:val="0"/>
          <w:smallCaps w:val="0"/>
          <w:spacing w:val="0"/>
          <w:szCs w:val="24"/>
        </w:rPr>
      </w:pPr>
      <w:r w:rsidRPr="001A321E">
        <w:rPr>
          <w:rFonts w:ascii="Arial" w:hAnsi="Arial" w:cs="Arial"/>
          <w:szCs w:val="24"/>
        </w:rPr>
        <w:t xml:space="preserve">The amendments made by this </w:t>
      </w:r>
      <w:r w:rsidR="008E6906" w:rsidRPr="001A321E">
        <w:rPr>
          <w:rFonts w:ascii="Arial" w:hAnsi="Arial" w:cs="Arial"/>
          <w:szCs w:val="24"/>
        </w:rPr>
        <w:t>Determination</w:t>
      </w:r>
      <w:r w:rsidRPr="001A321E">
        <w:rPr>
          <w:rFonts w:ascii="Arial" w:hAnsi="Arial" w:cs="Arial"/>
          <w:szCs w:val="24"/>
        </w:rPr>
        <w:t xml:space="preserve"> will ensure that increased partner income from </w:t>
      </w:r>
      <w:proofErr w:type="spellStart"/>
      <w:r w:rsidRPr="001A321E">
        <w:rPr>
          <w:rFonts w:ascii="Arial" w:hAnsi="Arial" w:cs="Arial"/>
          <w:szCs w:val="24"/>
        </w:rPr>
        <w:t>JobKeeper</w:t>
      </w:r>
      <w:proofErr w:type="spellEnd"/>
      <w:r w:rsidRPr="001A321E">
        <w:rPr>
          <w:rFonts w:ascii="Arial" w:hAnsi="Arial" w:cs="Arial"/>
          <w:szCs w:val="24"/>
        </w:rPr>
        <w:t xml:space="preserve"> does not result in the loss of s</w:t>
      </w:r>
      <w:r w:rsidR="00111250" w:rsidRPr="001A321E">
        <w:rPr>
          <w:rFonts w:ascii="Arial" w:hAnsi="Arial" w:cs="Arial"/>
          <w:szCs w:val="24"/>
        </w:rPr>
        <w:t>ocial security benefits such as </w:t>
      </w:r>
      <w:r w:rsidRPr="001A321E">
        <w:rPr>
          <w:rFonts w:ascii="Arial" w:hAnsi="Arial" w:cs="Arial"/>
          <w:szCs w:val="24"/>
        </w:rPr>
        <w:t xml:space="preserve">a concession cards. </w:t>
      </w:r>
    </w:p>
    <w:p w14:paraId="7F7C9A95" w14:textId="77777777" w:rsidR="002F70E6" w:rsidRPr="001A321E" w:rsidRDefault="002F70E6" w:rsidP="002F70E6">
      <w:pPr>
        <w:spacing w:after="120"/>
        <w:rPr>
          <w:rFonts w:ascii="Arial" w:hAnsi="Arial" w:cs="Arial"/>
          <w:b/>
          <w:szCs w:val="24"/>
        </w:rPr>
      </w:pPr>
      <w:r w:rsidRPr="001A321E">
        <w:rPr>
          <w:rFonts w:ascii="Arial" w:hAnsi="Arial" w:cs="Arial"/>
          <w:b/>
          <w:szCs w:val="24"/>
        </w:rPr>
        <w:t>Human rights implications</w:t>
      </w:r>
    </w:p>
    <w:p w14:paraId="7F7C9A96" w14:textId="5AA0C932" w:rsidR="002F70E6" w:rsidRPr="001A321E" w:rsidRDefault="002F70E6" w:rsidP="002F70E6">
      <w:pPr>
        <w:spacing w:before="120" w:after="120"/>
        <w:rPr>
          <w:rFonts w:ascii="Arial" w:hAnsi="Arial" w:cs="Arial"/>
          <w:szCs w:val="24"/>
        </w:rPr>
      </w:pPr>
      <w:r w:rsidRPr="001A321E">
        <w:rPr>
          <w:rFonts w:ascii="Arial" w:hAnsi="Arial" w:cs="Arial"/>
          <w:szCs w:val="24"/>
        </w:rPr>
        <w:t>The Bill engages the following human rights or fre</w:t>
      </w:r>
      <w:r w:rsidR="00111250" w:rsidRPr="001A321E">
        <w:rPr>
          <w:rFonts w:ascii="Arial" w:hAnsi="Arial" w:cs="Arial"/>
          <w:szCs w:val="24"/>
        </w:rPr>
        <w:t>edoms recognised or declared in </w:t>
      </w:r>
      <w:r w:rsidRPr="001A321E">
        <w:rPr>
          <w:rFonts w:ascii="Arial" w:hAnsi="Arial" w:cs="Arial"/>
          <w:szCs w:val="24"/>
        </w:rPr>
        <w:t xml:space="preserve">the international instruments listed in section 3 of the </w:t>
      </w:r>
      <w:r w:rsidRPr="001A321E">
        <w:rPr>
          <w:rFonts w:ascii="Arial" w:hAnsi="Arial" w:cs="Arial"/>
          <w:i/>
          <w:szCs w:val="24"/>
        </w:rPr>
        <w:t>Human Rights (Parliamentary Scrutiny) Act 2011</w:t>
      </w:r>
      <w:r w:rsidRPr="001A321E">
        <w:rPr>
          <w:rFonts w:ascii="Arial" w:hAnsi="Arial" w:cs="Arial"/>
          <w:szCs w:val="24"/>
        </w:rPr>
        <w:t xml:space="preserve">: </w:t>
      </w:r>
    </w:p>
    <w:p w14:paraId="7F7C9A97" w14:textId="692B162B" w:rsidR="002F70E6" w:rsidRPr="001A321E" w:rsidRDefault="002F70E6" w:rsidP="002F70E6">
      <w:pPr>
        <w:pStyle w:val="ListParagraph"/>
        <w:numPr>
          <w:ilvl w:val="0"/>
          <w:numId w:val="17"/>
        </w:numPr>
        <w:spacing w:before="120" w:after="120"/>
        <w:rPr>
          <w:rFonts w:ascii="Arial" w:hAnsi="Arial" w:cs="Arial"/>
          <w:szCs w:val="24"/>
        </w:rPr>
      </w:pPr>
      <w:r w:rsidRPr="001A321E">
        <w:rPr>
          <w:rFonts w:ascii="Arial" w:hAnsi="Arial" w:cs="Arial"/>
          <w:szCs w:val="24"/>
        </w:rPr>
        <w:t xml:space="preserve">the right to social security in </w:t>
      </w:r>
      <w:r w:rsidR="00A218C0" w:rsidRPr="001A321E">
        <w:rPr>
          <w:rFonts w:ascii="Arial" w:hAnsi="Arial" w:cs="Arial"/>
          <w:szCs w:val="24"/>
        </w:rPr>
        <w:t>A</w:t>
      </w:r>
      <w:r w:rsidRPr="001A321E">
        <w:rPr>
          <w:rFonts w:ascii="Arial" w:hAnsi="Arial" w:cs="Arial"/>
          <w:szCs w:val="24"/>
        </w:rPr>
        <w:t xml:space="preserve">rticle 9 of the </w:t>
      </w:r>
      <w:r w:rsidRPr="001A321E">
        <w:rPr>
          <w:rFonts w:ascii="Arial" w:hAnsi="Arial" w:cs="Arial"/>
          <w:i/>
          <w:szCs w:val="24"/>
        </w:rPr>
        <w:t>Intern</w:t>
      </w:r>
      <w:r w:rsidR="00111250" w:rsidRPr="001A321E">
        <w:rPr>
          <w:rFonts w:ascii="Arial" w:hAnsi="Arial" w:cs="Arial"/>
          <w:i/>
          <w:szCs w:val="24"/>
        </w:rPr>
        <w:t>ational Covenant on </w:t>
      </w:r>
      <w:r w:rsidRPr="001A321E">
        <w:rPr>
          <w:rFonts w:ascii="Arial" w:hAnsi="Arial" w:cs="Arial"/>
          <w:i/>
          <w:szCs w:val="24"/>
        </w:rPr>
        <w:t xml:space="preserve">Economic, Social and Cultural Rights </w:t>
      </w:r>
      <w:r w:rsidRPr="001A321E">
        <w:rPr>
          <w:rFonts w:ascii="Arial" w:hAnsi="Arial" w:cs="Arial"/>
          <w:szCs w:val="24"/>
        </w:rPr>
        <w:t xml:space="preserve">[1976] ATS 5 (ICESCR). </w:t>
      </w:r>
    </w:p>
    <w:p w14:paraId="7F7C9A98" w14:textId="77777777" w:rsidR="002F70E6" w:rsidRPr="001A321E" w:rsidRDefault="002F70E6" w:rsidP="00111250">
      <w:pPr>
        <w:keepNext/>
        <w:spacing w:after="240"/>
        <w:rPr>
          <w:rFonts w:ascii="Arial" w:hAnsi="Arial" w:cs="Arial"/>
          <w:color w:val="000000"/>
          <w:u w:val="single"/>
        </w:rPr>
      </w:pPr>
      <w:r w:rsidRPr="001A321E">
        <w:rPr>
          <w:rFonts w:ascii="Arial" w:hAnsi="Arial" w:cs="Arial"/>
          <w:color w:val="000000"/>
          <w:u w:val="single"/>
        </w:rPr>
        <w:lastRenderedPageBreak/>
        <w:t>Right to social security</w:t>
      </w:r>
    </w:p>
    <w:p w14:paraId="7F7C9A99" w14:textId="0442662E" w:rsidR="00CF62E2" w:rsidRPr="001A321E" w:rsidRDefault="002F70E6" w:rsidP="00111250">
      <w:pPr>
        <w:keepLines/>
        <w:spacing w:after="240"/>
        <w:rPr>
          <w:rFonts w:ascii="Arial" w:hAnsi="Arial" w:cs="Arial"/>
          <w:color w:val="000000"/>
        </w:rPr>
      </w:pPr>
      <w:r w:rsidRPr="001A321E">
        <w:rPr>
          <w:rFonts w:ascii="Arial" w:hAnsi="Arial" w:cs="Arial"/>
          <w:color w:val="000000"/>
        </w:rPr>
        <w:t xml:space="preserve">Article 9 of the ICESCR recognises ‘the right of everyone to social security.’ </w:t>
      </w:r>
      <w:r w:rsidR="00A218C0" w:rsidRPr="001A321E">
        <w:rPr>
          <w:rFonts w:ascii="Arial" w:hAnsi="Arial" w:cs="Arial"/>
          <w:color w:val="000000"/>
        </w:rPr>
        <w:t xml:space="preserve"> </w:t>
      </w:r>
      <w:r w:rsidR="00111250" w:rsidRPr="001A321E">
        <w:rPr>
          <w:rFonts w:ascii="Arial" w:hAnsi="Arial" w:cs="Arial"/>
          <w:color w:val="000000"/>
        </w:rPr>
        <w:t>The </w:t>
      </w:r>
      <w:r w:rsidRPr="001A321E">
        <w:rPr>
          <w:rFonts w:ascii="Arial" w:hAnsi="Arial" w:cs="Arial"/>
          <w:color w:val="000000"/>
        </w:rPr>
        <w:t>Committee on Economic, Social and Cultural Rights (CESCR) has described this right as encompassing the right to access an</w:t>
      </w:r>
      <w:r w:rsidR="00111250" w:rsidRPr="001A321E">
        <w:rPr>
          <w:rFonts w:ascii="Arial" w:hAnsi="Arial" w:cs="Arial"/>
          <w:color w:val="000000"/>
        </w:rPr>
        <w:t>d maintain benefits, in cash or </w:t>
      </w:r>
      <w:r w:rsidRPr="001A321E">
        <w:rPr>
          <w:rFonts w:ascii="Arial" w:hAnsi="Arial" w:cs="Arial"/>
          <w:color w:val="000000"/>
        </w:rPr>
        <w:t>in</w:t>
      </w:r>
      <w:r w:rsidR="00111250" w:rsidRPr="001A321E">
        <w:rPr>
          <w:rFonts w:ascii="Arial" w:hAnsi="Arial" w:cs="Arial"/>
          <w:color w:val="000000"/>
        </w:rPr>
        <w:t> </w:t>
      </w:r>
      <w:r w:rsidRPr="001A321E">
        <w:rPr>
          <w:rFonts w:ascii="Arial" w:hAnsi="Arial" w:cs="Arial"/>
          <w:color w:val="000000"/>
        </w:rPr>
        <w:t>kind, provided in order to ensure protection in respect of social risks and contingencies.</w:t>
      </w:r>
      <w:r w:rsidRPr="001A321E">
        <w:rPr>
          <w:rStyle w:val="FootnoteReference"/>
          <w:rFonts w:ascii="Arial" w:eastAsiaTheme="majorEastAsia" w:hAnsi="Arial" w:cs="Arial"/>
          <w:color w:val="000000"/>
        </w:rPr>
        <w:footnoteReference w:id="8"/>
      </w:r>
      <w:r w:rsidRPr="001A321E">
        <w:rPr>
          <w:rFonts w:ascii="Arial" w:hAnsi="Arial" w:cs="Arial"/>
          <w:color w:val="000000"/>
        </w:rPr>
        <w:t xml:space="preserve"> </w:t>
      </w:r>
      <w:r w:rsidR="00A218C0" w:rsidRPr="001A321E">
        <w:rPr>
          <w:rFonts w:ascii="Arial" w:hAnsi="Arial" w:cs="Arial"/>
          <w:color w:val="000000"/>
        </w:rPr>
        <w:t xml:space="preserve"> </w:t>
      </w:r>
    </w:p>
    <w:p w14:paraId="7F7C9A9A" w14:textId="77777777" w:rsidR="002F70E6" w:rsidRPr="001A321E" w:rsidRDefault="002F70E6" w:rsidP="002F70E6">
      <w:pPr>
        <w:spacing w:after="240"/>
        <w:rPr>
          <w:rFonts w:ascii="Arial" w:hAnsi="Arial" w:cs="Arial"/>
          <w:color w:val="000000"/>
        </w:rPr>
      </w:pPr>
      <w:r w:rsidRPr="001A321E">
        <w:rPr>
          <w:rFonts w:ascii="Arial" w:hAnsi="Arial" w:cs="Arial"/>
          <w:color w:val="000000"/>
        </w:rPr>
        <w:t>The elements of the right are:</w:t>
      </w:r>
    </w:p>
    <w:p w14:paraId="7F7C9A9B" w14:textId="77777777" w:rsidR="002F70E6" w:rsidRPr="001A321E" w:rsidRDefault="002F70E6" w:rsidP="002F70E6">
      <w:pPr>
        <w:pStyle w:val="ListParagraph"/>
        <w:numPr>
          <w:ilvl w:val="0"/>
          <w:numId w:val="17"/>
        </w:numPr>
        <w:spacing w:before="0" w:after="240" w:line="276" w:lineRule="auto"/>
        <w:rPr>
          <w:rFonts w:ascii="Arial" w:hAnsi="Arial" w:cs="Arial"/>
          <w:color w:val="000000"/>
        </w:rPr>
      </w:pPr>
      <w:r w:rsidRPr="001A321E">
        <w:rPr>
          <w:rFonts w:ascii="Arial" w:hAnsi="Arial" w:cs="Arial"/>
          <w:color w:val="000000"/>
        </w:rPr>
        <w:t>a social security system is available for the provision of benefits</w:t>
      </w:r>
    </w:p>
    <w:p w14:paraId="7F7C9A9C" w14:textId="77777777" w:rsidR="002F70E6" w:rsidRPr="001A321E" w:rsidRDefault="002F70E6" w:rsidP="002F70E6">
      <w:pPr>
        <w:pStyle w:val="ListParagraph"/>
        <w:numPr>
          <w:ilvl w:val="0"/>
          <w:numId w:val="17"/>
        </w:numPr>
        <w:spacing w:before="0" w:after="240" w:line="276" w:lineRule="auto"/>
        <w:rPr>
          <w:rFonts w:ascii="Arial" w:hAnsi="Arial" w:cs="Arial"/>
          <w:color w:val="000000"/>
        </w:rPr>
      </w:pPr>
      <w:r w:rsidRPr="001A321E">
        <w:rPr>
          <w:rFonts w:ascii="Arial" w:hAnsi="Arial" w:cs="Arial"/>
          <w:color w:val="000000"/>
        </w:rPr>
        <w:t>the social security system provides for coverage of social risks and contingencies</w:t>
      </w:r>
    </w:p>
    <w:p w14:paraId="7F7C9A9D" w14:textId="2E5F633F" w:rsidR="002F70E6" w:rsidRPr="001A321E" w:rsidRDefault="002F70E6" w:rsidP="002F70E6">
      <w:pPr>
        <w:pStyle w:val="ListParagraph"/>
        <w:numPr>
          <w:ilvl w:val="0"/>
          <w:numId w:val="17"/>
        </w:numPr>
        <w:spacing w:before="0" w:after="240" w:line="276" w:lineRule="auto"/>
        <w:rPr>
          <w:rFonts w:ascii="Arial" w:hAnsi="Arial" w:cs="Arial"/>
          <w:color w:val="000000"/>
        </w:rPr>
      </w:pPr>
      <w:r w:rsidRPr="001A321E">
        <w:rPr>
          <w:rFonts w:ascii="Arial" w:hAnsi="Arial" w:cs="Arial"/>
          <w:color w:val="000000"/>
        </w:rPr>
        <w:t>benefits, whether in cash or kind, are adequate and in amount and duration i</w:t>
      </w:r>
      <w:r w:rsidR="00111250" w:rsidRPr="001A321E">
        <w:rPr>
          <w:rFonts w:ascii="Arial" w:hAnsi="Arial" w:cs="Arial"/>
          <w:color w:val="000000"/>
        </w:rPr>
        <w:t>n </w:t>
      </w:r>
      <w:r w:rsidRPr="001A321E">
        <w:rPr>
          <w:rFonts w:ascii="Arial" w:hAnsi="Arial" w:cs="Arial"/>
          <w:color w:val="000000"/>
        </w:rPr>
        <w:t>order that everyone may realise rights contain</w:t>
      </w:r>
      <w:r w:rsidR="00111250" w:rsidRPr="001A321E">
        <w:rPr>
          <w:rFonts w:ascii="Arial" w:hAnsi="Arial" w:cs="Arial"/>
          <w:color w:val="000000"/>
        </w:rPr>
        <w:t>ed in articles 10, 11 and 12 of </w:t>
      </w:r>
      <w:r w:rsidRPr="001A321E">
        <w:rPr>
          <w:rFonts w:ascii="Arial" w:hAnsi="Arial" w:cs="Arial"/>
          <w:color w:val="000000"/>
        </w:rPr>
        <w:t>the ICESCR, and</w:t>
      </w:r>
    </w:p>
    <w:p w14:paraId="7F7C9A9E" w14:textId="77777777" w:rsidR="002F70E6" w:rsidRPr="001A321E" w:rsidRDefault="002F70E6" w:rsidP="002F70E6">
      <w:pPr>
        <w:pStyle w:val="ListParagraph"/>
        <w:numPr>
          <w:ilvl w:val="0"/>
          <w:numId w:val="17"/>
        </w:numPr>
        <w:spacing w:before="0" w:after="240" w:line="276" w:lineRule="auto"/>
        <w:rPr>
          <w:rFonts w:ascii="Arial" w:hAnsi="Arial" w:cs="Arial"/>
          <w:color w:val="000000"/>
        </w:rPr>
      </w:pPr>
      <w:proofErr w:type="gramStart"/>
      <w:r w:rsidRPr="001A321E">
        <w:rPr>
          <w:rFonts w:ascii="Arial" w:hAnsi="Arial" w:cs="Arial"/>
          <w:color w:val="000000"/>
        </w:rPr>
        <w:t>benefits</w:t>
      </w:r>
      <w:proofErr w:type="gramEnd"/>
      <w:r w:rsidRPr="001A321E">
        <w:rPr>
          <w:rFonts w:ascii="Arial" w:hAnsi="Arial" w:cs="Arial"/>
          <w:color w:val="000000"/>
        </w:rPr>
        <w:t xml:space="preserve"> are accessible. </w:t>
      </w:r>
    </w:p>
    <w:p w14:paraId="7F7C9A9F" w14:textId="5C2EC92E" w:rsidR="002F70E6" w:rsidRPr="001A321E" w:rsidRDefault="002F70E6" w:rsidP="002F70E6">
      <w:pPr>
        <w:spacing w:before="0" w:after="240" w:line="276" w:lineRule="auto"/>
        <w:rPr>
          <w:rFonts w:ascii="Arial" w:hAnsi="Arial" w:cs="Arial"/>
          <w:color w:val="000000"/>
        </w:rPr>
      </w:pPr>
      <w:r w:rsidRPr="001A321E">
        <w:rPr>
          <w:rFonts w:ascii="Arial" w:hAnsi="Arial" w:cs="Arial"/>
          <w:color w:val="000000"/>
        </w:rPr>
        <w:t>Th</w:t>
      </w:r>
      <w:r w:rsidR="008E6906" w:rsidRPr="001A321E">
        <w:rPr>
          <w:rFonts w:ascii="Arial" w:hAnsi="Arial" w:cs="Arial"/>
          <w:color w:val="000000"/>
        </w:rPr>
        <w:t xml:space="preserve">is Determination </w:t>
      </w:r>
      <w:r w:rsidRPr="001A321E">
        <w:rPr>
          <w:rFonts w:ascii="Arial" w:hAnsi="Arial" w:cs="Arial"/>
          <w:color w:val="000000"/>
        </w:rPr>
        <w:t xml:space="preserve">will enhance the right to social security by making it easier for individuals to </w:t>
      </w:r>
      <w:r w:rsidR="000838CF" w:rsidRPr="001A321E">
        <w:rPr>
          <w:rFonts w:ascii="Arial" w:hAnsi="Arial" w:cs="Arial"/>
          <w:color w:val="000000"/>
        </w:rPr>
        <w:t xml:space="preserve">continue to </w:t>
      </w:r>
      <w:r w:rsidRPr="001A321E">
        <w:rPr>
          <w:rFonts w:ascii="Arial" w:hAnsi="Arial" w:cs="Arial"/>
          <w:color w:val="000000"/>
        </w:rPr>
        <w:t xml:space="preserve">access </w:t>
      </w:r>
      <w:r w:rsidR="003336A7" w:rsidRPr="001A321E">
        <w:rPr>
          <w:rFonts w:ascii="Arial" w:hAnsi="Arial" w:cs="Arial"/>
          <w:color w:val="000000"/>
        </w:rPr>
        <w:t xml:space="preserve">other </w:t>
      </w:r>
      <w:r w:rsidR="00CF62E2" w:rsidRPr="001A321E">
        <w:rPr>
          <w:rFonts w:ascii="Arial" w:hAnsi="Arial" w:cs="Arial"/>
          <w:color w:val="000000"/>
        </w:rPr>
        <w:t xml:space="preserve">social security </w:t>
      </w:r>
      <w:r w:rsidRPr="001A321E">
        <w:rPr>
          <w:rFonts w:ascii="Arial" w:hAnsi="Arial" w:cs="Arial"/>
          <w:color w:val="000000"/>
        </w:rPr>
        <w:t xml:space="preserve">benefits </w:t>
      </w:r>
      <w:r w:rsidR="00111250" w:rsidRPr="001A321E">
        <w:rPr>
          <w:rFonts w:ascii="Arial" w:hAnsi="Arial" w:cs="Arial"/>
          <w:color w:val="000000"/>
        </w:rPr>
        <w:t>until 31 December </w:t>
      </w:r>
      <w:r w:rsidR="00A81375" w:rsidRPr="001A321E">
        <w:rPr>
          <w:rFonts w:ascii="Arial" w:hAnsi="Arial" w:cs="Arial"/>
          <w:color w:val="000000"/>
        </w:rPr>
        <w:t>2020</w:t>
      </w:r>
      <w:r w:rsidRPr="001A321E">
        <w:rPr>
          <w:rFonts w:ascii="Arial" w:hAnsi="Arial" w:cs="Arial"/>
          <w:color w:val="000000"/>
        </w:rPr>
        <w:t xml:space="preserve">. </w:t>
      </w:r>
      <w:r w:rsidR="008F6F39" w:rsidRPr="001A321E">
        <w:rPr>
          <w:rFonts w:ascii="Arial" w:hAnsi="Arial" w:cs="Arial"/>
          <w:color w:val="000000"/>
        </w:rPr>
        <w:t xml:space="preserve"> </w:t>
      </w:r>
      <w:r w:rsidRPr="001A321E">
        <w:rPr>
          <w:rFonts w:ascii="Arial" w:hAnsi="Arial" w:cs="Arial"/>
          <w:color w:val="000000"/>
        </w:rPr>
        <w:t>All individuals currently eligible for an employment income nil rate period will enjoy an extended nil rate period if redu</w:t>
      </w:r>
      <w:r w:rsidR="00111250" w:rsidRPr="001A321E">
        <w:rPr>
          <w:rFonts w:ascii="Arial" w:hAnsi="Arial" w:cs="Arial"/>
          <w:color w:val="000000"/>
        </w:rPr>
        <w:t>ced to a nil rate of support as </w:t>
      </w:r>
      <w:r w:rsidRPr="001A321E">
        <w:rPr>
          <w:rFonts w:ascii="Arial" w:hAnsi="Arial" w:cs="Arial"/>
          <w:color w:val="000000"/>
        </w:rPr>
        <w:t xml:space="preserve">a result of employment income within the specified period. </w:t>
      </w:r>
      <w:r w:rsidR="00A218C0" w:rsidRPr="001A321E">
        <w:rPr>
          <w:rFonts w:ascii="Arial" w:hAnsi="Arial" w:cs="Arial"/>
          <w:color w:val="000000"/>
        </w:rPr>
        <w:t xml:space="preserve"> </w:t>
      </w:r>
      <w:r w:rsidRPr="001A321E">
        <w:rPr>
          <w:rFonts w:ascii="Arial" w:hAnsi="Arial" w:cs="Arial"/>
          <w:color w:val="000000"/>
        </w:rPr>
        <w:t>Th</w:t>
      </w:r>
      <w:r w:rsidR="008E6906" w:rsidRPr="001A321E">
        <w:rPr>
          <w:rFonts w:ascii="Arial" w:hAnsi="Arial" w:cs="Arial"/>
          <w:color w:val="000000"/>
        </w:rPr>
        <w:t>is Determination</w:t>
      </w:r>
      <w:r w:rsidRPr="001A321E">
        <w:rPr>
          <w:rFonts w:ascii="Arial" w:hAnsi="Arial" w:cs="Arial"/>
          <w:color w:val="000000"/>
        </w:rPr>
        <w:t xml:space="preserve"> will: </w:t>
      </w:r>
    </w:p>
    <w:p w14:paraId="7F7C9AA0" w14:textId="77777777" w:rsidR="002F70E6" w:rsidRPr="001A321E" w:rsidRDefault="002F70E6" w:rsidP="002F70E6">
      <w:pPr>
        <w:pStyle w:val="ListParagraph"/>
        <w:numPr>
          <w:ilvl w:val="0"/>
          <w:numId w:val="17"/>
        </w:numPr>
        <w:spacing w:before="0" w:after="240" w:line="276" w:lineRule="auto"/>
        <w:rPr>
          <w:rFonts w:ascii="Arial" w:hAnsi="Arial" w:cs="Arial"/>
          <w:color w:val="000000"/>
        </w:rPr>
      </w:pPr>
      <w:r w:rsidRPr="001A321E">
        <w:rPr>
          <w:rFonts w:ascii="Arial" w:hAnsi="Arial" w:cs="Arial"/>
          <w:color w:val="000000"/>
        </w:rPr>
        <w:t xml:space="preserve">allow individuals to retain access to in-kind benefits such as concession cards </w:t>
      </w:r>
    </w:p>
    <w:p w14:paraId="7F7C9AA1" w14:textId="77777777" w:rsidR="002F70E6" w:rsidRPr="001A321E" w:rsidRDefault="002F70E6" w:rsidP="002F70E6">
      <w:pPr>
        <w:pStyle w:val="ListParagraph"/>
        <w:numPr>
          <w:ilvl w:val="0"/>
          <w:numId w:val="17"/>
        </w:numPr>
        <w:spacing w:before="0" w:after="240" w:line="276" w:lineRule="auto"/>
        <w:rPr>
          <w:rFonts w:ascii="Arial" w:hAnsi="Arial" w:cs="Arial"/>
          <w:color w:val="000000"/>
        </w:rPr>
      </w:pPr>
      <w:r w:rsidRPr="001A321E">
        <w:rPr>
          <w:rFonts w:ascii="Arial" w:hAnsi="Arial" w:cs="Arial"/>
          <w:color w:val="000000"/>
        </w:rPr>
        <w:t>allow individuals to immediately recommence receiving cash benefits in the event that their employment income falls below their specified cut-out point, and</w:t>
      </w:r>
    </w:p>
    <w:p w14:paraId="7F7C9AA2" w14:textId="77777777" w:rsidR="002F70E6" w:rsidRPr="001A321E" w:rsidRDefault="002F70E6" w:rsidP="002F70E6">
      <w:pPr>
        <w:pStyle w:val="ListParagraph"/>
        <w:numPr>
          <w:ilvl w:val="0"/>
          <w:numId w:val="17"/>
        </w:numPr>
        <w:spacing w:before="0" w:after="240" w:line="276" w:lineRule="auto"/>
        <w:rPr>
          <w:rFonts w:ascii="Arial" w:hAnsi="Arial" w:cs="Arial"/>
          <w:color w:val="000000"/>
        </w:rPr>
      </w:pPr>
      <w:proofErr w:type="gramStart"/>
      <w:r w:rsidRPr="001A321E">
        <w:rPr>
          <w:rFonts w:ascii="Arial" w:hAnsi="Arial" w:cs="Arial"/>
          <w:color w:val="000000"/>
        </w:rPr>
        <w:t>prevent</w:t>
      </w:r>
      <w:proofErr w:type="gramEnd"/>
      <w:r w:rsidRPr="001A321E">
        <w:rPr>
          <w:rFonts w:ascii="Arial" w:hAnsi="Arial" w:cs="Arial"/>
          <w:color w:val="000000"/>
        </w:rPr>
        <w:t xml:space="preserve"> the need for individuals </w:t>
      </w:r>
      <w:r w:rsidR="00EF5A89" w:rsidRPr="001A321E">
        <w:rPr>
          <w:rFonts w:ascii="Arial" w:hAnsi="Arial" w:cs="Arial"/>
          <w:color w:val="000000"/>
        </w:rPr>
        <w:t xml:space="preserve">with employment income </w:t>
      </w:r>
      <w:r w:rsidRPr="001A321E">
        <w:rPr>
          <w:rFonts w:ascii="Arial" w:hAnsi="Arial" w:cs="Arial"/>
          <w:color w:val="000000"/>
        </w:rPr>
        <w:t xml:space="preserve">to reapply for income support </w:t>
      </w:r>
      <w:r w:rsidR="00E677D9" w:rsidRPr="001A321E">
        <w:rPr>
          <w:rFonts w:ascii="Arial" w:hAnsi="Arial" w:cs="Arial"/>
          <w:color w:val="000000"/>
        </w:rPr>
        <w:t>once they become entitled to a rate of payment that is greater than nil</w:t>
      </w:r>
      <w:r w:rsidRPr="001A321E">
        <w:rPr>
          <w:rFonts w:ascii="Arial" w:hAnsi="Arial" w:cs="Arial"/>
          <w:color w:val="000000"/>
        </w:rPr>
        <w:t xml:space="preserve">. </w:t>
      </w:r>
    </w:p>
    <w:p w14:paraId="7F7C9AA3" w14:textId="61BF5F89" w:rsidR="002F70E6" w:rsidRPr="001A321E" w:rsidRDefault="002F70E6" w:rsidP="00111250">
      <w:pPr>
        <w:keepLines/>
        <w:spacing w:before="0" w:after="240" w:line="276" w:lineRule="auto"/>
        <w:rPr>
          <w:rFonts w:ascii="Arial" w:hAnsi="Arial" w:cs="Arial"/>
          <w:color w:val="000000"/>
        </w:rPr>
      </w:pPr>
      <w:r w:rsidRPr="001A321E">
        <w:rPr>
          <w:rFonts w:ascii="Arial" w:hAnsi="Arial" w:cs="Arial"/>
          <w:color w:val="000000"/>
        </w:rPr>
        <w:t>In this way, th</w:t>
      </w:r>
      <w:r w:rsidR="008E6906" w:rsidRPr="001A321E">
        <w:rPr>
          <w:rFonts w:ascii="Arial" w:hAnsi="Arial" w:cs="Arial"/>
          <w:color w:val="000000"/>
        </w:rPr>
        <w:t>is Determination</w:t>
      </w:r>
      <w:r w:rsidRPr="001A321E">
        <w:rPr>
          <w:rFonts w:ascii="Arial" w:hAnsi="Arial" w:cs="Arial"/>
          <w:color w:val="000000"/>
        </w:rPr>
        <w:t xml:space="preserve"> enhances the right to </w:t>
      </w:r>
      <w:r w:rsidR="00111250" w:rsidRPr="001A321E">
        <w:rPr>
          <w:rFonts w:ascii="Arial" w:hAnsi="Arial" w:cs="Arial"/>
          <w:color w:val="000000"/>
        </w:rPr>
        <w:t>social security as described in </w:t>
      </w:r>
      <w:r w:rsidR="00A218C0" w:rsidRPr="001A321E">
        <w:rPr>
          <w:rFonts w:ascii="Arial" w:hAnsi="Arial" w:cs="Arial"/>
          <w:color w:val="000000"/>
        </w:rPr>
        <w:t>A</w:t>
      </w:r>
      <w:r w:rsidRPr="001A321E">
        <w:rPr>
          <w:rFonts w:ascii="Arial" w:hAnsi="Arial" w:cs="Arial"/>
          <w:color w:val="000000"/>
        </w:rPr>
        <w:t xml:space="preserve">rticle 9 of the ICESCR. </w:t>
      </w:r>
      <w:r w:rsidR="00A218C0" w:rsidRPr="001A321E">
        <w:rPr>
          <w:rFonts w:ascii="Arial" w:hAnsi="Arial" w:cs="Arial"/>
          <w:color w:val="000000"/>
        </w:rPr>
        <w:t xml:space="preserve"> </w:t>
      </w:r>
      <w:r w:rsidRPr="001A321E">
        <w:rPr>
          <w:rFonts w:ascii="Arial" w:hAnsi="Arial" w:cs="Arial"/>
          <w:color w:val="000000"/>
        </w:rPr>
        <w:t>Th</w:t>
      </w:r>
      <w:r w:rsidR="008E6906" w:rsidRPr="001A321E">
        <w:rPr>
          <w:rFonts w:ascii="Arial" w:hAnsi="Arial" w:cs="Arial"/>
          <w:color w:val="000000"/>
        </w:rPr>
        <w:t>is Determination</w:t>
      </w:r>
      <w:r w:rsidRPr="001A321E">
        <w:rPr>
          <w:rFonts w:ascii="Arial" w:hAnsi="Arial" w:cs="Arial"/>
          <w:color w:val="000000"/>
        </w:rPr>
        <w:t xml:space="preserve"> will not otherwise change the availability of social security, the amount or duration of social security, or the social risks and contingencies in respect of which the social security law affords protection.</w:t>
      </w:r>
    </w:p>
    <w:p w14:paraId="3072CE5A" w14:textId="05C0ECDB" w:rsidR="00111250" w:rsidRPr="001A321E" w:rsidRDefault="000E4DFA" w:rsidP="00111250">
      <w:pPr>
        <w:keepLines/>
        <w:spacing w:before="0" w:after="240" w:line="276" w:lineRule="auto"/>
        <w:rPr>
          <w:rFonts w:ascii="Arial" w:hAnsi="Arial" w:cs="Arial"/>
          <w:szCs w:val="24"/>
        </w:rPr>
      </w:pPr>
      <w:r w:rsidRPr="001A321E">
        <w:rPr>
          <w:rFonts w:ascii="Arial" w:hAnsi="Arial" w:cs="Arial"/>
          <w:color w:val="000000"/>
        </w:rPr>
        <w:lastRenderedPageBreak/>
        <w:t>Th</w:t>
      </w:r>
      <w:r w:rsidR="008E6906" w:rsidRPr="001A321E">
        <w:rPr>
          <w:rFonts w:ascii="Arial" w:hAnsi="Arial" w:cs="Arial"/>
          <w:color w:val="000000"/>
        </w:rPr>
        <w:t>is Determination</w:t>
      </w:r>
      <w:r w:rsidRPr="001A321E">
        <w:rPr>
          <w:rFonts w:ascii="Arial" w:hAnsi="Arial" w:cs="Arial"/>
          <w:color w:val="000000"/>
        </w:rPr>
        <w:t xml:space="preserve"> provides for the continued payment of the COVID-19 supplement to recipients of </w:t>
      </w:r>
      <w:proofErr w:type="spellStart"/>
      <w:r w:rsidRPr="001A321E">
        <w:rPr>
          <w:rStyle w:val="BookTitle"/>
          <w:rFonts w:ascii="Arial" w:hAnsi="Arial" w:cs="Arial"/>
          <w:i w:val="0"/>
          <w:iCs w:val="0"/>
          <w:smallCaps w:val="0"/>
          <w:spacing w:val="0"/>
          <w:szCs w:val="24"/>
        </w:rPr>
        <w:t>J</w:t>
      </w:r>
      <w:r w:rsidRPr="001A321E">
        <w:rPr>
          <w:rFonts w:ascii="Arial" w:hAnsi="Arial" w:cs="Arial"/>
          <w:szCs w:val="24"/>
        </w:rPr>
        <w:t>obSeeker</w:t>
      </w:r>
      <w:proofErr w:type="spellEnd"/>
      <w:r w:rsidRPr="001A321E">
        <w:rPr>
          <w:rFonts w:ascii="Arial" w:hAnsi="Arial" w:cs="Arial"/>
          <w:szCs w:val="24"/>
        </w:rPr>
        <w:t xml:space="preserve"> Payment, Parenting Payment, Youth Allowance, </w:t>
      </w:r>
      <w:proofErr w:type="spellStart"/>
      <w:r w:rsidRPr="001A321E">
        <w:rPr>
          <w:rFonts w:ascii="Arial" w:hAnsi="Arial" w:cs="Arial"/>
          <w:szCs w:val="24"/>
        </w:rPr>
        <w:t>Austudy</w:t>
      </w:r>
      <w:proofErr w:type="spellEnd"/>
      <w:r w:rsidRPr="001A321E">
        <w:rPr>
          <w:rFonts w:ascii="Arial" w:hAnsi="Arial" w:cs="Arial"/>
          <w:szCs w:val="24"/>
        </w:rPr>
        <w:t xml:space="preserve"> Payment, Special Benefit, Partner Allowance and Widow Allowance. </w:t>
      </w:r>
      <w:r w:rsidR="00111250" w:rsidRPr="001A321E">
        <w:rPr>
          <w:rFonts w:ascii="Arial" w:hAnsi="Arial" w:cs="Arial"/>
          <w:szCs w:val="24"/>
        </w:rPr>
        <w:t xml:space="preserve"> </w:t>
      </w:r>
      <w:r w:rsidRPr="001A321E">
        <w:rPr>
          <w:rFonts w:ascii="Arial" w:hAnsi="Arial" w:cs="Arial"/>
          <w:szCs w:val="24"/>
        </w:rPr>
        <w:t>Payment recipients with a social security instalment period that begins on a day during the period 19 December 2020 to 31 December 2020 (inclusive) will receive the supplement at the rate of $250 a fortnight. Th</w:t>
      </w:r>
      <w:r w:rsidR="008E6906" w:rsidRPr="001A321E">
        <w:rPr>
          <w:rFonts w:ascii="Arial" w:hAnsi="Arial" w:cs="Arial"/>
          <w:szCs w:val="24"/>
        </w:rPr>
        <w:t xml:space="preserve">is Determination </w:t>
      </w:r>
      <w:r w:rsidRPr="001A321E">
        <w:rPr>
          <w:rFonts w:ascii="Arial" w:hAnsi="Arial" w:cs="Arial"/>
          <w:szCs w:val="24"/>
        </w:rPr>
        <w:t>therefore ensures additional financial assistance to payment recipients through to the end of 2020.</w:t>
      </w:r>
    </w:p>
    <w:p w14:paraId="7F7C9AA5" w14:textId="3F631CE0" w:rsidR="002F70E6" w:rsidRPr="001A321E" w:rsidRDefault="002F70E6" w:rsidP="00111250">
      <w:pPr>
        <w:spacing w:before="0" w:after="240" w:line="276" w:lineRule="auto"/>
        <w:rPr>
          <w:rFonts w:ascii="Arial" w:hAnsi="Arial" w:cs="Arial"/>
          <w:b/>
          <w:szCs w:val="24"/>
        </w:rPr>
      </w:pPr>
      <w:r w:rsidRPr="001A321E">
        <w:rPr>
          <w:rFonts w:ascii="Arial" w:hAnsi="Arial" w:cs="Arial"/>
          <w:b/>
          <w:szCs w:val="24"/>
        </w:rPr>
        <w:t xml:space="preserve">Conclusion </w:t>
      </w:r>
    </w:p>
    <w:p w14:paraId="7F7C9AA6" w14:textId="40EC8B85" w:rsidR="002F70E6" w:rsidRPr="001A321E" w:rsidRDefault="002F70E6" w:rsidP="002F70E6">
      <w:pPr>
        <w:spacing w:before="120" w:after="120"/>
        <w:rPr>
          <w:rFonts w:ascii="Arial" w:hAnsi="Arial" w:cs="Arial"/>
          <w:szCs w:val="24"/>
        </w:rPr>
      </w:pPr>
      <w:r w:rsidRPr="001A321E">
        <w:rPr>
          <w:rFonts w:ascii="Arial" w:hAnsi="Arial" w:cs="Arial"/>
          <w:szCs w:val="24"/>
        </w:rPr>
        <w:t>Th</w:t>
      </w:r>
      <w:r w:rsidR="008E6906" w:rsidRPr="001A321E">
        <w:rPr>
          <w:rFonts w:ascii="Arial" w:hAnsi="Arial" w:cs="Arial"/>
          <w:szCs w:val="24"/>
        </w:rPr>
        <w:t xml:space="preserve">is Determination </w:t>
      </w:r>
      <w:r w:rsidRPr="001A321E">
        <w:rPr>
          <w:rFonts w:ascii="Arial" w:hAnsi="Arial" w:cs="Arial"/>
          <w:szCs w:val="24"/>
        </w:rPr>
        <w:t>is compatible with huma</w:t>
      </w:r>
      <w:r w:rsidR="00111250" w:rsidRPr="001A321E">
        <w:rPr>
          <w:rFonts w:ascii="Arial" w:hAnsi="Arial" w:cs="Arial"/>
          <w:szCs w:val="24"/>
        </w:rPr>
        <w:t>n rights because it enhances an </w:t>
      </w:r>
      <w:r w:rsidRPr="001A321E">
        <w:rPr>
          <w:rFonts w:ascii="Arial" w:hAnsi="Arial" w:cs="Arial"/>
          <w:szCs w:val="24"/>
        </w:rPr>
        <w:t xml:space="preserve">individual’s ability to access and retain social security </w:t>
      </w:r>
      <w:r w:rsidR="006A239D" w:rsidRPr="001A321E">
        <w:rPr>
          <w:rFonts w:ascii="Arial" w:hAnsi="Arial" w:cs="Arial"/>
          <w:szCs w:val="24"/>
        </w:rPr>
        <w:t>benefits</w:t>
      </w:r>
      <w:r w:rsidR="00EF5A89" w:rsidRPr="001A321E">
        <w:rPr>
          <w:rFonts w:ascii="Arial" w:hAnsi="Arial" w:cs="Arial"/>
          <w:szCs w:val="24"/>
        </w:rPr>
        <w:t>.</w:t>
      </w:r>
      <w:r w:rsidR="00196615" w:rsidRPr="001A321E">
        <w:rPr>
          <w:rFonts w:ascii="Arial" w:hAnsi="Arial" w:cs="Arial"/>
          <w:szCs w:val="24"/>
        </w:rPr>
        <w:t xml:space="preserve"> </w:t>
      </w:r>
      <w:r w:rsidR="00111250" w:rsidRPr="001A321E">
        <w:rPr>
          <w:rFonts w:ascii="Arial" w:hAnsi="Arial" w:cs="Arial"/>
          <w:szCs w:val="24"/>
        </w:rPr>
        <w:t xml:space="preserve"> </w:t>
      </w:r>
      <w:r w:rsidR="00196615" w:rsidRPr="001A321E">
        <w:rPr>
          <w:rFonts w:ascii="Arial" w:hAnsi="Arial" w:cs="Arial"/>
          <w:szCs w:val="24"/>
        </w:rPr>
        <w:t xml:space="preserve">It also provides for the </w:t>
      </w:r>
      <w:bookmarkStart w:id="1" w:name="_GoBack"/>
      <w:bookmarkEnd w:id="1"/>
      <w:r w:rsidR="00196615" w:rsidRPr="001A321E">
        <w:rPr>
          <w:rFonts w:ascii="Arial" w:hAnsi="Arial" w:cs="Arial"/>
          <w:szCs w:val="24"/>
        </w:rPr>
        <w:t xml:space="preserve">continued payment of the COVID-19 supplement until the end of 2020 ensuring additional financial assistance to recipients of </w:t>
      </w:r>
      <w:proofErr w:type="spellStart"/>
      <w:r w:rsidR="00196615" w:rsidRPr="001A321E">
        <w:rPr>
          <w:rStyle w:val="BookTitle"/>
          <w:rFonts w:ascii="Arial" w:hAnsi="Arial" w:cs="Arial"/>
          <w:i w:val="0"/>
          <w:iCs w:val="0"/>
          <w:smallCaps w:val="0"/>
          <w:spacing w:val="0"/>
          <w:szCs w:val="24"/>
        </w:rPr>
        <w:t>J</w:t>
      </w:r>
      <w:r w:rsidR="00196615" w:rsidRPr="001A321E">
        <w:rPr>
          <w:rFonts w:ascii="Arial" w:hAnsi="Arial" w:cs="Arial"/>
          <w:szCs w:val="24"/>
        </w:rPr>
        <w:t>obSeeker</w:t>
      </w:r>
      <w:proofErr w:type="spellEnd"/>
      <w:r w:rsidR="00196615" w:rsidRPr="001A321E">
        <w:rPr>
          <w:rFonts w:ascii="Arial" w:hAnsi="Arial" w:cs="Arial"/>
          <w:szCs w:val="24"/>
        </w:rPr>
        <w:t xml:space="preserve"> Payment, Parenting Payment, Youth Allowance, </w:t>
      </w:r>
      <w:proofErr w:type="spellStart"/>
      <w:r w:rsidR="00196615" w:rsidRPr="001A321E">
        <w:rPr>
          <w:rFonts w:ascii="Arial" w:hAnsi="Arial" w:cs="Arial"/>
          <w:szCs w:val="24"/>
        </w:rPr>
        <w:t>Austudy</w:t>
      </w:r>
      <w:proofErr w:type="spellEnd"/>
      <w:r w:rsidR="00196615" w:rsidRPr="001A321E">
        <w:rPr>
          <w:rFonts w:ascii="Arial" w:hAnsi="Arial" w:cs="Arial"/>
          <w:szCs w:val="24"/>
        </w:rPr>
        <w:t xml:space="preserve"> Payment, Special Benefit, Partner Allowance and Widow Allowance. </w:t>
      </w:r>
    </w:p>
    <w:p w14:paraId="7F7C9AA7" w14:textId="77777777" w:rsidR="002F70E6" w:rsidRPr="001A321E" w:rsidRDefault="002F70E6" w:rsidP="002F70E6">
      <w:pPr>
        <w:spacing w:before="120" w:after="120"/>
        <w:rPr>
          <w:rFonts w:ascii="Arial" w:hAnsi="Arial" w:cs="Arial"/>
          <w:szCs w:val="24"/>
        </w:rPr>
      </w:pPr>
    </w:p>
    <w:p w14:paraId="7F7C9AA8" w14:textId="77777777" w:rsidR="00A81375" w:rsidRDefault="00A81375" w:rsidP="00A81375">
      <w:pPr>
        <w:spacing w:before="120" w:after="120"/>
        <w:jc w:val="center"/>
        <w:rPr>
          <w:rStyle w:val="BookTitle"/>
          <w:rFonts w:ascii="Arial" w:eastAsiaTheme="majorEastAsia" w:hAnsi="Arial" w:cs="Arial"/>
          <w:i w:val="0"/>
          <w:iCs w:val="0"/>
          <w:szCs w:val="24"/>
        </w:rPr>
      </w:pPr>
      <w:r w:rsidRPr="001A321E">
        <w:rPr>
          <w:rFonts w:ascii="Arial" w:hAnsi="Arial" w:cs="Arial"/>
          <w:b/>
          <w:szCs w:val="24"/>
        </w:rPr>
        <w:t>Anne Ruston, Minister for Families and Social Services</w:t>
      </w:r>
    </w:p>
    <w:p w14:paraId="7F7C9AA9" w14:textId="6D5EAC78" w:rsidR="002F70E6" w:rsidRPr="007A4E37" w:rsidRDefault="002F70E6" w:rsidP="002F70E6">
      <w:pPr>
        <w:spacing w:before="0" w:after="200" w:line="276" w:lineRule="auto"/>
        <w:rPr>
          <w:rFonts w:ascii="Arial" w:hAnsi="Arial" w:cs="Arial"/>
          <w:b/>
          <w:bCs/>
          <w:szCs w:val="24"/>
        </w:rPr>
      </w:pPr>
    </w:p>
    <w:bookmarkEnd w:id="0"/>
    <w:p w14:paraId="7F7C9AAA" w14:textId="77777777" w:rsidR="002F70E6" w:rsidRPr="007A4E37" w:rsidRDefault="002F70E6" w:rsidP="002F70E6">
      <w:pPr>
        <w:rPr>
          <w:rFonts w:ascii="Arial" w:hAnsi="Arial" w:cs="Arial"/>
        </w:rPr>
      </w:pPr>
    </w:p>
    <w:sectPr w:rsidR="002F70E6" w:rsidRPr="007A4E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9AAD" w14:textId="77777777" w:rsidR="006D75BB" w:rsidRDefault="006D75BB" w:rsidP="00AD1645">
      <w:pPr>
        <w:spacing w:before="0"/>
      </w:pPr>
      <w:r>
        <w:separator/>
      </w:r>
    </w:p>
  </w:endnote>
  <w:endnote w:type="continuationSeparator" w:id="0">
    <w:p w14:paraId="7F7C9AAE" w14:textId="77777777" w:rsidR="006D75BB" w:rsidRDefault="006D75BB"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C9AAB" w14:textId="77777777" w:rsidR="006D75BB" w:rsidRDefault="006D75BB" w:rsidP="00AD1645">
      <w:pPr>
        <w:spacing w:before="0"/>
      </w:pPr>
      <w:r>
        <w:separator/>
      </w:r>
    </w:p>
  </w:footnote>
  <w:footnote w:type="continuationSeparator" w:id="0">
    <w:p w14:paraId="7F7C9AAC" w14:textId="77777777" w:rsidR="006D75BB" w:rsidRDefault="006D75BB" w:rsidP="00AD1645">
      <w:pPr>
        <w:spacing w:before="0"/>
      </w:pPr>
      <w:r>
        <w:continuationSeparator/>
      </w:r>
    </w:p>
  </w:footnote>
  <w:footnote w:id="1">
    <w:p w14:paraId="7F7C9AAF" w14:textId="77777777" w:rsidR="003567C0" w:rsidRDefault="003567C0">
      <w:pPr>
        <w:pStyle w:val="FootnoteText"/>
      </w:pPr>
      <w:r>
        <w:rPr>
          <w:rStyle w:val="FootnoteReference"/>
        </w:rPr>
        <w:footnoteRef/>
      </w:r>
      <w:r>
        <w:t xml:space="preserve"> </w:t>
      </w:r>
      <w:r w:rsidRPr="00876C31">
        <w:rPr>
          <w:rFonts w:ascii="Arial" w:hAnsi="Arial" w:cs="Arial"/>
          <w:sz w:val="19"/>
          <w:szCs w:val="19"/>
        </w:rPr>
        <w:t>See section 646 of the Act.</w:t>
      </w:r>
    </w:p>
  </w:footnote>
  <w:footnote w:id="2">
    <w:p w14:paraId="7F7C9AB0" w14:textId="77777777" w:rsidR="003567C0" w:rsidRDefault="003567C0">
      <w:pPr>
        <w:pStyle w:val="FootnoteText"/>
      </w:pPr>
      <w:r>
        <w:rPr>
          <w:rStyle w:val="FootnoteReference"/>
        </w:rPr>
        <w:footnoteRef/>
      </w:r>
      <w:r>
        <w:t xml:space="preserve"> </w:t>
      </w:r>
      <w:r w:rsidRPr="00876C31">
        <w:rPr>
          <w:rFonts w:ascii="Arial" w:hAnsi="Arial" w:cs="Arial"/>
          <w:sz w:val="19"/>
          <w:szCs w:val="19"/>
        </w:rPr>
        <w:t>See section 504 of the Act.</w:t>
      </w:r>
    </w:p>
  </w:footnote>
  <w:footnote w:id="3">
    <w:p w14:paraId="7F7C9AB1" w14:textId="77777777" w:rsidR="00441CF1" w:rsidRPr="00F537A0" w:rsidRDefault="00441CF1">
      <w:pPr>
        <w:pStyle w:val="FootnoteText"/>
        <w:rPr>
          <w:rFonts w:ascii="Arial" w:hAnsi="Arial" w:cs="Arial"/>
          <w:sz w:val="19"/>
          <w:szCs w:val="19"/>
        </w:rPr>
      </w:pPr>
      <w:r>
        <w:rPr>
          <w:rStyle w:val="FootnoteReference"/>
        </w:rPr>
        <w:footnoteRef/>
      </w:r>
      <w:r>
        <w:t xml:space="preserve"> </w:t>
      </w:r>
      <w:r w:rsidR="003567C0" w:rsidRPr="00876C31">
        <w:rPr>
          <w:rFonts w:ascii="Arial" w:hAnsi="Arial" w:cs="Arial"/>
          <w:sz w:val="19"/>
          <w:szCs w:val="19"/>
        </w:rPr>
        <w:t xml:space="preserve">See section 557 of the Act. </w:t>
      </w:r>
      <w:r>
        <w:rPr>
          <w:rFonts w:ascii="Arial" w:hAnsi="Arial" w:cs="Arial"/>
          <w:sz w:val="19"/>
          <w:szCs w:val="19"/>
        </w:rPr>
        <w:t xml:space="preserve">Youth Allowance (Other) refers to a recipient of Youth Allowance that is not undertaking full-time study and is not a new apprentice. Payment of the COVID-19 supplement was extended to all recipients of Youth Allowance by the </w:t>
      </w:r>
      <w:r w:rsidRPr="00F537A0">
        <w:rPr>
          <w:rFonts w:ascii="Arial" w:hAnsi="Arial" w:cs="Arial"/>
          <w:i/>
          <w:sz w:val="19"/>
          <w:szCs w:val="19"/>
        </w:rPr>
        <w:t>Social Security (Coronavirus Economic Response—2020 Measures No. 1) Determination 2020</w:t>
      </w:r>
      <w:r>
        <w:rPr>
          <w:rFonts w:ascii="Arial" w:hAnsi="Arial" w:cs="Arial"/>
          <w:sz w:val="19"/>
          <w:szCs w:val="19"/>
        </w:rPr>
        <w:t>.</w:t>
      </w:r>
    </w:p>
  </w:footnote>
  <w:footnote w:id="4">
    <w:p w14:paraId="7F7C9AB2" w14:textId="77777777" w:rsidR="00441CF1" w:rsidRPr="00F537A0" w:rsidRDefault="00441CF1">
      <w:pPr>
        <w:pStyle w:val="FootnoteText"/>
        <w:rPr>
          <w:rFonts w:ascii="Arial" w:hAnsi="Arial" w:cs="Arial"/>
          <w:sz w:val="19"/>
          <w:szCs w:val="19"/>
        </w:rPr>
      </w:pPr>
      <w:r w:rsidRPr="00441CF1">
        <w:rPr>
          <w:rStyle w:val="FootnoteReference"/>
        </w:rPr>
        <w:footnoteRef/>
      </w:r>
      <w:r w:rsidRPr="00F537A0">
        <w:rPr>
          <w:rStyle w:val="FootnoteReference"/>
        </w:rPr>
        <w:t xml:space="preserve"> </w:t>
      </w:r>
      <w:r w:rsidR="003567C0" w:rsidRPr="00876C31">
        <w:rPr>
          <w:rFonts w:ascii="Arial" w:hAnsi="Arial" w:cs="Arial"/>
          <w:sz w:val="19"/>
          <w:szCs w:val="19"/>
        </w:rPr>
        <w:t xml:space="preserve">See former section 710 of the Act. </w:t>
      </w:r>
      <w:r>
        <w:rPr>
          <w:rFonts w:ascii="Arial" w:hAnsi="Arial" w:cs="Arial"/>
          <w:sz w:val="19"/>
          <w:szCs w:val="19"/>
        </w:rPr>
        <w:t>Sickness Allowance closed to all new entr</w:t>
      </w:r>
      <w:r w:rsidR="0061423C">
        <w:rPr>
          <w:rFonts w:ascii="Arial" w:hAnsi="Arial" w:cs="Arial"/>
          <w:sz w:val="19"/>
          <w:szCs w:val="19"/>
        </w:rPr>
        <w:t>ants on 20 March 2020 and ceased</w:t>
      </w:r>
      <w:r>
        <w:rPr>
          <w:rFonts w:ascii="Arial" w:hAnsi="Arial" w:cs="Arial"/>
          <w:sz w:val="19"/>
          <w:szCs w:val="19"/>
        </w:rPr>
        <w:t xml:space="preserve"> entirely on 20 September 2020 (see Schedule 5 to the </w:t>
      </w:r>
      <w:r w:rsidRPr="00441CF1">
        <w:rPr>
          <w:rFonts w:ascii="Arial" w:hAnsi="Arial" w:cs="Arial"/>
          <w:i/>
          <w:sz w:val="19"/>
          <w:szCs w:val="19"/>
        </w:rPr>
        <w:t>Social Services Legislation Amendment (Welfare Reform) Act 2018</w:t>
      </w:r>
      <w:r>
        <w:rPr>
          <w:rFonts w:ascii="Arial" w:hAnsi="Arial" w:cs="Arial"/>
          <w:sz w:val="19"/>
          <w:szCs w:val="19"/>
        </w:rPr>
        <w:t>).</w:t>
      </w:r>
      <w:r w:rsidR="003567C0">
        <w:rPr>
          <w:rFonts w:ascii="Arial" w:hAnsi="Arial" w:cs="Arial"/>
          <w:sz w:val="19"/>
          <w:szCs w:val="19"/>
        </w:rPr>
        <w:t xml:space="preserve"> Section 710 was repealed from the Act.</w:t>
      </w:r>
    </w:p>
  </w:footnote>
  <w:footnote w:id="5">
    <w:p w14:paraId="7F7C9AB3" w14:textId="77777777" w:rsidR="00441CF1" w:rsidRDefault="00441CF1">
      <w:pPr>
        <w:pStyle w:val="FootnoteText"/>
      </w:pPr>
      <w:r w:rsidRPr="00441CF1">
        <w:rPr>
          <w:rStyle w:val="FootnoteReference"/>
        </w:rPr>
        <w:footnoteRef/>
      </w:r>
      <w:r w:rsidRPr="00F537A0">
        <w:rPr>
          <w:rFonts w:ascii="Arial" w:hAnsi="Arial" w:cs="Arial"/>
          <w:sz w:val="19"/>
          <w:szCs w:val="19"/>
        </w:rPr>
        <w:t xml:space="preserve"> </w:t>
      </w:r>
      <w:r w:rsidRPr="00441CF1">
        <w:rPr>
          <w:rFonts w:ascii="Arial" w:hAnsi="Arial" w:cs="Arial"/>
          <w:sz w:val="19"/>
          <w:szCs w:val="19"/>
        </w:rPr>
        <w:t xml:space="preserve">For recipients of payments other than </w:t>
      </w:r>
      <w:r>
        <w:rPr>
          <w:rFonts w:ascii="Arial" w:hAnsi="Arial" w:cs="Arial"/>
          <w:sz w:val="19"/>
          <w:szCs w:val="19"/>
        </w:rPr>
        <w:t xml:space="preserve">Sickness Allowance (as this payment was </w:t>
      </w:r>
      <w:r w:rsidR="0061423C">
        <w:rPr>
          <w:rFonts w:ascii="Arial" w:hAnsi="Arial" w:cs="Arial"/>
          <w:sz w:val="19"/>
          <w:szCs w:val="19"/>
        </w:rPr>
        <w:t>no longer</w:t>
      </w:r>
      <w:r>
        <w:rPr>
          <w:rFonts w:ascii="Arial" w:hAnsi="Arial" w:cs="Arial"/>
          <w:sz w:val="19"/>
          <w:szCs w:val="19"/>
        </w:rPr>
        <w:t xml:space="preserve"> payable from 20 September 2020).</w:t>
      </w:r>
    </w:p>
  </w:footnote>
  <w:footnote w:id="6">
    <w:p w14:paraId="7F7C9AB4" w14:textId="77777777" w:rsidR="00F4138C" w:rsidRPr="00F537A0" w:rsidRDefault="00F537A0">
      <w:pPr>
        <w:pStyle w:val="FootnoteText"/>
        <w:rPr>
          <w:rFonts w:ascii="Arial" w:hAnsi="Arial" w:cs="Arial"/>
          <w:sz w:val="19"/>
          <w:szCs w:val="19"/>
        </w:rPr>
      </w:pPr>
      <w:r>
        <w:rPr>
          <w:rStyle w:val="FootnoteReference"/>
        </w:rPr>
        <w:t>1</w:t>
      </w:r>
      <w:r w:rsidRPr="00F537A0">
        <w:rPr>
          <w:rStyle w:val="FootnoteReference"/>
        </w:rPr>
        <w:t xml:space="preserve"> </w:t>
      </w:r>
      <w:r w:rsidR="00F4138C" w:rsidRPr="00F537A0">
        <w:rPr>
          <w:rFonts w:ascii="Arial" w:hAnsi="Arial" w:cs="Arial"/>
          <w:sz w:val="19"/>
          <w:szCs w:val="19"/>
        </w:rPr>
        <w:t xml:space="preserve">Inserted by the </w:t>
      </w:r>
      <w:r w:rsidR="00F4138C" w:rsidRPr="00F537A0">
        <w:rPr>
          <w:rFonts w:ascii="Arial" w:hAnsi="Arial" w:cs="Arial"/>
          <w:i/>
          <w:sz w:val="19"/>
          <w:szCs w:val="19"/>
        </w:rPr>
        <w:t>Social Security (Coronavirus Economic Response – 2020 Measures No. 11) Determination 2020</w:t>
      </w:r>
      <w:r w:rsidR="00F4138C" w:rsidRPr="00F537A0">
        <w:rPr>
          <w:rFonts w:ascii="Arial" w:hAnsi="Arial" w:cs="Arial"/>
          <w:sz w:val="19"/>
          <w:szCs w:val="19"/>
        </w:rPr>
        <w:t>.</w:t>
      </w:r>
      <w:r w:rsidR="00F4138C" w:rsidRPr="00F537A0">
        <w:rPr>
          <w:rFonts w:ascii="Arial" w:hAnsi="Arial" w:cs="Arial"/>
          <w:i/>
          <w:sz w:val="19"/>
          <w:szCs w:val="19"/>
        </w:rPr>
        <w:t xml:space="preserve"> </w:t>
      </w:r>
    </w:p>
  </w:footnote>
  <w:footnote w:id="7">
    <w:p w14:paraId="7F7C9AB5" w14:textId="77777777" w:rsidR="002F70E6" w:rsidRDefault="00F537A0" w:rsidP="002F70E6">
      <w:pPr>
        <w:pStyle w:val="FootnoteText"/>
      </w:pPr>
      <w:r>
        <w:rPr>
          <w:rStyle w:val="FootnoteReference"/>
        </w:rPr>
        <w:t>2</w:t>
      </w:r>
      <w:r w:rsidRPr="00F537A0">
        <w:rPr>
          <w:rFonts w:ascii="Arial" w:hAnsi="Arial" w:cs="Arial"/>
          <w:sz w:val="19"/>
          <w:szCs w:val="19"/>
        </w:rPr>
        <w:t xml:space="preserve"> </w:t>
      </w:r>
      <w:r w:rsidR="002F70E6" w:rsidRPr="00F537A0">
        <w:rPr>
          <w:rFonts w:ascii="Arial" w:hAnsi="Arial" w:cs="Arial"/>
          <w:sz w:val="19"/>
          <w:szCs w:val="19"/>
        </w:rPr>
        <w:t>The</w:t>
      </w:r>
      <w:r w:rsidR="00F4138C" w:rsidRPr="00F537A0">
        <w:rPr>
          <w:rFonts w:ascii="Arial" w:hAnsi="Arial" w:cs="Arial"/>
          <w:sz w:val="19"/>
          <w:szCs w:val="19"/>
        </w:rPr>
        <w:t xml:space="preserve"> standard</w:t>
      </w:r>
      <w:r w:rsidR="002F70E6" w:rsidRPr="00F537A0">
        <w:rPr>
          <w:rFonts w:ascii="Arial" w:hAnsi="Arial" w:cs="Arial"/>
          <w:sz w:val="19"/>
          <w:szCs w:val="19"/>
        </w:rPr>
        <w:t xml:space="preserve"> ‘employment income nil rate period’ is described in </w:t>
      </w:r>
      <w:r w:rsidR="000838CF" w:rsidRPr="00F537A0">
        <w:rPr>
          <w:rFonts w:ascii="Arial" w:hAnsi="Arial" w:cs="Arial"/>
          <w:sz w:val="19"/>
          <w:szCs w:val="19"/>
        </w:rPr>
        <w:t>subsection</w:t>
      </w:r>
      <w:r w:rsidR="002F70E6" w:rsidRPr="00F537A0">
        <w:rPr>
          <w:rFonts w:ascii="Arial" w:hAnsi="Arial" w:cs="Arial"/>
          <w:sz w:val="19"/>
          <w:szCs w:val="19"/>
        </w:rPr>
        <w:t xml:space="preserve"> 23(4A</w:t>
      </w:r>
      <w:r w:rsidR="000838CF" w:rsidRPr="00F537A0">
        <w:rPr>
          <w:rFonts w:ascii="Arial" w:hAnsi="Arial" w:cs="Arial"/>
          <w:sz w:val="19"/>
          <w:szCs w:val="19"/>
        </w:rPr>
        <w:t>) of the</w:t>
      </w:r>
      <w:r w:rsidR="002F70E6" w:rsidRPr="00F537A0">
        <w:rPr>
          <w:rFonts w:ascii="Arial" w:hAnsi="Arial" w:cs="Arial"/>
          <w:sz w:val="19"/>
          <w:szCs w:val="19"/>
        </w:rPr>
        <w:t xml:space="preserve"> </w:t>
      </w:r>
      <w:r w:rsidR="00561D84" w:rsidRPr="00561D84">
        <w:rPr>
          <w:rFonts w:ascii="Arial" w:hAnsi="Arial" w:cs="Arial"/>
          <w:sz w:val="19"/>
          <w:szCs w:val="19"/>
        </w:rPr>
        <w:t>Act</w:t>
      </w:r>
      <w:r w:rsidR="002F70E6" w:rsidRPr="00F537A0">
        <w:rPr>
          <w:rFonts w:ascii="Arial" w:hAnsi="Arial" w:cs="Arial"/>
          <w:sz w:val="19"/>
          <w:szCs w:val="19"/>
        </w:rPr>
        <w:t xml:space="preserve">. </w:t>
      </w:r>
      <w:r w:rsidR="000838CF" w:rsidRPr="00F537A0">
        <w:rPr>
          <w:rFonts w:ascii="Arial" w:hAnsi="Arial" w:cs="Arial"/>
          <w:sz w:val="19"/>
          <w:szCs w:val="19"/>
        </w:rPr>
        <w:t>This</w:t>
      </w:r>
      <w:r w:rsidR="00F4138C" w:rsidRPr="00F537A0">
        <w:rPr>
          <w:rFonts w:ascii="Arial" w:hAnsi="Arial" w:cs="Arial"/>
          <w:sz w:val="19"/>
          <w:szCs w:val="19"/>
        </w:rPr>
        <w:t xml:space="preserve"> su</w:t>
      </w:r>
      <w:r w:rsidR="000838CF" w:rsidRPr="00F537A0">
        <w:rPr>
          <w:rFonts w:ascii="Arial" w:hAnsi="Arial" w:cs="Arial"/>
          <w:sz w:val="19"/>
          <w:szCs w:val="19"/>
        </w:rPr>
        <w:t>bsection</w:t>
      </w:r>
      <w:r w:rsidR="00F4138C" w:rsidRPr="00F537A0">
        <w:rPr>
          <w:rFonts w:ascii="Arial" w:hAnsi="Arial" w:cs="Arial"/>
          <w:sz w:val="19"/>
          <w:szCs w:val="19"/>
        </w:rPr>
        <w:t xml:space="preserve"> </w:t>
      </w:r>
      <w:r w:rsidR="000838CF" w:rsidRPr="00F537A0">
        <w:rPr>
          <w:rFonts w:ascii="Arial" w:hAnsi="Arial" w:cs="Arial"/>
          <w:sz w:val="19"/>
          <w:szCs w:val="19"/>
        </w:rPr>
        <w:t>has</w:t>
      </w:r>
      <w:r w:rsidR="00075989" w:rsidRPr="00F537A0">
        <w:rPr>
          <w:rFonts w:ascii="Arial" w:hAnsi="Arial" w:cs="Arial"/>
          <w:sz w:val="19"/>
          <w:szCs w:val="19"/>
        </w:rPr>
        <w:t xml:space="preserve"> been modified by the </w:t>
      </w:r>
      <w:r w:rsidR="00075989" w:rsidRPr="00F537A0">
        <w:rPr>
          <w:rFonts w:ascii="Arial" w:hAnsi="Arial" w:cs="Arial"/>
          <w:i/>
          <w:sz w:val="19"/>
          <w:szCs w:val="19"/>
        </w:rPr>
        <w:t>Social Security (Coronavirus Economic Response – 2020 Measures No. 11) Determination 2020</w:t>
      </w:r>
      <w:r w:rsidR="00075989" w:rsidRPr="00F537A0">
        <w:rPr>
          <w:rFonts w:ascii="Arial" w:hAnsi="Arial" w:cs="Arial"/>
          <w:sz w:val="19"/>
          <w:szCs w:val="19"/>
        </w:rPr>
        <w:t xml:space="preserve"> </w:t>
      </w:r>
      <w:r w:rsidR="000838CF" w:rsidRPr="00F537A0">
        <w:rPr>
          <w:rFonts w:ascii="Arial" w:hAnsi="Arial" w:cs="Arial"/>
          <w:sz w:val="19"/>
          <w:szCs w:val="19"/>
        </w:rPr>
        <w:t xml:space="preserve">(for further information, see </w:t>
      </w:r>
      <w:r w:rsidR="00075989" w:rsidRPr="00F537A0">
        <w:rPr>
          <w:rFonts w:ascii="Arial" w:hAnsi="Arial" w:cs="Arial"/>
          <w:sz w:val="19"/>
          <w:szCs w:val="19"/>
        </w:rPr>
        <w:t>the Explanatory Statement for this instrument</w:t>
      </w:r>
      <w:r w:rsidR="000838CF" w:rsidRPr="00F537A0">
        <w:rPr>
          <w:rFonts w:ascii="Arial" w:hAnsi="Arial" w:cs="Arial"/>
          <w:sz w:val="19"/>
          <w:szCs w:val="19"/>
        </w:rPr>
        <w:t>)</w:t>
      </w:r>
      <w:r w:rsidR="00075989" w:rsidRPr="00F537A0">
        <w:rPr>
          <w:rFonts w:ascii="Arial" w:hAnsi="Arial" w:cs="Arial"/>
          <w:sz w:val="19"/>
          <w:szCs w:val="19"/>
        </w:rPr>
        <w:t>.</w:t>
      </w:r>
    </w:p>
  </w:footnote>
  <w:footnote w:id="8">
    <w:p w14:paraId="7F7C9AB6" w14:textId="77777777" w:rsidR="002F70E6" w:rsidRDefault="00F537A0" w:rsidP="002F70E6">
      <w:pPr>
        <w:pStyle w:val="FootnoteText"/>
        <w:ind w:left="142" w:hanging="142"/>
        <w:rPr>
          <w:rFonts w:ascii="Arial" w:hAnsi="Arial" w:cs="Arial"/>
        </w:rPr>
      </w:pPr>
      <w:r>
        <w:rPr>
          <w:rStyle w:val="FootnoteReference"/>
          <w:rFonts w:eastAsiaTheme="majorEastAsia" w:cs="Arial"/>
        </w:rPr>
        <w:t>3</w:t>
      </w:r>
      <w:r>
        <w:rPr>
          <w:rFonts w:ascii="Arial" w:hAnsi="Arial" w:cs="Arial"/>
        </w:rPr>
        <w:t xml:space="preserve"> </w:t>
      </w:r>
      <w:r w:rsidR="002F70E6" w:rsidRPr="00F537A0">
        <w:rPr>
          <w:rFonts w:ascii="Arial" w:hAnsi="Arial" w:cs="Arial"/>
          <w:sz w:val="19"/>
          <w:szCs w:val="19"/>
        </w:rPr>
        <w:t>Committee on Economic</w:t>
      </w:r>
      <w:r w:rsidR="002F70E6" w:rsidRPr="00F537A0">
        <w:rPr>
          <w:rFonts w:ascii="Arial" w:hAnsi="Arial" w:cs="Arial"/>
          <w:i/>
          <w:sz w:val="19"/>
          <w:szCs w:val="19"/>
        </w:rPr>
        <w:t xml:space="preserve">, General Comment No 19: The right to social security (art 9), 39th </w:t>
      </w:r>
      <w:proofErr w:type="spellStart"/>
      <w:r w:rsidR="002F70E6" w:rsidRPr="00F537A0">
        <w:rPr>
          <w:rFonts w:ascii="Arial" w:hAnsi="Arial" w:cs="Arial"/>
          <w:i/>
          <w:sz w:val="19"/>
          <w:szCs w:val="19"/>
        </w:rPr>
        <w:t>sess</w:t>
      </w:r>
      <w:proofErr w:type="spellEnd"/>
      <w:r w:rsidR="002F70E6" w:rsidRPr="00F537A0">
        <w:rPr>
          <w:rFonts w:ascii="Arial" w:hAnsi="Arial" w:cs="Arial"/>
          <w:sz w:val="19"/>
          <w:szCs w:val="19"/>
        </w:rPr>
        <w:t>, UN Doc E/C.12/GC/19 (4 February 2008), [10]-[27].</w:t>
      </w:r>
      <w:r w:rsidR="002F70E6">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3F2098"/>
    <w:multiLevelType w:val="hybridMultilevel"/>
    <w:tmpl w:val="C96A7CFC"/>
    <w:lvl w:ilvl="0" w:tplc="B74C862C">
      <w:start w:val="19"/>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2"/>
  </w:num>
  <w:num w:numId="5">
    <w:abstractNumId w:val="10"/>
  </w:num>
  <w:num w:numId="6">
    <w:abstractNumId w:val="1"/>
  </w:num>
  <w:num w:numId="7">
    <w:abstractNumId w:val="8"/>
  </w:num>
  <w:num w:numId="8">
    <w:abstractNumId w:val="13"/>
  </w:num>
  <w:num w:numId="9">
    <w:abstractNumId w:val="6"/>
  </w:num>
  <w:num w:numId="10">
    <w:abstractNumId w:val="14"/>
  </w:num>
  <w:num w:numId="11">
    <w:abstractNumId w:val="2"/>
  </w:num>
  <w:num w:numId="12">
    <w:abstractNumId w:val="4"/>
  </w:num>
  <w:num w:numId="13">
    <w:abstractNumId w:val="0"/>
  </w:num>
  <w:num w:numId="14">
    <w:abstractNumId w:val="7"/>
  </w:num>
  <w:num w:numId="15">
    <w:abstractNumId w:val="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21B15"/>
    <w:rsid w:val="00021ED2"/>
    <w:rsid w:val="00030B79"/>
    <w:rsid w:val="00031D0B"/>
    <w:rsid w:val="00034A98"/>
    <w:rsid w:val="00043B6D"/>
    <w:rsid w:val="00045BF2"/>
    <w:rsid w:val="00045ED1"/>
    <w:rsid w:val="00051A01"/>
    <w:rsid w:val="00051C3F"/>
    <w:rsid w:val="00066DAE"/>
    <w:rsid w:val="00074C1A"/>
    <w:rsid w:val="00075989"/>
    <w:rsid w:val="000760DC"/>
    <w:rsid w:val="000838CF"/>
    <w:rsid w:val="000844AF"/>
    <w:rsid w:val="00084B46"/>
    <w:rsid w:val="00085730"/>
    <w:rsid w:val="00096B8D"/>
    <w:rsid w:val="000A3595"/>
    <w:rsid w:val="000A772F"/>
    <w:rsid w:val="000B1F23"/>
    <w:rsid w:val="000B408C"/>
    <w:rsid w:val="000B4130"/>
    <w:rsid w:val="000C2DDB"/>
    <w:rsid w:val="000C5204"/>
    <w:rsid w:val="000D365F"/>
    <w:rsid w:val="000E02A0"/>
    <w:rsid w:val="000E3915"/>
    <w:rsid w:val="000E4DFA"/>
    <w:rsid w:val="0010103F"/>
    <w:rsid w:val="00111250"/>
    <w:rsid w:val="0011719D"/>
    <w:rsid w:val="00123605"/>
    <w:rsid w:val="00126429"/>
    <w:rsid w:val="001310C6"/>
    <w:rsid w:val="001358CA"/>
    <w:rsid w:val="00140359"/>
    <w:rsid w:val="00147A5F"/>
    <w:rsid w:val="001502F9"/>
    <w:rsid w:val="0015134A"/>
    <w:rsid w:val="00152472"/>
    <w:rsid w:val="00162E43"/>
    <w:rsid w:val="00163809"/>
    <w:rsid w:val="00163E37"/>
    <w:rsid w:val="0016653C"/>
    <w:rsid w:val="00175BC6"/>
    <w:rsid w:val="00191AEC"/>
    <w:rsid w:val="001920F3"/>
    <w:rsid w:val="00196615"/>
    <w:rsid w:val="001A321E"/>
    <w:rsid w:val="001A737C"/>
    <w:rsid w:val="001B5379"/>
    <w:rsid w:val="001C2330"/>
    <w:rsid w:val="001C64F9"/>
    <w:rsid w:val="001D04B4"/>
    <w:rsid w:val="001D69AF"/>
    <w:rsid w:val="001E33E3"/>
    <w:rsid w:val="001E5B72"/>
    <w:rsid w:val="001E5D12"/>
    <w:rsid w:val="001E630D"/>
    <w:rsid w:val="001E7422"/>
    <w:rsid w:val="001F3F38"/>
    <w:rsid w:val="001F4805"/>
    <w:rsid w:val="001F4E3C"/>
    <w:rsid w:val="002103C5"/>
    <w:rsid w:val="002154EE"/>
    <w:rsid w:val="00222A8B"/>
    <w:rsid w:val="00224887"/>
    <w:rsid w:val="002329E1"/>
    <w:rsid w:val="002334D9"/>
    <w:rsid w:val="00234F9E"/>
    <w:rsid w:val="0024465E"/>
    <w:rsid w:val="0024760C"/>
    <w:rsid w:val="002533F0"/>
    <w:rsid w:val="002642C7"/>
    <w:rsid w:val="00264C31"/>
    <w:rsid w:val="00273BAF"/>
    <w:rsid w:val="002741BD"/>
    <w:rsid w:val="00274CAF"/>
    <w:rsid w:val="00276D06"/>
    <w:rsid w:val="00276F09"/>
    <w:rsid w:val="002810A5"/>
    <w:rsid w:val="00283079"/>
    <w:rsid w:val="002926E3"/>
    <w:rsid w:val="002A0E63"/>
    <w:rsid w:val="002A25B6"/>
    <w:rsid w:val="002A2A71"/>
    <w:rsid w:val="002A523B"/>
    <w:rsid w:val="002A6007"/>
    <w:rsid w:val="002A63EA"/>
    <w:rsid w:val="002B0175"/>
    <w:rsid w:val="002B2DA3"/>
    <w:rsid w:val="002B55A4"/>
    <w:rsid w:val="002C0F57"/>
    <w:rsid w:val="002C1403"/>
    <w:rsid w:val="002C1938"/>
    <w:rsid w:val="002C2252"/>
    <w:rsid w:val="002C6177"/>
    <w:rsid w:val="002D0F1C"/>
    <w:rsid w:val="002D35D8"/>
    <w:rsid w:val="002D4522"/>
    <w:rsid w:val="002E0BB1"/>
    <w:rsid w:val="002E45E2"/>
    <w:rsid w:val="002E726C"/>
    <w:rsid w:val="002E7F27"/>
    <w:rsid w:val="002F014F"/>
    <w:rsid w:val="002F70E6"/>
    <w:rsid w:val="00300D8B"/>
    <w:rsid w:val="003119FD"/>
    <w:rsid w:val="003336A7"/>
    <w:rsid w:val="00334F9D"/>
    <w:rsid w:val="00337065"/>
    <w:rsid w:val="00341C77"/>
    <w:rsid w:val="003430FC"/>
    <w:rsid w:val="003434E2"/>
    <w:rsid w:val="00345FFE"/>
    <w:rsid w:val="0035378F"/>
    <w:rsid w:val="003567C0"/>
    <w:rsid w:val="00357B3B"/>
    <w:rsid w:val="003606C5"/>
    <w:rsid w:val="00365424"/>
    <w:rsid w:val="00374A77"/>
    <w:rsid w:val="00380666"/>
    <w:rsid w:val="00387D89"/>
    <w:rsid w:val="00392EB6"/>
    <w:rsid w:val="00393D4E"/>
    <w:rsid w:val="00394743"/>
    <w:rsid w:val="00395F66"/>
    <w:rsid w:val="003A016F"/>
    <w:rsid w:val="003A04AD"/>
    <w:rsid w:val="003B093B"/>
    <w:rsid w:val="003B2BB8"/>
    <w:rsid w:val="003B44E1"/>
    <w:rsid w:val="003C3368"/>
    <w:rsid w:val="003C54B6"/>
    <w:rsid w:val="003D34FF"/>
    <w:rsid w:val="003D71F6"/>
    <w:rsid w:val="003E1784"/>
    <w:rsid w:val="003E40AF"/>
    <w:rsid w:val="003F6E09"/>
    <w:rsid w:val="00400273"/>
    <w:rsid w:val="0040518D"/>
    <w:rsid w:val="00410529"/>
    <w:rsid w:val="00414A34"/>
    <w:rsid w:val="00420387"/>
    <w:rsid w:val="0042132E"/>
    <w:rsid w:val="004260D7"/>
    <w:rsid w:val="00435247"/>
    <w:rsid w:val="004410D9"/>
    <w:rsid w:val="00441CF1"/>
    <w:rsid w:val="00445281"/>
    <w:rsid w:val="00446D6C"/>
    <w:rsid w:val="0045240C"/>
    <w:rsid w:val="00453FC9"/>
    <w:rsid w:val="00454405"/>
    <w:rsid w:val="00456FBD"/>
    <w:rsid w:val="00457792"/>
    <w:rsid w:val="004646E1"/>
    <w:rsid w:val="00470C3D"/>
    <w:rsid w:val="004726FF"/>
    <w:rsid w:val="004814F1"/>
    <w:rsid w:val="00482411"/>
    <w:rsid w:val="004956ED"/>
    <w:rsid w:val="0049646F"/>
    <w:rsid w:val="00497768"/>
    <w:rsid w:val="004A0C19"/>
    <w:rsid w:val="004A126A"/>
    <w:rsid w:val="004A24AF"/>
    <w:rsid w:val="004B03C9"/>
    <w:rsid w:val="004B2F53"/>
    <w:rsid w:val="004B3147"/>
    <w:rsid w:val="004B54CA"/>
    <w:rsid w:val="004B642E"/>
    <w:rsid w:val="004C163F"/>
    <w:rsid w:val="004C38AC"/>
    <w:rsid w:val="004C3B96"/>
    <w:rsid w:val="004D336A"/>
    <w:rsid w:val="004E3A61"/>
    <w:rsid w:val="004E5CBF"/>
    <w:rsid w:val="004F1CD0"/>
    <w:rsid w:val="004F264A"/>
    <w:rsid w:val="004F5308"/>
    <w:rsid w:val="004F69ED"/>
    <w:rsid w:val="00511520"/>
    <w:rsid w:val="00515B49"/>
    <w:rsid w:val="00515DD1"/>
    <w:rsid w:val="005179A6"/>
    <w:rsid w:val="00527238"/>
    <w:rsid w:val="005332C8"/>
    <w:rsid w:val="00536162"/>
    <w:rsid w:val="00540BD8"/>
    <w:rsid w:val="0055503B"/>
    <w:rsid w:val="00561D84"/>
    <w:rsid w:val="00562CBC"/>
    <w:rsid w:val="00566538"/>
    <w:rsid w:val="00566BF6"/>
    <w:rsid w:val="00570884"/>
    <w:rsid w:val="00576330"/>
    <w:rsid w:val="0057641C"/>
    <w:rsid w:val="005766D2"/>
    <w:rsid w:val="00583F4D"/>
    <w:rsid w:val="00591D1A"/>
    <w:rsid w:val="00594251"/>
    <w:rsid w:val="005968DF"/>
    <w:rsid w:val="005A279F"/>
    <w:rsid w:val="005A2B51"/>
    <w:rsid w:val="005C390A"/>
    <w:rsid w:val="005C3AA9"/>
    <w:rsid w:val="005C54B4"/>
    <w:rsid w:val="005C78B2"/>
    <w:rsid w:val="005D0A73"/>
    <w:rsid w:val="005E4167"/>
    <w:rsid w:val="005E4362"/>
    <w:rsid w:val="005E4607"/>
    <w:rsid w:val="005E73C6"/>
    <w:rsid w:val="005E7B26"/>
    <w:rsid w:val="005F41C9"/>
    <w:rsid w:val="005F5E17"/>
    <w:rsid w:val="00600ACF"/>
    <w:rsid w:val="00610F80"/>
    <w:rsid w:val="006120C8"/>
    <w:rsid w:val="0061423C"/>
    <w:rsid w:val="00614C63"/>
    <w:rsid w:val="00620404"/>
    <w:rsid w:val="00622668"/>
    <w:rsid w:val="00622B71"/>
    <w:rsid w:val="00622D63"/>
    <w:rsid w:val="00624E34"/>
    <w:rsid w:val="00632F44"/>
    <w:rsid w:val="006402A6"/>
    <w:rsid w:val="006407D3"/>
    <w:rsid w:val="0064167D"/>
    <w:rsid w:val="00644E03"/>
    <w:rsid w:val="00650B9C"/>
    <w:rsid w:val="00650C1C"/>
    <w:rsid w:val="006546B7"/>
    <w:rsid w:val="006643AB"/>
    <w:rsid w:val="0067070B"/>
    <w:rsid w:val="00671753"/>
    <w:rsid w:val="006719C6"/>
    <w:rsid w:val="00681C7F"/>
    <w:rsid w:val="00683FF5"/>
    <w:rsid w:val="00687351"/>
    <w:rsid w:val="006A1F70"/>
    <w:rsid w:val="006A239D"/>
    <w:rsid w:val="006A4CE7"/>
    <w:rsid w:val="006A5D55"/>
    <w:rsid w:val="006A6D51"/>
    <w:rsid w:val="006C5E5E"/>
    <w:rsid w:val="006D75BB"/>
    <w:rsid w:val="006D7E0F"/>
    <w:rsid w:val="006E1B19"/>
    <w:rsid w:val="006E7812"/>
    <w:rsid w:val="006F0769"/>
    <w:rsid w:val="00701486"/>
    <w:rsid w:val="00705FE0"/>
    <w:rsid w:val="00720E42"/>
    <w:rsid w:val="0073766B"/>
    <w:rsid w:val="00743C1C"/>
    <w:rsid w:val="00756870"/>
    <w:rsid w:val="00762A05"/>
    <w:rsid w:val="00770879"/>
    <w:rsid w:val="00771003"/>
    <w:rsid w:val="0077461F"/>
    <w:rsid w:val="0078126B"/>
    <w:rsid w:val="00785261"/>
    <w:rsid w:val="007907A8"/>
    <w:rsid w:val="00791C2F"/>
    <w:rsid w:val="007938F3"/>
    <w:rsid w:val="0079557B"/>
    <w:rsid w:val="007A4E37"/>
    <w:rsid w:val="007A53DD"/>
    <w:rsid w:val="007B0256"/>
    <w:rsid w:val="007B69DD"/>
    <w:rsid w:val="007C1727"/>
    <w:rsid w:val="007C4060"/>
    <w:rsid w:val="007C5234"/>
    <w:rsid w:val="007D5480"/>
    <w:rsid w:val="007D6273"/>
    <w:rsid w:val="007E153A"/>
    <w:rsid w:val="007E4FAD"/>
    <w:rsid w:val="007F44F6"/>
    <w:rsid w:val="00807CD7"/>
    <w:rsid w:val="00816CFA"/>
    <w:rsid w:val="0083135C"/>
    <w:rsid w:val="00841C22"/>
    <w:rsid w:val="00860BE9"/>
    <w:rsid w:val="00865E06"/>
    <w:rsid w:val="008669B7"/>
    <w:rsid w:val="008707FE"/>
    <w:rsid w:val="00871F28"/>
    <w:rsid w:val="008761FF"/>
    <w:rsid w:val="00876C31"/>
    <w:rsid w:val="00880E92"/>
    <w:rsid w:val="008954BF"/>
    <w:rsid w:val="00896466"/>
    <w:rsid w:val="008A29D7"/>
    <w:rsid w:val="008B026E"/>
    <w:rsid w:val="008B1AA5"/>
    <w:rsid w:val="008B4CF1"/>
    <w:rsid w:val="008C3B1D"/>
    <w:rsid w:val="008D2D41"/>
    <w:rsid w:val="008D2FC2"/>
    <w:rsid w:val="008D59CA"/>
    <w:rsid w:val="008D68B6"/>
    <w:rsid w:val="008D7A97"/>
    <w:rsid w:val="008E1D0E"/>
    <w:rsid w:val="008E320A"/>
    <w:rsid w:val="008E6906"/>
    <w:rsid w:val="008F5702"/>
    <w:rsid w:val="008F6F39"/>
    <w:rsid w:val="0090001F"/>
    <w:rsid w:val="0090702B"/>
    <w:rsid w:val="009140D3"/>
    <w:rsid w:val="009140F6"/>
    <w:rsid w:val="00915A96"/>
    <w:rsid w:val="009225F0"/>
    <w:rsid w:val="00925633"/>
    <w:rsid w:val="00930624"/>
    <w:rsid w:val="00932E80"/>
    <w:rsid w:val="009332B3"/>
    <w:rsid w:val="00935A03"/>
    <w:rsid w:val="009426E4"/>
    <w:rsid w:val="00942C2E"/>
    <w:rsid w:val="00946730"/>
    <w:rsid w:val="00947878"/>
    <w:rsid w:val="00950ACB"/>
    <w:rsid w:val="0095196E"/>
    <w:rsid w:val="00952F99"/>
    <w:rsid w:val="00956519"/>
    <w:rsid w:val="00966756"/>
    <w:rsid w:val="00966F79"/>
    <w:rsid w:val="00970C88"/>
    <w:rsid w:val="00985038"/>
    <w:rsid w:val="0098604B"/>
    <w:rsid w:val="0099111C"/>
    <w:rsid w:val="0099649B"/>
    <w:rsid w:val="009A0A27"/>
    <w:rsid w:val="009A4EAB"/>
    <w:rsid w:val="009A5D3E"/>
    <w:rsid w:val="009B71A9"/>
    <w:rsid w:val="009C63A9"/>
    <w:rsid w:val="009C63B6"/>
    <w:rsid w:val="009D1BE5"/>
    <w:rsid w:val="009D2A2B"/>
    <w:rsid w:val="009D3B94"/>
    <w:rsid w:val="009D3BFA"/>
    <w:rsid w:val="009E370D"/>
    <w:rsid w:val="009F0ECF"/>
    <w:rsid w:val="009F39EB"/>
    <w:rsid w:val="009F3C43"/>
    <w:rsid w:val="00A06B72"/>
    <w:rsid w:val="00A218C0"/>
    <w:rsid w:val="00A24540"/>
    <w:rsid w:val="00A27E85"/>
    <w:rsid w:val="00A375D4"/>
    <w:rsid w:val="00A37984"/>
    <w:rsid w:val="00A42690"/>
    <w:rsid w:val="00A4616D"/>
    <w:rsid w:val="00A6045B"/>
    <w:rsid w:val="00A616BC"/>
    <w:rsid w:val="00A63D74"/>
    <w:rsid w:val="00A66DD0"/>
    <w:rsid w:val="00A719D2"/>
    <w:rsid w:val="00A763EC"/>
    <w:rsid w:val="00A81375"/>
    <w:rsid w:val="00A8767B"/>
    <w:rsid w:val="00A92677"/>
    <w:rsid w:val="00A94C22"/>
    <w:rsid w:val="00AA0F80"/>
    <w:rsid w:val="00AA37AC"/>
    <w:rsid w:val="00AA45C6"/>
    <w:rsid w:val="00AA51E7"/>
    <w:rsid w:val="00AB3552"/>
    <w:rsid w:val="00AB71A5"/>
    <w:rsid w:val="00AB7356"/>
    <w:rsid w:val="00AC271F"/>
    <w:rsid w:val="00AC635D"/>
    <w:rsid w:val="00AD1347"/>
    <w:rsid w:val="00AD1645"/>
    <w:rsid w:val="00AD69FE"/>
    <w:rsid w:val="00AE11F6"/>
    <w:rsid w:val="00AE3176"/>
    <w:rsid w:val="00AF0E6A"/>
    <w:rsid w:val="00B01538"/>
    <w:rsid w:val="00B04EB0"/>
    <w:rsid w:val="00B13376"/>
    <w:rsid w:val="00B159FE"/>
    <w:rsid w:val="00B203AA"/>
    <w:rsid w:val="00B24BD8"/>
    <w:rsid w:val="00B261D9"/>
    <w:rsid w:val="00B33E33"/>
    <w:rsid w:val="00B376E6"/>
    <w:rsid w:val="00B52B87"/>
    <w:rsid w:val="00B54C30"/>
    <w:rsid w:val="00B57278"/>
    <w:rsid w:val="00B6472A"/>
    <w:rsid w:val="00B73680"/>
    <w:rsid w:val="00B74531"/>
    <w:rsid w:val="00B777D9"/>
    <w:rsid w:val="00B821A0"/>
    <w:rsid w:val="00B863CC"/>
    <w:rsid w:val="00BA2DB9"/>
    <w:rsid w:val="00BA5FA3"/>
    <w:rsid w:val="00BB00D1"/>
    <w:rsid w:val="00BB0D37"/>
    <w:rsid w:val="00BB436C"/>
    <w:rsid w:val="00BC35F6"/>
    <w:rsid w:val="00BC76EB"/>
    <w:rsid w:val="00BD25AE"/>
    <w:rsid w:val="00BD7E9D"/>
    <w:rsid w:val="00BE56A0"/>
    <w:rsid w:val="00BE7148"/>
    <w:rsid w:val="00BF2FB3"/>
    <w:rsid w:val="00BF7ED5"/>
    <w:rsid w:val="00C06E47"/>
    <w:rsid w:val="00C21C68"/>
    <w:rsid w:val="00C25712"/>
    <w:rsid w:val="00C2733D"/>
    <w:rsid w:val="00C3204C"/>
    <w:rsid w:val="00C3470C"/>
    <w:rsid w:val="00C37944"/>
    <w:rsid w:val="00C37BA8"/>
    <w:rsid w:val="00C4511C"/>
    <w:rsid w:val="00C455A2"/>
    <w:rsid w:val="00C559BF"/>
    <w:rsid w:val="00C579E9"/>
    <w:rsid w:val="00C66CFA"/>
    <w:rsid w:val="00C7238E"/>
    <w:rsid w:val="00C77B41"/>
    <w:rsid w:val="00CA33B2"/>
    <w:rsid w:val="00CA3D78"/>
    <w:rsid w:val="00CA43C4"/>
    <w:rsid w:val="00CA6F15"/>
    <w:rsid w:val="00CB344C"/>
    <w:rsid w:val="00CB42CE"/>
    <w:rsid w:val="00CC7EC4"/>
    <w:rsid w:val="00CD0DDB"/>
    <w:rsid w:val="00CE1802"/>
    <w:rsid w:val="00CF0527"/>
    <w:rsid w:val="00CF437C"/>
    <w:rsid w:val="00CF62E2"/>
    <w:rsid w:val="00CF7DE3"/>
    <w:rsid w:val="00D1706F"/>
    <w:rsid w:val="00D17BB1"/>
    <w:rsid w:val="00D2075E"/>
    <w:rsid w:val="00D21D83"/>
    <w:rsid w:val="00D243C5"/>
    <w:rsid w:val="00D3071D"/>
    <w:rsid w:val="00D31C51"/>
    <w:rsid w:val="00D367AA"/>
    <w:rsid w:val="00D37C22"/>
    <w:rsid w:val="00D37C2C"/>
    <w:rsid w:val="00D459E0"/>
    <w:rsid w:val="00D520A1"/>
    <w:rsid w:val="00D61C4B"/>
    <w:rsid w:val="00D708CA"/>
    <w:rsid w:val="00D72F4B"/>
    <w:rsid w:val="00D849AE"/>
    <w:rsid w:val="00DB6E7A"/>
    <w:rsid w:val="00DC765C"/>
    <w:rsid w:val="00DD3BC1"/>
    <w:rsid w:val="00DD7791"/>
    <w:rsid w:val="00DE0717"/>
    <w:rsid w:val="00DE3A1F"/>
    <w:rsid w:val="00E01E71"/>
    <w:rsid w:val="00E027AF"/>
    <w:rsid w:val="00E15CFF"/>
    <w:rsid w:val="00E22B70"/>
    <w:rsid w:val="00E230ED"/>
    <w:rsid w:val="00E23C53"/>
    <w:rsid w:val="00E32139"/>
    <w:rsid w:val="00E44FD4"/>
    <w:rsid w:val="00E554B0"/>
    <w:rsid w:val="00E677D9"/>
    <w:rsid w:val="00E708B1"/>
    <w:rsid w:val="00E72DC6"/>
    <w:rsid w:val="00E745BB"/>
    <w:rsid w:val="00E7675B"/>
    <w:rsid w:val="00E87016"/>
    <w:rsid w:val="00E907A4"/>
    <w:rsid w:val="00E9738E"/>
    <w:rsid w:val="00EA16F9"/>
    <w:rsid w:val="00EA2DDC"/>
    <w:rsid w:val="00EA3666"/>
    <w:rsid w:val="00EA677D"/>
    <w:rsid w:val="00EA6829"/>
    <w:rsid w:val="00EA76C2"/>
    <w:rsid w:val="00EB27A8"/>
    <w:rsid w:val="00EB51BC"/>
    <w:rsid w:val="00EB7DA1"/>
    <w:rsid w:val="00EC0057"/>
    <w:rsid w:val="00EC0C59"/>
    <w:rsid w:val="00EC25F5"/>
    <w:rsid w:val="00EC47F6"/>
    <w:rsid w:val="00ED1D5E"/>
    <w:rsid w:val="00ED3F36"/>
    <w:rsid w:val="00ED6613"/>
    <w:rsid w:val="00EE2764"/>
    <w:rsid w:val="00EF54F0"/>
    <w:rsid w:val="00EF5A89"/>
    <w:rsid w:val="00F0576D"/>
    <w:rsid w:val="00F108ED"/>
    <w:rsid w:val="00F227A4"/>
    <w:rsid w:val="00F328DA"/>
    <w:rsid w:val="00F35271"/>
    <w:rsid w:val="00F35580"/>
    <w:rsid w:val="00F4138C"/>
    <w:rsid w:val="00F42933"/>
    <w:rsid w:val="00F502A9"/>
    <w:rsid w:val="00F52441"/>
    <w:rsid w:val="00F52853"/>
    <w:rsid w:val="00F537A0"/>
    <w:rsid w:val="00F61A88"/>
    <w:rsid w:val="00F71F1B"/>
    <w:rsid w:val="00F754A3"/>
    <w:rsid w:val="00F925B9"/>
    <w:rsid w:val="00FA6F53"/>
    <w:rsid w:val="00FA7196"/>
    <w:rsid w:val="00FB030F"/>
    <w:rsid w:val="00FB16EF"/>
    <w:rsid w:val="00FC1918"/>
    <w:rsid w:val="00FC52A5"/>
    <w:rsid w:val="00FD21B4"/>
    <w:rsid w:val="00FD2F20"/>
    <w:rsid w:val="00FD368E"/>
    <w:rsid w:val="00FD6BF4"/>
    <w:rsid w:val="00FD7A80"/>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9A50"/>
  <w15:docId w15:val="{5412F5C2-14E6-4FB5-AE77-5089CDC3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uiPriority w:val="99"/>
    <w:rsid w:val="00AD1645"/>
    <w:pPr>
      <w:spacing w:before="0"/>
    </w:pPr>
    <w:rPr>
      <w:sz w:val="20"/>
      <w:lang w:eastAsia="en-US"/>
    </w:rPr>
  </w:style>
  <w:style w:type="character" w:customStyle="1" w:styleId="FootnoteTextChar">
    <w:name w:val="Footnote Text Char"/>
    <w:basedOn w:val="DefaultParagraphFont"/>
    <w:link w:val="FootnoteText"/>
    <w:uiPriority w:val="99"/>
    <w:rsid w:val="00AD1645"/>
    <w:rPr>
      <w:rFonts w:ascii="Times New Roman" w:eastAsia="Times New Roman" w:hAnsi="Times New Roman" w:cs="Times New Roman"/>
      <w:sz w:val="20"/>
      <w:szCs w:val="20"/>
    </w:rPr>
  </w:style>
  <w:style w:type="character" w:styleId="FootnoteReference">
    <w:name w:val="footnote reference"/>
    <w:uiPriority w:val="99"/>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34573">
      <w:bodyDiv w:val="1"/>
      <w:marLeft w:val="0"/>
      <w:marRight w:val="0"/>
      <w:marTop w:val="0"/>
      <w:marBottom w:val="0"/>
      <w:divBdr>
        <w:top w:val="none" w:sz="0" w:space="0" w:color="auto"/>
        <w:left w:val="none" w:sz="0" w:space="0" w:color="auto"/>
        <w:bottom w:val="none" w:sz="0" w:space="0" w:color="auto"/>
        <w:right w:val="none" w:sz="0" w:space="0" w:color="auto"/>
      </w:divBdr>
    </w:div>
    <w:div w:id="223100079">
      <w:bodyDiv w:val="1"/>
      <w:marLeft w:val="0"/>
      <w:marRight w:val="0"/>
      <w:marTop w:val="0"/>
      <w:marBottom w:val="0"/>
      <w:divBdr>
        <w:top w:val="none" w:sz="0" w:space="0" w:color="auto"/>
        <w:left w:val="none" w:sz="0" w:space="0" w:color="auto"/>
        <w:bottom w:val="none" w:sz="0" w:space="0" w:color="auto"/>
        <w:right w:val="none" w:sz="0" w:space="0" w:color="auto"/>
      </w:divBdr>
    </w:div>
    <w:div w:id="331564462">
      <w:bodyDiv w:val="1"/>
      <w:marLeft w:val="0"/>
      <w:marRight w:val="0"/>
      <w:marTop w:val="0"/>
      <w:marBottom w:val="0"/>
      <w:divBdr>
        <w:top w:val="none" w:sz="0" w:space="0" w:color="auto"/>
        <w:left w:val="none" w:sz="0" w:space="0" w:color="auto"/>
        <w:bottom w:val="none" w:sz="0" w:space="0" w:color="auto"/>
        <w:right w:val="none" w:sz="0" w:space="0" w:color="auto"/>
      </w:divBdr>
      <w:divsChild>
        <w:div w:id="1379934624">
          <w:marLeft w:val="0"/>
          <w:marRight w:val="0"/>
          <w:marTop w:val="0"/>
          <w:marBottom w:val="0"/>
          <w:divBdr>
            <w:top w:val="none" w:sz="0" w:space="0" w:color="auto"/>
            <w:left w:val="none" w:sz="0" w:space="0" w:color="auto"/>
            <w:bottom w:val="none" w:sz="0" w:space="0" w:color="auto"/>
            <w:right w:val="none" w:sz="0" w:space="0" w:color="auto"/>
          </w:divBdr>
          <w:divsChild>
            <w:div w:id="439109045">
              <w:marLeft w:val="0"/>
              <w:marRight w:val="0"/>
              <w:marTop w:val="0"/>
              <w:marBottom w:val="0"/>
              <w:divBdr>
                <w:top w:val="none" w:sz="0" w:space="0" w:color="auto"/>
                <w:left w:val="none" w:sz="0" w:space="0" w:color="auto"/>
                <w:bottom w:val="none" w:sz="0" w:space="0" w:color="auto"/>
                <w:right w:val="none" w:sz="0" w:space="0" w:color="auto"/>
              </w:divBdr>
              <w:divsChild>
                <w:div w:id="1491873953">
                  <w:marLeft w:val="0"/>
                  <w:marRight w:val="0"/>
                  <w:marTop w:val="0"/>
                  <w:marBottom w:val="0"/>
                  <w:divBdr>
                    <w:top w:val="none" w:sz="0" w:space="0" w:color="auto"/>
                    <w:left w:val="none" w:sz="0" w:space="0" w:color="auto"/>
                    <w:bottom w:val="none" w:sz="0" w:space="0" w:color="auto"/>
                    <w:right w:val="none" w:sz="0" w:space="0" w:color="auto"/>
                  </w:divBdr>
                  <w:divsChild>
                    <w:div w:id="1945765417">
                      <w:marLeft w:val="0"/>
                      <w:marRight w:val="0"/>
                      <w:marTop w:val="0"/>
                      <w:marBottom w:val="0"/>
                      <w:divBdr>
                        <w:top w:val="none" w:sz="0" w:space="0" w:color="auto"/>
                        <w:left w:val="none" w:sz="0" w:space="0" w:color="auto"/>
                        <w:bottom w:val="none" w:sz="0" w:space="0" w:color="auto"/>
                        <w:right w:val="none" w:sz="0" w:space="0" w:color="auto"/>
                      </w:divBdr>
                      <w:divsChild>
                        <w:div w:id="564920636">
                          <w:marLeft w:val="0"/>
                          <w:marRight w:val="0"/>
                          <w:marTop w:val="0"/>
                          <w:marBottom w:val="0"/>
                          <w:divBdr>
                            <w:top w:val="none" w:sz="0" w:space="0" w:color="auto"/>
                            <w:left w:val="none" w:sz="0" w:space="0" w:color="auto"/>
                            <w:bottom w:val="none" w:sz="0" w:space="0" w:color="auto"/>
                            <w:right w:val="none" w:sz="0" w:space="0" w:color="auto"/>
                          </w:divBdr>
                          <w:divsChild>
                            <w:div w:id="921337342">
                              <w:marLeft w:val="0"/>
                              <w:marRight w:val="0"/>
                              <w:marTop w:val="0"/>
                              <w:marBottom w:val="0"/>
                              <w:divBdr>
                                <w:top w:val="none" w:sz="0" w:space="0" w:color="auto"/>
                                <w:left w:val="none" w:sz="0" w:space="0" w:color="auto"/>
                                <w:bottom w:val="none" w:sz="0" w:space="0" w:color="auto"/>
                                <w:right w:val="none" w:sz="0" w:space="0" w:color="auto"/>
                              </w:divBdr>
                              <w:divsChild>
                                <w:div w:id="1226259465">
                                  <w:marLeft w:val="0"/>
                                  <w:marRight w:val="0"/>
                                  <w:marTop w:val="0"/>
                                  <w:marBottom w:val="0"/>
                                  <w:divBdr>
                                    <w:top w:val="none" w:sz="0" w:space="0" w:color="auto"/>
                                    <w:left w:val="none" w:sz="0" w:space="0" w:color="auto"/>
                                    <w:bottom w:val="none" w:sz="0" w:space="0" w:color="auto"/>
                                    <w:right w:val="none" w:sz="0" w:space="0" w:color="auto"/>
                                  </w:divBdr>
                                  <w:divsChild>
                                    <w:div w:id="205291280">
                                      <w:marLeft w:val="0"/>
                                      <w:marRight w:val="0"/>
                                      <w:marTop w:val="0"/>
                                      <w:marBottom w:val="0"/>
                                      <w:divBdr>
                                        <w:top w:val="none" w:sz="0" w:space="0" w:color="auto"/>
                                        <w:left w:val="none" w:sz="0" w:space="0" w:color="auto"/>
                                        <w:bottom w:val="none" w:sz="0" w:space="0" w:color="auto"/>
                                        <w:right w:val="none" w:sz="0" w:space="0" w:color="auto"/>
                                      </w:divBdr>
                                      <w:divsChild>
                                        <w:div w:id="1945459525">
                                          <w:marLeft w:val="0"/>
                                          <w:marRight w:val="0"/>
                                          <w:marTop w:val="0"/>
                                          <w:marBottom w:val="0"/>
                                          <w:divBdr>
                                            <w:top w:val="none" w:sz="0" w:space="0" w:color="auto"/>
                                            <w:left w:val="none" w:sz="0" w:space="0" w:color="auto"/>
                                            <w:bottom w:val="none" w:sz="0" w:space="0" w:color="auto"/>
                                            <w:right w:val="none" w:sz="0" w:space="0" w:color="auto"/>
                                          </w:divBdr>
                                          <w:divsChild>
                                            <w:div w:id="930814444">
                                              <w:marLeft w:val="0"/>
                                              <w:marRight w:val="0"/>
                                              <w:marTop w:val="0"/>
                                              <w:marBottom w:val="0"/>
                                              <w:divBdr>
                                                <w:top w:val="none" w:sz="0" w:space="0" w:color="auto"/>
                                                <w:left w:val="none" w:sz="0" w:space="0" w:color="auto"/>
                                                <w:bottom w:val="none" w:sz="0" w:space="0" w:color="auto"/>
                                                <w:right w:val="none" w:sz="0" w:space="0" w:color="auto"/>
                                              </w:divBdr>
                                              <w:divsChild>
                                                <w:div w:id="1905292968">
                                                  <w:marLeft w:val="0"/>
                                                  <w:marRight w:val="0"/>
                                                  <w:marTop w:val="0"/>
                                                  <w:marBottom w:val="0"/>
                                                  <w:divBdr>
                                                    <w:top w:val="none" w:sz="0" w:space="0" w:color="auto"/>
                                                    <w:left w:val="none" w:sz="0" w:space="0" w:color="auto"/>
                                                    <w:bottom w:val="none" w:sz="0" w:space="0" w:color="auto"/>
                                                    <w:right w:val="none" w:sz="0" w:space="0" w:color="auto"/>
                                                  </w:divBdr>
                                                  <w:divsChild>
                                                    <w:div w:id="1424448985">
                                                      <w:marLeft w:val="0"/>
                                                      <w:marRight w:val="0"/>
                                                      <w:marTop w:val="0"/>
                                                      <w:marBottom w:val="0"/>
                                                      <w:divBdr>
                                                        <w:top w:val="none" w:sz="0" w:space="0" w:color="auto"/>
                                                        <w:left w:val="none" w:sz="0" w:space="0" w:color="auto"/>
                                                        <w:bottom w:val="none" w:sz="0" w:space="0" w:color="auto"/>
                                                        <w:right w:val="none" w:sz="0" w:space="0" w:color="auto"/>
                                                      </w:divBdr>
                                                      <w:divsChild>
                                                        <w:div w:id="775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7185696">
      <w:bodyDiv w:val="1"/>
      <w:marLeft w:val="0"/>
      <w:marRight w:val="0"/>
      <w:marTop w:val="0"/>
      <w:marBottom w:val="0"/>
      <w:divBdr>
        <w:top w:val="none" w:sz="0" w:space="0" w:color="auto"/>
        <w:left w:val="none" w:sz="0" w:space="0" w:color="auto"/>
        <w:bottom w:val="none" w:sz="0" w:space="0" w:color="auto"/>
        <w:right w:val="none" w:sz="0" w:space="0" w:color="auto"/>
      </w:divBdr>
      <w:divsChild>
        <w:div w:id="556286468">
          <w:marLeft w:val="0"/>
          <w:marRight w:val="0"/>
          <w:marTop w:val="0"/>
          <w:marBottom w:val="0"/>
          <w:divBdr>
            <w:top w:val="none" w:sz="0" w:space="0" w:color="auto"/>
            <w:left w:val="none" w:sz="0" w:space="0" w:color="auto"/>
            <w:bottom w:val="none" w:sz="0" w:space="0" w:color="auto"/>
            <w:right w:val="none" w:sz="0" w:space="0" w:color="auto"/>
          </w:divBdr>
          <w:divsChild>
            <w:div w:id="407309113">
              <w:marLeft w:val="0"/>
              <w:marRight w:val="0"/>
              <w:marTop w:val="0"/>
              <w:marBottom w:val="0"/>
              <w:divBdr>
                <w:top w:val="none" w:sz="0" w:space="0" w:color="auto"/>
                <w:left w:val="none" w:sz="0" w:space="0" w:color="auto"/>
                <w:bottom w:val="none" w:sz="0" w:space="0" w:color="auto"/>
                <w:right w:val="none" w:sz="0" w:space="0" w:color="auto"/>
              </w:divBdr>
              <w:divsChild>
                <w:div w:id="1394353655">
                  <w:marLeft w:val="0"/>
                  <w:marRight w:val="0"/>
                  <w:marTop w:val="0"/>
                  <w:marBottom w:val="0"/>
                  <w:divBdr>
                    <w:top w:val="none" w:sz="0" w:space="0" w:color="auto"/>
                    <w:left w:val="none" w:sz="0" w:space="0" w:color="auto"/>
                    <w:bottom w:val="none" w:sz="0" w:space="0" w:color="auto"/>
                    <w:right w:val="none" w:sz="0" w:space="0" w:color="auto"/>
                  </w:divBdr>
                  <w:divsChild>
                    <w:div w:id="2070498311">
                      <w:marLeft w:val="0"/>
                      <w:marRight w:val="0"/>
                      <w:marTop w:val="0"/>
                      <w:marBottom w:val="0"/>
                      <w:divBdr>
                        <w:top w:val="none" w:sz="0" w:space="0" w:color="auto"/>
                        <w:left w:val="none" w:sz="0" w:space="0" w:color="auto"/>
                        <w:bottom w:val="none" w:sz="0" w:space="0" w:color="auto"/>
                        <w:right w:val="none" w:sz="0" w:space="0" w:color="auto"/>
                      </w:divBdr>
                      <w:divsChild>
                        <w:div w:id="22176024">
                          <w:marLeft w:val="0"/>
                          <w:marRight w:val="0"/>
                          <w:marTop w:val="0"/>
                          <w:marBottom w:val="0"/>
                          <w:divBdr>
                            <w:top w:val="none" w:sz="0" w:space="0" w:color="auto"/>
                            <w:left w:val="none" w:sz="0" w:space="0" w:color="auto"/>
                            <w:bottom w:val="none" w:sz="0" w:space="0" w:color="auto"/>
                            <w:right w:val="none" w:sz="0" w:space="0" w:color="auto"/>
                          </w:divBdr>
                          <w:divsChild>
                            <w:div w:id="2020620752">
                              <w:marLeft w:val="0"/>
                              <w:marRight w:val="0"/>
                              <w:marTop w:val="0"/>
                              <w:marBottom w:val="0"/>
                              <w:divBdr>
                                <w:top w:val="none" w:sz="0" w:space="0" w:color="auto"/>
                                <w:left w:val="none" w:sz="0" w:space="0" w:color="auto"/>
                                <w:bottom w:val="none" w:sz="0" w:space="0" w:color="auto"/>
                                <w:right w:val="none" w:sz="0" w:space="0" w:color="auto"/>
                              </w:divBdr>
                              <w:divsChild>
                                <w:div w:id="1169101355">
                                  <w:marLeft w:val="0"/>
                                  <w:marRight w:val="0"/>
                                  <w:marTop w:val="0"/>
                                  <w:marBottom w:val="0"/>
                                  <w:divBdr>
                                    <w:top w:val="none" w:sz="0" w:space="0" w:color="auto"/>
                                    <w:left w:val="none" w:sz="0" w:space="0" w:color="auto"/>
                                    <w:bottom w:val="none" w:sz="0" w:space="0" w:color="auto"/>
                                    <w:right w:val="none" w:sz="0" w:space="0" w:color="auto"/>
                                  </w:divBdr>
                                  <w:divsChild>
                                    <w:div w:id="726532278">
                                      <w:marLeft w:val="0"/>
                                      <w:marRight w:val="0"/>
                                      <w:marTop w:val="0"/>
                                      <w:marBottom w:val="0"/>
                                      <w:divBdr>
                                        <w:top w:val="none" w:sz="0" w:space="0" w:color="auto"/>
                                        <w:left w:val="none" w:sz="0" w:space="0" w:color="auto"/>
                                        <w:bottom w:val="none" w:sz="0" w:space="0" w:color="auto"/>
                                        <w:right w:val="none" w:sz="0" w:space="0" w:color="auto"/>
                                      </w:divBdr>
                                      <w:divsChild>
                                        <w:div w:id="1210454519">
                                          <w:marLeft w:val="0"/>
                                          <w:marRight w:val="0"/>
                                          <w:marTop w:val="0"/>
                                          <w:marBottom w:val="0"/>
                                          <w:divBdr>
                                            <w:top w:val="none" w:sz="0" w:space="0" w:color="auto"/>
                                            <w:left w:val="none" w:sz="0" w:space="0" w:color="auto"/>
                                            <w:bottom w:val="none" w:sz="0" w:space="0" w:color="auto"/>
                                            <w:right w:val="none" w:sz="0" w:space="0" w:color="auto"/>
                                          </w:divBdr>
                                          <w:divsChild>
                                            <w:div w:id="1805542522">
                                              <w:marLeft w:val="0"/>
                                              <w:marRight w:val="0"/>
                                              <w:marTop w:val="0"/>
                                              <w:marBottom w:val="0"/>
                                              <w:divBdr>
                                                <w:top w:val="none" w:sz="0" w:space="0" w:color="auto"/>
                                                <w:left w:val="none" w:sz="0" w:space="0" w:color="auto"/>
                                                <w:bottom w:val="none" w:sz="0" w:space="0" w:color="auto"/>
                                                <w:right w:val="none" w:sz="0" w:space="0" w:color="auto"/>
                                              </w:divBdr>
                                              <w:divsChild>
                                                <w:div w:id="248779410">
                                                  <w:marLeft w:val="0"/>
                                                  <w:marRight w:val="0"/>
                                                  <w:marTop w:val="0"/>
                                                  <w:marBottom w:val="0"/>
                                                  <w:divBdr>
                                                    <w:top w:val="none" w:sz="0" w:space="0" w:color="auto"/>
                                                    <w:left w:val="none" w:sz="0" w:space="0" w:color="auto"/>
                                                    <w:bottom w:val="none" w:sz="0" w:space="0" w:color="auto"/>
                                                    <w:right w:val="none" w:sz="0" w:space="0" w:color="auto"/>
                                                  </w:divBdr>
                                                  <w:divsChild>
                                                    <w:div w:id="1814709076">
                                                      <w:marLeft w:val="0"/>
                                                      <w:marRight w:val="0"/>
                                                      <w:marTop w:val="0"/>
                                                      <w:marBottom w:val="0"/>
                                                      <w:divBdr>
                                                        <w:top w:val="none" w:sz="0" w:space="0" w:color="auto"/>
                                                        <w:left w:val="none" w:sz="0" w:space="0" w:color="auto"/>
                                                        <w:bottom w:val="none" w:sz="0" w:space="0" w:color="auto"/>
                                                        <w:right w:val="none" w:sz="0" w:space="0" w:color="auto"/>
                                                      </w:divBdr>
                                                      <w:divsChild>
                                                        <w:div w:id="82381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1332499">
      <w:bodyDiv w:val="1"/>
      <w:marLeft w:val="0"/>
      <w:marRight w:val="0"/>
      <w:marTop w:val="0"/>
      <w:marBottom w:val="0"/>
      <w:divBdr>
        <w:top w:val="none" w:sz="0" w:space="0" w:color="auto"/>
        <w:left w:val="none" w:sz="0" w:space="0" w:color="auto"/>
        <w:bottom w:val="none" w:sz="0" w:space="0" w:color="auto"/>
        <w:right w:val="none" w:sz="0" w:space="0" w:color="auto"/>
      </w:divBdr>
      <w:divsChild>
        <w:div w:id="1913158966">
          <w:marLeft w:val="0"/>
          <w:marRight w:val="0"/>
          <w:marTop w:val="0"/>
          <w:marBottom w:val="0"/>
          <w:divBdr>
            <w:top w:val="none" w:sz="0" w:space="0" w:color="auto"/>
            <w:left w:val="none" w:sz="0" w:space="0" w:color="auto"/>
            <w:bottom w:val="none" w:sz="0" w:space="0" w:color="auto"/>
            <w:right w:val="none" w:sz="0" w:space="0" w:color="auto"/>
          </w:divBdr>
          <w:divsChild>
            <w:div w:id="1630091644">
              <w:marLeft w:val="0"/>
              <w:marRight w:val="0"/>
              <w:marTop w:val="0"/>
              <w:marBottom w:val="0"/>
              <w:divBdr>
                <w:top w:val="none" w:sz="0" w:space="0" w:color="auto"/>
                <w:left w:val="none" w:sz="0" w:space="0" w:color="auto"/>
                <w:bottom w:val="none" w:sz="0" w:space="0" w:color="auto"/>
                <w:right w:val="none" w:sz="0" w:space="0" w:color="auto"/>
              </w:divBdr>
              <w:divsChild>
                <w:div w:id="616831938">
                  <w:marLeft w:val="0"/>
                  <w:marRight w:val="0"/>
                  <w:marTop w:val="0"/>
                  <w:marBottom w:val="0"/>
                  <w:divBdr>
                    <w:top w:val="none" w:sz="0" w:space="0" w:color="auto"/>
                    <w:left w:val="none" w:sz="0" w:space="0" w:color="auto"/>
                    <w:bottom w:val="none" w:sz="0" w:space="0" w:color="auto"/>
                    <w:right w:val="none" w:sz="0" w:space="0" w:color="auto"/>
                  </w:divBdr>
                  <w:divsChild>
                    <w:div w:id="1265528003">
                      <w:marLeft w:val="0"/>
                      <w:marRight w:val="0"/>
                      <w:marTop w:val="0"/>
                      <w:marBottom w:val="0"/>
                      <w:divBdr>
                        <w:top w:val="none" w:sz="0" w:space="0" w:color="auto"/>
                        <w:left w:val="none" w:sz="0" w:space="0" w:color="auto"/>
                        <w:bottom w:val="none" w:sz="0" w:space="0" w:color="auto"/>
                        <w:right w:val="none" w:sz="0" w:space="0" w:color="auto"/>
                      </w:divBdr>
                      <w:divsChild>
                        <w:div w:id="1469131507">
                          <w:marLeft w:val="0"/>
                          <w:marRight w:val="0"/>
                          <w:marTop w:val="0"/>
                          <w:marBottom w:val="0"/>
                          <w:divBdr>
                            <w:top w:val="none" w:sz="0" w:space="0" w:color="auto"/>
                            <w:left w:val="none" w:sz="0" w:space="0" w:color="auto"/>
                            <w:bottom w:val="none" w:sz="0" w:space="0" w:color="auto"/>
                            <w:right w:val="none" w:sz="0" w:space="0" w:color="auto"/>
                          </w:divBdr>
                          <w:divsChild>
                            <w:div w:id="1896696649">
                              <w:marLeft w:val="0"/>
                              <w:marRight w:val="0"/>
                              <w:marTop w:val="0"/>
                              <w:marBottom w:val="0"/>
                              <w:divBdr>
                                <w:top w:val="none" w:sz="0" w:space="0" w:color="auto"/>
                                <w:left w:val="none" w:sz="0" w:space="0" w:color="auto"/>
                                <w:bottom w:val="none" w:sz="0" w:space="0" w:color="auto"/>
                                <w:right w:val="none" w:sz="0" w:space="0" w:color="auto"/>
                              </w:divBdr>
                              <w:divsChild>
                                <w:div w:id="1416242425">
                                  <w:marLeft w:val="0"/>
                                  <w:marRight w:val="0"/>
                                  <w:marTop w:val="0"/>
                                  <w:marBottom w:val="0"/>
                                  <w:divBdr>
                                    <w:top w:val="none" w:sz="0" w:space="0" w:color="auto"/>
                                    <w:left w:val="none" w:sz="0" w:space="0" w:color="auto"/>
                                    <w:bottom w:val="none" w:sz="0" w:space="0" w:color="auto"/>
                                    <w:right w:val="none" w:sz="0" w:space="0" w:color="auto"/>
                                  </w:divBdr>
                                  <w:divsChild>
                                    <w:div w:id="1900168159">
                                      <w:marLeft w:val="0"/>
                                      <w:marRight w:val="0"/>
                                      <w:marTop w:val="0"/>
                                      <w:marBottom w:val="0"/>
                                      <w:divBdr>
                                        <w:top w:val="none" w:sz="0" w:space="0" w:color="auto"/>
                                        <w:left w:val="none" w:sz="0" w:space="0" w:color="auto"/>
                                        <w:bottom w:val="none" w:sz="0" w:space="0" w:color="auto"/>
                                        <w:right w:val="none" w:sz="0" w:space="0" w:color="auto"/>
                                      </w:divBdr>
                                      <w:divsChild>
                                        <w:div w:id="567156120">
                                          <w:marLeft w:val="0"/>
                                          <w:marRight w:val="0"/>
                                          <w:marTop w:val="0"/>
                                          <w:marBottom w:val="0"/>
                                          <w:divBdr>
                                            <w:top w:val="none" w:sz="0" w:space="0" w:color="auto"/>
                                            <w:left w:val="none" w:sz="0" w:space="0" w:color="auto"/>
                                            <w:bottom w:val="none" w:sz="0" w:space="0" w:color="auto"/>
                                            <w:right w:val="none" w:sz="0" w:space="0" w:color="auto"/>
                                          </w:divBdr>
                                          <w:divsChild>
                                            <w:div w:id="786238873">
                                              <w:marLeft w:val="0"/>
                                              <w:marRight w:val="0"/>
                                              <w:marTop w:val="0"/>
                                              <w:marBottom w:val="0"/>
                                              <w:divBdr>
                                                <w:top w:val="none" w:sz="0" w:space="0" w:color="auto"/>
                                                <w:left w:val="none" w:sz="0" w:space="0" w:color="auto"/>
                                                <w:bottom w:val="none" w:sz="0" w:space="0" w:color="auto"/>
                                                <w:right w:val="none" w:sz="0" w:space="0" w:color="auto"/>
                                              </w:divBdr>
                                              <w:divsChild>
                                                <w:div w:id="1564415362">
                                                  <w:marLeft w:val="0"/>
                                                  <w:marRight w:val="0"/>
                                                  <w:marTop w:val="0"/>
                                                  <w:marBottom w:val="0"/>
                                                  <w:divBdr>
                                                    <w:top w:val="none" w:sz="0" w:space="0" w:color="auto"/>
                                                    <w:left w:val="none" w:sz="0" w:space="0" w:color="auto"/>
                                                    <w:bottom w:val="none" w:sz="0" w:space="0" w:color="auto"/>
                                                    <w:right w:val="none" w:sz="0" w:space="0" w:color="auto"/>
                                                  </w:divBdr>
                                                  <w:divsChild>
                                                    <w:div w:id="308485074">
                                                      <w:marLeft w:val="0"/>
                                                      <w:marRight w:val="0"/>
                                                      <w:marTop w:val="0"/>
                                                      <w:marBottom w:val="0"/>
                                                      <w:divBdr>
                                                        <w:top w:val="none" w:sz="0" w:space="0" w:color="auto"/>
                                                        <w:left w:val="none" w:sz="0" w:space="0" w:color="auto"/>
                                                        <w:bottom w:val="none" w:sz="0" w:space="0" w:color="auto"/>
                                                        <w:right w:val="none" w:sz="0" w:space="0" w:color="auto"/>
                                                      </w:divBdr>
                                                      <w:divsChild>
                                                        <w:div w:id="15616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8194102">
      <w:bodyDiv w:val="1"/>
      <w:marLeft w:val="0"/>
      <w:marRight w:val="0"/>
      <w:marTop w:val="0"/>
      <w:marBottom w:val="0"/>
      <w:divBdr>
        <w:top w:val="none" w:sz="0" w:space="0" w:color="auto"/>
        <w:left w:val="none" w:sz="0" w:space="0" w:color="auto"/>
        <w:bottom w:val="none" w:sz="0" w:space="0" w:color="auto"/>
        <w:right w:val="none" w:sz="0" w:space="0" w:color="auto"/>
      </w:divBdr>
      <w:divsChild>
        <w:div w:id="758521943">
          <w:marLeft w:val="0"/>
          <w:marRight w:val="0"/>
          <w:marTop w:val="0"/>
          <w:marBottom w:val="0"/>
          <w:divBdr>
            <w:top w:val="none" w:sz="0" w:space="0" w:color="auto"/>
            <w:left w:val="none" w:sz="0" w:space="0" w:color="auto"/>
            <w:bottom w:val="none" w:sz="0" w:space="0" w:color="auto"/>
            <w:right w:val="none" w:sz="0" w:space="0" w:color="auto"/>
          </w:divBdr>
          <w:divsChild>
            <w:div w:id="883560257">
              <w:marLeft w:val="0"/>
              <w:marRight w:val="0"/>
              <w:marTop w:val="0"/>
              <w:marBottom w:val="0"/>
              <w:divBdr>
                <w:top w:val="none" w:sz="0" w:space="0" w:color="auto"/>
                <w:left w:val="none" w:sz="0" w:space="0" w:color="auto"/>
                <w:bottom w:val="none" w:sz="0" w:space="0" w:color="auto"/>
                <w:right w:val="none" w:sz="0" w:space="0" w:color="auto"/>
              </w:divBdr>
              <w:divsChild>
                <w:div w:id="830825964">
                  <w:marLeft w:val="0"/>
                  <w:marRight w:val="0"/>
                  <w:marTop w:val="0"/>
                  <w:marBottom w:val="0"/>
                  <w:divBdr>
                    <w:top w:val="none" w:sz="0" w:space="0" w:color="auto"/>
                    <w:left w:val="none" w:sz="0" w:space="0" w:color="auto"/>
                    <w:bottom w:val="none" w:sz="0" w:space="0" w:color="auto"/>
                    <w:right w:val="none" w:sz="0" w:space="0" w:color="auto"/>
                  </w:divBdr>
                  <w:divsChild>
                    <w:div w:id="1519656870">
                      <w:marLeft w:val="0"/>
                      <w:marRight w:val="0"/>
                      <w:marTop w:val="0"/>
                      <w:marBottom w:val="0"/>
                      <w:divBdr>
                        <w:top w:val="none" w:sz="0" w:space="0" w:color="auto"/>
                        <w:left w:val="none" w:sz="0" w:space="0" w:color="auto"/>
                        <w:bottom w:val="none" w:sz="0" w:space="0" w:color="auto"/>
                        <w:right w:val="none" w:sz="0" w:space="0" w:color="auto"/>
                      </w:divBdr>
                      <w:divsChild>
                        <w:div w:id="369037085">
                          <w:marLeft w:val="0"/>
                          <w:marRight w:val="0"/>
                          <w:marTop w:val="0"/>
                          <w:marBottom w:val="0"/>
                          <w:divBdr>
                            <w:top w:val="none" w:sz="0" w:space="0" w:color="auto"/>
                            <w:left w:val="none" w:sz="0" w:space="0" w:color="auto"/>
                            <w:bottom w:val="none" w:sz="0" w:space="0" w:color="auto"/>
                            <w:right w:val="none" w:sz="0" w:space="0" w:color="auto"/>
                          </w:divBdr>
                          <w:divsChild>
                            <w:div w:id="1589848701">
                              <w:marLeft w:val="0"/>
                              <w:marRight w:val="0"/>
                              <w:marTop w:val="0"/>
                              <w:marBottom w:val="0"/>
                              <w:divBdr>
                                <w:top w:val="none" w:sz="0" w:space="0" w:color="auto"/>
                                <w:left w:val="none" w:sz="0" w:space="0" w:color="auto"/>
                                <w:bottom w:val="none" w:sz="0" w:space="0" w:color="auto"/>
                                <w:right w:val="none" w:sz="0" w:space="0" w:color="auto"/>
                              </w:divBdr>
                              <w:divsChild>
                                <w:div w:id="770322184">
                                  <w:marLeft w:val="0"/>
                                  <w:marRight w:val="0"/>
                                  <w:marTop w:val="0"/>
                                  <w:marBottom w:val="0"/>
                                  <w:divBdr>
                                    <w:top w:val="none" w:sz="0" w:space="0" w:color="auto"/>
                                    <w:left w:val="none" w:sz="0" w:space="0" w:color="auto"/>
                                    <w:bottom w:val="none" w:sz="0" w:space="0" w:color="auto"/>
                                    <w:right w:val="none" w:sz="0" w:space="0" w:color="auto"/>
                                  </w:divBdr>
                                  <w:divsChild>
                                    <w:div w:id="708796267">
                                      <w:marLeft w:val="0"/>
                                      <w:marRight w:val="0"/>
                                      <w:marTop w:val="0"/>
                                      <w:marBottom w:val="0"/>
                                      <w:divBdr>
                                        <w:top w:val="none" w:sz="0" w:space="0" w:color="auto"/>
                                        <w:left w:val="none" w:sz="0" w:space="0" w:color="auto"/>
                                        <w:bottom w:val="none" w:sz="0" w:space="0" w:color="auto"/>
                                        <w:right w:val="none" w:sz="0" w:space="0" w:color="auto"/>
                                      </w:divBdr>
                                      <w:divsChild>
                                        <w:div w:id="1936984573">
                                          <w:marLeft w:val="0"/>
                                          <w:marRight w:val="0"/>
                                          <w:marTop w:val="0"/>
                                          <w:marBottom w:val="0"/>
                                          <w:divBdr>
                                            <w:top w:val="none" w:sz="0" w:space="0" w:color="auto"/>
                                            <w:left w:val="none" w:sz="0" w:space="0" w:color="auto"/>
                                            <w:bottom w:val="none" w:sz="0" w:space="0" w:color="auto"/>
                                            <w:right w:val="none" w:sz="0" w:space="0" w:color="auto"/>
                                          </w:divBdr>
                                          <w:divsChild>
                                            <w:div w:id="1013728194">
                                              <w:marLeft w:val="0"/>
                                              <w:marRight w:val="0"/>
                                              <w:marTop w:val="0"/>
                                              <w:marBottom w:val="0"/>
                                              <w:divBdr>
                                                <w:top w:val="none" w:sz="0" w:space="0" w:color="auto"/>
                                                <w:left w:val="none" w:sz="0" w:space="0" w:color="auto"/>
                                                <w:bottom w:val="none" w:sz="0" w:space="0" w:color="auto"/>
                                                <w:right w:val="none" w:sz="0" w:space="0" w:color="auto"/>
                                              </w:divBdr>
                                              <w:divsChild>
                                                <w:div w:id="1314531903">
                                                  <w:marLeft w:val="0"/>
                                                  <w:marRight w:val="0"/>
                                                  <w:marTop w:val="0"/>
                                                  <w:marBottom w:val="0"/>
                                                  <w:divBdr>
                                                    <w:top w:val="none" w:sz="0" w:space="0" w:color="auto"/>
                                                    <w:left w:val="none" w:sz="0" w:space="0" w:color="auto"/>
                                                    <w:bottom w:val="none" w:sz="0" w:space="0" w:color="auto"/>
                                                    <w:right w:val="none" w:sz="0" w:space="0" w:color="auto"/>
                                                  </w:divBdr>
                                                  <w:divsChild>
                                                    <w:div w:id="401106132">
                                                      <w:marLeft w:val="0"/>
                                                      <w:marRight w:val="0"/>
                                                      <w:marTop w:val="0"/>
                                                      <w:marBottom w:val="0"/>
                                                      <w:divBdr>
                                                        <w:top w:val="none" w:sz="0" w:space="0" w:color="auto"/>
                                                        <w:left w:val="none" w:sz="0" w:space="0" w:color="auto"/>
                                                        <w:bottom w:val="none" w:sz="0" w:space="0" w:color="auto"/>
                                                        <w:right w:val="none" w:sz="0" w:space="0" w:color="auto"/>
                                                      </w:divBdr>
                                                      <w:divsChild>
                                                        <w:div w:id="3227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7355480">
      <w:bodyDiv w:val="1"/>
      <w:marLeft w:val="0"/>
      <w:marRight w:val="0"/>
      <w:marTop w:val="0"/>
      <w:marBottom w:val="0"/>
      <w:divBdr>
        <w:top w:val="none" w:sz="0" w:space="0" w:color="auto"/>
        <w:left w:val="none" w:sz="0" w:space="0" w:color="auto"/>
        <w:bottom w:val="none" w:sz="0" w:space="0" w:color="auto"/>
        <w:right w:val="none" w:sz="0" w:space="0" w:color="auto"/>
      </w:divBdr>
    </w:div>
    <w:div w:id="1321276068">
      <w:bodyDiv w:val="1"/>
      <w:marLeft w:val="0"/>
      <w:marRight w:val="0"/>
      <w:marTop w:val="0"/>
      <w:marBottom w:val="0"/>
      <w:divBdr>
        <w:top w:val="none" w:sz="0" w:space="0" w:color="auto"/>
        <w:left w:val="none" w:sz="0" w:space="0" w:color="auto"/>
        <w:bottom w:val="none" w:sz="0" w:space="0" w:color="auto"/>
        <w:right w:val="none" w:sz="0" w:space="0" w:color="auto"/>
      </w:divBdr>
      <w:divsChild>
        <w:div w:id="564337695">
          <w:marLeft w:val="0"/>
          <w:marRight w:val="0"/>
          <w:marTop w:val="0"/>
          <w:marBottom w:val="0"/>
          <w:divBdr>
            <w:top w:val="none" w:sz="0" w:space="0" w:color="auto"/>
            <w:left w:val="none" w:sz="0" w:space="0" w:color="auto"/>
            <w:bottom w:val="none" w:sz="0" w:space="0" w:color="auto"/>
            <w:right w:val="none" w:sz="0" w:space="0" w:color="auto"/>
          </w:divBdr>
          <w:divsChild>
            <w:div w:id="1626307063">
              <w:marLeft w:val="0"/>
              <w:marRight w:val="0"/>
              <w:marTop w:val="0"/>
              <w:marBottom w:val="0"/>
              <w:divBdr>
                <w:top w:val="none" w:sz="0" w:space="0" w:color="auto"/>
                <w:left w:val="none" w:sz="0" w:space="0" w:color="auto"/>
                <w:bottom w:val="none" w:sz="0" w:space="0" w:color="auto"/>
                <w:right w:val="none" w:sz="0" w:space="0" w:color="auto"/>
              </w:divBdr>
              <w:divsChild>
                <w:div w:id="539320683">
                  <w:marLeft w:val="0"/>
                  <w:marRight w:val="0"/>
                  <w:marTop w:val="0"/>
                  <w:marBottom w:val="0"/>
                  <w:divBdr>
                    <w:top w:val="none" w:sz="0" w:space="0" w:color="auto"/>
                    <w:left w:val="none" w:sz="0" w:space="0" w:color="auto"/>
                    <w:bottom w:val="none" w:sz="0" w:space="0" w:color="auto"/>
                    <w:right w:val="none" w:sz="0" w:space="0" w:color="auto"/>
                  </w:divBdr>
                  <w:divsChild>
                    <w:div w:id="2059671051">
                      <w:marLeft w:val="0"/>
                      <w:marRight w:val="0"/>
                      <w:marTop w:val="0"/>
                      <w:marBottom w:val="0"/>
                      <w:divBdr>
                        <w:top w:val="none" w:sz="0" w:space="0" w:color="auto"/>
                        <w:left w:val="none" w:sz="0" w:space="0" w:color="auto"/>
                        <w:bottom w:val="none" w:sz="0" w:space="0" w:color="auto"/>
                        <w:right w:val="none" w:sz="0" w:space="0" w:color="auto"/>
                      </w:divBdr>
                      <w:divsChild>
                        <w:div w:id="163134011">
                          <w:marLeft w:val="0"/>
                          <w:marRight w:val="0"/>
                          <w:marTop w:val="0"/>
                          <w:marBottom w:val="0"/>
                          <w:divBdr>
                            <w:top w:val="none" w:sz="0" w:space="0" w:color="auto"/>
                            <w:left w:val="none" w:sz="0" w:space="0" w:color="auto"/>
                            <w:bottom w:val="none" w:sz="0" w:space="0" w:color="auto"/>
                            <w:right w:val="none" w:sz="0" w:space="0" w:color="auto"/>
                          </w:divBdr>
                          <w:divsChild>
                            <w:div w:id="671682962">
                              <w:marLeft w:val="0"/>
                              <w:marRight w:val="0"/>
                              <w:marTop w:val="0"/>
                              <w:marBottom w:val="0"/>
                              <w:divBdr>
                                <w:top w:val="none" w:sz="0" w:space="0" w:color="auto"/>
                                <w:left w:val="none" w:sz="0" w:space="0" w:color="auto"/>
                                <w:bottom w:val="none" w:sz="0" w:space="0" w:color="auto"/>
                                <w:right w:val="none" w:sz="0" w:space="0" w:color="auto"/>
                              </w:divBdr>
                              <w:divsChild>
                                <w:div w:id="847210204">
                                  <w:marLeft w:val="0"/>
                                  <w:marRight w:val="0"/>
                                  <w:marTop w:val="0"/>
                                  <w:marBottom w:val="0"/>
                                  <w:divBdr>
                                    <w:top w:val="none" w:sz="0" w:space="0" w:color="auto"/>
                                    <w:left w:val="none" w:sz="0" w:space="0" w:color="auto"/>
                                    <w:bottom w:val="none" w:sz="0" w:space="0" w:color="auto"/>
                                    <w:right w:val="none" w:sz="0" w:space="0" w:color="auto"/>
                                  </w:divBdr>
                                  <w:divsChild>
                                    <w:div w:id="1102073879">
                                      <w:marLeft w:val="0"/>
                                      <w:marRight w:val="0"/>
                                      <w:marTop w:val="0"/>
                                      <w:marBottom w:val="0"/>
                                      <w:divBdr>
                                        <w:top w:val="none" w:sz="0" w:space="0" w:color="auto"/>
                                        <w:left w:val="none" w:sz="0" w:space="0" w:color="auto"/>
                                        <w:bottom w:val="none" w:sz="0" w:space="0" w:color="auto"/>
                                        <w:right w:val="none" w:sz="0" w:space="0" w:color="auto"/>
                                      </w:divBdr>
                                      <w:divsChild>
                                        <w:div w:id="500244043">
                                          <w:marLeft w:val="0"/>
                                          <w:marRight w:val="0"/>
                                          <w:marTop w:val="0"/>
                                          <w:marBottom w:val="0"/>
                                          <w:divBdr>
                                            <w:top w:val="none" w:sz="0" w:space="0" w:color="auto"/>
                                            <w:left w:val="none" w:sz="0" w:space="0" w:color="auto"/>
                                            <w:bottom w:val="none" w:sz="0" w:space="0" w:color="auto"/>
                                            <w:right w:val="none" w:sz="0" w:space="0" w:color="auto"/>
                                          </w:divBdr>
                                          <w:divsChild>
                                            <w:div w:id="1692758942">
                                              <w:marLeft w:val="0"/>
                                              <w:marRight w:val="0"/>
                                              <w:marTop w:val="0"/>
                                              <w:marBottom w:val="0"/>
                                              <w:divBdr>
                                                <w:top w:val="none" w:sz="0" w:space="0" w:color="auto"/>
                                                <w:left w:val="none" w:sz="0" w:space="0" w:color="auto"/>
                                                <w:bottom w:val="none" w:sz="0" w:space="0" w:color="auto"/>
                                                <w:right w:val="none" w:sz="0" w:space="0" w:color="auto"/>
                                              </w:divBdr>
                                              <w:divsChild>
                                                <w:div w:id="415827407">
                                                  <w:marLeft w:val="0"/>
                                                  <w:marRight w:val="0"/>
                                                  <w:marTop w:val="0"/>
                                                  <w:marBottom w:val="0"/>
                                                  <w:divBdr>
                                                    <w:top w:val="none" w:sz="0" w:space="0" w:color="auto"/>
                                                    <w:left w:val="none" w:sz="0" w:space="0" w:color="auto"/>
                                                    <w:bottom w:val="none" w:sz="0" w:space="0" w:color="auto"/>
                                                    <w:right w:val="none" w:sz="0" w:space="0" w:color="auto"/>
                                                  </w:divBdr>
                                                  <w:divsChild>
                                                    <w:div w:id="1086069652">
                                                      <w:marLeft w:val="0"/>
                                                      <w:marRight w:val="0"/>
                                                      <w:marTop w:val="0"/>
                                                      <w:marBottom w:val="0"/>
                                                      <w:divBdr>
                                                        <w:top w:val="none" w:sz="0" w:space="0" w:color="auto"/>
                                                        <w:left w:val="none" w:sz="0" w:space="0" w:color="auto"/>
                                                        <w:bottom w:val="none" w:sz="0" w:space="0" w:color="auto"/>
                                                        <w:right w:val="none" w:sz="0" w:space="0" w:color="auto"/>
                                                      </w:divBdr>
                                                      <w:divsChild>
                                                        <w:div w:id="87846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9762787">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3327121D1C6E4C824CE555D525DF9B" ma:contentTypeVersion="" ma:contentTypeDescription="PDMS Document Site Content Type" ma:contentTypeScope="" ma:versionID="eda74906db03e39b8c4cfa4761542038">
  <xsd:schema xmlns:xsd="http://www.w3.org/2001/XMLSchema" xmlns:xs="http://www.w3.org/2001/XMLSchema" xmlns:p="http://schemas.microsoft.com/office/2006/metadata/properties" xmlns:ns2="E547A018-7E80-40A5-A8A6-34374423E983" targetNamespace="http://schemas.microsoft.com/office/2006/metadata/properties" ma:root="true" ma:fieldsID="ffd2ba8e66dcb263a0b28adac499b157" ns2:_="">
    <xsd:import namespace="E547A018-7E80-40A5-A8A6-34374423E98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7A018-7E80-40A5-A8A6-34374423E98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547A018-7E80-40A5-A8A6-34374423E98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01688-D7D4-429B-B8E6-8ADF0EFA909F}">
  <ds:schemaRefs>
    <ds:schemaRef ds:uri="http://schemas.microsoft.com/sharepoint/v3/contenttype/forms"/>
  </ds:schemaRefs>
</ds:datastoreItem>
</file>

<file path=customXml/itemProps2.xml><?xml version="1.0" encoding="utf-8"?>
<ds:datastoreItem xmlns:ds="http://schemas.openxmlformats.org/officeDocument/2006/customXml" ds:itemID="{B72D996E-212C-4B83-9A7C-666864225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7A018-7E80-40A5-A8A6-34374423E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3F9BB5-054C-47B7-8E2D-799BF1C3E5B3}">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E547A018-7E80-40A5-A8A6-34374423E983"/>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A5591D7-49E2-4BD8-B173-D0693E158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2185</Words>
  <Characters>12459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JOHNSON, Bronwyn Lee</cp:lastModifiedBy>
  <cp:revision>3</cp:revision>
  <cp:lastPrinted>2016-04-08T01:41:00Z</cp:lastPrinted>
  <dcterms:created xsi:type="dcterms:W3CDTF">2020-11-16T00:31:00Z</dcterms:created>
  <dcterms:modified xsi:type="dcterms:W3CDTF">2020-11-16T03:40:00Z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0x010100266966F133664895A6EE3632470D45F5008D3327121D1C6E4C824CE555D525DF9B</vt:lpwstr>
  </property>
</Properties>
</file>