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492CA" w14:textId="77777777" w:rsidR="005C07E5" w:rsidRDefault="005C07E5">
      <w:pPr>
        <w:pStyle w:val="Heading1"/>
        <w:spacing w:line="360" w:lineRule="auto"/>
      </w:pPr>
      <w:bookmarkStart w:id="0" w:name="_GoBack"/>
      <w:bookmarkEnd w:id="0"/>
      <w:r>
        <w:t>EXPLANATORY STATEMENT</w:t>
      </w:r>
    </w:p>
    <w:p w14:paraId="1C202F4C" w14:textId="77777777" w:rsidR="001D091B" w:rsidRDefault="00087974" w:rsidP="001D091B">
      <w:pPr>
        <w:pStyle w:val="Heading2"/>
        <w:spacing w:before="120" w:after="360" w:line="360" w:lineRule="auto"/>
        <w:ind w:left="0" w:firstLine="0"/>
      </w:pPr>
      <w:r w:rsidRPr="00087974">
        <w:rPr>
          <w:i/>
        </w:rPr>
        <w:t>Migration Regulations 1994</w:t>
      </w:r>
      <w:r w:rsidR="001D091B" w:rsidRPr="00087974">
        <w:rPr>
          <w:i/>
        </w:rPr>
        <w:t xml:space="preserve"> </w:t>
      </w:r>
    </w:p>
    <w:p w14:paraId="19C3248B" w14:textId="77777777" w:rsidR="001D091B" w:rsidRPr="00087974" w:rsidRDefault="00087974" w:rsidP="001D091B">
      <w:pPr>
        <w:spacing w:after="120" w:line="360" w:lineRule="auto"/>
        <w:ind w:hanging="23"/>
        <w:jc w:val="center"/>
        <w:rPr>
          <w:i/>
          <w:sz w:val="24"/>
        </w:rPr>
      </w:pPr>
      <w:r w:rsidRPr="00087974">
        <w:rPr>
          <w:b/>
          <w:sz w:val="24"/>
        </w:rPr>
        <w:t>Migration (Transitional operation of regulation 5.19 for certain 457 visa holders) Amendment Instrument (LIN 20/190) 2020</w:t>
      </w:r>
    </w:p>
    <w:p w14:paraId="6E5DA93B" w14:textId="77777777" w:rsidR="001D091B" w:rsidRPr="00087974" w:rsidRDefault="001D091B" w:rsidP="00372BB0">
      <w:pPr>
        <w:spacing w:line="360" w:lineRule="auto"/>
        <w:ind w:hanging="23"/>
        <w:jc w:val="center"/>
        <w:rPr>
          <w:i/>
        </w:rPr>
      </w:pPr>
      <w:r w:rsidRPr="00087974">
        <w:rPr>
          <w:i/>
        </w:rPr>
        <w:t>(</w:t>
      </w:r>
      <w:r w:rsidR="00087974" w:rsidRPr="00087974">
        <w:rPr>
          <w:i/>
        </w:rPr>
        <w:t>subregulation 5.19(6)</w:t>
      </w:r>
      <w:r w:rsidRPr="00087974">
        <w:rPr>
          <w:i/>
        </w:rPr>
        <w:t>)</w:t>
      </w:r>
    </w:p>
    <w:p w14:paraId="1A323A3E" w14:textId="77777777" w:rsidR="001D091B" w:rsidRPr="00087974" w:rsidRDefault="00AB5757" w:rsidP="00372BB0">
      <w:pPr>
        <w:numPr>
          <w:ilvl w:val="0"/>
          <w:numId w:val="9"/>
        </w:numPr>
        <w:spacing w:before="240" w:line="360" w:lineRule="auto"/>
        <w:ind w:left="567" w:hanging="567"/>
        <w:jc w:val="both"/>
        <w:rPr>
          <w:sz w:val="24"/>
        </w:rPr>
      </w:pPr>
      <w:r>
        <w:rPr>
          <w:sz w:val="24"/>
        </w:rPr>
        <w:t>The</w:t>
      </w:r>
      <w:r w:rsidR="00DB634D">
        <w:rPr>
          <w:sz w:val="24"/>
        </w:rPr>
        <w:t xml:space="preserve"> </w:t>
      </w:r>
      <w:r w:rsidR="00DB634D" w:rsidRPr="00087974">
        <w:rPr>
          <w:sz w:val="24"/>
        </w:rPr>
        <w:t>i</w:t>
      </w:r>
      <w:r w:rsidR="001D091B" w:rsidRPr="00087974">
        <w:rPr>
          <w:sz w:val="24"/>
        </w:rPr>
        <w:t>nstrument</w:t>
      </w:r>
      <w:r w:rsidR="00DB634D" w:rsidRPr="00087974">
        <w:rPr>
          <w:sz w:val="24"/>
        </w:rPr>
        <w:t>,</w:t>
      </w:r>
      <w:r w:rsidR="001D091B" w:rsidRPr="00087974">
        <w:rPr>
          <w:sz w:val="24"/>
        </w:rPr>
        <w:t xml:space="preserve"> </w:t>
      </w:r>
      <w:r w:rsidR="00DB634D" w:rsidRPr="00087974">
        <w:rPr>
          <w:sz w:val="24"/>
        </w:rPr>
        <w:t>LIN</w:t>
      </w:r>
      <w:r w:rsidR="001D091B" w:rsidRPr="00087974">
        <w:rPr>
          <w:sz w:val="24"/>
        </w:rPr>
        <w:t xml:space="preserve"> </w:t>
      </w:r>
      <w:r w:rsidR="00087974" w:rsidRPr="00087974">
        <w:rPr>
          <w:sz w:val="24"/>
        </w:rPr>
        <w:t>20/190</w:t>
      </w:r>
      <w:r w:rsidR="00DB634D" w:rsidRPr="00087974">
        <w:rPr>
          <w:sz w:val="24"/>
        </w:rPr>
        <w:t>,</w:t>
      </w:r>
      <w:r w:rsidR="001D091B">
        <w:rPr>
          <w:sz w:val="24"/>
        </w:rPr>
        <w:t xml:space="preserve"> is made under </w:t>
      </w:r>
      <w:r w:rsidR="00087974" w:rsidRPr="00087974">
        <w:rPr>
          <w:sz w:val="24"/>
        </w:rPr>
        <w:t>subregulation 5.19(6)</w:t>
      </w:r>
      <w:r w:rsidR="001D091B" w:rsidRPr="00087974">
        <w:rPr>
          <w:sz w:val="24"/>
        </w:rPr>
        <w:t xml:space="preserve"> of the </w:t>
      </w:r>
      <w:r w:rsidR="001D091B" w:rsidRPr="00087974">
        <w:rPr>
          <w:i/>
          <w:sz w:val="24"/>
        </w:rPr>
        <w:t>Migration Regulations 1994</w:t>
      </w:r>
      <w:r w:rsidR="001D091B" w:rsidRPr="00087974">
        <w:rPr>
          <w:sz w:val="24"/>
        </w:rPr>
        <w:t xml:space="preserve"> (the Regulations)</w:t>
      </w:r>
      <w:r w:rsidR="001D091B" w:rsidRPr="007A41F1">
        <w:rPr>
          <w:sz w:val="24"/>
        </w:rPr>
        <w:t>.</w:t>
      </w:r>
    </w:p>
    <w:p w14:paraId="13F10F1A" w14:textId="77777777" w:rsidR="001D091B" w:rsidRPr="007526E3" w:rsidRDefault="007526E3" w:rsidP="00947065">
      <w:pPr>
        <w:numPr>
          <w:ilvl w:val="0"/>
          <w:numId w:val="9"/>
        </w:numPr>
        <w:spacing w:before="240" w:line="360" w:lineRule="auto"/>
        <w:ind w:left="567" w:hanging="567"/>
        <w:jc w:val="both"/>
        <w:rPr>
          <w:sz w:val="24"/>
        </w:rPr>
      </w:pPr>
      <w:r w:rsidRPr="00327184">
        <w:rPr>
          <w:sz w:val="24"/>
        </w:rPr>
        <w:t xml:space="preserve">In accordance with subsection 33(3) of the </w:t>
      </w:r>
      <w:r w:rsidRPr="00327184">
        <w:rPr>
          <w:i/>
          <w:sz w:val="24"/>
        </w:rPr>
        <w:t>Acts Interpretation Act 1901</w:t>
      </w:r>
      <w:r w:rsidRPr="00327184">
        <w:rPr>
          <w:sz w:val="24"/>
        </w:rPr>
        <w:t xml:space="preserve"> (the AIA), the instrument amends the </w:t>
      </w:r>
      <w:r w:rsidRPr="007526E3">
        <w:rPr>
          <w:i/>
          <w:sz w:val="24"/>
        </w:rPr>
        <w:t>Migration (IMMI 18/052: Transitional operation of regulation 5.19 for certain 457 visa holders) Instrument 2018</w:t>
      </w:r>
      <w:r w:rsidRPr="00327184">
        <w:rPr>
          <w:sz w:val="24"/>
        </w:rPr>
        <w:t xml:space="preserve"> (</w:t>
      </w:r>
      <w:r w:rsidR="00C1096E" w:rsidRPr="00C1096E">
        <w:rPr>
          <w:bCs/>
          <w:sz w:val="24"/>
        </w:rPr>
        <w:t>F2018L00285</w:t>
      </w:r>
      <w:r w:rsidRPr="00327184">
        <w:rPr>
          <w:sz w:val="24"/>
        </w:rPr>
        <w:t>). Subsection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21DD233A" w14:textId="14FA8DFF" w:rsidR="001D091B" w:rsidRDefault="00947065" w:rsidP="00372BB0">
      <w:pPr>
        <w:numPr>
          <w:ilvl w:val="0"/>
          <w:numId w:val="9"/>
        </w:numPr>
        <w:spacing w:before="240" w:line="360" w:lineRule="auto"/>
        <w:ind w:left="567" w:hanging="567"/>
        <w:jc w:val="both"/>
        <w:rPr>
          <w:sz w:val="24"/>
        </w:rPr>
      </w:pPr>
      <w:r>
        <w:rPr>
          <w:sz w:val="24"/>
        </w:rPr>
        <w:t>IMMI 18/052 operates to:</w:t>
      </w:r>
    </w:p>
    <w:p w14:paraId="08EC3025" w14:textId="2071CE3E" w:rsidR="00EB75D3" w:rsidRPr="00EB75D3" w:rsidRDefault="00EB75D3" w:rsidP="00E761D0">
      <w:pPr>
        <w:numPr>
          <w:ilvl w:val="1"/>
          <w:numId w:val="17"/>
        </w:numPr>
        <w:shd w:val="clear" w:color="auto" w:fill="FFFFFF"/>
        <w:spacing w:after="100" w:afterAutospacing="1" w:line="360" w:lineRule="auto"/>
        <w:ind w:left="1276" w:hanging="425"/>
        <w:jc w:val="both"/>
        <w:rPr>
          <w:rFonts w:ascii="Helvetica Neue" w:hAnsi="Helvetica Neue"/>
          <w:sz w:val="24"/>
          <w:szCs w:val="24"/>
        </w:rPr>
      </w:pPr>
      <w:r w:rsidRPr="00EB75D3">
        <w:rPr>
          <w:rFonts w:ascii="Helvetica Neue" w:hAnsi="Helvetica Neue"/>
          <w:sz w:val="24"/>
          <w:szCs w:val="24"/>
        </w:rPr>
        <w:t>provide that ‘specified person’ means a person who, on 18 April 2017, held a Subclass 457 (Temporary Work (Skilled)) visa (Subclass 457 visa), or was an applicant for a Subclass 457 visa that was subsequently granted;</w:t>
      </w:r>
      <w:r>
        <w:rPr>
          <w:rFonts w:ascii="Helvetica Neue" w:hAnsi="Helvetica Neue"/>
          <w:sz w:val="24"/>
          <w:szCs w:val="24"/>
        </w:rPr>
        <w:t xml:space="preserve"> and</w:t>
      </w:r>
    </w:p>
    <w:p w14:paraId="7E7B6DBC" w14:textId="62906AA6" w:rsidR="00EB75D3" w:rsidRPr="00E761D0" w:rsidRDefault="00EB75D3" w:rsidP="00E761D0">
      <w:pPr>
        <w:numPr>
          <w:ilvl w:val="1"/>
          <w:numId w:val="17"/>
        </w:numPr>
        <w:shd w:val="clear" w:color="auto" w:fill="FFFFFF"/>
        <w:spacing w:after="100" w:afterAutospacing="1" w:line="360" w:lineRule="auto"/>
        <w:ind w:left="1276" w:hanging="425"/>
        <w:jc w:val="both"/>
        <w:rPr>
          <w:rFonts w:ascii="Helvetica Neue" w:hAnsi="Helvetica Neue"/>
          <w:sz w:val="24"/>
          <w:szCs w:val="24"/>
        </w:rPr>
      </w:pPr>
      <w:r w:rsidRPr="00EB75D3">
        <w:rPr>
          <w:rFonts w:ascii="Helvetica Neue" w:hAnsi="Helvetica Neue"/>
          <w:sz w:val="24"/>
          <w:szCs w:val="24"/>
        </w:rPr>
        <w:t>provide that</w:t>
      </w:r>
      <w:r w:rsidR="006305FF">
        <w:rPr>
          <w:rFonts w:ascii="Helvetica Neue" w:hAnsi="Helvetica Neue"/>
          <w:sz w:val="24"/>
          <w:szCs w:val="24"/>
        </w:rPr>
        <w:t xml:space="preserve"> these</w:t>
      </w:r>
      <w:r w:rsidRPr="00EB75D3">
        <w:rPr>
          <w:rFonts w:ascii="Helvetica Neue" w:hAnsi="Helvetica Neue"/>
          <w:sz w:val="24"/>
          <w:szCs w:val="24"/>
        </w:rPr>
        <w:t xml:space="preserve"> specified persons are specified for the purposes of subparagraph 5.19(5)(a)(iii) of the Regulations;</w:t>
      </w:r>
      <w:r w:rsidR="00381647">
        <w:rPr>
          <w:rFonts w:ascii="Helvetica Neue" w:hAnsi="Helvetica Neue"/>
          <w:sz w:val="24"/>
          <w:szCs w:val="24"/>
        </w:rPr>
        <w:t xml:space="preserve"> and</w:t>
      </w:r>
    </w:p>
    <w:p w14:paraId="602DC4D3" w14:textId="77777777" w:rsidR="00EB75D3" w:rsidRPr="00E761D0" w:rsidRDefault="00EB75D3" w:rsidP="00E761D0">
      <w:pPr>
        <w:numPr>
          <w:ilvl w:val="1"/>
          <w:numId w:val="17"/>
        </w:numPr>
        <w:shd w:val="clear" w:color="auto" w:fill="FFFFFF"/>
        <w:spacing w:after="100" w:afterAutospacing="1" w:line="360" w:lineRule="auto"/>
        <w:ind w:left="1276" w:hanging="425"/>
        <w:jc w:val="both"/>
        <w:rPr>
          <w:rFonts w:ascii="Helvetica Neue" w:hAnsi="Helvetica Neue"/>
          <w:sz w:val="24"/>
          <w:szCs w:val="24"/>
        </w:rPr>
      </w:pPr>
      <w:r w:rsidRPr="00EB75D3">
        <w:rPr>
          <w:rFonts w:ascii="Helvetica Neue" w:hAnsi="Helvetica Neue"/>
          <w:sz w:val="24"/>
          <w:szCs w:val="24"/>
        </w:rPr>
        <w:t>determine different periods of time for the purposes of paragraphs 5.19(5)(e), (f) and (g)</w:t>
      </w:r>
      <w:r w:rsidRPr="00E761D0">
        <w:rPr>
          <w:rFonts w:ascii="Helvetica Neue" w:hAnsi="Helvetica Neue"/>
          <w:sz w:val="24"/>
          <w:szCs w:val="24"/>
        </w:rPr>
        <w:t xml:space="preserve"> </w:t>
      </w:r>
      <w:r w:rsidRPr="00EB75D3">
        <w:rPr>
          <w:rFonts w:ascii="Helvetica Neue" w:hAnsi="Helvetica Neue"/>
          <w:sz w:val="24"/>
          <w:szCs w:val="24"/>
        </w:rPr>
        <w:t>of the Regulations for specified persons; and</w:t>
      </w:r>
    </w:p>
    <w:p w14:paraId="56E4B27C" w14:textId="77777777" w:rsidR="00EB75D3" w:rsidRPr="00E761D0" w:rsidRDefault="00EB75D3" w:rsidP="00E761D0">
      <w:pPr>
        <w:numPr>
          <w:ilvl w:val="1"/>
          <w:numId w:val="17"/>
        </w:numPr>
        <w:shd w:val="clear" w:color="auto" w:fill="FFFFFF"/>
        <w:spacing w:after="100" w:afterAutospacing="1" w:line="360" w:lineRule="auto"/>
        <w:ind w:left="1276" w:hanging="425"/>
        <w:jc w:val="both"/>
        <w:rPr>
          <w:rFonts w:ascii="Helvetica Neue" w:hAnsi="Helvetica Neue"/>
          <w:sz w:val="24"/>
          <w:szCs w:val="24"/>
        </w:rPr>
      </w:pPr>
      <w:r w:rsidRPr="00E761D0">
        <w:rPr>
          <w:rFonts w:ascii="Helvetica Neue" w:hAnsi="Helvetica Neue"/>
          <w:sz w:val="24"/>
          <w:szCs w:val="24"/>
        </w:rPr>
        <w:t>exempt specified persons from the operation of paragraph 5.19(5)(c) of the Regulations.</w:t>
      </w:r>
    </w:p>
    <w:p w14:paraId="68DD9637" w14:textId="0368A15D" w:rsidR="00A70E2E" w:rsidRPr="00A70E2E" w:rsidRDefault="00A70E2E" w:rsidP="00A70E2E">
      <w:pPr>
        <w:numPr>
          <w:ilvl w:val="0"/>
          <w:numId w:val="9"/>
        </w:numPr>
        <w:spacing w:before="240" w:line="360" w:lineRule="auto"/>
        <w:ind w:left="567" w:hanging="567"/>
        <w:jc w:val="both"/>
        <w:rPr>
          <w:sz w:val="24"/>
        </w:rPr>
      </w:pPr>
      <w:r w:rsidRPr="00A70E2E">
        <w:rPr>
          <w:sz w:val="24"/>
        </w:rPr>
        <w:lastRenderedPageBreak/>
        <w:t>Paragraphs 5.19(5</w:t>
      </w:r>
      <w:r>
        <w:rPr>
          <w:sz w:val="24"/>
        </w:rPr>
        <w:t xml:space="preserve">)(e), </w:t>
      </w:r>
      <w:r w:rsidRPr="00A70E2E">
        <w:rPr>
          <w:sz w:val="24"/>
        </w:rPr>
        <w:t>(f) and (g)</w:t>
      </w:r>
      <w:r w:rsidR="00381647">
        <w:rPr>
          <w:sz w:val="24"/>
        </w:rPr>
        <w:t xml:space="preserve"> of the Regulations</w:t>
      </w:r>
      <w:r w:rsidRPr="00A70E2E">
        <w:rPr>
          <w:sz w:val="24"/>
        </w:rPr>
        <w:t xml:space="preserve"> set out the requirements for approval which must be met if the nomination relates to a visa in a Tempor</w:t>
      </w:r>
      <w:r w:rsidR="00381647">
        <w:rPr>
          <w:sz w:val="24"/>
        </w:rPr>
        <w:t xml:space="preserve">ary Residence Transition stream, which are </w:t>
      </w:r>
      <w:r w:rsidRPr="00A70E2E">
        <w:rPr>
          <w:sz w:val="24"/>
        </w:rPr>
        <w:t>as follows:</w:t>
      </w:r>
    </w:p>
    <w:p w14:paraId="17D8B3B8" w14:textId="4F69510A" w:rsidR="00A70E2E" w:rsidRPr="00E761D0" w:rsidRDefault="00A70E2E" w:rsidP="00E761D0">
      <w:pPr>
        <w:numPr>
          <w:ilvl w:val="1"/>
          <w:numId w:val="17"/>
        </w:numPr>
        <w:shd w:val="clear" w:color="auto" w:fill="FFFFFF"/>
        <w:spacing w:after="100" w:afterAutospacing="1" w:line="360" w:lineRule="auto"/>
        <w:ind w:left="1134" w:hanging="567"/>
        <w:jc w:val="both"/>
        <w:rPr>
          <w:rFonts w:ascii="Helvetica Neue" w:hAnsi="Helvetica Neue"/>
          <w:sz w:val="24"/>
          <w:szCs w:val="24"/>
        </w:rPr>
      </w:pPr>
      <w:r w:rsidRPr="00E761D0">
        <w:rPr>
          <w:rFonts w:ascii="Helvetica Neue" w:hAnsi="Helvetica Neue"/>
          <w:sz w:val="24"/>
          <w:szCs w:val="24"/>
        </w:rPr>
        <w:t xml:space="preserve">during the period of 4 years immediately before the application is made, the person identified in the nomination application (the ‘identified person’) must have held a Subclass 457 visa or a Subclass 482 visa for at least 3 years (see paragraph 5.19(5)(e)); </w:t>
      </w:r>
    </w:p>
    <w:p w14:paraId="6F73575B" w14:textId="5744FF05" w:rsidR="00A70E2E" w:rsidRPr="00E761D0" w:rsidRDefault="00A70E2E" w:rsidP="00E761D0">
      <w:pPr>
        <w:numPr>
          <w:ilvl w:val="1"/>
          <w:numId w:val="17"/>
        </w:numPr>
        <w:shd w:val="clear" w:color="auto" w:fill="FFFFFF"/>
        <w:spacing w:after="100" w:afterAutospacing="1" w:line="360" w:lineRule="auto"/>
        <w:ind w:left="1134" w:hanging="567"/>
        <w:jc w:val="both"/>
        <w:rPr>
          <w:rFonts w:ascii="Helvetica Neue" w:hAnsi="Helvetica Neue"/>
          <w:sz w:val="24"/>
          <w:szCs w:val="24"/>
        </w:rPr>
      </w:pPr>
      <w:r w:rsidRPr="00E761D0">
        <w:rPr>
          <w:rFonts w:ascii="Helvetica Neue" w:hAnsi="Helvetica Neue"/>
          <w:sz w:val="24"/>
          <w:szCs w:val="24"/>
        </w:rPr>
        <w:t>if paragraph 5.19(5)(f) applies to the identified person</w:t>
      </w:r>
      <w:r w:rsidR="00381647" w:rsidRPr="00E761D0">
        <w:rPr>
          <w:rFonts w:ascii="Helvetica Neue" w:hAnsi="Helvetica Neue"/>
          <w:sz w:val="24"/>
          <w:szCs w:val="24"/>
        </w:rPr>
        <w:t>—</w:t>
      </w:r>
      <w:r w:rsidRPr="00E761D0">
        <w:rPr>
          <w:rFonts w:ascii="Helvetica Neue" w:hAnsi="Helvetica Neue"/>
          <w:sz w:val="24"/>
          <w:szCs w:val="24"/>
        </w:rPr>
        <w:t>the person must have been employed in the position in relation to which the relevant Subclass 457 or Subclass 482 visa was granted for at least 3 years (not including any periods of unpaid leave) during the period of 4 years immediately be</w:t>
      </w:r>
      <w:r w:rsidR="00381647" w:rsidRPr="00E761D0">
        <w:rPr>
          <w:rFonts w:ascii="Helvetica Neue" w:hAnsi="Helvetica Neue"/>
          <w:sz w:val="24"/>
          <w:szCs w:val="24"/>
        </w:rPr>
        <w:t>fore the application is made;</w:t>
      </w:r>
    </w:p>
    <w:p w14:paraId="38311FB2" w14:textId="1061F9D0" w:rsidR="00A70E2E" w:rsidRPr="00E761D0" w:rsidRDefault="00A70E2E" w:rsidP="00E761D0">
      <w:pPr>
        <w:numPr>
          <w:ilvl w:val="1"/>
          <w:numId w:val="17"/>
        </w:numPr>
        <w:shd w:val="clear" w:color="auto" w:fill="FFFFFF"/>
        <w:spacing w:after="100" w:afterAutospacing="1" w:line="360" w:lineRule="auto"/>
        <w:ind w:left="1134" w:hanging="567"/>
        <w:jc w:val="both"/>
        <w:rPr>
          <w:rFonts w:ascii="Helvetica Neue" w:hAnsi="Helvetica Neue"/>
          <w:sz w:val="24"/>
          <w:szCs w:val="24"/>
        </w:rPr>
      </w:pPr>
      <w:r w:rsidRPr="00E761D0">
        <w:rPr>
          <w:rFonts w:ascii="Helvetica Neue" w:hAnsi="Helvetica Neue"/>
          <w:sz w:val="24"/>
          <w:szCs w:val="24"/>
        </w:rPr>
        <w:t xml:space="preserve">if paragraph 5.19(5)(g) </w:t>
      </w:r>
      <w:r w:rsidR="00381647" w:rsidRPr="00E761D0">
        <w:rPr>
          <w:rFonts w:ascii="Helvetica Neue" w:hAnsi="Helvetica Neue"/>
          <w:sz w:val="24"/>
          <w:szCs w:val="24"/>
        </w:rPr>
        <w:t>applies to the identified person—t</w:t>
      </w:r>
      <w:r w:rsidRPr="00E761D0">
        <w:rPr>
          <w:rFonts w:ascii="Helvetica Neue" w:hAnsi="Helvetica Neue"/>
          <w:sz w:val="24"/>
          <w:szCs w:val="24"/>
        </w:rPr>
        <w:t>he person must have been employed in the occupation in relation to which the relevant Subclass 457 or Subclass 482 visa was granted for at least 3 years (not including any periods of unpaid leave) during the period of 4 years immediately before the application is made.</w:t>
      </w:r>
    </w:p>
    <w:p w14:paraId="54BD88C0" w14:textId="4488339E" w:rsidR="00486984" w:rsidRDefault="00EB75D3" w:rsidP="00372BB0">
      <w:pPr>
        <w:numPr>
          <w:ilvl w:val="0"/>
          <w:numId w:val="9"/>
        </w:numPr>
        <w:spacing w:before="240" w:line="360" w:lineRule="auto"/>
        <w:ind w:left="567" w:hanging="567"/>
        <w:jc w:val="both"/>
        <w:rPr>
          <w:sz w:val="24"/>
        </w:rPr>
      </w:pPr>
      <w:r>
        <w:rPr>
          <w:sz w:val="24"/>
        </w:rPr>
        <w:t>The purpose of LIN 20/190 is to amend IMMI 18/052 to determine different periods of time for the purposes of paragraphs 5.19(5)(f) and (g) of the Regulations</w:t>
      </w:r>
      <w:r w:rsidR="006305FF">
        <w:rPr>
          <w:sz w:val="24"/>
        </w:rPr>
        <w:t>, for</w:t>
      </w:r>
      <w:r w:rsidR="007C17C5">
        <w:rPr>
          <w:sz w:val="24"/>
        </w:rPr>
        <w:t xml:space="preserve"> new class</w:t>
      </w:r>
      <w:r w:rsidR="006305FF">
        <w:rPr>
          <w:sz w:val="24"/>
        </w:rPr>
        <w:t xml:space="preserve">es of </w:t>
      </w:r>
      <w:r w:rsidR="00EC77BC">
        <w:rPr>
          <w:sz w:val="24"/>
        </w:rPr>
        <w:t xml:space="preserve">persons who are specified for the purposes of theses paragraphs. </w:t>
      </w:r>
      <w:r w:rsidR="00486984">
        <w:rPr>
          <w:sz w:val="24"/>
        </w:rPr>
        <w:t>Subregulation 5.19(6) of the Regulations provides that the Minister may, by legislative instrument, determine different periods of time for the purposes of paragraph 5.19(5)(e), (f) and (g) for persons specified in the instrument.</w:t>
      </w:r>
    </w:p>
    <w:p w14:paraId="4896498E" w14:textId="65504D97" w:rsidR="005C4FAD" w:rsidRDefault="005C4FAD" w:rsidP="00372BB0">
      <w:pPr>
        <w:numPr>
          <w:ilvl w:val="0"/>
          <w:numId w:val="9"/>
        </w:numPr>
        <w:spacing w:before="240" w:line="360" w:lineRule="auto"/>
        <w:ind w:left="567" w:hanging="567"/>
        <w:jc w:val="both"/>
        <w:rPr>
          <w:sz w:val="24"/>
        </w:rPr>
      </w:pPr>
      <w:r>
        <w:rPr>
          <w:sz w:val="24"/>
        </w:rPr>
        <w:t>Specifically, LIN 20/190 provides that:</w:t>
      </w:r>
    </w:p>
    <w:p w14:paraId="2B1D8C35" w14:textId="72325DFE" w:rsidR="005C4FAD" w:rsidRPr="00E761D0" w:rsidRDefault="005C4FAD" w:rsidP="00E761D0">
      <w:pPr>
        <w:numPr>
          <w:ilvl w:val="1"/>
          <w:numId w:val="17"/>
        </w:numPr>
        <w:shd w:val="clear" w:color="auto" w:fill="FFFFFF"/>
        <w:spacing w:after="100" w:afterAutospacing="1" w:line="360" w:lineRule="auto"/>
        <w:ind w:left="993" w:hanging="426"/>
        <w:jc w:val="both"/>
        <w:rPr>
          <w:rFonts w:ascii="Helvetica Neue" w:hAnsi="Helvetica Neue"/>
          <w:sz w:val="24"/>
          <w:szCs w:val="24"/>
        </w:rPr>
      </w:pPr>
      <w:r w:rsidRPr="00E761D0">
        <w:rPr>
          <w:rFonts w:ascii="Helvetica Neue" w:hAnsi="Helvetica Neue"/>
          <w:sz w:val="24"/>
          <w:szCs w:val="24"/>
        </w:rPr>
        <w:t>for paragraph 5.19(5)(f) of the Regulation—</w:t>
      </w:r>
      <w:r w:rsidR="0001514C" w:rsidRPr="00E761D0">
        <w:rPr>
          <w:rFonts w:ascii="Helvetica Neue" w:hAnsi="Helvetica Neue"/>
          <w:sz w:val="24"/>
          <w:szCs w:val="24"/>
        </w:rPr>
        <w:t>in relation to a person who has had one or more ‘coronavirus reduced work periods’</w:t>
      </w:r>
      <w:r w:rsidR="006C121C" w:rsidRPr="00E761D0">
        <w:rPr>
          <w:rFonts w:ascii="Helvetica Neue" w:hAnsi="Helvetica Neue"/>
          <w:sz w:val="24"/>
          <w:szCs w:val="24"/>
        </w:rPr>
        <w:t xml:space="preserve"> during the ‘concession period’</w:t>
      </w:r>
      <w:r w:rsidR="0001514C" w:rsidRPr="00E761D0">
        <w:rPr>
          <w:rFonts w:ascii="Helvetica Neue" w:hAnsi="Helvetica Neue"/>
          <w:sz w:val="24"/>
          <w:szCs w:val="24"/>
        </w:rPr>
        <w:t xml:space="preserve">, that paragraph is applied as if a </w:t>
      </w:r>
      <w:r w:rsidRPr="00E761D0">
        <w:rPr>
          <w:rFonts w:ascii="Helvetica Neue" w:hAnsi="Helvetica Neue"/>
          <w:sz w:val="24"/>
          <w:szCs w:val="24"/>
        </w:rPr>
        <w:t>reference to a t</w:t>
      </w:r>
      <w:r w:rsidR="0001514C" w:rsidRPr="00E761D0">
        <w:rPr>
          <w:rFonts w:ascii="Helvetica Neue" w:hAnsi="Helvetica Neue"/>
          <w:sz w:val="24"/>
          <w:szCs w:val="24"/>
        </w:rPr>
        <w:t xml:space="preserve">otal period of at least </w:t>
      </w:r>
      <w:r w:rsidRPr="00E761D0">
        <w:rPr>
          <w:rFonts w:ascii="Helvetica Neue" w:hAnsi="Helvetica Neue"/>
          <w:sz w:val="24"/>
          <w:szCs w:val="24"/>
        </w:rPr>
        <w:t xml:space="preserve">3 years </w:t>
      </w:r>
      <w:r w:rsidR="0001514C" w:rsidRPr="00E761D0">
        <w:rPr>
          <w:rFonts w:ascii="Helvetica Neue" w:hAnsi="Helvetica Neue"/>
          <w:sz w:val="24"/>
          <w:szCs w:val="24"/>
        </w:rPr>
        <w:t>were a reference to a total period of at least 3 years (or, if the persons is a ‘specified person’, at least 2 years) less the total length of the ‘coronavirus reduced work periods’;</w:t>
      </w:r>
      <w:r w:rsidR="00710B2C" w:rsidRPr="00E761D0">
        <w:rPr>
          <w:rFonts w:ascii="Helvetica Neue" w:hAnsi="Helvetica Neue"/>
          <w:sz w:val="24"/>
          <w:szCs w:val="24"/>
        </w:rPr>
        <w:t xml:space="preserve"> and</w:t>
      </w:r>
    </w:p>
    <w:p w14:paraId="4BEBCABC" w14:textId="53C665DC" w:rsidR="00EC77BC" w:rsidRPr="00E761D0" w:rsidRDefault="005C4FAD" w:rsidP="00E761D0">
      <w:pPr>
        <w:numPr>
          <w:ilvl w:val="1"/>
          <w:numId w:val="17"/>
        </w:numPr>
        <w:shd w:val="clear" w:color="auto" w:fill="FFFFFF"/>
        <w:spacing w:after="100" w:afterAutospacing="1" w:line="360" w:lineRule="auto"/>
        <w:ind w:left="1134" w:hanging="567"/>
        <w:jc w:val="both"/>
        <w:rPr>
          <w:rFonts w:ascii="Helvetica Neue" w:hAnsi="Helvetica Neue"/>
          <w:sz w:val="24"/>
          <w:szCs w:val="24"/>
        </w:rPr>
      </w:pPr>
      <w:r w:rsidRPr="00E761D0">
        <w:rPr>
          <w:rFonts w:ascii="Helvetica Neue" w:hAnsi="Helvetica Neue"/>
          <w:sz w:val="24"/>
          <w:szCs w:val="24"/>
        </w:rPr>
        <w:lastRenderedPageBreak/>
        <w:t>for paragraph 5.19(5)(g) of the Regulations—</w:t>
      </w:r>
      <w:r w:rsidR="0001514C" w:rsidRPr="00E761D0">
        <w:rPr>
          <w:rFonts w:ascii="Helvetica Neue" w:hAnsi="Helvetica Neue"/>
          <w:sz w:val="24"/>
          <w:szCs w:val="24"/>
        </w:rPr>
        <w:t>in relation to a person who has had one or more ‘coronavirus unpaid leave periods’</w:t>
      </w:r>
      <w:r w:rsidR="006C121C" w:rsidRPr="00E761D0">
        <w:rPr>
          <w:rFonts w:ascii="Helvetica Neue" w:hAnsi="Helvetica Neue"/>
          <w:sz w:val="24"/>
          <w:szCs w:val="24"/>
        </w:rPr>
        <w:t xml:space="preserve"> during the ‘concession period’</w:t>
      </w:r>
      <w:r w:rsidR="0001514C" w:rsidRPr="00E761D0">
        <w:rPr>
          <w:rFonts w:ascii="Helvetica Neue" w:hAnsi="Helvetica Neue"/>
          <w:sz w:val="24"/>
          <w:szCs w:val="24"/>
        </w:rPr>
        <w:t>, that paragraph is applied as if a reference to a total period of at least 4 years were a reference to a total period of at least 3 years (or, if the person is a ‘specified person’, at least 2 years) less the total length of the ‘coronavirus unpaid leave periods’.</w:t>
      </w:r>
    </w:p>
    <w:p w14:paraId="63D8D63E" w14:textId="00E31013" w:rsidR="006C121C" w:rsidRDefault="006C121C" w:rsidP="00E761D0">
      <w:pPr>
        <w:numPr>
          <w:ilvl w:val="0"/>
          <w:numId w:val="9"/>
        </w:numPr>
        <w:spacing w:before="240" w:line="360" w:lineRule="auto"/>
        <w:ind w:left="567" w:hanging="567"/>
        <w:jc w:val="both"/>
        <w:rPr>
          <w:sz w:val="24"/>
        </w:rPr>
      </w:pPr>
      <w:r>
        <w:rPr>
          <w:sz w:val="24"/>
        </w:rPr>
        <w:t xml:space="preserve">The term ‘concession period’ means the concession period mentioned in subregulation 1.15N(1) of the Regulations. </w:t>
      </w:r>
      <w:r w:rsidRPr="006C121C">
        <w:rPr>
          <w:sz w:val="24"/>
        </w:rPr>
        <w:t>The concession period is defined in subregulation 1.15N(1) of the Regulations as the period that commences on 1 February 2020 and ends on a day specified by the Minister.</w:t>
      </w:r>
    </w:p>
    <w:p w14:paraId="2EE2A350" w14:textId="2144B4CD" w:rsidR="00A70E2E" w:rsidRDefault="0001514C" w:rsidP="0001514C">
      <w:pPr>
        <w:numPr>
          <w:ilvl w:val="0"/>
          <w:numId w:val="9"/>
        </w:numPr>
        <w:spacing w:before="240" w:line="360" w:lineRule="auto"/>
        <w:ind w:left="567" w:hanging="567"/>
        <w:jc w:val="both"/>
        <w:rPr>
          <w:sz w:val="24"/>
        </w:rPr>
      </w:pPr>
      <w:r>
        <w:rPr>
          <w:sz w:val="24"/>
        </w:rPr>
        <w:t>The terms ‘coronavirus reduced work period’ and ‘coronavirus unpaid leave period’ are defined in subsections 7A(3) and 7B</w:t>
      </w:r>
      <w:r w:rsidR="00A70E2E">
        <w:rPr>
          <w:sz w:val="24"/>
        </w:rPr>
        <w:t>(3) of LIN 20/190 respectively, and operate as outlined below.</w:t>
      </w:r>
    </w:p>
    <w:p w14:paraId="081D0DCB" w14:textId="78B806B9" w:rsidR="00A70E2E" w:rsidRPr="00E761D0" w:rsidRDefault="00710B2C" w:rsidP="00E761D0">
      <w:pPr>
        <w:numPr>
          <w:ilvl w:val="1"/>
          <w:numId w:val="17"/>
        </w:numPr>
        <w:shd w:val="clear" w:color="auto" w:fill="FFFFFF"/>
        <w:spacing w:after="100" w:afterAutospacing="1" w:line="360" w:lineRule="auto"/>
        <w:ind w:left="1134" w:hanging="567"/>
        <w:jc w:val="both"/>
        <w:rPr>
          <w:rFonts w:ascii="Helvetica Neue" w:hAnsi="Helvetica Neue"/>
          <w:sz w:val="24"/>
          <w:szCs w:val="24"/>
        </w:rPr>
      </w:pPr>
      <w:r w:rsidRPr="00E761D0">
        <w:rPr>
          <w:rFonts w:ascii="Helvetica Neue" w:hAnsi="Helvetica Neue"/>
          <w:sz w:val="24"/>
          <w:szCs w:val="24"/>
        </w:rPr>
        <w:t>A person in relation to whom there are one or more ‘coronavirus reduced work periods’ is a person who has been placed on unpaid leave or has had their hours reduced due to the COVID-19 pandemic, during the period of 4 years (or, if the person is a ‘specified person’, of 3 years) immediately before their appl</w:t>
      </w:r>
      <w:r w:rsidR="00A70E2E" w:rsidRPr="00E761D0">
        <w:rPr>
          <w:rFonts w:ascii="Helvetica Neue" w:hAnsi="Helvetica Neue"/>
          <w:sz w:val="24"/>
          <w:szCs w:val="24"/>
        </w:rPr>
        <w:t>ication for a nomination application was made.</w:t>
      </w:r>
    </w:p>
    <w:p w14:paraId="53B2C77B" w14:textId="31B37265" w:rsidR="0001514C" w:rsidRPr="00E761D0" w:rsidRDefault="00710B2C" w:rsidP="00E761D0">
      <w:pPr>
        <w:numPr>
          <w:ilvl w:val="1"/>
          <w:numId w:val="17"/>
        </w:numPr>
        <w:shd w:val="clear" w:color="auto" w:fill="FFFFFF"/>
        <w:spacing w:after="100" w:afterAutospacing="1" w:line="360" w:lineRule="auto"/>
        <w:ind w:left="1134" w:hanging="567"/>
        <w:jc w:val="both"/>
        <w:rPr>
          <w:rFonts w:ascii="Helvetica Neue" w:hAnsi="Helvetica Neue"/>
          <w:sz w:val="24"/>
          <w:szCs w:val="24"/>
        </w:rPr>
      </w:pPr>
      <w:r w:rsidRPr="00E761D0">
        <w:rPr>
          <w:rFonts w:ascii="Helvetica Neue" w:hAnsi="Helvetica Neue"/>
          <w:sz w:val="24"/>
          <w:szCs w:val="24"/>
        </w:rPr>
        <w:t xml:space="preserve">A person in relation to whom there are one or more ‘coronavirus unpaid leave periods’ is a person who has been placed on unpaid leave due to the COVID-19 pandemic, during the period of 4 years (or, if the person is a ‘specified person’, of 3 years) immediately before their application for a </w:t>
      </w:r>
      <w:r w:rsidR="00A70E2E" w:rsidRPr="00E761D0">
        <w:rPr>
          <w:rFonts w:ascii="Helvetica Neue" w:hAnsi="Helvetica Neue"/>
          <w:sz w:val="24"/>
          <w:szCs w:val="24"/>
        </w:rPr>
        <w:t>nomination application</w:t>
      </w:r>
      <w:r w:rsidRPr="00E761D0">
        <w:rPr>
          <w:rFonts w:ascii="Helvetica Neue" w:hAnsi="Helvetica Neue"/>
          <w:sz w:val="24"/>
          <w:szCs w:val="24"/>
        </w:rPr>
        <w:t xml:space="preserve"> was made</w:t>
      </w:r>
      <w:r w:rsidR="00A70E2E" w:rsidRPr="00E761D0">
        <w:rPr>
          <w:rFonts w:ascii="Helvetica Neue" w:hAnsi="Helvetica Neue"/>
          <w:sz w:val="24"/>
          <w:szCs w:val="24"/>
        </w:rPr>
        <w:t>.</w:t>
      </w:r>
      <w:r w:rsidR="00077D42" w:rsidRPr="00E761D0">
        <w:rPr>
          <w:rFonts w:ascii="Helvetica Neue" w:hAnsi="Helvetica Neue"/>
          <w:sz w:val="24"/>
          <w:szCs w:val="24"/>
        </w:rPr>
        <w:t xml:space="preserve"> </w:t>
      </w:r>
    </w:p>
    <w:p w14:paraId="0FBEEDD1" w14:textId="084B25BB" w:rsidR="00584498" w:rsidRDefault="005C4FAD" w:rsidP="00077D42">
      <w:pPr>
        <w:numPr>
          <w:ilvl w:val="0"/>
          <w:numId w:val="9"/>
        </w:numPr>
        <w:spacing w:before="240" w:line="360" w:lineRule="auto"/>
        <w:ind w:left="567" w:hanging="567"/>
        <w:jc w:val="both"/>
        <w:rPr>
          <w:sz w:val="24"/>
        </w:rPr>
      </w:pPr>
      <w:r w:rsidRPr="00077D42">
        <w:rPr>
          <w:sz w:val="24"/>
        </w:rPr>
        <w:t>The amendment</w:t>
      </w:r>
      <w:r w:rsidR="0001514C" w:rsidRPr="00077D42">
        <w:rPr>
          <w:sz w:val="24"/>
        </w:rPr>
        <w:t>s in LIN 20/190</w:t>
      </w:r>
      <w:r w:rsidRPr="00077D42">
        <w:rPr>
          <w:sz w:val="24"/>
        </w:rPr>
        <w:t xml:space="preserve"> is in response to the COVID-19 pandemic, which has severely disrupted Australia’s labour market. Many </w:t>
      </w:r>
      <w:r w:rsidR="00077D42" w:rsidRPr="00077D42">
        <w:rPr>
          <w:sz w:val="24"/>
        </w:rPr>
        <w:t>workers who are employed by businesses</w:t>
      </w:r>
      <w:r w:rsidRPr="00077D42">
        <w:rPr>
          <w:sz w:val="24"/>
        </w:rPr>
        <w:t xml:space="preserve"> operating within Australia have been stood down, have had their hours reduced or have been required to take unpaid leave. </w:t>
      </w:r>
      <w:r w:rsidR="00077D42" w:rsidRPr="00077D42">
        <w:rPr>
          <w:sz w:val="24"/>
        </w:rPr>
        <w:t xml:space="preserve">In response to this, the Australian Government has decided to ensure that these persons are not disadvantaged by the fact that they were temporarily stood down or had their hours reduced, by recognising this period of time as </w:t>
      </w:r>
      <w:r w:rsidR="00077D42" w:rsidRPr="00077D42">
        <w:rPr>
          <w:sz w:val="24"/>
        </w:rPr>
        <w:lastRenderedPageBreak/>
        <w:t>time that they were employed</w:t>
      </w:r>
      <w:r w:rsidR="00C92DFF">
        <w:rPr>
          <w:sz w:val="24"/>
        </w:rPr>
        <w:t xml:space="preserve"> </w:t>
      </w:r>
      <w:r w:rsidR="00613AC4">
        <w:rPr>
          <w:sz w:val="24"/>
        </w:rPr>
        <w:t>and</w:t>
      </w:r>
      <w:r w:rsidR="00C92DFF">
        <w:rPr>
          <w:sz w:val="24"/>
        </w:rPr>
        <w:t>,</w:t>
      </w:r>
      <w:r w:rsidR="00613AC4">
        <w:rPr>
          <w:sz w:val="24"/>
        </w:rPr>
        <w:t xml:space="preserve"> </w:t>
      </w:r>
      <w:r w:rsidR="00C92DFF">
        <w:rPr>
          <w:sz w:val="24"/>
        </w:rPr>
        <w:t xml:space="preserve">for the purposes of paragraph 5.19(5)(f) of the Regulations, </w:t>
      </w:r>
      <w:r w:rsidR="00613AC4">
        <w:rPr>
          <w:sz w:val="24"/>
        </w:rPr>
        <w:t>as on a full-time basis.</w:t>
      </w:r>
    </w:p>
    <w:p w14:paraId="45F33DD1" w14:textId="77478DB1" w:rsidR="003B3CE5" w:rsidRPr="003B3CE5" w:rsidRDefault="003B3CE5" w:rsidP="003B3CE5">
      <w:pPr>
        <w:numPr>
          <w:ilvl w:val="0"/>
          <w:numId w:val="9"/>
        </w:numPr>
        <w:spacing w:before="240" w:line="360" w:lineRule="auto"/>
        <w:ind w:left="567" w:hanging="567"/>
        <w:jc w:val="both"/>
        <w:rPr>
          <w:sz w:val="24"/>
        </w:rPr>
      </w:pPr>
      <w:r>
        <w:rPr>
          <w:sz w:val="24"/>
        </w:rPr>
        <w:t xml:space="preserve">Furthermore, item 5 of LIN 20/190 inserts an application provision stating that the amendments made by items 2 to 4 of Schedule 1 to LIN 20/190 apply in relation to an application made on or after 1 February 2020. These amendments seek </w:t>
      </w:r>
      <w:r w:rsidR="00CD58D4">
        <w:rPr>
          <w:sz w:val="24"/>
        </w:rPr>
        <w:t xml:space="preserve">to </w:t>
      </w:r>
      <w:r>
        <w:rPr>
          <w:sz w:val="24"/>
        </w:rPr>
        <w:t>ensure that all impacted Subclass 457 or Subclass 482 visa holders continue to be eligible to apply for permanent residence</w:t>
      </w:r>
      <w:r w:rsidR="00CD58D4">
        <w:rPr>
          <w:sz w:val="24"/>
        </w:rPr>
        <w:t>, even if they made their application for nomination prior to the commencement of the amendments</w:t>
      </w:r>
      <w:r>
        <w:rPr>
          <w:sz w:val="24"/>
        </w:rPr>
        <w:t>. As such, the amendments do not apply to disadvantage applicants’ rights, nor are any liabilities imposed as a result of the amendments made by LIN 20/190.</w:t>
      </w:r>
      <w:r w:rsidR="00CD58D4">
        <w:rPr>
          <w:sz w:val="24"/>
        </w:rPr>
        <w:t xml:space="preserve"> T</w:t>
      </w:r>
      <w:r w:rsidR="006C62C5">
        <w:rPr>
          <w:sz w:val="24"/>
        </w:rPr>
        <w:t xml:space="preserve">he instrument does not contravene subsection 12(2) of the </w:t>
      </w:r>
      <w:r w:rsidR="006C62C5">
        <w:rPr>
          <w:i/>
          <w:sz w:val="24"/>
        </w:rPr>
        <w:t>Legislation Act 2003</w:t>
      </w:r>
      <w:r w:rsidR="006C62C5">
        <w:rPr>
          <w:sz w:val="24"/>
        </w:rPr>
        <w:t>.</w:t>
      </w:r>
    </w:p>
    <w:p w14:paraId="4F5E8076" w14:textId="2A0AE7FA" w:rsidR="006305FF" w:rsidRDefault="00486984" w:rsidP="00584498">
      <w:pPr>
        <w:numPr>
          <w:ilvl w:val="0"/>
          <w:numId w:val="9"/>
        </w:numPr>
        <w:spacing w:before="240" w:line="360" w:lineRule="auto"/>
        <w:ind w:left="567" w:hanging="567"/>
        <w:jc w:val="both"/>
        <w:rPr>
          <w:sz w:val="24"/>
        </w:rPr>
      </w:pPr>
      <w:r>
        <w:rPr>
          <w:sz w:val="24"/>
        </w:rPr>
        <w:t>In addition, i</w:t>
      </w:r>
      <w:r w:rsidR="00584498">
        <w:rPr>
          <w:sz w:val="24"/>
        </w:rPr>
        <w:t>tem 1 of Schedule 1 to LIN 20/190 makes a change to the citation of IMMI</w:t>
      </w:r>
      <w:r w:rsidR="00F01186">
        <w:rPr>
          <w:sz w:val="24"/>
        </w:rPr>
        <w:t> </w:t>
      </w:r>
      <w:r w:rsidR="00584498">
        <w:rPr>
          <w:sz w:val="24"/>
        </w:rPr>
        <w:t>18/052. The name of IMMI 18/052 has been changed to reflect the updated content of IMMI 18/052 and</w:t>
      </w:r>
      <w:r w:rsidR="006C1BCF">
        <w:rPr>
          <w:sz w:val="24"/>
        </w:rPr>
        <w:t xml:space="preserve"> the instrument is now cited as</w:t>
      </w:r>
      <w:r w:rsidR="00584498">
        <w:rPr>
          <w:sz w:val="24"/>
        </w:rPr>
        <w:t xml:space="preserve"> ‘</w:t>
      </w:r>
      <w:r w:rsidR="00584498" w:rsidRPr="00584498">
        <w:rPr>
          <w:i/>
          <w:sz w:val="24"/>
        </w:rPr>
        <w:t>Migration (IMMI 18/052: Specified Persons and Periods of Time for Regulation 5.19) Instrument 2018</w:t>
      </w:r>
      <w:r w:rsidR="00584498">
        <w:rPr>
          <w:sz w:val="24"/>
        </w:rPr>
        <w:t>’.</w:t>
      </w:r>
    </w:p>
    <w:p w14:paraId="16CEC92B" w14:textId="4ADB58AB" w:rsidR="008A213C" w:rsidRPr="00764B28" w:rsidRDefault="008A213C" w:rsidP="00375BB4">
      <w:pPr>
        <w:pStyle w:val="ListParagraph"/>
        <w:numPr>
          <w:ilvl w:val="0"/>
          <w:numId w:val="9"/>
        </w:numPr>
        <w:spacing w:before="240" w:line="360" w:lineRule="auto"/>
        <w:ind w:left="567" w:hanging="567"/>
        <w:jc w:val="both"/>
        <w:rPr>
          <w:i/>
          <w:sz w:val="24"/>
          <w:szCs w:val="24"/>
        </w:rPr>
      </w:pPr>
      <w:r w:rsidRPr="00764B28">
        <w:rPr>
          <w:sz w:val="24"/>
        </w:rPr>
        <w:t>Section</w:t>
      </w:r>
      <w:r w:rsidRPr="00764B28">
        <w:rPr>
          <w:sz w:val="24"/>
          <w:szCs w:val="24"/>
        </w:rPr>
        <w:t xml:space="preserve"> 17 of the </w:t>
      </w:r>
      <w:r w:rsidRPr="00764B28">
        <w:rPr>
          <w:i/>
          <w:iCs/>
          <w:sz w:val="24"/>
          <w:szCs w:val="24"/>
        </w:rPr>
        <w:t>Legislation Act 2003</w:t>
      </w:r>
      <w:r w:rsidRPr="00764B28">
        <w:rPr>
          <w:sz w:val="24"/>
          <w:szCs w:val="24"/>
        </w:rPr>
        <w:t xml:space="preserve"> requires consultations which are appropriate and reasonably practicable to be undertaken. </w:t>
      </w:r>
      <w:r w:rsidR="00764B28" w:rsidRPr="00764B28">
        <w:rPr>
          <w:sz w:val="24"/>
          <w:szCs w:val="24"/>
        </w:rPr>
        <w:t xml:space="preserve">Consultation was undertaken with </w:t>
      </w:r>
      <w:r w:rsidR="00D759F6">
        <w:rPr>
          <w:sz w:val="24"/>
          <w:szCs w:val="24"/>
        </w:rPr>
        <w:t xml:space="preserve">a range of stakeholders and </w:t>
      </w:r>
      <w:r w:rsidR="00764B28" w:rsidRPr="00764B28">
        <w:rPr>
          <w:sz w:val="24"/>
          <w:szCs w:val="24"/>
        </w:rPr>
        <w:t>Commonwealth Departments as part of the whole of government response to the COVID-19 pandemic.</w:t>
      </w:r>
    </w:p>
    <w:p w14:paraId="16084646" w14:textId="40278C26" w:rsidR="00193A68" w:rsidRPr="00375BB4" w:rsidRDefault="00546F77" w:rsidP="00372BB0">
      <w:pPr>
        <w:numPr>
          <w:ilvl w:val="0"/>
          <w:numId w:val="9"/>
        </w:numPr>
        <w:tabs>
          <w:tab w:val="left" w:pos="567"/>
        </w:tabs>
        <w:spacing w:before="240" w:line="360" w:lineRule="auto"/>
        <w:ind w:left="567" w:hanging="567"/>
        <w:jc w:val="both"/>
        <w:rPr>
          <w:i/>
          <w:sz w:val="24"/>
          <w:szCs w:val="24"/>
        </w:rPr>
      </w:pPr>
      <w:r w:rsidRPr="00193A68">
        <w:rPr>
          <w:sz w:val="24"/>
          <w:szCs w:val="24"/>
        </w:rPr>
        <w:t xml:space="preserve">The Office of Best Practice Regulation </w:t>
      </w:r>
      <w:r w:rsidR="000D246E">
        <w:rPr>
          <w:sz w:val="24"/>
          <w:szCs w:val="24"/>
        </w:rPr>
        <w:t xml:space="preserve">(OBPR) </w:t>
      </w:r>
      <w:r w:rsidRPr="00375BB4">
        <w:rPr>
          <w:sz w:val="24"/>
          <w:szCs w:val="24"/>
        </w:rPr>
        <w:t>has advised that a Regulat</w:t>
      </w:r>
      <w:r w:rsidR="00911D5A" w:rsidRPr="00375BB4">
        <w:rPr>
          <w:sz w:val="24"/>
          <w:szCs w:val="24"/>
        </w:rPr>
        <w:t>ory</w:t>
      </w:r>
      <w:r w:rsidRPr="00375BB4">
        <w:rPr>
          <w:sz w:val="24"/>
          <w:szCs w:val="24"/>
        </w:rPr>
        <w:t xml:space="preserve"> Impact Statement is not required (OBPR Reference </w:t>
      </w:r>
      <w:r w:rsidR="00764B28" w:rsidRPr="00375BB4">
        <w:rPr>
          <w:sz w:val="24"/>
          <w:szCs w:val="24"/>
        </w:rPr>
        <w:t>42656</w:t>
      </w:r>
      <w:r w:rsidRPr="00375BB4">
        <w:rPr>
          <w:sz w:val="24"/>
          <w:szCs w:val="24"/>
        </w:rPr>
        <w:t>)</w:t>
      </w:r>
      <w:r w:rsidR="000B29BF" w:rsidRPr="00375BB4">
        <w:rPr>
          <w:sz w:val="24"/>
          <w:szCs w:val="24"/>
        </w:rPr>
        <w:t>.</w:t>
      </w:r>
    </w:p>
    <w:p w14:paraId="567CA220" w14:textId="77777777" w:rsidR="00DC6769" w:rsidRPr="00666922" w:rsidRDefault="00DC6769" w:rsidP="00DC6769">
      <w:pPr>
        <w:numPr>
          <w:ilvl w:val="0"/>
          <w:numId w:val="9"/>
        </w:numPr>
        <w:tabs>
          <w:tab w:val="left" w:pos="567"/>
        </w:tabs>
        <w:spacing w:before="240" w:line="360" w:lineRule="auto"/>
        <w:ind w:left="567" w:hanging="567"/>
        <w:jc w:val="both"/>
        <w:rPr>
          <w:i/>
          <w:sz w:val="24"/>
          <w:szCs w:val="24"/>
        </w:rPr>
      </w:pPr>
      <w:r w:rsidRPr="00375BB4">
        <w:rPr>
          <w:sz w:val="24"/>
          <w:szCs w:val="24"/>
        </w:rPr>
        <w:t xml:space="preserve">Under section 10 of the </w:t>
      </w:r>
      <w:r w:rsidRPr="00375BB4">
        <w:rPr>
          <w:i/>
          <w:sz w:val="24"/>
          <w:szCs w:val="24"/>
        </w:rPr>
        <w:t>Legislation (Exemptions and</w:t>
      </w:r>
      <w:r w:rsidRPr="00666922">
        <w:rPr>
          <w:i/>
          <w:sz w:val="24"/>
          <w:szCs w:val="24"/>
        </w:rPr>
        <w:t xml:space="preserve"> Other Matters) Regulation 2015</w:t>
      </w:r>
      <w:r w:rsidRPr="00666922">
        <w:rPr>
          <w:sz w:val="24"/>
          <w:szCs w:val="24"/>
        </w:rPr>
        <w:t>, the instrument is exempt from disallowance and therefore a Statement of Compatibility with Human Rights is not required.</w:t>
      </w:r>
    </w:p>
    <w:p w14:paraId="06649665" w14:textId="77777777" w:rsidR="005C07E5" w:rsidRPr="00DC6769" w:rsidRDefault="00DC6769" w:rsidP="00DC6769">
      <w:pPr>
        <w:numPr>
          <w:ilvl w:val="0"/>
          <w:numId w:val="9"/>
        </w:numPr>
        <w:tabs>
          <w:tab w:val="left" w:pos="567"/>
        </w:tabs>
        <w:spacing w:before="240" w:line="360" w:lineRule="auto"/>
        <w:ind w:left="567" w:hanging="567"/>
        <w:jc w:val="both"/>
        <w:rPr>
          <w:sz w:val="24"/>
          <w:szCs w:val="24"/>
        </w:rPr>
      </w:pPr>
      <w:r w:rsidRPr="00666922">
        <w:rPr>
          <w:sz w:val="24"/>
          <w:szCs w:val="24"/>
        </w:rPr>
        <w:t xml:space="preserve">The </w:t>
      </w:r>
      <w:r w:rsidRPr="00666922">
        <w:rPr>
          <w:sz w:val="24"/>
        </w:rPr>
        <w:t>instrument</w:t>
      </w:r>
      <w:r w:rsidRPr="00666922">
        <w:rPr>
          <w:sz w:val="24"/>
          <w:szCs w:val="24"/>
        </w:rPr>
        <w:t xml:space="preserve"> commences on the day after registration on the Federal Register of Legislation.</w:t>
      </w:r>
    </w:p>
    <w:sectPr w:rsidR="005C07E5" w:rsidRPr="00DC6769" w:rsidSect="00C85D16">
      <w:headerReference w:type="even" r:id="rId7"/>
      <w:headerReference w:type="default" r:id="rId8"/>
      <w:footerReference w:type="even" r:id="rId9"/>
      <w:footerReference w:type="default" r:id="rId10"/>
      <w:headerReference w:type="first" r:id="rId11"/>
      <w:footerReference w:type="first" r:id="rId12"/>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A740E" w14:textId="77777777" w:rsidR="00342666" w:rsidRDefault="00342666">
      <w:r>
        <w:separator/>
      </w:r>
    </w:p>
  </w:endnote>
  <w:endnote w:type="continuationSeparator" w:id="0">
    <w:p w14:paraId="58F64898" w14:textId="77777777" w:rsidR="00342666" w:rsidRDefault="0034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FFE9" w14:textId="77777777" w:rsidR="00162E25" w:rsidRDefault="00162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9DF0" w14:textId="77777777" w:rsidR="00ED38A5" w:rsidRDefault="00ED38A5" w:rsidP="00ED38A5">
    <w:pPr>
      <w:pStyle w:val="Footer"/>
      <w:pBdr>
        <w:bottom w:val="single" w:sz="12" w:space="1" w:color="auto"/>
      </w:pBdr>
      <w:jc w:val="center"/>
    </w:pPr>
  </w:p>
  <w:p w14:paraId="7265D647" w14:textId="045BE39E" w:rsidR="00ED38A5" w:rsidRDefault="00ED38A5" w:rsidP="00ED38A5">
    <w:pPr>
      <w:pStyle w:val="Footer"/>
      <w:spacing w:before="240"/>
      <w:jc w:val="center"/>
      <w:rPr>
        <w:i/>
      </w:rPr>
    </w:pPr>
    <w:r>
      <w:t xml:space="preserve">Explanatory Statement for </w:t>
    </w:r>
    <w:r w:rsidR="00D05D3E" w:rsidRPr="00D05D3E">
      <w:rPr>
        <w:i/>
      </w:rPr>
      <w:t>Migration (Transitional operation of regulation 5.19 for certain 457 visa holders) Amendment Instrument (LIN 20/190) 2020</w:t>
    </w:r>
  </w:p>
  <w:p w14:paraId="47DA56AE" w14:textId="5392FCCE" w:rsidR="00ED38A5" w:rsidRDefault="00ED38A5" w:rsidP="00ED38A5">
    <w:pPr>
      <w:pStyle w:val="Footer"/>
      <w:jc w:val="right"/>
    </w:pPr>
    <w:r>
      <w:fldChar w:fldCharType="begin"/>
    </w:r>
    <w:r>
      <w:instrText xml:space="preserve"> PAGE   \* MERGEFORMAT </w:instrText>
    </w:r>
    <w:r>
      <w:fldChar w:fldCharType="separate"/>
    </w:r>
    <w:r w:rsidR="00861CCA">
      <w:rPr>
        <w:noProof/>
      </w:rPr>
      <w:t>1</w:t>
    </w:r>
    <w:r>
      <w:rPr>
        <w:noProof/>
      </w:rPr>
      <w:fldChar w:fldCharType="end"/>
    </w:r>
  </w:p>
  <w:p w14:paraId="1E3C38D7" w14:textId="77777777" w:rsidR="00ED38A5" w:rsidRDefault="00ED38A5" w:rsidP="00ED38A5">
    <w:pPr>
      <w:pStyle w:val="Footer"/>
      <w:jc w:val="center"/>
    </w:pPr>
  </w:p>
  <w:p w14:paraId="075D4B9A" w14:textId="77777777" w:rsidR="00ED38A5" w:rsidRDefault="00ED3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CF9F" w14:textId="77777777" w:rsidR="00162E25" w:rsidRDefault="0016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5A187" w14:textId="77777777" w:rsidR="00342666" w:rsidRDefault="00342666">
      <w:r>
        <w:separator/>
      </w:r>
    </w:p>
  </w:footnote>
  <w:footnote w:type="continuationSeparator" w:id="0">
    <w:p w14:paraId="7577801E" w14:textId="77777777" w:rsidR="00342666" w:rsidRDefault="0034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34AD" w14:textId="1E83ADF3" w:rsidR="00162E25" w:rsidRDefault="00162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118F" w14:textId="63D17E2D" w:rsidR="00162E25" w:rsidRDefault="00162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09C1" w14:textId="21ED0FCB" w:rsidR="00162E25" w:rsidRDefault="00162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5B3044"/>
    <w:multiLevelType w:val="hybridMultilevel"/>
    <w:tmpl w:val="070E1FB8"/>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A42677"/>
    <w:multiLevelType w:val="multilevel"/>
    <w:tmpl w:val="D5861A3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6A4E24"/>
    <w:multiLevelType w:val="hybridMultilevel"/>
    <w:tmpl w:val="F20AF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C411E5"/>
    <w:multiLevelType w:val="multilevel"/>
    <w:tmpl w:val="5BB6DD5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9"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1E04EA"/>
    <w:multiLevelType w:val="hybridMultilevel"/>
    <w:tmpl w:val="6B9A6AAA"/>
    <w:lvl w:ilvl="0" w:tplc="EEB68044">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17"/>
  </w:num>
  <w:num w:numId="2">
    <w:abstractNumId w:val="14"/>
  </w:num>
  <w:num w:numId="3">
    <w:abstractNumId w:val="8"/>
  </w:num>
  <w:num w:numId="4">
    <w:abstractNumId w:val="0"/>
  </w:num>
  <w:num w:numId="5">
    <w:abstractNumId w:val="1"/>
  </w:num>
  <w:num w:numId="6">
    <w:abstractNumId w:val="9"/>
  </w:num>
  <w:num w:numId="7">
    <w:abstractNumId w:val="15"/>
  </w:num>
  <w:num w:numId="8">
    <w:abstractNumId w:val="2"/>
  </w:num>
  <w:num w:numId="9">
    <w:abstractNumId w:val="3"/>
  </w:num>
  <w:num w:numId="10">
    <w:abstractNumId w:val="13"/>
  </w:num>
  <w:num w:numId="11">
    <w:abstractNumId w:val="11"/>
  </w:num>
  <w:num w:numId="12">
    <w:abstractNumId w:val="10"/>
  </w:num>
  <w:num w:numId="13">
    <w:abstractNumId w:val="16"/>
  </w:num>
  <w:num w:numId="14">
    <w:abstractNumId w:val="5"/>
  </w:num>
  <w:num w:numId="15">
    <w:abstractNumId w:val="6"/>
  </w:num>
  <w:num w:numId="16">
    <w:abstractNumId w:val="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12DE8"/>
    <w:rsid w:val="0001514C"/>
    <w:rsid w:val="00025B5D"/>
    <w:rsid w:val="000371B3"/>
    <w:rsid w:val="00077D42"/>
    <w:rsid w:val="0008110A"/>
    <w:rsid w:val="00087974"/>
    <w:rsid w:val="000904AF"/>
    <w:rsid w:val="000B29BF"/>
    <w:rsid w:val="000D1E10"/>
    <w:rsid w:val="000D246E"/>
    <w:rsid w:val="000E442C"/>
    <w:rsid w:val="000F0A84"/>
    <w:rsid w:val="000F4BFC"/>
    <w:rsid w:val="00115919"/>
    <w:rsid w:val="00162BD5"/>
    <w:rsid w:val="00162E25"/>
    <w:rsid w:val="001841F7"/>
    <w:rsid w:val="00193A68"/>
    <w:rsid w:val="001A7555"/>
    <w:rsid w:val="001C5BF3"/>
    <w:rsid w:val="001D091B"/>
    <w:rsid w:val="001D0DD5"/>
    <w:rsid w:val="001D2FBD"/>
    <w:rsid w:val="001E219C"/>
    <w:rsid w:val="001F04E7"/>
    <w:rsid w:val="001F4EC7"/>
    <w:rsid w:val="00215DF3"/>
    <w:rsid w:val="00231FFD"/>
    <w:rsid w:val="00236827"/>
    <w:rsid w:val="00244AA0"/>
    <w:rsid w:val="00253CAF"/>
    <w:rsid w:val="0026747D"/>
    <w:rsid w:val="0027119B"/>
    <w:rsid w:val="00295AF0"/>
    <w:rsid w:val="002A06A8"/>
    <w:rsid w:val="002B7AF6"/>
    <w:rsid w:val="002C1AFB"/>
    <w:rsid w:val="002C53C4"/>
    <w:rsid w:val="00302251"/>
    <w:rsid w:val="00330F55"/>
    <w:rsid w:val="003348B8"/>
    <w:rsid w:val="00342666"/>
    <w:rsid w:val="0036537A"/>
    <w:rsid w:val="00372BB0"/>
    <w:rsid w:val="00375BB4"/>
    <w:rsid w:val="00381647"/>
    <w:rsid w:val="00397982"/>
    <w:rsid w:val="003A53F3"/>
    <w:rsid w:val="003B3CE5"/>
    <w:rsid w:val="003C5137"/>
    <w:rsid w:val="003F7388"/>
    <w:rsid w:val="00417400"/>
    <w:rsid w:val="00430906"/>
    <w:rsid w:val="00457B59"/>
    <w:rsid w:val="00465BCD"/>
    <w:rsid w:val="00474812"/>
    <w:rsid w:val="00486984"/>
    <w:rsid w:val="004C4B3E"/>
    <w:rsid w:val="004C6E73"/>
    <w:rsid w:val="004D6A29"/>
    <w:rsid w:val="004F5740"/>
    <w:rsid w:val="00542D46"/>
    <w:rsid w:val="00546F77"/>
    <w:rsid w:val="00554524"/>
    <w:rsid w:val="00567814"/>
    <w:rsid w:val="00584498"/>
    <w:rsid w:val="005B2BF1"/>
    <w:rsid w:val="005C07E5"/>
    <w:rsid w:val="005C4FAD"/>
    <w:rsid w:val="005E22A3"/>
    <w:rsid w:val="005F686B"/>
    <w:rsid w:val="00610658"/>
    <w:rsid w:val="00613AC4"/>
    <w:rsid w:val="006146DA"/>
    <w:rsid w:val="006305FF"/>
    <w:rsid w:val="00641022"/>
    <w:rsid w:val="0064639B"/>
    <w:rsid w:val="00657557"/>
    <w:rsid w:val="00671004"/>
    <w:rsid w:val="006C121C"/>
    <w:rsid w:val="006C1428"/>
    <w:rsid w:val="006C1BCF"/>
    <w:rsid w:val="006C22B0"/>
    <w:rsid w:val="006C508E"/>
    <w:rsid w:val="006C62C5"/>
    <w:rsid w:val="0070010D"/>
    <w:rsid w:val="007030F4"/>
    <w:rsid w:val="00710B2C"/>
    <w:rsid w:val="0071413D"/>
    <w:rsid w:val="00715E24"/>
    <w:rsid w:val="007369BE"/>
    <w:rsid w:val="007526E3"/>
    <w:rsid w:val="00764B28"/>
    <w:rsid w:val="007A41F1"/>
    <w:rsid w:val="007C17C5"/>
    <w:rsid w:val="007D292F"/>
    <w:rsid w:val="007E0AFF"/>
    <w:rsid w:val="00843107"/>
    <w:rsid w:val="00854256"/>
    <w:rsid w:val="00861CCA"/>
    <w:rsid w:val="008A213C"/>
    <w:rsid w:val="008C3954"/>
    <w:rsid w:val="008C6704"/>
    <w:rsid w:val="00911D5A"/>
    <w:rsid w:val="0094678B"/>
    <w:rsid w:val="00947065"/>
    <w:rsid w:val="009B2428"/>
    <w:rsid w:val="009D0462"/>
    <w:rsid w:val="009E3B49"/>
    <w:rsid w:val="00A03F71"/>
    <w:rsid w:val="00A16E5A"/>
    <w:rsid w:val="00A31178"/>
    <w:rsid w:val="00A31276"/>
    <w:rsid w:val="00A40F42"/>
    <w:rsid w:val="00A4261F"/>
    <w:rsid w:val="00A70E2E"/>
    <w:rsid w:val="00A905C6"/>
    <w:rsid w:val="00A9347E"/>
    <w:rsid w:val="00AB5757"/>
    <w:rsid w:val="00AE32B0"/>
    <w:rsid w:val="00AE3D02"/>
    <w:rsid w:val="00B30719"/>
    <w:rsid w:val="00B4672C"/>
    <w:rsid w:val="00B70E55"/>
    <w:rsid w:val="00B95124"/>
    <w:rsid w:val="00B97255"/>
    <w:rsid w:val="00BC008B"/>
    <w:rsid w:val="00BD6046"/>
    <w:rsid w:val="00BE62F6"/>
    <w:rsid w:val="00BF2A49"/>
    <w:rsid w:val="00BF3D6A"/>
    <w:rsid w:val="00BF4868"/>
    <w:rsid w:val="00BF6A03"/>
    <w:rsid w:val="00C048BE"/>
    <w:rsid w:val="00C1096E"/>
    <w:rsid w:val="00C6050B"/>
    <w:rsid w:val="00C85D16"/>
    <w:rsid w:val="00C92DFF"/>
    <w:rsid w:val="00CB5977"/>
    <w:rsid w:val="00CC3D8A"/>
    <w:rsid w:val="00CD3E97"/>
    <w:rsid w:val="00CD58D4"/>
    <w:rsid w:val="00D05D3E"/>
    <w:rsid w:val="00D22275"/>
    <w:rsid w:val="00D263E5"/>
    <w:rsid w:val="00D60CC8"/>
    <w:rsid w:val="00D759F6"/>
    <w:rsid w:val="00D838FF"/>
    <w:rsid w:val="00D85646"/>
    <w:rsid w:val="00DA476A"/>
    <w:rsid w:val="00DA4B5B"/>
    <w:rsid w:val="00DA7837"/>
    <w:rsid w:val="00DB634D"/>
    <w:rsid w:val="00DC344E"/>
    <w:rsid w:val="00DC6769"/>
    <w:rsid w:val="00E1110E"/>
    <w:rsid w:val="00E2158B"/>
    <w:rsid w:val="00E22D83"/>
    <w:rsid w:val="00E3263F"/>
    <w:rsid w:val="00E3297D"/>
    <w:rsid w:val="00E32FDC"/>
    <w:rsid w:val="00E45F33"/>
    <w:rsid w:val="00E472C4"/>
    <w:rsid w:val="00E761D0"/>
    <w:rsid w:val="00E8404A"/>
    <w:rsid w:val="00EB75D3"/>
    <w:rsid w:val="00EC0201"/>
    <w:rsid w:val="00EC2CC3"/>
    <w:rsid w:val="00EC77BC"/>
    <w:rsid w:val="00ED27C4"/>
    <w:rsid w:val="00ED38A5"/>
    <w:rsid w:val="00EF4C7D"/>
    <w:rsid w:val="00F01186"/>
    <w:rsid w:val="00F0486F"/>
    <w:rsid w:val="00F20E05"/>
    <w:rsid w:val="00F21AD8"/>
    <w:rsid w:val="00F336E2"/>
    <w:rsid w:val="00F64AC1"/>
    <w:rsid w:val="00F85B02"/>
    <w:rsid w:val="00FE019F"/>
    <w:rsid w:val="00FE6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4ED0252"/>
  <w15:chartTrackingRefBased/>
  <w15:docId w15:val="{1D095926-1CE6-4CEF-AFFD-0CFDDC18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ind w:left="1440" w:hanging="1440"/>
      <w:jc w:val="center"/>
      <w:outlineLvl w:val="1"/>
    </w:pPr>
    <w:rPr>
      <w:sz w:val="24"/>
    </w:rPr>
  </w:style>
  <w:style w:type="paragraph" w:styleId="Heading3">
    <w:name w:val="heading 3"/>
    <w:basedOn w:val="Normal"/>
    <w:next w:val="Normal"/>
    <w:qFormat/>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pPr>
      <w:tabs>
        <w:tab w:val="center" w:pos="4320"/>
        <w:tab w:val="right" w:pos="8640"/>
      </w:tabs>
    </w:pPr>
    <w:rPr>
      <w:rFonts w:ascii="Arial" w:hAnsi="Arial"/>
      <w:sz w:val="24"/>
    </w:rPr>
  </w:style>
  <w:style w:type="paragraph" w:styleId="BalloonText">
    <w:name w:val="Balloon Text"/>
    <w:basedOn w:val="Normal"/>
    <w:semiHidden/>
    <w:rsid w:val="001D0DD5"/>
    <w:rPr>
      <w:rFonts w:ascii="Tahoma" w:hAnsi="Tahoma" w:cs="Tahoma"/>
      <w:sz w:val="16"/>
      <w:szCs w:val="16"/>
    </w:rPr>
  </w:style>
  <w:style w:type="paragraph" w:styleId="Footer">
    <w:name w:val="footer"/>
    <w:basedOn w:val="Normal"/>
    <w:link w:val="FooterChar"/>
    <w:uiPriority w:val="99"/>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rsid w:val="001D091B"/>
    <w:rPr>
      <w:rFonts w:ascii="Arial" w:hAnsi="Arial"/>
      <w:sz w:val="24"/>
    </w:rPr>
  </w:style>
  <w:style w:type="character" w:customStyle="1" w:styleId="FooterChar">
    <w:name w:val="Footer Char"/>
    <w:link w:val="Footer"/>
    <w:uiPriority w:val="99"/>
    <w:rsid w:val="00ED38A5"/>
  </w:style>
  <w:style w:type="character" w:styleId="CommentReference">
    <w:name w:val="annotation reference"/>
    <w:basedOn w:val="DefaultParagraphFont"/>
    <w:uiPriority w:val="99"/>
    <w:semiHidden/>
    <w:unhideWhenUsed/>
    <w:rsid w:val="008A213C"/>
    <w:rPr>
      <w:sz w:val="16"/>
      <w:szCs w:val="16"/>
    </w:rPr>
  </w:style>
  <w:style w:type="paragraph" w:styleId="CommentText">
    <w:name w:val="annotation text"/>
    <w:basedOn w:val="Normal"/>
    <w:link w:val="CommentTextChar"/>
    <w:uiPriority w:val="99"/>
    <w:semiHidden/>
    <w:unhideWhenUsed/>
    <w:rsid w:val="008A213C"/>
  </w:style>
  <w:style w:type="character" w:customStyle="1" w:styleId="CommentTextChar">
    <w:name w:val="Comment Text Char"/>
    <w:basedOn w:val="DefaultParagraphFont"/>
    <w:link w:val="CommentText"/>
    <w:uiPriority w:val="99"/>
    <w:semiHidden/>
    <w:rsid w:val="008A213C"/>
  </w:style>
  <w:style w:type="paragraph" w:styleId="CommentSubject">
    <w:name w:val="annotation subject"/>
    <w:basedOn w:val="CommentText"/>
    <w:next w:val="CommentText"/>
    <w:link w:val="CommentSubjectChar"/>
    <w:uiPriority w:val="99"/>
    <w:semiHidden/>
    <w:unhideWhenUsed/>
    <w:rsid w:val="00C92DFF"/>
    <w:rPr>
      <w:b/>
      <w:bCs/>
    </w:rPr>
  </w:style>
  <w:style w:type="character" w:customStyle="1" w:styleId="CommentSubjectChar">
    <w:name w:val="Comment Subject Char"/>
    <w:basedOn w:val="CommentTextChar"/>
    <w:link w:val="CommentSubject"/>
    <w:uiPriority w:val="99"/>
    <w:semiHidden/>
    <w:rsid w:val="00C92DFF"/>
    <w:rPr>
      <w:b/>
      <w:bCs/>
    </w:rPr>
  </w:style>
  <w:style w:type="paragraph" w:styleId="ListParagraph">
    <w:name w:val="List Paragraph"/>
    <w:basedOn w:val="Normal"/>
    <w:uiPriority w:val="34"/>
    <w:qFormat/>
    <w:rsid w:val="0076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49616">
      <w:bodyDiv w:val="1"/>
      <w:marLeft w:val="0"/>
      <w:marRight w:val="0"/>
      <w:marTop w:val="0"/>
      <w:marBottom w:val="0"/>
      <w:divBdr>
        <w:top w:val="none" w:sz="0" w:space="0" w:color="auto"/>
        <w:left w:val="none" w:sz="0" w:space="0" w:color="auto"/>
        <w:bottom w:val="none" w:sz="0" w:space="0" w:color="auto"/>
        <w:right w:val="none" w:sz="0" w:space="0" w:color="auto"/>
      </w:divBdr>
    </w:div>
    <w:div w:id="642463268">
      <w:bodyDiv w:val="1"/>
      <w:marLeft w:val="0"/>
      <w:marRight w:val="0"/>
      <w:marTop w:val="0"/>
      <w:marBottom w:val="0"/>
      <w:divBdr>
        <w:top w:val="none" w:sz="0" w:space="0" w:color="auto"/>
        <w:left w:val="none" w:sz="0" w:space="0" w:color="auto"/>
        <w:bottom w:val="none" w:sz="0" w:space="0" w:color="auto"/>
        <w:right w:val="none" w:sz="0" w:space="0" w:color="auto"/>
      </w:divBdr>
    </w:div>
    <w:div w:id="1276333044">
      <w:bodyDiv w:val="1"/>
      <w:marLeft w:val="0"/>
      <w:marRight w:val="0"/>
      <w:marTop w:val="0"/>
      <w:marBottom w:val="0"/>
      <w:divBdr>
        <w:top w:val="none" w:sz="0" w:space="0" w:color="auto"/>
        <w:left w:val="none" w:sz="0" w:space="0" w:color="auto"/>
        <w:bottom w:val="none" w:sz="0" w:space="0" w:color="auto"/>
        <w:right w:val="none" w:sz="0" w:space="0" w:color="auto"/>
      </w:divBdr>
      <w:divsChild>
        <w:div w:id="875460151">
          <w:marLeft w:val="0"/>
          <w:marRight w:val="0"/>
          <w:marTop w:val="0"/>
          <w:marBottom w:val="0"/>
          <w:divBdr>
            <w:top w:val="none" w:sz="0" w:space="0" w:color="auto"/>
            <w:left w:val="none" w:sz="0" w:space="0" w:color="auto"/>
            <w:bottom w:val="none" w:sz="0" w:space="0" w:color="auto"/>
            <w:right w:val="none" w:sz="0" w:space="0" w:color="auto"/>
          </w:divBdr>
          <w:divsChild>
            <w:div w:id="1781756067">
              <w:marLeft w:val="0"/>
              <w:marRight w:val="0"/>
              <w:marTop w:val="0"/>
              <w:marBottom w:val="0"/>
              <w:divBdr>
                <w:top w:val="none" w:sz="0" w:space="0" w:color="auto"/>
                <w:left w:val="none" w:sz="0" w:space="0" w:color="auto"/>
                <w:bottom w:val="none" w:sz="0" w:space="0" w:color="auto"/>
                <w:right w:val="none" w:sz="0" w:space="0" w:color="auto"/>
              </w:divBdr>
              <w:divsChild>
                <w:div w:id="171070679">
                  <w:marLeft w:val="0"/>
                  <w:marRight w:val="0"/>
                  <w:marTop w:val="0"/>
                  <w:marBottom w:val="0"/>
                  <w:divBdr>
                    <w:top w:val="none" w:sz="0" w:space="0" w:color="auto"/>
                    <w:left w:val="none" w:sz="0" w:space="0" w:color="auto"/>
                    <w:bottom w:val="none" w:sz="0" w:space="0" w:color="auto"/>
                    <w:right w:val="none" w:sz="0" w:space="0" w:color="auto"/>
                  </w:divBdr>
                  <w:divsChild>
                    <w:div w:id="1071611112">
                      <w:marLeft w:val="0"/>
                      <w:marRight w:val="0"/>
                      <w:marTop w:val="0"/>
                      <w:marBottom w:val="0"/>
                      <w:divBdr>
                        <w:top w:val="none" w:sz="0" w:space="0" w:color="auto"/>
                        <w:left w:val="none" w:sz="0" w:space="0" w:color="auto"/>
                        <w:bottom w:val="none" w:sz="0" w:space="0" w:color="auto"/>
                        <w:right w:val="none" w:sz="0" w:space="0" w:color="auto"/>
                      </w:divBdr>
                      <w:divsChild>
                        <w:div w:id="9650275">
                          <w:marLeft w:val="0"/>
                          <w:marRight w:val="0"/>
                          <w:marTop w:val="0"/>
                          <w:marBottom w:val="0"/>
                          <w:divBdr>
                            <w:top w:val="none" w:sz="0" w:space="0" w:color="auto"/>
                            <w:left w:val="none" w:sz="0" w:space="0" w:color="auto"/>
                            <w:bottom w:val="none" w:sz="0" w:space="0" w:color="auto"/>
                            <w:right w:val="none" w:sz="0" w:space="0" w:color="auto"/>
                          </w:divBdr>
                          <w:divsChild>
                            <w:div w:id="660817348">
                              <w:marLeft w:val="0"/>
                              <w:marRight w:val="0"/>
                              <w:marTop w:val="0"/>
                              <w:marBottom w:val="0"/>
                              <w:divBdr>
                                <w:top w:val="none" w:sz="0" w:space="0" w:color="auto"/>
                                <w:left w:val="none" w:sz="0" w:space="0" w:color="auto"/>
                                <w:bottom w:val="none" w:sz="0" w:space="0" w:color="auto"/>
                                <w:right w:val="none" w:sz="0" w:space="0" w:color="auto"/>
                              </w:divBdr>
                              <w:divsChild>
                                <w:div w:id="1445342622">
                                  <w:marLeft w:val="0"/>
                                  <w:marRight w:val="0"/>
                                  <w:marTop w:val="0"/>
                                  <w:marBottom w:val="0"/>
                                  <w:divBdr>
                                    <w:top w:val="none" w:sz="0" w:space="0" w:color="auto"/>
                                    <w:left w:val="none" w:sz="0" w:space="0" w:color="auto"/>
                                    <w:bottom w:val="none" w:sz="0" w:space="0" w:color="auto"/>
                                    <w:right w:val="none" w:sz="0" w:space="0" w:color="auto"/>
                                  </w:divBdr>
                                  <w:divsChild>
                                    <w:div w:id="1576935428">
                                      <w:marLeft w:val="0"/>
                                      <w:marRight w:val="0"/>
                                      <w:marTop w:val="0"/>
                                      <w:marBottom w:val="0"/>
                                      <w:divBdr>
                                        <w:top w:val="none" w:sz="0" w:space="0" w:color="auto"/>
                                        <w:left w:val="none" w:sz="0" w:space="0" w:color="auto"/>
                                        <w:bottom w:val="none" w:sz="0" w:space="0" w:color="auto"/>
                                        <w:right w:val="none" w:sz="0" w:space="0" w:color="auto"/>
                                      </w:divBdr>
                                      <w:divsChild>
                                        <w:div w:id="2066025165">
                                          <w:marLeft w:val="0"/>
                                          <w:marRight w:val="0"/>
                                          <w:marTop w:val="0"/>
                                          <w:marBottom w:val="0"/>
                                          <w:divBdr>
                                            <w:top w:val="none" w:sz="0" w:space="0" w:color="auto"/>
                                            <w:left w:val="none" w:sz="0" w:space="0" w:color="auto"/>
                                            <w:bottom w:val="none" w:sz="0" w:space="0" w:color="auto"/>
                                            <w:right w:val="none" w:sz="0" w:space="0" w:color="auto"/>
                                          </w:divBdr>
                                          <w:divsChild>
                                            <w:div w:id="947085979">
                                              <w:marLeft w:val="0"/>
                                              <w:marRight w:val="0"/>
                                              <w:marTop w:val="0"/>
                                              <w:marBottom w:val="0"/>
                                              <w:divBdr>
                                                <w:top w:val="none" w:sz="0" w:space="0" w:color="auto"/>
                                                <w:left w:val="none" w:sz="0" w:space="0" w:color="auto"/>
                                                <w:bottom w:val="none" w:sz="0" w:space="0" w:color="auto"/>
                                                <w:right w:val="none" w:sz="0" w:space="0" w:color="auto"/>
                                              </w:divBdr>
                                              <w:divsChild>
                                                <w:div w:id="927228763">
                                                  <w:marLeft w:val="0"/>
                                                  <w:marRight w:val="0"/>
                                                  <w:marTop w:val="0"/>
                                                  <w:marBottom w:val="0"/>
                                                  <w:divBdr>
                                                    <w:top w:val="none" w:sz="0" w:space="0" w:color="auto"/>
                                                    <w:left w:val="none" w:sz="0" w:space="0" w:color="auto"/>
                                                    <w:bottom w:val="none" w:sz="0" w:space="0" w:color="auto"/>
                                                    <w:right w:val="none" w:sz="0" w:space="0" w:color="auto"/>
                                                  </w:divBdr>
                                                  <w:divsChild>
                                                    <w:div w:id="2119980353">
                                                      <w:marLeft w:val="0"/>
                                                      <w:marRight w:val="0"/>
                                                      <w:marTop w:val="0"/>
                                                      <w:marBottom w:val="0"/>
                                                      <w:divBdr>
                                                        <w:top w:val="none" w:sz="0" w:space="0" w:color="auto"/>
                                                        <w:left w:val="none" w:sz="0" w:space="0" w:color="auto"/>
                                                        <w:bottom w:val="none" w:sz="0" w:space="0" w:color="auto"/>
                                                        <w:right w:val="none" w:sz="0" w:space="0" w:color="auto"/>
                                                      </w:divBdr>
                                                      <w:divsChild>
                                                        <w:div w:id="21275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763921">
      <w:bodyDiv w:val="1"/>
      <w:marLeft w:val="0"/>
      <w:marRight w:val="0"/>
      <w:marTop w:val="0"/>
      <w:marBottom w:val="0"/>
      <w:divBdr>
        <w:top w:val="none" w:sz="0" w:space="0" w:color="auto"/>
        <w:left w:val="none" w:sz="0" w:space="0" w:color="auto"/>
        <w:bottom w:val="none" w:sz="0" w:space="0" w:color="auto"/>
        <w:right w:val="none" w:sz="0" w:space="0" w:color="auto"/>
      </w:divBdr>
      <w:divsChild>
        <w:div w:id="253518764">
          <w:marLeft w:val="0"/>
          <w:marRight w:val="0"/>
          <w:marTop w:val="0"/>
          <w:marBottom w:val="0"/>
          <w:divBdr>
            <w:top w:val="none" w:sz="0" w:space="0" w:color="auto"/>
            <w:left w:val="none" w:sz="0" w:space="0" w:color="auto"/>
            <w:bottom w:val="none" w:sz="0" w:space="0" w:color="auto"/>
            <w:right w:val="none" w:sz="0" w:space="0" w:color="auto"/>
          </w:divBdr>
          <w:divsChild>
            <w:div w:id="953637077">
              <w:marLeft w:val="0"/>
              <w:marRight w:val="0"/>
              <w:marTop w:val="0"/>
              <w:marBottom w:val="0"/>
              <w:divBdr>
                <w:top w:val="none" w:sz="0" w:space="0" w:color="auto"/>
                <w:left w:val="none" w:sz="0" w:space="0" w:color="auto"/>
                <w:bottom w:val="none" w:sz="0" w:space="0" w:color="auto"/>
                <w:right w:val="none" w:sz="0" w:space="0" w:color="auto"/>
              </w:divBdr>
              <w:divsChild>
                <w:div w:id="1795101215">
                  <w:marLeft w:val="0"/>
                  <w:marRight w:val="0"/>
                  <w:marTop w:val="0"/>
                  <w:marBottom w:val="0"/>
                  <w:divBdr>
                    <w:top w:val="none" w:sz="0" w:space="0" w:color="auto"/>
                    <w:left w:val="none" w:sz="0" w:space="0" w:color="auto"/>
                    <w:bottom w:val="none" w:sz="0" w:space="0" w:color="auto"/>
                    <w:right w:val="none" w:sz="0" w:space="0" w:color="auto"/>
                  </w:divBdr>
                  <w:divsChild>
                    <w:div w:id="1129591778">
                      <w:marLeft w:val="0"/>
                      <w:marRight w:val="0"/>
                      <w:marTop w:val="0"/>
                      <w:marBottom w:val="0"/>
                      <w:divBdr>
                        <w:top w:val="none" w:sz="0" w:space="0" w:color="auto"/>
                        <w:left w:val="none" w:sz="0" w:space="0" w:color="auto"/>
                        <w:bottom w:val="none" w:sz="0" w:space="0" w:color="auto"/>
                        <w:right w:val="none" w:sz="0" w:space="0" w:color="auto"/>
                      </w:divBdr>
                      <w:divsChild>
                        <w:div w:id="1548293994">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63416754">
                                  <w:marLeft w:val="0"/>
                                  <w:marRight w:val="0"/>
                                  <w:marTop w:val="0"/>
                                  <w:marBottom w:val="0"/>
                                  <w:divBdr>
                                    <w:top w:val="none" w:sz="0" w:space="0" w:color="auto"/>
                                    <w:left w:val="none" w:sz="0" w:space="0" w:color="auto"/>
                                    <w:bottom w:val="none" w:sz="0" w:space="0" w:color="auto"/>
                                    <w:right w:val="none" w:sz="0" w:space="0" w:color="auto"/>
                                  </w:divBdr>
                                  <w:divsChild>
                                    <w:div w:id="2118986781">
                                      <w:marLeft w:val="0"/>
                                      <w:marRight w:val="0"/>
                                      <w:marTop w:val="0"/>
                                      <w:marBottom w:val="0"/>
                                      <w:divBdr>
                                        <w:top w:val="none" w:sz="0" w:space="0" w:color="auto"/>
                                        <w:left w:val="none" w:sz="0" w:space="0" w:color="auto"/>
                                        <w:bottom w:val="none" w:sz="0" w:space="0" w:color="auto"/>
                                        <w:right w:val="none" w:sz="0" w:space="0" w:color="auto"/>
                                      </w:divBdr>
                                      <w:divsChild>
                                        <w:div w:id="785660732">
                                          <w:marLeft w:val="0"/>
                                          <w:marRight w:val="0"/>
                                          <w:marTop w:val="0"/>
                                          <w:marBottom w:val="0"/>
                                          <w:divBdr>
                                            <w:top w:val="none" w:sz="0" w:space="0" w:color="auto"/>
                                            <w:left w:val="none" w:sz="0" w:space="0" w:color="auto"/>
                                            <w:bottom w:val="none" w:sz="0" w:space="0" w:color="auto"/>
                                            <w:right w:val="none" w:sz="0" w:space="0" w:color="auto"/>
                                          </w:divBdr>
                                          <w:divsChild>
                                            <w:div w:id="154732025">
                                              <w:marLeft w:val="0"/>
                                              <w:marRight w:val="0"/>
                                              <w:marTop w:val="0"/>
                                              <w:marBottom w:val="0"/>
                                              <w:divBdr>
                                                <w:top w:val="none" w:sz="0" w:space="0" w:color="auto"/>
                                                <w:left w:val="none" w:sz="0" w:space="0" w:color="auto"/>
                                                <w:bottom w:val="none" w:sz="0" w:space="0" w:color="auto"/>
                                                <w:right w:val="none" w:sz="0" w:space="0" w:color="auto"/>
                                              </w:divBdr>
                                              <w:divsChild>
                                                <w:div w:id="1164516080">
                                                  <w:marLeft w:val="0"/>
                                                  <w:marRight w:val="0"/>
                                                  <w:marTop w:val="0"/>
                                                  <w:marBottom w:val="0"/>
                                                  <w:divBdr>
                                                    <w:top w:val="none" w:sz="0" w:space="0" w:color="auto"/>
                                                    <w:left w:val="none" w:sz="0" w:space="0" w:color="auto"/>
                                                    <w:bottom w:val="none" w:sz="0" w:space="0" w:color="auto"/>
                                                    <w:right w:val="none" w:sz="0" w:space="0" w:color="auto"/>
                                                  </w:divBdr>
                                                  <w:divsChild>
                                                    <w:div w:id="1657108640">
                                                      <w:marLeft w:val="0"/>
                                                      <w:marRight w:val="0"/>
                                                      <w:marTop w:val="0"/>
                                                      <w:marBottom w:val="0"/>
                                                      <w:divBdr>
                                                        <w:top w:val="none" w:sz="0" w:space="0" w:color="auto"/>
                                                        <w:left w:val="none" w:sz="0" w:space="0" w:color="auto"/>
                                                        <w:bottom w:val="none" w:sz="0" w:space="0" w:color="auto"/>
                                                        <w:right w:val="none" w:sz="0" w:space="0" w:color="auto"/>
                                                      </w:divBdr>
                                                      <w:divsChild>
                                                        <w:div w:id="7852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281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6271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Hannah HU</cp:lastModifiedBy>
  <cp:revision>2</cp:revision>
  <cp:lastPrinted>2005-01-12T05:51:00Z</cp:lastPrinted>
  <dcterms:created xsi:type="dcterms:W3CDTF">2020-11-16T06:07:00Z</dcterms:created>
  <dcterms:modified xsi:type="dcterms:W3CDTF">2020-11-16T06:07:00Z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