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60778BBD" w:rsidR="004C58B9" w:rsidRDefault="002F6E5C"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710B40E8" w:rsidR="004C58B9" w:rsidRDefault="002F6E5C" w:rsidP="004C58B9">
      <w:pPr>
        <w:jc w:val="center"/>
        <w:rPr>
          <w:rFonts w:ascii="Times New Roman" w:hAnsi="Times New Roman" w:cs="Times New Roman"/>
          <w:b/>
          <w:i/>
        </w:rPr>
      </w:pPr>
      <w:r>
        <w:rPr>
          <w:rFonts w:ascii="Times New Roman" w:hAnsi="Times New Roman" w:cs="Times New Roman"/>
          <w:b/>
          <w:i/>
        </w:rPr>
        <w:t>Radiocommunications Spectrum Marketing Plan (26 GHz Band) 2020</w:t>
      </w:r>
    </w:p>
    <w:p w14:paraId="494E2552" w14:textId="109C492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4724BCA7"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2F6E5C">
        <w:rPr>
          <w:rFonts w:ascii="Times New Roman" w:hAnsi="Times New Roman" w:cs="Times New Roman"/>
          <w:i/>
        </w:rPr>
        <w:t>Radiocommunications Spectrum Marketing (26 GHz Band) 2020</w:t>
      </w:r>
      <w:r>
        <w:rPr>
          <w:rFonts w:ascii="Times New Roman" w:hAnsi="Times New Roman" w:cs="Times New Roman"/>
          <w:i/>
        </w:rPr>
        <w:t xml:space="preserve"> </w:t>
      </w:r>
      <w:r>
        <w:rPr>
          <w:rFonts w:ascii="Times New Roman" w:hAnsi="Times New Roman" w:cs="Times New Roman"/>
        </w:rPr>
        <w:t>(</w:t>
      </w:r>
      <w:r w:rsidR="00B529D8">
        <w:rPr>
          <w:rFonts w:ascii="Times New Roman" w:hAnsi="Times New Roman" w:cs="Times New Roman"/>
          <w:b/>
        </w:rPr>
        <w:t>Marketing Plan</w:t>
      </w:r>
      <w:r>
        <w:rPr>
          <w:rFonts w:ascii="Times New Roman" w:hAnsi="Times New Roman" w:cs="Times New Roman"/>
        </w:rPr>
        <w:t xml:space="preserve">) under </w:t>
      </w:r>
      <w:r w:rsidR="002F6E5C">
        <w:rPr>
          <w:rFonts w:ascii="Times New Roman" w:hAnsi="Times New Roman" w:cs="Times New Roman"/>
        </w:rPr>
        <w:t>section</w:t>
      </w:r>
      <w:r w:rsidR="009B4FDB">
        <w:rPr>
          <w:rFonts w:ascii="Times New Roman" w:hAnsi="Times New Roman" w:cs="Times New Roman"/>
        </w:rPr>
        <w:t> </w:t>
      </w:r>
      <w:r w:rsidR="002F6E5C">
        <w:rPr>
          <w:rFonts w:ascii="Times New Roman" w:hAnsi="Times New Roman" w:cs="Times New Roman"/>
        </w:rPr>
        <w:t xml:space="preserve">39A </w:t>
      </w:r>
      <w:r>
        <w:rPr>
          <w:rFonts w:ascii="Times New Roman" w:hAnsi="Times New Roman" w:cs="Times New Roman"/>
        </w:rPr>
        <w:t xml:space="preserve">of the </w:t>
      </w:r>
      <w:r w:rsidR="002F6E5C">
        <w:rPr>
          <w:rFonts w:ascii="Times New Roman" w:hAnsi="Times New Roman" w:cs="Times New Roman"/>
          <w:i/>
          <w:iCs/>
        </w:rPr>
        <w:t>Radiocommunications 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p>
    <w:p w14:paraId="0B8EBA5C" w14:textId="2E742B27" w:rsidR="004C58B9" w:rsidRDefault="002F6E5C" w:rsidP="004C58B9">
      <w:pPr>
        <w:rPr>
          <w:rFonts w:ascii="Times New Roman" w:hAnsi="Times New Roman" w:cs="Times New Roman"/>
        </w:rPr>
      </w:pPr>
      <w:r>
        <w:rPr>
          <w:rFonts w:ascii="Times New Roman" w:hAnsi="Times New Roman" w:cs="Times New Roman"/>
        </w:rPr>
        <w:t>Subsection 39A(2) of the Act provides that the ACMA must, by legislative instrument, prepare a marketing plan for issuing spectrum licences that authorise the operation of radiocommunications devices at frequencies within a part or parts of spectrum specified in a re-allocation declaration made under section 153B of the Act, and within the area or areas specified in that declaration with respect to that part or those parts. Subsection 39A(5) provides that a marketing plan may indicate:</w:t>
      </w:r>
    </w:p>
    <w:p w14:paraId="39A84B3D" w14:textId="568A5595" w:rsidR="002F6E5C" w:rsidRDefault="002F6E5C" w:rsidP="00826653">
      <w:pPr>
        <w:pStyle w:val="ListParagraph"/>
        <w:numPr>
          <w:ilvl w:val="0"/>
          <w:numId w:val="18"/>
        </w:numPr>
        <w:spacing w:after="0" w:line="257" w:lineRule="auto"/>
        <w:ind w:left="714" w:hanging="357"/>
        <w:contextualSpacing w:val="0"/>
        <w:rPr>
          <w:rFonts w:ascii="Times New Roman" w:hAnsi="Times New Roman" w:cs="Times New Roman"/>
        </w:rPr>
      </w:pPr>
      <w:r>
        <w:rPr>
          <w:rFonts w:ascii="Times New Roman" w:hAnsi="Times New Roman" w:cs="Times New Roman"/>
        </w:rPr>
        <w:t xml:space="preserve">the procedures to be followed for issuing spectrum licences in accordance with the </w:t>
      </w:r>
      <w:proofErr w:type="gramStart"/>
      <w:r>
        <w:rPr>
          <w:rFonts w:ascii="Times New Roman" w:hAnsi="Times New Roman" w:cs="Times New Roman"/>
        </w:rPr>
        <w:t>plan;</w:t>
      </w:r>
      <w:proofErr w:type="gramEnd"/>
    </w:p>
    <w:p w14:paraId="14020C46" w14:textId="1891382A" w:rsidR="002F6E5C" w:rsidRDefault="002F6E5C" w:rsidP="00826653">
      <w:pPr>
        <w:pStyle w:val="ListParagraph"/>
        <w:numPr>
          <w:ilvl w:val="0"/>
          <w:numId w:val="18"/>
        </w:numPr>
        <w:spacing w:after="0" w:line="257" w:lineRule="auto"/>
        <w:ind w:left="714" w:hanging="357"/>
        <w:contextualSpacing w:val="0"/>
        <w:rPr>
          <w:rFonts w:ascii="Times New Roman" w:hAnsi="Times New Roman" w:cs="Times New Roman"/>
        </w:rPr>
      </w:pPr>
      <w:r>
        <w:rPr>
          <w:rFonts w:ascii="Times New Roman" w:hAnsi="Times New Roman" w:cs="Times New Roman"/>
        </w:rPr>
        <w:t xml:space="preserve">the timetable for issuing spectrum licences in accordance with the </w:t>
      </w:r>
      <w:proofErr w:type="gramStart"/>
      <w:r>
        <w:rPr>
          <w:rFonts w:ascii="Times New Roman" w:hAnsi="Times New Roman" w:cs="Times New Roman"/>
        </w:rPr>
        <w:t>plan;</w:t>
      </w:r>
      <w:proofErr w:type="gramEnd"/>
    </w:p>
    <w:p w14:paraId="16246E7D" w14:textId="4755897E" w:rsidR="002F6E5C" w:rsidRDefault="002F6E5C" w:rsidP="00826653">
      <w:pPr>
        <w:pStyle w:val="ListParagraph"/>
        <w:numPr>
          <w:ilvl w:val="0"/>
          <w:numId w:val="18"/>
        </w:numPr>
        <w:spacing w:after="0" w:line="257" w:lineRule="auto"/>
        <w:ind w:left="714" w:hanging="357"/>
        <w:contextualSpacing w:val="0"/>
        <w:rPr>
          <w:rFonts w:ascii="Times New Roman" w:hAnsi="Times New Roman" w:cs="Times New Roman"/>
        </w:rPr>
      </w:pPr>
      <w:r>
        <w:rPr>
          <w:rFonts w:ascii="Times New Roman" w:hAnsi="Times New Roman" w:cs="Times New Roman"/>
        </w:rPr>
        <w:t xml:space="preserve">how the spectrum dealt with under the plan is to be apportioned among the spectrum licences to be </w:t>
      </w:r>
      <w:proofErr w:type="gramStart"/>
      <w:r>
        <w:rPr>
          <w:rFonts w:ascii="Times New Roman" w:hAnsi="Times New Roman" w:cs="Times New Roman"/>
        </w:rPr>
        <w:t>issued;</w:t>
      </w:r>
      <w:proofErr w:type="gramEnd"/>
    </w:p>
    <w:p w14:paraId="37887BBE" w14:textId="1DF08D88" w:rsidR="002F6E5C" w:rsidRDefault="002F6E5C" w:rsidP="00826653">
      <w:pPr>
        <w:pStyle w:val="ListParagraph"/>
        <w:numPr>
          <w:ilvl w:val="0"/>
          <w:numId w:val="18"/>
        </w:numPr>
        <w:spacing w:after="0" w:line="257" w:lineRule="auto"/>
        <w:ind w:left="714" w:hanging="357"/>
        <w:contextualSpacing w:val="0"/>
        <w:rPr>
          <w:rFonts w:ascii="Times New Roman" w:hAnsi="Times New Roman" w:cs="Times New Roman"/>
        </w:rPr>
      </w:pPr>
      <w:r>
        <w:rPr>
          <w:rFonts w:ascii="Times New Roman" w:hAnsi="Times New Roman" w:cs="Times New Roman"/>
        </w:rPr>
        <w:t xml:space="preserve">how much of the spectrum dealt with under the plan is to be reserved for public or </w:t>
      </w:r>
      <w:proofErr w:type="gramStart"/>
      <w:r>
        <w:rPr>
          <w:rFonts w:ascii="Times New Roman" w:hAnsi="Times New Roman" w:cs="Times New Roman"/>
        </w:rPr>
        <w:t>community services;</w:t>
      </w:r>
      <w:proofErr w:type="gramEnd"/>
    </w:p>
    <w:p w14:paraId="30726842" w14:textId="39B4445B" w:rsidR="002F6E5C" w:rsidRPr="002F6E5C" w:rsidRDefault="002F6E5C" w:rsidP="0005141D">
      <w:pPr>
        <w:pStyle w:val="ListParagraph"/>
        <w:numPr>
          <w:ilvl w:val="0"/>
          <w:numId w:val="18"/>
        </w:numPr>
        <w:spacing w:line="257" w:lineRule="auto"/>
        <w:ind w:left="714" w:hanging="357"/>
        <w:contextualSpacing w:val="0"/>
        <w:rPr>
          <w:rFonts w:ascii="Times New Roman" w:hAnsi="Times New Roman" w:cs="Times New Roman"/>
        </w:rPr>
      </w:pPr>
      <w:r>
        <w:rPr>
          <w:rFonts w:ascii="Times New Roman" w:hAnsi="Times New Roman" w:cs="Times New Roman"/>
        </w:rPr>
        <w:t>the conditions, or types of conditions, that may be included in spectrum licences to be issued.</w:t>
      </w:r>
    </w:p>
    <w:p w14:paraId="7D900AC6" w14:textId="243D1D38" w:rsidR="004C58B9" w:rsidRDefault="004C58B9" w:rsidP="004C58B9">
      <w:pPr>
        <w:rPr>
          <w:rFonts w:ascii="Times New Roman" w:hAnsi="Times New Roman" w:cs="Times New Roman"/>
          <w:b/>
        </w:rPr>
      </w:pPr>
      <w:r>
        <w:rPr>
          <w:rFonts w:ascii="Times New Roman" w:hAnsi="Times New Roman" w:cs="Times New Roman"/>
          <w:b/>
        </w:rPr>
        <w:t xml:space="preserve">Purpose and operation of the </w:t>
      </w:r>
      <w:r w:rsidR="00716639">
        <w:rPr>
          <w:rFonts w:ascii="Times New Roman" w:hAnsi="Times New Roman" w:cs="Times New Roman"/>
          <w:b/>
        </w:rPr>
        <w:t>Marketing Plan</w:t>
      </w:r>
    </w:p>
    <w:p w14:paraId="7E31C8D1" w14:textId="22B42F1B" w:rsidR="009C687C" w:rsidRDefault="004179CF" w:rsidP="00936C1E">
      <w:pPr>
        <w:rPr>
          <w:rFonts w:ascii="Times New Roman" w:hAnsi="Times New Roman" w:cs="Times New Roman"/>
        </w:rPr>
      </w:pPr>
      <w:r>
        <w:rPr>
          <w:rFonts w:ascii="Times New Roman" w:hAnsi="Times New Roman" w:cs="Times New Roman"/>
        </w:rPr>
        <w:t xml:space="preserve">The Marketing Plan is </w:t>
      </w:r>
      <w:r w:rsidR="00BF6DCF">
        <w:rPr>
          <w:rFonts w:ascii="Times New Roman" w:hAnsi="Times New Roman" w:cs="Times New Roman"/>
        </w:rPr>
        <w:t xml:space="preserve">for the issuing of spectrum licences </w:t>
      </w:r>
      <w:r w:rsidR="009C687C">
        <w:rPr>
          <w:rFonts w:ascii="Times New Roman" w:hAnsi="Times New Roman" w:cs="Times New Roman"/>
        </w:rPr>
        <w:t xml:space="preserve">that authorise the operation of radiocommunications devices </w:t>
      </w:r>
      <w:r w:rsidR="00BF6DCF">
        <w:rPr>
          <w:rFonts w:ascii="Times New Roman" w:hAnsi="Times New Roman" w:cs="Times New Roman"/>
        </w:rPr>
        <w:t xml:space="preserve">in the </w:t>
      </w:r>
      <w:r w:rsidR="00C47865">
        <w:rPr>
          <w:rFonts w:ascii="Times New Roman" w:hAnsi="Times New Roman" w:cs="Times New Roman"/>
        </w:rPr>
        <w:t>frequency range 25.1</w:t>
      </w:r>
      <w:r w:rsidR="00BF6DCF">
        <w:rPr>
          <w:rFonts w:ascii="Times New Roman" w:hAnsi="Times New Roman" w:cs="Times New Roman"/>
        </w:rPr>
        <w:t xml:space="preserve"> GHz to </w:t>
      </w:r>
      <w:r w:rsidR="00C47865">
        <w:rPr>
          <w:rFonts w:ascii="Times New Roman" w:hAnsi="Times New Roman" w:cs="Times New Roman"/>
        </w:rPr>
        <w:t>27.5 GHz</w:t>
      </w:r>
      <w:r w:rsidR="00BF6DCF">
        <w:rPr>
          <w:rFonts w:ascii="Times New Roman" w:hAnsi="Times New Roman" w:cs="Times New Roman"/>
        </w:rPr>
        <w:t xml:space="preserve"> (</w:t>
      </w:r>
      <w:r w:rsidR="00BF6DCF" w:rsidRPr="00826653">
        <w:rPr>
          <w:rFonts w:ascii="Times New Roman" w:hAnsi="Times New Roman" w:cs="Times New Roman"/>
          <w:b/>
          <w:bCs/>
        </w:rPr>
        <w:t>the 26 GHz band</w:t>
      </w:r>
      <w:r w:rsidR="00C47865">
        <w:rPr>
          <w:rFonts w:ascii="Times New Roman" w:hAnsi="Times New Roman" w:cs="Times New Roman"/>
        </w:rPr>
        <w:t>)</w:t>
      </w:r>
      <w:r w:rsidR="009C687C">
        <w:rPr>
          <w:rFonts w:ascii="Times New Roman" w:hAnsi="Times New Roman" w:cs="Times New Roman"/>
        </w:rPr>
        <w:t>, within the areas specified</w:t>
      </w:r>
      <w:r w:rsidR="009C687C" w:rsidRPr="009C687C">
        <w:rPr>
          <w:rFonts w:ascii="Times New Roman" w:hAnsi="Times New Roman" w:cs="Times New Roman"/>
        </w:rPr>
        <w:t xml:space="preserve"> </w:t>
      </w:r>
      <w:r w:rsidR="009C687C">
        <w:rPr>
          <w:rFonts w:ascii="Times New Roman" w:hAnsi="Times New Roman" w:cs="Times New Roman"/>
        </w:rPr>
        <w:t xml:space="preserve">in the </w:t>
      </w:r>
      <w:r w:rsidR="009C687C">
        <w:rPr>
          <w:rFonts w:ascii="Times New Roman" w:hAnsi="Times New Roman" w:cs="Times New Roman"/>
          <w:i/>
          <w:iCs/>
        </w:rPr>
        <w:t xml:space="preserve">Radiocommunications (Spectrum Re-allocation – 26 GHz Band) Declaration 2019 </w:t>
      </w:r>
      <w:r w:rsidR="009C687C">
        <w:rPr>
          <w:rFonts w:ascii="Times New Roman" w:hAnsi="Times New Roman" w:cs="Times New Roman"/>
        </w:rPr>
        <w:t>(</w:t>
      </w:r>
      <w:r w:rsidR="00BC37DD">
        <w:rPr>
          <w:rFonts w:ascii="Times New Roman" w:hAnsi="Times New Roman" w:cs="Times New Roman"/>
          <w:b/>
          <w:bCs/>
        </w:rPr>
        <w:t>R</w:t>
      </w:r>
      <w:r w:rsidR="009C687C" w:rsidRPr="00324F5C">
        <w:rPr>
          <w:rFonts w:ascii="Times New Roman" w:hAnsi="Times New Roman" w:cs="Times New Roman"/>
          <w:b/>
          <w:bCs/>
        </w:rPr>
        <w:t>e</w:t>
      </w:r>
      <w:r w:rsidR="009C687C" w:rsidRPr="00324F5C">
        <w:rPr>
          <w:rFonts w:ascii="Times New Roman" w:hAnsi="Times New Roman" w:cs="Times New Roman"/>
          <w:b/>
          <w:bCs/>
        </w:rPr>
        <w:noBreakHyphen/>
        <w:t xml:space="preserve">allocation </w:t>
      </w:r>
      <w:r w:rsidR="00BC37DD">
        <w:rPr>
          <w:rFonts w:ascii="Times New Roman" w:hAnsi="Times New Roman" w:cs="Times New Roman"/>
          <w:b/>
          <w:bCs/>
        </w:rPr>
        <w:t>D</w:t>
      </w:r>
      <w:r w:rsidR="009C687C" w:rsidRPr="00324F5C">
        <w:rPr>
          <w:rFonts w:ascii="Times New Roman" w:hAnsi="Times New Roman" w:cs="Times New Roman"/>
          <w:b/>
          <w:bCs/>
        </w:rPr>
        <w:t>eclaration</w:t>
      </w:r>
      <w:r w:rsidR="009C687C" w:rsidRPr="00421A48">
        <w:rPr>
          <w:rFonts w:ascii="Times New Roman" w:hAnsi="Times New Roman" w:cs="Times New Roman"/>
        </w:rPr>
        <w:t>)</w:t>
      </w:r>
      <w:r>
        <w:rPr>
          <w:rFonts w:ascii="Times New Roman" w:hAnsi="Times New Roman" w:cs="Times New Roman"/>
        </w:rPr>
        <w:t xml:space="preserve">. </w:t>
      </w:r>
    </w:p>
    <w:p w14:paraId="657D4836" w14:textId="2DD3CB87" w:rsidR="00B529D8" w:rsidRDefault="00B529D8" w:rsidP="009E5377">
      <w:pPr>
        <w:rPr>
          <w:rFonts w:ascii="Times New Roman" w:hAnsi="Times New Roman" w:cs="Times New Roman"/>
        </w:rPr>
      </w:pPr>
      <w:r>
        <w:rPr>
          <w:rFonts w:ascii="Times New Roman" w:hAnsi="Times New Roman" w:cs="Times New Roman"/>
          <w:i/>
          <w:iCs/>
        </w:rPr>
        <w:t>Background</w:t>
      </w:r>
    </w:p>
    <w:p w14:paraId="5F25F302" w14:textId="7C1BBE8F" w:rsidR="00F95C4E" w:rsidRDefault="00513F85" w:rsidP="009E5377">
      <w:pPr>
        <w:rPr>
          <w:rFonts w:ascii="Times New Roman" w:hAnsi="Times New Roman" w:cs="Times New Roman"/>
        </w:rPr>
      </w:pPr>
      <w:r>
        <w:rPr>
          <w:rFonts w:ascii="Times New Roman" w:hAnsi="Times New Roman" w:cs="Times New Roman"/>
        </w:rPr>
        <w:t>On 18</w:t>
      </w:r>
      <w:r w:rsidR="00B529D8">
        <w:rPr>
          <w:rFonts w:ascii="Times New Roman" w:hAnsi="Times New Roman" w:cs="Times New Roman"/>
        </w:rPr>
        <w:t xml:space="preserve"> October 2019, the Minister for Communications, Cyber </w:t>
      </w:r>
      <w:proofErr w:type="gramStart"/>
      <w:r w:rsidR="00B529D8">
        <w:rPr>
          <w:rFonts w:ascii="Times New Roman" w:hAnsi="Times New Roman" w:cs="Times New Roman"/>
        </w:rPr>
        <w:t>Safety</w:t>
      </w:r>
      <w:proofErr w:type="gramEnd"/>
      <w:r w:rsidR="00B529D8">
        <w:rPr>
          <w:rFonts w:ascii="Times New Roman" w:hAnsi="Times New Roman" w:cs="Times New Roman"/>
        </w:rPr>
        <w:t xml:space="preserve"> and the Arts </w:t>
      </w:r>
      <w:r w:rsidR="00B86978">
        <w:rPr>
          <w:rFonts w:ascii="Times New Roman" w:hAnsi="Times New Roman" w:cs="Times New Roman"/>
        </w:rPr>
        <w:t>(</w:t>
      </w:r>
      <w:r w:rsidR="00B86978" w:rsidRPr="00BD2FCF">
        <w:rPr>
          <w:rFonts w:ascii="Times New Roman" w:hAnsi="Times New Roman" w:cs="Times New Roman"/>
          <w:b/>
          <w:bCs/>
        </w:rPr>
        <w:t>the Minister</w:t>
      </w:r>
      <w:r w:rsidR="00B86978">
        <w:rPr>
          <w:rFonts w:ascii="Times New Roman" w:hAnsi="Times New Roman" w:cs="Times New Roman"/>
        </w:rPr>
        <w:t xml:space="preserve">) </w:t>
      </w:r>
      <w:r w:rsidR="00B529D8">
        <w:rPr>
          <w:rFonts w:ascii="Times New Roman" w:hAnsi="Times New Roman" w:cs="Times New Roman"/>
        </w:rPr>
        <w:t xml:space="preserve">made the </w:t>
      </w:r>
      <w:r w:rsidR="00BC37DD">
        <w:rPr>
          <w:rFonts w:ascii="Times New Roman" w:hAnsi="Times New Roman" w:cs="Times New Roman"/>
        </w:rPr>
        <w:t>R</w:t>
      </w:r>
      <w:r w:rsidR="00CF7C11">
        <w:rPr>
          <w:rFonts w:ascii="Times New Roman" w:hAnsi="Times New Roman" w:cs="Times New Roman"/>
        </w:rPr>
        <w:t xml:space="preserve">e-allocation </w:t>
      </w:r>
      <w:r w:rsidR="004130DC">
        <w:rPr>
          <w:rFonts w:ascii="Times New Roman" w:hAnsi="Times New Roman" w:cs="Times New Roman"/>
        </w:rPr>
        <w:t>D</w:t>
      </w:r>
      <w:r w:rsidR="00CF7C11">
        <w:rPr>
          <w:rFonts w:ascii="Times New Roman" w:hAnsi="Times New Roman" w:cs="Times New Roman"/>
        </w:rPr>
        <w:t>eclaration</w:t>
      </w:r>
      <w:r w:rsidR="007F4EFC">
        <w:rPr>
          <w:rFonts w:ascii="Times New Roman" w:hAnsi="Times New Roman" w:cs="Times New Roman"/>
        </w:rPr>
        <w:t>.</w:t>
      </w:r>
      <w:r w:rsidR="00B529D8">
        <w:rPr>
          <w:rFonts w:ascii="Times New Roman" w:hAnsi="Times New Roman" w:cs="Times New Roman"/>
        </w:rPr>
        <w:t xml:space="preserve"> </w:t>
      </w:r>
      <w:r w:rsidR="007F4EFC">
        <w:rPr>
          <w:rFonts w:ascii="Times New Roman" w:hAnsi="Times New Roman" w:cs="Times New Roman"/>
        </w:rPr>
        <w:t xml:space="preserve">The </w:t>
      </w:r>
      <w:r w:rsidR="004B788A">
        <w:rPr>
          <w:rFonts w:ascii="Times New Roman" w:hAnsi="Times New Roman" w:cs="Times New Roman"/>
        </w:rPr>
        <w:t>R</w:t>
      </w:r>
      <w:r w:rsidR="007F4EFC">
        <w:rPr>
          <w:rFonts w:ascii="Times New Roman" w:hAnsi="Times New Roman" w:cs="Times New Roman"/>
        </w:rPr>
        <w:t xml:space="preserve">e-allocation </w:t>
      </w:r>
      <w:r w:rsidR="004B788A">
        <w:rPr>
          <w:rFonts w:ascii="Times New Roman" w:hAnsi="Times New Roman" w:cs="Times New Roman"/>
        </w:rPr>
        <w:t>D</w:t>
      </w:r>
      <w:r w:rsidR="007F4EFC">
        <w:rPr>
          <w:rFonts w:ascii="Times New Roman" w:hAnsi="Times New Roman" w:cs="Times New Roman"/>
        </w:rPr>
        <w:t>eclaration</w:t>
      </w:r>
      <w:r w:rsidR="00B529D8">
        <w:rPr>
          <w:rFonts w:ascii="Times New Roman" w:hAnsi="Times New Roman" w:cs="Times New Roman"/>
        </w:rPr>
        <w:t xml:space="preserve"> </w:t>
      </w:r>
      <w:r w:rsidR="007F4EFC">
        <w:rPr>
          <w:rFonts w:ascii="Times New Roman" w:hAnsi="Times New Roman" w:cs="Times New Roman"/>
        </w:rPr>
        <w:t>provides that</w:t>
      </w:r>
      <w:r w:rsidR="00F95C4E">
        <w:rPr>
          <w:rFonts w:ascii="Times New Roman" w:hAnsi="Times New Roman" w:cs="Times New Roman"/>
        </w:rPr>
        <w:t xml:space="preserve"> each of:</w:t>
      </w:r>
    </w:p>
    <w:p w14:paraId="6C18BECE" w14:textId="717D0430" w:rsidR="00F95C4E" w:rsidRDefault="00F95C4E" w:rsidP="00F95C4E">
      <w:pPr>
        <w:pStyle w:val="ListParagraph"/>
        <w:numPr>
          <w:ilvl w:val="0"/>
          <w:numId w:val="30"/>
        </w:numPr>
        <w:rPr>
          <w:rFonts w:ascii="Times New Roman" w:hAnsi="Times New Roman" w:cs="Times New Roman"/>
        </w:rPr>
      </w:pPr>
      <w:r>
        <w:rPr>
          <w:rFonts w:ascii="Times New Roman" w:hAnsi="Times New Roman" w:cs="Times New Roman"/>
        </w:rPr>
        <w:t>the frequency range 25.1 GHz to 27</w:t>
      </w:r>
      <w:r w:rsidR="00634065">
        <w:rPr>
          <w:rFonts w:ascii="Times New Roman" w:hAnsi="Times New Roman" w:cs="Times New Roman"/>
        </w:rPr>
        <w:t>.0</w:t>
      </w:r>
      <w:r>
        <w:rPr>
          <w:rFonts w:ascii="Times New Roman" w:hAnsi="Times New Roman" w:cs="Times New Roman"/>
        </w:rPr>
        <w:t xml:space="preserve"> GHz, with respect to particular geographic areas; and</w:t>
      </w:r>
    </w:p>
    <w:p w14:paraId="75F12FB9" w14:textId="519010E9" w:rsidR="00F95C4E" w:rsidRPr="00826653" w:rsidRDefault="00F95C4E" w:rsidP="00826653">
      <w:pPr>
        <w:pStyle w:val="ListParagraph"/>
        <w:numPr>
          <w:ilvl w:val="0"/>
          <w:numId w:val="30"/>
        </w:numPr>
        <w:rPr>
          <w:rFonts w:ascii="Times New Roman" w:hAnsi="Times New Roman" w:cs="Times New Roman"/>
        </w:rPr>
      </w:pPr>
      <w:r>
        <w:rPr>
          <w:rFonts w:ascii="Times New Roman" w:hAnsi="Times New Roman" w:cs="Times New Roman"/>
        </w:rPr>
        <w:t>the frequency range 27</w:t>
      </w:r>
      <w:r w:rsidR="00634065">
        <w:rPr>
          <w:rFonts w:ascii="Times New Roman" w:hAnsi="Times New Roman" w:cs="Times New Roman"/>
        </w:rPr>
        <w:t>.0</w:t>
      </w:r>
      <w:r>
        <w:rPr>
          <w:rFonts w:ascii="Times New Roman" w:hAnsi="Times New Roman" w:cs="Times New Roman"/>
        </w:rPr>
        <w:t xml:space="preserve"> GHz to 27.5 GHz, with respect to particular geographic </w:t>
      </w:r>
      <w:proofErr w:type="gramStart"/>
      <w:r>
        <w:rPr>
          <w:rFonts w:ascii="Times New Roman" w:hAnsi="Times New Roman" w:cs="Times New Roman"/>
        </w:rPr>
        <w:t>areas;</w:t>
      </w:r>
      <w:proofErr w:type="gramEnd"/>
    </w:p>
    <w:p w14:paraId="3133D442" w14:textId="4163BEC9" w:rsidR="00B529D8" w:rsidRDefault="0003705C" w:rsidP="009E5377">
      <w:pPr>
        <w:rPr>
          <w:rFonts w:ascii="Times New Roman" w:hAnsi="Times New Roman" w:cs="Times New Roman"/>
        </w:rPr>
      </w:pPr>
      <w:r>
        <w:rPr>
          <w:rFonts w:ascii="Times New Roman" w:hAnsi="Times New Roman" w:cs="Times New Roman"/>
        </w:rPr>
        <w:t xml:space="preserve">is </w:t>
      </w:r>
      <w:r w:rsidR="007F4EFC">
        <w:rPr>
          <w:rFonts w:ascii="Times New Roman" w:hAnsi="Times New Roman" w:cs="Times New Roman"/>
        </w:rPr>
        <w:t xml:space="preserve">subject to </w:t>
      </w:r>
      <w:r w:rsidR="00B529D8">
        <w:rPr>
          <w:rFonts w:ascii="Times New Roman" w:hAnsi="Times New Roman" w:cs="Times New Roman"/>
        </w:rPr>
        <w:t>re</w:t>
      </w:r>
      <w:r w:rsidR="00B529D8">
        <w:rPr>
          <w:rFonts w:ascii="Times New Roman" w:hAnsi="Times New Roman" w:cs="Times New Roman"/>
        </w:rPr>
        <w:noBreakHyphen/>
        <w:t>allocation by issuing spectrum licences.</w:t>
      </w:r>
    </w:p>
    <w:p w14:paraId="4343D092" w14:textId="24385DFB" w:rsidR="00C00CB5" w:rsidRDefault="00C00CB5" w:rsidP="009E5377">
      <w:pPr>
        <w:rPr>
          <w:rFonts w:ascii="Times New Roman" w:hAnsi="Times New Roman" w:cs="Times New Roman"/>
        </w:rPr>
      </w:pPr>
      <w:r>
        <w:rPr>
          <w:rFonts w:ascii="Times New Roman" w:hAnsi="Times New Roman" w:cs="Times New Roman"/>
        </w:rPr>
        <w:t xml:space="preserve">The ACMA intends to allocate each part of the 26 GHz band specified in the </w:t>
      </w:r>
      <w:r w:rsidR="004130DC">
        <w:rPr>
          <w:rFonts w:ascii="Times New Roman" w:hAnsi="Times New Roman" w:cs="Times New Roman"/>
        </w:rPr>
        <w:t>R</w:t>
      </w:r>
      <w:r>
        <w:rPr>
          <w:rFonts w:ascii="Times New Roman" w:hAnsi="Times New Roman" w:cs="Times New Roman"/>
        </w:rPr>
        <w:t>e</w:t>
      </w:r>
      <w:r>
        <w:rPr>
          <w:rFonts w:ascii="Times New Roman" w:hAnsi="Times New Roman" w:cs="Times New Roman"/>
        </w:rPr>
        <w:noBreakHyphen/>
        <w:t xml:space="preserve">allocation </w:t>
      </w:r>
      <w:r w:rsidR="004130DC">
        <w:rPr>
          <w:rFonts w:ascii="Times New Roman" w:hAnsi="Times New Roman" w:cs="Times New Roman"/>
        </w:rPr>
        <w:t>D</w:t>
      </w:r>
      <w:r>
        <w:rPr>
          <w:rFonts w:ascii="Times New Roman" w:hAnsi="Times New Roman" w:cs="Times New Roman"/>
        </w:rPr>
        <w:t xml:space="preserve">eclaration </w:t>
      </w:r>
      <w:r w:rsidR="0007791F">
        <w:rPr>
          <w:rFonts w:ascii="Times New Roman" w:hAnsi="Times New Roman" w:cs="Times New Roman"/>
        </w:rPr>
        <w:t>by auctioning spectrum licences in 2021 (</w:t>
      </w:r>
      <w:r w:rsidRPr="00826653">
        <w:rPr>
          <w:rFonts w:ascii="Times New Roman" w:hAnsi="Times New Roman" w:cs="Times New Roman"/>
          <w:b/>
          <w:bCs/>
        </w:rPr>
        <w:t>26 GHz band spectrum auction</w:t>
      </w:r>
      <w:r w:rsidR="0007791F">
        <w:rPr>
          <w:rFonts w:ascii="Times New Roman" w:hAnsi="Times New Roman" w:cs="Times New Roman"/>
        </w:rPr>
        <w:t>)</w:t>
      </w:r>
      <w:r>
        <w:rPr>
          <w:rFonts w:ascii="Times New Roman" w:hAnsi="Times New Roman" w:cs="Times New Roman"/>
        </w:rPr>
        <w:t>.</w:t>
      </w:r>
    </w:p>
    <w:p w14:paraId="10258B85" w14:textId="4225C558" w:rsidR="00C00CB5" w:rsidRDefault="00C00CB5" w:rsidP="009E5377">
      <w:pPr>
        <w:rPr>
          <w:rFonts w:ascii="Times New Roman" w:hAnsi="Times New Roman" w:cs="Times New Roman"/>
          <w:i/>
          <w:iCs/>
        </w:rPr>
      </w:pPr>
      <w:r>
        <w:rPr>
          <w:rFonts w:ascii="Times New Roman" w:hAnsi="Times New Roman" w:cs="Times New Roman"/>
          <w:i/>
          <w:iCs/>
        </w:rPr>
        <w:t>Operation of the Marketing Plan</w:t>
      </w:r>
    </w:p>
    <w:p w14:paraId="3E1086A7" w14:textId="0EA28315" w:rsidR="00C00CB5" w:rsidRDefault="00C00CB5" w:rsidP="009E5377">
      <w:pPr>
        <w:rPr>
          <w:rFonts w:ascii="Times New Roman" w:hAnsi="Times New Roman" w:cs="Times New Roman"/>
        </w:rPr>
      </w:pPr>
      <w:r>
        <w:rPr>
          <w:rFonts w:ascii="Times New Roman" w:hAnsi="Times New Roman" w:cs="Times New Roman"/>
        </w:rPr>
        <w:t>The ACMA has made the Marketing Plan in relation to the 26 GHz band</w:t>
      </w:r>
      <w:r w:rsidR="0007791F">
        <w:rPr>
          <w:rFonts w:ascii="Times New Roman" w:hAnsi="Times New Roman" w:cs="Times New Roman"/>
        </w:rPr>
        <w:t xml:space="preserve"> spectrum auction</w:t>
      </w:r>
      <w:r w:rsidR="00E37BAF" w:rsidRPr="00F213FB">
        <w:rPr>
          <w:rFonts w:ascii="Times New Roman" w:hAnsi="Times New Roman" w:cs="Times New Roman"/>
        </w:rPr>
        <w:t>.</w:t>
      </w:r>
    </w:p>
    <w:p w14:paraId="59F5EFD1" w14:textId="4AD1F809" w:rsidR="00C00CB5" w:rsidRDefault="00C00CB5" w:rsidP="00826653">
      <w:pPr>
        <w:keepNext/>
        <w:spacing w:line="257" w:lineRule="auto"/>
        <w:rPr>
          <w:rFonts w:ascii="Times New Roman" w:hAnsi="Times New Roman" w:cs="Times New Roman"/>
        </w:rPr>
      </w:pPr>
      <w:r>
        <w:rPr>
          <w:rFonts w:ascii="Times New Roman" w:hAnsi="Times New Roman" w:cs="Times New Roman"/>
        </w:rPr>
        <w:t xml:space="preserve">The Marketing Plan is one of a set of legislative instruments </w:t>
      </w:r>
      <w:r w:rsidR="000B1159">
        <w:rPr>
          <w:rFonts w:ascii="Times New Roman" w:hAnsi="Times New Roman" w:cs="Times New Roman"/>
        </w:rPr>
        <w:t>required for the allocation of spectrum licences in</w:t>
      </w:r>
      <w:r>
        <w:rPr>
          <w:rFonts w:ascii="Times New Roman" w:hAnsi="Times New Roman" w:cs="Times New Roman"/>
        </w:rPr>
        <w:t xml:space="preserve"> the 26 GHz band, including:</w:t>
      </w:r>
    </w:p>
    <w:p w14:paraId="705E9714" w14:textId="18FC1E88" w:rsidR="007D7350" w:rsidRDefault="007D7350" w:rsidP="007D7350">
      <w:pPr>
        <w:pStyle w:val="ListParagraph"/>
        <w:numPr>
          <w:ilvl w:val="0"/>
          <w:numId w:val="19"/>
        </w:numPr>
        <w:rPr>
          <w:rFonts w:ascii="Times New Roman" w:hAnsi="Times New Roman" w:cs="Times New Roman"/>
        </w:rPr>
      </w:pPr>
      <w:r>
        <w:rPr>
          <w:rFonts w:ascii="Times New Roman" w:hAnsi="Times New Roman" w:cs="Times New Roman"/>
        </w:rPr>
        <w:t xml:space="preserve">the </w:t>
      </w:r>
      <w:r w:rsidR="00091A58">
        <w:rPr>
          <w:rFonts w:ascii="Times New Roman" w:hAnsi="Times New Roman" w:cs="Times New Roman"/>
          <w:i/>
          <w:iCs/>
        </w:rPr>
        <w:t>Radiocommun</w:t>
      </w:r>
      <w:r w:rsidR="00050109">
        <w:rPr>
          <w:rFonts w:ascii="Times New Roman" w:hAnsi="Times New Roman" w:cs="Times New Roman"/>
          <w:i/>
          <w:iCs/>
        </w:rPr>
        <w:t>i</w:t>
      </w:r>
      <w:r w:rsidR="00091A58">
        <w:rPr>
          <w:rFonts w:ascii="Times New Roman" w:hAnsi="Times New Roman" w:cs="Times New Roman"/>
          <w:i/>
          <w:iCs/>
        </w:rPr>
        <w:t xml:space="preserve">cations </w:t>
      </w:r>
      <w:r w:rsidR="00235DC7">
        <w:rPr>
          <w:rFonts w:ascii="Times New Roman" w:hAnsi="Times New Roman" w:cs="Times New Roman"/>
          <w:i/>
          <w:iCs/>
        </w:rPr>
        <w:t xml:space="preserve">(Spectrum Licence Allocation – 26 GHz Band) Determination 2020 </w:t>
      </w:r>
      <w:r w:rsidR="00235DC7">
        <w:rPr>
          <w:rFonts w:ascii="Times New Roman" w:hAnsi="Times New Roman" w:cs="Times New Roman"/>
        </w:rPr>
        <w:t>(</w:t>
      </w:r>
      <w:r w:rsidRPr="00826653">
        <w:rPr>
          <w:rFonts w:ascii="Times New Roman" w:hAnsi="Times New Roman" w:cs="Times New Roman"/>
          <w:b/>
          <w:bCs/>
        </w:rPr>
        <w:t>Allocation Determination</w:t>
      </w:r>
      <w:proofErr w:type="gramStart"/>
      <w:r w:rsidR="00235DC7">
        <w:rPr>
          <w:rFonts w:ascii="Times New Roman" w:hAnsi="Times New Roman" w:cs="Times New Roman"/>
        </w:rPr>
        <w:t>)</w:t>
      </w:r>
      <w:r w:rsidR="00091A58">
        <w:rPr>
          <w:rFonts w:ascii="Times New Roman" w:hAnsi="Times New Roman" w:cs="Times New Roman"/>
        </w:rPr>
        <w:t>;</w:t>
      </w:r>
      <w:proofErr w:type="gramEnd"/>
    </w:p>
    <w:p w14:paraId="32EDDA82" w14:textId="443A26BE" w:rsidR="00E613B2" w:rsidRPr="00BD2FCF" w:rsidRDefault="00E613B2" w:rsidP="00E613B2">
      <w:pPr>
        <w:pStyle w:val="ListParagraph"/>
        <w:numPr>
          <w:ilvl w:val="0"/>
          <w:numId w:val="19"/>
        </w:numPr>
        <w:rPr>
          <w:rFonts w:ascii="Times New Roman" w:hAnsi="Times New Roman" w:cs="Times New Roman"/>
        </w:rPr>
      </w:pPr>
      <w:r w:rsidRPr="00BD2FCF">
        <w:rPr>
          <w:rFonts w:ascii="Times New Roman" w:hAnsi="Times New Roman" w:cs="Times New Roman"/>
          <w:i/>
          <w:iCs/>
        </w:rPr>
        <w:lastRenderedPageBreak/>
        <w:t>Radiocommunications (Unacceptable Levels of Interference – 26 GHz Band) Determination 2020</w:t>
      </w:r>
      <w:r w:rsidRPr="00BD2FCF">
        <w:rPr>
          <w:rFonts w:ascii="Times New Roman" w:hAnsi="Times New Roman" w:cs="Times New Roman"/>
        </w:rPr>
        <w:t xml:space="preserve"> (</w:t>
      </w:r>
      <w:r w:rsidR="005C4243" w:rsidRPr="00BD2FCF">
        <w:rPr>
          <w:rFonts w:ascii="Times New Roman" w:hAnsi="Times New Roman" w:cs="Times New Roman"/>
          <w:b/>
          <w:bCs/>
        </w:rPr>
        <w:t>U</w:t>
      </w:r>
      <w:r w:rsidRPr="00BD2FCF">
        <w:rPr>
          <w:rFonts w:ascii="Times New Roman" w:hAnsi="Times New Roman" w:cs="Times New Roman"/>
          <w:b/>
          <w:bCs/>
        </w:rPr>
        <w:t xml:space="preserve">nacceptable </w:t>
      </w:r>
      <w:r w:rsidR="005C4243" w:rsidRPr="00BD2FCF">
        <w:rPr>
          <w:rFonts w:ascii="Times New Roman" w:hAnsi="Times New Roman" w:cs="Times New Roman"/>
          <w:b/>
          <w:bCs/>
        </w:rPr>
        <w:t>I</w:t>
      </w:r>
      <w:r w:rsidRPr="00BD2FCF">
        <w:rPr>
          <w:rFonts w:ascii="Times New Roman" w:hAnsi="Times New Roman" w:cs="Times New Roman"/>
          <w:b/>
          <w:bCs/>
        </w:rPr>
        <w:t xml:space="preserve">nterference </w:t>
      </w:r>
      <w:r w:rsidR="005C4243" w:rsidRPr="00BD2FCF">
        <w:rPr>
          <w:rFonts w:ascii="Times New Roman" w:hAnsi="Times New Roman" w:cs="Times New Roman"/>
          <w:b/>
          <w:bCs/>
        </w:rPr>
        <w:t>D</w:t>
      </w:r>
      <w:r w:rsidRPr="00BD2FCF">
        <w:rPr>
          <w:rFonts w:ascii="Times New Roman" w:hAnsi="Times New Roman" w:cs="Times New Roman"/>
          <w:b/>
          <w:bCs/>
        </w:rPr>
        <w:t>etermination</w:t>
      </w:r>
      <w:proofErr w:type="gramStart"/>
      <w:r w:rsidRPr="00BD2FCF">
        <w:rPr>
          <w:rFonts w:ascii="Times New Roman" w:hAnsi="Times New Roman" w:cs="Times New Roman"/>
        </w:rPr>
        <w:t>)</w:t>
      </w:r>
      <w:r w:rsidR="00235DC7" w:rsidRPr="00BD2FCF">
        <w:rPr>
          <w:rFonts w:ascii="Times New Roman" w:hAnsi="Times New Roman" w:cs="Times New Roman"/>
        </w:rPr>
        <w:t>;</w:t>
      </w:r>
      <w:proofErr w:type="gramEnd"/>
    </w:p>
    <w:p w14:paraId="220100CF" w14:textId="217A1E02" w:rsidR="005C4243" w:rsidRPr="00BD2FCF" w:rsidRDefault="00E613B2" w:rsidP="00E613B2">
      <w:pPr>
        <w:pStyle w:val="ListParagraph"/>
        <w:numPr>
          <w:ilvl w:val="0"/>
          <w:numId w:val="19"/>
        </w:numPr>
        <w:rPr>
          <w:rFonts w:ascii="Times New Roman" w:hAnsi="Times New Roman" w:cs="Times New Roman"/>
        </w:rPr>
      </w:pPr>
      <w:r w:rsidRPr="00BD2FCF">
        <w:rPr>
          <w:rFonts w:ascii="Times New Roman" w:hAnsi="Times New Roman" w:cs="Times New Roman"/>
          <w:i/>
          <w:iCs/>
        </w:rPr>
        <w:t>Radiocommunications Advisory Guidelines (Managing Interference from Spectrum Licensed Transmitters – 26 GHz Band) 2020</w:t>
      </w:r>
      <w:r w:rsidRPr="00BD2FCF">
        <w:rPr>
          <w:rFonts w:ascii="Times New Roman" w:hAnsi="Times New Roman" w:cs="Times New Roman"/>
        </w:rPr>
        <w:t xml:space="preserve"> (</w:t>
      </w:r>
      <w:r w:rsidRPr="00BD2FCF">
        <w:rPr>
          <w:rFonts w:ascii="Times New Roman" w:hAnsi="Times New Roman" w:cs="Times New Roman"/>
          <w:b/>
          <w:bCs/>
        </w:rPr>
        <w:t>RAG Tx</w:t>
      </w:r>
      <w:proofErr w:type="gramStart"/>
      <w:r w:rsidRPr="00BD2FCF">
        <w:rPr>
          <w:rFonts w:ascii="Times New Roman" w:hAnsi="Times New Roman" w:cs="Times New Roman"/>
        </w:rPr>
        <w:t>)</w:t>
      </w:r>
      <w:r w:rsidR="00235DC7" w:rsidRPr="00BD2FCF">
        <w:rPr>
          <w:rFonts w:ascii="Times New Roman" w:hAnsi="Times New Roman" w:cs="Times New Roman"/>
        </w:rPr>
        <w:t>;</w:t>
      </w:r>
      <w:proofErr w:type="gramEnd"/>
    </w:p>
    <w:p w14:paraId="690A4088" w14:textId="3E2EECB5" w:rsidR="005C4243" w:rsidRPr="00986CE2" w:rsidRDefault="00E613B2" w:rsidP="006E7CFA">
      <w:pPr>
        <w:pStyle w:val="ListParagraph"/>
        <w:numPr>
          <w:ilvl w:val="0"/>
          <w:numId w:val="19"/>
        </w:numPr>
        <w:rPr>
          <w:rFonts w:ascii="Times New Roman" w:hAnsi="Times New Roman" w:cs="Times New Roman"/>
        </w:rPr>
      </w:pPr>
      <w:r w:rsidRPr="00BD2FCF">
        <w:rPr>
          <w:rFonts w:ascii="Times New Roman" w:hAnsi="Times New Roman" w:cs="Times New Roman"/>
          <w:i/>
          <w:iCs/>
        </w:rPr>
        <w:t>Radiocommunications Advisory Guidelines (Managing Interference to Spectrum Licensed Receivers – 26 GHz Band) 2020</w:t>
      </w:r>
      <w:r w:rsidRPr="00BD2FCF">
        <w:rPr>
          <w:rFonts w:ascii="Times New Roman" w:hAnsi="Times New Roman" w:cs="Times New Roman"/>
        </w:rPr>
        <w:t xml:space="preserve"> (</w:t>
      </w:r>
      <w:r w:rsidRPr="00BD2FCF">
        <w:rPr>
          <w:rFonts w:ascii="Times New Roman" w:hAnsi="Times New Roman" w:cs="Times New Roman"/>
          <w:b/>
          <w:bCs/>
        </w:rPr>
        <w:t>RAG Rx</w:t>
      </w:r>
      <w:r w:rsidRPr="00BD2FCF">
        <w:rPr>
          <w:rFonts w:ascii="Times New Roman" w:hAnsi="Times New Roman" w:cs="Times New Roman"/>
        </w:rPr>
        <w:t>).</w:t>
      </w:r>
    </w:p>
    <w:p w14:paraId="3C54236F" w14:textId="77670C12" w:rsidR="00E435B3" w:rsidRDefault="007B2E98" w:rsidP="005C4243">
      <w:pPr>
        <w:rPr>
          <w:rFonts w:ascii="Times New Roman" w:hAnsi="Times New Roman" w:cs="Times New Roman"/>
        </w:rPr>
      </w:pPr>
      <w:r>
        <w:rPr>
          <w:rFonts w:ascii="Times New Roman" w:hAnsi="Times New Roman" w:cs="Times New Roman"/>
        </w:rPr>
        <w:t xml:space="preserve">The </w:t>
      </w:r>
      <w:r w:rsidR="00D84373">
        <w:rPr>
          <w:rFonts w:ascii="Times New Roman" w:hAnsi="Times New Roman" w:cs="Times New Roman"/>
        </w:rPr>
        <w:t xml:space="preserve">Marketing Plan divides the </w:t>
      </w:r>
      <w:r>
        <w:rPr>
          <w:rFonts w:ascii="Times New Roman" w:hAnsi="Times New Roman" w:cs="Times New Roman"/>
        </w:rPr>
        <w:t xml:space="preserve">26 GHz band into three </w:t>
      </w:r>
      <w:r w:rsidRPr="00BD2FCF">
        <w:rPr>
          <w:rFonts w:ascii="Times New Roman" w:hAnsi="Times New Roman" w:cs="Times New Roman"/>
        </w:rPr>
        <w:t xml:space="preserve">categories and 30 products, with each product defined by a frequency range and geographic </w:t>
      </w:r>
      <w:r w:rsidR="00D84373" w:rsidRPr="00BD2FCF">
        <w:rPr>
          <w:rFonts w:ascii="Times New Roman" w:hAnsi="Times New Roman" w:cs="Times New Roman"/>
        </w:rPr>
        <w:t>region</w:t>
      </w:r>
      <w:r w:rsidR="00A3335E" w:rsidRPr="00BD2FCF">
        <w:rPr>
          <w:rFonts w:ascii="Times New Roman" w:hAnsi="Times New Roman" w:cs="Times New Roman"/>
        </w:rPr>
        <w:t>, set out in Schedule 2 to the Marketing Plan</w:t>
      </w:r>
      <w:r w:rsidRPr="00BD2FCF">
        <w:rPr>
          <w:rFonts w:ascii="Times New Roman" w:hAnsi="Times New Roman" w:cs="Times New Roman"/>
        </w:rPr>
        <w:t xml:space="preserve">. </w:t>
      </w:r>
      <w:r w:rsidR="00D84373" w:rsidRPr="00BD2FCF" w:rsidDel="00790E29">
        <w:rPr>
          <w:rFonts w:ascii="Times New Roman" w:hAnsi="Times New Roman" w:cs="Times New Roman"/>
        </w:rPr>
        <w:t>Twenty</w:t>
      </w:r>
      <w:r w:rsidR="007555E4" w:rsidRPr="00BD2FCF">
        <w:rPr>
          <w:rFonts w:ascii="Times New Roman" w:hAnsi="Times New Roman" w:cs="Times New Roman"/>
        </w:rPr>
        <w:t>-</w:t>
      </w:r>
      <w:r w:rsidR="00790E29" w:rsidRPr="00BD2FCF">
        <w:rPr>
          <w:rFonts w:ascii="Times New Roman" w:hAnsi="Times New Roman" w:cs="Times New Roman"/>
        </w:rPr>
        <w:t>eight</w:t>
      </w:r>
      <w:r w:rsidR="00D84373" w:rsidRPr="00BD2FCF">
        <w:rPr>
          <w:rFonts w:ascii="Times New Roman" w:hAnsi="Times New Roman" w:cs="Times New Roman"/>
        </w:rPr>
        <w:t xml:space="preserve"> </w:t>
      </w:r>
      <w:r w:rsidR="00A3335E" w:rsidRPr="00BD2FCF">
        <w:rPr>
          <w:rFonts w:ascii="Times New Roman" w:hAnsi="Times New Roman" w:cs="Times New Roman"/>
        </w:rPr>
        <w:t>geographic regions have been defined in Schedule 3 to</w:t>
      </w:r>
      <w:r w:rsidR="00A3335E">
        <w:rPr>
          <w:rFonts w:ascii="Times New Roman" w:hAnsi="Times New Roman" w:cs="Times New Roman"/>
        </w:rPr>
        <w:t xml:space="preserve"> the Marketing Plan. </w:t>
      </w:r>
      <w:r w:rsidR="00E435B3" w:rsidRPr="00E435B3">
        <w:rPr>
          <w:rFonts w:ascii="Times New Roman" w:hAnsi="Times New Roman" w:cs="Times New Roman"/>
        </w:rPr>
        <w:t xml:space="preserve">Of the 29 </w:t>
      </w:r>
      <w:r w:rsidR="00C06826">
        <w:rPr>
          <w:rFonts w:ascii="Times New Roman" w:hAnsi="Times New Roman" w:cs="Times New Roman"/>
        </w:rPr>
        <w:t>named</w:t>
      </w:r>
      <w:r w:rsidR="00C06826" w:rsidRPr="00E435B3">
        <w:rPr>
          <w:rFonts w:ascii="Times New Roman" w:hAnsi="Times New Roman" w:cs="Times New Roman"/>
        </w:rPr>
        <w:t xml:space="preserve"> </w:t>
      </w:r>
      <w:r w:rsidR="00E435B3" w:rsidRPr="00E435B3">
        <w:rPr>
          <w:rFonts w:ascii="Times New Roman" w:hAnsi="Times New Roman" w:cs="Times New Roman"/>
        </w:rPr>
        <w:t xml:space="preserve">areas in the </w:t>
      </w:r>
      <w:r w:rsidR="004130DC">
        <w:rPr>
          <w:rFonts w:ascii="Times New Roman" w:hAnsi="Times New Roman" w:cs="Times New Roman"/>
        </w:rPr>
        <w:t>R</w:t>
      </w:r>
      <w:r w:rsidR="00E435B3" w:rsidRPr="00E435B3">
        <w:rPr>
          <w:rFonts w:ascii="Times New Roman" w:hAnsi="Times New Roman" w:cs="Times New Roman"/>
        </w:rPr>
        <w:t>e</w:t>
      </w:r>
      <w:r w:rsidR="000A66E0">
        <w:rPr>
          <w:rFonts w:ascii="Times New Roman" w:hAnsi="Times New Roman" w:cs="Times New Roman"/>
        </w:rPr>
        <w:t>-</w:t>
      </w:r>
      <w:r w:rsidR="00E435B3" w:rsidRPr="00E435B3">
        <w:rPr>
          <w:rFonts w:ascii="Times New Roman" w:hAnsi="Times New Roman" w:cs="Times New Roman"/>
        </w:rPr>
        <w:t xml:space="preserve">allocation </w:t>
      </w:r>
      <w:r w:rsidR="004130DC">
        <w:rPr>
          <w:rFonts w:ascii="Times New Roman" w:hAnsi="Times New Roman" w:cs="Times New Roman"/>
        </w:rPr>
        <w:t>D</w:t>
      </w:r>
      <w:r w:rsidR="00E435B3" w:rsidRPr="00E435B3">
        <w:rPr>
          <w:rFonts w:ascii="Times New Roman" w:hAnsi="Times New Roman" w:cs="Times New Roman"/>
        </w:rPr>
        <w:t xml:space="preserve">eclaration, </w:t>
      </w:r>
      <w:r w:rsidR="009C44B0">
        <w:rPr>
          <w:rFonts w:ascii="Times New Roman" w:hAnsi="Times New Roman" w:cs="Times New Roman"/>
        </w:rPr>
        <w:t>two</w:t>
      </w:r>
      <w:r w:rsidR="009C44B0" w:rsidRPr="00E435B3">
        <w:rPr>
          <w:rFonts w:ascii="Times New Roman" w:hAnsi="Times New Roman" w:cs="Times New Roman"/>
        </w:rPr>
        <w:t xml:space="preserve"> </w:t>
      </w:r>
      <w:r w:rsidR="00E435B3" w:rsidRPr="00E435B3">
        <w:rPr>
          <w:rFonts w:ascii="Times New Roman" w:hAnsi="Times New Roman" w:cs="Times New Roman"/>
        </w:rPr>
        <w:t>areas (</w:t>
      </w:r>
      <w:r w:rsidR="00A90466">
        <w:rPr>
          <w:rFonts w:ascii="Times New Roman" w:hAnsi="Times New Roman" w:cs="Times New Roman"/>
        </w:rPr>
        <w:t>Bunbury and Perth</w:t>
      </w:r>
      <w:r w:rsidR="00E435B3" w:rsidRPr="00E435B3">
        <w:rPr>
          <w:rFonts w:ascii="Times New Roman" w:hAnsi="Times New Roman" w:cs="Times New Roman"/>
        </w:rPr>
        <w:t xml:space="preserve">) have been combined into one Greater Perth </w:t>
      </w:r>
      <w:r w:rsidR="009C44B0">
        <w:rPr>
          <w:rFonts w:ascii="Times New Roman" w:hAnsi="Times New Roman" w:cs="Times New Roman"/>
        </w:rPr>
        <w:t xml:space="preserve">Upper </w:t>
      </w:r>
      <w:r w:rsidR="008B35ED">
        <w:rPr>
          <w:rFonts w:ascii="Times New Roman" w:hAnsi="Times New Roman" w:cs="Times New Roman"/>
        </w:rPr>
        <w:t>region</w:t>
      </w:r>
      <w:r w:rsidR="00E435B3">
        <w:rPr>
          <w:rFonts w:ascii="Times New Roman" w:hAnsi="Times New Roman" w:cs="Times New Roman"/>
        </w:rPr>
        <w:t>.</w:t>
      </w:r>
    </w:p>
    <w:p w14:paraId="58320FE7" w14:textId="4520F023" w:rsidR="00452076" w:rsidRDefault="00A3335E" w:rsidP="005C4243">
      <w:pPr>
        <w:rPr>
          <w:rFonts w:ascii="Times New Roman" w:hAnsi="Times New Roman" w:cs="Times New Roman"/>
        </w:rPr>
      </w:pPr>
      <w:r>
        <w:rPr>
          <w:rFonts w:ascii="Times New Roman" w:hAnsi="Times New Roman" w:cs="Times New Roman"/>
        </w:rPr>
        <w:t>Each product falls into one of three categories</w:t>
      </w:r>
      <w:r w:rsidR="00452076">
        <w:rPr>
          <w:rFonts w:ascii="Times New Roman" w:hAnsi="Times New Roman" w:cs="Times New Roman"/>
        </w:rPr>
        <w:t>:</w:t>
      </w:r>
    </w:p>
    <w:tbl>
      <w:tblPr>
        <w:tblStyle w:val="ACMAtablestyle"/>
        <w:tblW w:w="5000" w:type="pct"/>
        <w:tblLayout w:type="fixed"/>
        <w:tblLook w:val="01E0" w:firstRow="1" w:lastRow="1" w:firstColumn="1" w:lastColumn="1" w:noHBand="0" w:noVBand="0"/>
        <w:tblCaption w:val="Table title to go here"/>
        <w:tblDescription w:val="Table description to go here"/>
      </w:tblPr>
      <w:tblGrid>
        <w:gridCol w:w="1414"/>
        <w:gridCol w:w="2411"/>
        <w:gridCol w:w="2409"/>
        <w:gridCol w:w="2782"/>
      </w:tblGrid>
      <w:tr w:rsidR="003B78B0" w:rsidRPr="006D46E5" w14:paraId="69FDB2EE" w14:textId="7DFA160B" w:rsidTr="00A9494F">
        <w:trPr>
          <w:cnfStyle w:val="100000000000" w:firstRow="1" w:lastRow="0" w:firstColumn="0" w:lastColumn="0" w:oddVBand="0" w:evenVBand="0" w:oddHBand="0" w:evenHBand="0" w:firstRowFirstColumn="0" w:firstRowLastColumn="0" w:lastRowFirstColumn="0" w:lastRowLastColumn="0"/>
          <w:tblHeader w:val="0"/>
        </w:trPr>
        <w:tc>
          <w:tcPr>
            <w:tcW w:w="784" w:type="pct"/>
            <w:tcBorders>
              <w:top w:val="none" w:sz="0" w:space="0" w:color="auto"/>
              <w:left w:val="none" w:sz="0" w:space="0" w:color="auto"/>
              <w:bottom w:val="none" w:sz="0" w:space="0" w:color="auto"/>
              <w:right w:val="none" w:sz="0" w:space="0" w:color="auto"/>
            </w:tcBorders>
          </w:tcPr>
          <w:p w14:paraId="1E95C11A" w14:textId="73A0888F" w:rsidR="003B78B0" w:rsidRPr="00930510" w:rsidRDefault="003B78B0" w:rsidP="00DA193E">
            <w:pPr>
              <w:pStyle w:val="Tableheaderrow"/>
              <w:keepNext/>
            </w:pPr>
            <w:r>
              <w:t>Category</w:t>
            </w:r>
          </w:p>
        </w:tc>
        <w:tc>
          <w:tcPr>
            <w:tcW w:w="1337" w:type="pct"/>
            <w:tcBorders>
              <w:top w:val="none" w:sz="0" w:space="0" w:color="auto"/>
              <w:left w:val="none" w:sz="0" w:space="0" w:color="auto"/>
              <w:bottom w:val="none" w:sz="0" w:space="0" w:color="auto"/>
              <w:right w:val="none" w:sz="0" w:space="0" w:color="auto"/>
            </w:tcBorders>
          </w:tcPr>
          <w:p w14:paraId="721DD2EA" w14:textId="387C0F56" w:rsidR="003B78B0" w:rsidRPr="00930510" w:rsidRDefault="003B78B0" w:rsidP="00DA193E">
            <w:pPr>
              <w:pStyle w:val="Tableheaderrow"/>
              <w:keepNext/>
            </w:pPr>
            <w:r>
              <w:t>Frequency range</w:t>
            </w:r>
          </w:p>
        </w:tc>
        <w:tc>
          <w:tcPr>
            <w:tcW w:w="1336" w:type="pct"/>
            <w:tcBorders>
              <w:top w:val="none" w:sz="0" w:space="0" w:color="auto"/>
              <w:left w:val="none" w:sz="0" w:space="0" w:color="auto"/>
              <w:bottom w:val="none" w:sz="0" w:space="0" w:color="auto"/>
              <w:right w:val="none" w:sz="0" w:space="0" w:color="auto"/>
            </w:tcBorders>
          </w:tcPr>
          <w:p w14:paraId="7D315E5B" w14:textId="7F2DEF97" w:rsidR="003B78B0" w:rsidRPr="00930510" w:rsidRDefault="00C0471B" w:rsidP="00DA193E">
            <w:pPr>
              <w:pStyle w:val="Tableheaderrow"/>
              <w:keepNext/>
            </w:pPr>
            <w:r>
              <w:t>Lot bandwidth</w:t>
            </w:r>
          </w:p>
        </w:tc>
        <w:tc>
          <w:tcPr>
            <w:tcW w:w="1544" w:type="pct"/>
            <w:tcBorders>
              <w:top w:val="none" w:sz="0" w:space="0" w:color="auto"/>
              <w:left w:val="none" w:sz="0" w:space="0" w:color="auto"/>
              <w:bottom w:val="none" w:sz="0" w:space="0" w:color="auto"/>
              <w:right w:val="none" w:sz="0" w:space="0" w:color="auto"/>
            </w:tcBorders>
          </w:tcPr>
          <w:p w14:paraId="7E2CAB03" w14:textId="41E03034" w:rsidR="003B78B0" w:rsidRDefault="00C0471B" w:rsidP="00DA193E">
            <w:pPr>
              <w:pStyle w:val="Tableheaderrow"/>
              <w:keepNext/>
            </w:pPr>
            <w:r>
              <w:t>Number of products</w:t>
            </w:r>
          </w:p>
        </w:tc>
      </w:tr>
      <w:tr w:rsidR="003B78B0" w:rsidRPr="006D46E5" w14:paraId="22712FA4" w14:textId="700D7EB3" w:rsidTr="00A9494F">
        <w:trPr>
          <w:cnfStyle w:val="000000100000" w:firstRow="0" w:lastRow="0" w:firstColumn="0" w:lastColumn="0" w:oddVBand="0" w:evenVBand="0" w:oddHBand="1" w:evenHBand="0" w:firstRowFirstColumn="0" w:firstRowLastColumn="0" w:lastRowFirstColumn="0" w:lastRowLastColumn="0"/>
        </w:trPr>
        <w:tc>
          <w:tcPr>
            <w:tcW w:w="784" w:type="pct"/>
          </w:tcPr>
          <w:p w14:paraId="44C647A0" w14:textId="5285FCE6" w:rsidR="003B78B0" w:rsidRPr="00930510" w:rsidRDefault="00C0471B" w:rsidP="00DA193E">
            <w:pPr>
              <w:pStyle w:val="TableBody"/>
              <w:keepNext/>
            </w:pPr>
            <w:r>
              <w:t>Category 1</w:t>
            </w:r>
          </w:p>
        </w:tc>
        <w:tc>
          <w:tcPr>
            <w:tcW w:w="1337" w:type="pct"/>
          </w:tcPr>
          <w:p w14:paraId="05B6A5F0" w14:textId="0846CA19" w:rsidR="003B78B0" w:rsidRPr="00930510" w:rsidRDefault="00C0471B" w:rsidP="00DA193E">
            <w:pPr>
              <w:pStyle w:val="TableBody"/>
              <w:keepNext/>
            </w:pPr>
            <w:r>
              <w:t>25.1 GHz to 27.5 GHz</w:t>
            </w:r>
          </w:p>
        </w:tc>
        <w:tc>
          <w:tcPr>
            <w:tcW w:w="1336" w:type="pct"/>
          </w:tcPr>
          <w:p w14:paraId="4B088F60" w14:textId="76A284B2" w:rsidR="003B78B0" w:rsidRPr="00930510" w:rsidRDefault="00C0471B" w:rsidP="00DA193E">
            <w:pPr>
              <w:pStyle w:val="TableBody"/>
              <w:keepNext/>
            </w:pPr>
            <w:r>
              <w:t>200 MHz</w:t>
            </w:r>
          </w:p>
        </w:tc>
        <w:tc>
          <w:tcPr>
            <w:tcW w:w="1544" w:type="pct"/>
          </w:tcPr>
          <w:p w14:paraId="50C27A35" w14:textId="75927FFB" w:rsidR="003B78B0" w:rsidRDefault="00C0471B" w:rsidP="00DA193E">
            <w:pPr>
              <w:pStyle w:val="TableBody"/>
              <w:keepNext/>
            </w:pPr>
            <w:r>
              <w:t>24</w:t>
            </w:r>
          </w:p>
        </w:tc>
      </w:tr>
      <w:tr w:rsidR="003B78B0" w:rsidRPr="006D46E5" w14:paraId="3CAE0CBB" w14:textId="1A2E07B3" w:rsidTr="00A9494F">
        <w:trPr>
          <w:cnfStyle w:val="000000010000" w:firstRow="0" w:lastRow="0" w:firstColumn="0" w:lastColumn="0" w:oddVBand="0" w:evenVBand="0" w:oddHBand="0" w:evenHBand="1" w:firstRowFirstColumn="0" w:firstRowLastColumn="0" w:lastRowFirstColumn="0" w:lastRowLastColumn="0"/>
        </w:trPr>
        <w:tc>
          <w:tcPr>
            <w:tcW w:w="784" w:type="pct"/>
          </w:tcPr>
          <w:p w14:paraId="6B3D7148" w14:textId="6EBBEE9E" w:rsidR="003B78B0" w:rsidRPr="00930510" w:rsidRDefault="00C0471B" w:rsidP="00DA193E">
            <w:pPr>
              <w:pStyle w:val="TableBody"/>
              <w:keepNext/>
            </w:pPr>
            <w:r>
              <w:t>Category 2</w:t>
            </w:r>
          </w:p>
        </w:tc>
        <w:tc>
          <w:tcPr>
            <w:tcW w:w="1337" w:type="pct"/>
          </w:tcPr>
          <w:p w14:paraId="2F2FB4AB" w14:textId="52C7C76C" w:rsidR="003B78B0" w:rsidRPr="00930510" w:rsidRDefault="00C0471B" w:rsidP="00DA193E">
            <w:pPr>
              <w:pStyle w:val="TableBody"/>
              <w:keepNext/>
            </w:pPr>
            <w:r>
              <w:t>25.1 GHz to 27</w:t>
            </w:r>
            <w:r w:rsidR="00634065">
              <w:t>.0</w:t>
            </w:r>
            <w:r>
              <w:t xml:space="preserve"> GHz</w:t>
            </w:r>
          </w:p>
        </w:tc>
        <w:tc>
          <w:tcPr>
            <w:tcW w:w="1336" w:type="pct"/>
          </w:tcPr>
          <w:p w14:paraId="5432D1F8" w14:textId="7D6A783D" w:rsidR="003B78B0" w:rsidRPr="00930510" w:rsidRDefault="00C0471B" w:rsidP="00DA193E">
            <w:pPr>
              <w:pStyle w:val="TableBody"/>
              <w:keepNext/>
            </w:pPr>
            <w:r>
              <w:t>100 MHz</w:t>
            </w:r>
          </w:p>
        </w:tc>
        <w:tc>
          <w:tcPr>
            <w:tcW w:w="1544" w:type="pct"/>
          </w:tcPr>
          <w:p w14:paraId="72EA2A4D" w14:textId="5A7EFDF3" w:rsidR="003B78B0" w:rsidRDefault="0000038D" w:rsidP="00DA193E">
            <w:pPr>
              <w:pStyle w:val="TableBody"/>
              <w:keepNext/>
            </w:pPr>
            <w:r>
              <w:t>3</w:t>
            </w:r>
          </w:p>
        </w:tc>
      </w:tr>
      <w:tr w:rsidR="003B78B0" w:rsidRPr="006D46E5" w14:paraId="3EBE48B7" w14:textId="2F6DEE1B" w:rsidTr="00A9494F">
        <w:trPr>
          <w:cnfStyle w:val="000000100000" w:firstRow="0" w:lastRow="0" w:firstColumn="0" w:lastColumn="0" w:oddVBand="0" w:evenVBand="0" w:oddHBand="1" w:evenHBand="0" w:firstRowFirstColumn="0" w:firstRowLastColumn="0" w:lastRowFirstColumn="0" w:lastRowLastColumn="0"/>
        </w:trPr>
        <w:tc>
          <w:tcPr>
            <w:tcW w:w="784" w:type="pct"/>
          </w:tcPr>
          <w:p w14:paraId="7C2B4283" w14:textId="360632AC" w:rsidR="003B78B0" w:rsidRPr="00930510" w:rsidRDefault="0000038D" w:rsidP="00DA193E">
            <w:pPr>
              <w:pStyle w:val="TableBody"/>
              <w:keepNext/>
            </w:pPr>
            <w:r>
              <w:t>Category 3</w:t>
            </w:r>
          </w:p>
        </w:tc>
        <w:tc>
          <w:tcPr>
            <w:tcW w:w="1337" w:type="pct"/>
          </w:tcPr>
          <w:p w14:paraId="22A3A0F7" w14:textId="38C3D991" w:rsidR="003B78B0" w:rsidRPr="00930510" w:rsidRDefault="0000038D" w:rsidP="00DA193E">
            <w:pPr>
              <w:pStyle w:val="TableBody"/>
              <w:keepNext/>
            </w:pPr>
            <w:r>
              <w:t>27</w:t>
            </w:r>
            <w:r w:rsidR="00634065">
              <w:t>.0</w:t>
            </w:r>
            <w:r>
              <w:t xml:space="preserve"> GHz to 27.5 GHz</w:t>
            </w:r>
          </w:p>
        </w:tc>
        <w:tc>
          <w:tcPr>
            <w:tcW w:w="1336" w:type="pct"/>
          </w:tcPr>
          <w:p w14:paraId="7A62E37E" w14:textId="403D7E59" w:rsidR="003B78B0" w:rsidRPr="00930510" w:rsidRDefault="0000038D" w:rsidP="00DA193E">
            <w:pPr>
              <w:pStyle w:val="TableBody"/>
              <w:keepNext/>
            </w:pPr>
            <w:r>
              <w:t>100 MHz</w:t>
            </w:r>
          </w:p>
        </w:tc>
        <w:tc>
          <w:tcPr>
            <w:tcW w:w="1544" w:type="pct"/>
          </w:tcPr>
          <w:p w14:paraId="2754610B" w14:textId="1224FCFE" w:rsidR="003B78B0" w:rsidRDefault="0000038D" w:rsidP="00DA193E">
            <w:pPr>
              <w:pStyle w:val="TableBody"/>
              <w:keepNext/>
            </w:pPr>
            <w:r>
              <w:t>3</w:t>
            </w:r>
          </w:p>
        </w:tc>
      </w:tr>
    </w:tbl>
    <w:p w14:paraId="56D63C7B" w14:textId="09CB2359" w:rsidR="003B2696" w:rsidRPr="00BD2FCF" w:rsidRDefault="0000038D" w:rsidP="00A9494F">
      <w:pPr>
        <w:spacing w:before="240" w:line="257" w:lineRule="auto"/>
        <w:rPr>
          <w:rFonts w:ascii="Times New Roman" w:hAnsi="Times New Roman" w:cs="Times New Roman"/>
        </w:rPr>
      </w:pPr>
      <w:r>
        <w:rPr>
          <w:rFonts w:ascii="Times New Roman" w:hAnsi="Times New Roman" w:cs="Times New Roman"/>
        </w:rPr>
        <w:t>Category 2 and category 3</w:t>
      </w:r>
      <w:r w:rsidR="00E435B3">
        <w:rPr>
          <w:rFonts w:ascii="Times New Roman" w:hAnsi="Times New Roman" w:cs="Times New Roman"/>
        </w:rPr>
        <w:t xml:space="preserve"> relate to spectrum in </w:t>
      </w:r>
      <w:r w:rsidR="008B35ED">
        <w:rPr>
          <w:rFonts w:ascii="Times New Roman" w:hAnsi="Times New Roman" w:cs="Times New Roman"/>
        </w:rPr>
        <w:t>the Greater Perth Upper, Greater Perth</w:t>
      </w:r>
      <w:r w:rsidR="008A7227">
        <w:rPr>
          <w:rFonts w:ascii="Times New Roman" w:hAnsi="Times New Roman" w:cs="Times New Roman"/>
        </w:rPr>
        <w:t xml:space="preserve"> Lower</w:t>
      </w:r>
      <w:r w:rsidR="00E435B3">
        <w:rPr>
          <w:rFonts w:ascii="Times New Roman" w:hAnsi="Times New Roman" w:cs="Times New Roman"/>
        </w:rPr>
        <w:t>, Hobart and Margaret River</w:t>
      </w:r>
      <w:r w:rsidR="008A7227">
        <w:rPr>
          <w:rFonts w:ascii="Times New Roman" w:hAnsi="Times New Roman" w:cs="Times New Roman"/>
        </w:rPr>
        <w:t xml:space="preserve"> </w:t>
      </w:r>
      <w:r w:rsidR="008A7227" w:rsidRPr="00BD2FCF">
        <w:rPr>
          <w:rFonts w:ascii="Times New Roman" w:hAnsi="Times New Roman" w:cs="Times New Roman"/>
        </w:rPr>
        <w:t>regions</w:t>
      </w:r>
      <w:r w:rsidR="00E435B3" w:rsidRPr="00BD2FCF">
        <w:rPr>
          <w:rFonts w:ascii="Times New Roman" w:hAnsi="Times New Roman" w:cs="Times New Roman"/>
        </w:rPr>
        <w:t xml:space="preserve">. </w:t>
      </w:r>
    </w:p>
    <w:p w14:paraId="736FBE1D" w14:textId="1C01842A" w:rsidR="00E27397" w:rsidRPr="00BD2FCF" w:rsidRDefault="00E27397" w:rsidP="004C58B9">
      <w:pPr>
        <w:rPr>
          <w:rFonts w:ascii="Times New Roman" w:hAnsi="Times New Roman" w:cs="Times New Roman"/>
        </w:rPr>
      </w:pPr>
      <w:r w:rsidRPr="00BD2FCF">
        <w:rPr>
          <w:rFonts w:ascii="Times New Roman" w:hAnsi="Times New Roman" w:cs="Times New Roman"/>
        </w:rPr>
        <w:t>The technical conditions to be included in the spectrum licences allocated in accordance with the Marketing Plan and Allocation</w:t>
      </w:r>
      <w:r w:rsidR="00651677" w:rsidRPr="00BD2FCF">
        <w:rPr>
          <w:rFonts w:ascii="Times New Roman" w:hAnsi="Times New Roman" w:cs="Times New Roman"/>
        </w:rPr>
        <w:t xml:space="preserve"> Determination</w:t>
      </w:r>
      <w:r w:rsidRPr="00BD2FCF">
        <w:rPr>
          <w:rFonts w:ascii="Times New Roman" w:hAnsi="Times New Roman" w:cs="Times New Roman"/>
        </w:rPr>
        <w:t xml:space="preserve"> are set out in the Marketing Plan</w:t>
      </w:r>
      <w:r w:rsidR="00F70E43" w:rsidRPr="00BD2FCF">
        <w:rPr>
          <w:rFonts w:ascii="Times New Roman" w:hAnsi="Times New Roman" w:cs="Times New Roman"/>
        </w:rPr>
        <w:t>, including</w:t>
      </w:r>
      <w:r w:rsidRPr="00BD2FCF">
        <w:rPr>
          <w:rFonts w:ascii="Times New Roman" w:hAnsi="Times New Roman" w:cs="Times New Roman"/>
        </w:rPr>
        <w:t xml:space="preserve"> the sample spectrum licence</w:t>
      </w:r>
      <w:r w:rsidR="00F70E43" w:rsidRPr="00BD2FCF">
        <w:rPr>
          <w:rFonts w:ascii="Times New Roman" w:hAnsi="Times New Roman" w:cs="Times New Roman"/>
        </w:rPr>
        <w:t xml:space="preserve"> at Schedule 6</w:t>
      </w:r>
      <w:r w:rsidRPr="00BD2FCF">
        <w:rPr>
          <w:rFonts w:ascii="Times New Roman" w:hAnsi="Times New Roman" w:cs="Times New Roman"/>
        </w:rPr>
        <w:t>. The broader technical framework is set out in the following legislative instruments:</w:t>
      </w:r>
    </w:p>
    <w:p w14:paraId="19811D9C" w14:textId="05D7FE23" w:rsidR="00E613B2" w:rsidRPr="00BD2FCF" w:rsidRDefault="005C4243" w:rsidP="00E613B2">
      <w:pPr>
        <w:pStyle w:val="ListParagraph"/>
        <w:numPr>
          <w:ilvl w:val="0"/>
          <w:numId w:val="19"/>
        </w:numPr>
        <w:rPr>
          <w:rFonts w:ascii="Times New Roman" w:hAnsi="Times New Roman" w:cs="Times New Roman"/>
        </w:rPr>
      </w:pPr>
      <w:r w:rsidRPr="00BD2FCF">
        <w:rPr>
          <w:rFonts w:ascii="Times New Roman" w:hAnsi="Times New Roman" w:cs="Times New Roman"/>
        </w:rPr>
        <w:t xml:space="preserve">Unacceptable Interference </w:t>
      </w:r>
      <w:proofErr w:type="gramStart"/>
      <w:r w:rsidRPr="00BD2FCF">
        <w:rPr>
          <w:rFonts w:ascii="Times New Roman" w:hAnsi="Times New Roman" w:cs="Times New Roman"/>
        </w:rPr>
        <w:t>Determination</w:t>
      </w:r>
      <w:r w:rsidR="00F70E43" w:rsidRPr="00BD2FCF">
        <w:rPr>
          <w:rFonts w:ascii="Times New Roman" w:hAnsi="Times New Roman" w:cs="Times New Roman"/>
        </w:rPr>
        <w:t>;</w:t>
      </w:r>
      <w:proofErr w:type="gramEnd"/>
    </w:p>
    <w:p w14:paraId="7FEC8AA5" w14:textId="4A3D37E4" w:rsidR="005C4243" w:rsidRPr="00BD2FCF" w:rsidRDefault="005C4243" w:rsidP="00E613B2">
      <w:pPr>
        <w:pStyle w:val="ListParagraph"/>
        <w:numPr>
          <w:ilvl w:val="0"/>
          <w:numId w:val="19"/>
        </w:numPr>
        <w:rPr>
          <w:rFonts w:ascii="Times New Roman" w:hAnsi="Times New Roman" w:cs="Times New Roman"/>
          <w:i/>
          <w:iCs/>
        </w:rPr>
      </w:pPr>
      <w:r w:rsidRPr="00BD2FCF">
        <w:rPr>
          <w:rFonts w:ascii="Times New Roman" w:hAnsi="Times New Roman" w:cs="Times New Roman"/>
        </w:rPr>
        <w:t xml:space="preserve">RAG </w:t>
      </w:r>
      <w:proofErr w:type="gramStart"/>
      <w:r w:rsidRPr="00BD2FCF">
        <w:rPr>
          <w:rFonts w:ascii="Times New Roman" w:hAnsi="Times New Roman" w:cs="Times New Roman"/>
        </w:rPr>
        <w:t>Tx</w:t>
      </w:r>
      <w:r w:rsidR="00F70E43" w:rsidRPr="00BD2FCF">
        <w:rPr>
          <w:rFonts w:ascii="Times New Roman" w:hAnsi="Times New Roman" w:cs="Times New Roman"/>
        </w:rPr>
        <w:t>;</w:t>
      </w:r>
      <w:proofErr w:type="gramEnd"/>
    </w:p>
    <w:p w14:paraId="41C22D53" w14:textId="0A707668" w:rsidR="005E4854" w:rsidRPr="00BD2FCF" w:rsidRDefault="006A763E" w:rsidP="005E4854">
      <w:pPr>
        <w:pStyle w:val="ListParagraph"/>
        <w:numPr>
          <w:ilvl w:val="0"/>
          <w:numId w:val="19"/>
        </w:numPr>
        <w:rPr>
          <w:rFonts w:ascii="Times New Roman" w:hAnsi="Times New Roman" w:cs="Times New Roman"/>
          <w:i/>
          <w:iCs/>
        </w:rPr>
      </w:pPr>
      <w:r w:rsidRPr="00BD2FCF">
        <w:rPr>
          <w:rFonts w:ascii="Times New Roman" w:hAnsi="Times New Roman" w:cs="Times New Roman"/>
        </w:rPr>
        <w:t>RAG Rx</w:t>
      </w:r>
      <w:r w:rsidR="00E613B2" w:rsidRPr="00BD2FCF">
        <w:rPr>
          <w:rFonts w:ascii="Times New Roman" w:hAnsi="Times New Roman" w:cs="Times New Roman"/>
          <w:i/>
          <w:iCs/>
        </w:rPr>
        <w:t>.</w:t>
      </w:r>
    </w:p>
    <w:p w14:paraId="0F4CB37A" w14:textId="46D9A66D" w:rsidR="001649B1" w:rsidRPr="001649B1" w:rsidRDefault="001649B1" w:rsidP="001649B1">
      <w:pPr>
        <w:rPr>
          <w:rFonts w:ascii="Times New Roman" w:hAnsi="Times New Roman" w:cs="Times New Roman"/>
        </w:rPr>
      </w:pPr>
      <w:r w:rsidRPr="001649B1">
        <w:rPr>
          <w:rFonts w:ascii="Times New Roman" w:hAnsi="Times New Roman" w:cs="Times New Roman"/>
        </w:rPr>
        <w:t>The technical framework places constraints on, and regulates the use of, spectrum licences to allow licensees to operate services without causing undue interference to other services operating in other (or the same) parts of the radiofrequency spectrum. Core conditions (in accordance with section 66 of the Act) will be included in spectrum licences to:</w:t>
      </w:r>
    </w:p>
    <w:p w14:paraId="0C8E0978" w14:textId="2DEC9CCF" w:rsidR="001649B1" w:rsidRPr="00E379D8" w:rsidRDefault="001649B1" w:rsidP="001649B1">
      <w:pPr>
        <w:pStyle w:val="ListParagraph"/>
        <w:numPr>
          <w:ilvl w:val="1"/>
          <w:numId w:val="20"/>
        </w:numPr>
        <w:ind w:left="709" w:hanging="283"/>
        <w:rPr>
          <w:rFonts w:ascii="Times New Roman" w:hAnsi="Times New Roman" w:cs="Times New Roman"/>
        </w:rPr>
      </w:pPr>
      <w:r w:rsidRPr="00E379D8">
        <w:rPr>
          <w:rFonts w:ascii="Times New Roman" w:hAnsi="Times New Roman" w:cs="Times New Roman"/>
        </w:rPr>
        <w:t xml:space="preserve">define their geographic </w:t>
      </w:r>
      <w:proofErr w:type="gramStart"/>
      <w:r w:rsidR="0049040E" w:rsidRPr="00E379D8">
        <w:rPr>
          <w:rFonts w:ascii="Times New Roman" w:hAnsi="Times New Roman" w:cs="Times New Roman"/>
        </w:rPr>
        <w:t>boundaries</w:t>
      </w:r>
      <w:r w:rsidR="0049040E">
        <w:rPr>
          <w:rFonts w:ascii="Times New Roman" w:hAnsi="Times New Roman" w:cs="Times New Roman"/>
        </w:rPr>
        <w:t>;</w:t>
      </w:r>
      <w:proofErr w:type="gramEnd"/>
    </w:p>
    <w:p w14:paraId="400DF246" w14:textId="444D2F40" w:rsidR="001649B1" w:rsidRPr="00E379D8" w:rsidRDefault="001649B1" w:rsidP="001649B1">
      <w:pPr>
        <w:pStyle w:val="ListParagraph"/>
        <w:numPr>
          <w:ilvl w:val="1"/>
          <w:numId w:val="20"/>
        </w:numPr>
        <w:ind w:left="709" w:hanging="283"/>
        <w:rPr>
          <w:rFonts w:ascii="Times New Roman" w:hAnsi="Times New Roman" w:cs="Times New Roman"/>
        </w:rPr>
      </w:pPr>
      <w:r w:rsidRPr="00E379D8">
        <w:rPr>
          <w:rFonts w:ascii="Times New Roman" w:hAnsi="Times New Roman" w:cs="Times New Roman"/>
        </w:rPr>
        <w:t xml:space="preserve">define their range of </w:t>
      </w:r>
      <w:proofErr w:type="gramStart"/>
      <w:r w:rsidRPr="00E379D8">
        <w:rPr>
          <w:rFonts w:ascii="Times New Roman" w:hAnsi="Times New Roman" w:cs="Times New Roman"/>
        </w:rPr>
        <w:t>frequencies;</w:t>
      </w:r>
      <w:proofErr w:type="gramEnd"/>
    </w:p>
    <w:p w14:paraId="72142B50" w14:textId="04B706D9" w:rsidR="001649B1" w:rsidRPr="00E379D8" w:rsidRDefault="001649B1" w:rsidP="001649B1">
      <w:pPr>
        <w:pStyle w:val="ListParagraph"/>
        <w:numPr>
          <w:ilvl w:val="1"/>
          <w:numId w:val="20"/>
        </w:numPr>
        <w:ind w:left="709" w:hanging="283"/>
        <w:rPr>
          <w:rFonts w:ascii="Times New Roman" w:hAnsi="Times New Roman" w:cs="Times New Roman"/>
        </w:rPr>
      </w:pPr>
      <w:r w:rsidRPr="00E379D8">
        <w:rPr>
          <w:rFonts w:ascii="Times New Roman" w:hAnsi="Times New Roman" w:cs="Times New Roman"/>
        </w:rPr>
        <w:t xml:space="preserve">set out-of-area radio emission </w:t>
      </w:r>
      <w:proofErr w:type="gramStart"/>
      <w:r w:rsidRPr="00E379D8">
        <w:rPr>
          <w:rFonts w:ascii="Times New Roman" w:hAnsi="Times New Roman" w:cs="Times New Roman"/>
        </w:rPr>
        <w:t>limits;</w:t>
      </w:r>
      <w:proofErr w:type="gramEnd"/>
    </w:p>
    <w:p w14:paraId="09393569" w14:textId="334D8BF8" w:rsidR="001649B1" w:rsidRPr="00E379D8" w:rsidRDefault="001649B1" w:rsidP="001649B1">
      <w:pPr>
        <w:pStyle w:val="ListParagraph"/>
        <w:numPr>
          <w:ilvl w:val="1"/>
          <w:numId w:val="20"/>
        </w:numPr>
        <w:ind w:left="709" w:hanging="283"/>
        <w:rPr>
          <w:rFonts w:ascii="Times New Roman" w:hAnsi="Times New Roman" w:cs="Times New Roman"/>
        </w:rPr>
      </w:pPr>
      <w:r w:rsidRPr="00E379D8">
        <w:rPr>
          <w:rFonts w:ascii="Times New Roman" w:hAnsi="Times New Roman" w:cs="Times New Roman"/>
        </w:rPr>
        <w:t>set out-of-band (</w:t>
      </w:r>
      <w:r w:rsidR="00E147CB">
        <w:rPr>
          <w:rFonts w:ascii="Times New Roman" w:hAnsi="Times New Roman" w:cs="Times New Roman"/>
        </w:rPr>
        <w:t>unwanted</w:t>
      </w:r>
      <w:r w:rsidRPr="00E379D8">
        <w:rPr>
          <w:rFonts w:ascii="Times New Roman" w:hAnsi="Times New Roman" w:cs="Times New Roman"/>
        </w:rPr>
        <w:t>) radio emission limits.</w:t>
      </w:r>
    </w:p>
    <w:p w14:paraId="70CDC151" w14:textId="4F0B8266" w:rsidR="00A50440" w:rsidRDefault="00A50440" w:rsidP="001649B1">
      <w:pPr>
        <w:rPr>
          <w:rFonts w:ascii="Times New Roman" w:hAnsi="Times New Roman" w:cs="Times New Roman"/>
        </w:rPr>
      </w:pPr>
      <w:r>
        <w:rPr>
          <w:rFonts w:ascii="Times New Roman" w:hAnsi="Times New Roman" w:cs="Times New Roman"/>
        </w:rPr>
        <w:t xml:space="preserve">The Marketing Plan and sample spectrum licence also set out other licence conditions </w:t>
      </w:r>
      <w:r w:rsidR="00B26F39">
        <w:rPr>
          <w:rFonts w:ascii="Times New Roman" w:hAnsi="Times New Roman" w:cs="Times New Roman"/>
        </w:rPr>
        <w:t xml:space="preserve">proposed </w:t>
      </w:r>
      <w:r>
        <w:rPr>
          <w:rFonts w:ascii="Times New Roman" w:hAnsi="Times New Roman" w:cs="Times New Roman"/>
        </w:rPr>
        <w:t>to be included on spectrum licences</w:t>
      </w:r>
      <w:r w:rsidR="00B14B65">
        <w:rPr>
          <w:rFonts w:ascii="Times New Roman" w:hAnsi="Times New Roman" w:cs="Times New Roman"/>
        </w:rPr>
        <w:t xml:space="preserve"> issued</w:t>
      </w:r>
      <w:r>
        <w:rPr>
          <w:rFonts w:ascii="Times New Roman" w:hAnsi="Times New Roman" w:cs="Times New Roman"/>
        </w:rPr>
        <w:t xml:space="preserve"> in the 26 GHz band.</w:t>
      </w:r>
    </w:p>
    <w:p w14:paraId="04C5A595" w14:textId="1FC887C5" w:rsidR="00646A89" w:rsidRDefault="001649B1" w:rsidP="001649B1">
      <w:pPr>
        <w:rPr>
          <w:rFonts w:ascii="Times New Roman" w:hAnsi="Times New Roman" w:cs="Times New Roman"/>
        </w:rPr>
      </w:pPr>
      <w:r w:rsidRPr="001649B1">
        <w:rPr>
          <w:rFonts w:ascii="Times New Roman" w:hAnsi="Times New Roman" w:cs="Times New Roman"/>
        </w:rPr>
        <w:t>Licence</w:t>
      </w:r>
      <w:r w:rsidR="00FB6763">
        <w:rPr>
          <w:rFonts w:ascii="Times New Roman" w:hAnsi="Times New Roman" w:cs="Times New Roman"/>
        </w:rPr>
        <w:t xml:space="preserve"> issue,</w:t>
      </w:r>
      <w:r w:rsidRPr="001649B1">
        <w:rPr>
          <w:rFonts w:ascii="Times New Roman" w:hAnsi="Times New Roman" w:cs="Times New Roman"/>
        </w:rPr>
        <w:t xml:space="preserve"> commencement</w:t>
      </w:r>
      <w:r w:rsidR="00FB6763">
        <w:rPr>
          <w:rFonts w:ascii="Times New Roman" w:hAnsi="Times New Roman" w:cs="Times New Roman"/>
        </w:rPr>
        <w:t xml:space="preserve"> </w:t>
      </w:r>
      <w:r w:rsidRPr="001649B1">
        <w:rPr>
          <w:rFonts w:ascii="Times New Roman" w:hAnsi="Times New Roman" w:cs="Times New Roman"/>
        </w:rPr>
        <w:t xml:space="preserve">and </w:t>
      </w:r>
      <w:r w:rsidR="00DF7A7C">
        <w:rPr>
          <w:rFonts w:ascii="Times New Roman" w:hAnsi="Times New Roman" w:cs="Times New Roman"/>
        </w:rPr>
        <w:t>duration</w:t>
      </w:r>
      <w:r w:rsidRPr="001649B1">
        <w:rPr>
          <w:rFonts w:ascii="Times New Roman" w:hAnsi="Times New Roman" w:cs="Times New Roman"/>
        </w:rPr>
        <w:t xml:space="preserve"> are also described in the Marketing Plan. </w:t>
      </w:r>
      <w:r w:rsidR="00C53FAC">
        <w:rPr>
          <w:rFonts w:ascii="Times New Roman" w:hAnsi="Times New Roman" w:cs="Times New Roman"/>
        </w:rPr>
        <w:t xml:space="preserve">As required by the </w:t>
      </w:r>
      <w:r w:rsidR="002F7332">
        <w:rPr>
          <w:rFonts w:ascii="Times New Roman" w:hAnsi="Times New Roman" w:cs="Times New Roman"/>
          <w:i/>
          <w:iCs/>
        </w:rPr>
        <w:t>Radiocommunications (Spectrum Access Charges – 26 GHz Band) Direction 2020</w:t>
      </w:r>
      <w:r w:rsidR="00646A89">
        <w:rPr>
          <w:rFonts w:ascii="Times New Roman" w:hAnsi="Times New Roman" w:cs="Times New Roman"/>
          <w:i/>
          <w:iCs/>
        </w:rPr>
        <w:t xml:space="preserve"> </w:t>
      </w:r>
      <w:r w:rsidR="00646A89">
        <w:rPr>
          <w:rFonts w:ascii="Times New Roman" w:hAnsi="Times New Roman" w:cs="Times New Roman"/>
        </w:rPr>
        <w:t>(</w:t>
      </w:r>
      <w:r w:rsidR="00653CA6">
        <w:rPr>
          <w:rFonts w:ascii="Times New Roman" w:hAnsi="Times New Roman" w:cs="Times New Roman"/>
          <w:b/>
          <w:bCs/>
        </w:rPr>
        <w:t>Spectrum Access Charge</w:t>
      </w:r>
      <w:r w:rsidR="00653CA6" w:rsidRPr="00A9494F">
        <w:rPr>
          <w:rFonts w:ascii="Times New Roman" w:hAnsi="Times New Roman" w:cs="Times New Roman"/>
          <w:b/>
          <w:bCs/>
        </w:rPr>
        <w:t xml:space="preserve"> </w:t>
      </w:r>
      <w:r w:rsidR="00646A89" w:rsidRPr="00A9494F">
        <w:rPr>
          <w:rFonts w:ascii="Times New Roman" w:hAnsi="Times New Roman" w:cs="Times New Roman"/>
          <w:b/>
          <w:bCs/>
        </w:rPr>
        <w:t>Direction</w:t>
      </w:r>
      <w:r w:rsidR="00646A89">
        <w:rPr>
          <w:rFonts w:ascii="Times New Roman" w:hAnsi="Times New Roman" w:cs="Times New Roman"/>
        </w:rPr>
        <w:t>)</w:t>
      </w:r>
      <w:r w:rsidR="002F7332">
        <w:rPr>
          <w:rFonts w:ascii="Times New Roman" w:hAnsi="Times New Roman" w:cs="Times New Roman"/>
        </w:rPr>
        <w:t xml:space="preserve">, the Allocation Determination makes provision for the winning bidders at the 26 GHz band spectrum auction to </w:t>
      </w:r>
      <w:r w:rsidR="00646A89">
        <w:rPr>
          <w:rFonts w:ascii="Times New Roman" w:hAnsi="Times New Roman" w:cs="Times New Roman"/>
        </w:rPr>
        <w:t xml:space="preserve">elect to pay their winning price upfront or in instalments. </w:t>
      </w:r>
      <w:r w:rsidR="00693686">
        <w:rPr>
          <w:rFonts w:ascii="Times New Roman" w:hAnsi="Times New Roman" w:cs="Times New Roman"/>
        </w:rPr>
        <w:t>The ACMA will issue spectrum licences</w:t>
      </w:r>
      <w:r w:rsidR="003F4DA9">
        <w:rPr>
          <w:rFonts w:ascii="Times New Roman" w:hAnsi="Times New Roman" w:cs="Times New Roman"/>
        </w:rPr>
        <w:t xml:space="preserve"> </w:t>
      </w:r>
      <w:r w:rsidR="007307F4" w:rsidRPr="007307F4">
        <w:rPr>
          <w:rFonts w:ascii="Times New Roman" w:hAnsi="Times New Roman" w:cs="Times New Roman"/>
        </w:rPr>
        <w:t>as soon as practicable after</w:t>
      </w:r>
      <w:r w:rsidR="00646A89">
        <w:rPr>
          <w:rFonts w:ascii="Times New Roman" w:hAnsi="Times New Roman" w:cs="Times New Roman"/>
        </w:rPr>
        <w:t>:</w:t>
      </w:r>
    </w:p>
    <w:p w14:paraId="30887E78" w14:textId="6B0D6682" w:rsidR="00646A89" w:rsidRDefault="00646A89" w:rsidP="00646A89">
      <w:pPr>
        <w:pStyle w:val="ListParagraph"/>
        <w:numPr>
          <w:ilvl w:val="0"/>
          <w:numId w:val="31"/>
        </w:numPr>
        <w:rPr>
          <w:rFonts w:ascii="Times New Roman" w:hAnsi="Times New Roman" w:cs="Times New Roman"/>
        </w:rPr>
      </w:pPr>
      <w:r>
        <w:rPr>
          <w:rFonts w:ascii="Times New Roman" w:hAnsi="Times New Roman" w:cs="Times New Roman"/>
        </w:rPr>
        <w:t xml:space="preserve">if </w:t>
      </w:r>
      <w:r w:rsidR="007307F4" w:rsidRPr="00BD2FCF">
        <w:rPr>
          <w:rFonts w:ascii="Times New Roman" w:hAnsi="Times New Roman" w:cs="Times New Roman"/>
        </w:rPr>
        <w:t xml:space="preserve">the winning bidder </w:t>
      </w:r>
      <w:r>
        <w:rPr>
          <w:rFonts w:ascii="Times New Roman" w:hAnsi="Times New Roman" w:cs="Times New Roman"/>
        </w:rPr>
        <w:t xml:space="preserve">elects to pay the winning price upfront – the winning bidder pays the balance of the winning price in accordance with </w:t>
      </w:r>
      <w:r w:rsidR="007307F4" w:rsidRPr="00880C7C">
        <w:rPr>
          <w:rFonts w:ascii="Times New Roman" w:hAnsi="Times New Roman" w:cs="Times New Roman"/>
        </w:rPr>
        <w:t xml:space="preserve">the Allocation </w:t>
      </w:r>
      <w:proofErr w:type="gramStart"/>
      <w:r w:rsidR="007307F4" w:rsidRPr="00880C7C">
        <w:rPr>
          <w:rFonts w:ascii="Times New Roman" w:hAnsi="Times New Roman" w:cs="Times New Roman"/>
        </w:rPr>
        <w:t>Determination</w:t>
      </w:r>
      <w:r>
        <w:rPr>
          <w:rFonts w:ascii="Times New Roman" w:hAnsi="Times New Roman" w:cs="Times New Roman"/>
        </w:rPr>
        <w:t>;</w:t>
      </w:r>
      <w:proofErr w:type="gramEnd"/>
    </w:p>
    <w:p w14:paraId="7176867E" w14:textId="62376A1D" w:rsidR="00646A89" w:rsidRPr="00DE1889" w:rsidRDefault="00646A89" w:rsidP="00880C7C">
      <w:pPr>
        <w:pStyle w:val="ListParagraph"/>
        <w:numPr>
          <w:ilvl w:val="0"/>
          <w:numId w:val="31"/>
        </w:numPr>
        <w:rPr>
          <w:rFonts w:ascii="Times New Roman" w:hAnsi="Times New Roman" w:cs="Times New Roman"/>
        </w:rPr>
      </w:pPr>
      <w:r>
        <w:rPr>
          <w:rFonts w:ascii="Times New Roman" w:hAnsi="Times New Roman" w:cs="Times New Roman"/>
        </w:rPr>
        <w:lastRenderedPageBreak/>
        <w:t xml:space="preserve">if the winning bidder elects to pay the winning price in instalments – the winning bidder gives the ACMA a bank guarantee of a kind required by the </w:t>
      </w:r>
      <w:r w:rsidR="003C1A1D">
        <w:rPr>
          <w:rFonts w:ascii="Times New Roman" w:hAnsi="Times New Roman" w:cs="Times New Roman"/>
        </w:rPr>
        <w:t xml:space="preserve">Spectrum Access Charge </w:t>
      </w:r>
      <w:r>
        <w:rPr>
          <w:rFonts w:ascii="Times New Roman" w:hAnsi="Times New Roman" w:cs="Times New Roman"/>
        </w:rPr>
        <w:t>Direction, the ACMA reaches an agreement for the payment of the winning price, and the winning bidder pays the first instalment</w:t>
      </w:r>
      <w:r w:rsidR="007307F4" w:rsidRPr="00DE1889">
        <w:rPr>
          <w:rFonts w:ascii="Times New Roman" w:hAnsi="Times New Roman" w:cs="Times New Roman"/>
        </w:rPr>
        <w:t>.</w:t>
      </w:r>
      <w:r w:rsidR="007307F4" w:rsidRPr="00DE1889" w:rsidDel="007307F4">
        <w:rPr>
          <w:rFonts w:ascii="Times New Roman" w:hAnsi="Times New Roman" w:cs="Times New Roman"/>
        </w:rPr>
        <w:t xml:space="preserve"> </w:t>
      </w:r>
    </w:p>
    <w:p w14:paraId="1A907286" w14:textId="2FFAB78D" w:rsidR="00660E05" w:rsidRDefault="007307F4" w:rsidP="001649B1">
      <w:pPr>
        <w:rPr>
          <w:rFonts w:ascii="Times New Roman" w:hAnsi="Times New Roman" w:cs="Times New Roman"/>
        </w:rPr>
      </w:pPr>
      <w:r>
        <w:rPr>
          <w:rFonts w:ascii="Times New Roman" w:hAnsi="Times New Roman" w:cs="Times New Roman"/>
        </w:rPr>
        <w:t xml:space="preserve">Spectrum licences will commence </w:t>
      </w:r>
      <w:r w:rsidR="00246606">
        <w:rPr>
          <w:rFonts w:ascii="Times New Roman" w:hAnsi="Times New Roman" w:cs="Times New Roman"/>
        </w:rPr>
        <w:t xml:space="preserve">on </w:t>
      </w:r>
      <w:r w:rsidR="00660E05">
        <w:rPr>
          <w:rFonts w:ascii="Times New Roman" w:hAnsi="Times New Roman" w:cs="Times New Roman"/>
        </w:rPr>
        <w:t>the later of:</w:t>
      </w:r>
    </w:p>
    <w:p w14:paraId="38F8A94E" w14:textId="35C131A3" w:rsidR="00660E05" w:rsidRDefault="00660E05" w:rsidP="00660E05">
      <w:pPr>
        <w:pStyle w:val="ListParagraph"/>
        <w:numPr>
          <w:ilvl w:val="0"/>
          <w:numId w:val="32"/>
        </w:numPr>
        <w:rPr>
          <w:rFonts w:ascii="Times New Roman" w:hAnsi="Times New Roman" w:cs="Times New Roman"/>
        </w:rPr>
      </w:pPr>
      <w:r>
        <w:rPr>
          <w:rFonts w:ascii="Times New Roman" w:hAnsi="Times New Roman" w:cs="Times New Roman"/>
        </w:rPr>
        <w:t xml:space="preserve">the day </w:t>
      </w:r>
      <w:r w:rsidR="006D5F9A">
        <w:rPr>
          <w:rFonts w:ascii="Times New Roman" w:hAnsi="Times New Roman" w:cs="Times New Roman"/>
        </w:rPr>
        <w:t xml:space="preserve">occurring 12 weeks after </w:t>
      </w:r>
      <w:r w:rsidR="007307F4" w:rsidRPr="00880C7C">
        <w:rPr>
          <w:rFonts w:ascii="Times New Roman" w:hAnsi="Times New Roman" w:cs="Times New Roman"/>
        </w:rPr>
        <w:t xml:space="preserve">the auction manager </w:t>
      </w:r>
      <w:r w:rsidR="004F0A66" w:rsidRPr="00880C7C">
        <w:rPr>
          <w:rFonts w:ascii="Times New Roman" w:hAnsi="Times New Roman" w:cs="Times New Roman"/>
        </w:rPr>
        <w:t xml:space="preserve">tells all bidders in writing the names of all winning bidders, the frequency ranges </w:t>
      </w:r>
      <w:r w:rsidRPr="00880C7C">
        <w:rPr>
          <w:rFonts w:ascii="Times New Roman" w:hAnsi="Times New Roman" w:cs="Times New Roman"/>
        </w:rPr>
        <w:t xml:space="preserve">for all the </w:t>
      </w:r>
      <w:r>
        <w:rPr>
          <w:rFonts w:ascii="Times New Roman" w:hAnsi="Times New Roman" w:cs="Times New Roman"/>
        </w:rPr>
        <w:t>lots</w:t>
      </w:r>
      <w:r w:rsidRPr="00880C7C">
        <w:rPr>
          <w:rFonts w:ascii="Times New Roman" w:hAnsi="Times New Roman" w:cs="Times New Roman"/>
        </w:rPr>
        <w:t xml:space="preserve"> allocated in the auction, and the winning price to be paid</w:t>
      </w:r>
      <w:r w:rsidR="000A7C0C">
        <w:rPr>
          <w:rFonts w:ascii="Times New Roman" w:hAnsi="Times New Roman" w:cs="Times New Roman"/>
        </w:rPr>
        <w:t xml:space="preserve"> (</w:t>
      </w:r>
      <w:r w:rsidR="000A7C0C" w:rsidRPr="00880C7C">
        <w:rPr>
          <w:rFonts w:ascii="Times New Roman" w:hAnsi="Times New Roman" w:cs="Times New Roman"/>
          <w:b/>
          <w:bCs/>
        </w:rPr>
        <w:t>the result announcement</w:t>
      </w:r>
      <w:r w:rsidR="000A7C0C">
        <w:rPr>
          <w:rFonts w:ascii="Times New Roman" w:hAnsi="Times New Roman" w:cs="Times New Roman"/>
        </w:rPr>
        <w:t>)</w:t>
      </w:r>
      <w:r>
        <w:rPr>
          <w:rFonts w:ascii="Times New Roman" w:hAnsi="Times New Roman" w:cs="Times New Roman"/>
        </w:rPr>
        <w:t>; or</w:t>
      </w:r>
    </w:p>
    <w:p w14:paraId="7AC67BFD" w14:textId="02EED69F" w:rsidR="00660E05" w:rsidRDefault="007307F4" w:rsidP="00660E05">
      <w:pPr>
        <w:pStyle w:val="ListParagraph"/>
        <w:numPr>
          <w:ilvl w:val="0"/>
          <w:numId w:val="32"/>
        </w:numPr>
        <w:rPr>
          <w:rFonts w:ascii="Times New Roman" w:hAnsi="Times New Roman" w:cs="Times New Roman"/>
        </w:rPr>
      </w:pPr>
      <w:r w:rsidRPr="00880C7C">
        <w:rPr>
          <w:rFonts w:ascii="Times New Roman" w:hAnsi="Times New Roman" w:cs="Times New Roman"/>
        </w:rPr>
        <w:t>the date the licence is issued.</w:t>
      </w:r>
    </w:p>
    <w:p w14:paraId="332B6485" w14:textId="2DBE1449" w:rsidR="001649B1" w:rsidRPr="00880C7C" w:rsidRDefault="007307F4" w:rsidP="002635D9">
      <w:pPr>
        <w:rPr>
          <w:rFonts w:ascii="Times New Roman" w:hAnsi="Times New Roman" w:cs="Times New Roman"/>
        </w:rPr>
      </w:pPr>
      <w:r w:rsidRPr="00880C7C">
        <w:rPr>
          <w:rFonts w:ascii="Times New Roman" w:hAnsi="Times New Roman" w:cs="Times New Roman"/>
        </w:rPr>
        <w:t>All spectrum licences issued in the 26 GHz band will expire on a fixed date</w:t>
      </w:r>
      <w:r w:rsidR="00660E05">
        <w:rPr>
          <w:rFonts w:ascii="Times New Roman" w:hAnsi="Times New Roman" w:cs="Times New Roman"/>
        </w:rPr>
        <w:t>,</w:t>
      </w:r>
      <w:r w:rsidRPr="00880C7C">
        <w:rPr>
          <w:rFonts w:ascii="Times New Roman" w:hAnsi="Times New Roman" w:cs="Times New Roman"/>
        </w:rPr>
        <w:t xml:space="preserve"> being </w:t>
      </w:r>
      <w:r w:rsidR="00FB6763" w:rsidRPr="00880C7C">
        <w:rPr>
          <w:rFonts w:ascii="Times New Roman" w:hAnsi="Times New Roman" w:cs="Times New Roman"/>
        </w:rPr>
        <w:t>15</w:t>
      </w:r>
      <w:r w:rsidR="00693686" w:rsidRPr="00880C7C">
        <w:rPr>
          <w:rFonts w:ascii="Times New Roman" w:hAnsi="Times New Roman" w:cs="Times New Roman"/>
        </w:rPr>
        <w:t> </w:t>
      </w:r>
      <w:r w:rsidR="00FB6763" w:rsidRPr="00880C7C">
        <w:rPr>
          <w:rFonts w:ascii="Times New Roman" w:hAnsi="Times New Roman" w:cs="Times New Roman"/>
        </w:rPr>
        <w:t xml:space="preserve">years and </w:t>
      </w:r>
      <w:r w:rsidR="006B29EB">
        <w:rPr>
          <w:rFonts w:ascii="Times New Roman" w:hAnsi="Times New Roman" w:cs="Times New Roman"/>
        </w:rPr>
        <w:t>12</w:t>
      </w:r>
      <w:r w:rsidR="006B29EB" w:rsidRPr="00880C7C">
        <w:rPr>
          <w:rFonts w:ascii="Times New Roman" w:hAnsi="Times New Roman" w:cs="Times New Roman"/>
        </w:rPr>
        <w:t xml:space="preserve"> </w:t>
      </w:r>
      <w:r w:rsidR="00FB6763" w:rsidRPr="00880C7C">
        <w:rPr>
          <w:rFonts w:ascii="Times New Roman" w:hAnsi="Times New Roman" w:cs="Times New Roman"/>
        </w:rPr>
        <w:t>weeks</w:t>
      </w:r>
      <w:r w:rsidRPr="00880C7C">
        <w:rPr>
          <w:rFonts w:ascii="Times New Roman" w:hAnsi="Times New Roman" w:cs="Times New Roman"/>
        </w:rPr>
        <w:t xml:space="preserve"> after the </w:t>
      </w:r>
      <w:r w:rsidR="000A7C0C">
        <w:rPr>
          <w:rFonts w:ascii="Times New Roman" w:hAnsi="Times New Roman" w:cs="Times New Roman"/>
        </w:rPr>
        <w:t>result announcement</w:t>
      </w:r>
      <w:r w:rsidR="00097D42">
        <w:rPr>
          <w:rFonts w:ascii="Times New Roman" w:hAnsi="Times New Roman" w:cs="Times New Roman"/>
        </w:rPr>
        <w:t>.</w:t>
      </w:r>
      <w:r w:rsidR="00FB6763" w:rsidRPr="00880C7C">
        <w:rPr>
          <w:rFonts w:ascii="Times New Roman" w:hAnsi="Times New Roman" w:cs="Times New Roman"/>
        </w:rPr>
        <w:t xml:space="preserve"> </w:t>
      </w:r>
    </w:p>
    <w:p w14:paraId="1A26FD90" w14:textId="756F7E67" w:rsidR="001649B1" w:rsidRDefault="000A7C0C" w:rsidP="001649B1">
      <w:pPr>
        <w:rPr>
          <w:rFonts w:ascii="Times New Roman" w:hAnsi="Times New Roman" w:cs="Times New Roman"/>
        </w:rPr>
      </w:pPr>
      <w:r>
        <w:rPr>
          <w:rFonts w:ascii="Times New Roman" w:hAnsi="Times New Roman" w:cs="Times New Roman"/>
        </w:rPr>
        <w:t>The</w:t>
      </w:r>
      <w:r w:rsidRPr="001649B1">
        <w:rPr>
          <w:rFonts w:ascii="Times New Roman" w:hAnsi="Times New Roman" w:cs="Times New Roman"/>
        </w:rPr>
        <w:t xml:space="preserve"> </w:t>
      </w:r>
      <w:r w:rsidR="001649B1" w:rsidRPr="001649B1">
        <w:rPr>
          <w:rFonts w:ascii="Times New Roman" w:hAnsi="Times New Roman" w:cs="Times New Roman"/>
        </w:rPr>
        <w:t xml:space="preserve">sample spectrum licence set out in </w:t>
      </w:r>
      <w:r w:rsidR="001649B1" w:rsidRPr="00DE1889">
        <w:rPr>
          <w:rFonts w:ascii="Times New Roman" w:hAnsi="Times New Roman" w:cs="Times New Roman"/>
        </w:rPr>
        <w:t xml:space="preserve">Schedule </w:t>
      </w:r>
      <w:r w:rsidR="00DD1F68" w:rsidRPr="00DE1889">
        <w:rPr>
          <w:rFonts w:ascii="Times New Roman" w:hAnsi="Times New Roman" w:cs="Times New Roman"/>
        </w:rPr>
        <w:t>6</w:t>
      </w:r>
      <w:r w:rsidR="001649B1" w:rsidRPr="00DE1889">
        <w:rPr>
          <w:rFonts w:ascii="Times New Roman" w:hAnsi="Times New Roman" w:cs="Times New Roman"/>
        </w:rPr>
        <w:t xml:space="preserve"> to the</w:t>
      </w:r>
      <w:r w:rsidR="001649B1" w:rsidRPr="001649B1">
        <w:rPr>
          <w:rFonts w:ascii="Times New Roman" w:hAnsi="Times New Roman" w:cs="Times New Roman"/>
        </w:rPr>
        <w:t xml:space="preserve"> Marketing Plan contains information relating to core and other licence conditions that may apply to the operation of radiocommunications devices under the spectrum licence. However, the spectrum licences issued </w:t>
      </w:r>
      <w:r w:rsidR="00693686">
        <w:rPr>
          <w:rFonts w:ascii="Times New Roman" w:hAnsi="Times New Roman" w:cs="Times New Roman"/>
        </w:rPr>
        <w:t xml:space="preserve">as a result of the auction </w:t>
      </w:r>
      <w:r w:rsidR="001649B1" w:rsidRPr="001649B1">
        <w:rPr>
          <w:rFonts w:ascii="Times New Roman" w:hAnsi="Times New Roman" w:cs="Times New Roman"/>
        </w:rPr>
        <w:t>may contain additional or different conditions.</w:t>
      </w:r>
    </w:p>
    <w:p w14:paraId="200D44EF" w14:textId="6A8CCB1B" w:rsidR="00D765D1" w:rsidRDefault="00D765D1" w:rsidP="00D765D1">
      <w:pPr>
        <w:rPr>
          <w:rFonts w:ascii="Times New Roman" w:hAnsi="Times New Roman" w:cs="Times New Roman"/>
        </w:rPr>
      </w:pPr>
      <w:r>
        <w:rPr>
          <w:rFonts w:ascii="Times New Roman" w:hAnsi="Times New Roman" w:cs="Times New Roman"/>
        </w:rPr>
        <w:t xml:space="preserve">A provision-by-provision description of the </w:t>
      </w:r>
      <w:r w:rsidR="00B26F39">
        <w:rPr>
          <w:rFonts w:ascii="Times New Roman" w:hAnsi="Times New Roman" w:cs="Times New Roman"/>
        </w:rPr>
        <w:t xml:space="preserve">Marketing Plan </w:t>
      </w:r>
      <w:r>
        <w:rPr>
          <w:rFonts w:ascii="Times New Roman" w:hAnsi="Times New Roman" w:cs="Times New Roman"/>
        </w:rPr>
        <w:t xml:space="preserve">is set out in the notes at </w:t>
      </w:r>
      <w:r>
        <w:rPr>
          <w:rFonts w:ascii="Times New Roman" w:hAnsi="Times New Roman" w:cs="Times New Roman"/>
          <w:b/>
        </w:rPr>
        <w:t>Attachment A</w:t>
      </w:r>
      <w:r>
        <w:rPr>
          <w:rFonts w:ascii="Times New Roman" w:hAnsi="Times New Roman" w:cs="Times New Roman"/>
        </w:rPr>
        <w:t>.</w:t>
      </w:r>
    </w:p>
    <w:p w14:paraId="15A8EB95" w14:textId="3658B79B" w:rsidR="004C58B9" w:rsidRDefault="004C58B9" w:rsidP="004C58B9">
      <w:pPr>
        <w:rPr>
          <w:rFonts w:ascii="Times New Roman" w:hAnsi="Times New Roman" w:cs="Times New Roman"/>
        </w:rPr>
      </w:pPr>
      <w:r>
        <w:rPr>
          <w:rFonts w:ascii="Times New Roman" w:hAnsi="Times New Roman" w:cs="Times New Roman"/>
        </w:rPr>
        <w:t xml:space="preserve">The </w:t>
      </w:r>
      <w:r w:rsidR="00B26F39">
        <w:rPr>
          <w:rFonts w:ascii="Times New Roman" w:hAnsi="Times New Roman" w:cs="Times New Roman"/>
        </w:rPr>
        <w:t xml:space="preserve">Marketing Plan </w:t>
      </w:r>
      <w:r>
        <w:rPr>
          <w:rFonts w:ascii="Times New Roman" w:hAnsi="Times New Roman" w:cs="Times New Roman"/>
        </w:rPr>
        <w:t xml:space="preserve">is a </w:t>
      </w:r>
      <w:r w:rsidR="001649B1">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p>
    <w:p w14:paraId="3A0AA495" w14:textId="04888543" w:rsidR="00216C23" w:rsidRDefault="00DE2605" w:rsidP="004C58B9">
      <w:pPr>
        <w:rPr>
          <w:rFonts w:ascii="Times New Roman" w:hAnsi="Times New Roman" w:cs="Times New Roman"/>
        </w:rPr>
      </w:pPr>
      <w:r w:rsidRPr="00DE2605">
        <w:rPr>
          <w:rFonts w:ascii="Times New Roman" w:hAnsi="Times New Roman" w:cs="Times New Roman"/>
        </w:rPr>
        <w:t xml:space="preserve">On the </w:t>
      </w:r>
      <w:proofErr w:type="gramStart"/>
      <w:r w:rsidRPr="00DE2605">
        <w:rPr>
          <w:rFonts w:ascii="Times New Roman" w:hAnsi="Times New Roman" w:cs="Times New Roman"/>
        </w:rPr>
        <w:t>day</w:t>
      </w:r>
      <w:proofErr w:type="gramEnd"/>
      <w:r w:rsidRPr="00DE2605">
        <w:rPr>
          <w:rFonts w:ascii="Times New Roman" w:hAnsi="Times New Roman" w:cs="Times New Roman"/>
        </w:rPr>
        <w:t xml:space="preserve"> th</w:t>
      </w:r>
      <w:r>
        <w:rPr>
          <w:rFonts w:ascii="Times New Roman" w:hAnsi="Times New Roman" w:cs="Times New Roman"/>
        </w:rPr>
        <w:t xml:space="preserve">e Marketing Plan </w:t>
      </w:r>
      <w:r w:rsidRPr="00DE2605">
        <w:rPr>
          <w:rFonts w:ascii="Times New Roman" w:hAnsi="Times New Roman" w:cs="Times New Roman"/>
        </w:rPr>
        <w:t xml:space="preserve">was </w:t>
      </w:r>
      <w:r w:rsidR="00B26F39">
        <w:rPr>
          <w:rFonts w:ascii="Times New Roman" w:hAnsi="Times New Roman" w:cs="Times New Roman"/>
        </w:rPr>
        <w:t>made</w:t>
      </w:r>
      <w:r w:rsidRPr="00DE2605">
        <w:rPr>
          <w:rFonts w:ascii="Times New Roman" w:hAnsi="Times New Roman" w:cs="Times New Roman"/>
        </w:rPr>
        <w:t xml:space="preserve">, the </w:t>
      </w:r>
      <w:r w:rsidRPr="00880C7C">
        <w:rPr>
          <w:rFonts w:ascii="Times New Roman" w:hAnsi="Times New Roman" w:cs="Times New Roman"/>
        </w:rPr>
        <w:t>Radiocommunications Legislation Amendment (Reform and Modernisation) Bill 2020</w:t>
      </w:r>
      <w:r w:rsidRPr="002635D9">
        <w:rPr>
          <w:rFonts w:ascii="Times New Roman" w:hAnsi="Times New Roman" w:cs="Times New Roman"/>
        </w:rPr>
        <w:t xml:space="preserve"> </w:t>
      </w:r>
      <w:r w:rsidRPr="00DE2605">
        <w:rPr>
          <w:rFonts w:ascii="Times New Roman" w:hAnsi="Times New Roman" w:cs="Times New Roman"/>
        </w:rPr>
        <w:t>(</w:t>
      </w:r>
      <w:r w:rsidR="0049040E" w:rsidRPr="00DE1889">
        <w:rPr>
          <w:rFonts w:ascii="Times New Roman" w:hAnsi="Times New Roman" w:cs="Times New Roman"/>
          <w:b/>
          <w:bCs/>
        </w:rPr>
        <w:t>the</w:t>
      </w:r>
      <w:r w:rsidR="0049040E">
        <w:rPr>
          <w:rFonts w:ascii="Times New Roman" w:hAnsi="Times New Roman" w:cs="Times New Roman"/>
        </w:rPr>
        <w:t xml:space="preserve"> </w:t>
      </w:r>
      <w:r w:rsidRPr="00880C7C">
        <w:rPr>
          <w:rFonts w:ascii="Times New Roman" w:hAnsi="Times New Roman" w:cs="Times New Roman"/>
          <w:b/>
          <w:bCs/>
        </w:rPr>
        <w:t>Bill</w:t>
      </w:r>
      <w:r w:rsidRPr="00DE2605">
        <w:rPr>
          <w:rFonts w:ascii="Times New Roman" w:hAnsi="Times New Roman" w:cs="Times New Roman"/>
        </w:rPr>
        <w:t xml:space="preserve">) had been introduced to, but not passed by, Parliament. If the Bill is passed by Parliament, its provisions may affect the matters </w:t>
      </w:r>
      <w:r>
        <w:rPr>
          <w:rFonts w:ascii="Times New Roman" w:hAnsi="Times New Roman" w:cs="Times New Roman"/>
        </w:rPr>
        <w:t>set out in</w:t>
      </w:r>
      <w:r w:rsidR="00DC7AAD">
        <w:rPr>
          <w:rFonts w:ascii="Times New Roman" w:hAnsi="Times New Roman" w:cs="Times New Roman"/>
        </w:rPr>
        <w:t xml:space="preserve"> the Marketing Plan or in</w:t>
      </w:r>
      <w:r>
        <w:rPr>
          <w:rFonts w:ascii="Times New Roman" w:hAnsi="Times New Roman" w:cs="Times New Roman"/>
        </w:rPr>
        <w:t xml:space="preserve"> a spectrum licence</w:t>
      </w:r>
      <w:r w:rsidR="00DC7AAD">
        <w:rPr>
          <w:rFonts w:ascii="Times New Roman" w:hAnsi="Times New Roman" w:cs="Times New Roman"/>
        </w:rPr>
        <w:t xml:space="preserve"> allocated in accordance with the Marketing Plan</w:t>
      </w:r>
      <w:r>
        <w:rPr>
          <w:rFonts w:ascii="Times New Roman" w:hAnsi="Times New Roman" w:cs="Times New Roman"/>
        </w:rPr>
        <w:t xml:space="preserve">. </w:t>
      </w:r>
      <w:r w:rsidR="00216C23">
        <w:rPr>
          <w:rFonts w:ascii="Times New Roman" w:hAnsi="Times New Roman" w:cs="Times New Roman"/>
        </w:rPr>
        <w:t xml:space="preserve">Further information on spectrum reform can be found at </w:t>
      </w:r>
      <w:hyperlink r:id="rId12" w:history="1">
        <w:r w:rsidR="00292D65" w:rsidRPr="00945539">
          <w:rPr>
            <w:rStyle w:val="Hyperlink"/>
            <w:rFonts w:ascii="Times New Roman" w:hAnsi="Times New Roman" w:cs="Times New Roman"/>
          </w:rPr>
          <w:t>www.communications.gov</w:t>
        </w:r>
        <w:r w:rsidR="00292D65" w:rsidRPr="006A5FCC">
          <w:rPr>
            <w:rStyle w:val="Hyperlink"/>
            <w:rFonts w:ascii="Times New Roman" w:hAnsi="Times New Roman" w:cs="Times New Roman"/>
          </w:rPr>
          <w:t>.au</w:t>
        </w:r>
      </w:hyperlink>
      <w:r w:rsidR="00292D65">
        <w:rPr>
          <w:rFonts w:ascii="Times New Roman" w:hAnsi="Times New Roman" w:cs="Times New Roman"/>
        </w:rPr>
        <w:t>,</w:t>
      </w:r>
      <w:r w:rsidR="00216C23">
        <w:rPr>
          <w:rFonts w:ascii="Times New Roman" w:hAnsi="Times New Roman" w:cs="Times New Roman"/>
        </w:rPr>
        <w:t xml:space="preserve"> or by emailing </w:t>
      </w:r>
      <w:hyperlink r:id="rId13" w:history="1">
        <w:r w:rsidR="00216C23" w:rsidRPr="005875BC">
          <w:rPr>
            <w:rStyle w:val="Hyperlink"/>
            <w:rFonts w:ascii="Times New Roman" w:hAnsi="Times New Roman" w:cs="Times New Roman"/>
          </w:rPr>
          <w:t>spectrumreform@communications.gov.au</w:t>
        </w:r>
      </w:hyperlink>
      <w:r w:rsidR="00216C23">
        <w:rPr>
          <w:rFonts w:ascii="Times New Roman" w:hAnsi="Times New Roman" w:cs="Times New Roman"/>
        </w:rPr>
        <w:t>.</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35252E6D" w14:textId="71C58477" w:rsidR="00DC2F9F" w:rsidRDefault="00DC2F9F" w:rsidP="00DC2F9F">
      <w:pPr>
        <w:keepNext/>
        <w:keepLines/>
        <w:rPr>
          <w:rFonts w:ascii="Times New Roman" w:hAnsi="Times New Roman" w:cs="Times New Roman"/>
        </w:rPr>
      </w:pPr>
      <w:r>
        <w:rPr>
          <w:rFonts w:ascii="Times New Roman" w:hAnsi="Times New Roman" w:cs="Times New Roman"/>
        </w:rPr>
        <w:t>Subsection 314A(2)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 The Marketing Plan incorporates the following by reference, as existing from time to time</w:t>
      </w:r>
      <w:r w:rsidR="001F263F">
        <w:rPr>
          <w:rFonts w:ascii="Times New Roman" w:hAnsi="Times New Roman" w:cs="Times New Roman"/>
        </w:rPr>
        <w:t>, or otherwise refers to them</w:t>
      </w:r>
      <w:r>
        <w:rPr>
          <w:rFonts w:ascii="Times New Roman" w:hAnsi="Times New Roman" w:cs="Times New Roman"/>
        </w:rPr>
        <w:t xml:space="preserve">: </w:t>
      </w:r>
    </w:p>
    <w:p w14:paraId="44D42460" w14:textId="013805FF" w:rsidR="005C0D41" w:rsidRPr="00880C7C" w:rsidRDefault="005C0D41" w:rsidP="00857C03">
      <w:pPr>
        <w:pStyle w:val="ListParagraph"/>
        <w:numPr>
          <w:ilvl w:val="0"/>
          <w:numId w:val="33"/>
        </w:numPr>
        <w:rPr>
          <w:rFonts w:ascii="Times New Roman" w:hAnsi="Times New Roman" w:cs="Times New Roman"/>
        </w:rPr>
      </w:pPr>
      <w:r w:rsidRPr="00880C7C">
        <w:rPr>
          <w:rFonts w:ascii="Times New Roman" w:hAnsi="Times New Roman" w:cs="Times New Roman"/>
        </w:rPr>
        <w:t>the Australian Spectrum Map Grid 2012</w:t>
      </w:r>
      <w:r w:rsidR="00094A67">
        <w:rPr>
          <w:rFonts w:ascii="Times New Roman" w:hAnsi="Times New Roman" w:cs="Times New Roman"/>
        </w:rPr>
        <w:t>, published by the ACMA,</w:t>
      </w:r>
      <w:r w:rsidRPr="00880C7C">
        <w:rPr>
          <w:rFonts w:ascii="Times New Roman" w:hAnsi="Times New Roman" w:cs="Times New Roman"/>
        </w:rPr>
        <w:t xml:space="preserve"> </w:t>
      </w:r>
      <w:r w:rsidR="00094A67">
        <w:rPr>
          <w:rFonts w:ascii="Times New Roman" w:hAnsi="Times New Roman" w:cs="Times New Roman"/>
        </w:rPr>
        <w:t>and</w:t>
      </w:r>
      <w:r w:rsidRPr="00880C7C">
        <w:rPr>
          <w:rFonts w:ascii="Times New Roman" w:hAnsi="Times New Roman" w:cs="Times New Roman"/>
        </w:rPr>
        <w:t xml:space="preserve"> available </w:t>
      </w:r>
      <w:r w:rsidR="00094A67">
        <w:rPr>
          <w:rFonts w:ascii="Times New Roman" w:hAnsi="Times New Roman" w:cs="Times New Roman"/>
        </w:rPr>
        <w:t xml:space="preserve">free of charge </w:t>
      </w:r>
      <w:r w:rsidRPr="00880C7C">
        <w:rPr>
          <w:rFonts w:ascii="Times New Roman" w:hAnsi="Times New Roman" w:cs="Times New Roman"/>
        </w:rPr>
        <w:t>from the ACMA’s website</w:t>
      </w:r>
      <w:r w:rsidR="003F55E4">
        <w:rPr>
          <w:rFonts w:ascii="Times New Roman" w:hAnsi="Times New Roman" w:cs="Times New Roman"/>
        </w:rPr>
        <w:t xml:space="preserve"> at</w:t>
      </w:r>
      <w:r w:rsidRPr="00880C7C">
        <w:rPr>
          <w:rFonts w:ascii="Times New Roman" w:hAnsi="Times New Roman" w:cs="Times New Roman"/>
        </w:rPr>
        <w:t xml:space="preserve"> </w:t>
      </w:r>
      <w:hyperlink r:id="rId14" w:history="1">
        <w:r w:rsidRPr="002635D9">
          <w:rPr>
            <w:rStyle w:val="Hyperlink"/>
            <w:rFonts w:ascii="Times New Roman" w:hAnsi="Times New Roman" w:cs="Times New Roman"/>
          </w:rPr>
          <w:t>www.acma.gov.au</w:t>
        </w:r>
      </w:hyperlink>
      <w:r w:rsidR="003F55E4">
        <w:rPr>
          <w:rFonts w:ascii="Times New Roman" w:hAnsi="Times New Roman" w:cs="Times New Roman"/>
        </w:rPr>
        <w:t>;</w:t>
      </w:r>
    </w:p>
    <w:p w14:paraId="516A40B0" w14:textId="26C33E2E" w:rsidR="00A663FB" w:rsidRDefault="00A663FB" w:rsidP="00857C03">
      <w:pPr>
        <w:pStyle w:val="ListParagraph"/>
        <w:numPr>
          <w:ilvl w:val="0"/>
          <w:numId w:val="33"/>
        </w:numPr>
        <w:rPr>
          <w:rFonts w:ascii="Times New Roman" w:hAnsi="Times New Roman" w:cs="Times New Roman"/>
        </w:rPr>
      </w:pPr>
      <w:r>
        <w:rPr>
          <w:rFonts w:ascii="Times New Roman" w:hAnsi="Times New Roman" w:cs="Times New Roman"/>
        </w:rPr>
        <w:t xml:space="preserve">the Bill, available free of charge from the Federal Register of Legislation: </w:t>
      </w:r>
      <w:hyperlink r:id="rId15" w:history="1">
        <w:r w:rsidRPr="00F677CA">
          <w:rPr>
            <w:rStyle w:val="Hyperlink"/>
            <w:rFonts w:ascii="Times New Roman" w:hAnsi="Times New Roman" w:cs="Times New Roman"/>
          </w:rPr>
          <w:t>www.legislation.gov.au</w:t>
        </w:r>
      </w:hyperlink>
      <w:r>
        <w:rPr>
          <w:rFonts w:ascii="Times New Roman" w:hAnsi="Times New Roman" w:cs="Times New Roman"/>
        </w:rPr>
        <w:t xml:space="preserve">; </w:t>
      </w:r>
    </w:p>
    <w:p w14:paraId="19846240" w14:textId="39D23C90" w:rsidR="005C0D41" w:rsidRPr="00857C03" w:rsidRDefault="00541740" w:rsidP="00857C03">
      <w:pPr>
        <w:pStyle w:val="ListParagraph"/>
        <w:numPr>
          <w:ilvl w:val="0"/>
          <w:numId w:val="33"/>
        </w:numPr>
        <w:rPr>
          <w:rFonts w:ascii="Times New Roman" w:hAnsi="Times New Roman" w:cs="Times New Roman"/>
        </w:rPr>
      </w:pPr>
      <w:r>
        <w:rPr>
          <w:rFonts w:ascii="Times New Roman" w:hAnsi="Times New Roman" w:cs="Times New Roman"/>
        </w:rPr>
        <w:t xml:space="preserve">the </w:t>
      </w:r>
      <w:r w:rsidR="005C0D41" w:rsidRPr="00880C7C">
        <w:rPr>
          <w:rFonts w:ascii="Times New Roman" w:hAnsi="Times New Roman" w:cs="Times New Roman"/>
        </w:rPr>
        <w:t>Radiocommunications</w:t>
      </w:r>
      <w:r w:rsidR="005C0D41" w:rsidRPr="00857C03">
        <w:rPr>
          <w:rFonts w:ascii="Times New Roman" w:hAnsi="Times New Roman" w:cs="Times New Roman"/>
        </w:rPr>
        <w:t xml:space="preserve"> Assignment and Licensing Instruction MS </w:t>
      </w:r>
      <w:r w:rsidR="002D1559" w:rsidRPr="00857C03">
        <w:rPr>
          <w:rFonts w:ascii="Times New Roman" w:hAnsi="Times New Roman" w:cs="Times New Roman"/>
        </w:rPr>
        <w:t>46</w:t>
      </w:r>
      <w:r w:rsidR="005C0D41" w:rsidRPr="00857C03">
        <w:rPr>
          <w:rFonts w:ascii="Times New Roman" w:hAnsi="Times New Roman" w:cs="Times New Roman"/>
        </w:rPr>
        <w:t xml:space="preserve"> (</w:t>
      </w:r>
      <w:r w:rsidR="005C0D41" w:rsidRPr="00857C03">
        <w:rPr>
          <w:rFonts w:ascii="Times New Roman" w:hAnsi="Times New Roman" w:cs="Times New Roman"/>
          <w:b/>
          <w:bCs/>
        </w:rPr>
        <w:t xml:space="preserve">RALI MS </w:t>
      </w:r>
      <w:r w:rsidR="002D1559" w:rsidRPr="00857C03">
        <w:rPr>
          <w:rFonts w:ascii="Times New Roman" w:hAnsi="Times New Roman" w:cs="Times New Roman"/>
          <w:b/>
          <w:bCs/>
        </w:rPr>
        <w:t>46</w:t>
      </w:r>
      <w:r w:rsidR="005C0D41" w:rsidRPr="00857C03">
        <w:rPr>
          <w:rFonts w:ascii="Times New Roman" w:hAnsi="Times New Roman" w:cs="Times New Roman"/>
        </w:rPr>
        <w:t>)</w:t>
      </w:r>
      <w:r w:rsidR="00227AB5">
        <w:rPr>
          <w:rFonts w:ascii="Times New Roman" w:hAnsi="Times New Roman" w:cs="Times New Roman"/>
        </w:rPr>
        <w:t>, published by the ACMA, and</w:t>
      </w:r>
      <w:r w:rsidR="000F564F" w:rsidRPr="00541740">
        <w:rPr>
          <w:rFonts w:ascii="Times New Roman" w:hAnsi="Times New Roman" w:cs="Times New Roman"/>
        </w:rPr>
        <w:t xml:space="preserve"> available </w:t>
      </w:r>
      <w:r w:rsidR="00227AB5">
        <w:rPr>
          <w:rFonts w:ascii="Times New Roman" w:hAnsi="Times New Roman" w:cs="Times New Roman"/>
        </w:rPr>
        <w:t xml:space="preserve">free of charge </w:t>
      </w:r>
      <w:r w:rsidR="000F564F" w:rsidRPr="00857C03">
        <w:rPr>
          <w:rFonts w:ascii="Times New Roman" w:hAnsi="Times New Roman" w:cs="Times New Roman"/>
        </w:rPr>
        <w:t xml:space="preserve">from the ACMA’s website: </w:t>
      </w:r>
      <w:hyperlink r:id="rId16" w:history="1">
        <w:r w:rsidR="000F564F" w:rsidRPr="002635D9">
          <w:rPr>
            <w:rStyle w:val="Hyperlink"/>
            <w:rFonts w:ascii="Times New Roman" w:hAnsi="Times New Roman" w:cs="Times New Roman"/>
          </w:rPr>
          <w:t>www.acma.gov.au</w:t>
        </w:r>
      </w:hyperlink>
      <w:r w:rsidR="007B0A93">
        <w:rPr>
          <w:rFonts w:ascii="Times New Roman" w:hAnsi="Times New Roman" w:cs="Times New Roman"/>
        </w:rPr>
        <w:t>;</w:t>
      </w:r>
      <w:r w:rsidR="000F564F" w:rsidRPr="00857C03">
        <w:rPr>
          <w:rFonts w:ascii="Times New Roman" w:hAnsi="Times New Roman" w:cs="Times New Roman"/>
        </w:rPr>
        <w:t xml:space="preserve"> </w:t>
      </w:r>
    </w:p>
    <w:p w14:paraId="37125E55" w14:textId="701D0524" w:rsidR="003E4241" w:rsidRPr="00C84250" w:rsidRDefault="00696E61" w:rsidP="00857C03">
      <w:pPr>
        <w:pStyle w:val="ListParagraph"/>
        <w:numPr>
          <w:ilvl w:val="0"/>
          <w:numId w:val="33"/>
        </w:numPr>
        <w:rPr>
          <w:rFonts w:ascii="Times New Roman" w:hAnsi="Times New Roman" w:cs="Times New Roman"/>
        </w:rPr>
      </w:pPr>
      <w:proofErr w:type="gramStart"/>
      <w:r>
        <w:rPr>
          <w:rFonts w:ascii="Times New Roman" w:hAnsi="Times New Roman" w:cs="Times New Roman"/>
        </w:rPr>
        <w:t>the Radio Regulations,</w:t>
      </w:r>
      <w:proofErr w:type="gramEnd"/>
      <w:r>
        <w:rPr>
          <w:rFonts w:ascii="Times New Roman" w:hAnsi="Times New Roman" w:cs="Times New Roman"/>
        </w:rPr>
        <w:t xml:space="preserve"> published by</w:t>
      </w:r>
      <w:r w:rsidR="003E4241" w:rsidRPr="00857C03">
        <w:rPr>
          <w:rFonts w:ascii="Times New Roman" w:hAnsi="Times New Roman" w:cs="Times New Roman"/>
        </w:rPr>
        <w:t xml:space="preserve"> the International Telecommunication Union (</w:t>
      </w:r>
      <w:r w:rsidR="003E4241" w:rsidRPr="00857C03">
        <w:rPr>
          <w:rFonts w:ascii="Times New Roman" w:hAnsi="Times New Roman" w:cs="Times New Roman"/>
          <w:b/>
          <w:bCs/>
        </w:rPr>
        <w:t>ITU</w:t>
      </w:r>
      <w:r w:rsidR="003E4241" w:rsidRPr="00857C03">
        <w:rPr>
          <w:rFonts w:ascii="Times New Roman" w:hAnsi="Times New Roman" w:cs="Times New Roman"/>
        </w:rPr>
        <w:t xml:space="preserve">). </w:t>
      </w:r>
      <w:r w:rsidR="0032744F">
        <w:rPr>
          <w:rFonts w:ascii="Times New Roman" w:hAnsi="Times New Roman" w:cs="Times New Roman"/>
        </w:rPr>
        <w:t xml:space="preserve">The Radio </w:t>
      </w:r>
      <w:r w:rsidR="00C05E0C">
        <w:rPr>
          <w:rFonts w:ascii="Times New Roman" w:hAnsi="Times New Roman" w:cs="Times New Roman"/>
        </w:rPr>
        <w:t>R</w:t>
      </w:r>
      <w:r w:rsidR="0032744F">
        <w:rPr>
          <w:rFonts w:ascii="Times New Roman" w:hAnsi="Times New Roman" w:cs="Times New Roman"/>
        </w:rPr>
        <w:t>egulations contain Articles, Appendixes, Resolutions and Recommendations of the ITU relating to international radiocommunications coordination.</w:t>
      </w:r>
      <w:r w:rsidR="003E4241" w:rsidRPr="00857C03">
        <w:rPr>
          <w:rFonts w:ascii="Times New Roman" w:hAnsi="Times New Roman" w:cs="Times New Roman"/>
        </w:rPr>
        <w:t xml:space="preserve"> The Radio Regulations are available</w:t>
      </w:r>
      <w:r w:rsidR="0032744F">
        <w:rPr>
          <w:rFonts w:ascii="Times New Roman" w:hAnsi="Times New Roman" w:cs="Times New Roman"/>
        </w:rPr>
        <w:t>,</w:t>
      </w:r>
      <w:r w:rsidR="003E4241" w:rsidRPr="00857C03">
        <w:rPr>
          <w:rFonts w:ascii="Times New Roman" w:hAnsi="Times New Roman" w:cs="Times New Roman"/>
        </w:rPr>
        <w:t xml:space="preserve"> free </w:t>
      </w:r>
      <w:r w:rsidR="0032744F">
        <w:rPr>
          <w:rFonts w:ascii="Times New Roman" w:hAnsi="Times New Roman" w:cs="Times New Roman"/>
        </w:rPr>
        <w:t xml:space="preserve">of charge, </w:t>
      </w:r>
      <w:r w:rsidR="003E4241" w:rsidRPr="00C84250">
        <w:rPr>
          <w:rFonts w:ascii="Times New Roman" w:hAnsi="Times New Roman" w:cs="Times New Roman"/>
        </w:rPr>
        <w:t xml:space="preserve">from the ITU’s website: </w:t>
      </w:r>
      <w:hyperlink r:id="rId17" w:history="1">
        <w:r w:rsidR="003E4241" w:rsidRPr="002635D9">
          <w:rPr>
            <w:rStyle w:val="Hyperlink"/>
            <w:rFonts w:ascii="Times New Roman" w:hAnsi="Times New Roman" w:cs="Times New Roman"/>
          </w:rPr>
          <w:t>www.itu.int</w:t>
        </w:r>
      </w:hyperlink>
      <w:r w:rsidR="0032744F">
        <w:rPr>
          <w:rFonts w:ascii="Times New Roman" w:hAnsi="Times New Roman" w:cs="Times New Roman"/>
        </w:rPr>
        <w:t>;</w:t>
      </w:r>
    </w:p>
    <w:p w14:paraId="06B9EFE5" w14:textId="7D5F6804" w:rsidR="005C0D41" w:rsidRDefault="005C0D41" w:rsidP="003E080F">
      <w:pPr>
        <w:keepNext/>
        <w:spacing w:line="257" w:lineRule="auto"/>
        <w:rPr>
          <w:rFonts w:ascii="Times New Roman" w:hAnsi="Times New Roman" w:cs="Times New Roman"/>
        </w:rPr>
      </w:pPr>
      <w:r w:rsidRPr="005C0D41">
        <w:rPr>
          <w:rFonts w:ascii="Times New Roman" w:hAnsi="Times New Roman" w:cs="Times New Roman"/>
        </w:rPr>
        <w:lastRenderedPageBreak/>
        <w:t>The</w:t>
      </w:r>
      <w:r w:rsidR="007B5896">
        <w:rPr>
          <w:rFonts w:ascii="Times New Roman" w:hAnsi="Times New Roman" w:cs="Times New Roman"/>
        </w:rPr>
        <w:t xml:space="preserve"> Marketing Plan also incorporates the following Acts and legislative instruments (including by the adoption of definitions)</w:t>
      </w:r>
      <w:r w:rsidR="00FB0ED1">
        <w:rPr>
          <w:rFonts w:ascii="Times New Roman" w:hAnsi="Times New Roman" w:cs="Times New Roman"/>
        </w:rPr>
        <w:t>, or otherwise refers to them</w:t>
      </w:r>
      <w:r w:rsidR="007B5896">
        <w:rPr>
          <w:rFonts w:ascii="Times New Roman" w:hAnsi="Times New Roman" w:cs="Times New Roman"/>
        </w:rPr>
        <w:t xml:space="preserve">, </w:t>
      </w:r>
      <w:r w:rsidR="006875F8">
        <w:rPr>
          <w:rFonts w:ascii="Times New Roman" w:hAnsi="Times New Roman" w:cs="Times New Roman"/>
        </w:rPr>
        <w:t>as in force from time to time</w:t>
      </w:r>
      <w:r w:rsidR="007B5896">
        <w:rPr>
          <w:rFonts w:ascii="Times New Roman" w:hAnsi="Times New Roman" w:cs="Times New Roman"/>
        </w:rPr>
        <w:t>:</w:t>
      </w:r>
    </w:p>
    <w:p w14:paraId="02CADCE1" w14:textId="71BED34F" w:rsidR="007B5896" w:rsidRDefault="007B5896" w:rsidP="007B5896">
      <w:pPr>
        <w:pStyle w:val="ListParagraph"/>
        <w:numPr>
          <w:ilvl w:val="0"/>
          <w:numId w:val="20"/>
        </w:numPr>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Act;</w:t>
      </w:r>
      <w:proofErr w:type="gramEnd"/>
    </w:p>
    <w:p w14:paraId="40BD6553" w14:textId="00A70B19" w:rsidR="007B5896" w:rsidRDefault="007B5896" w:rsidP="007B5896">
      <w:pPr>
        <w:pStyle w:val="ListParagraph"/>
        <w:numPr>
          <w:ilvl w:val="0"/>
          <w:numId w:val="20"/>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Acts Interpretation Act </w:t>
      </w:r>
      <w:proofErr w:type="gramStart"/>
      <w:r>
        <w:rPr>
          <w:rFonts w:ascii="Times New Roman" w:hAnsi="Times New Roman" w:cs="Times New Roman"/>
          <w:i/>
          <w:iCs/>
        </w:rPr>
        <w:t>1901</w:t>
      </w:r>
      <w:r>
        <w:rPr>
          <w:rFonts w:ascii="Times New Roman" w:hAnsi="Times New Roman" w:cs="Times New Roman"/>
        </w:rPr>
        <w:t>;</w:t>
      </w:r>
      <w:proofErr w:type="gramEnd"/>
    </w:p>
    <w:p w14:paraId="2361729C" w14:textId="70DB0ACD" w:rsidR="00087C6C" w:rsidRDefault="00087C6C" w:rsidP="007B5896">
      <w:pPr>
        <w:pStyle w:val="ListParagraph"/>
        <w:numPr>
          <w:ilvl w:val="0"/>
          <w:numId w:val="20"/>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Administrative Appeals Tribunal Act </w:t>
      </w:r>
      <w:proofErr w:type="gramStart"/>
      <w:r>
        <w:rPr>
          <w:rFonts w:ascii="Times New Roman" w:hAnsi="Times New Roman" w:cs="Times New Roman"/>
          <w:i/>
          <w:iCs/>
        </w:rPr>
        <w:t>1975</w:t>
      </w:r>
      <w:r>
        <w:rPr>
          <w:rFonts w:ascii="Times New Roman" w:hAnsi="Times New Roman" w:cs="Times New Roman"/>
        </w:rPr>
        <w:t>;</w:t>
      </w:r>
      <w:proofErr w:type="gramEnd"/>
    </w:p>
    <w:p w14:paraId="29E00394" w14:textId="0DDD3AA9" w:rsidR="007B5896" w:rsidRDefault="007B5896" w:rsidP="007B5896">
      <w:pPr>
        <w:pStyle w:val="ListParagraph"/>
        <w:numPr>
          <w:ilvl w:val="0"/>
          <w:numId w:val="20"/>
        </w:numPr>
        <w:rPr>
          <w:rFonts w:ascii="Times New Roman" w:hAnsi="Times New Roman" w:cs="Times New Roman"/>
        </w:rPr>
      </w:pPr>
      <w:r>
        <w:rPr>
          <w:rFonts w:ascii="Times New Roman" w:hAnsi="Times New Roman" w:cs="Times New Roman"/>
        </w:rPr>
        <w:t>the Allocation Determination</w:t>
      </w:r>
    </w:p>
    <w:p w14:paraId="7B202920" w14:textId="1DA1680B" w:rsidR="007B5896" w:rsidRDefault="007B5896" w:rsidP="007B5896">
      <w:pPr>
        <w:pStyle w:val="ListParagraph"/>
        <w:numPr>
          <w:ilvl w:val="0"/>
          <w:numId w:val="20"/>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Australian Communications and Media Authority Act </w:t>
      </w:r>
      <w:proofErr w:type="gramStart"/>
      <w:r>
        <w:rPr>
          <w:rFonts w:ascii="Times New Roman" w:hAnsi="Times New Roman" w:cs="Times New Roman"/>
          <w:i/>
          <w:iCs/>
        </w:rPr>
        <w:t>2005</w:t>
      </w:r>
      <w:r>
        <w:rPr>
          <w:rFonts w:ascii="Times New Roman" w:hAnsi="Times New Roman" w:cs="Times New Roman"/>
        </w:rPr>
        <w:t>;</w:t>
      </w:r>
      <w:proofErr w:type="gramEnd"/>
    </w:p>
    <w:p w14:paraId="3C8CD9BD" w14:textId="3C75FAE4" w:rsidR="00087C6C" w:rsidRDefault="00087C6C" w:rsidP="007B5896">
      <w:pPr>
        <w:pStyle w:val="ListParagraph"/>
        <w:numPr>
          <w:ilvl w:val="0"/>
          <w:numId w:val="20"/>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Income T</w:t>
      </w:r>
      <w:r w:rsidR="00E95570">
        <w:rPr>
          <w:rFonts w:ascii="Times New Roman" w:hAnsi="Times New Roman" w:cs="Times New Roman"/>
          <w:i/>
          <w:iCs/>
        </w:rPr>
        <w:t>ax</w:t>
      </w:r>
      <w:r>
        <w:rPr>
          <w:rFonts w:ascii="Times New Roman" w:hAnsi="Times New Roman" w:cs="Times New Roman"/>
          <w:i/>
          <w:iCs/>
        </w:rPr>
        <w:t xml:space="preserve"> Assessment Act </w:t>
      </w:r>
      <w:proofErr w:type="gramStart"/>
      <w:r>
        <w:rPr>
          <w:rFonts w:ascii="Times New Roman" w:hAnsi="Times New Roman" w:cs="Times New Roman"/>
          <w:i/>
          <w:iCs/>
        </w:rPr>
        <w:t>1997</w:t>
      </w:r>
      <w:r>
        <w:rPr>
          <w:rFonts w:ascii="Times New Roman" w:hAnsi="Times New Roman" w:cs="Times New Roman"/>
        </w:rPr>
        <w:t>;</w:t>
      </w:r>
      <w:proofErr w:type="gramEnd"/>
    </w:p>
    <w:p w14:paraId="46B6EB23" w14:textId="1D9E7F11" w:rsidR="00B22666" w:rsidRDefault="00087C6C" w:rsidP="007B5896">
      <w:pPr>
        <w:pStyle w:val="ListParagraph"/>
        <w:numPr>
          <w:ilvl w:val="0"/>
          <w:numId w:val="20"/>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International Tax Agreements Act </w:t>
      </w:r>
      <w:proofErr w:type="gramStart"/>
      <w:r>
        <w:rPr>
          <w:rFonts w:ascii="Times New Roman" w:hAnsi="Times New Roman" w:cs="Times New Roman"/>
          <w:i/>
          <w:iCs/>
        </w:rPr>
        <w:t>1953</w:t>
      </w:r>
      <w:r>
        <w:rPr>
          <w:rFonts w:ascii="Times New Roman" w:hAnsi="Times New Roman" w:cs="Times New Roman"/>
        </w:rPr>
        <w:t>;</w:t>
      </w:r>
      <w:proofErr w:type="gramEnd"/>
    </w:p>
    <w:p w14:paraId="2003616B" w14:textId="1A0DFF94" w:rsidR="00087C6C" w:rsidRDefault="00087C6C" w:rsidP="007B5896">
      <w:pPr>
        <w:pStyle w:val="ListParagraph"/>
        <w:numPr>
          <w:ilvl w:val="0"/>
          <w:numId w:val="20"/>
        </w:numPr>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LA;</w:t>
      </w:r>
      <w:proofErr w:type="gramEnd"/>
    </w:p>
    <w:p w14:paraId="00601741" w14:textId="4497B8A1" w:rsidR="00355830" w:rsidRPr="00351414" w:rsidRDefault="00355830" w:rsidP="007B5896">
      <w:pPr>
        <w:pStyle w:val="ListParagraph"/>
        <w:numPr>
          <w:ilvl w:val="0"/>
          <w:numId w:val="20"/>
        </w:numPr>
        <w:rPr>
          <w:rFonts w:ascii="Times New Roman" w:hAnsi="Times New Roman" w:cs="Times New Roman"/>
        </w:rPr>
      </w:pPr>
      <w:r w:rsidRPr="00351414">
        <w:rPr>
          <w:rFonts w:ascii="Times New Roman" w:hAnsi="Times New Roman" w:cs="Times New Roman"/>
        </w:rPr>
        <w:t xml:space="preserve">the </w:t>
      </w:r>
      <w:r w:rsidRPr="00351414">
        <w:rPr>
          <w:rFonts w:ascii="Times New Roman" w:hAnsi="Times New Roman" w:cs="Times New Roman"/>
          <w:i/>
          <w:iCs/>
        </w:rPr>
        <w:t xml:space="preserve">Radiocommunications (Interpretation) Determination </w:t>
      </w:r>
      <w:proofErr w:type="gramStart"/>
      <w:r w:rsidRPr="00351414">
        <w:rPr>
          <w:rFonts w:ascii="Times New Roman" w:hAnsi="Times New Roman" w:cs="Times New Roman"/>
          <w:i/>
          <w:iCs/>
        </w:rPr>
        <w:t>2015</w:t>
      </w:r>
      <w:r w:rsidRPr="00351414">
        <w:rPr>
          <w:rFonts w:ascii="Times New Roman" w:hAnsi="Times New Roman" w:cs="Times New Roman"/>
        </w:rPr>
        <w:t>;</w:t>
      </w:r>
      <w:proofErr w:type="gramEnd"/>
    </w:p>
    <w:p w14:paraId="0B92DEC5" w14:textId="59BA10F7" w:rsidR="000337D2" w:rsidRPr="00351414" w:rsidRDefault="000337D2" w:rsidP="007B5896">
      <w:pPr>
        <w:pStyle w:val="ListParagraph"/>
        <w:numPr>
          <w:ilvl w:val="0"/>
          <w:numId w:val="20"/>
        </w:numPr>
        <w:rPr>
          <w:rFonts w:ascii="Times New Roman" w:hAnsi="Times New Roman" w:cs="Times New Roman"/>
        </w:rPr>
      </w:pPr>
      <w:r w:rsidRPr="00351414">
        <w:rPr>
          <w:rFonts w:ascii="Times New Roman" w:hAnsi="Times New Roman" w:cs="Times New Roman"/>
        </w:rPr>
        <w:t xml:space="preserve">the </w:t>
      </w:r>
      <w:r w:rsidRPr="00351414">
        <w:rPr>
          <w:rFonts w:ascii="Times New Roman" w:hAnsi="Times New Roman" w:cs="Times New Roman"/>
          <w:i/>
          <w:iCs/>
        </w:rPr>
        <w:t xml:space="preserve">Radiocommunications Licence Conditions (Area-Wide Licence) Determination </w:t>
      </w:r>
      <w:proofErr w:type="gramStart"/>
      <w:r w:rsidRPr="00351414">
        <w:rPr>
          <w:rFonts w:ascii="Times New Roman" w:hAnsi="Times New Roman" w:cs="Times New Roman"/>
          <w:i/>
          <w:iCs/>
        </w:rPr>
        <w:t>2020</w:t>
      </w:r>
      <w:r w:rsidRPr="00351414">
        <w:rPr>
          <w:rFonts w:ascii="Times New Roman" w:hAnsi="Times New Roman" w:cs="Times New Roman"/>
        </w:rPr>
        <w:t>;</w:t>
      </w:r>
      <w:proofErr w:type="gramEnd"/>
    </w:p>
    <w:p w14:paraId="4C3C3B09" w14:textId="55921306" w:rsidR="00B22666" w:rsidRPr="00351414" w:rsidRDefault="0072053D" w:rsidP="007B5896">
      <w:pPr>
        <w:pStyle w:val="ListParagraph"/>
        <w:numPr>
          <w:ilvl w:val="0"/>
          <w:numId w:val="20"/>
        </w:numPr>
        <w:rPr>
          <w:rFonts w:ascii="Times New Roman" w:hAnsi="Times New Roman" w:cs="Times New Roman"/>
          <w:i/>
          <w:iCs/>
        </w:rPr>
      </w:pPr>
      <w:r w:rsidRPr="00351414">
        <w:rPr>
          <w:rFonts w:ascii="Times New Roman" w:hAnsi="Times New Roman" w:cs="Times New Roman"/>
        </w:rPr>
        <w:t xml:space="preserve">the </w:t>
      </w:r>
      <w:r w:rsidR="00B22666" w:rsidRPr="00351414">
        <w:rPr>
          <w:rFonts w:ascii="Times New Roman" w:hAnsi="Times New Roman" w:cs="Times New Roman"/>
          <w:i/>
          <w:iCs/>
        </w:rPr>
        <w:t xml:space="preserve">Radiocommunications Licence Conditions (Apparatus Licence) Determination </w:t>
      </w:r>
      <w:proofErr w:type="gramStart"/>
      <w:r w:rsidR="00B22666" w:rsidRPr="00351414">
        <w:rPr>
          <w:rFonts w:ascii="Times New Roman" w:hAnsi="Times New Roman" w:cs="Times New Roman"/>
          <w:i/>
          <w:iCs/>
        </w:rPr>
        <w:t>2015</w:t>
      </w:r>
      <w:r w:rsidR="00961A05" w:rsidRPr="00351414">
        <w:rPr>
          <w:rFonts w:ascii="Times New Roman" w:hAnsi="Times New Roman" w:cs="Times New Roman"/>
        </w:rPr>
        <w:t>;</w:t>
      </w:r>
      <w:proofErr w:type="gramEnd"/>
    </w:p>
    <w:p w14:paraId="07F1DFE7" w14:textId="256D6065" w:rsidR="0051334C" w:rsidRPr="00351414" w:rsidRDefault="0051334C" w:rsidP="0051334C">
      <w:pPr>
        <w:pStyle w:val="ListParagraph"/>
        <w:numPr>
          <w:ilvl w:val="0"/>
          <w:numId w:val="20"/>
        </w:numPr>
        <w:rPr>
          <w:rFonts w:ascii="Times New Roman" w:hAnsi="Times New Roman" w:cs="Times New Roman"/>
        </w:rPr>
      </w:pPr>
      <w:r w:rsidRPr="00351414">
        <w:rPr>
          <w:rFonts w:ascii="Times New Roman" w:hAnsi="Times New Roman" w:cs="Times New Roman"/>
        </w:rPr>
        <w:t xml:space="preserve">the </w:t>
      </w:r>
      <w:r w:rsidRPr="00351414">
        <w:rPr>
          <w:rFonts w:ascii="Times New Roman" w:hAnsi="Times New Roman" w:cs="Times New Roman"/>
          <w:i/>
          <w:iCs/>
        </w:rPr>
        <w:t xml:space="preserve">Radiocommunications (Register of Radiocommunications Licences) Determination </w:t>
      </w:r>
      <w:proofErr w:type="gramStart"/>
      <w:r w:rsidRPr="00351414">
        <w:rPr>
          <w:rFonts w:ascii="Times New Roman" w:hAnsi="Times New Roman" w:cs="Times New Roman"/>
          <w:i/>
          <w:iCs/>
        </w:rPr>
        <w:t>2017</w:t>
      </w:r>
      <w:r w:rsidRPr="00351414">
        <w:rPr>
          <w:rFonts w:ascii="Times New Roman" w:hAnsi="Times New Roman" w:cs="Times New Roman"/>
        </w:rPr>
        <w:t>;</w:t>
      </w:r>
      <w:proofErr w:type="gramEnd"/>
    </w:p>
    <w:p w14:paraId="675A4CA5" w14:textId="279A9A3E" w:rsidR="00901085" w:rsidRPr="00351414" w:rsidRDefault="00901085" w:rsidP="0051334C">
      <w:pPr>
        <w:pStyle w:val="ListParagraph"/>
        <w:numPr>
          <w:ilvl w:val="0"/>
          <w:numId w:val="20"/>
        </w:numPr>
        <w:rPr>
          <w:rFonts w:ascii="Times New Roman" w:hAnsi="Times New Roman" w:cs="Times New Roman"/>
        </w:rPr>
      </w:pPr>
      <w:r w:rsidRPr="00351414">
        <w:rPr>
          <w:rFonts w:ascii="Times New Roman" w:hAnsi="Times New Roman" w:cs="Times New Roman"/>
        </w:rPr>
        <w:t xml:space="preserve">the </w:t>
      </w:r>
      <w:r w:rsidRPr="00351414">
        <w:rPr>
          <w:rFonts w:ascii="Times New Roman" w:hAnsi="Times New Roman" w:cs="Times New Roman"/>
          <w:i/>
          <w:iCs/>
        </w:rPr>
        <w:t xml:space="preserve">Radiocommunications (Trading Rules for Spectrum Licences) Determination </w:t>
      </w:r>
      <w:proofErr w:type="gramStart"/>
      <w:r w:rsidRPr="00351414">
        <w:rPr>
          <w:rFonts w:ascii="Times New Roman" w:hAnsi="Times New Roman" w:cs="Times New Roman"/>
          <w:i/>
          <w:iCs/>
        </w:rPr>
        <w:t>2012</w:t>
      </w:r>
      <w:r w:rsidRPr="00351414">
        <w:rPr>
          <w:rFonts w:ascii="Times New Roman" w:hAnsi="Times New Roman" w:cs="Times New Roman"/>
        </w:rPr>
        <w:t>;</w:t>
      </w:r>
      <w:proofErr w:type="gramEnd"/>
    </w:p>
    <w:p w14:paraId="12E6356F" w14:textId="4B7E4255" w:rsidR="00B32E9F" w:rsidRPr="00351414" w:rsidRDefault="00B32E9F" w:rsidP="00B32E9F">
      <w:pPr>
        <w:pStyle w:val="ListParagraph"/>
        <w:numPr>
          <w:ilvl w:val="0"/>
          <w:numId w:val="20"/>
        </w:numPr>
        <w:rPr>
          <w:rFonts w:ascii="Times New Roman" w:hAnsi="Times New Roman" w:cs="Times New Roman"/>
        </w:rPr>
      </w:pPr>
      <w:r w:rsidRPr="00351414">
        <w:rPr>
          <w:rFonts w:ascii="Times New Roman" w:hAnsi="Times New Roman" w:cs="Times New Roman"/>
        </w:rPr>
        <w:t xml:space="preserve">the RAG </w:t>
      </w:r>
      <w:proofErr w:type="gramStart"/>
      <w:r w:rsidRPr="00351414">
        <w:rPr>
          <w:rFonts w:ascii="Times New Roman" w:hAnsi="Times New Roman" w:cs="Times New Roman"/>
        </w:rPr>
        <w:t>Rx</w:t>
      </w:r>
      <w:r w:rsidR="008A7E55" w:rsidRPr="00351414">
        <w:rPr>
          <w:rFonts w:ascii="Times New Roman" w:hAnsi="Times New Roman" w:cs="Times New Roman"/>
        </w:rPr>
        <w:t>;</w:t>
      </w:r>
      <w:proofErr w:type="gramEnd"/>
    </w:p>
    <w:p w14:paraId="249C9E85" w14:textId="45C38807" w:rsidR="00B32E9F" w:rsidRPr="00351414" w:rsidRDefault="00B32E9F" w:rsidP="00B32E9F">
      <w:pPr>
        <w:pStyle w:val="ListParagraph"/>
        <w:numPr>
          <w:ilvl w:val="0"/>
          <w:numId w:val="20"/>
        </w:numPr>
        <w:rPr>
          <w:rFonts w:ascii="Times New Roman" w:hAnsi="Times New Roman" w:cs="Times New Roman"/>
        </w:rPr>
      </w:pPr>
      <w:r w:rsidRPr="00351414">
        <w:rPr>
          <w:rFonts w:ascii="Times New Roman" w:hAnsi="Times New Roman" w:cs="Times New Roman"/>
        </w:rPr>
        <w:t xml:space="preserve">the RAG </w:t>
      </w:r>
      <w:proofErr w:type="gramStart"/>
      <w:r w:rsidRPr="00351414">
        <w:rPr>
          <w:rFonts w:ascii="Times New Roman" w:hAnsi="Times New Roman" w:cs="Times New Roman"/>
        </w:rPr>
        <w:t>Tx</w:t>
      </w:r>
      <w:r w:rsidR="008A7E55" w:rsidRPr="00351414">
        <w:rPr>
          <w:rFonts w:ascii="Times New Roman" w:hAnsi="Times New Roman" w:cs="Times New Roman"/>
        </w:rPr>
        <w:t>;</w:t>
      </w:r>
      <w:proofErr w:type="gramEnd"/>
    </w:p>
    <w:p w14:paraId="26127EA0" w14:textId="01728A58" w:rsidR="00087C6C" w:rsidRPr="00351414" w:rsidRDefault="00087C6C" w:rsidP="00E11E32">
      <w:pPr>
        <w:pStyle w:val="ListParagraph"/>
        <w:numPr>
          <w:ilvl w:val="0"/>
          <w:numId w:val="20"/>
        </w:numPr>
        <w:rPr>
          <w:rFonts w:ascii="Times New Roman" w:hAnsi="Times New Roman" w:cs="Times New Roman"/>
        </w:rPr>
      </w:pPr>
      <w:r w:rsidRPr="00351414">
        <w:rPr>
          <w:rFonts w:ascii="Times New Roman" w:hAnsi="Times New Roman" w:cs="Times New Roman"/>
        </w:rPr>
        <w:t xml:space="preserve">the </w:t>
      </w:r>
      <w:r w:rsidR="00264B4E" w:rsidRPr="00351414">
        <w:rPr>
          <w:rFonts w:ascii="Times New Roman" w:hAnsi="Times New Roman" w:cs="Times New Roman"/>
        </w:rPr>
        <w:t>R</w:t>
      </w:r>
      <w:r w:rsidRPr="00351414">
        <w:rPr>
          <w:rFonts w:ascii="Times New Roman" w:hAnsi="Times New Roman" w:cs="Times New Roman"/>
        </w:rPr>
        <w:t xml:space="preserve">e-allocation </w:t>
      </w:r>
      <w:proofErr w:type="gramStart"/>
      <w:r w:rsidR="00264B4E" w:rsidRPr="00351414">
        <w:rPr>
          <w:rFonts w:ascii="Times New Roman" w:hAnsi="Times New Roman" w:cs="Times New Roman"/>
        </w:rPr>
        <w:t>D</w:t>
      </w:r>
      <w:r w:rsidRPr="00351414">
        <w:rPr>
          <w:rFonts w:ascii="Times New Roman" w:hAnsi="Times New Roman" w:cs="Times New Roman"/>
        </w:rPr>
        <w:t>eclaration</w:t>
      </w:r>
      <w:r w:rsidR="00B32E9F" w:rsidRPr="00351414">
        <w:rPr>
          <w:rFonts w:ascii="Times New Roman" w:hAnsi="Times New Roman" w:cs="Times New Roman"/>
        </w:rPr>
        <w:t>;</w:t>
      </w:r>
      <w:proofErr w:type="gramEnd"/>
    </w:p>
    <w:p w14:paraId="3A939D49" w14:textId="2231F3FD" w:rsidR="00264B4E" w:rsidRPr="00351414" w:rsidRDefault="00264B4E" w:rsidP="00264B4E">
      <w:pPr>
        <w:pStyle w:val="ListParagraph"/>
        <w:numPr>
          <w:ilvl w:val="0"/>
          <w:numId w:val="20"/>
        </w:numPr>
        <w:rPr>
          <w:rFonts w:ascii="Times New Roman" w:hAnsi="Times New Roman" w:cs="Times New Roman"/>
        </w:rPr>
      </w:pPr>
      <w:r w:rsidRPr="00351414">
        <w:rPr>
          <w:rFonts w:ascii="Times New Roman" w:hAnsi="Times New Roman" w:cs="Times New Roman"/>
        </w:rPr>
        <w:t xml:space="preserve">the Spectrum Access Charge </w:t>
      </w:r>
      <w:proofErr w:type="gramStart"/>
      <w:r w:rsidRPr="00351414">
        <w:rPr>
          <w:rFonts w:ascii="Times New Roman" w:hAnsi="Times New Roman" w:cs="Times New Roman"/>
        </w:rPr>
        <w:t>Direction;</w:t>
      </w:r>
      <w:proofErr w:type="gramEnd"/>
    </w:p>
    <w:p w14:paraId="18A18336" w14:textId="49862FC5" w:rsidR="00B32E9F" w:rsidRPr="00351414" w:rsidRDefault="00B32E9F" w:rsidP="00E11E32">
      <w:pPr>
        <w:pStyle w:val="ListParagraph"/>
        <w:numPr>
          <w:ilvl w:val="0"/>
          <w:numId w:val="20"/>
        </w:numPr>
        <w:rPr>
          <w:rFonts w:ascii="Times New Roman" w:hAnsi="Times New Roman" w:cs="Times New Roman"/>
        </w:rPr>
      </w:pPr>
      <w:r w:rsidRPr="00351414">
        <w:rPr>
          <w:rFonts w:ascii="Times New Roman" w:hAnsi="Times New Roman" w:cs="Times New Roman"/>
        </w:rPr>
        <w:t>the Unacceptable Interference Determination.</w:t>
      </w:r>
    </w:p>
    <w:p w14:paraId="11AD6A4F" w14:textId="4DAE68F4" w:rsidR="005C0D41" w:rsidRDefault="007B5896" w:rsidP="00AE0BB2">
      <w:pPr>
        <w:rPr>
          <w:rFonts w:ascii="Times New Roman" w:hAnsi="Times New Roman" w:cs="Times New Roman"/>
        </w:rPr>
      </w:pPr>
      <w:r w:rsidRPr="005E4854">
        <w:rPr>
          <w:rFonts w:ascii="Times New Roman" w:hAnsi="Times New Roman" w:cs="Times New Roman"/>
        </w:rPr>
        <w:t>The acts and legislative instruments listed above may be obtained from the Federal Register of Legislation (</w:t>
      </w:r>
      <w:hyperlink r:id="rId18" w:history="1">
        <w:r w:rsidRPr="00E11E32">
          <w:rPr>
            <w:rStyle w:val="Hyperlink"/>
            <w:rFonts w:ascii="Times New Roman" w:hAnsi="Times New Roman" w:cs="Times New Roman"/>
          </w:rPr>
          <w:t>www.legislation.gov.au</w:t>
        </w:r>
      </w:hyperlink>
      <w:r w:rsidRPr="00E11E32">
        <w:rPr>
          <w:rFonts w:ascii="Times New Roman" w:hAnsi="Times New Roman" w:cs="Times New Roman"/>
        </w:rPr>
        <w:t xml:space="preserve">). </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60FC4B12" w14:textId="046D078D" w:rsidR="004C58B9" w:rsidRDefault="004C58B9" w:rsidP="004C58B9">
      <w:pPr>
        <w:rPr>
          <w:rFonts w:ascii="Times New Roman" w:hAnsi="Times New Roman" w:cs="Times New Roman"/>
        </w:rPr>
      </w:pPr>
      <w:r>
        <w:rPr>
          <w:rFonts w:ascii="Times New Roman" w:hAnsi="Times New Roman" w:cs="Times New Roman"/>
        </w:rPr>
        <w:t xml:space="preserve">Before the </w:t>
      </w:r>
      <w:r w:rsidR="00B26F39">
        <w:rPr>
          <w:rFonts w:ascii="Times New Roman" w:hAnsi="Times New Roman" w:cs="Times New Roman"/>
        </w:rPr>
        <w:t xml:space="preserve">Marketing Plan </w:t>
      </w:r>
      <w:r>
        <w:rPr>
          <w:rFonts w:ascii="Times New Roman" w:hAnsi="Times New Roman" w:cs="Times New Roman"/>
        </w:rPr>
        <w:t>was made, the ACMA was satisfied that consultation was undertaken to the extent appropriate and reasonably practicable, in accordance with section 17 of the LA.</w:t>
      </w:r>
    </w:p>
    <w:p w14:paraId="1F0A749C" w14:textId="77777777" w:rsidR="006C30E3" w:rsidRDefault="006C30E3" w:rsidP="006C30E3">
      <w:pPr>
        <w:rPr>
          <w:rFonts w:ascii="Times New Roman" w:hAnsi="Times New Roman" w:cs="Times New Roman"/>
        </w:rPr>
      </w:pPr>
      <w:bookmarkStart w:id="0" w:name="_Hlk50103483"/>
      <w:r>
        <w:rPr>
          <w:rFonts w:ascii="Times New Roman" w:hAnsi="Times New Roman" w:cs="Times New Roman"/>
        </w:rPr>
        <w:t>In November 2019, the ACMA set up a short-term industry technical liaison group (</w:t>
      </w:r>
      <w:r>
        <w:rPr>
          <w:rFonts w:ascii="Times New Roman" w:hAnsi="Times New Roman" w:cs="Times New Roman"/>
          <w:b/>
          <w:bCs/>
        </w:rPr>
        <w:t>TLG</w:t>
      </w:r>
      <w:r>
        <w:rPr>
          <w:rFonts w:ascii="Times New Roman" w:hAnsi="Times New Roman" w:cs="Times New Roman"/>
        </w:rPr>
        <w:t>) to support the development of a technical framework to support the introduction of 5</w:t>
      </w:r>
      <w:r>
        <w:rPr>
          <w:rFonts w:ascii="Times New Roman" w:hAnsi="Times New Roman" w:cs="Times New Roman"/>
          <w:vertAlign w:val="superscript"/>
        </w:rPr>
        <w:t>th</w:t>
      </w:r>
      <w:r>
        <w:rPr>
          <w:rFonts w:ascii="Times New Roman" w:hAnsi="Times New Roman" w:cs="Times New Roman"/>
        </w:rPr>
        <w:t xml:space="preserve"> generation wireless broadband services in the 26 GHz band.</w:t>
      </w:r>
    </w:p>
    <w:p w14:paraId="6F283BE4" w14:textId="77777777" w:rsidR="006C30E3" w:rsidRDefault="006C30E3" w:rsidP="006C30E3">
      <w:pPr>
        <w:rPr>
          <w:rFonts w:ascii="Times New Roman" w:hAnsi="Times New Roman" w:cs="Times New Roman"/>
        </w:rPr>
      </w:pPr>
      <w:r>
        <w:rPr>
          <w:rFonts w:ascii="Times New Roman" w:hAnsi="Times New Roman" w:cs="Times New Roman"/>
        </w:rPr>
        <w:t xml:space="preserve">The TLG was asked to consider and provide advice to the ACMA on technical aspects required for the development of the spectrum licence technical framework in the 26 GHz band. </w:t>
      </w:r>
      <w:bookmarkEnd w:id="0"/>
      <w:r>
        <w:rPr>
          <w:rFonts w:ascii="Times New Roman" w:hAnsi="Times New Roman" w:cs="Times New Roman"/>
        </w:rPr>
        <w:t>These included:</w:t>
      </w:r>
    </w:p>
    <w:p w14:paraId="758E9502" w14:textId="52B99D46" w:rsidR="006C30E3" w:rsidRDefault="006C30E3" w:rsidP="006C30E3">
      <w:pPr>
        <w:pStyle w:val="ListParagraph"/>
        <w:numPr>
          <w:ilvl w:val="0"/>
          <w:numId w:val="34"/>
        </w:numPr>
        <w:spacing w:line="254" w:lineRule="auto"/>
        <w:rPr>
          <w:rFonts w:ascii="Times New Roman" w:hAnsi="Times New Roman" w:cs="Times New Roman"/>
        </w:rPr>
      </w:pPr>
      <w:r>
        <w:rPr>
          <w:rFonts w:ascii="Times New Roman" w:hAnsi="Times New Roman" w:cs="Times New Roman"/>
        </w:rPr>
        <w:t xml:space="preserve">the development of the core conditions of the spectrum licensed band in accordance with section 66 of the </w:t>
      </w:r>
      <w:proofErr w:type="gramStart"/>
      <w:r>
        <w:rPr>
          <w:rFonts w:ascii="Times New Roman" w:hAnsi="Times New Roman" w:cs="Times New Roman"/>
        </w:rPr>
        <w:t>Act;</w:t>
      </w:r>
      <w:proofErr w:type="gramEnd"/>
    </w:p>
    <w:p w14:paraId="35D36ECE" w14:textId="74D0E190" w:rsidR="006C30E3" w:rsidRDefault="006C30E3" w:rsidP="006C30E3">
      <w:pPr>
        <w:pStyle w:val="ListParagraph"/>
        <w:numPr>
          <w:ilvl w:val="0"/>
          <w:numId w:val="34"/>
        </w:numPr>
        <w:spacing w:line="254" w:lineRule="auto"/>
        <w:rPr>
          <w:rFonts w:ascii="Times New Roman" w:hAnsi="Times New Roman" w:cs="Times New Roman"/>
        </w:rPr>
      </w:pPr>
      <w:r>
        <w:rPr>
          <w:rFonts w:ascii="Times New Roman" w:hAnsi="Times New Roman" w:cs="Times New Roman"/>
        </w:rPr>
        <w:t xml:space="preserve">the development of a determination under subsection 145(4) of the </w:t>
      </w:r>
      <w:proofErr w:type="gramStart"/>
      <w:r>
        <w:rPr>
          <w:rFonts w:ascii="Times New Roman" w:hAnsi="Times New Roman" w:cs="Times New Roman"/>
        </w:rPr>
        <w:t>Act;</w:t>
      </w:r>
      <w:proofErr w:type="gramEnd"/>
    </w:p>
    <w:p w14:paraId="220DAE8F" w14:textId="77777777" w:rsidR="006C30E3" w:rsidRDefault="006C30E3" w:rsidP="006C30E3">
      <w:pPr>
        <w:pStyle w:val="ListParagraph"/>
        <w:numPr>
          <w:ilvl w:val="0"/>
          <w:numId w:val="34"/>
        </w:numPr>
        <w:spacing w:line="254" w:lineRule="auto"/>
        <w:rPr>
          <w:rFonts w:ascii="Times New Roman" w:hAnsi="Times New Roman" w:cs="Times New Roman"/>
        </w:rPr>
      </w:pPr>
      <w:r>
        <w:rPr>
          <w:rFonts w:ascii="Times New Roman" w:hAnsi="Times New Roman" w:cs="Times New Roman"/>
        </w:rPr>
        <w:t xml:space="preserve">the development of any associated advisory guidelines to be made under section 262 of the </w:t>
      </w:r>
      <w:proofErr w:type="gramStart"/>
      <w:r>
        <w:rPr>
          <w:rFonts w:ascii="Times New Roman" w:hAnsi="Times New Roman" w:cs="Times New Roman"/>
        </w:rPr>
        <w:t>Act;</w:t>
      </w:r>
      <w:proofErr w:type="gramEnd"/>
    </w:p>
    <w:p w14:paraId="01EE601F" w14:textId="77777777" w:rsidR="006C30E3" w:rsidRDefault="006C30E3" w:rsidP="006C30E3">
      <w:pPr>
        <w:pStyle w:val="ListParagraph"/>
        <w:numPr>
          <w:ilvl w:val="0"/>
          <w:numId w:val="34"/>
        </w:numPr>
        <w:spacing w:line="254" w:lineRule="auto"/>
        <w:rPr>
          <w:rFonts w:ascii="Times New Roman" w:hAnsi="Times New Roman" w:cs="Times New Roman"/>
        </w:rPr>
      </w:pPr>
      <w:r>
        <w:rPr>
          <w:rFonts w:ascii="Times New Roman" w:hAnsi="Times New Roman" w:cs="Times New Roman"/>
        </w:rPr>
        <w:t>the development of a draft spectrum licence; and</w:t>
      </w:r>
    </w:p>
    <w:p w14:paraId="30EA3345" w14:textId="77777777" w:rsidR="006C30E3" w:rsidRDefault="006C30E3" w:rsidP="006C30E3">
      <w:pPr>
        <w:pStyle w:val="ListParagraph"/>
        <w:numPr>
          <w:ilvl w:val="0"/>
          <w:numId w:val="34"/>
        </w:numPr>
        <w:spacing w:line="254" w:lineRule="auto"/>
        <w:rPr>
          <w:rFonts w:ascii="Times New Roman" w:hAnsi="Times New Roman" w:cs="Times New Roman"/>
        </w:rPr>
      </w:pPr>
      <w:r>
        <w:rPr>
          <w:rFonts w:ascii="Times New Roman" w:hAnsi="Times New Roman" w:cs="Times New Roman"/>
        </w:rPr>
        <w:t xml:space="preserve">the development of a minimum contiguous bandwidth for spectrum licences in the 26 GHz band. </w:t>
      </w:r>
    </w:p>
    <w:p w14:paraId="0E77F396" w14:textId="1BE5B76E" w:rsidR="006C30E3" w:rsidRDefault="00EE593D" w:rsidP="004C58B9">
      <w:pPr>
        <w:rPr>
          <w:rFonts w:ascii="Times New Roman" w:hAnsi="Times New Roman" w:cs="Times New Roman"/>
        </w:rPr>
      </w:pPr>
      <w:r w:rsidRPr="002E368A">
        <w:rPr>
          <w:rFonts w:ascii="Times New Roman" w:hAnsi="Times New Roman" w:cs="Times New Roman"/>
        </w:rPr>
        <w:t xml:space="preserve">The ACMA developed papers which outlined its proposed approach to the spectrum licensing framework for the 26 GHz band. These papers were made available by the ACMA to the TLG members for comment. These papers can be found on the ACMA’s website. The ACMA had regard to the views expressed by the TLG members when preparing the instrument. </w:t>
      </w:r>
    </w:p>
    <w:p w14:paraId="04F8BBED" w14:textId="5E4B6BEB" w:rsidR="00CF6C69" w:rsidRDefault="00CF6C69" w:rsidP="004C58B9">
      <w:pPr>
        <w:rPr>
          <w:rFonts w:ascii="Times New Roman" w:hAnsi="Times New Roman" w:cs="Times New Roman"/>
        </w:rPr>
      </w:pPr>
      <w:r>
        <w:rPr>
          <w:rFonts w:ascii="Times New Roman" w:hAnsi="Times New Roman" w:cs="Times New Roman"/>
        </w:rPr>
        <w:lastRenderedPageBreak/>
        <w:t xml:space="preserve">A draft version of the Marketing Plan was released for public consultation on 9 July 2020, together with the consultation paper </w:t>
      </w:r>
      <w:r w:rsidR="000E7A6F" w:rsidRPr="000E7A6F">
        <w:rPr>
          <w:rFonts w:ascii="Times New Roman" w:hAnsi="Times New Roman" w:cs="Times New Roman"/>
          <w:i/>
          <w:iCs/>
        </w:rPr>
        <w:t>Draft allocation instruments for the 26 GHz metropolitan and regional lots auction</w:t>
      </w:r>
      <w:r>
        <w:rPr>
          <w:rFonts w:ascii="Times New Roman" w:hAnsi="Times New Roman" w:cs="Times New Roman"/>
        </w:rPr>
        <w:t xml:space="preserve">. Consultation closed on 10 August 2020. </w:t>
      </w:r>
    </w:p>
    <w:p w14:paraId="6E6A0571" w14:textId="23BE51C4" w:rsidR="00CF6C69" w:rsidRDefault="00CF6C69" w:rsidP="004C58B9">
      <w:pPr>
        <w:rPr>
          <w:rFonts w:ascii="Times New Roman" w:hAnsi="Times New Roman" w:cs="Times New Roman"/>
        </w:rPr>
      </w:pPr>
      <w:r>
        <w:rPr>
          <w:rFonts w:ascii="Times New Roman" w:hAnsi="Times New Roman" w:cs="Times New Roman"/>
        </w:rPr>
        <w:t xml:space="preserve">The ACMA consultation sought stakeholder views on several issues. The ACMA received </w:t>
      </w:r>
      <w:r w:rsidR="00037D3E">
        <w:rPr>
          <w:rFonts w:ascii="Times New Roman" w:hAnsi="Times New Roman" w:cs="Times New Roman"/>
        </w:rPr>
        <w:t>eight</w:t>
      </w:r>
      <w:r w:rsidR="00421FC9">
        <w:rPr>
          <w:rFonts w:ascii="Times New Roman" w:hAnsi="Times New Roman" w:cs="Times New Roman"/>
        </w:rPr>
        <w:t xml:space="preserve"> </w:t>
      </w:r>
      <w:r>
        <w:rPr>
          <w:rFonts w:ascii="Times New Roman" w:hAnsi="Times New Roman" w:cs="Times New Roman"/>
        </w:rPr>
        <w:t>written submissions in response to this consultation paper and the draft version of the Marketing Plan.</w:t>
      </w:r>
    </w:p>
    <w:p w14:paraId="656213B8" w14:textId="408F82BB" w:rsidR="00853283" w:rsidRDefault="00853283" w:rsidP="004C58B9">
      <w:pPr>
        <w:rPr>
          <w:rFonts w:ascii="Times New Roman" w:hAnsi="Times New Roman" w:cs="Times New Roman"/>
        </w:rPr>
      </w:pPr>
      <w:r>
        <w:rPr>
          <w:rFonts w:ascii="Times New Roman" w:hAnsi="Times New Roman" w:cs="Times New Roman"/>
        </w:rPr>
        <w:t>On the issue of licence term, submissions supported a 15</w:t>
      </w:r>
      <w:r w:rsidR="007572B2">
        <w:rPr>
          <w:rFonts w:ascii="Times New Roman" w:hAnsi="Times New Roman" w:cs="Times New Roman"/>
        </w:rPr>
        <w:t>-</w:t>
      </w:r>
      <w:r>
        <w:rPr>
          <w:rFonts w:ascii="Times New Roman" w:hAnsi="Times New Roman" w:cs="Times New Roman"/>
        </w:rPr>
        <w:t>year licence term</w:t>
      </w:r>
      <w:r w:rsidR="009726E9">
        <w:rPr>
          <w:rFonts w:ascii="Times New Roman" w:hAnsi="Times New Roman" w:cs="Times New Roman"/>
        </w:rPr>
        <w:t xml:space="preserve"> (the maximum </w:t>
      </w:r>
      <w:r w:rsidR="00271F4E">
        <w:rPr>
          <w:rFonts w:ascii="Times New Roman" w:hAnsi="Times New Roman" w:cs="Times New Roman"/>
        </w:rPr>
        <w:t xml:space="preserve">currently </w:t>
      </w:r>
      <w:r w:rsidR="009726E9">
        <w:rPr>
          <w:rFonts w:ascii="Times New Roman" w:hAnsi="Times New Roman" w:cs="Times New Roman"/>
        </w:rPr>
        <w:t>permitted under the Act)</w:t>
      </w:r>
      <w:r>
        <w:rPr>
          <w:rFonts w:ascii="Times New Roman" w:hAnsi="Times New Roman" w:cs="Times New Roman"/>
        </w:rPr>
        <w:t xml:space="preserve">. </w:t>
      </w:r>
    </w:p>
    <w:p w14:paraId="798FAEAE" w14:textId="0D980F40" w:rsidR="008F756B" w:rsidRPr="00615D1B" w:rsidRDefault="00CF6C69" w:rsidP="00615D1B">
      <w:pPr>
        <w:rPr>
          <w:rFonts w:ascii="Times New Roman" w:hAnsi="Times New Roman" w:cs="Times New Roman"/>
        </w:rPr>
      </w:pPr>
      <w:r>
        <w:rPr>
          <w:rFonts w:ascii="Times New Roman" w:hAnsi="Times New Roman" w:cs="Times New Roman"/>
        </w:rPr>
        <w:t xml:space="preserve">On the issue of licence commencement </w:t>
      </w:r>
      <w:r w:rsidR="00DD77CF">
        <w:rPr>
          <w:rFonts w:ascii="Times New Roman" w:hAnsi="Times New Roman" w:cs="Times New Roman"/>
        </w:rPr>
        <w:t>and expiry</w:t>
      </w:r>
      <w:r>
        <w:rPr>
          <w:rFonts w:ascii="Times New Roman" w:hAnsi="Times New Roman" w:cs="Times New Roman"/>
        </w:rPr>
        <w:t>,</w:t>
      </w:r>
      <w:r w:rsidR="00853283">
        <w:rPr>
          <w:rFonts w:ascii="Times New Roman" w:hAnsi="Times New Roman" w:cs="Times New Roman"/>
        </w:rPr>
        <w:t xml:space="preserve"> the ACMA sought views on linking the commencement of the licence with the date payment is made for the licence to the ACMA.</w:t>
      </w:r>
      <w:r w:rsidR="00DD77CF">
        <w:rPr>
          <w:rFonts w:ascii="Times New Roman" w:hAnsi="Times New Roman" w:cs="Times New Roman"/>
        </w:rPr>
        <w:t xml:space="preserve"> This could result in different licence expiry dates across the band.</w:t>
      </w:r>
      <w:r>
        <w:rPr>
          <w:rFonts w:ascii="Times New Roman" w:hAnsi="Times New Roman" w:cs="Times New Roman"/>
        </w:rPr>
        <w:t xml:space="preserve"> </w:t>
      </w:r>
      <w:r w:rsidR="00DD77CF">
        <w:rPr>
          <w:rFonts w:ascii="Times New Roman" w:hAnsi="Times New Roman" w:cs="Times New Roman"/>
        </w:rPr>
        <w:t>While submitters did not agree on the timing of licence commencement, t</w:t>
      </w:r>
      <w:r>
        <w:rPr>
          <w:rFonts w:ascii="Times New Roman" w:hAnsi="Times New Roman" w:cs="Times New Roman"/>
        </w:rPr>
        <w:t xml:space="preserve">he majority of submissions </w:t>
      </w:r>
      <w:r w:rsidR="002E368A">
        <w:rPr>
          <w:rFonts w:ascii="Times New Roman" w:hAnsi="Times New Roman" w:cs="Times New Roman"/>
        </w:rPr>
        <w:t xml:space="preserve">on this matter </w:t>
      </w:r>
      <w:r>
        <w:rPr>
          <w:rFonts w:ascii="Times New Roman" w:hAnsi="Times New Roman" w:cs="Times New Roman"/>
        </w:rPr>
        <w:t xml:space="preserve">supported </w:t>
      </w:r>
      <w:r w:rsidR="00853283">
        <w:rPr>
          <w:rFonts w:ascii="Times New Roman" w:hAnsi="Times New Roman" w:cs="Times New Roman"/>
        </w:rPr>
        <w:t xml:space="preserve">a </w:t>
      </w:r>
      <w:r w:rsidR="00DD77CF">
        <w:rPr>
          <w:rFonts w:ascii="Times New Roman" w:hAnsi="Times New Roman" w:cs="Times New Roman"/>
        </w:rPr>
        <w:t>common licence expiry date</w:t>
      </w:r>
      <w:r>
        <w:rPr>
          <w:rFonts w:ascii="Times New Roman" w:hAnsi="Times New Roman" w:cs="Times New Roman"/>
        </w:rPr>
        <w:t>.</w:t>
      </w:r>
      <w:r w:rsidR="00853283">
        <w:rPr>
          <w:rFonts w:ascii="Times New Roman" w:hAnsi="Times New Roman" w:cs="Times New Roman"/>
        </w:rPr>
        <w:t xml:space="preserve"> Having considered these submissions, </w:t>
      </w:r>
      <w:r w:rsidR="00DD77CF">
        <w:rPr>
          <w:rFonts w:ascii="Times New Roman" w:hAnsi="Times New Roman" w:cs="Times New Roman"/>
        </w:rPr>
        <w:t xml:space="preserve">the ACMA </w:t>
      </w:r>
      <w:r w:rsidR="00DD77CF" w:rsidRPr="00DD77CF">
        <w:rPr>
          <w:rFonts w:ascii="Times New Roman" w:hAnsi="Times New Roman" w:cs="Times New Roman"/>
        </w:rPr>
        <w:t>consider</w:t>
      </w:r>
      <w:r w:rsidR="00DD77CF">
        <w:rPr>
          <w:rFonts w:ascii="Times New Roman" w:hAnsi="Times New Roman" w:cs="Times New Roman"/>
        </w:rPr>
        <w:t>s</w:t>
      </w:r>
      <w:r w:rsidR="00DD77CF" w:rsidRPr="00DD77CF">
        <w:rPr>
          <w:rFonts w:ascii="Times New Roman" w:hAnsi="Times New Roman" w:cs="Times New Roman"/>
        </w:rPr>
        <w:t xml:space="preserve"> a significant delay to licence commencement is </w:t>
      </w:r>
      <w:r w:rsidR="00DD77CF">
        <w:rPr>
          <w:rFonts w:ascii="Times New Roman" w:hAnsi="Times New Roman" w:cs="Times New Roman"/>
        </w:rPr>
        <w:t xml:space="preserve">not </w:t>
      </w:r>
      <w:r w:rsidR="00DD77CF" w:rsidRPr="00DD77CF">
        <w:rPr>
          <w:rFonts w:ascii="Times New Roman" w:hAnsi="Times New Roman" w:cs="Times New Roman"/>
        </w:rPr>
        <w:t>appropriate because the 26 GHz band is largely unencumbered</w:t>
      </w:r>
      <w:r w:rsidR="00DD77CF">
        <w:rPr>
          <w:rFonts w:ascii="Times New Roman" w:hAnsi="Times New Roman" w:cs="Times New Roman"/>
        </w:rPr>
        <w:t>. Therefore,</w:t>
      </w:r>
      <w:r w:rsidR="00DD77CF" w:rsidRPr="00DD77CF">
        <w:rPr>
          <w:rFonts w:ascii="Times New Roman" w:hAnsi="Times New Roman" w:cs="Times New Roman"/>
        </w:rPr>
        <w:t xml:space="preserve"> </w:t>
      </w:r>
      <w:r w:rsidR="00853283">
        <w:rPr>
          <w:rFonts w:ascii="Times New Roman" w:hAnsi="Times New Roman" w:cs="Times New Roman"/>
        </w:rPr>
        <w:t xml:space="preserve">the </w:t>
      </w:r>
      <w:r w:rsidR="00460B64">
        <w:rPr>
          <w:rFonts w:ascii="Times New Roman" w:hAnsi="Times New Roman" w:cs="Times New Roman"/>
        </w:rPr>
        <w:t>Marketing Plan</w:t>
      </w:r>
      <w:r w:rsidR="008F756B">
        <w:rPr>
          <w:rFonts w:ascii="Times New Roman" w:hAnsi="Times New Roman" w:cs="Times New Roman"/>
        </w:rPr>
        <w:t>:</w:t>
      </w:r>
    </w:p>
    <w:p w14:paraId="43A02518" w14:textId="0917A85D" w:rsidR="008F756B" w:rsidRDefault="00460B64" w:rsidP="008F756B">
      <w:pPr>
        <w:pStyle w:val="ListParagraph"/>
        <w:numPr>
          <w:ilvl w:val="0"/>
          <w:numId w:val="20"/>
        </w:numPr>
        <w:rPr>
          <w:rFonts w:ascii="Times New Roman" w:hAnsi="Times New Roman" w:cs="Times New Roman"/>
        </w:rPr>
      </w:pPr>
      <w:r>
        <w:rPr>
          <w:rFonts w:ascii="Times New Roman" w:hAnsi="Times New Roman" w:cs="Times New Roman"/>
        </w:rPr>
        <w:t>states</w:t>
      </w:r>
      <w:r w:rsidR="008F756B">
        <w:rPr>
          <w:rFonts w:ascii="Times New Roman" w:hAnsi="Times New Roman" w:cs="Times New Roman"/>
        </w:rPr>
        <w:t xml:space="preserve"> that </w:t>
      </w:r>
      <w:r w:rsidR="00286742">
        <w:rPr>
          <w:rFonts w:ascii="Times New Roman" w:hAnsi="Times New Roman" w:cs="Times New Roman"/>
        </w:rPr>
        <w:t xml:space="preserve">each </w:t>
      </w:r>
      <w:r w:rsidR="008F756B">
        <w:rPr>
          <w:rFonts w:ascii="Times New Roman" w:hAnsi="Times New Roman" w:cs="Times New Roman"/>
        </w:rPr>
        <w:t xml:space="preserve">licence will commence </w:t>
      </w:r>
      <w:r w:rsidR="006B29EB">
        <w:rPr>
          <w:rFonts w:ascii="Times New Roman" w:hAnsi="Times New Roman" w:cs="Times New Roman"/>
        </w:rPr>
        <w:t>12</w:t>
      </w:r>
      <w:r w:rsidR="006B29EB" w:rsidRPr="00DD77CF">
        <w:rPr>
          <w:rFonts w:ascii="Times New Roman" w:hAnsi="Times New Roman" w:cs="Times New Roman"/>
        </w:rPr>
        <w:t xml:space="preserve"> </w:t>
      </w:r>
      <w:r w:rsidR="00DD77CF" w:rsidRPr="00DD77CF">
        <w:rPr>
          <w:rFonts w:ascii="Times New Roman" w:hAnsi="Times New Roman" w:cs="Times New Roman"/>
        </w:rPr>
        <w:t xml:space="preserve">weeks after the </w:t>
      </w:r>
      <w:r w:rsidR="00286742">
        <w:rPr>
          <w:rFonts w:ascii="Times New Roman" w:hAnsi="Times New Roman" w:cs="Times New Roman"/>
        </w:rPr>
        <w:t>result announcement</w:t>
      </w:r>
      <w:r w:rsidR="00B12EB2">
        <w:rPr>
          <w:rFonts w:ascii="Times New Roman" w:hAnsi="Times New Roman" w:cs="Times New Roman"/>
        </w:rPr>
        <w:t>, or on the date the licence is issued, whichever occurs later</w:t>
      </w:r>
      <w:r w:rsidR="00286742">
        <w:rPr>
          <w:rFonts w:ascii="Times New Roman" w:hAnsi="Times New Roman" w:cs="Times New Roman"/>
        </w:rPr>
        <w:t xml:space="preserve"> for the </w:t>
      </w:r>
      <w:proofErr w:type="gramStart"/>
      <w:r w:rsidR="00286742">
        <w:rPr>
          <w:rFonts w:ascii="Times New Roman" w:hAnsi="Times New Roman" w:cs="Times New Roman"/>
        </w:rPr>
        <w:t>licence</w:t>
      </w:r>
      <w:r>
        <w:rPr>
          <w:rFonts w:ascii="Times New Roman" w:hAnsi="Times New Roman" w:cs="Times New Roman"/>
        </w:rPr>
        <w:t>;</w:t>
      </w:r>
      <w:proofErr w:type="gramEnd"/>
    </w:p>
    <w:p w14:paraId="35EBA4DA" w14:textId="66DF023B" w:rsidR="00CF6C69" w:rsidRPr="00615D1B" w:rsidRDefault="00460B64" w:rsidP="00615D1B">
      <w:pPr>
        <w:pStyle w:val="ListParagraph"/>
        <w:numPr>
          <w:ilvl w:val="0"/>
          <w:numId w:val="20"/>
        </w:numPr>
        <w:rPr>
          <w:rFonts w:ascii="Times New Roman" w:hAnsi="Times New Roman" w:cs="Times New Roman"/>
        </w:rPr>
      </w:pPr>
      <w:r>
        <w:rPr>
          <w:rFonts w:ascii="Times New Roman" w:hAnsi="Times New Roman" w:cs="Times New Roman"/>
        </w:rPr>
        <w:t>provides for</w:t>
      </w:r>
      <w:r w:rsidRPr="00615D1B">
        <w:rPr>
          <w:rFonts w:ascii="Times New Roman" w:hAnsi="Times New Roman" w:cs="Times New Roman"/>
        </w:rPr>
        <w:t xml:space="preserve"> </w:t>
      </w:r>
      <w:r w:rsidR="00853283" w:rsidRPr="00615D1B">
        <w:rPr>
          <w:rFonts w:ascii="Times New Roman" w:hAnsi="Times New Roman" w:cs="Times New Roman"/>
        </w:rPr>
        <w:t>a</w:t>
      </w:r>
      <w:r w:rsidR="00DD77CF">
        <w:rPr>
          <w:rFonts w:ascii="Times New Roman" w:hAnsi="Times New Roman" w:cs="Times New Roman"/>
        </w:rPr>
        <w:t xml:space="preserve"> common expiry </w:t>
      </w:r>
      <w:r w:rsidR="00853283" w:rsidRPr="00615D1B">
        <w:rPr>
          <w:rFonts w:ascii="Times New Roman" w:hAnsi="Times New Roman" w:cs="Times New Roman"/>
        </w:rPr>
        <w:t xml:space="preserve">date </w:t>
      </w:r>
      <w:r w:rsidR="00286742">
        <w:rPr>
          <w:rFonts w:ascii="Times New Roman" w:hAnsi="Times New Roman" w:cs="Times New Roman"/>
        </w:rPr>
        <w:t xml:space="preserve">for all licences </w:t>
      </w:r>
      <w:r w:rsidR="00853283" w:rsidRPr="00615D1B">
        <w:rPr>
          <w:rFonts w:ascii="Times New Roman" w:hAnsi="Times New Roman" w:cs="Times New Roman"/>
        </w:rPr>
        <w:t xml:space="preserve">of 15 years and </w:t>
      </w:r>
      <w:r w:rsidR="00DD77CF">
        <w:rPr>
          <w:rFonts w:ascii="Times New Roman" w:hAnsi="Times New Roman" w:cs="Times New Roman"/>
        </w:rPr>
        <w:t>12</w:t>
      </w:r>
      <w:r w:rsidR="00853283" w:rsidRPr="00615D1B">
        <w:rPr>
          <w:rFonts w:ascii="Times New Roman" w:hAnsi="Times New Roman" w:cs="Times New Roman"/>
        </w:rPr>
        <w:t xml:space="preserve"> weeks </w:t>
      </w:r>
      <w:r w:rsidR="00DD77CF" w:rsidRPr="00DD77CF">
        <w:rPr>
          <w:rFonts w:ascii="Times New Roman" w:hAnsi="Times New Roman" w:cs="Times New Roman"/>
        </w:rPr>
        <w:t xml:space="preserve">after the </w:t>
      </w:r>
      <w:r w:rsidR="00286742">
        <w:rPr>
          <w:rFonts w:ascii="Times New Roman" w:hAnsi="Times New Roman" w:cs="Times New Roman"/>
        </w:rPr>
        <w:t>result announcement</w:t>
      </w:r>
      <w:r w:rsidR="00615D1B">
        <w:rPr>
          <w:rFonts w:ascii="Times New Roman" w:hAnsi="Times New Roman" w:cs="Times New Roman"/>
        </w:rPr>
        <w:t>.</w:t>
      </w:r>
    </w:p>
    <w:p w14:paraId="0CD95DD0" w14:textId="434704FF" w:rsidR="001A0F38" w:rsidRDefault="002E368A" w:rsidP="004C58B9">
      <w:pPr>
        <w:rPr>
          <w:rFonts w:ascii="Times New Roman" w:hAnsi="Times New Roman" w:cs="Times New Roman"/>
          <w:highlight w:val="cyan"/>
        </w:rPr>
      </w:pPr>
      <w:r w:rsidRPr="00BD07DB">
        <w:rPr>
          <w:rFonts w:ascii="Times New Roman" w:hAnsi="Times New Roman" w:cs="Times New Roman"/>
        </w:rPr>
        <w:t xml:space="preserve">On the issue of lot configuration, the ACMA proposed </w:t>
      </w:r>
      <w:r>
        <w:rPr>
          <w:rFonts w:ascii="Times New Roman" w:hAnsi="Times New Roman" w:cs="Times New Roman"/>
        </w:rPr>
        <w:t>separate products for</w:t>
      </w:r>
      <w:r w:rsidRPr="00BD07DB">
        <w:rPr>
          <w:rFonts w:ascii="Times New Roman" w:hAnsi="Times New Roman" w:cs="Times New Roman"/>
        </w:rPr>
        <w:t xml:space="preserve"> each geographic area subject to re-allocation, except the Bunbury, </w:t>
      </w:r>
      <w:proofErr w:type="gramStart"/>
      <w:r w:rsidR="00E16C43">
        <w:rPr>
          <w:rFonts w:ascii="Times New Roman" w:hAnsi="Times New Roman" w:cs="Times New Roman"/>
        </w:rPr>
        <w:t>Perth</w:t>
      </w:r>
      <w:proofErr w:type="gramEnd"/>
      <w:r w:rsidR="00E16C43">
        <w:rPr>
          <w:rFonts w:ascii="Times New Roman" w:hAnsi="Times New Roman" w:cs="Times New Roman"/>
        </w:rPr>
        <w:t xml:space="preserve"> </w:t>
      </w:r>
      <w:r w:rsidRPr="00BD07DB">
        <w:rPr>
          <w:rFonts w:ascii="Times New Roman" w:hAnsi="Times New Roman" w:cs="Times New Roman"/>
        </w:rPr>
        <w:t>and Perth/Bunbury areas</w:t>
      </w:r>
      <w:r>
        <w:rPr>
          <w:rFonts w:ascii="Times New Roman" w:hAnsi="Times New Roman" w:cs="Times New Roman"/>
        </w:rPr>
        <w:t>,</w:t>
      </w:r>
      <w:r w:rsidRPr="00BD07DB">
        <w:rPr>
          <w:rFonts w:ascii="Times New Roman" w:hAnsi="Times New Roman" w:cs="Times New Roman"/>
        </w:rPr>
        <w:t xml:space="preserve"> which were </w:t>
      </w:r>
      <w:r>
        <w:rPr>
          <w:rFonts w:ascii="Times New Roman" w:hAnsi="Times New Roman" w:cs="Times New Roman"/>
        </w:rPr>
        <w:t xml:space="preserve">proposed to be </w:t>
      </w:r>
      <w:r w:rsidRPr="00BD07DB">
        <w:rPr>
          <w:rFonts w:ascii="Times New Roman" w:hAnsi="Times New Roman" w:cs="Times New Roman"/>
        </w:rPr>
        <w:t xml:space="preserve">a single </w:t>
      </w:r>
      <w:r>
        <w:rPr>
          <w:rFonts w:ascii="Times New Roman" w:hAnsi="Times New Roman" w:cs="Times New Roman"/>
        </w:rPr>
        <w:t>region</w:t>
      </w:r>
      <w:r w:rsidRPr="00BD07DB">
        <w:rPr>
          <w:rFonts w:ascii="Times New Roman" w:hAnsi="Times New Roman" w:cs="Times New Roman"/>
        </w:rPr>
        <w:t xml:space="preserve"> known as Greater Perth</w:t>
      </w:r>
      <w:r>
        <w:rPr>
          <w:rFonts w:ascii="Times New Roman" w:hAnsi="Times New Roman" w:cs="Times New Roman"/>
        </w:rPr>
        <w:t xml:space="preserve">. A single lot bandwidth of 200 MHz was proposed for all products. </w:t>
      </w:r>
      <w:r w:rsidR="00C44DF1" w:rsidRPr="00BD07DB">
        <w:rPr>
          <w:rFonts w:ascii="Times New Roman" w:hAnsi="Times New Roman" w:cs="Times New Roman"/>
        </w:rPr>
        <w:t xml:space="preserve">Submissions expressed a diverse range of views about the most appropriate </w:t>
      </w:r>
      <w:r w:rsidR="001A0F38" w:rsidRPr="00BD07DB">
        <w:rPr>
          <w:rFonts w:ascii="Times New Roman" w:hAnsi="Times New Roman" w:cs="Times New Roman"/>
        </w:rPr>
        <w:t xml:space="preserve">frequency and geographic </w:t>
      </w:r>
      <w:r w:rsidR="00C44DF1" w:rsidRPr="00BD07DB">
        <w:rPr>
          <w:rFonts w:ascii="Times New Roman" w:hAnsi="Times New Roman" w:cs="Times New Roman"/>
        </w:rPr>
        <w:t>configuration</w:t>
      </w:r>
      <w:r w:rsidR="001A0F38" w:rsidRPr="00BD07DB">
        <w:rPr>
          <w:rFonts w:ascii="Times New Roman" w:hAnsi="Times New Roman" w:cs="Times New Roman"/>
        </w:rPr>
        <w:t xml:space="preserve"> of spectrum for the 26 GHz band </w:t>
      </w:r>
      <w:r w:rsidR="00771393">
        <w:rPr>
          <w:rFonts w:ascii="Times New Roman" w:hAnsi="Times New Roman" w:cs="Times New Roman"/>
        </w:rPr>
        <w:t xml:space="preserve">spectrum </w:t>
      </w:r>
      <w:r w:rsidR="001A0F38" w:rsidRPr="00BD07DB">
        <w:rPr>
          <w:rFonts w:ascii="Times New Roman" w:hAnsi="Times New Roman" w:cs="Times New Roman"/>
        </w:rPr>
        <w:t>auction</w:t>
      </w:r>
      <w:r w:rsidR="00C44DF1" w:rsidRPr="00BD07DB">
        <w:rPr>
          <w:rFonts w:ascii="Times New Roman" w:hAnsi="Times New Roman" w:cs="Times New Roman"/>
        </w:rPr>
        <w:t>.</w:t>
      </w:r>
      <w:r w:rsidR="00BD07DB">
        <w:rPr>
          <w:rFonts w:ascii="Times New Roman" w:hAnsi="Times New Roman" w:cs="Times New Roman"/>
        </w:rPr>
        <w:t xml:space="preserve"> </w:t>
      </w:r>
      <w:r w:rsidR="004F4795" w:rsidRPr="004F4795">
        <w:rPr>
          <w:rFonts w:ascii="Times New Roman" w:hAnsi="Times New Roman" w:cs="Times New Roman"/>
        </w:rPr>
        <w:t>S</w:t>
      </w:r>
      <w:r w:rsidR="004F4795">
        <w:rPr>
          <w:rFonts w:ascii="Times New Roman" w:hAnsi="Times New Roman" w:cs="Times New Roman"/>
        </w:rPr>
        <w:t>ome s</w:t>
      </w:r>
      <w:r w:rsidR="004F4795" w:rsidRPr="004F4795">
        <w:rPr>
          <w:rFonts w:ascii="Times New Roman" w:hAnsi="Times New Roman" w:cs="Times New Roman"/>
        </w:rPr>
        <w:t xml:space="preserve">takeholders expressed concern </w:t>
      </w:r>
      <w:r w:rsidR="004D48E9">
        <w:rPr>
          <w:rFonts w:ascii="Times New Roman" w:hAnsi="Times New Roman" w:cs="Times New Roman"/>
        </w:rPr>
        <w:t>that the</w:t>
      </w:r>
      <w:r w:rsidR="00E11A49" w:rsidRPr="00E11A49">
        <w:rPr>
          <w:rFonts w:ascii="Times New Roman" w:hAnsi="Times New Roman" w:cs="Times New Roman"/>
        </w:rPr>
        <w:t xml:space="preserve"> </w:t>
      </w:r>
      <w:r w:rsidR="004D48E9">
        <w:rPr>
          <w:rFonts w:ascii="Times New Roman" w:hAnsi="Times New Roman" w:cs="Times New Roman"/>
        </w:rPr>
        <w:t xml:space="preserve">strict </w:t>
      </w:r>
      <w:r w:rsidR="00E11A49" w:rsidRPr="00E11A49">
        <w:rPr>
          <w:rFonts w:ascii="Times New Roman" w:hAnsi="Times New Roman" w:cs="Times New Roman"/>
        </w:rPr>
        <w:t xml:space="preserve">constraint on permissible </w:t>
      </w:r>
      <w:r w:rsidR="004D48E9">
        <w:rPr>
          <w:rFonts w:ascii="Times New Roman" w:hAnsi="Times New Roman" w:cs="Times New Roman"/>
        </w:rPr>
        <w:t>total radiated power</w:t>
      </w:r>
      <w:r w:rsidR="00E11A49" w:rsidRPr="00E11A49">
        <w:rPr>
          <w:rFonts w:ascii="Times New Roman" w:hAnsi="Times New Roman" w:cs="Times New Roman"/>
        </w:rPr>
        <w:t xml:space="preserve"> levels above 27 GHz</w:t>
      </w:r>
      <w:r w:rsidR="00E11A49">
        <w:rPr>
          <w:rFonts w:ascii="Times New Roman" w:hAnsi="Times New Roman" w:cs="Times New Roman"/>
        </w:rPr>
        <w:t xml:space="preserve"> </w:t>
      </w:r>
      <w:r w:rsidR="004D48E9">
        <w:rPr>
          <w:rFonts w:ascii="Times New Roman" w:hAnsi="Times New Roman" w:cs="Times New Roman"/>
        </w:rPr>
        <w:t xml:space="preserve">in parts of </w:t>
      </w:r>
      <w:r w:rsidR="00E11A49" w:rsidRPr="00E11A49">
        <w:rPr>
          <w:rFonts w:ascii="Times New Roman" w:hAnsi="Times New Roman" w:cs="Times New Roman"/>
        </w:rPr>
        <w:t>Greater Perth</w:t>
      </w:r>
      <w:r w:rsidR="004D48E9">
        <w:rPr>
          <w:rFonts w:ascii="Times New Roman" w:hAnsi="Times New Roman" w:cs="Times New Roman"/>
        </w:rPr>
        <w:t xml:space="preserve"> and</w:t>
      </w:r>
      <w:r w:rsidR="00E11A49" w:rsidRPr="00E11A49">
        <w:rPr>
          <w:rFonts w:ascii="Times New Roman" w:hAnsi="Times New Roman" w:cs="Times New Roman"/>
        </w:rPr>
        <w:t xml:space="preserve"> Margaret River</w:t>
      </w:r>
      <w:r w:rsidR="004D48E9">
        <w:rPr>
          <w:rFonts w:ascii="Times New Roman" w:hAnsi="Times New Roman" w:cs="Times New Roman"/>
        </w:rPr>
        <w:t>,</w:t>
      </w:r>
      <w:r w:rsidR="00E11A49" w:rsidRPr="00E11A49">
        <w:rPr>
          <w:rFonts w:ascii="Times New Roman" w:hAnsi="Times New Roman" w:cs="Times New Roman"/>
        </w:rPr>
        <w:t xml:space="preserve"> and </w:t>
      </w:r>
      <w:r w:rsidR="004D48E9">
        <w:rPr>
          <w:rFonts w:ascii="Times New Roman" w:hAnsi="Times New Roman" w:cs="Times New Roman"/>
        </w:rPr>
        <w:t xml:space="preserve">in </w:t>
      </w:r>
      <w:r w:rsidR="00E11A49" w:rsidRPr="00E11A49">
        <w:rPr>
          <w:rFonts w:ascii="Times New Roman" w:hAnsi="Times New Roman" w:cs="Times New Roman"/>
        </w:rPr>
        <w:t>Hobart</w:t>
      </w:r>
      <w:r w:rsidR="004F4795" w:rsidRPr="004F4795">
        <w:rPr>
          <w:rFonts w:ascii="Times New Roman" w:hAnsi="Times New Roman" w:cs="Times New Roman"/>
        </w:rPr>
        <w:t xml:space="preserve">, </w:t>
      </w:r>
      <w:r w:rsidR="004D48E9">
        <w:rPr>
          <w:rFonts w:ascii="Times New Roman" w:hAnsi="Times New Roman" w:cs="Times New Roman"/>
        </w:rPr>
        <w:t>would result in</w:t>
      </w:r>
      <w:r w:rsidR="004F4795" w:rsidRPr="004F4795">
        <w:rPr>
          <w:rFonts w:ascii="Times New Roman" w:hAnsi="Times New Roman" w:cs="Times New Roman"/>
        </w:rPr>
        <w:t xml:space="preserve"> a </w:t>
      </w:r>
      <w:r w:rsidR="00D65938">
        <w:rPr>
          <w:rFonts w:ascii="Times New Roman" w:hAnsi="Times New Roman" w:cs="Times New Roman"/>
        </w:rPr>
        <w:t xml:space="preserve">significant </w:t>
      </w:r>
      <w:r w:rsidR="004F4795" w:rsidRPr="004F4795">
        <w:rPr>
          <w:rFonts w:ascii="Times New Roman" w:hAnsi="Times New Roman" w:cs="Times New Roman"/>
        </w:rPr>
        <w:t>value difference between the 25.1</w:t>
      </w:r>
      <w:r w:rsidR="00771393">
        <w:rPr>
          <w:rFonts w:ascii="Times New Roman" w:hAnsi="Times New Roman" w:cs="Times New Roman"/>
        </w:rPr>
        <w:t xml:space="preserve"> GHz to </w:t>
      </w:r>
      <w:r w:rsidR="004F4795" w:rsidRPr="004F4795">
        <w:rPr>
          <w:rFonts w:ascii="Times New Roman" w:hAnsi="Times New Roman" w:cs="Times New Roman"/>
        </w:rPr>
        <w:t>27</w:t>
      </w:r>
      <w:r w:rsidR="0041653D">
        <w:rPr>
          <w:rFonts w:ascii="Times New Roman" w:hAnsi="Times New Roman" w:cs="Times New Roman"/>
        </w:rPr>
        <w:t>.0</w:t>
      </w:r>
      <w:r w:rsidR="004F4795" w:rsidRPr="004F4795">
        <w:rPr>
          <w:rFonts w:ascii="Times New Roman" w:hAnsi="Times New Roman" w:cs="Times New Roman"/>
        </w:rPr>
        <w:t xml:space="preserve"> GHz and the 27</w:t>
      </w:r>
      <w:r w:rsidR="0041653D">
        <w:rPr>
          <w:rFonts w:ascii="Times New Roman" w:hAnsi="Times New Roman" w:cs="Times New Roman"/>
        </w:rPr>
        <w:t>.0</w:t>
      </w:r>
      <w:r w:rsidR="00771393">
        <w:rPr>
          <w:rFonts w:ascii="Times New Roman" w:hAnsi="Times New Roman" w:cs="Times New Roman"/>
        </w:rPr>
        <w:t xml:space="preserve"> GHz to </w:t>
      </w:r>
      <w:r w:rsidR="004F4795" w:rsidRPr="004F4795">
        <w:rPr>
          <w:rFonts w:ascii="Times New Roman" w:hAnsi="Times New Roman" w:cs="Times New Roman"/>
        </w:rPr>
        <w:t>27.5 GHz frequency ranges</w:t>
      </w:r>
      <w:r w:rsidR="004D48E9">
        <w:rPr>
          <w:rFonts w:ascii="Times New Roman" w:hAnsi="Times New Roman" w:cs="Times New Roman"/>
        </w:rPr>
        <w:t xml:space="preserve"> in these areas</w:t>
      </w:r>
      <w:r w:rsidR="004F4795" w:rsidRPr="004F4795">
        <w:rPr>
          <w:rFonts w:ascii="Times New Roman" w:hAnsi="Times New Roman" w:cs="Times New Roman"/>
        </w:rPr>
        <w:t>.</w:t>
      </w:r>
    </w:p>
    <w:p w14:paraId="3809C75B" w14:textId="58097185" w:rsidR="00CF6C69" w:rsidRDefault="00C44DF1" w:rsidP="0085175F">
      <w:pPr>
        <w:rPr>
          <w:rFonts w:ascii="Times New Roman" w:hAnsi="Times New Roman" w:cs="Times New Roman"/>
        </w:rPr>
      </w:pPr>
      <w:r w:rsidRPr="00BD07DB">
        <w:rPr>
          <w:rFonts w:ascii="Times New Roman" w:hAnsi="Times New Roman" w:cs="Times New Roman"/>
        </w:rPr>
        <w:t xml:space="preserve">Having </w:t>
      </w:r>
      <w:r w:rsidR="00771393">
        <w:rPr>
          <w:rFonts w:ascii="Times New Roman" w:hAnsi="Times New Roman" w:cs="Times New Roman"/>
        </w:rPr>
        <w:t>considered these</w:t>
      </w:r>
      <w:r w:rsidR="002D5519" w:rsidRPr="00BD07DB">
        <w:rPr>
          <w:rFonts w:ascii="Times New Roman" w:hAnsi="Times New Roman" w:cs="Times New Roman"/>
        </w:rPr>
        <w:t xml:space="preserve"> submissions</w:t>
      </w:r>
      <w:r w:rsidRPr="00BD07DB">
        <w:rPr>
          <w:rFonts w:ascii="Times New Roman" w:hAnsi="Times New Roman" w:cs="Times New Roman"/>
        </w:rPr>
        <w:t xml:space="preserve">, </w:t>
      </w:r>
      <w:r w:rsidR="004F4795">
        <w:rPr>
          <w:rFonts w:ascii="Times New Roman" w:hAnsi="Times New Roman" w:cs="Times New Roman"/>
        </w:rPr>
        <w:t xml:space="preserve">the ACMA has </w:t>
      </w:r>
      <w:r w:rsidR="000B5C69">
        <w:rPr>
          <w:rFonts w:ascii="Times New Roman" w:hAnsi="Times New Roman" w:cs="Times New Roman"/>
        </w:rPr>
        <w:t xml:space="preserve">decided </w:t>
      </w:r>
      <w:r w:rsidR="00547B19">
        <w:rPr>
          <w:rFonts w:ascii="Times New Roman" w:hAnsi="Times New Roman" w:cs="Times New Roman"/>
        </w:rPr>
        <w:t xml:space="preserve">to divide the 26 GHz band </w:t>
      </w:r>
      <w:r w:rsidR="002D59BA">
        <w:rPr>
          <w:rFonts w:ascii="Times New Roman" w:hAnsi="Times New Roman" w:cs="Times New Roman"/>
        </w:rPr>
        <w:t>in the manner explained in Attachment A, in order to</w:t>
      </w:r>
      <w:r w:rsidR="002F0ECA">
        <w:rPr>
          <w:rFonts w:ascii="Times New Roman" w:hAnsi="Times New Roman" w:cs="Times New Roman"/>
        </w:rPr>
        <w:t xml:space="preserve"> </w:t>
      </w:r>
      <w:r w:rsidR="004F4795">
        <w:rPr>
          <w:rFonts w:ascii="Times New Roman" w:hAnsi="Times New Roman" w:cs="Times New Roman"/>
        </w:rPr>
        <w:t xml:space="preserve">allow bidders to better express their demand </w:t>
      </w:r>
      <w:r w:rsidR="00E11A49">
        <w:rPr>
          <w:rFonts w:ascii="Times New Roman" w:hAnsi="Times New Roman" w:cs="Times New Roman"/>
        </w:rPr>
        <w:t>for spectrum below and above 27 GHz</w:t>
      </w:r>
      <w:r w:rsidR="00E11A49" w:rsidDel="002F0ECA">
        <w:rPr>
          <w:rFonts w:ascii="Times New Roman" w:hAnsi="Times New Roman" w:cs="Times New Roman"/>
        </w:rPr>
        <w:t xml:space="preserve"> </w:t>
      </w:r>
      <w:r w:rsidR="00005CE2">
        <w:rPr>
          <w:rFonts w:ascii="Times New Roman" w:hAnsi="Times New Roman" w:cs="Times New Roman"/>
        </w:rPr>
        <w:t>in these areas</w:t>
      </w:r>
      <w:r w:rsidR="00D47D5C" w:rsidRPr="00D47D5C">
        <w:rPr>
          <w:rFonts w:ascii="Times New Roman" w:hAnsi="Times New Roman" w:cs="Times New Roman"/>
        </w:rPr>
        <w:t>.</w:t>
      </w:r>
    </w:p>
    <w:p w14:paraId="50CE3F65" w14:textId="65C76624" w:rsidR="006A4AE8" w:rsidRDefault="006A4AE8" w:rsidP="006A4AE8">
      <w:pPr>
        <w:pStyle w:val="paragraph"/>
        <w:spacing w:before="0" w:beforeAutospacing="0" w:after="160" w:afterAutospacing="0" w:line="256" w:lineRule="auto"/>
        <w:textAlignment w:val="baseline"/>
        <w:rPr>
          <w:rStyle w:val="normaltextrun"/>
          <w:sz w:val="22"/>
          <w:szCs w:val="22"/>
        </w:rPr>
      </w:pPr>
      <w:r>
        <w:rPr>
          <w:rStyle w:val="normaltextrun"/>
          <w:sz w:val="22"/>
          <w:szCs w:val="22"/>
        </w:rPr>
        <w:t xml:space="preserve">The majority of submitters expressed general support for the proposed technical conditions, although a range of amendments were proposed, mostly to provide additional protection to incumbent services or to increase deployment flexibility for new wireless broadband services. The ACMA considered this feedback and made a number of changes to the </w:t>
      </w:r>
      <w:r w:rsidR="00B26F39">
        <w:rPr>
          <w:rStyle w:val="normaltextrun"/>
          <w:sz w:val="22"/>
          <w:szCs w:val="22"/>
        </w:rPr>
        <w:t xml:space="preserve">Marketing Plan </w:t>
      </w:r>
      <w:r>
        <w:rPr>
          <w:rStyle w:val="normaltextrun"/>
          <w:sz w:val="22"/>
          <w:szCs w:val="22"/>
        </w:rPr>
        <w:t xml:space="preserve">in response. </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17199899" w14:textId="2DA65C94" w:rsidR="008B0DD6" w:rsidRDefault="008B0DD6" w:rsidP="004C58B9">
      <w:pPr>
        <w:rPr>
          <w:rFonts w:ascii="Times New Roman" w:hAnsi="Times New Roman" w:cs="Times New Roman"/>
        </w:rPr>
      </w:pPr>
      <w:r w:rsidRPr="00F438D7">
        <w:rPr>
          <w:rFonts w:ascii="Times New Roman" w:hAnsi="Times New Roman" w:cs="Times New Roman"/>
        </w:rPr>
        <w:t xml:space="preserve">A preliminary assessment of the proposal to make the </w:t>
      </w:r>
      <w:r w:rsidR="00B26F39">
        <w:rPr>
          <w:rFonts w:ascii="Times New Roman" w:hAnsi="Times New Roman" w:cs="Times New Roman"/>
        </w:rPr>
        <w:t>Marketing Plan</w:t>
      </w:r>
      <w:r w:rsidR="00B26F39" w:rsidRPr="00F438D7">
        <w:rPr>
          <w:rFonts w:ascii="Times New Roman" w:hAnsi="Times New Roman" w:cs="Times New Roman"/>
        </w:rPr>
        <w:t xml:space="preserve"> </w:t>
      </w:r>
      <w:r w:rsidRPr="00F438D7">
        <w:rPr>
          <w:rFonts w:ascii="Times New Roman" w:hAnsi="Times New Roman" w:cs="Times New Roman"/>
        </w:rPr>
        <w:t>was conducted by the Office of Best Practice Regulation (</w:t>
      </w:r>
      <w:r w:rsidRPr="00F438D7">
        <w:rPr>
          <w:rFonts w:ascii="Times New Roman" w:hAnsi="Times New Roman" w:cs="Times New Roman"/>
          <w:b/>
          <w:bCs/>
        </w:rPr>
        <w:t>OBPR</w:t>
      </w:r>
      <w:r w:rsidRPr="00F438D7">
        <w:rPr>
          <w:rFonts w:ascii="Times New Roman" w:hAnsi="Times New Roman" w:cs="Times New Roman"/>
        </w:rPr>
        <w:t>), based on information provided by the ACMA, for the purposes of determining whether a Regulation Impact Statement (</w:t>
      </w:r>
      <w:r w:rsidRPr="00F438D7">
        <w:rPr>
          <w:rFonts w:ascii="Times New Roman" w:hAnsi="Times New Roman" w:cs="Times New Roman"/>
          <w:b/>
          <w:bCs/>
        </w:rPr>
        <w:t>RIS</w:t>
      </w:r>
      <w:r w:rsidRPr="00F438D7">
        <w:rPr>
          <w:rFonts w:ascii="Times New Roman" w:hAnsi="Times New Roman" w:cs="Times New Roman"/>
        </w:rPr>
        <w:t>) would be required. OBPR advised that a RIS would not be required because the proposed regulatory change is minor or machinery in nature – OBPR reference number</w:t>
      </w:r>
      <w:r w:rsidR="00F830D0" w:rsidRPr="00F438D7">
        <w:rPr>
          <w:rFonts w:ascii="Times New Roman" w:hAnsi="Times New Roman" w:cs="Times New Roman"/>
        </w:rPr>
        <w:t>s</w:t>
      </w:r>
      <w:r w:rsidRPr="00F438D7">
        <w:rPr>
          <w:rFonts w:ascii="Times New Roman" w:hAnsi="Times New Roman" w:cs="Times New Roman"/>
        </w:rPr>
        <w:t xml:space="preserve"> </w:t>
      </w:r>
      <w:r w:rsidR="00FC06D8" w:rsidRPr="00F438D7">
        <w:rPr>
          <w:rFonts w:ascii="Times New Roman" w:hAnsi="Times New Roman" w:cs="Times New Roman"/>
        </w:rPr>
        <w:t>25951</w:t>
      </w:r>
      <w:r w:rsidR="00F830D0" w:rsidRPr="00F438D7">
        <w:rPr>
          <w:rFonts w:ascii="Times New Roman" w:hAnsi="Times New Roman" w:cs="Times New Roman"/>
        </w:rPr>
        <w:t xml:space="preserve"> and 24947</w:t>
      </w:r>
      <w:r w:rsidRPr="00F438D7">
        <w:rPr>
          <w:rFonts w:ascii="Times New Roman" w:hAnsi="Times New Roman" w:cs="Times New Roman"/>
        </w:rPr>
        <w:t>.</w:t>
      </w:r>
    </w:p>
    <w:p w14:paraId="645DD02E" w14:textId="6C702816" w:rsidR="004C58B9" w:rsidRDefault="004C58B9" w:rsidP="002E368A">
      <w:pPr>
        <w:keepNext/>
        <w:spacing w:line="259" w:lineRule="auto"/>
        <w:rPr>
          <w:rFonts w:ascii="Times New Roman" w:hAnsi="Times New Roman" w:cs="Times New Roman"/>
          <w:b/>
        </w:rPr>
      </w:pPr>
      <w:r>
        <w:rPr>
          <w:rFonts w:ascii="Times New Roman" w:hAnsi="Times New Roman" w:cs="Times New Roman"/>
          <w:b/>
        </w:rPr>
        <w:lastRenderedPageBreak/>
        <w:t>Statement of compatibility with human rights</w:t>
      </w:r>
    </w:p>
    <w:p w14:paraId="7E0868EC" w14:textId="62D6EA54"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A848C9">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456711D8" w:rsidR="004C58B9" w:rsidRDefault="004C58B9" w:rsidP="004C58B9">
      <w:pPr>
        <w:rPr>
          <w:rFonts w:ascii="Times New Roman" w:hAnsi="Times New Roman" w:cs="Times New Roman"/>
          <w:b/>
          <w:i/>
        </w:rPr>
      </w:pPr>
      <w:r>
        <w:rPr>
          <w:rFonts w:ascii="Times New Roman" w:hAnsi="Times New Roman" w:cs="Times New Roman"/>
          <w:b/>
          <w:i/>
        </w:rPr>
        <w:t xml:space="preserve">Overview of the </w:t>
      </w:r>
      <w:r w:rsidR="00AA6866">
        <w:rPr>
          <w:rFonts w:ascii="Times New Roman" w:hAnsi="Times New Roman" w:cs="Times New Roman"/>
          <w:b/>
          <w:i/>
        </w:rPr>
        <w:t>Marketing Plan</w:t>
      </w:r>
    </w:p>
    <w:p w14:paraId="2AD776AF" w14:textId="6C471067" w:rsidR="0003705C" w:rsidRDefault="00AA6866" w:rsidP="0003705C">
      <w:pPr>
        <w:rPr>
          <w:rFonts w:ascii="Times New Roman" w:hAnsi="Times New Roman" w:cs="Times New Roman"/>
        </w:rPr>
      </w:pPr>
      <w:r>
        <w:rPr>
          <w:rFonts w:ascii="Times New Roman" w:hAnsi="Times New Roman" w:cs="Times New Roman"/>
        </w:rPr>
        <w:t xml:space="preserve">On 18 October 2019, the Minister made </w:t>
      </w:r>
      <w:r w:rsidR="00AB5EE3" w:rsidRPr="00F438D7">
        <w:rPr>
          <w:rFonts w:ascii="Times New Roman" w:hAnsi="Times New Roman" w:cs="Times New Roman"/>
        </w:rPr>
        <w:t xml:space="preserve">the </w:t>
      </w:r>
      <w:r w:rsidR="009215AF">
        <w:rPr>
          <w:rFonts w:ascii="Times New Roman" w:hAnsi="Times New Roman" w:cs="Times New Roman"/>
        </w:rPr>
        <w:t>R</w:t>
      </w:r>
      <w:r w:rsidR="00AB5EE3" w:rsidRPr="00F438D7">
        <w:rPr>
          <w:rFonts w:ascii="Times New Roman" w:hAnsi="Times New Roman" w:cs="Times New Roman"/>
        </w:rPr>
        <w:t xml:space="preserve">e-allocation </w:t>
      </w:r>
      <w:r w:rsidR="009215AF">
        <w:rPr>
          <w:rFonts w:ascii="Times New Roman" w:hAnsi="Times New Roman" w:cs="Times New Roman"/>
        </w:rPr>
        <w:t>D</w:t>
      </w:r>
      <w:r w:rsidR="00AB5EE3" w:rsidRPr="00F438D7">
        <w:rPr>
          <w:rFonts w:ascii="Times New Roman" w:hAnsi="Times New Roman" w:cs="Times New Roman"/>
        </w:rPr>
        <w:t>eclaration</w:t>
      </w:r>
      <w:r>
        <w:rPr>
          <w:rFonts w:ascii="Times New Roman" w:hAnsi="Times New Roman" w:cs="Times New Roman"/>
        </w:rPr>
        <w:t>. Th</w:t>
      </w:r>
      <w:r w:rsidR="00AB5EE3">
        <w:rPr>
          <w:rFonts w:ascii="Times New Roman" w:hAnsi="Times New Roman" w:cs="Times New Roman"/>
        </w:rPr>
        <w:t>e</w:t>
      </w:r>
      <w:r>
        <w:rPr>
          <w:rFonts w:ascii="Times New Roman" w:hAnsi="Times New Roman" w:cs="Times New Roman"/>
        </w:rPr>
        <w:t xml:space="preserve"> </w:t>
      </w:r>
      <w:r w:rsidR="00F963F9">
        <w:rPr>
          <w:rFonts w:ascii="Times New Roman" w:hAnsi="Times New Roman" w:cs="Times New Roman"/>
        </w:rPr>
        <w:t>Re</w:t>
      </w:r>
      <w:r>
        <w:rPr>
          <w:rFonts w:ascii="Times New Roman" w:hAnsi="Times New Roman" w:cs="Times New Roman"/>
        </w:rPr>
        <w:noBreakHyphen/>
        <w:t xml:space="preserve">allocation </w:t>
      </w:r>
      <w:r w:rsidR="00F963F9">
        <w:rPr>
          <w:rFonts w:ascii="Times New Roman" w:hAnsi="Times New Roman" w:cs="Times New Roman"/>
        </w:rPr>
        <w:t xml:space="preserve">Declaration </w:t>
      </w:r>
      <w:r w:rsidR="0003705C">
        <w:rPr>
          <w:rFonts w:ascii="Times New Roman" w:hAnsi="Times New Roman" w:cs="Times New Roman"/>
        </w:rPr>
        <w:t>provides that each of:</w:t>
      </w:r>
    </w:p>
    <w:p w14:paraId="26F0DD56" w14:textId="4FB3579E" w:rsidR="0003705C" w:rsidRDefault="0003705C" w:rsidP="0003705C">
      <w:pPr>
        <w:pStyle w:val="ListParagraph"/>
        <w:numPr>
          <w:ilvl w:val="0"/>
          <w:numId w:val="30"/>
        </w:numPr>
        <w:rPr>
          <w:rFonts w:ascii="Times New Roman" w:hAnsi="Times New Roman" w:cs="Times New Roman"/>
        </w:rPr>
      </w:pPr>
      <w:r>
        <w:rPr>
          <w:rFonts w:ascii="Times New Roman" w:hAnsi="Times New Roman" w:cs="Times New Roman"/>
        </w:rPr>
        <w:t>the frequency range 25.1 GHz to 27</w:t>
      </w:r>
      <w:r w:rsidR="0041653D">
        <w:rPr>
          <w:rFonts w:ascii="Times New Roman" w:hAnsi="Times New Roman" w:cs="Times New Roman"/>
        </w:rPr>
        <w:t>.0</w:t>
      </w:r>
      <w:r>
        <w:rPr>
          <w:rFonts w:ascii="Times New Roman" w:hAnsi="Times New Roman" w:cs="Times New Roman"/>
        </w:rPr>
        <w:t xml:space="preserve"> GHz, with respect to particular geographic areas; and</w:t>
      </w:r>
    </w:p>
    <w:p w14:paraId="0167E3D8" w14:textId="49C25510" w:rsidR="0003705C" w:rsidRPr="006A7346" w:rsidRDefault="0003705C" w:rsidP="0003705C">
      <w:pPr>
        <w:pStyle w:val="ListParagraph"/>
        <w:numPr>
          <w:ilvl w:val="0"/>
          <w:numId w:val="30"/>
        </w:numPr>
        <w:rPr>
          <w:rFonts w:ascii="Times New Roman" w:hAnsi="Times New Roman" w:cs="Times New Roman"/>
        </w:rPr>
      </w:pPr>
      <w:r>
        <w:rPr>
          <w:rFonts w:ascii="Times New Roman" w:hAnsi="Times New Roman" w:cs="Times New Roman"/>
        </w:rPr>
        <w:t>the frequency range 27</w:t>
      </w:r>
      <w:r w:rsidR="0041653D">
        <w:rPr>
          <w:rFonts w:ascii="Times New Roman" w:hAnsi="Times New Roman" w:cs="Times New Roman"/>
        </w:rPr>
        <w:t>.0</w:t>
      </w:r>
      <w:r>
        <w:rPr>
          <w:rFonts w:ascii="Times New Roman" w:hAnsi="Times New Roman" w:cs="Times New Roman"/>
        </w:rPr>
        <w:t xml:space="preserve"> GHz to 27.5 GHz, with respect to particular geographic </w:t>
      </w:r>
      <w:proofErr w:type="gramStart"/>
      <w:r>
        <w:rPr>
          <w:rFonts w:ascii="Times New Roman" w:hAnsi="Times New Roman" w:cs="Times New Roman"/>
        </w:rPr>
        <w:t>areas;</w:t>
      </w:r>
      <w:proofErr w:type="gramEnd"/>
    </w:p>
    <w:p w14:paraId="099C8068" w14:textId="77777777" w:rsidR="0003705C" w:rsidRDefault="0003705C" w:rsidP="0003705C">
      <w:pPr>
        <w:rPr>
          <w:rFonts w:ascii="Times New Roman" w:hAnsi="Times New Roman" w:cs="Times New Roman"/>
        </w:rPr>
      </w:pPr>
      <w:r>
        <w:rPr>
          <w:rFonts w:ascii="Times New Roman" w:hAnsi="Times New Roman" w:cs="Times New Roman"/>
        </w:rPr>
        <w:t>is subject to re</w:t>
      </w:r>
      <w:r>
        <w:rPr>
          <w:rFonts w:ascii="Times New Roman" w:hAnsi="Times New Roman" w:cs="Times New Roman"/>
        </w:rPr>
        <w:noBreakHyphen/>
        <w:t>allocation by issuing spectrum licences.</w:t>
      </w:r>
    </w:p>
    <w:p w14:paraId="1BB4D032" w14:textId="0B86664F" w:rsidR="00124EEE" w:rsidRDefault="00124EEE" w:rsidP="00AA6866">
      <w:pPr>
        <w:rPr>
          <w:rFonts w:ascii="Times New Roman" w:hAnsi="Times New Roman" w:cs="Times New Roman"/>
        </w:rPr>
      </w:pPr>
      <w:r>
        <w:rPr>
          <w:rFonts w:ascii="Times New Roman" w:hAnsi="Times New Roman" w:cs="Times New Roman"/>
        </w:rPr>
        <w:t xml:space="preserve">The ACMA intends to allocate each of the parts of the 26 GHz band specified in the </w:t>
      </w:r>
      <w:r w:rsidR="004130DC">
        <w:rPr>
          <w:rFonts w:ascii="Times New Roman" w:hAnsi="Times New Roman" w:cs="Times New Roman"/>
        </w:rPr>
        <w:t>R</w:t>
      </w:r>
      <w:r>
        <w:rPr>
          <w:rFonts w:ascii="Times New Roman" w:hAnsi="Times New Roman" w:cs="Times New Roman"/>
        </w:rPr>
        <w:t>e</w:t>
      </w:r>
      <w:r>
        <w:rPr>
          <w:rFonts w:ascii="Times New Roman" w:hAnsi="Times New Roman" w:cs="Times New Roman"/>
        </w:rPr>
        <w:noBreakHyphen/>
        <w:t xml:space="preserve">allocation </w:t>
      </w:r>
      <w:r w:rsidR="004130DC">
        <w:rPr>
          <w:rFonts w:ascii="Times New Roman" w:hAnsi="Times New Roman" w:cs="Times New Roman"/>
        </w:rPr>
        <w:t>D</w:t>
      </w:r>
      <w:r>
        <w:rPr>
          <w:rFonts w:ascii="Times New Roman" w:hAnsi="Times New Roman" w:cs="Times New Roman"/>
        </w:rPr>
        <w:t xml:space="preserve">eclaration </w:t>
      </w:r>
      <w:r w:rsidR="0003705C">
        <w:rPr>
          <w:rFonts w:ascii="Times New Roman" w:hAnsi="Times New Roman" w:cs="Times New Roman"/>
        </w:rPr>
        <w:t>by auctioning spectrum licences in</w:t>
      </w:r>
      <w:r>
        <w:rPr>
          <w:rFonts w:ascii="Times New Roman" w:hAnsi="Times New Roman" w:cs="Times New Roman"/>
        </w:rPr>
        <w:t xml:space="preserve"> 2021. </w:t>
      </w:r>
    </w:p>
    <w:p w14:paraId="70A4F313" w14:textId="6428CC34" w:rsidR="00124EEE" w:rsidRPr="00124EEE" w:rsidRDefault="00124EEE" w:rsidP="00124EEE">
      <w:pPr>
        <w:rPr>
          <w:rFonts w:ascii="Times New Roman" w:hAnsi="Times New Roman" w:cs="Times New Roman"/>
        </w:rPr>
      </w:pPr>
      <w:r>
        <w:rPr>
          <w:rFonts w:ascii="Times New Roman" w:hAnsi="Times New Roman" w:cs="Times New Roman"/>
        </w:rPr>
        <w:t>Subsection 39A(2) of the Act provides that the ACMA must, by legislative instrument, prepare a marketing plan for issuing spectrum licences that authorise the operation of radiocommunications devices at frequencies within a part or parts of the spectrum</w:t>
      </w:r>
      <w:r w:rsidR="00C97FF4">
        <w:rPr>
          <w:rFonts w:ascii="Times New Roman" w:hAnsi="Times New Roman" w:cs="Times New Roman"/>
        </w:rPr>
        <w:t xml:space="preserve"> specified in a re-allocation declaration</w:t>
      </w:r>
      <w:r>
        <w:rPr>
          <w:rFonts w:ascii="Times New Roman" w:hAnsi="Times New Roman" w:cs="Times New Roman"/>
        </w:rPr>
        <w:t xml:space="preserve">, and within the </w:t>
      </w:r>
      <w:r w:rsidR="007850EA">
        <w:rPr>
          <w:rFonts w:ascii="Times New Roman" w:hAnsi="Times New Roman" w:cs="Times New Roman"/>
        </w:rPr>
        <w:t>area or</w:t>
      </w:r>
      <w:r>
        <w:rPr>
          <w:rFonts w:ascii="Times New Roman" w:hAnsi="Times New Roman" w:cs="Times New Roman"/>
        </w:rPr>
        <w:t xml:space="preserve"> areas specified in </w:t>
      </w:r>
      <w:r w:rsidR="007850EA">
        <w:rPr>
          <w:rFonts w:ascii="Times New Roman" w:hAnsi="Times New Roman" w:cs="Times New Roman"/>
        </w:rPr>
        <w:t>that</w:t>
      </w:r>
      <w:r>
        <w:rPr>
          <w:rFonts w:ascii="Times New Roman" w:hAnsi="Times New Roman" w:cs="Times New Roman"/>
        </w:rPr>
        <w:t xml:space="preserve"> declaration</w:t>
      </w:r>
      <w:r w:rsidR="007850EA">
        <w:rPr>
          <w:rFonts w:ascii="Times New Roman" w:hAnsi="Times New Roman" w:cs="Times New Roman"/>
        </w:rPr>
        <w:t xml:space="preserve"> with respect to that part or those parts</w:t>
      </w:r>
      <w:r>
        <w:rPr>
          <w:rFonts w:ascii="Times New Roman" w:hAnsi="Times New Roman" w:cs="Times New Roman"/>
        </w:rPr>
        <w:t xml:space="preserve">. </w:t>
      </w:r>
      <w:r w:rsidRPr="00124EEE">
        <w:rPr>
          <w:rFonts w:ascii="Times New Roman" w:hAnsi="Times New Roman" w:cs="Times New Roman"/>
        </w:rPr>
        <w:t>Subsection 39A(5) provides that the marketing plan may indicate:</w:t>
      </w:r>
    </w:p>
    <w:p w14:paraId="030E250E" w14:textId="6E3B7817" w:rsidR="00124EEE" w:rsidRPr="00124EEE" w:rsidRDefault="00124EEE" w:rsidP="00124EEE">
      <w:pPr>
        <w:pStyle w:val="ListParagraph"/>
        <w:numPr>
          <w:ilvl w:val="0"/>
          <w:numId w:val="22"/>
        </w:numPr>
        <w:rPr>
          <w:rFonts w:ascii="Times New Roman" w:hAnsi="Times New Roman" w:cs="Times New Roman"/>
        </w:rPr>
      </w:pPr>
      <w:r w:rsidRPr="00124EEE">
        <w:rPr>
          <w:rFonts w:ascii="Times New Roman" w:hAnsi="Times New Roman" w:cs="Times New Roman"/>
        </w:rPr>
        <w:t xml:space="preserve">the procedures to be followed for issuing spectrum licences in accordance with the </w:t>
      </w:r>
      <w:proofErr w:type="gramStart"/>
      <w:r w:rsidRPr="00124EEE">
        <w:rPr>
          <w:rFonts w:ascii="Times New Roman" w:hAnsi="Times New Roman" w:cs="Times New Roman"/>
        </w:rPr>
        <w:t>plan;</w:t>
      </w:r>
      <w:proofErr w:type="gramEnd"/>
    </w:p>
    <w:p w14:paraId="50B03505" w14:textId="3799C7D8" w:rsidR="00124EEE" w:rsidRPr="00124EEE" w:rsidRDefault="00124EEE" w:rsidP="00124EEE">
      <w:pPr>
        <w:pStyle w:val="ListParagraph"/>
        <w:numPr>
          <w:ilvl w:val="0"/>
          <w:numId w:val="22"/>
        </w:numPr>
        <w:rPr>
          <w:rFonts w:ascii="Times New Roman" w:hAnsi="Times New Roman" w:cs="Times New Roman"/>
        </w:rPr>
      </w:pPr>
      <w:r w:rsidRPr="00124EEE">
        <w:rPr>
          <w:rFonts w:ascii="Times New Roman" w:hAnsi="Times New Roman" w:cs="Times New Roman"/>
        </w:rPr>
        <w:t xml:space="preserve">the timetable for issuing spectrum licences in accordance with the </w:t>
      </w:r>
      <w:proofErr w:type="gramStart"/>
      <w:r w:rsidRPr="00124EEE">
        <w:rPr>
          <w:rFonts w:ascii="Times New Roman" w:hAnsi="Times New Roman" w:cs="Times New Roman"/>
        </w:rPr>
        <w:t>plan;</w:t>
      </w:r>
      <w:proofErr w:type="gramEnd"/>
    </w:p>
    <w:p w14:paraId="12EEDDBC" w14:textId="670E552C" w:rsidR="00124EEE" w:rsidRPr="00124EEE" w:rsidRDefault="00124EEE" w:rsidP="00124EEE">
      <w:pPr>
        <w:pStyle w:val="ListParagraph"/>
        <w:numPr>
          <w:ilvl w:val="0"/>
          <w:numId w:val="22"/>
        </w:numPr>
        <w:rPr>
          <w:rFonts w:ascii="Times New Roman" w:hAnsi="Times New Roman" w:cs="Times New Roman"/>
        </w:rPr>
      </w:pPr>
      <w:r w:rsidRPr="00124EEE">
        <w:rPr>
          <w:rFonts w:ascii="Times New Roman" w:hAnsi="Times New Roman" w:cs="Times New Roman"/>
        </w:rPr>
        <w:t xml:space="preserve">how the spectrum dealt with under the plan is to be apportioned among spectrum licences to be </w:t>
      </w:r>
      <w:proofErr w:type="gramStart"/>
      <w:r w:rsidRPr="00124EEE">
        <w:rPr>
          <w:rFonts w:ascii="Times New Roman" w:hAnsi="Times New Roman" w:cs="Times New Roman"/>
        </w:rPr>
        <w:t>issued;</w:t>
      </w:r>
      <w:proofErr w:type="gramEnd"/>
    </w:p>
    <w:p w14:paraId="70BD2267" w14:textId="74969540" w:rsidR="00124EEE" w:rsidRPr="00124EEE" w:rsidRDefault="00124EEE" w:rsidP="00124EEE">
      <w:pPr>
        <w:pStyle w:val="ListParagraph"/>
        <w:numPr>
          <w:ilvl w:val="0"/>
          <w:numId w:val="22"/>
        </w:numPr>
        <w:rPr>
          <w:rFonts w:ascii="Times New Roman" w:hAnsi="Times New Roman" w:cs="Times New Roman"/>
        </w:rPr>
      </w:pPr>
      <w:r w:rsidRPr="00124EEE">
        <w:rPr>
          <w:rFonts w:ascii="Times New Roman" w:hAnsi="Times New Roman" w:cs="Times New Roman"/>
        </w:rPr>
        <w:t>how much of the spectrum dealt with under the plan is to be reserved for public or community services; and</w:t>
      </w:r>
    </w:p>
    <w:p w14:paraId="22DDB099" w14:textId="589B7756" w:rsidR="00124EEE" w:rsidRPr="00124EEE" w:rsidRDefault="00124EEE" w:rsidP="00124EEE">
      <w:pPr>
        <w:pStyle w:val="ListParagraph"/>
        <w:numPr>
          <w:ilvl w:val="0"/>
          <w:numId w:val="22"/>
        </w:numPr>
        <w:rPr>
          <w:rFonts w:ascii="Times New Roman" w:hAnsi="Times New Roman" w:cs="Times New Roman"/>
        </w:rPr>
      </w:pPr>
      <w:r w:rsidRPr="00124EEE">
        <w:rPr>
          <w:rFonts w:ascii="Times New Roman" w:hAnsi="Times New Roman" w:cs="Times New Roman"/>
        </w:rPr>
        <w:t>the conditions, or types of conditions, that may be included in spectrum licences to be issued.</w:t>
      </w:r>
    </w:p>
    <w:p w14:paraId="1E24665C" w14:textId="412450D0" w:rsidR="00AA6866" w:rsidRPr="00533809" w:rsidRDefault="00EE7D25" w:rsidP="004C58B9">
      <w:pPr>
        <w:rPr>
          <w:rFonts w:ascii="Times New Roman" w:hAnsi="Times New Roman" w:cs="Times New Roman"/>
        </w:rPr>
      </w:pPr>
      <w:r>
        <w:rPr>
          <w:rFonts w:ascii="Times New Roman" w:hAnsi="Times New Roman" w:cs="Times New Roman"/>
        </w:rPr>
        <w:t xml:space="preserve">The ACMA has made the Marketing Plan under section 39A. </w:t>
      </w:r>
      <w:r w:rsidR="00124EEE" w:rsidRPr="00124EEE">
        <w:rPr>
          <w:rFonts w:ascii="Times New Roman" w:hAnsi="Times New Roman" w:cs="Times New Roman"/>
        </w:rPr>
        <w:t>Subject to the operation of certain allocation limits, any person may apply to be allocated a spectrum licence in accordance with the Marketing Plan.</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36BC17A1" w:rsidR="004C58B9" w:rsidRDefault="004C58B9" w:rsidP="004C58B9">
      <w:pPr>
        <w:rPr>
          <w:rFonts w:ascii="Times New Roman" w:hAnsi="Times New Roman" w:cs="Times New Roman"/>
        </w:rPr>
      </w:pPr>
      <w:r>
        <w:rPr>
          <w:rFonts w:ascii="Times New Roman" w:hAnsi="Times New Roman" w:cs="Times New Roman"/>
        </w:rPr>
        <w:t xml:space="preserve">The ACMA has assessed whether the </w:t>
      </w:r>
      <w:r w:rsidR="00533809">
        <w:rPr>
          <w:rFonts w:ascii="Times New Roman" w:hAnsi="Times New Roman" w:cs="Times New Roman"/>
        </w:rPr>
        <w:t>Marketing Plan</w:t>
      </w:r>
      <w:r>
        <w:rPr>
          <w:rFonts w:ascii="Times New Roman" w:hAnsi="Times New Roman" w:cs="Times New Roman"/>
        </w:rPr>
        <w:t xml:space="preserve">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8D85546"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w:t>
      </w:r>
      <w:r w:rsidR="00EE7D25">
        <w:rPr>
          <w:rFonts w:ascii="Times New Roman" w:hAnsi="Times New Roman" w:cs="Times New Roman"/>
        </w:rPr>
        <w:t xml:space="preserve">Marketing Plan </w:t>
      </w:r>
      <w:r>
        <w:rPr>
          <w:rFonts w:ascii="Times New Roman" w:hAnsi="Times New Roman" w:cs="Times New Roman"/>
        </w:rPr>
        <w:t xml:space="preserve">and the nature of the applicable rights and freedoms, the ACMA has formed the view that the </w:t>
      </w:r>
      <w:r w:rsidR="00EE7D25">
        <w:rPr>
          <w:rFonts w:ascii="Times New Roman" w:hAnsi="Times New Roman" w:cs="Times New Roman"/>
        </w:rPr>
        <w:t xml:space="preserve">Marketing Plan </w:t>
      </w:r>
      <w:r>
        <w:rPr>
          <w:rFonts w:ascii="Times New Roman" w:hAnsi="Times New Roman" w:cs="Times New Roman"/>
        </w:rPr>
        <w:t xml:space="preserve">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1E4C60BB" w:rsidR="004C58B9" w:rsidRDefault="004C58B9" w:rsidP="004C58B9">
      <w:pPr>
        <w:rPr>
          <w:rFonts w:ascii="Times New Roman" w:hAnsi="Times New Roman" w:cs="Times New Roman"/>
        </w:rPr>
      </w:pPr>
      <w:r>
        <w:rPr>
          <w:rFonts w:ascii="Times New Roman" w:hAnsi="Times New Roman" w:cs="Times New Roman"/>
        </w:rPr>
        <w:t>The</w:t>
      </w:r>
      <w:r w:rsidDel="006A7190">
        <w:rPr>
          <w:rFonts w:ascii="Times New Roman" w:hAnsi="Times New Roman" w:cs="Times New Roman"/>
        </w:rPr>
        <w:t xml:space="preserve"> </w:t>
      </w:r>
      <w:r w:rsidR="006A7190">
        <w:rPr>
          <w:rFonts w:ascii="Times New Roman" w:hAnsi="Times New Roman" w:cs="Times New Roman"/>
        </w:rPr>
        <w:t xml:space="preserve">Marketing Plan </w:t>
      </w:r>
      <w:r>
        <w:rPr>
          <w:rFonts w:ascii="Times New Roman" w:hAnsi="Times New Roman" w:cs="Times New Roman"/>
        </w:rPr>
        <w:t>is compatible with human rights as it does not raise any human rights issues.</w:t>
      </w:r>
    </w:p>
    <w:p w14:paraId="0761EB7B" w14:textId="77777777" w:rsidR="004C58B9" w:rsidRDefault="004C58B9" w:rsidP="004C58B9">
      <w:pPr>
        <w:rPr>
          <w:rFonts w:ascii="Times New Roman" w:hAnsi="Times New Roman" w:cs="Times New Roman"/>
        </w:rPr>
      </w:pPr>
    </w:p>
    <w:p w14:paraId="7EF268C3" w14:textId="77777777" w:rsidR="0041653D" w:rsidRDefault="0041653D">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00392EC9" w14:textId="3F461723"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4924F263"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E315F3">
        <w:rPr>
          <w:rFonts w:ascii="Times New Roman" w:hAnsi="Times New Roman" w:cs="Times New Roman"/>
          <w:b/>
          <w:i/>
          <w:iCs/>
          <w:sz w:val="28"/>
          <w:szCs w:val="28"/>
        </w:rPr>
        <w:t xml:space="preserve">Radiocommunications </w:t>
      </w:r>
      <w:r w:rsidR="00E315F3" w:rsidRPr="00E315F3">
        <w:rPr>
          <w:rFonts w:ascii="Times New Roman" w:hAnsi="Times New Roman" w:cs="Times New Roman"/>
          <w:b/>
          <w:i/>
          <w:sz w:val="28"/>
          <w:szCs w:val="28"/>
        </w:rPr>
        <w:t>Spectrum Marketing Plan (26</w:t>
      </w:r>
      <w:r w:rsidR="007D7A92">
        <w:rPr>
          <w:rFonts w:ascii="Times New Roman" w:hAnsi="Times New Roman" w:cs="Times New Roman"/>
          <w:b/>
          <w:i/>
          <w:sz w:val="28"/>
          <w:szCs w:val="28"/>
        </w:rPr>
        <w:t> </w:t>
      </w:r>
      <w:r w:rsidR="00E315F3" w:rsidRPr="00E315F3">
        <w:rPr>
          <w:rFonts w:ascii="Times New Roman" w:hAnsi="Times New Roman" w:cs="Times New Roman"/>
          <w:b/>
          <w:i/>
          <w:sz w:val="28"/>
          <w:szCs w:val="28"/>
        </w:rPr>
        <w:t>GHz</w:t>
      </w:r>
      <w:r w:rsidR="007D7A92">
        <w:rPr>
          <w:rFonts w:ascii="Times New Roman" w:hAnsi="Times New Roman" w:cs="Times New Roman"/>
          <w:b/>
          <w:i/>
          <w:sz w:val="28"/>
          <w:szCs w:val="28"/>
        </w:rPr>
        <w:t> </w:t>
      </w:r>
      <w:r w:rsidR="00E315F3" w:rsidRPr="00E315F3">
        <w:rPr>
          <w:rFonts w:ascii="Times New Roman" w:hAnsi="Times New Roman" w:cs="Times New Roman"/>
          <w:b/>
          <w:i/>
          <w:sz w:val="28"/>
          <w:szCs w:val="28"/>
        </w:rPr>
        <w:t>Band)</w:t>
      </w:r>
      <w:r w:rsidR="0041653D">
        <w:rPr>
          <w:rFonts w:ascii="Times New Roman" w:hAnsi="Times New Roman" w:cs="Times New Roman"/>
          <w:b/>
          <w:i/>
          <w:sz w:val="28"/>
          <w:szCs w:val="28"/>
        </w:rPr>
        <w:t> </w:t>
      </w:r>
      <w:r w:rsidR="00E315F3" w:rsidRPr="00E315F3">
        <w:rPr>
          <w:rFonts w:ascii="Times New Roman" w:hAnsi="Times New Roman" w:cs="Times New Roman"/>
          <w:b/>
          <w:i/>
          <w:sz w:val="28"/>
          <w:szCs w:val="28"/>
        </w:rPr>
        <w:t>2020</w:t>
      </w:r>
    </w:p>
    <w:p w14:paraId="0AC960E9" w14:textId="6286B8AB" w:rsidR="004C58B9" w:rsidRDefault="004C58B9" w:rsidP="004C58B9">
      <w:pPr>
        <w:spacing w:before="280"/>
        <w:rPr>
          <w:rFonts w:ascii="Times New Roman" w:hAnsi="Times New Roman" w:cs="Times New Roman"/>
          <w:b/>
        </w:rPr>
      </w:pPr>
      <w:r>
        <w:rPr>
          <w:rFonts w:ascii="Times New Roman" w:hAnsi="Times New Roman" w:cs="Times New Roman"/>
          <w:b/>
        </w:rPr>
        <w:t>Part 1</w:t>
      </w:r>
      <w:r w:rsidR="006F46F4">
        <w:rPr>
          <w:rFonts w:ascii="Times New Roman" w:hAnsi="Times New Roman" w:cs="Times New Roman"/>
          <w:b/>
        </w:rPr>
        <w:t>—</w:t>
      </w:r>
      <w:r>
        <w:rPr>
          <w:rFonts w:ascii="Times New Roman" w:hAnsi="Times New Roman" w:cs="Times New Roman"/>
          <w:b/>
        </w:rPr>
        <w:t>Preliminary</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420785A9" w:rsidR="004C58B9" w:rsidRPr="005654C8" w:rsidRDefault="004C58B9" w:rsidP="004C58B9">
      <w:pPr>
        <w:rPr>
          <w:rFonts w:ascii="Times New Roman" w:hAnsi="Times New Roman" w:cs="Times New Roman"/>
          <w:iCs/>
        </w:rPr>
      </w:pPr>
      <w:r>
        <w:rPr>
          <w:rFonts w:ascii="Times New Roman" w:hAnsi="Times New Roman" w:cs="Times New Roman"/>
        </w:rPr>
        <w:t xml:space="preserve">This section provides for the </w:t>
      </w:r>
      <w:r w:rsidR="00936E0F">
        <w:rPr>
          <w:rFonts w:ascii="Times New Roman" w:hAnsi="Times New Roman" w:cs="Times New Roman"/>
        </w:rPr>
        <w:t>Marketing Plan</w:t>
      </w:r>
      <w:r w:rsidR="00936E0F" w:rsidRPr="00F236AB">
        <w:rPr>
          <w:rFonts w:ascii="Times New Roman" w:hAnsi="Times New Roman" w:cs="Times New Roman"/>
        </w:rPr>
        <w:t xml:space="preserve"> </w:t>
      </w:r>
      <w:r w:rsidRPr="00F236AB">
        <w:rPr>
          <w:rFonts w:ascii="Times New Roman" w:hAnsi="Times New Roman" w:cs="Times New Roman"/>
        </w:rPr>
        <w:t xml:space="preserve">to be cited as the </w:t>
      </w:r>
      <w:r w:rsidR="000541F7" w:rsidRPr="00F236AB">
        <w:rPr>
          <w:rFonts w:ascii="Times New Roman" w:hAnsi="Times New Roman" w:cs="Times New Roman"/>
          <w:i/>
        </w:rPr>
        <w:t>Radiocommunications Spectrum Marketing Plan (26 GHz Band) 2020</w:t>
      </w:r>
      <w:r w:rsidR="005654C8">
        <w:rPr>
          <w:rFonts w:ascii="Times New Roman" w:hAnsi="Times New Roman" w:cs="Times New Roman"/>
          <w:iCs/>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359F8D72" w:rsidR="004C58B9" w:rsidRDefault="004C58B9" w:rsidP="004C58B9">
      <w:pPr>
        <w:rPr>
          <w:rFonts w:ascii="Times New Roman" w:hAnsi="Times New Roman" w:cs="Times New Roman"/>
        </w:rPr>
      </w:pPr>
      <w:r>
        <w:rPr>
          <w:rFonts w:ascii="Times New Roman" w:hAnsi="Times New Roman" w:cs="Times New Roman"/>
        </w:rPr>
        <w:t xml:space="preserve">This section provides for the </w:t>
      </w:r>
      <w:r w:rsidR="00CB42E9">
        <w:rPr>
          <w:rFonts w:ascii="Times New Roman" w:hAnsi="Times New Roman" w:cs="Times New Roman"/>
        </w:rPr>
        <w:t xml:space="preserve">Marketing Plan </w:t>
      </w:r>
      <w:r>
        <w:rPr>
          <w:rFonts w:ascii="Times New Roman" w:hAnsi="Times New Roman" w:cs="Times New Roman"/>
        </w:rPr>
        <w:t xml:space="preserve">to commence at the start of the day after the day it is registered on the Federal Register of Legislation.  </w:t>
      </w:r>
    </w:p>
    <w:p w14:paraId="2E195494" w14:textId="77777777"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9"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5A5F49A9"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w:t>
      </w:r>
      <w:r w:rsidR="00CB42E9">
        <w:rPr>
          <w:rFonts w:ascii="Times New Roman" w:hAnsi="Times New Roman" w:cs="Times New Roman"/>
        </w:rPr>
        <w:t>Marketing Plan</w:t>
      </w:r>
      <w:r>
        <w:rPr>
          <w:rFonts w:ascii="Times New Roman" w:hAnsi="Times New Roman" w:cs="Times New Roman"/>
        </w:rPr>
        <w:t xml:space="preserve">, namely </w:t>
      </w:r>
      <w:r w:rsidR="000541F7">
        <w:rPr>
          <w:rFonts w:ascii="Times New Roman" w:hAnsi="Times New Roman" w:cs="Times New Roman"/>
        </w:rPr>
        <w:t>section 39A</w:t>
      </w:r>
      <w:r>
        <w:rPr>
          <w:rFonts w:ascii="Times New Roman" w:hAnsi="Times New Roman" w:cs="Times New Roman"/>
        </w:rPr>
        <w:t xml:space="preserve"> of the </w:t>
      </w:r>
      <w:r w:rsidR="000541F7">
        <w:rPr>
          <w:rFonts w:ascii="Times New Roman" w:hAnsi="Times New Roman" w:cs="Times New Roman"/>
          <w:i/>
          <w:iCs/>
        </w:rPr>
        <w:t>Radiocommunications Act 1992</w:t>
      </w:r>
      <w:r>
        <w:rPr>
          <w:rFonts w:ascii="Times New Roman" w:hAnsi="Times New Roman" w:cs="Times New Roman"/>
        </w:rPr>
        <w:t>.</w:t>
      </w:r>
    </w:p>
    <w:p w14:paraId="36B25F35" w14:textId="6C505906" w:rsidR="004C58B9" w:rsidRDefault="004C58B9" w:rsidP="004C58B9">
      <w:pPr>
        <w:rPr>
          <w:rFonts w:ascii="Times New Roman" w:hAnsi="Times New Roman" w:cs="Times New Roman"/>
          <w:b/>
        </w:rPr>
      </w:pPr>
      <w:r>
        <w:rPr>
          <w:rFonts w:ascii="Times New Roman" w:hAnsi="Times New Roman" w:cs="Times New Roman"/>
          <w:b/>
        </w:rPr>
        <w:t xml:space="preserve">Section </w:t>
      </w:r>
      <w:r w:rsidR="005F5182">
        <w:rPr>
          <w:rFonts w:ascii="Times New Roman" w:hAnsi="Times New Roman" w:cs="Times New Roman"/>
          <w:b/>
        </w:rPr>
        <w:t>4</w:t>
      </w:r>
      <w:r w:rsidR="005F5182">
        <w:rPr>
          <w:rFonts w:ascii="Times New Roman" w:hAnsi="Times New Roman" w:cs="Times New Roman"/>
          <w:b/>
        </w:rPr>
        <w:tab/>
        <w:t>Purpose</w:t>
      </w:r>
      <w:r w:rsidR="00B07626">
        <w:rPr>
          <w:rFonts w:ascii="Times New Roman" w:hAnsi="Times New Roman" w:cs="Times New Roman"/>
          <w:b/>
        </w:rPr>
        <w:t xml:space="preserve"> of the inst</w:t>
      </w:r>
      <w:r w:rsidR="00457F46">
        <w:rPr>
          <w:rFonts w:ascii="Times New Roman" w:hAnsi="Times New Roman" w:cs="Times New Roman"/>
          <w:b/>
        </w:rPr>
        <w:t>r</w:t>
      </w:r>
      <w:r w:rsidR="00B07626">
        <w:rPr>
          <w:rFonts w:ascii="Times New Roman" w:hAnsi="Times New Roman" w:cs="Times New Roman"/>
          <w:b/>
        </w:rPr>
        <w:t>ument</w:t>
      </w:r>
    </w:p>
    <w:p w14:paraId="73FB4267" w14:textId="38DDBEB6" w:rsidR="004C58B9" w:rsidRPr="0096768E" w:rsidRDefault="004C58B9" w:rsidP="004C58B9">
      <w:pPr>
        <w:rPr>
          <w:rFonts w:ascii="Times New Roman" w:hAnsi="Times New Roman" w:cs="Times New Roman"/>
        </w:rPr>
      </w:pPr>
      <w:r>
        <w:rPr>
          <w:rFonts w:ascii="Times New Roman" w:hAnsi="Times New Roman" w:cs="Times New Roman"/>
        </w:rPr>
        <w:t xml:space="preserve">This section </w:t>
      </w:r>
      <w:r w:rsidR="005F5182">
        <w:rPr>
          <w:rFonts w:ascii="Times New Roman" w:hAnsi="Times New Roman" w:cs="Times New Roman"/>
        </w:rPr>
        <w:t xml:space="preserve">lists the main matters described by the Marketing Plan. For a more complete understanding of allocation procedures, the Marketing Plan should be read in </w:t>
      </w:r>
      <w:r w:rsidR="005F5182" w:rsidRPr="00F236AB">
        <w:rPr>
          <w:rFonts w:ascii="Times New Roman" w:hAnsi="Times New Roman" w:cs="Times New Roman"/>
        </w:rPr>
        <w:t xml:space="preserve">conjunction with the </w:t>
      </w:r>
      <w:r w:rsidR="006B1B93">
        <w:rPr>
          <w:rFonts w:ascii="Times New Roman" w:hAnsi="Times New Roman" w:cs="Times New Roman"/>
        </w:rPr>
        <w:t xml:space="preserve">Allocation </w:t>
      </w:r>
      <w:r w:rsidR="005F5182" w:rsidDel="006B1B93">
        <w:rPr>
          <w:rFonts w:ascii="Times New Roman" w:hAnsi="Times New Roman" w:cs="Times New Roman"/>
        </w:rPr>
        <w:t>Determination</w:t>
      </w:r>
      <w:r w:rsidR="0096768E">
        <w:rPr>
          <w:rFonts w:ascii="Times New Roman" w:hAnsi="Times New Roman" w:cs="Times New Roman"/>
        </w:rPr>
        <w:t>.</w:t>
      </w:r>
    </w:p>
    <w:p w14:paraId="092F5492" w14:textId="7CAF0B13" w:rsidR="004C58B9" w:rsidRDefault="004C58B9" w:rsidP="004C58B9">
      <w:pPr>
        <w:rPr>
          <w:rFonts w:ascii="Times New Roman" w:hAnsi="Times New Roman" w:cs="Times New Roman"/>
          <w:b/>
        </w:rPr>
      </w:pPr>
      <w:r>
        <w:rPr>
          <w:rFonts w:ascii="Times New Roman" w:hAnsi="Times New Roman" w:cs="Times New Roman"/>
          <w:b/>
        </w:rPr>
        <w:t xml:space="preserve">Section </w:t>
      </w:r>
      <w:r w:rsidR="005654C8">
        <w:rPr>
          <w:rFonts w:ascii="Times New Roman" w:hAnsi="Times New Roman" w:cs="Times New Roman"/>
          <w:b/>
        </w:rPr>
        <w:t>5</w:t>
      </w:r>
      <w:r>
        <w:rPr>
          <w:rFonts w:ascii="Times New Roman" w:hAnsi="Times New Roman" w:cs="Times New Roman"/>
          <w:b/>
        </w:rPr>
        <w:tab/>
        <w:t>Definitions</w:t>
      </w:r>
    </w:p>
    <w:p w14:paraId="77CC0EEC" w14:textId="08705565" w:rsidR="004C58B9" w:rsidRDefault="004C58B9" w:rsidP="004C58B9">
      <w:pPr>
        <w:rPr>
          <w:rFonts w:ascii="Times New Roman" w:hAnsi="Times New Roman" w:cs="Times New Roman"/>
        </w:rPr>
      </w:pPr>
      <w:r>
        <w:rPr>
          <w:rFonts w:ascii="Times New Roman" w:hAnsi="Times New Roman" w:cs="Times New Roman"/>
        </w:rPr>
        <w:t xml:space="preserve">This section defines a number of key terms used throughout the </w:t>
      </w:r>
      <w:r w:rsidR="0056010D">
        <w:rPr>
          <w:rFonts w:ascii="Times New Roman" w:hAnsi="Times New Roman" w:cs="Times New Roman"/>
        </w:rPr>
        <w:t xml:space="preserve">Marketing </w:t>
      </w:r>
      <w:proofErr w:type="gramStart"/>
      <w:r w:rsidR="0056010D">
        <w:rPr>
          <w:rFonts w:ascii="Times New Roman" w:hAnsi="Times New Roman" w:cs="Times New Roman"/>
        </w:rPr>
        <w:t>Plan, and</w:t>
      </w:r>
      <w:proofErr w:type="gramEnd"/>
      <w:r w:rsidR="0056010D">
        <w:rPr>
          <w:rFonts w:ascii="Times New Roman" w:hAnsi="Times New Roman" w:cs="Times New Roman"/>
        </w:rPr>
        <w:t xml:space="preserve"> indicates where other key terms are defined. </w:t>
      </w:r>
      <w:r>
        <w:rPr>
          <w:rFonts w:ascii="Times New Roman" w:hAnsi="Times New Roman" w:cs="Times New Roman"/>
        </w:rPr>
        <w:t xml:space="preserve"> </w:t>
      </w:r>
    </w:p>
    <w:p w14:paraId="6A65622D" w14:textId="634DEE4E" w:rsidR="004C58B9" w:rsidRDefault="004C58B9" w:rsidP="004C58B9">
      <w:pPr>
        <w:rPr>
          <w:rFonts w:ascii="Times New Roman" w:hAnsi="Times New Roman" w:cs="Times New Roman"/>
        </w:rPr>
      </w:pPr>
      <w:r>
        <w:rPr>
          <w:rFonts w:ascii="Times New Roman" w:hAnsi="Times New Roman" w:cs="Times New Roman"/>
        </w:rPr>
        <w:t xml:space="preserve">A number of other expressions used in the </w:t>
      </w:r>
      <w:r w:rsidR="0056010D">
        <w:rPr>
          <w:rFonts w:ascii="Times New Roman" w:hAnsi="Times New Roman" w:cs="Times New Roman"/>
        </w:rPr>
        <w:t>Marketing Plan</w:t>
      </w:r>
      <w:r>
        <w:rPr>
          <w:rFonts w:ascii="Times New Roman" w:hAnsi="Times New Roman" w:cs="Times New Roman"/>
        </w:rPr>
        <w:t xml:space="preserve"> are defined in the Act.</w:t>
      </w:r>
    </w:p>
    <w:p w14:paraId="4E744EA9" w14:textId="3999FD37" w:rsidR="004C58B9" w:rsidRDefault="004C58B9" w:rsidP="004C58B9">
      <w:pPr>
        <w:rPr>
          <w:rFonts w:ascii="Times New Roman" w:hAnsi="Times New Roman" w:cs="Times New Roman"/>
          <w:b/>
        </w:rPr>
      </w:pPr>
      <w:r>
        <w:rPr>
          <w:rFonts w:ascii="Times New Roman" w:hAnsi="Times New Roman" w:cs="Times New Roman"/>
          <w:b/>
        </w:rPr>
        <w:t xml:space="preserve">Section </w:t>
      </w:r>
      <w:r w:rsidR="004A559E">
        <w:rPr>
          <w:rFonts w:ascii="Times New Roman" w:hAnsi="Times New Roman" w:cs="Times New Roman"/>
          <w:b/>
        </w:rPr>
        <w:t>6</w:t>
      </w:r>
      <w:r>
        <w:rPr>
          <w:rFonts w:ascii="Times New Roman" w:hAnsi="Times New Roman" w:cs="Times New Roman"/>
          <w:b/>
        </w:rPr>
        <w:tab/>
        <w:t>References to other instruments</w:t>
      </w:r>
    </w:p>
    <w:p w14:paraId="5EFA7BF7" w14:textId="25955A6F" w:rsidR="004C58B9" w:rsidRDefault="004C58B9" w:rsidP="004C58B9">
      <w:pPr>
        <w:spacing w:after="40"/>
        <w:rPr>
          <w:rFonts w:ascii="Times New Roman" w:hAnsi="Times New Roman" w:cs="Times New Roman"/>
        </w:rPr>
      </w:pPr>
      <w:r>
        <w:rPr>
          <w:rFonts w:ascii="Times New Roman" w:hAnsi="Times New Roman" w:cs="Times New Roman"/>
        </w:rPr>
        <w:t xml:space="preserve">This section provides that in the </w:t>
      </w:r>
      <w:r w:rsidR="0006547B">
        <w:rPr>
          <w:rFonts w:ascii="Times New Roman" w:hAnsi="Times New Roman" w:cs="Times New Roman"/>
        </w:rPr>
        <w:t>Marketing Plan</w:t>
      </w:r>
      <w:r>
        <w:rPr>
          <w:rFonts w:ascii="Times New Roman" w:hAnsi="Times New Roman" w:cs="Times New Roman"/>
        </w:rPr>
        <w:t>, unless the contrary intention appears:</w:t>
      </w:r>
    </w:p>
    <w:p w14:paraId="4A729303" w14:textId="6DBB0B65"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 xml:space="preserve">a reference to </w:t>
      </w:r>
      <w:r w:rsidR="0006547B">
        <w:rPr>
          <w:rFonts w:ascii="Times New Roman" w:hAnsi="Times New Roman" w:cs="Times New Roman"/>
        </w:rPr>
        <w:t>another</w:t>
      </w:r>
      <w:r>
        <w:rPr>
          <w:rFonts w:ascii="Times New Roman" w:hAnsi="Times New Roman" w:cs="Times New Roman"/>
        </w:rPr>
        <w:t xml:space="preserve"> legislative instrument is a reference to that other legislative instrument as in force from time to time; and</w:t>
      </w:r>
    </w:p>
    <w:p w14:paraId="287EC397" w14:textId="217DD7E0"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a reference to any other kind of instrument</w:t>
      </w:r>
      <w:r w:rsidR="00B07626">
        <w:rPr>
          <w:rFonts w:ascii="Times New Roman" w:hAnsi="Times New Roman" w:cs="Times New Roman"/>
        </w:rPr>
        <w:t xml:space="preserve"> or writing</w:t>
      </w:r>
      <w:r>
        <w:rPr>
          <w:rFonts w:ascii="Times New Roman" w:hAnsi="Times New Roman" w:cs="Times New Roman"/>
        </w:rPr>
        <w:t xml:space="preserve"> is a reference to that other instrument</w:t>
      </w:r>
      <w:r w:rsidR="004A559E">
        <w:rPr>
          <w:rFonts w:ascii="Times New Roman" w:hAnsi="Times New Roman" w:cs="Times New Roman"/>
        </w:rPr>
        <w:t xml:space="preserve"> </w:t>
      </w:r>
      <w:r w:rsidR="00B07626">
        <w:rPr>
          <w:rFonts w:ascii="Times New Roman" w:hAnsi="Times New Roman" w:cs="Times New Roman"/>
        </w:rPr>
        <w:t xml:space="preserve">or writing </w:t>
      </w:r>
      <w:r w:rsidR="004A559E">
        <w:rPr>
          <w:rFonts w:ascii="Times New Roman" w:hAnsi="Times New Roman" w:cs="Times New Roman"/>
        </w:rPr>
        <w:t>as in force</w:t>
      </w:r>
      <w:r w:rsidR="00B07626">
        <w:rPr>
          <w:rFonts w:ascii="Times New Roman" w:hAnsi="Times New Roman" w:cs="Times New Roman"/>
        </w:rPr>
        <w:t xml:space="preserve"> or existing</w:t>
      </w:r>
      <w:r w:rsidR="004A559E">
        <w:rPr>
          <w:rFonts w:ascii="Times New Roman" w:hAnsi="Times New Roman" w:cs="Times New Roman"/>
        </w:rPr>
        <w:t xml:space="preserve"> from time to time.</w:t>
      </w:r>
    </w:p>
    <w:p w14:paraId="6AD515E5" w14:textId="3BDD49F5" w:rsidR="004210DA" w:rsidRDefault="004210DA" w:rsidP="004210DA">
      <w:pPr>
        <w:rPr>
          <w:rFonts w:ascii="Times New Roman" w:hAnsi="Times New Roman" w:cs="Times New Roman"/>
        </w:rPr>
      </w:pPr>
      <w:r>
        <w:rPr>
          <w:rFonts w:ascii="Times New Roman" w:hAnsi="Times New Roman" w:cs="Times New Roman"/>
          <w:b/>
          <w:bCs/>
        </w:rPr>
        <w:t>Section 7</w:t>
      </w:r>
      <w:r>
        <w:rPr>
          <w:rFonts w:ascii="Times New Roman" w:hAnsi="Times New Roman" w:cs="Times New Roman"/>
          <w:b/>
          <w:bCs/>
        </w:rPr>
        <w:tab/>
        <w:t>References to frequency ranges</w:t>
      </w:r>
    </w:p>
    <w:p w14:paraId="336B1505" w14:textId="4157E5B4" w:rsidR="004210DA" w:rsidRPr="004210DA" w:rsidRDefault="004210DA" w:rsidP="004210DA">
      <w:pPr>
        <w:rPr>
          <w:rFonts w:ascii="Times New Roman" w:hAnsi="Times New Roman" w:cs="Times New Roman"/>
        </w:rPr>
      </w:pPr>
      <w:r>
        <w:rPr>
          <w:rFonts w:ascii="Times New Roman" w:hAnsi="Times New Roman" w:cs="Times New Roman"/>
        </w:rPr>
        <w:t xml:space="preserve">This section specifies that in the Marketing Plan, </w:t>
      </w:r>
      <w:r w:rsidR="0006547B" w:rsidRPr="0006547B">
        <w:rPr>
          <w:rFonts w:ascii="Times New Roman" w:hAnsi="Times New Roman" w:cs="Times New Roman"/>
        </w:rPr>
        <w:t>unless otherwise specified, a reference to a part of the spectrum, a frequency band or a frequency range includes all frequencies that are greater than but not including the lower frequency, up to and including the higher frequency.</w:t>
      </w:r>
    </w:p>
    <w:p w14:paraId="2222481B" w14:textId="339DC774" w:rsidR="004C58B9" w:rsidRDefault="004C58B9" w:rsidP="002D4348">
      <w:pPr>
        <w:keepNext/>
        <w:keepLines/>
        <w:spacing w:line="257" w:lineRule="auto"/>
        <w:rPr>
          <w:rFonts w:ascii="Times New Roman" w:hAnsi="Times New Roman" w:cs="Times New Roman"/>
          <w:b/>
        </w:rPr>
      </w:pPr>
      <w:r>
        <w:rPr>
          <w:rFonts w:ascii="Times New Roman" w:hAnsi="Times New Roman" w:cs="Times New Roman"/>
          <w:b/>
        </w:rPr>
        <w:t>Part 2</w:t>
      </w:r>
      <w:r w:rsidR="006F46F4">
        <w:rPr>
          <w:rFonts w:ascii="Times New Roman" w:hAnsi="Times New Roman" w:cs="Times New Roman"/>
          <w:b/>
        </w:rPr>
        <w:t>—Allocation of spectrum licences</w:t>
      </w:r>
    </w:p>
    <w:p w14:paraId="1834FBE4" w14:textId="5C008283" w:rsidR="004C58B9" w:rsidRDefault="004C58B9" w:rsidP="002D4348">
      <w:pPr>
        <w:keepNext/>
        <w:keepLines/>
        <w:spacing w:line="257" w:lineRule="auto"/>
        <w:rPr>
          <w:rFonts w:ascii="Times New Roman" w:hAnsi="Times New Roman" w:cs="Times New Roman"/>
          <w:b/>
        </w:rPr>
      </w:pPr>
      <w:r>
        <w:rPr>
          <w:rFonts w:ascii="Times New Roman" w:hAnsi="Times New Roman" w:cs="Times New Roman"/>
          <w:b/>
        </w:rPr>
        <w:t>Section 8</w:t>
      </w:r>
      <w:r>
        <w:rPr>
          <w:rFonts w:ascii="Times New Roman" w:hAnsi="Times New Roman" w:cs="Times New Roman"/>
          <w:b/>
        </w:rPr>
        <w:tab/>
      </w:r>
      <w:r w:rsidR="006F46F4">
        <w:rPr>
          <w:rFonts w:ascii="Times New Roman" w:hAnsi="Times New Roman" w:cs="Times New Roman"/>
          <w:b/>
        </w:rPr>
        <w:t>Simplified outline of this Part</w:t>
      </w:r>
    </w:p>
    <w:p w14:paraId="43B029A0" w14:textId="1A8CB180" w:rsidR="004C58B9" w:rsidRDefault="007C03BA" w:rsidP="004C58B9">
      <w:pPr>
        <w:rPr>
          <w:rFonts w:ascii="Times New Roman" w:hAnsi="Times New Roman" w:cs="Times New Roman"/>
        </w:rPr>
      </w:pPr>
      <w:r>
        <w:rPr>
          <w:rFonts w:ascii="Times New Roman" w:hAnsi="Times New Roman" w:cs="Times New Roman"/>
        </w:rPr>
        <w:t>This section sets out a simplified outline of Part 2.</w:t>
      </w:r>
    </w:p>
    <w:p w14:paraId="5839CA1F" w14:textId="7C5429D9" w:rsidR="004C58B9" w:rsidRDefault="004C58B9" w:rsidP="005A3BE3">
      <w:pPr>
        <w:keepNext/>
        <w:spacing w:line="257" w:lineRule="auto"/>
        <w:rPr>
          <w:rFonts w:ascii="Times New Roman" w:hAnsi="Times New Roman" w:cs="Times New Roman"/>
          <w:b/>
        </w:rPr>
      </w:pPr>
      <w:r>
        <w:rPr>
          <w:rFonts w:ascii="Times New Roman" w:hAnsi="Times New Roman" w:cs="Times New Roman"/>
          <w:b/>
        </w:rPr>
        <w:lastRenderedPageBreak/>
        <w:t>Section 9</w:t>
      </w:r>
      <w:r>
        <w:rPr>
          <w:rFonts w:ascii="Times New Roman" w:hAnsi="Times New Roman" w:cs="Times New Roman"/>
          <w:b/>
        </w:rPr>
        <w:tab/>
      </w:r>
      <w:r w:rsidR="006F46F4">
        <w:rPr>
          <w:rFonts w:ascii="Times New Roman" w:hAnsi="Times New Roman" w:cs="Times New Roman"/>
          <w:b/>
        </w:rPr>
        <w:t>Parts of the spectrum</w:t>
      </w:r>
    </w:p>
    <w:p w14:paraId="30FADAC5" w14:textId="20B41002" w:rsidR="004C58B9" w:rsidRPr="006F46F4" w:rsidRDefault="007C03BA" w:rsidP="004C58B9">
      <w:pPr>
        <w:rPr>
          <w:rFonts w:ascii="Times New Roman" w:hAnsi="Times New Roman" w:cs="Times New Roman"/>
        </w:rPr>
      </w:pPr>
      <w:r>
        <w:rPr>
          <w:rFonts w:ascii="Times New Roman" w:hAnsi="Times New Roman" w:cs="Times New Roman"/>
        </w:rPr>
        <w:t>This section provides that spectrum licences in the 26 GHz band will be allocated and issued in the manner described in the Marketing Plan and the Allocation Determination.</w:t>
      </w:r>
    </w:p>
    <w:p w14:paraId="22A78EDC" w14:textId="34433D56" w:rsidR="004C58B9" w:rsidRDefault="004C58B9" w:rsidP="004C58B9">
      <w:pPr>
        <w:rPr>
          <w:rFonts w:ascii="Times New Roman" w:hAnsi="Times New Roman" w:cs="Times New Roman"/>
          <w:b/>
        </w:rPr>
      </w:pPr>
      <w:r>
        <w:rPr>
          <w:rFonts w:ascii="Times New Roman" w:hAnsi="Times New Roman" w:cs="Times New Roman"/>
          <w:b/>
        </w:rPr>
        <w:t>Section 10</w:t>
      </w:r>
      <w:r>
        <w:rPr>
          <w:rFonts w:ascii="Times New Roman" w:hAnsi="Times New Roman" w:cs="Times New Roman"/>
          <w:b/>
        </w:rPr>
        <w:tab/>
      </w:r>
      <w:r w:rsidR="006F46F4">
        <w:rPr>
          <w:rFonts w:ascii="Times New Roman" w:hAnsi="Times New Roman" w:cs="Times New Roman"/>
          <w:b/>
        </w:rPr>
        <w:t>How licences will be allocated</w:t>
      </w:r>
    </w:p>
    <w:p w14:paraId="112058DA" w14:textId="16533949" w:rsidR="004C58B9" w:rsidRDefault="0005710C" w:rsidP="004C58B9">
      <w:pPr>
        <w:rPr>
          <w:rFonts w:ascii="Times New Roman" w:hAnsi="Times New Roman" w:cs="Times New Roman"/>
        </w:rPr>
      </w:pPr>
      <w:r>
        <w:rPr>
          <w:rFonts w:ascii="Times New Roman" w:hAnsi="Times New Roman" w:cs="Times New Roman"/>
        </w:rPr>
        <w:t>This section provides that spectrum licences in the 26 GHz band will be allocated by auction in accordance with procedures set out in the Allocation Determination.</w:t>
      </w:r>
    </w:p>
    <w:p w14:paraId="1899B4C8" w14:textId="1C5FBFDF" w:rsidR="006F46F4" w:rsidRDefault="006F46F4" w:rsidP="006F46F4">
      <w:pPr>
        <w:rPr>
          <w:rFonts w:ascii="Times New Roman" w:hAnsi="Times New Roman" w:cs="Times New Roman"/>
          <w:b/>
        </w:rPr>
      </w:pPr>
      <w:r w:rsidRPr="00372ECA">
        <w:rPr>
          <w:rFonts w:ascii="Times New Roman" w:hAnsi="Times New Roman" w:cs="Times New Roman"/>
          <w:b/>
        </w:rPr>
        <w:t>Section 11</w:t>
      </w:r>
      <w:r w:rsidRPr="00372ECA">
        <w:rPr>
          <w:rFonts w:ascii="Times New Roman" w:hAnsi="Times New Roman" w:cs="Times New Roman"/>
          <w:b/>
        </w:rPr>
        <w:tab/>
        <w:t>The auction</w:t>
      </w:r>
    </w:p>
    <w:p w14:paraId="124D5407" w14:textId="1A94C382" w:rsidR="00521C4E" w:rsidRDefault="0005710C" w:rsidP="004C58B9">
      <w:pPr>
        <w:rPr>
          <w:rFonts w:ascii="Times New Roman" w:hAnsi="Times New Roman" w:cs="Times New Roman"/>
        </w:rPr>
      </w:pPr>
      <w:r>
        <w:rPr>
          <w:rFonts w:ascii="Times New Roman" w:hAnsi="Times New Roman" w:cs="Times New Roman"/>
        </w:rPr>
        <w:t xml:space="preserve">This section describes how the 26 GHz band has been divided by the ACMA into smaller blocks, referred to as lots, for auction. </w:t>
      </w:r>
      <w:r w:rsidR="00443929">
        <w:rPr>
          <w:rFonts w:ascii="Times New Roman" w:hAnsi="Times New Roman" w:cs="Times New Roman"/>
        </w:rPr>
        <w:t xml:space="preserve">Each lot is defined by a frequency range (bandwidth) and a specific geographic area (region). </w:t>
      </w:r>
    </w:p>
    <w:p w14:paraId="2440EDBF" w14:textId="11C95241" w:rsidR="00C55690" w:rsidRDefault="00C55690" w:rsidP="003F06A5">
      <w:pPr>
        <w:rPr>
          <w:rFonts w:ascii="Times New Roman" w:hAnsi="Times New Roman" w:cs="Times New Roman"/>
        </w:rPr>
      </w:pPr>
      <w:r>
        <w:rPr>
          <w:rFonts w:ascii="Times New Roman" w:hAnsi="Times New Roman" w:cs="Times New Roman"/>
        </w:rPr>
        <w:t xml:space="preserve">The Minister declared the </w:t>
      </w:r>
      <w:r w:rsidR="00D11491">
        <w:rPr>
          <w:rFonts w:ascii="Times New Roman" w:hAnsi="Times New Roman" w:cs="Times New Roman"/>
        </w:rPr>
        <w:t xml:space="preserve">26 GHz band to be re-allocated in relation to 29 named areas. </w:t>
      </w:r>
      <w:r w:rsidR="007A7757">
        <w:rPr>
          <w:rFonts w:ascii="Times New Roman" w:hAnsi="Times New Roman" w:cs="Times New Roman"/>
        </w:rPr>
        <w:t>The Marketing Plan treats each area as its own region, except for the two areas of Bunbury and Perth, which are combined into</w:t>
      </w:r>
      <w:r w:rsidR="00527A73">
        <w:rPr>
          <w:rFonts w:ascii="Times New Roman" w:hAnsi="Times New Roman" w:cs="Times New Roman"/>
        </w:rPr>
        <w:t xml:space="preserve"> a ‘Greater Perth</w:t>
      </w:r>
      <w:r w:rsidR="007E22EF">
        <w:rPr>
          <w:rFonts w:ascii="Times New Roman" w:hAnsi="Times New Roman" w:cs="Times New Roman"/>
        </w:rPr>
        <w:t xml:space="preserve"> Upper</w:t>
      </w:r>
      <w:r w:rsidR="00527A73">
        <w:rPr>
          <w:rFonts w:ascii="Times New Roman" w:hAnsi="Times New Roman" w:cs="Times New Roman"/>
        </w:rPr>
        <w:t xml:space="preserve">’ </w:t>
      </w:r>
      <w:r w:rsidR="007E22EF">
        <w:rPr>
          <w:rFonts w:ascii="Times New Roman" w:hAnsi="Times New Roman" w:cs="Times New Roman"/>
        </w:rPr>
        <w:t>region.</w:t>
      </w:r>
      <w:r w:rsidR="007543F1">
        <w:rPr>
          <w:rFonts w:ascii="Times New Roman" w:hAnsi="Times New Roman" w:cs="Times New Roman"/>
        </w:rPr>
        <w:t xml:space="preserve"> The named area of Bunbury/Perth is the </w:t>
      </w:r>
      <w:r w:rsidR="0096319B">
        <w:rPr>
          <w:rFonts w:ascii="Times New Roman" w:hAnsi="Times New Roman" w:cs="Times New Roman"/>
        </w:rPr>
        <w:t>‘</w:t>
      </w:r>
      <w:r w:rsidR="007543F1">
        <w:rPr>
          <w:rFonts w:ascii="Times New Roman" w:hAnsi="Times New Roman" w:cs="Times New Roman"/>
        </w:rPr>
        <w:t>Greater Perth Lower</w:t>
      </w:r>
      <w:r w:rsidR="0096319B">
        <w:rPr>
          <w:rFonts w:ascii="Times New Roman" w:hAnsi="Times New Roman" w:cs="Times New Roman"/>
        </w:rPr>
        <w:t>’</w:t>
      </w:r>
      <w:r w:rsidR="007543F1">
        <w:rPr>
          <w:rFonts w:ascii="Times New Roman" w:hAnsi="Times New Roman" w:cs="Times New Roman"/>
        </w:rPr>
        <w:t xml:space="preserve"> region.</w:t>
      </w:r>
    </w:p>
    <w:p w14:paraId="0AD78AD6" w14:textId="13947CDA" w:rsidR="008E4A39" w:rsidRDefault="008E4A39" w:rsidP="003F06A5">
      <w:pPr>
        <w:rPr>
          <w:rFonts w:ascii="Times New Roman" w:hAnsi="Times New Roman" w:cs="Times New Roman"/>
        </w:rPr>
      </w:pPr>
      <w:r>
        <w:rPr>
          <w:rFonts w:ascii="Times New Roman" w:hAnsi="Times New Roman" w:cs="Times New Roman"/>
        </w:rPr>
        <w:t xml:space="preserve">The 26 GHz band has been divided into products as described </w:t>
      </w:r>
      <w:r w:rsidRPr="005A3BE3">
        <w:rPr>
          <w:rFonts w:ascii="Times New Roman" w:hAnsi="Times New Roman" w:cs="Times New Roman"/>
        </w:rPr>
        <w:t>in Schedule 2 to</w:t>
      </w:r>
      <w:r>
        <w:rPr>
          <w:rFonts w:ascii="Times New Roman" w:hAnsi="Times New Roman" w:cs="Times New Roman"/>
        </w:rPr>
        <w:t xml:space="preserve"> the Marketing Plan. There are 30 products in total. </w:t>
      </w:r>
      <w:r w:rsidR="00421481">
        <w:rPr>
          <w:rFonts w:ascii="Times New Roman" w:hAnsi="Times New Roman" w:cs="Times New Roman"/>
        </w:rPr>
        <w:t xml:space="preserve">Each product is described by </w:t>
      </w:r>
      <w:r w:rsidR="004D19AA">
        <w:rPr>
          <w:rFonts w:ascii="Times New Roman" w:hAnsi="Times New Roman" w:cs="Times New Roman"/>
        </w:rPr>
        <w:t xml:space="preserve">its </w:t>
      </w:r>
      <w:r w:rsidR="00421481">
        <w:rPr>
          <w:rFonts w:ascii="Times New Roman" w:hAnsi="Times New Roman" w:cs="Times New Roman"/>
        </w:rPr>
        <w:t>region and frequency range</w:t>
      </w:r>
      <w:r w:rsidR="00421481" w:rsidRPr="00EA64CA">
        <w:rPr>
          <w:rFonts w:ascii="Times New Roman" w:hAnsi="Times New Roman" w:cs="Times New Roman"/>
        </w:rPr>
        <w:t>.</w:t>
      </w:r>
      <w:r w:rsidR="00CC5F9A">
        <w:rPr>
          <w:rFonts w:ascii="Times New Roman" w:hAnsi="Times New Roman" w:cs="Times New Roman"/>
        </w:rPr>
        <w:t xml:space="preserve"> </w:t>
      </w:r>
      <w:r w:rsidR="00B53B73">
        <w:rPr>
          <w:rFonts w:ascii="Times New Roman" w:hAnsi="Times New Roman" w:cs="Times New Roman"/>
        </w:rPr>
        <w:t xml:space="preserve">Each product has </w:t>
      </w:r>
      <w:r w:rsidR="005F011B">
        <w:rPr>
          <w:rFonts w:ascii="Times New Roman" w:hAnsi="Times New Roman" w:cs="Times New Roman"/>
        </w:rPr>
        <w:t>a unique region, except:</w:t>
      </w:r>
    </w:p>
    <w:p w14:paraId="5E74B155" w14:textId="29DA5446" w:rsidR="00695528" w:rsidRDefault="00695528" w:rsidP="005F011B">
      <w:pPr>
        <w:pStyle w:val="ListParagraph"/>
        <w:numPr>
          <w:ilvl w:val="0"/>
          <w:numId w:val="37"/>
        </w:numPr>
        <w:rPr>
          <w:rFonts w:ascii="Times New Roman" w:hAnsi="Times New Roman" w:cs="Times New Roman"/>
        </w:rPr>
      </w:pPr>
      <w:r>
        <w:rPr>
          <w:rFonts w:ascii="Times New Roman" w:hAnsi="Times New Roman" w:cs="Times New Roman"/>
        </w:rPr>
        <w:t>Hobart Lower and Hobart Upper</w:t>
      </w:r>
      <w:r w:rsidR="00534465">
        <w:rPr>
          <w:rFonts w:ascii="Times New Roman" w:hAnsi="Times New Roman" w:cs="Times New Roman"/>
        </w:rPr>
        <w:t>, which</w:t>
      </w:r>
      <w:r>
        <w:rPr>
          <w:rFonts w:ascii="Times New Roman" w:hAnsi="Times New Roman" w:cs="Times New Roman"/>
        </w:rPr>
        <w:t xml:space="preserve"> have the same region (Hobart); and</w:t>
      </w:r>
    </w:p>
    <w:p w14:paraId="7415C991" w14:textId="68F2C5BE" w:rsidR="00695528" w:rsidRPr="002D4348" w:rsidRDefault="005F011B" w:rsidP="002D4348">
      <w:pPr>
        <w:pStyle w:val="ListParagraph"/>
        <w:numPr>
          <w:ilvl w:val="0"/>
          <w:numId w:val="37"/>
        </w:numPr>
        <w:rPr>
          <w:rFonts w:ascii="Times New Roman" w:hAnsi="Times New Roman" w:cs="Times New Roman"/>
        </w:rPr>
      </w:pPr>
      <w:r w:rsidRPr="00695528">
        <w:rPr>
          <w:rFonts w:ascii="Times New Roman" w:hAnsi="Times New Roman" w:cs="Times New Roman"/>
        </w:rPr>
        <w:t>Marg</w:t>
      </w:r>
      <w:r w:rsidR="00695528" w:rsidRPr="00695528">
        <w:rPr>
          <w:rFonts w:ascii="Times New Roman" w:hAnsi="Times New Roman" w:cs="Times New Roman"/>
        </w:rPr>
        <w:t>ar</w:t>
      </w:r>
      <w:r w:rsidRPr="00695528">
        <w:rPr>
          <w:rFonts w:ascii="Times New Roman" w:hAnsi="Times New Roman" w:cs="Times New Roman"/>
        </w:rPr>
        <w:t>et River Lower and Mar</w:t>
      </w:r>
      <w:r w:rsidR="00695528" w:rsidRPr="00695528">
        <w:rPr>
          <w:rFonts w:ascii="Times New Roman" w:hAnsi="Times New Roman" w:cs="Times New Roman"/>
        </w:rPr>
        <w:t>garet River Upper</w:t>
      </w:r>
      <w:r w:rsidR="00534465">
        <w:rPr>
          <w:rFonts w:ascii="Times New Roman" w:hAnsi="Times New Roman" w:cs="Times New Roman"/>
        </w:rPr>
        <w:t>, which</w:t>
      </w:r>
      <w:r w:rsidR="00695528" w:rsidRPr="00695528">
        <w:rPr>
          <w:rFonts w:ascii="Times New Roman" w:hAnsi="Times New Roman" w:cs="Times New Roman"/>
        </w:rPr>
        <w:t xml:space="preserve"> have the same region</w:t>
      </w:r>
      <w:r w:rsidR="00695528" w:rsidRPr="000949C5">
        <w:rPr>
          <w:rFonts w:ascii="Times New Roman" w:hAnsi="Times New Roman" w:cs="Times New Roman"/>
        </w:rPr>
        <w:t xml:space="preserve"> (Margaret River)</w:t>
      </w:r>
      <w:r w:rsidR="00695528">
        <w:rPr>
          <w:rFonts w:ascii="Times New Roman" w:hAnsi="Times New Roman" w:cs="Times New Roman"/>
        </w:rPr>
        <w:t>.</w:t>
      </w:r>
    </w:p>
    <w:p w14:paraId="653EFB78" w14:textId="623A6A03" w:rsidR="00CC5F9A" w:rsidRPr="005A3BE3" w:rsidRDefault="00421481" w:rsidP="00CC5F9A">
      <w:pPr>
        <w:rPr>
          <w:rFonts w:ascii="Times New Roman" w:hAnsi="Times New Roman" w:cs="Times New Roman"/>
        </w:rPr>
      </w:pPr>
      <w:r>
        <w:rPr>
          <w:rFonts w:ascii="Times New Roman" w:hAnsi="Times New Roman" w:cs="Times New Roman"/>
        </w:rPr>
        <w:t xml:space="preserve">The number of </w:t>
      </w:r>
      <w:r w:rsidR="0044014C">
        <w:rPr>
          <w:rFonts w:ascii="Times New Roman" w:hAnsi="Times New Roman" w:cs="Times New Roman"/>
        </w:rPr>
        <w:t>lots</w:t>
      </w:r>
      <w:r>
        <w:rPr>
          <w:rFonts w:ascii="Times New Roman" w:hAnsi="Times New Roman" w:cs="Times New Roman"/>
        </w:rPr>
        <w:t xml:space="preserve"> of each product </w:t>
      </w:r>
      <w:r w:rsidR="0044014C">
        <w:rPr>
          <w:rFonts w:ascii="Times New Roman" w:hAnsi="Times New Roman" w:cs="Times New Roman"/>
        </w:rPr>
        <w:t xml:space="preserve">that </w:t>
      </w:r>
      <w:r w:rsidR="00B26F39">
        <w:rPr>
          <w:rFonts w:ascii="Times New Roman" w:hAnsi="Times New Roman" w:cs="Times New Roman"/>
        </w:rPr>
        <w:t>are</w:t>
      </w:r>
      <w:r w:rsidR="0044014C">
        <w:rPr>
          <w:rFonts w:ascii="Times New Roman" w:hAnsi="Times New Roman" w:cs="Times New Roman"/>
        </w:rPr>
        <w:t xml:space="preserve"> available at auction is set out in </w:t>
      </w:r>
      <w:r w:rsidR="0044014C" w:rsidRPr="005A3BE3">
        <w:rPr>
          <w:rFonts w:ascii="Times New Roman" w:hAnsi="Times New Roman" w:cs="Times New Roman"/>
        </w:rPr>
        <w:t>column 5 of Table 1 in Schedule 2 to the Marketing Plan.</w:t>
      </w:r>
      <w:r w:rsidR="00ED29C0" w:rsidRPr="005A3BE3">
        <w:rPr>
          <w:rFonts w:ascii="Times New Roman" w:hAnsi="Times New Roman" w:cs="Times New Roman"/>
        </w:rPr>
        <w:t xml:space="preserve"> Not all products have the same number of lots available.</w:t>
      </w:r>
      <w:r w:rsidR="00CC5F9A" w:rsidRPr="005A3BE3">
        <w:rPr>
          <w:rFonts w:ascii="Times New Roman" w:hAnsi="Times New Roman" w:cs="Times New Roman"/>
        </w:rPr>
        <w:t xml:space="preserve"> In total, there are 360 lots on offer in the 26 GHz band auction.</w:t>
      </w:r>
    </w:p>
    <w:p w14:paraId="500378DC" w14:textId="73654BF2" w:rsidR="006154D7" w:rsidRDefault="0044014C" w:rsidP="004C58B9">
      <w:pPr>
        <w:rPr>
          <w:rFonts w:ascii="Times New Roman" w:hAnsi="Times New Roman" w:cs="Times New Roman"/>
        </w:rPr>
      </w:pPr>
      <w:r w:rsidRPr="005A3BE3">
        <w:rPr>
          <w:rFonts w:ascii="Times New Roman" w:hAnsi="Times New Roman" w:cs="Times New Roman"/>
        </w:rPr>
        <w:t>Products</w:t>
      </w:r>
      <w:r w:rsidR="003F06A5" w:rsidRPr="005A3BE3">
        <w:rPr>
          <w:rFonts w:ascii="Times New Roman" w:hAnsi="Times New Roman" w:cs="Times New Roman"/>
        </w:rPr>
        <w:t xml:space="preserve"> have been divided into three categories for the purpose of the auction</w:t>
      </w:r>
      <w:r w:rsidRPr="005A3BE3">
        <w:rPr>
          <w:rFonts w:ascii="Times New Roman" w:hAnsi="Times New Roman" w:cs="Times New Roman"/>
        </w:rPr>
        <w:t>, as described in Schedule 1 to the Marketing Plan</w:t>
      </w:r>
      <w:r w:rsidR="000949C5" w:rsidRPr="005A3BE3">
        <w:rPr>
          <w:rFonts w:ascii="Times New Roman" w:hAnsi="Times New Roman" w:cs="Times New Roman"/>
        </w:rPr>
        <w:t>,</w:t>
      </w:r>
      <w:r w:rsidR="000949C5">
        <w:rPr>
          <w:rFonts w:ascii="Times New Roman" w:hAnsi="Times New Roman" w:cs="Times New Roman"/>
        </w:rPr>
        <w:t xml:space="preserve"> and summarised in the following table:</w:t>
      </w:r>
    </w:p>
    <w:tbl>
      <w:tblPr>
        <w:tblStyle w:val="ACMAtablestyle"/>
        <w:tblW w:w="5000" w:type="pct"/>
        <w:tblLook w:val="01E0" w:firstRow="1" w:lastRow="1" w:firstColumn="1" w:lastColumn="1" w:noHBand="0" w:noVBand="0"/>
        <w:tblCaption w:val="Table title to go here"/>
        <w:tblDescription w:val="Table description to go here"/>
      </w:tblPr>
      <w:tblGrid>
        <w:gridCol w:w="1083"/>
        <w:gridCol w:w="1431"/>
        <w:gridCol w:w="1428"/>
        <w:gridCol w:w="1689"/>
        <w:gridCol w:w="1691"/>
        <w:gridCol w:w="1694"/>
      </w:tblGrid>
      <w:tr w:rsidR="002408F4" w:rsidRPr="006D46E5" w14:paraId="25E3D31C" w14:textId="32EF4A30" w:rsidTr="00376DB1">
        <w:trPr>
          <w:cnfStyle w:val="100000000000" w:firstRow="1" w:lastRow="0" w:firstColumn="0" w:lastColumn="0" w:oddVBand="0" w:evenVBand="0" w:oddHBand="0" w:evenHBand="0" w:firstRowFirstColumn="0" w:firstRowLastColumn="0" w:lastRowFirstColumn="0" w:lastRowLastColumn="0"/>
        </w:trPr>
        <w:tc>
          <w:tcPr>
            <w:tcW w:w="0" w:type="pct"/>
            <w:tcBorders>
              <w:top w:val="none" w:sz="0" w:space="0" w:color="auto"/>
              <w:left w:val="none" w:sz="0" w:space="0" w:color="auto"/>
              <w:bottom w:val="none" w:sz="0" w:space="0" w:color="auto"/>
              <w:right w:val="none" w:sz="0" w:space="0" w:color="auto"/>
            </w:tcBorders>
          </w:tcPr>
          <w:p w14:paraId="30407081" w14:textId="77777777" w:rsidR="002408F4" w:rsidRPr="00930510" w:rsidRDefault="002408F4" w:rsidP="002D4348">
            <w:pPr>
              <w:pStyle w:val="Tableheaderrow"/>
            </w:pPr>
            <w:r>
              <w:t>Category</w:t>
            </w:r>
          </w:p>
        </w:tc>
        <w:tc>
          <w:tcPr>
            <w:tcW w:w="804" w:type="pct"/>
            <w:tcBorders>
              <w:top w:val="none" w:sz="0" w:space="0" w:color="auto"/>
              <w:left w:val="none" w:sz="0" w:space="0" w:color="auto"/>
              <w:bottom w:val="none" w:sz="0" w:space="0" w:color="auto"/>
              <w:right w:val="none" w:sz="0" w:space="0" w:color="auto"/>
            </w:tcBorders>
          </w:tcPr>
          <w:p w14:paraId="3328E3E0" w14:textId="77777777" w:rsidR="002408F4" w:rsidRPr="00930510" w:rsidRDefault="002408F4" w:rsidP="002D4348">
            <w:pPr>
              <w:pStyle w:val="Tableheaderrow"/>
            </w:pPr>
            <w:r>
              <w:t>Frequency range</w:t>
            </w:r>
          </w:p>
        </w:tc>
        <w:tc>
          <w:tcPr>
            <w:tcW w:w="802" w:type="pct"/>
            <w:tcBorders>
              <w:top w:val="none" w:sz="0" w:space="0" w:color="auto"/>
              <w:left w:val="none" w:sz="0" w:space="0" w:color="auto"/>
              <w:bottom w:val="none" w:sz="0" w:space="0" w:color="auto"/>
              <w:right w:val="none" w:sz="0" w:space="0" w:color="auto"/>
            </w:tcBorders>
          </w:tcPr>
          <w:p w14:paraId="42BAC824" w14:textId="77777777" w:rsidR="002408F4" w:rsidRPr="00930510" w:rsidRDefault="002408F4" w:rsidP="002D4348">
            <w:pPr>
              <w:pStyle w:val="Tableheaderrow"/>
            </w:pPr>
            <w:r>
              <w:t>Lot bandwidth</w:t>
            </w:r>
          </w:p>
        </w:tc>
        <w:tc>
          <w:tcPr>
            <w:tcW w:w="930" w:type="pct"/>
            <w:tcBorders>
              <w:top w:val="none" w:sz="0" w:space="0" w:color="auto"/>
              <w:left w:val="none" w:sz="0" w:space="0" w:color="auto"/>
              <w:bottom w:val="none" w:sz="0" w:space="0" w:color="auto"/>
              <w:right w:val="none" w:sz="0" w:space="0" w:color="auto"/>
            </w:tcBorders>
          </w:tcPr>
          <w:p w14:paraId="129CD6A9" w14:textId="77777777" w:rsidR="002408F4" w:rsidRDefault="002408F4" w:rsidP="002D4348">
            <w:pPr>
              <w:pStyle w:val="Tableheaderrow"/>
            </w:pPr>
            <w:r>
              <w:t>Number of products</w:t>
            </w:r>
          </w:p>
        </w:tc>
        <w:tc>
          <w:tcPr>
            <w:tcW w:w="931" w:type="pct"/>
            <w:tcBorders>
              <w:top w:val="none" w:sz="0" w:space="0" w:color="auto"/>
              <w:left w:val="none" w:sz="0" w:space="0" w:color="auto"/>
              <w:bottom w:val="none" w:sz="0" w:space="0" w:color="auto"/>
              <w:right w:val="none" w:sz="0" w:space="0" w:color="auto"/>
            </w:tcBorders>
          </w:tcPr>
          <w:p w14:paraId="7DD434F4" w14:textId="60283853" w:rsidR="002408F4" w:rsidRDefault="002408F4" w:rsidP="002D4348">
            <w:pPr>
              <w:pStyle w:val="Tableheaderrow"/>
            </w:pPr>
            <w:r>
              <w:t>Number of lots in each product</w:t>
            </w:r>
          </w:p>
        </w:tc>
        <w:tc>
          <w:tcPr>
            <w:tcW w:w="932" w:type="pct"/>
            <w:tcBorders>
              <w:top w:val="none" w:sz="0" w:space="0" w:color="auto"/>
              <w:left w:val="none" w:sz="0" w:space="0" w:color="auto"/>
              <w:bottom w:val="none" w:sz="0" w:space="0" w:color="auto"/>
              <w:right w:val="none" w:sz="0" w:space="0" w:color="auto"/>
            </w:tcBorders>
          </w:tcPr>
          <w:p w14:paraId="20FDD1EE" w14:textId="3028EFAA" w:rsidR="002408F4" w:rsidRDefault="002408F4" w:rsidP="002D4348">
            <w:pPr>
              <w:pStyle w:val="Tableheaderrow"/>
            </w:pPr>
            <w:r>
              <w:t>Products</w:t>
            </w:r>
            <w:r w:rsidR="007543F1">
              <w:t xml:space="preserve"> in category</w:t>
            </w:r>
          </w:p>
        </w:tc>
      </w:tr>
      <w:tr w:rsidR="002408F4" w:rsidRPr="006D46E5" w14:paraId="6044A3AD" w14:textId="0E38FBFB" w:rsidTr="002D4348">
        <w:trPr>
          <w:cnfStyle w:val="000000100000" w:firstRow="0" w:lastRow="0" w:firstColumn="0" w:lastColumn="0" w:oddVBand="0" w:evenVBand="0" w:oddHBand="1" w:evenHBand="0" w:firstRowFirstColumn="0" w:firstRowLastColumn="0" w:lastRowFirstColumn="0" w:lastRowLastColumn="0"/>
        </w:trPr>
        <w:tc>
          <w:tcPr>
            <w:tcW w:w="0" w:type="pct"/>
          </w:tcPr>
          <w:p w14:paraId="3026981D" w14:textId="77777777" w:rsidR="002408F4" w:rsidRPr="00930510" w:rsidRDefault="002408F4" w:rsidP="002D4348">
            <w:pPr>
              <w:pStyle w:val="TableBody"/>
            </w:pPr>
            <w:r>
              <w:t>Category 1</w:t>
            </w:r>
          </w:p>
        </w:tc>
        <w:tc>
          <w:tcPr>
            <w:tcW w:w="804" w:type="pct"/>
          </w:tcPr>
          <w:p w14:paraId="53A65A30" w14:textId="6D05B422" w:rsidR="002408F4" w:rsidRPr="00930510" w:rsidRDefault="002408F4" w:rsidP="002D4348">
            <w:pPr>
              <w:pStyle w:val="TableBody"/>
            </w:pPr>
            <w:r>
              <w:t>25.1 GHz to 27.5 GHz</w:t>
            </w:r>
          </w:p>
        </w:tc>
        <w:tc>
          <w:tcPr>
            <w:tcW w:w="802" w:type="pct"/>
          </w:tcPr>
          <w:p w14:paraId="2FDED27C" w14:textId="77777777" w:rsidR="002408F4" w:rsidRPr="00930510" w:rsidRDefault="002408F4" w:rsidP="002D4348">
            <w:pPr>
              <w:pStyle w:val="TableBody"/>
            </w:pPr>
            <w:r>
              <w:t>200 MHz</w:t>
            </w:r>
          </w:p>
        </w:tc>
        <w:tc>
          <w:tcPr>
            <w:tcW w:w="930" w:type="pct"/>
          </w:tcPr>
          <w:p w14:paraId="123D99DE" w14:textId="77777777" w:rsidR="002408F4" w:rsidRDefault="002408F4" w:rsidP="002D4348">
            <w:pPr>
              <w:pStyle w:val="TableBody"/>
            </w:pPr>
            <w:r>
              <w:t>24</w:t>
            </w:r>
          </w:p>
        </w:tc>
        <w:tc>
          <w:tcPr>
            <w:tcW w:w="931" w:type="pct"/>
          </w:tcPr>
          <w:p w14:paraId="245D8EDB" w14:textId="2FD91FC7" w:rsidR="002408F4" w:rsidRDefault="002408F4" w:rsidP="002D4348">
            <w:pPr>
              <w:pStyle w:val="TableBody"/>
            </w:pPr>
            <w:r>
              <w:t>12</w:t>
            </w:r>
          </w:p>
        </w:tc>
        <w:tc>
          <w:tcPr>
            <w:tcW w:w="932" w:type="pct"/>
          </w:tcPr>
          <w:p w14:paraId="3B2784FB" w14:textId="215A683C" w:rsidR="002408F4" w:rsidRDefault="002408F4" w:rsidP="002D4348">
            <w:pPr>
              <w:pStyle w:val="TableBody"/>
            </w:pPr>
            <w:r>
              <w:t>Product with any region except Greater Perth Lower, Greater Perth Upper, Hobart and Margaret River</w:t>
            </w:r>
          </w:p>
        </w:tc>
      </w:tr>
      <w:tr w:rsidR="002408F4" w:rsidRPr="006D46E5" w14:paraId="0072C679" w14:textId="6824004C" w:rsidTr="002D4348">
        <w:trPr>
          <w:cnfStyle w:val="000000010000" w:firstRow="0" w:lastRow="0" w:firstColumn="0" w:lastColumn="0" w:oddVBand="0" w:evenVBand="0" w:oddHBand="0" w:evenHBand="1" w:firstRowFirstColumn="0" w:firstRowLastColumn="0" w:lastRowFirstColumn="0" w:lastRowLastColumn="0"/>
        </w:trPr>
        <w:tc>
          <w:tcPr>
            <w:tcW w:w="0" w:type="pct"/>
          </w:tcPr>
          <w:p w14:paraId="44480F5F" w14:textId="77777777" w:rsidR="002408F4" w:rsidRPr="00930510" w:rsidRDefault="002408F4" w:rsidP="002D4348">
            <w:pPr>
              <w:pStyle w:val="TableBody"/>
            </w:pPr>
            <w:r>
              <w:t>Category 2</w:t>
            </w:r>
          </w:p>
        </w:tc>
        <w:tc>
          <w:tcPr>
            <w:tcW w:w="804" w:type="pct"/>
          </w:tcPr>
          <w:p w14:paraId="1B827C17" w14:textId="4A8C6903" w:rsidR="002408F4" w:rsidRPr="00930510" w:rsidRDefault="002408F4" w:rsidP="002D4348">
            <w:pPr>
              <w:pStyle w:val="TableBody"/>
            </w:pPr>
            <w:r>
              <w:t>25.1 GHz to 27</w:t>
            </w:r>
            <w:r w:rsidR="005A3BE3">
              <w:t>.0</w:t>
            </w:r>
            <w:r>
              <w:t> GHz</w:t>
            </w:r>
          </w:p>
        </w:tc>
        <w:tc>
          <w:tcPr>
            <w:tcW w:w="802" w:type="pct"/>
          </w:tcPr>
          <w:p w14:paraId="77DF4A41" w14:textId="77777777" w:rsidR="002408F4" w:rsidRPr="00930510" w:rsidRDefault="002408F4" w:rsidP="002D4348">
            <w:pPr>
              <w:pStyle w:val="TableBody"/>
            </w:pPr>
            <w:r>
              <w:t>100 MHz</w:t>
            </w:r>
          </w:p>
        </w:tc>
        <w:tc>
          <w:tcPr>
            <w:tcW w:w="930" w:type="pct"/>
          </w:tcPr>
          <w:p w14:paraId="4C309FE4" w14:textId="77777777" w:rsidR="002408F4" w:rsidRDefault="002408F4" w:rsidP="002D4348">
            <w:pPr>
              <w:pStyle w:val="TableBody"/>
            </w:pPr>
            <w:r>
              <w:t>3</w:t>
            </w:r>
          </w:p>
        </w:tc>
        <w:tc>
          <w:tcPr>
            <w:tcW w:w="931" w:type="pct"/>
          </w:tcPr>
          <w:p w14:paraId="3D21C51E" w14:textId="0A61E75A" w:rsidR="002408F4" w:rsidRDefault="00EF0D00" w:rsidP="002D4348">
            <w:pPr>
              <w:pStyle w:val="TableBody"/>
            </w:pPr>
            <w:r>
              <w:t>19</w:t>
            </w:r>
          </w:p>
        </w:tc>
        <w:tc>
          <w:tcPr>
            <w:tcW w:w="932" w:type="pct"/>
          </w:tcPr>
          <w:p w14:paraId="482C41DE" w14:textId="101F75EF" w:rsidR="002408F4" w:rsidRDefault="002408F4" w:rsidP="002D4348">
            <w:pPr>
              <w:pStyle w:val="TableBody"/>
            </w:pPr>
            <w:r>
              <w:t>Products with Greater Perth Lower, Hobart or Margaret River as the region</w:t>
            </w:r>
          </w:p>
        </w:tc>
      </w:tr>
      <w:tr w:rsidR="002408F4" w:rsidRPr="006D46E5" w14:paraId="152B7D16" w14:textId="1B6BC2D0" w:rsidTr="002D4348">
        <w:trPr>
          <w:cnfStyle w:val="000000100000" w:firstRow="0" w:lastRow="0" w:firstColumn="0" w:lastColumn="0" w:oddVBand="0" w:evenVBand="0" w:oddHBand="1" w:evenHBand="0" w:firstRowFirstColumn="0" w:firstRowLastColumn="0" w:lastRowFirstColumn="0" w:lastRowLastColumn="0"/>
        </w:trPr>
        <w:tc>
          <w:tcPr>
            <w:tcW w:w="0" w:type="pct"/>
          </w:tcPr>
          <w:p w14:paraId="4E34BEDD" w14:textId="77777777" w:rsidR="002408F4" w:rsidRPr="00930510" w:rsidRDefault="002408F4" w:rsidP="002D4348">
            <w:pPr>
              <w:pStyle w:val="TableBody"/>
              <w:keepLines/>
            </w:pPr>
            <w:r>
              <w:lastRenderedPageBreak/>
              <w:t>Category 3</w:t>
            </w:r>
          </w:p>
        </w:tc>
        <w:tc>
          <w:tcPr>
            <w:tcW w:w="804" w:type="pct"/>
          </w:tcPr>
          <w:p w14:paraId="588AF2E3" w14:textId="72555A84" w:rsidR="002408F4" w:rsidRPr="00930510" w:rsidRDefault="002408F4" w:rsidP="002D4348">
            <w:pPr>
              <w:pStyle w:val="TableBody"/>
              <w:keepLines/>
            </w:pPr>
            <w:r>
              <w:t>27</w:t>
            </w:r>
            <w:r w:rsidR="005A3BE3">
              <w:t>.0</w:t>
            </w:r>
            <w:r>
              <w:t xml:space="preserve"> GHz to 27.5 GHz</w:t>
            </w:r>
          </w:p>
        </w:tc>
        <w:tc>
          <w:tcPr>
            <w:tcW w:w="802" w:type="pct"/>
          </w:tcPr>
          <w:p w14:paraId="6594C228" w14:textId="77777777" w:rsidR="002408F4" w:rsidRPr="00930510" w:rsidRDefault="002408F4" w:rsidP="002D4348">
            <w:pPr>
              <w:pStyle w:val="TableBody"/>
              <w:keepLines/>
            </w:pPr>
            <w:r>
              <w:t>100 MHz</w:t>
            </w:r>
          </w:p>
        </w:tc>
        <w:tc>
          <w:tcPr>
            <w:tcW w:w="930" w:type="pct"/>
          </w:tcPr>
          <w:p w14:paraId="16E9749E" w14:textId="77777777" w:rsidR="002408F4" w:rsidRDefault="002408F4" w:rsidP="002D4348">
            <w:pPr>
              <w:pStyle w:val="TableBody"/>
              <w:keepLines/>
            </w:pPr>
            <w:r>
              <w:t>3</w:t>
            </w:r>
          </w:p>
        </w:tc>
        <w:tc>
          <w:tcPr>
            <w:tcW w:w="931" w:type="pct"/>
          </w:tcPr>
          <w:p w14:paraId="36FF9F39" w14:textId="68F52B34" w:rsidR="002408F4" w:rsidRDefault="00EF0D00" w:rsidP="002D4348">
            <w:pPr>
              <w:pStyle w:val="TableBody"/>
              <w:keepLines/>
            </w:pPr>
            <w:r>
              <w:t>5</w:t>
            </w:r>
          </w:p>
        </w:tc>
        <w:tc>
          <w:tcPr>
            <w:tcW w:w="932" w:type="pct"/>
          </w:tcPr>
          <w:p w14:paraId="101D615C" w14:textId="21FBFE69" w:rsidR="002408F4" w:rsidRDefault="002408F4" w:rsidP="002D4348">
            <w:pPr>
              <w:pStyle w:val="TableBody"/>
              <w:keepLines/>
            </w:pPr>
            <w:r>
              <w:t>Products with Greater Perth Upper, Hobart or Margaret River as the region</w:t>
            </w:r>
          </w:p>
        </w:tc>
      </w:tr>
    </w:tbl>
    <w:p w14:paraId="13587A1B" w14:textId="18A3303C" w:rsidR="00A3174F" w:rsidRDefault="00A3174F" w:rsidP="004C58B9">
      <w:pPr>
        <w:rPr>
          <w:rFonts w:ascii="Times New Roman" w:hAnsi="Times New Roman" w:cs="Times New Roman"/>
        </w:rPr>
      </w:pPr>
    </w:p>
    <w:p w14:paraId="123EB83C" w14:textId="05D3B8FB" w:rsidR="004903A5" w:rsidRDefault="0034025B" w:rsidP="00542F89">
      <w:pPr>
        <w:rPr>
          <w:rFonts w:ascii="Times New Roman" w:hAnsi="Times New Roman" w:cs="Times New Roman"/>
        </w:rPr>
      </w:pPr>
      <w:r>
        <w:rPr>
          <w:rFonts w:ascii="Times New Roman" w:hAnsi="Times New Roman" w:cs="Times New Roman"/>
        </w:rPr>
        <w:t xml:space="preserve">This section </w:t>
      </w:r>
      <w:r w:rsidR="00492F26">
        <w:rPr>
          <w:rFonts w:ascii="Times New Roman" w:hAnsi="Times New Roman" w:cs="Times New Roman"/>
        </w:rPr>
        <w:t xml:space="preserve">states </w:t>
      </w:r>
      <w:r>
        <w:rPr>
          <w:rFonts w:ascii="Times New Roman" w:hAnsi="Times New Roman" w:cs="Times New Roman"/>
        </w:rPr>
        <w:t>that the ACMA will set a lot rating</w:t>
      </w:r>
      <w:r w:rsidR="00492F26">
        <w:rPr>
          <w:rFonts w:ascii="Times New Roman" w:hAnsi="Times New Roman" w:cs="Times New Roman"/>
        </w:rPr>
        <w:t xml:space="preserve"> for </w:t>
      </w:r>
      <w:r w:rsidR="00A9435B">
        <w:rPr>
          <w:rFonts w:ascii="Times New Roman" w:hAnsi="Times New Roman" w:cs="Times New Roman"/>
        </w:rPr>
        <w:t>the</w:t>
      </w:r>
      <w:r w:rsidR="00492F26">
        <w:rPr>
          <w:rFonts w:ascii="Times New Roman" w:hAnsi="Times New Roman" w:cs="Times New Roman"/>
        </w:rPr>
        <w:t xml:space="preserve"> lots of each product</w:t>
      </w:r>
      <w:r>
        <w:rPr>
          <w:rFonts w:ascii="Times New Roman" w:hAnsi="Times New Roman" w:cs="Times New Roman"/>
        </w:rPr>
        <w:t xml:space="preserve"> in accordance with the Allocation Determination.</w:t>
      </w:r>
      <w:r w:rsidR="006204F4">
        <w:rPr>
          <w:rFonts w:ascii="Times New Roman" w:hAnsi="Times New Roman" w:cs="Times New Roman"/>
        </w:rPr>
        <w:t xml:space="preserve"> </w:t>
      </w:r>
    </w:p>
    <w:p w14:paraId="37C2621B" w14:textId="45882090" w:rsidR="00443929" w:rsidRDefault="00443929" w:rsidP="004C58B9">
      <w:pPr>
        <w:rPr>
          <w:rFonts w:ascii="Times New Roman" w:hAnsi="Times New Roman" w:cs="Times New Roman"/>
        </w:rPr>
      </w:pPr>
      <w:r>
        <w:rPr>
          <w:rFonts w:ascii="Times New Roman" w:hAnsi="Times New Roman" w:cs="Times New Roman"/>
        </w:rPr>
        <w:t xml:space="preserve">This section also </w:t>
      </w:r>
      <w:r w:rsidR="00E63FCB">
        <w:rPr>
          <w:rFonts w:ascii="Times New Roman" w:hAnsi="Times New Roman" w:cs="Times New Roman"/>
        </w:rPr>
        <w:t xml:space="preserve">gives a brief description of the manner in which the auction will be </w:t>
      </w:r>
      <w:proofErr w:type="gramStart"/>
      <w:r w:rsidR="00E63FCB">
        <w:rPr>
          <w:rFonts w:ascii="Times New Roman" w:hAnsi="Times New Roman" w:cs="Times New Roman"/>
        </w:rPr>
        <w:t>conducted, and</w:t>
      </w:r>
      <w:proofErr w:type="gramEnd"/>
      <w:r w:rsidR="00E63FCB">
        <w:rPr>
          <w:rFonts w:ascii="Times New Roman" w:hAnsi="Times New Roman" w:cs="Times New Roman"/>
        </w:rPr>
        <w:t xml:space="preserve"> provides that the auction will be held in accordance with the procedures set out in the Allocation Determination. Full details of auction procedures are set out in the Allocation Determination.</w:t>
      </w:r>
    </w:p>
    <w:p w14:paraId="756B76AC" w14:textId="50CD14F0" w:rsidR="006F46F4" w:rsidRDefault="006F46F4" w:rsidP="006F46F4">
      <w:pPr>
        <w:rPr>
          <w:rFonts w:ascii="Times New Roman" w:hAnsi="Times New Roman" w:cs="Times New Roman"/>
          <w:b/>
        </w:rPr>
      </w:pPr>
      <w:r>
        <w:rPr>
          <w:rFonts w:ascii="Times New Roman" w:hAnsi="Times New Roman" w:cs="Times New Roman"/>
          <w:b/>
        </w:rPr>
        <w:t>Section 12</w:t>
      </w:r>
      <w:r>
        <w:rPr>
          <w:rFonts w:ascii="Times New Roman" w:hAnsi="Times New Roman" w:cs="Times New Roman"/>
          <w:b/>
        </w:rPr>
        <w:tab/>
        <w:t>Advertising the auction</w:t>
      </w:r>
    </w:p>
    <w:p w14:paraId="792E0464" w14:textId="0DCF5DAF" w:rsidR="006F46F4" w:rsidRDefault="00AB1169" w:rsidP="004C58B9">
      <w:pPr>
        <w:rPr>
          <w:rFonts w:ascii="Times New Roman" w:hAnsi="Times New Roman" w:cs="Times New Roman"/>
        </w:rPr>
      </w:pPr>
      <w:r>
        <w:rPr>
          <w:rFonts w:ascii="Times New Roman" w:hAnsi="Times New Roman" w:cs="Times New Roman"/>
        </w:rPr>
        <w:t>This section provides that the ACMA will advertise the details of the auction and invite persons to take part, in accordance with the Allocation Determination</w:t>
      </w:r>
      <w:r w:rsidR="00DA4D08">
        <w:rPr>
          <w:rFonts w:ascii="Times New Roman" w:hAnsi="Times New Roman" w:cs="Times New Roman"/>
        </w:rPr>
        <w:t>.</w:t>
      </w:r>
      <w:r w:rsidR="00F236AB">
        <w:rPr>
          <w:rFonts w:ascii="Times New Roman" w:hAnsi="Times New Roman" w:cs="Times New Roman"/>
        </w:rPr>
        <w:t xml:space="preserve"> </w:t>
      </w:r>
      <w:r w:rsidR="00DA4D08">
        <w:rPr>
          <w:rFonts w:ascii="Times New Roman" w:hAnsi="Times New Roman" w:cs="Times New Roman"/>
        </w:rPr>
        <w:t xml:space="preserve">More details of how the auction will be advertised are in </w:t>
      </w:r>
      <w:r w:rsidR="00F236AB">
        <w:rPr>
          <w:rFonts w:ascii="Times New Roman" w:hAnsi="Times New Roman" w:cs="Times New Roman"/>
        </w:rPr>
        <w:t>the Allocation Determination</w:t>
      </w:r>
      <w:r w:rsidR="00F236AB" w:rsidRPr="00F236AB">
        <w:rPr>
          <w:rFonts w:ascii="Times New Roman" w:hAnsi="Times New Roman" w:cs="Times New Roman"/>
        </w:rPr>
        <w:t xml:space="preserve">.  </w:t>
      </w:r>
    </w:p>
    <w:p w14:paraId="5550AE22" w14:textId="71A5D66E" w:rsidR="006F46F4" w:rsidRDefault="006F46F4" w:rsidP="006F46F4">
      <w:pPr>
        <w:rPr>
          <w:rFonts w:ascii="Times New Roman" w:hAnsi="Times New Roman" w:cs="Times New Roman"/>
          <w:b/>
        </w:rPr>
      </w:pPr>
      <w:r>
        <w:rPr>
          <w:rFonts w:ascii="Times New Roman" w:hAnsi="Times New Roman" w:cs="Times New Roman"/>
          <w:b/>
        </w:rPr>
        <w:t>Section 13</w:t>
      </w:r>
      <w:r>
        <w:rPr>
          <w:rFonts w:ascii="Times New Roman" w:hAnsi="Times New Roman" w:cs="Times New Roman"/>
          <w:b/>
        </w:rPr>
        <w:tab/>
        <w:t>Taking part in the auction</w:t>
      </w:r>
    </w:p>
    <w:p w14:paraId="13352040" w14:textId="5B5BB88B" w:rsidR="006F46F4" w:rsidRPr="00513BF0" w:rsidRDefault="00C54A10" w:rsidP="006F46F4">
      <w:pPr>
        <w:rPr>
          <w:rFonts w:ascii="Times New Roman" w:hAnsi="Times New Roman" w:cs="Times New Roman"/>
        </w:rPr>
      </w:pPr>
      <w:r>
        <w:rPr>
          <w:rFonts w:ascii="Times New Roman" w:hAnsi="Times New Roman" w:cs="Times New Roman"/>
        </w:rPr>
        <w:t xml:space="preserve">This section provides that detailed information about the </w:t>
      </w:r>
      <w:r w:rsidR="004903A5" w:rsidRPr="00372ECA">
        <w:rPr>
          <w:rFonts w:ascii="Times New Roman" w:hAnsi="Times New Roman" w:cs="Times New Roman"/>
        </w:rPr>
        <w:t xml:space="preserve">application requirements and the auction process </w:t>
      </w:r>
      <w:r>
        <w:rPr>
          <w:rFonts w:ascii="Times New Roman" w:hAnsi="Times New Roman" w:cs="Times New Roman"/>
        </w:rPr>
        <w:t>will be made available by the ACMA in an applicant information package (</w:t>
      </w:r>
      <w:r>
        <w:rPr>
          <w:rFonts w:ascii="Times New Roman" w:hAnsi="Times New Roman" w:cs="Times New Roman"/>
          <w:b/>
          <w:bCs/>
        </w:rPr>
        <w:t>AIP</w:t>
      </w:r>
      <w:r>
        <w:rPr>
          <w:rFonts w:ascii="Times New Roman" w:hAnsi="Times New Roman" w:cs="Times New Roman"/>
        </w:rPr>
        <w:t xml:space="preserve">), to be published in accordance with the Allocation Determination. The AIP will be made available </w:t>
      </w:r>
      <w:r w:rsidR="00C130E1">
        <w:rPr>
          <w:rFonts w:ascii="Times New Roman" w:hAnsi="Times New Roman" w:cs="Times New Roman"/>
        </w:rPr>
        <w:t xml:space="preserve">when the ACMA advertises the auction under </w:t>
      </w:r>
      <w:r w:rsidR="00C130E1" w:rsidRPr="00513BF0">
        <w:rPr>
          <w:rFonts w:ascii="Times New Roman" w:hAnsi="Times New Roman" w:cs="Times New Roman"/>
        </w:rPr>
        <w:t>section 25 of the Allocation Determination</w:t>
      </w:r>
      <w:r w:rsidRPr="00513BF0">
        <w:rPr>
          <w:rFonts w:ascii="Times New Roman" w:hAnsi="Times New Roman" w:cs="Times New Roman"/>
        </w:rPr>
        <w:t xml:space="preserve">. The mandatory contents of the AIP are set out in subsection </w:t>
      </w:r>
      <w:r w:rsidR="004903A5" w:rsidRPr="00513BF0">
        <w:rPr>
          <w:rFonts w:ascii="Times New Roman" w:hAnsi="Times New Roman" w:cs="Times New Roman"/>
        </w:rPr>
        <w:t>26</w:t>
      </w:r>
      <w:r w:rsidRPr="00513BF0">
        <w:rPr>
          <w:rFonts w:ascii="Times New Roman" w:hAnsi="Times New Roman" w:cs="Times New Roman"/>
        </w:rPr>
        <w:t>(1) of the Allocation Determination.</w:t>
      </w:r>
    </w:p>
    <w:p w14:paraId="76C47EE7" w14:textId="19BF2A5C" w:rsidR="00C54A10" w:rsidRPr="00513BF0" w:rsidRDefault="00C54A10" w:rsidP="006F46F4">
      <w:pPr>
        <w:rPr>
          <w:rFonts w:ascii="Times New Roman" w:hAnsi="Times New Roman" w:cs="Times New Roman"/>
        </w:rPr>
      </w:pPr>
      <w:r w:rsidRPr="00513BF0">
        <w:rPr>
          <w:rFonts w:ascii="Times New Roman" w:hAnsi="Times New Roman" w:cs="Times New Roman"/>
        </w:rPr>
        <w:t xml:space="preserve">The AIP will contain information about the allocation process for potential participants. It will describe how to apply to participate in the allocation </w:t>
      </w:r>
      <w:proofErr w:type="gramStart"/>
      <w:r w:rsidRPr="00513BF0">
        <w:rPr>
          <w:rFonts w:ascii="Times New Roman" w:hAnsi="Times New Roman" w:cs="Times New Roman"/>
        </w:rPr>
        <w:t>process, and</w:t>
      </w:r>
      <w:proofErr w:type="gramEnd"/>
      <w:r w:rsidRPr="00513BF0">
        <w:rPr>
          <w:rFonts w:ascii="Times New Roman" w:hAnsi="Times New Roman" w:cs="Times New Roman"/>
        </w:rPr>
        <w:t xml:space="preserve"> will include copies of all necessary documents to participate in the process.</w:t>
      </w:r>
    </w:p>
    <w:p w14:paraId="55C8BA53" w14:textId="609BA376" w:rsidR="00C54A10" w:rsidRPr="00C54A10" w:rsidRDefault="00C54A10" w:rsidP="006F46F4">
      <w:pPr>
        <w:rPr>
          <w:rFonts w:ascii="Times New Roman" w:hAnsi="Times New Roman" w:cs="Times New Roman"/>
        </w:rPr>
      </w:pPr>
      <w:r w:rsidRPr="00513BF0">
        <w:rPr>
          <w:rFonts w:ascii="Times New Roman" w:hAnsi="Times New Roman" w:cs="Times New Roman"/>
        </w:rPr>
        <w:t>This section also states that information about how to apply to participate in the auction is included in Part 4 of the Allocation Determination.</w:t>
      </w:r>
    </w:p>
    <w:p w14:paraId="28497EAA" w14:textId="0137497B" w:rsidR="006F46F4" w:rsidRPr="006F46F4" w:rsidRDefault="006F46F4" w:rsidP="006F46F4">
      <w:pPr>
        <w:rPr>
          <w:rFonts w:ascii="Times New Roman" w:hAnsi="Times New Roman" w:cs="Times New Roman"/>
          <w:b/>
          <w:bCs/>
        </w:rPr>
      </w:pPr>
      <w:r>
        <w:rPr>
          <w:rFonts w:ascii="Times New Roman" w:hAnsi="Times New Roman" w:cs="Times New Roman"/>
          <w:b/>
          <w:bCs/>
        </w:rPr>
        <w:t xml:space="preserve">Part 3—Spectrum </w:t>
      </w:r>
      <w:r w:rsidR="00EA312E">
        <w:rPr>
          <w:rFonts w:ascii="Times New Roman" w:hAnsi="Times New Roman" w:cs="Times New Roman"/>
          <w:b/>
          <w:bCs/>
        </w:rPr>
        <w:t>licences to be issued</w:t>
      </w:r>
    </w:p>
    <w:p w14:paraId="6555BC0B" w14:textId="3180E285" w:rsidR="006F46F4" w:rsidRDefault="006F46F4" w:rsidP="006F46F4">
      <w:pPr>
        <w:rPr>
          <w:rFonts w:ascii="Times New Roman" w:hAnsi="Times New Roman" w:cs="Times New Roman"/>
          <w:b/>
        </w:rPr>
      </w:pPr>
      <w:r>
        <w:rPr>
          <w:rFonts w:ascii="Times New Roman" w:hAnsi="Times New Roman" w:cs="Times New Roman"/>
          <w:b/>
        </w:rPr>
        <w:t>Section 1</w:t>
      </w:r>
      <w:r w:rsidR="00EA312E">
        <w:rPr>
          <w:rFonts w:ascii="Times New Roman" w:hAnsi="Times New Roman" w:cs="Times New Roman"/>
          <w:b/>
        </w:rPr>
        <w:t>4</w:t>
      </w:r>
      <w:r>
        <w:rPr>
          <w:rFonts w:ascii="Times New Roman" w:hAnsi="Times New Roman" w:cs="Times New Roman"/>
          <w:b/>
        </w:rPr>
        <w:tab/>
      </w:r>
      <w:r w:rsidR="00EA312E">
        <w:rPr>
          <w:rFonts w:ascii="Times New Roman" w:hAnsi="Times New Roman" w:cs="Times New Roman"/>
          <w:b/>
        </w:rPr>
        <w:t>Simplified outline of this Part</w:t>
      </w:r>
    </w:p>
    <w:p w14:paraId="251BEEC1" w14:textId="55BD7C04" w:rsidR="006F46F4" w:rsidRDefault="00A51CCC" w:rsidP="006F46F4">
      <w:pPr>
        <w:rPr>
          <w:rFonts w:ascii="Times New Roman" w:hAnsi="Times New Roman" w:cs="Times New Roman"/>
        </w:rPr>
      </w:pPr>
      <w:r>
        <w:rPr>
          <w:rFonts w:ascii="Times New Roman" w:hAnsi="Times New Roman" w:cs="Times New Roman"/>
        </w:rPr>
        <w:t xml:space="preserve">This section sets out a simplified outline </w:t>
      </w:r>
      <w:r w:rsidR="001C688F">
        <w:rPr>
          <w:rFonts w:ascii="Times New Roman" w:hAnsi="Times New Roman" w:cs="Times New Roman"/>
        </w:rPr>
        <w:t xml:space="preserve">of </w:t>
      </w:r>
      <w:r>
        <w:rPr>
          <w:rFonts w:ascii="Times New Roman" w:hAnsi="Times New Roman" w:cs="Times New Roman"/>
        </w:rPr>
        <w:t>Part 3.</w:t>
      </w:r>
    </w:p>
    <w:p w14:paraId="06602C56" w14:textId="4182CE92" w:rsidR="001C688F" w:rsidRDefault="00407434" w:rsidP="006F46F4">
      <w:pPr>
        <w:rPr>
          <w:rFonts w:ascii="Times New Roman" w:hAnsi="Times New Roman" w:cs="Times New Roman"/>
        </w:rPr>
      </w:pPr>
      <w:r>
        <w:rPr>
          <w:rFonts w:ascii="Times New Roman" w:hAnsi="Times New Roman" w:cs="Times New Roman"/>
        </w:rPr>
        <w:t xml:space="preserve">A note to this section alerts potential </w:t>
      </w:r>
      <w:r w:rsidR="007A4D31">
        <w:rPr>
          <w:rFonts w:ascii="Times New Roman" w:hAnsi="Times New Roman" w:cs="Times New Roman"/>
        </w:rPr>
        <w:t>participants in the auction that o</w:t>
      </w:r>
      <w:r w:rsidR="001C688F" w:rsidRPr="001C688F">
        <w:rPr>
          <w:rFonts w:ascii="Times New Roman" w:hAnsi="Times New Roman" w:cs="Times New Roman"/>
        </w:rPr>
        <w:t xml:space="preserve">n the day </w:t>
      </w:r>
      <w:r w:rsidR="001C688F">
        <w:rPr>
          <w:rFonts w:ascii="Times New Roman" w:hAnsi="Times New Roman" w:cs="Times New Roman"/>
        </w:rPr>
        <w:t>the Marketing Plan was</w:t>
      </w:r>
      <w:r w:rsidR="001C688F" w:rsidRPr="001C688F">
        <w:rPr>
          <w:rFonts w:ascii="Times New Roman" w:hAnsi="Times New Roman" w:cs="Times New Roman"/>
        </w:rPr>
        <w:t xml:space="preserve"> </w:t>
      </w:r>
      <w:r w:rsidR="00A07C00">
        <w:rPr>
          <w:rFonts w:ascii="Times New Roman" w:hAnsi="Times New Roman" w:cs="Times New Roman"/>
        </w:rPr>
        <w:t>made</w:t>
      </w:r>
      <w:r w:rsidR="001C688F" w:rsidRPr="001C688F">
        <w:rPr>
          <w:rFonts w:ascii="Times New Roman" w:hAnsi="Times New Roman" w:cs="Times New Roman"/>
        </w:rPr>
        <w:t>, the Bill had been introduced to, but not passed by, Parliament. If the Bill is passed by Parliament, its provisions may affect the matters described by Part</w:t>
      </w:r>
      <w:r w:rsidR="00A07C00">
        <w:rPr>
          <w:rFonts w:ascii="Times New Roman" w:hAnsi="Times New Roman" w:cs="Times New Roman"/>
        </w:rPr>
        <w:t xml:space="preserve"> 3 of the Marketing Plan</w:t>
      </w:r>
      <w:r w:rsidR="001C688F" w:rsidRPr="001C688F">
        <w:rPr>
          <w:rFonts w:ascii="Times New Roman" w:hAnsi="Times New Roman" w:cs="Times New Roman"/>
        </w:rPr>
        <w:t>.</w:t>
      </w:r>
    </w:p>
    <w:p w14:paraId="3B02B0EC" w14:textId="63082FC7" w:rsidR="00EA312E" w:rsidRPr="00513BF0" w:rsidRDefault="00EA312E" w:rsidP="00EA312E">
      <w:pPr>
        <w:rPr>
          <w:rFonts w:ascii="Times New Roman" w:hAnsi="Times New Roman" w:cs="Times New Roman"/>
          <w:b/>
        </w:rPr>
      </w:pPr>
      <w:r>
        <w:rPr>
          <w:rFonts w:ascii="Times New Roman" w:hAnsi="Times New Roman" w:cs="Times New Roman"/>
          <w:b/>
        </w:rPr>
        <w:t>Section 15</w:t>
      </w:r>
      <w:r>
        <w:rPr>
          <w:rFonts w:ascii="Times New Roman" w:hAnsi="Times New Roman" w:cs="Times New Roman"/>
          <w:b/>
        </w:rPr>
        <w:tab/>
        <w:t xml:space="preserve">Issue of </w:t>
      </w:r>
      <w:r w:rsidRPr="00513BF0">
        <w:rPr>
          <w:rFonts w:ascii="Times New Roman" w:hAnsi="Times New Roman" w:cs="Times New Roman"/>
          <w:b/>
        </w:rPr>
        <w:t>licences</w:t>
      </w:r>
      <w:r w:rsidR="006420D3" w:rsidRPr="00513BF0">
        <w:rPr>
          <w:rFonts w:ascii="Times New Roman" w:hAnsi="Times New Roman" w:cs="Times New Roman"/>
          <w:b/>
        </w:rPr>
        <w:t xml:space="preserve"> and payment of spectrum access charge</w:t>
      </w:r>
    </w:p>
    <w:p w14:paraId="0069E49B" w14:textId="0FC0DDFF" w:rsidR="001C688F" w:rsidRPr="00513BF0" w:rsidRDefault="001C688F" w:rsidP="001C688F">
      <w:pPr>
        <w:rPr>
          <w:rFonts w:ascii="Times New Roman" w:hAnsi="Times New Roman" w:cs="Times New Roman"/>
        </w:rPr>
      </w:pPr>
      <w:r w:rsidRPr="00513BF0">
        <w:rPr>
          <w:rFonts w:ascii="Times New Roman" w:hAnsi="Times New Roman" w:cs="Times New Roman"/>
        </w:rPr>
        <w:t xml:space="preserve">This section sets out when the ACMA will issue spectrum licences in the 26 GHz band. </w:t>
      </w:r>
    </w:p>
    <w:p w14:paraId="48B2D57F" w14:textId="6B89379C" w:rsidR="00D93779" w:rsidRDefault="001C688F" w:rsidP="002A1BE5">
      <w:pPr>
        <w:rPr>
          <w:rFonts w:ascii="Times New Roman" w:hAnsi="Times New Roman" w:cs="Times New Roman"/>
        </w:rPr>
      </w:pPr>
      <w:r w:rsidRPr="00513BF0">
        <w:rPr>
          <w:rFonts w:ascii="Times New Roman" w:hAnsi="Times New Roman" w:cs="Times New Roman"/>
        </w:rPr>
        <w:t>In accordance with the</w:t>
      </w:r>
      <w:r w:rsidR="002A1BE5" w:rsidRPr="00513BF0">
        <w:rPr>
          <w:rFonts w:ascii="Times New Roman" w:hAnsi="Times New Roman" w:cs="Times New Roman"/>
        </w:rPr>
        <w:t xml:space="preserve"> </w:t>
      </w:r>
      <w:r w:rsidR="00B93B83" w:rsidRPr="00513BF0">
        <w:rPr>
          <w:rFonts w:ascii="Times New Roman" w:hAnsi="Times New Roman" w:cs="Times New Roman"/>
        </w:rPr>
        <w:t xml:space="preserve">Spectrum Access Charge </w:t>
      </w:r>
      <w:r w:rsidRPr="00513BF0">
        <w:rPr>
          <w:rFonts w:ascii="Times New Roman" w:hAnsi="Times New Roman" w:cs="Times New Roman"/>
        </w:rPr>
        <w:t xml:space="preserve">Direction, the Allocation Determination allows a winning bidder to choose to pay the spectrum access charge in </w:t>
      </w:r>
      <w:r w:rsidR="00B33F69" w:rsidRPr="00513BF0">
        <w:rPr>
          <w:rFonts w:ascii="Times New Roman" w:hAnsi="Times New Roman" w:cs="Times New Roman"/>
        </w:rPr>
        <w:t xml:space="preserve">five annual </w:t>
      </w:r>
      <w:r w:rsidRPr="00513BF0">
        <w:rPr>
          <w:rFonts w:ascii="Times New Roman" w:hAnsi="Times New Roman" w:cs="Times New Roman"/>
        </w:rPr>
        <w:t xml:space="preserve">instalments. </w:t>
      </w:r>
    </w:p>
    <w:p w14:paraId="5D497AB1" w14:textId="5A1A7F4B" w:rsidR="00B92281" w:rsidRPr="00513BF0" w:rsidRDefault="004742F3" w:rsidP="002A1BE5">
      <w:pPr>
        <w:rPr>
          <w:rFonts w:ascii="Times New Roman" w:hAnsi="Times New Roman" w:cs="Times New Roman"/>
        </w:rPr>
      </w:pPr>
      <w:r>
        <w:rPr>
          <w:rFonts w:ascii="Times New Roman" w:hAnsi="Times New Roman" w:cs="Times New Roman"/>
        </w:rPr>
        <w:lastRenderedPageBreak/>
        <w:t>If a winning bidder elects to pay the spectrum access charge upfront, a</w:t>
      </w:r>
      <w:r w:rsidR="00D93779" w:rsidRPr="003F62CF">
        <w:rPr>
          <w:rFonts w:ascii="Times New Roman" w:hAnsi="Times New Roman" w:cs="Times New Roman"/>
        </w:rPr>
        <w:t xml:space="preserve"> licence will be issued to a winning bidder as soon as practicable </w:t>
      </w:r>
      <w:r w:rsidR="00D93779" w:rsidRPr="00513BF0">
        <w:rPr>
          <w:rFonts w:ascii="Times New Roman" w:hAnsi="Times New Roman" w:cs="Times New Roman"/>
        </w:rPr>
        <w:t>after the winning bidder has paid the part of the spectrum access charge that the Allocation Determination requires to be paid before a licence will be issued</w:t>
      </w:r>
      <w:r w:rsidRPr="00513BF0">
        <w:rPr>
          <w:rFonts w:ascii="Times New Roman" w:hAnsi="Times New Roman" w:cs="Times New Roman"/>
        </w:rPr>
        <w:t xml:space="preserve"> (the winning price less any eligibility payment already made)</w:t>
      </w:r>
      <w:r w:rsidR="00D93779" w:rsidRPr="00513BF0">
        <w:rPr>
          <w:rFonts w:ascii="Times New Roman" w:hAnsi="Times New Roman" w:cs="Times New Roman"/>
        </w:rPr>
        <w:t>.</w:t>
      </w:r>
      <w:r w:rsidR="00F2420D" w:rsidRPr="00513BF0">
        <w:rPr>
          <w:rFonts w:ascii="Times New Roman" w:hAnsi="Times New Roman" w:cs="Times New Roman"/>
        </w:rPr>
        <w:t xml:space="preserve"> If a spectrum licence is issued after the spectrum access charge is paid, the spectrum access charge is not refundable in any circumstances.</w:t>
      </w:r>
    </w:p>
    <w:p w14:paraId="5517E50F" w14:textId="6B22FA89" w:rsidR="001C688F" w:rsidRPr="00513BF0" w:rsidRDefault="00E975DA" w:rsidP="001C688F">
      <w:pPr>
        <w:rPr>
          <w:rFonts w:ascii="Times New Roman" w:hAnsi="Times New Roman" w:cs="Times New Roman"/>
        </w:rPr>
      </w:pPr>
      <w:r w:rsidRPr="00513BF0">
        <w:rPr>
          <w:rFonts w:ascii="Times New Roman" w:hAnsi="Times New Roman" w:cs="Times New Roman"/>
        </w:rPr>
        <w:t>Where</w:t>
      </w:r>
      <w:r w:rsidR="001C688F" w:rsidRPr="00513BF0">
        <w:rPr>
          <w:rFonts w:ascii="Times New Roman" w:hAnsi="Times New Roman" w:cs="Times New Roman"/>
        </w:rPr>
        <w:t xml:space="preserve"> </w:t>
      </w:r>
      <w:r w:rsidR="00B92281" w:rsidRPr="00513BF0">
        <w:rPr>
          <w:rFonts w:ascii="Times New Roman" w:hAnsi="Times New Roman" w:cs="Times New Roman"/>
        </w:rPr>
        <w:t xml:space="preserve">a winning bidder elects </w:t>
      </w:r>
      <w:r w:rsidR="001C688F" w:rsidRPr="00513BF0">
        <w:rPr>
          <w:rFonts w:ascii="Times New Roman" w:hAnsi="Times New Roman" w:cs="Times New Roman"/>
        </w:rPr>
        <w:t xml:space="preserve">to pay </w:t>
      </w:r>
      <w:r w:rsidR="00B92281" w:rsidRPr="00513BF0">
        <w:rPr>
          <w:rFonts w:ascii="Times New Roman" w:hAnsi="Times New Roman" w:cs="Times New Roman"/>
        </w:rPr>
        <w:t>the spectrum access charge in</w:t>
      </w:r>
      <w:r w:rsidR="001C688F" w:rsidRPr="00513BF0">
        <w:rPr>
          <w:rFonts w:ascii="Times New Roman" w:hAnsi="Times New Roman" w:cs="Times New Roman"/>
        </w:rPr>
        <w:t xml:space="preserve"> instalments, </w:t>
      </w:r>
      <w:r w:rsidR="00B33F69" w:rsidRPr="00513BF0">
        <w:rPr>
          <w:rFonts w:ascii="Times New Roman" w:hAnsi="Times New Roman" w:cs="Times New Roman"/>
        </w:rPr>
        <w:t xml:space="preserve">the </w:t>
      </w:r>
      <w:r w:rsidR="007E64DA" w:rsidRPr="00513BF0">
        <w:rPr>
          <w:rFonts w:ascii="Times New Roman" w:hAnsi="Times New Roman" w:cs="Times New Roman"/>
        </w:rPr>
        <w:t xml:space="preserve">Spectrum Access Charge </w:t>
      </w:r>
      <w:r w:rsidR="00B33F69" w:rsidRPr="00513BF0">
        <w:rPr>
          <w:rFonts w:ascii="Times New Roman" w:hAnsi="Times New Roman" w:cs="Times New Roman"/>
        </w:rPr>
        <w:t>Direction requires the</w:t>
      </w:r>
      <w:r w:rsidR="001C688F" w:rsidRPr="00513BF0">
        <w:rPr>
          <w:rFonts w:ascii="Times New Roman" w:hAnsi="Times New Roman" w:cs="Times New Roman"/>
        </w:rPr>
        <w:t xml:space="preserve"> winning bidder </w:t>
      </w:r>
      <w:r w:rsidR="00B33F69" w:rsidRPr="00513BF0">
        <w:rPr>
          <w:rFonts w:ascii="Times New Roman" w:hAnsi="Times New Roman" w:cs="Times New Roman"/>
        </w:rPr>
        <w:t>to</w:t>
      </w:r>
      <w:r w:rsidR="001C688F" w:rsidRPr="00513BF0">
        <w:rPr>
          <w:rFonts w:ascii="Times New Roman" w:hAnsi="Times New Roman" w:cs="Times New Roman"/>
        </w:rPr>
        <w:t xml:space="preserve"> provide to the ACMA </w:t>
      </w:r>
      <w:r w:rsidR="006037FA" w:rsidRPr="00513BF0">
        <w:rPr>
          <w:rFonts w:ascii="Times New Roman" w:hAnsi="Times New Roman" w:cs="Times New Roman"/>
        </w:rPr>
        <w:t xml:space="preserve">a </w:t>
      </w:r>
      <w:r w:rsidR="001C688F" w:rsidRPr="00513BF0">
        <w:rPr>
          <w:rFonts w:ascii="Times New Roman" w:hAnsi="Times New Roman" w:cs="Times New Roman"/>
        </w:rPr>
        <w:t xml:space="preserve">bank guarantee, which secures the payment of part of the </w:t>
      </w:r>
      <w:r w:rsidR="00B33F69" w:rsidRPr="00513BF0">
        <w:rPr>
          <w:rFonts w:ascii="Times New Roman" w:hAnsi="Times New Roman" w:cs="Times New Roman"/>
        </w:rPr>
        <w:t xml:space="preserve">final </w:t>
      </w:r>
      <w:r w:rsidR="002A1BE5" w:rsidRPr="00513BF0">
        <w:rPr>
          <w:rFonts w:ascii="Times New Roman" w:hAnsi="Times New Roman" w:cs="Times New Roman"/>
        </w:rPr>
        <w:t>four</w:t>
      </w:r>
      <w:r w:rsidR="001C688F" w:rsidRPr="00513BF0">
        <w:rPr>
          <w:rFonts w:ascii="Times New Roman" w:hAnsi="Times New Roman" w:cs="Times New Roman"/>
        </w:rPr>
        <w:t xml:space="preserve"> instalments, before </w:t>
      </w:r>
      <w:r w:rsidR="00B33F69" w:rsidRPr="00513BF0">
        <w:rPr>
          <w:rFonts w:ascii="Times New Roman" w:hAnsi="Times New Roman" w:cs="Times New Roman"/>
        </w:rPr>
        <w:t>the ACMA can agree, under paragraph 62(2)(b) of the Act, to the winning bidder paying in instalments in accordance with the Allocation Determination</w:t>
      </w:r>
      <w:r w:rsidR="001C688F" w:rsidRPr="00513BF0">
        <w:rPr>
          <w:rFonts w:ascii="Times New Roman" w:hAnsi="Times New Roman" w:cs="Times New Roman"/>
        </w:rPr>
        <w:t>.</w:t>
      </w:r>
    </w:p>
    <w:p w14:paraId="776816F7" w14:textId="4B1C6F93" w:rsidR="00B33F69" w:rsidRPr="00513BF0" w:rsidRDefault="00E975DA" w:rsidP="001C688F">
      <w:pPr>
        <w:rPr>
          <w:rFonts w:ascii="Times New Roman" w:hAnsi="Times New Roman" w:cs="Times New Roman"/>
        </w:rPr>
      </w:pPr>
      <w:r w:rsidRPr="00513BF0">
        <w:rPr>
          <w:rFonts w:ascii="Times New Roman" w:hAnsi="Times New Roman" w:cs="Times New Roman"/>
        </w:rPr>
        <w:t xml:space="preserve">If a winning bidder elects to pay the spectrum access charge in instalments, </w:t>
      </w:r>
      <w:r w:rsidR="001F64FD" w:rsidRPr="00513BF0">
        <w:rPr>
          <w:rFonts w:ascii="Times New Roman" w:hAnsi="Times New Roman" w:cs="Times New Roman"/>
        </w:rPr>
        <w:t>a licence will be issued as soon as practicable after all of the following events have occurred:</w:t>
      </w:r>
    </w:p>
    <w:p w14:paraId="63B94FC7" w14:textId="17CB7DA2" w:rsidR="001F64FD" w:rsidRPr="00513BF0" w:rsidRDefault="00236780" w:rsidP="001F64FD">
      <w:pPr>
        <w:pStyle w:val="ListParagraph"/>
        <w:numPr>
          <w:ilvl w:val="0"/>
          <w:numId w:val="38"/>
        </w:numPr>
        <w:rPr>
          <w:rFonts w:ascii="Times New Roman" w:hAnsi="Times New Roman" w:cs="Times New Roman"/>
        </w:rPr>
      </w:pPr>
      <w:r w:rsidRPr="00513BF0">
        <w:rPr>
          <w:rFonts w:ascii="Times New Roman" w:hAnsi="Times New Roman" w:cs="Times New Roman"/>
        </w:rPr>
        <w:t xml:space="preserve">the ACMA notifies the winning bidder that it has received the </w:t>
      </w:r>
      <w:proofErr w:type="gramStart"/>
      <w:r w:rsidRPr="00513BF0">
        <w:rPr>
          <w:rFonts w:ascii="Times New Roman" w:hAnsi="Times New Roman" w:cs="Times New Roman"/>
        </w:rPr>
        <w:t>election;</w:t>
      </w:r>
      <w:proofErr w:type="gramEnd"/>
    </w:p>
    <w:p w14:paraId="749F753B" w14:textId="37F2503B" w:rsidR="00236780" w:rsidRPr="00513BF0" w:rsidRDefault="00236780" w:rsidP="001F64FD">
      <w:pPr>
        <w:pStyle w:val="ListParagraph"/>
        <w:numPr>
          <w:ilvl w:val="0"/>
          <w:numId w:val="38"/>
        </w:numPr>
        <w:rPr>
          <w:rFonts w:ascii="Times New Roman" w:hAnsi="Times New Roman" w:cs="Times New Roman"/>
        </w:rPr>
      </w:pPr>
      <w:r w:rsidRPr="00513BF0">
        <w:rPr>
          <w:rFonts w:ascii="Times New Roman" w:hAnsi="Times New Roman" w:cs="Times New Roman"/>
        </w:rPr>
        <w:t xml:space="preserve">the </w:t>
      </w:r>
      <w:r w:rsidR="00A67174" w:rsidRPr="00513BF0">
        <w:rPr>
          <w:rFonts w:ascii="Times New Roman" w:hAnsi="Times New Roman" w:cs="Times New Roman"/>
        </w:rPr>
        <w:t>winning bidder provides the ACMA with a bank guarantee of the kind, and in the manner, required</w:t>
      </w:r>
      <w:r w:rsidR="00E72933" w:rsidRPr="00513BF0">
        <w:rPr>
          <w:rFonts w:ascii="Times New Roman" w:hAnsi="Times New Roman" w:cs="Times New Roman"/>
        </w:rPr>
        <w:t xml:space="preserve"> by this section and the </w:t>
      </w:r>
      <w:r w:rsidR="00D17C9B" w:rsidRPr="00513BF0">
        <w:rPr>
          <w:rFonts w:ascii="Times New Roman" w:hAnsi="Times New Roman" w:cs="Times New Roman"/>
        </w:rPr>
        <w:t xml:space="preserve">Spectrum Access Charge </w:t>
      </w:r>
      <w:proofErr w:type="gramStart"/>
      <w:r w:rsidR="00E72933" w:rsidRPr="00513BF0">
        <w:rPr>
          <w:rFonts w:ascii="Times New Roman" w:hAnsi="Times New Roman" w:cs="Times New Roman"/>
        </w:rPr>
        <w:t>Direction</w:t>
      </w:r>
      <w:r w:rsidR="00A67174" w:rsidRPr="00513BF0">
        <w:rPr>
          <w:rFonts w:ascii="Times New Roman" w:hAnsi="Times New Roman" w:cs="Times New Roman"/>
        </w:rPr>
        <w:t>;</w:t>
      </w:r>
      <w:proofErr w:type="gramEnd"/>
    </w:p>
    <w:p w14:paraId="67E06FD1" w14:textId="65FCC804" w:rsidR="00A67174" w:rsidRPr="00513BF0" w:rsidRDefault="00A67174" w:rsidP="001F64FD">
      <w:pPr>
        <w:pStyle w:val="ListParagraph"/>
        <w:numPr>
          <w:ilvl w:val="0"/>
          <w:numId w:val="38"/>
        </w:numPr>
        <w:rPr>
          <w:rFonts w:ascii="Times New Roman" w:hAnsi="Times New Roman" w:cs="Times New Roman"/>
        </w:rPr>
      </w:pPr>
      <w:r w:rsidRPr="00513BF0">
        <w:rPr>
          <w:rFonts w:ascii="Times New Roman" w:hAnsi="Times New Roman" w:cs="Times New Roman"/>
        </w:rPr>
        <w:t>the ACMA reache</w:t>
      </w:r>
      <w:r w:rsidR="00D06505" w:rsidRPr="00513BF0">
        <w:rPr>
          <w:rFonts w:ascii="Times New Roman" w:hAnsi="Times New Roman" w:cs="Times New Roman"/>
        </w:rPr>
        <w:t>s</w:t>
      </w:r>
      <w:r w:rsidRPr="00513BF0">
        <w:rPr>
          <w:rFonts w:ascii="Times New Roman" w:hAnsi="Times New Roman" w:cs="Times New Roman"/>
        </w:rPr>
        <w:t xml:space="preserve"> an agreement for </w:t>
      </w:r>
      <w:r w:rsidR="00D06505" w:rsidRPr="00513BF0">
        <w:rPr>
          <w:rFonts w:ascii="Times New Roman" w:hAnsi="Times New Roman" w:cs="Times New Roman"/>
        </w:rPr>
        <w:t xml:space="preserve">payment of the spectrum access charge in instalments in accordance with the </w:t>
      </w:r>
      <w:proofErr w:type="gramStart"/>
      <w:r w:rsidR="00D06505" w:rsidRPr="00513BF0">
        <w:rPr>
          <w:rFonts w:ascii="Times New Roman" w:hAnsi="Times New Roman" w:cs="Times New Roman"/>
        </w:rPr>
        <w:t>A</w:t>
      </w:r>
      <w:r w:rsidR="00D17C9B" w:rsidRPr="00513BF0">
        <w:rPr>
          <w:rFonts w:ascii="Times New Roman" w:hAnsi="Times New Roman" w:cs="Times New Roman"/>
        </w:rPr>
        <w:t>ct</w:t>
      </w:r>
      <w:r w:rsidR="00D06505" w:rsidRPr="00513BF0">
        <w:rPr>
          <w:rFonts w:ascii="Times New Roman" w:hAnsi="Times New Roman" w:cs="Times New Roman"/>
        </w:rPr>
        <w:t>;</w:t>
      </w:r>
      <w:proofErr w:type="gramEnd"/>
    </w:p>
    <w:p w14:paraId="1A531393" w14:textId="6E7619A7" w:rsidR="00D06505" w:rsidRPr="00513BF0" w:rsidRDefault="00D06505" w:rsidP="002D4348">
      <w:pPr>
        <w:pStyle w:val="ListParagraph"/>
        <w:numPr>
          <w:ilvl w:val="0"/>
          <w:numId w:val="38"/>
        </w:numPr>
        <w:rPr>
          <w:rFonts w:ascii="Times New Roman" w:hAnsi="Times New Roman" w:cs="Times New Roman"/>
        </w:rPr>
      </w:pPr>
      <w:r w:rsidRPr="00513BF0">
        <w:rPr>
          <w:rFonts w:ascii="Times New Roman" w:hAnsi="Times New Roman" w:cs="Times New Roman"/>
        </w:rPr>
        <w:t xml:space="preserve">the winning bidder pays the first instalment </w:t>
      </w:r>
      <w:r w:rsidR="00F2420D" w:rsidRPr="00513BF0">
        <w:rPr>
          <w:rFonts w:ascii="Times New Roman" w:hAnsi="Times New Roman" w:cs="Times New Roman"/>
        </w:rPr>
        <w:t xml:space="preserve">(less any eligibility payment already made) </w:t>
      </w:r>
      <w:r w:rsidRPr="00513BF0">
        <w:rPr>
          <w:rFonts w:ascii="Times New Roman" w:hAnsi="Times New Roman" w:cs="Times New Roman"/>
        </w:rPr>
        <w:t>in accordance with that agreement and the Allocation Determination.</w:t>
      </w:r>
    </w:p>
    <w:p w14:paraId="7CD00288" w14:textId="35E2631A" w:rsidR="001C688F" w:rsidRPr="00513BF0" w:rsidRDefault="001C688F" w:rsidP="001C688F">
      <w:pPr>
        <w:rPr>
          <w:rFonts w:ascii="Times New Roman" w:hAnsi="Times New Roman" w:cs="Times New Roman"/>
        </w:rPr>
      </w:pPr>
      <w:r w:rsidRPr="00513BF0">
        <w:rPr>
          <w:rFonts w:ascii="Times New Roman" w:hAnsi="Times New Roman" w:cs="Times New Roman"/>
        </w:rPr>
        <w:t>If a spectrum licence is issued to a winning bidder after the first instalment is paid, that instalment and any subsequent instalment is not refundable in any circumstances.</w:t>
      </w:r>
    </w:p>
    <w:p w14:paraId="7B58EBB0" w14:textId="4900BA7B" w:rsidR="001C688F" w:rsidRPr="00513BF0" w:rsidRDefault="001C688F" w:rsidP="001C688F">
      <w:pPr>
        <w:rPr>
          <w:rFonts w:ascii="Times New Roman" w:hAnsi="Times New Roman" w:cs="Times New Roman"/>
        </w:rPr>
      </w:pPr>
      <w:r w:rsidRPr="00513BF0">
        <w:rPr>
          <w:rFonts w:ascii="Times New Roman" w:hAnsi="Times New Roman" w:cs="Times New Roman"/>
        </w:rPr>
        <w:t xml:space="preserve">If </w:t>
      </w:r>
      <w:r w:rsidR="002A1BE5" w:rsidRPr="00513BF0">
        <w:rPr>
          <w:rFonts w:ascii="Times New Roman" w:hAnsi="Times New Roman" w:cs="Times New Roman"/>
        </w:rPr>
        <w:t>the remaining four</w:t>
      </w:r>
      <w:r w:rsidRPr="00513BF0">
        <w:rPr>
          <w:rFonts w:ascii="Times New Roman" w:hAnsi="Times New Roman" w:cs="Times New Roman"/>
        </w:rPr>
        <w:t xml:space="preserve"> instalments are not paid by the date specified for payment in the Allocation Determination, a licensee may be in breach of the licence condition required to be included in the licence by section 67 of the Act. If a licensee contravenes a condition of its licence, the ACMA may suspend or cancel the licence (see Division 3 of Part 3.2 of the Act). The ACMA may also enforce the bank guarantee, if </w:t>
      </w:r>
      <w:r w:rsidR="00D352DD" w:rsidRPr="00513BF0">
        <w:rPr>
          <w:rFonts w:ascii="Times New Roman" w:hAnsi="Times New Roman" w:cs="Times New Roman"/>
        </w:rPr>
        <w:t xml:space="preserve">any of </w:t>
      </w:r>
      <w:r w:rsidR="002A1BE5" w:rsidRPr="00513BF0">
        <w:rPr>
          <w:rFonts w:ascii="Times New Roman" w:hAnsi="Times New Roman" w:cs="Times New Roman"/>
        </w:rPr>
        <w:t>the remaining four</w:t>
      </w:r>
      <w:r w:rsidRPr="00513BF0">
        <w:rPr>
          <w:rFonts w:ascii="Times New Roman" w:hAnsi="Times New Roman" w:cs="Times New Roman"/>
        </w:rPr>
        <w:t xml:space="preserve"> instalments are not paid by the date specified for payment in the </w:t>
      </w:r>
      <w:r w:rsidR="007A4D31" w:rsidRPr="00513BF0">
        <w:rPr>
          <w:rFonts w:ascii="Times New Roman" w:hAnsi="Times New Roman" w:cs="Times New Roman"/>
        </w:rPr>
        <w:t xml:space="preserve">agreement and the </w:t>
      </w:r>
      <w:r w:rsidRPr="00513BF0">
        <w:rPr>
          <w:rFonts w:ascii="Times New Roman" w:hAnsi="Times New Roman" w:cs="Times New Roman"/>
        </w:rPr>
        <w:t>Allocation Determination.</w:t>
      </w:r>
    </w:p>
    <w:p w14:paraId="6CF8CDFB" w14:textId="4CF313A0" w:rsidR="00D32367" w:rsidRPr="00513BF0" w:rsidRDefault="001C688F" w:rsidP="00E20D9C">
      <w:pPr>
        <w:rPr>
          <w:rFonts w:ascii="Times New Roman" w:hAnsi="Times New Roman" w:cs="Times New Roman"/>
        </w:rPr>
      </w:pPr>
      <w:r w:rsidRPr="00513BF0">
        <w:rPr>
          <w:rFonts w:ascii="Times New Roman" w:hAnsi="Times New Roman" w:cs="Times New Roman"/>
        </w:rPr>
        <w:t>The Allocation Determination sets out the relevant procedures for payment of spectrum access charges in more detail.</w:t>
      </w:r>
    </w:p>
    <w:p w14:paraId="4F33904F" w14:textId="2DD20439" w:rsidR="00E20D9C" w:rsidRPr="00513BF0" w:rsidRDefault="00E20D9C" w:rsidP="00E20D9C">
      <w:pPr>
        <w:rPr>
          <w:rFonts w:ascii="Times New Roman" w:hAnsi="Times New Roman" w:cs="Times New Roman"/>
          <w:b/>
        </w:rPr>
      </w:pPr>
      <w:r w:rsidRPr="00513BF0">
        <w:rPr>
          <w:rFonts w:ascii="Times New Roman" w:hAnsi="Times New Roman" w:cs="Times New Roman"/>
          <w:b/>
        </w:rPr>
        <w:t>Section 16</w:t>
      </w:r>
      <w:r w:rsidRPr="00513BF0">
        <w:rPr>
          <w:rFonts w:ascii="Times New Roman" w:hAnsi="Times New Roman" w:cs="Times New Roman"/>
          <w:b/>
        </w:rPr>
        <w:tab/>
        <w:t>Commencement of licences</w:t>
      </w:r>
    </w:p>
    <w:p w14:paraId="7C69EA51" w14:textId="59F434FE" w:rsidR="00B60A50" w:rsidRPr="00513BF0" w:rsidRDefault="00E20D9C" w:rsidP="00E20D9C">
      <w:pPr>
        <w:rPr>
          <w:rFonts w:ascii="Times New Roman" w:hAnsi="Times New Roman" w:cs="Times New Roman"/>
        </w:rPr>
      </w:pPr>
      <w:r w:rsidRPr="00513BF0">
        <w:rPr>
          <w:rFonts w:ascii="Times New Roman" w:hAnsi="Times New Roman" w:cs="Times New Roman"/>
        </w:rPr>
        <w:t xml:space="preserve">This section provides that licences issued as a result of the 26 GHz band auction will </w:t>
      </w:r>
      <w:r w:rsidR="006037FA" w:rsidRPr="00513BF0">
        <w:rPr>
          <w:rFonts w:ascii="Times New Roman" w:hAnsi="Times New Roman" w:cs="Times New Roman"/>
        </w:rPr>
        <w:t>come into force</w:t>
      </w:r>
      <w:r w:rsidRPr="00513BF0">
        <w:rPr>
          <w:rFonts w:ascii="Times New Roman" w:hAnsi="Times New Roman" w:cs="Times New Roman"/>
        </w:rPr>
        <w:t xml:space="preserve"> either </w:t>
      </w:r>
      <w:r w:rsidR="006B29EB" w:rsidRPr="00513BF0">
        <w:rPr>
          <w:rFonts w:ascii="Times New Roman" w:hAnsi="Times New Roman" w:cs="Times New Roman"/>
        </w:rPr>
        <w:t xml:space="preserve">12 </w:t>
      </w:r>
      <w:r w:rsidRPr="00513BF0">
        <w:rPr>
          <w:rFonts w:ascii="Times New Roman" w:hAnsi="Times New Roman" w:cs="Times New Roman"/>
        </w:rPr>
        <w:t xml:space="preserve">weeks </w:t>
      </w:r>
      <w:r w:rsidR="00B60A50" w:rsidRPr="00513BF0">
        <w:rPr>
          <w:rFonts w:ascii="Times New Roman" w:hAnsi="Times New Roman" w:cs="Times New Roman"/>
        </w:rPr>
        <w:t>after the auction manager complies with subsection 66(2) of the Allocation Determination,</w:t>
      </w:r>
      <w:r w:rsidRPr="00513BF0">
        <w:rPr>
          <w:rFonts w:ascii="Times New Roman" w:hAnsi="Times New Roman" w:cs="Times New Roman"/>
        </w:rPr>
        <w:t xml:space="preserve"> or the date the licence is issued, whichever is later.</w:t>
      </w:r>
      <w:r w:rsidR="00B60A50" w:rsidRPr="00513BF0">
        <w:rPr>
          <w:rFonts w:ascii="Times New Roman" w:hAnsi="Times New Roman" w:cs="Times New Roman"/>
        </w:rPr>
        <w:t xml:space="preserve"> </w:t>
      </w:r>
    </w:p>
    <w:p w14:paraId="0374DFC5" w14:textId="45BCFA0E" w:rsidR="006B1FBA" w:rsidRDefault="00B60A50" w:rsidP="00E20D9C">
      <w:pPr>
        <w:rPr>
          <w:rFonts w:ascii="Times New Roman" w:hAnsi="Times New Roman" w:cs="Times New Roman"/>
        </w:rPr>
      </w:pPr>
      <w:r w:rsidRPr="00513BF0">
        <w:rPr>
          <w:rFonts w:ascii="Times New Roman" w:hAnsi="Times New Roman" w:cs="Times New Roman"/>
        </w:rPr>
        <w:t xml:space="preserve">Subsection 66(2) </w:t>
      </w:r>
      <w:r w:rsidR="00651654" w:rsidRPr="00513BF0">
        <w:rPr>
          <w:rFonts w:ascii="Times New Roman" w:hAnsi="Times New Roman" w:cs="Times New Roman"/>
        </w:rPr>
        <w:t xml:space="preserve">of the </w:t>
      </w:r>
      <w:r w:rsidR="00091B3F" w:rsidRPr="00513BF0">
        <w:rPr>
          <w:rFonts w:ascii="Times New Roman" w:hAnsi="Times New Roman" w:cs="Times New Roman"/>
        </w:rPr>
        <w:t>A</w:t>
      </w:r>
      <w:r w:rsidR="00651654" w:rsidRPr="00513BF0">
        <w:rPr>
          <w:rFonts w:ascii="Times New Roman" w:hAnsi="Times New Roman" w:cs="Times New Roman"/>
        </w:rPr>
        <w:t xml:space="preserve">llocation </w:t>
      </w:r>
      <w:r w:rsidR="00091B3F" w:rsidRPr="00513BF0">
        <w:rPr>
          <w:rFonts w:ascii="Times New Roman" w:hAnsi="Times New Roman" w:cs="Times New Roman"/>
        </w:rPr>
        <w:t>D</w:t>
      </w:r>
      <w:r w:rsidR="00651654" w:rsidRPr="00513BF0">
        <w:rPr>
          <w:rFonts w:ascii="Times New Roman" w:hAnsi="Times New Roman" w:cs="Times New Roman"/>
        </w:rPr>
        <w:t xml:space="preserve">etermination </w:t>
      </w:r>
      <w:r w:rsidRPr="00513BF0">
        <w:rPr>
          <w:rFonts w:ascii="Times New Roman" w:hAnsi="Times New Roman" w:cs="Times New Roman"/>
        </w:rPr>
        <w:t>specifies that the auction manager must</w:t>
      </w:r>
      <w:r>
        <w:rPr>
          <w:rFonts w:ascii="Times New Roman" w:hAnsi="Times New Roman" w:cs="Times New Roman"/>
        </w:rPr>
        <w:t xml:space="preserve"> notify all bidders of the results of the auction, including the names of all winning bidders, the frequency ranges for each lot allocated at auction, and the winning price for which the lot was won.</w:t>
      </w:r>
    </w:p>
    <w:p w14:paraId="41D2071F" w14:textId="2D418365" w:rsidR="00EA312E" w:rsidRDefault="00EA312E" w:rsidP="00EA312E">
      <w:pPr>
        <w:rPr>
          <w:rFonts w:ascii="Times New Roman" w:hAnsi="Times New Roman" w:cs="Times New Roman"/>
          <w:b/>
        </w:rPr>
      </w:pPr>
      <w:r>
        <w:rPr>
          <w:rFonts w:ascii="Times New Roman" w:hAnsi="Times New Roman" w:cs="Times New Roman"/>
          <w:b/>
        </w:rPr>
        <w:t>Section 1</w:t>
      </w:r>
      <w:r w:rsidR="00E20D9C">
        <w:rPr>
          <w:rFonts w:ascii="Times New Roman" w:hAnsi="Times New Roman" w:cs="Times New Roman"/>
          <w:b/>
        </w:rPr>
        <w:t>7</w:t>
      </w:r>
      <w:r>
        <w:rPr>
          <w:rFonts w:ascii="Times New Roman" w:hAnsi="Times New Roman" w:cs="Times New Roman"/>
          <w:b/>
        </w:rPr>
        <w:tab/>
        <w:t>Duration of licences</w:t>
      </w:r>
    </w:p>
    <w:p w14:paraId="31680E00" w14:textId="753455FB" w:rsidR="00EA312E" w:rsidRDefault="00A51CCC" w:rsidP="00EA312E">
      <w:pPr>
        <w:rPr>
          <w:rFonts w:ascii="Times New Roman" w:hAnsi="Times New Roman" w:cs="Times New Roman"/>
        </w:rPr>
      </w:pPr>
      <w:r>
        <w:rPr>
          <w:rFonts w:ascii="Times New Roman" w:hAnsi="Times New Roman" w:cs="Times New Roman"/>
        </w:rPr>
        <w:t xml:space="preserve">This section </w:t>
      </w:r>
      <w:r w:rsidR="006037FA">
        <w:rPr>
          <w:rFonts w:ascii="Times New Roman" w:hAnsi="Times New Roman" w:cs="Times New Roman"/>
        </w:rPr>
        <w:t xml:space="preserve">provides </w:t>
      </w:r>
      <w:r w:rsidR="00692BE7" w:rsidRPr="00100AC9">
        <w:rPr>
          <w:rFonts w:ascii="Times New Roman" w:hAnsi="Times New Roman" w:cs="Times New Roman"/>
        </w:rPr>
        <w:t xml:space="preserve">that </w:t>
      </w:r>
      <w:r w:rsidR="006B1FBA" w:rsidRPr="00100AC9">
        <w:rPr>
          <w:rFonts w:ascii="Times New Roman" w:hAnsi="Times New Roman" w:cs="Times New Roman"/>
        </w:rPr>
        <w:t xml:space="preserve">all the spectrum </w:t>
      </w:r>
      <w:r w:rsidR="00692BE7" w:rsidRPr="00100AC9">
        <w:rPr>
          <w:rFonts w:ascii="Times New Roman" w:hAnsi="Times New Roman" w:cs="Times New Roman"/>
        </w:rPr>
        <w:t xml:space="preserve">licences issued will remain in force for a period </w:t>
      </w:r>
      <w:r w:rsidR="006037FA" w:rsidRPr="00100AC9">
        <w:rPr>
          <w:rFonts w:ascii="Times New Roman" w:hAnsi="Times New Roman" w:cs="Times New Roman"/>
        </w:rPr>
        <w:t xml:space="preserve">starting on the day the licence comes into force and ending </w:t>
      </w:r>
      <w:r w:rsidR="00692BE7" w:rsidRPr="00100AC9">
        <w:rPr>
          <w:rFonts w:ascii="Times New Roman" w:hAnsi="Times New Roman" w:cs="Times New Roman"/>
        </w:rPr>
        <w:t xml:space="preserve">15 years and </w:t>
      </w:r>
      <w:r w:rsidR="006B29EB" w:rsidRPr="00100AC9">
        <w:rPr>
          <w:rFonts w:ascii="Times New Roman" w:hAnsi="Times New Roman" w:cs="Times New Roman"/>
        </w:rPr>
        <w:t xml:space="preserve">12 </w:t>
      </w:r>
      <w:r w:rsidR="00692BE7" w:rsidRPr="00100AC9">
        <w:rPr>
          <w:rFonts w:ascii="Times New Roman" w:hAnsi="Times New Roman" w:cs="Times New Roman"/>
        </w:rPr>
        <w:t>weeks after the auction manager complies with subsection 66(2) of the</w:t>
      </w:r>
      <w:r w:rsidR="00692BE7">
        <w:rPr>
          <w:rFonts w:ascii="Times New Roman" w:hAnsi="Times New Roman" w:cs="Times New Roman"/>
        </w:rPr>
        <w:t xml:space="preserve"> Allocation Determination. </w:t>
      </w:r>
      <w:r w:rsidR="006B1FBA">
        <w:rPr>
          <w:rFonts w:ascii="Times New Roman" w:hAnsi="Times New Roman" w:cs="Times New Roman"/>
        </w:rPr>
        <w:t>That is, all licences will end on the same day.</w:t>
      </w:r>
    </w:p>
    <w:p w14:paraId="4C0808BA" w14:textId="2FBFBEDB" w:rsidR="00EA312E" w:rsidRDefault="00EA312E" w:rsidP="00100AC9">
      <w:pPr>
        <w:keepNext/>
        <w:spacing w:line="257" w:lineRule="auto"/>
        <w:rPr>
          <w:rFonts w:ascii="Times New Roman" w:hAnsi="Times New Roman" w:cs="Times New Roman"/>
          <w:b/>
        </w:rPr>
      </w:pPr>
      <w:r>
        <w:rPr>
          <w:rFonts w:ascii="Times New Roman" w:hAnsi="Times New Roman" w:cs="Times New Roman"/>
          <w:b/>
        </w:rPr>
        <w:lastRenderedPageBreak/>
        <w:t>Section 18</w:t>
      </w:r>
      <w:r>
        <w:rPr>
          <w:rFonts w:ascii="Times New Roman" w:hAnsi="Times New Roman" w:cs="Times New Roman"/>
          <w:b/>
        </w:rPr>
        <w:tab/>
        <w:t>Core licence conditions</w:t>
      </w:r>
    </w:p>
    <w:p w14:paraId="27550E16" w14:textId="3292F4AE" w:rsidR="00DC21C4" w:rsidRDefault="00DC21C4" w:rsidP="00EA312E">
      <w:pPr>
        <w:rPr>
          <w:rFonts w:ascii="Times New Roman" w:hAnsi="Times New Roman" w:cs="Times New Roman"/>
        </w:rPr>
      </w:pPr>
      <w:r w:rsidRPr="00DC21C4">
        <w:rPr>
          <w:rFonts w:ascii="Times New Roman" w:hAnsi="Times New Roman" w:cs="Times New Roman"/>
        </w:rPr>
        <w:t>Under section 66 of the Act, there are a number of core conditions which a spectrum licence must include. This section sets out the types of core conditions to be included in a spectrum licence allocated in accordance with the Marketing Plan, including the geographic area and frequency bands in which a radiocommunications device can be operated under a spectrum licence, and the out-of-area and out-of-band emission levels.</w:t>
      </w:r>
    </w:p>
    <w:p w14:paraId="1CD0681A" w14:textId="5F645671" w:rsidR="00EA312E" w:rsidRDefault="00EA312E" w:rsidP="00EA312E">
      <w:pPr>
        <w:rPr>
          <w:rFonts w:ascii="Times New Roman" w:hAnsi="Times New Roman" w:cs="Times New Roman"/>
          <w:b/>
        </w:rPr>
      </w:pPr>
      <w:r>
        <w:rPr>
          <w:rFonts w:ascii="Times New Roman" w:hAnsi="Times New Roman" w:cs="Times New Roman"/>
          <w:b/>
        </w:rPr>
        <w:t>Section 19</w:t>
      </w:r>
      <w:r>
        <w:rPr>
          <w:rFonts w:ascii="Times New Roman" w:hAnsi="Times New Roman" w:cs="Times New Roman"/>
          <w:b/>
        </w:rPr>
        <w:tab/>
        <w:t>Determining core licence conditions</w:t>
      </w:r>
    </w:p>
    <w:p w14:paraId="4E50E840" w14:textId="77E31ACC" w:rsidR="00A76CD8" w:rsidRPr="00A76CD8" w:rsidRDefault="00A76CD8" w:rsidP="00A76CD8">
      <w:pPr>
        <w:rPr>
          <w:rFonts w:ascii="Times New Roman" w:hAnsi="Times New Roman" w:cs="Times New Roman"/>
        </w:rPr>
      </w:pPr>
      <w:r w:rsidRPr="00A76CD8">
        <w:rPr>
          <w:rFonts w:ascii="Times New Roman" w:hAnsi="Times New Roman" w:cs="Times New Roman"/>
        </w:rPr>
        <w:t xml:space="preserve">This section explains how the core conditions for spectrum licences issued in the </w:t>
      </w:r>
      <w:r>
        <w:rPr>
          <w:rFonts w:ascii="Times New Roman" w:hAnsi="Times New Roman" w:cs="Times New Roman"/>
        </w:rPr>
        <w:t>2</w:t>
      </w:r>
      <w:r w:rsidRPr="00A76CD8">
        <w:rPr>
          <w:rFonts w:ascii="Times New Roman" w:hAnsi="Times New Roman" w:cs="Times New Roman"/>
        </w:rPr>
        <w:t>6 GHz band as a result of an auction will be determined.</w:t>
      </w:r>
    </w:p>
    <w:p w14:paraId="1683C7C6" w14:textId="618F6CEB" w:rsidR="00A76CD8" w:rsidRPr="00A76CD8" w:rsidRDefault="00A76CD8" w:rsidP="00A76CD8">
      <w:pPr>
        <w:rPr>
          <w:rFonts w:ascii="Times New Roman" w:hAnsi="Times New Roman" w:cs="Times New Roman"/>
        </w:rPr>
      </w:pPr>
      <w:r w:rsidRPr="00A76CD8">
        <w:rPr>
          <w:rFonts w:ascii="Times New Roman" w:hAnsi="Times New Roman" w:cs="Times New Roman"/>
        </w:rPr>
        <w:t>Each licence will specify a range of frequencies within which the licensee may operate radiocommunications devices. The range of frequencies will depend on the lots the licensee has been allocated in accordance with the Allocation Determination. If a licensee has been allocated multiple lots, the licence issued may specify the aggregate frequency range for the lots.</w:t>
      </w:r>
    </w:p>
    <w:p w14:paraId="355619EF" w14:textId="63C3F8ED" w:rsidR="00A76CD8" w:rsidRPr="00A76CD8" w:rsidRDefault="00A76CD8" w:rsidP="00A76CD8">
      <w:pPr>
        <w:rPr>
          <w:rFonts w:ascii="Times New Roman" w:hAnsi="Times New Roman" w:cs="Times New Roman"/>
        </w:rPr>
      </w:pPr>
      <w:r w:rsidRPr="00A76CD8">
        <w:rPr>
          <w:rFonts w:ascii="Times New Roman" w:hAnsi="Times New Roman" w:cs="Times New Roman"/>
        </w:rPr>
        <w:t xml:space="preserve">Each licence will also specify the geographic area within which the licensee may operate </w:t>
      </w:r>
      <w:r w:rsidRPr="00100AC9">
        <w:rPr>
          <w:rFonts w:ascii="Times New Roman" w:hAnsi="Times New Roman" w:cs="Times New Roman"/>
        </w:rPr>
        <w:t xml:space="preserve">radiocommunications devices. The geographic area will be the region, or regions, described in Schedule </w:t>
      </w:r>
      <w:r w:rsidR="00FD116C" w:rsidRPr="00100AC9">
        <w:rPr>
          <w:rFonts w:ascii="Times New Roman" w:hAnsi="Times New Roman" w:cs="Times New Roman"/>
        </w:rPr>
        <w:t>3</w:t>
      </w:r>
      <w:r w:rsidRPr="00100AC9">
        <w:rPr>
          <w:rFonts w:ascii="Times New Roman" w:hAnsi="Times New Roman" w:cs="Times New Roman"/>
        </w:rPr>
        <w:t xml:space="preserve"> to the Marketing Plan for the lots allocated in accordance with the Allocation Determination.</w:t>
      </w:r>
      <w:r w:rsidRPr="00A76CD8">
        <w:rPr>
          <w:rFonts w:ascii="Times New Roman" w:hAnsi="Times New Roman" w:cs="Times New Roman"/>
        </w:rPr>
        <w:t xml:space="preserve"> </w:t>
      </w:r>
    </w:p>
    <w:p w14:paraId="4DAE67F6" w14:textId="180B3CA3" w:rsidR="00A76CD8" w:rsidRPr="00A76CD8" w:rsidRDefault="00A76CD8" w:rsidP="00A76CD8">
      <w:pPr>
        <w:rPr>
          <w:rFonts w:ascii="Times New Roman" w:hAnsi="Times New Roman" w:cs="Times New Roman"/>
        </w:rPr>
      </w:pPr>
      <w:r w:rsidRPr="00A76CD8">
        <w:rPr>
          <w:rFonts w:ascii="Times New Roman" w:hAnsi="Times New Roman" w:cs="Times New Roman"/>
        </w:rPr>
        <w:t>The regions are defined by an identifier scheme adopted by the ACMA in 2012</w:t>
      </w:r>
      <w:r w:rsidR="00776332">
        <w:rPr>
          <w:rFonts w:ascii="Times New Roman" w:hAnsi="Times New Roman" w:cs="Times New Roman"/>
        </w:rPr>
        <w:t>, the Hierarchical Cell Identif</w:t>
      </w:r>
      <w:r w:rsidR="00BE11F0">
        <w:rPr>
          <w:rFonts w:ascii="Times New Roman" w:hAnsi="Times New Roman" w:cs="Times New Roman"/>
        </w:rPr>
        <w:t>ication</w:t>
      </w:r>
      <w:r w:rsidR="00776332">
        <w:rPr>
          <w:rFonts w:ascii="Times New Roman" w:hAnsi="Times New Roman" w:cs="Times New Roman"/>
        </w:rPr>
        <w:t xml:space="preserve"> Scheme</w:t>
      </w:r>
      <w:r w:rsidRPr="00A76CD8">
        <w:rPr>
          <w:rFonts w:ascii="Times New Roman" w:hAnsi="Times New Roman" w:cs="Times New Roman"/>
        </w:rPr>
        <w:t xml:space="preserve"> (</w:t>
      </w:r>
      <w:r w:rsidRPr="00D1539F">
        <w:rPr>
          <w:rFonts w:ascii="Times New Roman" w:hAnsi="Times New Roman" w:cs="Times New Roman"/>
          <w:b/>
        </w:rPr>
        <w:t>the HCIS</w:t>
      </w:r>
      <w:r w:rsidRPr="00A76CD8">
        <w:rPr>
          <w:rFonts w:ascii="Times New Roman" w:hAnsi="Times New Roman" w:cs="Times New Roman"/>
        </w:rPr>
        <w:t xml:space="preserve">). Under the HCIS, </w:t>
      </w:r>
      <w:r w:rsidR="00B116B0">
        <w:rPr>
          <w:rFonts w:ascii="Times New Roman" w:hAnsi="Times New Roman" w:cs="Times New Roman"/>
        </w:rPr>
        <w:t xml:space="preserve">an </w:t>
      </w:r>
      <w:r w:rsidRPr="00A76CD8">
        <w:rPr>
          <w:rFonts w:ascii="Times New Roman" w:hAnsi="Times New Roman" w:cs="Times New Roman"/>
        </w:rPr>
        <w:t xml:space="preserve">area </w:t>
      </w:r>
      <w:r w:rsidR="00B116B0">
        <w:rPr>
          <w:rFonts w:ascii="Times New Roman" w:hAnsi="Times New Roman" w:cs="Times New Roman"/>
        </w:rPr>
        <w:t>is</w:t>
      </w:r>
      <w:r w:rsidRPr="00A76CD8">
        <w:rPr>
          <w:rFonts w:ascii="Times New Roman" w:hAnsi="Times New Roman" w:cs="Times New Roman"/>
        </w:rPr>
        <w:t xml:space="preserve"> defined by referring to a set of identifiers which collectively correspond to a single area on the </w:t>
      </w:r>
      <w:r w:rsidR="00FD7F93" w:rsidRPr="00A76CD8">
        <w:rPr>
          <w:rFonts w:ascii="Times New Roman" w:hAnsi="Times New Roman" w:cs="Times New Roman"/>
        </w:rPr>
        <w:t xml:space="preserve">Australian Spectrum Map Grid </w:t>
      </w:r>
      <w:r w:rsidR="00FD7F93">
        <w:rPr>
          <w:rFonts w:ascii="Times New Roman" w:hAnsi="Times New Roman" w:cs="Times New Roman"/>
        </w:rPr>
        <w:t>(</w:t>
      </w:r>
      <w:r w:rsidRPr="00F438D7">
        <w:rPr>
          <w:rFonts w:ascii="Times New Roman" w:hAnsi="Times New Roman" w:cs="Times New Roman"/>
          <w:b/>
          <w:bCs/>
        </w:rPr>
        <w:t>the ASMG</w:t>
      </w:r>
      <w:r w:rsidR="00FD7F93">
        <w:rPr>
          <w:rFonts w:ascii="Times New Roman" w:hAnsi="Times New Roman" w:cs="Times New Roman"/>
        </w:rPr>
        <w:t>)</w:t>
      </w:r>
      <w:r w:rsidRPr="00A76CD8">
        <w:rPr>
          <w:rFonts w:ascii="Times New Roman" w:hAnsi="Times New Roman" w:cs="Times New Roman"/>
        </w:rPr>
        <w:t xml:space="preserve">. The ASMG is described in more detail, including the use of geographic co-ordinates to define the ASMG outer boundary, in the Australian Spectrum Map Grid 2012, available from the ACMA’s website at </w:t>
      </w:r>
      <w:hyperlink r:id="rId20" w:history="1">
        <w:r w:rsidRPr="00D3701D">
          <w:rPr>
            <w:rStyle w:val="Hyperlink"/>
            <w:rFonts w:ascii="Times New Roman" w:hAnsi="Times New Roman" w:cs="Times New Roman"/>
          </w:rPr>
          <w:t>www.acma.gov.au</w:t>
        </w:r>
      </w:hyperlink>
      <w:r w:rsidRPr="00A76CD8">
        <w:rPr>
          <w:rFonts w:ascii="Times New Roman" w:hAnsi="Times New Roman" w:cs="Times New Roman"/>
        </w:rPr>
        <w:t>.</w:t>
      </w:r>
      <w:r>
        <w:rPr>
          <w:rFonts w:ascii="Times New Roman" w:hAnsi="Times New Roman" w:cs="Times New Roman"/>
        </w:rPr>
        <w:t xml:space="preserve"> </w:t>
      </w:r>
    </w:p>
    <w:p w14:paraId="79D4740E" w14:textId="3D438EA4" w:rsidR="00A76CD8" w:rsidRPr="006453D4" w:rsidRDefault="00A76CD8" w:rsidP="00A76CD8">
      <w:pPr>
        <w:rPr>
          <w:rFonts w:ascii="Times New Roman" w:hAnsi="Times New Roman" w:cs="Times New Roman"/>
        </w:rPr>
      </w:pPr>
      <w:r w:rsidRPr="00A76CD8">
        <w:rPr>
          <w:rFonts w:ascii="Times New Roman" w:hAnsi="Times New Roman" w:cs="Times New Roman"/>
        </w:rPr>
        <w:t xml:space="preserve">The ASMG divides the Australian land mass into a grid of squares (cells) of four sizes, with the side lengths of the largest to smallest cells being, respectively, 3 degrees, 1 degree, 15 </w:t>
      </w:r>
      <w:proofErr w:type="gramStart"/>
      <w:r w:rsidRPr="00A76CD8">
        <w:rPr>
          <w:rFonts w:ascii="Times New Roman" w:hAnsi="Times New Roman" w:cs="Times New Roman"/>
        </w:rPr>
        <w:t>minutes</w:t>
      </w:r>
      <w:proofErr w:type="gramEnd"/>
      <w:r w:rsidRPr="00A76CD8">
        <w:rPr>
          <w:rFonts w:ascii="Times New Roman" w:hAnsi="Times New Roman" w:cs="Times New Roman"/>
        </w:rPr>
        <w:t xml:space="preserve"> and 5 minutes of arc. The HCIS names the cells in this tiered structure, with cells of each size given a unique identifier name. Under this system, the region for a lot is comprised of a collection of unique identifiers that cover the required geographic area on the ASMG. </w:t>
      </w:r>
      <w:r w:rsidRPr="00281F51">
        <w:rPr>
          <w:rFonts w:ascii="Times New Roman" w:hAnsi="Times New Roman" w:cs="Times New Roman"/>
        </w:rPr>
        <w:t>Spatial data files available from the ACMA’s website may be used to generate a map of an area defined by a set of HCIS identifiers with geographic information</w:t>
      </w:r>
      <w:r w:rsidR="00123B98" w:rsidRPr="00281F51">
        <w:rPr>
          <w:rFonts w:ascii="Times New Roman" w:hAnsi="Times New Roman" w:cs="Times New Roman"/>
        </w:rPr>
        <w:t xml:space="preserve"> systems</w:t>
      </w:r>
      <w:r w:rsidRPr="00281F51">
        <w:rPr>
          <w:rFonts w:ascii="Times New Roman" w:hAnsi="Times New Roman" w:cs="Times New Roman"/>
        </w:rPr>
        <w:t xml:space="preserve"> software. A HCIS area description to Placemark conversion tool has also been developed and is available online at the ACMA </w:t>
      </w:r>
      <w:r w:rsidRPr="006453D4">
        <w:rPr>
          <w:rFonts w:ascii="Times New Roman" w:hAnsi="Times New Roman" w:cs="Times New Roman"/>
        </w:rPr>
        <w:t xml:space="preserve">website: </w:t>
      </w:r>
      <w:hyperlink r:id="rId21" w:history="1">
        <w:r w:rsidRPr="006453D4">
          <w:rPr>
            <w:rStyle w:val="Hyperlink"/>
            <w:rFonts w:ascii="Times New Roman" w:hAnsi="Times New Roman" w:cs="Times New Roman"/>
          </w:rPr>
          <w:t>www.acma.gov.au</w:t>
        </w:r>
      </w:hyperlink>
      <w:r w:rsidRPr="006453D4">
        <w:rPr>
          <w:rFonts w:ascii="Times New Roman" w:hAnsi="Times New Roman" w:cs="Times New Roman"/>
        </w:rPr>
        <w:t xml:space="preserve">. </w:t>
      </w:r>
    </w:p>
    <w:p w14:paraId="3AFC4EC9" w14:textId="725EE351" w:rsidR="00A76CD8" w:rsidRPr="006453D4" w:rsidRDefault="00DC3CCB" w:rsidP="00A76CD8">
      <w:pPr>
        <w:rPr>
          <w:rFonts w:ascii="Times New Roman" w:hAnsi="Times New Roman" w:cs="Times New Roman"/>
        </w:rPr>
      </w:pPr>
      <w:r w:rsidRPr="006453D4">
        <w:rPr>
          <w:rFonts w:ascii="Times New Roman" w:hAnsi="Times New Roman" w:cs="Times New Roman"/>
        </w:rPr>
        <w:t>I</w:t>
      </w:r>
      <w:r w:rsidR="00A76CD8" w:rsidRPr="006453D4">
        <w:rPr>
          <w:rFonts w:ascii="Times New Roman" w:hAnsi="Times New Roman" w:cs="Times New Roman"/>
        </w:rPr>
        <w:t>ndicative map</w:t>
      </w:r>
      <w:r w:rsidRPr="006453D4">
        <w:rPr>
          <w:rFonts w:ascii="Times New Roman" w:hAnsi="Times New Roman" w:cs="Times New Roman"/>
        </w:rPr>
        <w:t>s</w:t>
      </w:r>
      <w:r w:rsidR="00A76CD8" w:rsidRPr="006453D4">
        <w:rPr>
          <w:rFonts w:ascii="Times New Roman" w:hAnsi="Times New Roman" w:cs="Times New Roman"/>
        </w:rPr>
        <w:t xml:space="preserve"> that illustrate the areas of the regions </w:t>
      </w:r>
      <w:r w:rsidR="00B01FE9" w:rsidRPr="006453D4">
        <w:rPr>
          <w:rFonts w:ascii="Times New Roman" w:hAnsi="Times New Roman" w:cs="Times New Roman"/>
        </w:rPr>
        <w:t xml:space="preserve">are </w:t>
      </w:r>
      <w:r w:rsidR="00A76CD8" w:rsidRPr="006453D4">
        <w:rPr>
          <w:rFonts w:ascii="Times New Roman" w:hAnsi="Times New Roman" w:cs="Times New Roman"/>
        </w:rPr>
        <w:t xml:space="preserve">shown in Schedule </w:t>
      </w:r>
      <w:r w:rsidR="00FD116C" w:rsidRPr="006453D4">
        <w:rPr>
          <w:rFonts w:ascii="Times New Roman" w:hAnsi="Times New Roman" w:cs="Times New Roman"/>
        </w:rPr>
        <w:t>3</w:t>
      </w:r>
      <w:r w:rsidR="00A76CD8" w:rsidRPr="006453D4">
        <w:rPr>
          <w:rFonts w:ascii="Times New Roman" w:hAnsi="Times New Roman" w:cs="Times New Roman"/>
        </w:rPr>
        <w:t xml:space="preserve"> to the Marketing Plan.</w:t>
      </w:r>
    </w:p>
    <w:p w14:paraId="08C422B3" w14:textId="0221FB4E" w:rsidR="001C6508" w:rsidRDefault="00A76CD8" w:rsidP="00A76CD8">
      <w:pPr>
        <w:rPr>
          <w:rFonts w:ascii="Times New Roman" w:hAnsi="Times New Roman" w:cs="Times New Roman"/>
        </w:rPr>
      </w:pPr>
      <w:r w:rsidRPr="006453D4">
        <w:rPr>
          <w:rFonts w:ascii="Times New Roman" w:hAnsi="Times New Roman" w:cs="Times New Roman"/>
        </w:rPr>
        <w:t xml:space="preserve">Subsections 19(2) and 19(3) of the Marketing Plan provide that the emission limits, which will be licence conditions included in the spectrum licences issued in accordance with the Marketing Plan, will be calculated in accordance with Schedules </w:t>
      </w:r>
      <w:r w:rsidR="00FD116C" w:rsidRPr="006453D4">
        <w:rPr>
          <w:rFonts w:ascii="Times New Roman" w:hAnsi="Times New Roman" w:cs="Times New Roman"/>
        </w:rPr>
        <w:t>4</w:t>
      </w:r>
      <w:r w:rsidRPr="006453D4">
        <w:rPr>
          <w:rFonts w:ascii="Times New Roman" w:hAnsi="Times New Roman" w:cs="Times New Roman"/>
        </w:rPr>
        <w:t xml:space="preserve"> and </w:t>
      </w:r>
      <w:r w:rsidR="00FD116C" w:rsidRPr="006453D4">
        <w:rPr>
          <w:rFonts w:ascii="Times New Roman" w:hAnsi="Times New Roman" w:cs="Times New Roman"/>
        </w:rPr>
        <w:t>5</w:t>
      </w:r>
      <w:r w:rsidRPr="006453D4">
        <w:rPr>
          <w:rFonts w:ascii="Times New Roman" w:hAnsi="Times New Roman" w:cs="Times New Roman"/>
        </w:rPr>
        <w:t xml:space="preserve"> to the Marketing Plan. These Schedules are, respectively, used to calculate the maximum emission limits allowable outside</w:t>
      </w:r>
      <w:r w:rsidRPr="00A76CD8">
        <w:rPr>
          <w:rFonts w:ascii="Times New Roman" w:hAnsi="Times New Roman" w:cs="Times New Roman"/>
        </w:rPr>
        <w:t xml:space="preserve"> the geographic area, and outside the frequency band, of a spectrum licence, and they form part of the core conditions of each licence. </w:t>
      </w:r>
    </w:p>
    <w:p w14:paraId="287B2A0A" w14:textId="63DF4E1A" w:rsidR="00EA312E" w:rsidRDefault="00EA312E" w:rsidP="006453D4">
      <w:pPr>
        <w:keepNext/>
        <w:keepLines/>
        <w:spacing w:line="257" w:lineRule="auto"/>
        <w:rPr>
          <w:rFonts w:ascii="Times New Roman" w:hAnsi="Times New Roman" w:cs="Times New Roman"/>
          <w:b/>
        </w:rPr>
      </w:pPr>
      <w:r>
        <w:rPr>
          <w:rFonts w:ascii="Times New Roman" w:hAnsi="Times New Roman" w:cs="Times New Roman"/>
          <w:b/>
        </w:rPr>
        <w:lastRenderedPageBreak/>
        <w:t>Section 20</w:t>
      </w:r>
      <w:r>
        <w:rPr>
          <w:rFonts w:ascii="Times New Roman" w:hAnsi="Times New Roman" w:cs="Times New Roman"/>
          <w:b/>
        </w:rPr>
        <w:tab/>
        <w:t>Other licence conditions</w:t>
      </w:r>
    </w:p>
    <w:p w14:paraId="153A61DC" w14:textId="73220860" w:rsidR="009C1E86" w:rsidRPr="006453D4" w:rsidRDefault="009C1E86" w:rsidP="006453D4">
      <w:pPr>
        <w:keepNext/>
        <w:keepLines/>
        <w:spacing w:line="257" w:lineRule="auto"/>
        <w:rPr>
          <w:rFonts w:ascii="Times New Roman" w:hAnsi="Times New Roman" w:cs="Times New Roman"/>
        </w:rPr>
      </w:pPr>
      <w:r w:rsidRPr="009C1E86">
        <w:rPr>
          <w:rFonts w:ascii="Times New Roman" w:hAnsi="Times New Roman" w:cs="Times New Roman"/>
        </w:rPr>
        <w:t xml:space="preserve">This section identifies other kinds of statutory licence conditions and other licence conditions that may be included in each spectrum licence issued under this allocation process, but which are not core conditions of the licence. These include the conditions in relation to payment to the ACMA of applicable charges, use by third parties, registration requirements for radiocommunications transmitters and residency requirements of the </w:t>
      </w:r>
      <w:r w:rsidRPr="006453D4">
        <w:rPr>
          <w:rFonts w:ascii="Times New Roman" w:hAnsi="Times New Roman" w:cs="Times New Roman"/>
        </w:rPr>
        <w:t xml:space="preserve">licensee. The ACMA may also include conditions about other matters, including conditions relating to interference management. Some of these conditions are included in the sample licence at Schedule </w:t>
      </w:r>
      <w:r w:rsidR="00FD116C" w:rsidRPr="006453D4">
        <w:rPr>
          <w:rFonts w:ascii="Times New Roman" w:hAnsi="Times New Roman" w:cs="Times New Roman"/>
        </w:rPr>
        <w:t>6</w:t>
      </w:r>
      <w:r w:rsidRPr="006453D4">
        <w:rPr>
          <w:rFonts w:ascii="Times New Roman" w:hAnsi="Times New Roman" w:cs="Times New Roman"/>
        </w:rPr>
        <w:t>.</w:t>
      </w:r>
    </w:p>
    <w:p w14:paraId="03D61BFE" w14:textId="2EFF45B1" w:rsidR="009C1E86" w:rsidRDefault="009C1E86" w:rsidP="00EA312E">
      <w:pPr>
        <w:rPr>
          <w:rFonts w:ascii="Times New Roman" w:hAnsi="Times New Roman" w:cs="Times New Roman"/>
        </w:rPr>
      </w:pPr>
      <w:r w:rsidRPr="006453D4">
        <w:rPr>
          <w:rFonts w:ascii="Times New Roman" w:hAnsi="Times New Roman" w:cs="Times New Roman"/>
        </w:rPr>
        <w:t>Each spectrum licence will also include a condition requiring the licensee to ensure that they protect any apparatus licence operating in a</w:t>
      </w:r>
      <w:r w:rsidR="00EC4165" w:rsidRPr="006453D4">
        <w:rPr>
          <w:rFonts w:ascii="Times New Roman" w:hAnsi="Times New Roman" w:cs="Times New Roman"/>
        </w:rPr>
        <w:t>n area subject to</w:t>
      </w:r>
      <w:r w:rsidRPr="006453D4">
        <w:rPr>
          <w:rFonts w:ascii="Times New Roman" w:hAnsi="Times New Roman" w:cs="Times New Roman"/>
        </w:rPr>
        <w:t xml:space="preserve"> re-allocation</w:t>
      </w:r>
      <w:r w:rsidRPr="009C1E86">
        <w:rPr>
          <w:rFonts w:ascii="Times New Roman" w:hAnsi="Times New Roman" w:cs="Times New Roman"/>
        </w:rPr>
        <w:t xml:space="preserve"> in the </w:t>
      </w:r>
      <w:r>
        <w:rPr>
          <w:rFonts w:ascii="Times New Roman" w:hAnsi="Times New Roman" w:cs="Times New Roman"/>
        </w:rPr>
        <w:t>26</w:t>
      </w:r>
      <w:r w:rsidRPr="009C1E86">
        <w:rPr>
          <w:rFonts w:ascii="Times New Roman" w:hAnsi="Times New Roman" w:cs="Times New Roman"/>
        </w:rPr>
        <w:t xml:space="preserve"> GHz </w:t>
      </w:r>
      <w:r w:rsidR="00BD0852">
        <w:rPr>
          <w:rFonts w:ascii="Times New Roman" w:hAnsi="Times New Roman" w:cs="Times New Roman"/>
        </w:rPr>
        <w:t xml:space="preserve">band </w:t>
      </w:r>
      <w:r w:rsidRPr="009C1E86">
        <w:rPr>
          <w:rFonts w:ascii="Times New Roman" w:hAnsi="Times New Roman" w:cs="Times New Roman"/>
        </w:rPr>
        <w:t>until the end of the re-allocation period. This condition ensures that incumbent apparatus licences that are authorised to operate in the band for a period of time after the new spectrum licences commence are protected from interference.</w:t>
      </w:r>
    </w:p>
    <w:p w14:paraId="7F41EC97" w14:textId="1AE7B988" w:rsidR="00940674" w:rsidRDefault="00940674" w:rsidP="00EA312E">
      <w:pPr>
        <w:rPr>
          <w:rFonts w:ascii="Times New Roman" w:hAnsi="Times New Roman" w:cs="Times New Roman"/>
        </w:rPr>
      </w:pPr>
      <w:r>
        <w:rPr>
          <w:rFonts w:ascii="Times New Roman" w:hAnsi="Times New Roman" w:cs="Times New Roman"/>
        </w:rPr>
        <w:t>Existing apparatus licences in the areas specified in the</w:t>
      </w:r>
      <w:r w:rsidR="00EE4C4A">
        <w:rPr>
          <w:rFonts w:ascii="Times New Roman" w:hAnsi="Times New Roman" w:cs="Times New Roman"/>
        </w:rPr>
        <w:t xml:space="preserve"> </w:t>
      </w:r>
      <w:r w:rsidR="007213DE">
        <w:rPr>
          <w:rFonts w:ascii="Times New Roman" w:hAnsi="Times New Roman" w:cs="Times New Roman"/>
        </w:rPr>
        <w:t>R</w:t>
      </w:r>
      <w:r w:rsidR="00EE4C4A">
        <w:rPr>
          <w:rFonts w:ascii="Times New Roman" w:hAnsi="Times New Roman" w:cs="Times New Roman"/>
        </w:rPr>
        <w:t xml:space="preserve">e-allocation </w:t>
      </w:r>
      <w:r w:rsidR="007213DE">
        <w:rPr>
          <w:rFonts w:ascii="Times New Roman" w:hAnsi="Times New Roman" w:cs="Times New Roman"/>
        </w:rPr>
        <w:t>D</w:t>
      </w:r>
      <w:r w:rsidR="00EE4C4A">
        <w:rPr>
          <w:rFonts w:ascii="Times New Roman" w:hAnsi="Times New Roman" w:cs="Times New Roman"/>
        </w:rPr>
        <w:t>eclaration</w:t>
      </w:r>
      <w:r>
        <w:rPr>
          <w:rFonts w:ascii="Times New Roman" w:hAnsi="Times New Roman" w:cs="Times New Roman"/>
        </w:rPr>
        <w:t xml:space="preserve"> will be protected until the end of the re-allocation period. </w:t>
      </w:r>
      <w:r w:rsidR="007C29A1">
        <w:rPr>
          <w:rFonts w:ascii="Times New Roman" w:hAnsi="Times New Roman" w:cs="Times New Roman"/>
        </w:rPr>
        <w:t xml:space="preserve">At </w:t>
      </w:r>
      <w:r>
        <w:rPr>
          <w:rFonts w:ascii="Times New Roman" w:hAnsi="Times New Roman" w:cs="Times New Roman"/>
        </w:rPr>
        <w:t>the end of the re-allocation period, the incumbent apparatus licences will be automatically cancelled in accordance with Part 3.6 of the Act.</w:t>
      </w:r>
    </w:p>
    <w:p w14:paraId="2D28239E" w14:textId="77777777" w:rsidR="00654842" w:rsidRDefault="001D2097" w:rsidP="00EA312E">
      <w:pPr>
        <w:rPr>
          <w:rFonts w:ascii="Times New Roman" w:hAnsi="Times New Roman" w:cs="Times New Roman"/>
        </w:rPr>
      </w:pPr>
      <w:r w:rsidRPr="00312690">
        <w:rPr>
          <w:rFonts w:ascii="Times New Roman" w:hAnsi="Times New Roman" w:cs="Times New Roman"/>
        </w:rPr>
        <w:t xml:space="preserve">Each spectrum licence will also include a condition requiring the licensee to take certain steps to manage interference with a radiocommunications device operated under another 26 GHz band spectrum licence, or certain apparatus licences, by synchronising operation of devices under their licence with those other devices in certain circumstances. </w:t>
      </w:r>
    </w:p>
    <w:p w14:paraId="54899599" w14:textId="530FFC0B" w:rsidR="00DF55E4" w:rsidRPr="006453D4" w:rsidRDefault="00DF55E4" w:rsidP="00EA312E">
      <w:pPr>
        <w:rPr>
          <w:rFonts w:ascii="Times New Roman" w:hAnsi="Times New Roman" w:cs="Times New Roman"/>
        </w:rPr>
      </w:pPr>
      <w:bookmarkStart w:id="1" w:name="_Hlk48747232"/>
      <w:r w:rsidRPr="0069237E">
        <w:rPr>
          <w:rFonts w:ascii="Times New Roman" w:hAnsi="Times New Roman" w:cs="Times New Roman"/>
        </w:rPr>
        <w:t xml:space="preserve">Each spectrum licence </w:t>
      </w:r>
      <w:r w:rsidRPr="006453D4">
        <w:rPr>
          <w:rFonts w:ascii="Times New Roman" w:hAnsi="Times New Roman" w:cs="Times New Roman"/>
        </w:rPr>
        <w:t>will also include a condition requiring the licensee to keep records of particular radiocommunications transmitters operated under the licence</w:t>
      </w:r>
      <w:r w:rsidR="00BD0852" w:rsidRPr="006453D4">
        <w:rPr>
          <w:rFonts w:ascii="Times New Roman" w:hAnsi="Times New Roman" w:cs="Times New Roman"/>
        </w:rPr>
        <w:t>.</w:t>
      </w:r>
    </w:p>
    <w:bookmarkEnd w:id="1"/>
    <w:p w14:paraId="27AC42D7" w14:textId="04FC5176" w:rsidR="001D2097" w:rsidRPr="006453D4" w:rsidRDefault="00DF55E4" w:rsidP="00EA312E">
      <w:pPr>
        <w:rPr>
          <w:rFonts w:ascii="Times New Roman" w:hAnsi="Times New Roman" w:cs="Times New Roman"/>
        </w:rPr>
      </w:pPr>
      <w:r w:rsidRPr="006453D4">
        <w:rPr>
          <w:rFonts w:ascii="Times New Roman" w:hAnsi="Times New Roman" w:cs="Times New Roman"/>
        </w:rPr>
        <w:t>Each spectrum licence will also include a condition requiring the licensee to protect radiocommunications involving space receive stations and earth receive stations.</w:t>
      </w:r>
    </w:p>
    <w:p w14:paraId="7F44451A" w14:textId="1ADB2753" w:rsidR="005A6929" w:rsidRPr="006453D4" w:rsidRDefault="006B3B5E" w:rsidP="00EA312E">
      <w:pPr>
        <w:rPr>
          <w:rFonts w:ascii="Times New Roman" w:hAnsi="Times New Roman" w:cs="Times New Roman"/>
        </w:rPr>
      </w:pPr>
      <w:r w:rsidRPr="006453D4">
        <w:rPr>
          <w:rFonts w:ascii="Times New Roman" w:hAnsi="Times New Roman" w:cs="Times New Roman"/>
        </w:rPr>
        <w:t xml:space="preserve">Pursuant to section 71 of the Act, the ACMA may include conditions about such other matters as it thinks fit. The ACMA may also include conditions in a spectrum licence that are not included in the Marketing Plan or the sample spectrum licence. </w:t>
      </w:r>
    </w:p>
    <w:p w14:paraId="5ECDD556" w14:textId="2E06D21A" w:rsidR="006B3B5E" w:rsidRDefault="00BE11F0" w:rsidP="00EA312E">
      <w:pPr>
        <w:rPr>
          <w:rFonts w:ascii="Times New Roman" w:hAnsi="Times New Roman" w:cs="Times New Roman"/>
        </w:rPr>
      </w:pPr>
      <w:r w:rsidRPr="006453D4">
        <w:rPr>
          <w:rFonts w:ascii="Times New Roman" w:hAnsi="Times New Roman" w:cs="Times New Roman"/>
        </w:rPr>
        <w:t>W</w:t>
      </w:r>
      <w:r w:rsidR="00392E75" w:rsidRPr="006453D4">
        <w:rPr>
          <w:rFonts w:ascii="Times New Roman" w:hAnsi="Times New Roman" w:cs="Times New Roman"/>
        </w:rPr>
        <w:t>here the winning bidder for a licence has elected to pay in instalments</w:t>
      </w:r>
      <w:r w:rsidR="006C58F5" w:rsidRPr="006453D4">
        <w:rPr>
          <w:rFonts w:ascii="Times New Roman" w:hAnsi="Times New Roman" w:cs="Times New Roman"/>
        </w:rPr>
        <w:t>,</w:t>
      </w:r>
      <w:r w:rsidR="00392E75" w:rsidRPr="006453D4">
        <w:rPr>
          <w:rFonts w:ascii="Times New Roman" w:hAnsi="Times New Roman" w:cs="Times New Roman"/>
        </w:rPr>
        <w:t xml:space="preserve"> </w:t>
      </w:r>
      <w:r w:rsidR="006B3B5E" w:rsidRPr="006453D4">
        <w:rPr>
          <w:rFonts w:ascii="Times New Roman" w:hAnsi="Times New Roman" w:cs="Times New Roman"/>
        </w:rPr>
        <w:t xml:space="preserve">the ACMA </w:t>
      </w:r>
      <w:r w:rsidRPr="006453D4">
        <w:rPr>
          <w:rFonts w:ascii="Times New Roman" w:hAnsi="Times New Roman" w:cs="Times New Roman"/>
        </w:rPr>
        <w:t xml:space="preserve">will </w:t>
      </w:r>
      <w:r w:rsidR="006B3B5E" w:rsidRPr="006453D4">
        <w:rPr>
          <w:rFonts w:ascii="Times New Roman" w:hAnsi="Times New Roman" w:cs="Times New Roman"/>
        </w:rPr>
        <w:t xml:space="preserve">include a condition </w:t>
      </w:r>
      <w:r w:rsidR="006C58F5" w:rsidRPr="006453D4">
        <w:rPr>
          <w:rFonts w:ascii="Times New Roman" w:hAnsi="Times New Roman" w:cs="Times New Roman"/>
        </w:rPr>
        <w:t xml:space="preserve">in the licence </w:t>
      </w:r>
      <w:r w:rsidR="006B3B5E" w:rsidRPr="006453D4">
        <w:rPr>
          <w:rFonts w:ascii="Times New Roman" w:hAnsi="Times New Roman" w:cs="Times New Roman"/>
        </w:rPr>
        <w:t xml:space="preserve">about </w:t>
      </w:r>
      <w:r w:rsidR="00392E75" w:rsidRPr="006453D4">
        <w:rPr>
          <w:rFonts w:ascii="Times New Roman" w:hAnsi="Times New Roman" w:cs="Times New Roman"/>
        </w:rPr>
        <w:t>ensur</w:t>
      </w:r>
      <w:r w:rsidR="006C58F5" w:rsidRPr="006453D4">
        <w:rPr>
          <w:rFonts w:ascii="Times New Roman" w:hAnsi="Times New Roman" w:cs="Times New Roman"/>
        </w:rPr>
        <w:t xml:space="preserve">ing there is a bank guarantee in force securing </w:t>
      </w:r>
      <w:r w:rsidR="004C7F37" w:rsidRPr="006453D4">
        <w:rPr>
          <w:rFonts w:ascii="Times New Roman" w:hAnsi="Times New Roman" w:cs="Times New Roman"/>
        </w:rPr>
        <w:t xml:space="preserve">5% </w:t>
      </w:r>
      <w:r w:rsidR="006C58F5" w:rsidRPr="006453D4">
        <w:rPr>
          <w:rFonts w:ascii="Times New Roman" w:hAnsi="Times New Roman" w:cs="Times New Roman"/>
        </w:rPr>
        <w:t>of the outstanding instalments</w:t>
      </w:r>
      <w:r w:rsidR="004C7F37" w:rsidRPr="006453D4">
        <w:rPr>
          <w:rFonts w:ascii="Times New Roman" w:hAnsi="Times New Roman" w:cs="Times New Roman"/>
        </w:rPr>
        <w:t xml:space="preserve"> owing to the Commonwealth at any point in time</w:t>
      </w:r>
      <w:r w:rsidR="006B3B5E" w:rsidRPr="006453D4">
        <w:rPr>
          <w:rFonts w:ascii="Times New Roman" w:hAnsi="Times New Roman" w:cs="Times New Roman"/>
        </w:rPr>
        <w:t>.</w:t>
      </w:r>
    </w:p>
    <w:p w14:paraId="160AF13C" w14:textId="7EDA3BF0" w:rsidR="00EA312E" w:rsidRDefault="00EA312E" w:rsidP="00EA312E">
      <w:pPr>
        <w:rPr>
          <w:rFonts w:ascii="Times New Roman" w:hAnsi="Times New Roman" w:cs="Times New Roman"/>
          <w:b/>
        </w:rPr>
      </w:pPr>
      <w:r w:rsidRPr="009B025F">
        <w:rPr>
          <w:rFonts w:ascii="Times New Roman" w:hAnsi="Times New Roman" w:cs="Times New Roman"/>
          <w:b/>
        </w:rPr>
        <w:t>Section 21</w:t>
      </w:r>
      <w:r w:rsidRPr="009B025F">
        <w:rPr>
          <w:rFonts w:ascii="Times New Roman" w:hAnsi="Times New Roman" w:cs="Times New Roman"/>
          <w:b/>
        </w:rPr>
        <w:tab/>
        <w:t>Registration of radiocommunications transmitters</w:t>
      </w:r>
    </w:p>
    <w:p w14:paraId="0DEDC391" w14:textId="4AC19835" w:rsidR="00F91FC3" w:rsidRPr="00347CA2" w:rsidRDefault="00F91FC3" w:rsidP="00F91FC3">
      <w:pPr>
        <w:shd w:val="clear" w:color="auto" w:fill="FFFFFF"/>
        <w:spacing w:before="100" w:beforeAutospacing="1" w:line="240" w:lineRule="auto"/>
        <w:rPr>
          <w:rFonts w:ascii="Times New Roman" w:eastAsia="Times New Roman" w:hAnsi="Times New Roman" w:cs="Times New Roman"/>
          <w:lang w:val="en-US" w:eastAsia="en-AU"/>
        </w:rPr>
      </w:pPr>
      <w:r w:rsidRPr="00312690">
        <w:rPr>
          <w:rFonts w:ascii="Times New Roman" w:eastAsia="Times New Roman" w:hAnsi="Times New Roman" w:cs="Times New Roman"/>
          <w:lang w:eastAsia="en-AU"/>
        </w:rPr>
        <w:t xml:space="preserve">Under Part 3.5 of the Act, the ACMA is required to register all spectrum licences, and certain details of radiocommunications devices (except in particular cases) that are operated under each spectrum licence. This section of the Marketing Plan states that all spectrum licences issued pursuant to the Marketing Plan will include a condition that prevents the operation of a radiocommunications transmitter unless all requirements for registering the transmitter under Part 3.5 have been met. This is a mandatory licence condition for inclusion </w:t>
      </w:r>
      <w:r w:rsidR="006836B2">
        <w:rPr>
          <w:rFonts w:ascii="Times New Roman" w:eastAsia="Times New Roman" w:hAnsi="Times New Roman" w:cs="Times New Roman"/>
          <w:lang w:eastAsia="en-AU"/>
        </w:rPr>
        <w:t>on</w:t>
      </w:r>
      <w:r w:rsidRPr="00312690">
        <w:rPr>
          <w:rFonts w:ascii="Times New Roman" w:eastAsia="Times New Roman" w:hAnsi="Times New Roman" w:cs="Times New Roman"/>
          <w:lang w:eastAsia="en-AU"/>
        </w:rPr>
        <w:t xml:space="preserve"> all spectrum licences, under subsection 69(1) of the Act.</w:t>
      </w:r>
    </w:p>
    <w:p w14:paraId="75744A9F" w14:textId="58F2D05F" w:rsidR="00F91FC3" w:rsidRPr="00347CA2" w:rsidRDefault="00F91FC3" w:rsidP="00F91FC3">
      <w:pPr>
        <w:shd w:val="clear" w:color="auto" w:fill="FFFFFF"/>
        <w:spacing w:before="100" w:beforeAutospacing="1" w:line="240" w:lineRule="auto"/>
        <w:rPr>
          <w:rFonts w:ascii="Times New Roman" w:eastAsia="Times New Roman" w:hAnsi="Times New Roman" w:cs="Times New Roman"/>
          <w:lang w:val="en-US" w:eastAsia="en-AU"/>
        </w:rPr>
      </w:pPr>
      <w:r w:rsidRPr="00347CA2">
        <w:rPr>
          <w:rFonts w:ascii="Times New Roman" w:eastAsia="Times New Roman" w:hAnsi="Times New Roman" w:cs="Times New Roman"/>
          <w:lang w:eastAsia="en-AU"/>
        </w:rPr>
        <w:t xml:space="preserve">The ACMA has the discretion to refuse to register a transmitter under subsection 145(1) of the Act if it forms the view that operating the device in question will cause unacceptable levels of interference to the operation of other radiocommunications devices, either under the same licence or another licence. </w:t>
      </w:r>
      <w:r w:rsidRPr="00347CA2">
        <w:rPr>
          <w:rFonts w:ascii="Times New Roman" w:eastAsia="Times New Roman" w:hAnsi="Times New Roman" w:cs="Times New Roman" w:hint="eastAsia"/>
          <w:lang w:eastAsia="en-AU"/>
        </w:rPr>
        <w:t> </w:t>
      </w:r>
      <w:r w:rsidRPr="00347CA2">
        <w:rPr>
          <w:rFonts w:ascii="Times New Roman" w:eastAsia="Times New Roman" w:hAnsi="Times New Roman" w:cs="Times New Roman"/>
          <w:lang w:eastAsia="en-AU"/>
        </w:rPr>
        <w:t xml:space="preserve">For the </w:t>
      </w:r>
      <w:r w:rsidR="003C727E" w:rsidRPr="00347CA2">
        <w:rPr>
          <w:rFonts w:ascii="Times New Roman" w:eastAsia="Times New Roman" w:hAnsi="Times New Roman" w:cs="Times New Roman"/>
          <w:lang w:eastAsia="en-AU"/>
        </w:rPr>
        <w:t>2</w:t>
      </w:r>
      <w:r w:rsidRPr="00347CA2">
        <w:rPr>
          <w:rFonts w:ascii="Times New Roman" w:eastAsia="Times New Roman" w:hAnsi="Times New Roman" w:cs="Times New Roman"/>
          <w:lang w:eastAsia="en-AU"/>
        </w:rPr>
        <w:t xml:space="preserve">6 GHz band, unacceptable levels of interference are defined in the </w:t>
      </w:r>
      <w:r w:rsidR="00561DA9">
        <w:rPr>
          <w:rFonts w:ascii="Times New Roman" w:eastAsia="Times New Roman" w:hAnsi="Times New Roman" w:cs="Times New Roman"/>
          <w:lang w:eastAsia="en-AU"/>
        </w:rPr>
        <w:t>Unacceptable Interference Determination</w:t>
      </w:r>
      <w:r w:rsidRPr="00347CA2">
        <w:rPr>
          <w:rFonts w:ascii="Times New Roman" w:eastAsia="Times New Roman" w:hAnsi="Times New Roman" w:cs="Times New Roman"/>
          <w:lang w:eastAsia="en-AU"/>
        </w:rPr>
        <w:t xml:space="preserve"> made under subsection 145(4) of the Act.</w:t>
      </w:r>
    </w:p>
    <w:p w14:paraId="095F9CE7" w14:textId="523B7BBF" w:rsidR="00F91FC3" w:rsidRPr="00347CA2" w:rsidRDefault="00F91FC3" w:rsidP="00F91FC3">
      <w:pPr>
        <w:shd w:val="clear" w:color="auto" w:fill="FFFFFF"/>
        <w:spacing w:before="100" w:beforeAutospacing="1" w:line="240" w:lineRule="auto"/>
        <w:rPr>
          <w:rFonts w:ascii="Times New Roman" w:eastAsia="Times New Roman" w:hAnsi="Times New Roman" w:cs="Times New Roman"/>
          <w:lang w:val="en-US" w:eastAsia="en-AU"/>
        </w:rPr>
      </w:pPr>
      <w:r w:rsidRPr="00347CA2">
        <w:rPr>
          <w:rFonts w:ascii="Times New Roman" w:eastAsia="Times New Roman" w:hAnsi="Times New Roman" w:cs="Times New Roman"/>
          <w:lang w:eastAsia="en-AU"/>
        </w:rPr>
        <w:lastRenderedPageBreak/>
        <w:t xml:space="preserve">Under subsection 69(2) of the Act, the ACMA may include a condition </w:t>
      </w:r>
      <w:r w:rsidR="003C727E" w:rsidRPr="00347CA2">
        <w:rPr>
          <w:rFonts w:ascii="Times New Roman" w:eastAsia="Times New Roman" w:hAnsi="Times New Roman" w:cs="Times New Roman"/>
          <w:lang w:eastAsia="en-AU"/>
        </w:rPr>
        <w:t xml:space="preserve">which </w:t>
      </w:r>
      <w:r w:rsidRPr="00347CA2">
        <w:rPr>
          <w:rFonts w:ascii="Times New Roman" w:eastAsia="Times New Roman" w:hAnsi="Times New Roman" w:cs="Times New Roman"/>
          <w:lang w:eastAsia="en-AU"/>
        </w:rPr>
        <w:t>exempt</w:t>
      </w:r>
      <w:r w:rsidR="003C727E" w:rsidRPr="00347CA2">
        <w:rPr>
          <w:rFonts w:ascii="Times New Roman" w:eastAsia="Times New Roman" w:hAnsi="Times New Roman" w:cs="Times New Roman"/>
          <w:lang w:eastAsia="en-AU"/>
        </w:rPr>
        <w:t>s particular kinds of radiocommunications transmitters</w:t>
      </w:r>
      <w:r w:rsidRPr="00347CA2">
        <w:rPr>
          <w:rFonts w:ascii="Times New Roman" w:eastAsia="Times New Roman" w:hAnsi="Times New Roman" w:cs="Times New Roman"/>
          <w:lang w:eastAsia="en-AU"/>
        </w:rPr>
        <w:t xml:space="preserve"> from the registration requirements</w:t>
      </w:r>
      <w:r w:rsidR="003C727E" w:rsidRPr="00347CA2">
        <w:rPr>
          <w:rFonts w:ascii="Times New Roman" w:eastAsia="Times New Roman" w:hAnsi="Times New Roman" w:cs="Times New Roman"/>
          <w:lang w:eastAsia="en-AU"/>
        </w:rPr>
        <w:t xml:space="preserve"> detailed</w:t>
      </w:r>
      <w:r w:rsidRPr="00347CA2">
        <w:rPr>
          <w:rFonts w:ascii="Times New Roman" w:eastAsia="Times New Roman" w:hAnsi="Times New Roman" w:cs="Times New Roman"/>
          <w:lang w:eastAsia="en-AU"/>
        </w:rPr>
        <w:t xml:space="preserve"> in the mandatory spectrum licence condition as required by subsection 69(1) of the Act. </w:t>
      </w:r>
    </w:p>
    <w:p w14:paraId="76C46146" w14:textId="2294CD94" w:rsidR="003C727E" w:rsidRPr="00E15E1D" w:rsidRDefault="002A3857" w:rsidP="00E15E1D">
      <w:pPr>
        <w:rPr>
          <w:rFonts w:ascii="Times New Roman" w:hAnsi="Times New Roman" w:cs="Times New Roman"/>
          <w:lang w:eastAsia="en-AU"/>
        </w:rPr>
      </w:pPr>
      <w:r>
        <w:rPr>
          <w:rFonts w:ascii="Times New Roman" w:hAnsi="Times New Roman" w:cs="Times New Roman"/>
          <w:lang w:eastAsia="en-AU"/>
        </w:rPr>
        <w:t>A r</w:t>
      </w:r>
      <w:r w:rsidR="00F91FC3" w:rsidRPr="00E15E1D">
        <w:rPr>
          <w:rFonts w:ascii="Times New Roman" w:hAnsi="Times New Roman" w:cs="Times New Roman"/>
          <w:lang w:eastAsia="en-AU"/>
        </w:rPr>
        <w:t xml:space="preserve">adiocommunications transmitter operating in the </w:t>
      </w:r>
      <w:r w:rsidR="003C727E" w:rsidRPr="00E15E1D">
        <w:rPr>
          <w:rFonts w:ascii="Times New Roman" w:hAnsi="Times New Roman" w:cs="Times New Roman"/>
          <w:lang w:eastAsia="en-AU"/>
        </w:rPr>
        <w:t>2</w:t>
      </w:r>
      <w:r w:rsidR="00F91FC3" w:rsidRPr="00E15E1D">
        <w:rPr>
          <w:rFonts w:ascii="Times New Roman" w:hAnsi="Times New Roman" w:cs="Times New Roman"/>
          <w:lang w:eastAsia="en-AU"/>
        </w:rPr>
        <w:t xml:space="preserve">6 GHz band will be exempt from the requirement to be registered if </w:t>
      </w:r>
      <w:r>
        <w:rPr>
          <w:rFonts w:ascii="Times New Roman" w:hAnsi="Times New Roman" w:cs="Times New Roman"/>
          <w:lang w:eastAsia="en-AU"/>
        </w:rPr>
        <w:t>it</w:t>
      </w:r>
      <w:r w:rsidR="00345C6C">
        <w:rPr>
          <w:rFonts w:ascii="Times New Roman" w:hAnsi="Times New Roman" w:cs="Times New Roman"/>
          <w:lang w:eastAsia="en-AU"/>
        </w:rPr>
        <w:t>:</w:t>
      </w:r>
    </w:p>
    <w:p w14:paraId="341311C6" w14:textId="42ACD43E" w:rsidR="00F91FC3" w:rsidRPr="00E15E1D" w:rsidRDefault="003C727E" w:rsidP="00E15E1D">
      <w:pPr>
        <w:pStyle w:val="ListParagraph"/>
        <w:numPr>
          <w:ilvl w:val="0"/>
          <w:numId w:val="26"/>
        </w:numPr>
        <w:rPr>
          <w:rFonts w:ascii="Times New Roman" w:hAnsi="Times New Roman" w:cs="Times New Roman"/>
          <w:lang w:val="en-US" w:eastAsia="en-AU"/>
        </w:rPr>
      </w:pPr>
      <w:r w:rsidRPr="00E15E1D">
        <w:rPr>
          <w:rFonts w:ascii="Times New Roman" w:hAnsi="Times New Roman" w:cs="Times New Roman"/>
          <w:lang w:eastAsia="en-AU"/>
        </w:rPr>
        <w:t>o</w:t>
      </w:r>
      <w:r w:rsidR="00F91FC3" w:rsidRPr="00E15E1D">
        <w:rPr>
          <w:rFonts w:ascii="Times New Roman" w:hAnsi="Times New Roman" w:cs="Times New Roman"/>
          <w:lang w:eastAsia="en-AU"/>
        </w:rPr>
        <w:t>perate</w:t>
      </w:r>
      <w:r w:rsidR="002A3857">
        <w:rPr>
          <w:rFonts w:ascii="Times New Roman" w:hAnsi="Times New Roman" w:cs="Times New Roman"/>
          <w:lang w:eastAsia="en-AU"/>
        </w:rPr>
        <w:t>s</w:t>
      </w:r>
      <w:r w:rsidR="00F91FC3" w:rsidRPr="00E15E1D">
        <w:rPr>
          <w:rFonts w:ascii="Times New Roman" w:hAnsi="Times New Roman" w:cs="Times New Roman"/>
          <w:lang w:eastAsia="en-AU"/>
        </w:rPr>
        <w:t xml:space="preserve"> with a total </w:t>
      </w:r>
      <w:r w:rsidRPr="00E15E1D">
        <w:rPr>
          <w:rFonts w:ascii="Times New Roman" w:hAnsi="Times New Roman" w:cs="Times New Roman"/>
          <w:lang w:eastAsia="en-AU"/>
        </w:rPr>
        <w:t xml:space="preserve">radiated </w:t>
      </w:r>
      <w:r w:rsidR="00F91FC3" w:rsidRPr="00E15E1D">
        <w:rPr>
          <w:rFonts w:ascii="Times New Roman" w:hAnsi="Times New Roman" w:cs="Times New Roman"/>
          <w:lang w:eastAsia="en-AU"/>
        </w:rPr>
        <w:t>power of less than or equal to 2</w:t>
      </w:r>
      <w:r w:rsidRPr="00E15E1D">
        <w:rPr>
          <w:rFonts w:ascii="Times New Roman" w:hAnsi="Times New Roman" w:cs="Times New Roman"/>
          <w:lang w:eastAsia="en-AU"/>
        </w:rPr>
        <w:t>3</w:t>
      </w:r>
      <w:r w:rsidR="00F91FC3" w:rsidRPr="00E15E1D">
        <w:rPr>
          <w:rFonts w:ascii="Times New Roman" w:hAnsi="Times New Roman" w:cs="Times New Roman"/>
          <w:lang w:eastAsia="en-AU"/>
        </w:rPr>
        <w:t xml:space="preserve"> dBm per occupied bandwidth</w:t>
      </w:r>
      <w:r w:rsidRPr="00E15E1D">
        <w:rPr>
          <w:rFonts w:ascii="Times New Roman" w:hAnsi="Times New Roman" w:cs="Times New Roman"/>
          <w:lang w:eastAsia="en-AU"/>
        </w:rPr>
        <w:t>;</w:t>
      </w:r>
      <w:r w:rsidR="002A3857">
        <w:rPr>
          <w:rFonts w:ascii="Times New Roman" w:hAnsi="Times New Roman" w:cs="Times New Roman"/>
          <w:lang w:eastAsia="en-AU"/>
        </w:rPr>
        <w:t xml:space="preserve"> or</w:t>
      </w:r>
    </w:p>
    <w:p w14:paraId="6D5D9EC2" w14:textId="419F76A4" w:rsidR="003C727E" w:rsidRPr="00E15E1D" w:rsidRDefault="002A3857" w:rsidP="00E15E1D">
      <w:pPr>
        <w:pStyle w:val="ListParagraph"/>
        <w:numPr>
          <w:ilvl w:val="0"/>
          <w:numId w:val="26"/>
        </w:numPr>
        <w:rPr>
          <w:rFonts w:ascii="Times New Roman" w:hAnsi="Times New Roman" w:cs="Times New Roman"/>
          <w:lang w:val="en-US" w:eastAsia="en-AU"/>
        </w:rPr>
      </w:pPr>
      <w:r>
        <w:rPr>
          <w:rFonts w:ascii="Times New Roman" w:hAnsi="Times New Roman" w:cs="Times New Roman"/>
          <w:lang w:eastAsia="en-AU"/>
        </w:rPr>
        <w:t>is</w:t>
      </w:r>
      <w:r w:rsidR="003C727E" w:rsidRPr="00E15E1D">
        <w:rPr>
          <w:rFonts w:ascii="Times New Roman" w:hAnsi="Times New Roman" w:cs="Times New Roman"/>
          <w:lang w:eastAsia="en-AU"/>
        </w:rPr>
        <w:t xml:space="preserve"> located indoors; or</w:t>
      </w:r>
    </w:p>
    <w:p w14:paraId="5B4131E9" w14:textId="1D973D2F" w:rsidR="003C727E" w:rsidRPr="00E15E1D" w:rsidRDefault="002A3857" w:rsidP="00E15E1D">
      <w:pPr>
        <w:pStyle w:val="ListParagraph"/>
        <w:numPr>
          <w:ilvl w:val="0"/>
          <w:numId w:val="26"/>
        </w:numPr>
        <w:rPr>
          <w:rFonts w:ascii="Times New Roman" w:hAnsi="Times New Roman" w:cs="Times New Roman"/>
          <w:lang w:val="en-US" w:eastAsia="en-AU"/>
        </w:rPr>
      </w:pPr>
      <w:r>
        <w:rPr>
          <w:rFonts w:ascii="Times New Roman" w:hAnsi="Times New Roman" w:cs="Times New Roman"/>
          <w:lang w:eastAsia="en-AU"/>
        </w:rPr>
        <w:t>is</w:t>
      </w:r>
      <w:r w:rsidR="003C727E" w:rsidRPr="00E15E1D">
        <w:rPr>
          <w:rFonts w:ascii="Times New Roman" w:hAnsi="Times New Roman" w:cs="Times New Roman"/>
          <w:lang w:eastAsia="en-AU"/>
        </w:rPr>
        <w:t xml:space="preserve"> a fixed transmitter which is not a base station and operates with a total radiated power </w:t>
      </w:r>
      <w:proofErr w:type="gramStart"/>
      <w:r w:rsidR="003C727E" w:rsidRPr="00E15E1D">
        <w:rPr>
          <w:rFonts w:ascii="Times New Roman" w:hAnsi="Times New Roman" w:cs="Times New Roman"/>
          <w:lang w:eastAsia="en-AU"/>
        </w:rPr>
        <w:t>of:</w:t>
      </w:r>
      <w:proofErr w:type="gramEnd"/>
    </w:p>
    <w:p w14:paraId="4BE30474" w14:textId="161AD44D" w:rsidR="003C727E" w:rsidRPr="00E15E1D" w:rsidRDefault="003C727E" w:rsidP="00E15E1D">
      <w:pPr>
        <w:pStyle w:val="ListParagraph"/>
        <w:numPr>
          <w:ilvl w:val="1"/>
          <w:numId w:val="26"/>
        </w:numPr>
        <w:rPr>
          <w:rFonts w:ascii="Times New Roman" w:hAnsi="Times New Roman" w:cs="Times New Roman"/>
          <w:lang w:val="en-US" w:eastAsia="en-AU"/>
        </w:rPr>
      </w:pPr>
      <w:r w:rsidRPr="00E15E1D">
        <w:rPr>
          <w:rFonts w:ascii="Times New Roman" w:hAnsi="Times New Roman" w:cs="Times New Roman"/>
          <w:lang w:eastAsia="en-AU"/>
        </w:rPr>
        <w:t>greater than 23 dBm per occupied bandwidth; and</w:t>
      </w:r>
    </w:p>
    <w:p w14:paraId="4BD61B51" w14:textId="61BCA861" w:rsidR="003C727E" w:rsidRPr="00E15E1D" w:rsidRDefault="00A611F9" w:rsidP="00E15E1D">
      <w:pPr>
        <w:pStyle w:val="ListParagraph"/>
        <w:numPr>
          <w:ilvl w:val="1"/>
          <w:numId w:val="26"/>
        </w:numPr>
        <w:rPr>
          <w:rFonts w:ascii="Times New Roman" w:hAnsi="Times New Roman" w:cs="Times New Roman"/>
          <w:lang w:val="en-US" w:eastAsia="en-AU"/>
        </w:rPr>
      </w:pPr>
      <w:r w:rsidRPr="00E15E1D">
        <w:rPr>
          <w:rFonts w:ascii="Times New Roman" w:hAnsi="Times New Roman" w:cs="Times New Roman"/>
          <w:lang w:eastAsia="en-AU"/>
        </w:rPr>
        <w:t>l</w:t>
      </w:r>
      <w:r w:rsidR="003C727E" w:rsidRPr="00E15E1D">
        <w:rPr>
          <w:rFonts w:ascii="Times New Roman" w:hAnsi="Times New Roman" w:cs="Times New Roman"/>
          <w:lang w:eastAsia="en-AU"/>
        </w:rPr>
        <w:t xml:space="preserve">ess than or equal to </w:t>
      </w:r>
      <w:r w:rsidRPr="00E15E1D">
        <w:rPr>
          <w:rFonts w:ascii="Times New Roman" w:hAnsi="Times New Roman" w:cs="Times New Roman"/>
          <w:lang w:eastAsia="en-AU"/>
        </w:rPr>
        <w:t>35 dBm per occupied bandwidth.</w:t>
      </w:r>
    </w:p>
    <w:p w14:paraId="07BA729A" w14:textId="77777777" w:rsidR="0065153D" w:rsidRDefault="0065153D" w:rsidP="0065153D">
      <w:pPr>
        <w:spacing w:before="120" w:after="120"/>
        <w:rPr>
          <w:rFonts w:ascii="Times New Roman" w:eastAsia="Times New Roman" w:hAnsi="Times New Roman" w:cs="Times New Roman"/>
          <w:lang w:eastAsia="en-AU"/>
        </w:rPr>
      </w:pPr>
      <w:r>
        <w:rPr>
          <w:rFonts w:ascii="Times New Roman" w:eastAsia="Times New Roman" w:hAnsi="Times New Roman" w:cs="Times New Roman"/>
          <w:lang w:eastAsia="en-AU"/>
        </w:rPr>
        <w:t>A base station generally:</w:t>
      </w:r>
    </w:p>
    <w:p w14:paraId="16CB2E47" w14:textId="77777777" w:rsidR="0065153D" w:rsidRDefault="0065153D" w:rsidP="0065153D">
      <w:pPr>
        <w:pStyle w:val="ListParagraph"/>
        <w:numPr>
          <w:ilvl w:val="0"/>
          <w:numId w:val="29"/>
        </w:numPr>
        <w:shd w:val="clear" w:color="auto" w:fill="FFFFFF"/>
        <w:spacing w:before="120" w:after="100" w:afterAutospacing="1" w:line="240" w:lineRule="auto"/>
        <w:ind w:left="777" w:hanging="357"/>
        <w:rPr>
          <w:rFonts w:ascii="Times New Roman" w:hAnsi="Times New Roman" w:cs="Times New Roman"/>
        </w:rPr>
      </w:pPr>
      <w:r>
        <w:rPr>
          <w:rFonts w:ascii="Times New Roman" w:eastAsia="Times New Roman" w:hAnsi="Times New Roman" w:cs="Times New Roman"/>
          <w:lang w:val="en-US" w:eastAsia="en-AU"/>
        </w:rPr>
        <w:t xml:space="preserve">communicates </w:t>
      </w:r>
      <w:r>
        <w:rPr>
          <w:rFonts w:ascii="Times New Roman" w:hAnsi="Times New Roman" w:cs="Times New Roman"/>
        </w:rPr>
        <w:t xml:space="preserve">with equipment operated by an end user of a radiocommunications service, or with other base </w:t>
      </w:r>
      <w:proofErr w:type="gramStart"/>
      <w:r>
        <w:rPr>
          <w:rFonts w:ascii="Times New Roman" w:hAnsi="Times New Roman" w:cs="Times New Roman"/>
        </w:rPr>
        <w:t>stations;</w:t>
      </w:r>
      <w:proofErr w:type="gramEnd"/>
    </w:p>
    <w:p w14:paraId="0BBB1357" w14:textId="77777777" w:rsidR="0065153D" w:rsidRDefault="0065153D" w:rsidP="0065153D">
      <w:pPr>
        <w:pStyle w:val="ListParagraph"/>
        <w:numPr>
          <w:ilvl w:val="0"/>
          <w:numId w:val="29"/>
        </w:numPr>
        <w:shd w:val="clear" w:color="auto" w:fill="FFFFFF"/>
        <w:spacing w:before="120" w:after="100" w:afterAutospacing="1" w:line="240" w:lineRule="auto"/>
        <w:ind w:left="777" w:hanging="357"/>
        <w:rPr>
          <w:rFonts w:ascii="Times New Roman" w:hAnsi="Times New Roman" w:cs="Times New Roman"/>
        </w:rPr>
      </w:pPr>
      <w:r>
        <w:rPr>
          <w:rFonts w:ascii="Times New Roman" w:hAnsi="Times New Roman" w:cs="Times New Roman"/>
        </w:rPr>
        <w:t xml:space="preserve">is capable of acting as a repeater to extend the coverage of a service or to link other base stations </w:t>
      </w:r>
      <w:proofErr w:type="gramStart"/>
      <w:r>
        <w:rPr>
          <w:rFonts w:ascii="Times New Roman" w:hAnsi="Times New Roman" w:cs="Times New Roman"/>
        </w:rPr>
        <w:t>together;</w:t>
      </w:r>
      <w:proofErr w:type="gramEnd"/>
    </w:p>
    <w:p w14:paraId="22E1B744" w14:textId="77777777" w:rsidR="0065153D" w:rsidRPr="006453D4" w:rsidRDefault="0065153D" w:rsidP="0065153D">
      <w:pPr>
        <w:pStyle w:val="ListParagraph"/>
        <w:numPr>
          <w:ilvl w:val="0"/>
          <w:numId w:val="29"/>
        </w:numPr>
        <w:shd w:val="clear" w:color="auto" w:fill="FFFFFF"/>
        <w:spacing w:before="120" w:after="100" w:afterAutospacing="1" w:line="240" w:lineRule="auto"/>
        <w:ind w:left="777" w:hanging="357"/>
        <w:rPr>
          <w:rFonts w:ascii="Times New Roman" w:hAnsi="Times New Roman" w:cs="Times New Roman"/>
        </w:rPr>
      </w:pPr>
      <w:r w:rsidRPr="006453D4">
        <w:rPr>
          <w:rFonts w:ascii="Times New Roman" w:hAnsi="Times New Roman" w:cs="Times New Roman"/>
        </w:rPr>
        <w:t xml:space="preserve">is located higher above ground level than the stations it communicates </w:t>
      </w:r>
      <w:proofErr w:type="gramStart"/>
      <w:r w:rsidRPr="006453D4">
        <w:rPr>
          <w:rFonts w:ascii="Times New Roman" w:hAnsi="Times New Roman" w:cs="Times New Roman"/>
        </w:rPr>
        <w:t>with;</w:t>
      </w:r>
      <w:proofErr w:type="gramEnd"/>
    </w:p>
    <w:p w14:paraId="48406A31" w14:textId="7C43E1B5" w:rsidR="0065153D" w:rsidRPr="006453D4" w:rsidRDefault="0065153D" w:rsidP="0065153D">
      <w:pPr>
        <w:pStyle w:val="ListParagraph"/>
        <w:numPr>
          <w:ilvl w:val="0"/>
          <w:numId w:val="29"/>
        </w:numPr>
        <w:shd w:val="clear" w:color="auto" w:fill="FFFFFF"/>
        <w:spacing w:before="120" w:after="100" w:afterAutospacing="1" w:line="240" w:lineRule="auto"/>
        <w:ind w:left="777" w:hanging="357"/>
        <w:rPr>
          <w:rFonts w:ascii="Times New Roman" w:eastAsia="Times New Roman" w:hAnsi="Times New Roman" w:cs="Times New Roman"/>
          <w:lang w:val="en-US" w:eastAsia="en-AU"/>
        </w:rPr>
      </w:pPr>
      <w:r w:rsidRPr="006453D4">
        <w:rPr>
          <w:rFonts w:ascii="Times New Roman" w:hAnsi="Times New Roman" w:cs="Times New Roman"/>
        </w:rPr>
        <w:t>provides control and signalling information</w:t>
      </w:r>
      <w:r w:rsidRPr="006453D4">
        <w:rPr>
          <w:rFonts w:ascii="Times New Roman" w:eastAsia="Times New Roman" w:hAnsi="Times New Roman" w:cs="Times New Roman"/>
          <w:lang w:val="en-US" w:eastAsia="en-AU"/>
        </w:rPr>
        <w:t xml:space="preserve"> to other stations.</w:t>
      </w:r>
    </w:p>
    <w:p w14:paraId="5A9DBA2F" w14:textId="6040914B" w:rsidR="00F91FC3" w:rsidRPr="006453D4" w:rsidRDefault="00F91FC3" w:rsidP="00E15E1D">
      <w:pPr>
        <w:rPr>
          <w:rFonts w:ascii="Times New Roman" w:hAnsi="Times New Roman" w:cs="Times New Roman"/>
          <w:lang w:val="en-US" w:eastAsia="en-AU"/>
        </w:rPr>
      </w:pPr>
      <w:r w:rsidRPr="006453D4">
        <w:rPr>
          <w:rFonts w:ascii="Times New Roman" w:hAnsi="Times New Roman" w:cs="Times New Roman"/>
          <w:lang w:eastAsia="en-AU"/>
        </w:rPr>
        <w:t xml:space="preserve">This exemption is included in Licence Schedule 3 of the sample spectrum licence at Schedule </w:t>
      </w:r>
      <w:r w:rsidR="00FD116C" w:rsidRPr="006453D4">
        <w:rPr>
          <w:rFonts w:ascii="Times New Roman" w:hAnsi="Times New Roman" w:cs="Times New Roman"/>
          <w:lang w:eastAsia="en-AU"/>
        </w:rPr>
        <w:t>6</w:t>
      </w:r>
      <w:r w:rsidRPr="006453D4">
        <w:rPr>
          <w:rFonts w:ascii="Times New Roman" w:hAnsi="Times New Roman" w:cs="Times New Roman"/>
          <w:lang w:eastAsia="en-AU"/>
        </w:rPr>
        <w:t xml:space="preserve"> to the Marketing Plan.</w:t>
      </w:r>
    </w:p>
    <w:p w14:paraId="6FFC946F" w14:textId="6B173AA9" w:rsidR="00F91FC3" w:rsidRPr="006453D4" w:rsidRDefault="00F91FC3" w:rsidP="00E15E1D">
      <w:pPr>
        <w:rPr>
          <w:rFonts w:ascii="Times New Roman" w:hAnsi="Times New Roman" w:cs="Times New Roman"/>
          <w:lang w:eastAsia="en-AU"/>
        </w:rPr>
      </w:pPr>
      <w:r w:rsidRPr="006453D4">
        <w:rPr>
          <w:rFonts w:ascii="Times New Roman" w:hAnsi="Times New Roman" w:cs="Times New Roman"/>
          <w:lang w:eastAsia="en-AU"/>
        </w:rPr>
        <w:t xml:space="preserve">These devices are still required to meet all core and other conditions of the licence, including relevant emission limit requirements. </w:t>
      </w:r>
      <w:r w:rsidR="00A611F9" w:rsidRPr="006453D4">
        <w:rPr>
          <w:rFonts w:ascii="Times New Roman" w:hAnsi="Times New Roman" w:cs="Times New Roman"/>
          <w:lang w:eastAsia="en-AU"/>
        </w:rPr>
        <w:t>Each spectrum licence will include a condition which requires the licensee to ensure that the operation of transmitters which are exempt from registration do not cause harmful interference to devices operated under another 26 GHz band spectrum licence or apparatus licence.</w:t>
      </w:r>
    </w:p>
    <w:p w14:paraId="5C021241" w14:textId="05BE9389" w:rsidR="00EA312E" w:rsidRPr="006453D4" w:rsidRDefault="00EA312E" w:rsidP="00EA312E">
      <w:pPr>
        <w:rPr>
          <w:rFonts w:ascii="Times New Roman" w:hAnsi="Times New Roman" w:cs="Times New Roman"/>
          <w:b/>
        </w:rPr>
      </w:pPr>
      <w:r w:rsidRPr="006453D4">
        <w:rPr>
          <w:rFonts w:ascii="Times New Roman" w:hAnsi="Times New Roman" w:cs="Times New Roman"/>
          <w:b/>
        </w:rPr>
        <w:t>Section 22</w:t>
      </w:r>
      <w:r w:rsidRPr="006453D4">
        <w:rPr>
          <w:rFonts w:ascii="Times New Roman" w:hAnsi="Times New Roman" w:cs="Times New Roman"/>
          <w:b/>
        </w:rPr>
        <w:tab/>
        <w:t>Draft sample licence</w:t>
      </w:r>
    </w:p>
    <w:p w14:paraId="5683396E" w14:textId="7ED38EF9" w:rsidR="00EA312E" w:rsidRDefault="00FC4EDC" w:rsidP="00EA312E">
      <w:pPr>
        <w:rPr>
          <w:rFonts w:ascii="Times New Roman" w:hAnsi="Times New Roman" w:cs="Times New Roman"/>
        </w:rPr>
      </w:pPr>
      <w:r w:rsidRPr="006453D4">
        <w:rPr>
          <w:rFonts w:ascii="Times New Roman" w:hAnsi="Times New Roman" w:cs="Times New Roman"/>
        </w:rPr>
        <w:t xml:space="preserve">This section provides that a sample spectrum licence is included at Schedule </w:t>
      </w:r>
      <w:r w:rsidR="0030627C" w:rsidRPr="006453D4">
        <w:rPr>
          <w:rFonts w:ascii="Times New Roman" w:hAnsi="Times New Roman" w:cs="Times New Roman"/>
        </w:rPr>
        <w:t>6</w:t>
      </w:r>
      <w:r w:rsidRPr="006453D4">
        <w:rPr>
          <w:rFonts w:ascii="Times New Roman" w:hAnsi="Times New Roman" w:cs="Times New Roman"/>
        </w:rPr>
        <w:t xml:space="preserve"> to the Marketing</w:t>
      </w:r>
      <w:r>
        <w:rPr>
          <w:rFonts w:ascii="Times New Roman" w:hAnsi="Times New Roman" w:cs="Times New Roman"/>
        </w:rPr>
        <w:t xml:space="preserve"> Plan. The sample spectrum licence sets out the technical and other conditions that ma</w:t>
      </w:r>
      <w:r w:rsidR="00DC3CCB">
        <w:rPr>
          <w:rFonts w:ascii="Times New Roman" w:hAnsi="Times New Roman" w:cs="Times New Roman"/>
        </w:rPr>
        <w:t>y</w:t>
      </w:r>
      <w:r>
        <w:rPr>
          <w:rFonts w:ascii="Times New Roman" w:hAnsi="Times New Roman" w:cs="Times New Roman"/>
        </w:rPr>
        <w:t xml:space="preserve"> apply to spectrum licences issued as a result of the allocation process. However, the conditions in the sample spectrum licence may not reflect the actual conditions included in a spectrum licence issued to a successful applicant.</w:t>
      </w:r>
    </w:p>
    <w:p w14:paraId="033F076F" w14:textId="4F83C97B" w:rsidR="00EA312E" w:rsidRPr="0088122C" w:rsidRDefault="00EA312E" w:rsidP="00EA312E">
      <w:pPr>
        <w:rPr>
          <w:rFonts w:ascii="Times New Roman" w:hAnsi="Times New Roman" w:cs="Times New Roman"/>
          <w:b/>
        </w:rPr>
      </w:pPr>
      <w:r w:rsidRPr="00C96ADC">
        <w:rPr>
          <w:rFonts w:ascii="Times New Roman" w:hAnsi="Times New Roman" w:cs="Times New Roman"/>
          <w:b/>
        </w:rPr>
        <w:t>Section 23</w:t>
      </w:r>
      <w:r w:rsidRPr="00C96ADC">
        <w:rPr>
          <w:rFonts w:ascii="Times New Roman" w:hAnsi="Times New Roman" w:cs="Times New Roman"/>
          <w:b/>
        </w:rPr>
        <w:tab/>
        <w:t>Advisory guidelines</w:t>
      </w:r>
    </w:p>
    <w:p w14:paraId="240CD1F7" w14:textId="42602841" w:rsidR="00EA312E" w:rsidRDefault="0088122C" w:rsidP="00EA312E">
      <w:pPr>
        <w:rPr>
          <w:rFonts w:ascii="Times New Roman" w:hAnsi="Times New Roman" w:cs="Times New Roman"/>
        </w:rPr>
      </w:pPr>
      <w:r w:rsidRPr="00C96ADC">
        <w:rPr>
          <w:rFonts w:ascii="Times New Roman" w:hAnsi="Times New Roman" w:cs="Times New Roman"/>
        </w:rPr>
        <w:t xml:space="preserve">This section provides that the </w:t>
      </w:r>
      <w:r w:rsidR="00B8038D" w:rsidRPr="008A0A93">
        <w:rPr>
          <w:rFonts w:ascii="Times New Roman" w:hAnsi="Times New Roman" w:cs="Times New Roman"/>
        </w:rPr>
        <w:t>R</w:t>
      </w:r>
      <w:r w:rsidR="00196F63" w:rsidRPr="008A0A93">
        <w:rPr>
          <w:rFonts w:ascii="Times New Roman" w:hAnsi="Times New Roman" w:cs="Times New Roman"/>
        </w:rPr>
        <w:t>AG Rx and RAG Tx</w:t>
      </w:r>
      <w:r w:rsidRPr="00666C19">
        <w:rPr>
          <w:rFonts w:ascii="Times New Roman" w:hAnsi="Times New Roman" w:cs="Times New Roman"/>
        </w:rPr>
        <w:t xml:space="preserve"> </w:t>
      </w:r>
      <w:r w:rsidR="00EE10E6">
        <w:rPr>
          <w:rFonts w:ascii="Times New Roman" w:hAnsi="Times New Roman" w:cs="Times New Roman"/>
        </w:rPr>
        <w:t xml:space="preserve">provide </w:t>
      </w:r>
      <w:r w:rsidRPr="00C96ADC">
        <w:rPr>
          <w:rFonts w:ascii="Times New Roman" w:hAnsi="Times New Roman" w:cs="Times New Roman"/>
        </w:rPr>
        <w:t>a means of coordinating services operating under spectrum licences in the 26 GHz band.</w:t>
      </w:r>
    </w:p>
    <w:p w14:paraId="4B455CC4" w14:textId="2919567C" w:rsidR="00EA312E" w:rsidRPr="00EA312E" w:rsidRDefault="00EA312E" w:rsidP="00EA312E">
      <w:pPr>
        <w:rPr>
          <w:rFonts w:ascii="Times New Roman" w:hAnsi="Times New Roman" w:cs="Times New Roman"/>
          <w:b/>
          <w:bCs/>
        </w:rPr>
      </w:pPr>
      <w:r>
        <w:rPr>
          <w:rFonts w:ascii="Times New Roman" w:hAnsi="Times New Roman" w:cs="Times New Roman"/>
          <w:b/>
          <w:bCs/>
        </w:rPr>
        <w:t>Part 4—After allocation</w:t>
      </w:r>
    </w:p>
    <w:p w14:paraId="1ADFC3C2" w14:textId="01E119F2" w:rsidR="00EA312E" w:rsidRDefault="00EA312E" w:rsidP="00EA312E">
      <w:pPr>
        <w:rPr>
          <w:rFonts w:ascii="Times New Roman" w:hAnsi="Times New Roman" w:cs="Times New Roman"/>
          <w:b/>
        </w:rPr>
      </w:pPr>
      <w:r>
        <w:rPr>
          <w:rFonts w:ascii="Times New Roman" w:hAnsi="Times New Roman" w:cs="Times New Roman"/>
          <w:b/>
        </w:rPr>
        <w:t>Section 24</w:t>
      </w:r>
      <w:r>
        <w:rPr>
          <w:rFonts w:ascii="Times New Roman" w:hAnsi="Times New Roman" w:cs="Times New Roman"/>
          <w:b/>
        </w:rPr>
        <w:tab/>
        <w:t>Simplified outline of this Part</w:t>
      </w:r>
    </w:p>
    <w:p w14:paraId="1565977C" w14:textId="75FE3D17" w:rsidR="00EA312E" w:rsidRDefault="00A4503D" w:rsidP="00EA312E">
      <w:pPr>
        <w:rPr>
          <w:rFonts w:ascii="Times New Roman" w:hAnsi="Times New Roman" w:cs="Times New Roman"/>
        </w:rPr>
      </w:pPr>
      <w:r>
        <w:rPr>
          <w:rFonts w:ascii="Times New Roman" w:hAnsi="Times New Roman" w:cs="Times New Roman"/>
        </w:rPr>
        <w:t>This section sets out a simplified outline of Part 4.</w:t>
      </w:r>
    </w:p>
    <w:p w14:paraId="357A944A" w14:textId="4F073DE1" w:rsidR="00F1366F" w:rsidRDefault="009A471D" w:rsidP="00EA312E">
      <w:pPr>
        <w:rPr>
          <w:rFonts w:ascii="Times New Roman" w:hAnsi="Times New Roman" w:cs="Times New Roman"/>
        </w:rPr>
      </w:pPr>
      <w:r>
        <w:rPr>
          <w:rFonts w:ascii="Times New Roman" w:hAnsi="Times New Roman" w:cs="Times New Roman"/>
        </w:rPr>
        <w:t>It should be noted that, o</w:t>
      </w:r>
      <w:r w:rsidR="00F1366F" w:rsidRPr="00F1366F">
        <w:rPr>
          <w:rFonts w:ascii="Times New Roman" w:hAnsi="Times New Roman" w:cs="Times New Roman"/>
        </w:rPr>
        <w:t xml:space="preserve">n the day </w:t>
      </w:r>
      <w:r w:rsidR="00F1366F">
        <w:rPr>
          <w:rFonts w:ascii="Times New Roman" w:hAnsi="Times New Roman" w:cs="Times New Roman"/>
        </w:rPr>
        <w:t>the Marketing Plan</w:t>
      </w:r>
      <w:r w:rsidR="00F1366F" w:rsidRPr="00F1366F">
        <w:rPr>
          <w:rFonts w:ascii="Times New Roman" w:hAnsi="Times New Roman" w:cs="Times New Roman"/>
        </w:rPr>
        <w:t xml:space="preserve"> was </w:t>
      </w:r>
      <w:r w:rsidR="00A07C00">
        <w:rPr>
          <w:rFonts w:ascii="Times New Roman" w:hAnsi="Times New Roman" w:cs="Times New Roman"/>
        </w:rPr>
        <w:t>made</w:t>
      </w:r>
      <w:r w:rsidR="00F1366F" w:rsidRPr="00F1366F">
        <w:rPr>
          <w:rFonts w:ascii="Times New Roman" w:hAnsi="Times New Roman" w:cs="Times New Roman"/>
        </w:rPr>
        <w:t>, the Bill had been introduced to, but not passed by, Parliament. If the Bill is passed by Parliament, its provisions may affect the matters described by this Part.</w:t>
      </w:r>
    </w:p>
    <w:p w14:paraId="0EDB5FDD" w14:textId="24379B9A" w:rsidR="00EA312E" w:rsidRDefault="00EA312E" w:rsidP="006453D4">
      <w:pPr>
        <w:keepNext/>
        <w:spacing w:line="257" w:lineRule="auto"/>
        <w:rPr>
          <w:rFonts w:ascii="Times New Roman" w:hAnsi="Times New Roman" w:cs="Times New Roman"/>
          <w:b/>
          <w:bCs/>
        </w:rPr>
      </w:pPr>
      <w:r>
        <w:rPr>
          <w:rFonts w:ascii="Times New Roman" w:hAnsi="Times New Roman" w:cs="Times New Roman"/>
          <w:b/>
          <w:bCs/>
        </w:rPr>
        <w:lastRenderedPageBreak/>
        <w:t>Section 25</w:t>
      </w:r>
      <w:r>
        <w:rPr>
          <w:rFonts w:ascii="Times New Roman" w:hAnsi="Times New Roman" w:cs="Times New Roman"/>
          <w:b/>
          <w:bCs/>
        </w:rPr>
        <w:tab/>
        <w:t>Registration of spectrum licences</w:t>
      </w:r>
    </w:p>
    <w:p w14:paraId="4D239BE1" w14:textId="63DDC55D" w:rsidR="00EA312E" w:rsidRDefault="00983B64" w:rsidP="00EA312E">
      <w:pPr>
        <w:rPr>
          <w:rFonts w:ascii="Times New Roman" w:hAnsi="Times New Roman" w:cs="Times New Roman"/>
        </w:rPr>
      </w:pPr>
      <w:r>
        <w:rPr>
          <w:rFonts w:ascii="Times New Roman" w:hAnsi="Times New Roman" w:cs="Times New Roman"/>
        </w:rPr>
        <w:t xml:space="preserve">This section provides that, in accordance with Part 3.5 of the Act and the </w:t>
      </w:r>
      <w:r>
        <w:rPr>
          <w:rFonts w:ascii="Times New Roman" w:hAnsi="Times New Roman" w:cs="Times New Roman"/>
          <w:i/>
          <w:iCs/>
        </w:rPr>
        <w:t>Radiocommunications (Register of Radiocommunications Licences) Determination 2017</w:t>
      </w:r>
      <w:r>
        <w:rPr>
          <w:rFonts w:ascii="Times New Roman" w:hAnsi="Times New Roman" w:cs="Times New Roman"/>
        </w:rPr>
        <w:t xml:space="preserve"> (</w:t>
      </w:r>
      <w:r>
        <w:rPr>
          <w:rFonts w:ascii="Times New Roman" w:hAnsi="Times New Roman" w:cs="Times New Roman"/>
          <w:b/>
          <w:bCs/>
        </w:rPr>
        <w:t>the Register Determination</w:t>
      </w:r>
      <w:r>
        <w:rPr>
          <w:rFonts w:ascii="Times New Roman" w:hAnsi="Times New Roman" w:cs="Times New Roman"/>
        </w:rPr>
        <w:t>), the ACMA must register the details of spectrum licences in the Register of Radiocommunications Licences (</w:t>
      </w:r>
      <w:r>
        <w:rPr>
          <w:rFonts w:ascii="Times New Roman" w:hAnsi="Times New Roman" w:cs="Times New Roman"/>
          <w:b/>
          <w:bCs/>
        </w:rPr>
        <w:t>the Register</w:t>
      </w:r>
      <w:r>
        <w:rPr>
          <w:rFonts w:ascii="Times New Roman" w:hAnsi="Times New Roman" w:cs="Times New Roman"/>
        </w:rPr>
        <w:t>). The Register is a publicly available database on the ACMA’s website.</w:t>
      </w:r>
    </w:p>
    <w:p w14:paraId="61FC8379" w14:textId="2F25AF56" w:rsidR="00983B64" w:rsidRPr="00983B64" w:rsidRDefault="00983B64" w:rsidP="00EA312E">
      <w:pPr>
        <w:rPr>
          <w:rFonts w:ascii="Times New Roman" w:hAnsi="Times New Roman" w:cs="Times New Roman"/>
        </w:rPr>
      </w:pPr>
      <w:r>
        <w:rPr>
          <w:rFonts w:ascii="Times New Roman" w:hAnsi="Times New Roman" w:cs="Times New Roman"/>
        </w:rPr>
        <w:t>Part 3.5 of the Act and the Register Determination set out the information that the Register is required to contain including the name and postal address of the licensee, the licence date of issue and expiry date. The Register may also include details of radiocommunications devices operated under a spectrum licence.</w:t>
      </w:r>
    </w:p>
    <w:p w14:paraId="6850AEC6" w14:textId="11740880" w:rsidR="00EA312E" w:rsidRDefault="00EA312E" w:rsidP="00EA312E">
      <w:pPr>
        <w:rPr>
          <w:rFonts w:ascii="Times New Roman" w:hAnsi="Times New Roman" w:cs="Times New Roman"/>
          <w:b/>
          <w:bCs/>
        </w:rPr>
      </w:pPr>
      <w:r>
        <w:rPr>
          <w:rFonts w:ascii="Times New Roman" w:hAnsi="Times New Roman" w:cs="Times New Roman"/>
          <w:b/>
          <w:bCs/>
        </w:rPr>
        <w:t>Section 26</w:t>
      </w:r>
      <w:r>
        <w:rPr>
          <w:rFonts w:ascii="Times New Roman" w:hAnsi="Times New Roman" w:cs="Times New Roman"/>
          <w:b/>
          <w:bCs/>
        </w:rPr>
        <w:tab/>
        <w:t>Third party use</w:t>
      </w:r>
    </w:p>
    <w:p w14:paraId="7A4DBF10" w14:textId="0453551F" w:rsidR="00EA312E" w:rsidRPr="00EA312E" w:rsidRDefault="00DE6ECE" w:rsidP="00EA312E">
      <w:pPr>
        <w:rPr>
          <w:rFonts w:ascii="Times New Roman" w:hAnsi="Times New Roman" w:cs="Times New Roman"/>
        </w:rPr>
      </w:pPr>
      <w:r>
        <w:rPr>
          <w:rFonts w:ascii="Times New Roman" w:hAnsi="Times New Roman" w:cs="Times New Roman"/>
        </w:rPr>
        <w:t>This section provides that a licensee may permit third parties to operate radiocommunications devices under any spectrum licences it holds. Any such arrangements must comply with Division 1 of Part 3.2 of the Act, which includes provisions governing third party use.</w:t>
      </w:r>
    </w:p>
    <w:p w14:paraId="13A7C08D" w14:textId="6D9D9863" w:rsidR="00EA312E" w:rsidRDefault="00EA312E" w:rsidP="00EA312E">
      <w:pPr>
        <w:rPr>
          <w:rFonts w:ascii="Times New Roman" w:hAnsi="Times New Roman" w:cs="Times New Roman"/>
          <w:b/>
          <w:bCs/>
        </w:rPr>
      </w:pPr>
      <w:r>
        <w:rPr>
          <w:rFonts w:ascii="Times New Roman" w:hAnsi="Times New Roman" w:cs="Times New Roman"/>
          <w:b/>
          <w:bCs/>
        </w:rPr>
        <w:t>Section 27</w:t>
      </w:r>
      <w:r>
        <w:rPr>
          <w:rFonts w:ascii="Times New Roman" w:hAnsi="Times New Roman" w:cs="Times New Roman"/>
          <w:b/>
          <w:bCs/>
        </w:rPr>
        <w:tab/>
        <w:t>Trading in spectrum licences</w:t>
      </w:r>
    </w:p>
    <w:p w14:paraId="25929EE4" w14:textId="6F8314C5" w:rsidR="00EA312E" w:rsidRPr="00DE6ECE" w:rsidRDefault="00DE6ECE" w:rsidP="00EA312E">
      <w:pPr>
        <w:rPr>
          <w:rFonts w:ascii="Times New Roman" w:hAnsi="Times New Roman" w:cs="Times New Roman"/>
        </w:rPr>
      </w:pPr>
      <w:r>
        <w:rPr>
          <w:rFonts w:ascii="Times New Roman" w:hAnsi="Times New Roman" w:cs="Times New Roman"/>
        </w:rPr>
        <w:t xml:space="preserve">This section provides that a licensee may assign, or otherwise deal with, the whole or any part of a spectrum licence in accordance with Division 5 of Part 3.2 of the Act. The </w:t>
      </w:r>
      <w:r>
        <w:rPr>
          <w:rFonts w:ascii="Times New Roman" w:hAnsi="Times New Roman" w:cs="Times New Roman"/>
          <w:i/>
          <w:iCs/>
        </w:rPr>
        <w:t>Radiocommunications (Trading Rules for Spectrum Licences) Determination 2012</w:t>
      </w:r>
      <w:r>
        <w:rPr>
          <w:rFonts w:ascii="Times New Roman" w:hAnsi="Times New Roman" w:cs="Times New Roman"/>
        </w:rPr>
        <w:t xml:space="preserve"> made under section 88 of the Act provides further details about rules for trading in spectrum licences. In part, these rules define the minimum block of spectrum and geographic area that may be traded to a third party and must be retained by the licensee.</w:t>
      </w:r>
    </w:p>
    <w:p w14:paraId="04E6571D" w14:textId="4C99F728" w:rsidR="00EA312E" w:rsidRPr="00B249F5" w:rsidRDefault="00EA312E" w:rsidP="00EA312E">
      <w:pPr>
        <w:rPr>
          <w:rFonts w:ascii="Times New Roman" w:hAnsi="Times New Roman" w:cs="Times New Roman"/>
          <w:b/>
          <w:bCs/>
        </w:rPr>
      </w:pPr>
      <w:r w:rsidRPr="00B249F5">
        <w:rPr>
          <w:rFonts w:ascii="Times New Roman" w:hAnsi="Times New Roman" w:cs="Times New Roman"/>
          <w:b/>
          <w:bCs/>
        </w:rPr>
        <w:t>Section 28</w:t>
      </w:r>
      <w:r w:rsidRPr="00B249F5">
        <w:rPr>
          <w:rFonts w:ascii="Times New Roman" w:hAnsi="Times New Roman" w:cs="Times New Roman"/>
          <w:b/>
          <w:bCs/>
        </w:rPr>
        <w:tab/>
        <w:t>Agreements about emission limits</w:t>
      </w:r>
    </w:p>
    <w:p w14:paraId="1C631575" w14:textId="7F82A177" w:rsidR="00B249F5" w:rsidRPr="006453D4" w:rsidRDefault="00B249F5" w:rsidP="006453D4">
      <w:pPr>
        <w:spacing w:before="100" w:beforeAutospacing="1" w:line="240" w:lineRule="auto"/>
        <w:rPr>
          <w:rFonts w:ascii="Times New Roman" w:eastAsia="Times New Roman" w:hAnsi="Times New Roman" w:cs="Times New Roman"/>
          <w:sz w:val="19"/>
          <w:szCs w:val="19"/>
          <w:lang w:val="en-US" w:eastAsia="en-AU"/>
        </w:rPr>
      </w:pPr>
      <w:r w:rsidRPr="00B249F5">
        <w:rPr>
          <w:rFonts w:ascii="Times New Roman" w:eastAsia="Times New Roman" w:hAnsi="Times New Roman" w:cs="Times New Roman"/>
          <w:lang w:eastAsia="en-AU"/>
        </w:rPr>
        <w:t xml:space="preserve">This section provides that a licensee in the </w:t>
      </w:r>
      <w:r>
        <w:rPr>
          <w:rFonts w:ascii="Times New Roman" w:eastAsia="Times New Roman" w:hAnsi="Times New Roman" w:cs="Times New Roman"/>
          <w:lang w:eastAsia="en-AU"/>
        </w:rPr>
        <w:t>2</w:t>
      </w:r>
      <w:r w:rsidRPr="00B249F5">
        <w:rPr>
          <w:rFonts w:ascii="Times New Roman" w:eastAsia="Times New Roman" w:hAnsi="Times New Roman" w:cs="Times New Roman"/>
          <w:lang w:eastAsia="en-AU"/>
        </w:rPr>
        <w:t>6 GHz band may enter into an agreement about emission limits</w:t>
      </w:r>
      <w:r>
        <w:rPr>
          <w:rFonts w:ascii="Times New Roman" w:eastAsia="Times New Roman" w:hAnsi="Times New Roman" w:cs="Times New Roman"/>
          <w:lang w:eastAsia="en-AU"/>
        </w:rPr>
        <w:t xml:space="preserve"> outside the frequency band of the licence</w:t>
      </w:r>
      <w:r w:rsidRPr="00B249F5">
        <w:rPr>
          <w:rFonts w:ascii="Times New Roman" w:eastAsia="Times New Roman" w:hAnsi="Times New Roman" w:cs="Times New Roman"/>
          <w:lang w:eastAsia="en-AU"/>
        </w:rPr>
        <w:t xml:space="preserve">.  Licensees of licences that are </w:t>
      </w:r>
      <w:r w:rsidR="00F02343">
        <w:rPr>
          <w:rFonts w:ascii="Times New Roman" w:eastAsia="Times New Roman" w:hAnsi="Times New Roman" w:cs="Times New Roman"/>
          <w:lang w:eastAsia="en-AU"/>
        </w:rPr>
        <w:t>frequency-</w:t>
      </w:r>
      <w:r w:rsidRPr="00B249F5">
        <w:rPr>
          <w:rFonts w:ascii="Times New Roman" w:eastAsia="Times New Roman" w:hAnsi="Times New Roman" w:cs="Times New Roman"/>
          <w:lang w:eastAsia="en-AU"/>
        </w:rPr>
        <w:t xml:space="preserve">adjacent to one another may wish to enter agreements that allow a licensee </w:t>
      </w:r>
      <w:r w:rsidRPr="006453D4">
        <w:rPr>
          <w:rFonts w:ascii="Times New Roman" w:eastAsia="Times New Roman" w:hAnsi="Times New Roman" w:cs="Times New Roman"/>
          <w:lang w:eastAsia="en-AU"/>
        </w:rPr>
        <w:t xml:space="preserve">to exceed their emission limits specified in the core licence conditions. This section notes the provisions of Schedule </w:t>
      </w:r>
      <w:r w:rsidR="00034EFC" w:rsidRPr="006453D4">
        <w:rPr>
          <w:rFonts w:ascii="Times New Roman" w:eastAsia="Times New Roman" w:hAnsi="Times New Roman" w:cs="Times New Roman"/>
          <w:lang w:eastAsia="en-AU"/>
        </w:rPr>
        <w:t>5</w:t>
      </w:r>
      <w:r w:rsidRPr="006453D4">
        <w:rPr>
          <w:rFonts w:ascii="Times New Roman" w:eastAsia="Times New Roman" w:hAnsi="Times New Roman" w:cs="Times New Roman"/>
          <w:lang w:eastAsia="en-AU"/>
        </w:rPr>
        <w:t xml:space="preserve"> to the Marketing Plan which underpin such agreements.</w:t>
      </w:r>
    </w:p>
    <w:p w14:paraId="13A8B58D" w14:textId="380548B0" w:rsidR="00EA312E" w:rsidRDefault="00B249F5" w:rsidP="006453D4">
      <w:pPr>
        <w:spacing w:before="100" w:beforeAutospacing="1" w:line="240" w:lineRule="auto"/>
        <w:rPr>
          <w:rFonts w:ascii="Times New Roman" w:eastAsia="Times New Roman" w:hAnsi="Times New Roman" w:cs="Times New Roman"/>
          <w:lang w:eastAsia="en-AU"/>
        </w:rPr>
      </w:pPr>
      <w:r w:rsidRPr="006453D4">
        <w:rPr>
          <w:rFonts w:ascii="Times New Roman" w:eastAsia="Times New Roman" w:hAnsi="Times New Roman" w:cs="Times New Roman"/>
          <w:lang w:eastAsia="en-AU"/>
        </w:rPr>
        <w:t xml:space="preserve">When such an agreement </w:t>
      </w:r>
      <w:proofErr w:type="gramStart"/>
      <w:r w:rsidRPr="006453D4">
        <w:rPr>
          <w:rFonts w:ascii="Times New Roman" w:eastAsia="Times New Roman" w:hAnsi="Times New Roman" w:cs="Times New Roman"/>
          <w:lang w:eastAsia="en-AU"/>
        </w:rPr>
        <w:t>is in place,</w:t>
      </w:r>
      <w:proofErr w:type="gramEnd"/>
      <w:r w:rsidRPr="006453D4">
        <w:rPr>
          <w:rFonts w:ascii="Times New Roman" w:eastAsia="Times New Roman" w:hAnsi="Times New Roman" w:cs="Times New Roman"/>
          <w:lang w:eastAsia="en-AU"/>
        </w:rPr>
        <w:t xml:space="preserve"> that agreement effectively sets the emission limits that apply to that licence under section 18 of the Marketing Plan and in accordance with Schedule </w:t>
      </w:r>
      <w:r w:rsidR="00312655" w:rsidRPr="006453D4">
        <w:rPr>
          <w:rFonts w:ascii="Times New Roman" w:eastAsia="Times New Roman" w:hAnsi="Times New Roman" w:cs="Times New Roman"/>
          <w:lang w:eastAsia="en-AU"/>
        </w:rPr>
        <w:t>5</w:t>
      </w:r>
      <w:r w:rsidRPr="006453D4">
        <w:rPr>
          <w:rFonts w:ascii="Times New Roman" w:eastAsia="Times New Roman" w:hAnsi="Times New Roman" w:cs="Times New Roman"/>
          <w:lang w:eastAsia="en-AU"/>
        </w:rPr>
        <w:t xml:space="preserve"> to the Marketing Plan.  Schedule </w:t>
      </w:r>
      <w:r w:rsidR="00312655" w:rsidRPr="006453D4">
        <w:rPr>
          <w:rFonts w:ascii="Times New Roman" w:eastAsia="Times New Roman" w:hAnsi="Times New Roman" w:cs="Times New Roman"/>
          <w:lang w:eastAsia="en-AU"/>
        </w:rPr>
        <w:t>5</w:t>
      </w:r>
      <w:r w:rsidRPr="006453D4">
        <w:rPr>
          <w:rFonts w:ascii="Times New Roman" w:eastAsia="Times New Roman" w:hAnsi="Times New Roman" w:cs="Times New Roman"/>
          <w:lang w:eastAsia="en-AU"/>
        </w:rPr>
        <w:t xml:space="preserve"> requires that such an agreement must be in writing.</w:t>
      </w:r>
    </w:p>
    <w:p w14:paraId="3DC25184" w14:textId="37C7BEF6" w:rsidR="00DB237A" w:rsidRPr="00EA312E" w:rsidRDefault="00DB237A" w:rsidP="00E15E1D">
      <w:pPr>
        <w:shd w:val="clear" w:color="auto" w:fill="FFFFFF"/>
        <w:spacing w:before="100" w:beforeAutospacing="1" w:line="240" w:lineRule="auto"/>
        <w:rPr>
          <w:rFonts w:ascii="Times New Roman" w:hAnsi="Times New Roman" w:cs="Times New Roman"/>
        </w:rPr>
      </w:pPr>
      <w:r>
        <w:rPr>
          <w:rFonts w:ascii="Times New Roman" w:eastAsia="Times New Roman" w:hAnsi="Times New Roman" w:cs="Times New Roman"/>
          <w:lang w:eastAsia="en-AU"/>
        </w:rPr>
        <w:t xml:space="preserve">The Marketing Plan does not provide for an agreement to be entered </w:t>
      </w:r>
      <w:r w:rsidR="00D95F1F">
        <w:rPr>
          <w:rFonts w:ascii="Times New Roman" w:eastAsia="Times New Roman" w:hAnsi="Times New Roman" w:cs="Times New Roman"/>
          <w:lang w:eastAsia="en-AU"/>
        </w:rPr>
        <w:t xml:space="preserve">into </w:t>
      </w:r>
      <w:r>
        <w:rPr>
          <w:rFonts w:ascii="Times New Roman" w:eastAsia="Times New Roman" w:hAnsi="Times New Roman" w:cs="Times New Roman"/>
          <w:lang w:eastAsia="en-AU"/>
        </w:rPr>
        <w:t>about emission limits outside the geographic boundary of a spectrum licence.</w:t>
      </w:r>
    </w:p>
    <w:p w14:paraId="4A4996AC" w14:textId="2CFB85B8" w:rsidR="00EA312E" w:rsidRDefault="00EA312E" w:rsidP="00EA312E">
      <w:pPr>
        <w:rPr>
          <w:rFonts w:ascii="Times New Roman" w:hAnsi="Times New Roman" w:cs="Times New Roman"/>
          <w:b/>
          <w:bCs/>
        </w:rPr>
      </w:pPr>
      <w:r>
        <w:rPr>
          <w:rFonts w:ascii="Times New Roman" w:hAnsi="Times New Roman" w:cs="Times New Roman"/>
          <w:b/>
          <w:bCs/>
        </w:rPr>
        <w:t>Section 29</w:t>
      </w:r>
      <w:r>
        <w:rPr>
          <w:rFonts w:ascii="Times New Roman" w:hAnsi="Times New Roman" w:cs="Times New Roman"/>
          <w:b/>
          <w:bCs/>
        </w:rPr>
        <w:tab/>
        <w:t>Spectrum licences that are about to expire</w:t>
      </w:r>
    </w:p>
    <w:p w14:paraId="739ADBED" w14:textId="39B38A54" w:rsidR="00811DC0" w:rsidRDefault="00E24EBB" w:rsidP="00EA312E">
      <w:pPr>
        <w:rPr>
          <w:rFonts w:ascii="Times New Roman" w:hAnsi="Times New Roman" w:cs="Times New Roman"/>
        </w:rPr>
      </w:pPr>
      <w:r w:rsidRPr="00E24EBB">
        <w:rPr>
          <w:rFonts w:ascii="Times New Roman" w:hAnsi="Times New Roman" w:cs="Times New Roman"/>
        </w:rPr>
        <w:t xml:space="preserve">This section sets out the actions that the ACMA takes under the Act </w:t>
      </w:r>
      <w:r w:rsidR="0099075E">
        <w:rPr>
          <w:rFonts w:ascii="Times New Roman" w:hAnsi="Times New Roman" w:cs="Times New Roman"/>
        </w:rPr>
        <w:t xml:space="preserve">when </w:t>
      </w:r>
      <w:r w:rsidRPr="00E24EBB">
        <w:rPr>
          <w:rFonts w:ascii="Times New Roman" w:hAnsi="Times New Roman" w:cs="Times New Roman"/>
        </w:rPr>
        <w:t>spectrum licences</w:t>
      </w:r>
      <w:r w:rsidR="00F43A0F">
        <w:rPr>
          <w:rFonts w:ascii="Times New Roman" w:hAnsi="Times New Roman" w:cs="Times New Roman"/>
        </w:rPr>
        <w:t xml:space="preserve"> are about to </w:t>
      </w:r>
      <w:r w:rsidRPr="00E24EBB">
        <w:rPr>
          <w:rFonts w:ascii="Times New Roman" w:hAnsi="Times New Roman" w:cs="Times New Roman"/>
        </w:rPr>
        <w:t xml:space="preserve"> expire. In accordance with section 78 of the Act, the ACMA will publish a notice </w:t>
      </w:r>
      <w:r w:rsidR="00B32E9F">
        <w:rPr>
          <w:rFonts w:ascii="Times New Roman" w:hAnsi="Times New Roman" w:cs="Times New Roman"/>
        </w:rPr>
        <w:t xml:space="preserve">from time to time </w:t>
      </w:r>
      <w:r w:rsidRPr="00E24EBB">
        <w:rPr>
          <w:rFonts w:ascii="Times New Roman" w:hAnsi="Times New Roman" w:cs="Times New Roman"/>
        </w:rPr>
        <w:t>about spectrum licences that are due to expire within the period specified in the notice. The notice will invite expressions of interest from persons wishing to obtain spectrum licences relating to the relevant parts of the spectrum. Th</w:t>
      </w:r>
      <w:r w:rsidR="00B32E9F">
        <w:rPr>
          <w:rFonts w:ascii="Times New Roman" w:hAnsi="Times New Roman" w:cs="Times New Roman"/>
        </w:rPr>
        <w:t>e</w:t>
      </w:r>
      <w:r w:rsidRPr="00E24EBB">
        <w:rPr>
          <w:rFonts w:ascii="Times New Roman" w:hAnsi="Times New Roman" w:cs="Times New Roman"/>
        </w:rPr>
        <w:t xml:space="preserve"> </w:t>
      </w:r>
      <w:r w:rsidR="00B32E9F">
        <w:rPr>
          <w:rFonts w:ascii="Times New Roman" w:hAnsi="Times New Roman" w:cs="Times New Roman"/>
        </w:rPr>
        <w:t>notice</w:t>
      </w:r>
      <w:r w:rsidR="00B32E9F" w:rsidRPr="00E24EBB">
        <w:rPr>
          <w:rFonts w:ascii="Times New Roman" w:hAnsi="Times New Roman" w:cs="Times New Roman"/>
        </w:rPr>
        <w:t xml:space="preserve"> </w:t>
      </w:r>
      <w:r w:rsidRPr="00E24EBB">
        <w:rPr>
          <w:rFonts w:ascii="Times New Roman" w:hAnsi="Times New Roman" w:cs="Times New Roman"/>
        </w:rPr>
        <w:t>will be published on the ACMA’s website.</w:t>
      </w:r>
    </w:p>
    <w:p w14:paraId="27DD1A8F" w14:textId="01068EA4" w:rsidR="00EA312E" w:rsidRDefault="00EA312E" w:rsidP="006453D4">
      <w:pPr>
        <w:keepNext/>
        <w:keepLines/>
        <w:spacing w:line="257" w:lineRule="auto"/>
        <w:rPr>
          <w:rFonts w:ascii="Times New Roman" w:hAnsi="Times New Roman" w:cs="Times New Roman"/>
          <w:b/>
          <w:bCs/>
        </w:rPr>
      </w:pPr>
      <w:r>
        <w:rPr>
          <w:rFonts w:ascii="Times New Roman" w:hAnsi="Times New Roman" w:cs="Times New Roman"/>
          <w:b/>
          <w:bCs/>
        </w:rPr>
        <w:lastRenderedPageBreak/>
        <w:t>Section 30</w:t>
      </w:r>
      <w:r>
        <w:rPr>
          <w:rFonts w:ascii="Times New Roman" w:hAnsi="Times New Roman" w:cs="Times New Roman"/>
          <w:b/>
          <w:bCs/>
        </w:rPr>
        <w:tab/>
        <w:t>Re-issue of spectrum licence</w:t>
      </w:r>
    </w:p>
    <w:p w14:paraId="72F1239B" w14:textId="77777777" w:rsidR="00504187" w:rsidRDefault="00811DC0" w:rsidP="006453D4">
      <w:pPr>
        <w:keepNext/>
        <w:keepLines/>
        <w:spacing w:line="257" w:lineRule="auto"/>
        <w:rPr>
          <w:rFonts w:ascii="Times New Roman" w:hAnsi="Times New Roman" w:cs="Times New Roman"/>
        </w:rPr>
      </w:pPr>
      <w:r w:rsidRPr="00811DC0">
        <w:rPr>
          <w:rFonts w:ascii="Times New Roman" w:hAnsi="Times New Roman" w:cs="Times New Roman"/>
        </w:rPr>
        <w:t>This section sets out what the ACMA does under the Act when spectrum licences expire. Under Division 4 of Part 3.2 of the Act, the ACMA may decide to re-issue a spectrum licence to the existing licence holder when it expires, if the licence is used to provide a service included in a class of services determined by the Minister for which re-issuing licences to the same licensee would be in the public interest, or if special circumstances exist as a result of which the ACMA is satisfied it is in the public interest for that person to be re-issued the licence. Otherwise, the ACMA must offer the spectrum licence for re-allocation by auction, tender, or pre-determined or negotiated price. A re-issued licence may be different to the original licence, including by having different conditions placed on the licence.</w:t>
      </w:r>
      <w:r w:rsidR="00FD7614">
        <w:rPr>
          <w:rFonts w:ascii="Times New Roman" w:hAnsi="Times New Roman" w:cs="Times New Roman"/>
        </w:rPr>
        <w:t xml:space="preserve"> </w:t>
      </w:r>
    </w:p>
    <w:p w14:paraId="2D96273B" w14:textId="78421431" w:rsidR="00811DC0" w:rsidRDefault="00811DC0" w:rsidP="00811DC0">
      <w:pPr>
        <w:rPr>
          <w:rFonts w:ascii="Times New Roman" w:hAnsi="Times New Roman" w:cs="Times New Roman"/>
        </w:rPr>
      </w:pPr>
      <w:r>
        <w:rPr>
          <w:rFonts w:ascii="Times New Roman" w:hAnsi="Times New Roman" w:cs="Times New Roman"/>
        </w:rPr>
        <w:t>It</w:t>
      </w:r>
      <w:r w:rsidRPr="00811DC0">
        <w:rPr>
          <w:rFonts w:ascii="Times New Roman" w:hAnsi="Times New Roman" w:cs="Times New Roman"/>
        </w:rPr>
        <w:t xml:space="preserve"> is possible that, prior to the expiry of any spectrum licences issued as a result of </w:t>
      </w:r>
      <w:r w:rsidR="00504187">
        <w:rPr>
          <w:rFonts w:ascii="Times New Roman" w:hAnsi="Times New Roman" w:cs="Times New Roman"/>
        </w:rPr>
        <w:t>the 26 GHz band spectrum licence auction</w:t>
      </w:r>
      <w:r w:rsidRPr="00811DC0">
        <w:rPr>
          <w:rFonts w:ascii="Times New Roman" w:hAnsi="Times New Roman" w:cs="Times New Roman"/>
        </w:rPr>
        <w:t xml:space="preserve">, </w:t>
      </w:r>
      <w:r w:rsidR="00504187">
        <w:rPr>
          <w:rFonts w:ascii="Times New Roman" w:hAnsi="Times New Roman" w:cs="Times New Roman"/>
        </w:rPr>
        <w:t xml:space="preserve">the Bill may have been passed </w:t>
      </w:r>
      <w:r w:rsidR="00A34DC9">
        <w:rPr>
          <w:rFonts w:ascii="Times New Roman" w:hAnsi="Times New Roman" w:cs="Times New Roman"/>
        </w:rPr>
        <w:t xml:space="preserve">and may have </w:t>
      </w:r>
      <w:r w:rsidR="00682C9A">
        <w:rPr>
          <w:rFonts w:ascii="Times New Roman" w:hAnsi="Times New Roman" w:cs="Times New Roman"/>
        </w:rPr>
        <w:t>amend</w:t>
      </w:r>
      <w:r w:rsidR="00A34DC9">
        <w:rPr>
          <w:rFonts w:ascii="Times New Roman" w:hAnsi="Times New Roman" w:cs="Times New Roman"/>
        </w:rPr>
        <w:t>ed</w:t>
      </w:r>
      <w:r w:rsidRPr="00811DC0">
        <w:rPr>
          <w:rFonts w:ascii="Times New Roman" w:hAnsi="Times New Roman" w:cs="Times New Roman"/>
        </w:rPr>
        <w:t xml:space="preserve"> the Act</w:t>
      </w:r>
      <w:r w:rsidR="00A34DC9">
        <w:rPr>
          <w:rFonts w:ascii="Times New Roman" w:hAnsi="Times New Roman" w:cs="Times New Roman"/>
        </w:rPr>
        <w:t>,</w:t>
      </w:r>
      <w:r w:rsidRPr="00811DC0">
        <w:rPr>
          <w:rFonts w:ascii="Times New Roman" w:hAnsi="Times New Roman" w:cs="Times New Roman"/>
        </w:rPr>
        <w:t xml:space="preserve"> affect</w:t>
      </w:r>
      <w:r w:rsidR="00A34DC9">
        <w:rPr>
          <w:rFonts w:ascii="Times New Roman" w:hAnsi="Times New Roman" w:cs="Times New Roman"/>
        </w:rPr>
        <w:t>ing</w:t>
      </w:r>
      <w:r w:rsidRPr="00811DC0">
        <w:rPr>
          <w:rFonts w:ascii="Times New Roman" w:hAnsi="Times New Roman" w:cs="Times New Roman"/>
        </w:rPr>
        <w:t xml:space="preserve"> the re-issue process. Applicants should consider the available information about the </w:t>
      </w:r>
      <w:r w:rsidR="00A34DC9">
        <w:rPr>
          <w:rFonts w:ascii="Times New Roman" w:hAnsi="Times New Roman" w:cs="Times New Roman"/>
        </w:rPr>
        <w:t>Bill</w:t>
      </w:r>
      <w:r w:rsidRPr="00811DC0">
        <w:rPr>
          <w:rFonts w:ascii="Times New Roman" w:hAnsi="Times New Roman" w:cs="Times New Roman"/>
        </w:rPr>
        <w:t xml:space="preserve"> available at</w:t>
      </w:r>
      <w:r w:rsidR="00671EF9">
        <w:rPr>
          <w:rFonts w:ascii="Times New Roman" w:hAnsi="Times New Roman" w:cs="Times New Roman"/>
        </w:rPr>
        <w:t xml:space="preserve"> </w:t>
      </w:r>
      <w:hyperlink w:history="1"/>
      <w:hyperlink r:id="rId22" w:history="1">
        <w:r w:rsidR="00A34DC9" w:rsidRPr="003D00B3">
          <w:rPr>
            <w:rStyle w:val="Hyperlink"/>
            <w:rFonts w:ascii="Times New Roman" w:hAnsi="Times New Roman" w:cs="Times New Roman"/>
          </w:rPr>
          <w:t>www.communications.gov.au</w:t>
        </w:r>
      </w:hyperlink>
      <w:r w:rsidR="00A34DC9">
        <w:rPr>
          <w:rStyle w:val="Hyperlink"/>
          <w:rFonts w:ascii="Times New Roman" w:hAnsi="Times New Roman" w:cs="Times New Roman"/>
        </w:rPr>
        <w:t xml:space="preserve"> </w:t>
      </w:r>
      <w:r w:rsidR="00A34DC9" w:rsidRPr="00634065">
        <w:rPr>
          <w:rStyle w:val="Hyperlink"/>
          <w:rFonts w:ascii="Times New Roman" w:hAnsi="Times New Roman" w:cs="Times New Roman"/>
          <w:color w:val="auto"/>
          <w:u w:val="none"/>
        </w:rPr>
        <w:t>or on the Federal Register of Legislation at</w:t>
      </w:r>
      <w:r w:rsidR="00A34DC9" w:rsidRPr="00634065">
        <w:rPr>
          <w:rStyle w:val="Hyperlink"/>
          <w:rFonts w:ascii="Times New Roman" w:hAnsi="Times New Roman" w:cs="Times New Roman"/>
          <w:color w:val="auto"/>
        </w:rPr>
        <w:t xml:space="preserve"> </w:t>
      </w:r>
      <w:hyperlink r:id="rId23" w:history="1">
        <w:r w:rsidR="00A34DC9" w:rsidRPr="003D00B3">
          <w:rPr>
            <w:rStyle w:val="Hyperlink"/>
            <w:rFonts w:ascii="Times New Roman" w:hAnsi="Times New Roman" w:cs="Times New Roman"/>
          </w:rPr>
          <w:t>www.legislation.gov.au</w:t>
        </w:r>
      </w:hyperlink>
      <w:r w:rsidR="00A34DC9">
        <w:rPr>
          <w:rStyle w:val="Hyperlink"/>
          <w:rFonts w:ascii="Times New Roman" w:hAnsi="Times New Roman" w:cs="Times New Roman"/>
        </w:rPr>
        <w:t xml:space="preserve">. </w:t>
      </w:r>
    </w:p>
    <w:p w14:paraId="5AB2E144" w14:textId="2B746161" w:rsidR="008B51F1" w:rsidRDefault="008B51F1" w:rsidP="00811DC0">
      <w:pPr>
        <w:rPr>
          <w:rFonts w:ascii="Times New Roman" w:hAnsi="Times New Roman" w:cs="Times New Roman"/>
          <w:b/>
          <w:bCs/>
        </w:rPr>
      </w:pPr>
      <w:r>
        <w:rPr>
          <w:rFonts w:ascii="Times New Roman" w:hAnsi="Times New Roman" w:cs="Times New Roman"/>
          <w:b/>
          <w:bCs/>
        </w:rPr>
        <w:t>SCHEDULE 1</w:t>
      </w:r>
      <w:r>
        <w:rPr>
          <w:rFonts w:ascii="Times New Roman" w:hAnsi="Times New Roman" w:cs="Times New Roman"/>
          <w:b/>
          <w:bCs/>
        </w:rPr>
        <w:tab/>
      </w:r>
      <w:r>
        <w:rPr>
          <w:rFonts w:ascii="Times New Roman" w:hAnsi="Times New Roman" w:cs="Times New Roman"/>
          <w:b/>
          <w:bCs/>
        </w:rPr>
        <w:tab/>
        <w:t>Categories</w:t>
      </w:r>
    </w:p>
    <w:p w14:paraId="3E2AA5BD" w14:textId="671021CA" w:rsidR="00613764" w:rsidRDefault="00344BBD" w:rsidP="008B51F1">
      <w:pPr>
        <w:rPr>
          <w:rFonts w:ascii="Times New Roman" w:hAnsi="Times New Roman" w:cs="Times New Roman"/>
        </w:rPr>
      </w:pPr>
      <w:r>
        <w:rPr>
          <w:rFonts w:ascii="Times New Roman" w:hAnsi="Times New Roman" w:cs="Times New Roman"/>
        </w:rPr>
        <w:t>This Schedule</w:t>
      </w:r>
      <w:r w:rsidR="008B51F1" w:rsidRPr="008B51F1">
        <w:rPr>
          <w:rFonts w:ascii="Times New Roman" w:hAnsi="Times New Roman" w:cs="Times New Roman"/>
        </w:rPr>
        <w:t xml:space="preserve"> defines how </w:t>
      </w:r>
      <w:r w:rsidR="00F135FD">
        <w:rPr>
          <w:rFonts w:ascii="Times New Roman" w:hAnsi="Times New Roman" w:cs="Times New Roman"/>
        </w:rPr>
        <w:t xml:space="preserve">products </w:t>
      </w:r>
      <w:r w:rsidR="008B51F1" w:rsidRPr="008B51F1">
        <w:rPr>
          <w:rFonts w:ascii="Times New Roman" w:hAnsi="Times New Roman" w:cs="Times New Roman"/>
        </w:rPr>
        <w:t xml:space="preserve">will be divided into </w:t>
      </w:r>
      <w:r w:rsidR="00251C5F">
        <w:rPr>
          <w:rFonts w:ascii="Times New Roman" w:hAnsi="Times New Roman" w:cs="Times New Roman"/>
        </w:rPr>
        <w:t>three different</w:t>
      </w:r>
      <w:r w:rsidR="008B51F1" w:rsidRPr="008B51F1">
        <w:rPr>
          <w:rFonts w:ascii="Times New Roman" w:hAnsi="Times New Roman" w:cs="Times New Roman"/>
        </w:rPr>
        <w:t xml:space="preserve"> categories. Table 1 in this schedule defines the category number, category name, the lower and upper frequencies of the products within the category and the bandwidth of </w:t>
      </w:r>
      <w:r w:rsidR="008B51F1">
        <w:rPr>
          <w:rFonts w:ascii="Times New Roman" w:hAnsi="Times New Roman" w:cs="Times New Roman"/>
        </w:rPr>
        <w:t>lots</w:t>
      </w:r>
      <w:r w:rsidR="008B51F1" w:rsidRPr="008B51F1">
        <w:rPr>
          <w:rFonts w:ascii="Times New Roman" w:hAnsi="Times New Roman" w:cs="Times New Roman"/>
        </w:rPr>
        <w:t xml:space="preserve"> within the category.</w:t>
      </w:r>
      <w:r w:rsidR="00F135FD">
        <w:rPr>
          <w:rFonts w:ascii="Times New Roman" w:hAnsi="Times New Roman" w:cs="Times New Roman"/>
        </w:rPr>
        <w:t xml:space="preserve"> </w:t>
      </w:r>
    </w:p>
    <w:p w14:paraId="2AC886E7" w14:textId="1E36F9FF" w:rsidR="008B51F1" w:rsidRPr="008B51F1" w:rsidRDefault="00F135FD" w:rsidP="008B51F1">
      <w:pPr>
        <w:rPr>
          <w:rFonts w:ascii="Times New Roman" w:hAnsi="Times New Roman" w:cs="Times New Roman"/>
        </w:rPr>
      </w:pPr>
      <w:r w:rsidRPr="00853913">
        <w:rPr>
          <w:rFonts w:ascii="Times New Roman" w:hAnsi="Times New Roman" w:cs="Times New Roman"/>
        </w:rPr>
        <w:t xml:space="preserve">Products in the 26 GHz band are not generic, </w:t>
      </w:r>
      <w:r w:rsidR="00853913">
        <w:rPr>
          <w:rFonts w:ascii="Times New Roman" w:hAnsi="Times New Roman" w:cs="Times New Roman"/>
        </w:rPr>
        <w:t>and as such,</w:t>
      </w:r>
      <w:r w:rsidRPr="00853913">
        <w:rPr>
          <w:rFonts w:ascii="Times New Roman" w:hAnsi="Times New Roman" w:cs="Times New Roman"/>
        </w:rPr>
        <w:t xml:space="preserve"> registered bidders may attribute different values to different </w:t>
      </w:r>
      <w:r w:rsidR="00E23E07">
        <w:rPr>
          <w:rFonts w:ascii="Times New Roman" w:hAnsi="Times New Roman" w:cs="Times New Roman"/>
        </w:rPr>
        <w:t>products</w:t>
      </w:r>
      <w:r w:rsidRPr="00853913">
        <w:rPr>
          <w:rFonts w:ascii="Times New Roman" w:hAnsi="Times New Roman" w:cs="Times New Roman"/>
        </w:rPr>
        <w:t>.</w:t>
      </w:r>
    </w:p>
    <w:p w14:paraId="7C459E65" w14:textId="22CEBBC0" w:rsidR="00B3339F" w:rsidRDefault="00B3339F" w:rsidP="00811DC0">
      <w:pPr>
        <w:rPr>
          <w:rFonts w:ascii="Times New Roman" w:hAnsi="Times New Roman" w:cs="Times New Roman"/>
          <w:b/>
          <w:bCs/>
        </w:rPr>
      </w:pPr>
      <w:r>
        <w:rPr>
          <w:rFonts w:ascii="Times New Roman" w:hAnsi="Times New Roman" w:cs="Times New Roman"/>
          <w:b/>
          <w:bCs/>
        </w:rPr>
        <w:t xml:space="preserve">SCHEDULE </w:t>
      </w:r>
      <w:r w:rsidR="006F6584">
        <w:rPr>
          <w:rFonts w:ascii="Times New Roman" w:hAnsi="Times New Roman" w:cs="Times New Roman"/>
          <w:b/>
          <w:bCs/>
        </w:rPr>
        <w:t>2</w:t>
      </w:r>
      <w:r>
        <w:rPr>
          <w:rFonts w:ascii="Times New Roman" w:hAnsi="Times New Roman" w:cs="Times New Roman"/>
          <w:b/>
          <w:bCs/>
        </w:rPr>
        <w:tab/>
      </w:r>
      <w:r>
        <w:rPr>
          <w:rFonts w:ascii="Times New Roman" w:hAnsi="Times New Roman" w:cs="Times New Roman"/>
          <w:b/>
          <w:bCs/>
        </w:rPr>
        <w:tab/>
        <w:t>Products</w:t>
      </w:r>
    </w:p>
    <w:p w14:paraId="3830344D" w14:textId="49303852" w:rsidR="00B3339F" w:rsidRDefault="00B3339F" w:rsidP="00EA312E">
      <w:pPr>
        <w:rPr>
          <w:rFonts w:ascii="Times New Roman" w:hAnsi="Times New Roman" w:cs="Times New Roman"/>
        </w:rPr>
      </w:pPr>
      <w:r>
        <w:rPr>
          <w:rFonts w:ascii="Times New Roman" w:hAnsi="Times New Roman" w:cs="Times New Roman"/>
        </w:rPr>
        <w:t>This Schedule defines the 26 GHz band products that will be offered during the auction</w:t>
      </w:r>
      <w:r w:rsidR="00E23E07">
        <w:rPr>
          <w:rFonts w:ascii="Times New Roman" w:hAnsi="Times New Roman" w:cs="Times New Roman"/>
        </w:rPr>
        <w:t>.</w:t>
      </w:r>
      <w:r w:rsidR="00E23E07" w:rsidRPr="00E23E07">
        <w:t xml:space="preserve"> </w:t>
      </w:r>
      <w:r w:rsidR="00E23E07" w:rsidRPr="00E23E07">
        <w:rPr>
          <w:rFonts w:ascii="Times New Roman" w:hAnsi="Times New Roman" w:cs="Times New Roman"/>
        </w:rPr>
        <w:t xml:space="preserve">A product for the purpose of the Marketing Plan is the set of </w:t>
      </w:r>
      <w:proofErr w:type="gramStart"/>
      <w:r w:rsidR="00E23E07" w:rsidRPr="00E23E07">
        <w:rPr>
          <w:rFonts w:ascii="Times New Roman" w:hAnsi="Times New Roman" w:cs="Times New Roman"/>
        </w:rPr>
        <w:t>spectrum</w:t>
      </w:r>
      <w:proofErr w:type="gramEnd"/>
      <w:r w:rsidR="00E23E07" w:rsidRPr="00E23E07">
        <w:rPr>
          <w:rFonts w:ascii="Times New Roman" w:hAnsi="Times New Roman" w:cs="Times New Roman"/>
        </w:rPr>
        <w:t xml:space="preserve"> lots that have the same region and belong in the same category.</w:t>
      </w:r>
      <w:r>
        <w:rPr>
          <w:rFonts w:ascii="Times New Roman" w:hAnsi="Times New Roman" w:cs="Times New Roman"/>
        </w:rPr>
        <w:t xml:space="preserve"> For each product,</w:t>
      </w:r>
      <w:r w:rsidR="00613764" w:rsidDel="00A50118">
        <w:rPr>
          <w:rFonts w:ascii="Times New Roman" w:hAnsi="Times New Roman" w:cs="Times New Roman"/>
        </w:rPr>
        <w:t xml:space="preserve"> </w:t>
      </w:r>
      <w:r w:rsidR="008B51F1">
        <w:rPr>
          <w:rFonts w:ascii="Times New Roman" w:hAnsi="Times New Roman" w:cs="Times New Roman"/>
        </w:rPr>
        <w:t xml:space="preserve">this </w:t>
      </w:r>
      <w:r w:rsidR="00A50118">
        <w:rPr>
          <w:rFonts w:ascii="Times New Roman" w:hAnsi="Times New Roman" w:cs="Times New Roman"/>
        </w:rPr>
        <w:t>S</w:t>
      </w:r>
      <w:r w:rsidR="008B51F1">
        <w:rPr>
          <w:rFonts w:ascii="Times New Roman" w:hAnsi="Times New Roman" w:cs="Times New Roman"/>
        </w:rPr>
        <w:t>chedule</w:t>
      </w:r>
      <w:r w:rsidR="00F2275E">
        <w:rPr>
          <w:rFonts w:ascii="Times New Roman" w:hAnsi="Times New Roman" w:cs="Times New Roman"/>
        </w:rPr>
        <w:t xml:space="preserve"> </w:t>
      </w:r>
      <w:r>
        <w:rPr>
          <w:rFonts w:ascii="Times New Roman" w:hAnsi="Times New Roman" w:cs="Times New Roman"/>
        </w:rPr>
        <w:t xml:space="preserve">lists the </w:t>
      </w:r>
      <w:r w:rsidR="00F2275E">
        <w:rPr>
          <w:rFonts w:ascii="Times New Roman" w:hAnsi="Times New Roman" w:cs="Times New Roman"/>
        </w:rPr>
        <w:t>product</w:t>
      </w:r>
      <w:r>
        <w:rPr>
          <w:rFonts w:ascii="Times New Roman" w:hAnsi="Times New Roman" w:cs="Times New Roman"/>
        </w:rPr>
        <w:t>,</w:t>
      </w:r>
      <w:r w:rsidR="006C0F7B">
        <w:rPr>
          <w:rFonts w:ascii="Times New Roman" w:hAnsi="Times New Roman" w:cs="Times New Roman"/>
        </w:rPr>
        <w:t xml:space="preserve"> category number,</w:t>
      </w:r>
      <w:r>
        <w:rPr>
          <w:rFonts w:ascii="Times New Roman" w:hAnsi="Times New Roman" w:cs="Times New Roman"/>
        </w:rPr>
        <w:t xml:space="preserve"> region, and number of lots available.</w:t>
      </w:r>
      <w:r w:rsidR="00E23E07">
        <w:rPr>
          <w:rFonts w:ascii="Times New Roman" w:hAnsi="Times New Roman" w:cs="Times New Roman"/>
        </w:rPr>
        <w:t xml:space="preserve"> Column 2,</w:t>
      </w:r>
      <w:r w:rsidR="00A50118">
        <w:rPr>
          <w:rFonts w:ascii="Times New Roman" w:hAnsi="Times New Roman" w:cs="Times New Roman"/>
        </w:rPr>
        <w:t xml:space="preserve"> the</w:t>
      </w:r>
      <w:r w:rsidR="00E23E07">
        <w:rPr>
          <w:rFonts w:ascii="Times New Roman" w:hAnsi="Times New Roman" w:cs="Times New Roman"/>
        </w:rPr>
        <w:t xml:space="preserve"> product name, has been included to reflect the name of the product as it will appear in the auction system</w:t>
      </w:r>
      <w:r w:rsidR="00A50118">
        <w:rPr>
          <w:rFonts w:ascii="Times New Roman" w:hAnsi="Times New Roman" w:cs="Times New Roman"/>
        </w:rPr>
        <w:t>, and is for information only</w:t>
      </w:r>
      <w:r w:rsidR="00E23E07">
        <w:rPr>
          <w:rFonts w:ascii="Times New Roman" w:hAnsi="Times New Roman" w:cs="Times New Roman"/>
        </w:rPr>
        <w:t>.</w:t>
      </w:r>
    </w:p>
    <w:p w14:paraId="76D36C8E" w14:textId="509659D1" w:rsidR="008E2539" w:rsidRDefault="008E2539" w:rsidP="00EA312E">
      <w:pPr>
        <w:rPr>
          <w:rFonts w:ascii="Times New Roman" w:hAnsi="Times New Roman" w:cs="Times New Roman"/>
        </w:rPr>
      </w:pPr>
      <w:r>
        <w:rPr>
          <w:rFonts w:ascii="Times New Roman" w:hAnsi="Times New Roman" w:cs="Times New Roman"/>
          <w:b/>
          <w:bCs/>
        </w:rPr>
        <w:t xml:space="preserve">SCHEDULE </w:t>
      </w:r>
      <w:r w:rsidR="006F6584">
        <w:rPr>
          <w:rFonts w:ascii="Times New Roman" w:hAnsi="Times New Roman" w:cs="Times New Roman"/>
          <w:b/>
          <w:bCs/>
        </w:rPr>
        <w:t>3</w:t>
      </w:r>
      <w:r>
        <w:rPr>
          <w:rFonts w:ascii="Times New Roman" w:hAnsi="Times New Roman" w:cs="Times New Roman"/>
          <w:b/>
          <w:bCs/>
        </w:rPr>
        <w:tab/>
      </w:r>
      <w:r>
        <w:rPr>
          <w:rFonts w:ascii="Times New Roman" w:hAnsi="Times New Roman" w:cs="Times New Roman"/>
          <w:b/>
          <w:bCs/>
        </w:rPr>
        <w:tab/>
      </w:r>
      <w:r w:rsidRPr="008E2539">
        <w:rPr>
          <w:rFonts w:ascii="Times New Roman" w:hAnsi="Times New Roman" w:cs="Times New Roman"/>
          <w:b/>
          <w:bCs/>
        </w:rPr>
        <w:t>Regions</w:t>
      </w:r>
    </w:p>
    <w:p w14:paraId="606881B9" w14:textId="421FBC84" w:rsidR="008E2539" w:rsidRDefault="008E2539" w:rsidP="00EA312E">
      <w:pPr>
        <w:rPr>
          <w:rFonts w:ascii="Times New Roman" w:hAnsi="Times New Roman" w:cs="Times New Roman"/>
        </w:rPr>
      </w:pPr>
      <w:r>
        <w:rPr>
          <w:rFonts w:ascii="Times New Roman" w:hAnsi="Times New Roman" w:cs="Times New Roman"/>
        </w:rPr>
        <w:t>This Schedule defines the</w:t>
      </w:r>
      <w:r w:rsidR="00251C5F">
        <w:rPr>
          <w:rFonts w:ascii="Times New Roman" w:hAnsi="Times New Roman" w:cs="Times New Roman"/>
        </w:rPr>
        <w:t xml:space="preserve"> 2</w:t>
      </w:r>
      <w:r w:rsidR="00E23E07">
        <w:rPr>
          <w:rFonts w:ascii="Times New Roman" w:hAnsi="Times New Roman" w:cs="Times New Roman"/>
        </w:rPr>
        <w:t>8</w:t>
      </w:r>
      <w:r>
        <w:rPr>
          <w:rFonts w:ascii="Times New Roman" w:hAnsi="Times New Roman" w:cs="Times New Roman"/>
        </w:rPr>
        <w:t xml:space="preserve"> geographic regions of the lots on offer under the Marketing Plan. It provides the names for the regions, and precise geographic definitions. To define a geographic region, this Schedule lists a set of HCIS identifiers that correspond to the region on the ASMG.</w:t>
      </w:r>
    </w:p>
    <w:p w14:paraId="6CC6D842" w14:textId="14176FF9" w:rsidR="00066BF7" w:rsidRDefault="00837CC2" w:rsidP="00EA312E">
      <w:pPr>
        <w:rPr>
          <w:rFonts w:ascii="Times New Roman" w:hAnsi="Times New Roman" w:cs="Times New Roman"/>
        </w:rPr>
      </w:pPr>
      <w:r>
        <w:rPr>
          <w:rFonts w:ascii="Times New Roman" w:hAnsi="Times New Roman" w:cs="Times New Roman"/>
        </w:rPr>
        <w:t>The regions</w:t>
      </w:r>
      <w:r w:rsidR="00AB5EE3">
        <w:rPr>
          <w:rFonts w:ascii="Times New Roman" w:hAnsi="Times New Roman" w:cs="Times New Roman"/>
        </w:rPr>
        <w:t xml:space="preserve"> in this schedule, with the exception of Greater Perth</w:t>
      </w:r>
      <w:r w:rsidR="003B5A5F">
        <w:rPr>
          <w:rFonts w:ascii="Times New Roman" w:hAnsi="Times New Roman" w:cs="Times New Roman"/>
        </w:rPr>
        <w:t xml:space="preserve"> Upper</w:t>
      </w:r>
      <w:r w:rsidR="00AB5EE3">
        <w:rPr>
          <w:rFonts w:ascii="Times New Roman" w:hAnsi="Times New Roman" w:cs="Times New Roman"/>
        </w:rPr>
        <w:t xml:space="preserve">, align with the areas declared for re-allocation by the Minister in the </w:t>
      </w:r>
      <w:r w:rsidR="00C658DC">
        <w:rPr>
          <w:rFonts w:ascii="Times New Roman" w:hAnsi="Times New Roman" w:cs="Times New Roman"/>
        </w:rPr>
        <w:t>R</w:t>
      </w:r>
      <w:r w:rsidR="000D0B9D">
        <w:rPr>
          <w:rFonts w:ascii="Times New Roman" w:hAnsi="Times New Roman" w:cs="Times New Roman"/>
        </w:rPr>
        <w:t xml:space="preserve">e-allocation </w:t>
      </w:r>
      <w:r w:rsidR="00C658DC">
        <w:rPr>
          <w:rFonts w:ascii="Times New Roman" w:hAnsi="Times New Roman" w:cs="Times New Roman"/>
        </w:rPr>
        <w:t>D</w:t>
      </w:r>
      <w:r w:rsidR="000D0B9D">
        <w:rPr>
          <w:rFonts w:ascii="Times New Roman" w:hAnsi="Times New Roman" w:cs="Times New Roman"/>
        </w:rPr>
        <w:t xml:space="preserve">eclaration. </w:t>
      </w:r>
      <w:r w:rsidR="00082F0D">
        <w:rPr>
          <w:rFonts w:ascii="Times New Roman" w:hAnsi="Times New Roman" w:cs="Times New Roman"/>
        </w:rPr>
        <w:t xml:space="preserve">In some </w:t>
      </w:r>
      <w:proofErr w:type="gramStart"/>
      <w:r w:rsidR="00082F0D">
        <w:rPr>
          <w:rFonts w:ascii="Times New Roman" w:hAnsi="Times New Roman" w:cs="Times New Roman"/>
        </w:rPr>
        <w:t>cases</w:t>
      </w:r>
      <w:proofErr w:type="gramEnd"/>
      <w:r w:rsidR="00082F0D">
        <w:rPr>
          <w:rFonts w:ascii="Times New Roman" w:hAnsi="Times New Roman" w:cs="Times New Roman"/>
        </w:rPr>
        <w:t xml:space="preserve"> there is a difference in the name</w:t>
      </w:r>
      <w:r w:rsidR="004D6363">
        <w:rPr>
          <w:rFonts w:ascii="Times New Roman" w:hAnsi="Times New Roman" w:cs="Times New Roman"/>
        </w:rPr>
        <w:t>s</w:t>
      </w:r>
      <w:r w:rsidR="00082F0D">
        <w:rPr>
          <w:rFonts w:ascii="Times New Roman" w:hAnsi="Times New Roman" w:cs="Times New Roman"/>
        </w:rPr>
        <w:t xml:space="preserve"> of the area</w:t>
      </w:r>
      <w:r w:rsidR="00307046">
        <w:rPr>
          <w:rFonts w:ascii="Times New Roman" w:hAnsi="Times New Roman" w:cs="Times New Roman"/>
        </w:rPr>
        <w:t xml:space="preserve"> as expressed in the </w:t>
      </w:r>
      <w:r w:rsidR="00C658DC">
        <w:rPr>
          <w:rFonts w:ascii="Times New Roman" w:hAnsi="Times New Roman" w:cs="Times New Roman"/>
        </w:rPr>
        <w:t>R</w:t>
      </w:r>
      <w:r w:rsidR="00307046">
        <w:rPr>
          <w:rFonts w:ascii="Times New Roman" w:hAnsi="Times New Roman" w:cs="Times New Roman"/>
        </w:rPr>
        <w:t xml:space="preserve">e-allocation </w:t>
      </w:r>
      <w:r w:rsidR="00C658DC">
        <w:rPr>
          <w:rFonts w:ascii="Times New Roman" w:hAnsi="Times New Roman" w:cs="Times New Roman"/>
        </w:rPr>
        <w:t>D</w:t>
      </w:r>
      <w:r w:rsidR="00307046">
        <w:rPr>
          <w:rFonts w:ascii="Times New Roman" w:hAnsi="Times New Roman" w:cs="Times New Roman"/>
        </w:rPr>
        <w:t>eclaration, and the name of the corresponding region in the Marketing Plan</w:t>
      </w:r>
      <w:r w:rsidR="00082F0D">
        <w:rPr>
          <w:rFonts w:ascii="Times New Roman" w:hAnsi="Times New Roman" w:cs="Times New Roman"/>
        </w:rPr>
        <w:t>.</w:t>
      </w:r>
    </w:p>
    <w:p w14:paraId="49CA06B6" w14:textId="5231EE91" w:rsidR="00AB5EE3" w:rsidRDefault="00251C5F" w:rsidP="00EA312E">
      <w:pPr>
        <w:rPr>
          <w:rFonts w:ascii="Times New Roman" w:hAnsi="Times New Roman" w:cs="Times New Roman"/>
        </w:rPr>
      </w:pPr>
      <w:r>
        <w:rPr>
          <w:rFonts w:ascii="Times New Roman" w:hAnsi="Times New Roman" w:cs="Times New Roman"/>
        </w:rPr>
        <w:t xml:space="preserve">The Greater Perth </w:t>
      </w:r>
      <w:r w:rsidR="003B5A5F">
        <w:rPr>
          <w:rFonts w:ascii="Times New Roman" w:hAnsi="Times New Roman" w:cs="Times New Roman"/>
        </w:rPr>
        <w:t>Upper region</w:t>
      </w:r>
      <w:r>
        <w:rPr>
          <w:rFonts w:ascii="Times New Roman" w:hAnsi="Times New Roman" w:cs="Times New Roman"/>
        </w:rPr>
        <w:t xml:space="preserve"> </w:t>
      </w:r>
      <w:r w:rsidR="00082F0D">
        <w:rPr>
          <w:rFonts w:ascii="Times New Roman" w:hAnsi="Times New Roman" w:cs="Times New Roman"/>
        </w:rPr>
        <w:t>covers</w:t>
      </w:r>
      <w:r>
        <w:rPr>
          <w:rFonts w:ascii="Times New Roman" w:hAnsi="Times New Roman" w:cs="Times New Roman"/>
        </w:rPr>
        <w:t xml:space="preserve"> the </w:t>
      </w:r>
      <w:r w:rsidR="00801701" w:rsidDel="00C41262">
        <w:rPr>
          <w:rFonts w:ascii="Times New Roman" w:hAnsi="Times New Roman" w:cs="Times New Roman"/>
        </w:rPr>
        <w:t>Bunbury</w:t>
      </w:r>
      <w:r w:rsidR="00801701">
        <w:rPr>
          <w:rFonts w:ascii="Times New Roman" w:hAnsi="Times New Roman" w:cs="Times New Roman"/>
        </w:rPr>
        <w:t xml:space="preserve"> and Perth areas</w:t>
      </w:r>
      <w:r>
        <w:rPr>
          <w:rFonts w:ascii="Times New Roman" w:hAnsi="Times New Roman" w:cs="Times New Roman"/>
        </w:rPr>
        <w:t xml:space="preserve"> specified in the </w:t>
      </w:r>
      <w:r w:rsidR="00C658DC">
        <w:rPr>
          <w:rFonts w:ascii="Times New Roman" w:hAnsi="Times New Roman" w:cs="Times New Roman"/>
        </w:rPr>
        <w:t>R</w:t>
      </w:r>
      <w:r>
        <w:rPr>
          <w:rFonts w:ascii="Times New Roman" w:hAnsi="Times New Roman" w:cs="Times New Roman"/>
        </w:rPr>
        <w:t xml:space="preserve">e-allocation </w:t>
      </w:r>
      <w:r w:rsidR="00C658DC">
        <w:rPr>
          <w:rFonts w:ascii="Times New Roman" w:hAnsi="Times New Roman" w:cs="Times New Roman"/>
        </w:rPr>
        <w:t xml:space="preserve">Declaration </w:t>
      </w:r>
      <w:r w:rsidR="00801701">
        <w:rPr>
          <w:rFonts w:ascii="Times New Roman" w:hAnsi="Times New Roman" w:cs="Times New Roman"/>
        </w:rPr>
        <w:t xml:space="preserve">(items 28 and 29 </w:t>
      </w:r>
      <w:r w:rsidR="00307046">
        <w:rPr>
          <w:rFonts w:ascii="Times New Roman" w:hAnsi="Times New Roman" w:cs="Times New Roman"/>
        </w:rPr>
        <w:t xml:space="preserve">of the </w:t>
      </w:r>
      <w:r w:rsidR="003737EC" w:rsidDel="00307046">
        <w:rPr>
          <w:rFonts w:ascii="Times New Roman" w:hAnsi="Times New Roman" w:cs="Times New Roman"/>
        </w:rPr>
        <w:t>table</w:t>
      </w:r>
      <w:r w:rsidR="00D95F1F">
        <w:rPr>
          <w:rFonts w:ascii="Times New Roman" w:hAnsi="Times New Roman" w:cs="Times New Roman"/>
        </w:rPr>
        <w:t xml:space="preserve"> in the Re-allocation Declaration</w:t>
      </w:r>
      <w:r w:rsidR="00801701">
        <w:rPr>
          <w:rFonts w:ascii="Times New Roman" w:hAnsi="Times New Roman" w:cs="Times New Roman"/>
        </w:rPr>
        <w:t>)</w:t>
      </w:r>
      <w:r>
        <w:rPr>
          <w:rFonts w:ascii="Times New Roman" w:hAnsi="Times New Roman" w:cs="Times New Roman"/>
        </w:rPr>
        <w:t>.</w:t>
      </w:r>
      <w:r w:rsidR="00801701" w:rsidDel="00307046">
        <w:rPr>
          <w:rFonts w:ascii="Times New Roman" w:hAnsi="Times New Roman" w:cs="Times New Roman"/>
        </w:rPr>
        <w:t xml:space="preserve"> </w:t>
      </w:r>
      <w:r w:rsidR="00307046">
        <w:rPr>
          <w:rFonts w:ascii="Times New Roman" w:hAnsi="Times New Roman" w:cs="Times New Roman"/>
        </w:rPr>
        <w:t xml:space="preserve"> </w:t>
      </w:r>
    </w:p>
    <w:p w14:paraId="409682B5" w14:textId="2C32E399" w:rsidR="008E2539" w:rsidRDefault="008E2539" w:rsidP="00EA312E">
      <w:pPr>
        <w:rPr>
          <w:rFonts w:ascii="Times New Roman" w:hAnsi="Times New Roman" w:cs="Times New Roman"/>
        </w:rPr>
      </w:pPr>
      <w:r w:rsidRPr="007C56F4">
        <w:rPr>
          <w:rFonts w:ascii="Times New Roman" w:hAnsi="Times New Roman" w:cs="Times New Roman"/>
        </w:rPr>
        <w:t>A map of each region is also provided, for illustrative purposes only.</w:t>
      </w:r>
    </w:p>
    <w:p w14:paraId="71A46FEF" w14:textId="6F358C20" w:rsidR="006F46F4" w:rsidRPr="00C36BA8" w:rsidRDefault="008E2539" w:rsidP="00914C43">
      <w:pPr>
        <w:keepNext/>
        <w:keepLines/>
        <w:rPr>
          <w:rFonts w:ascii="Times New Roman" w:hAnsi="Times New Roman" w:cs="Times New Roman"/>
          <w:b/>
          <w:bCs/>
        </w:rPr>
      </w:pPr>
      <w:r w:rsidRPr="00C36BA8">
        <w:rPr>
          <w:rFonts w:ascii="Times New Roman" w:hAnsi="Times New Roman" w:cs="Times New Roman"/>
          <w:b/>
          <w:bCs/>
        </w:rPr>
        <w:lastRenderedPageBreak/>
        <w:t xml:space="preserve">SCHEDULE </w:t>
      </w:r>
      <w:r w:rsidR="006F6584">
        <w:rPr>
          <w:rFonts w:ascii="Times New Roman" w:hAnsi="Times New Roman" w:cs="Times New Roman"/>
          <w:b/>
          <w:bCs/>
        </w:rPr>
        <w:t>4</w:t>
      </w:r>
      <w:r w:rsidRPr="00C36BA8">
        <w:rPr>
          <w:rFonts w:ascii="Times New Roman" w:hAnsi="Times New Roman" w:cs="Times New Roman"/>
          <w:b/>
          <w:bCs/>
        </w:rPr>
        <w:tab/>
      </w:r>
      <w:r w:rsidR="00527450" w:rsidRPr="00C36BA8">
        <w:rPr>
          <w:rFonts w:ascii="Times New Roman" w:hAnsi="Times New Roman" w:cs="Times New Roman"/>
          <w:b/>
          <w:bCs/>
        </w:rPr>
        <w:tab/>
        <w:t>Emission limits outside the area</w:t>
      </w:r>
    </w:p>
    <w:p w14:paraId="69BCA19E" w14:textId="6B2EB669" w:rsidR="00CC783E" w:rsidRDefault="00CC783E" w:rsidP="00914C43">
      <w:pPr>
        <w:keepNext/>
        <w:keepLines/>
        <w:shd w:val="clear" w:color="auto" w:fill="FFFFFF"/>
        <w:spacing w:before="100" w:beforeAutospacing="1" w:line="240" w:lineRule="auto"/>
        <w:rPr>
          <w:rFonts w:ascii="Times New Roman" w:eastAsia="Times New Roman" w:hAnsi="Times New Roman" w:cs="Times New Roman"/>
          <w:lang w:eastAsia="en-AU"/>
        </w:rPr>
      </w:pPr>
      <w:r w:rsidRPr="00CC783E">
        <w:rPr>
          <w:rFonts w:ascii="Times New Roman" w:eastAsia="Times New Roman" w:hAnsi="Times New Roman" w:cs="Times New Roman"/>
          <w:lang w:eastAsia="en-AU"/>
        </w:rPr>
        <w:t xml:space="preserve">This Schedule sets the limits that will be placed on radiofrequency emissions </w:t>
      </w:r>
      <w:r w:rsidR="00BE62B9" w:rsidRPr="00CC783E">
        <w:rPr>
          <w:rFonts w:ascii="Times New Roman" w:eastAsia="Times New Roman" w:hAnsi="Times New Roman" w:cs="Times New Roman"/>
          <w:lang w:eastAsia="en-AU"/>
        </w:rPr>
        <w:t xml:space="preserve">outside a spectrum licence’s geographic area </w:t>
      </w:r>
      <w:r w:rsidRPr="00CC783E">
        <w:rPr>
          <w:rFonts w:ascii="Times New Roman" w:eastAsia="Times New Roman" w:hAnsi="Times New Roman" w:cs="Times New Roman"/>
          <w:lang w:eastAsia="en-AU"/>
        </w:rPr>
        <w:t xml:space="preserve">that are produced by radiocommunications </w:t>
      </w:r>
      <w:r>
        <w:rPr>
          <w:rFonts w:ascii="Times New Roman" w:eastAsia="Times New Roman" w:hAnsi="Times New Roman" w:cs="Times New Roman"/>
          <w:lang w:eastAsia="en-AU"/>
        </w:rPr>
        <w:t>transmitters</w:t>
      </w:r>
      <w:r w:rsidRPr="00CC783E">
        <w:rPr>
          <w:rFonts w:ascii="Times New Roman" w:eastAsia="Times New Roman" w:hAnsi="Times New Roman" w:cs="Times New Roman"/>
          <w:lang w:eastAsia="en-AU"/>
        </w:rPr>
        <w:t xml:space="preserve"> operating under a spectrum licence (</w:t>
      </w:r>
      <w:r w:rsidRPr="00CC783E">
        <w:rPr>
          <w:rFonts w:ascii="Times New Roman" w:eastAsia="Times New Roman" w:hAnsi="Times New Roman" w:cs="Times New Roman"/>
          <w:b/>
          <w:bCs/>
          <w:lang w:eastAsia="en-AU"/>
        </w:rPr>
        <w:t>the out-of-area core licence condition</w:t>
      </w:r>
      <w:r w:rsidRPr="00CC783E">
        <w:rPr>
          <w:rFonts w:ascii="Times New Roman" w:eastAsia="Times New Roman" w:hAnsi="Times New Roman" w:cs="Times New Roman"/>
          <w:lang w:eastAsia="en-AU"/>
        </w:rPr>
        <w:t>).  The limit</w:t>
      </w:r>
      <w:r w:rsidR="00BE62B9">
        <w:rPr>
          <w:rFonts w:ascii="Times New Roman" w:eastAsia="Times New Roman" w:hAnsi="Times New Roman" w:cs="Times New Roman"/>
          <w:lang w:eastAsia="en-AU"/>
        </w:rPr>
        <w:t>s</w:t>
      </w:r>
      <w:r w:rsidRPr="00CC783E">
        <w:rPr>
          <w:rFonts w:ascii="Times New Roman" w:eastAsia="Times New Roman" w:hAnsi="Times New Roman" w:cs="Times New Roman"/>
          <w:lang w:eastAsia="en-AU"/>
        </w:rPr>
        <w:t xml:space="preserve"> </w:t>
      </w:r>
      <w:r w:rsidR="00BE62B9">
        <w:rPr>
          <w:rFonts w:ascii="Times New Roman" w:eastAsia="Times New Roman" w:hAnsi="Times New Roman" w:cs="Times New Roman"/>
          <w:lang w:eastAsia="en-AU"/>
        </w:rPr>
        <w:t>are</w:t>
      </w:r>
      <w:r w:rsidRPr="00CC783E">
        <w:rPr>
          <w:rFonts w:ascii="Times New Roman" w:eastAsia="Times New Roman" w:hAnsi="Times New Roman" w:cs="Times New Roman"/>
          <w:lang w:eastAsia="en-AU"/>
        </w:rPr>
        <w:t xml:space="preserve"> expressed as a total radiated power limit that applies to all radiocommunications </w:t>
      </w:r>
      <w:r>
        <w:rPr>
          <w:rFonts w:ascii="Times New Roman" w:eastAsia="Times New Roman" w:hAnsi="Times New Roman" w:cs="Times New Roman"/>
          <w:lang w:eastAsia="en-AU"/>
        </w:rPr>
        <w:t>transmitters</w:t>
      </w:r>
      <w:r w:rsidRPr="00CC783E">
        <w:rPr>
          <w:rFonts w:ascii="Times New Roman" w:eastAsia="Times New Roman" w:hAnsi="Times New Roman" w:cs="Times New Roman"/>
          <w:lang w:eastAsia="en-AU"/>
        </w:rPr>
        <w:t xml:space="preserve"> operated within the licence’s geographic area.</w:t>
      </w:r>
      <w:r>
        <w:rPr>
          <w:rFonts w:ascii="Times New Roman" w:eastAsia="Times New Roman" w:hAnsi="Times New Roman" w:cs="Times New Roman"/>
          <w:lang w:eastAsia="en-AU"/>
        </w:rPr>
        <w:t xml:space="preserve"> </w:t>
      </w:r>
    </w:p>
    <w:p w14:paraId="31978ACE" w14:textId="2BFAB693" w:rsidR="008C1EF4" w:rsidRDefault="00CC783E" w:rsidP="00CC783E">
      <w:pPr>
        <w:shd w:val="clear" w:color="auto" w:fill="FFFFFF"/>
        <w:spacing w:before="100" w:beforeAutospacing="1"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Three separate limits are provided, depending on the frequency range and area that</w:t>
      </w:r>
      <w:r w:rsidR="00BE62B9">
        <w:rPr>
          <w:rFonts w:ascii="Times New Roman" w:eastAsia="Times New Roman" w:hAnsi="Times New Roman" w:cs="Times New Roman"/>
          <w:lang w:eastAsia="en-AU"/>
        </w:rPr>
        <w:t xml:space="preserve"> a</w:t>
      </w:r>
      <w:r>
        <w:rPr>
          <w:rFonts w:ascii="Times New Roman" w:eastAsia="Times New Roman" w:hAnsi="Times New Roman" w:cs="Times New Roman"/>
          <w:lang w:eastAsia="en-AU"/>
        </w:rPr>
        <w:t xml:space="preserve"> radiocommunications transmitter is operating in.</w:t>
      </w:r>
      <w:r w:rsidR="00B32D7B">
        <w:rPr>
          <w:rFonts w:ascii="Times New Roman" w:eastAsia="Times New Roman" w:hAnsi="Times New Roman" w:cs="Times New Roman"/>
          <w:lang w:eastAsia="en-AU"/>
        </w:rPr>
        <w:t xml:space="preserve"> </w:t>
      </w:r>
      <w:r w:rsidR="008C1EF4">
        <w:rPr>
          <w:rFonts w:ascii="Times New Roman" w:eastAsia="Times New Roman" w:hAnsi="Times New Roman" w:cs="Times New Roman"/>
          <w:lang w:eastAsia="en-AU"/>
        </w:rPr>
        <w:t>For radiocommunications devices which employ multiple antennas (an antenna array), the limits apply to the total aggregate power radiated from all antennas in the antenna array.</w:t>
      </w:r>
    </w:p>
    <w:p w14:paraId="7ADB6DB9" w14:textId="0AA331A2" w:rsidR="008C1EF4" w:rsidRDefault="00B32D7B" w:rsidP="00CC783E">
      <w:pPr>
        <w:shd w:val="clear" w:color="auto" w:fill="FFFFFF"/>
        <w:spacing w:before="100" w:beforeAutospacing="1"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These limits are expressed as </w:t>
      </w:r>
      <w:r w:rsidR="008C1EF4">
        <w:rPr>
          <w:rFonts w:ascii="Times New Roman" w:eastAsia="Times New Roman" w:hAnsi="Times New Roman" w:cs="Times New Roman"/>
          <w:lang w:eastAsia="en-AU"/>
        </w:rPr>
        <w:t xml:space="preserve">the maximum </w:t>
      </w:r>
      <w:r w:rsidR="0005759E">
        <w:rPr>
          <w:rFonts w:ascii="Times New Roman" w:eastAsia="Times New Roman" w:hAnsi="Times New Roman" w:cs="Times New Roman"/>
          <w:lang w:eastAsia="en-AU"/>
        </w:rPr>
        <w:t xml:space="preserve">total radiated </w:t>
      </w:r>
      <w:r w:rsidR="008C1EF4">
        <w:rPr>
          <w:rFonts w:ascii="Times New Roman" w:eastAsia="Times New Roman" w:hAnsi="Times New Roman" w:cs="Times New Roman"/>
          <w:lang w:eastAsia="en-AU"/>
        </w:rPr>
        <w:t xml:space="preserve">power within a 200 MHz bandwidth. Where a transmitter operates with a different occupied bandwidth, logarithmic scaling should be used to find the appropriated </w:t>
      </w:r>
      <w:r w:rsidR="00BE62B9">
        <w:rPr>
          <w:rFonts w:ascii="Times New Roman" w:eastAsia="Times New Roman" w:hAnsi="Times New Roman" w:cs="Times New Roman"/>
          <w:lang w:eastAsia="en-AU"/>
        </w:rPr>
        <w:t>limit</w:t>
      </w:r>
      <w:r w:rsidR="008C1EF4">
        <w:rPr>
          <w:rFonts w:ascii="Times New Roman" w:eastAsia="Times New Roman" w:hAnsi="Times New Roman" w:cs="Times New Roman"/>
          <w:lang w:eastAsia="en-AU"/>
        </w:rPr>
        <w:t xml:space="preserve">. For example, </w:t>
      </w:r>
      <w:bookmarkStart w:id="2" w:name="_Hlk48813963"/>
      <w:r w:rsidR="008C1EF4">
        <w:rPr>
          <w:rFonts w:ascii="Times New Roman" w:eastAsia="Times New Roman" w:hAnsi="Times New Roman" w:cs="Times New Roman"/>
          <w:lang w:eastAsia="en-AU"/>
        </w:rPr>
        <w:t>a radiocommunications transmitter operating in the frequency range 25.1 GHz</w:t>
      </w:r>
      <w:r w:rsidR="00EB24BC">
        <w:rPr>
          <w:rFonts w:ascii="Times New Roman" w:eastAsia="Times New Roman" w:hAnsi="Times New Roman" w:cs="Times New Roman"/>
          <w:lang w:eastAsia="en-AU"/>
        </w:rPr>
        <w:t xml:space="preserve"> to </w:t>
      </w:r>
      <w:r w:rsidR="008C1EF4">
        <w:rPr>
          <w:rFonts w:ascii="Times New Roman" w:eastAsia="Times New Roman" w:hAnsi="Times New Roman" w:cs="Times New Roman"/>
          <w:lang w:eastAsia="en-AU"/>
        </w:rPr>
        <w:t>27 GHz</w:t>
      </w:r>
      <w:r w:rsidR="00EC5C3E">
        <w:rPr>
          <w:rFonts w:ascii="Times New Roman" w:eastAsia="Times New Roman" w:hAnsi="Times New Roman" w:cs="Times New Roman"/>
          <w:lang w:eastAsia="en-AU"/>
        </w:rPr>
        <w:t xml:space="preserve"> (</w:t>
      </w:r>
      <w:r w:rsidR="00363A70">
        <w:rPr>
          <w:rFonts w:ascii="Times New Roman" w:eastAsia="Times New Roman" w:hAnsi="Times New Roman" w:cs="Times New Roman"/>
          <w:lang w:eastAsia="en-AU"/>
        </w:rPr>
        <w:t xml:space="preserve">where the maximum permissible total radiated power is </w:t>
      </w:r>
      <w:r w:rsidR="00EC5C3E">
        <w:rPr>
          <w:rFonts w:ascii="Times New Roman" w:eastAsia="Times New Roman" w:hAnsi="Times New Roman" w:cs="Times New Roman"/>
          <w:lang w:eastAsia="en-AU"/>
        </w:rPr>
        <w:t>45 dBm/200 MHz)</w:t>
      </w:r>
      <w:r w:rsidR="008C1EF4">
        <w:rPr>
          <w:rFonts w:ascii="Times New Roman" w:eastAsia="Times New Roman" w:hAnsi="Times New Roman" w:cs="Times New Roman"/>
          <w:lang w:eastAsia="en-AU"/>
        </w:rPr>
        <w:t xml:space="preserve"> with an occupied bandwidth </w:t>
      </w:r>
      <w:r w:rsidR="004048F8">
        <w:rPr>
          <w:rFonts w:ascii="Times New Roman" w:eastAsia="Times New Roman" w:hAnsi="Times New Roman" w:cs="Times New Roman"/>
          <w:lang w:eastAsia="en-AU"/>
        </w:rPr>
        <w:t>of 100 MHz</w:t>
      </w:r>
      <w:r w:rsidR="008C1EF4">
        <w:rPr>
          <w:rFonts w:ascii="Times New Roman" w:eastAsia="Times New Roman" w:hAnsi="Times New Roman" w:cs="Times New Roman"/>
          <w:lang w:eastAsia="en-AU"/>
        </w:rPr>
        <w:t xml:space="preserve"> must not operate with a total radiated power exceeding 42</w:t>
      </w:r>
      <w:r w:rsidR="00B93781">
        <w:rPr>
          <w:rFonts w:ascii="Times New Roman" w:eastAsia="Times New Roman" w:hAnsi="Times New Roman" w:cs="Times New Roman"/>
          <w:lang w:eastAsia="en-AU"/>
        </w:rPr>
        <w:t> </w:t>
      </w:r>
      <w:r w:rsidR="008C1EF4">
        <w:rPr>
          <w:rFonts w:ascii="Times New Roman" w:eastAsia="Times New Roman" w:hAnsi="Times New Roman" w:cs="Times New Roman"/>
          <w:lang w:eastAsia="en-AU"/>
        </w:rPr>
        <w:t>dBm</w:t>
      </w:r>
      <w:r w:rsidR="004048F8">
        <w:rPr>
          <w:rFonts w:ascii="Times New Roman" w:eastAsia="Times New Roman" w:hAnsi="Times New Roman" w:cs="Times New Roman"/>
          <w:lang w:eastAsia="en-AU"/>
        </w:rPr>
        <w:t>/100 MHz</w:t>
      </w:r>
      <w:r w:rsidR="008C1EF4">
        <w:rPr>
          <w:rFonts w:ascii="Times New Roman" w:eastAsia="Times New Roman" w:hAnsi="Times New Roman" w:cs="Times New Roman"/>
          <w:lang w:eastAsia="en-AU"/>
        </w:rPr>
        <w:t>.</w:t>
      </w:r>
      <w:bookmarkEnd w:id="2"/>
    </w:p>
    <w:p w14:paraId="490B007B" w14:textId="744DA8F3" w:rsidR="00527450" w:rsidRDefault="00527450" w:rsidP="004C58B9">
      <w:pPr>
        <w:rPr>
          <w:rFonts w:ascii="Times New Roman" w:hAnsi="Times New Roman" w:cs="Times New Roman"/>
          <w:b/>
          <w:bCs/>
        </w:rPr>
      </w:pPr>
      <w:r w:rsidRPr="00324F5C">
        <w:rPr>
          <w:rFonts w:ascii="Times New Roman" w:hAnsi="Times New Roman" w:cs="Times New Roman"/>
          <w:b/>
          <w:bCs/>
        </w:rPr>
        <w:t xml:space="preserve">SCHEDULE </w:t>
      </w:r>
      <w:r w:rsidR="006F6584">
        <w:rPr>
          <w:rFonts w:ascii="Times New Roman" w:hAnsi="Times New Roman" w:cs="Times New Roman"/>
          <w:b/>
          <w:bCs/>
        </w:rPr>
        <w:t>5</w:t>
      </w:r>
      <w:r w:rsidRPr="00324F5C">
        <w:rPr>
          <w:rFonts w:ascii="Times New Roman" w:hAnsi="Times New Roman" w:cs="Times New Roman"/>
          <w:b/>
          <w:bCs/>
        </w:rPr>
        <w:tab/>
      </w:r>
      <w:r w:rsidRPr="00324F5C">
        <w:rPr>
          <w:rFonts w:ascii="Times New Roman" w:hAnsi="Times New Roman" w:cs="Times New Roman"/>
          <w:b/>
          <w:bCs/>
        </w:rPr>
        <w:tab/>
        <w:t>Emission limits outside the band</w:t>
      </w:r>
    </w:p>
    <w:p w14:paraId="7B02CD6E" w14:textId="3DE35DFB" w:rsidR="00022EBA" w:rsidRPr="004E713C" w:rsidRDefault="00022EBA" w:rsidP="00022EBA">
      <w:pPr>
        <w:shd w:val="clear" w:color="auto" w:fill="FFFFFF"/>
        <w:spacing w:before="100" w:beforeAutospacing="1" w:line="240" w:lineRule="auto"/>
        <w:rPr>
          <w:rFonts w:ascii="Times New Roman" w:eastAsia="Times New Roman" w:hAnsi="Times New Roman" w:cs="Times New Roman"/>
          <w:sz w:val="19"/>
          <w:szCs w:val="19"/>
          <w:lang w:val="en-US" w:eastAsia="en-AU"/>
        </w:rPr>
      </w:pPr>
      <w:r w:rsidRPr="004E713C">
        <w:rPr>
          <w:rFonts w:ascii="Times New Roman" w:eastAsia="Times New Roman" w:hAnsi="Times New Roman" w:cs="Times New Roman"/>
          <w:lang w:eastAsia="en-AU"/>
        </w:rPr>
        <w:t>This Schedule sets the method for calculating the limits that will be placed on radiofrequency emissions outside the licence’s authorised frequency band that are produced by radiocommunications devices operated under a spectrum licence (</w:t>
      </w:r>
      <w:r w:rsidRPr="004E713C">
        <w:rPr>
          <w:rFonts w:ascii="Times New Roman" w:eastAsia="Times New Roman" w:hAnsi="Times New Roman" w:cs="Times New Roman"/>
          <w:b/>
          <w:bCs/>
          <w:lang w:eastAsia="en-AU"/>
        </w:rPr>
        <w:t>the out-of-band core licence condition</w:t>
      </w:r>
      <w:r w:rsidRPr="004E713C">
        <w:rPr>
          <w:rFonts w:ascii="Times New Roman" w:eastAsia="Times New Roman" w:hAnsi="Times New Roman" w:cs="Times New Roman"/>
          <w:lang w:eastAsia="en-AU"/>
        </w:rPr>
        <w:t>).</w:t>
      </w:r>
    </w:p>
    <w:p w14:paraId="358FF0AB" w14:textId="11B2DF56" w:rsidR="00022EBA" w:rsidRDefault="006F6584" w:rsidP="00022EBA">
      <w:pPr>
        <w:shd w:val="clear" w:color="auto" w:fill="FFFFFF"/>
        <w:spacing w:before="100" w:beforeAutospacing="1"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This schedule</w:t>
      </w:r>
      <w:r w:rsidR="00022EBA" w:rsidRPr="004E713C">
        <w:rPr>
          <w:rFonts w:ascii="Times New Roman" w:eastAsia="Times New Roman" w:hAnsi="Times New Roman" w:cs="Times New Roman"/>
          <w:lang w:eastAsia="en-AU"/>
        </w:rPr>
        <w:t xml:space="preserve"> provides for base emission limits for unwanted emissions by radiocommunications devices </w:t>
      </w:r>
      <w:r w:rsidR="005B30C6">
        <w:rPr>
          <w:rFonts w:ascii="Times New Roman" w:eastAsia="Times New Roman" w:hAnsi="Times New Roman" w:cs="Times New Roman"/>
          <w:lang w:eastAsia="en-AU"/>
        </w:rPr>
        <w:t>which operate</w:t>
      </w:r>
      <w:r w:rsidR="005B30C6" w:rsidRPr="004E713C">
        <w:rPr>
          <w:rFonts w:ascii="Times New Roman" w:eastAsia="Times New Roman" w:hAnsi="Times New Roman" w:cs="Times New Roman"/>
          <w:lang w:eastAsia="en-AU"/>
        </w:rPr>
        <w:t xml:space="preserve"> </w:t>
      </w:r>
      <w:r w:rsidR="00022EBA" w:rsidRPr="004E713C">
        <w:rPr>
          <w:rFonts w:ascii="Times New Roman" w:eastAsia="Times New Roman" w:hAnsi="Times New Roman" w:cs="Times New Roman"/>
          <w:lang w:eastAsia="en-AU"/>
        </w:rPr>
        <w:t xml:space="preserve">in relevant parts of the 26 GHz band under a spectrum licence, </w:t>
      </w:r>
      <w:r w:rsidR="005B30C6">
        <w:rPr>
          <w:rFonts w:ascii="Times New Roman" w:eastAsia="Times New Roman" w:hAnsi="Times New Roman" w:cs="Times New Roman"/>
          <w:lang w:eastAsia="en-AU"/>
        </w:rPr>
        <w:t xml:space="preserve">and </w:t>
      </w:r>
      <w:r w:rsidR="00022EBA" w:rsidRPr="004E713C">
        <w:rPr>
          <w:rFonts w:ascii="Times New Roman" w:eastAsia="Times New Roman" w:hAnsi="Times New Roman" w:cs="Times New Roman"/>
          <w:lang w:eastAsia="en-AU"/>
        </w:rPr>
        <w:t xml:space="preserve">which are not covered by an agreement made between adjacent licensees to exceed the out-of-band core licence condition.  A written agreement between a licensee and all affected licensees of frequency-adjacent and area-adjacent spectrum </w:t>
      </w:r>
      <w:r w:rsidR="001C1167">
        <w:rPr>
          <w:rFonts w:ascii="Times New Roman" w:eastAsia="Times New Roman" w:hAnsi="Times New Roman" w:cs="Times New Roman"/>
          <w:lang w:eastAsia="en-AU"/>
        </w:rPr>
        <w:t xml:space="preserve">and apparatus </w:t>
      </w:r>
      <w:r w:rsidR="00022EBA" w:rsidRPr="004E713C">
        <w:rPr>
          <w:rFonts w:ascii="Times New Roman" w:eastAsia="Times New Roman" w:hAnsi="Times New Roman" w:cs="Times New Roman"/>
          <w:lang w:eastAsia="en-AU"/>
        </w:rPr>
        <w:t xml:space="preserve">licences </w:t>
      </w:r>
      <w:r w:rsidR="004E713C">
        <w:rPr>
          <w:rFonts w:ascii="Times New Roman" w:eastAsia="Times New Roman" w:hAnsi="Times New Roman" w:cs="Times New Roman"/>
          <w:lang w:eastAsia="en-AU"/>
        </w:rPr>
        <w:t>(within the frequency range 24.7</w:t>
      </w:r>
      <w:r w:rsidR="00EB3283">
        <w:rPr>
          <w:rFonts w:ascii="Times New Roman" w:eastAsia="Times New Roman" w:hAnsi="Times New Roman" w:cs="Times New Roman"/>
          <w:lang w:eastAsia="en-AU"/>
        </w:rPr>
        <w:t> </w:t>
      </w:r>
      <w:r w:rsidR="004E713C">
        <w:rPr>
          <w:rFonts w:ascii="Times New Roman" w:eastAsia="Times New Roman" w:hAnsi="Times New Roman" w:cs="Times New Roman"/>
          <w:lang w:eastAsia="en-AU"/>
        </w:rPr>
        <w:t>GHz</w:t>
      </w:r>
      <w:r w:rsidR="00CD0EED">
        <w:rPr>
          <w:rFonts w:ascii="Times New Roman" w:eastAsia="Times New Roman" w:hAnsi="Times New Roman" w:cs="Times New Roman"/>
          <w:lang w:eastAsia="en-AU"/>
        </w:rPr>
        <w:t xml:space="preserve"> to </w:t>
      </w:r>
      <w:r w:rsidR="00416ED8">
        <w:rPr>
          <w:rFonts w:ascii="Times New Roman" w:eastAsia="Times New Roman" w:hAnsi="Times New Roman" w:cs="Times New Roman"/>
          <w:lang w:eastAsia="en-AU"/>
        </w:rPr>
        <w:t>30</w:t>
      </w:r>
      <w:r w:rsidR="00914C43">
        <w:rPr>
          <w:rFonts w:ascii="Times New Roman" w:eastAsia="Times New Roman" w:hAnsi="Times New Roman" w:cs="Times New Roman"/>
          <w:lang w:eastAsia="en-AU"/>
        </w:rPr>
        <w:t>.0 </w:t>
      </w:r>
      <w:r w:rsidR="004E713C">
        <w:rPr>
          <w:rFonts w:ascii="Times New Roman" w:eastAsia="Times New Roman" w:hAnsi="Times New Roman" w:cs="Times New Roman"/>
          <w:lang w:eastAsia="en-AU"/>
        </w:rPr>
        <w:t xml:space="preserve">GHz) </w:t>
      </w:r>
      <w:r w:rsidR="00022EBA" w:rsidRPr="004E713C">
        <w:rPr>
          <w:rFonts w:ascii="Times New Roman" w:eastAsia="Times New Roman" w:hAnsi="Times New Roman" w:cs="Times New Roman"/>
          <w:lang w:eastAsia="en-AU"/>
        </w:rPr>
        <w:t>can allow the first licensee to exceed the limits in the out-of-band core licence condition</w:t>
      </w:r>
      <w:r w:rsidR="00CD247D" w:rsidRPr="004E713C">
        <w:rPr>
          <w:rFonts w:ascii="Times New Roman" w:eastAsia="Times New Roman" w:hAnsi="Times New Roman" w:cs="Times New Roman"/>
          <w:lang w:eastAsia="en-AU"/>
        </w:rPr>
        <w:t>, within their spectrum space,</w:t>
      </w:r>
      <w:r w:rsidR="00022EBA" w:rsidRPr="004E713C">
        <w:rPr>
          <w:rFonts w:ascii="Times New Roman" w:eastAsia="Times New Roman" w:hAnsi="Times New Roman" w:cs="Times New Roman"/>
          <w:lang w:eastAsia="en-AU"/>
        </w:rPr>
        <w:t xml:space="preserve"> up to the maximum level of radio emissions specified in the agreement.</w:t>
      </w:r>
      <w:r w:rsidR="00416ED8" w:rsidRPr="00416ED8">
        <w:rPr>
          <w:rFonts w:ascii="Times New Roman" w:eastAsia="Times New Roman" w:hAnsi="Times New Roman" w:cs="Times New Roman"/>
          <w:lang w:eastAsia="en-AU"/>
        </w:rPr>
        <w:t xml:space="preserve"> </w:t>
      </w:r>
      <w:r w:rsidR="00416ED8" w:rsidRPr="00B249F5">
        <w:rPr>
          <w:rFonts w:ascii="Times New Roman" w:eastAsia="Times New Roman" w:hAnsi="Times New Roman" w:cs="Times New Roman"/>
          <w:lang w:eastAsia="en-AU"/>
        </w:rPr>
        <w:t>The word ‘adjacent’ can refer to spectrum</w:t>
      </w:r>
      <w:r w:rsidR="00416ED8">
        <w:rPr>
          <w:rFonts w:ascii="Times New Roman" w:eastAsia="Times New Roman" w:hAnsi="Times New Roman" w:cs="Times New Roman"/>
          <w:lang w:eastAsia="en-AU"/>
        </w:rPr>
        <w:t xml:space="preserve"> or apparatus</w:t>
      </w:r>
      <w:r w:rsidR="00416ED8" w:rsidRPr="00B249F5">
        <w:rPr>
          <w:rFonts w:ascii="Times New Roman" w:eastAsia="Times New Roman" w:hAnsi="Times New Roman" w:cs="Times New Roman"/>
          <w:lang w:eastAsia="en-AU"/>
        </w:rPr>
        <w:t xml:space="preserve"> licences that share a geographic boundary, a frequency boundary, or both.  </w:t>
      </w:r>
    </w:p>
    <w:p w14:paraId="65B9E6BC" w14:textId="162E9DB1" w:rsidR="003C3FC6" w:rsidRPr="004E713C" w:rsidRDefault="003C3FC6" w:rsidP="00022EBA">
      <w:pPr>
        <w:shd w:val="clear" w:color="auto" w:fill="FFFFFF"/>
        <w:spacing w:before="100" w:beforeAutospacing="1" w:line="240" w:lineRule="auto"/>
        <w:rPr>
          <w:rFonts w:ascii="Times New Roman" w:eastAsia="Times New Roman" w:hAnsi="Times New Roman" w:cs="Times New Roman"/>
          <w:lang w:val="en-US" w:eastAsia="en-AU"/>
        </w:rPr>
      </w:pPr>
      <w:r>
        <w:rPr>
          <w:rFonts w:ascii="Times New Roman" w:eastAsia="Times New Roman" w:hAnsi="Times New Roman" w:cs="Times New Roman"/>
          <w:lang w:eastAsia="en-AU"/>
        </w:rPr>
        <w:t xml:space="preserve">Different emission limits are set, depending on a number of factors, including the kind of radiocommunications transmitter operated, the location of the transmitter, </w:t>
      </w:r>
      <w:r w:rsidR="001963FD">
        <w:rPr>
          <w:rFonts w:ascii="Times New Roman" w:eastAsia="Times New Roman" w:hAnsi="Times New Roman" w:cs="Times New Roman"/>
          <w:lang w:eastAsia="en-AU"/>
        </w:rPr>
        <w:t>the frequency band in which the transmitter operates, the frequency band in which the out-of-band emission occurs</w:t>
      </w:r>
      <w:r w:rsidR="00752EC1">
        <w:rPr>
          <w:rFonts w:ascii="Times New Roman" w:eastAsia="Times New Roman" w:hAnsi="Times New Roman" w:cs="Times New Roman"/>
          <w:lang w:eastAsia="en-AU"/>
        </w:rPr>
        <w:t>, and in some cases whether the transmitter was first operated before 1</w:t>
      </w:r>
      <w:r w:rsidR="000D59DE">
        <w:rPr>
          <w:rFonts w:ascii="Times New Roman" w:eastAsia="Times New Roman" w:hAnsi="Times New Roman" w:cs="Times New Roman"/>
          <w:lang w:eastAsia="en-AU"/>
        </w:rPr>
        <w:t xml:space="preserve"> September 2027 (in accordance with ITU Resolution 750 (</w:t>
      </w:r>
      <w:r w:rsidR="009B28E1">
        <w:rPr>
          <w:rFonts w:ascii="Times New Roman" w:eastAsia="Times New Roman" w:hAnsi="Times New Roman" w:cs="Times New Roman"/>
          <w:lang w:eastAsia="en-AU"/>
        </w:rPr>
        <w:t>REV.</w:t>
      </w:r>
      <w:r w:rsidR="000D59DE">
        <w:rPr>
          <w:rFonts w:ascii="Times New Roman" w:eastAsia="Times New Roman" w:hAnsi="Times New Roman" w:cs="Times New Roman"/>
          <w:lang w:eastAsia="en-AU"/>
        </w:rPr>
        <w:t>WRC-19)</w:t>
      </w:r>
      <w:r w:rsidR="001A3B28">
        <w:rPr>
          <w:rFonts w:ascii="Times New Roman" w:eastAsia="Times New Roman" w:hAnsi="Times New Roman" w:cs="Times New Roman"/>
          <w:lang w:eastAsia="en-AU"/>
        </w:rPr>
        <w:t>)</w:t>
      </w:r>
      <w:r w:rsidR="001963FD">
        <w:rPr>
          <w:rFonts w:ascii="Times New Roman" w:eastAsia="Times New Roman" w:hAnsi="Times New Roman" w:cs="Times New Roman"/>
          <w:lang w:eastAsia="en-AU"/>
        </w:rPr>
        <w:t>.</w:t>
      </w:r>
    </w:p>
    <w:p w14:paraId="2489A90F" w14:textId="18938970" w:rsidR="00527450" w:rsidRDefault="00527450" w:rsidP="004C58B9">
      <w:pPr>
        <w:rPr>
          <w:rFonts w:ascii="Times New Roman" w:hAnsi="Times New Roman" w:cs="Times New Roman"/>
          <w:b/>
          <w:bCs/>
        </w:rPr>
      </w:pPr>
      <w:r w:rsidRPr="00324F5C">
        <w:rPr>
          <w:rFonts w:ascii="Times New Roman" w:hAnsi="Times New Roman" w:cs="Times New Roman"/>
          <w:b/>
          <w:bCs/>
        </w:rPr>
        <w:t xml:space="preserve">SCHEDULE </w:t>
      </w:r>
      <w:r w:rsidR="006F6584">
        <w:rPr>
          <w:rFonts w:ascii="Times New Roman" w:hAnsi="Times New Roman" w:cs="Times New Roman"/>
          <w:b/>
          <w:bCs/>
        </w:rPr>
        <w:t>6</w:t>
      </w:r>
      <w:r w:rsidRPr="00281F51">
        <w:rPr>
          <w:rFonts w:ascii="Times New Roman" w:hAnsi="Times New Roman" w:cs="Times New Roman"/>
        </w:rPr>
        <w:tab/>
      </w:r>
      <w:r w:rsidRPr="00281F51">
        <w:rPr>
          <w:rFonts w:ascii="Times New Roman" w:hAnsi="Times New Roman" w:cs="Times New Roman"/>
        </w:rPr>
        <w:tab/>
      </w:r>
      <w:r w:rsidRPr="00281F51">
        <w:rPr>
          <w:rFonts w:ascii="Times New Roman" w:hAnsi="Times New Roman" w:cs="Times New Roman"/>
          <w:b/>
          <w:bCs/>
        </w:rPr>
        <w:t>Sample spectrum licence</w:t>
      </w:r>
    </w:p>
    <w:p w14:paraId="5B0865C1" w14:textId="4523EECF" w:rsidR="00C56C1E" w:rsidRDefault="00C56C1E" w:rsidP="004C58B9">
      <w:pPr>
        <w:rPr>
          <w:rFonts w:ascii="Times New Roman" w:hAnsi="Times New Roman" w:cs="Times New Roman"/>
        </w:rPr>
      </w:pPr>
      <w:r w:rsidRPr="00C56C1E">
        <w:rPr>
          <w:rFonts w:ascii="Times New Roman" w:hAnsi="Times New Roman" w:cs="Times New Roman"/>
        </w:rPr>
        <w:t xml:space="preserve">This Schedule sets out a sample spectrum licence for the licences that will be allocated in the </w:t>
      </w:r>
      <w:r w:rsidR="007C56F4">
        <w:rPr>
          <w:rFonts w:ascii="Times New Roman" w:hAnsi="Times New Roman" w:cs="Times New Roman"/>
        </w:rPr>
        <w:t>2</w:t>
      </w:r>
      <w:r w:rsidRPr="00C56C1E">
        <w:rPr>
          <w:rFonts w:ascii="Times New Roman" w:hAnsi="Times New Roman" w:cs="Times New Roman"/>
        </w:rPr>
        <w:t>6</w:t>
      </w:r>
      <w:r w:rsidR="00EB3283">
        <w:rPr>
          <w:rFonts w:ascii="Times New Roman" w:hAnsi="Times New Roman" w:cs="Times New Roman"/>
        </w:rPr>
        <w:t> </w:t>
      </w:r>
      <w:r w:rsidRPr="00C56C1E">
        <w:rPr>
          <w:rFonts w:ascii="Times New Roman" w:hAnsi="Times New Roman" w:cs="Times New Roman"/>
        </w:rPr>
        <w:t>GHz</w:t>
      </w:r>
      <w:r w:rsidR="00EB3283">
        <w:rPr>
          <w:rFonts w:ascii="Times New Roman" w:hAnsi="Times New Roman" w:cs="Times New Roman"/>
        </w:rPr>
        <w:t> </w:t>
      </w:r>
      <w:r w:rsidRPr="00C56C1E">
        <w:rPr>
          <w:rFonts w:ascii="Times New Roman" w:hAnsi="Times New Roman" w:cs="Times New Roman"/>
        </w:rPr>
        <w:t>band. It is an example, constructed for the purposes of illustration only, and is not an actual licence. It includes five licence schedules, which are explained below.</w:t>
      </w:r>
    </w:p>
    <w:p w14:paraId="64643818" w14:textId="44C4028C" w:rsidR="004D6363" w:rsidRDefault="004D6363" w:rsidP="004C58B9">
      <w:pPr>
        <w:rPr>
          <w:rFonts w:ascii="Times New Roman" w:hAnsi="Times New Roman" w:cs="Times New Roman"/>
        </w:rPr>
      </w:pPr>
      <w:r w:rsidRPr="004D6363">
        <w:rPr>
          <w:rFonts w:ascii="Times New Roman" w:hAnsi="Times New Roman" w:cs="Times New Roman"/>
        </w:rPr>
        <w:t>At the time th</w:t>
      </w:r>
      <w:r>
        <w:rPr>
          <w:rFonts w:ascii="Times New Roman" w:hAnsi="Times New Roman" w:cs="Times New Roman"/>
        </w:rPr>
        <w:t>e</w:t>
      </w:r>
      <w:r w:rsidRPr="004D6363">
        <w:rPr>
          <w:rFonts w:ascii="Times New Roman" w:hAnsi="Times New Roman" w:cs="Times New Roman"/>
        </w:rPr>
        <w:t xml:space="preserve"> </w:t>
      </w:r>
      <w:r w:rsidR="000D59DE">
        <w:rPr>
          <w:rFonts w:ascii="Times New Roman" w:hAnsi="Times New Roman" w:cs="Times New Roman"/>
        </w:rPr>
        <w:t>Marketing Plan</w:t>
      </w:r>
      <w:r w:rsidRPr="004D6363">
        <w:rPr>
          <w:rFonts w:ascii="Times New Roman" w:hAnsi="Times New Roman" w:cs="Times New Roman"/>
        </w:rPr>
        <w:t xml:space="preserve"> was </w:t>
      </w:r>
      <w:r w:rsidR="000D59DE">
        <w:rPr>
          <w:rFonts w:ascii="Times New Roman" w:hAnsi="Times New Roman" w:cs="Times New Roman"/>
        </w:rPr>
        <w:t>made</w:t>
      </w:r>
      <w:r w:rsidRPr="004D6363">
        <w:rPr>
          <w:rFonts w:ascii="Times New Roman" w:hAnsi="Times New Roman" w:cs="Times New Roman"/>
        </w:rPr>
        <w:t>, the Bill had been introduced to, but not passed by, Parliament. If the Bill is passed by Parliament, its provisions may affect the matters set out in th</w:t>
      </w:r>
      <w:r>
        <w:rPr>
          <w:rFonts w:ascii="Times New Roman" w:hAnsi="Times New Roman" w:cs="Times New Roman"/>
        </w:rPr>
        <w:t>e</w:t>
      </w:r>
      <w:r w:rsidRPr="004D6363">
        <w:rPr>
          <w:rFonts w:ascii="Times New Roman" w:hAnsi="Times New Roman" w:cs="Times New Roman"/>
        </w:rPr>
        <w:t xml:space="preserve"> sample spectrum licence.</w:t>
      </w:r>
    </w:p>
    <w:p w14:paraId="32D1D334" w14:textId="1E9E2814" w:rsidR="00DF35A5" w:rsidRPr="00DF35A5" w:rsidRDefault="00DF35A5" w:rsidP="00914C43">
      <w:pPr>
        <w:keepNext/>
        <w:spacing w:line="257" w:lineRule="auto"/>
        <w:rPr>
          <w:rFonts w:ascii="Times New Roman" w:hAnsi="Times New Roman" w:cs="Times New Roman"/>
          <w:b/>
          <w:bCs/>
        </w:rPr>
      </w:pPr>
      <w:r w:rsidRPr="00DF35A5">
        <w:rPr>
          <w:rFonts w:ascii="Times New Roman" w:hAnsi="Times New Roman" w:cs="Times New Roman"/>
          <w:b/>
          <w:bCs/>
        </w:rPr>
        <w:lastRenderedPageBreak/>
        <w:t>Licence Schedule 1</w:t>
      </w:r>
      <w:r w:rsidR="00AE6308">
        <w:rPr>
          <w:rFonts w:ascii="Times New Roman" w:hAnsi="Times New Roman" w:cs="Times New Roman"/>
          <w:b/>
          <w:bCs/>
        </w:rPr>
        <w:tab/>
      </w:r>
      <w:r w:rsidRPr="00DF35A5">
        <w:rPr>
          <w:rFonts w:ascii="Times New Roman" w:hAnsi="Times New Roman" w:cs="Times New Roman"/>
          <w:b/>
          <w:bCs/>
        </w:rPr>
        <w:t>Licence Details, Bands and Areas</w:t>
      </w:r>
    </w:p>
    <w:p w14:paraId="16794C3A" w14:textId="4CD7E2D7" w:rsidR="00DF35A5" w:rsidRDefault="00DF35A5" w:rsidP="00DF35A5">
      <w:pPr>
        <w:rPr>
          <w:rFonts w:ascii="Times New Roman" w:hAnsi="Times New Roman" w:cs="Times New Roman"/>
        </w:rPr>
      </w:pPr>
      <w:r w:rsidRPr="00DF35A5">
        <w:rPr>
          <w:rFonts w:ascii="Times New Roman" w:hAnsi="Times New Roman" w:cs="Times New Roman"/>
        </w:rPr>
        <w:t>This licence schedule sets out the fields for the licensee, the licence issue, expiry and effect dates, and other details of the licence, including the frequency bands of the licence and the geographic area for the licence.</w:t>
      </w:r>
    </w:p>
    <w:p w14:paraId="114327AF" w14:textId="30C9D27B" w:rsidR="00DF35A5" w:rsidRPr="00DF35A5" w:rsidRDefault="00DF35A5" w:rsidP="00DF35A5">
      <w:pPr>
        <w:rPr>
          <w:rFonts w:ascii="Times New Roman" w:hAnsi="Times New Roman" w:cs="Times New Roman"/>
          <w:b/>
          <w:bCs/>
        </w:rPr>
      </w:pPr>
      <w:r w:rsidRPr="00DF35A5">
        <w:rPr>
          <w:rFonts w:ascii="Times New Roman" w:hAnsi="Times New Roman" w:cs="Times New Roman"/>
          <w:b/>
          <w:bCs/>
        </w:rPr>
        <w:t>Licence Schedule 2</w:t>
      </w:r>
      <w:r w:rsidR="00AE6308">
        <w:rPr>
          <w:rFonts w:ascii="Times New Roman" w:hAnsi="Times New Roman" w:cs="Times New Roman"/>
          <w:b/>
          <w:bCs/>
        </w:rPr>
        <w:tab/>
      </w:r>
      <w:r w:rsidRPr="00DF35A5">
        <w:rPr>
          <w:rFonts w:ascii="Times New Roman" w:hAnsi="Times New Roman" w:cs="Times New Roman"/>
          <w:b/>
          <w:bCs/>
        </w:rPr>
        <w:t>Core Conditions</w:t>
      </w:r>
    </w:p>
    <w:p w14:paraId="7BB72771" w14:textId="7EC54B4C" w:rsidR="00DF35A5" w:rsidRPr="00DF35A5" w:rsidRDefault="00DF35A5" w:rsidP="00DF35A5">
      <w:pPr>
        <w:rPr>
          <w:rFonts w:ascii="Times New Roman" w:hAnsi="Times New Roman" w:cs="Times New Roman"/>
        </w:rPr>
      </w:pPr>
      <w:r w:rsidRPr="00DF35A5">
        <w:rPr>
          <w:rFonts w:ascii="Times New Roman" w:hAnsi="Times New Roman" w:cs="Times New Roman"/>
        </w:rPr>
        <w:t xml:space="preserve">This licence schedule includes the core conditions of the licence.  </w:t>
      </w:r>
    </w:p>
    <w:p w14:paraId="57A79CC7" w14:textId="6C2C1B05" w:rsidR="00DF35A5" w:rsidRPr="00DF35A5" w:rsidRDefault="00DF35A5" w:rsidP="00DF35A5">
      <w:pPr>
        <w:rPr>
          <w:rFonts w:ascii="Times New Roman" w:hAnsi="Times New Roman" w:cs="Times New Roman"/>
        </w:rPr>
      </w:pPr>
      <w:r w:rsidRPr="00DF35A5">
        <w:rPr>
          <w:rFonts w:ascii="Times New Roman" w:hAnsi="Times New Roman" w:cs="Times New Roman"/>
        </w:rPr>
        <w:t>The core conditions are the conditions in relation to the geographic area and frequency ranges within which devices may be used, the out-of-area core licence condition and the out-of-band core licence condition.</w:t>
      </w:r>
    </w:p>
    <w:p w14:paraId="0F6DD1AE" w14:textId="5D9442DB" w:rsidR="00DF35A5" w:rsidRDefault="00DF35A5" w:rsidP="00DF35A5">
      <w:pPr>
        <w:rPr>
          <w:rFonts w:ascii="Times New Roman" w:hAnsi="Times New Roman" w:cs="Times New Roman"/>
        </w:rPr>
      </w:pPr>
      <w:r w:rsidRPr="00DF35A5">
        <w:rPr>
          <w:rFonts w:ascii="Times New Roman" w:hAnsi="Times New Roman" w:cs="Times New Roman"/>
        </w:rPr>
        <w:t>This licence schedule also makes provision for the licensee to exceed the out-of-band core licence conditions in circumstances where there is a written agreement between the licensee and all affected licensees of frequency-adjacent and area-adjacent spectrum</w:t>
      </w:r>
      <w:r w:rsidR="00B5267A">
        <w:rPr>
          <w:rFonts w:ascii="Times New Roman" w:hAnsi="Times New Roman" w:cs="Times New Roman"/>
        </w:rPr>
        <w:t xml:space="preserve"> and apparatus</w:t>
      </w:r>
      <w:r w:rsidRPr="00DF35A5">
        <w:rPr>
          <w:rFonts w:ascii="Times New Roman" w:hAnsi="Times New Roman" w:cs="Times New Roman"/>
        </w:rPr>
        <w:t xml:space="preserve"> licences. Where such a written agreement exists, the licensee must comply with the maximum permitted level of radio emission specified in the agreement.</w:t>
      </w:r>
    </w:p>
    <w:p w14:paraId="477698B9" w14:textId="087E8E13" w:rsidR="00DF35A5" w:rsidRPr="00DF35A5" w:rsidRDefault="00DF35A5" w:rsidP="00634065">
      <w:pPr>
        <w:keepNext/>
        <w:spacing w:line="257" w:lineRule="auto"/>
        <w:rPr>
          <w:rFonts w:ascii="Times New Roman" w:hAnsi="Times New Roman" w:cs="Times New Roman"/>
          <w:b/>
          <w:bCs/>
        </w:rPr>
      </w:pPr>
      <w:r w:rsidRPr="00DF35A5">
        <w:rPr>
          <w:rFonts w:ascii="Times New Roman" w:hAnsi="Times New Roman" w:cs="Times New Roman"/>
          <w:b/>
          <w:bCs/>
        </w:rPr>
        <w:t>Licence Schedule 3</w:t>
      </w:r>
      <w:r w:rsidR="00AE6308">
        <w:rPr>
          <w:rFonts w:ascii="Times New Roman" w:hAnsi="Times New Roman" w:cs="Times New Roman"/>
          <w:b/>
          <w:bCs/>
        </w:rPr>
        <w:tab/>
      </w:r>
      <w:r w:rsidRPr="00DF35A5">
        <w:rPr>
          <w:rFonts w:ascii="Times New Roman" w:hAnsi="Times New Roman" w:cs="Times New Roman"/>
          <w:b/>
          <w:bCs/>
        </w:rPr>
        <w:t>Statutory Conditions</w:t>
      </w:r>
    </w:p>
    <w:p w14:paraId="46AB060D" w14:textId="2E856C7A" w:rsidR="00DF35A5" w:rsidRDefault="00DF35A5" w:rsidP="00DF35A5">
      <w:pPr>
        <w:rPr>
          <w:rFonts w:ascii="Times New Roman" w:hAnsi="Times New Roman" w:cs="Times New Roman"/>
        </w:rPr>
      </w:pPr>
      <w:r w:rsidRPr="00DF35A5">
        <w:rPr>
          <w:rFonts w:ascii="Times New Roman" w:hAnsi="Times New Roman" w:cs="Times New Roman"/>
        </w:rPr>
        <w:t>This licence schedule contains other statutory conditions that apply to the licence relating to liability for charges, third party operation of radiocommunications transmitters and transmitter registration requirements. It also includes conditions regarding when a radiocommunications transmitter will be exempt from the requirement to be registered, and residency requirements for licensees.</w:t>
      </w:r>
    </w:p>
    <w:p w14:paraId="52B9C01B" w14:textId="236E3901" w:rsidR="000718E1" w:rsidRPr="00AE6308" w:rsidRDefault="000718E1" w:rsidP="00DF35A5">
      <w:pPr>
        <w:rPr>
          <w:rFonts w:ascii="Times New Roman" w:hAnsi="Times New Roman" w:cs="Times New Roman"/>
        </w:rPr>
      </w:pPr>
      <w:r w:rsidRPr="00AE6308">
        <w:rPr>
          <w:rFonts w:ascii="Times New Roman" w:hAnsi="Times New Roman" w:cs="Times New Roman"/>
        </w:rPr>
        <w:t xml:space="preserve">In particular, where a </w:t>
      </w:r>
      <w:r w:rsidR="009058BD" w:rsidRPr="00AE6308">
        <w:rPr>
          <w:rFonts w:ascii="Times New Roman" w:hAnsi="Times New Roman" w:cs="Times New Roman"/>
        </w:rPr>
        <w:t xml:space="preserve">winning bidder </w:t>
      </w:r>
      <w:r w:rsidRPr="00AE6308">
        <w:rPr>
          <w:rFonts w:ascii="Times New Roman" w:hAnsi="Times New Roman" w:cs="Times New Roman"/>
        </w:rPr>
        <w:t>has elected to pay the spectrum access charge in instalments, a failure</w:t>
      </w:r>
      <w:r w:rsidR="009058BD" w:rsidRPr="00AE6308">
        <w:rPr>
          <w:rFonts w:ascii="Times New Roman" w:hAnsi="Times New Roman" w:cs="Times New Roman"/>
        </w:rPr>
        <w:t xml:space="preserve"> by a licensee</w:t>
      </w:r>
      <w:r w:rsidRPr="00AE6308">
        <w:rPr>
          <w:rFonts w:ascii="Times New Roman" w:hAnsi="Times New Roman" w:cs="Times New Roman"/>
        </w:rPr>
        <w:t xml:space="preserve"> to pay </w:t>
      </w:r>
      <w:r w:rsidR="009058BD" w:rsidRPr="00AE6308">
        <w:rPr>
          <w:rFonts w:ascii="Times New Roman" w:hAnsi="Times New Roman" w:cs="Times New Roman"/>
        </w:rPr>
        <w:t xml:space="preserve">any of </w:t>
      </w:r>
      <w:r w:rsidR="002A1BE5" w:rsidRPr="00AE6308">
        <w:rPr>
          <w:rFonts w:ascii="Times New Roman" w:hAnsi="Times New Roman" w:cs="Times New Roman"/>
        </w:rPr>
        <w:t>the remaining four</w:t>
      </w:r>
      <w:r w:rsidRPr="00AE6308">
        <w:rPr>
          <w:rFonts w:ascii="Times New Roman" w:hAnsi="Times New Roman" w:cs="Times New Roman"/>
        </w:rPr>
        <w:t xml:space="preserve"> instalments may amount to a breach of the statutory licence condition required to be included by section 67 of the Act.</w:t>
      </w:r>
    </w:p>
    <w:p w14:paraId="483F656C" w14:textId="18A4B94A" w:rsidR="00DF35A5" w:rsidRDefault="00DF35A5" w:rsidP="00DF35A5">
      <w:pPr>
        <w:rPr>
          <w:rFonts w:ascii="Times New Roman" w:hAnsi="Times New Roman" w:cs="Times New Roman"/>
          <w:b/>
          <w:bCs/>
        </w:rPr>
      </w:pPr>
      <w:r w:rsidRPr="00AE6308">
        <w:rPr>
          <w:rFonts w:ascii="Times New Roman" w:hAnsi="Times New Roman" w:cs="Times New Roman"/>
          <w:b/>
          <w:bCs/>
        </w:rPr>
        <w:t>Licence Schedule 4</w:t>
      </w:r>
      <w:r w:rsidR="00AE6308">
        <w:rPr>
          <w:rFonts w:ascii="Times New Roman" w:hAnsi="Times New Roman" w:cs="Times New Roman"/>
          <w:b/>
          <w:bCs/>
        </w:rPr>
        <w:tab/>
      </w:r>
      <w:r w:rsidRPr="00AE6308">
        <w:rPr>
          <w:rFonts w:ascii="Times New Roman" w:hAnsi="Times New Roman" w:cs="Times New Roman"/>
          <w:b/>
          <w:bCs/>
        </w:rPr>
        <w:t>Other Conditions</w:t>
      </w:r>
    </w:p>
    <w:p w14:paraId="04F41F87" w14:textId="4F9F3E64" w:rsidR="004124F4" w:rsidRPr="00360598" w:rsidRDefault="004124F4" w:rsidP="004124F4">
      <w:pPr>
        <w:shd w:val="clear" w:color="auto" w:fill="FFFFFF"/>
        <w:spacing w:before="100" w:beforeAutospacing="1" w:line="240" w:lineRule="auto"/>
        <w:rPr>
          <w:rFonts w:ascii="Times New Roman" w:eastAsia="Times New Roman" w:hAnsi="Times New Roman" w:cs="Times New Roman"/>
          <w:sz w:val="19"/>
          <w:szCs w:val="19"/>
          <w:lang w:val="en-US" w:eastAsia="en-AU"/>
        </w:rPr>
      </w:pPr>
      <w:r w:rsidRPr="00AE6308">
        <w:rPr>
          <w:rFonts w:ascii="Times New Roman" w:eastAsia="Times New Roman" w:hAnsi="Times New Roman" w:cs="Times New Roman"/>
          <w:lang w:eastAsia="en-AU"/>
        </w:rPr>
        <w:t>This licence schedule contains other licence conditions that may be included by the ACMA in accordance with section 71 of the Act.  One such condition imposed on the licensee is the responsibility to manage interference between radiocommunications devices operated under the licence, and between radiocommunications devices operated under the licence and under any other spectrum licence held by the licensee (sample conditions 2(a) and (b) in Licence Schedule</w:t>
      </w:r>
      <w:r w:rsidR="00AE6308" w:rsidRPr="00AE6308">
        <w:rPr>
          <w:rFonts w:ascii="Times New Roman" w:eastAsia="Times New Roman" w:hAnsi="Times New Roman" w:cs="Times New Roman"/>
          <w:lang w:eastAsia="en-AU"/>
        </w:rPr>
        <w:t> </w:t>
      </w:r>
      <w:r w:rsidRPr="00AE6308">
        <w:rPr>
          <w:rFonts w:ascii="Times New Roman" w:eastAsia="Times New Roman" w:hAnsi="Times New Roman" w:cs="Times New Roman"/>
          <w:lang w:eastAsia="en-AU"/>
        </w:rPr>
        <w:t xml:space="preserve">4). </w:t>
      </w:r>
      <w:r w:rsidRPr="00AE6308">
        <w:rPr>
          <w:rFonts w:ascii="Times New Roman" w:eastAsia="Times New Roman" w:hAnsi="Times New Roman" w:cs="Times New Roman"/>
          <w:b/>
          <w:bCs/>
          <w:lang w:eastAsia="en-AU"/>
        </w:rPr>
        <w:t>Managing interference</w:t>
      </w:r>
      <w:r w:rsidRPr="00AE6308">
        <w:rPr>
          <w:rFonts w:ascii="Times New Roman" w:eastAsia="Times New Roman" w:hAnsi="Times New Roman" w:cs="Times New Roman"/>
          <w:lang w:eastAsia="en-AU"/>
        </w:rPr>
        <w:t xml:space="preserve"> is defined as including the investigation of the possible causes of interference, taking all steps reasonably necessary to resolve disputes about interference, taking</w:t>
      </w:r>
      <w:r w:rsidRPr="00360598">
        <w:rPr>
          <w:rFonts w:ascii="Times New Roman" w:eastAsia="Times New Roman" w:hAnsi="Times New Roman" w:cs="Times New Roman"/>
          <w:lang w:eastAsia="en-AU"/>
        </w:rPr>
        <w:t xml:space="preserve"> all steps reasonably likely to reduce the interference to acceptable levels and negotiating with other persons to reduce interference to an acceptable level.</w:t>
      </w:r>
    </w:p>
    <w:p w14:paraId="246A2708" w14:textId="77777777" w:rsidR="004124F4" w:rsidRPr="00360598" w:rsidRDefault="004124F4" w:rsidP="004124F4">
      <w:pPr>
        <w:shd w:val="clear" w:color="auto" w:fill="FFFFFF"/>
        <w:spacing w:before="100" w:beforeAutospacing="1" w:line="240" w:lineRule="auto"/>
        <w:rPr>
          <w:rFonts w:ascii="Times New Roman" w:eastAsia="Times New Roman" w:hAnsi="Times New Roman" w:cs="Times New Roman"/>
          <w:sz w:val="19"/>
          <w:szCs w:val="19"/>
          <w:lang w:val="en-US" w:eastAsia="en-AU"/>
        </w:rPr>
      </w:pPr>
      <w:r w:rsidRPr="00360598">
        <w:rPr>
          <w:rFonts w:ascii="Times New Roman" w:eastAsia="Times New Roman" w:hAnsi="Times New Roman" w:cs="Times New Roman"/>
          <w:lang w:eastAsia="en-AU"/>
        </w:rPr>
        <w:t>Other conditions included in the sample licence under this licence schedule are:</w:t>
      </w:r>
    </w:p>
    <w:p w14:paraId="17681F19" w14:textId="434B6C42" w:rsidR="004124F4" w:rsidRPr="00FD0DB6" w:rsidRDefault="004124F4" w:rsidP="004124F4">
      <w:pPr>
        <w:pStyle w:val="ListParagraph"/>
        <w:numPr>
          <w:ilvl w:val="0"/>
          <w:numId w:val="24"/>
        </w:numPr>
        <w:shd w:val="clear" w:color="auto" w:fill="FFFFFF"/>
        <w:spacing w:before="100" w:beforeAutospacing="1" w:line="240" w:lineRule="auto"/>
        <w:rPr>
          <w:rFonts w:ascii="Times New Roman" w:eastAsia="Times New Roman" w:hAnsi="Times New Roman" w:cs="Times New Roman"/>
          <w:lang w:val="en-US" w:eastAsia="en-AU"/>
        </w:rPr>
      </w:pPr>
      <w:r w:rsidRPr="00360598">
        <w:rPr>
          <w:rFonts w:ascii="Times New Roman" w:eastAsia="Times New Roman" w:hAnsi="Times New Roman" w:cs="Times New Roman"/>
          <w:lang w:val="en-US" w:eastAsia="en-AU"/>
        </w:rPr>
        <w:t>a condition in relation to interference management for radiocommunications devices that are co-sited (</w:t>
      </w:r>
      <w:r w:rsidRPr="00B83395">
        <w:rPr>
          <w:rFonts w:ascii="Times New Roman" w:eastAsia="Times New Roman" w:hAnsi="Times New Roman" w:cs="Times New Roman"/>
          <w:lang w:val="en-US" w:eastAsia="en-AU"/>
        </w:rPr>
        <w:t>located within 2</w:t>
      </w:r>
      <w:r w:rsidRPr="000E2E3E">
        <w:rPr>
          <w:rFonts w:ascii="Times New Roman" w:eastAsia="Times New Roman" w:hAnsi="Times New Roman" w:cs="Times New Roman"/>
          <w:lang w:val="en-US" w:eastAsia="en-AU"/>
        </w:rPr>
        <w:t xml:space="preserve">00 </w:t>
      </w:r>
      <w:proofErr w:type="spellStart"/>
      <w:r w:rsidRPr="000E2E3E">
        <w:rPr>
          <w:rFonts w:ascii="Times New Roman" w:eastAsia="Times New Roman" w:hAnsi="Times New Roman" w:cs="Times New Roman"/>
          <w:lang w:val="en-US" w:eastAsia="en-AU"/>
        </w:rPr>
        <w:t>metres</w:t>
      </w:r>
      <w:proofErr w:type="spellEnd"/>
      <w:r w:rsidRPr="000E2E3E">
        <w:rPr>
          <w:rFonts w:ascii="Times New Roman" w:eastAsia="Times New Roman" w:hAnsi="Times New Roman" w:cs="Times New Roman"/>
          <w:lang w:val="en-US" w:eastAsia="en-AU"/>
        </w:rPr>
        <w:t xml:space="preserve"> of each other) (sample condition 3</w:t>
      </w:r>
      <w:proofErr w:type="gramStart"/>
      <w:r w:rsidRPr="000E2E3E">
        <w:rPr>
          <w:rFonts w:ascii="Times New Roman" w:eastAsia="Times New Roman" w:hAnsi="Times New Roman" w:cs="Times New Roman"/>
          <w:lang w:val="en-US" w:eastAsia="en-AU"/>
        </w:rPr>
        <w:t>);</w:t>
      </w:r>
      <w:proofErr w:type="gramEnd"/>
    </w:p>
    <w:p w14:paraId="107DB69C" w14:textId="653336B0" w:rsidR="004124F4" w:rsidRPr="00360598" w:rsidRDefault="004124F4" w:rsidP="004124F4">
      <w:pPr>
        <w:pStyle w:val="ListParagraph"/>
        <w:numPr>
          <w:ilvl w:val="0"/>
          <w:numId w:val="24"/>
        </w:numPr>
        <w:shd w:val="clear" w:color="auto" w:fill="FFFFFF"/>
        <w:spacing w:before="100" w:beforeAutospacing="1" w:line="240" w:lineRule="auto"/>
        <w:rPr>
          <w:rFonts w:ascii="Times New Roman" w:eastAsia="Times New Roman" w:hAnsi="Times New Roman" w:cs="Times New Roman"/>
          <w:lang w:val="en-US" w:eastAsia="en-AU"/>
        </w:rPr>
      </w:pPr>
      <w:r w:rsidRPr="00360598">
        <w:rPr>
          <w:rFonts w:ascii="Times New Roman" w:eastAsia="Times New Roman" w:hAnsi="Times New Roman" w:cs="Times New Roman"/>
          <w:lang w:val="en-US" w:eastAsia="en-AU"/>
        </w:rPr>
        <w:t>a requirement to provide the ACMA with information to be included in the Register (sample condition 4</w:t>
      </w:r>
      <w:proofErr w:type="gramStart"/>
      <w:r w:rsidRPr="00360598">
        <w:rPr>
          <w:rFonts w:ascii="Times New Roman" w:eastAsia="Times New Roman" w:hAnsi="Times New Roman" w:cs="Times New Roman"/>
          <w:lang w:val="en-US" w:eastAsia="en-AU"/>
        </w:rPr>
        <w:t>);</w:t>
      </w:r>
      <w:proofErr w:type="gramEnd"/>
    </w:p>
    <w:p w14:paraId="41D33ED0" w14:textId="425EBBF6" w:rsidR="004124F4" w:rsidRPr="00360598" w:rsidRDefault="004124F4" w:rsidP="004124F4">
      <w:pPr>
        <w:pStyle w:val="ListParagraph"/>
        <w:numPr>
          <w:ilvl w:val="0"/>
          <w:numId w:val="24"/>
        </w:numPr>
        <w:shd w:val="clear" w:color="auto" w:fill="FFFFFF"/>
        <w:spacing w:before="100" w:beforeAutospacing="1" w:line="240" w:lineRule="auto"/>
        <w:rPr>
          <w:rFonts w:ascii="Times New Roman" w:eastAsia="Times New Roman" w:hAnsi="Times New Roman" w:cs="Times New Roman"/>
          <w:lang w:val="en-US" w:eastAsia="en-AU"/>
        </w:rPr>
      </w:pPr>
      <w:r w:rsidRPr="00360598">
        <w:rPr>
          <w:rFonts w:ascii="Times New Roman" w:eastAsia="Times New Roman" w:hAnsi="Times New Roman" w:cs="Times New Roman"/>
          <w:lang w:val="en-US" w:eastAsia="en-AU"/>
        </w:rPr>
        <w:t>a requirement to prevent harmful interference to a radiocommunications receiver operating in another country and in accordance with the ITU Radio Regulations (sample condition 5</w:t>
      </w:r>
      <w:proofErr w:type="gramStart"/>
      <w:r w:rsidRPr="00360598">
        <w:rPr>
          <w:rFonts w:ascii="Times New Roman" w:eastAsia="Times New Roman" w:hAnsi="Times New Roman" w:cs="Times New Roman"/>
          <w:lang w:val="en-US" w:eastAsia="en-AU"/>
        </w:rPr>
        <w:t>);</w:t>
      </w:r>
      <w:proofErr w:type="gramEnd"/>
    </w:p>
    <w:p w14:paraId="601D779E" w14:textId="0E3AFBCE" w:rsidR="004124F4" w:rsidRPr="00360598" w:rsidRDefault="004124F4" w:rsidP="004124F4">
      <w:pPr>
        <w:pStyle w:val="ListParagraph"/>
        <w:numPr>
          <w:ilvl w:val="0"/>
          <w:numId w:val="24"/>
        </w:numPr>
        <w:shd w:val="clear" w:color="auto" w:fill="FFFFFF"/>
        <w:spacing w:before="100" w:beforeAutospacing="1" w:line="240" w:lineRule="auto"/>
        <w:rPr>
          <w:rFonts w:ascii="Times New Roman" w:eastAsia="Times New Roman" w:hAnsi="Times New Roman" w:cs="Times New Roman"/>
          <w:lang w:val="en-US" w:eastAsia="en-AU"/>
        </w:rPr>
      </w:pPr>
      <w:r w:rsidRPr="00360598">
        <w:rPr>
          <w:rFonts w:ascii="Times New Roman" w:eastAsia="Times New Roman" w:hAnsi="Times New Roman" w:cs="Times New Roman"/>
          <w:lang w:val="en-US" w:eastAsia="en-AU"/>
        </w:rPr>
        <w:t>a requirement to comply with specified electromagnetic energy regulation (sample condition 6</w:t>
      </w:r>
      <w:proofErr w:type="gramStart"/>
      <w:r w:rsidRPr="00360598">
        <w:rPr>
          <w:rFonts w:ascii="Times New Roman" w:eastAsia="Times New Roman" w:hAnsi="Times New Roman" w:cs="Times New Roman"/>
          <w:lang w:val="en-US" w:eastAsia="en-AU"/>
        </w:rPr>
        <w:t>);</w:t>
      </w:r>
      <w:proofErr w:type="gramEnd"/>
      <w:r w:rsidRPr="00360598">
        <w:rPr>
          <w:rFonts w:ascii="Times New Roman" w:eastAsia="Times New Roman" w:hAnsi="Times New Roman" w:cs="Times New Roman"/>
          <w:lang w:val="en-US" w:eastAsia="en-AU"/>
        </w:rPr>
        <w:t xml:space="preserve"> </w:t>
      </w:r>
    </w:p>
    <w:p w14:paraId="6582E23B" w14:textId="6F5FCD50" w:rsidR="004124F4" w:rsidRPr="00360598" w:rsidRDefault="004124F4" w:rsidP="004124F4">
      <w:pPr>
        <w:pStyle w:val="ListParagraph"/>
        <w:numPr>
          <w:ilvl w:val="0"/>
          <w:numId w:val="24"/>
        </w:numPr>
        <w:shd w:val="clear" w:color="auto" w:fill="FFFFFF"/>
        <w:spacing w:before="100" w:beforeAutospacing="1" w:line="240" w:lineRule="auto"/>
        <w:rPr>
          <w:rFonts w:ascii="Times New Roman" w:eastAsia="Times New Roman" w:hAnsi="Times New Roman" w:cs="Times New Roman"/>
          <w:lang w:val="en-US" w:eastAsia="en-AU"/>
        </w:rPr>
      </w:pPr>
      <w:r w:rsidRPr="00360598">
        <w:rPr>
          <w:rFonts w:ascii="Times New Roman" w:eastAsia="Times New Roman" w:hAnsi="Times New Roman" w:cs="Times New Roman"/>
          <w:lang w:val="en-US" w:eastAsia="en-AU"/>
        </w:rPr>
        <w:lastRenderedPageBreak/>
        <w:t xml:space="preserve">a requirement to comply with record-keeping requirements for radiocommunications transmitters located at communal sites </w:t>
      </w:r>
      <w:r w:rsidR="0060146C" w:rsidRPr="00360598">
        <w:rPr>
          <w:rFonts w:ascii="Times New Roman" w:eastAsia="Times New Roman" w:hAnsi="Times New Roman" w:cs="Times New Roman"/>
          <w:lang w:val="en-US" w:eastAsia="en-AU"/>
        </w:rPr>
        <w:t xml:space="preserve">and for high-powered </w:t>
      </w:r>
      <w:r w:rsidR="003B6A28">
        <w:rPr>
          <w:rFonts w:ascii="Times New Roman" w:eastAsia="Times New Roman" w:hAnsi="Times New Roman" w:cs="Times New Roman"/>
          <w:lang w:val="en-US" w:eastAsia="en-AU"/>
        </w:rPr>
        <w:t xml:space="preserve">outdoor </w:t>
      </w:r>
      <w:r w:rsidR="0060146C" w:rsidRPr="00360598">
        <w:rPr>
          <w:rFonts w:ascii="Times New Roman" w:eastAsia="Times New Roman" w:hAnsi="Times New Roman" w:cs="Times New Roman"/>
          <w:lang w:val="en-US" w:eastAsia="en-AU"/>
        </w:rPr>
        <w:t xml:space="preserve">radiocommunications transmitters that are not base stations </w:t>
      </w:r>
      <w:r w:rsidRPr="00360598">
        <w:rPr>
          <w:rFonts w:ascii="Times New Roman" w:eastAsia="Times New Roman" w:hAnsi="Times New Roman" w:cs="Times New Roman"/>
          <w:lang w:val="en-US" w:eastAsia="en-AU"/>
        </w:rPr>
        <w:t>(sample condition 7</w:t>
      </w:r>
      <w:proofErr w:type="gramStart"/>
      <w:r w:rsidRPr="00360598">
        <w:rPr>
          <w:rFonts w:ascii="Times New Roman" w:eastAsia="Times New Roman" w:hAnsi="Times New Roman" w:cs="Times New Roman"/>
          <w:lang w:val="en-US" w:eastAsia="en-AU"/>
        </w:rPr>
        <w:t>);</w:t>
      </w:r>
      <w:proofErr w:type="gramEnd"/>
    </w:p>
    <w:p w14:paraId="4A01CFD1" w14:textId="2B7B41AB" w:rsidR="0060146C" w:rsidRPr="00360598" w:rsidRDefault="0060146C" w:rsidP="004124F4">
      <w:pPr>
        <w:pStyle w:val="ListParagraph"/>
        <w:numPr>
          <w:ilvl w:val="0"/>
          <w:numId w:val="24"/>
        </w:numPr>
        <w:shd w:val="clear" w:color="auto" w:fill="FFFFFF"/>
        <w:spacing w:before="100" w:beforeAutospacing="1" w:line="240" w:lineRule="auto"/>
        <w:rPr>
          <w:rFonts w:ascii="Times New Roman" w:eastAsia="Times New Roman" w:hAnsi="Times New Roman" w:cs="Times New Roman"/>
          <w:lang w:val="en-US" w:eastAsia="en-AU"/>
        </w:rPr>
      </w:pPr>
      <w:r w:rsidRPr="00360598">
        <w:rPr>
          <w:rFonts w:ascii="Times New Roman" w:eastAsia="Times New Roman" w:hAnsi="Times New Roman" w:cs="Times New Roman"/>
          <w:lang w:val="en-US" w:eastAsia="en-AU"/>
        </w:rPr>
        <w:t>a</w:t>
      </w:r>
      <w:r w:rsidR="00ED503C" w:rsidRPr="00360598">
        <w:rPr>
          <w:rFonts w:ascii="Times New Roman" w:eastAsia="Times New Roman" w:hAnsi="Times New Roman" w:cs="Times New Roman"/>
          <w:lang w:val="en-US" w:eastAsia="en-AU"/>
        </w:rPr>
        <w:t xml:space="preserve"> requirement to ensure that operation of a radiocommunications transmitter that is exempt from registration does not cause harmful interference</w:t>
      </w:r>
      <w:r w:rsidRPr="00360598">
        <w:rPr>
          <w:rFonts w:ascii="Times New Roman" w:eastAsia="Times New Roman" w:hAnsi="Times New Roman" w:cs="Times New Roman"/>
          <w:lang w:val="en-US" w:eastAsia="en-AU"/>
        </w:rPr>
        <w:t xml:space="preserve"> to other radiocommunications devices operating under another spectrum licence or apparatus licence (sample condition 8</w:t>
      </w:r>
      <w:proofErr w:type="gramStart"/>
      <w:r w:rsidRPr="00360598">
        <w:rPr>
          <w:rFonts w:ascii="Times New Roman" w:eastAsia="Times New Roman" w:hAnsi="Times New Roman" w:cs="Times New Roman"/>
          <w:lang w:val="en-US" w:eastAsia="en-AU"/>
        </w:rPr>
        <w:t>)</w:t>
      </w:r>
      <w:r w:rsidR="003B6A28">
        <w:rPr>
          <w:rFonts w:ascii="Times New Roman" w:eastAsia="Times New Roman" w:hAnsi="Times New Roman" w:cs="Times New Roman"/>
          <w:lang w:val="en-US" w:eastAsia="en-AU"/>
        </w:rPr>
        <w:t>;</w:t>
      </w:r>
      <w:proofErr w:type="gramEnd"/>
    </w:p>
    <w:p w14:paraId="1CE607E4" w14:textId="7DAD401F" w:rsidR="0060146C" w:rsidRPr="00360598" w:rsidRDefault="003B6A28" w:rsidP="004124F4">
      <w:pPr>
        <w:pStyle w:val="ListParagraph"/>
        <w:numPr>
          <w:ilvl w:val="0"/>
          <w:numId w:val="24"/>
        </w:numPr>
        <w:shd w:val="clear" w:color="auto" w:fill="FFFFFF"/>
        <w:spacing w:before="100" w:beforeAutospacing="1" w:line="240" w:lineRule="auto"/>
        <w:rPr>
          <w:rFonts w:ascii="Times New Roman" w:eastAsia="Times New Roman" w:hAnsi="Times New Roman" w:cs="Times New Roman"/>
          <w:lang w:val="en-US" w:eastAsia="en-AU"/>
        </w:rPr>
      </w:pPr>
      <w:r>
        <w:rPr>
          <w:rFonts w:ascii="Times New Roman" w:eastAsia="Times New Roman" w:hAnsi="Times New Roman" w:cs="Times New Roman"/>
          <w:lang w:val="en-US" w:eastAsia="en-AU"/>
        </w:rPr>
        <w:t>a</w:t>
      </w:r>
      <w:r w:rsidRPr="00360598">
        <w:rPr>
          <w:rFonts w:ascii="Times New Roman" w:eastAsia="Times New Roman" w:hAnsi="Times New Roman" w:cs="Times New Roman"/>
          <w:lang w:val="en-US" w:eastAsia="en-AU"/>
        </w:rPr>
        <w:t xml:space="preserve"> </w:t>
      </w:r>
      <w:r w:rsidR="0060146C" w:rsidRPr="00360598">
        <w:rPr>
          <w:rFonts w:ascii="Times New Roman" w:eastAsia="Times New Roman" w:hAnsi="Times New Roman" w:cs="Times New Roman"/>
          <w:lang w:val="en-US" w:eastAsia="en-AU"/>
        </w:rPr>
        <w:t xml:space="preserve">requirement that radiocommunications transmitters </w:t>
      </w:r>
      <w:r w:rsidR="009C6AC2" w:rsidRPr="00360598">
        <w:rPr>
          <w:rFonts w:ascii="Times New Roman" w:eastAsia="Times New Roman" w:hAnsi="Times New Roman" w:cs="Times New Roman"/>
          <w:lang w:val="en-US" w:eastAsia="en-AU"/>
        </w:rPr>
        <w:t xml:space="preserve">comply with the protection requirements specified in Part </w:t>
      </w:r>
      <w:r w:rsidR="00B5267A">
        <w:rPr>
          <w:rFonts w:ascii="Times New Roman" w:eastAsia="Times New Roman" w:hAnsi="Times New Roman" w:cs="Times New Roman"/>
          <w:lang w:val="en-US" w:eastAsia="en-AU"/>
        </w:rPr>
        <w:t>4 and Part 3</w:t>
      </w:r>
      <w:r w:rsidR="009C6AC2" w:rsidRPr="00360598">
        <w:rPr>
          <w:rFonts w:ascii="Times New Roman" w:eastAsia="Times New Roman" w:hAnsi="Times New Roman" w:cs="Times New Roman"/>
          <w:lang w:val="en-US" w:eastAsia="en-AU"/>
        </w:rPr>
        <w:t xml:space="preserve"> of the</w:t>
      </w:r>
      <w:r w:rsidR="00635D2B">
        <w:rPr>
          <w:rFonts w:ascii="Times New Roman" w:eastAsia="Times New Roman" w:hAnsi="Times New Roman" w:cs="Times New Roman"/>
          <w:lang w:val="en-US" w:eastAsia="en-AU"/>
        </w:rPr>
        <w:t xml:space="preserve"> RAG Tx</w:t>
      </w:r>
      <w:r w:rsidR="009C6AC2" w:rsidRPr="00360598">
        <w:rPr>
          <w:rFonts w:ascii="Times New Roman" w:eastAsia="Times New Roman" w:hAnsi="Times New Roman" w:cs="Times New Roman"/>
          <w:lang w:val="en-US" w:eastAsia="en-AU"/>
        </w:rPr>
        <w:t xml:space="preserve"> (sample condition</w:t>
      </w:r>
      <w:r w:rsidR="005B69A7">
        <w:rPr>
          <w:rFonts w:ascii="Times New Roman" w:eastAsia="Times New Roman" w:hAnsi="Times New Roman" w:cs="Times New Roman"/>
          <w:lang w:val="en-US" w:eastAsia="en-AU"/>
        </w:rPr>
        <w:t>s</w:t>
      </w:r>
      <w:r w:rsidR="009C6AC2" w:rsidRPr="00360598">
        <w:rPr>
          <w:rFonts w:ascii="Times New Roman" w:eastAsia="Times New Roman" w:hAnsi="Times New Roman" w:cs="Times New Roman"/>
          <w:lang w:val="en-US" w:eastAsia="en-AU"/>
        </w:rPr>
        <w:t xml:space="preserve"> 9</w:t>
      </w:r>
      <w:r w:rsidR="005B69A7">
        <w:rPr>
          <w:rFonts w:ascii="Times New Roman" w:eastAsia="Times New Roman" w:hAnsi="Times New Roman" w:cs="Times New Roman"/>
          <w:lang w:val="en-US" w:eastAsia="en-AU"/>
        </w:rPr>
        <w:t xml:space="preserve"> and 11</w:t>
      </w:r>
      <w:proofErr w:type="gramStart"/>
      <w:r w:rsidR="009C6AC2" w:rsidRPr="00360598">
        <w:rPr>
          <w:rFonts w:ascii="Times New Roman" w:eastAsia="Times New Roman" w:hAnsi="Times New Roman" w:cs="Times New Roman"/>
          <w:lang w:val="en-US" w:eastAsia="en-AU"/>
        </w:rPr>
        <w:t>)</w:t>
      </w:r>
      <w:r>
        <w:rPr>
          <w:rFonts w:ascii="Times New Roman" w:eastAsia="Times New Roman" w:hAnsi="Times New Roman" w:cs="Times New Roman"/>
          <w:lang w:val="en-US" w:eastAsia="en-AU"/>
        </w:rPr>
        <w:t>;</w:t>
      </w:r>
      <w:proofErr w:type="gramEnd"/>
      <w:r w:rsidR="0060146C" w:rsidRPr="00360598">
        <w:rPr>
          <w:rFonts w:ascii="Times New Roman" w:eastAsia="Times New Roman" w:hAnsi="Times New Roman" w:cs="Times New Roman"/>
          <w:lang w:val="en-US" w:eastAsia="en-AU"/>
        </w:rPr>
        <w:t xml:space="preserve"> </w:t>
      </w:r>
    </w:p>
    <w:p w14:paraId="5CD20EBD" w14:textId="778DF8B7" w:rsidR="0060146C" w:rsidRPr="00281F51" w:rsidRDefault="003B6A28" w:rsidP="00281F51">
      <w:pPr>
        <w:pStyle w:val="ListParagraph"/>
        <w:numPr>
          <w:ilvl w:val="0"/>
          <w:numId w:val="24"/>
        </w:numPr>
        <w:spacing w:before="100" w:beforeAutospacing="1" w:line="240" w:lineRule="auto"/>
        <w:rPr>
          <w:rFonts w:ascii="Times New Roman" w:eastAsia="Times New Roman" w:hAnsi="Times New Roman" w:cs="Times New Roman"/>
          <w:lang w:val="en-US" w:eastAsia="en-AU"/>
        </w:rPr>
      </w:pPr>
      <w:r w:rsidRPr="00281F51">
        <w:rPr>
          <w:rFonts w:ascii="Times New Roman" w:eastAsia="Times New Roman" w:hAnsi="Times New Roman" w:cs="Times New Roman"/>
          <w:lang w:val="en-US" w:eastAsia="en-AU"/>
        </w:rPr>
        <w:t xml:space="preserve">a </w:t>
      </w:r>
      <w:r w:rsidR="0060146C" w:rsidRPr="00281F51">
        <w:rPr>
          <w:rFonts w:ascii="Times New Roman" w:eastAsia="Times New Roman" w:hAnsi="Times New Roman" w:cs="Times New Roman"/>
          <w:lang w:val="en-US" w:eastAsia="en-AU"/>
        </w:rPr>
        <w:t>requirement that a radiocommunications transmitter is not to be operated in the frequency range 25.5 GHz</w:t>
      </w:r>
      <w:r w:rsidR="00635D2B">
        <w:rPr>
          <w:rFonts w:ascii="Times New Roman" w:eastAsia="Times New Roman" w:hAnsi="Times New Roman" w:cs="Times New Roman"/>
          <w:lang w:val="en-US" w:eastAsia="en-AU"/>
        </w:rPr>
        <w:t xml:space="preserve"> to </w:t>
      </w:r>
      <w:r w:rsidR="0060146C" w:rsidRPr="00281F51">
        <w:rPr>
          <w:rFonts w:ascii="Times New Roman" w:eastAsia="Times New Roman" w:hAnsi="Times New Roman" w:cs="Times New Roman"/>
          <w:lang w:val="en-US" w:eastAsia="en-AU"/>
        </w:rPr>
        <w:t xml:space="preserve">27 GHz if </w:t>
      </w:r>
      <w:r w:rsidR="00AE7CCF" w:rsidRPr="00281F51">
        <w:rPr>
          <w:rFonts w:ascii="Times New Roman" w:eastAsia="Times New Roman" w:hAnsi="Times New Roman" w:cs="Times New Roman"/>
          <w:lang w:val="en-US" w:eastAsia="en-AU"/>
        </w:rPr>
        <w:t>it is located within the areas described by the listed HCIS identifiers</w:t>
      </w:r>
      <w:r w:rsidR="00E12AE0">
        <w:rPr>
          <w:rFonts w:ascii="Times New Roman" w:eastAsia="Times New Roman" w:hAnsi="Times New Roman" w:cs="Times New Roman"/>
          <w:lang w:val="en-US" w:eastAsia="en-AU"/>
        </w:rPr>
        <w:t xml:space="preserve">, </w:t>
      </w:r>
      <w:r w:rsidR="00E12AE0">
        <w:rPr>
          <w:rFonts w:ascii="Times New Roman" w:hAnsi="Times New Roman" w:cs="Times New Roman"/>
        </w:rPr>
        <w:t>which</w:t>
      </w:r>
      <w:r w:rsidR="009B28E1">
        <w:rPr>
          <w:rFonts w:ascii="Times New Roman" w:hAnsi="Times New Roman" w:cs="Times New Roman"/>
        </w:rPr>
        <w:t xml:space="preserve"> are </w:t>
      </w:r>
      <w:r w:rsidR="00332C8E">
        <w:rPr>
          <w:rFonts w:ascii="Times New Roman" w:hAnsi="Times New Roman" w:cs="Times New Roman"/>
        </w:rPr>
        <w:t>near</w:t>
      </w:r>
      <w:r w:rsidR="00E12AE0">
        <w:rPr>
          <w:rFonts w:ascii="Times New Roman" w:hAnsi="Times New Roman" w:cs="Times New Roman"/>
        </w:rPr>
        <w:t xml:space="preserve"> the Canberra Deep Space Communications Complex</w:t>
      </w:r>
      <w:r w:rsidR="00AE7CCF" w:rsidRPr="00281F51">
        <w:rPr>
          <w:rFonts w:ascii="Times New Roman" w:eastAsia="Times New Roman" w:hAnsi="Times New Roman" w:cs="Times New Roman"/>
          <w:lang w:val="en-US" w:eastAsia="en-AU"/>
        </w:rPr>
        <w:t xml:space="preserve"> (sample condition 10)</w:t>
      </w:r>
      <w:r w:rsidRPr="00281F51">
        <w:rPr>
          <w:rFonts w:ascii="Times New Roman" w:eastAsia="Times New Roman" w:hAnsi="Times New Roman" w:cs="Times New Roman"/>
          <w:lang w:val="en-US" w:eastAsia="en-AU"/>
        </w:rPr>
        <w:t>;</w:t>
      </w:r>
    </w:p>
    <w:p w14:paraId="421B6623" w14:textId="1C8B6CB5" w:rsidR="00ED503C" w:rsidRPr="00281F51" w:rsidRDefault="00ED503C" w:rsidP="00281F51">
      <w:pPr>
        <w:pStyle w:val="ListParagraph"/>
        <w:numPr>
          <w:ilvl w:val="0"/>
          <w:numId w:val="24"/>
        </w:numPr>
        <w:spacing w:before="100" w:beforeAutospacing="1" w:line="240" w:lineRule="auto"/>
        <w:rPr>
          <w:rFonts w:ascii="Times New Roman" w:eastAsia="Times New Roman" w:hAnsi="Times New Roman" w:cs="Times New Roman"/>
          <w:lang w:val="en-US" w:eastAsia="en-AU"/>
        </w:rPr>
      </w:pPr>
      <w:r w:rsidRPr="00281F51">
        <w:rPr>
          <w:rFonts w:ascii="Times New Roman" w:eastAsia="Times New Roman" w:hAnsi="Times New Roman" w:cs="Times New Roman"/>
          <w:lang w:val="en-US" w:eastAsia="en-AU"/>
        </w:rPr>
        <w:t xml:space="preserve">a requirement to manage any interference between radiocommunications devices operated under the spectrum licence and those operated under a spectrum </w:t>
      </w:r>
      <w:proofErr w:type="spellStart"/>
      <w:r w:rsidRPr="00281F51">
        <w:rPr>
          <w:rFonts w:ascii="Times New Roman" w:eastAsia="Times New Roman" w:hAnsi="Times New Roman" w:cs="Times New Roman"/>
          <w:lang w:val="en-US" w:eastAsia="en-AU"/>
        </w:rPr>
        <w:t>licence</w:t>
      </w:r>
      <w:proofErr w:type="spellEnd"/>
      <w:r w:rsidRPr="00281F51">
        <w:rPr>
          <w:rFonts w:ascii="Times New Roman" w:eastAsia="Times New Roman" w:hAnsi="Times New Roman" w:cs="Times New Roman"/>
          <w:lang w:val="en-US" w:eastAsia="en-AU"/>
        </w:rPr>
        <w:t xml:space="preserve"> in the 26 GHz band, or area-wide licences in the frequency range 24.</w:t>
      </w:r>
      <w:r w:rsidR="00FD0DB6" w:rsidRPr="00281F51">
        <w:rPr>
          <w:rFonts w:ascii="Times New Roman" w:eastAsia="Times New Roman" w:hAnsi="Times New Roman" w:cs="Times New Roman"/>
          <w:lang w:val="en-US" w:eastAsia="en-AU"/>
        </w:rPr>
        <w:t>7</w:t>
      </w:r>
      <w:r w:rsidRPr="00281F51">
        <w:rPr>
          <w:rFonts w:ascii="Times New Roman" w:eastAsia="Times New Roman" w:hAnsi="Times New Roman" w:cs="Times New Roman"/>
          <w:lang w:val="en-US" w:eastAsia="en-AU"/>
        </w:rPr>
        <w:t xml:space="preserve"> GHz</w:t>
      </w:r>
      <w:r w:rsidR="00CD0EED">
        <w:rPr>
          <w:rFonts w:ascii="Times New Roman" w:eastAsia="Times New Roman" w:hAnsi="Times New Roman" w:cs="Times New Roman"/>
          <w:lang w:val="en-US" w:eastAsia="en-AU"/>
        </w:rPr>
        <w:t xml:space="preserve"> to </w:t>
      </w:r>
      <w:r w:rsidRPr="00281F51">
        <w:rPr>
          <w:rFonts w:ascii="Times New Roman" w:eastAsia="Times New Roman" w:hAnsi="Times New Roman" w:cs="Times New Roman"/>
          <w:lang w:val="en-US" w:eastAsia="en-AU"/>
        </w:rPr>
        <w:t xml:space="preserve">29.5 GHz, by </w:t>
      </w:r>
      <w:proofErr w:type="spellStart"/>
      <w:r w:rsidRPr="00281F51">
        <w:rPr>
          <w:rFonts w:ascii="Times New Roman" w:eastAsia="Times New Roman" w:hAnsi="Times New Roman" w:cs="Times New Roman"/>
          <w:lang w:val="en-US" w:eastAsia="en-AU"/>
        </w:rPr>
        <w:t>synchronising</w:t>
      </w:r>
      <w:proofErr w:type="spellEnd"/>
      <w:r w:rsidRPr="00281F51">
        <w:rPr>
          <w:rFonts w:ascii="Times New Roman" w:eastAsia="Times New Roman" w:hAnsi="Times New Roman" w:cs="Times New Roman"/>
          <w:lang w:val="en-US" w:eastAsia="en-AU"/>
        </w:rPr>
        <w:t xml:space="preserve"> operation of their device with the other </w:t>
      </w:r>
      <w:r w:rsidR="00672DB3" w:rsidRPr="00281F51">
        <w:rPr>
          <w:rFonts w:ascii="Times New Roman" w:eastAsia="Times New Roman" w:hAnsi="Times New Roman" w:cs="Times New Roman"/>
          <w:lang w:val="en-US" w:eastAsia="en-AU"/>
        </w:rPr>
        <w:t xml:space="preserve">(affected) </w:t>
      </w:r>
      <w:r w:rsidRPr="00281F51">
        <w:rPr>
          <w:rFonts w:ascii="Times New Roman" w:eastAsia="Times New Roman" w:hAnsi="Times New Roman" w:cs="Times New Roman"/>
          <w:lang w:val="en-US" w:eastAsia="en-AU"/>
        </w:rPr>
        <w:t>device in accordance with certain technical specifications (sample condition 1</w:t>
      </w:r>
      <w:r w:rsidR="005B69A7" w:rsidRPr="00281F51">
        <w:rPr>
          <w:rFonts w:ascii="Times New Roman" w:eastAsia="Times New Roman" w:hAnsi="Times New Roman" w:cs="Times New Roman"/>
          <w:lang w:val="en-US" w:eastAsia="en-AU"/>
        </w:rPr>
        <w:t>2</w:t>
      </w:r>
      <w:r w:rsidRPr="00281F51">
        <w:rPr>
          <w:rFonts w:ascii="Times New Roman" w:eastAsia="Times New Roman" w:hAnsi="Times New Roman" w:cs="Times New Roman"/>
          <w:lang w:val="en-US" w:eastAsia="en-AU"/>
        </w:rPr>
        <w:t>)</w:t>
      </w:r>
      <w:r w:rsidR="005B69A7" w:rsidRPr="00281F51">
        <w:rPr>
          <w:rFonts w:ascii="Times New Roman" w:eastAsia="Times New Roman" w:hAnsi="Times New Roman" w:cs="Times New Roman"/>
          <w:lang w:val="en-US" w:eastAsia="en-AU"/>
        </w:rPr>
        <w:t xml:space="preserve"> and within a defined time period, unless an alternative time period is agreed (sample condition 13)</w:t>
      </w:r>
      <w:r w:rsidRPr="00281F51">
        <w:rPr>
          <w:rFonts w:ascii="Times New Roman" w:eastAsia="Times New Roman" w:hAnsi="Times New Roman" w:cs="Times New Roman"/>
          <w:lang w:val="en-US" w:eastAsia="en-AU"/>
        </w:rPr>
        <w:t xml:space="preserve">; </w:t>
      </w:r>
    </w:p>
    <w:p w14:paraId="24BCD1E6" w14:textId="64F39079" w:rsidR="004124F4" w:rsidRPr="00AE6308" w:rsidRDefault="004124F4" w:rsidP="00281F51">
      <w:pPr>
        <w:pStyle w:val="ListParagraph"/>
        <w:numPr>
          <w:ilvl w:val="0"/>
          <w:numId w:val="24"/>
        </w:numPr>
        <w:spacing w:before="100" w:beforeAutospacing="1" w:line="240" w:lineRule="auto"/>
        <w:rPr>
          <w:rFonts w:ascii="Times New Roman" w:eastAsia="Times New Roman" w:hAnsi="Times New Roman" w:cs="Times New Roman"/>
          <w:lang w:val="en-US" w:eastAsia="en-AU"/>
        </w:rPr>
      </w:pPr>
      <w:r w:rsidRPr="00281F51">
        <w:rPr>
          <w:rFonts w:ascii="Times New Roman" w:eastAsia="Times New Roman" w:hAnsi="Times New Roman" w:cs="Times New Roman"/>
          <w:lang w:val="en-US" w:eastAsia="en-AU"/>
        </w:rPr>
        <w:t xml:space="preserve">a requirement to ensure the operation of any radiocommunications device under a spectrum licence does not interfere with the lawful operation </w:t>
      </w:r>
      <w:r w:rsidRPr="00AE6308">
        <w:rPr>
          <w:rFonts w:ascii="Times New Roman" w:eastAsia="Times New Roman" w:hAnsi="Times New Roman" w:cs="Times New Roman"/>
          <w:lang w:val="en-US" w:eastAsia="en-AU"/>
        </w:rPr>
        <w:t xml:space="preserve">of a device being operated within </w:t>
      </w:r>
      <w:r w:rsidR="006C1540" w:rsidRPr="00AE6308">
        <w:rPr>
          <w:rFonts w:ascii="Times New Roman" w:eastAsia="Times New Roman" w:hAnsi="Times New Roman" w:cs="Times New Roman"/>
          <w:lang w:val="en-US" w:eastAsia="en-AU"/>
        </w:rPr>
        <w:t>a</w:t>
      </w:r>
      <w:r w:rsidRPr="00AE6308">
        <w:rPr>
          <w:rFonts w:ascii="Times New Roman" w:eastAsia="Times New Roman" w:hAnsi="Times New Roman" w:cs="Times New Roman"/>
          <w:lang w:val="en-US" w:eastAsia="en-AU"/>
        </w:rPr>
        <w:t xml:space="preserve"> re-allocation </w:t>
      </w:r>
      <w:r w:rsidR="006C1540" w:rsidRPr="00AE6308">
        <w:rPr>
          <w:rFonts w:ascii="Times New Roman" w:eastAsia="Times New Roman" w:hAnsi="Times New Roman" w:cs="Times New Roman"/>
          <w:lang w:val="en-US" w:eastAsia="en-AU"/>
        </w:rPr>
        <w:t>area</w:t>
      </w:r>
      <w:r w:rsidRPr="00AE6308">
        <w:rPr>
          <w:rFonts w:ascii="Times New Roman" w:eastAsia="Times New Roman" w:hAnsi="Times New Roman" w:cs="Times New Roman"/>
          <w:lang w:val="en-US" w:eastAsia="en-AU"/>
        </w:rPr>
        <w:t xml:space="preserve"> under an apparatus licence (sample condition </w:t>
      </w:r>
      <w:r w:rsidR="003B6A28" w:rsidRPr="00AE6308">
        <w:rPr>
          <w:rFonts w:ascii="Times New Roman" w:eastAsia="Times New Roman" w:hAnsi="Times New Roman" w:cs="Times New Roman"/>
          <w:lang w:val="en-US" w:eastAsia="en-AU"/>
        </w:rPr>
        <w:t>14</w:t>
      </w:r>
      <w:proofErr w:type="gramStart"/>
      <w:r w:rsidRPr="00AE6308">
        <w:rPr>
          <w:rFonts w:ascii="Times New Roman" w:eastAsia="Times New Roman" w:hAnsi="Times New Roman" w:cs="Times New Roman"/>
          <w:lang w:val="en-US" w:eastAsia="en-AU"/>
        </w:rPr>
        <w:t>)</w:t>
      </w:r>
      <w:r w:rsidR="00993C87" w:rsidRPr="00AE6308">
        <w:rPr>
          <w:rFonts w:ascii="Times New Roman" w:eastAsia="Times New Roman" w:hAnsi="Times New Roman" w:cs="Times New Roman"/>
          <w:lang w:val="en-US" w:eastAsia="en-AU"/>
        </w:rPr>
        <w:t>;</w:t>
      </w:r>
      <w:proofErr w:type="gramEnd"/>
    </w:p>
    <w:p w14:paraId="4B90A9C1" w14:textId="52C285CD" w:rsidR="000718E1" w:rsidRPr="00AE6308" w:rsidRDefault="000518AF" w:rsidP="00ED503C">
      <w:pPr>
        <w:pStyle w:val="ListParagraph"/>
        <w:numPr>
          <w:ilvl w:val="0"/>
          <w:numId w:val="24"/>
        </w:numPr>
        <w:shd w:val="clear" w:color="auto" w:fill="FFFFFF"/>
        <w:spacing w:before="100" w:beforeAutospacing="1" w:line="240" w:lineRule="auto"/>
        <w:rPr>
          <w:rFonts w:ascii="Times New Roman" w:eastAsia="Times New Roman" w:hAnsi="Times New Roman" w:cs="Times New Roman"/>
          <w:lang w:val="en-US" w:eastAsia="en-AU"/>
        </w:rPr>
      </w:pPr>
      <w:r w:rsidRPr="00AE6308">
        <w:rPr>
          <w:rFonts w:ascii="Times New Roman" w:eastAsia="Times New Roman" w:hAnsi="Times New Roman" w:cs="Times New Roman"/>
          <w:lang w:val="en-US" w:eastAsia="en-AU"/>
        </w:rPr>
        <w:t>where the winning bidder for a licence has elected</w:t>
      </w:r>
      <w:r w:rsidR="000718E1" w:rsidRPr="00AE6308">
        <w:rPr>
          <w:rFonts w:ascii="Times New Roman" w:eastAsia="Times New Roman" w:hAnsi="Times New Roman" w:cs="Times New Roman"/>
          <w:lang w:val="en-US" w:eastAsia="en-AU"/>
        </w:rPr>
        <w:t xml:space="preserve"> to pay</w:t>
      </w:r>
      <w:r w:rsidRPr="00AE6308">
        <w:rPr>
          <w:rFonts w:ascii="Times New Roman" w:eastAsia="Times New Roman" w:hAnsi="Times New Roman" w:cs="Times New Roman"/>
          <w:lang w:val="en-US" w:eastAsia="en-AU"/>
        </w:rPr>
        <w:t xml:space="preserve"> the</w:t>
      </w:r>
      <w:r w:rsidR="000718E1" w:rsidRPr="00AE6308">
        <w:rPr>
          <w:rFonts w:ascii="Times New Roman" w:eastAsia="Times New Roman" w:hAnsi="Times New Roman" w:cs="Times New Roman"/>
          <w:lang w:val="en-US" w:eastAsia="en-AU"/>
        </w:rPr>
        <w:t xml:space="preserve"> spectrum access charge </w:t>
      </w:r>
      <w:r w:rsidRPr="00AE6308">
        <w:rPr>
          <w:rFonts w:ascii="Times New Roman" w:eastAsia="Times New Roman" w:hAnsi="Times New Roman" w:cs="Times New Roman"/>
          <w:lang w:val="en-US" w:eastAsia="en-AU"/>
        </w:rPr>
        <w:t>in</w:t>
      </w:r>
      <w:r w:rsidR="000718E1" w:rsidRPr="00AE6308">
        <w:rPr>
          <w:rFonts w:ascii="Times New Roman" w:eastAsia="Times New Roman" w:hAnsi="Times New Roman" w:cs="Times New Roman"/>
          <w:lang w:val="en-US" w:eastAsia="en-AU"/>
        </w:rPr>
        <w:t xml:space="preserve"> instalments</w:t>
      </w:r>
      <w:r w:rsidRPr="00AE6308">
        <w:rPr>
          <w:rFonts w:ascii="Times New Roman" w:eastAsia="Times New Roman" w:hAnsi="Times New Roman" w:cs="Times New Roman"/>
          <w:lang w:val="en-US" w:eastAsia="en-AU"/>
        </w:rPr>
        <w:t>, a requirement</w:t>
      </w:r>
      <w:r w:rsidR="000718E1" w:rsidRPr="00AE6308">
        <w:rPr>
          <w:rFonts w:ascii="Times New Roman" w:eastAsia="Times New Roman" w:hAnsi="Times New Roman" w:cs="Times New Roman"/>
          <w:lang w:val="en-US" w:eastAsia="en-AU"/>
        </w:rPr>
        <w:t xml:space="preserve"> to ensure that the</w:t>
      </w:r>
      <w:r w:rsidR="00993C87" w:rsidRPr="00AE6308">
        <w:rPr>
          <w:rFonts w:ascii="Times New Roman" w:eastAsia="Times New Roman" w:hAnsi="Times New Roman" w:cs="Times New Roman"/>
          <w:lang w:val="en-US" w:eastAsia="en-AU"/>
        </w:rPr>
        <w:t>re is a</w:t>
      </w:r>
      <w:r w:rsidR="000718E1" w:rsidRPr="00AE6308" w:rsidDel="00993C87">
        <w:rPr>
          <w:rFonts w:ascii="Times New Roman" w:eastAsia="Times New Roman" w:hAnsi="Times New Roman" w:cs="Times New Roman"/>
          <w:lang w:val="en-US" w:eastAsia="en-AU"/>
        </w:rPr>
        <w:t xml:space="preserve"> </w:t>
      </w:r>
      <w:r w:rsidR="000718E1" w:rsidRPr="00AE6308">
        <w:rPr>
          <w:rFonts w:ascii="Times New Roman" w:eastAsia="Times New Roman" w:hAnsi="Times New Roman" w:cs="Times New Roman"/>
          <w:lang w:val="en-US" w:eastAsia="en-AU"/>
        </w:rPr>
        <w:t xml:space="preserve">bank guarantee in force </w:t>
      </w:r>
      <w:r w:rsidR="00993C87" w:rsidRPr="00AE6308">
        <w:rPr>
          <w:rFonts w:ascii="Times New Roman" w:eastAsia="Times New Roman" w:hAnsi="Times New Roman" w:cs="Times New Roman"/>
          <w:lang w:val="en-US" w:eastAsia="en-AU"/>
        </w:rPr>
        <w:t>securing part of the outstanding instalments</w:t>
      </w:r>
      <w:r w:rsidR="000718E1" w:rsidRPr="00AE6308">
        <w:rPr>
          <w:rFonts w:ascii="Times New Roman" w:eastAsia="Times New Roman" w:hAnsi="Times New Roman" w:cs="Times New Roman"/>
          <w:lang w:val="en-US" w:eastAsia="en-AU"/>
        </w:rPr>
        <w:t xml:space="preserve"> (</w:t>
      </w:r>
      <w:r w:rsidR="003F62CF" w:rsidRPr="00AE6308">
        <w:rPr>
          <w:rFonts w:ascii="Times New Roman" w:eastAsia="Times New Roman" w:hAnsi="Times New Roman" w:cs="Times New Roman"/>
          <w:lang w:val="en-US" w:eastAsia="en-AU"/>
        </w:rPr>
        <w:t xml:space="preserve">sample </w:t>
      </w:r>
      <w:r w:rsidR="000718E1" w:rsidRPr="00AE6308">
        <w:rPr>
          <w:rFonts w:ascii="Times New Roman" w:eastAsia="Times New Roman" w:hAnsi="Times New Roman" w:cs="Times New Roman"/>
          <w:lang w:val="en-US" w:eastAsia="en-AU"/>
        </w:rPr>
        <w:t>condition</w:t>
      </w:r>
      <w:r w:rsidR="004A5AA8" w:rsidRPr="00AE6308">
        <w:rPr>
          <w:rFonts w:ascii="Times New Roman" w:eastAsia="Times New Roman" w:hAnsi="Times New Roman" w:cs="Times New Roman"/>
          <w:lang w:val="en-US" w:eastAsia="en-AU"/>
        </w:rPr>
        <w:t>s</w:t>
      </w:r>
      <w:r w:rsidR="000718E1" w:rsidRPr="00AE6308">
        <w:rPr>
          <w:rFonts w:ascii="Times New Roman" w:eastAsia="Times New Roman" w:hAnsi="Times New Roman" w:cs="Times New Roman"/>
          <w:lang w:val="en-US" w:eastAsia="en-AU"/>
        </w:rPr>
        <w:t xml:space="preserve"> 15</w:t>
      </w:r>
      <w:r w:rsidR="004A5AA8" w:rsidRPr="00AE6308">
        <w:rPr>
          <w:rFonts w:ascii="Times New Roman" w:eastAsia="Times New Roman" w:hAnsi="Times New Roman" w:cs="Times New Roman"/>
          <w:lang w:val="en-US" w:eastAsia="en-AU"/>
        </w:rPr>
        <w:t xml:space="preserve"> </w:t>
      </w:r>
      <w:r w:rsidR="000C312A" w:rsidRPr="00AE6308">
        <w:rPr>
          <w:rFonts w:ascii="Times New Roman" w:eastAsia="Times New Roman" w:hAnsi="Times New Roman" w:cs="Times New Roman"/>
          <w:lang w:val="en-US" w:eastAsia="en-AU"/>
        </w:rPr>
        <w:t>to</w:t>
      </w:r>
      <w:r w:rsidR="004A5AA8" w:rsidRPr="00AE6308">
        <w:rPr>
          <w:rFonts w:ascii="Times New Roman" w:eastAsia="Times New Roman" w:hAnsi="Times New Roman" w:cs="Times New Roman"/>
          <w:lang w:val="en-US" w:eastAsia="en-AU"/>
        </w:rPr>
        <w:t xml:space="preserve"> </w:t>
      </w:r>
      <w:r w:rsidR="000C312A" w:rsidRPr="00AE6308">
        <w:rPr>
          <w:rFonts w:ascii="Times New Roman" w:eastAsia="Times New Roman" w:hAnsi="Times New Roman" w:cs="Times New Roman"/>
          <w:lang w:val="en-US" w:eastAsia="en-AU"/>
        </w:rPr>
        <w:t>17</w:t>
      </w:r>
      <w:r w:rsidR="000718E1" w:rsidRPr="00AE6308">
        <w:rPr>
          <w:rFonts w:ascii="Times New Roman" w:eastAsia="Times New Roman" w:hAnsi="Times New Roman" w:cs="Times New Roman"/>
          <w:lang w:val="en-US" w:eastAsia="en-AU"/>
        </w:rPr>
        <w:t>).</w:t>
      </w:r>
    </w:p>
    <w:p w14:paraId="29BD8113" w14:textId="2EABFEA0" w:rsidR="004124F4" w:rsidRPr="00E15E1D" w:rsidRDefault="004124F4" w:rsidP="00281F51">
      <w:pPr>
        <w:shd w:val="clear" w:color="auto" w:fill="FFFFFF"/>
        <w:spacing w:before="120" w:line="240" w:lineRule="auto"/>
        <w:rPr>
          <w:rFonts w:ascii="Times New Roman" w:hAnsi="Times New Roman" w:cs="Times New Roman"/>
        </w:rPr>
      </w:pPr>
      <w:r w:rsidRPr="00AE6308">
        <w:rPr>
          <w:rFonts w:ascii="Times New Roman" w:eastAsia="Times New Roman" w:hAnsi="Times New Roman" w:cs="Times New Roman"/>
          <w:lang w:eastAsia="en-AU"/>
        </w:rPr>
        <w:t>Sample condition 1</w:t>
      </w:r>
      <w:r w:rsidR="00631DC0" w:rsidRPr="00AE6308">
        <w:rPr>
          <w:rFonts w:ascii="Times New Roman" w:eastAsia="Times New Roman" w:hAnsi="Times New Roman" w:cs="Times New Roman"/>
          <w:lang w:eastAsia="en-AU"/>
        </w:rPr>
        <w:t>2</w:t>
      </w:r>
      <w:r w:rsidRPr="00AE6308">
        <w:rPr>
          <w:rFonts w:ascii="Times New Roman" w:eastAsia="Times New Roman" w:hAnsi="Times New Roman" w:cs="Times New Roman"/>
          <w:lang w:eastAsia="en-AU"/>
        </w:rPr>
        <w:t xml:space="preserve"> sets out a process for managing interference between licensees if they cannot agree to a resolution between themselves. Broadly</w:t>
      </w:r>
      <w:r w:rsidR="00E12AE0">
        <w:rPr>
          <w:rFonts w:ascii="Times New Roman" w:eastAsia="Times New Roman" w:hAnsi="Times New Roman" w:cs="Times New Roman"/>
          <w:lang w:eastAsia="en-AU"/>
        </w:rPr>
        <w:t>,</w:t>
      </w:r>
      <w:r w:rsidRPr="00AE6308">
        <w:rPr>
          <w:rFonts w:ascii="Times New Roman" w:eastAsia="Times New Roman" w:hAnsi="Times New Roman" w:cs="Times New Roman"/>
          <w:lang w:eastAsia="en-AU"/>
        </w:rPr>
        <w:t xml:space="preserve"> this involves a requirement</w:t>
      </w:r>
      <w:r w:rsidRPr="00281F51">
        <w:rPr>
          <w:rFonts w:ascii="Times New Roman" w:eastAsia="Times New Roman" w:hAnsi="Times New Roman" w:cs="Times New Roman"/>
          <w:lang w:eastAsia="en-AU"/>
        </w:rPr>
        <w:t xml:space="preserve"> to ensure the relevant device uses a particular </w:t>
      </w:r>
      <w:r w:rsidR="00312690" w:rsidRPr="00281F51">
        <w:rPr>
          <w:rFonts w:ascii="Times New Roman" w:eastAsia="Times New Roman" w:hAnsi="Times New Roman" w:cs="Times New Roman"/>
          <w:lang w:eastAsia="en-AU"/>
        </w:rPr>
        <w:t xml:space="preserve">uplink-downlink </w:t>
      </w:r>
      <w:r w:rsidR="00D24AB5" w:rsidRPr="00281F51">
        <w:rPr>
          <w:rFonts w:ascii="Times New Roman" w:eastAsia="Times New Roman" w:hAnsi="Times New Roman" w:cs="Times New Roman"/>
          <w:lang w:eastAsia="en-AU"/>
        </w:rPr>
        <w:t xml:space="preserve">time division duplex </w:t>
      </w:r>
      <w:r w:rsidR="00312690" w:rsidRPr="00281F51">
        <w:rPr>
          <w:rFonts w:ascii="Times New Roman" w:eastAsia="Times New Roman" w:hAnsi="Times New Roman" w:cs="Times New Roman"/>
          <w:lang w:eastAsia="en-AU"/>
        </w:rPr>
        <w:t>configuration</w:t>
      </w:r>
      <w:r w:rsidRPr="00281F51">
        <w:rPr>
          <w:rFonts w:ascii="Times New Roman" w:eastAsia="Times New Roman" w:hAnsi="Times New Roman" w:cs="Times New Roman"/>
          <w:lang w:eastAsia="en-AU"/>
        </w:rPr>
        <w:t xml:space="preserve"> and that the timing of th</w:t>
      </w:r>
      <w:r w:rsidR="009B025F" w:rsidRPr="00281F51">
        <w:rPr>
          <w:rFonts w:ascii="Times New Roman" w:eastAsia="Times New Roman" w:hAnsi="Times New Roman" w:cs="Times New Roman"/>
          <w:lang w:eastAsia="en-AU"/>
        </w:rPr>
        <w:t>at configuration</w:t>
      </w:r>
      <w:r w:rsidRPr="00281F51">
        <w:rPr>
          <w:rFonts w:ascii="Times New Roman" w:eastAsia="Times New Roman" w:hAnsi="Times New Roman" w:cs="Times New Roman"/>
          <w:lang w:eastAsia="en-AU"/>
        </w:rPr>
        <w:t xml:space="preserve"> is aligned with each of the other devices.</w:t>
      </w:r>
      <w:r w:rsidRPr="00360598">
        <w:rPr>
          <w:rFonts w:ascii="Times New Roman" w:eastAsia="Times New Roman" w:hAnsi="Times New Roman" w:cs="Times New Roman"/>
          <w:lang w:eastAsia="en-AU"/>
        </w:rPr>
        <w:t xml:space="preserve"> </w:t>
      </w:r>
    </w:p>
    <w:p w14:paraId="6B58753C" w14:textId="187C984F" w:rsidR="00DF35A5" w:rsidRPr="00DF35A5" w:rsidRDefault="00DF35A5" w:rsidP="00DF35A5">
      <w:pPr>
        <w:rPr>
          <w:rFonts w:ascii="Times New Roman" w:hAnsi="Times New Roman" w:cs="Times New Roman"/>
          <w:b/>
          <w:bCs/>
        </w:rPr>
      </w:pPr>
      <w:r w:rsidRPr="00DF35A5">
        <w:rPr>
          <w:rFonts w:ascii="Times New Roman" w:hAnsi="Times New Roman" w:cs="Times New Roman"/>
          <w:b/>
          <w:bCs/>
        </w:rPr>
        <w:t>Licence Schedule 5    Licence Notes</w:t>
      </w:r>
    </w:p>
    <w:p w14:paraId="458AF617" w14:textId="58E8DE17" w:rsidR="00025ACE" w:rsidRPr="00AE6308" w:rsidRDefault="00DF35A5" w:rsidP="00BA04BA">
      <w:pPr>
        <w:rPr>
          <w:rFonts w:ascii="Times New Roman" w:hAnsi="Times New Roman" w:cs="Times New Roman"/>
        </w:rPr>
      </w:pPr>
      <w:r w:rsidRPr="00DF35A5">
        <w:rPr>
          <w:rFonts w:ascii="Times New Roman" w:hAnsi="Times New Roman" w:cs="Times New Roman"/>
        </w:rPr>
        <w:t xml:space="preserve">Example licence notes are included in the sample licence for the purposes of clarification and guidance on the use </w:t>
      </w:r>
      <w:r w:rsidR="00E12AE0">
        <w:rPr>
          <w:rFonts w:ascii="Times New Roman" w:hAnsi="Times New Roman" w:cs="Times New Roman"/>
        </w:rPr>
        <w:t xml:space="preserve">and features </w:t>
      </w:r>
      <w:r w:rsidRPr="00DF35A5">
        <w:rPr>
          <w:rFonts w:ascii="Times New Roman" w:hAnsi="Times New Roman" w:cs="Times New Roman"/>
        </w:rPr>
        <w:t>of the spectrum licence.</w:t>
      </w:r>
    </w:p>
    <w:sectPr w:rsidR="00025ACE" w:rsidRPr="00AE6308" w:rsidSect="00082354">
      <w:headerReference w:type="default" r:id="rId24"/>
      <w:footerReference w:type="defaul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79B39" w14:textId="77777777" w:rsidR="00196942" w:rsidRDefault="00196942" w:rsidP="00025ACE">
      <w:pPr>
        <w:spacing w:after="0" w:line="240" w:lineRule="auto"/>
      </w:pPr>
      <w:r>
        <w:separator/>
      </w:r>
    </w:p>
  </w:endnote>
  <w:endnote w:type="continuationSeparator" w:id="0">
    <w:p w14:paraId="7E71A0B8" w14:textId="77777777" w:rsidR="00196942" w:rsidRDefault="00196942" w:rsidP="00025ACE">
      <w:pPr>
        <w:spacing w:after="0" w:line="240" w:lineRule="auto"/>
      </w:pPr>
      <w:r>
        <w:continuationSeparator/>
      </w:r>
    </w:p>
  </w:endnote>
  <w:endnote w:type="continuationNotice" w:id="1">
    <w:p w14:paraId="08A428BB" w14:textId="77777777" w:rsidR="00196942" w:rsidRDefault="00196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710804"/>
      <w:docPartObj>
        <w:docPartGallery w:val="Page Numbers (Bottom of Page)"/>
        <w:docPartUnique/>
      </w:docPartObj>
    </w:sdtPr>
    <w:sdtEndPr>
      <w:rPr>
        <w:i/>
        <w:noProof/>
      </w:rPr>
    </w:sdtEndPr>
    <w:sdtContent>
      <w:p w14:paraId="7A9CDA51" w14:textId="38A52A60" w:rsidR="008A0A93" w:rsidRPr="00AD3414" w:rsidRDefault="008A0A93" w:rsidP="00634065">
        <w:pPr>
          <w:pStyle w:val="Footer"/>
          <w:pBdr>
            <w:top w:val="single" w:sz="4" w:space="1" w:color="auto"/>
          </w:pBd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634065">
          <w:rPr>
            <w:rFonts w:ascii="Times New Roman" w:hAnsi="Times New Roman" w:cs="Times New Roman"/>
          </w:rPr>
          <w:br/>
        </w:r>
        <w:r>
          <w:rPr>
            <w:rFonts w:ascii="Times New Roman" w:hAnsi="Times New Roman" w:cs="Times New Roman"/>
            <w:i/>
          </w:rPr>
          <w:t>Radiocommunications Spectrum Marketing Plan (26 GHz Band) 2020</w:t>
        </w:r>
      </w:p>
      <w:p w14:paraId="556B0C98" w14:textId="77777777" w:rsidR="008A0A93" w:rsidRDefault="008A0A93">
        <w:pPr>
          <w:pStyle w:val="Footer"/>
          <w:jc w:val="right"/>
        </w:pPr>
      </w:p>
      <w:p w14:paraId="4E36910F" w14:textId="06CF02C2" w:rsidR="008A0A93" w:rsidRPr="00AD3414" w:rsidRDefault="008A0A93">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DAB8D" w14:textId="77777777" w:rsidR="00196942" w:rsidRDefault="00196942" w:rsidP="00025ACE">
      <w:pPr>
        <w:spacing w:after="0" w:line="240" w:lineRule="auto"/>
      </w:pPr>
      <w:r>
        <w:separator/>
      </w:r>
    </w:p>
  </w:footnote>
  <w:footnote w:type="continuationSeparator" w:id="0">
    <w:p w14:paraId="4FB4154F" w14:textId="77777777" w:rsidR="00196942" w:rsidRDefault="00196942" w:rsidP="00025ACE">
      <w:pPr>
        <w:spacing w:after="0" w:line="240" w:lineRule="auto"/>
      </w:pPr>
      <w:r>
        <w:continuationSeparator/>
      </w:r>
    </w:p>
  </w:footnote>
  <w:footnote w:type="continuationNotice" w:id="1">
    <w:p w14:paraId="51721D8B" w14:textId="77777777" w:rsidR="00196942" w:rsidRDefault="00196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4CED" w14:textId="77777777" w:rsidR="008A0A93" w:rsidRDefault="008A0A93">
    <w:pPr>
      <w:pStyle w:val="Header"/>
    </w:pPr>
  </w:p>
  <w:p w14:paraId="1FE48E17" w14:textId="77777777" w:rsidR="008A0A93" w:rsidRPr="00AD3414" w:rsidRDefault="008A0A9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F670C"/>
    <w:multiLevelType w:val="hybridMultilevel"/>
    <w:tmpl w:val="C464A31C"/>
    <w:lvl w:ilvl="0" w:tplc="410A89E0">
      <w:numFmt w:val="bullet"/>
      <w:lvlText w:val=""/>
      <w:lvlJc w:val="left"/>
      <w:pPr>
        <w:ind w:left="720" w:hanging="360"/>
      </w:pPr>
      <w:rPr>
        <w:rFonts w:ascii="Symbol" w:eastAsiaTheme="minorHAnsi" w:hAnsi="Symbol" w:cs="Times New Roman" w:hint="default"/>
      </w:rPr>
    </w:lvl>
    <w:lvl w:ilvl="1" w:tplc="0966D12E">
      <w:numFmt w:val="bullet"/>
      <w:lvlText w:val=""/>
      <w:lvlJc w:val="left"/>
      <w:pPr>
        <w:ind w:left="1800" w:hanging="720"/>
      </w:pPr>
      <w:rPr>
        <w:rFonts w:ascii="Wingdings" w:eastAsiaTheme="minorHAnsi" w:hAnsi="Wingdings"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C6841"/>
    <w:multiLevelType w:val="hybridMultilevel"/>
    <w:tmpl w:val="7E786A02"/>
    <w:lvl w:ilvl="0" w:tplc="99F86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137678"/>
    <w:multiLevelType w:val="hybridMultilevel"/>
    <w:tmpl w:val="7CAC2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E3814"/>
    <w:multiLevelType w:val="hybridMultilevel"/>
    <w:tmpl w:val="7E786A02"/>
    <w:lvl w:ilvl="0" w:tplc="99F86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970CC9"/>
    <w:multiLevelType w:val="hybridMultilevel"/>
    <w:tmpl w:val="38AEFE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F16FA8"/>
    <w:multiLevelType w:val="hybridMultilevel"/>
    <w:tmpl w:val="C4800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BF6D9C"/>
    <w:multiLevelType w:val="hybridMultilevel"/>
    <w:tmpl w:val="876EE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FD75F5"/>
    <w:multiLevelType w:val="hybridMultilevel"/>
    <w:tmpl w:val="2A5ED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8562FB"/>
    <w:multiLevelType w:val="hybridMultilevel"/>
    <w:tmpl w:val="204A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D31EF6"/>
    <w:multiLevelType w:val="hybridMultilevel"/>
    <w:tmpl w:val="E852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4A6295"/>
    <w:multiLevelType w:val="hybridMultilevel"/>
    <w:tmpl w:val="5B820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D30B5E"/>
    <w:multiLevelType w:val="hybridMultilevel"/>
    <w:tmpl w:val="9886B55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6B113F44"/>
    <w:multiLevelType w:val="hybridMultilevel"/>
    <w:tmpl w:val="8C88D8E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1" w15:restartNumberingAfterBreak="0">
    <w:nsid w:val="796E5078"/>
    <w:multiLevelType w:val="hybridMultilevel"/>
    <w:tmpl w:val="C5C6D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270BDD"/>
    <w:multiLevelType w:val="hybridMultilevel"/>
    <w:tmpl w:val="83641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3A46B1"/>
    <w:multiLevelType w:val="hybridMultilevel"/>
    <w:tmpl w:val="68D65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4" w15:restartNumberingAfterBreak="0">
    <w:nsid w:val="7A7958C6"/>
    <w:multiLevelType w:val="hybridMultilevel"/>
    <w:tmpl w:val="F318A0CC"/>
    <w:lvl w:ilvl="0" w:tplc="3A4CC39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712F8A"/>
    <w:multiLevelType w:val="hybridMultilevel"/>
    <w:tmpl w:val="1A7A3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3"/>
  </w:num>
  <w:num w:numId="4">
    <w:abstractNumId w:val="12"/>
  </w:num>
  <w:num w:numId="5">
    <w:abstractNumId w:val="11"/>
  </w:num>
  <w:num w:numId="6">
    <w:abstractNumId w:val="1"/>
  </w:num>
  <w:num w:numId="7">
    <w:abstractNumId w:val="10"/>
  </w:num>
  <w:num w:numId="8">
    <w:abstractNumId w:val="16"/>
  </w:num>
  <w:num w:numId="9">
    <w:abstractNumId w:val="3"/>
  </w:num>
  <w:num w:numId="10">
    <w:abstractNumId w:val="10"/>
  </w:num>
  <w:num w:numId="11">
    <w:abstractNumId w:val="12"/>
  </w:num>
  <w:num w:numId="12">
    <w:abstractNumId w:val="11"/>
  </w:num>
  <w:num w:numId="13">
    <w:abstractNumId w:val="16"/>
  </w:num>
  <w:num w:numId="14">
    <w:abstractNumId w:val="3"/>
  </w:num>
  <w:num w:numId="15">
    <w:abstractNumId w:val="10"/>
  </w:num>
  <w:num w:numId="16">
    <w:abstractNumId w:val="12"/>
  </w:num>
  <w:num w:numId="17">
    <w:abstractNumId w:val="11"/>
  </w:num>
  <w:num w:numId="18">
    <w:abstractNumId w:val="5"/>
  </w:num>
  <w:num w:numId="19">
    <w:abstractNumId w:val="0"/>
  </w:num>
  <w:num w:numId="20">
    <w:abstractNumId w:val="7"/>
  </w:num>
  <w:num w:numId="21">
    <w:abstractNumId w:val="6"/>
  </w:num>
  <w:num w:numId="22">
    <w:abstractNumId w:val="24"/>
  </w:num>
  <w:num w:numId="23">
    <w:abstractNumId w:val="19"/>
  </w:num>
  <w:num w:numId="24">
    <w:abstractNumId w:val="23"/>
  </w:num>
  <w:num w:numId="25">
    <w:abstractNumId w:val="18"/>
  </w:num>
  <w:num w:numId="26">
    <w:abstractNumId w:val="13"/>
  </w:num>
  <w:num w:numId="27">
    <w:abstractNumId w:val="22"/>
  </w:num>
  <w:num w:numId="28">
    <w:abstractNumId w:val="9"/>
  </w:num>
  <w:num w:numId="29">
    <w:abstractNumId w:val="19"/>
  </w:num>
  <w:num w:numId="30">
    <w:abstractNumId w:val="21"/>
  </w:num>
  <w:num w:numId="31">
    <w:abstractNumId w:val="20"/>
  </w:num>
  <w:num w:numId="32">
    <w:abstractNumId w:val="14"/>
  </w:num>
  <w:num w:numId="33">
    <w:abstractNumId w:val="4"/>
  </w:num>
  <w:num w:numId="34">
    <w:abstractNumId w:val="16"/>
  </w:num>
  <w:num w:numId="35">
    <w:abstractNumId w:val="17"/>
  </w:num>
  <w:num w:numId="36">
    <w:abstractNumId w:val="2"/>
  </w:num>
  <w:num w:numId="37">
    <w:abstractNumId w:val="2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38D"/>
    <w:rsid w:val="00002640"/>
    <w:rsid w:val="00003720"/>
    <w:rsid w:val="00005CE2"/>
    <w:rsid w:val="000124F9"/>
    <w:rsid w:val="00012EB2"/>
    <w:rsid w:val="00013079"/>
    <w:rsid w:val="00014D58"/>
    <w:rsid w:val="00016B42"/>
    <w:rsid w:val="00022EBA"/>
    <w:rsid w:val="0002433E"/>
    <w:rsid w:val="00025A7D"/>
    <w:rsid w:val="00025ACE"/>
    <w:rsid w:val="00030676"/>
    <w:rsid w:val="00033059"/>
    <w:rsid w:val="000337D2"/>
    <w:rsid w:val="00034EFC"/>
    <w:rsid w:val="00035D03"/>
    <w:rsid w:val="0003705C"/>
    <w:rsid w:val="00037D3E"/>
    <w:rsid w:val="00037F0E"/>
    <w:rsid w:val="00042C3E"/>
    <w:rsid w:val="00043F58"/>
    <w:rsid w:val="00050109"/>
    <w:rsid w:val="0005141D"/>
    <w:rsid w:val="000518AF"/>
    <w:rsid w:val="00052862"/>
    <w:rsid w:val="000541F7"/>
    <w:rsid w:val="000553D1"/>
    <w:rsid w:val="000562F3"/>
    <w:rsid w:val="0005710C"/>
    <w:rsid w:val="0005759E"/>
    <w:rsid w:val="000611CC"/>
    <w:rsid w:val="00062403"/>
    <w:rsid w:val="0006547B"/>
    <w:rsid w:val="00066BF7"/>
    <w:rsid w:val="00070A12"/>
    <w:rsid w:val="00070D91"/>
    <w:rsid w:val="0007105E"/>
    <w:rsid w:val="000718E1"/>
    <w:rsid w:val="000726C7"/>
    <w:rsid w:val="00073557"/>
    <w:rsid w:val="00074A8D"/>
    <w:rsid w:val="00075777"/>
    <w:rsid w:val="0007791F"/>
    <w:rsid w:val="00082354"/>
    <w:rsid w:val="00082F0D"/>
    <w:rsid w:val="00085CCB"/>
    <w:rsid w:val="00085CE2"/>
    <w:rsid w:val="00087C6C"/>
    <w:rsid w:val="0009031D"/>
    <w:rsid w:val="00091A58"/>
    <w:rsid w:val="00091B3F"/>
    <w:rsid w:val="000922CA"/>
    <w:rsid w:val="00093689"/>
    <w:rsid w:val="000949C5"/>
    <w:rsid w:val="00094A67"/>
    <w:rsid w:val="00095AB3"/>
    <w:rsid w:val="00097D42"/>
    <w:rsid w:val="000A3A94"/>
    <w:rsid w:val="000A66E0"/>
    <w:rsid w:val="000A6DC3"/>
    <w:rsid w:val="000A7C0C"/>
    <w:rsid w:val="000B0BA7"/>
    <w:rsid w:val="000B1159"/>
    <w:rsid w:val="000B1583"/>
    <w:rsid w:val="000B33B6"/>
    <w:rsid w:val="000B363E"/>
    <w:rsid w:val="000B4935"/>
    <w:rsid w:val="000B4B6C"/>
    <w:rsid w:val="000B5C69"/>
    <w:rsid w:val="000C312A"/>
    <w:rsid w:val="000C6436"/>
    <w:rsid w:val="000D08C0"/>
    <w:rsid w:val="000D0B9D"/>
    <w:rsid w:val="000D4ECE"/>
    <w:rsid w:val="000D59DE"/>
    <w:rsid w:val="000E2E3E"/>
    <w:rsid w:val="000E38C9"/>
    <w:rsid w:val="000E4091"/>
    <w:rsid w:val="000E6F58"/>
    <w:rsid w:val="000E7A6F"/>
    <w:rsid w:val="000F159C"/>
    <w:rsid w:val="000F2624"/>
    <w:rsid w:val="000F3F43"/>
    <w:rsid w:val="000F564F"/>
    <w:rsid w:val="000F57D0"/>
    <w:rsid w:val="000F6255"/>
    <w:rsid w:val="000F743D"/>
    <w:rsid w:val="00100AC9"/>
    <w:rsid w:val="00104130"/>
    <w:rsid w:val="00110879"/>
    <w:rsid w:val="00110FCE"/>
    <w:rsid w:val="00111BBA"/>
    <w:rsid w:val="00112987"/>
    <w:rsid w:val="00117351"/>
    <w:rsid w:val="00121B9E"/>
    <w:rsid w:val="00122072"/>
    <w:rsid w:val="00123B98"/>
    <w:rsid w:val="00124EEE"/>
    <w:rsid w:val="00127AE9"/>
    <w:rsid w:val="00134705"/>
    <w:rsid w:val="00135340"/>
    <w:rsid w:val="00136F2C"/>
    <w:rsid w:val="00146A0C"/>
    <w:rsid w:val="00147F94"/>
    <w:rsid w:val="00152585"/>
    <w:rsid w:val="00161C73"/>
    <w:rsid w:val="001649B1"/>
    <w:rsid w:val="00164A7B"/>
    <w:rsid w:val="00164B1A"/>
    <w:rsid w:val="001714A1"/>
    <w:rsid w:val="0017469B"/>
    <w:rsid w:val="00183054"/>
    <w:rsid w:val="001833A0"/>
    <w:rsid w:val="001837C5"/>
    <w:rsid w:val="00185AE7"/>
    <w:rsid w:val="00185B68"/>
    <w:rsid w:val="00185BDC"/>
    <w:rsid w:val="001940EE"/>
    <w:rsid w:val="001961F8"/>
    <w:rsid w:val="001963FD"/>
    <w:rsid w:val="00196942"/>
    <w:rsid w:val="00196F63"/>
    <w:rsid w:val="00197B6F"/>
    <w:rsid w:val="001A0F38"/>
    <w:rsid w:val="001A3B28"/>
    <w:rsid w:val="001A5640"/>
    <w:rsid w:val="001A69A4"/>
    <w:rsid w:val="001B17D4"/>
    <w:rsid w:val="001B4745"/>
    <w:rsid w:val="001B7ADB"/>
    <w:rsid w:val="001C1167"/>
    <w:rsid w:val="001C3F23"/>
    <w:rsid w:val="001C4BF8"/>
    <w:rsid w:val="001C5421"/>
    <w:rsid w:val="001C6508"/>
    <w:rsid w:val="001C688F"/>
    <w:rsid w:val="001D11FE"/>
    <w:rsid w:val="001D2097"/>
    <w:rsid w:val="001D5C25"/>
    <w:rsid w:val="001E343E"/>
    <w:rsid w:val="001F263F"/>
    <w:rsid w:val="001F46E1"/>
    <w:rsid w:val="001F64FD"/>
    <w:rsid w:val="001F766F"/>
    <w:rsid w:val="0020462A"/>
    <w:rsid w:val="00204E4E"/>
    <w:rsid w:val="00212847"/>
    <w:rsid w:val="002145EE"/>
    <w:rsid w:val="00214D27"/>
    <w:rsid w:val="00216C23"/>
    <w:rsid w:val="00217F5D"/>
    <w:rsid w:val="00224FE8"/>
    <w:rsid w:val="00227AB5"/>
    <w:rsid w:val="00235DC7"/>
    <w:rsid w:val="00236780"/>
    <w:rsid w:val="00237702"/>
    <w:rsid w:val="002408F4"/>
    <w:rsid w:val="00242DDE"/>
    <w:rsid w:val="002433FA"/>
    <w:rsid w:val="00246606"/>
    <w:rsid w:val="002508F7"/>
    <w:rsid w:val="00251C5F"/>
    <w:rsid w:val="002635D9"/>
    <w:rsid w:val="00264B4E"/>
    <w:rsid w:val="002674E7"/>
    <w:rsid w:val="00271B08"/>
    <w:rsid w:val="00271F4E"/>
    <w:rsid w:val="002745AD"/>
    <w:rsid w:val="00274BF6"/>
    <w:rsid w:val="002773A1"/>
    <w:rsid w:val="00281F51"/>
    <w:rsid w:val="00284125"/>
    <w:rsid w:val="00285216"/>
    <w:rsid w:val="00286742"/>
    <w:rsid w:val="00291186"/>
    <w:rsid w:val="0029221F"/>
    <w:rsid w:val="00292D65"/>
    <w:rsid w:val="00295DD5"/>
    <w:rsid w:val="00297AC9"/>
    <w:rsid w:val="002A1BE5"/>
    <w:rsid w:val="002A3857"/>
    <w:rsid w:val="002B49AC"/>
    <w:rsid w:val="002B6699"/>
    <w:rsid w:val="002C06EC"/>
    <w:rsid w:val="002C0F2D"/>
    <w:rsid w:val="002C2256"/>
    <w:rsid w:val="002C53A7"/>
    <w:rsid w:val="002D1559"/>
    <w:rsid w:val="002D3DE6"/>
    <w:rsid w:val="002D4348"/>
    <w:rsid w:val="002D4D6D"/>
    <w:rsid w:val="002D5519"/>
    <w:rsid w:val="002D59BA"/>
    <w:rsid w:val="002D7D2F"/>
    <w:rsid w:val="002E368A"/>
    <w:rsid w:val="002E3B2A"/>
    <w:rsid w:val="002E4726"/>
    <w:rsid w:val="002E5272"/>
    <w:rsid w:val="002E6D5A"/>
    <w:rsid w:val="002F0ECA"/>
    <w:rsid w:val="002F107A"/>
    <w:rsid w:val="002F18D1"/>
    <w:rsid w:val="002F1DE6"/>
    <w:rsid w:val="002F3296"/>
    <w:rsid w:val="002F36E0"/>
    <w:rsid w:val="002F6E5C"/>
    <w:rsid w:val="002F7332"/>
    <w:rsid w:val="0030627C"/>
    <w:rsid w:val="00307046"/>
    <w:rsid w:val="00312655"/>
    <w:rsid w:val="00312690"/>
    <w:rsid w:val="00320F04"/>
    <w:rsid w:val="00320F52"/>
    <w:rsid w:val="00324F5C"/>
    <w:rsid w:val="0032744F"/>
    <w:rsid w:val="00332C8E"/>
    <w:rsid w:val="00333E79"/>
    <w:rsid w:val="0034025B"/>
    <w:rsid w:val="003434D4"/>
    <w:rsid w:val="00344BBD"/>
    <w:rsid w:val="00345C6C"/>
    <w:rsid w:val="00346764"/>
    <w:rsid w:val="00347457"/>
    <w:rsid w:val="00347CA2"/>
    <w:rsid w:val="00351414"/>
    <w:rsid w:val="00355830"/>
    <w:rsid w:val="00356027"/>
    <w:rsid w:val="00360598"/>
    <w:rsid w:val="00363A70"/>
    <w:rsid w:val="003653FB"/>
    <w:rsid w:val="0036752E"/>
    <w:rsid w:val="00370620"/>
    <w:rsid w:val="00372ECA"/>
    <w:rsid w:val="003737EC"/>
    <w:rsid w:val="00375FA7"/>
    <w:rsid w:val="00376DB1"/>
    <w:rsid w:val="00380839"/>
    <w:rsid w:val="00382C67"/>
    <w:rsid w:val="00385EF1"/>
    <w:rsid w:val="00392E75"/>
    <w:rsid w:val="003966D2"/>
    <w:rsid w:val="003A2E84"/>
    <w:rsid w:val="003A3635"/>
    <w:rsid w:val="003A7407"/>
    <w:rsid w:val="003B2696"/>
    <w:rsid w:val="003B3D92"/>
    <w:rsid w:val="003B47AC"/>
    <w:rsid w:val="003B5A5F"/>
    <w:rsid w:val="003B6A28"/>
    <w:rsid w:val="003B6C7D"/>
    <w:rsid w:val="003B78B0"/>
    <w:rsid w:val="003C1938"/>
    <w:rsid w:val="003C1A1D"/>
    <w:rsid w:val="003C2A38"/>
    <w:rsid w:val="003C2F82"/>
    <w:rsid w:val="003C3FC6"/>
    <w:rsid w:val="003C44B4"/>
    <w:rsid w:val="003C635B"/>
    <w:rsid w:val="003C6480"/>
    <w:rsid w:val="003C701D"/>
    <w:rsid w:val="003C727E"/>
    <w:rsid w:val="003D5688"/>
    <w:rsid w:val="003D74BE"/>
    <w:rsid w:val="003E080F"/>
    <w:rsid w:val="003E2CDC"/>
    <w:rsid w:val="003E4241"/>
    <w:rsid w:val="003E72FE"/>
    <w:rsid w:val="003F06A5"/>
    <w:rsid w:val="003F1A83"/>
    <w:rsid w:val="003F37FE"/>
    <w:rsid w:val="003F4DA9"/>
    <w:rsid w:val="003F55E4"/>
    <w:rsid w:val="003F62CF"/>
    <w:rsid w:val="003F7568"/>
    <w:rsid w:val="00400738"/>
    <w:rsid w:val="00402586"/>
    <w:rsid w:val="004048F8"/>
    <w:rsid w:val="00407434"/>
    <w:rsid w:val="0041003E"/>
    <w:rsid w:val="00410E8C"/>
    <w:rsid w:val="004124F4"/>
    <w:rsid w:val="004130DC"/>
    <w:rsid w:val="0041653D"/>
    <w:rsid w:val="00416ED8"/>
    <w:rsid w:val="004179CF"/>
    <w:rsid w:val="004210DA"/>
    <w:rsid w:val="00421481"/>
    <w:rsid w:val="00421A48"/>
    <w:rsid w:val="00421B73"/>
    <w:rsid w:val="00421FC9"/>
    <w:rsid w:val="00423D6D"/>
    <w:rsid w:val="00426BD4"/>
    <w:rsid w:val="00432937"/>
    <w:rsid w:val="004350DA"/>
    <w:rsid w:val="004362DD"/>
    <w:rsid w:val="004362E3"/>
    <w:rsid w:val="0044014C"/>
    <w:rsid w:val="00443929"/>
    <w:rsid w:val="00444C31"/>
    <w:rsid w:val="00446CB7"/>
    <w:rsid w:val="00450F48"/>
    <w:rsid w:val="00452076"/>
    <w:rsid w:val="00452A66"/>
    <w:rsid w:val="0045489F"/>
    <w:rsid w:val="00456004"/>
    <w:rsid w:val="00456132"/>
    <w:rsid w:val="00457F46"/>
    <w:rsid w:val="00460B64"/>
    <w:rsid w:val="004624BB"/>
    <w:rsid w:val="00470928"/>
    <w:rsid w:val="00472010"/>
    <w:rsid w:val="004742F3"/>
    <w:rsid w:val="00474889"/>
    <w:rsid w:val="004826DD"/>
    <w:rsid w:val="00483E6B"/>
    <w:rsid w:val="004857C7"/>
    <w:rsid w:val="004903A5"/>
    <w:rsid w:val="0049040E"/>
    <w:rsid w:val="00492F26"/>
    <w:rsid w:val="004971D6"/>
    <w:rsid w:val="004A1064"/>
    <w:rsid w:val="004A16AE"/>
    <w:rsid w:val="004A1B69"/>
    <w:rsid w:val="004A559E"/>
    <w:rsid w:val="004A5659"/>
    <w:rsid w:val="004A5AA8"/>
    <w:rsid w:val="004A718C"/>
    <w:rsid w:val="004B6E51"/>
    <w:rsid w:val="004B788A"/>
    <w:rsid w:val="004C58B9"/>
    <w:rsid w:val="004C7465"/>
    <w:rsid w:val="004C7F37"/>
    <w:rsid w:val="004D19AA"/>
    <w:rsid w:val="004D2843"/>
    <w:rsid w:val="004D2BDA"/>
    <w:rsid w:val="004D48E9"/>
    <w:rsid w:val="004D6363"/>
    <w:rsid w:val="004D6803"/>
    <w:rsid w:val="004D731E"/>
    <w:rsid w:val="004E14B1"/>
    <w:rsid w:val="004E2C34"/>
    <w:rsid w:val="004E321E"/>
    <w:rsid w:val="004E6872"/>
    <w:rsid w:val="004E713C"/>
    <w:rsid w:val="004E790E"/>
    <w:rsid w:val="004F0896"/>
    <w:rsid w:val="004F0A66"/>
    <w:rsid w:val="004F2A50"/>
    <w:rsid w:val="004F4795"/>
    <w:rsid w:val="0050389F"/>
    <w:rsid w:val="00504187"/>
    <w:rsid w:val="00507955"/>
    <w:rsid w:val="00511439"/>
    <w:rsid w:val="0051334C"/>
    <w:rsid w:val="00513BF0"/>
    <w:rsid w:val="00513F85"/>
    <w:rsid w:val="00517A35"/>
    <w:rsid w:val="00521C4E"/>
    <w:rsid w:val="00523819"/>
    <w:rsid w:val="00525B49"/>
    <w:rsid w:val="0052687A"/>
    <w:rsid w:val="00527450"/>
    <w:rsid w:val="00527A73"/>
    <w:rsid w:val="00533809"/>
    <w:rsid w:val="00534465"/>
    <w:rsid w:val="00541740"/>
    <w:rsid w:val="00542308"/>
    <w:rsid w:val="00542F89"/>
    <w:rsid w:val="00547B19"/>
    <w:rsid w:val="00554D4E"/>
    <w:rsid w:val="0055675F"/>
    <w:rsid w:val="0056010D"/>
    <w:rsid w:val="00561DA9"/>
    <w:rsid w:val="005654C8"/>
    <w:rsid w:val="0056592E"/>
    <w:rsid w:val="00570974"/>
    <w:rsid w:val="00571796"/>
    <w:rsid w:val="00583583"/>
    <w:rsid w:val="00584D94"/>
    <w:rsid w:val="005958D6"/>
    <w:rsid w:val="005964CF"/>
    <w:rsid w:val="00597911"/>
    <w:rsid w:val="005A3BE3"/>
    <w:rsid w:val="005A42C4"/>
    <w:rsid w:val="005A6929"/>
    <w:rsid w:val="005A78A8"/>
    <w:rsid w:val="005B30C6"/>
    <w:rsid w:val="005B69A7"/>
    <w:rsid w:val="005C0D41"/>
    <w:rsid w:val="005C14CF"/>
    <w:rsid w:val="005C19A4"/>
    <w:rsid w:val="005C4243"/>
    <w:rsid w:val="005C497B"/>
    <w:rsid w:val="005C65EB"/>
    <w:rsid w:val="005D2187"/>
    <w:rsid w:val="005E4854"/>
    <w:rsid w:val="005E5928"/>
    <w:rsid w:val="005F011B"/>
    <w:rsid w:val="005F0B96"/>
    <w:rsid w:val="005F3993"/>
    <w:rsid w:val="005F5182"/>
    <w:rsid w:val="005F5BE6"/>
    <w:rsid w:val="005F7F6D"/>
    <w:rsid w:val="0060146C"/>
    <w:rsid w:val="006019DF"/>
    <w:rsid w:val="00602852"/>
    <w:rsid w:val="00602BA9"/>
    <w:rsid w:val="006037FA"/>
    <w:rsid w:val="00603B3F"/>
    <w:rsid w:val="006055BF"/>
    <w:rsid w:val="00606E71"/>
    <w:rsid w:val="0061295E"/>
    <w:rsid w:val="00613764"/>
    <w:rsid w:val="006154D7"/>
    <w:rsid w:val="00615D1B"/>
    <w:rsid w:val="006204F4"/>
    <w:rsid w:val="006235A4"/>
    <w:rsid w:val="006260CC"/>
    <w:rsid w:val="00630EE9"/>
    <w:rsid w:val="00631BCB"/>
    <w:rsid w:val="00631DC0"/>
    <w:rsid w:val="00634065"/>
    <w:rsid w:val="00635C9C"/>
    <w:rsid w:val="00635D2B"/>
    <w:rsid w:val="00641906"/>
    <w:rsid w:val="006420D3"/>
    <w:rsid w:val="0064373C"/>
    <w:rsid w:val="006453D4"/>
    <w:rsid w:val="00646A89"/>
    <w:rsid w:val="006472DC"/>
    <w:rsid w:val="0065153D"/>
    <w:rsid w:val="00651654"/>
    <w:rsid w:val="00651677"/>
    <w:rsid w:val="00653CA6"/>
    <w:rsid w:val="00654842"/>
    <w:rsid w:val="006559CB"/>
    <w:rsid w:val="00660E05"/>
    <w:rsid w:val="00663AF2"/>
    <w:rsid w:val="00665B40"/>
    <w:rsid w:val="00666C19"/>
    <w:rsid w:val="00670716"/>
    <w:rsid w:val="006711B3"/>
    <w:rsid w:val="00671216"/>
    <w:rsid w:val="00671EF9"/>
    <w:rsid w:val="00672DB3"/>
    <w:rsid w:val="00674C26"/>
    <w:rsid w:val="00676F1E"/>
    <w:rsid w:val="0068053D"/>
    <w:rsid w:val="00681986"/>
    <w:rsid w:val="00682C9A"/>
    <w:rsid w:val="006836B2"/>
    <w:rsid w:val="0068656F"/>
    <w:rsid w:val="00686F06"/>
    <w:rsid w:val="00687290"/>
    <w:rsid w:val="006875F8"/>
    <w:rsid w:val="00692425"/>
    <w:rsid w:val="00692BE7"/>
    <w:rsid w:val="00693686"/>
    <w:rsid w:val="006940DB"/>
    <w:rsid w:val="00695528"/>
    <w:rsid w:val="00696659"/>
    <w:rsid w:val="00696E61"/>
    <w:rsid w:val="006A0BDF"/>
    <w:rsid w:val="006A136D"/>
    <w:rsid w:val="006A1437"/>
    <w:rsid w:val="006A2871"/>
    <w:rsid w:val="006A4AE8"/>
    <w:rsid w:val="006A53BB"/>
    <w:rsid w:val="006A61CB"/>
    <w:rsid w:val="006A70BF"/>
    <w:rsid w:val="006A7190"/>
    <w:rsid w:val="006A763E"/>
    <w:rsid w:val="006B0924"/>
    <w:rsid w:val="006B125E"/>
    <w:rsid w:val="006B1B93"/>
    <w:rsid w:val="006B1FBA"/>
    <w:rsid w:val="006B29EB"/>
    <w:rsid w:val="006B3B5E"/>
    <w:rsid w:val="006B6D6C"/>
    <w:rsid w:val="006C0F7B"/>
    <w:rsid w:val="006C1540"/>
    <w:rsid w:val="006C2FA4"/>
    <w:rsid w:val="006C30E3"/>
    <w:rsid w:val="006C58F5"/>
    <w:rsid w:val="006C59D5"/>
    <w:rsid w:val="006C5E30"/>
    <w:rsid w:val="006D03A5"/>
    <w:rsid w:val="006D2BD6"/>
    <w:rsid w:val="006D3796"/>
    <w:rsid w:val="006D5F9A"/>
    <w:rsid w:val="006E10CA"/>
    <w:rsid w:val="006E28EA"/>
    <w:rsid w:val="006E376C"/>
    <w:rsid w:val="006E7CFA"/>
    <w:rsid w:val="006F1E39"/>
    <w:rsid w:val="006F32BF"/>
    <w:rsid w:val="006F46F4"/>
    <w:rsid w:val="006F6584"/>
    <w:rsid w:val="006F68DB"/>
    <w:rsid w:val="006F7D39"/>
    <w:rsid w:val="00701461"/>
    <w:rsid w:val="00703D17"/>
    <w:rsid w:val="00706F43"/>
    <w:rsid w:val="00711917"/>
    <w:rsid w:val="00716639"/>
    <w:rsid w:val="0072053D"/>
    <w:rsid w:val="007213DE"/>
    <w:rsid w:val="00723DFD"/>
    <w:rsid w:val="00725697"/>
    <w:rsid w:val="007307F4"/>
    <w:rsid w:val="00743BB9"/>
    <w:rsid w:val="0074661C"/>
    <w:rsid w:val="00750397"/>
    <w:rsid w:val="0075067A"/>
    <w:rsid w:val="007514A5"/>
    <w:rsid w:val="00751ED5"/>
    <w:rsid w:val="00752CE0"/>
    <w:rsid w:val="00752EC1"/>
    <w:rsid w:val="00753BB9"/>
    <w:rsid w:val="007543F1"/>
    <w:rsid w:val="007555E4"/>
    <w:rsid w:val="007572B2"/>
    <w:rsid w:val="00761E56"/>
    <w:rsid w:val="007647A6"/>
    <w:rsid w:val="00766475"/>
    <w:rsid w:val="00771393"/>
    <w:rsid w:val="0077364D"/>
    <w:rsid w:val="00774370"/>
    <w:rsid w:val="007758CA"/>
    <w:rsid w:val="00776332"/>
    <w:rsid w:val="0078124D"/>
    <w:rsid w:val="007850EA"/>
    <w:rsid w:val="00790E29"/>
    <w:rsid w:val="00791809"/>
    <w:rsid w:val="00792BD5"/>
    <w:rsid w:val="00794C5F"/>
    <w:rsid w:val="007A0103"/>
    <w:rsid w:val="007A2277"/>
    <w:rsid w:val="007A4D31"/>
    <w:rsid w:val="007A7757"/>
    <w:rsid w:val="007B018B"/>
    <w:rsid w:val="007B04E5"/>
    <w:rsid w:val="007B0A93"/>
    <w:rsid w:val="007B2E98"/>
    <w:rsid w:val="007B5896"/>
    <w:rsid w:val="007B7946"/>
    <w:rsid w:val="007B7AF0"/>
    <w:rsid w:val="007C03BA"/>
    <w:rsid w:val="007C29A1"/>
    <w:rsid w:val="007C2EE3"/>
    <w:rsid w:val="007C312E"/>
    <w:rsid w:val="007C49B0"/>
    <w:rsid w:val="007C4BB3"/>
    <w:rsid w:val="007C56F4"/>
    <w:rsid w:val="007C6E12"/>
    <w:rsid w:val="007D0C79"/>
    <w:rsid w:val="007D7350"/>
    <w:rsid w:val="007D7A92"/>
    <w:rsid w:val="007D7EEE"/>
    <w:rsid w:val="007E22EF"/>
    <w:rsid w:val="007E64DA"/>
    <w:rsid w:val="007E7AB2"/>
    <w:rsid w:val="007F4EFC"/>
    <w:rsid w:val="007F59BC"/>
    <w:rsid w:val="00801701"/>
    <w:rsid w:val="00805358"/>
    <w:rsid w:val="008070A8"/>
    <w:rsid w:val="00810499"/>
    <w:rsid w:val="0081166D"/>
    <w:rsid w:val="00811DC0"/>
    <w:rsid w:val="0081203C"/>
    <w:rsid w:val="00815215"/>
    <w:rsid w:val="008213F0"/>
    <w:rsid w:val="00821F3F"/>
    <w:rsid w:val="00822205"/>
    <w:rsid w:val="0082588C"/>
    <w:rsid w:val="00826653"/>
    <w:rsid w:val="00834BA5"/>
    <w:rsid w:val="00837CC2"/>
    <w:rsid w:val="008441CF"/>
    <w:rsid w:val="0084470A"/>
    <w:rsid w:val="00844A6F"/>
    <w:rsid w:val="008510DF"/>
    <w:rsid w:val="0085175F"/>
    <w:rsid w:val="00853283"/>
    <w:rsid w:val="00853913"/>
    <w:rsid w:val="008549E9"/>
    <w:rsid w:val="00857C03"/>
    <w:rsid w:val="00862EFB"/>
    <w:rsid w:val="00865ABB"/>
    <w:rsid w:val="0087288A"/>
    <w:rsid w:val="0087707C"/>
    <w:rsid w:val="00880C7C"/>
    <w:rsid w:val="0088122C"/>
    <w:rsid w:val="00886D68"/>
    <w:rsid w:val="00894BC9"/>
    <w:rsid w:val="008A0A93"/>
    <w:rsid w:val="008A194E"/>
    <w:rsid w:val="008A1FDF"/>
    <w:rsid w:val="008A408E"/>
    <w:rsid w:val="008A7227"/>
    <w:rsid w:val="008A7E55"/>
    <w:rsid w:val="008B0905"/>
    <w:rsid w:val="008B0DD6"/>
    <w:rsid w:val="008B35ED"/>
    <w:rsid w:val="008B51F1"/>
    <w:rsid w:val="008C167D"/>
    <w:rsid w:val="008C1EF4"/>
    <w:rsid w:val="008C584E"/>
    <w:rsid w:val="008D1C79"/>
    <w:rsid w:val="008D5DC2"/>
    <w:rsid w:val="008E2539"/>
    <w:rsid w:val="008E3483"/>
    <w:rsid w:val="008E4A39"/>
    <w:rsid w:val="008E6E8F"/>
    <w:rsid w:val="008F12DC"/>
    <w:rsid w:val="008F4C58"/>
    <w:rsid w:val="008F756B"/>
    <w:rsid w:val="00900814"/>
    <w:rsid w:val="00900DAF"/>
    <w:rsid w:val="00901085"/>
    <w:rsid w:val="00901CB5"/>
    <w:rsid w:val="0090572C"/>
    <w:rsid w:val="009058BD"/>
    <w:rsid w:val="0091080B"/>
    <w:rsid w:val="00912FE0"/>
    <w:rsid w:val="0091353D"/>
    <w:rsid w:val="00914C43"/>
    <w:rsid w:val="009215AF"/>
    <w:rsid w:val="00921D43"/>
    <w:rsid w:val="00922909"/>
    <w:rsid w:val="00923987"/>
    <w:rsid w:val="00923B80"/>
    <w:rsid w:val="00926833"/>
    <w:rsid w:val="00927D2B"/>
    <w:rsid w:val="0093165E"/>
    <w:rsid w:val="00932841"/>
    <w:rsid w:val="009353AB"/>
    <w:rsid w:val="00936C1E"/>
    <w:rsid w:val="00936E0F"/>
    <w:rsid w:val="00937A66"/>
    <w:rsid w:val="00940674"/>
    <w:rsid w:val="0094406D"/>
    <w:rsid w:val="00945539"/>
    <w:rsid w:val="00945DDD"/>
    <w:rsid w:val="00953456"/>
    <w:rsid w:val="00954304"/>
    <w:rsid w:val="00956513"/>
    <w:rsid w:val="00956A52"/>
    <w:rsid w:val="00961A05"/>
    <w:rsid w:val="0096319B"/>
    <w:rsid w:val="00966C71"/>
    <w:rsid w:val="009670B7"/>
    <w:rsid w:val="0096768E"/>
    <w:rsid w:val="009723D1"/>
    <w:rsid w:val="009726E9"/>
    <w:rsid w:val="009732C1"/>
    <w:rsid w:val="00977705"/>
    <w:rsid w:val="009803F3"/>
    <w:rsid w:val="00980918"/>
    <w:rsid w:val="00983B64"/>
    <w:rsid w:val="00986CE2"/>
    <w:rsid w:val="0099075E"/>
    <w:rsid w:val="00993C87"/>
    <w:rsid w:val="009A10D8"/>
    <w:rsid w:val="009A29F4"/>
    <w:rsid w:val="009A471D"/>
    <w:rsid w:val="009B025F"/>
    <w:rsid w:val="009B07CB"/>
    <w:rsid w:val="009B2069"/>
    <w:rsid w:val="009B28E1"/>
    <w:rsid w:val="009B42F0"/>
    <w:rsid w:val="009B4FDB"/>
    <w:rsid w:val="009B506A"/>
    <w:rsid w:val="009C1E86"/>
    <w:rsid w:val="009C44B0"/>
    <w:rsid w:val="009C687C"/>
    <w:rsid w:val="009C6AC2"/>
    <w:rsid w:val="009D39EE"/>
    <w:rsid w:val="009D5783"/>
    <w:rsid w:val="009D5E94"/>
    <w:rsid w:val="009D6026"/>
    <w:rsid w:val="009D67A8"/>
    <w:rsid w:val="009E5377"/>
    <w:rsid w:val="009F080F"/>
    <w:rsid w:val="009F0FF4"/>
    <w:rsid w:val="009F3BC9"/>
    <w:rsid w:val="009F7219"/>
    <w:rsid w:val="00A03273"/>
    <w:rsid w:val="00A07A2F"/>
    <w:rsid w:val="00A07C00"/>
    <w:rsid w:val="00A136D9"/>
    <w:rsid w:val="00A13AC9"/>
    <w:rsid w:val="00A14C86"/>
    <w:rsid w:val="00A1645D"/>
    <w:rsid w:val="00A213A8"/>
    <w:rsid w:val="00A21F3E"/>
    <w:rsid w:val="00A228A7"/>
    <w:rsid w:val="00A3174F"/>
    <w:rsid w:val="00A32363"/>
    <w:rsid w:val="00A3335E"/>
    <w:rsid w:val="00A34DC9"/>
    <w:rsid w:val="00A4503D"/>
    <w:rsid w:val="00A46A33"/>
    <w:rsid w:val="00A50118"/>
    <w:rsid w:val="00A50440"/>
    <w:rsid w:val="00A51CCC"/>
    <w:rsid w:val="00A611F9"/>
    <w:rsid w:val="00A64EC4"/>
    <w:rsid w:val="00A663FB"/>
    <w:rsid w:val="00A67174"/>
    <w:rsid w:val="00A7023B"/>
    <w:rsid w:val="00A719BD"/>
    <w:rsid w:val="00A726E6"/>
    <w:rsid w:val="00A76CD8"/>
    <w:rsid w:val="00A82014"/>
    <w:rsid w:val="00A848C9"/>
    <w:rsid w:val="00A90466"/>
    <w:rsid w:val="00A918E1"/>
    <w:rsid w:val="00A9435B"/>
    <w:rsid w:val="00A9494F"/>
    <w:rsid w:val="00AA6088"/>
    <w:rsid w:val="00AA6866"/>
    <w:rsid w:val="00AB1169"/>
    <w:rsid w:val="00AB3D51"/>
    <w:rsid w:val="00AB5A67"/>
    <w:rsid w:val="00AB5EE3"/>
    <w:rsid w:val="00AB65E7"/>
    <w:rsid w:val="00AB68A6"/>
    <w:rsid w:val="00AC5F30"/>
    <w:rsid w:val="00AD09BA"/>
    <w:rsid w:val="00AD3414"/>
    <w:rsid w:val="00AD421C"/>
    <w:rsid w:val="00AD500F"/>
    <w:rsid w:val="00AD607F"/>
    <w:rsid w:val="00AE0BB2"/>
    <w:rsid w:val="00AE2CB4"/>
    <w:rsid w:val="00AE6308"/>
    <w:rsid w:val="00AE63EB"/>
    <w:rsid w:val="00AE6898"/>
    <w:rsid w:val="00AE7076"/>
    <w:rsid w:val="00AE7CCF"/>
    <w:rsid w:val="00AF0041"/>
    <w:rsid w:val="00AF080D"/>
    <w:rsid w:val="00AF2046"/>
    <w:rsid w:val="00AF33C9"/>
    <w:rsid w:val="00AF4F22"/>
    <w:rsid w:val="00AF6545"/>
    <w:rsid w:val="00B00FC3"/>
    <w:rsid w:val="00B01FE9"/>
    <w:rsid w:val="00B02FBB"/>
    <w:rsid w:val="00B030A7"/>
    <w:rsid w:val="00B042EF"/>
    <w:rsid w:val="00B04BE4"/>
    <w:rsid w:val="00B072AD"/>
    <w:rsid w:val="00B07626"/>
    <w:rsid w:val="00B116B0"/>
    <w:rsid w:val="00B12105"/>
    <w:rsid w:val="00B12EB2"/>
    <w:rsid w:val="00B13B14"/>
    <w:rsid w:val="00B14B65"/>
    <w:rsid w:val="00B16B7B"/>
    <w:rsid w:val="00B21506"/>
    <w:rsid w:val="00B22666"/>
    <w:rsid w:val="00B249F5"/>
    <w:rsid w:val="00B25B55"/>
    <w:rsid w:val="00B26F39"/>
    <w:rsid w:val="00B307D5"/>
    <w:rsid w:val="00B32D7B"/>
    <w:rsid w:val="00B32E9F"/>
    <w:rsid w:val="00B3339F"/>
    <w:rsid w:val="00B33F69"/>
    <w:rsid w:val="00B34508"/>
    <w:rsid w:val="00B3550A"/>
    <w:rsid w:val="00B40A2F"/>
    <w:rsid w:val="00B45AFE"/>
    <w:rsid w:val="00B45F33"/>
    <w:rsid w:val="00B50742"/>
    <w:rsid w:val="00B52584"/>
    <w:rsid w:val="00B5267A"/>
    <w:rsid w:val="00B529D8"/>
    <w:rsid w:val="00B52F5E"/>
    <w:rsid w:val="00B53B73"/>
    <w:rsid w:val="00B60A50"/>
    <w:rsid w:val="00B649CE"/>
    <w:rsid w:val="00B665E6"/>
    <w:rsid w:val="00B727F3"/>
    <w:rsid w:val="00B72D43"/>
    <w:rsid w:val="00B8038D"/>
    <w:rsid w:val="00B83395"/>
    <w:rsid w:val="00B84F2E"/>
    <w:rsid w:val="00B86978"/>
    <w:rsid w:val="00B87BDF"/>
    <w:rsid w:val="00B90F17"/>
    <w:rsid w:val="00B92281"/>
    <w:rsid w:val="00B925A0"/>
    <w:rsid w:val="00B9294B"/>
    <w:rsid w:val="00B92AF1"/>
    <w:rsid w:val="00B93781"/>
    <w:rsid w:val="00B93B83"/>
    <w:rsid w:val="00B94B30"/>
    <w:rsid w:val="00B958BB"/>
    <w:rsid w:val="00BA04BA"/>
    <w:rsid w:val="00BA33C1"/>
    <w:rsid w:val="00BA7D17"/>
    <w:rsid w:val="00BB076E"/>
    <w:rsid w:val="00BB1C66"/>
    <w:rsid w:val="00BB1CF2"/>
    <w:rsid w:val="00BB2DFC"/>
    <w:rsid w:val="00BB7A25"/>
    <w:rsid w:val="00BC0A3C"/>
    <w:rsid w:val="00BC27AC"/>
    <w:rsid w:val="00BC37DD"/>
    <w:rsid w:val="00BC5916"/>
    <w:rsid w:val="00BC621F"/>
    <w:rsid w:val="00BD07DB"/>
    <w:rsid w:val="00BD0852"/>
    <w:rsid w:val="00BD2FCF"/>
    <w:rsid w:val="00BE11F0"/>
    <w:rsid w:val="00BE24D8"/>
    <w:rsid w:val="00BE4FED"/>
    <w:rsid w:val="00BE62B9"/>
    <w:rsid w:val="00BF3015"/>
    <w:rsid w:val="00BF41D2"/>
    <w:rsid w:val="00BF6DCF"/>
    <w:rsid w:val="00C00CB5"/>
    <w:rsid w:val="00C01BA3"/>
    <w:rsid w:val="00C032F0"/>
    <w:rsid w:val="00C03503"/>
    <w:rsid w:val="00C036EE"/>
    <w:rsid w:val="00C0471B"/>
    <w:rsid w:val="00C05E0C"/>
    <w:rsid w:val="00C06826"/>
    <w:rsid w:val="00C073A4"/>
    <w:rsid w:val="00C07928"/>
    <w:rsid w:val="00C10E3A"/>
    <w:rsid w:val="00C10F0E"/>
    <w:rsid w:val="00C130E1"/>
    <w:rsid w:val="00C13623"/>
    <w:rsid w:val="00C14388"/>
    <w:rsid w:val="00C20621"/>
    <w:rsid w:val="00C21933"/>
    <w:rsid w:val="00C21D0D"/>
    <w:rsid w:val="00C24A1E"/>
    <w:rsid w:val="00C36BA8"/>
    <w:rsid w:val="00C36F75"/>
    <w:rsid w:val="00C41262"/>
    <w:rsid w:val="00C415E6"/>
    <w:rsid w:val="00C42D96"/>
    <w:rsid w:val="00C4402F"/>
    <w:rsid w:val="00C44DF1"/>
    <w:rsid w:val="00C45081"/>
    <w:rsid w:val="00C47865"/>
    <w:rsid w:val="00C479C2"/>
    <w:rsid w:val="00C52681"/>
    <w:rsid w:val="00C53FAC"/>
    <w:rsid w:val="00C54A10"/>
    <w:rsid w:val="00C55690"/>
    <w:rsid w:val="00C56C1E"/>
    <w:rsid w:val="00C57E29"/>
    <w:rsid w:val="00C63E8C"/>
    <w:rsid w:val="00C6510F"/>
    <w:rsid w:val="00C656BA"/>
    <w:rsid w:val="00C658DC"/>
    <w:rsid w:val="00C659A7"/>
    <w:rsid w:val="00C76FFC"/>
    <w:rsid w:val="00C84250"/>
    <w:rsid w:val="00C87117"/>
    <w:rsid w:val="00C90516"/>
    <w:rsid w:val="00C9259F"/>
    <w:rsid w:val="00C969A3"/>
    <w:rsid w:val="00C96ADC"/>
    <w:rsid w:val="00C97FF4"/>
    <w:rsid w:val="00CA0A9D"/>
    <w:rsid w:val="00CA0D81"/>
    <w:rsid w:val="00CA262A"/>
    <w:rsid w:val="00CA2D8C"/>
    <w:rsid w:val="00CA3398"/>
    <w:rsid w:val="00CA40FA"/>
    <w:rsid w:val="00CA6926"/>
    <w:rsid w:val="00CA735C"/>
    <w:rsid w:val="00CA75FA"/>
    <w:rsid w:val="00CB09BA"/>
    <w:rsid w:val="00CB3AD5"/>
    <w:rsid w:val="00CB42E9"/>
    <w:rsid w:val="00CB61F9"/>
    <w:rsid w:val="00CC36D6"/>
    <w:rsid w:val="00CC5F9A"/>
    <w:rsid w:val="00CC63F7"/>
    <w:rsid w:val="00CC783E"/>
    <w:rsid w:val="00CD0D86"/>
    <w:rsid w:val="00CD0EED"/>
    <w:rsid w:val="00CD1951"/>
    <w:rsid w:val="00CD247D"/>
    <w:rsid w:val="00CD71EB"/>
    <w:rsid w:val="00CE009A"/>
    <w:rsid w:val="00CE0CB6"/>
    <w:rsid w:val="00CE189B"/>
    <w:rsid w:val="00CE3CC8"/>
    <w:rsid w:val="00CE5861"/>
    <w:rsid w:val="00CF6C69"/>
    <w:rsid w:val="00CF7C11"/>
    <w:rsid w:val="00D03779"/>
    <w:rsid w:val="00D0379C"/>
    <w:rsid w:val="00D06505"/>
    <w:rsid w:val="00D11491"/>
    <w:rsid w:val="00D13D39"/>
    <w:rsid w:val="00D1539F"/>
    <w:rsid w:val="00D17C9B"/>
    <w:rsid w:val="00D23BD5"/>
    <w:rsid w:val="00D24AB5"/>
    <w:rsid w:val="00D2518B"/>
    <w:rsid w:val="00D253B5"/>
    <w:rsid w:val="00D32367"/>
    <w:rsid w:val="00D32E4E"/>
    <w:rsid w:val="00D352DD"/>
    <w:rsid w:val="00D35790"/>
    <w:rsid w:val="00D40B4B"/>
    <w:rsid w:val="00D4349A"/>
    <w:rsid w:val="00D47D5C"/>
    <w:rsid w:val="00D52450"/>
    <w:rsid w:val="00D52890"/>
    <w:rsid w:val="00D52EEC"/>
    <w:rsid w:val="00D5385A"/>
    <w:rsid w:val="00D551D1"/>
    <w:rsid w:val="00D57387"/>
    <w:rsid w:val="00D601D6"/>
    <w:rsid w:val="00D6358D"/>
    <w:rsid w:val="00D65938"/>
    <w:rsid w:val="00D765D1"/>
    <w:rsid w:val="00D83780"/>
    <w:rsid w:val="00D84373"/>
    <w:rsid w:val="00D87B71"/>
    <w:rsid w:val="00D93779"/>
    <w:rsid w:val="00D946C6"/>
    <w:rsid w:val="00D95F1F"/>
    <w:rsid w:val="00D96542"/>
    <w:rsid w:val="00D975F0"/>
    <w:rsid w:val="00DA0D39"/>
    <w:rsid w:val="00DA193E"/>
    <w:rsid w:val="00DA4D08"/>
    <w:rsid w:val="00DA68EA"/>
    <w:rsid w:val="00DA7189"/>
    <w:rsid w:val="00DB237A"/>
    <w:rsid w:val="00DB4A50"/>
    <w:rsid w:val="00DC1487"/>
    <w:rsid w:val="00DC21C4"/>
    <w:rsid w:val="00DC2F9F"/>
    <w:rsid w:val="00DC3CCB"/>
    <w:rsid w:val="00DC7AAD"/>
    <w:rsid w:val="00DD1F68"/>
    <w:rsid w:val="00DD3BD7"/>
    <w:rsid w:val="00DD3CE0"/>
    <w:rsid w:val="00DD3D2F"/>
    <w:rsid w:val="00DD4713"/>
    <w:rsid w:val="00DD77CF"/>
    <w:rsid w:val="00DE12AB"/>
    <w:rsid w:val="00DE1889"/>
    <w:rsid w:val="00DE2605"/>
    <w:rsid w:val="00DE4B2F"/>
    <w:rsid w:val="00DE6ECE"/>
    <w:rsid w:val="00DF2758"/>
    <w:rsid w:val="00DF35A5"/>
    <w:rsid w:val="00DF44B5"/>
    <w:rsid w:val="00DF55E4"/>
    <w:rsid w:val="00DF7A7C"/>
    <w:rsid w:val="00E11A49"/>
    <w:rsid w:val="00E11E32"/>
    <w:rsid w:val="00E12AE0"/>
    <w:rsid w:val="00E147CB"/>
    <w:rsid w:val="00E15E1D"/>
    <w:rsid w:val="00E16C43"/>
    <w:rsid w:val="00E20D9C"/>
    <w:rsid w:val="00E23E07"/>
    <w:rsid w:val="00E24EBB"/>
    <w:rsid w:val="00E27397"/>
    <w:rsid w:val="00E315F3"/>
    <w:rsid w:val="00E33A1F"/>
    <w:rsid w:val="00E379D8"/>
    <w:rsid w:val="00E37BAF"/>
    <w:rsid w:val="00E41AD4"/>
    <w:rsid w:val="00E435B3"/>
    <w:rsid w:val="00E435E5"/>
    <w:rsid w:val="00E613B2"/>
    <w:rsid w:val="00E63FCB"/>
    <w:rsid w:val="00E701E6"/>
    <w:rsid w:val="00E72282"/>
    <w:rsid w:val="00E725F9"/>
    <w:rsid w:val="00E72933"/>
    <w:rsid w:val="00E74D2C"/>
    <w:rsid w:val="00E75DBF"/>
    <w:rsid w:val="00E76497"/>
    <w:rsid w:val="00E8282F"/>
    <w:rsid w:val="00E833DA"/>
    <w:rsid w:val="00E87A5D"/>
    <w:rsid w:val="00E90CC2"/>
    <w:rsid w:val="00E9441D"/>
    <w:rsid w:val="00E95570"/>
    <w:rsid w:val="00E95921"/>
    <w:rsid w:val="00E95FB3"/>
    <w:rsid w:val="00E975DA"/>
    <w:rsid w:val="00EA1DBE"/>
    <w:rsid w:val="00EA312E"/>
    <w:rsid w:val="00EA37A2"/>
    <w:rsid w:val="00EB0C79"/>
    <w:rsid w:val="00EB123E"/>
    <w:rsid w:val="00EB24BC"/>
    <w:rsid w:val="00EB3283"/>
    <w:rsid w:val="00EC383F"/>
    <w:rsid w:val="00EC4165"/>
    <w:rsid w:val="00EC54C3"/>
    <w:rsid w:val="00EC5C3E"/>
    <w:rsid w:val="00EC76A0"/>
    <w:rsid w:val="00ED1E1E"/>
    <w:rsid w:val="00ED29C0"/>
    <w:rsid w:val="00ED3581"/>
    <w:rsid w:val="00ED4076"/>
    <w:rsid w:val="00ED503C"/>
    <w:rsid w:val="00EE035E"/>
    <w:rsid w:val="00EE0EEE"/>
    <w:rsid w:val="00EE10E6"/>
    <w:rsid w:val="00EE164F"/>
    <w:rsid w:val="00EE4C4A"/>
    <w:rsid w:val="00EE593D"/>
    <w:rsid w:val="00EE5E7F"/>
    <w:rsid w:val="00EE7D25"/>
    <w:rsid w:val="00EF002A"/>
    <w:rsid w:val="00EF0D00"/>
    <w:rsid w:val="00EF3C8C"/>
    <w:rsid w:val="00EF4464"/>
    <w:rsid w:val="00EF7BED"/>
    <w:rsid w:val="00F02343"/>
    <w:rsid w:val="00F02C9B"/>
    <w:rsid w:val="00F03DE8"/>
    <w:rsid w:val="00F069CD"/>
    <w:rsid w:val="00F135FD"/>
    <w:rsid w:val="00F1366F"/>
    <w:rsid w:val="00F1369A"/>
    <w:rsid w:val="00F14995"/>
    <w:rsid w:val="00F213FB"/>
    <w:rsid w:val="00F2275E"/>
    <w:rsid w:val="00F236AB"/>
    <w:rsid w:val="00F2420D"/>
    <w:rsid w:val="00F32789"/>
    <w:rsid w:val="00F3380E"/>
    <w:rsid w:val="00F33BD8"/>
    <w:rsid w:val="00F35B31"/>
    <w:rsid w:val="00F406BB"/>
    <w:rsid w:val="00F438D7"/>
    <w:rsid w:val="00F43A0F"/>
    <w:rsid w:val="00F4414D"/>
    <w:rsid w:val="00F47827"/>
    <w:rsid w:val="00F675AA"/>
    <w:rsid w:val="00F70E43"/>
    <w:rsid w:val="00F76815"/>
    <w:rsid w:val="00F80342"/>
    <w:rsid w:val="00F830D0"/>
    <w:rsid w:val="00F902DA"/>
    <w:rsid w:val="00F91FC3"/>
    <w:rsid w:val="00F942A7"/>
    <w:rsid w:val="00F95AEB"/>
    <w:rsid w:val="00F95C4E"/>
    <w:rsid w:val="00F963F9"/>
    <w:rsid w:val="00FA509D"/>
    <w:rsid w:val="00FA6304"/>
    <w:rsid w:val="00FB0ED1"/>
    <w:rsid w:val="00FB32DE"/>
    <w:rsid w:val="00FB4437"/>
    <w:rsid w:val="00FB6763"/>
    <w:rsid w:val="00FC06D8"/>
    <w:rsid w:val="00FC0BF3"/>
    <w:rsid w:val="00FC4EDC"/>
    <w:rsid w:val="00FC67DA"/>
    <w:rsid w:val="00FC6FE1"/>
    <w:rsid w:val="00FD042E"/>
    <w:rsid w:val="00FD0960"/>
    <w:rsid w:val="00FD0DB6"/>
    <w:rsid w:val="00FD116C"/>
    <w:rsid w:val="00FD1918"/>
    <w:rsid w:val="00FD1A19"/>
    <w:rsid w:val="00FD2569"/>
    <w:rsid w:val="00FD3E57"/>
    <w:rsid w:val="00FD6A58"/>
    <w:rsid w:val="00FD7614"/>
    <w:rsid w:val="00FD7F93"/>
    <w:rsid w:val="00FE08C0"/>
    <w:rsid w:val="00FE1FAF"/>
    <w:rsid w:val="00FE3847"/>
    <w:rsid w:val="00FE53E4"/>
    <w:rsid w:val="00FF1061"/>
    <w:rsid w:val="00FF3A50"/>
    <w:rsid w:val="00FF5F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16C23"/>
    <w:rPr>
      <w:color w:val="605E5C"/>
      <w:shd w:val="clear" w:color="auto" w:fill="E1DFDD"/>
    </w:rPr>
  </w:style>
  <w:style w:type="character" w:styleId="FollowedHyperlink">
    <w:name w:val="FollowedHyperlink"/>
    <w:basedOn w:val="DefaultParagraphFont"/>
    <w:uiPriority w:val="99"/>
    <w:semiHidden/>
    <w:unhideWhenUsed/>
    <w:rsid w:val="00533809"/>
    <w:rPr>
      <w:color w:val="954F72" w:themeColor="followedHyperlink"/>
      <w:u w:val="single"/>
    </w:rPr>
  </w:style>
  <w:style w:type="paragraph" w:customStyle="1" w:styleId="acmabodytext0">
    <w:name w:val="acmabodytext"/>
    <w:basedOn w:val="Normal"/>
    <w:rsid w:val="00F91F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651677"/>
    <w:pPr>
      <w:spacing w:after="0" w:line="240" w:lineRule="auto"/>
    </w:pPr>
  </w:style>
  <w:style w:type="paragraph" w:customStyle="1" w:styleId="paragraph">
    <w:name w:val="paragraph"/>
    <w:basedOn w:val="Normal"/>
    <w:rsid w:val="006A4AE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AE8"/>
  </w:style>
  <w:style w:type="paragraph" w:customStyle="1" w:styleId="Tableheaderrow">
    <w:name w:val="Table header row"/>
    <w:basedOn w:val="Normal"/>
    <w:uiPriority w:val="14"/>
    <w:qFormat/>
    <w:rsid w:val="003B78B0"/>
    <w:pPr>
      <w:spacing w:after="0" w:line="240" w:lineRule="atLeast"/>
    </w:pPr>
    <w:rPr>
      <w:rFonts w:ascii="Arial" w:eastAsia="Times New Roman" w:hAnsi="Arial" w:cs="Times New Roman"/>
      <w:b/>
      <w:sz w:val="20"/>
      <w:szCs w:val="24"/>
      <w:lang w:eastAsia="en-AU"/>
    </w:rPr>
  </w:style>
  <w:style w:type="paragraph" w:customStyle="1" w:styleId="TableBody">
    <w:name w:val="Table Body"/>
    <w:basedOn w:val="Normal"/>
    <w:uiPriority w:val="15"/>
    <w:qFormat/>
    <w:rsid w:val="003B78B0"/>
    <w:pPr>
      <w:spacing w:after="0" w:line="240" w:lineRule="auto"/>
    </w:pPr>
    <w:rPr>
      <w:rFonts w:ascii="Arial" w:eastAsia="Times New Roman" w:hAnsi="Arial" w:cs="Times New Roman"/>
      <w:sz w:val="20"/>
      <w:szCs w:val="24"/>
      <w:lang w:eastAsia="en-AU"/>
    </w:rPr>
  </w:style>
  <w:style w:type="table" w:customStyle="1" w:styleId="ACMAtablestyle">
    <w:name w:val="ACMA table style"/>
    <w:basedOn w:val="TableNormal"/>
    <w:uiPriority w:val="99"/>
    <w:rsid w:val="003B78B0"/>
    <w:pPr>
      <w:spacing w:after="0" w:line="240" w:lineRule="auto"/>
    </w:pPr>
    <w:rPr>
      <w:rFonts w:ascii="Arial" w:eastAsia="Times New Roman" w:hAnsi="Arial" w:cs="Times New Roman"/>
      <w:sz w:val="20"/>
      <w:szCs w:val="24"/>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4393">
      <w:bodyDiv w:val="1"/>
      <w:marLeft w:val="0"/>
      <w:marRight w:val="0"/>
      <w:marTop w:val="0"/>
      <w:marBottom w:val="0"/>
      <w:divBdr>
        <w:top w:val="none" w:sz="0" w:space="0" w:color="auto"/>
        <w:left w:val="none" w:sz="0" w:space="0" w:color="auto"/>
        <w:bottom w:val="none" w:sz="0" w:space="0" w:color="auto"/>
        <w:right w:val="none" w:sz="0" w:space="0" w:color="auto"/>
      </w:divBdr>
      <w:divsChild>
        <w:div w:id="476188206">
          <w:marLeft w:val="0"/>
          <w:marRight w:val="0"/>
          <w:marTop w:val="0"/>
          <w:marBottom w:val="0"/>
          <w:divBdr>
            <w:top w:val="none" w:sz="0" w:space="0" w:color="auto"/>
            <w:left w:val="none" w:sz="0" w:space="0" w:color="auto"/>
            <w:bottom w:val="none" w:sz="0" w:space="0" w:color="auto"/>
            <w:right w:val="none" w:sz="0" w:space="0" w:color="auto"/>
          </w:divBdr>
          <w:divsChild>
            <w:div w:id="1282346239">
              <w:marLeft w:val="0"/>
              <w:marRight w:val="0"/>
              <w:marTop w:val="0"/>
              <w:marBottom w:val="0"/>
              <w:divBdr>
                <w:top w:val="none" w:sz="0" w:space="0" w:color="auto"/>
                <w:left w:val="none" w:sz="0" w:space="0" w:color="auto"/>
                <w:bottom w:val="none" w:sz="0" w:space="0" w:color="auto"/>
                <w:right w:val="none" w:sz="0" w:space="0" w:color="auto"/>
              </w:divBdr>
              <w:divsChild>
                <w:div w:id="1212427269">
                  <w:marLeft w:val="0"/>
                  <w:marRight w:val="0"/>
                  <w:marTop w:val="0"/>
                  <w:marBottom w:val="0"/>
                  <w:divBdr>
                    <w:top w:val="none" w:sz="0" w:space="0" w:color="auto"/>
                    <w:left w:val="none" w:sz="0" w:space="0" w:color="auto"/>
                    <w:bottom w:val="none" w:sz="0" w:space="0" w:color="auto"/>
                    <w:right w:val="none" w:sz="0" w:space="0" w:color="auto"/>
                  </w:divBdr>
                  <w:divsChild>
                    <w:div w:id="283848075">
                      <w:marLeft w:val="0"/>
                      <w:marRight w:val="0"/>
                      <w:marTop w:val="0"/>
                      <w:marBottom w:val="0"/>
                      <w:divBdr>
                        <w:top w:val="none" w:sz="0" w:space="0" w:color="auto"/>
                        <w:left w:val="none" w:sz="0" w:space="0" w:color="auto"/>
                        <w:bottom w:val="none" w:sz="0" w:space="0" w:color="auto"/>
                        <w:right w:val="none" w:sz="0" w:space="0" w:color="auto"/>
                      </w:divBdr>
                      <w:divsChild>
                        <w:div w:id="183904673">
                          <w:marLeft w:val="0"/>
                          <w:marRight w:val="0"/>
                          <w:marTop w:val="0"/>
                          <w:marBottom w:val="0"/>
                          <w:divBdr>
                            <w:top w:val="none" w:sz="0" w:space="0" w:color="auto"/>
                            <w:left w:val="none" w:sz="0" w:space="0" w:color="auto"/>
                            <w:bottom w:val="none" w:sz="0" w:space="0" w:color="auto"/>
                            <w:right w:val="none" w:sz="0" w:space="0" w:color="auto"/>
                          </w:divBdr>
                          <w:divsChild>
                            <w:div w:id="1191260691">
                              <w:marLeft w:val="0"/>
                              <w:marRight w:val="0"/>
                              <w:marTop w:val="0"/>
                              <w:marBottom w:val="0"/>
                              <w:divBdr>
                                <w:top w:val="none" w:sz="0" w:space="0" w:color="auto"/>
                                <w:left w:val="none" w:sz="0" w:space="0" w:color="auto"/>
                                <w:bottom w:val="none" w:sz="0" w:space="0" w:color="auto"/>
                                <w:right w:val="none" w:sz="0" w:space="0" w:color="auto"/>
                              </w:divBdr>
                              <w:divsChild>
                                <w:div w:id="1268657847">
                                  <w:marLeft w:val="0"/>
                                  <w:marRight w:val="0"/>
                                  <w:marTop w:val="0"/>
                                  <w:marBottom w:val="0"/>
                                  <w:divBdr>
                                    <w:top w:val="none" w:sz="0" w:space="0" w:color="auto"/>
                                    <w:left w:val="none" w:sz="0" w:space="0" w:color="auto"/>
                                    <w:bottom w:val="none" w:sz="0" w:space="0" w:color="auto"/>
                                    <w:right w:val="none" w:sz="0" w:space="0" w:color="auto"/>
                                  </w:divBdr>
                                  <w:divsChild>
                                    <w:div w:id="906960076">
                                      <w:marLeft w:val="0"/>
                                      <w:marRight w:val="0"/>
                                      <w:marTop w:val="0"/>
                                      <w:marBottom w:val="0"/>
                                      <w:divBdr>
                                        <w:top w:val="none" w:sz="0" w:space="0" w:color="auto"/>
                                        <w:left w:val="none" w:sz="0" w:space="0" w:color="auto"/>
                                        <w:bottom w:val="none" w:sz="0" w:space="0" w:color="auto"/>
                                        <w:right w:val="none" w:sz="0" w:space="0" w:color="auto"/>
                                      </w:divBdr>
                                      <w:divsChild>
                                        <w:div w:id="1061754809">
                                          <w:marLeft w:val="0"/>
                                          <w:marRight w:val="0"/>
                                          <w:marTop w:val="0"/>
                                          <w:marBottom w:val="0"/>
                                          <w:divBdr>
                                            <w:top w:val="none" w:sz="0" w:space="0" w:color="auto"/>
                                            <w:left w:val="none" w:sz="0" w:space="0" w:color="auto"/>
                                            <w:bottom w:val="none" w:sz="0" w:space="0" w:color="auto"/>
                                            <w:right w:val="none" w:sz="0" w:space="0" w:color="auto"/>
                                          </w:divBdr>
                                          <w:divsChild>
                                            <w:div w:id="228659960">
                                              <w:marLeft w:val="0"/>
                                              <w:marRight w:val="0"/>
                                              <w:marTop w:val="0"/>
                                              <w:marBottom w:val="0"/>
                                              <w:divBdr>
                                                <w:top w:val="none" w:sz="0" w:space="0" w:color="auto"/>
                                                <w:left w:val="none" w:sz="0" w:space="0" w:color="auto"/>
                                                <w:bottom w:val="none" w:sz="0" w:space="0" w:color="auto"/>
                                                <w:right w:val="none" w:sz="0" w:space="0" w:color="auto"/>
                                              </w:divBdr>
                                              <w:divsChild>
                                                <w:div w:id="744765788">
                                                  <w:marLeft w:val="0"/>
                                                  <w:marRight w:val="0"/>
                                                  <w:marTop w:val="0"/>
                                                  <w:marBottom w:val="0"/>
                                                  <w:divBdr>
                                                    <w:top w:val="none" w:sz="0" w:space="0" w:color="auto"/>
                                                    <w:left w:val="none" w:sz="0" w:space="0" w:color="auto"/>
                                                    <w:bottom w:val="none" w:sz="0" w:space="0" w:color="auto"/>
                                                    <w:right w:val="none" w:sz="0" w:space="0" w:color="auto"/>
                                                  </w:divBdr>
                                                  <w:divsChild>
                                                    <w:div w:id="647591168">
                                                      <w:marLeft w:val="0"/>
                                                      <w:marRight w:val="0"/>
                                                      <w:marTop w:val="0"/>
                                                      <w:marBottom w:val="0"/>
                                                      <w:divBdr>
                                                        <w:top w:val="none" w:sz="0" w:space="0" w:color="auto"/>
                                                        <w:left w:val="none" w:sz="0" w:space="0" w:color="auto"/>
                                                        <w:bottom w:val="none" w:sz="0" w:space="0" w:color="auto"/>
                                                        <w:right w:val="none" w:sz="0" w:space="0" w:color="auto"/>
                                                      </w:divBdr>
                                                      <w:divsChild>
                                                        <w:div w:id="15190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6534421">
      <w:bodyDiv w:val="1"/>
      <w:marLeft w:val="0"/>
      <w:marRight w:val="0"/>
      <w:marTop w:val="0"/>
      <w:marBottom w:val="0"/>
      <w:divBdr>
        <w:top w:val="none" w:sz="0" w:space="0" w:color="auto"/>
        <w:left w:val="none" w:sz="0" w:space="0" w:color="auto"/>
        <w:bottom w:val="none" w:sz="0" w:space="0" w:color="auto"/>
        <w:right w:val="none" w:sz="0" w:space="0" w:color="auto"/>
      </w:divBdr>
    </w:div>
    <w:div w:id="537356671">
      <w:bodyDiv w:val="1"/>
      <w:marLeft w:val="0"/>
      <w:marRight w:val="0"/>
      <w:marTop w:val="0"/>
      <w:marBottom w:val="0"/>
      <w:divBdr>
        <w:top w:val="none" w:sz="0" w:space="0" w:color="auto"/>
        <w:left w:val="none" w:sz="0" w:space="0" w:color="auto"/>
        <w:bottom w:val="none" w:sz="0" w:space="0" w:color="auto"/>
        <w:right w:val="none" w:sz="0" w:space="0" w:color="auto"/>
      </w:divBdr>
      <w:divsChild>
        <w:div w:id="1756130829">
          <w:marLeft w:val="0"/>
          <w:marRight w:val="0"/>
          <w:marTop w:val="0"/>
          <w:marBottom w:val="0"/>
          <w:divBdr>
            <w:top w:val="none" w:sz="0" w:space="0" w:color="auto"/>
            <w:left w:val="none" w:sz="0" w:space="0" w:color="auto"/>
            <w:bottom w:val="none" w:sz="0" w:space="0" w:color="auto"/>
            <w:right w:val="none" w:sz="0" w:space="0" w:color="auto"/>
          </w:divBdr>
          <w:divsChild>
            <w:div w:id="924609543">
              <w:marLeft w:val="0"/>
              <w:marRight w:val="0"/>
              <w:marTop w:val="0"/>
              <w:marBottom w:val="0"/>
              <w:divBdr>
                <w:top w:val="none" w:sz="0" w:space="0" w:color="auto"/>
                <w:left w:val="none" w:sz="0" w:space="0" w:color="auto"/>
                <w:bottom w:val="none" w:sz="0" w:space="0" w:color="auto"/>
                <w:right w:val="none" w:sz="0" w:space="0" w:color="auto"/>
              </w:divBdr>
              <w:divsChild>
                <w:div w:id="923033174">
                  <w:marLeft w:val="0"/>
                  <w:marRight w:val="0"/>
                  <w:marTop w:val="0"/>
                  <w:marBottom w:val="0"/>
                  <w:divBdr>
                    <w:top w:val="none" w:sz="0" w:space="0" w:color="auto"/>
                    <w:left w:val="none" w:sz="0" w:space="0" w:color="auto"/>
                    <w:bottom w:val="none" w:sz="0" w:space="0" w:color="auto"/>
                    <w:right w:val="none" w:sz="0" w:space="0" w:color="auto"/>
                  </w:divBdr>
                  <w:divsChild>
                    <w:div w:id="1846088069">
                      <w:marLeft w:val="0"/>
                      <w:marRight w:val="0"/>
                      <w:marTop w:val="0"/>
                      <w:marBottom w:val="0"/>
                      <w:divBdr>
                        <w:top w:val="none" w:sz="0" w:space="0" w:color="auto"/>
                        <w:left w:val="none" w:sz="0" w:space="0" w:color="auto"/>
                        <w:bottom w:val="none" w:sz="0" w:space="0" w:color="auto"/>
                        <w:right w:val="none" w:sz="0" w:space="0" w:color="auto"/>
                      </w:divBdr>
                      <w:divsChild>
                        <w:div w:id="1379165107">
                          <w:marLeft w:val="0"/>
                          <w:marRight w:val="0"/>
                          <w:marTop w:val="0"/>
                          <w:marBottom w:val="0"/>
                          <w:divBdr>
                            <w:top w:val="none" w:sz="0" w:space="0" w:color="auto"/>
                            <w:left w:val="none" w:sz="0" w:space="0" w:color="auto"/>
                            <w:bottom w:val="none" w:sz="0" w:space="0" w:color="auto"/>
                            <w:right w:val="none" w:sz="0" w:space="0" w:color="auto"/>
                          </w:divBdr>
                          <w:divsChild>
                            <w:div w:id="1380780295">
                              <w:marLeft w:val="0"/>
                              <w:marRight w:val="0"/>
                              <w:marTop w:val="0"/>
                              <w:marBottom w:val="0"/>
                              <w:divBdr>
                                <w:top w:val="none" w:sz="0" w:space="0" w:color="auto"/>
                                <w:left w:val="none" w:sz="0" w:space="0" w:color="auto"/>
                                <w:bottom w:val="none" w:sz="0" w:space="0" w:color="auto"/>
                                <w:right w:val="none" w:sz="0" w:space="0" w:color="auto"/>
                              </w:divBdr>
                              <w:divsChild>
                                <w:div w:id="299262201">
                                  <w:marLeft w:val="0"/>
                                  <w:marRight w:val="0"/>
                                  <w:marTop w:val="0"/>
                                  <w:marBottom w:val="0"/>
                                  <w:divBdr>
                                    <w:top w:val="none" w:sz="0" w:space="0" w:color="auto"/>
                                    <w:left w:val="none" w:sz="0" w:space="0" w:color="auto"/>
                                    <w:bottom w:val="none" w:sz="0" w:space="0" w:color="auto"/>
                                    <w:right w:val="none" w:sz="0" w:space="0" w:color="auto"/>
                                  </w:divBdr>
                                  <w:divsChild>
                                    <w:div w:id="1592351851">
                                      <w:marLeft w:val="0"/>
                                      <w:marRight w:val="0"/>
                                      <w:marTop w:val="0"/>
                                      <w:marBottom w:val="0"/>
                                      <w:divBdr>
                                        <w:top w:val="none" w:sz="0" w:space="0" w:color="auto"/>
                                        <w:left w:val="none" w:sz="0" w:space="0" w:color="auto"/>
                                        <w:bottom w:val="none" w:sz="0" w:space="0" w:color="auto"/>
                                        <w:right w:val="none" w:sz="0" w:space="0" w:color="auto"/>
                                      </w:divBdr>
                                      <w:divsChild>
                                        <w:div w:id="454721010">
                                          <w:marLeft w:val="0"/>
                                          <w:marRight w:val="0"/>
                                          <w:marTop w:val="0"/>
                                          <w:marBottom w:val="0"/>
                                          <w:divBdr>
                                            <w:top w:val="none" w:sz="0" w:space="0" w:color="auto"/>
                                            <w:left w:val="none" w:sz="0" w:space="0" w:color="auto"/>
                                            <w:bottom w:val="none" w:sz="0" w:space="0" w:color="auto"/>
                                            <w:right w:val="none" w:sz="0" w:space="0" w:color="auto"/>
                                          </w:divBdr>
                                          <w:divsChild>
                                            <w:div w:id="269974601">
                                              <w:marLeft w:val="0"/>
                                              <w:marRight w:val="0"/>
                                              <w:marTop w:val="0"/>
                                              <w:marBottom w:val="0"/>
                                              <w:divBdr>
                                                <w:top w:val="none" w:sz="0" w:space="0" w:color="auto"/>
                                                <w:left w:val="none" w:sz="0" w:space="0" w:color="auto"/>
                                                <w:bottom w:val="none" w:sz="0" w:space="0" w:color="auto"/>
                                                <w:right w:val="none" w:sz="0" w:space="0" w:color="auto"/>
                                              </w:divBdr>
                                              <w:divsChild>
                                                <w:div w:id="925115528">
                                                  <w:marLeft w:val="0"/>
                                                  <w:marRight w:val="0"/>
                                                  <w:marTop w:val="0"/>
                                                  <w:marBottom w:val="0"/>
                                                  <w:divBdr>
                                                    <w:top w:val="none" w:sz="0" w:space="0" w:color="auto"/>
                                                    <w:left w:val="none" w:sz="0" w:space="0" w:color="auto"/>
                                                    <w:bottom w:val="none" w:sz="0" w:space="0" w:color="auto"/>
                                                    <w:right w:val="none" w:sz="0" w:space="0" w:color="auto"/>
                                                  </w:divBdr>
                                                  <w:divsChild>
                                                    <w:div w:id="146363903">
                                                      <w:marLeft w:val="0"/>
                                                      <w:marRight w:val="0"/>
                                                      <w:marTop w:val="0"/>
                                                      <w:marBottom w:val="0"/>
                                                      <w:divBdr>
                                                        <w:top w:val="none" w:sz="0" w:space="0" w:color="auto"/>
                                                        <w:left w:val="none" w:sz="0" w:space="0" w:color="auto"/>
                                                        <w:bottom w:val="none" w:sz="0" w:space="0" w:color="auto"/>
                                                        <w:right w:val="none" w:sz="0" w:space="0" w:color="auto"/>
                                                      </w:divBdr>
                                                      <w:divsChild>
                                                        <w:div w:id="12692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241988188">
      <w:bodyDiv w:val="1"/>
      <w:marLeft w:val="0"/>
      <w:marRight w:val="0"/>
      <w:marTop w:val="0"/>
      <w:marBottom w:val="0"/>
      <w:divBdr>
        <w:top w:val="none" w:sz="0" w:space="0" w:color="auto"/>
        <w:left w:val="none" w:sz="0" w:space="0" w:color="auto"/>
        <w:bottom w:val="none" w:sz="0" w:space="0" w:color="auto"/>
        <w:right w:val="none" w:sz="0" w:space="0" w:color="auto"/>
      </w:divBdr>
      <w:divsChild>
        <w:div w:id="874388414">
          <w:marLeft w:val="0"/>
          <w:marRight w:val="0"/>
          <w:marTop w:val="0"/>
          <w:marBottom w:val="0"/>
          <w:divBdr>
            <w:top w:val="none" w:sz="0" w:space="0" w:color="auto"/>
            <w:left w:val="none" w:sz="0" w:space="0" w:color="auto"/>
            <w:bottom w:val="none" w:sz="0" w:space="0" w:color="auto"/>
            <w:right w:val="none" w:sz="0" w:space="0" w:color="auto"/>
          </w:divBdr>
          <w:divsChild>
            <w:div w:id="1128740509">
              <w:marLeft w:val="0"/>
              <w:marRight w:val="0"/>
              <w:marTop w:val="0"/>
              <w:marBottom w:val="0"/>
              <w:divBdr>
                <w:top w:val="none" w:sz="0" w:space="0" w:color="auto"/>
                <w:left w:val="none" w:sz="0" w:space="0" w:color="auto"/>
                <w:bottom w:val="none" w:sz="0" w:space="0" w:color="auto"/>
                <w:right w:val="none" w:sz="0" w:space="0" w:color="auto"/>
              </w:divBdr>
              <w:divsChild>
                <w:div w:id="1982492001">
                  <w:marLeft w:val="0"/>
                  <w:marRight w:val="0"/>
                  <w:marTop w:val="0"/>
                  <w:marBottom w:val="0"/>
                  <w:divBdr>
                    <w:top w:val="none" w:sz="0" w:space="0" w:color="auto"/>
                    <w:left w:val="none" w:sz="0" w:space="0" w:color="auto"/>
                    <w:bottom w:val="none" w:sz="0" w:space="0" w:color="auto"/>
                    <w:right w:val="none" w:sz="0" w:space="0" w:color="auto"/>
                  </w:divBdr>
                  <w:divsChild>
                    <w:div w:id="409737134">
                      <w:marLeft w:val="0"/>
                      <w:marRight w:val="0"/>
                      <w:marTop w:val="0"/>
                      <w:marBottom w:val="0"/>
                      <w:divBdr>
                        <w:top w:val="none" w:sz="0" w:space="0" w:color="auto"/>
                        <w:left w:val="none" w:sz="0" w:space="0" w:color="auto"/>
                        <w:bottom w:val="none" w:sz="0" w:space="0" w:color="auto"/>
                        <w:right w:val="none" w:sz="0" w:space="0" w:color="auto"/>
                      </w:divBdr>
                      <w:divsChild>
                        <w:div w:id="232660841">
                          <w:marLeft w:val="0"/>
                          <w:marRight w:val="0"/>
                          <w:marTop w:val="0"/>
                          <w:marBottom w:val="0"/>
                          <w:divBdr>
                            <w:top w:val="none" w:sz="0" w:space="0" w:color="auto"/>
                            <w:left w:val="none" w:sz="0" w:space="0" w:color="auto"/>
                            <w:bottom w:val="none" w:sz="0" w:space="0" w:color="auto"/>
                            <w:right w:val="none" w:sz="0" w:space="0" w:color="auto"/>
                          </w:divBdr>
                          <w:divsChild>
                            <w:div w:id="560410628">
                              <w:marLeft w:val="0"/>
                              <w:marRight w:val="0"/>
                              <w:marTop w:val="0"/>
                              <w:marBottom w:val="0"/>
                              <w:divBdr>
                                <w:top w:val="none" w:sz="0" w:space="0" w:color="auto"/>
                                <w:left w:val="none" w:sz="0" w:space="0" w:color="auto"/>
                                <w:bottom w:val="none" w:sz="0" w:space="0" w:color="auto"/>
                                <w:right w:val="none" w:sz="0" w:space="0" w:color="auto"/>
                              </w:divBdr>
                              <w:divsChild>
                                <w:div w:id="729108830">
                                  <w:marLeft w:val="0"/>
                                  <w:marRight w:val="0"/>
                                  <w:marTop w:val="0"/>
                                  <w:marBottom w:val="0"/>
                                  <w:divBdr>
                                    <w:top w:val="none" w:sz="0" w:space="0" w:color="auto"/>
                                    <w:left w:val="none" w:sz="0" w:space="0" w:color="auto"/>
                                    <w:bottom w:val="none" w:sz="0" w:space="0" w:color="auto"/>
                                    <w:right w:val="none" w:sz="0" w:space="0" w:color="auto"/>
                                  </w:divBdr>
                                  <w:divsChild>
                                    <w:div w:id="831793476">
                                      <w:marLeft w:val="0"/>
                                      <w:marRight w:val="0"/>
                                      <w:marTop w:val="0"/>
                                      <w:marBottom w:val="0"/>
                                      <w:divBdr>
                                        <w:top w:val="none" w:sz="0" w:space="0" w:color="auto"/>
                                        <w:left w:val="none" w:sz="0" w:space="0" w:color="auto"/>
                                        <w:bottom w:val="none" w:sz="0" w:space="0" w:color="auto"/>
                                        <w:right w:val="none" w:sz="0" w:space="0" w:color="auto"/>
                                      </w:divBdr>
                                      <w:divsChild>
                                        <w:div w:id="41028346">
                                          <w:marLeft w:val="0"/>
                                          <w:marRight w:val="0"/>
                                          <w:marTop w:val="0"/>
                                          <w:marBottom w:val="0"/>
                                          <w:divBdr>
                                            <w:top w:val="none" w:sz="0" w:space="0" w:color="auto"/>
                                            <w:left w:val="none" w:sz="0" w:space="0" w:color="auto"/>
                                            <w:bottom w:val="none" w:sz="0" w:space="0" w:color="auto"/>
                                            <w:right w:val="none" w:sz="0" w:space="0" w:color="auto"/>
                                          </w:divBdr>
                                          <w:divsChild>
                                            <w:div w:id="690303827">
                                              <w:marLeft w:val="0"/>
                                              <w:marRight w:val="0"/>
                                              <w:marTop w:val="0"/>
                                              <w:marBottom w:val="0"/>
                                              <w:divBdr>
                                                <w:top w:val="none" w:sz="0" w:space="0" w:color="auto"/>
                                                <w:left w:val="none" w:sz="0" w:space="0" w:color="auto"/>
                                                <w:bottom w:val="none" w:sz="0" w:space="0" w:color="auto"/>
                                                <w:right w:val="none" w:sz="0" w:space="0" w:color="auto"/>
                                              </w:divBdr>
                                              <w:divsChild>
                                                <w:div w:id="5988139">
                                                  <w:marLeft w:val="0"/>
                                                  <w:marRight w:val="0"/>
                                                  <w:marTop w:val="0"/>
                                                  <w:marBottom w:val="0"/>
                                                  <w:divBdr>
                                                    <w:top w:val="none" w:sz="0" w:space="0" w:color="auto"/>
                                                    <w:left w:val="none" w:sz="0" w:space="0" w:color="auto"/>
                                                    <w:bottom w:val="none" w:sz="0" w:space="0" w:color="auto"/>
                                                    <w:right w:val="none" w:sz="0" w:space="0" w:color="auto"/>
                                                  </w:divBdr>
                                                  <w:divsChild>
                                                    <w:div w:id="189727114">
                                                      <w:marLeft w:val="0"/>
                                                      <w:marRight w:val="0"/>
                                                      <w:marTop w:val="0"/>
                                                      <w:marBottom w:val="0"/>
                                                      <w:divBdr>
                                                        <w:top w:val="none" w:sz="0" w:space="0" w:color="auto"/>
                                                        <w:left w:val="none" w:sz="0" w:space="0" w:color="auto"/>
                                                        <w:bottom w:val="none" w:sz="0" w:space="0" w:color="auto"/>
                                                        <w:right w:val="none" w:sz="0" w:space="0" w:color="auto"/>
                                                      </w:divBdr>
                                                      <w:divsChild>
                                                        <w:div w:id="3676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379353308">
      <w:bodyDiv w:val="1"/>
      <w:marLeft w:val="0"/>
      <w:marRight w:val="0"/>
      <w:marTop w:val="0"/>
      <w:marBottom w:val="0"/>
      <w:divBdr>
        <w:top w:val="none" w:sz="0" w:space="0" w:color="auto"/>
        <w:left w:val="none" w:sz="0" w:space="0" w:color="auto"/>
        <w:bottom w:val="none" w:sz="0" w:space="0" w:color="auto"/>
        <w:right w:val="none" w:sz="0" w:space="0" w:color="auto"/>
      </w:divBdr>
    </w:div>
    <w:div w:id="1389495290">
      <w:bodyDiv w:val="1"/>
      <w:marLeft w:val="0"/>
      <w:marRight w:val="0"/>
      <w:marTop w:val="0"/>
      <w:marBottom w:val="0"/>
      <w:divBdr>
        <w:top w:val="none" w:sz="0" w:space="0" w:color="auto"/>
        <w:left w:val="none" w:sz="0" w:space="0" w:color="auto"/>
        <w:bottom w:val="none" w:sz="0" w:space="0" w:color="auto"/>
        <w:right w:val="none" w:sz="0" w:space="0" w:color="auto"/>
      </w:divBdr>
    </w:div>
    <w:div w:id="1434278441">
      <w:bodyDiv w:val="1"/>
      <w:marLeft w:val="0"/>
      <w:marRight w:val="0"/>
      <w:marTop w:val="0"/>
      <w:marBottom w:val="0"/>
      <w:divBdr>
        <w:top w:val="none" w:sz="0" w:space="0" w:color="auto"/>
        <w:left w:val="none" w:sz="0" w:space="0" w:color="auto"/>
        <w:bottom w:val="none" w:sz="0" w:space="0" w:color="auto"/>
        <w:right w:val="none" w:sz="0" w:space="0" w:color="auto"/>
      </w:divBdr>
      <w:divsChild>
        <w:div w:id="72897230">
          <w:marLeft w:val="0"/>
          <w:marRight w:val="0"/>
          <w:marTop w:val="0"/>
          <w:marBottom w:val="0"/>
          <w:divBdr>
            <w:top w:val="none" w:sz="0" w:space="0" w:color="auto"/>
            <w:left w:val="none" w:sz="0" w:space="0" w:color="auto"/>
            <w:bottom w:val="none" w:sz="0" w:space="0" w:color="auto"/>
            <w:right w:val="none" w:sz="0" w:space="0" w:color="auto"/>
          </w:divBdr>
          <w:divsChild>
            <w:div w:id="141429123">
              <w:marLeft w:val="0"/>
              <w:marRight w:val="0"/>
              <w:marTop w:val="0"/>
              <w:marBottom w:val="0"/>
              <w:divBdr>
                <w:top w:val="none" w:sz="0" w:space="0" w:color="auto"/>
                <w:left w:val="none" w:sz="0" w:space="0" w:color="auto"/>
                <w:bottom w:val="none" w:sz="0" w:space="0" w:color="auto"/>
                <w:right w:val="none" w:sz="0" w:space="0" w:color="auto"/>
              </w:divBdr>
              <w:divsChild>
                <w:div w:id="765422119">
                  <w:marLeft w:val="0"/>
                  <w:marRight w:val="0"/>
                  <w:marTop w:val="0"/>
                  <w:marBottom w:val="0"/>
                  <w:divBdr>
                    <w:top w:val="none" w:sz="0" w:space="0" w:color="auto"/>
                    <w:left w:val="none" w:sz="0" w:space="0" w:color="auto"/>
                    <w:bottom w:val="none" w:sz="0" w:space="0" w:color="auto"/>
                    <w:right w:val="none" w:sz="0" w:space="0" w:color="auto"/>
                  </w:divBdr>
                  <w:divsChild>
                    <w:div w:id="1087848290">
                      <w:marLeft w:val="0"/>
                      <w:marRight w:val="0"/>
                      <w:marTop w:val="0"/>
                      <w:marBottom w:val="0"/>
                      <w:divBdr>
                        <w:top w:val="none" w:sz="0" w:space="0" w:color="auto"/>
                        <w:left w:val="none" w:sz="0" w:space="0" w:color="auto"/>
                        <w:bottom w:val="none" w:sz="0" w:space="0" w:color="auto"/>
                        <w:right w:val="none" w:sz="0" w:space="0" w:color="auto"/>
                      </w:divBdr>
                      <w:divsChild>
                        <w:div w:id="1265765849">
                          <w:marLeft w:val="0"/>
                          <w:marRight w:val="0"/>
                          <w:marTop w:val="0"/>
                          <w:marBottom w:val="0"/>
                          <w:divBdr>
                            <w:top w:val="none" w:sz="0" w:space="0" w:color="auto"/>
                            <w:left w:val="none" w:sz="0" w:space="0" w:color="auto"/>
                            <w:bottom w:val="none" w:sz="0" w:space="0" w:color="auto"/>
                            <w:right w:val="none" w:sz="0" w:space="0" w:color="auto"/>
                          </w:divBdr>
                          <w:divsChild>
                            <w:div w:id="756751097">
                              <w:marLeft w:val="0"/>
                              <w:marRight w:val="0"/>
                              <w:marTop w:val="0"/>
                              <w:marBottom w:val="0"/>
                              <w:divBdr>
                                <w:top w:val="none" w:sz="0" w:space="0" w:color="auto"/>
                                <w:left w:val="none" w:sz="0" w:space="0" w:color="auto"/>
                                <w:bottom w:val="none" w:sz="0" w:space="0" w:color="auto"/>
                                <w:right w:val="none" w:sz="0" w:space="0" w:color="auto"/>
                              </w:divBdr>
                              <w:divsChild>
                                <w:div w:id="1651473815">
                                  <w:marLeft w:val="0"/>
                                  <w:marRight w:val="0"/>
                                  <w:marTop w:val="0"/>
                                  <w:marBottom w:val="0"/>
                                  <w:divBdr>
                                    <w:top w:val="none" w:sz="0" w:space="0" w:color="auto"/>
                                    <w:left w:val="none" w:sz="0" w:space="0" w:color="auto"/>
                                    <w:bottom w:val="none" w:sz="0" w:space="0" w:color="auto"/>
                                    <w:right w:val="none" w:sz="0" w:space="0" w:color="auto"/>
                                  </w:divBdr>
                                  <w:divsChild>
                                    <w:div w:id="1526865748">
                                      <w:marLeft w:val="0"/>
                                      <w:marRight w:val="0"/>
                                      <w:marTop w:val="0"/>
                                      <w:marBottom w:val="0"/>
                                      <w:divBdr>
                                        <w:top w:val="none" w:sz="0" w:space="0" w:color="auto"/>
                                        <w:left w:val="none" w:sz="0" w:space="0" w:color="auto"/>
                                        <w:bottom w:val="none" w:sz="0" w:space="0" w:color="auto"/>
                                        <w:right w:val="none" w:sz="0" w:space="0" w:color="auto"/>
                                      </w:divBdr>
                                      <w:divsChild>
                                        <w:div w:id="977346468">
                                          <w:marLeft w:val="0"/>
                                          <w:marRight w:val="0"/>
                                          <w:marTop w:val="0"/>
                                          <w:marBottom w:val="0"/>
                                          <w:divBdr>
                                            <w:top w:val="none" w:sz="0" w:space="0" w:color="auto"/>
                                            <w:left w:val="none" w:sz="0" w:space="0" w:color="auto"/>
                                            <w:bottom w:val="none" w:sz="0" w:space="0" w:color="auto"/>
                                            <w:right w:val="none" w:sz="0" w:space="0" w:color="auto"/>
                                          </w:divBdr>
                                          <w:divsChild>
                                            <w:div w:id="1710299363">
                                              <w:marLeft w:val="0"/>
                                              <w:marRight w:val="0"/>
                                              <w:marTop w:val="0"/>
                                              <w:marBottom w:val="0"/>
                                              <w:divBdr>
                                                <w:top w:val="none" w:sz="0" w:space="0" w:color="auto"/>
                                                <w:left w:val="none" w:sz="0" w:space="0" w:color="auto"/>
                                                <w:bottom w:val="none" w:sz="0" w:space="0" w:color="auto"/>
                                                <w:right w:val="none" w:sz="0" w:space="0" w:color="auto"/>
                                              </w:divBdr>
                                              <w:divsChild>
                                                <w:div w:id="1681472749">
                                                  <w:marLeft w:val="0"/>
                                                  <w:marRight w:val="0"/>
                                                  <w:marTop w:val="0"/>
                                                  <w:marBottom w:val="0"/>
                                                  <w:divBdr>
                                                    <w:top w:val="none" w:sz="0" w:space="0" w:color="auto"/>
                                                    <w:left w:val="none" w:sz="0" w:space="0" w:color="auto"/>
                                                    <w:bottom w:val="none" w:sz="0" w:space="0" w:color="auto"/>
                                                    <w:right w:val="none" w:sz="0" w:space="0" w:color="auto"/>
                                                  </w:divBdr>
                                                  <w:divsChild>
                                                    <w:div w:id="371344128">
                                                      <w:marLeft w:val="0"/>
                                                      <w:marRight w:val="0"/>
                                                      <w:marTop w:val="0"/>
                                                      <w:marBottom w:val="0"/>
                                                      <w:divBdr>
                                                        <w:top w:val="none" w:sz="0" w:space="0" w:color="auto"/>
                                                        <w:left w:val="none" w:sz="0" w:space="0" w:color="auto"/>
                                                        <w:bottom w:val="none" w:sz="0" w:space="0" w:color="auto"/>
                                                        <w:right w:val="none" w:sz="0" w:space="0" w:color="auto"/>
                                                      </w:divBdr>
                                                      <w:divsChild>
                                                        <w:div w:id="2011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171232">
      <w:bodyDiv w:val="1"/>
      <w:marLeft w:val="0"/>
      <w:marRight w:val="0"/>
      <w:marTop w:val="0"/>
      <w:marBottom w:val="0"/>
      <w:divBdr>
        <w:top w:val="none" w:sz="0" w:space="0" w:color="auto"/>
        <w:left w:val="none" w:sz="0" w:space="0" w:color="auto"/>
        <w:bottom w:val="none" w:sz="0" w:space="0" w:color="auto"/>
        <w:right w:val="none" w:sz="0" w:space="0" w:color="auto"/>
      </w:divBdr>
      <w:divsChild>
        <w:div w:id="1500581774">
          <w:marLeft w:val="0"/>
          <w:marRight w:val="0"/>
          <w:marTop w:val="0"/>
          <w:marBottom w:val="0"/>
          <w:divBdr>
            <w:top w:val="none" w:sz="0" w:space="0" w:color="auto"/>
            <w:left w:val="none" w:sz="0" w:space="0" w:color="auto"/>
            <w:bottom w:val="none" w:sz="0" w:space="0" w:color="auto"/>
            <w:right w:val="none" w:sz="0" w:space="0" w:color="auto"/>
          </w:divBdr>
          <w:divsChild>
            <w:div w:id="1061683496">
              <w:marLeft w:val="0"/>
              <w:marRight w:val="0"/>
              <w:marTop w:val="0"/>
              <w:marBottom w:val="0"/>
              <w:divBdr>
                <w:top w:val="none" w:sz="0" w:space="0" w:color="auto"/>
                <w:left w:val="none" w:sz="0" w:space="0" w:color="auto"/>
                <w:bottom w:val="none" w:sz="0" w:space="0" w:color="auto"/>
                <w:right w:val="none" w:sz="0" w:space="0" w:color="auto"/>
              </w:divBdr>
              <w:divsChild>
                <w:div w:id="563882178">
                  <w:marLeft w:val="0"/>
                  <w:marRight w:val="0"/>
                  <w:marTop w:val="0"/>
                  <w:marBottom w:val="0"/>
                  <w:divBdr>
                    <w:top w:val="none" w:sz="0" w:space="0" w:color="auto"/>
                    <w:left w:val="none" w:sz="0" w:space="0" w:color="auto"/>
                    <w:bottom w:val="none" w:sz="0" w:space="0" w:color="auto"/>
                    <w:right w:val="none" w:sz="0" w:space="0" w:color="auto"/>
                  </w:divBdr>
                  <w:divsChild>
                    <w:div w:id="232280564">
                      <w:marLeft w:val="0"/>
                      <w:marRight w:val="0"/>
                      <w:marTop w:val="0"/>
                      <w:marBottom w:val="0"/>
                      <w:divBdr>
                        <w:top w:val="none" w:sz="0" w:space="0" w:color="auto"/>
                        <w:left w:val="none" w:sz="0" w:space="0" w:color="auto"/>
                        <w:bottom w:val="none" w:sz="0" w:space="0" w:color="auto"/>
                        <w:right w:val="none" w:sz="0" w:space="0" w:color="auto"/>
                      </w:divBdr>
                      <w:divsChild>
                        <w:div w:id="2050757994">
                          <w:marLeft w:val="0"/>
                          <w:marRight w:val="0"/>
                          <w:marTop w:val="0"/>
                          <w:marBottom w:val="0"/>
                          <w:divBdr>
                            <w:top w:val="none" w:sz="0" w:space="0" w:color="auto"/>
                            <w:left w:val="none" w:sz="0" w:space="0" w:color="auto"/>
                            <w:bottom w:val="none" w:sz="0" w:space="0" w:color="auto"/>
                            <w:right w:val="none" w:sz="0" w:space="0" w:color="auto"/>
                          </w:divBdr>
                          <w:divsChild>
                            <w:div w:id="253436954">
                              <w:marLeft w:val="0"/>
                              <w:marRight w:val="0"/>
                              <w:marTop w:val="0"/>
                              <w:marBottom w:val="0"/>
                              <w:divBdr>
                                <w:top w:val="none" w:sz="0" w:space="0" w:color="auto"/>
                                <w:left w:val="none" w:sz="0" w:space="0" w:color="auto"/>
                                <w:bottom w:val="none" w:sz="0" w:space="0" w:color="auto"/>
                                <w:right w:val="none" w:sz="0" w:space="0" w:color="auto"/>
                              </w:divBdr>
                              <w:divsChild>
                                <w:div w:id="1412698010">
                                  <w:marLeft w:val="0"/>
                                  <w:marRight w:val="0"/>
                                  <w:marTop w:val="0"/>
                                  <w:marBottom w:val="0"/>
                                  <w:divBdr>
                                    <w:top w:val="none" w:sz="0" w:space="0" w:color="auto"/>
                                    <w:left w:val="none" w:sz="0" w:space="0" w:color="auto"/>
                                    <w:bottom w:val="none" w:sz="0" w:space="0" w:color="auto"/>
                                    <w:right w:val="none" w:sz="0" w:space="0" w:color="auto"/>
                                  </w:divBdr>
                                  <w:divsChild>
                                    <w:div w:id="1748571136">
                                      <w:marLeft w:val="0"/>
                                      <w:marRight w:val="0"/>
                                      <w:marTop w:val="0"/>
                                      <w:marBottom w:val="0"/>
                                      <w:divBdr>
                                        <w:top w:val="none" w:sz="0" w:space="0" w:color="auto"/>
                                        <w:left w:val="none" w:sz="0" w:space="0" w:color="auto"/>
                                        <w:bottom w:val="none" w:sz="0" w:space="0" w:color="auto"/>
                                        <w:right w:val="none" w:sz="0" w:space="0" w:color="auto"/>
                                      </w:divBdr>
                                      <w:divsChild>
                                        <w:div w:id="811018242">
                                          <w:marLeft w:val="0"/>
                                          <w:marRight w:val="0"/>
                                          <w:marTop w:val="0"/>
                                          <w:marBottom w:val="0"/>
                                          <w:divBdr>
                                            <w:top w:val="none" w:sz="0" w:space="0" w:color="auto"/>
                                            <w:left w:val="none" w:sz="0" w:space="0" w:color="auto"/>
                                            <w:bottom w:val="none" w:sz="0" w:space="0" w:color="auto"/>
                                            <w:right w:val="none" w:sz="0" w:space="0" w:color="auto"/>
                                          </w:divBdr>
                                          <w:divsChild>
                                            <w:div w:id="1642152756">
                                              <w:marLeft w:val="0"/>
                                              <w:marRight w:val="0"/>
                                              <w:marTop w:val="0"/>
                                              <w:marBottom w:val="0"/>
                                              <w:divBdr>
                                                <w:top w:val="none" w:sz="0" w:space="0" w:color="auto"/>
                                                <w:left w:val="none" w:sz="0" w:space="0" w:color="auto"/>
                                                <w:bottom w:val="none" w:sz="0" w:space="0" w:color="auto"/>
                                                <w:right w:val="none" w:sz="0" w:space="0" w:color="auto"/>
                                              </w:divBdr>
                                              <w:divsChild>
                                                <w:div w:id="472989429">
                                                  <w:marLeft w:val="0"/>
                                                  <w:marRight w:val="0"/>
                                                  <w:marTop w:val="0"/>
                                                  <w:marBottom w:val="0"/>
                                                  <w:divBdr>
                                                    <w:top w:val="none" w:sz="0" w:space="0" w:color="auto"/>
                                                    <w:left w:val="none" w:sz="0" w:space="0" w:color="auto"/>
                                                    <w:bottom w:val="none" w:sz="0" w:space="0" w:color="auto"/>
                                                    <w:right w:val="none" w:sz="0" w:space="0" w:color="auto"/>
                                                  </w:divBdr>
                                                  <w:divsChild>
                                                    <w:div w:id="2124763112">
                                                      <w:marLeft w:val="0"/>
                                                      <w:marRight w:val="0"/>
                                                      <w:marTop w:val="0"/>
                                                      <w:marBottom w:val="0"/>
                                                      <w:divBdr>
                                                        <w:top w:val="none" w:sz="0" w:space="0" w:color="auto"/>
                                                        <w:left w:val="none" w:sz="0" w:space="0" w:color="auto"/>
                                                        <w:bottom w:val="none" w:sz="0" w:space="0" w:color="auto"/>
                                                        <w:right w:val="none" w:sz="0" w:space="0" w:color="auto"/>
                                                      </w:divBdr>
                                                      <w:divsChild>
                                                        <w:div w:id="1991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51056879">
      <w:bodyDiv w:val="1"/>
      <w:marLeft w:val="0"/>
      <w:marRight w:val="0"/>
      <w:marTop w:val="0"/>
      <w:marBottom w:val="0"/>
      <w:divBdr>
        <w:top w:val="none" w:sz="0" w:space="0" w:color="auto"/>
        <w:left w:val="none" w:sz="0" w:space="0" w:color="auto"/>
        <w:bottom w:val="none" w:sz="0" w:space="0" w:color="auto"/>
        <w:right w:val="none" w:sz="0" w:space="0" w:color="auto"/>
      </w:divBdr>
    </w:div>
    <w:div w:id="1752236191">
      <w:bodyDiv w:val="1"/>
      <w:marLeft w:val="0"/>
      <w:marRight w:val="0"/>
      <w:marTop w:val="0"/>
      <w:marBottom w:val="0"/>
      <w:divBdr>
        <w:top w:val="none" w:sz="0" w:space="0" w:color="auto"/>
        <w:left w:val="none" w:sz="0" w:space="0" w:color="auto"/>
        <w:bottom w:val="none" w:sz="0" w:space="0" w:color="auto"/>
        <w:right w:val="none" w:sz="0" w:space="0" w:color="auto"/>
      </w:divBdr>
      <w:divsChild>
        <w:div w:id="2034260991">
          <w:marLeft w:val="0"/>
          <w:marRight w:val="0"/>
          <w:marTop w:val="0"/>
          <w:marBottom w:val="0"/>
          <w:divBdr>
            <w:top w:val="none" w:sz="0" w:space="0" w:color="auto"/>
            <w:left w:val="none" w:sz="0" w:space="0" w:color="auto"/>
            <w:bottom w:val="none" w:sz="0" w:space="0" w:color="auto"/>
            <w:right w:val="none" w:sz="0" w:space="0" w:color="auto"/>
          </w:divBdr>
          <w:divsChild>
            <w:div w:id="2016347416">
              <w:marLeft w:val="0"/>
              <w:marRight w:val="0"/>
              <w:marTop w:val="0"/>
              <w:marBottom w:val="0"/>
              <w:divBdr>
                <w:top w:val="none" w:sz="0" w:space="0" w:color="auto"/>
                <w:left w:val="none" w:sz="0" w:space="0" w:color="auto"/>
                <w:bottom w:val="none" w:sz="0" w:space="0" w:color="auto"/>
                <w:right w:val="none" w:sz="0" w:space="0" w:color="auto"/>
              </w:divBdr>
              <w:divsChild>
                <w:div w:id="534267545">
                  <w:marLeft w:val="0"/>
                  <w:marRight w:val="0"/>
                  <w:marTop w:val="0"/>
                  <w:marBottom w:val="0"/>
                  <w:divBdr>
                    <w:top w:val="none" w:sz="0" w:space="0" w:color="auto"/>
                    <w:left w:val="none" w:sz="0" w:space="0" w:color="auto"/>
                    <w:bottom w:val="none" w:sz="0" w:space="0" w:color="auto"/>
                    <w:right w:val="none" w:sz="0" w:space="0" w:color="auto"/>
                  </w:divBdr>
                  <w:divsChild>
                    <w:div w:id="571501006">
                      <w:marLeft w:val="0"/>
                      <w:marRight w:val="0"/>
                      <w:marTop w:val="0"/>
                      <w:marBottom w:val="0"/>
                      <w:divBdr>
                        <w:top w:val="none" w:sz="0" w:space="0" w:color="auto"/>
                        <w:left w:val="none" w:sz="0" w:space="0" w:color="auto"/>
                        <w:bottom w:val="none" w:sz="0" w:space="0" w:color="auto"/>
                        <w:right w:val="none" w:sz="0" w:space="0" w:color="auto"/>
                      </w:divBdr>
                      <w:divsChild>
                        <w:div w:id="1899781134">
                          <w:marLeft w:val="0"/>
                          <w:marRight w:val="0"/>
                          <w:marTop w:val="0"/>
                          <w:marBottom w:val="0"/>
                          <w:divBdr>
                            <w:top w:val="none" w:sz="0" w:space="0" w:color="auto"/>
                            <w:left w:val="none" w:sz="0" w:space="0" w:color="auto"/>
                            <w:bottom w:val="none" w:sz="0" w:space="0" w:color="auto"/>
                            <w:right w:val="none" w:sz="0" w:space="0" w:color="auto"/>
                          </w:divBdr>
                          <w:divsChild>
                            <w:div w:id="1095399288">
                              <w:marLeft w:val="0"/>
                              <w:marRight w:val="0"/>
                              <w:marTop w:val="0"/>
                              <w:marBottom w:val="0"/>
                              <w:divBdr>
                                <w:top w:val="none" w:sz="0" w:space="0" w:color="auto"/>
                                <w:left w:val="none" w:sz="0" w:space="0" w:color="auto"/>
                                <w:bottom w:val="none" w:sz="0" w:space="0" w:color="auto"/>
                                <w:right w:val="none" w:sz="0" w:space="0" w:color="auto"/>
                              </w:divBdr>
                              <w:divsChild>
                                <w:div w:id="1507213071">
                                  <w:marLeft w:val="0"/>
                                  <w:marRight w:val="0"/>
                                  <w:marTop w:val="0"/>
                                  <w:marBottom w:val="0"/>
                                  <w:divBdr>
                                    <w:top w:val="none" w:sz="0" w:space="0" w:color="auto"/>
                                    <w:left w:val="none" w:sz="0" w:space="0" w:color="auto"/>
                                    <w:bottom w:val="none" w:sz="0" w:space="0" w:color="auto"/>
                                    <w:right w:val="none" w:sz="0" w:space="0" w:color="auto"/>
                                  </w:divBdr>
                                  <w:divsChild>
                                    <w:div w:id="1550995827">
                                      <w:marLeft w:val="0"/>
                                      <w:marRight w:val="0"/>
                                      <w:marTop w:val="0"/>
                                      <w:marBottom w:val="0"/>
                                      <w:divBdr>
                                        <w:top w:val="none" w:sz="0" w:space="0" w:color="auto"/>
                                        <w:left w:val="none" w:sz="0" w:space="0" w:color="auto"/>
                                        <w:bottom w:val="none" w:sz="0" w:space="0" w:color="auto"/>
                                        <w:right w:val="none" w:sz="0" w:space="0" w:color="auto"/>
                                      </w:divBdr>
                                      <w:divsChild>
                                        <w:div w:id="1712730491">
                                          <w:marLeft w:val="0"/>
                                          <w:marRight w:val="0"/>
                                          <w:marTop w:val="0"/>
                                          <w:marBottom w:val="0"/>
                                          <w:divBdr>
                                            <w:top w:val="none" w:sz="0" w:space="0" w:color="auto"/>
                                            <w:left w:val="none" w:sz="0" w:space="0" w:color="auto"/>
                                            <w:bottom w:val="none" w:sz="0" w:space="0" w:color="auto"/>
                                            <w:right w:val="none" w:sz="0" w:space="0" w:color="auto"/>
                                          </w:divBdr>
                                          <w:divsChild>
                                            <w:div w:id="1107115942">
                                              <w:marLeft w:val="0"/>
                                              <w:marRight w:val="0"/>
                                              <w:marTop w:val="0"/>
                                              <w:marBottom w:val="0"/>
                                              <w:divBdr>
                                                <w:top w:val="none" w:sz="0" w:space="0" w:color="auto"/>
                                                <w:left w:val="none" w:sz="0" w:space="0" w:color="auto"/>
                                                <w:bottom w:val="none" w:sz="0" w:space="0" w:color="auto"/>
                                                <w:right w:val="none" w:sz="0" w:space="0" w:color="auto"/>
                                              </w:divBdr>
                                              <w:divsChild>
                                                <w:div w:id="2021614087">
                                                  <w:marLeft w:val="0"/>
                                                  <w:marRight w:val="0"/>
                                                  <w:marTop w:val="0"/>
                                                  <w:marBottom w:val="0"/>
                                                  <w:divBdr>
                                                    <w:top w:val="none" w:sz="0" w:space="0" w:color="auto"/>
                                                    <w:left w:val="none" w:sz="0" w:space="0" w:color="auto"/>
                                                    <w:bottom w:val="none" w:sz="0" w:space="0" w:color="auto"/>
                                                    <w:right w:val="none" w:sz="0" w:space="0" w:color="auto"/>
                                                  </w:divBdr>
                                                  <w:divsChild>
                                                    <w:div w:id="946277850">
                                                      <w:marLeft w:val="0"/>
                                                      <w:marRight w:val="0"/>
                                                      <w:marTop w:val="0"/>
                                                      <w:marBottom w:val="0"/>
                                                      <w:divBdr>
                                                        <w:top w:val="none" w:sz="0" w:space="0" w:color="auto"/>
                                                        <w:left w:val="none" w:sz="0" w:space="0" w:color="auto"/>
                                                        <w:bottom w:val="none" w:sz="0" w:space="0" w:color="auto"/>
                                                        <w:right w:val="none" w:sz="0" w:space="0" w:color="auto"/>
                                                      </w:divBdr>
                                                      <w:divsChild>
                                                        <w:div w:id="15429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393331">
      <w:bodyDiv w:val="1"/>
      <w:marLeft w:val="0"/>
      <w:marRight w:val="0"/>
      <w:marTop w:val="0"/>
      <w:marBottom w:val="0"/>
      <w:divBdr>
        <w:top w:val="none" w:sz="0" w:space="0" w:color="auto"/>
        <w:left w:val="none" w:sz="0" w:space="0" w:color="auto"/>
        <w:bottom w:val="none" w:sz="0" w:space="0" w:color="auto"/>
        <w:right w:val="none" w:sz="0" w:space="0" w:color="auto"/>
      </w:divBdr>
    </w:div>
    <w:div w:id="21340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ctrumreform@communications.gov.au" TargetMode="External"/><Relationship Id="rId18" Type="http://schemas.openxmlformats.org/officeDocument/2006/relationships/hyperlink" Target="http://www.legislation.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cma.gov.au" TargetMode="External"/><Relationship Id="rId7" Type="http://schemas.openxmlformats.org/officeDocument/2006/relationships/styles" Target="styles.xml"/><Relationship Id="rId12" Type="http://schemas.openxmlformats.org/officeDocument/2006/relationships/hyperlink" Target="http://www.communications.gov.au" TargetMode="External"/><Relationship Id="rId17" Type="http://schemas.openxmlformats.org/officeDocument/2006/relationships/hyperlink" Target="http://www.itu.i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yperlink" Target="http://www.acm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legislation.gov.au" TargetMode="External"/><Relationship Id="rId23"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 Id="rId22" Type="http://schemas.openxmlformats.org/officeDocument/2006/relationships/hyperlink" Target="http://www.communications.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3NE2HDV7HD6D-70903741-984</_dlc_DocId>
    <_dlc_DocIdUrl xmlns="1d983eb4-33f7-44b0-aea1-cbdcf0c55136">
      <Url>http://collaboration/organisation/cid/RPB/MSAS/lib/_layouts/15/DocIdRedir.aspx?ID=3NE2HDV7HD6D-70903741-984</Url>
      <Description>3NE2HDV7HD6D-70903741-984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D7C3A4BEB94F9571DF6E5B214B49" ma:contentTypeVersion="0" ma:contentTypeDescription="Create a new document." ma:contentTypeScope="" ma:versionID="8b27767b1fac1ff08ad1ca28d0bf7f85">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1d983eb4-33f7-44b0-aea1-cbdcf0c55136"/>
  </ds:schemaRefs>
</ds:datastoreItem>
</file>

<file path=customXml/itemProps2.xml><?xml version="1.0" encoding="utf-8"?>
<ds:datastoreItem xmlns:ds="http://schemas.openxmlformats.org/officeDocument/2006/customXml" ds:itemID="{584335B9-FF1F-4E8D-AC8E-E52EA724B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696CA-F4A3-4F98-A4C9-7E9615719877}">
  <ds:schemaRefs>
    <ds:schemaRef ds:uri="http://schemas.microsoft.com/sharepoint/events"/>
  </ds:schemaRefs>
</ds:datastoreItem>
</file>

<file path=customXml/itemProps4.xml><?xml version="1.0" encoding="utf-8"?>
<ds:datastoreItem xmlns:ds="http://schemas.openxmlformats.org/officeDocument/2006/customXml" ds:itemID="{CBB3F470-24A8-47EA-AA2F-133572AD340D}">
  <ds:schemaRefs>
    <ds:schemaRef ds:uri="http://schemas.openxmlformats.org/officeDocument/2006/bibliography"/>
  </ds:schemaRefs>
</ds:datastoreItem>
</file>

<file path=customXml/itemProps5.xml><?xml version="1.0" encoding="utf-8"?>
<ds:datastoreItem xmlns:ds="http://schemas.openxmlformats.org/officeDocument/2006/customXml" ds:itemID="{C088E647-FB6C-49D4-8E75-03B5196F5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7825</Words>
  <Characters>44607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52328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4</cp:revision>
  <cp:lastPrinted>2016-07-25T00:08:00Z</cp:lastPrinted>
  <dcterms:created xsi:type="dcterms:W3CDTF">2020-11-16T04:47:00Z</dcterms:created>
  <dcterms:modified xsi:type="dcterms:W3CDTF">2020-11-16T04:48:00Z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0x010100F087D7C3A4BEB94F9571DF6E5B214B49</vt:lpwstr>
  </property>
  <property fmtid="{D5CDD505-2E9C-101B-9397-08002B2CF9AE}" pid="3" name="_dlc_DocIdItemGuid">
    <vt:lpwstr>f9a01e1f-1f50-4e7d-b803-81fe1aeb2beb</vt:lpwstr>
  </property>
</Properties>
</file>