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C6892" w14:textId="47DB21B5" w:rsidR="00086BF0" w:rsidRPr="009A1DFB" w:rsidRDefault="00086BF0" w:rsidP="00086BF0">
      <w:pPr>
        <w:rPr>
          <w:rFonts w:ascii="Times New Roman" w:hAnsi="Times New Roman" w:cs="Times New Roman"/>
          <w:sz w:val="28"/>
        </w:rPr>
      </w:pPr>
      <w:r w:rsidRPr="009A1DFB">
        <w:rPr>
          <w:rFonts w:ascii="Times New Roman" w:hAnsi="Times New Roman" w:cs="Times New Roman"/>
          <w:noProof/>
          <w:lang w:eastAsia="en-AU"/>
        </w:rPr>
        <w:drawing>
          <wp:inline distT="0" distB="0" distL="0" distR="0" wp14:anchorId="248AAB5A" wp14:editId="19360143">
            <wp:extent cx="15049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Pr="009A1DFB" w:rsidRDefault="00086BF0" w:rsidP="00086BF0">
      <w:pPr>
        <w:rPr>
          <w:rFonts w:ascii="Times New Roman" w:hAnsi="Times New Roman" w:cs="Times New Roman"/>
          <w:sz w:val="19"/>
        </w:rPr>
      </w:pPr>
    </w:p>
    <w:p w14:paraId="44546B6E" w14:textId="7CDBF711" w:rsidR="00086BF0" w:rsidRPr="009A1DFB" w:rsidRDefault="00E03C1D" w:rsidP="00086BF0">
      <w:pPr>
        <w:pStyle w:val="ShortT"/>
      </w:pPr>
      <w:r w:rsidRPr="009A1DFB">
        <w:t xml:space="preserve">Radiocommunications Advisory Guidelines (Managing Interference from Spectrum Licensed Transmitters </w:t>
      </w:r>
      <w:r w:rsidR="00CC519B" w:rsidRPr="009A1DFB">
        <w:rPr>
          <w:sz w:val="36"/>
          <w:szCs w:val="36"/>
        </w:rPr>
        <w:t>— 26 GHz Band) 2020</w:t>
      </w:r>
    </w:p>
    <w:p w14:paraId="75AA3C11" w14:textId="77777777" w:rsidR="00086BF0" w:rsidRPr="009A1DFB" w:rsidRDefault="00086BF0" w:rsidP="00086BF0">
      <w:pPr>
        <w:pStyle w:val="SignCoverPageStart"/>
        <w:spacing w:before="0" w:line="240" w:lineRule="auto"/>
        <w:rPr>
          <w:szCs w:val="22"/>
        </w:rPr>
      </w:pPr>
    </w:p>
    <w:p w14:paraId="1ECF4D11" w14:textId="7767C12F" w:rsidR="00086BF0" w:rsidRPr="009A1DFB" w:rsidRDefault="00086BF0" w:rsidP="00086BF0">
      <w:pPr>
        <w:pStyle w:val="SignCoverPageStart"/>
        <w:spacing w:before="0" w:line="240" w:lineRule="auto"/>
        <w:rPr>
          <w:szCs w:val="22"/>
        </w:rPr>
      </w:pPr>
      <w:r w:rsidRPr="009A1DFB">
        <w:rPr>
          <w:szCs w:val="22"/>
        </w:rPr>
        <w:t xml:space="preserve">The Australian Communications and Media Authority makes the following </w:t>
      </w:r>
      <w:r w:rsidR="00CC519B" w:rsidRPr="009A1DFB">
        <w:rPr>
          <w:szCs w:val="22"/>
        </w:rPr>
        <w:t>guideline</w:t>
      </w:r>
      <w:r w:rsidR="00E65866" w:rsidRPr="009A1DFB">
        <w:rPr>
          <w:szCs w:val="22"/>
        </w:rPr>
        <w:t>s</w:t>
      </w:r>
      <w:r w:rsidR="00CC519B" w:rsidRPr="009A1DFB">
        <w:rPr>
          <w:szCs w:val="22"/>
        </w:rPr>
        <w:t xml:space="preserve"> </w:t>
      </w:r>
      <w:r w:rsidRPr="009A1DFB">
        <w:rPr>
          <w:szCs w:val="22"/>
        </w:rPr>
        <w:t xml:space="preserve">under </w:t>
      </w:r>
      <w:r w:rsidR="00CC519B" w:rsidRPr="009A1DFB">
        <w:rPr>
          <w:szCs w:val="22"/>
        </w:rPr>
        <w:t>section 262 of the</w:t>
      </w:r>
      <w:r w:rsidRPr="009A1DFB">
        <w:t xml:space="preserve"> </w:t>
      </w:r>
      <w:r w:rsidR="00CC519B" w:rsidRPr="009A1DFB">
        <w:rPr>
          <w:i/>
        </w:rPr>
        <w:t>Radiocommunications Act 1992</w:t>
      </w:r>
      <w:r w:rsidRPr="009A1DFB">
        <w:t>.</w:t>
      </w:r>
    </w:p>
    <w:p w14:paraId="11CC4671" w14:textId="3D5F836B" w:rsidR="00086BF0" w:rsidRPr="009A1DFB" w:rsidRDefault="00086BF0" w:rsidP="00086BF0">
      <w:pPr>
        <w:keepNext/>
        <w:spacing w:before="300" w:line="240" w:lineRule="atLeast"/>
        <w:ind w:right="397"/>
        <w:jc w:val="both"/>
        <w:rPr>
          <w:rFonts w:ascii="Times New Roman" w:hAnsi="Times New Roman" w:cs="Times New Roman"/>
        </w:rPr>
      </w:pPr>
      <w:r w:rsidRPr="009A1DFB">
        <w:rPr>
          <w:rFonts w:ascii="Times New Roman" w:hAnsi="Times New Roman" w:cs="Times New Roman"/>
        </w:rPr>
        <w:t>Dated</w:t>
      </w:r>
      <w:bookmarkStart w:id="0" w:name="BKCheck15B_1"/>
      <w:bookmarkEnd w:id="0"/>
      <w:r w:rsidRPr="009A1DFB">
        <w:rPr>
          <w:rFonts w:ascii="Times New Roman" w:hAnsi="Times New Roman" w:cs="Times New Roman"/>
        </w:rPr>
        <w:t>:</w:t>
      </w:r>
      <w:r w:rsidR="00FB1A4A">
        <w:rPr>
          <w:rFonts w:ascii="Times New Roman" w:hAnsi="Times New Roman" w:cs="Times New Roman"/>
        </w:rPr>
        <w:t xml:space="preserve"> 20 November 2020</w:t>
      </w:r>
    </w:p>
    <w:p w14:paraId="388F94B1" w14:textId="77777777" w:rsidR="00FB1A4A" w:rsidRDefault="00FB1A4A" w:rsidP="00FB1A4A">
      <w:pPr>
        <w:tabs>
          <w:tab w:val="left" w:pos="3119"/>
        </w:tabs>
        <w:spacing w:after="0" w:line="300" w:lineRule="atLeast"/>
        <w:ind w:right="375"/>
        <w:jc w:val="right"/>
        <w:rPr>
          <w:rFonts w:ascii="Times New Roman" w:hAnsi="Times New Roman" w:cs="Times New Roman"/>
        </w:rPr>
      </w:pPr>
    </w:p>
    <w:p w14:paraId="249116E9" w14:textId="3A6803C7" w:rsidR="00FB1A4A" w:rsidRDefault="00FB1A4A" w:rsidP="00FB1A4A">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Chris Jose</w:t>
      </w:r>
    </w:p>
    <w:p w14:paraId="4A789D3E" w14:textId="76CDF6DB" w:rsidR="00FB1A4A" w:rsidRDefault="00FB1A4A" w:rsidP="00FB1A4A">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4B7188B" w14:textId="5421968A" w:rsidR="00086BF0" w:rsidRDefault="00086BF0" w:rsidP="00FB1A4A">
      <w:pPr>
        <w:tabs>
          <w:tab w:val="left" w:pos="3119"/>
        </w:tabs>
        <w:spacing w:after="0" w:line="300" w:lineRule="atLeast"/>
        <w:ind w:right="375"/>
        <w:jc w:val="right"/>
        <w:rPr>
          <w:rFonts w:ascii="Times New Roman" w:hAnsi="Times New Roman" w:cs="Times New Roman"/>
        </w:rPr>
      </w:pPr>
      <w:r w:rsidRPr="009A1DFB">
        <w:rPr>
          <w:rFonts w:ascii="Times New Roman" w:hAnsi="Times New Roman" w:cs="Times New Roman"/>
        </w:rPr>
        <w:t>Member</w:t>
      </w:r>
      <w:bookmarkStart w:id="1" w:name="Minister"/>
    </w:p>
    <w:p w14:paraId="27991350" w14:textId="05C1DDE0" w:rsidR="00FB1A4A" w:rsidRDefault="00FB1A4A" w:rsidP="00FB1A4A">
      <w:pPr>
        <w:tabs>
          <w:tab w:val="left" w:pos="3119"/>
        </w:tabs>
        <w:spacing w:after="0" w:line="300" w:lineRule="atLeast"/>
        <w:ind w:right="375"/>
        <w:jc w:val="right"/>
        <w:rPr>
          <w:rFonts w:ascii="Times New Roman" w:hAnsi="Times New Roman" w:cs="Times New Roman"/>
        </w:rPr>
      </w:pPr>
    </w:p>
    <w:p w14:paraId="7969890D" w14:textId="3DA4525A" w:rsidR="00FB1A4A" w:rsidRDefault="00B60FC0" w:rsidP="00FB1A4A">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Linda Caruso</w:t>
      </w:r>
    </w:p>
    <w:p w14:paraId="042ACFD8" w14:textId="6EAC0E1F" w:rsidR="00FB1A4A" w:rsidRPr="009A1DFB" w:rsidRDefault="00B60FC0" w:rsidP="00FB1A4A">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F356EE0" w14:textId="77777777" w:rsidR="00086BF0" w:rsidRPr="009A1DFB" w:rsidRDefault="00086BF0" w:rsidP="00FB1A4A">
      <w:pPr>
        <w:tabs>
          <w:tab w:val="left" w:pos="3119"/>
        </w:tabs>
        <w:spacing w:after="0" w:line="300" w:lineRule="atLeast"/>
        <w:ind w:right="375"/>
        <w:jc w:val="right"/>
        <w:rPr>
          <w:rFonts w:ascii="Times New Roman" w:hAnsi="Times New Roman" w:cs="Times New Roman"/>
        </w:rPr>
      </w:pPr>
      <w:r w:rsidRPr="00B60FC0">
        <w:rPr>
          <w:rFonts w:ascii="Times New Roman" w:hAnsi="Times New Roman" w:cs="Times New Roman"/>
          <w:strike/>
        </w:rPr>
        <w:t>Member</w:t>
      </w:r>
      <w:r w:rsidRPr="009A1DFB">
        <w:rPr>
          <w:rFonts w:ascii="Times New Roman" w:hAnsi="Times New Roman" w:cs="Times New Roman"/>
        </w:rPr>
        <w:t>/General Manager</w:t>
      </w:r>
      <w:bookmarkEnd w:id="1"/>
    </w:p>
    <w:p w14:paraId="1FEB742C" w14:textId="77777777" w:rsidR="00086BF0" w:rsidRPr="009A1DFB" w:rsidRDefault="00086BF0" w:rsidP="00086BF0">
      <w:pPr>
        <w:pStyle w:val="SignCoverPageEnd"/>
        <w:ind w:right="794"/>
        <w:rPr>
          <w:szCs w:val="22"/>
        </w:rPr>
      </w:pPr>
    </w:p>
    <w:p w14:paraId="26D48BEF" w14:textId="77777777" w:rsidR="00086BF0" w:rsidRPr="009A1DFB" w:rsidRDefault="00086BF0" w:rsidP="00086BF0">
      <w:pPr>
        <w:pStyle w:val="SignCoverPageEnd"/>
        <w:ind w:right="794"/>
        <w:rPr>
          <w:szCs w:val="22"/>
        </w:rPr>
      </w:pPr>
      <w:r w:rsidRPr="009A1DFB">
        <w:rPr>
          <w:szCs w:val="22"/>
        </w:rPr>
        <w:t>Australian Communications and Media Authority</w:t>
      </w:r>
    </w:p>
    <w:p w14:paraId="43092265" w14:textId="77777777" w:rsidR="00086BF0" w:rsidRPr="009A1DFB" w:rsidRDefault="00086BF0" w:rsidP="00086BF0">
      <w:pPr>
        <w:rPr>
          <w:rFonts w:ascii="Times New Roman" w:hAnsi="Times New Roman" w:cs="Times New Roman"/>
        </w:rPr>
      </w:pPr>
    </w:p>
    <w:p w14:paraId="50795CF9" w14:textId="77777777" w:rsidR="00086BF0" w:rsidRPr="009A1DFB" w:rsidRDefault="00086BF0" w:rsidP="00086BF0">
      <w:pPr>
        <w:rPr>
          <w:rFonts w:ascii="Times New Roman" w:hAnsi="Times New Roman" w:cs="Times New Roman"/>
        </w:rPr>
      </w:pPr>
    </w:p>
    <w:p w14:paraId="5AF0A5F4" w14:textId="77777777" w:rsidR="00086BF0" w:rsidRPr="009A1DFB" w:rsidRDefault="00086BF0" w:rsidP="00086BF0">
      <w:pPr>
        <w:rPr>
          <w:rFonts w:ascii="Times New Roman" w:hAnsi="Times New Roman" w:cs="Times New Roman"/>
        </w:rPr>
      </w:pPr>
    </w:p>
    <w:p w14:paraId="5D1B7840" w14:textId="77777777" w:rsidR="00086BF0" w:rsidRPr="009A1DFB" w:rsidRDefault="00086BF0" w:rsidP="00086BF0">
      <w:pPr>
        <w:spacing w:after="0"/>
        <w:rPr>
          <w:rFonts w:ascii="Times New Roman" w:hAnsi="Times New Roman" w:cs="Times New Roman"/>
        </w:rPr>
        <w:sectPr w:rsidR="00086BF0" w:rsidRPr="009A1DFB" w:rsidSect="00255D83">
          <w:headerReference w:type="default" r:id="rId12"/>
          <w:footerReference w:type="default" r:id="rId13"/>
          <w:pgSz w:w="11906" w:h="16838"/>
          <w:pgMar w:top="1440" w:right="1440" w:bottom="1440" w:left="1440" w:header="708" w:footer="708" w:gutter="0"/>
          <w:pgNumType w:start="1"/>
          <w:cols w:space="720"/>
          <w:titlePg/>
          <w:docGrid w:linePitch="299"/>
        </w:sectPr>
      </w:pPr>
    </w:p>
    <w:p w14:paraId="01E11DB3" w14:textId="77777777" w:rsidR="00086BF0" w:rsidRPr="009A1DFB" w:rsidRDefault="00086BF0" w:rsidP="00086BF0">
      <w:pPr>
        <w:rPr>
          <w:rStyle w:val="CharPartNo"/>
          <w:rFonts w:ascii="Times New Roman" w:hAnsi="Times New Roman" w:cs="Times New Roman"/>
          <w:sz w:val="32"/>
          <w:szCs w:val="32"/>
        </w:rPr>
      </w:pPr>
      <w:r w:rsidRPr="009A1DFB">
        <w:rPr>
          <w:rStyle w:val="CharPartNo"/>
          <w:rFonts w:ascii="Times New Roman" w:hAnsi="Times New Roman" w:cs="Times New Roman"/>
          <w:sz w:val="32"/>
          <w:szCs w:val="32"/>
        </w:rPr>
        <w:lastRenderedPageBreak/>
        <w:t>Contents</w:t>
      </w:r>
    </w:p>
    <w:p w14:paraId="448B30B2" w14:textId="6836441C" w:rsidR="00651359" w:rsidRDefault="00BD40C5">
      <w:pPr>
        <w:pStyle w:val="TOC1"/>
        <w:rPr>
          <w:rFonts w:asciiTheme="minorHAnsi" w:eastAsiaTheme="minorEastAsia" w:hAnsiTheme="minorHAnsi" w:cstheme="minorBidi"/>
          <w:b w:val="0"/>
          <w:caps w:val="0"/>
          <w:sz w:val="22"/>
          <w:szCs w:val="22"/>
          <w:lang w:eastAsia="en-AU"/>
        </w:rPr>
      </w:pPr>
      <w:r w:rsidRPr="009A1DFB">
        <w:rPr>
          <w:bCs/>
        </w:rPr>
        <w:fldChar w:fldCharType="begin"/>
      </w:r>
      <w:r w:rsidRPr="009A1DFB">
        <w:rPr>
          <w:bCs/>
        </w:rPr>
        <w:instrText xml:space="preserve"> TOC \o "1-2" \h \z \u </w:instrText>
      </w:r>
      <w:r w:rsidRPr="009A1DFB">
        <w:rPr>
          <w:bCs/>
        </w:rPr>
        <w:fldChar w:fldCharType="separate"/>
      </w:r>
      <w:hyperlink w:anchor="_Toc55373521" w:history="1">
        <w:r w:rsidR="00651359" w:rsidRPr="009F4836">
          <w:rPr>
            <w:rStyle w:val="Hyperlink"/>
          </w:rPr>
          <w:t>Part 1</w:t>
        </w:r>
        <w:r w:rsidR="00651359">
          <w:rPr>
            <w:rFonts w:asciiTheme="minorHAnsi" w:eastAsiaTheme="minorEastAsia" w:hAnsiTheme="minorHAnsi" w:cstheme="minorBidi"/>
            <w:b w:val="0"/>
            <w:caps w:val="0"/>
            <w:sz w:val="22"/>
            <w:szCs w:val="22"/>
            <w:lang w:eastAsia="en-AU"/>
          </w:rPr>
          <w:tab/>
        </w:r>
        <w:r w:rsidR="00651359" w:rsidRPr="009F4836">
          <w:rPr>
            <w:rStyle w:val="Hyperlink"/>
          </w:rPr>
          <w:t>Preliminary</w:t>
        </w:r>
        <w:r w:rsidR="00651359">
          <w:rPr>
            <w:webHidden/>
          </w:rPr>
          <w:tab/>
        </w:r>
        <w:r w:rsidR="00651359">
          <w:rPr>
            <w:webHidden/>
          </w:rPr>
          <w:fldChar w:fldCharType="begin"/>
        </w:r>
        <w:r w:rsidR="00651359">
          <w:rPr>
            <w:webHidden/>
          </w:rPr>
          <w:instrText xml:space="preserve"> PAGEREF _Toc55373521 \h </w:instrText>
        </w:r>
        <w:r w:rsidR="00651359">
          <w:rPr>
            <w:webHidden/>
          </w:rPr>
        </w:r>
        <w:r w:rsidR="00651359">
          <w:rPr>
            <w:webHidden/>
          </w:rPr>
          <w:fldChar w:fldCharType="separate"/>
        </w:r>
        <w:r w:rsidR="00651359">
          <w:rPr>
            <w:webHidden/>
          </w:rPr>
          <w:t>3</w:t>
        </w:r>
        <w:r w:rsidR="00651359">
          <w:rPr>
            <w:webHidden/>
          </w:rPr>
          <w:fldChar w:fldCharType="end"/>
        </w:r>
      </w:hyperlink>
    </w:p>
    <w:p w14:paraId="2AD7ED83" w14:textId="18C987F3" w:rsidR="00651359" w:rsidRDefault="00B60FC0">
      <w:pPr>
        <w:pStyle w:val="TOC2"/>
        <w:tabs>
          <w:tab w:val="right" w:leader="dot" w:pos="9016"/>
        </w:tabs>
        <w:rPr>
          <w:rFonts w:eastAsiaTheme="minorEastAsia" w:cstheme="minorBidi"/>
          <w:b w:val="0"/>
          <w:bCs w:val="0"/>
          <w:noProof/>
          <w:sz w:val="22"/>
          <w:szCs w:val="22"/>
          <w:lang w:eastAsia="en-AU"/>
        </w:rPr>
      </w:pPr>
      <w:hyperlink w:anchor="_Toc55373522" w:history="1">
        <w:r w:rsidR="00651359" w:rsidRPr="009F4836">
          <w:rPr>
            <w:rStyle w:val="Hyperlink"/>
            <w:noProof/>
          </w:rPr>
          <w:t>1  Name</w:t>
        </w:r>
        <w:r w:rsidR="00651359">
          <w:rPr>
            <w:noProof/>
            <w:webHidden/>
          </w:rPr>
          <w:tab/>
        </w:r>
        <w:r w:rsidR="00651359">
          <w:rPr>
            <w:noProof/>
            <w:webHidden/>
          </w:rPr>
          <w:fldChar w:fldCharType="begin"/>
        </w:r>
        <w:r w:rsidR="00651359">
          <w:rPr>
            <w:noProof/>
            <w:webHidden/>
          </w:rPr>
          <w:instrText xml:space="preserve"> PAGEREF _Toc55373522 \h </w:instrText>
        </w:r>
        <w:r w:rsidR="00651359">
          <w:rPr>
            <w:noProof/>
            <w:webHidden/>
          </w:rPr>
        </w:r>
        <w:r w:rsidR="00651359">
          <w:rPr>
            <w:noProof/>
            <w:webHidden/>
          </w:rPr>
          <w:fldChar w:fldCharType="separate"/>
        </w:r>
        <w:r w:rsidR="00651359">
          <w:rPr>
            <w:noProof/>
            <w:webHidden/>
          </w:rPr>
          <w:t>3</w:t>
        </w:r>
        <w:r w:rsidR="00651359">
          <w:rPr>
            <w:noProof/>
            <w:webHidden/>
          </w:rPr>
          <w:fldChar w:fldCharType="end"/>
        </w:r>
      </w:hyperlink>
    </w:p>
    <w:p w14:paraId="38BF940E" w14:textId="5A799D4C" w:rsidR="00651359" w:rsidRDefault="00B60FC0">
      <w:pPr>
        <w:pStyle w:val="TOC2"/>
        <w:tabs>
          <w:tab w:val="right" w:leader="dot" w:pos="9016"/>
        </w:tabs>
        <w:rPr>
          <w:rFonts w:eastAsiaTheme="minorEastAsia" w:cstheme="minorBidi"/>
          <w:b w:val="0"/>
          <w:bCs w:val="0"/>
          <w:noProof/>
          <w:sz w:val="22"/>
          <w:szCs w:val="22"/>
          <w:lang w:eastAsia="en-AU"/>
        </w:rPr>
      </w:pPr>
      <w:hyperlink w:anchor="_Toc55373523" w:history="1">
        <w:r w:rsidR="00651359" w:rsidRPr="009F4836">
          <w:rPr>
            <w:rStyle w:val="Hyperlink"/>
            <w:noProof/>
          </w:rPr>
          <w:t>2  Commencement</w:t>
        </w:r>
        <w:r w:rsidR="00651359">
          <w:rPr>
            <w:noProof/>
            <w:webHidden/>
          </w:rPr>
          <w:tab/>
        </w:r>
        <w:r w:rsidR="00651359">
          <w:rPr>
            <w:noProof/>
            <w:webHidden/>
          </w:rPr>
          <w:fldChar w:fldCharType="begin"/>
        </w:r>
        <w:r w:rsidR="00651359">
          <w:rPr>
            <w:noProof/>
            <w:webHidden/>
          </w:rPr>
          <w:instrText xml:space="preserve"> PAGEREF _Toc55373523 \h </w:instrText>
        </w:r>
        <w:r w:rsidR="00651359">
          <w:rPr>
            <w:noProof/>
            <w:webHidden/>
          </w:rPr>
        </w:r>
        <w:r w:rsidR="00651359">
          <w:rPr>
            <w:noProof/>
            <w:webHidden/>
          </w:rPr>
          <w:fldChar w:fldCharType="separate"/>
        </w:r>
        <w:r w:rsidR="00651359">
          <w:rPr>
            <w:noProof/>
            <w:webHidden/>
          </w:rPr>
          <w:t>3</w:t>
        </w:r>
        <w:r w:rsidR="00651359">
          <w:rPr>
            <w:noProof/>
            <w:webHidden/>
          </w:rPr>
          <w:fldChar w:fldCharType="end"/>
        </w:r>
      </w:hyperlink>
    </w:p>
    <w:p w14:paraId="289FB248" w14:textId="28F1ACF7" w:rsidR="00651359" w:rsidRDefault="00B60FC0">
      <w:pPr>
        <w:pStyle w:val="TOC2"/>
        <w:tabs>
          <w:tab w:val="right" w:leader="dot" w:pos="9016"/>
        </w:tabs>
        <w:rPr>
          <w:rFonts w:eastAsiaTheme="minorEastAsia" w:cstheme="minorBidi"/>
          <w:b w:val="0"/>
          <w:bCs w:val="0"/>
          <w:noProof/>
          <w:sz w:val="22"/>
          <w:szCs w:val="22"/>
          <w:lang w:eastAsia="en-AU"/>
        </w:rPr>
      </w:pPr>
      <w:hyperlink w:anchor="_Toc55373524" w:history="1">
        <w:r w:rsidR="00651359" w:rsidRPr="009F4836">
          <w:rPr>
            <w:rStyle w:val="Hyperlink"/>
            <w:noProof/>
          </w:rPr>
          <w:t>3  Authority</w:t>
        </w:r>
        <w:r w:rsidR="00651359">
          <w:rPr>
            <w:noProof/>
            <w:webHidden/>
          </w:rPr>
          <w:tab/>
        </w:r>
        <w:r w:rsidR="00651359">
          <w:rPr>
            <w:noProof/>
            <w:webHidden/>
          </w:rPr>
          <w:fldChar w:fldCharType="begin"/>
        </w:r>
        <w:r w:rsidR="00651359">
          <w:rPr>
            <w:noProof/>
            <w:webHidden/>
          </w:rPr>
          <w:instrText xml:space="preserve"> PAGEREF _Toc55373524 \h </w:instrText>
        </w:r>
        <w:r w:rsidR="00651359">
          <w:rPr>
            <w:noProof/>
            <w:webHidden/>
          </w:rPr>
        </w:r>
        <w:r w:rsidR="00651359">
          <w:rPr>
            <w:noProof/>
            <w:webHidden/>
          </w:rPr>
          <w:fldChar w:fldCharType="separate"/>
        </w:r>
        <w:r w:rsidR="00651359">
          <w:rPr>
            <w:noProof/>
            <w:webHidden/>
          </w:rPr>
          <w:t>3</w:t>
        </w:r>
        <w:r w:rsidR="00651359">
          <w:rPr>
            <w:noProof/>
            <w:webHidden/>
          </w:rPr>
          <w:fldChar w:fldCharType="end"/>
        </w:r>
      </w:hyperlink>
    </w:p>
    <w:p w14:paraId="11873BCA" w14:textId="4A77508C" w:rsidR="00651359" w:rsidRDefault="00B60FC0">
      <w:pPr>
        <w:pStyle w:val="TOC2"/>
        <w:tabs>
          <w:tab w:val="right" w:leader="dot" w:pos="9016"/>
        </w:tabs>
        <w:rPr>
          <w:rFonts w:eastAsiaTheme="minorEastAsia" w:cstheme="minorBidi"/>
          <w:b w:val="0"/>
          <w:bCs w:val="0"/>
          <w:noProof/>
          <w:sz w:val="22"/>
          <w:szCs w:val="22"/>
          <w:lang w:eastAsia="en-AU"/>
        </w:rPr>
      </w:pPr>
      <w:hyperlink w:anchor="_Toc55373525" w:history="1">
        <w:r w:rsidR="00651359" w:rsidRPr="009F4836">
          <w:rPr>
            <w:rStyle w:val="Hyperlink"/>
            <w:noProof/>
          </w:rPr>
          <w:t>4  Definitions</w:t>
        </w:r>
        <w:r w:rsidR="00651359">
          <w:rPr>
            <w:noProof/>
            <w:webHidden/>
          </w:rPr>
          <w:tab/>
        </w:r>
        <w:r w:rsidR="00651359">
          <w:rPr>
            <w:noProof/>
            <w:webHidden/>
          </w:rPr>
          <w:fldChar w:fldCharType="begin"/>
        </w:r>
        <w:r w:rsidR="00651359">
          <w:rPr>
            <w:noProof/>
            <w:webHidden/>
          </w:rPr>
          <w:instrText xml:space="preserve"> PAGEREF _Toc55373525 \h </w:instrText>
        </w:r>
        <w:r w:rsidR="00651359">
          <w:rPr>
            <w:noProof/>
            <w:webHidden/>
          </w:rPr>
        </w:r>
        <w:r w:rsidR="00651359">
          <w:rPr>
            <w:noProof/>
            <w:webHidden/>
          </w:rPr>
          <w:fldChar w:fldCharType="separate"/>
        </w:r>
        <w:r w:rsidR="00651359">
          <w:rPr>
            <w:noProof/>
            <w:webHidden/>
          </w:rPr>
          <w:t>3</w:t>
        </w:r>
        <w:r w:rsidR="00651359">
          <w:rPr>
            <w:noProof/>
            <w:webHidden/>
          </w:rPr>
          <w:fldChar w:fldCharType="end"/>
        </w:r>
      </w:hyperlink>
    </w:p>
    <w:p w14:paraId="0C0D80BD" w14:textId="56E7B116" w:rsidR="00651359" w:rsidRDefault="00B60FC0">
      <w:pPr>
        <w:pStyle w:val="TOC2"/>
        <w:tabs>
          <w:tab w:val="right" w:leader="dot" w:pos="9016"/>
        </w:tabs>
        <w:rPr>
          <w:rFonts w:eastAsiaTheme="minorEastAsia" w:cstheme="minorBidi"/>
          <w:b w:val="0"/>
          <w:bCs w:val="0"/>
          <w:noProof/>
          <w:sz w:val="22"/>
          <w:szCs w:val="22"/>
          <w:lang w:eastAsia="en-AU"/>
        </w:rPr>
      </w:pPr>
      <w:hyperlink w:anchor="_Toc55373526" w:history="1">
        <w:r w:rsidR="00651359" w:rsidRPr="009F4836">
          <w:rPr>
            <w:rStyle w:val="Hyperlink"/>
            <w:noProof/>
          </w:rPr>
          <w:t>5  References to other instruments</w:t>
        </w:r>
        <w:r w:rsidR="00651359">
          <w:rPr>
            <w:noProof/>
            <w:webHidden/>
          </w:rPr>
          <w:tab/>
        </w:r>
        <w:r w:rsidR="00651359">
          <w:rPr>
            <w:noProof/>
            <w:webHidden/>
          </w:rPr>
          <w:fldChar w:fldCharType="begin"/>
        </w:r>
        <w:r w:rsidR="00651359">
          <w:rPr>
            <w:noProof/>
            <w:webHidden/>
          </w:rPr>
          <w:instrText xml:space="preserve"> PAGEREF _Toc55373526 \h </w:instrText>
        </w:r>
        <w:r w:rsidR="00651359">
          <w:rPr>
            <w:noProof/>
            <w:webHidden/>
          </w:rPr>
        </w:r>
        <w:r w:rsidR="00651359">
          <w:rPr>
            <w:noProof/>
            <w:webHidden/>
          </w:rPr>
          <w:fldChar w:fldCharType="separate"/>
        </w:r>
        <w:r w:rsidR="00651359">
          <w:rPr>
            <w:noProof/>
            <w:webHidden/>
          </w:rPr>
          <w:t>5</w:t>
        </w:r>
        <w:r w:rsidR="00651359">
          <w:rPr>
            <w:noProof/>
            <w:webHidden/>
          </w:rPr>
          <w:fldChar w:fldCharType="end"/>
        </w:r>
      </w:hyperlink>
    </w:p>
    <w:p w14:paraId="7D1089A7" w14:textId="1BE5B685" w:rsidR="00651359" w:rsidRDefault="00B60FC0">
      <w:pPr>
        <w:pStyle w:val="TOC1"/>
        <w:rPr>
          <w:rFonts w:asciiTheme="minorHAnsi" w:eastAsiaTheme="minorEastAsia" w:hAnsiTheme="minorHAnsi" w:cstheme="minorBidi"/>
          <w:b w:val="0"/>
          <w:caps w:val="0"/>
          <w:sz w:val="22"/>
          <w:szCs w:val="22"/>
          <w:lang w:eastAsia="en-AU"/>
        </w:rPr>
      </w:pPr>
      <w:hyperlink w:anchor="_Toc55373527" w:history="1">
        <w:r w:rsidR="00651359" w:rsidRPr="009F4836">
          <w:rPr>
            <w:rStyle w:val="Hyperlink"/>
          </w:rPr>
          <w:t>Part 2</w:t>
        </w:r>
        <w:r w:rsidR="00651359">
          <w:rPr>
            <w:rFonts w:asciiTheme="minorHAnsi" w:eastAsiaTheme="minorEastAsia" w:hAnsiTheme="minorHAnsi" w:cstheme="minorBidi"/>
            <w:b w:val="0"/>
            <w:caps w:val="0"/>
            <w:sz w:val="22"/>
            <w:szCs w:val="22"/>
            <w:lang w:eastAsia="en-AU"/>
          </w:rPr>
          <w:tab/>
        </w:r>
        <w:r w:rsidR="00651359" w:rsidRPr="009F4836">
          <w:rPr>
            <w:rStyle w:val="Hyperlink"/>
          </w:rPr>
          <w:t>Overview</w:t>
        </w:r>
        <w:r w:rsidR="00651359">
          <w:rPr>
            <w:webHidden/>
          </w:rPr>
          <w:tab/>
        </w:r>
        <w:r w:rsidR="00651359">
          <w:rPr>
            <w:webHidden/>
          </w:rPr>
          <w:fldChar w:fldCharType="begin"/>
        </w:r>
        <w:r w:rsidR="00651359">
          <w:rPr>
            <w:webHidden/>
          </w:rPr>
          <w:instrText xml:space="preserve"> PAGEREF _Toc55373527 \h </w:instrText>
        </w:r>
        <w:r w:rsidR="00651359">
          <w:rPr>
            <w:webHidden/>
          </w:rPr>
        </w:r>
        <w:r w:rsidR="00651359">
          <w:rPr>
            <w:webHidden/>
          </w:rPr>
          <w:fldChar w:fldCharType="separate"/>
        </w:r>
        <w:r w:rsidR="00651359">
          <w:rPr>
            <w:webHidden/>
          </w:rPr>
          <w:t>6</w:t>
        </w:r>
        <w:r w:rsidR="00651359">
          <w:rPr>
            <w:webHidden/>
          </w:rPr>
          <w:fldChar w:fldCharType="end"/>
        </w:r>
      </w:hyperlink>
    </w:p>
    <w:p w14:paraId="7E7DD84E" w14:textId="186BE185" w:rsidR="00651359" w:rsidRDefault="00B60FC0">
      <w:pPr>
        <w:pStyle w:val="TOC2"/>
        <w:tabs>
          <w:tab w:val="right" w:leader="dot" w:pos="9016"/>
        </w:tabs>
        <w:rPr>
          <w:rFonts w:eastAsiaTheme="minorEastAsia" w:cstheme="minorBidi"/>
          <w:b w:val="0"/>
          <w:bCs w:val="0"/>
          <w:noProof/>
          <w:sz w:val="22"/>
          <w:szCs w:val="22"/>
          <w:lang w:eastAsia="en-AU"/>
        </w:rPr>
      </w:pPr>
      <w:hyperlink w:anchor="_Toc55373528" w:history="1">
        <w:r w:rsidR="00651359" w:rsidRPr="009F4836">
          <w:rPr>
            <w:rStyle w:val="Hyperlink"/>
            <w:noProof/>
          </w:rPr>
          <w:t>6  Background</w:t>
        </w:r>
        <w:r w:rsidR="00651359">
          <w:rPr>
            <w:noProof/>
            <w:webHidden/>
          </w:rPr>
          <w:tab/>
        </w:r>
        <w:r w:rsidR="00651359">
          <w:rPr>
            <w:noProof/>
            <w:webHidden/>
          </w:rPr>
          <w:fldChar w:fldCharType="begin"/>
        </w:r>
        <w:r w:rsidR="00651359">
          <w:rPr>
            <w:noProof/>
            <w:webHidden/>
          </w:rPr>
          <w:instrText xml:space="preserve"> PAGEREF _Toc55373528 \h </w:instrText>
        </w:r>
        <w:r w:rsidR="00651359">
          <w:rPr>
            <w:noProof/>
            <w:webHidden/>
          </w:rPr>
        </w:r>
        <w:r w:rsidR="00651359">
          <w:rPr>
            <w:noProof/>
            <w:webHidden/>
          </w:rPr>
          <w:fldChar w:fldCharType="separate"/>
        </w:r>
        <w:r w:rsidR="00651359">
          <w:rPr>
            <w:noProof/>
            <w:webHidden/>
          </w:rPr>
          <w:t>6</w:t>
        </w:r>
        <w:r w:rsidR="00651359">
          <w:rPr>
            <w:noProof/>
            <w:webHidden/>
          </w:rPr>
          <w:fldChar w:fldCharType="end"/>
        </w:r>
      </w:hyperlink>
    </w:p>
    <w:p w14:paraId="3CE0264A" w14:textId="74EE5BB1" w:rsidR="00651359" w:rsidRDefault="00B60FC0">
      <w:pPr>
        <w:pStyle w:val="TOC2"/>
        <w:tabs>
          <w:tab w:val="right" w:leader="dot" w:pos="9016"/>
        </w:tabs>
        <w:rPr>
          <w:rFonts w:eastAsiaTheme="minorEastAsia" w:cstheme="minorBidi"/>
          <w:b w:val="0"/>
          <w:bCs w:val="0"/>
          <w:noProof/>
          <w:sz w:val="22"/>
          <w:szCs w:val="22"/>
          <w:lang w:eastAsia="en-AU"/>
        </w:rPr>
      </w:pPr>
      <w:hyperlink w:anchor="_Toc55373529" w:history="1">
        <w:r w:rsidR="00651359" w:rsidRPr="009F4836">
          <w:rPr>
            <w:rStyle w:val="Hyperlink"/>
            <w:noProof/>
          </w:rPr>
          <w:t>7  Purpose</w:t>
        </w:r>
        <w:r w:rsidR="00651359">
          <w:rPr>
            <w:noProof/>
            <w:webHidden/>
          </w:rPr>
          <w:tab/>
        </w:r>
        <w:r w:rsidR="00651359">
          <w:rPr>
            <w:noProof/>
            <w:webHidden/>
          </w:rPr>
          <w:fldChar w:fldCharType="begin"/>
        </w:r>
        <w:r w:rsidR="00651359">
          <w:rPr>
            <w:noProof/>
            <w:webHidden/>
          </w:rPr>
          <w:instrText xml:space="preserve"> PAGEREF _Toc55373529 \h </w:instrText>
        </w:r>
        <w:r w:rsidR="00651359">
          <w:rPr>
            <w:noProof/>
            <w:webHidden/>
          </w:rPr>
        </w:r>
        <w:r w:rsidR="00651359">
          <w:rPr>
            <w:noProof/>
            <w:webHidden/>
          </w:rPr>
          <w:fldChar w:fldCharType="separate"/>
        </w:r>
        <w:r w:rsidR="00651359">
          <w:rPr>
            <w:noProof/>
            <w:webHidden/>
          </w:rPr>
          <w:t>6</w:t>
        </w:r>
        <w:r w:rsidR="00651359">
          <w:rPr>
            <w:noProof/>
            <w:webHidden/>
          </w:rPr>
          <w:fldChar w:fldCharType="end"/>
        </w:r>
      </w:hyperlink>
    </w:p>
    <w:p w14:paraId="7E29CBC2" w14:textId="65264F5E" w:rsidR="00651359" w:rsidRDefault="00B60FC0">
      <w:pPr>
        <w:pStyle w:val="TOC1"/>
        <w:rPr>
          <w:rFonts w:asciiTheme="minorHAnsi" w:eastAsiaTheme="minorEastAsia" w:hAnsiTheme="minorHAnsi" w:cstheme="minorBidi"/>
          <w:b w:val="0"/>
          <w:caps w:val="0"/>
          <w:sz w:val="22"/>
          <w:szCs w:val="22"/>
          <w:lang w:eastAsia="en-AU"/>
        </w:rPr>
      </w:pPr>
      <w:hyperlink w:anchor="_Toc55373530" w:history="1">
        <w:r w:rsidR="00651359" w:rsidRPr="009F4836">
          <w:rPr>
            <w:rStyle w:val="Hyperlink"/>
          </w:rPr>
          <w:t>Part 3</w:t>
        </w:r>
        <w:r w:rsidR="00651359">
          <w:rPr>
            <w:rFonts w:asciiTheme="minorHAnsi" w:eastAsiaTheme="minorEastAsia" w:hAnsiTheme="minorHAnsi" w:cstheme="minorBidi"/>
            <w:b w:val="0"/>
            <w:caps w:val="0"/>
            <w:sz w:val="22"/>
            <w:szCs w:val="22"/>
            <w:lang w:eastAsia="en-AU"/>
          </w:rPr>
          <w:tab/>
        </w:r>
        <w:r w:rsidR="00651359" w:rsidRPr="009F4836">
          <w:rPr>
            <w:rStyle w:val="Hyperlink"/>
          </w:rPr>
          <w:t>Earth receive stations</w:t>
        </w:r>
        <w:r w:rsidR="00651359">
          <w:rPr>
            <w:webHidden/>
          </w:rPr>
          <w:tab/>
        </w:r>
        <w:r w:rsidR="00651359">
          <w:rPr>
            <w:webHidden/>
          </w:rPr>
          <w:fldChar w:fldCharType="begin"/>
        </w:r>
        <w:r w:rsidR="00651359">
          <w:rPr>
            <w:webHidden/>
          </w:rPr>
          <w:instrText xml:space="preserve"> PAGEREF _Toc55373530 \h </w:instrText>
        </w:r>
        <w:r w:rsidR="00651359">
          <w:rPr>
            <w:webHidden/>
          </w:rPr>
        </w:r>
        <w:r w:rsidR="00651359">
          <w:rPr>
            <w:webHidden/>
          </w:rPr>
          <w:fldChar w:fldCharType="separate"/>
        </w:r>
        <w:r w:rsidR="00651359">
          <w:rPr>
            <w:webHidden/>
          </w:rPr>
          <w:t>7</w:t>
        </w:r>
        <w:r w:rsidR="00651359">
          <w:rPr>
            <w:webHidden/>
          </w:rPr>
          <w:fldChar w:fldCharType="end"/>
        </w:r>
      </w:hyperlink>
    </w:p>
    <w:p w14:paraId="247ABA61" w14:textId="236BE670" w:rsidR="00651359" w:rsidRDefault="00B60FC0">
      <w:pPr>
        <w:pStyle w:val="TOC2"/>
        <w:tabs>
          <w:tab w:val="right" w:leader="dot" w:pos="9016"/>
        </w:tabs>
        <w:rPr>
          <w:rFonts w:eastAsiaTheme="minorEastAsia" w:cstheme="minorBidi"/>
          <w:b w:val="0"/>
          <w:bCs w:val="0"/>
          <w:noProof/>
          <w:sz w:val="22"/>
          <w:szCs w:val="22"/>
          <w:lang w:eastAsia="en-AU"/>
        </w:rPr>
      </w:pPr>
      <w:hyperlink w:anchor="_Toc55373531" w:history="1">
        <w:r w:rsidR="00651359" w:rsidRPr="009F4836">
          <w:rPr>
            <w:rStyle w:val="Hyperlink"/>
            <w:noProof/>
          </w:rPr>
          <w:t>8  Background</w:t>
        </w:r>
        <w:r w:rsidR="00651359">
          <w:rPr>
            <w:noProof/>
            <w:webHidden/>
          </w:rPr>
          <w:tab/>
        </w:r>
        <w:r w:rsidR="00651359">
          <w:rPr>
            <w:noProof/>
            <w:webHidden/>
          </w:rPr>
          <w:fldChar w:fldCharType="begin"/>
        </w:r>
        <w:r w:rsidR="00651359">
          <w:rPr>
            <w:noProof/>
            <w:webHidden/>
          </w:rPr>
          <w:instrText xml:space="preserve"> PAGEREF _Toc55373531 \h </w:instrText>
        </w:r>
        <w:r w:rsidR="00651359">
          <w:rPr>
            <w:noProof/>
            <w:webHidden/>
          </w:rPr>
        </w:r>
        <w:r w:rsidR="00651359">
          <w:rPr>
            <w:noProof/>
            <w:webHidden/>
          </w:rPr>
          <w:fldChar w:fldCharType="separate"/>
        </w:r>
        <w:r w:rsidR="00651359">
          <w:rPr>
            <w:noProof/>
            <w:webHidden/>
          </w:rPr>
          <w:t>7</w:t>
        </w:r>
        <w:r w:rsidR="00651359">
          <w:rPr>
            <w:noProof/>
            <w:webHidden/>
          </w:rPr>
          <w:fldChar w:fldCharType="end"/>
        </w:r>
      </w:hyperlink>
    </w:p>
    <w:p w14:paraId="134CDA1B" w14:textId="0B691FC6" w:rsidR="00651359" w:rsidRDefault="00B60FC0">
      <w:pPr>
        <w:pStyle w:val="TOC2"/>
        <w:tabs>
          <w:tab w:val="right" w:leader="dot" w:pos="9016"/>
        </w:tabs>
        <w:rPr>
          <w:rFonts w:eastAsiaTheme="minorEastAsia" w:cstheme="minorBidi"/>
          <w:b w:val="0"/>
          <w:bCs w:val="0"/>
          <w:noProof/>
          <w:sz w:val="22"/>
          <w:szCs w:val="22"/>
          <w:lang w:eastAsia="en-AU"/>
        </w:rPr>
      </w:pPr>
      <w:hyperlink w:anchor="_Toc55373532" w:history="1">
        <w:r w:rsidR="00651359" w:rsidRPr="009F4836">
          <w:rPr>
            <w:rStyle w:val="Hyperlink"/>
            <w:noProof/>
          </w:rPr>
          <w:t>9  Protection requirements</w:t>
        </w:r>
        <w:r w:rsidR="00651359">
          <w:rPr>
            <w:noProof/>
            <w:webHidden/>
          </w:rPr>
          <w:tab/>
        </w:r>
        <w:r w:rsidR="00651359">
          <w:rPr>
            <w:noProof/>
            <w:webHidden/>
          </w:rPr>
          <w:fldChar w:fldCharType="begin"/>
        </w:r>
        <w:r w:rsidR="00651359">
          <w:rPr>
            <w:noProof/>
            <w:webHidden/>
          </w:rPr>
          <w:instrText xml:space="preserve"> PAGEREF _Toc55373532 \h </w:instrText>
        </w:r>
        <w:r w:rsidR="00651359">
          <w:rPr>
            <w:noProof/>
            <w:webHidden/>
          </w:rPr>
        </w:r>
        <w:r w:rsidR="00651359">
          <w:rPr>
            <w:noProof/>
            <w:webHidden/>
          </w:rPr>
          <w:fldChar w:fldCharType="separate"/>
        </w:r>
        <w:r w:rsidR="00651359">
          <w:rPr>
            <w:noProof/>
            <w:webHidden/>
          </w:rPr>
          <w:t>7</w:t>
        </w:r>
        <w:r w:rsidR="00651359">
          <w:rPr>
            <w:noProof/>
            <w:webHidden/>
          </w:rPr>
          <w:fldChar w:fldCharType="end"/>
        </w:r>
      </w:hyperlink>
    </w:p>
    <w:p w14:paraId="06580080" w14:textId="1EFBAE6C" w:rsidR="00651359" w:rsidRDefault="00B60FC0">
      <w:pPr>
        <w:pStyle w:val="TOC1"/>
        <w:rPr>
          <w:rFonts w:asciiTheme="minorHAnsi" w:eastAsiaTheme="minorEastAsia" w:hAnsiTheme="minorHAnsi" w:cstheme="minorBidi"/>
          <w:b w:val="0"/>
          <w:caps w:val="0"/>
          <w:sz w:val="22"/>
          <w:szCs w:val="22"/>
          <w:lang w:eastAsia="en-AU"/>
        </w:rPr>
      </w:pPr>
      <w:hyperlink w:anchor="_Toc55373533" w:history="1">
        <w:r w:rsidR="00651359" w:rsidRPr="009F4836">
          <w:rPr>
            <w:rStyle w:val="Hyperlink"/>
          </w:rPr>
          <w:t>Part 4</w:t>
        </w:r>
        <w:r w:rsidR="00651359">
          <w:rPr>
            <w:rFonts w:asciiTheme="minorHAnsi" w:eastAsiaTheme="minorEastAsia" w:hAnsiTheme="minorHAnsi" w:cstheme="minorBidi"/>
            <w:b w:val="0"/>
            <w:caps w:val="0"/>
            <w:sz w:val="22"/>
            <w:szCs w:val="22"/>
            <w:lang w:eastAsia="en-AU"/>
          </w:rPr>
          <w:tab/>
        </w:r>
        <w:r w:rsidR="00651359" w:rsidRPr="009F4836">
          <w:rPr>
            <w:rStyle w:val="Hyperlink"/>
          </w:rPr>
          <w:t>Space receive stations in the 26 GHz band</w:t>
        </w:r>
        <w:r w:rsidR="00651359">
          <w:rPr>
            <w:webHidden/>
          </w:rPr>
          <w:tab/>
        </w:r>
        <w:r w:rsidR="00651359">
          <w:rPr>
            <w:webHidden/>
          </w:rPr>
          <w:fldChar w:fldCharType="begin"/>
        </w:r>
        <w:r w:rsidR="00651359">
          <w:rPr>
            <w:webHidden/>
          </w:rPr>
          <w:instrText xml:space="preserve"> PAGEREF _Toc55373533 \h </w:instrText>
        </w:r>
        <w:r w:rsidR="00651359">
          <w:rPr>
            <w:webHidden/>
          </w:rPr>
        </w:r>
        <w:r w:rsidR="00651359">
          <w:rPr>
            <w:webHidden/>
          </w:rPr>
          <w:fldChar w:fldCharType="separate"/>
        </w:r>
        <w:r w:rsidR="00651359">
          <w:rPr>
            <w:webHidden/>
          </w:rPr>
          <w:t>8</w:t>
        </w:r>
        <w:r w:rsidR="00651359">
          <w:rPr>
            <w:webHidden/>
          </w:rPr>
          <w:fldChar w:fldCharType="end"/>
        </w:r>
      </w:hyperlink>
    </w:p>
    <w:p w14:paraId="7917D4EF" w14:textId="6AA8B548" w:rsidR="00651359" w:rsidRDefault="00B60FC0">
      <w:pPr>
        <w:pStyle w:val="TOC2"/>
        <w:tabs>
          <w:tab w:val="right" w:leader="dot" w:pos="9016"/>
        </w:tabs>
        <w:rPr>
          <w:rFonts w:eastAsiaTheme="minorEastAsia" w:cstheme="minorBidi"/>
          <w:b w:val="0"/>
          <w:bCs w:val="0"/>
          <w:noProof/>
          <w:sz w:val="22"/>
          <w:szCs w:val="22"/>
          <w:lang w:eastAsia="en-AU"/>
        </w:rPr>
      </w:pPr>
      <w:hyperlink w:anchor="_Toc55373534" w:history="1">
        <w:r w:rsidR="00651359" w:rsidRPr="009F4836">
          <w:rPr>
            <w:rStyle w:val="Hyperlink"/>
            <w:noProof/>
          </w:rPr>
          <w:t>10  Background</w:t>
        </w:r>
        <w:r w:rsidR="00651359">
          <w:rPr>
            <w:noProof/>
            <w:webHidden/>
          </w:rPr>
          <w:tab/>
        </w:r>
        <w:r w:rsidR="00651359">
          <w:rPr>
            <w:noProof/>
            <w:webHidden/>
          </w:rPr>
          <w:fldChar w:fldCharType="begin"/>
        </w:r>
        <w:r w:rsidR="00651359">
          <w:rPr>
            <w:noProof/>
            <w:webHidden/>
          </w:rPr>
          <w:instrText xml:space="preserve"> PAGEREF _Toc55373534 \h </w:instrText>
        </w:r>
        <w:r w:rsidR="00651359">
          <w:rPr>
            <w:noProof/>
            <w:webHidden/>
          </w:rPr>
        </w:r>
        <w:r w:rsidR="00651359">
          <w:rPr>
            <w:noProof/>
            <w:webHidden/>
          </w:rPr>
          <w:fldChar w:fldCharType="separate"/>
        </w:r>
        <w:r w:rsidR="00651359">
          <w:rPr>
            <w:noProof/>
            <w:webHidden/>
          </w:rPr>
          <w:t>8</w:t>
        </w:r>
        <w:r w:rsidR="00651359">
          <w:rPr>
            <w:noProof/>
            <w:webHidden/>
          </w:rPr>
          <w:fldChar w:fldCharType="end"/>
        </w:r>
      </w:hyperlink>
    </w:p>
    <w:p w14:paraId="2250DBFF" w14:textId="498B758B" w:rsidR="00651359" w:rsidRDefault="00B60FC0">
      <w:pPr>
        <w:pStyle w:val="TOC2"/>
        <w:tabs>
          <w:tab w:val="right" w:leader="dot" w:pos="9016"/>
        </w:tabs>
        <w:rPr>
          <w:rFonts w:eastAsiaTheme="minorEastAsia" w:cstheme="minorBidi"/>
          <w:b w:val="0"/>
          <w:bCs w:val="0"/>
          <w:noProof/>
          <w:sz w:val="22"/>
          <w:szCs w:val="22"/>
          <w:lang w:eastAsia="en-AU"/>
        </w:rPr>
      </w:pPr>
      <w:hyperlink w:anchor="_Toc55373535" w:history="1">
        <w:r w:rsidR="00651359" w:rsidRPr="009F4836">
          <w:rPr>
            <w:rStyle w:val="Hyperlink"/>
            <w:noProof/>
          </w:rPr>
          <w:t>11  Protection requirements</w:t>
        </w:r>
        <w:r w:rsidR="00651359">
          <w:rPr>
            <w:noProof/>
            <w:webHidden/>
          </w:rPr>
          <w:tab/>
        </w:r>
        <w:r w:rsidR="00651359">
          <w:rPr>
            <w:noProof/>
            <w:webHidden/>
          </w:rPr>
          <w:fldChar w:fldCharType="begin"/>
        </w:r>
        <w:r w:rsidR="00651359">
          <w:rPr>
            <w:noProof/>
            <w:webHidden/>
          </w:rPr>
          <w:instrText xml:space="preserve"> PAGEREF _Toc55373535 \h </w:instrText>
        </w:r>
        <w:r w:rsidR="00651359">
          <w:rPr>
            <w:noProof/>
            <w:webHidden/>
          </w:rPr>
        </w:r>
        <w:r w:rsidR="00651359">
          <w:rPr>
            <w:noProof/>
            <w:webHidden/>
          </w:rPr>
          <w:fldChar w:fldCharType="separate"/>
        </w:r>
        <w:r w:rsidR="00651359">
          <w:rPr>
            <w:noProof/>
            <w:webHidden/>
          </w:rPr>
          <w:t>8</w:t>
        </w:r>
        <w:r w:rsidR="00651359">
          <w:rPr>
            <w:noProof/>
            <w:webHidden/>
          </w:rPr>
          <w:fldChar w:fldCharType="end"/>
        </w:r>
      </w:hyperlink>
    </w:p>
    <w:p w14:paraId="13149331" w14:textId="6D041C97" w:rsidR="00651359" w:rsidRDefault="00B60FC0">
      <w:pPr>
        <w:pStyle w:val="TOC1"/>
        <w:rPr>
          <w:rFonts w:asciiTheme="minorHAnsi" w:eastAsiaTheme="minorEastAsia" w:hAnsiTheme="minorHAnsi" w:cstheme="minorBidi"/>
          <w:b w:val="0"/>
          <w:caps w:val="0"/>
          <w:sz w:val="22"/>
          <w:szCs w:val="22"/>
          <w:lang w:eastAsia="en-AU"/>
        </w:rPr>
      </w:pPr>
      <w:hyperlink w:anchor="_Toc55373536" w:history="1">
        <w:r w:rsidR="00651359" w:rsidRPr="009F4836">
          <w:rPr>
            <w:rStyle w:val="Hyperlink"/>
          </w:rPr>
          <w:t>Part 5</w:t>
        </w:r>
        <w:r w:rsidR="00651359">
          <w:rPr>
            <w:rFonts w:asciiTheme="minorHAnsi" w:eastAsiaTheme="minorEastAsia" w:hAnsiTheme="minorHAnsi" w:cstheme="minorBidi"/>
            <w:b w:val="0"/>
            <w:caps w:val="0"/>
            <w:sz w:val="22"/>
            <w:szCs w:val="22"/>
            <w:lang w:eastAsia="en-AU"/>
          </w:rPr>
          <w:tab/>
        </w:r>
        <w:r w:rsidR="00651359" w:rsidRPr="009F4836">
          <w:rPr>
            <w:rStyle w:val="Hyperlink"/>
          </w:rPr>
          <w:t>Services authorised by an area-wide licence</w:t>
        </w:r>
        <w:r w:rsidR="00651359">
          <w:rPr>
            <w:webHidden/>
          </w:rPr>
          <w:tab/>
        </w:r>
        <w:r w:rsidR="00651359">
          <w:rPr>
            <w:webHidden/>
          </w:rPr>
          <w:fldChar w:fldCharType="begin"/>
        </w:r>
        <w:r w:rsidR="00651359">
          <w:rPr>
            <w:webHidden/>
          </w:rPr>
          <w:instrText xml:space="preserve"> PAGEREF _Toc55373536 \h </w:instrText>
        </w:r>
        <w:r w:rsidR="00651359">
          <w:rPr>
            <w:webHidden/>
          </w:rPr>
        </w:r>
        <w:r w:rsidR="00651359">
          <w:rPr>
            <w:webHidden/>
          </w:rPr>
          <w:fldChar w:fldCharType="separate"/>
        </w:r>
        <w:r w:rsidR="00651359">
          <w:rPr>
            <w:webHidden/>
          </w:rPr>
          <w:t>12</w:t>
        </w:r>
        <w:r w:rsidR="00651359">
          <w:rPr>
            <w:webHidden/>
          </w:rPr>
          <w:fldChar w:fldCharType="end"/>
        </w:r>
      </w:hyperlink>
    </w:p>
    <w:p w14:paraId="175F7234" w14:textId="6552BE15" w:rsidR="00651359" w:rsidRDefault="00B60FC0">
      <w:pPr>
        <w:pStyle w:val="TOC2"/>
        <w:tabs>
          <w:tab w:val="right" w:leader="dot" w:pos="9016"/>
        </w:tabs>
        <w:rPr>
          <w:rFonts w:eastAsiaTheme="minorEastAsia" w:cstheme="minorBidi"/>
          <w:b w:val="0"/>
          <w:bCs w:val="0"/>
          <w:noProof/>
          <w:sz w:val="22"/>
          <w:szCs w:val="22"/>
          <w:lang w:eastAsia="en-AU"/>
        </w:rPr>
      </w:pPr>
      <w:hyperlink w:anchor="_Toc55373537" w:history="1">
        <w:r w:rsidR="00651359" w:rsidRPr="009F4836">
          <w:rPr>
            <w:rStyle w:val="Hyperlink"/>
            <w:noProof/>
          </w:rPr>
          <w:t>12  Background</w:t>
        </w:r>
        <w:r w:rsidR="00651359">
          <w:rPr>
            <w:noProof/>
            <w:webHidden/>
          </w:rPr>
          <w:tab/>
        </w:r>
        <w:r w:rsidR="00651359">
          <w:rPr>
            <w:noProof/>
            <w:webHidden/>
          </w:rPr>
          <w:fldChar w:fldCharType="begin"/>
        </w:r>
        <w:r w:rsidR="00651359">
          <w:rPr>
            <w:noProof/>
            <w:webHidden/>
          </w:rPr>
          <w:instrText xml:space="preserve"> PAGEREF _Toc55373537 \h </w:instrText>
        </w:r>
        <w:r w:rsidR="00651359">
          <w:rPr>
            <w:noProof/>
            <w:webHidden/>
          </w:rPr>
        </w:r>
        <w:r w:rsidR="00651359">
          <w:rPr>
            <w:noProof/>
            <w:webHidden/>
          </w:rPr>
          <w:fldChar w:fldCharType="separate"/>
        </w:r>
        <w:r w:rsidR="00651359">
          <w:rPr>
            <w:noProof/>
            <w:webHidden/>
          </w:rPr>
          <w:t>12</w:t>
        </w:r>
        <w:r w:rsidR="00651359">
          <w:rPr>
            <w:noProof/>
            <w:webHidden/>
          </w:rPr>
          <w:fldChar w:fldCharType="end"/>
        </w:r>
      </w:hyperlink>
    </w:p>
    <w:p w14:paraId="43ACFF98" w14:textId="283064A6" w:rsidR="00651359" w:rsidRDefault="00B60FC0">
      <w:pPr>
        <w:pStyle w:val="TOC2"/>
        <w:tabs>
          <w:tab w:val="right" w:leader="dot" w:pos="9016"/>
        </w:tabs>
        <w:rPr>
          <w:rFonts w:eastAsiaTheme="minorEastAsia" w:cstheme="minorBidi"/>
          <w:b w:val="0"/>
          <w:bCs w:val="0"/>
          <w:noProof/>
          <w:sz w:val="22"/>
          <w:szCs w:val="22"/>
          <w:lang w:eastAsia="en-AU"/>
        </w:rPr>
      </w:pPr>
      <w:hyperlink w:anchor="_Toc55373538" w:history="1">
        <w:r w:rsidR="00651359" w:rsidRPr="009F4836">
          <w:rPr>
            <w:rStyle w:val="Hyperlink"/>
            <w:noProof/>
          </w:rPr>
          <w:t>13  Recommended preliminary coordination procedures</w:t>
        </w:r>
        <w:r w:rsidR="00651359">
          <w:rPr>
            <w:noProof/>
            <w:webHidden/>
          </w:rPr>
          <w:tab/>
        </w:r>
        <w:r w:rsidR="00651359">
          <w:rPr>
            <w:noProof/>
            <w:webHidden/>
          </w:rPr>
          <w:fldChar w:fldCharType="begin"/>
        </w:r>
        <w:r w:rsidR="00651359">
          <w:rPr>
            <w:noProof/>
            <w:webHidden/>
          </w:rPr>
          <w:instrText xml:space="preserve"> PAGEREF _Toc55373538 \h </w:instrText>
        </w:r>
        <w:r w:rsidR="00651359">
          <w:rPr>
            <w:noProof/>
            <w:webHidden/>
          </w:rPr>
        </w:r>
        <w:r w:rsidR="00651359">
          <w:rPr>
            <w:noProof/>
            <w:webHidden/>
          </w:rPr>
          <w:fldChar w:fldCharType="separate"/>
        </w:r>
        <w:r w:rsidR="00651359">
          <w:rPr>
            <w:noProof/>
            <w:webHidden/>
          </w:rPr>
          <w:t>12</w:t>
        </w:r>
        <w:r w:rsidR="00651359">
          <w:rPr>
            <w:noProof/>
            <w:webHidden/>
          </w:rPr>
          <w:fldChar w:fldCharType="end"/>
        </w:r>
      </w:hyperlink>
    </w:p>
    <w:p w14:paraId="5ED647BA" w14:textId="6EAAB7F0" w:rsidR="00651359" w:rsidRDefault="00B60FC0">
      <w:pPr>
        <w:pStyle w:val="TOC1"/>
        <w:rPr>
          <w:rFonts w:asciiTheme="minorHAnsi" w:eastAsiaTheme="minorEastAsia" w:hAnsiTheme="minorHAnsi" w:cstheme="minorBidi"/>
          <w:b w:val="0"/>
          <w:caps w:val="0"/>
          <w:sz w:val="22"/>
          <w:szCs w:val="22"/>
          <w:lang w:eastAsia="en-AU"/>
        </w:rPr>
      </w:pPr>
      <w:hyperlink w:anchor="_Toc55373539" w:history="1">
        <w:r w:rsidR="00651359" w:rsidRPr="009F4836">
          <w:rPr>
            <w:rStyle w:val="Hyperlink"/>
          </w:rPr>
          <w:t>Part 6</w:t>
        </w:r>
        <w:r w:rsidR="00651359">
          <w:rPr>
            <w:rFonts w:asciiTheme="minorHAnsi" w:eastAsiaTheme="minorEastAsia" w:hAnsiTheme="minorHAnsi" w:cstheme="minorBidi"/>
            <w:b w:val="0"/>
            <w:caps w:val="0"/>
            <w:sz w:val="22"/>
            <w:szCs w:val="22"/>
            <w:lang w:eastAsia="en-AU"/>
          </w:rPr>
          <w:tab/>
        </w:r>
        <w:r w:rsidR="00651359" w:rsidRPr="009F4836">
          <w:rPr>
            <w:rStyle w:val="Hyperlink"/>
          </w:rPr>
          <w:t>Class licensed services</w:t>
        </w:r>
        <w:r w:rsidR="00651359">
          <w:rPr>
            <w:webHidden/>
          </w:rPr>
          <w:tab/>
        </w:r>
        <w:r w:rsidR="00651359">
          <w:rPr>
            <w:webHidden/>
          </w:rPr>
          <w:fldChar w:fldCharType="begin"/>
        </w:r>
        <w:r w:rsidR="00651359">
          <w:rPr>
            <w:webHidden/>
          </w:rPr>
          <w:instrText xml:space="preserve"> PAGEREF _Toc55373539 \h </w:instrText>
        </w:r>
        <w:r w:rsidR="00651359">
          <w:rPr>
            <w:webHidden/>
          </w:rPr>
        </w:r>
        <w:r w:rsidR="00651359">
          <w:rPr>
            <w:webHidden/>
          </w:rPr>
          <w:fldChar w:fldCharType="separate"/>
        </w:r>
        <w:r w:rsidR="00651359">
          <w:rPr>
            <w:webHidden/>
          </w:rPr>
          <w:t>14</w:t>
        </w:r>
        <w:r w:rsidR="00651359">
          <w:rPr>
            <w:webHidden/>
          </w:rPr>
          <w:fldChar w:fldCharType="end"/>
        </w:r>
      </w:hyperlink>
    </w:p>
    <w:p w14:paraId="5D8A9EC8" w14:textId="0D0E2260" w:rsidR="00651359" w:rsidRDefault="00B60FC0">
      <w:pPr>
        <w:pStyle w:val="TOC2"/>
        <w:tabs>
          <w:tab w:val="right" w:leader="dot" w:pos="9016"/>
        </w:tabs>
        <w:rPr>
          <w:rFonts w:eastAsiaTheme="minorEastAsia" w:cstheme="minorBidi"/>
          <w:b w:val="0"/>
          <w:bCs w:val="0"/>
          <w:noProof/>
          <w:sz w:val="22"/>
          <w:szCs w:val="22"/>
          <w:lang w:eastAsia="en-AU"/>
        </w:rPr>
      </w:pPr>
      <w:hyperlink w:anchor="_Toc55373540" w:history="1">
        <w:r w:rsidR="00651359" w:rsidRPr="009F4836">
          <w:rPr>
            <w:rStyle w:val="Hyperlink"/>
            <w:noProof/>
          </w:rPr>
          <w:t>14  Background</w:t>
        </w:r>
        <w:r w:rsidR="00651359">
          <w:rPr>
            <w:noProof/>
            <w:webHidden/>
          </w:rPr>
          <w:tab/>
        </w:r>
        <w:r w:rsidR="00651359">
          <w:rPr>
            <w:noProof/>
            <w:webHidden/>
          </w:rPr>
          <w:fldChar w:fldCharType="begin"/>
        </w:r>
        <w:r w:rsidR="00651359">
          <w:rPr>
            <w:noProof/>
            <w:webHidden/>
          </w:rPr>
          <w:instrText xml:space="preserve"> PAGEREF _Toc55373540 \h </w:instrText>
        </w:r>
        <w:r w:rsidR="00651359">
          <w:rPr>
            <w:noProof/>
            <w:webHidden/>
          </w:rPr>
        </w:r>
        <w:r w:rsidR="00651359">
          <w:rPr>
            <w:noProof/>
            <w:webHidden/>
          </w:rPr>
          <w:fldChar w:fldCharType="separate"/>
        </w:r>
        <w:r w:rsidR="00651359">
          <w:rPr>
            <w:noProof/>
            <w:webHidden/>
          </w:rPr>
          <w:t>14</w:t>
        </w:r>
        <w:r w:rsidR="00651359">
          <w:rPr>
            <w:noProof/>
            <w:webHidden/>
          </w:rPr>
          <w:fldChar w:fldCharType="end"/>
        </w:r>
      </w:hyperlink>
    </w:p>
    <w:p w14:paraId="29FA544C" w14:textId="6035E119" w:rsidR="00651359" w:rsidRDefault="00B60FC0">
      <w:pPr>
        <w:pStyle w:val="TOC2"/>
        <w:tabs>
          <w:tab w:val="right" w:leader="dot" w:pos="9016"/>
        </w:tabs>
        <w:rPr>
          <w:rFonts w:eastAsiaTheme="minorEastAsia" w:cstheme="minorBidi"/>
          <w:b w:val="0"/>
          <w:bCs w:val="0"/>
          <w:noProof/>
          <w:sz w:val="22"/>
          <w:szCs w:val="22"/>
          <w:lang w:eastAsia="en-AU"/>
        </w:rPr>
      </w:pPr>
      <w:hyperlink w:anchor="_Toc55373541" w:history="1">
        <w:r w:rsidR="00651359" w:rsidRPr="009F4836">
          <w:rPr>
            <w:rStyle w:val="Hyperlink"/>
            <w:noProof/>
          </w:rPr>
          <w:t>15  Protection requirements</w:t>
        </w:r>
        <w:r w:rsidR="00651359">
          <w:rPr>
            <w:noProof/>
            <w:webHidden/>
          </w:rPr>
          <w:tab/>
        </w:r>
        <w:r w:rsidR="00651359">
          <w:rPr>
            <w:noProof/>
            <w:webHidden/>
          </w:rPr>
          <w:fldChar w:fldCharType="begin"/>
        </w:r>
        <w:r w:rsidR="00651359">
          <w:rPr>
            <w:noProof/>
            <w:webHidden/>
          </w:rPr>
          <w:instrText xml:space="preserve"> PAGEREF _Toc55373541 \h </w:instrText>
        </w:r>
        <w:r w:rsidR="00651359">
          <w:rPr>
            <w:noProof/>
            <w:webHidden/>
          </w:rPr>
        </w:r>
        <w:r w:rsidR="00651359">
          <w:rPr>
            <w:noProof/>
            <w:webHidden/>
          </w:rPr>
          <w:fldChar w:fldCharType="separate"/>
        </w:r>
        <w:r w:rsidR="00651359">
          <w:rPr>
            <w:noProof/>
            <w:webHidden/>
          </w:rPr>
          <w:t>14</w:t>
        </w:r>
        <w:r w:rsidR="00651359">
          <w:rPr>
            <w:noProof/>
            <w:webHidden/>
          </w:rPr>
          <w:fldChar w:fldCharType="end"/>
        </w:r>
      </w:hyperlink>
    </w:p>
    <w:p w14:paraId="0380A1D5" w14:textId="7832A693" w:rsidR="00651359" w:rsidRDefault="00B60FC0">
      <w:pPr>
        <w:pStyle w:val="TOC1"/>
        <w:rPr>
          <w:rFonts w:asciiTheme="minorHAnsi" w:eastAsiaTheme="minorEastAsia" w:hAnsiTheme="minorHAnsi" w:cstheme="minorBidi"/>
          <w:b w:val="0"/>
          <w:caps w:val="0"/>
          <w:sz w:val="22"/>
          <w:szCs w:val="22"/>
          <w:lang w:eastAsia="en-AU"/>
        </w:rPr>
      </w:pPr>
      <w:hyperlink w:anchor="_Toc55373542" w:history="1">
        <w:r w:rsidR="00651359" w:rsidRPr="009F4836">
          <w:rPr>
            <w:rStyle w:val="Hyperlink"/>
          </w:rPr>
          <w:t>Part 7</w:t>
        </w:r>
        <w:r w:rsidR="00651359">
          <w:rPr>
            <w:rFonts w:asciiTheme="minorHAnsi" w:eastAsiaTheme="minorEastAsia" w:hAnsiTheme="minorHAnsi" w:cstheme="minorBidi"/>
            <w:b w:val="0"/>
            <w:caps w:val="0"/>
            <w:sz w:val="22"/>
            <w:szCs w:val="22"/>
            <w:lang w:eastAsia="en-AU"/>
          </w:rPr>
          <w:tab/>
        </w:r>
        <w:r w:rsidR="00651359" w:rsidRPr="009F4836">
          <w:rPr>
            <w:rStyle w:val="Hyperlink"/>
          </w:rPr>
          <w:t>Fixed services</w:t>
        </w:r>
        <w:r w:rsidR="00651359">
          <w:rPr>
            <w:webHidden/>
          </w:rPr>
          <w:tab/>
        </w:r>
        <w:r w:rsidR="00651359">
          <w:rPr>
            <w:webHidden/>
          </w:rPr>
          <w:fldChar w:fldCharType="begin"/>
        </w:r>
        <w:r w:rsidR="00651359">
          <w:rPr>
            <w:webHidden/>
          </w:rPr>
          <w:instrText xml:space="preserve"> PAGEREF _Toc55373542 \h </w:instrText>
        </w:r>
        <w:r w:rsidR="00651359">
          <w:rPr>
            <w:webHidden/>
          </w:rPr>
        </w:r>
        <w:r w:rsidR="00651359">
          <w:rPr>
            <w:webHidden/>
          </w:rPr>
          <w:fldChar w:fldCharType="separate"/>
        </w:r>
        <w:r w:rsidR="00651359">
          <w:rPr>
            <w:webHidden/>
          </w:rPr>
          <w:t>15</w:t>
        </w:r>
        <w:r w:rsidR="00651359">
          <w:rPr>
            <w:webHidden/>
          </w:rPr>
          <w:fldChar w:fldCharType="end"/>
        </w:r>
      </w:hyperlink>
    </w:p>
    <w:p w14:paraId="78CD2106" w14:textId="5CAE545C" w:rsidR="00651359" w:rsidRDefault="00B60FC0">
      <w:pPr>
        <w:pStyle w:val="TOC2"/>
        <w:tabs>
          <w:tab w:val="right" w:leader="dot" w:pos="9016"/>
        </w:tabs>
        <w:rPr>
          <w:rFonts w:eastAsiaTheme="minorEastAsia" w:cstheme="minorBidi"/>
          <w:b w:val="0"/>
          <w:bCs w:val="0"/>
          <w:noProof/>
          <w:sz w:val="22"/>
          <w:szCs w:val="22"/>
          <w:lang w:eastAsia="en-AU"/>
        </w:rPr>
      </w:pPr>
      <w:hyperlink w:anchor="_Toc55373543" w:history="1">
        <w:r w:rsidR="00651359" w:rsidRPr="009F4836">
          <w:rPr>
            <w:rStyle w:val="Hyperlink"/>
            <w:noProof/>
          </w:rPr>
          <w:t>16  Background</w:t>
        </w:r>
        <w:r w:rsidR="00651359">
          <w:rPr>
            <w:noProof/>
            <w:webHidden/>
          </w:rPr>
          <w:tab/>
        </w:r>
        <w:r w:rsidR="00651359">
          <w:rPr>
            <w:noProof/>
            <w:webHidden/>
          </w:rPr>
          <w:fldChar w:fldCharType="begin"/>
        </w:r>
        <w:r w:rsidR="00651359">
          <w:rPr>
            <w:noProof/>
            <w:webHidden/>
          </w:rPr>
          <w:instrText xml:space="preserve"> PAGEREF _Toc55373543 \h </w:instrText>
        </w:r>
        <w:r w:rsidR="00651359">
          <w:rPr>
            <w:noProof/>
            <w:webHidden/>
          </w:rPr>
        </w:r>
        <w:r w:rsidR="00651359">
          <w:rPr>
            <w:noProof/>
            <w:webHidden/>
          </w:rPr>
          <w:fldChar w:fldCharType="separate"/>
        </w:r>
        <w:r w:rsidR="00651359">
          <w:rPr>
            <w:noProof/>
            <w:webHidden/>
          </w:rPr>
          <w:t>15</w:t>
        </w:r>
        <w:r w:rsidR="00651359">
          <w:rPr>
            <w:noProof/>
            <w:webHidden/>
          </w:rPr>
          <w:fldChar w:fldCharType="end"/>
        </w:r>
      </w:hyperlink>
    </w:p>
    <w:p w14:paraId="7078C94E" w14:textId="3FBA8EF6" w:rsidR="00651359" w:rsidRDefault="00B60FC0">
      <w:pPr>
        <w:pStyle w:val="TOC2"/>
        <w:tabs>
          <w:tab w:val="right" w:leader="dot" w:pos="9016"/>
        </w:tabs>
        <w:rPr>
          <w:rFonts w:eastAsiaTheme="minorEastAsia" w:cstheme="minorBidi"/>
          <w:b w:val="0"/>
          <w:bCs w:val="0"/>
          <w:noProof/>
          <w:sz w:val="22"/>
          <w:szCs w:val="22"/>
          <w:lang w:eastAsia="en-AU"/>
        </w:rPr>
      </w:pPr>
      <w:hyperlink w:anchor="_Toc55373544" w:history="1">
        <w:r w:rsidR="00651359" w:rsidRPr="009F4836">
          <w:rPr>
            <w:rStyle w:val="Hyperlink"/>
            <w:noProof/>
          </w:rPr>
          <w:t>17  Protection requirements</w:t>
        </w:r>
        <w:r w:rsidR="00651359">
          <w:rPr>
            <w:noProof/>
            <w:webHidden/>
          </w:rPr>
          <w:tab/>
        </w:r>
        <w:r w:rsidR="00651359">
          <w:rPr>
            <w:noProof/>
            <w:webHidden/>
          </w:rPr>
          <w:fldChar w:fldCharType="begin"/>
        </w:r>
        <w:r w:rsidR="00651359">
          <w:rPr>
            <w:noProof/>
            <w:webHidden/>
          </w:rPr>
          <w:instrText xml:space="preserve"> PAGEREF _Toc55373544 \h </w:instrText>
        </w:r>
        <w:r w:rsidR="00651359">
          <w:rPr>
            <w:noProof/>
            <w:webHidden/>
          </w:rPr>
        </w:r>
        <w:r w:rsidR="00651359">
          <w:rPr>
            <w:noProof/>
            <w:webHidden/>
          </w:rPr>
          <w:fldChar w:fldCharType="separate"/>
        </w:r>
        <w:r w:rsidR="00651359">
          <w:rPr>
            <w:noProof/>
            <w:webHidden/>
          </w:rPr>
          <w:t>15</w:t>
        </w:r>
        <w:r w:rsidR="00651359">
          <w:rPr>
            <w:noProof/>
            <w:webHidden/>
          </w:rPr>
          <w:fldChar w:fldCharType="end"/>
        </w:r>
      </w:hyperlink>
    </w:p>
    <w:p w14:paraId="64CFA55A" w14:textId="41A44C72" w:rsidR="00651359" w:rsidRDefault="00B60FC0">
      <w:pPr>
        <w:pStyle w:val="TOC1"/>
        <w:rPr>
          <w:rFonts w:asciiTheme="minorHAnsi" w:eastAsiaTheme="minorEastAsia" w:hAnsiTheme="minorHAnsi" w:cstheme="minorBidi"/>
          <w:b w:val="0"/>
          <w:caps w:val="0"/>
          <w:sz w:val="22"/>
          <w:szCs w:val="22"/>
          <w:lang w:eastAsia="en-AU"/>
        </w:rPr>
      </w:pPr>
      <w:hyperlink w:anchor="_Toc55373545" w:history="1">
        <w:r w:rsidR="00651359" w:rsidRPr="009F4836">
          <w:rPr>
            <w:rStyle w:val="Hyperlink"/>
          </w:rPr>
          <w:t xml:space="preserve">Schedule 1 </w:t>
        </w:r>
        <w:r w:rsidR="00651359">
          <w:rPr>
            <w:rFonts w:asciiTheme="minorHAnsi" w:eastAsiaTheme="minorEastAsia" w:hAnsiTheme="minorHAnsi" w:cstheme="minorBidi"/>
            <w:b w:val="0"/>
            <w:caps w:val="0"/>
            <w:sz w:val="22"/>
            <w:szCs w:val="22"/>
            <w:lang w:eastAsia="en-AU"/>
          </w:rPr>
          <w:tab/>
        </w:r>
        <w:r w:rsidR="00651359" w:rsidRPr="009F4836">
          <w:rPr>
            <w:rStyle w:val="Hyperlink"/>
          </w:rPr>
          <w:t>Inner-footprint areas</w:t>
        </w:r>
        <w:r w:rsidR="00651359">
          <w:rPr>
            <w:webHidden/>
          </w:rPr>
          <w:tab/>
        </w:r>
        <w:r w:rsidR="00651359">
          <w:rPr>
            <w:webHidden/>
          </w:rPr>
          <w:fldChar w:fldCharType="begin"/>
        </w:r>
        <w:r w:rsidR="00651359">
          <w:rPr>
            <w:webHidden/>
          </w:rPr>
          <w:instrText xml:space="preserve"> PAGEREF _Toc55373545 \h </w:instrText>
        </w:r>
        <w:r w:rsidR="00651359">
          <w:rPr>
            <w:webHidden/>
          </w:rPr>
        </w:r>
        <w:r w:rsidR="00651359">
          <w:rPr>
            <w:webHidden/>
          </w:rPr>
          <w:fldChar w:fldCharType="separate"/>
        </w:r>
        <w:r w:rsidR="00651359">
          <w:rPr>
            <w:webHidden/>
          </w:rPr>
          <w:t>16</w:t>
        </w:r>
        <w:r w:rsidR="00651359">
          <w:rPr>
            <w:webHidden/>
          </w:rPr>
          <w:fldChar w:fldCharType="end"/>
        </w:r>
      </w:hyperlink>
    </w:p>
    <w:p w14:paraId="0D075CD1" w14:textId="1874ABE0" w:rsidR="00651359" w:rsidRDefault="00B60FC0">
      <w:pPr>
        <w:pStyle w:val="TOC1"/>
        <w:rPr>
          <w:rFonts w:asciiTheme="minorHAnsi" w:eastAsiaTheme="minorEastAsia" w:hAnsiTheme="minorHAnsi" w:cstheme="minorBidi"/>
          <w:b w:val="0"/>
          <w:caps w:val="0"/>
          <w:sz w:val="22"/>
          <w:szCs w:val="22"/>
          <w:lang w:eastAsia="en-AU"/>
        </w:rPr>
      </w:pPr>
      <w:hyperlink w:anchor="_Toc55373546" w:history="1">
        <w:r w:rsidR="00651359" w:rsidRPr="009F4836">
          <w:rPr>
            <w:rStyle w:val="Hyperlink"/>
          </w:rPr>
          <w:t xml:space="preserve">Schedule 2 </w:t>
        </w:r>
        <w:r w:rsidR="00651359">
          <w:rPr>
            <w:rFonts w:asciiTheme="minorHAnsi" w:eastAsiaTheme="minorEastAsia" w:hAnsiTheme="minorHAnsi" w:cstheme="minorBidi"/>
            <w:b w:val="0"/>
            <w:caps w:val="0"/>
            <w:sz w:val="22"/>
            <w:szCs w:val="22"/>
            <w:lang w:eastAsia="en-AU"/>
          </w:rPr>
          <w:tab/>
        </w:r>
        <w:r w:rsidR="00651359" w:rsidRPr="009F4836">
          <w:rPr>
            <w:rStyle w:val="Hyperlink"/>
          </w:rPr>
          <w:t>Outer-footprint areas</w:t>
        </w:r>
        <w:r w:rsidR="00651359">
          <w:rPr>
            <w:webHidden/>
          </w:rPr>
          <w:tab/>
        </w:r>
        <w:r w:rsidR="00651359">
          <w:rPr>
            <w:webHidden/>
          </w:rPr>
          <w:fldChar w:fldCharType="begin"/>
        </w:r>
        <w:r w:rsidR="00651359">
          <w:rPr>
            <w:webHidden/>
          </w:rPr>
          <w:instrText xml:space="preserve"> PAGEREF _Toc55373546 \h </w:instrText>
        </w:r>
        <w:r w:rsidR="00651359">
          <w:rPr>
            <w:webHidden/>
          </w:rPr>
        </w:r>
        <w:r w:rsidR="00651359">
          <w:rPr>
            <w:webHidden/>
          </w:rPr>
          <w:fldChar w:fldCharType="separate"/>
        </w:r>
        <w:r w:rsidR="00651359">
          <w:rPr>
            <w:webHidden/>
          </w:rPr>
          <w:t>17</w:t>
        </w:r>
        <w:r w:rsidR="00651359">
          <w:rPr>
            <w:webHidden/>
          </w:rPr>
          <w:fldChar w:fldCharType="end"/>
        </w:r>
      </w:hyperlink>
    </w:p>
    <w:p w14:paraId="560AD9B6" w14:textId="6E807FB6" w:rsidR="00086BF0" w:rsidRPr="009A1DFB" w:rsidRDefault="00BD40C5" w:rsidP="00255D83">
      <w:pPr>
        <w:spacing w:after="120" w:line="240" w:lineRule="auto"/>
        <w:rPr>
          <w:rFonts w:ascii="Times New Roman" w:hAnsi="Times New Roman" w:cs="Times New Roman"/>
          <w:b/>
          <w:sz w:val="24"/>
          <w:szCs w:val="24"/>
        </w:rPr>
      </w:pPr>
      <w:r w:rsidRPr="009A1DFB">
        <w:rPr>
          <w:rFonts w:ascii="Times New Roman" w:hAnsi="Times New Roman" w:cs="Times New Roman"/>
          <w:bCs/>
          <w:sz w:val="24"/>
          <w:szCs w:val="24"/>
        </w:rPr>
        <w:fldChar w:fldCharType="end"/>
      </w:r>
    </w:p>
    <w:p w14:paraId="1B8B696F" w14:textId="77777777" w:rsidR="00BD40C5" w:rsidRPr="009A1DFB" w:rsidRDefault="00BD40C5" w:rsidP="00086BF0">
      <w:pPr>
        <w:rPr>
          <w:rFonts w:ascii="Times New Roman" w:hAnsi="Times New Roman" w:cs="Times New Roman"/>
        </w:rPr>
      </w:pPr>
    </w:p>
    <w:p w14:paraId="794EFB19" w14:textId="77777777" w:rsidR="00086BF0" w:rsidRPr="009A1DFB" w:rsidRDefault="00086BF0" w:rsidP="00086BF0">
      <w:pPr>
        <w:rPr>
          <w:rFonts w:ascii="Times New Roman" w:hAnsi="Times New Roman" w:cs="Times New Roman"/>
        </w:rPr>
      </w:pPr>
    </w:p>
    <w:p w14:paraId="6603E212" w14:textId="77777777" w:rsidR="00086BF0" w:rsidRPr="009A1DFB" w:rsidRDefault="00086BF0" w:rsidP="00086BF0">
      <w:pPr>
        <w:spacing w:after="0"/>
        <w:rPr>
          <w:rFonts w:ascii="Times New Roman" w:hAnsi="Times New Roman" w:cs="Times New Roman"/>
        </w:rPr>
        <w:sectPr w:rsidR="00086BF0" w:rsidRPr="009A1DFB">
          <w:pgSz w:w="11906" w:h="16838"/>
          <w:pgMar w:top="1440" w:right="1440" w:bottom="1440" w:left="1440" w:header="708" w:footer="708" w:gutter="0"/>
          <w:cols w:space="720"/>
        </w:sectPr>
      </w:pPr>
    </w:p>
    <w:p w14:paraId="54781D03" w14:textId="08578169" w:rsidR="00086BF0" w:rsidRPr="009A1DFB" w:rsidRDefault="00086BF0" w:rsidP="00BD40C5">
      <w:pPr>
        <w:pStyle w:val="Heading1"/>
      </w:pPr>
      <w:bookmarkStart w:id="2" w:name="_Toc55373521"/>
      <w:bookmarkStart w:id="3" w:name="_Toc444596031"/>
      <w:r w:rsidRPr="009A1DFB">
        <w:rPr>
          <w:rStyle w:val="CharPartNo"/>
        </w:rPr>
        <w:lastRenderedPageBreak/>
        <w:t>Part 1</w:t>
      </w:r>
      <w:r w:rsidR="00D3274D" w:rsidRPr="009A1DFB">
        <w:rPr>
          <w:rStyle w:val="CharPartNo"/>
        </w:rPr>
        <w:tab/>
      </w:r>
      <w:r w:rsidRPr="009A1DFB">
        <w:rPr>
          <w:rStyle w:val="CharPartNo"/>
        </w:rPr>
        <w:t>Preliminary</w:t>
      </w:r>
      <w:bookmarkEnd w:id="2"/>
    </w:p>
    <w:p w14:paraId="1EFDD9FA" w14:textId="77777777" w:rsidR="00086BF0" w:rsidRPr="009A1DFB" w:rsidRDefault="00086BF0" w:rsidP="00BD40C5">
      <w:pPr>
        <w:pStyle w:val="Heading2"/>
      </w:pPr>
      <w:bookmarkStart w:id="4" w:name="_Toc55373522"/>
      <w:r w:rsidRPr="009A1DFB">
        <w:rPr>
          <w:rStyle w:val="CharSectno"/>
        </w:rPr>
        <w:t>1</w:t>
      </w:r>
      <w:r w:rsidRPr="009A1DFB">
        <w:t xml:space="preserve">  Name</w:t>
      </w:r>
      <w:bookmarkEnd w:id="4"/>
    </w:p>
    <w:p w14:paraId="0BA01627" w14:textId="46AE4399" w:rsidR="00086BF0" w:rsidRPr="009A1DFB" w:rsidRDefault="00086BF0" w:rsidP="00086BF0">
      <w:pPr>
        <w:pStyle w:val="subsection"/>
      </w:pPr>
      <w:r w:rsidRPr="009A1DFB">
        <w:tab/>
      </w:r>
      <w:r w:rsidRPr="009A1DFB">
        <w:tab/>
        <w:t>Th</w:t>
      </w:r>
      <w:r w:rsidR="00E64FC0" w:rsidRPr="009A1DFB">
        <w:t>e</w:t>
      </w:r>
      <w:r w:rsidRPr="009A1DFB">
        <w:t>s</w:t>
      </w:r>
      <w:r w:rsidR="00E64FC0" w:rsidRPr="009A1DFB">
        <w:t>e</w:t>
      </w:r>
      <w:r w:rsidRPr="009A1DFB">
        <w:t xml:space="preserve"> </w:t>
      </w:r>
      <w:r w:rsidR="00E64FC0" w:rsidRPr="009A1DFB">
        <w:t>are</w:t>
      </w:r>
      <w:r w:rsidRPr="009A1DFB">
        <w:t xml:space="preserve"> the </w:t>
      </w:r>
      <w:bookmarkStart w:id="5" w:name="BKCheck15B_3"/>
      <w:bookmarkEnd w:id="5"/>
      <w:r w:rsidRPr="009A1DFB">
        <w:fldChar w:fldCharType="begin"/>
      </w:r>
      <w:r w:rsidRPr="009A1DFB">
        <w:rPr>
          <w:i/>
        </w:rPr>
        <w:instrText xml:space="preserve"> STYLEREF  ShortT </w:instrText>
      </w:r>
      <w:r w:rsidRPr="009A1DFB">
        <w:fldChar w:fldCharType="separate"/>
      </w:r>
      <w:r w:rsidR="00444878" w:rsidRPr="009A1DFB">
        <w:rPr>
          <w:i/>
          <w:noProof/>
        </w:rPr>
        <w:t xml:space="preserve">Radiocommunications </w:t>
      </w:r>
      <w:r w:rsidR="00A5492D" w:rsidRPr="009A1DFB">
        <w:rPr>
          <w:i/>
          <w:noProof/>
        </w:rPr>
        <w:t xml:space="preserve">Advisory Guidelines (Managing Interference from Spectrum Licensed Transmitters </w:t>
      </w:r>
      <w:r w:rsidR="003B6C41" w:rsidRPr="009A1DFB">
        <w:rPr>
          <w:i/>
        </w:rPr>
        <w:t>— 26 GHz Band) 2020</w:t>
      </w:r>
      <w:r w:rsidRPr="009A1DFB">
        <w:fldChar w:fldCharType="end"/>
      </w:r>
      <w:r w:rsidRPr="009A1DFB">
        <w:t>.</w:t>
      </w:r>
    </w:p>
    <w:p w14:paraId="177E90D7" w14:textId="77777777" w:rsidR="00086BF0" w:rsidRPr="009A1DFB" w:rsidRDefault="00086BF0" w:rsidP="00BD40C5">
      <w:pPr>
        <w:pStyle w:val="Heading2"/>
      </w:pPr>
      <w:bookmarkStart w:id="6" w:name="_Toc444596032"/>
      <w:bookmarkStart w:id="7" w:name="_Toc55373523"/>
      <w:r w:rsidRPr="009A1DFB">
        <w:rPr>
          <w:rStyle w:val="CharSectno"/>
        </w:rPr>
        <w:t>2</w:t>
      </w:r>
      <w:r w:rsidRPr="009A1DFB">
        <w:t xml:space="preserve">  Commencement</w:t>
      </w:r>
      <w:bookmarkEnd w:id="6"/>
      <w:bookmarkEnd w:id="7"/>
    </w:p>
    <w:p w14:paraId="6D874432" w14:textId="77777777" w:rsidR="00086BF0" w:rsidRPr="009A1DFB" w:rsidRDefault="00086BF0" w:rsidP="00086BF0">
      <w:pPr>
        <w:pStyle w:val="subsection"/>
      </w:pPr>
      <w:r w:rsidRPr="009A1DFB">
        <w:tab/>
      </w:r>
      <w:r w:rsidRPr="009A1DFB">
        <w:tab/>
        <w:t xml:space="preserve">This instrument commences at the start of the day after the day it is registered on the Federal Register of Legislation. </w:t>
      </w:r>
    </w:p>
    <w:p w14:paraId="795025ED" w14:textId="77777777" w:rsidR="00086BF0" w:rsidRPr="009A1DFB" w:rsidRDefault="00086BF0" w:rsidP="00086BF0">
      <w:pPr>
        <w:pStyle w:val="LI-BodyTextNote"/>
        <w:spacing w:before="122"/>
      </w:pPr>
      <w:r w:rsidRPr="009A1DFB">
        <w:t>Note:</w:t>
      </w:r>
      <w:r w:rsidRPr="009A1DFB">
        <w:tab/>
        <w:t xml:space="preserve">The Federal Register of Legislation may be accessed free of charge at </w:t>
      </w:r>
      <w:hyperlink r:id="rId14" w:history="1">
        <w:r w:rsidRPr="009A1DFB">
          <w:rPr>
            <w:rStyle w:val="Hyperlink"/>
            <w:rFonts w:eastAsiaTheme="majorEastAsia"/>
          </w:rPr>
          <w:t>www.legislation.gov.au</w:t>
        </w:r>
      </w:hyperlink>
      <w:r w:rsidRPr="009A1DFB">
        <w:t>.</w:t>
      </w:r>
    </w:p>
    <w:p w14:paraId="12CBE75E" w14:textId="77777777" w:rsidR="00086BF0" w:rsidRPr="009A1DFB" w:rsidRDefault="00086BF0" w:rsidP="00BD40C5">
      <w:pPr>
        <w:pStyle w:val="Heading2"/>
      </w:pPr>
      <w:bookmarkStart w:id="8" w:name="_Toc444596033"/>
      <w:bookmarkStart w:id="9" w:name="_Toc55373524"/>
      <w:r w:rsidRPr="009A1DFB">
        <w:rPr>
          <w:rStyle w:val="CharSectno"/>
        </w:rPr>
        <w:t>3</w:t>
      </w:r>
      <w:r w:rsidRPr="009A1DFB">
        <w:t xml:space="preserve">  Authority</w:t>
      </w:r>
      <w:bookmarkEnd w:id="8"/>
      <w:bookmarkEnd w:id="9"/>
    </w:p>
    <w:p w14:paraId="3377B4C6" w14:textId="0510BAF0" w:rsidR="00086BF0" w:rsidRPr="009A1DFB" w:rsidRDefault="00086BF0" w:rsidP="00086BF0">
      <w:pPr>
        <w:pStyle w:val="subsection"/>
      </w:pPr>
      <w:r w:rsidRPr="009A1DFB">
        <w:tab/>
      </w:r>
      <w:r w:rsidRPr="009A1DFB">
        <w:tab/>
        <w:t xml:space="preserve">This instrument is made under </w:t>
      </w:r>
      <w:r w:rsidR="00547D01" w:rsidRPr="009A1DFB">
        <w:t>section 262</w:t>
      </w:r>
      <w:r w:rsidRPr="009A1DFB">
        <w:t xml:space="preserve"> of the </w:t>
      </w:r>
      <w:r w:rsidR="00547D01" w:rsidRPr="009A1DFB">
        <w:rPr>
          <w:i/>
        </w:rPr>
        <w:t>Radiocommunications Act 1992</w:t>
      </w:r>
      <w:r w:rsidRPr="009A1DFB">
        <w:t>.</w:t>
      </w:r>
    </w:p>
    <w:p w14:paraId="616032F1" w14:textId="3473FF88" w:rsidR="00086BF0" w:rsidRPr="009A1DFB" w:rsidRDefault="007C6622" w:rsidP="00BD40C5">
      <w:pPr>
        <w:pStyle w:val="Heading2"/>
      </w:pPr>
      <w:bookmarkStart w:id="10" w:name="_Toc444596034"/>
      <w:bookmarkStart w:id="11" w:name="_Toc55373525"/>
      <w:r w:rsidRPr="009A1DFB">
        <w:rPr>
          <w:rStyle w:val="CharSectno"/>
        </w:rPr>
        <w:t>4</w:t>
      </w:r>
      <w:r w:rsidR="00086BF0" w:rsidRPr="009A1DFB">
        <w:t xml:space="preserve">  Definitions</w:t>
      </w:r>
      <w:bookmarkEnd w:id="10"/>
      <w:bookmarkEnd w:id="11"/>
    </w:p>
    <w:p w14:paraId="611ECA76" w14:textId="6DC38404" w:rsidR="00A2154F" w:rsidRPr="009A1DFB" w:rsidRDefault="00A2154F" w:rsidP="00A2154F">
      <w:pPr>
        <w:pStyle w:val="subsection"/>
      </w:pPr>
      <w:r w:rsidRPr="009A1DFB">
        <w:tab/>
        <w:t>(1)</w:t>
      </w:r>
      <w:r w:rsidRPr="009A1DFB">
        <w:tab/>
        <w:t>In this instrument, unless the contrary intention appears:</w:t>
      </w:r>
    </w:p>
    <w:p w14:paraId="62EE7712" w14:textId="268C0ACC" w:rsidR="006F5422" w:rsidRPr="009A1DFB" w:rsidRDefault="006F5422" w:rsidP="00086BF0">
      <w:pPr>
        <w:pStyle w:val="Definition"/>
        <w:rPr>
          <w:bCs/>
          <w:iCs/>
        </w:rPr>
      </w:pPr>
      <w:r w:rsidRPr="009A1DFB">
        <w:rPr>
          <w:b/>
          <w:i/>
        </w:rPr>
        <w:t>Canberra Deep Space Communications Comple</w:t>
      </w:r>
      <w:r w:rsidR="000E4639" w:rsidRPr="009A1DFB">
        <w:rPr>
          <w:b/>
          <w:i/>
        </w:rPr>
        <w:t>x</w:t>
      </w:r>
      <w:r w:rsidRPr="009A1DFB">
        <w:rPr>
          <w:b/>
          <w:i/>
        </w:rPr>
        <w:t xml:space="preserve"> </w:t>
      </w:r>
      <w:r w:rsidRPr="009A1DFB">
        <w:rPr>
          <w:bCs/>
          <w:iCs/>
        </w:rPr>
        <w:t xml:space="preserve">means the earth station </w:t>
      </w:r>
      <w:r w:rsidR="00CE77E1" w:rsidRPr="009A1DFB">
        <w:rPr>
          <w:bCs/>
          <w:iCs/>
        </w:rPr>
        <w:t xml:space="preserve">receiver </w:t>
      </w:r>
      <w:r w:rsidRPr="009A1DFB">
        <w:rPr>
          <w:bCs/>
          <w:iCs/>
        </w:rPr>
        <w:t>operat</w:t>
      </w:r>
      <w:r w:rsidR="00CE77E1" w:rsidRPr="009A1DFB">
        <w:rPr>
          <w:bCs/>
          <w:iCs/>
        </w:rPr>
        <w:t>ing</w:t>
      </w:r>
      <w:r w:rsidRPr="009A1DFB">
        <w:rPr>
          <w:bCs/>
          <w:iCs/>
        </w:rPr>
        <w:t xml:space="preserve"> in the frequency range 25.5</w:t>
      </w:r>
      <w:r w:rsidR="0046204E" w:rsidRPr="009A1DFB">
        <w:rPr>
          <w:bCs/>
          <w:iCs/>
        </w:rPr>
        <w:t xml:space="preserve"> GHz–</w:t>
      </w:r>
      <w:r w:rsidRPr="009A1DFB">
        <w:rPr>
          <w:bCs/>
          <w:iCs/>
        </w:rPr>
        <w:t xml:space="preserve">27 GHz and located at </w:t>
      </w:r>
      <w:r w:rsidRPr="009A1DFB">
        <w:t>-35.39</w:t>
      </w:r>
      <w:r w:rsidR="00C00113">
        <w:t>8335</w:t>
      </w:r>
      <w:r w:rsidRPr="009A1DFB">
        <w:t>˚N, 148.9</w:t>
      </w:r>
      <w:r w:rsidR="0004408B">
        <w:t>81942</w:t>
      </w:r>
      <w:r w:rsidRPr="009A1DFB">
        <w:t>˚E.</w:t>
      </w:r>
    </w:p>
    <w:p w14:paraId="2064F0A7" w14:textId="65FAC67B" w:rsidR="002748FF" w:rsidRPr="009A1DFB" w:rsidRDefault="002748FF" w:rsidP="002748FF">
      <w:pPr>
        <w:pStyle w:val="Definition"/>
      </w:pPr>
      <w:r w:rsidRPr="009A1DFB">
        <w:rPr>
          <w:b/>
          <w:i/>
        </w:rPr>
        <w:t>fixed service</w:t>
      </w:r>
      <w:r w:rsidRPr="009A1DFB">
        <w:t xml:space="preserve"> has the same meaning as in the </w:t>
      </w:r>
      <w:r w:rsidR="00B50C13">
        <w:t>s</w:t>
      </w:r>
      <w:r w:rsidRPr="009A1DFB">
        <w:t xml:space="preserve">pectrum </w:t>
      </w:r>
      <w:r w:rsidR="00B50C13">
        <w:t>p</w:t>
      </w:r>
      <w:r w:rsidRPr="009A1DFB">
        <w:t>lan.</w:t>
      </w:r>
    </w:p>
    <w:p w14:paraId="6786C036" w14:textId="0469F3C4" w:rsidR="0078413B" w:rsidRPr="009A1DFB" w:rsidRDefault="0078413B" w:rsidP="00D6163D">
      <w:pPr>
        <w:pStyle w:val="Definition"/>
        <w:rPr>
          <w:bCs/>
          <w:iCs/>
        </w:rPr>
      </w:pPr>
      <w:r w:rsidRPr="009A1DFB">
        <w:rPr>
          <w:b/>
          <w:i/>
        </w:rPr>
        <w:t xml:space="preserve">harmful interference </w:t>
      </w:r>
      <w:r w:rsidR="00DA069B" w:rsidRPr="009A1DFB">
        <w:rPr>
          <w:bCs/>
          <w:iCs/>
        </w:rPr>
        <w:t xml:space="preserve">has the meaning given in the </w:t>
      </w:r>
      <w:r w:rsidR="001D50DD">
        <w:rPr>
          <w:bCs/>
          <w:iCs/>
        </w:rPr>
        <w:t>s</w:t>
      </w:r>
      <w:r w:rsidR="00DA069B" w:rsidRPr="009A1DFB">
        <w:rPr>
          <w:bCs/>
          <w:iCs/>
        </w:rPr>
        <w:t xml:space="preserve">pectrum </w:t>
      </w:r>
      <w:r w:rsidR="001D50DD">
        <w:rPr>
          <w:bCs/>
          <w:iCs/>
        </w:rPr>
        <w:t>p</w:t>
      </w:r>
      <w:r w:rsidR="00DA069B" w:rsidRPr="009A1DFB">
        <w:rPr>
          <w:bCs/>
          <w:iCs/>
        </w:rPr>
        <w:t xml:space="preserve">lan. </w:t>
      </w:r>
    </w:p>
    <w:p w14:paraId="1A86C0DA" w14:textId="23575E42" w:rsidR="00EC7B39" w:rsidRPr="009A1DFB" w:rsidRDefault="00EC7B39" w:rsidP="00D6163D">
      <w:pPr>
        <w:pStyle w:val="Definition"/>
        <w:rPr>
          <w:bCs/>
          <w:iCs/>
        </w:rPr>
      </w:pPr>
      <w:r w:rsidRPr="009A1DFB">
        <w:rPr>
          <w:b/>
          <w:i/>
        </w:rPr>
        <w:t xml:space="preserve">in-band </w:t>
      </w:r>
      <w:r w:rsidR="00AE58CB" w:rsidRPr="009A1DFB">
        <w:rPr>
          <w:bCs/>
          <w:iCs/>
        </w:rPr>
        <w:t>means:</w:t>
      </w:r>
    </w:p>
    <w:p w14:paraId="69C7DABF" w14:textId="34C6C4DE" w:rsidR="00AE58CB" w:rsidRPr="009A1DFB" w:rsidRDefault="00BA1BB9" w:rsidP="003017C3">
      <w:pPr>
        <w:pStyle w:val="paragraph"/>
        <w:tabs>
          <w:tab w:val="clear" w:pos="1531"/>
        </w:tabs>
        <w:ind w:hanging="510"/>
        <w:rPr>
          <w:bCs/>
          <w:iCs/>
        </w:rPr>
      </w:pPr>
      <w:r w:rsidRPr="009A1DFB">
        <w:rPr>
          <w:bCs/>
          <w:iCs/>
        </w:rPr>
        <w:t>(a)</w:t>
      </w:r>
      <w:r w:rsidRPr="009A1DFB">
        <w:rPr>
          <w:bCs/>
          <w:iCs/>
        </w:rPr>
        <w:tab/>
      </w:r>
      <w:r w:rsidR="00217FE7" w:rsidRPr="009A1DFB">
        <w:rPr>
          <w:bCs/>
          <w:iCs/>
        </w:rPr>
        <w:t>for a</w:t>
      </w:r>
      <w:r w:rsidR="00D756B1" w:rsidRPr="009A1DFB">
        <w:rPr>
          <w:bCs/>
          <w:iCs/>
        </w:rPr>
        <w:t xml:space="preserve"> radiocommunications transmitter or radiocommunications receiver operated under a spectrum licence, the frequencies within the frequency band in which operation of those radiocommunications devices is authorised under the licence; and</w:t>
      </w:r>
    </w:p>
    <w:p w14:paraId="54661484" w14:textId="743C4844" w:rsidR="00D756B1" w:rsidRPr="009A1DFB" w:rsidRDefault="00D756B1" w:rsidP="003017C3">
      <w:pPr>
        <w:pStyle w:val="paragraph"/>
        <w:tabs>
          <w:tab w:val="clear" w:pos="1531"/>
        </w:tabs>
        <w:ind w:hanging="510"/>
        <w:rPr>
          <w:bCs/>
          <w:iCs/>
        </w:rPr>
      </w:pPr>
      <w:r w:rsidRPr="009A1DFB">
        <w:rPr>
          <w:bCs/>
          <w:iCs/>
        </w:rPr>
        <w:t>(b)</w:t>
      </w:r>
      <w:r w:rsidRPr="009A1DFB">
        <w:rPr>
          <w:bCs/>
          <w:iCs/>
        </w:rPr>
        <w:tab/>
        <w:t xml:space="preserve">for a </w:t>
      </w:r>
      <w:r w:rsidR="005F0880" w:rsidRPr="009A1DFB">
        <w:rPr>
          <w:bCs/>
          <w:iCs/>
        </w:rPr>
        <w:t>radiocommunications transmitter or radiocommunications receiver operating under an apparatus licence, the frequencies within the lower frequency limit and the upper frequency limit specified in the licence.</w:t>
      </w:r>
    </w:p>
    <w:p w14:paraId="531DE474" w14:textId="22F9312E" w:rsidR="005F0880" w:rsidRPr="009A1DFB" w:rsidRDefault="005F0880" w:rsidP="005F0880">
      <w:pPr>
        <w:pStyle w:val="Definition"/>
        <w:rPr>
          <w:bCs/>
          <w:iCs/>
        </w:rPr>
      </w:pPr>
      <w:r w:rsidRPr="009A1DFB">
        <w:rPr>
          <w:b/>
          <w:i/>
        </w:rPr>
        <w:t xml:space="preserve">indoor transmitter </w:t>
      </w:r>
      <w:r w:rsidRPr="009A1DFB">
        <w:rPr>
          <w:bCs/>
          <w:iCs/>
        </w:rPr>
        <w:t xml:space="preserve">means a </w:t>
      </w:r>
      <w:r w:rsidR="00097A1F" w:rsidRPr="009A1DFB">
        <w:rPr>
          <w:bCs/>
          <w:iCs/>
        </w:rPr>
        <w:t xml:space="preserve">radiocommunications </w:t>
      </w:r>
      <w:r w:rsidRPr="009A1DFB">
        <w:rPr>
          <w:bCs/>
          <w:iCs/>
        </w:rPr>
        <w:t xml:space="preserve">transmitter </w:t>
      </w:r>
      <w:r w:rsidR="00097A1F" w:rsidRPr="009A1DFB">
        <w:rPr>
          <w:bCs/>
          <w:iCs/>
        </w:rPr>
        <w:t>that:</w:t>
      </w:r>
    </w:p>
    <w:p w14:paraId="367F02AE" w14:textId="5CC05C96" w:rsidR="00097A1F" w:rsidRPr="009A1DFB" w:rsidRDefault="00B52027" w:rsidP="003017C3">
      <w:pPr>
        <w:pStyle w:val="paragraph"/>
        <w:tabs>
          <w:tab w:val="clear" w:pos="1531"/>
        </w:tabs>
        <w:ind w:hanging="510"/>
      </w:pPr>
      <w:r w:rsidRPr="009A1DFB">
        <w:t>(a)</w:t>
      </w:r>
      <w:r w:rsidRPr="009A1DFB">
        <w:tab/>
      </w:r>
      <w:r w:rsidR="00097A1F" w:rsidRPr="009A1DFB">
        <w:t>is in an enclosed space; and</w:t>
      </w:r>
    </w:p>
    <w:p w14:paraId="6D0936E2" w14:textId="6C0851A7" w:rsidR="00097A1F" w:rsidRPr="009A1DFB" w:rsidRDefault="00097A1F" w:rsidP="003017C3">
      <w:pPr>
        <w:pStyle w:val="paragraph"/>
        <w:tabs>
          <w:tab w:val="clear" w:pos="1531"/>
        </w:tabs>
        <w:ind w:hanging="510"/>
      </w:pPr>
      <w:r w:rsidRPr="009A1DFB">
        <w:t>(b)</w:t>
      </w:r>
      <w:r w:rsidRPr="009A1DFB">
        <w:tab/>
        <w:t>has</w:t>
      </w:r>
      <w:r w:rsidR="00CE4F42" w:rsidRPr="009A1DFB">
        <w:t>, at every point that is 2 metres from the outside surface of the enclosed space, a power flux density that:</w:t>
      </w:r>
    </w:p>
    <w:p w14:paraId="501601B0" w14:textId="4D50EDC7" w:rsidR="00867234" w:rsidRPr="009A1DFB" w:rsidRDefault="00867234" w:rsidP="003017C3">
      <w:pPr>
        <w:pStyle w:val="paragraphsub"/>
        <w:tabs>
          <w:tab w:val="clear" w:pos="1985"/>
        </w:tabs>
        <w:ind w:left="2183" w:hanging="539"/>
      </w:pPr>
      <w:r w:rsidRPr="009A1DFB">
        <w:t>(i)</w:t>
      </w:r>
      <w:r w:rsidRPr="009A1DFB">
        <w:tab/>
      </w:r>
      <w:r w:rsidR="00AC00D1" w:rsidRPr="009A1DFB">
        <w:t xml:space="preserve">if the transmitter transmits in the frequency range </w:t>
      </w:r>
      <w:r w:rsidR="000049AB" w:rsidRPr="009A1DFB">
        <w:t xml:space="preserve">27 GHz–27.5 GHz and is located </w:t>
      </w:r>
      <w:r w:rsidR="00076CEB">
        <w:t xml:space="preserve">inside </w:t>
      </w:r>
      <w:r w:rsidR="000049AB" w:rsidRPr="009A1DFB">
        <w:t>a</w:t>
      </w:r>
      <w:r w:rsidR="00076CEB">
        <w:t>n inner-</w:t>
      </w:r>
      <w:r w:rsidR="000049AB" w:rsidRPr="009A1DFB">
        <w:t xml:space="preserve">footprint area – </w:t>
      </w:r>
      <w:r w:rsidR="00004642">
        <w:t xml:space="preserve">is </w:t>
      </w:r>
      <w:r w:rsidR="000049AB" w:rsidRPr="009A1DFB">
        <w:t>less than or equal to -</w:t>
      </w:r>
      <w:r w:rsidR="0098194C" w:rsidRPr="009A1DFB">
        <w:t xml:space="preserve">9 </w:t>
      </w:r>
      <w:proofErr w:type="spellStart"/>
      <w:r w:rsidR="0098194C" w:rsidRPr="009A1DFB">
        <w:t>dBW</w:t>
      </w:r>
      <w:proofErr w:type="spellEnd"/>
      <w:r w:rsidR="0098194C" w:rsidRPr="009A1DFB">
        <w:t>/m</w:t>
      </w:r>
      <w:r w:rsidR="0098194C" w:rsidRPr="009A1DFB">
        <w:rPr>
          <w:vertAlign w:val="superscript"/>
        </w:rPr>
        <w:t>2</w:t>
      </w:r>
      <w:r w:rsidR="00363BEE" w:rsidRPr="009A1DFB">
        <w:t xml:space="preserve"> per occupied bandwidth; </w:t>
      </w:r>
    </w:p>
    <w:p w14:paraId="0B60DF00" w14:textId="6C04044D" w:rsidR="00A20A58" w:rsidRPr="009A1DFB" w:rsidRDefault="00A20A58" w:rsidP="003017C3">
      <w:pPr>
        <w:pStyle w:val="paragraphsub"/>
        <w:tabs>
          <w:tab w:val="clear" w:pos="1985"/>
        </w:tabs>
        <w:ind w:left="2183" w:hanging="539"/>
      </w:pPr>
      <w:r w:rsidRPr="009A1DFB">
        <w:t>(ii)</w:t>
      </w:r>
      <w:r w:rsidRPr="009A1DFB">
        <w:tab/>
      </w:r>
      <w:r w:rsidR="00363BEE" w:rsidRPr="009A1DFB">
        <w:t xml:space="preserve">in any other case – </w:t>
      </w:r>
      <w:r w:rsidR="00004642">
        <w:t xml:space="preserve">is </w:t>
      </w:r>
      <w:r w:rsidR="00363BEE" w:rsidRPr="009A1DFB">
        <w:t xml:space="preserve">less than or equal to -7 </w:t>
      </w:r>
      <w:proofErr w:type="spellStart"/>
      <w:r w:rsidR="00363BEE" w:rsidRPr="009A1DFB">
        <w:t>dBW</w:t>
      </w:r>
      <w:proofErr w:type="spellEnd"/>
      <w:r w:rsidR="00363BEE" w:rsidRPr="009A1DFB">
        <w:t>/</w:t>
      </w:r>
      <w:r w:rsidR="00363BEE" w:rsidRPr="001B300A">
        <w:t>m</w:t>
      </w:r>
      <w:r w:rsidR="00EB7B11" w:rsidRPr="009A1DFB">
        <w:rPr>
          <w:vertAlign w:val="superscript"/>
        </w:rPr>
        <w:t xml:space="preserve">2 </w:t>
      </w:r>
      <w:r w:rsidR="00EB7B11" w:rsidRPr="009A1DFB">
        <w:t>per occupied bandwidth.</w:t>
      </w:r>
    </w:p>
    <w:p w14:paraId="7EE45E28" w14:textId="77777777" w:rsidR="00F908F2" w:rsidRPr="009A1DFB" w:rsidRDefault="00F908F2" w:rsidP="00F908F2">
      <w:pPr>
        <w:pStyle w:val="Definition"/>
        <w:rPr>
          <w:bCs/>
          <w:iCs/>
        </w:rPr>
      </w:pPr>
      <w:r>
        <w:rPr>
          <w:b/>
          <w:i/>
        </w:rPr>
        <w:t>inner-</w:t>
      </w:r>
      <w:r w:rsidRPr="009A1DFB">
        <w:rPr>
          <w:b/>
          <w:i/>
        </w:rPr>
        <w:t xml:space="preserve">footprint area </w:t>
      </w:r>
      <w:r w:rsidRPr="009A1DFB">
        <w:rPr>
          <w:bCs/>
          <w:iCs/>
        </w:rPr>
        <w:t xml:space="preserve">means an area </w:t>
      </w:r>
      <w:r w:rsidRPr="00A853EF">
        <w:rPr>
          <w:bCs/>
          <w:iCs/>
        </w:rPr>
        <w:t>described in Schedule 1.</w:t>
      </w:r>
    </w:p>
    <w:p w14:paraId="29015B2D" w14:textId="01350DD2" w:rsidR="00AC400A" w:rsidRPr="00AC400A" w:rsidRDefault="00CC1C0A" w:rsidP="00203CA5">
      <w:pPr>
        <w:pStyle w:val="Definition"/>
      </w:pPr>
      <w:r w:rsidRPr="009A1DFB">
        <w:rPr>
          <w:b/>
          <w:bCs/>
          <w:i/>
          <w:iCs/>
        </w:rPr>
        <w:t xml:space="preserve">inter-satellite service </w:t>
      </w:r>
      <w:r w:rsidRPr="009A1DFB">
        <w:t xml:space="preserve">has the same meaning as in the </w:t>
      </w:r>
      <w:r w:rsidR="009635E3">
        <w:t>s</w:t>
      </w:r>
      <w:r w:rsidRPr="009A1DFB">
        <w:t xml:space="preserve">pectrum </w:t>
      </w:r>
      <w:r w:rsidR="009635E3">
        <w:t>p</w:t>
      </w:r>
      <w:r w:rsidRPr="009A1DFB">
        <w:t>lan.</w:t>
      </w:r>
    </w:p>
    <w:p w14:paraId="1A6D7149" w14:textId="68C4F6C6" w:rsidR="00A23F79" w:rsidRPr="009A1DFB" w:rsidRDefault="00091B39" w:rsidP="00390E9E">
      <w:pPr>
        <w:pStyle w:val="LI-BodyTextNote"/>
        <w:keepNext/>
        <w:spacing w:before="122"/>
        <w:ind w:left="1134" w:firstLine="0"/>
        <w:rPr>
          <w:szCs w:val="22"/>
        </w:rPr>
      </w:pPr>
      <w:r w:rsidRPr="009A1DFB">
        <w:rPr>
          <w:b/>
          <w:bCs/>
          <w:i/>
          <w:iCs/>
          <w:sz w:val="22"/>
          <w:szCs w:val="22"/>
        </w:rPr>
        <w:lastRenderedPageBreak/>
        <w:t xml:space="preserve">ITU-R Resolution 242 (WRC-19) </w:t>
      </w:r>
      <w:r w:rsidRPr="009A1DFB">
        <w:rPr>
          <w:sz w:val="22"/>
          <w:szCs w:val="22"/>
        </w:rPr>
        <w:t xml:space="preserve">means the </w:t>
      </w:r>
      <w:r w:rsidR="00997E7C" w:rsidRPr="009A1DFB">
        <w:rPr>
          <w:sz w:val="22"/>
          <w:szCs w:val="22"/>
        </w:rPr>
        <w:t>“</w:t>
      </w:r>
      <w:r w:rsidRPr="009A1DFB">
        <w:rPr>
          <w:sz w:val="22"/>
          <w:szCs w:val="22"/>
        </w:rPr>
        <w:t xml:space="preserve">ITU-R Resolution 242 </w:t>
      </w:r>
      <w:r w:rsidR="00627D8A" w:rsidRPr="009A1DFB">
        <w:rPr>
          <w:sz w:val="22"/>
          <w:szCs w:val="22"/>
        </w:rPr>
        <w:t>Terrestrial</w:t>
      </w:r>
      <w:r w:rsidR="00F623A3" w:rsidRPr="009A1DFB">
        <w:rPr>
          <w:sz w:val="22"/>
          <w:szCs w:val="22"/>
        </w:rPr>
        <w:t xml:space="preserve"> </w:t>
      </w:r>
      <w:r w:rsidR="00627D8A" w:rsidRPr="009A1DFB">
        <w:rPr>
          <w:sz w:val="22"/>
          <w:szCs w:val="22"/>
        </w:rPr>
        <w:t xml:space="preserve">component of </w:t>
      </w:r>
      <w:r w:rsidR="00997E7C" w:rsidRPr="009A1DFB">
        <w:rPr>
          <w:sz w:val="22"/>
          <w:szCs w:val="22"/>
        </w:rPr>
        <w:t>i</w:t>
      </w:r>
      <w:r w:rsidR="00627D8A" w:rsidRPr="009A1DFB">
        <w:rPr>
          <w:sz w:val="22"/>
          <w:szCs w:val="22"/>
        </w:rPr>
        <w:t xml:space="preserve">nternational </w:t>
      </w:r>
      <w:r w:rsidR="00997E7C" w:rsidRPr="009A1DFB">
        <w:rPr>
          <w:sz w:val="22"/>
          <w:szCs w:val="22"/>
        </w:rPr>
        <w:t>m</w:t>
      </w:r>
      <w:r w:rsidR="00627D8A" w:rsidRPr="009A1DFB">
        <w:rPr>
          <w:sz w:val="22"/>
          <w:szCs w:val="22"/>
        </w:rPr>
        <w:t xml:space="preserve">obile </w:t>
      </w:r>
      <w:r w:rsidR="00997E7C" w:rsidRPr="009A1DFB">
        <w:rPr>
          <w:sz w:val="22"/>
          <w:szCs w:val="22"/>
        </w:rPr>
        <w:t>t</w:t>
      </w:r>
      <w:r w:rsidR="00627D8A" w:rsidRPr="009A1DFB">
        <w:rPr>
          <w:sz w:val="22"/>
          <w:szCs w:val="22"/>
        </w:rPr>
        <w:t xml:space="preserve">elecommunications in the </w:t>
      </w:r>
      <w:r w:rsidR="00997E7C" w:rsidRPr="009A1DFB">
        <w:rPr>
          <w:sz w:val="22"/>
          <w:szCs w:val="22"/>
        </w:rPr>
        <w:t>f</w:t>
      </w:r>
      <w:r w:rsidR="00627D8A" w:rsidRPr="009A1DFB">
        <w:rPr>
          <w:sz w:val="22"/>
          <w:szCs w:val="22"/>
        </w:rPr>
        <w:t xml:space="preserve">requency </w:t>
      </w:r>
      <w:r w:rsidR="00997E7C" w:rsidRPr="009A1DFB">
        <w:rPr>
          <w:sz w:val="22"/>
          <w:szCs w:val="22"/>
        </w:rPr>
        <w:t>b</w:t>
      </w:r>
      <w:r w:rsidR="00627D8A" w:rsidRPr="009A1DFB">
        <w:rPr>
          <w:sz w:val="22"/>
          <w:szCs w:val="22"/>
        </w:rPr>
        <w:t>and 24.25</w:t>
      </w:r>
      <w:r w:rsidR="00085CF1" w:rsidRPr="009A1DFB">
        <w:rPr>
          <w:sz w:val="22"/>
          <w:szCs w:val="22"/>
        </w:rPr>
        <w:t>-27.5 GHz</w:t>
      </w:r>
      <w:r w:rsidR="00997E7C" w:rsidRPr="009A1DFB">
        <w:rPr>
          <w:sz w:val="22"/>
          <w:szCs w:val="22"/>
        </w:rPr>
        <w:t>” published by the ITU</w:t>
      </w:r>
      <w:r w:rsidR="006A74A6" w:rsidRPr="009A1DFB">
        <w:rPr>
          <w:sz w:val="22"/>
          <w:szCs w:val="22"/>
        </w:rPr>
        <w:t>.</w:t>
      </w:r>
    </w:p>
    <w:p w14:paraId="40E92280" w14:textId="4CBD44C4" w:rsidR="00C83284" w:rsidRPr="009A1DFB" w:rsidRDefault="00C83284" w:rsidP="00C83284">
      <w:pPr>
        <w:pStyle w:val="LI-BodyTextNote"/>
        <w:spacing w:before="122"/>
      </w:pPr>
      <w:r w:rsidRPr="009A1DFB">
        <w:t>Note</w:t>
      </w:r>
      <w:r w:rsidR="009C4A1A" w:rsidRPr="009A1DFB">
        <w:t>:</w:t>
      </w:r>
      <w:r w:rsidR="009C4A1A" w:rsidRPr="009A1DFB">
        <w:tab/>
        <w:t xml:space="preserve">ITU-R Resolution 242 (WRC-19) is available free of charge on the ITU website at </w:t>
      </w:r>
      <w:hyperlink r:id="rId15" w:history="1">
        <w:r w:rsidR="009C4A1A" w:rsidRPr="009A1DFB">
          <w:rPr>
            <w:rStyle w:val="Hyperlink"/>
          </w:rPr>
          <w:t>www.itu.int</w:t>
        </w:r>
      </w:hyperlink>
      <w:r w:rsidR="009C4A1A" w:rsidRPr="009A1DFB">
        <w:t xml:space="preserve">. </w:t>
      </w:r>
    </w:p>
    <w:p w14:paraId="20735740" w14:textId="59380EFB" w:rsidR="00E64FC0" w:rsidRPr="009A1DFB" w:rsidRDefault="00E64FC0" w:rsidP="00E64FC0">
      <w:pPr>
        <w:pStyle w:val="Definition"/>
        <w:rPr>
          <w:b/>
          <w:bCs/>
          <w:i/>
          <w:iCs/>
        </w:rPr>
      </w:pPr>
      <w:r w:rsidRPr="009A1DFB">
        <w:rPr>
          <w:b/>
          <w:bCs/>
          <w:i/>
          <w:iCs/>
        </w:rPr>
        <w:t xml:space="preserve">New Norcia Deep Space Ground Station </w:t>
      </w:r>
      <w:r w:rsidRPr="009A1DFB">
        <w:t>means</w:t>
      </w:r>
      <w:r w:rsidRPr="009A1DFB">
        <w:rPr>
          <w:bCs/>
          <w:iCs/>
        </w:rPr>
        <w:t xml:space="preserve"> the earth receive station operating in the frequency range 25.5</w:t>
      </w:r>
      <w:r w:rsidR="002205DA">
        <w:rPr>
          <w:bCs/>
          <w:iCs/>
        </w:rPr>
        <w:t xml:space="preserve"> GHz–</w:t>
      </w:r>
      <w:r w:rsidRPr="009A1DFB">
        <w:rPr>
          <w:bCs/>
          <w:iCs/>
        </w:rPr>
        <w:t xml:space="preserve">27 GHz and located at </w:t>
      </w:r>
      <w:r w:rsidRPr="009A1DFB">
        <w:t>-31.048</w:t>
      </w:r>
      <w:r w:rsidR="00390E9E">
        <w:t>236</w:t>
      </w:r>
      <w:r w:rsidRPr="009A1DFB">
        <w:t>N, 116.191</w:t>
      </w:r>
      <w:r w:rsidR="00390E9E">
        <w:t>51</w:t>
      </w:r>
      <w:r w:rsidRPr="009A1DFB">
        <w:t>4˚E.</w:t>
      </w:r>
    </w:p>
    <w:p w14:paraId="4A4357AA" w14:textId="77777777" w:rsidR="00EF0566" w:rsidRPr="009A1DFB" w:rsidRDefault="00EF0566" w:rsidP="00EF0566">
      <w:pPr>
        <w:pStyle w:val="Definition"/>
        <w:rPr>
          <w:bCs/>
          <w:iCs/>
        </w:rPr>
      </w:pPr>
      <w:r>
        <w:rPr>
          <w:b/>
          <w:i/>
        </w:rPr>
        <w:t>outer-</w:t>
      </w:r>
      <w:r w:rsidRPr="009A1DFB">
        <w:rPr>
          <w:b/>
          <w:i/>
        </w:rPr>
        <w:t xml:space="preserve">footprint area </w:t>
      </w:r>
      <w:r w:rsidRPr="009A1DFB">
        <w:rPr>
          <w:bCs/>
          <w:iCs/>
        </w:rPr>
        <w:t xml:space="preserve">means an area </w:t>
      </w:r>
      <w:r w:rsidRPr="00A853EF">
        <w:rPr>
          <w:bCs/>
          <w:iCs/>
        </w:rPr>
        <w:t>described in Schedule 2.</w:t>
      </w:r>
    </w:p>
    <w:p w14:paraId="6BB7BAD8" w14:textId="4408CB7D" w:rsidR="00630347" w:rsidRPr="009A1DFB" w:rsidRDefault="00CC63F0" w:rsidP="00CC63F0">
      <w:pPr>
        <w:pStyle w:val="Definition"/>
      </w:pPr>
      <w:r w:rsidRPr="009A1DFB">
        <w:rPr>
          <w:b/>
          <w:bCs/>
          <w:i/>
          <w:iCs/>
        </w:rPr>
        <w:t xml:space="preserve">out-of-band </w:t>
      </w:r>
      <w:r w:rsidR="00622E33" w:rsidRPr="009A1DFB">
        <w:t>means</w:t>
      </w:r>
      <w:r w:rsidR="00630347" w:rsidRPr="009A1DFB">
        <w:t>:</w:t>
      </w:r>
    </w:p>
    <w:p w14:paraId="6F5BFD31" w14:textId="31EFDCA6" w:rsidR="00CC63F0" w:rsidRPr="009A1DFB" w:rsidRDefault="004C3BC0" w:rsidP="003017C3">
      <w:pPr>
        <w:pStyle w:val="paragraph"/>
        <w:tabs>
          <w:tab w:val="clear" w:pos="1531"/>
        </w:tabs>
        <w:ind w:hanging="510"/>
      </w:pPr>
      <w:r w:rsidRPr="009A1DFB">
        <w:t>(a)</w:t>
      </w:r>
      <w:r w:rsidRPr="009A1DFB">
        <w:tab/>
        <w:t>for a radiocommunications transmitter or radiocommunications receiver operated under a spectrum licence, the frequencies outside the frequency band in which operation of those radiocommunications devices</w:t>
      </w:r>
      <w:r w:rsidR="00BD2A26" w:rsidRPr="009A1DFB">
        <w:t xml:space="preserve"> is authorised under the licence; and</w:t>
      </w:r>
    </w:p>
    <w:p w14:paraId="7A1E0220" w14:textId="7D24D773" w:rsidR="00BD2A26" w:rsidRPr="009A1DFB" w:rsidRDefault="00BD2A26" w:rsidP="003017C3">
      <w:pPr>
        <w:pStyle w:val="paragraph"/>
        <w:tabs>
          <w:tab w:val="clear" w:pos="1531"/>
        </w:tabs>
        <w:ind w:hanging="510"/>
      </w:pPr>
      <w:r w:rsidRPr="009A1DFB">
        <w:t>(b)</w:t>
      </w:r>
      <w:r w:rsidRPr="009A1DFB">
        <w:tab/>
        <w:t>for a radiocommunications transmitter or radiocommunications receiver operating under an apparatus licence, the frequencies outside the lower frequency limit and upper frequency limit specified in the licence.</w:t>
      </w:r>
    </w:p>
    <w:p w14:paraId="39D8F4A9" w14:textId="683ADB45" w:rsidR="00BD2A26" w:rsidRPr="009A1DFB" w:rsidRDefault="00FC4F61" w:rsidP="00FC4F61">
      <w:pPr>
        <w:pStyle w:val="Definition"/>
      </w:pPr>
      <w:r w:rsidRPr="009A1DFB">
        <w:rPr>
          <w:b/>
          <w:bCs/>
          <w:i/>
          <w:iCs/>
        </w:rPr>
        <w:t xml:space="preserve">RALI FX 3 </w:t>
      </w:r>
      <w:r w:rsidRPr="009A1DFB">
        <w:t xml:space="preserve">means the Radiocommunications Assignment and Licensing Instruction </w:t>
      </w:r>
      <w:r w:rsidR="00611B00" w:rsidRPr="009A1DFB">
        <w:t>FX</w:t>
      </w:r>
      <w:r w:rsidR="00611B00">
        <w:t> </w:t>
      </w:r>
      <w:r w:rsidRPr="009A1DFB">
        <w:t xml:space="preserve">3, </w:t>
      </w:r>
      <w:r w:rsidRPr="009A1DFB">
        <w:rPr>
          <w:i/>
          <w:iCs/>
        </w:rPr>
        <w:t>Microwave Fixed Services Frequency Coordination</w:t>
      </w:r>
      <w:r w:rsidRPr="009A1DFB">
        <w:t xml:space="preserve">, published by the ACMA. </w:t>
      </w:r>
    </w:p>
    <w:p w14:paraId="6CB65D75" w14:textId="21736EF3" w:rsidR="006723AD" w:rsidRPr="009A1DFB" w:rsidRDefault="006723AD" w:rsidP="006723AD">
      <w:pPr>
        <w:pStyle w:val="LI-BodyTextNote"/>
        <w:spacing w:before="122"/>
      </w:pPr>
      <w:r w:rsidRPr="009A1DFB">
        <w:t>Note:</w:t>
      </w:r>
      <w:r w:rsidRPr="009A1DFB">
        <w:tab/>
        <w:t xml:space="preserve">RALI FX 3 is available free of charge on the ACMA website: </w:t>
      </w:r>
      <w:hyperlink r:id="rId16" w:history="1">
        <w:r w:rsidRPr="009A1DFB">
          <w:rPr>
            <w:rStyle w:val="Hyperlink"/>
          </w:rPr>
          <w:t>www.acma.gov.au</w:t>
        </w:r>
      </w:hyperlink>
      <w:r w:rsidRPr="009A1DFB">
        <w:t xml:space="preserve">. </w:t>
      </w:r>
    </w:p>
    <w:p w14:paraId="10EE8B42" w14:textId="49CB90DF" w:rsidR="008D0AC0" w:rsidRPr="009A1DFB" w:rsidRDefault="008D0AC0" w:rsidP="00FC4F61">
      <w:pPr>
        <w:pStyle w:val="Definition"/>
      </w:pPr>
      <w:r w:rsidRPr="009A1DFB">
        <w:rPr>
          <w:b/>
          <w:bCs/>
          <w:i/>
          <w:iCs/>
        </w:rPr>
        <w:t xml:space="preserve">RALI </w:t>
      </w:r>
      <w:r w:rsidR="00862C19">
        <w:rPr>
          <w:b/>
          <w:bCs/>
          <w:i/>
          <w:iCs/>
        </w:rPr>
        <w:t>MS 46</w:t>
      </w:r>
      <w:r w:rsidRPr="009A1DFB">
        <w:rPr>
          <w:b/>
          <w:bCs/>
          <w:i/>
          <w:iCs/>
        </w:rPr>
        <w:t xml:space="preserve"> </w:t>
      </w:r>
      <w:r w:rsidRPr="009A1DFB">
        <w:t xml:space="preserve">means the Radiocommunications Assignment and Licensing Instruction </w:t>
      </w:r>
      <w:r w:rsidR="00862C19">
        <w:t>MS 46</w:t>
      </w:r>
      <w:r w:rsidRPr="009A1DFB">
        <w:t xml:space="preserve">, </w:t>
      </w:r>
      <w:r w:rsidRPr="009A1DFB">
        <w:rPr>
          <w:i/>
          <w:iCs/>
        </w:rPr>
        <w:t xml:space="preserve">Licensing and coordination procedures for area-wide apparatus licensed services in the </w:t>
      </w:r>
      <w:r w:rsidR="00287B20" w:rsidRPr="009A1DFB">
        <w:rPr>
          <w:i/>
          <w:iCs/>
        </w:rPr>
        <w:t>26/28 GHz bands</w:t>
      </w:r>
      <w:r w:rsidR="00287B20" w:rsidRPr="009A1DFB">
        <w:t>, published by the ACMA</w:t>
      </w:r>
      <w:r w:rsidR="00B84D9D" w:rsidRPr="009A1DFB">
        <w:t>.</w:t>
      </w:r>
    </w:p>
    <w:p w14:paraId="7D7400FE" w14:textId="60DB6172" w:rsidR="009B4EB4" w:rsidRPr="009A1DFB" w:rsidRDefault="009B4EB4" w:rsidP="009B4EB4">
      <w:pPr>
        <w:pStyle w:val="LI-BodyTextNote"/>
        <w:spacing w:before="122"/>
      </w:pPr>
      <w:r w:rsidRPr="009A1DFB">
        <w:t>Note:</w:t>
      </w:r>
      <w:r w:rsidRPr="009A1DFB">
        <w:tab/>
        <w:t xml:space="preserve">RALI </w:t>
      </w:r>
      <w:r w:rsidR="00862C19">
        <w:t>MS 46</w:t>
      </w:r>
      <w:r w:rsidRPr="009A1DFB">
        <w:t xml:space="preserve"> is available free of charge on the ACMA website: </w:t>
      </w:r>
      <w:hyperlink r:id="rId17" w:history="1">
        <w:r w:rsidR="00842FD0" w:rsidRPr="009A1DFB">
          <w:rPr>
            <w:rStyle w:val="Hyperlink"/>
          </w:rPr>
          <w:t>www.acma.gov.au</w:t>
        </w:r>
      </w:hyperlink>
      <w:r w:rsidR="00842FD0" w:rsidRPr="009A1DFB">
        <w:t xml:space="preserve">. </w:t>
      </w:r>
    </w:p>
    <w:p w14:paraId="37C20016" w14:textId="4A00EBA4" w:rsidR="00AF6D57" w:rsidRPr="009A1DFB" w:rsidRDefault="00AF6D57" w:rsidP="00AF6D57">
      <w:pPr>
        <w:pStyle w:val="Definition"/>
      </w:pPr>
      <w:r w:rsidRPr="009A1DFB">
        <w:rPr>
          <w:b/>
          <w:bCs/>
          <w:i/>
          <w:iCs/>
        </w:rPr>
        <w:t>Recommendation ITU-R</w:t>
      </w:r>
      <w:r>
        <w:rPr>
          <w:b/>
          <w:bCs/>
          <w:i/>
          <w:iCs/>
        </w:rPr>
        <w:t xml:space="preserve"> P</w:t>
      </w:r>
      <w:r w:rsidRPr="009A1DFB">
        <w:rPr>
          <w:b/>
          <w:bCs/>
          <w:i/>
          <w:iCs/>
        </w:rPr>
        <w:t>.</w:t>
      </w:r>
      <w:r>
        <w:rPr>
          <w:b/>
          <w:bCs/>
          <w:i/>
          <w:iCs/>
        </w:rPr>
        <w:t>452</w:t>
      </w:r>
      <w:r w:rsidRPr="009A1DFB">
        <w:t xml:space="preserve"> means the ITU-R Recommendation “</w:t>
      </w:r>
      <w:r>
        <w:t>P</w:t>
      </w:r>
      <w:r w:rsidRPr="009A1DFB">
        <w:t>.</w:t>
      </w:r>
      <w:r>
        <w:t>452</w:t>
      </w:r>
      <w:r w:rsidRPr="009A1DFB">
        <w:t xml:space="preserve"> </w:t>
      </w:r>
      <w:r>
        <w:t>Prediction procedure for the evaluation of interference between stations on the surface of the Earth at frequencies above about 0.1 GHz</w:t>
      </w:r>
      <w:r w:rsidRPr="009A1DFB">
        <w:t>” published by the ITU.</w:t>
      </w:r>
    </w:p>
    <w:p w14:paraId="288A2E26" w14:textId="006A6DDE" w:rsidR="00AF6D57" w:rsidRPr="009A1DFB" w:rsidRDefault="00AF6D57" w:rsidP="00AF6D57">
      <w:pPr>
        <w:pStyle w:val="LI-BodyTextNote"/>
        <w:spacing w:before="122"/>
      </w:pPr>
      <w:r w:rsidRPr="009A1DFB">
        <w:t>Note:</w:t>
      </w:r>
      <w:r w:rsidRPr="009A1DFB">
        <w:tab/>
        <w:t xml:space="preserve">Recommendation ITU-R </w:t>
      </w:r>
      <w:r>
        <w:t>P.452</w:t>
      </w:r>
      <w:r w:rsidRPr="009A1DFB">
        <w:t xml:space="preserve"> is available free of charge on the ITU website at </w:t>
      </w:r>
      <w:hyperlink r:id="rId18" w:history="1">
        <w:r w:rsidRPr="009A1DFB">
          <w:rPr>
            <w:rStyle w:val="Hyperlink"/>
          </w:rPr>
          <w:t>www.itu.int</w:t>
        </w:r>
      </w:hyperlink>
      <w:r w:rsidRPr="009A1DFB">
        <w:t xml:space="preserve">. </w:t>
      </w:r>
    </w:p>
    <w:p w14:paraId="11826DF1" w14:textId="3999C032" w:rsidR="00CC1C0A" w:rsidRPr="009A1DFB" w:rsidRDefault="00CC1C0A" w:rsidP="00CC1C0A">
      <w:pPr>
        <w:pStyle w:val="Definition"/>
      </w:pPr>
      <w:r w:rsidRPr="009A1DFB">
        <w:rPr>
          <w:b/>
          <w:bCs/>
          <w:i/>
          <w:iCs/>
        </w:rPr>
        <w:t>Recommendation ITU-R SA.509</w:t>
      </w:r>
      <w:r w:rsidRPr="009A1DFB">
        <w:t xml:space="preserve"> means the ITU-R Recommendation “SA.509 Space research earth station and radio astronomy reference antenna radiation pattern use in interference calculations, including coordination procedures, for frequencies less than 30 GHz” published by the ITU.</w:t>
      </w:r>
    </w:p>
    <w:p w14:paraId="5A6F10CF" w14:textId="4411CFBF" w:rsidR="00CA1FD1" w:rsidRPr="009A1DFB" w:rsidRDefault="00CA1FD1" w:rsidP="006618CF">
      <w:pPr>
        <w:pStyle w:val="LI-BodyTextNote"/>
        <w:spacing w:before="122"/>
      </w:pPr>
      <w:r w:rsidRPr="009A1DFB">
        <w:t>Note:</w:t>
      </w:r>
      <w:r w:rsidRPr="009A1DFB">
        <w:tab/>
      </w:r>
      <w:r w:rsidR="004D5D42" w:rsidRPr="009A1DFB">
        <w:t xml:space="preserve">Recommendation </w:t>
      </w:r>
      <w:r w:rsidRPr="009A1DFB">
        <w:t xml:space="preserve">ITU-R </w:t>
      </w:r>
      <w:r w:rsidR="004D5D42" w:rsidRPr="009A1DFB">
        <w:t>SA.509</w:t>
      </w:r>
      <w:r w:rsidRPr="009A1DFB">
        <w:t xml:space="preserve"> is available free of charge on the ITU website at </w:t>
      </w:r>
      <w:hyperlink r:id="rId19" w:history="1">
        <w:r w:rsidRPr="009A1DFB">
          <w:rPr>
            <w:rStyle w:val="Hyperlink"/>
          </w:rPr>
          <w:t>www.itu.int</w:t>
        </w:r>
      </w:hyperlink>
      <w:r w:rsidRPr="009A1DFB">
        <w:t xml:space="preserve">. </w:t>
      </w:r>
    </w:p>
    <w:p w14:paraId="42769FFF" w14:textId="6933F6B2" w:rsidR="00970536" w:rsidRPr="009A1DFB" w:rsidRDefault="00246980" w:rsidP="004A5471">
      <w:pPr>
        <w:pStyle w:val="Definition"/>
        <w:rPr>
          <w:iCs/>
        </w:rPr>
      </w:pPr>
      <w:r w:rsidRPr="009A1DFB">
        <w:rPr>
          <w:b/>
          <w:bCs/>
          <w:i/>
          <w:iCs/>
        </w:rPr>
        <w:t xml:space="preserve">Subsection </w:t>
      </w:r>
      <w:r w:rsidR="00970536" w:rsidRPr="009A1DFB">
        <w:rPr>
          <w:b/>
          <w:bCs/>
          <w:i/>
          <w:iCs/>
        </w:rPr>
        <w:t xml:space="preserve">145(4) Determination </w:t>
      </w:r>
      <w:r w:rsidR="00970536" w:rsidRPr="009A1DFB">
        <w:t xml:space="preserve">means the </w:t>
      </w:r>
      <w:bookmarkStart w:id="12" w:name="_Hlk50120225"/>
      <w:r w:rsidR="00970536" w:rsidRPr="009A1DFB">
        <w:rPr>
          <w:i/>
          <w:iCs/>
        </w:rPr>
        <w:t xml:space="preserve">Radiocommunications (Unacceptable Levels of Interference </w:t>
      </w:r>
      <w:r w:rsidR="00BC28AB" w:rsidRPr="009A1DFB">
        <w:rPr>
          <w:i/>
        </w:rPr>
        <w:t>– 26 GHz Band) Determination 2020</w:t>
      </w:r>
      <w:bookmarkEnd w:id="12"/>
      <w:r w:rsidR="00BC28AB" w:rsidRPr="009A1DFB">
        <w:rPr>
          <w:iCs/>
        </w:rPr>
        <w:t>.</w:t>
      </w:r>
    </w:p>
    <w:p w14:paraId="5A496C6B" w14:textId="299CA46D" w:rsidR="00431F15" w:rsidRPr="009A1DFB" w:rsidRDefault="00431F15" w:rsidP="001B2B02">
      <w:pPr>
        <w:pStyle w:val="Definition"/>
        <w:rPr>
          <w:bCs/>
          <w:iCs/>
        </w:rPr>
      </w:pPr>
      <w:r w:rsidRPr="009A1DFB">
        <w:rPr>
          <w:b/>
          <w:i/>
        </w:rPr>
        <w:t xml:space="preserve">terrestrial radiocommunication </w:t>
      </w:r>
      <w:r w:rsidRPr="009A1DFB">
        <w:t xml:space="preserve">has the same meaning as in the </w:t>
      </w:r>
      <w:r w:rsidR="00834A41">
        <w:t>s</w:t>
      </w:r>
      <w:r w:rsidRPr="009A1DFB">
        <w:t xml:space="preserve">pectrum </w:t>
      </w:r>
      <w:r w:rsidR="00834A41">
        <w:t>p</w:t>
      </w:r>
      <w:r w:rsidRPr="009A1DFB">
        <w:t>lan.</w:t>
      </w:r>
    </w:p>
    <w:p w14:paraId="49CDB432" w14:textId="0E5126C8" w:rsidR="001B2B02" w:rsidRPr="009A1DFB" w:rsidRDefault="001B2B02" w:rsidP="001B2B02">
      <w:pPr>
        <w:pStyle w:val="Definition"/>
      </w:pPr>
      <w:r w:rsidRPr="009A1DFB">
        <w:rPr>
          <w:b/>
          <w:i/>
        </w:rPr>
        <w:t>unwanted emission</w:t>
      </w:r>
      <w:r w:rsidRPr="009A1DFB">
        <w:t>, in relation to the operation of a radiocommunications transmitter authorised by a spectrum licence, means an emission outside the upper or lower frequency limits for the licence.</w:t>
      </w:r>
    </w:p>
    <w:p w14:paraId="05681FC1" w14:textId="596F6CE4" w:rsidR="00086BF0" w:rsidRPr="009A1DFB" w:rsidRDefault="00086BF0" w:rsidP="00086BF0">
      <w:pPr>
        <w:pStyle w:val="notetext"/>
      </w:pPr>
      <w:r w:rsidRPr="009A1DFB">
        <w:t>Note:</w:t>
      </w:r>
      <w:r w:rsidRPr="009A1DFB">
        <w:tab/>
        <w:t>A number of other expressions used in this instrument are defined in the Act, including the following:</w:t>
      </w:r>
    </w:p>
    <w:p w14:paraId="254129E0" w14:textId="19D835E9" w:rsidR="00A15FDD" w:rsidRPr="009A1DFB" w:rsidRDefault="00A15FDD" w:rsidP="001B300A">
      <w:pPr>
        <w:pStyle w:val="notepara"/>
        <w:numPr>
          <w:ilvl w:val="0"/>
          <w:numId w:val="16"/>
        </w:numPr>
      </w:pPr>
      <w:r w:rsidRPr="009A1DFB">
        <w:t>ACMA;</w:t>
      </w:r>
    </w:p>
    <w:p w14:paraId="0696F27A" w14:textId="24775329" w:rsidR="00086BF0" w:rsidRPr="009A1DFB" w:rsidRDefault="008672FC" w:rsidP="001B300A">
      <w:pPr>
        <w:pStyle w:val="notepara"/>
        <w:numPr>
          <w:ilvl w:val="0"/>
          <w:numId w:val="16"/>
        </w:numPr>
      </w:pPr>
      <w:r w:rsidRPr="009A1DFB">
        <w:t>apparatus licence</w:t>
      </w:r>
      <w:r w:rsidR="00086BF0" w:rsidRPr="009A1DFB">
        <w:t>;</w:t>
      </w:r>
    </w:p>
    <w:p w14:paraId="67E0F11C" w14:textId="2E667911" w:rsidR="00086BF0" w:rsidRPr="009A1DFB" w:rsidRDefault="008672FC" w:rsidP="001B300A">
      <w:pPr>
        <w:pStyle w:val="notepara"/>
        <w:numPr>
          <w:ilvl w:val="0"/>
          <w:numId w:val="16"/>
        </w:numPr>
      </w:pPr>
      <w:r w:rsidRPr="009A1DFB">
        <w:t>class licence</w:t>
      </w:r>
      <w:r w:rsidR="00086BF0" w:rsidRPr="009A1DFB">
        <w:t>;</w:t>
      </w:r>
    </w:p>
    <w:p w14:paraId="7B1D6222" w14:textId="74B6EC49" w:rsidR="00A15FDD" w:rsidRPr="009A1DFB" w:rsidRDefault="00A15FDD" w:rsidP="001B300A">
      <w:pPr>
        <w:pStyle w:val="notepara"/>
        <w:numPr>
          <w:ilvl w:val="0"/>
          <w:numId w:val="16"/>
        </w:numPr>
      </w:pPr>
      <w:r w:rsidRPr="009A1DFB">
        <w:t>frequency band;</w:t>
      </w:r>
    </w:p>
    <w:p w14:paraId="66A7E357" w14:textId="0B70B064" w:rsidR="001D7EEF" w:rsidRPr="009A1DFB" w:rsidRDefault="001D7EEF" w:rsidP="001B300A">
      <w:pPr>
        <w:pStyle w:val="notepara"/>
        <w:numPr>
          <w:ilvl w:val="0"/>
          <w:numId w:val="16"/>
        </w:numPr>
      </w:pPr>
      <w:r w:rsidRPr="009A1DFB">
        <w:t>interference;</w:t>
      </w:r>
    </w:p>
    <w:p w14:paraId="62530402" w14:textId="0854B345" w:rsidR="001D7EEF" w:rsidRPr="009A1DFB" w:rsidRDefault="001D7EEF" w:rsidP="001B300A">
      <w:pPr>
        <w:pStyle w:val="notepara"/>
        <w:numPr>
          <w:ilvl w:val="0"/>
          <w:numId w:val="16"/>
        </w:numPr>
      </w:pPr>
      <w:r w:rsidRPr="009A1DFB">
        <w:t>radiocommunications receiver;</w:t>
      </w:r>
    </w:p>
    <w:p w14:paraId="705F1948" w14:textId="11C5BC6A" w:rsidR="001D7EEF" w:rsidRPr="009A1DFB" w:rsidRDefault="001D7EEF" w:rsidP="001B300A">
      <w:pPr>
        <w:pStyle w:val="notepara"/>
        <w:numPr>
          <w:ilvl w:val="0"/>
          <w:numId w:val="16"/>
        </w:numPr>
      </w:pPr>
      <w:r w:rsidRPr="009A1DFB">
        <w:t>radiocommunications transmitter;</w:t>
      </w:r>
    </w:p>
    <w:p w14:paraId="224CCEA8" w14:textId="74224731" w:rsidR="001D7EEF" w:rsidRPr="009A1DFB" w:rsidRDefault="001D7EEF" w:rsidP="001B300A">
      <w:pPr>
        <w:pStyle w:val="notepara"/>
        <w:numPr>
          <w:ilvl w:val="0"/>
          <w:numId w:val="16"/>
        </w:numPr>
      </w:pPr>
      <w:r w:rsidRPr="009A1DFB">
        <w:lastRenderedPageBreak/>
        <w:t>Register;</w:t>
      </w:r>
      <w:r w:rsidR="00827D0D" w:rsidRPr="009A1DFB">
        <w:t xml:space="preserve"> </w:t>
      </w:r>
    </w:p>
    <w:p w14:paraId="5DF58431" w14:textId="447FA643" w:rsidR="00834A41" w:rsidRDefault="001D7EEF" w:rsidP="00834A41">
      <w:pPr>
        <w:pStyle w:val="notepara"/>
        <w:numPr>
          <w:ilvl w:val="0"/>
          <w:numId w:val="16"/>
        </w:numPr>
      </w:pPr>
      <w:r w:rsidRPr="009A1DFB">
        <w:t>spectrum licence</w:t>
      </w:r>
      <w:r w:rsidR="00834A41">
        <w:t>; and</w:t>
      </w:r>
    </w:p>
    <w:p w14:paraId="3B8EA141" w14:textId="33ED9FBB" w:rsidR="00086BF0" w:rsidRPr="009A1DFB" w:rsidRDefault="001E1928" w:rsidP="001B300A">
      <w:pPr>
        <w:pStyle w:val="notepara"/>
        <w:numPr>
          <w:ilvl w:val="0"/>
          <w:numId w:val="16"/>
        </w:numPr>
      </w:pPr>
      <w:r>
        <w:t>s</w:t>
      </w:r>
      <w:r w:rsidR="00834A41">
        <w:t>pectrum plan</w:t>
      </w:r>
      <w:r w:rsidR="00086BF0" w:rsidRPr="009A1DFB">
        <w:t>.</w:t>
      </w:r>
    </w:p>
    <w:p w14:paraId="7E376D8D" w14:textId="3ADD5E70" w:rsidR="00A2154F" w:rsidRPr="009A1DFB" w:rsidRDefault="00A2154F" w:rsidP="00A2154F">
      <w:pPr>
        <w:pStyle w:val="subsection"/>
      </w:pPr>
      <w:r w:rsidRPr="009A1DFB">
        <w:tab/>
        <w:t>(2)</w:t>
      </w:r>
      <w:r w:rsidRPr="009A1DFB">
        <w:tab/>
      </w:r>
      <w:r w:rsidR="00DC5BFE" w:rsidRPr="009A1DFB">
        <w:t xml:space="preserve">Unless the contrary intention appears, terms used in this instrument that are defined in the </w:t>
      </w:r>
      <w:r w:rsidR="00246980" w:rsidRPr="009A1DFB">
        <w:t xml:space="preserve">Subsection </w:t>
      </w:r>
      <w:r w:rsidR="00DC5BFE" w:rsidRPr="009A1DFB">
        <w:t xml:space="preserve">145(4) Determination </w:t>
      </w:r>
      <w:r w:rsidR="000E2FAD" w:rsidRPr="009A1DFB">
        <w:t xml:space="preserve">have the same meaning as in that determination. </w:t>
      </w:r>
    </w:p>
    <w:p w14:paraId="1214C5E0" w14:textId="212EAB59" w:rsidR="000E2FAD" w:rsidRPr="009A1DFB" w:rsidRDefault="000E2FAD" w:rsidP="000E2FAD">
      <w:pPr>
        <w:pStyle w:val="notetext"/>
      </w:pPr>
      <w:r w:rsidRPr="009A1DFB">
        <w:t>Note:</w:t>
      </w:r>
      <w:r w:rsidRPr="009A1DFB">
        <w:tab/>
        <w:t xml:space="preserve">The following terms that are used in </w:t>
      </w:r>
      <w:r w:rsidR="00D75112" w:rsidRPr="009A1DFB">
        <w:t>this instrument</w:t>
      </w:r>
      <w:r w:rsidRPr="009A1DFB">
        <w:t xml:space="preserve"> are defined in the </w:t>
      </w:r>
      <w:r w:rsidR="00D75112" w:rsidRPr="009A1DFB">
        <w:t xml:space="preserve">Subsection </w:t>
      </w:r>
      <w:r w:rsidRPr="009A1DFB">
        <w:t>145(4) Determination:</w:t>
      </w:r>
    </w:p>
    <w:p w14:paraId="20BF407A" w14:textId="77777777" w:rsidR="00765F83" w:rsidRPr="009A1DFB" w:rsidRDefault="00765F83" w:rsidP="001B300A">
      <w:pPr>
        <w:pStyle w:val="notepara"/>
        <w:numPr>
          <w:ilvl w:val="0"/>
          <w:numId w:val="18"/>
        </w:numPr>
      </w:pPr>
      <w:r w:rsidRPr="009A1DFB">
        <w:t>26 GHz band;</w:t>
      </w:r>
    </w:p>
    <w:p w14:paraId="27EAFA35" w14:textId="77777777" w:rsidR="00765F83" w:rsidRPr="009A1DFB" w:rsidRDefault="00765F83" w:rsidP="001B300A">
      <w:pPr>
        <w:pStyle w:val="notepara"/>
        <w:numPr>
          <w:ilvl w:val="0"/>
          <w:numId w:val="18"/>
        </w:numPr>
      </w:pPr>
      <w:r w:rsidRPr="009A1DFB">
        <w:t>Act;</w:t>
      </w:r>
    </w:p>
    <w:p w14:paraId="7C7A9765" w14:textId="712CD522" w:rsidR="00765F83" w:rsidRPr="009A1DFB" w:rsidRDefault="005837AA" w:rsidP="001B300A">
      <w:pPr>
        <w:pStyle w:val="notepara"/>
        <w:numPr>
          <w:ilvl w:val="0"/>
          <w:numId w:val="18"/>
        </w:numPr>
      </w:pPr>
      <w:r w:rsidRPr="009A1DFB">
        <w:t>a</w:t>
      </w:r>
      <w:r w:rsidR="00765F83" w:rsidRPr="009A1DFB">
        <w:t>ctive antenna system</w:t>
      </w:r>
      <w:r w:rsidR="00BE02A8">
        <w:t xml:space="preserve"> or AAS</w:t>
      </w:r>
      <w:r w:rsidR="00765F83" w:rsidRPr="009A1DFB">
        <w:t>;</w:t>
      </w:r>
    </w:p>
    <w:p w14:paraId="0B3446C6" w14:textId="621E042C" w:rsidR="00765F83" w:rsidRPr="009A1DFB" w:rsidRDefault="00765F83" w:rsidP="001B300A">
      <w:pPr>
        <w:pStyle w:val="notepara"/>
        <w:numPr>
          <w:ilvl w:val="0"/>
          <w:numId w:val="18"/>
        </w:numPr>
      </w:pPr>
      <w:r w:rsidRPr="009A1DFB">
        <w:t>ASMG;</w:t>
      </w:r>
    </w:p>
    <w:p w14:paraId="3581376A" w14:textId="77777777" w:rsidR="00765F83" w:rsidRPr="009A1DFB" w:rsidRDefault="000E2FAD" w:rsidP="001B300A">
      <w:pPr>
        <w:pStyle w:val="notepara"/>
        <w:numPr>
          <w:ilvl w:val="0"/>
          <w:numId w:val="18"/>
        </w:numPr>
      </w:pPr>
      <w:r w:rsidRPr="009A1DFB">
        <w:t>fixed transmitter</w:t>
      </w:r>
      <w:r w:rsidR="00827D0D" w:rsidRPr="009A1DFB">
        <w:t>;</w:t>
      </w:r>
    </w:p>
    <w:p w14:paraId="04052497" w14:textId="77777777" w:rsidR="00765F83" w:rsidRPr="009A1DFB" w:rsidRDefault="00765F83" w:rsidP="001B300A">
      <w:pPr>
        <w:pStyle w:val="notepara"/>
        <w:numPr>
          <w:ilvl w:val="0"/>
          <w:numId w:val="18"/>
        </w:numPr>
      </w:pPr>
      <w:r w:rsidRPr="009A1DFB">
        <w:t>HCIS identifier;</w:t>
      </w:r>
    </w:p>
    <w:p w14:paraId="5E8DF297" w14:textId="50D90309" w:rsidR="00765F83" w:rsidRPr="009A1DFB" w:rsidRDefault="00344E9B" w:rsidP="001B300A">
      <w:pPr>
        <w:pStyle w:val="notepara"/>
        <w:numPr>
          <w:ilvl w:val="0"/>
          <w:numId w:val="18"/>
        </w:numPr>
      </w:pPr>
      <w:r w:rsidRPr="009A1DFB">
        <w:t>h</w:t>
      </w:r>
      <w:r w:rsidR="00765F83" w:rsidRPr="009A1DFB">
        <w:t>ierarchical cell identification scheme or HCIS;</w:t>
      </w:r>
    </w:p>
    <w:p w14:paraId="18552878" w14:textId="77777777" w:rsidR="00765F83" w:rsidRPr="009A1DFB" w:rsidRDefault="00765F83" w:rsidP="001B300A">
      <w:pPr>
        <w:pStyle w:val="notepara"/>
        <w:numPr>
          <w:ilvl w:val="0"/>
          <w:numId w:val="18"/>
        </w:numPr>
      </w:pPr>
      <w:r w:rsidRPr="009A1DFB">
        <w:t>ITU;</w:t>
      </w:r>
    </w:p>
    <w:p w14:paraId="42805C8C" w14:textId="4157BC41" w:rsidR="000E2FAD" w:rsidRPr="009A1DFB" w:rsidRDefault="00765F83" w:rsidP="001B300A">
      <w:pPr>
        <w:pStyle w:val="notepara"/>
        <w:numPr>
          <w:ilvl w:val="0"/>
          <w:numId w:val="18"/>
        </w:numPr>
      </w:pPr>
      <w:r w:rsidRPr="009A1DFB">
        <w:t>ITU-R;</w:t>
      </w:r>
      <w:r w:rsidR="00827D0D" w:rsidRPr="009A1DFB">
        <w:t xml:space="preserve"> </w:t>
      </w:r>
    </w:p>
    <w:p w14:paraId="663DCAD2" w14:textId="5DDDD584" w:rsidR="00827D0D" w:rsidRPr="009A1DFB" w:rsidRDefault="00827D0D" w:rsidP="001B300A">
      <w:pPr>
        <w:pStyle w:val="notepara"/>
        <w:numPr>
          <w:ilvl w:val="0"/>
          <w:numId w:val="18"/>
        </w:numPr>
      </w:pPr>
      <w:r w:rsidRPr="009A1DFB">
        <w:t>Radio Regulations</w:t>
      </w:r>
      <w:r w:rsidR="008E33F2" w:rsidRPr="009A1DFB">
        <w:t>;</w:t>
      </w:r>
    </w:p>
    <w:p w14:paraId="2B2EC761" w14:textId="2DA74A53" w:rsidR="00FD4848" w:rsidRPr="009A1DFB" w:rsidRDefault="00FD4848" w:rsidP="001B300A">
      <w:pPr>
        <w:pStyle w:val="notepara"/>
        <w:numPr>
          <w:ilvl w:val="0"/>
          <w:numId w:val="18"/>
        </w:numPr>
      </w:pPr>
      <w:r w:rsidRPr="009A1DFB">
        <w:t>true mean power</w:t>
      </w:r>
      <w:r w:rsidR="00597AA1" w:rsidRPr="009A1DFB">
        <w:t>.</w:t>
      </w:r>
    </w:p>
    <w:p w14:paraId="5EB1A16A" w14:textId="610793FC" w:rsidR="00A2154F" w:rsidRPr="009A1DFB" w:rsidRDefault="00827D0D" w:rsidP="00827D0D">
      <w:pPr>
        <w:pStyle w:val="subsection"/>
      </w:pPr>
      <w:r w:rsidRPr="009A1DFB">
        <w:tab/>
        <w:t>(3)</w:t>
      </w:r>
      <w:r w:rsidRPr="009A1DFB">
        <w:tab/>
        <w:t>Unless the contrary intention appears</w:t>
      </w:r>
      <w:r w:rsidR="007322EF">
        <w:t>,</w:t>
      </w:r>
      <w:r w:rsidRPr="009A1DFB">
        <w:t xml:space="preserve"> terms used in th</w:t>
      </w:r>
      <w:r w:rsidR="00355F3C" w:rsidRPr="009A1DFB">
        <w:t>is instrument</w:t>
      </w:r>
      <w:r w:rsidRPr="009A1DFB">
        <w:t xml:space="preserve"> that are defined in the </w:t>
      </w:r>
      <w:r w:rsidR="00355F3C" w:rsidRPr="009A1DFB">
        <w:rPr>
          <w:i/>
          <w:iCs/>
        </w:rPr>
        <w:t xml:space="preserve">Radiocommunications (Interpretation) Determination 2015 </w:t>
      </w:r>
      <w:r w:rsidR="00355F3C" w:rsidRPr="009A1DFB">
        <w:t xml:space="preserve">have the same meaning as in that </w:t>
      </w:r>
      <w:r w:rsidR="00EB1901" w:rsidRPr="009A1DFB">
        <w:t>determination.</w:t>
      </w:r>
    </w:p>
    <w:p w14:paraId="6766F7E7" w14:textId="325BD74A" w:rsidR="007F0E12" w:rsidRPr="009A1DFB" w:rsidRDefault="007F0E12" w:rsidP="007F0E12">
      <w:pPr>
        <w:pStyle w:val="notetext"/>
        <w:rPr>
          <w:i/>
          <w:iCs/>
        </w:rPr>
      </w:pPr>
      <w:r w:rsidRPr="009A1DFB">
        <w:t>Note:</w:t>
      </w:r>
      <w:r w:rsidRPr="009A1DFB">
        <w:tab/>
        <w:t>The following term</w:t>
      </w:r>
      <w:r w:rsidR="00597AA1" w:rsidRPr="009A1DFB">
        <w:t>s</w:t>
      </w:r>
      <w:r w:rsidRPr="009A1DFB">
        <w:t xml:space="preserve"> that </w:t>
      </w:r>
      <w:r w:rsidR="00597AA1" w:rsidRPr="009A1DFB">
        <w:t>are</w:t>
      </w:r>
      <w:r w:rsidRPr="009A1DFB">
        <w:t xml:space="preserve"> used in this </w:t>
      </w:r>
      <w:r w:rsidR="00D75112" w:rsidRPr="009A1DFB">
        <w:t>instrument</w:t>
      </w:r>
      <w:r w:rsidRPr="009A1DFB">
        <w:t xml:space="preserve"> </w:t>
      </w:r>
      <w:r w:rsidR="00597AA1" w:rsidRPr="009A1DFB">
        <w:t>are</w:t>
      </w:r>
      <w:r w:rsidRPr="009A1DFB">
        <w:t xml:space="preserve"> defined in </w:t>
      </w:r>
      <w:r w:rsidR="009D02E5" w:rsidRPr="009A1DFB">
        <w:t xml:space="preserve">Schedule 1 to the </w:t>
      </w:r>
      <w:r w:rsidR="009D02E5" w:rsidRPr="009A1DFB">
        <w:rPr>
          <w:i/>
          <w:iCs/>
        </w:rPr>
        <w:t>Radiocommunications (Interpretation) Determination 2015:</w:t>
      </w:r>
    </w:p>
    <w:p w14:paraId="5B8887E0" w14:textId="7C6A5E7C" w:rsidR="0078539B" w:rsidRPr="009A1DFB" w:rsidRDefault="000C2935" w:rsidP="001B300A">
      <w:pPr>
        <w:pStyle w:val="notepara"/>
        <w:numPr>
          <w:ilvl w:val="0"/>
          <w:numId w:val="19"/>
        </w:numPr>
      </w:pPr>
      <w:r w:rsidRPr="009A1DFB">
        <w:t>area</w:t>
      </w:r>
      <w:r w:rsidR="0096393C" w:rsidRPr="009A1DFB">
        <w:t>-</w:t>
      </w:r>
      <w:r w:rsidRPr="009A1DFB">
        <w:t>wide licence</w:t>
      </w:r>
      <w:r w:rsidR="0078539B" w:rsidRPr="009A1DFB">
        <w:t>;</w:t>
      </w:r>
    </w:p>
    <w:p w14:paraId="4619A7F4" w14:textId="077395D2" w:rsidR="0078539B" w:rsidRPr="009A1DFB" w:rsidRDefault="0078539B" w:rsidP="001B300A">
      <w:pPr>
        <w:pStyle w:val="notepara"/>
        <w:numPr>
          <w:ilvl w:val="0"/>
          <w:numId w:val="19"/>
        </w:numPr>
      </w:pPr>
      <w:r w:rsidRPr="009A1DFB">
        <w:t xml:space="preserve">earth </w:t>
      </w:r>
      <w:r w:rsidR="005201E4" w:rsidRPr="009A1DFB">
        <w:t xml:space="preserve">receive </w:t>
      </w:r>
      <w:r w:rsidRPr="009A1DFB">
        <w:t>station;</w:t>
      </w:r>
    </w:p>
    <w:p w14:paraId="25AFB129" w14:textId="58A57060" w:rsidR="00A65E7F" w:rsidRPr="009A1DFB" w:rsidRDefault="0078539B" w:rsidP="001B300A">
      <w:pPr>
        <w:pStyle w:val="notepara"/>
        <w:numPr>
          <w:ilvl w:val="0"/>
          <w:numId w:val="19"/>
        </w:numPr>
      </w:pPr>
      <w:r w:rsidRPr="009A1DFB">
        <w:t>fixed-satellite service</w:t>
      </w:r>
      <w:r w:rsidR="00A65E7F" w:rsidRPr="009A1DFB">
        <w:t>; and</w:t>
      </w:r>
    </w:p>
    <w:p w14:paraId="7A406733" w14:textId="24B5C8E6" w:rsidR="00086BF0" w:rsidRPr="009A1DFB" w:rsidRDefault="00A65E7F" w:rsidP="001B300A">
      <w:pPr>
        <w:pStyle w:val="notepara"/>
        <w:numPr>
          <w:ilvl w:val="0"/>
          <w:numId w:val="19"/>
        </w:numPr>
      </w:pPr>
      <w:r w:rsidRPr="009A1DFB">
        <w:t>space</w:t>
      </w:r>
      <w:r w:rsidR="00B531AB" w:rsidRPr="009A1DFB">
        <w:t xml:space="preserve"> receive</w:t>
      </w:r>
      <w:r w:rsidRPr="009A1DFB">
        <w:t xml:space="preserve"> station</w:t>
      </w:r>
      <w:r w:rsidR="000C2935" w:rsidRPr="009A1DFB">
        <w:t>.</w:t>
      </w:r>
    </w:p>
    <w:p w14:paraId="13C406F7" w14:textId="67DE9B19" w:rsidR="00086BF0" w:rsidRPr="009A1DFB" w:rsidRDefault="00E93EBD" w:rsidP="00BD40C5">
      <w:pPr>
        <w:pStyle w:val="Heading2"/>
      </w:pPr>
      <w:bookmarkStart w:id="13" w:name="_Toc55373526"/>
      <w:r w:rsidRPr="009A1DFB">
        <w:rPr>
          <w:rStyle w:val="CharSectno"/>
        </w:rPr>
        <w:t>5</w:t>
      </w:r>
      <w:r w:rsidR="00086BF0" w:rsidRPr="009A1DFB">
        <w:rPr>
          <w:rStyle w:val="CharSectno"/>
        </w:rPr>
        <w:t xml:space="preserve"> </w:t>
      </w:r>
      <w:r w:rsidR="00086BF0" w:rsidRPr="009A1DFB">
        <w:t xml:space="preserve"> References to other instruments</w:t>
      </w:r>
      <w:bookmarkEnd w:id="13"/>
    </w:p>
    <w:p w14:paraId="624BF9E2" w14:textId="77777777" w:rsidR="00086BF0" w:rsidRPr="009A1DFB" w:rsidRDefault="00086BF0" w:rsidP="00086BF0">
      <w:pPr>
        <w:pStyle w:val="subsection"/>
      </w:pPr>
      <w:r w:rsidRPr="009A1DFB">
        <w:tab/>
      </w:r>
      <w:r w:rsidRPr="009A1DFB">
        <w:tab/>
        <w:t>In this instrument, unless the contrary intention appears:</w:t>
      </w:r>
    </w:p>
    <w:p w14:paraId="17BE503C" w14:textId="28A10841" w:rsidR="00086BF0" w:rsidRPr="009A1DFB" w:rsidRDefault="00086BF0" w:rsidP="003017C3">
      <w:pPr>
        <w:pStyle w:val="paragraph"/>
        <w:tabs>
          <w:tab w:val="clear" w:pos="1531"/>
        </w:tabs>
        <w:ind w:hanging="510"/>
      </w:pPr>
      <w:r w:rsidRPr="009A1DFB">
        <w:t>(a)</w:t>
      </w:r>
      <w:r w:rsidRPr="009A1DFB">
        <w:tab/>
        <w:t>a reference to any other legislative instrument is a reference to that other legislative instrument as in force from time to time; and</w:t>
      </w:r>
    </w:p>
    <w:p w14:paraId="7B18CE4F" w14:textId="085F0728" w:rsidR="00086BF0" w:rsidRPr="009A1DFB" w:rsidRDefault="00086BF0" w:rsidP="003017C3">
      <w:pPr>
        <w:pStyle w:val="paragraph"/>
        <w:tabs>
          <w:tab w:val="clear" w:pos="1531"/>
          <w:tab w:val="left" w:pos="2160"/>
          <w:tab w:val="left" w:pos="2880"/>
          <w:tab w:val="left" w:pos="3600"/>
          <w:tab w:val="center" w:pos="4513"/>
        </w:tabs>
        <w:ind w:hanging="510"/>
      </w:pPr>
      <w:r w:rsidRPr="009A1DFB">
        <w:t>(b)</w:t>
      </w:r>
      <w:r w:rsidRPr="009A1DFB">
        <w:tab/>
        <w:t xml:space="preserve">a reference to any other kind of instrument </w:t>
      </w:r>
      <w:r w:rsidR="00EF41B8" w:rsidRPr="009A1DFB">
        <w:t xml:space="preserve">or writing </w:t>
      </w:r>
      <w:r w:rsidRPr="009A1DFB">
        <w:t xml:space="preserve">is a reference to that other instrument </w:t>
      </w:r>
      <w:r w:rsidR="00810637" w:rsidRPr="009A1DFB">
        <w:t>or writing as in force or existing from time to time.</w:t>
      </w:r>
    </w:p>
    <w:p w14:paraId="01AF959A" w14:textId="77777777" w:rsidR="00086BF0" w:rsidRPr="009A1DFB" w:rsidRDefault="00086BF0" w:rsidP="00086BF0">
      <w:pPr>
        <w:pStyle w:val="notetext"/>
      </w:pPr>
      <w:r w:rsidRPr="009A1DFB">
        <w:t>Note 1:</w:t>
      </w:r>
      <w:r w:rsidRPr="009A1DFB">
        <w:tab/>
        <w:t xml:space="preserve">For references to Commonwealth Acts, see section 10 of the </w:t>
      </w:r>
      <w:r w:rsidRPr="009A1DFB">
        <w:rPr>
          <w:i/>
        </w:rPr>
        <w:t>Acts Interpretation Act 1901</w:t>
      </w:r>
      <w:r w:rsidRPr="009A1DFB">
        <w:t xml:space="preserve">; and see also subsection 13(1) of the </w:t>
      </w:r>
      <w:r w:rsidRPr="009A1DFB">
        <w:rPr>
          <w:i/>
        </w:rPr>
        <w:t>Legislation Act 2003</w:t>
      </w:r>
      <w:r w:rsidRPr="009A1DFB">
        <w:t xml:space="preserve"> for the application of the </w:t>
      </w:r>
      <w:r w:rsidRPr="009A1DFB">
        <w:rPr>
          <w:i/>
        </w:rPr>
        <w:t>Acts Interpretation Act 1901</w:t>
      </w:r>
      <w:r w:rsidRPr="009A1DFB">
        <w:t xml:space="preserve"> to legislative instruments.</w:t>
      </w:r>
    </w:p>
    <w:p w14:paraId="480AF3CF" w14:textId="221B511B" w:rsidR="00086BF0" w:rsidRPr="009A1DFB" w:rsidRDefault="00086BF0" w:rsidP="00086BF0">
      <w:pPr>
        <w:pStyle w:val="notetext"/>
      </w:pPr>
      <w:r w:rsidRPr="009A1DFB">
        <w:t>Note 2:</w:t>
      </w:r>
      <w:r w:rsidRPr="009A1DFB">
        <w:tab/>
        <w:t>All Commonwealth Acts and legislative instruments are registered on the Federal Register of Legislation</w:t>
      </w:r>
      <w:r w:rsidR="00E629A4">
        <w:t>, and accessible free of charge at www.legislation.gov.au</w:t>
      </w:r>
      <w:r w:rsidRPr="009A1DFB">
        <w:t xml:space="preserve">. </w:t>
      </w:r>
    </w:p>
    <w:p w14:paraId="65F716A7" w14:textId="370939C5" w:rsidR="00E4107D" w:rsidRPr="009A1DFB" w:rsidRDefault="00585C09" w:rsidP="00585C09">
      <w:pPr>
        <w:pStyle w:val="notetext"/>
      </w:pPr>
      <w:r w:rsidRPr="009A1DFB">
        <w:t>Note 3:</w:t>
      </w:r>
      <w:r w:rsidRPr="009A1DFB">
        <w:tab/>
        <w:t>See section 314A of the Act.</w:t>
      </w:r>
    </w:p>
    <w:p w14:paraId="67383540" w14:textId="77777777" w:rsidR="00086BF0" w:rsidRPr="009A1DFB" w:rsidRDefault="00086BF0" w:rsidP="00086BF0">
      <w:pPr>
        <w:rPr>
          <w:rFonts w:ascii="Times New Roman" w:eastAsia="Times New Roman" w:hAnsi="Times New Roman" w:cs="Times New Roman"/>
          <w:b/>
          <w:kern w:val="28"/>
          <w:sz w:val="24"/>
          <w:szCs w:val="20"/>
          <w:lang w:eastAsia="en-AU"/>
        </w:rPr>
      </w:pPr>
      <w:r w:rsidRPr="009A1DFB">
        <w:br w:type="page"/>
      </w:r>
    </w:p>
    <w:bookmarkEnd w:id="3"/>
    <w:p w14:paraId="725FBC0D" w14:textId="77777777" w:rsidR="00086BF0" w:rsidRPr="009A1DFB" w:rsidRDefault="00086BF0" w:rsidP="00086BF0">
      <w:pPr>
        <w:spacing w:after="0"/>
        <w:rPr>
          <w:rFonts w:ascii="Times New Roman" w:hAnsi="Times New Roman" w:cs="Times New Roman"/>
          <w:b/>
          <w:sz w:val="24"/>
          <w:szCs w:val="24"/>
        </w:rPr>
        <w:sectPr w:rsidR="00086BF0" w:rsidRPr="009A1DFB" w:rsidSect="003017C3">
          <w:headerReference w:type="default" r:id="rId20"/>
          <w:pgSz w:w="11906" w:h="16838"/>
          <w:pgMar w:top="1440" w:right="1440" w:bottom="1440" w:left="1440" w:header="708" w:footer="708" w:gutter="0"/>
          <w:cols w:space="720"/>
        </w:sectPr>
      </w:pPr>
    </w:p>
    <w:p w14:paraId="66305F77" w14:textId="4D0F6947" w:rsidR="00086BF0" w:rsidRPr="009A1DFB" w:rsidRDefault="00086BF0" w:rsidP="00BD40C5">
      <w:pPr>
        <w:pStyle w:val="Heading1"/>
      </w:pPr>
      <w:bookmarkStart w:id="14" w:name="_Toc55373527"/>
      <w:r w:rsidRPr="009A1DFB">
        <w:rPr>
          <w:rStyle w:val="CharPartNo"/>
        </w:rPr>
        <w:lastRenderedPageBreak/>
        <w:t>Part 2</w:t>
      </w:r>
      <w:r w:rsidR="00B22FE6" w:rsidRPr="009A1DFB">
        <w:rPr>
          <w:rStyle w:val="CharPartNo"/>
        </w:rPr>
        <w:tab/>
      </w:r>
      <w:r w:rsidR="007D69CF" w:rsidRPr="009A1DFB">
        <w:rPr>
          <w:rStyle w:val="CharPartNo"/>
        </w:rPr>
        <w:t>Overview</w:t>
      </w:r>
      <w:bookmarkEnd w:id="14"/>
      <w:r w:rsidR="00B22FE6" w:rsidRPr="009A1DFB">
        <w:rPr>
          <w:rStyle w:val="CharPartNo"/>
        </w:rPr>
        <w:t xml:space="preserve"> </w:t>
      </w:r>
    </w:p>
    <w:p w14:paraId="68CB38E3" w14:textId="7F450AEA" w:rsidR="00086BF0" w:rsidRPr="009A1DFB" w:rsidRDefault="00E81059" w:rsidP="00BD40C5">
      <w:pPr>
        <w:pStyle w:val="Heading2"/>
      </w:pPr>
      <w:bookmarkStart w:id="15" w:name="_Toc444596036"/>
      <w:bookmarkStart w:id="16" w:name="_Toc55373528"/>
      <w:r w:rsidRPr="009A1DFB">
        <w:rPr>
          <w:rStyle w:val="CharSectno"/>
        </w:rPr>
        <w:t>6</w:t>
      </w:r>
      <w:r w:rsidR="00086BF0" w:rsidRPr="009A1DFB">
        <w:rPr>
          <w:rStyle w:val="CharSectno"/>
        </w:rPr>
        <w:t xml:space="preserve"> </w:t>
      </w:r>
      <w:r w:rsidR="00086BF0" w:rsidRPr="009A1DFB">
        <w:t xml:space="preserve"> </w:t>
      </w:r>
      <w:bookmarkEnd w:id="15"/>
      <w:r w:rsidR="000A6AB0" w:rsidRPr="009A1DFB">
        <w:t>Background</w:t>
      </w:r>
      <w:bookmarkEnd w:id="16"/>
    </w:p>
    <w:p w14:paraId="57524271" w14:textId="413EAA9F" w:rsidR="00086BF0" w:rsidRPr="009A1DFB" w:rsidRDefault="00086BF0" w:rsidP="00086BF0">
      <w:pPr>
        <w:pStyle w:val="subsection"/>
      </w:pPr>
      <w:r w:rsidRPr="009A1DFB">
        <w:tab/>
        <w:t>(1)</w:t>
      </w:r>
      <w:r w:rsidRPr="009A1DFB">
        <w:tab/>
      </w:r>
      <w:r w:rsidR="008C303E" w:rsidRPr="009A1DFB">
        <w:t>The Minister has declared that the 26 GHz band in defined geographic areas is to be made available for spectrum licensing</w:t>
      </w:r>
      <w:r w:rsidR="00822CD9" w:rsidRPr="009A1DFB">
        <w:t>, by making</w:t>
      </w:r>
      <w:r w:rsidR="008C303E" w:rsidRPr="009A1DFB">
        <w:t xml:space="preserve"> the </w:t>
      </w:r>
      <w:r w:rsidR="008C303E" w:rsidRPr="009A1DFB">
        <w:rPr>
          <w:i/>
          <w:iCs/>
        </w:rPr>
        <w:t>Radiocommunications (Spectrum Re-allocation – 26 GHz Band) Declaration 2019</w:t>
      </w:r>
      <w:r w:rsidR="007A3884" w:rsidRPr="009A1DFB">
        <w:t>. Radiocommunications receivers of apparatus licensed and class licensed services may operate in and adjacent to this frequency band. These receivers may suffer interference from unwanted emissions and blocking caused by a radiocommunications transmitter operating under a spectrum licence in the 2</w:t>
      </w:r>
      <w:r w:rsidR="00440880" w:rsidRPr="009A1DFB">
        <w:t>6</w:t>
      </w:r>
      <w:r w:rsidR="007A3884" w:rsidRPr="009A1DFB">
        <w:t xml:space="preserve"> GHz band.</w:t>
      </w:r>
    </w:p>
    <w:p w14:paraId="2EAF380E" w14:textId="1D4BCB31" w:rsidR="00647225" w:rsidRPr="009A1DFB" w:rsidRDefault="00647225" w:rsidP="00086BF0">
      <w:pPr>
        <w:pStyle w:val="subsection"/>
      </w:pPr>
      <w:r w:rsidRPr="009A1DFB">
        <w:tab/>
        <w:t>(2)</w:t>
      </w:r>
      <w:r w:rsidRPr="009A1DFB">
        <w:tab/>
      </w:r>
      <w:r w:rsidR="00EC746D" w:rsidRPr="009A1DFB">
        <w:t>Unwanted emissions are by-products of a radiocommunications transmitter’s emissions and include broadband noise, harmonics, intermodulation products, transient signals and other spurious signals. Blocking occurs when a high level off-tune signal overloads a radiocommunications receiver’s front-end and causes a degradation in the quality of the wanted output signal. Intermodulation products can be generated in-band in the input stages of receivers in the presence of two or more high level signals at the receiver input.</w:t>
      </w:r>
    </w:p>
    <w:p w14:paraId="6B0BE316" w14:textId="7BE7AD45" w:rsidR="007D69CF" w:rsidRPr="009A1DFB" w:rsidRDefault="007D69CF" w:rsidP="00BD40C5">
      <w:pPr>
        <w:pStyle w:val="Heading2"/>
      </w:pPr>
      <w:bookmarkStart w:id="17" w:name="_Toc55373529"/>
      <w:r w:rsidRPr="009A1DFB">
        <w:rPr>
          <w:rStyle w:val="CharSectno"/>
        </w:rPr>
        <w:t>7</w:t>
      </w:r>
      <w:r w:rsidRPr="009A1DFB">
        <w:t xml:space="preserve">  </w:t>
      </w:r>
      <w:r w:rsidR="00EA6634" w:rsidRPr="009A1DFB">
        <w:t>Purpose</w:t>
      </w:r>
      <w:bookmarkEnd w:id="17"/>
    </w:p>
    <w:p w14:paraId="63F83C0F" w14:textId="3D79201D" w:rsidR="00643985" w:rsidRPr="009A1DFB" w:rsidRDefault="00D81D4C" w:rsidP="00086BF0">
      <w:pPr>
        <w:pStyle w:val="subsection"/>
      </w:pPr>
      <w:r w:rsidRPr="009A1DFB">
        <w:tab/>
        <w:t>(</w:t>
      </w:r>
      <w:r w:rsidR="00C62066" w:rsidRPr="009A1DFB">
        <w:t>1</w:t>
      </w:r>
      <w:r w:rsidRPr="009A1DFB">
        <w:t>)</w:t>
      </w:r>
      <w:r w:rsidRPr="009A1DFB">
        <w:tab/>
      </w:r>
      <w:r w:rsidR="00E964BD" w:rsidRPr="009A1DFB">
        <w:t>This instrument has</w:t>
      </w:r>
      <w:r w:rsidR="00C30F7F" w:rsidRPr="009A1DFB">
        <w:t xml:space="preserve"> been made to guide the management of these types of interference to licensed radiocommunications receivers operating in the following circumstances:</w:t>
      </w:r>
    </w:p>
    <w:p w14:paraId="0CA498FF" w14:textId="5496FD91" w:rsidR="00C30F7F" w:rsidRPr="009A1DFB" w:rsidRDefault="00C30F7F" w:rsidP="003017C3">
      <w:pPr>
        <w:pStyle w:val="paragraph"/>
        <w:tabs>
          <w:tab w:val="clear" w:pos="1531"/>
        </w:tabs>
        <w:ind w:left="1786" w:hanging="652"/>
      </w:pPr>
      <w:r w:rsidRPr="009A1DFB">
        <w:t>(a)</w:t>
      </w:r>
      <w:r w:rsidRPr="009A1DFB">
        <w:tab/>
      </w:r>
      <w:r w:rsidR="000E69FF" w:rsidRPr="009A1DFB">
        <w:t>e</w:t>
      </w:r>
      <w:r w:rsidR="009B49C7" w:rsidRPr="009A1DFB">
        <w:t>arth receive stations</w:t>
      </w:r>
      <w:r w:rsidR="00593D0A" w:rsidRPr="009A1DFB">
        <w:t xml:space="preserve"> </w:t>
      </w:r>
      <w:r w:rsidR="00452197" w:rsidRPr="009A1DFB">
        <w:t xml:space="preserve">operating in the </w:t>
      </w:r>
      <w:r w:rsidR="009E4932" w:rsidRPr="009A1DFB">
        <w:t xml:space="preserve">frequency range </w:t>
      </w:r>
      <w:r w:rsidR="00452197" w:rsidRPr="009A1DFB">
        <w:t>25.5 GHz</w:t>
      </w:r>
      <w:r w:rsidR="00960783" w:rsidRPr="009A1DFB">
        <w:t>–</w:t>
      </w:r>
      <w:r w:rsidR="00452197" w:rsidRPr="009A1DFB">
        <w:t>27 GHz (Part 3 of this instrument);</w:t>
      </w:r>
    </w:p>
    <w:p w14:paraId="38D486FA" w14:textId="23CF0E79" w:rsidR="00452197" w:rsidRPr="009A1DFB" w:rsidRDefault="00452197" w:rsidP="003017C3">
      <w:pPr>
        <w:pStyle w:val="paragraph"/>
        <w:tabs>
          <w:tab w:val="clear" w:pos="1531"/>
        </w:tabs>
        <w:ind w:left="1786" w:hanging="652"/>
      </w:pPr>
      <w:r w:rsidRPr="009A1DFB">
        <w:t>(b)</w:t>
      </w:r>
      <w:r w:rsidRPr="009A1DFB">
        <w:tab/>
      </w:r>
      <w:r w:rsidR="00520498" w:rsidRPr="009A1DFB">
        <w:t>space receive</w:t>
      </w:r>
      <w:r w:rsidR="0017203F" w:rsidRPr="009A1DFB">
        <w:t xml:space="preserve"> station</w:t>
      </w:r>
      <w:r w:rsidR="00520498" w:rsidRPr="009A1DFB">
        <w:t xml:space="preserve">s </w:t>
      </w:r>
      <w:r w:rsidR="00407638" w:rsidRPr="009A1DFB">
        <w:t xml:space="preserve">operating in the </w:t>
      </w:r>
      <w:r w:rsidR="00520498" w:rsidRPr="009A1DFB">
        <w:t>26 GHz band</w:t>
      </w:r>
      <w:r w:rsidR="008F612B" w:rsidRPr="009A1DFB">
        <w:t xml:space="preserve"> (Part 4 of this instrument);</w:t>
      </w:r>
    </w:p>
    <w:p w14:paraId="1DB910F0" w14:textId="21514077" w:rsidR="00B76417" w:rsidRPr="009A1DFB" w:rsidRDefault="008F612B" w:rsidP="003017C3">
      <w:pPr>
        <w:pStyle w:val="paragraph"/>
        <w:tabs>
          <w:tab w:val="clear" w:pos="1531"/>
        </w:tabs>
        <w:ind w:left="1786" w:hanging="652"/>
      </w:pPr>
      <w:r w:rsidRPr="009A1DFB">
        <w:t>(c)</w:t>
      </w:r>
      <w:r w:rsidRPr="009A1DFB">
        <w:tab/>
      </w:r>
      <w:r w:rsidR="00002874" w:rsidRPr="009A1DFB">
        <w:t>s</w:t>
      </w:r>
      <w:r w:rsidR="00B76417" w:rsidRPr="009A1DFB">
        <w:t xml:space="preserve">ervices </w:t>
      </w:r>
      <w:r w:rsidR="00002874" w:rsidRPr="009A1DFB">
        <w:t xml:space="preserve">authorised by an area-wide licence </w:t>
      </w:r>
      <w:r w:rsidR="00B76417" w:rsidRPr="009A1DFB">
        <w:t>operating in and adjacent to the 26</w:t>
      </w:r>
      <w:r w:rsidR="00002874" w:rsidRPr="009A1DFB">
        <w:t> </w:t>
      </w:r>
      <w:r w:rsidR="00B76417" w:rsidRPr="009A1DFB">
        <w:t>GHz band (Part 5 of th</w:t>
      </w:r>
      <w:r w:rsidR="00CA19BF" w:rsidRPr="009A1DFB">
        <w:t>is instrument</w:t>
      </w:r>
      <w:r w:rsidR="00B76417" w:rsidRPr="009A1DFB">
        <w:t>);</w:t>
      </w:r>
    </w:p>
    <w:p w14:paraId="507FE32C" w14:textId="5FBC6DFF" w:rsidR="00CA19BF" w:rsidRPr="009A1DFB" w:rsidRDefault="00CA19BF" w:rsidP="003017C3">
      <w:pPr>
        <w:pStyle w:val="paragraph"/>
        <w:tabs>
          <w:tab w:val="clear" w:pos="1531"/>
        </w:tabs>
        <w:ind w:left="1786" w:hanging="652"/>
      </w:pPr>
      <w:r w:rsidRPr="009A1DFB">
        <w:t>(</w:t>
      </w:r>
      <w:r w:rsidR="00723B42" w:rsidRPr="009A1DFB">
        <w:t>d</w:t>
      </w:r>
      <w:r w:rsidRPr="009A1DFB">
        <w:t>)</w:t>
      </w:r>
      <w:r w:rsidRPr="009A1DFB">
        <w:tab/>
        <w:t xml:space="preserve">class licensed services </w:t>
      </w:r>
      <w:r w:rsidR="00DF500F" w:rsidRPr="009A1DFB">
        <w:t xml:space="preserve">in the </w:t>
      </w:r>
      <w:r w:rsidR="003F0A4B" w:rsidRPr="009A1DFB">
        <w:t>26 GHz band</w:t>
      </w:r>
      <w:r w:rsidR="00DF500F" w:rsidRPr="009A1DFB">
        <w:t xml:space="preserve"> (Part </w:t>
      </w:r>
      <w:r w:rsidR="00723B42" w:rsidRPr="009A1DFB">
        <w:t>6</w:t>
      </w:r>
      <w:r w:rsidR="00DF500F" w:rsidRPr="009A1DFB">
        <w:t xml:space="preserve"> of this instrument);</w:t>
      </w:r>
      <w:r w:rsidR="00520498" w:rsidRPr="009A1DFB">
        <w:t xml:space="preserve"> and</w:t>
      </w:r>
    </w:p>
    <w:p w14:paraId="101835E9" w14:textId="65DDE552" w:rsidR="00DF500F" w:rsidRPr="009A1DFB" w:rsidRDefault="00DF500F" w:rsidP="003017C3">
      <w:pPr>
        <w:pStyle w:val="paragraph"/>
        <w:tabs>
          <w:tab w:val="clear" w:pos="1531"/>
        </w:tabs>
        <w:ind w:left="1786" w:hanging="652"/>
      </w:pPr>
      <w:r w:rsidRPr="009A1DFB">
        <w:t>(</w:t>
      </w:r>
      <w:r w:rsidR="00723B42" w:rsidRPr="009A1DFB">
        <w:t>e</w:t>
      </w:r>
      <w:r w:rsidRPr="009A1DFB">
        <w:t>)</w:t>
      </w:r>
      <w:r w:rsidRPr="009A1DFB">
        <w:tab/>
      </w:r>
      <w:r w:rsidR="00DB1671" w:rsidRPr="009A1DFB">
        <w:t>fixed</w:t>
      </w:r>
      <w:r w:rsidR="007C17F6" w:rsidRPr="009A1DFB">
        <w:t xml:space="preserve"> services operating in the </w:t>
      </w:r>
      <w:r w:rsidR="00711337" w:rsidRPr="009A1DFB">
        <w:t>frequency range 27.5</w:t>
      </w:r>
      <w:r w:rsidR="003B7D44" w:rsidRPr="009A1DFB">
        <w:t xml:space="preserve"> GHz–</w:t>
      </w:r>
      <w:r w:rsidR="00711337" w:rsidRPr="009A1DFB">
        <w:t>29.5 GHz</w:t>
      </w:r>
      <w:r w:rsidR="00C345B1" w:rsidRPr="009A1DFB">
        <w:t xml:space="preserve"> (</w:t>
      </w:r>
      <w:r w:rsidR="00612A0E" w:rsidRPr="009A1DFB">
        <w:t xml:space="preserve">Part </w:t>
      </w:r>
      <w:r w:rsidR="00723B42" w:rsidRPr="009A1DFB">
        <w:t>7</w:t>
      </w:r>
      <w:r w:rsidR="00612A0E" w:rsidRPr="009A1DFB">
        <w:t xml:space="preserve"> of this instrument</w:t>
      </w:r>
      <w:r w:rsidR="00711337" w:rsidRPr="009A1DFB">
        <w:t>)</w:t>
      </w:r>
      <w:r w:rsidR="00520498" w:rsidRPr="009A1DFB">
        <w:t>.</w:t>
      </w:r>
    </w:p>
    <w:p w14:paraId="07F2CBAF" w14:textId="76CEF5FF" w:rsidR="00452197" w:rsidRPr="009A1DFB" w:rsidRDefault="00512F94" w:rsidP="00512F94">
      <w:pPr>
        <w:pStyle w:val="subsection"/>
      </w:pPr>
      <w:r w:rsidRPr="009A1DFB">
        <w:tab/>
        <w:t>(</w:t>
      </w:r>
      <w:r w:rsidR="00C62066" w:rsidRPr="009A1DFB">
        <w:t>2</w:t>
      </w:r>
      <w:r w:rsidRPr="009A1DFB">
        <w:t>)</w:t>
      </w:r>
      <w:r w:rsidRPr="009A1DFB">
        <w:tab/>
        <w:t>As radio waves propagate in different ways because of factors such as frequency, terrain, atmospheric conditions and topography, there are a number of ways to predict path loss.</w:t>
      </w:r>
      <w:r w:rsidR="00987927" w:rsidRPr="009A1DFB">
        <w:t xml:space="preserve"> ITU-R Recommendation P.1144 “Guide to the application </w:t>
      </w:r>
      <w:r w:rsidR="00863CA6" w:rsidRPr="009A1DFB">
        <w:t xml:space="preserve">of the propagation methods of Radiocommunications Study Group 3” provides a guide on the application of various propagation methods developed internationally by the ITU-R. It advises </w:t>
      </w:r>
      <w:r w:rsidR="009449DA" w:rsidRPr="009A1DFB">
        <w:t xml:space="preserve">users on the most appropriate methods for particular applications as well as the limits, required input information, and output for each of these methods. It is recommended that the most recent version of propagation models defined by the ITU-R should be considered when modelling propagation in the 26 GHz band.  </w:t>
      </w:r>
    </w:p>
    <w:p w14:paraId="27A563BA" w14:textId="4C12D109" w:rsidR="008F25AE" w:rsidRPr="009A1DFB" w:rsidRDefault="00A60C4C" w:rsidP="00A60C4C">
      <w:pPr>
        <w:pStyle w:val="notetext"/>
        <w:rPr>
          <w:i/>
          <w:iCs/>
        </w:rPr>
      </w:pPr>
      <w:r w:rsidRPr="009A1DFB">
        <w:t>Note</w:t>
      </w:r>
      <w:r w:rsidR="008F25AE" w:rsidRPr="009A1DFB">
        <w:t xml:space="preserve"> 1</w:t>
      </w:r>
      <w:r w:rsidRPr="009A1DFB">
        <w:t>:</w:t>
      </w:r>
      <w:r w:rsidRPr="009A1DFB">
        <w:tab/>
      </w:r>
      <w:r w:rsidR="008F25AE" w:rsidRPr="009A1DFB">
        <w:t xml:space="preserve">The ITU-R Recommendation P.1144 “Guide to the application of the propagation methods of </w:t>
      </w:r>
      <w:r w:rsidR="0033513F" w:rsidRPr="009A1DFB">
        <w:t xml:space="preserve">Radiocommunications Study Group 3” is available, free of charge, on the ITU’s website: </w:t>
      </w:r>
      <w:hyperlink r:id="rId21" w:history="1">
        <w:r w:rsidR="00812DAB" w:rsidRPr="009A1DFB">
          <w:rPr>
            <w:rStyle w:val="Hyperlink"/>
          </w:rPr>
          <w:t>www.itu.int</w:t>
        </w:r>
      </w:hyperlink>
      <w:r w:rsidR="0033513F" w:rsidRPr="009A1DFB">
        <w:t>.</w:t>
      </w:r>
    </w:p>
    <w:p w14:paraId="0CA2AD24" w14:textId="6B4CEEC8" w:rsidR="00A60C4C" w:rsidRPr="009A1DFB" w:rsidRDefault="008F25AE" w:rsidP="00A60C4C">
      <w:pPr>
        <w:pStyle w:val="notetext"/>
      </w:pPr>
      <w:r w:rsidRPr="009A1DFB">
        <w:t>Note 2:</w:t>
      </w:r>
      <w:r w:rsidRPr="009A1DFB">
        <w:tab/>
      </w:r>
      <w:r w:rsidR="00A60C4C" w:rsidRPr="009A1DFB">
        <w:t>The use of other published propagation methods applicable to the 26 GHz band may also be suitable.</w:t>
      </w:r>
    </w:p>
    <w:p w14:paraId="0E7A6937" w14:textId="6ABEDBDF" w:rsidR="00C62066" w:rsidRPr="009A1DFB" w:rsidRDefault="00C62066" w:rsidP="00C62066">
      <w:pPr>
        <w:pStyle w:val="subsection"/>
      </w:pPr>
      <w:r w:rsidRPr="009A1DFB">
        <w:tab/>
        <w:t>(3)</w:t>
      </w:r>
      <w:r w:rsidRPr="009A1DFB">
        <w:tab/>
        <w:t>The ACMA will take this instrument into account in determining whether interference has occurred from a radiocommunications transmitter operating under a 26 GHz band spectrum licence to a radiocommunications transmitter operating under another licence, in the absence of separate criteria agreed between affected licensees.</w:t>
      </w:r>
    </w:p>
    <w:p w14:paraId="09231D34" w14:textId="77777777" w:rsidR="00C62066" w:rsidRPr="009A1DFB" w:rsidRDefault="00C62066" w:rsidP="00C62066">
      <w:pPr>
        <w:pStyle w:val="subsection"/>
      </w:pPr>
      <w:r w:rsidRPr="009A1DFB">
        <w:tab/>
        <w:t>(4)</w:t>
      </w:r>
      <w:r w:rsidRPr="009A1DFB">
        <w:tab/>
        <w:t>This instrument does not prevent a licensee negotiating other protection arrangements with another licensee.</w:t>
      </w:r>
    </w:p>
    <w:p w14:paraId="5ED4301B" w14:textId="11ECABC8" w:rsidR="00C62066" w:rsidRPr="009A1DFB" w:rsidRDefault="00C62066" w:rsidP="009B5544">
      <w:pPr>
        <w:pStyle w:val="notetext"/>
        <w:ind w:left="0" w:firstLine="0"/>
        <w:sectPr w:rsidR="00C62066" w:rsidRPr="009A1DFB">
          <w:pgSz w:w="11906" w:h="16838"/>
          <w:pgMar w:top="1440" w:right="1440" w:bottom="1440" w:left="1440" w:header="708" w:footer="708" w:gutter="0"/>
          <w:cols w:space="720"/>
        </w:sectPr>
      </w:pPr>
    </w:p>
    <w:p w14:paraId="4692A89C" w14:textId="52A23B52" w:rsidR="009B5544" w:rsidRPr="009A1DFB" w:rsidRDefault="009B5544" w:rsidP="00BD40C5">
      <w:pPr>
        <w:pStyle w:val="Heading1"/>
      </w:pPr>
      <w:bookmarkStart w:id="18" w:name="_Toc55373530"/>
      <w:r w:rsidRPr="009A1DFB">
        <w:rPr>
          <w:rStyle w:val="CharPartNo"/>
        </w:rPr>
        <w:lastRenderedPageBreak/>
        <w:t>Part 3</w:t>
      </w:r>
      <w:r w:rsidR="00D3274D" w:rsidRPr="009A1DFB">
        <w:rPr>
          <w:rStyle w:val="CharPartNo"/>
        </w:rPr>
        <w:tab/>
      </w:r>
      <w:r w:rsidR="009B49C7" w:rsidRPr="009A1DFB">
        <w:rPr>
          <w:rStyle w:val="CharPartNo"/>
        </w:rPr>
        <w:t>E</w:t>
      </w:r>
      <w:r w:rsidR="00D3274D" w:rsidRPr="009A1DFB">
        <w:rPr>
          <w:rStyle w:val="CharPartNo"/>
        </w:rPr>
        <w:t>arth</w:t>
      </w:r>
      <w:r w:rsidR="005201E4" w:rsidRPr="009A1DFB">
        <w:rPr>
          <w:rStyle w:val="CharPartNo"/>
        </w:rPr>
        <w:t xml:space="preserve"> receive</w:t>
      </w:r>
      <w:r w:rsidR="00D3274D" w:rsidRPr="009A1DFB">
        <w:rPr>
          <w:rStyle w:val="CharPartNo"/>
        </w:rPr>
        <w:t xml:space="preserve"> stations</w:t>
      </w:r>
      <w:bookmarkEnd w:id="18"/>
    </w:p>
    <w:p w14:paraId="1B263D83" w14:textId="5D32A92A" w:rsidR="002C539D" w:rsidRPr="009A1DFB" w:rsidRDefault="00255D83" w:rsidP="00BD40C5">
      <w:pPr>
        <w:pStyle w:val="Heading2"/>
      </w:pPr>
      <w:bookmarkStart w:id="19" w:name="_Toc55373531"/>
      <w:r w:rsidRPr="009A1DFB">
        <w:rPr>
          <w:rStyle w:val="CharSectno"/>
        </w:rPr>
        <w:t>8</w:t>
      </w:r>
      <w:r w:rsidR="00B22FE6" w:rsidRPr="009A1DFB">
        <w:t xml:space="preserve">  Background</w:t>
      </w:r>
      <w:bookmarkEnd w:id="19"/>
    </w:p>
    <w:p w14:paraId="104A70F1" w14:textId="791E0645" w:rsidR="00635AC0" w:rsidRPr="009A1DFB" w:rsidRDefault="00635AC0" w:rsidP="002851FC">
      <w:pPr>
        <w:pStyle w:val="paragraph"/>
        <w:tabs>
          <w:tab w:val="left" w:pos="993"/>
        </w:tabs>
        <w:spacing w:before="180"/>
        <w:ind w:left="1134" w:hanging="1134"/>
      </w:pPr>
      <w:r w:rsidRPr="009A1DFB">
        <w:tab/>
      </w:r>
      <w:r w:rsidR="002851FC" w:rsidRPr="009A1DFB">
        <w:tab/>
      </w:r>
      <w:r w:rsidR="00C82E52" w:rsidRPr="009A1DFB">
        <w:t>As at the date this instrument was made, t</w:t>
      </w:r>
      <w:r w:rsidR="00A72A1B" w:rsidRPr="009A1DFB">
        <w:t>here are t</w:t>
      </w:r>
      <w:r w:rsidR="003F0A4B" w:rsidRPr="009A1DFB">
        <w:t xml:space="preserve">wo earth </w:t>
      </w:r>
      <w:r w:rsidR="005201E4" w:rsidRPr="009A1DFB">
        <w:t xml:space="preserve">receive </w:t>
      </w:r>
      <w:r w:rsidR="003F0A4B" w:rsidRPr="009A1DFB">
        <w:t xml:space="preserve">stations </w:t>
      </w:r>
      <w:r w:rsidR="009B49C7" w:rsidRPr="009A1DFB">
        <w:t xml:space="preserve">which </w:t>
      </w:r>
      <w:r w:rsidR="005201E4" w:rsidRPr="009A1DFB">
        <w:t>operate</w:t>
      </w:r>
      <w:r w:rsidR="00336B0F" w:rsidRPr="009A1DFB">
        <w:t xml:space="preserve"> in the </w:t>
      </w:r>
      <w:r w:rsidR="00832155" w:rsidRPr="009A1DFB">
        <w:t>frequency range</w:t>
      </w:r>
      <w:r w:rsidR="00C82E52" w:rsidRPr="009A1DFB">
        <w:t xml:space="preserve"> </w:t>
      </w:r>
      <w:r w:rsidR="00336B0F" w:rsidRPr="009A1DFB">
        <w:t xml:space="preserve">25.5 </w:t>
      </w:r>
      <w:r w:rsidR="00C82E52" w:rsidRPr="009A1DFB">
        <w:t>GHz–</w:t>
      </w:r>
      <w:r w:rsidR="003F0A4B" w:rsidRPr="009A1DFB">
        <w:t>27</w:t>
      </w:r>
      <w:r w:rsidR="00C82E52" w:rsidRPr="009A1DFB">
        <w:t> </w:t>
      </w:r>
      <w:r w:rsidR="003F0A4B" w:rsidRPr="009A1DFB">
        <w:t>GHz</w:t>
      </w:r>
      <w:r w:rsidR="00A72A1B" w:rsidRPr="009A1DFB">
        <w:t>. T</w:t>
      </w:r>
      <w:r w:rsidR="003F0A4B" w:rsidRPr="009A1DFB">
        <w:t>hese are t</w:t>
      </w:r>
      <w:r w:rsidRPr="009A1DFB">
        <w:rPr>
          <w:rFonts w:eastAsiaTheme="minorHAnsi"/>
        </w:rPr>
        <w:t xml:space="preserve">he </w:t>
      </w:r>
      <w:bookmarkStart w:id="20" w:name="_Hlk50120904"/>
      <w:r w:rsidRPr="009A1DFB">
        <w:rPr>
          <w:rFonts w:eastAsiaTheme="minorHAnsi"/>
        </w:rPr>
        <w:t xml:space="preserve">Canberra Deep Space Communications Complex </w:t>
      </w:r>
      <w:r w:rsidR="00A52532" w:rsidRPr="009A1DFB">
        <w:rPr>
          <w:rFonts w:eastAsiaTheme="minorHAnsi"/>
        </w:rPr>
        <w:t>and the New Norcia Deep Space Ground Station</w:t>
      </w:r>
      <w:bookmarkEnd w:id="20"/>
      <w:r w:rsidR="00447253" w:rsidRPr="009A1DFB">
        <w:rPr>
          <w:rFonts w:eastAsiaTheme="minorHAnsi"/>
        </w:rPr>
        <w:t>.</w:t>
      </w:r>
      <w:r w:rsidR="00447253" w:rsidRPr="009A1DFB">
        <w:t xml:space="preserve"> </w:t>
      </w:r>
    </w:p>
    <w:p w14:paraId="52BB4F32" w14:textId="7FE9D25A" w:rsidR="002851FC" w:rsidRPr="009A1DFB" w:rsidRDefault="00255D83" w:rsidP="00BD40C5">
      <w:pPr>
        <w:pStyle w:val="Heading2"/>
      </w:pPr>
      <w:bookmarkStart w:id="21" w:name="_Toc55373532"/>
      <w:r w:rsidRPr="009A1DFB">
        <w:rPr>
          <w:rStyle w:val="CharSectno"/>
        </w:rPr>
        <w:t>9</w:t>
      </w:r>
      <w:r w:rsidR="00FB6CB8" w:rsidRPr="009A1DFB">
        <w:t xml:space="preserve">  Protection requirements</w:t>
      </w:r>
      <w:bookmarkEnd w:id="21"/>
    </w:p>
    <w:p w14:paraId="66A5FD85" w14:textId="36F7A228" w:rsidR="00FB6CB8" w:rsidRPr="009A1DFB" w:rsidRDefault="007530C4" w:rsidP="007530C4">
      <w:pPr>
        <w:pStyle w:val="subsection"/>
      </w:pPr>
      <w:r w:rsidRPr="009A1DFB">
        <w:tab/>
        <w:t>(1)</w:t>
      </w:r>
      <w:r w:rsidRPr="009A1DFB">
        <w:tab/>
      </w:r>
      <w:r w:rsidR="003670B6" w:rsidRPr="009A1DFB">
        <w:t xml:space="preserve">Radiocommunications transmitters operated under a spectrum licence in the 26 GHz band, other than transmitters exempt from registration in accordance </w:t>
      </w:r>
      <w:r w:rsidR="003670B6" w:rsidRPr="004778E7">
        <w:t>with Statutory Condition 4(a) or 4(b) of Licence Schedule 3 of the</w:t>
      </w:r>
      <w:r w:rsidR="003670B6" w:rsidRPr="009A1DFB">
        <w:t xml:space="preserve"> licence, </w:t>
      </w:r>
      <w:r w:rsidR="00C16799">
        <w:t>(</w:t>
      </w:r>
      <w:r w:rsidR="00C16799" w:rsidRPr="00E4006A">
        <w:rPr>
          <w:b/>
          <w:bCs/>
          <w:i/>
          <w:iCs/>
        </w:rPr>
        <w:t>relevant transmitters</w:t>
      </w:r>
      <w:r w:rsidR="00C16799">
        <w:t xml:space="preserve">) </w:t>
      </w:r>
      <w:r w:rsidR="003670B6" w:rsidRPr="009A1DFB">
        <w:t>must protect the Canberra Deep Space Communications Complex and the New Norcia Deep Space Ground Station</w:t>
      </w:r>
      <w:r w:rsidR="00C16799">
        <w:t xml:space="preserve"> in accordance with subsection (2)</w:t>
      </w:r>
      <w:r w:rsidR="003670B6" w:rsidRPr="009A1DFB">
        <w:t>.</w:t>
      </w:r>
    </w:p>
    <w:p w14:paraId="37F9ABB1" w14:textId="345F76C7" w:rsidR="00CA2042" w:rsidRDefault="00E5411E" w:rsidP="00953D8D">
      <w:pPr>
        <w:pStyle w:val="subsection"/>
      </w:pPr>
      <w:r w:rsidRPr="009A1DFB">
        <w:tab/>
        <w:t>(2)</w:t>
      </w:r>
      <w:r w:rsidRPr="009A1DFB">
        <w:tab/>
      </w:r>
      <w:r w:rsidR="00C16799">
        <w:t>Subject to subsection</w:t>
      </w:r>
      <w:r w:rsidR="00A40815">
        <w:t>s</w:t>
      </w:r>
      <w:r w:rsidR="00C16799">
        <w:t xml:space="preserve"> (3)</w:t>
      </w:r>
      <w:r w:rsidR="00A40815">
        <w:t>, (4) and (5)</w:t>
      </w:r>
      <w:r w:rsidR="00C16799">
        <w:t>, e</w:t>
      </w:r>
      <w:r w:rsidR="00870FA6" w:rsidRPr="009A1DFB">
        <w:t xml:space="preserve">missions </w:t>
      </w:r>
      <w:r w:rsidR="00C16799">
        <w:t>from all relevant transmitters operating under a single 26 GHz band spectrum licence must not exceed a</w:t>
      </w:r>
      <w:r w:rsidR="00870FA6" w:rsidRPr="009A1DFB">
        <w:t>n aggregate level of</w:t>
      </w:r>
      <w:r w:rsidR="002F12F2">
        <w:t xml:space="preserve"> </w:t>
      </w:r>
      <w:r w:rsidR="00C97CD7">
        <w:t xml:space="preserve"> </w:t>
      </w:r>
      <w:r w:rsidR="002F12F2">
        <w:t xml:space="preserve">      </w:t>
      </w:r>
      <w:r w:rsidR="00C97CD7">
        <w:t>-</w:t>
      </w:r>
      <w:r w:rsidR="00870FA6" w:rsidRPr="009A1DFB">
        <w:t>156</w:t>
      </w:r>
      <w:r w:rsidR="004778E7">
        <w:t> </w:t>
      </w:r>
      <w:proofErr w:type="spellStart"/>
      <w:r w:rsidR="00870FA6" w:rsidRPr="009A1DFB">
        <w:t>dBW</w:t>
      </w:r>
      <w:proofErr w:type="spellEnd"/>
      <w:r w:rsidR="00870FA6" w:rsidRPr="009A1DFB">
        <w:t>/MHz</w:t>
      </w:r>
      <w:r w:rsidR="00C16799">
        <w:t xml:space="preserve"> </w:t>
      </w:r>
      <w:r w:rsidR="002F12F2">
        <w:t xml:space="preserve">(minus </w:t>
      </w:r>
      <w:r w:rsidR="00644AA9">
        <w:t xml:space="preserve">156 </w:t>
      </w:r>
      <w:proofErr w:type="spellStart"/>
      <w:r w:rsidR="00644AA9">
        <w:t>dBW</w:t>
      </w:r>
      <w:proofErr w:type="spellEnd"/>
      <w:r w:rsidR="00D2763F">
        <w:t xml:space="preserve">/MHZ) </w:t>
      </w:r>
      <w:r w:rsidR="00C16799">
        <w:t>for 0.0</w:t>
      </w:r>
      <w:r w:rsidR="001A0519">
        <w:t>01</w:t>
      </w:r>
      <w:r w:rsidR="00C16799">
        <w:t>% of the time</w:t>
      </w:r>
      <w:r w:rsidR="00E4006A" w:rsidRPr="00E4006A">
        <w:t xml:space="preserve"> </w:t>
      </w:r>
      <w:r w:rsidR="00E4006A" w:rsidRPr="009A1DFB">
        <w:t>in any 24 hour period</w:t>
      </w:r>
      <w:r w:rsidR="00C16799">
        <w:t>,</w:t>
      </w:r>
      <w:r w:rsidR="00870FA6" w:rsidRPr="009A1DFB">
        <w:t xml:space="preserve"> at the input of the receiver.</w:t>
      </w:r>
    </w:p>
    <w:p w14:paraId="63E51C2F" w14:textId="12438604" w:rsidR="00C16799" w:rsidRDefault="00A35A36" w:rsidP="00953D8D">
      <w:pPr>
        <w:pStyle w:val="subsection"/>
      </w:pPr>
      <w:r w:rsidRPr="009A1DFB">
        <w:tab/>
        <w:t>(3)</w:t>
      </w:r>
      <w:r w:rsidRPr="009A1DFB">
        <w:tab/>
      </w:r>
      <w:r w:rsidR="00BE1E82">
        <w:t>In the application of s</w:t>
      </w:r>
      <w:r w:rsidR="00C16799">
        <w:t>ubsection (2)</w:t>
      </w:r>
      <w:r w:rsidR="00BE1E82">
        <w:t xml:space="preserve">, only relevant transmitters </w:t>
      </w:r>
      <w:r w:rsidR="00C16799">
        <w:t xml:space="preserve">located </w:t>
      </w:r>
      <w:r w:rsidR="00BE1E82">
        <w:t>less than or equal to</w:t>
      </w:r>
      <w:r w:rsidR="00C16799">
        <w:t xml:space="preserve"> 200 km from either </w:t>
      </w:r>
      <w:r w:rsidR="00C16799" w:rsidRPr="009A1DFB">
        <w:t xml:space="preserve">the Canberra Deep Space Communications Complex </w:t>
      </w:r>
      <w:r w:rsidR="00BE1E82">
        <w:t>or</w:t>
      </w:r>
      <w:r w:rsidR="00C16799" w:rsidRPr="009A1DFB">
        <w:t xml:space="preserve"> the New Norcia Deep Space Ground Station</w:t>
      </w:r>
      <w:r w:rsidR="00BE1E82">
        <w:t xml:space="preserve"> need to be considered</w:t>
      </w:r>
      <w:r w:rsidR="00C16799">
        <w:t>.</w:t>
      </w:r>
    </w:p>
    <w:p w14:paraId="568AFEFB" w14:textId="4386B49A" w:rsidR="00A35A36" w:rsidRPr="009A1DFB" w:rsidRDefault="00C16799" w:rsidP="00953D8D">
      <w:pPr>
        <w:pStyle w:val="subsection"/>
      </w:pPr>
      <w:r>
        <w:tab/>
        <w:t>(4)</w:t>
      </w:r>
      <w:r>
        <w:tab/>
      </w:r>
      <w:r w:rsidR="00790F6B" w:rsidRPr="009A1DFB">
        <w:t xml:space="preserve">The earth </w:t>
      </w:r>
      <w:r w:rsidR="005201E4" w:rsidRPr="009A1DFB">
        <w:t xml:space="preserve">receive </w:t>
      </w:r>
      <w:r w:rsidR="00790F6B" w:rsidRPr="009A1DFB">
        <w:t xml:space="preserve">station antenna pattern to be used in calculations </w:t>
      </w:r>
      <w:r w:rsidR="00D9691F" w:rsidRPr="009A1DFB">
        <w:t>for the purpose of subsection</w:t>
      </w:r>
      <w:r w:rsidR="0054679E" w:rsidRPr="009A1DFB">
        <w:t> </w:t>
      </w:r>
      <w:r w:rsidR="00D9691F" w:rsidRPr="009A1DFB">
        <w:t xml:space="preserve">(2) </w:t>
      </w:r>
      <w:r w:rsidR="00790F6B" w:rsidRPr="009A1DFB">
        <w:t xml:space="preserve">is </w:t>
      </w:r>
      <w:r w:rsidR="00BD1015">
        <w:t xml:space="preserve">the </w:t>
      </w:r>
      <w:r w:rsidR="0048128E">
        <w:t>‘</w:t>
      </w:r>
      <w:r w:rsidR="00BD1015">
        <w:rPr>
          <w:i/>
          <w:iCs/>
        </w:rPr>
        <w:t>multiple entry interference</w:t>
      </w:r>
      <w:r w:rsidR="0048128E">
        <w:t>’</w:t>
      </w:r>
      <w:r w:rsidR="00BD1015">
        <w:rPr>
          <w:i/>
          <w:iCs/>
        </w:rPr>
        <w:t xml:space="preserve"> </w:t>
      </w:r>
      <w:r w:rsidR="00BD1015">
        <w:t xml:space="preserve">pattern </w:t>
      </w:r>
      <w:r w:rsidR="00790F6B" w:rsidRPr="009A1DFB">
        <w:t>defined in Recommendation</w:t>
      </w:r>
      <w:r w:rsidR="006D23CE" w:rsidRPr="009A1DFB">
        <w:t xml:space="preserve"> ITU-R</w:t>
      </w:r>
      <w:r w:rsidR="00790F6B" w:rsidRPr="009A1DFB">
        <w:t xml:space="preserve"> SA.509 with a minimum elevation above the horizon of:</w:t>
      </w:r>
    </w:p>
    <w:p w14:paraId="03D7263E" w14:textId="54A31C42" w:rsidR="0054679E" w:rsidRPr="009A1DFB" w:rsidRDefault="0054679E" w:rsidP="003017C3">
      <w:pPr>
        <w:pStyle w:val="paragraph"/>
        <w:tabs>
          <w:tab w:val="clear" w:pos="1531"/>
        </w:tabs>
        <w:ind w:left="1701" w:hanging="567"/>
      </w:pPr>
      <w:r w:rsidRPr="009A1DFB">
        <w:t>(a)</w:t>
      </w:r>
      <w:r w:rsidRPr="009A1DFB">
        <w:tab/>
      </w:r>
      <w:r w:rsidR="00D5660F" w:rsidRPr="009A1DFB">
        <w:t xml:space="preserve">for the Canberra Deep Space Communications Complex, the </w:t>
      </w:r>
      <w:r w:rsidR="00775C21">
        <w:t>greater</w:t>
      </w:r>
      <w:r w:rsidR="00775C21" w:rsidRPr="009A1DFB">
        <w:t xml:space="preserve"> </w:t>
      </w:r>
      <w:r w:rsidR="00D5660F" w:rsidRPr="009A1DFB">
        <w:t>of:</w:t>
      </w:r>
    </w:p>
    <w:p w14:paraId="71A8CA76" w14:textId="4598EFC8" w:rsidR="00D5660F" w:rsidRPr="009A1DFB" w:rsidRDefault="00D5660F" w:rsidP="003017C3">
      <w:pPr>
        <w:pStyle w:val="paragraphsub"/>
        <w:numPr>
          <w:ilvl w:val="0"/>
          <w:numId w:val="13"/>
        </w:numPr>
        <w:tabs>
          <w:tab w:val="clear" w:pos="1985"/>
        </w:tabs>
        <w:ind w:left="2183" w:hanging="482"/>
      </w:pPr>
      <w:r w:rsidRPr="009A1DFB">
        <w:t>6 degrees; or</w:t>
      </w:r>
    </w:p>
    <w:p w14:paraId="686B2724" w14:textId="506D3486" w:rsidR="00D5660F" w:rsidRPr="009A1DFB" w:rsidRDefault="00D5660F" w:rsidP="003017C3">
      <w:pPr>
        <w:pStyle w:val="paragraphsub"/>
        <w:numPr>
          <w:ilvl w:val="0"/>
          <w:numId w:val="13"/>
        </w:numPr>
        <w:tabs>
          <w:tab w:val="clear" w:pos="1985"/>
        </w:tabs>
        <w:ind w:left="2183" w:hanging="482"/>
      </w:pPr>
      <w:r w:rsidRPr="009A1DFB">
        <w:t>the angle</w:t>
      </w:r>
      <w:r w:rsidR="00E255FB">
        <w:t xml:space="preserve"> </w:t>
      </w:r>
      <w:r w:rsidR="00E53CB0">
        <w:t xml:space="preserve">between </w:t>
      </w:r>
      <w:r w:rsidR="00E255FB">
        <w:t xml:space="preserve">the horizontal plane </w:t>
      </w:r>
      <w:r w:rsidR="00E53CB0">
        <w:t>and the</w:t>
      </w:r>
      <w:r w:rsidR="00E255FB">
        <w:t xml:space="preserve"> line-of-sight to the highest terrain in the direction </w:t>
      </w:r>
      <w:r w:rsidR="004A6F64">
        <w:t>of</w:t>
      </w:r>
      <w:r w:rsidRPr="009A1DFB">
        <w:t xml:space="preserve"> </w:t>
      </w:r>
      <w:r w:rsidR="00BD1015">
        <w:t xml:space="preserve">each relevant </w:t>
      </w:r>
      <w:r w:rsidRPr="009A1DFB">
        <w:t>transmitter plus 0.5 degrees</w:t>
      </w:r>
      <w:r w:rsidR="001E5E9F" w:rsidRPr="009A1DFB">
        <w:t>;</w:t>
      </w:r>
    </w:p>
    <w:p w14:paraId="4D9813DC" w14:textId="107FF236" w:rsidR="001E5E9F" w:rsidRPr="009A1DFB" w:rsidRDefault="00E75625" w:rsidP="003017C3">
      <w:pPr>
        <w:pStyle w:val="paragraph"/>
        <w:tabs>
          <w:tab w:val="clear" w:pos="1531"/>
        </w:tabs>
        <w:ind w:left="1701" w:hanging="567"/>
      </w:pPr>
      <w:r w:rsidRPr="009A1DFB">
        <w:t>(b)</w:t>
      </w:r>
      <w:r w:rsidRPr="009A1DFB">
        <w:tab/>
        <w:t xml:space="preserve">for the New Norcia Deep Space Ground Station, the </w:t>
      </w:r>
      <w:r w:rsidR="00775C21">
        <w:t>greater</w:t>
      </w:r>
      <w:r w:rsidR="00775C21" w:rsidRPr="009A1DFB">
        <w:t xml:space="preserve"> </w:t>
      </w:r>
      <w:r w:rsidRPr="009A1DFB">
        <w:t>of:</w:t>
      </w:r>
    </w:p>
    <w:p w14:paraId="61BE8AA5" w14:textId="603C96CA" w:rsidR="00E75625" w:rsidRPr="009A1DFB" w:rsidRDefault="00067A05" w:rsidP="003017C3">
      <w:pPr>
        <w:pStyle w:val="paragraphsub"/>
        <w:numPr>
          <w:ilvl w:val="0"/>
          <w:numId w:val="15"/>
        </w:numPr>
        <w:tabs>
          <w:tab w:val="clear" w:pos="1985"/>
        </w:tabs>
        <w:ind w:left="2268" w:hanging="567"/>
      </w:pPr>
      <w:r w:rsidRPr="009A1DFB">
        <w:t>5 degrees; or</w:t>
      </w:r>
    </w:p>
    <w:p w14:paraId="7958F08A" w14:textId="44E0173A" w:rsidR="00067A05" w:rsidRPr="009A1DFB" w:rsidRDefault="00733263" w:rsidP="003017C3">
      <w:pPr>
        <w:pStyle w:val="paragraphsub"/>
        <w:numPr>
          <w:ilvl w:val="0"/>
          <w:numId w:val="15"/>
        </w:numPr>
        <w:tabs>
          <w:tab w:val="clear" w:pos="1985"/>
        </w:tabs>
        <w:ind w:left="2268" w:hanging="567"/>
      </w:pPr>
      <w:r w:rsidRPr="009A1DFB">
        <w:t>the angle between the</w:t>
      </w:r>
      <w:r w:rsidR="00604395" w:rsidRPr="00604395">
        <w:t xml:space="preserve"> </w:t>
      </w:r>
      <w:r w:rsidR="00604395">
        <w:t>horizontal plane and the line-of-sight to the highest terrain in the direction of</w:t>
      </w:r>
      <w:r w:rsidR="00604395" w:rsidRPr="009A1DFB">
        <w:t xml:space="preserve"> </w:t>
      </w:r>
      <w:r w:rsidR="00604395">
        <w:t>each relevant</w:t>
      </w:r>
      <w:r w:rsidR="00067A05" w:rsidRPr="009A1DFB">
        <w:t xml:space="preserve"> transmitter plus 0.5 </w:t>
      </w:r>
      <w:r w:rsidR="000107B5" w:rsidRPr="009A1DFB">
        <w:t>degrees</w:t>
      </w:r>
      <w:r w:rsidR="00AB758C" w:rsidRPr="009A1DFB">
        <w:t>.</w:t>
      </w:r>
    </w:p>
    <w:p w14:paraId="1CCDC455" w14:textId="7DEC5149" w:rsidR="006869F7" w:rsidRDefault="00600A45" w:rsidP="00600A45">
      <w:pPr>
        <w:pStyle w:val="notetext"/>
      </w:pPr>
      <w:r w:rsidRPr="009A1DFB">
        <w:t>Note</w:t>
      </w:r>
      <w:r w:rsidR="0034116F">
        <w:t xml:space="preserve"> 1</w:t>
      </w:r>
      <w:r w:rsidRPr="009A1DFB">
        <w:t>:</w:t>
      </w:r>
      <w:r w:rsidRPr="009A1DFB">
        <w:tab/>
      </w:r>
      <w:r w:rsidR="006869F7">
        <w:t>The</w:t>
      </w:r>
      <w:r w:rsidR="005B6AD5">
        <w:t xml:space="preserve"> minimum elevation angles in subsection 9(4) assumes that the</w:t>
      </w:r>
      <w:r w:rsidR="006869F7">
        <w:t xml:space="preserve"> </w:t>
      </w:r>
      <w:r w:rsidR="006869F7" w:rsidRPr="009A1DFB">
        <w:t>earth receive station antenna</w:t>
      </w:r>
      <w:r w:rsidR="006869F7">
        <w:t xml:space="preserve">s will </w:t>
      </w:r>
      <w:r w:rsidR="0016365D">
        <w:t>never</w:t>
      </w:r>
      <w:r w:rsidR="006869F7">
        <w:t xml:space="preserve"> be directed </w:t>
      </w:r>
      <w:r w:rsidR="0016365D">
        <w:t>less than</w:t>
      </w:r>
      <w:r w:rsidR="006869F7">
        <w:t xml:space="preserve"> 0.5 degrees abo</w:t>
      </w:r>
      <w:r w:rsidR="0016365D">
        <w:t>ve</w:t>
      </w:r>
      <w:r w:rsidR="006869F7">
        <w:t xml:space="preserve"> the surrounding terrain.</w:t>
      </w:r>
    </w:p>
    <w:p w14:paraId="3CEF835D" w14:textId="1A38B8E1" w:rsidR="00600A45" w:rsidRDefault="006869F7" w:rsidP="00600A45">
      <w:pPr>
        <w:pStyle w:val="notetext"/>
      </w:pPr>
      <w:r>
        <w:t>Note 2:</w:t>
      </w:r>
      <w:r>
        <w:tab/>
      </w:r>
      <w:r w:rsidR="00600A45" w:rsidRPr="009A1DFB">
        <w:t>Recommendation</w:t>
      </w:r>
      <w:r w:rsidR="006D23CE" w:rsidRPr="009A1DFB">
        <w:t xml:space="preserve"> ITU-R</w:t>
      </w:r>
      <w:r w:rsidR="00600A45" w:rsidRPr="009A1DFB">
        <w:t xml:space="preserve"> SA.509 is available, free of charge, from the ITU website: </w:t>
      </w:r>
      <w:hyperlink r:id="rId22" w:history="1">
        <w:r w:rsidR="00EC28A8" w:rsidRPr="009A1DFB">
          <w:rPr>
            <w:rStyle w:val="Hyperlink"/>
          </w:rPr>
          <w:t>www.itu.int</w:t>
        </w:r>
      </w:hyperlink>
      <w:r w:rsidR="00600A45" w:rsidRPr="009A1DFB">
        <w:t>.</w:t>
      </w:r>
    </w:p>
    <w:p w14:paraId="7032823F" w14:textId="381D57E8" w:rsidR="0034116F" w:rsidRDefault="0034116F" w:rsidP="00600A45">
      <w:pPr>
        <w:pStyle w:val="notetext"/>
      </w:pPr>
      <w:r>
        <w:t xml:space="preserve">Note </w:t>
      </w:r>
      <w:r w:rsidR="006869F7">
        <w:t>3</w:t>
      </w:r>
      <w:r>
        <w:t>:</w:t>
      </w:r>
      <w:r>
        <w:tab/>
        <w:t xml:space="preserve">Other earth receive station antenna parameters </w:t>
      </w:r>
      <w:r w:rsidR="00C70F22">
        <w:t>may be recorded in</w:t>
      </w:r>
      <w:r>
        <w:t xml:space="preserve"> the Register</w:t>
      </w:r>
      <w:r w:rsidR="0016365D">
        <w:t>.</w:t>
      </w:r>
    </w:p>
    <w:p w14:paraId="166B4BB1" w14:textId="65885B08" w:rsidR="004A6F64" w:rsidRDefault="004A6F64" w:rsidP="004A6F64">
      <w:pPr>
        <w:pStyle w:val="subsection"/>
      </w:pPr>
      <w:r>
        <w:tab/>
      </w:r>
      <w:r w:rsidRPr="004A6F64">
        <w:t>(5)</w:t>
      </w:r>
      <w:r>
        <w:tab/>
        <w:t>In the application of subsection (2)</w:t>
      </w:r>
      <w:r w:rsidR="0057583A">
        <w:t>,</w:t>
      </w:r>
      <w:r>
        <w:t xml:space="preserve"> the propagation model in Recommendation</w:t>
      </w:r>
      <w:r w:rsidR="00AF6D57">
        <w:t xml:space="preserve"> ITU-R</w:t>
      </w:r>
      <w:r>
        <w:t xml:space="preserve"> P.452 is to be used.</w:t>
      </w:r>
    </w:p>
    <w:p w14:paraId="7A32BFBB" w14:textId="09401448" w:rsidR="005B7F0E" w:rsidRDefault="005B7F0E" w:rsidP="005B7F0E">
      <w:pPr>
        <w:pStyle w:val="notetext"/>
      </w:pPr>
      <w:r>
        <w:t>Note:</w:t>
      </w:r>
      <w:r>
        <w:tab/>
      </w:r>
      <w:r w:rsidRPr="009A1DFB">
        <w:t xml:space="preserve">Recommendation ITU-R </w:t>
      </w:r>
      <w:r>
        <w:t>P.452</w:t>
      </w:r>
      <w:r w:rsidRPr="009A1DFB">
        <w:t xml:space="preserve"> is available, free of charge, from the ITU website: </w:t>
      </w:r>
      <w:hyperlink r:id="rId23" w:history="1">
        <w:r w:rsidRPr="009A1DFB">
          <w:rPr>
            <w:rStyle w:val="Hyperlink"/>
          </w:rPr>
          <w:t>www.itu.int</w:t>
        </w:r>
      </w:hyperlink>
      <w:r w:rsidRPr="009A1DFB">
        <w:t>.</w:t>
      </w:r>
    </w:p>
    <w:p w14:paraId="3266AF2D" w14:textId="77777777" w:rsidR="004A6F64" w:rsidRPr="004A6F64" w:rsidRDefault="004A6F64" w:rsidP="005B6AD5">
      <w:pPr>
        <w:pStyle w:val="subsection"/>
      </w:pPr>
    </w:p>
    <w:p w14:paraId="4D927E2A" w14:textId="149F0C9B" w:rsidR="0034116F" w:rsidRPr="009A1DFB" w:rsidRDefault="0034116F" w:rsidP="005B6AD5">
      <w:pPr>
        <w:pStyle w:val="notetext"/>
        <w:ind w:left="0" w:firstLine="0"/>
      </w:pPr>
    </w:p>
    <w:p w14:paraId="40F24959" w14:textId="77777777" w:rsidR="005E11A6" w:rsidRPr="009A1DFB" w:rsidRDefault="005E11A6" w:rsidP="00E75625">
      <w:pPr>
        <w:pStyle w:val="paragraphsub"/>
      </w:pPr>
    </w:p>
    <w:p w14:paraId="67B1F03B" w14:textId="77777777" w:rsidR="00816885" w:rsidRPr="009A1DFB" w:rsidRDefault="00816885" w:rsidP="00600A45">
      <w:pPr>
        <w:pStyle w:val="notetext"/>
        <w:sectPr w:rsidR="00816885" w:rsidRPr="009A1DFB">
          <w:pgSz w:w="11906" w:h="16838"/>
          <w:pgMar w:top="1440" w:right="1440" w:bottom="1440" w:left="1440" w:header="708" w:footer="708" w:gutter="0"/>
          <w:cols w:space="720"/>
        </w:sectPr>
      </w:pPr>
    </w:p>
    <w:p w14:paraId="2C92F639" w14:textId="0012AE36" w:rsidR="00AB758C" w:rsidRPr="009A1DFB" w:rsidRDefault="00AB758C" w:rsidP="00E75625">
      <w:pPr>
        <w:pStyle w:val="paragraphsub"/>
      </w:pPr>
    </w:p>
    <w:p w14:paraId="72DB2433" w14:textId="675660A1" w:rsidR="00D9691F" w:rsidRPr="009A1DFB" w:rsidRDefault="00B6797E" w:rsidP="00BD40C5">
      <w:pPr>
        <w:pStyle w:val="Heading1"/>
      </w:pPr>
      <w:bookmarkStart w:id="22" w:name="_Toc55373533"/>
      <w:r w:rsidRPr="009A1DFB">
        <w:rPr>
          <w:rStyle w:val="CharPartNo"/>
        </w:rPr>
        <w:t>Part 4</w:t>
      </w:r>
      <w:r w:rsidRPr="009A1DFB">
        <w:rPr>
          <w:rStyle w:val="CharPartNo"/>
        </w:rPr>
        <w:tab/>
      </w:r>
      <w:r w:rsidR="000B6945" w:rsidRPr="009A1DFB">
        <w:rPr>
          <w:rStyle w:val="CharPartNo"/>
        </w:rPr>
        <w:t xml:space="preserve">Space </w:t>
      </w:r>
      <w:r w:rsidR="00B531AB" w:rsidRPr="009A1DFB">
        <w:rPr>
          <w:rStyle w:val="CharPartNo"/>
        </w:rPr>
        <w:t xml:space="preserve">receive </w:t>
      </w:r>
      <w:r w:rsidR="000B6945" w:rsidRPr="009A1DFB">
        <w:rPr>
          <w:rStyle w:val="CharPartNo"/>
        </w:rPr>
        <w:t>station</w:t>
      </w:r>
      <w:r w:rsidR="00B531AB" w:rsidRPr="009A1DFB">
        <w:rPr>
          <w:rStyle w:val="CharPartNo"/>
        </w:rPr>
        <w:t>s</w:t>
      </w:r>
      <w:r w:rsidR="000B6945" w:rsidRPr="009A1DFB">
        <w:rPr>
          <w:rStyle w:val="CharPartNo"/>
        </w:rPr>
        <w:t xml:space="preserve"> in the 26 GHz band</w:t>
      </w:r>
      <w:bookmarkEnd w:id="22"/>
      <w:r w:rsidRPr="009A1DFB">
        <w:rPr>
          <w:rStyle w:val="CharPartNo"/>
        </w:rPr>
        <w:t xml:space="preserve"> </w:t>
      </w:r>
    </w:p>
    <w:p w14:paraId="67F7B34F" w14:textId="7EA658A4" w:rsidR="00B6797E" w:rsidRPr="009A1DFB" w:rsidRDefault="00255D83" w:rsidP="00BD40C5">
      <w:pPr>
        <w:pStyle w:val="Heading2"/>
      </w:pPr>
      <w:bookmarkStart w:id="23" w:name="_Toc55373534"/>
      <w:r w:rsidRPr="009A1DFB">
        <w:rPr>
          <w:rStyle w:val="CharSectno"/>
        </w:rPr>
        <w:t>10</w:t>
      </w:r>
      <w:r w:rsidR="00AC4434" w:rsidRPr="009A1DFB">
        <w:t xml:space="preserve">  Background</w:t>
      </w:r>
      <w:bookmarkEnd w:id="23"/>
    </w:p>
    <w:p w14:paraId="0B144D73" w14:textId="3FEA86CC" w:rsidR="00AC4434" w:rsidRPr="009A1DFB" w:rsidRDefault="00C57D6C" w:rsidP="00AC4434">
      <w:pPr>
        <w:pStyle w:val="subsection"/>
      </w:pPr>
      <w:r w:rsidRPr="009A1DFB">
        <w:tab/>
        <w:t>(1)</w:t>
      </w:r>
      <w:r w:rsidRPr="009A1DFB">
        <w:tab/>
      </w:r>
      <w:r w:rsidR="009E5FBD" w:rsidRPr="009A1DFB">
        <w:t xml:space="preserve">Both Article 5 of the </w:t>
      </w:r>
      <w:bookmarkStart w:id="24" w:name="_Hlk50125272"/>
      <w:r w:rsidR="009E5FBD" w:rsidRPr="009A1DFB">
        <w:t xml:space="preserve">ITU-R Radio Regulations and the </w:t>
      </w:r>
      <w:r w:rsidR="00C6553C">
        <w:t>s</w:t>
      </w:r>
      <w:r w:rsidR="009E5FBD" w:rsidRPr="009A1DFB">
        <w:t xml:space="preserve">pectrum </w:t>
      </w:r>
      <w:r w:rsidR="00C6553C">
        <w:t>p</w:t>
      </w:r>
      <w:r w:rsidR="009E5FBD" w:rsidRPr="009A1DFB">
        <w:t xml:space="preserve">lan provide allocations for the fixed satellite service </w:t>
      </w:r>
      <w:r w:rsidR="004F2B81" w:rsidRPr="009A1DFB">
        <w:t>(</w:t>
      </w:r>
      <w:r w:rsidR="004F2B81" w:rsidRPr="008F58E6">
        <w:rPr>
          <w:b/>
          <w:bCs/>
          <w:i/>
          <w:iCs/>
        </w:rPr>
        <w:t>FSS</w:t>
      </w:r>
      <w:r w:rsidR="004F2B81" w:rsidRPr="009A1DFB">
        <w:t xml:space="preserve">) </w:t>
      </w:r>
      <w:r w:rsidR="009E5FBD" w:rsidRPr="009A1DFB">
        <w:t>and inter-satellite service</w:t>
      </w:r>
      <w:r w:rsidR="004F2B81" w:rsidRPr="009A1DFB">
        <w:t xml:space="preserve"> (</w:t>
      </w:r>
      <w:r w:rsidR="004F2B81" w:rsidRPr="008F58E6">
        <w:rPr>
          <w:b/>
          <w:bCs/>
          <w:i/>
          <w:iCs/>
        </w:rPr>
        <w:t>ISS</w:t>
      </w:r>
      <w:r w:rsidR="004F2B81" w:rsidRPr="009A1DFB">
        <w:t>)</w:t>
      </w:r>
      <w:r w:rsidR="009E5FBD" w:rsidRPr="009A1DFB">
        <w:t xml:space="preserve"> in parts of the </w:t>
      </w:r>
      <w:r w:rsidR="00B36454" w:rsidRPr="009A1DFB">
        <w:t>26 GHz band</w:t>
      </w:r>
      <w:r w:rsidR="009E5FBD" w:rsidRPr="009A1DFB">
        <w:t xml:space="preserve"> on a co-primary basis with terrestrial </w:t>
      </w:r>
      <w:r w:rsidR="00436706" w:rsidRPr="009A1DFB">
        <w:t xml:space="preserve">radiocommunications </w:t>
      </w:r>
      <w:r w:rsidR="009E5FBD" w:rsidRPr="009A1DFB">
        <w:t xml:space="preserve">services. </w:t>
      </w:r>
      <w:bookmarkEnd w:id="24"/>
      <w:r w:rsidR="009E5FBD" w:rsidRPr="009A1DFB">
        <w:t xml:space="preserve">The potential interference path is from 26 GHz band spectrum licensed devices into FSS and ISS space </w:t>
      </w:r>
      <w:r w:rsidR="00B531AB" w:rsidRPr="009A1DFB">
        <w:t xml:space="preserve">receive </w:t>
      </w:r>
      <w:r w:rsidR="009E5FBD" w:rsidRPr="009A1DFB">
        <w:t>stations.</w:t>
      </w:r>
    </w:p>
    <w:p w14:paraId="3686A760" w14:textId="1034B005" w:rsidR="0029479A" w:rsidRPr="009A1DFB" w:rsidRDefault="0029479A" w:rsidP="00AC4434">
      <w:pPr>
        <w:pStyle w:val="subsection"/>
      </w:pPr>
      <w:r w:rsidRPr="009A1DFB">
        <w:tab/>
        <w:t>(2)</w:t>
      </w:r>
      <w:r w:rsidRPr="009A1DFB">
        <w:tab/>
      </w:r>
      <w:bookmarkStart w:id="25" w:name="_Hlk50125344"/>
      <w:r w:rsidR="00D53914" w:rsidRPr="009A1DFB">
        <w:t xml:space="preserve">ITU-R Resolution 242 (WRC-19) </w:t>
      </w:r>
      <w:bookmarkEnd w:id="25"/>
      <w:r w:rsidR="00D53914" w:rsidRPr="009A1DFB">
        <w:t xml:space="preserve">resolves that administrations shall apply a number of conditions on IMT base station deployments in the </w:t>
      </w:r>
      <w:r w:rsidR="00753539" w:rsidRPr="009A1DFB">
        <w:t xml:space="preserve">frequency </w:t>
      </w:r>
      <w:r w:rsidR="00D53914" w:rsidRPr="009A1DFB">
        <w:t>range 24.25</w:t>
      </w:r>
      <w:r w:rsidR="00753539" w:rsidRPr="009A1DFB">
        <w:t xml:space="preserve"> GHz</w:t>
      </w:r>
      <w:r w:rsidR="00A4105B" w:rsidRPr="009A1DFB">
        <w:rPr>
          <w:rFonts w:eastAsiaTheme="minorHAnsi"/>
        </w:rPr>
        <w:t>–</w:t>
      </w:r>
      <w:r w:rsidR="00D53914" w:rsidRPr="009A1DFB">
        <w:t>27.5</w:t>
      </w:r>
      <w:r w:rsidR="00753539" w:rsidRPr="009A1DFB">
        <w:t> </w:t>
      </w:r>
      <w:r w:rsidR="00D53914" w:rsidRPr="009A1DFB">
        <w:t xml:space="preserve">GHz to protect space </w:t>
      </w:r>
      <w:r w:rsidR="000129F1" w:rsidRPr="009A1DFB">
        <w:t xml:space="preserve">receive </w:t>
      </w:r>
      <w:r w:rsidR="00D53914" w:rsidRPr="009A1DFB">
        <w:t>station</w:t>
      </w:r>
      <w:r w:rsidR="00832155" w:rsidRPr="009A1DFB">
        <w:t>s</w:t>
      </w:r>
      <w:r w:rsidR="00D53914" w:rsidRPr="009A1DFB">
        <w:t>.</w:t>
      </w:r>
    </w:p>
    <w:p w14:paraId="49691C1C" w14:textId="755C9092" w:rsidR="0008674A" w:rsidRPr="009A1DFB" w:rsidRDefault="0008674A" w:rsidP="00AC4434">
      <w:pPr>
        <w:pStyle w:val="subsection"/>
      </w:pPr>
      <w:r w:rsidRPr="009A1DFB">
        <w:tab/>
        <w:t>(3)</w:t>
      </w:r>
      <w:r w:rsidRPr="009A1DFB">
        <w:tab/>
        <w:t>In Australia</w:t>
      </w:r>
      <w:r w:rsidR="00AD727F" w:rsidRPr="009A1DFB">
        <w:t>, FSS gateway uplinks operate at frequencies which overlap the 27 GHz</w:t>
      </w:r>
      <w:r w:rsidR="00A4105B" w:rsidRPr="009A1DFB">
        <w:rPr>
          <w:rFonts w:eastAsiaTheme="minorHAnsi"/>
        </w:rPr>
        <w:t>–</w:t>
      </w:r>
      <w:r w:rsidR="00AD727F" w:rsidRPr="009A1DFB">
        <w:t xml:space="preserve">27.5 GHz </w:t>
      </w:r>
      <w:r w:rsidR="00391897" w:rsidRPr="009A1DFB">
        <w:t>frequency range and</w:t>
      </w:r>
      <w:r w:rsidR="00A4105B" w:rsidRPr="009A1DFB">
        <w:t>, at the time this instrument was made,</w:t>
      </w:r>
      <w:r w:rsidR="00391897" w:rsidRPr="009A1DFB">
        <w:t xml:space="preserve"> are licensed at 10 locations across Australia. </w:t>
      </w:r>
    </w:p>
    <w:p w14:paraId="4B8ECF8F" w14:textId="444204A1" w:rsidR="00391897" w:rsidRPr="009A1DFB" w:rsidRDefault="00391897" w:rsidP="00AC4434">
      <w:pPr>
        <w:pStyle w:val="subsection"/>
      </w:pPr>
      <w:r w:rsidRPr="009A1DFB">
        <w:tab/>
        <w:t>(4)</w:t>
      </w:r>
      <w:r w:rsidRPr="009A1DFB">
        <w:tab/>
      </w:r>
      <w:r w:rsidR="005A6D26" w:rsidRPr="009A1DFB">
        <w:t>Section 1</w:t>
      </w:r>
      <w:r w:rsidR="00F110AB" w:rsidRPr="009A1DFB">
        <w:t>1</w:t>
      </w:r>
      <w:r w:rsidR="005A6D26" w:rsidRPr="009A1DFB">
        <w:t xml:space="preserve"> contains provisions to manage coexistence between radiocommunications transmitters operated under a 26 GHz band spectrum licence and space</w:t>
      </w:r>
      <w:r w:rsidR="00B531AB" w:rsidRPr="009A1DFB">
        <w:t xml:space="preserve"> receive</w:t>
      </w:r>
      <w:r w:rsidR="005A6D26" w:rsidRPr="009A1DFB">
        <w:t xml:space="preserve"> station</w:t>
      </w:r>
      <w:r w:rsidR="00B531AB" w:rsidRPr="009A1DFB">
        <w:t>s</w:t>
      </w:r>
      <w:r w:rsidR="005A6D26" w:rsidRPr="009A1DFB">
        <w:t>.</w:t>
      </w:r>
    </w:p>
    <w:p w14:paraId="19DB13DF" w14:textId="2CB990BE" w:rsidR="00197F41" w:rsidRPr="009A1DFB" w:rsidRDefault="00197F41" w:rsidP="00BD40C5">
      <w:pPr>
        <w:pStyle w:val="Heading2"/>
      </w:pPr>
      <w:bookmarkStart w:id="26" w:name="_Toc55373535"/>
      <w:r w:rsidRPr="009A1DFB">
        <w:rPr>
          <w:rStyle w:val="CharSectno"/>
        </w:rPr>
        <w:t>1</w:t>
      </w:r>
      <w:r w:rsidR="00255D83" w:rsidRPr="009A1DFB">
        <w:rPr>
          <w:rStyle w:val="CharSectno"/>
        </w:rPr>
        <w:t>1</w:t>
      </w:r>
      <w:r w:rsidRPr="009A1DFB">
        <w:t xml:space="preserve">  Protection requirements</w:t>
      </w:r>
      <w:bookmarkEnd w:id="26"/>
      <w:r w:rsidRPr="009A1DFB">
        <w:t xml:space="preserve"> </w:t>
      </w:r>
    </w:p>
    <w:p w14:paraId="1785F3E5" w14:textId="2C073044" w:rsidR="00656A9A" w:rsidRDefault="00861273" w:rsidP="003A3A95">
      <w:pPr>
        <w:pStyle w:val="subsection"/>
      </w:pPr>
      <w:r w:rsidRPr="009A1DFB">
        <w:tab/>
        <w:t>(1)</w:t>
      </w:r>
      <w:r w:rsidRPr="009A1DFB">
        <w:tab/>
      </w:r>
      <w:r w:rsidR="0047290D" w:rsidRPr="009A1DFB">
        <w:t xml:space="preserve">Licensees who hold a 26 GHz band spectrum licence are to adhere to the </w:t>
      </w:r>
      <w:bookmarkStart w:id="27" w:name="_Hlk50126552"/>
      <w:r w:rsidR="0047290D" w:rsidRPr="009A1DFB">
        <w:t xml:space="preserve">provisions detailed in </w:t>
      </w:r>
      <w:r w:rsidR="0047290D" w:rsidRPr="009A1DFB">
        <w:rPr>
          <w:i/>
          <w:iCs/>
        </w:rPr>
        <w:t>resolves</w:t>
      </w:r>
      <w:r w:rsidR="0047290D" w:rsidRPr="009A1DFB">
        <w:t xml:space="preserve"> 2.1 and 2.2 of ITU-R Resolution 242 (WRC-19) </w:t>
      </w:r>
      <w:bookmarkEnd w:id="27"/>
      <w:r w:rsidR="0047290D" w:rsidRPr="009A1DFB">
        <w:t>for deployments in the frequency range 25.1 GHz</w:t>
      </w:r>
      <w:r w:rsidR="00A4105B" w:rsidRPr="009A1DFB">
        <w:rPr>
          <w:rFonts w:eastAsiaTheme="minorHAnsi"/>
        </w:rPr>
        <w:t>–</w:t>
      </w:r>
      <w:r w:rsidR="0047290D" w:rsidRPr="009A1DFB">
        <w:t>27.5 GHz.</w:t>
      </w:r>
    </w:p>
    <w:p w14:paraId="7C3C19ED" w14:textId="77F50CE4" w:rsidR="00AF2D2E" w:rsidRPr="00B7472D" w:rsidRDefault="00AF2D2E" w:rsidP="00AF2D2E">
      <w:pPr>
        <w:pStyle w:val="Note"/>
      </w:pPr>
      <w:r>
        <w:t>Note:</w:t>
      </w:r>
      <w:r w:rsidRPr="00183C9B">
        <w:t xml:space="preserve"> </w:t>
      </w:r>
      <w:r w:rsidR="00774D1F">
        <w:t>I</w:t>
      </w:r>
      <w:r>
        <w:t xml:space="preserve">n </w:t>
      </w:r>
      <w:r w:rsidRPr="008F58E6">
        <w:rPr>
          <w:i/>
          <w:iCs/>
        </w:rPr>
        <w:t>resolves</w:t>
      </w:r>
      <w:r>
        <w:t xml:space="preserve"> 2.2 of ITU-R Resolution 242 (WRC-19),</w:t>
      </w:r>
      <w:r w:rsidR="003722A5">
        <w:t xml:space="preserve"> the term</w:t>
      </w:r>
      <w:r>
        <w:t xml:space="preserve"> </w:t>
      </w:r>
      <w:r w:rsidR="003722A5">
        <w:t>‘</w:t>
      </w:r>
      <w:r w:rsidRPr="00F10A3F">
        <w:rPr>
          <w:i/>
          <w:iCs/>
        </w:rPr>
        <w:t>the direction of maximum radiation of any antenna</w:t>
      </w:r>
      <w:r w:rsidR="003722A5" w:rsidRPr="008F58E6">
        <w:t>’</w:t>
      </w:r>
      <w:r w:rsidRPr="008F58E6">
        <w:t>,</w:t>
      </w:r>
      <w:r>
        <w:t xml:space="preserve"> in relation to separation from the geostationary-satellite orbit, is taken to mean the maximum radiation from an antenna when the antenna is being electronically steered.</w:t>
      </w:r>
    </w:p>
    <w:p w14:paraId="69232296" w14:textId="419E540F" w:rsidR="00091EC3" w:rsidRPr="009A1DFB" w:rsidRDefault="00091EC3" w:rsidP="003017C3">
      <w:pPr>
        <w:pStyle w:val="subsection"/>
        <w:spacing w:before="120"/>
        <w:rPr>
          <w:i/>
          <w:iCs/>
        </w:rPr>
      </w:pPr>
      <w:bookmarkStart w:id="28" w:name="_Hlk50126478"/>
      <w:r w:rsidRPr="009A1DFB">
        <w:rPr>
          <w:i/>
          <w:iCs/>
        </w:rPr>
        <w:t>Operation in the 25.1 GHz to 27 GHz frequency range</w:t>
      </w:r>
    </w:p>
    <w:bookmarkEnd w:id="28"/>
    <w:p w14:paraId="72E55A0F" w14:textId="7BA6541D" w:rsidR="00C93F35" w:rsidRPr="009A1DFB" w:rsidRDefault="00C93F35" w:rsidP="003017C3">
      <w:pPr>
        <w:pStyle w:val="subsection"/>
        <w:spacing w:before="120"/>
      </w:pPr>
      <w:r w:rsidRPr="009A1DFB">
        <w:tab/>
        <w:t>(2)</w:t>
      </w:r>
      <w:r w:rsidRPr="009A1DFB">
        <w:tab/>
        <w:t>A radiocommunications transmitter operated under a spectrum licence in the 26 GHz band that is:</w:t>
      </w:r>
    </w:p>
    <w:p w14:paraId="7CA8D8E6" w14:textId="3F85FADC" w:rsidR="007F4D04" w:rsidRPr="009A1DFB" w:rsidRDefault="007F4D04" w:rsidP="003017C3">
      <w:pPr>
        <w:pStyle w:val="paragraph"/>
        <w:tabs>
          <w:tab w:val="clear" w:pos="1531"/>
        </w:tabs>
        <w:ind w:hanging="510"/>
      </w:pPr>
      <w:r w:rsidRPr="009A1DFB">
        <w:t>(</w:t>
      </w:r>
      <w:r w:rsidR="00B669DD" w:rsidRPr="009A1DFB">
        <w:t>a</w:t>
      </w:r>
      <w:r w:rsidRPr="009A1DFB">
        <w:t>)</w:t>
      </w:r>
      <w:r w:rsidRPr="009A1DFB">
        <w:tab/>
        <w:t>not an indoor transmitter;</w:t>
      </w:r>
    </w:p>
    <w:p w14:paraId="2CEAA26F" w14:textId="0457F905" w:rsidR="007F4D04" w:rsidRPr="009A1DFB" w:rsidRDefault="007F4D04" w:rsidP="003017C3">
      <w:pPr>
        <w:pStyle w:val="paragraph"/>
        <w:tabs>
          <w:tab w:val="clear" w:pos="1531"/>
        </w:tabs>
        <w:ind w:hanging="510"/>
      </w:pPr>
      <w:r w:rsidRPr="009A1DFB">
        <w:t>(</w:t>
      </w:r>
      <w:r w:rsidR="00B669DD" w:rsidRPr="009A1DFB">
        <w:t>b</w:t>
      </w:r>
      <w:r w:rsidRPr="009A1DFB">
        <w:t>)</w:t>
      </w:r>
      <w:r w:rsidRPr="009A1DFB">
        <w:tab/>
        <w:t>operating in the frequency range 25.1 GHz</w:t>
      </w:r>
      <w:r w:rsidR="00E5385C" w:rsidRPr="009A1DFB">
        <w:rPr>
          <w:rFonts w:eastAsiaTheme="minorHAnsi"/>
        </w:rPr>
        <w:t>–</w:t>
      </w:r>
      <w:r w:rsidRPr="009A1DFB">
        <w:t>27 GHz; and</w:t>
      </w:r>
    </w:p>
    <w:p w14:paraId="3554136C" w14:textId="01476E11" w:rsidR="007F4D04" w:rsidRPr="009A1DFB" w:rsidRDefault="0056007B" w:rsidP="003017C3">
      <w:pPr>
        <w:pStyle w:val="paragraph"/>
        <w:tabs>
          <w:tab w:val="clear" w:pos="1531"/>
        </w:tabs>
        <w:ind w:hanging="510"/>
      </w:pPr>
      <w:r w:rsidRPr="009A1DFB">
        <w:t>(</w:t>
      </w:r>
      <w:r w:rsidR="00B669DD" w:rsidRPr="009A1DFB">
        <w:t>c</w:t>
      </w:r>
      <w:r w:rsidRPr="009A1DFB">
        <w:t>)</w:t>
      </w:r>
      <w:r w:rsidRPr="009A1DFB">
        <w:tab/>
        <w:t xml:space="preserve">operating with a total radiated power </w:t>
      </w:r>
      <w:r w:rsidR="002E1D74" w:rsidRPr="009A1DFB">
        <w:t>greater than</w:t>
      </w:r>
      <w:r w:rsidRPr="009A1DFB">
        <w:t xml:space="preserve"> 40 dBm/200 MHz;</w:t>
      </w:r>
    </w:p>
    <w:p w14:paraId="4E56B5EF" w14:textId="690FB5CB" w:rsidR="0056007B" w:rsidRPr="009A1DFB" w:rsidRDefault="00871A8E" w:rsidP="006618CF">
      <w:pPr>
        <w:pStyle w:val="subsection"/>
        <w:spacing w:before="60"/>
      </w:pPr>
      <w:r w:rsidRPr="009A1DFB">
        <w:tab/>
      </w:r>
      <w:r w:rsidRPr="009A1DFB">
        <w:tab/>
        <w:t>must not:</w:t>
      </w:r>
    </w:p>
    <w:p w14:paraId="1ABE1BDE" w14:textId="36FD78D8" w:rsidR="00871A8E" w:rsidRPr="009A1DFB" w:rsidRDefault="00057965" w:rsidP="003017C3">
      <w:pPr>
        <w:pStyle w:val="paragraph"/>
        <w:tabs>
          <w:tab w:val="clear" w:pos="1531"/>
        </w:tabs>
        <w:ind w:hanging="510"/>
      </w:pPr>
      <w:r w:rsidRPr="009A1DFB">
        <w:t>(</w:t>
      </w:r>
      <w:r w:rsidR="00B669DD" w:rsidRPr="009A1DFB">
        <w:t>d</w:t>
      </w:r>
      <w:r w:rsidRPr="009A1DFB">
        <w:t>)</w:t>
      </w:r>
      <w:r w:rsidRPr="009A1DFB">
        <w:tab/>
        <w:t>be connected to an antenna which has its highest gain directed above the horizontal plane when the antenna is not being electrically steered;</w:t>
      </w:r>
    </w:p>
    <w:p w14:paraId="4E29C14C" w14:textId="4BAD5F53" w:rsidR="00BA111E" w:rsidRPr="009A1DFB" w:rsidRDefault="00BA111E" w:rsidP="003017C3">
      <w:pPr>
        <w:pStyle w:val="paragraph"/>
        <w:tabs>
          <w:tab w:val="clear" w:pos="1531"/>
        </w:tabs>
        <w:ind w:hanging="510"/>
      </w:pPr>
      <w:r w:rsidRPr="009A1DFB">
        <w:t>(e)</w:t>
      </w:r>
      <w:r w:rsidRPr="009A1DFB">
        <w:tab/>
        <w:t>direct its antenna beam via electrical steering to an elevat</w:t>
      </w:r>
      <w:r w:rsidR="005A4B1E" w:rsidRPr="009A1DFB">
        <w:t>ion</w:t>
      </w:r>
      <w:r w:rsidRPr="009A1DFB">
        <w:t xml:space="preserve"> angle above the horizontal plane; or</w:t>
      </w:r>
    </w:p>
    <w:p w14:paraId="32E62637" w14:textId="013B1BC4" w:rsidR="00A93EEF" w:rsidRPr="009A1DFB" w:rsidRDefault="00057965" w:rsidP="003017C3">
      <w:pPr>
        <w:pStyle w:val="paragraph"/>
        <w:tabs>
          <w:tab w:val="clear" w:pos="1531"/>
        </w:tabs>
        <w:ind w:hanging="510"/>
      </w:pPr>
      <w:r w:rsidRPr="009A1DFB">
        <w:t>(</w:t>
      </w:r>
      <w:r w:rsidR="00BA111E" w:rsidRPr="009A1DFB">
        <w:t>f</w:t>
      </w:r>
      <w:r w:rsidRPr="009A1DFB">
        <w:t>)</w:t>
      </w:r>
      <w:r w:rsidRPr="009A1DFB">
        <w:tab/>
        <w:t>operate with a radiated maximum true mean power</w:t>
      </w:r>
      <w:r w:rsidR="00B669DD" w:rsidRPr="009A1DFB">
        <w:t>, measured over the specified bandwidth</w:t>
      </w:r>
      <w:r w:rsidR="005C5398" w:rsidRPr="005C5398">
        <w:t xml:space="preserve"> </w:t>
      </w:r>
      <w:r w:rsidR="005C5398" w:rsidRPr="008F58E6">
        <w:t>and in the direction of the geostationary orbit</w:t>
      </w:r>
      <w:r w:rsidR="00B669DD" w:rsidRPr="009A1DFB">
        <w:t>,</w:t>
      </w:r>
      <w:r w:rsidRPr="009A1DFB">
        <w:t xml:space="preserve"> exceeding the limits set </w:t>
      </w:r>
      <w:r w:rsidR="00EE4C6D" w:rsidRPr="009A1DFB">
        <w:t xml:space="preserve">out </w:t>
      </w:r>
      <w:r w:rsidRPr="009A1DFB">
        <w:t xml:space="preserve">in Table </w:t>
      </w:r>
      <w:r w:rsidR="00B15361" w:rsidRPr="009A1DFB">
        <w:t>1</w:t>
      </w:r>
      <w:r w:rsidR="00EF5CB3" w:rsidRPr="009A1DFB">
        <w:t>;</w:t>
      </w:r>
    </w:p>
    <w:p w14:paraId="5B6B5F0A" w14:textId="2D16D85B" w:rsidR="00057965" w:rsidRPr="009A1DFB" w:rsidRDefault="00B15361" w:rsidP="00CC2A89">
      <w:pPr>
        <w:pStyle w:val="subsection"/>
        <w:spacing w:before="60"/>
      </w:pPr>
      <w:r w:rsidRPr="009A1DFB">
        <w:t xml:space="preserve"> </w:t>
      </w:r>
      <w:r w:rsidR="00A93EEF" w:rsidRPr="009A1DFB">
        <w:tab/>
      </w:r>
      <w:r w:rsidR="00A93EEF" w:rsidRPr="009A1DFB">
        <w:tab/>
        <w:t>where:</w:t>
      </w:r>
    </w:p>
    <w:p w14:paraId="137EE64B" w14:textId="1680565A" w:rsidR="00A93EEF" w:rsidRPr="009A1DFB" w:rsidRDefault="00A93EEF" w:rsidP="00CC2A89">
      <w:pPr>
        <w:pStyle w:val="subsection"/>
        <w:spacing w:before="60"/>
      </w:pPr>
      <w:r w:rsidRPr="009A1DFB">
        <w:tab/>
      </w:r>
      <w:r w:rsidRPr="009A1DFB">
        <w:tab/>
      </w:r>
      <w:r w:rsidRPr="009A1DFB">
        <w:rPr>
          <w:b/>
          <w:bCs/>
          <w:i/>
          <w:iCs/>
        </w:rPr>
        <w:t>el</w:t>
      </w:r>
      <w:r w:rsidRPr="009A1DFB">
        <w:t xml:space="preserve"> is the angle above the horizontal plane at which the radiated maximum true mean power limit in Table 1 applies.</w:t>
      </w:r>
    </w:p>
    <w:p w14:paraId="547D730A" w14:textId="58B0B806" w:rsidR="001A5754" w:rsidRPr="009A1DFB" w:rsidRDefault="001A5754" w:rsidP="008F58E6">
      <w:pPr>
        <w:pStyle w:val="subsection"/>
        <w:keepNext/>
        <w:keepLines/>
        <w:tabs>
          <w:tab w:val="clear" w:pos="1021"/>
        </w:tabs>
        <w:spacing w:before="120" w:after="120"/>
        <w:ind w:left="0" w:firstLine="0"/>
        <w:rPr>
          <w:b/>
          <w:bCs/>
        </w:rPr>
      </w:pPr>
      <w:r w:rsidRPr="009A1DFB">
        <w:rPr>
          <w:b/>
          <w:bCs/>
        </w:rPr>
        <w:lastRenderedPageBreak/>
        <w:t>Table 1: Radiated maximum tr</w:t>
      </w:r>
      <w:r w:rsidR="00302C6D" w:rsidRPr="009A1DFB">
        <w:rPr>
          <w:b/>
          <w:bCs/>
        </w:rPr>
        <w:t>u</w:t>
      </w:r>
      <w:r w:rsidRPr="009A1DFB">
        <w:rPr>
          <w:b/>
          <w:bCs/>
        </w:rPr>
        <w:t>e mean power</w:t>
      </w:r>
      <w:r w:rsidR="005C5398" w:rsidRPr="005C5398">
        <w:rPr>
          <w:b/>
          <w:bCs/>
        </w:rPr>
        <w:t xml:space="preserve"> </w:t>
      </w:r>
      <w:r w:rsidR="005C5398" w:rsidRPr="008F58E6">
        <w:rPr>
          <w:b/>
          <w:bCs/>
        </w:rPr>
        <w:t>towards the geostationary orbit</w:t>
      </w:r>
      <w:r w:rsidR="005C5398">
        <w:rPr>
          <w:b/>
          <w:bCs/>
        </w:rPr>
        <w:t xml:space="preserve">, </w:t>
      </w:r>
      <w:r w:rsidRPr="009A1DFB">
        <w:rPr>
          <w:b/>
          <w:bCs/>
        </w:rPr>
        <w:t>for specified elevation angles above the horizontal plane</w:t>
      </w:r>
      <w:r w:rsidR="00262A1D" w:rsidRPr="009A1DFB">
        <w:rPr>
          <w:b/>
          <w:bCs/>
        </w:rPr>
        <w:t xml:space="preserve"> – 25.1 GHz to 27 GHz</w:t>
      </w:r>
    </w:p>
    <w:tbl>
      <w:tblPr>
        <w:tblStyle w:val="TableGrid"/>
        <w:tblW w:w="5000" w:type="pct"/>
        <w:jc w:val="center"/>
        <w:tblLook w:val="04A0" w:firstRow="1" w:lastRow="0" w:firstColumn="1" w:lastColumn="0" w:noHBand="0" w:noVBand="1"/>
      </w:tblPr>
      <w:tblGrid>
        <w:gridCol w:w="3186"/>
        <w:gridCol w:w="3727"/>
        <w:gridCol w:w="2103"/>
      </w:tblGrid>
      <w:tr w:rsidR="00C959A6" w:rsidRPr="009A1DFB" w14:paraId="3B356F7B" w14:textId="77777777" w:rsidTr="00F623A3">
        <w:trPr>
          <w:cantSplit/>
          <w:jc w:val="center"/>
        </w:trPr>
        <w:tc>
          <w:tcPr>
            <w:tcW w:w="1767" w:type="pct"/>
            <w:tcBorders>
              <w:top w:val="single" w:sz="4" w:space="0" w:color="auto"/>
              <w:left w:val="single" w:sz="4" w:space="0" w:color="auto"/>
              <w:bottom w:val="single" w:sz="4" w:space="0" w:color="auto"/>
              <w:right w:val="single" w:sz="4" w:space="0" w:color="auto"/>
            </w:tcBorders>
            <w:hideMark/>
          </w:tcPr>
          <w:p w14:paraId="6F071AE1" w14:textId="77777777" w:rsidR="00C959A6" w:rsidRPr="009A1DFB" w:rsidRDefault="00C959A6" w:rsidP="00255D83">
            <w:pPr>
              <w:keepLines/>
              <w:spacing w:line="257" w:lineRule="auto"/>
              <w:jc w:val="center"/>
              <w:rPr>
                <w:rFonts w:eastAsiaTheme="minorEastAsia"/>
                <w:b/>
                <w:sz w:val="22"/>
                <w:szCs w:val="22"/>
              </w:rPr>
            </w:pPr>
            <w:r w:rsidRPr="009A1DFB">
              <w:rPr>
                <w:rFonts w:eastAsiaTheme="minorEastAsia"/>
                <w:b/>
              </w:rPr>
              <w:t>Elevation angle above the horizontal plane</w:t>
            </w:r>
          </w:p>
          <w:p w14:paraId="7E9F2A9D" w14:textId="77777777" w:rsidR="00C959A6" w:rsidRPr="009A1DFB" w:rsidRDefault="00C959A6" w:rsidP="00255D83">
            <w:pPr>
              <w:keepLines/>
              <w:spacing w:line="257" w:lineRule="auto"/>
              <w:jc w:val="center"/>
              <w:rPr>
                <w:rFonts w:eastAsiaTheme="minorEastAsia"/>
                <w:b/>
                <w:sz w:val="22"/>
                <w:szCs w:val="22"/>
              </w:rPr>
            </w:pPr>
            <w:r w:rsidRPr="009A1DFB">
              <w:rPr>
                <w:rFonts w:eastAsiaTheme="minorEastAsia"/>
                <w:b/>
              </w:rPr>
              <w:t>(el)</w:t>
            </w:r>
          </w:p>
        </w:tc>
        <w:tc>
          <w:tcPr>
            <w:tcW w:w="2067" w:type="pct"/>
            <w:tcBorders>
              <w:top w:val="single" w:sz="4" w:space="0" w:color="auto"/>
              <w:left w:val="single" w:sz="4" w:space="0" w:color="auto"/>
              <w:bottom w:val="single" w:sz="4" w:space="0" w:color="auto"/>
              <w:right w:val="single" w:sz="4" w:space="0" w:color="auto"/>
            </w:tcBorders>
            <w:hideMark/>
          </w:tcPr>
          <w:p w14:paraId="3B32B30F" w14:textId="77777777" w:rsidR="00C959A6" w:rsidRPr="009A1DFB" w:rsidRDefault="00C959A6" w:rsidP="00255D83">
            <w:pPr>
              <w:keepLines/>
              <w:spacing w:line="257" w:lineRule="auto"/>
              <w:jc w:val="center"/>
              <w:rPr>
                <w:b/>
                <w:sz w:val="22"/>
                <w:szCs w:val="22"/>
              </w:rPr>
            </w:pPr>
            <w:r w:rsidRPr="009A1DFB">
              <w:rPr>
                <w:b/>
              </w:rPr>
              <w:t>Radiated maximum true mean power</w:t>
            </w:r>
          </w:p>
          <w:p w14:paraId="230C2131" w14:textId="77777777" w:rsidR="00C959A6" w:rsidRPr="009A1DFB" w:rsidRDefault="00C959A6" w:rsidP="00255D83">
            <w:pPr>
              <w:keepLines/>
              <w:spacing w:line="257" w:lineRule="auto"/>
              <w:jc w:val="center"/>
              <w:rPr>
                <w:rFonts w:eastAsiaTheme="minorEastAsia"/>
                <w:b/>
                <w:sz w:val="22"/>
                <w:szCs w:val="22"/>
              </w:rPr>
            </w:pPr>
            <w:r w:rsidRPr="009A1DFB">
              <w:rPr>
                <w:rFonts w:eastAsiaTheme="minorEastAsia"/>
                <w:b/>
              </w:rPr>
              <w:t>(dBm EIRP)</w:t>
            </w:r>
          </w:p>
        </w:tc>
        <w:tc>
          <w:tcPr>
            <w:tcW w:w="1166" w:type="pct"/>
            <w:tcBorders>
              <w:top w:val="single" w:sz="4" w:space="0" w:color="auto"/>
              <w:left w:val="single" w:sz="4" w:space="0" w:color="auto"/>
              <w:bottom w:val="single" w:sz="4" w:space="0" w:color="auto"/>
              <w:right w:val="single" w:sz="4" w:space="0" w:color="auto"/>
            </w:tcBorders>
            <w:hideMark/>
          </w:tcPr>
          <w:p w14:paraId="23620701" w14:textId="77777777" w:rsidR="00C959A6" w:rsidRPr="009A1DFB" w:rsidRDefault="00C959A6" w:rsidP="00255D83">
            <w:pPr>
              <w:keepLines/>
              <w:spacing w:line="257" w:lineRule="auto"/>
              <w:jc w:val="center"/>
              <w:rPr>
                <w:rFonts w:eastAsiaTheme="minorEastAsia"/>
                <w:b/>
                <w:sz w:val="22"/>
                <w:szCs w:val="22"/>
              </w:rPr>
            </w:pPr>
            <w:r w:rsidRPr="009A1DFB">
              <w:rPr>
                <w:rFonts w:eastAsiaTheme="minorEastAsia"/>
                <w:b/>
              </w:rPr>
              <w:t>Specified</w:t>
            </w:r>
          </w:p>
          <w:p w14:paraId="02B37FAB" w14:textId="77777777" w:rsidR="00C959A6" w:rsidRPr="009A1DFB" w:rsidRDefault="00C959A6" w:rsidP="00255D83">
            <w:pPr>
              <w:keepLines/>
              <w:spacing w:line="257" w:lineRule="auto"/>
              <w:jc w:val="center"/>
              <w:rPr>
                <w:rFonts w:eastAsiaTheme="minorEastAsia"/>
                <w:b/>
                <w:sz w:val="22"/>
                <w:szCs w:val="22"/>
              </w:rPr>
            </w:pPr>
            <w:r w:rsidRPr="009A1DFB">
              <w:rPr>
                <w:rFonts w:eastAsiaTheme="minorEastAsia"/>
                <w:b/>
              </w:rPr>
              <w:t>Bandwidth</w:t>
            </w:r>
          </w:p>
        </w:tc>
      </w:tr>
      <w:tr w:rsidR="00C959A6" w:rsidRPr="009A1DFB" w14:paraId="1BA7AB38" w14:textId="77777777" w:rsidTr="00F623A3">
        <w:trPr>
          <w:cantSplit/>
          <w:jc w:val="center"/>
        </w:trPr>
        <w:tc>
          <w:tcPr>
            <w:tcW w:w="1767" w:type="pct"/>
            <w:tcBorders>
              <w:top w:val="single" w:sz="4" w:space="0" w:color="auto"/>
              <w:left w:val="single" w:sz="4" w:space="0" w:color="auto"/>
              <w:bottom w:val="single" w:sz="4" w:space="0" w:color="auto"/>
              <w:right w:val="single" w:sz="4" w:space="0" w:color="auto"/>
            </w:tcBorders>
            <w:hideMark/>
          </w:tcPr>
          <w:p w14:paraId="7C8276DC" w14:textId="7633C953" w:rsidR="00C959A6" w:rsidRPr="009A1DFB" w:rsidRDefault="00C959A6" w:rsidP="00255D83">
            <w:pPr>
              <w:keepLines/>
              <w:spacing w:line="257" w:lineRule="auto"/>
              <w:rPr>
                <w:rFonts w:eastAsiaTheme="minorEastAsia"/>
                <w:sz w:val="22"/>
                <w:szCs w:val="22"/>
              </w:rPr>
            </w:pPr>
            <w:r w:rsidRPr="009A1DFB">
              <w:rPr>
                <w:rFonts w:eastAsiaTheme="minorEastAsia"/>
              </w:rPr>
              <w:t xml:space="preserve">5 degrees ≤ </w:t>
            </w:r>
            <w:r w:rsidRPr="009A1DFB">
              <w:rPr>
                <w:rFonts w:eastAsiaTheme="minorEastAsia"/>
                <w:i/>
                <w:iCs/>
              </w:rPr>
              <w:t>el</w:t>
            </w:r>
            <w:r w:rsidRPr="009A1DFB">
              <w:rPr>
                <w:rFonts w:eastAsiaTheme="minorEastAsia"/>
              </w:rPr>
              <w:t xml:space="preserve"> &lt; </w:t>
            </w:r>
            <w:r w:rsidR="00FE2C38">
              <w:rPr>
                <w:rFonts w:eastAsiaTheme="minorEastAsia"/>
              </w:rPr>
              <w:t>90</w:t>
            </w:r>
            <w:r w:rsidRPr="009A1DFB">
              <w:rPr>
                <w:rFonts w:eastAsiaTheme="minorEastAsia"/>
              </w:rPr>
              <w:t xml:space="preserve"> degrees </w:t>
            </w:r>
          </w:p>
        </w:tc>
        <w:tc>
          <w:tcPr>
            <w:tcW w:w="2067" w:type="pct"/>
            <w:tcBorders>
              <w:top w:val="single" w:sz="4" w:space="0" w:color="auto"/>
              <w:left w:val="single" w:sz="4" w:space="0" w:color="auto"/>
              <w:bottom w:val="single" w:sz="4" w:space="0" w:color="auto"/>
              <w:right w:val="single" w:sz="4" w:space="0" w:color="auto"/>
            </w:tcBorders>
          </w:tcPr>
          <w:p w14:paraId="3416C4AB" w14:textId="3BBF694B" w:rsidR="00C959A6" w:rsidRPr="009A1DFB" w:rsidRDefault="00FE2C38" w:rsidP="00255D83">
            <w:pPr>
              <w:keepLines/>
              <w:spacing w:line="257" w:lineRule="auto"/>
              <w:jc w:val="center"/>
              <w:rPr>
                <w:rFonts w:eastAsiaTheme="minorEastAsia"/>
                <w:sz w:val="22"/>
                <w:szCs w:val="22"/>
              </w:rPr>
            </w:pPr>
            <w:r>
              <w:rPr>
                <w:rFonts w:eastAsiaTheme="minorEastAsia"/>
              </w:rPr>
              <w:t>60</w:t>
            </w:r>
          </w:p>
        </w:tc>
        <w:tc>
          <w:tcPr>
            <w:tcW w:w="1166" w:type="pct"/>
            <w:tcBorders>
              <w:top w:val="single" w:sz="4" w:space="0" w:color="auto"/>
              <w:left w:val="single" w:sz="4" w:space="0" w:color="auto"/>
              <w:bottom w:val="single" w:sz="4" w:space="0" w:color="auto"/>
              <w:right w:val="single" w:sz="4" w:space="0" w:color="auto"/>
            </w:tcBorders>
            <w:vAlign w:val="center"/>
            <w:hideMark/>
          </w:tcPr>
          <w:p w14:paraId="68839994" w14:textId="77777777" w:rsidR="00C959A6" w:rsidRPr="009A1DFB" w:rsidRDefault="00C959A6" w:rsidP="00255D83">
            <w:pPr>
              <w:keepLines/>
              <w:spacing w:line="257" w:lineRule="auto"/>
              <w:jc w:val="center"/>
              <w:rPr>
                <w:rFonts w:eastAsiaTheme="minorEastAsia"/>
                <w:sz w:val="22"/>
                <w:szCs w:val="22"/>
              </w:rPr>
            </w:pPr>
            <w:r w:rsidRPr="009A1DFB">
              <w:rPr>
                <w:rFonts w:eastAsiaTheme="minorEastAsia"/>
              </w:rPr>
              <w:t>200 MHz</w:t>
            </w:r>
          </w:p>
        </w:tc>
      </w:tr>
    </w:tbl>
    <w:p w14:paraId="6DF112E9" w14:textId="64563729" w:rsidR="004E2F16" w:rsidRPr="009A1DFB" w:rsidRDefault="004E2F16" w:rsidP="004E2F16">
      <w:pPr>
        <w:pStyle w:val="subsection"/>
        <w:spacing w:before="120"/>
        <w:rPr>
          <w:i/>
          <w:iCs/>
        </w:rPr>
      </w:pPr>
      <w:bookmarkStart w:id="29" w:name="_Hlk50126975"/>
      <w:r w:rsidRPr="009A1DFB">
        <w:rPr>
          <w:i/>
          <w:iCs/>
        </w:rPr>
        <w:t>Operation in the 2</w:t>
      </w:r>
      <w:r>
        <w:rPr>
          <w:i/>
          <w:iCs/>
        </w:rPr>
        <w:t>7</w:t>
      </w:r>
      <w:r w:rsidRPr="009A1DFB">
        <w:rPr>
          <w:i/>
          <w:iCs/>
        </w:rPr>
        <w:t xml:space="preserve"> GHz to 27</w:t>
      </w:r>
      <w:r w:rsidR="00A652A7">
        <w:rPr>
          <w:i/>
          <w:iCs/>
        </w:rPr>
        <w:t>.5</w:t>
      </w:r>
      <w:r w:rsidRPr="009A1DFB">
        <w:rPr>
          <w:i/>
          <w:iCs/>
        </w:rPr>
        <w:t xml:space="preserve"> GHz frequency range</w:t>
      </w:r>
      <w:r w:rsidR="006E21F8">
        <w:rPr>
          <w:i/>
          <w:iCs/>
        </w:rPr>
        <w:t xml:space="preserve"> outside both inner-footprint and outer-footprint areas</w:t>
      </w:r>
    </w:p>
    <w:p w14:paraId="546F6A22" w14:textId="3ED3FB32" w:rsidR="004E2F16" w:rsidRPr="009A1DFB" w:rsidRDefault="004E2F16" w:rsidP="004E2F16">
      <w:pPr>
        <w:pStyle w:val="subsection"/>
        <w:spacing w:before="120"/>
      </w:pPr>
      <w:r w:rsidRPr="009A1DFB">
        <w:tab/>
        <w:t>(</w:t>
      </w:r>
      <w:r w:rsidR="00B9041C">
        <w:t>3</w:t>
      </w:r>
      <w:r w:rsidRPr="009A1DFB">
        <w:t>)</w:t>
      </w:r>
      <w:r w:rsidRPr="009A1DFB">
        <w:tab/>
        <w:t>A radiocommunications transmitter operated under a spectrum licence in the 26 GHz band that is:</w:t>
      </w:r>
    </w:p>
    <w:p w14:paraId="51477889" w14:textId="77777777" w:rsidR="004E2F16" w:rsidRPr="009A1DFB" w:rsidRDefault="004E2F16" w:rsidP="004E2F16">
      <w:pPr>
        <w:pStyle w:val="paragraph"/>
        <w:tabs>
          <w:tab w:val="clear" w:pos="1531"/>
        </w:tabs>
        <w:ind w:hanging="510"/>
      </w:pPr>
      <w:r w:rsidRPr="009A1DFB">
        <w:t>(a)</w:t>
      </w:r>
      <w:r w:rsidRPr="009A1DFB">
        <w:tab/>
        <w:t>not an indoor transmitter;</w:t>
      </w:r>
    </w:p>
    <w:p w14:paraId="17643B6D" w14:textId="77777777" w:rsidR="008E5167" w:rsidRDefault="004E2F16" w:rsidP="004E2F16">
      <w:pPr>
        <w:pStyle w:val="paragraph"/>
        <w:tabs>
          <w:tab w:val="clear" w:pos="1531"/>
        </w:tabs>
        <w:ind w:hanging="510"/>
      </w:pPr>
      <w:r w:rsidRPr="009A1DFB">
        <w:t>(b)</w:t>
      </w:r>
      <w:r w:rsidRPr="009A1DFB">
        <w:tab/>
        <w:t>operating in the frequency range 2</w:t>
      </w:r>
      <w:r w:rsidR="006E21F8">
        <w:t>7</w:t>
      </w:r>
      <w:r w:rsidRPr="009A1DFB">
        <w:t xml:space="preserve"> GHz</w:t>
      </w:r>
      <w:r w:rsidRPr="009A1DFB">
        <w:rPr>
          <w:rFonts w:eastAsiaTheme="minorHAnsi"/>
        </w:rPr>
        <w:t>–</w:t>
      </w:r>
      <w:r w:rsidRPr="009A1DFB">
        <w:t>27</w:t>
      </w:r>
      <w:r w:rsidR="006E21F8">
        <w:t>.5</w:t>
      </w:r>
      <w:r w:rsidRPr="009A1DFB">
        <w:t xml:space="preserve"> GHz; </w:t>
      </w:r>
    </w:p>
    <w:p w14:paraId="3DE805F9" w14:textId="729D67D1" w:rsidR="004E2F16" w:rsidRPr="009A1DFB" w:rsidRDefault="008E5167" w:rsidP="004E2F16">
      <w:pPr>
        <w:pStyle w:val="paragraph"/>
        <w:tabs>
          <w:tab w:val="clear" w:pos="1531"/>
        </w:tabs>
        <w:ind w:hanging="510"/>
      </w:pPr>
      <w:r>
        <w:t>(c)</w:t>
      </w:r>
      <w:r>
        <w:tab/>
        <w:t xml:space="preserve">not located inside an inner-footprint area or outer-footprint area; </w:t>
      </w:r>
      <w:r w:rsidR="004E2F16" w:rsidRPr="009A1DFB">
        <w:t>and</w:t>
      </w:r>
    </w:p>
    <w:p w14:paraId="0939F202" w14:textId="0FAB625A" w:rsidR="004E2F16" w:rsidRPr="009A1DFB" w:rsidRDefault="004E2F16" w:rsidP="004E2F16">
      <w:pPr>
        <w:pStyle w:val="paragraph"/>
        <w:tabs>
          <w:tab w:val="clear" w:pos="1531"/>
        </w:tabs>
        <w:ind w:hanging="510"/>
      </w:pPr>
      <w:r w:rsidRPr="009A1DFB">
        <w:t>(</w:t>
      </w:r>
      <w:r w:rsidR="008E5167">
        <w:t>d</w:t>
      </w:r>
      <w:r w:rsidRPr="009A1DFB">
        <w:t>)</w:t>
      </w:r>
      <w:r w:rsidRPr="009A1DFB">
        <w:tab/>
        <w:t>operating with a total radiated power greater than 40 dBm/200 MHz;</w:t>
      </w:r>
    </w:p>
    <w:p w14:paraId="0F05F452" w14:textId="77777777" w:rsidR="004E2F16" w:rsidRPr="009A1DFB" w:rsidRDefault="004E2F16" w:rsidP="004E2F16">
      <w:pPr>
        <w:pStyle w:val="subsection"/>
        <w:spacing w:before="60"/>
      </w:pPr>
      <w:r w:rsidRPr="009A1DFB">
        <w:tab/>
      </w:r>
      <w:r w:rsidRPr="009A1DFB">
        <w:tab/>
        <w:t>must not:</w:t>
      </w:r>
    </w:p>
    <w:p w14:paraId="727AAD1A" w14:textId="2BAA85F6" w:rsidR="004E2F16" w:rsidRPr="009A1DFB" w:rsidRDefault="004E2F16" w:rsidP="004E2F16">
      <w:pPr>
        <w:pStyle w:val="paragraph"/>
        <w:tabs>
          <w:tab w:val="clear" w:pos="1531"/>
        </w:tabs>
        <w:ind w:hanging="510"/>
      </w:pPr>
      <w:r w:rsidRPr="009A1DFB">
        <w:t>(</w:t>
      </w:r>
      <w:r w:rsidR="008E5167">
        <w:t>e</w:t>
      </w:r>
      <w:r w:rsidRPr="009A1DFB">
        <w:t>)</w:t>
      </w:r>
      <w:r w:rsidRPr="009A1DFB">
        <w:tab/>
        <w:t>be connected to an antenna which has its highest gain directed above the horizontal plane when the antenna is not being electrically steered;</w:t>
      </w:r>
    </w:p>
    <w:p w14:paraId="674FAAF0" w14:textId="5F390DDE" w:rsidR="004E2F16" w:rsidRPr="009A1DFB" w:rsidRDefault="004E2F16" w:rsidP="004E2F16">
      <w:pPr>
        <w:pStyle w:val="paragraph"/>
        <w:tabs>
          <w:tab w:val="clear" w:pos="1531"/>
        </w:tabs>
        <w:ind w:hanging="510"/>
      </w:pPr>
      <w:r w:rsidRPr="009A1DFB">
        <w:t>(</w:t>
      </w:r>
      <w:r w:rsidR="008E5167">
        <w:t>f</w:t>
      </w:r>
      <w:r w:rsidRPr="009A1DFB">
        <w:t>)</w:t>
      </w:r>
      <w:r w:rsidRPr="009A1DFB">
        <w:tab/>
        <w:t>direct its antenna beam via electrical steering to an elevation angle above the horizontal plane; or</w:t>
      </w:r>
    </w:p>
    <w:p w14:paraId="765DB9FC" w14:textId="1A630418" w:rsidR="004E2F16" w:rsidRPr="009A1DFB" w:rsidRDefault="004E2F16" w:rsidP="004E2F16">
      <w:pPr>
        <w:pStyle w:val="paragraph"/>
        <w:tabs>
          <w:tab w:val="clear" w:pos="1531"/>
        </w:tabs>
        <w:ind w:hanging="510"/>
      </w:pPr>
      <w:r w:rsidRPr="009A1DFB">
        <w:t>(</w:t>
      </w:r>
      <w:r w:rsidR="008E5167">
        <w:t>g</w:t>
      </w:r>
      <w:r w:rsidRPr="009A1DFB">
        <w:t>)</w:t>
      </w:r>
      <w:r w:rsidRPr="009A1DFB">
        <w:tab/>
        <w:t>operate with a radiated maximum true mean power, measured over the specified bandwidth</w:t>
      </w:r>
      <w:r w:rsidR="008E5167">
        <w:t xml:space="preserve"> and in the direction of the geostationary orbit</w:t>
      </w:r>
      <w:r w:rsidRPr="009A1DFB">
        <w:t xml:space="preserve">, exceeding the limits set out in Table </w:t>
      </w:r>
      <w:r w:rsidR="006E21F8">
        <w:t>2</w:t>
      </w:r>
      <w:r w:rsidRPr="009A1DFB">
        <w:t>;</w:t>
      </w:r>
    </w:p>
    <w:p w14:paraId="04B501F8" w14:textId="77777777" w:rsidR="004E2F16" w:rsidRPr="009A1DFB" w:rsidRDefault="004E2F16" w:rsidP="004E2F16">
      <w:pPr>
        <w:pStyle w:val="subsection"/>
        <w:spacing w:before="60"/>
      </w:pPr>
      <w:r w:rsidRPr="009A1DFB">
        <w:t xml:space="preserve"> </w:t>
      </w:r>
      <w:r w:rsidRPr="009A1DFB">
        <w:tab/>
      </w:r>
      <w:r w:rsidRPr="009A1DFB">
        <w:tab/>
        <w:t>where:</w:t>
      </w:r>
    </w:p>
    <w:p w14:paraId="2F193FAA" w14:textId="7EF44A28" w:rsidR="004E2F16" w:rsidRPr="009A1DFB" w:rsidRDefault="004E2F16" w:rsidP="004E2F16">
      <w:pPr>
        <w:pStyle w:val="subsection"/>
        <w:spacing w:before="60"/>
      </w:pPr>
      <w:r w:rsidRPr="009A1DFB">
        <w:tab/>
      </w:r>
      <w:r w:rsidRPr="009A1DFB">
        <w:tab/>
      </w:r>
      <w:r w:rsidRPr="009A1DFB">
        <w:rPr>
          <w:b/>
          <w:bCs/>
          <w:i/>
          <w:iCs/>
        </w:rPr>
        <w:t>el</w:t>
      </w:r>
      <w:r w:rsidRPr="009A1DFB">
        <w:t xml:space="preserve"> is the angle above the horizontal plane at which the radiated maximum true mean power limit in Table </w:t>
      </w:r>
      <w:r w:rsidR="006E21F8">
        <w:t>2</w:t>
      </w:r>
      <w:r w:rsidRPr="009A1DFB">
        <w:t xml:space="preserve"> applies.</w:t>
      </w:r>
    </w:p>
    <w:p w14:paraId="76AC3BEA" w14:textId="3AE54FD2" w:rsidR="004E2F16" w:rsidRPr="009A1DFB" w:rsidRDefault="004E2F16" w:rsidP="004E2F16">
      <w:pPr>
        <w:pStyle w:val="subsection"/>
        <w:keepLines/>
        <w:tabs>
          <w:tab w:val="clear" w:pos="1021"/>
        </w:tabs>
        <w:spacing w:before="120" w:after="120"/>
        <w:ind w:left="0" w:firstLine="0"/>
        <w:rPr>
          <w:b/>
          <w:bCs/>
        </w:rPr>
      </w:pPr>
      <w:r w:rsidRPr="009A1DFB">
        <w:rPr>
          <w:b/>
          <w:bCs/>
        </w:rPr>
        <w:t xml:space="preserve">Table </w:t>
      </w:r>
      <w:r w:rsidR="006E21F8">
        <w:rPr>
          <w:b/>
          <w:bCs/>
        </w:rPr>
        <w:t>2</w:t>
      </w:r>
      <w:r w:rsidRPr="009A1DFB">
        <w:rPr>
          <w:b/>
          <w:bCs/>
        </w:rPr>
        <w:t>: Radiated maximum true mean power</w:t>
      </w:r>
      <w:r w:rsidR="008E5167">
        <w:rPr>
          <w:b/>
          <w:bCs/>
        </w:rPr>
        <w:t xml:space="preserve"> towards the geostationary orbit,</w:t>
      </w:r>
      <w:r w:rsidRPr="009A1DFB">
        <w:rPr>
          <w:b/>
          <w:bCs/>
        </w:rPr>
        <w:t xml:space="preserve"> for specified elevation angles above the horizontal plane – 2</w:t>
      </w:r>
      <w:r w:rsidR="008E5167">
        <w:rPr>
          <w:b/>
          <w:bCs/>
        </w:rPr>
        <w:t>7</w:t>
      </w:r>
      <w:r w:rsidRPr="009A1DFB">
        <w:rPr>
          <w:b/>
          <w:bCs/>
        </w:rPr>
        <w:t xml:space="preserve"> GHz to 27</w:t>
      </w:r>
      <w:r w:rsidR="008E5167">
        <w:rPr>
          <w:b/>
          <w:bCs/>
        </w:rPr>
        <w:t>.5</w:t>
      </w:r>
      <w:r w:rsidRPr="009A1DFB">
        <w:rPr>
          <w:b/>
          <w:bCs/>
        </w:rPr>
        <w:t xml:space="preserve"> GHz</w:t>
      </w:r>
      <w:r w:rsidR="008E5167">
        <w:rPr>
          <w:b/>
          <w:bCs/>
        </w:rPr>
        <w:t>, outside both inner-footprint areas and outer-footprint areas</w:t>
      </w:r>
    </w:p>
    <w:tbl>
      <w:tblPr>
        <w:tblStyle w:val="TableGrid"/>
        <w:tblW w:w="5000" w:type="pct"/>
        <w:jc w:val="center"/>
        <w:tblLook w:val="04A0" w:firstRow="1" w:lastRow="0" w:firstColumn="1" w:lastColumn="0" w:noHBand="0" w:noVBand="1"/>
      </w:tblPr>
      <w:tblGrid>
        <w:gridCol w:w="3186"/>
        <w:gridCol w:w="3727"/>
        <w:gridCol w:w="2103"/>
      </w:tblGrid>
      <w:tr w:rsidR="004E2F16" w:rsidRPr="009A1DFB" w14:paraId="22291768" w14:textId="77777777" w:rsidTr="0034116F">
        <w:trPr>
          <w:cantSplit/>
          <w:jc w:val="center"/>
        </w:trPr>
        <w:tc>
          <w:tcPr>
            <w:tcW w:w="1767" w:type="pct"/>
            <w:tcBorders>
              <w:top w:val="single" w:sz="4" w:space="0" w:color="auto"/>
              <w:left w:val="single" w:sz="4" w:space="0" w:color="auto"/>
              <w:bottom w:val="single" w:sz="4" w:space="0" w:color="auto"/>
              <w:right w:val="single" w:sz="4" w:space="0" w:color="auto"/>
            </w:tcBorders>
            <w:hideMark/>
          </w:tcPr>
          <w:p w14:paraId="48837412" w14:textId="77777777" w:rsidR="004E2F16" w:rsidRPr="009A1DFB" w:rsidRDefault="004E2F16" w:rsidP="0034116F">
            <w:pPr>
              <w:keepLines/>
              <w:spacing w:line="257" w:lineRule="auto"/>
              <w:jc w:val="center"/>
              <w:rPr>
                <w:rFonts w:eastAsiaTheme="minorEastAsia"/>
                <w:b/>
                <w:sz w:val="22"/>
                <w:szCs w:val="22"/>
              </w:rPr>
            </w:pPr>
            <w:r w:rsidRPr="009A1DFB">
              <w:rPr>
                <w:rFonts w:eastAsiaTheme="minorEastAsia"/>
                <w:b/>
              </w:rPr>
              <w:t>Elevation angle above the horizontal plane</w:t>
            </w:r>
          </w:p>
          <w:p w14:paraId="7608BE50" w14:textId="77777777" w:rsidR="004E2F16" w:rsidRPr="009A1DFB" w:rsidRDefault="004E2F16" w:rsidP="0034116F">
            <w:pPr>
              <w:keepLines/>
              <w:spacing w:line="257" w:lineRule="auto"/>
              <w:jc w:val="center"/>
              <w:rPr>
                <w:rFonts w:eastAsiaTheme="minorEastAsia"/>
                <w:b/>
                <w:sz w:val="22"/>
                <w:szCs w:val="22"/>
              </w:rPr>
            </w:pPr>
            <w:r w:rsidRPr="009A1DFB">
              <w:rPr>
                <w:rFonts w:eastAsiaTheme="minorEastAsia"/>
                <w:b/>
              </w:rPr>
              <w:t>(el)</w:t>
            </w:r>
          </w:p>
        </w:tc>
        <w:tc>
          <w:tcPr>
            <w:tcW w:w="2067" w:type="pct"/>
            <w:tcBorders>
              <w:top w:val="single" w:sz="4" w:space="0" w:color="auto"/>
              <w:left w:val="single" w:sz="4" w:space="0" w:color="auto"/>
              <w:bottom w:val="single" w:sz="4" w:space="0" w:color="auto"/>
              <w:right w:val="single" w:sz="4" w:space="0" w:color="auto"/>
            </w:tcBorders>
            <w:hideMark/>
          </w:tcPr>
          <w:p w14:paraId="4879F2DB" w14:textId="77777777" w:rsidR="004E2F16" w:rsidRPr="009A1DFB" w:rsidRDefault="004E2F16" w:rsidP="0034116F">
            <w:pPr>
              <w:keepLines/>
              <w:spacing w:line="257" w:lineRule="auto"/>
              <w:jc w:val="center"/>
              <w:rPr>
                <w:b/>
                <w:sz w:val="22"/>
                <w:szCs w:val="22"/>
              </w:rPr>
            </w:pPr>
            <w:r w:rsidRPr="009A1DFB">
              <w:rPr>
                <w:b/>
              </w:rPr>
              <w:t>Radiated maximum true mean power</w:t>
            </w:r>
          </w:p>
          <w:p w14:paraId="096695B3" w14:textId="77777777" w:rsidR="004E2F16" w:rsidRPr="009A1DFB" w:rsidRDefault="004E2F16" w:rsidP="0034116F">
            <w:pPr>
              <w:keepLines/>
              <w:spacing w:line="257" w:lineRule="auto"/>
              <w:jc w:val="center"/>
              <w:rPr>
                <w:rFonts w:eastAsiaTheme="minorEastAsia"/>
                <w:b/>
                <w:sz w:val="22"/>
                <w:szCs w:val="22"/>
              </w:rPr>
            </w:pPr>
            <w:r w:rsidRPr="009A1DFB">
              <w:rPr>
                <w:rFonts w:eastAsiaTheme="minorEastAsia"/>
                <w:b/>
              </w:rPr>
              <w:t>(dBm EIRP)</w:t>
            </w:r>
          </w:p>
        </w:tc>
        <w:tc>
          <w:tcPr>
            <w:tcW w:w="1166" w:type="pct"/>
            <w:tcBorders>
              <w:top w:val="single" w:sz="4" w:space="0" w:color="auto"/>
              <w:left w:val="single" w:sz="4" w:space="0" w:color="auto"/>
              <w:bottom w:val="single" w:sz="4" w:space="0" w:color="auto"/>
              <w:right w:val="single" w:sz="4" w:space="0" w:color="auto"/>
            </w:tcBorders>
            <w:hideMark/>
          </w:tcPr>
          <w:p w14:paraId="3F89BB36" w14:textId="77777777" w:rsidR="004E2F16" w:rsidRPr="009A1DFB" w:rsidRDefault="004E2F16" w:rsidP="0034116F">
            <w:pPr>
              <w:keepLines/>
              <w:spacing w:line="257" w:lineRule="auto"/>
              <w:jc w:val="center"/>
              <w:rPr>
                <w:rFonts w:eastAsiaTheme="minorEastAsia"/>
                <w:b/>
                <w:sz w:val="22"/>
                <w:szCs w:val="22"/>
              </w:rPr>
            </w:pPr>
            <w:r w:rsidRPr="009A1DFB">
              <w:rPr>
                <w:rFonts w:eastAsiaTheme="minorEastAsia"/>
                <w:b/>
              </w:rPr>
              <w:t>Specified</w:t>
            </w:r>
          </w:p>
          <w:p w14:paraId="21DFCF86" w14:textId="77777777" w:rsidR="004E2F16" w:rsidRPr="009A1DFB" w:rsidRDefault="004E2F16" w:rsidP="0034116F">
            <w:pPr>
              <w:keepLines/>
              <w:spacing w:line="257" w:lineRule="auto"/>
              <w:jc w:val="center"/>
              <w:rPr>
                <w:rFonts w:eastAsiaTheme="minorEastAsia"/>
                <w:b/>
                <w:sz w:val="22"/>
                <w:szCs w:val="22"/>
              </w:rPr>
            </w:pPr>
            <w:r w:rsidRPr="009A1DFB">
              <w:rPr>
                <w:rFonts w:eastAsiaTheme="minorEastAsia"/>
                <w:b/>
              </w:rPr>
              <w:t>Bandwidth</w:t>
            </w:r>
          </w:p>
        </w:tc>
      </w:tr>
      <w:tr w:rsidR="004E2F16" w:rsidRPr="009A1DFB" w14:paraId="7CB39C89" w14:textId="77777777" w:rsidTr="0034116F">
        <w:trPr>
          <w:cantSplit/>
          <w:jc w:val="center"/>
        </w:trPr>
        <w:tc>
          <w:tcPr>
            <w:tcW w:w="1767" w:type="pct"/>
            <w:tcBorders>
              <w:top w:val="single" w:sz="4" w:space="0" w:color="auto"/>
              <w:left w:val="single" w:sz="4" w:space="0" w:color="auto"/>
              <w:bottom w:val="single" w:sz="4" w:space="0" w:color="auto"/>
              <w:right w:val="single" w:sz="4" w:space="0" w:color="auto"/>
            </w:tcBorders>
            <w:hideMark/>
          </w:tcPr>
          <w:p w14:paraId="1D73AE73" w14:textId="77777777" w:rsidR="004E2F16" w:rsidRPr="009A1DFB" w:rsidRDefault="004E2F16" w:rsidP="0034116F">
            <w:pPr>
              <w:keepLines/>
              <w:spacing w:line="257" w:lineRule="auto"/>
              <w:rPr>
                <w:rFonts w:eastAsiaTheme="minorEastAsia"/>
                <w:sz w:val="22"/>
                <w:szCs w:val="22"/>
              </w:rPr>
            </w:pPr>
            <w:r w:rsidRPr="009A1DFB">
              <w:rPr>
                <w:rFonts w:eastAsiaTheme="minorEastAsia"/>
              </w:rPr>
              <w:t xml:space="preserve">5 degrees ≤ </w:t>
            </w:r>
            <w:r w:rsidRPr="009A1DFB">
              <w:rPr>
                <w:rFonts w:eastAsiaTheme="minorEastAsia"/>
                <w:i/>
                <w:iCs/>
              </w:rPr>
              <w:t xml:space="preserve">el </w:t>
            </w:r>
            <w:r w:rsidRPr="009A1DFB">
              <w:rPr>
                <w:rFonts w:eastAsiaTheme="minorEastAsia"/>
              </w:rPr>
              <w:t>&lt; 15 degrees</w:t>
            </w:r>
          </w:p>
        </w:tc>
        <w:tc>
          <w:tcPr>
            <w:tcW w:w="2067" w:type="pct"/>
            <w:tcBorders>
              <w:top w:val="single" w:sz="4" w:space="0" w:color="auto"/>
              <w:left w:val="single" w:sz="4" w:space="0" w:color="auto"/>
              <w:bottom w:val="single" w:sz="4" w:space="0" w:color="auto"/>
              <w:right w:val="single" w:sz="4" w:space="0" w:color="auto"/>
            </w:tcBorders>
          </w:tcPr>
          <w:p w14:paraId="79F8380F" w14:textId="6C24B28F" w:rsidR="004E2F16" w:rsidRPr="009A1DFB" w:rsidRDefault="00A47C8F" w:rsidP="0034116F">
            <w:pPr>
              <w:keepLines/>
              <w:spacing w:line="257" w:lineRule="auto"/>
              <w:jc w:val="center"/>
              <w:rPr>
                <w:rFonts w:eastAsiaTheme="minorEastAsia"/>
                <w:sz w:val="22"/>
                <w:szCs w:val="22"/>
              </w:rPr>
            </w:pPr>
            <w:r>
              <w:rPr>
                <w:rFonts w:eastAsiaTheme="minorEastAsia"/>
                <w:sz w:val="22"/>
                <w:szCs w:val="22"/>
              </w:rPr>
              <w:t>60</w:t>
            </w:r>
          </w:p>
        </w:tc>
        <w:tc>
          <w:tcPr>
            <w:tcW w:w="1166" w:type="pct"/>
            <w:tcBorders>
              <w:top w:val="single" w:sz="4" w:space="0" w:color="auto"/>
              <w:left w:val="single" w:sz="4" w:space="0" w:color="auto"/>
              <w:bottom w:val="single" w:sz="4" w:space="0" w:color="auto"/>
              <w:right w:val="single" w:sz="4" w:space="0" w:color="auto"/>
            </w:tcBorders>
            <w:vAlign w:val="center"/>
            <w:hideMark/>
          </w:tcPr>
          <w:p w14:paraId="428B7FD3" w14:textId="77777777" w:rsidR="004E2F16" w:rsidRPr="009A1DFB" w:rsidRDefault="004E2F16" w:rsidP="0034116F">
            <w:pPr>
              <w:keepLines/>
              <w:spacing w:line="257" w:lineRule="auto"/>
              <w:jc w:val="center"/>
              <w:rPr>
                <w:rFonts w:eastAsiaTheme="minorEastAsia"/>
                <w:sz w:val="22"/>
                <w:szCs w:val="22"/>
              </w:rPr>
            </w:pPr>
            <w:r w:rsidRPr="009A1DFB">
              <w:rPr>
                <w:rFonts w:eastAsiaTheme="minorEastAsia"/>
              </w:rPr>
              <w:t>200 MHz</w:t>
            </w:r>
          </w:p>
        </w:tc>
      </w:tr>
      <w:tr w:rsidR="004E2F16" w:rsidRPr="009A1DFB" w14:paraId="0E11B9BC" w14:textId="77777777" w:rsidTr="0034116F">
        <w:trPr>
          <w:cantSplit/>
          <w:jc w:val="center"/>
        </w:trPr>
        <w:tc>
          <w:tcPr>
            <w:tcW w:w="1767" w:type="pct"/>
            <w:tcBorders>
              <w:top w:val="single" w:sz="4" w:space="0" w:color="auto"/>
              <w:left w:val="single" w:sz="4" w:space="0" w:color="auto"/>
              <w:bottom w:val="single" w:sz="4" w:space="0" w:color="auto"/>
              <w:right w:val="single" w:sz="4" w:space="0" w:color="auto"/>
            </w:tcBorders>
            <w:hideMark/>
          </w:tcPr>
          <w:p w14:paraId="118940A3" w14:textId="77777777" w:rsidR="004E2F16" w:rsidRPr="009A1DFB" w:rsidRDefault="004E2F16" w:rsidP="0034116F">
            <w:pPr>
              <w:keepLines/>
              <w:spacing w:line="257" w:lineRule="auto"/>
              <w:rPr>
                <w:rFonts w:eastAsiaTheme="minorEastAsia"/>
                <w:sz w:val="22"/>
                <w:szCs w:val="22"/>
              </w:rPr>
            </w:pPr>
            <w:r w:rsidRPr="009A1DFB">
              <w:rPr>
                <w:rFonts w:eastAsiaTheme="minorEastAsia"/>
              </w:rPr>
              <w:t xml:space="preserve">15 degrees ≤ </w:t>
            </w:r>
            <w:r w:rsidRPr="009A1DFB">
              <w:rPr>
                <w:rFonts w:eastAsiaTheme="minorEastAsia"/>
                <w:i/>
                <w:iCs/>
              </w:rPr>
              <w:t>el</w:t>
            </w:r>
            <w:r w:rsidRPr="009A1DFB">
              <w:rPr>
                <w:rFonts w:eastAsiaTheme="minorEastAsia"/>
              </w:rPr>
              <w:t xml:space="preserve"> &lt; 25 degrees </w:t>
            </w:r>
          </w:p>
        </w:tc>
        <w:tc>
          <w:tcPr>
            <w:tcW w:w="2067" w:type="pct"/>
            <w:tcBorders>
              <w:top w:val="single" w:sz="4" w:space="0" w:color="auto"/>
              <w:left w:val="single" w:sz="4" w:space="0" w:color="auto"/>
              <w:bottom w:val="single" w:sz="4" w:space="0" w:color="auto"/>
              <w:right w:val="single" w:sz="4" w:space="0" w:color="auto"/>
            </w:tcBorders>
          </w:tcPr>
          <w:p w14:paraId="59817346" w14:textId="77777777" w:rsidR="004E2F16" w:rsidRPr="009A1DFB" w:rsidRDefault="004E2F16" w:rsidP="0034116F">
            <w:pPr>
              <w:keepLines/>
              <w:spacing w:line="257" w:lineRule="auto"/>
              <w:jc w:val="center"/>
              <w:rPr>
                <w:rFonts w:eastAsiaTheme="minorEastAsia"/>
                <w:sz w:val="22"/>
                <w:szCs w:val="22"/>
              </w:rPr>
            </w:pPr>
            <w:r w:rsidRPr="009A1DFB">
              <w:rPr>
                <w:rFonts w:eastAsiaTheme="minorEastAsia"/>
              </w:rPr>
              <w:t>49</w:t>
            </w:r>
          </w:p>
        </w:tc>
        <w:tc>
          <w:tcPr>
            <w:tcW w:w="1166" w:type="pct"/>
            <w:tcBorders>
              <w:top w:val="single" w:sz="4" w:space="0" w:color="auto"/>
              <w:left w:val="single" w:sz="4" w:space="0" w:color="auto"/>
              <w:bottom w:val="single" w:sz="4" w:space="0" w:color="auto"/>
              <w:right w:val="single" w:sz="4" w:space="0" w:color="auto"/>
            </w:tcBorders>
            <w:vAlign w:val="center"/>
            <w:hideMark/>
          </w:tcPr>
          <w:p w14:paraId="563017E6" w14:textId="77777777" w:rsidR="004E2F16" w:rsidRPr="009A1DFB" w:rsidRDefault="004E2F16" w:rsidP="0034116F">
            <w:pPr>
              <w:keepLines/>
              <w:spacing w:line="257" w:lineRule="auto"/>
              <w:jc w:val="center"/>
              <w:rPr>
                <w:rFonts w:eastAsiaTheme="minorEastAsia"/>
                <w:sz w:val="22"/>
                <w:szCs w:val="22"/>
              </w:rPr>
            </w:pPr>
            <w:r w:rsidRPr="009A1DFB">
              <w:rPr>
                <w:rFonts w:eastAsiaTheme="minorEastAsia"/>
              </w:rPr>
              <w:t>200 MHz</w:t>
            </w:r>
          </w:p>
        </w:tc>
      </w:tr>
      <w:tr w:rsidR="004E2F16" w:rsidRPr="009A1DFB" w14:paraId="0C146FD7" w14:textId="77777777" w:rsidTr="0034116F">
        <w:trPr>
          <w:cantSplit/>
          <w:jc w:val="center"/>
        </w:trPr>
        <w:tc>
          <w:tcPr>
            <w:tcW w:w="1767" w:type="pct"/>
            <w:tcBorders>
              <w:top w:val="single" w:sz="4" w:space="0" w:color="auto"/>
              <w:left w:val="single" w:sz="4" w:space="0" w:color="auto"/>
              <w:bottom w:val="single" w:sz="4" w:space="0" w:color="auto"/>
              <w:right w:val="single" w:sz="4" w:space="0" w:color="auto"/>
            </w:tcBorders>
            <w:hideMark/>
          </w:tcPr>
          <w:p w14:paraId="590F1958" w14:textId="62DDD2A1" w:rsidR="004E2F16" w:rsidRPr="009A1DFB" w:rsidRDefault="004E2F16" w:rsidP="0034116F">
            <w:pPr>
              <w:keepLines/>
              <w:spacing w:line="257" w:lineRule="auto"/>
              <w:rPr>
                <w:rFonts w:eastAsiaTheme="minorEastAsia"/>
                <w:sz w:val="22"/>
                <w:szCs w:val="22"/>
              </w:rPr>
            </w:pPr>
            <w:r w:rsidRPr="009A1DFB">
              <w:rPr>
                <w:rFonts w:eastAsiaTheme="minorEastAsia"/>
              </w:rPr>
              <w:t xml:space="preserve">25 degrees ≤ </w:t>
            </w:r>
            <w:r w:rsidRPr="009A1DFB">
              <w:rPr>
                <w:rFonts w:eastAsiaTheme="minorEastAsia"/>
                <w:i/>
                <w:iCs/>
              </w:rPr>
              <w:t>el</w:t>
            </w:r>
            <w:r w:rsidRPr="009A1DFB">
              <w:rPr>
                <w:rFonts w:eastAsiaTheme="minorEastAsia"/>
              </w:rPr>
              <w:t xml:space="preserve"> &lt; </w:t>
            </w:r>
            <w:r w:rsidR="00A47C8F">
              <w:rPr>
                <w:rFonts w:eastAsiaTheme="minorEastAsia"/>
              </w:rPr>
              <w:t>40</w:t>
            </w:r>
            <w:r w:rsidRPr="009A1DFB">
              <w:rPr>
                <w:rFonts w:eastAsiaTheme="minorEastAsia"/>
              </w:rPr>
              <w:t xml:space="preserve"> degrees </w:t>
            </w:r>
          </w:p>
        </w:tc>
        <w:tc>
          <w:tcPr>
            <w:tcW w:w="2067" w:type="pct"/>
            <w:tcBorders>
              <w:top w:val="single" w:sz="4" w:space="0" w:color="auto"/>
              <w:left w:val="single" w:sz="4" w:space="0" w:color="auto"/>
              <w:bottom w:val="single" w:sz="4" w:space="0" w:color="auto"/>
              <w:right w:val="single" w:sz="4" w:space="0" w:color="auto"/>
            </w:tcBorders>
          </w:tcPr>
          <w:p w14:paraId="334C19B7" w14:textId="77777777" w:rsidR="004E2F16" w:rsidRPr="009A1DFB" w:rsidRDefault="004E2F16" w:rsidP="0034116F">
            <w:pPr>
              <w:keepLines/>
              <w:spacing w:line="257" w:lineRule="auto"/>
              <w:jc w:val="center"/>
              <w:rPr>
                <w:rFonts w:eastAsiaTheme="minorEastAsia"/>
                <w:sz w:val="22"/>
                <w:szCs w:val="22"/>
              </w:rPr>
            </w:pPr>
            <m:oMathPara>
              <m:oMath>
                <m:r>
                  <w:rPr>
                    <w:rFonts w:ascii="Cambria Math" w:eastAsiaTheme="minorEastAsia" w:hAnsi="Cambria Math"/>
                  </w:rPr>
                  <m:t>49-0.43</m:t>
                </m:r>
                <m:d>
                  <m:dPr>
                    <m:ctrlPr>
                      <w:rPr>
                        <w:rFonts w:ascii="Cambria Math" w:eastAsiaTheme="minorEastAsia" w:hAnsi="Cambria Math"/>
                        <w:i/>
                        <w:sz w:val="22"/>
                        <w:szCs w:val="22"/>
                      </w:rPr>
                    </m:ctrlPr>
                  </m:dPr>
                  <m:e>
                    <m:r>
                      <w:rPr>
                        <w:rFonts w:ascii="Cambria Math" w:eastAsiaTheme="minorEastAsia" w:hAnsi="Cambria Math"/>
                      </w:rPr>
                      <m:t>el-25</m:t>
                    </m:r>
                  </m:e>
                </m:d>
              </m:oMath>
            </m:oMathPara>
          </w:p>
        </w:tc>
        <w:tc>
          <w:tcPr>
            <w:tcW w:w="1166" w:type="pct"/>
            <w:tcBorders>
              <w:top w:val="single" w:sz="4" w:space="0" w:color="auto"/>
              <w:left w:val="single" w:sz="4" w:space="0" w:color="auto"/>
              <w:bottom w:val="single" w:sz="4" w:space="0" w:color="auto"/>
              <w:right w:val="single" w:sz="4" w:space="0" w:color="auto"/>
            </w:tcBorders>
            <w:vAlign w:val="center"/>
            <w:hideMark/>
          </w:tcPr>
          <w:p w14:paraId="098345AB" w14:textId="77777777" w:rsidR="004E2F16" w:rsidRPr="009A1DFB" w:rsidRDefault="004E2F16" w:rsidP="0034116F">
            <w:pPr>
              <w:keepLines/>
              <w:spacing w:line="257" w:lineRule="auto"/>
              <w:jc w:val="center"/>
              <w:rPr>
                <w:rFonts w:eastAsiaTheme="minorEastAsia"/>
                <w:sz w:val="22"/>
                <w:szCs w:val="22"/>
              </w:rPr>
            </w:pPr>
            <w:r w:rsidRPr="009A1DFB">
              <w:rPr>
                <w:rFonts w:eastAsiaTheme="minorEastAsia"/>
              </w:rPr>
              <w:t>200 MHz</w:t>
            </w:r>
          </w:p>
        </w:tc>
      </w:tr>
      <w:tr w:rsidR="004E2F16" w:rsidRPr="009A1DFB" w14:paraId="4B522FF5" w14:textId="77777777" w:rsidTr="0034116F">
        <w:trPr>
          <w:cantSplit/>
          <w:jc w:val="center"/>
        </w:trPr>
        <w:tc>
          <w:tcPr>
            <w:tcW w:w="1767" w:type="pct"/>
            <w:tcBorders>
              <w:top w:val="single" w:sz="4" w:space="0" w:color="auto"/>
              <w:left w:val="single" w:sz="4" w:space="0" w:color="auto"/>
              <w:bottom w:val="single" w:sz="4" w:space="0" w:color="auto"/>
              <w:right w:val="single" w:sz="4" w:space="0" w:color="auto"/>
            </w:tcBorders>
          </w:tcPr>
          <w:p w14:paraId="07133FDC" w14:textId="079E3FAA" w:rsidR="004E2F16" w:rsidRPr="009A1DFB" w:rsidRDefault="00A47C8F" w:rsidP="0034116F">
            <w:pPr>
              <w:keepLines/>
              <w:spacing w:line="257" w:lineRule="auto"/>
              <w:rPr>
                <w:rFonts w:eastAsiaTheme="minorEastAsia"/>
                <w:sz w:val="22"/>
                <w:szCs w:val="22"/>
              </w:rPr>
            </w:pPr>
            <w:r>
              <w:rPr>
                <w:rFonts w:eastAsiaTheme="minorEastAsia"/>
              </w:rPr>
              <w:t>40</w:t>
            </w:r>
            <w:r w:rsidR="004E2F16" w:rsidRPr="009A1DFB">
              <w:rPr>
                <w:rFonts w:eastAsiaTheme="minorEastAsia"/>
              </w:rPr>
              <w:t xml:space="preserve"> degrees ≤ </w:t>
            </w:r>
            <w:r w:rsidR="004E2F16" w:rsidRPr="009A1DFB">
              <w:rPr>
                <w:rFonts w:eastAsiaTheme="minorEastAsia"/>
                <w:i/>
                <w:iCs/>
              </w:rPr>
              <w:t>el</w:t>
            </w:r>
            <w:r w:rsidR="004E2F16" w:rsidRPr="009A1DFB">
              <w:rPr>
                <w:rFonts w:eastAsiaTheme="minorEastAsia"/>
              </w:rPr>
              <w:t xml:space="preserve"> ≤ 90 degrees</w:t>
            </w:r>
          </w:p>
        </w:tc>
        <w:tc>
          <w:tcPr>
            <w:tcW w:w="2067" w:type="pct"/>
            <w:tcBorders>
              <w:top w:val="single" w:sz="4" w:space="0" w:color="auto"/>
              <w:left w:val="single" w:sz="4" w:space="0" w:color="auto"/>
              <w:bottom w:val="single" w:sz="4" w:space="0" w:color="auto"/>
              <w:right w:val="single" w:sz="4" w:space="0" w:color="auto"/>
            </w:tcBorders>
          </w:tcPr>
          <w:p w14:paraId="0885899B" w14:textId="580B3137" w:rsidR="004E2F16" w:rsidRPr="009A1DFB" w:rsidRDefault="00A47C8F" w:rsidP="0034116F">
            <w:pPr>
              <w:keepLines/>
              <w:spacing w:line="257" w:lineRule="auto"/>
              <w:jc w:val="center"/>
              <w:rPr>
                <w:rFonts w:eastAsiaTheme="minorEastAsia"/>
                <w:sz w:val="22"/>
                <w:szCs w:val="22"/>
              </w:rPr>
            </w:pPr>
            <w:r>
              <w:rPr>
                <w:rFonts w:eastAsiaTheme="minorEastAsia"/>
              </w:rPr>
              <w:t>42.5</w:t>
            </w:r>
          </w:p>
        </w:tc>
        <w:tc>
          <w:tcPr>
            <w:tcW w:w="1166" w:type="pct"/>
            <w:tcBorders>
              <w:top w:val="single" w:sz="4" w:space="0" w:color="auto"/>
              <w:left w:val="single" w:sz="4" w:space="0" w:color="auto"/>
              <w:bottom w:val="single" w:sz="4" w:space="0" w:color="auto"/>
              <w:right w:val="single" w:sz="4" w:space="0" w:color="auto"/>
            </w:tcBorders>
            <w:vAlign w:val="center"/>
          </w:tcPr>
          <w:p w14:paraId="05FCB902" w14:textId="77777777" w:rsidR="004E2F16" w:rsidRPr="009A1DFB" w:rsidRDefault="004E2F16" w:rsidP="0034116F">
            <w:pPr>
              <w:keepLines/>
              <w:spacing w:line="257" w:lineRule="auto"/>
              <w:jc w:val="center"/>
              <w:rPr>
                <w:rFonts w:eastAsiaTheme="minorEastAsia"/>
                <w:sz w:val="22"/>
                <w:szCs w:val="22"/>
              </w:rPr>
            </w:pPr>
            <w:r w:rsidRPr="009A1DFB">
              <w:rPr>
                <w:rFonts w:eastAsiaTheme="minorEastAsia"/>
              </w:rPr>
              <w:t>200 MHz</w:t>
            </w:r>
          </w:p>
        </w:tc>
      </w:tr>
    </w:tbl>
    <w:p w14:paraId="5A4BFA23" w14:textId="6B732B8E" w:rsidR="001A5754" w:rsidRPr="009A1DFB" w:rsidRDefault="002E1335" w:rsidP="003017C3">
      <w:pPr>
        <w:pStyle w:val="subsection"/>
        <w:keepNext/>
        <w:keepLines/>
        <w:widowControl w:val="0"/>
        <w:spacing w:before="120"/>
        <w:rPr>
          <w:i/>
          <w:iCs/>
        </w:rPr>
      </w:pPr>
      <w:r w:rsidRPr="009A1DFB">
        <w:rPr>
          <w:i/>
          <w:iCs/>
        </w:rPr>
        <w:t xml:space="preserve">Operation in the 27 GHz to 27.5 GHz </w:t>
      </w:r>
      <w:r w:rsidR="00B40B9E" w:rsidRPr="009A1DFB">
        <w:rPr>
          <w:i/>
          <w:iCs/>
        </w:rPr>
        <w:t xml:space="preserve">frequency </w:t>
      </w:r>
      <w:r w:rsidRPr="009A1DFB">
        <w:rPr>
          <w:i/>
          <w:iCs/>
        </w:rPr>
        <w:t xml:space="preserve">range </w:t>
      </w:r>
      <w:r w:rsidR="00A47C8F">
        <w:rPr>
          <w:i/>
          <w:iCs/>
        </w:rPr>
        <w:t>in</w:t>
      </w:r>
      <w:r w:rsidRPr="009A1DFB">
        <w:rPr>
          <w:i/>
          <w:iCs/>
        </w:rPr>
        <w:t xml:space="preserve">side </w:t>
      </w:r>
      <w:r w:rsidR="00A47C8F">
        <w:rPr>
          <w:i/>
          <w:iCs/>
        </w:rPr>
        <w:t>outer-</w:t>
      </w:r>
      <w:r w:rsidRPr="009A1DFB">
        <w:rPr>
          <w:i/>
          <w:iCs/>
        </w:rPr>
        <w:t>footprint areas</w:t>
      </w:r>
    </w:p>
    <w:bookmarkEnd w:id="29"/>
    <w:p w14:paraId="5C46E973" w14:textId="4ACC0DF4" w:rsidR="002E1335" w:rsidRPr="009A1DFB" w:rsidRDefault="002E1335" w:rsidP="003017C3">
      <w:pPr>
        <w:pStyle w:val="subsection"/>
        <w:spacing w:before="120"/>
      </w:pPr>
      <w:r w:rsidRPr="009A1DFB">
        <w:tab/>
        <w:t>(</w:t>
      </w:r>
      <w:r w:rsidR="00B9041C">
        <w:t>4</w:t>
      </w:r>
      <w:r w:rsidRPr="009A1DFB">
        <w:t>)</w:t>
      </w:r>
      <w:r w:rsidRPr="009A1DFB">
        <w:tab/>
      </w:r>
      <w:r w:rsidR="00543AB7" w:rsidRPr="009A1DFB">
        <w:t>A radiocommunications transmitter operated under a spectrum licence in the 26 GHz band that is:</w:t>
      </w:r>
    </w:p>
    <w:p w14:paraId="26F9FAA8" w14:textId="68C3E9D8" w:rsidR="001B2FDE" w:rsidRPr="009A1DFB" w:rsidRDefault="00543AB7" w:rsidP="003017C3">
      <w:pPr>
        <w:pStyle w:val="paragraph"/>
        <w:tabs>
          <w:tab w:val="clear" w:pos="1531"/>
        </w:tabs>
        <w:ind w:hanging="510"/>
      </w:pPr>
      <w:r w:rsidRPr="009A1DFB">
        <w:t>(a)</w:t>
      </w:r>
      <w:r w:rsidR="001B2FDE" w:rsidRPr="009A1DFB">
        <w:tab/>
        <w:t>not an indoor transmitter;</w:t>
      </w:r>
    </w:p>
    <w:p w14:paraId="500949B5" w14:textId="2FBCE82B" w:rsidR="001B2FDE" w:rsidRPr="009A1DFB" w:rsidRDefault="001B2FDE" w:rsidP="003017C3">
      <w:pPr>
        <w:pStyle w:val="paragraph"/>
        <w:tabs>
          <w:tab w:val="clear" w:pos="1531"/>
        </w:tabs>
        <w:ind w:hanging="510"/>
      </w:pPr>
      <w:r w:rsidRPr="009A1DFB">
        <w:t>(</w:t>
      </w:r>
      <w:r w:rsidR="00B82E75" w:rsidRPr="009A1DFB">
        <w:t>b</w:t>
      </w:r>
      <w:r w:rsidRPr="009A1DFB">
        <w:t>)</w:t>
      </w:r>
      <w:r w:rsidRPr="009A1DFB">
        <w:tab/>
        <w:t>operating in the frequency range 27 GHz</w:t>
      </w:r>
      <w:r w:rsidR="00345721" w:rsidRPr="009A1DFB">
        <w:rPr>
          <w:rFonts w:eastAsiaTheme="minorHAnsi"/>
        </w:rPr>
        <w:t>–</w:t>
      </w:r>
      <w:r w:rsidRPr="009A1DFB">
        <w:t>27.5 GHz;</w:t>
      </w:r>
    </w:p>
    <w:p w14:paraId="7214E999" w14:textId="77D4CE64" w:rsidR="00AF5CAD" w:rsidRPr="009A1DFB" w:rsidRDefault="00AF5CAD" w:rsidP="003017C3">
      <w:pPr>
        <w:pStyle w:val="paragraph"/>
        <w:tabs>
          <w:tab w:val="clear" w:pos="1531"/>
        </w:tabs>
        <w:ind w:hanging="510"/>
      </w:pPr>
      <w:r w:rsidRPr="009A1DFB">
        <w:t>(</w:t>
      </w:r>
      <w:r w:rsidR="00B82E75" w:rsidRPr="009A1DFB">
        <w:t>c</w:t>
      </w:r>
      <w:r w:rsidRPr="009A1DFB">
        <w:t>)</w:t>
      </w:r>
      <w:r w:rsidRPr="009A1DFB">
        <w:tab/>
        <w:t xml:space="preserve">located </w:t>
      </w:r>
      <w:r w:rsidR="00A47C8F">
        <w:t>in</w:t>
      </w:r>
      <w:r w:rsidRPr="009A1DFB">
        <w:t>side a</w:t>
      </w:r>
      <w:r w:rsidR="00A47C8F">
        <w:t>n outer-</w:t>
      </w:r>
      <w:r w:rsidRPr="009A1DFB">
        <w:t>footprint area; and</w:t>
      </w:r>
    </w:p>
    <w:p w14:paraId="3BD723D4" w14:textId="6A431F92" w:rsidR="00AF5CAD" w:rsidRPr="009A1DFB" w:rsidRDefault="00AF5CAD" w:rsidP="003017C3">
      <w:pPr>
        <w:pStyle w:val="paragraph"/>
        <w:tabs>
          <w:tab w:val="clear" w:pos="1531"/>
        </w:tabs>
        <w:ind w:hanging="510"/>
      </w:pPr>
      <w:r w:rsidRPr="009A1DFB">
        <w:t>(</w:t>
      </w:r>
      <w:r w:rsidR="00B82E75" w:rsidRPr="009A1DFB">
        <w:t>d</w:t>
      </w:r>
      <w:r w:rsidRPr="009A1DFB">
        <w:t>)</w:t>
      </w:r>
      <w:r w:rsidRPr="009A1DFB">
        <w:tab/>
        <w:t>operating with a total radiated power greater than 37 dBm/200 MHz</w:t>
      </w:r>
      <w:r w:rsidR="00121BC1" w:rsidRPr="009A1DFB">
        <w:t>;</w:t>
      </w:r>
    </w:p>
    <w:p w14:paraId="3F145441" w14:textId="36E174C9" w:rsidR="00121BC1" w:rsidRPr="009A1DFB" w:rsidRDefault="00121BC1" w:rsidP="0032059B">
      <w:pPr>
        <w:pStyle w:val="subsection"/>
        <w:spacing w:before="60"/>
      </w:pPr>
      <w:r w:rsidRPr="009A1DFB">
        <w:tab/>
      </w:r>
      <w:r w:rsidRPr="009A1DFB">
        <w:tab/>
        <w:t>must not:</w:t>
      </w:r>
    </w:p>
    <w:p w14:paraId="024A258E" w14:textId="2CD8D00B" w:rsidR="00121BC1" w:rsidRPr="009A1DFB" w:rsidRDefault="00256A6D" w:rsidP="003017C3">
      <w:pPr>
        <w:pStyle w:val="paragraph"/>
        <w:tabs>
          <w:tab w:val="clear" w:pos="1531"/>
        </w:tabs>
        <w:ind w:hanging="510"/>
      </w:pPr>
      <w:r w:rsidRPr="009A1DFB">
        <w:t>(</w:t>
      </w:r>
      <w:r w:rsidR="00B82E75" w:rsidRPr="009A1DFB">
        <w:t>e</w:t>
      </w:r>
      <w:r w:rsidRPr="009A1DFB">
        <w:t>)</w:t>
      </w:r>
      <w:r w:rsidRPr="009A1DFB">
        <w:tab/>
        <w:t>be connected to an antenna which has its highest gain directed above the horizontal plane when the antenna is not being electric</w:t>
      </w:r>
      <w:r w:rsidR="002D26BE" w:rsidRPr="009A1DFB">
        <w:t>ally steered;</w:t>
      </w:r>
    </w:p>
    <w:p w14:paraId="1972576B" w14:textId="05B0CC8D" w:rsidR="002D26BE" w:rsidRPr="009A1DFB" w:rsidRDefault="002D26BE" w:rsidP="003017C3">
      <w:pPr>
        <w:pStyle w:val="paragraph"/>
        <w:tabs>
          <w:tab w:val="clear" w:pos="1531"/>
        </w:tabs>
        <w:ind w:hanging="510"/>
      </w:pPr>
      <w:r w:rsidRPr="009A1DFB">
        <w:t>(</w:t>
      </w:r>
      <w:r w:rsidR="00B82E75" w:rsidRPr="009A1DFB">
        <w:t>f</w:t>
      </w:r>
      <w:r w:rsidRPr="009A1DFB">
        <w:t>)</w:t>
      </w:r>
      <w:r w:rsidRPr="009A1DFB">
        <w:tab/>
      </w:r>
      <w:r w:rsidR="00F30317" w:rsidRPr="009A1DFB">
        <w:t>direct its antenna beam via electrical steering to an elevat</w:t>
      </w:r>
      <w:r w:rsidR="005A4B1E" w:rsidRPr="009A1DFB">
        <w:t>ion</w:t>
      </w:r>
      <w:r w:rsidR="00F30317" w:rsidRPr="009A1DFB">
        <w:t xml:space="preserve"> angle above the horizontal plane; or</w:t>
      </w:r>
    </w:p>
    <w:p w14:paraId="3C8F4282" w14:textId="553BCB00" w:rsidR="00F30317" w:rsidRPr="009A1DFB" w:rsidRDefault="00F30317" w:rsidP="003017C3">
      <w:pPr>
        <w:pStyle w:val="paragraph"/>
        <w:tabs>
          <w:tab w:val="clear" w:pos="1531"/>
        </w:tabs>
        <w:ind w:hanging="510"/>
      </w:pPr>
      <w:r w:rsidRPr="009A1DFB">
        <w:lastRenderedPageBreak/>
        <w:t>(</w:t>
      </w:r>
      <w:r w:rsidR="00B82E75" w:rsidRPr="009A1DFB">
        <w:t>g</w:t>
      </w:r>
      <w:r w:rsidRPr="009A1DFB">
        <w:t>)</w:t>
      </w:r>
      <w:r w:rsidRPr="009A1DFB">
        <w:tab/>
      </w:r>
      <w:r w:rsidR="00FC6234" w:rsidRPr="009A1DFB">
        <w:t>operate with a radiated maximum true mean power</w:t>
      </w:r>
      <w:r w:rsidR="00B82E75" w:rsidRPr="009A1DFB">
        <w:t xml:space="preserve"> measured over the specified bandwidth</w:t>
      </w:r>
      <w:r w:rsidR="00A47C8F">
        <w:t xml:space="preserve"> and in the direction of the geostationary orbit</w:t>
      </w:r>
      <w:r w:rsidR="00B82E75" w:rsidRPr="009A1DFB">
        <w:t>,</w:t>
      </w:r>
      <w:r w:rsidR="00FC6234" w:rsidRPr="009A1DFB">
        <w:t xml:space="preserve"> exceeding the limits </w:t>
      </w:r>
      <w:r w:rsidR="00EE4C6D" w:rsidRPr="009A1DFB">
        <w:t xml:space="preserve">set out in Table </w:t>
      </w:r>
      <w:r w:rsidR="00A47C8F">
        <w:t>3</w:t>
      </w:r>
      <w:r w:rsidR="00C67BD0" w:rsidRPr="009A1DFB">
        <w:t>;</w:t>
      </w:r>
    </w:p>
    <w:p w14:paraId="4C056A01" w14:textId="3CC44BA2" w:rsidR="00EE4C6D" w:rsidRPr="009A1DFB" w:rsidRDefault="00EE4C6D" w:rsidP="0032059B">
      <w:pPr>
        <w:pStyle w:val="subsection"/>
        <w:spacing w:before="60"/>
      </w:pPr>
      <w:r w:rsidRPr="009A1DFB">
        <w:tab/>
      </w:r>
      <w:r w:rsidR="00540A60" w:rsidRPr="009A1DFB">
        <w:tab/>
        <w:t>w</w:t>
      </w:r>
      <w:r w:rsidRPr="009A1DFB">
        <w:t>here</w:t>
      </w:r>
      <w:r w:rsidR="00540A60" w:rsidRPr="009A1DFB">
        <w:t>:</w:t>
      </w:r>
    </w:p>
    <w:p w14:paraId="66B01820" w14:textId="122AFF60" w:rsidR="00F30317" w:rsidRPr="009A1DFB" w:rsidRDefault="00841F7A" w:rsidP="0032059B">
      <w:pPr>
        <w:pStyle w:val="subsection"/>
        <w:spacing w:before="60"/>
      </w:pPr>
      <w:r w:rsidRPr="009A1DFB">
        <w:tab/>
      </w:r>
      <w:r w:rsidRPr="009A1DFB">
        <w:tab/>
      </w:r>
      <w:r w:rsidRPr="009A1DFB">
        <w:rPr>
          <w:b/>
          <w:bCs/>
          <w:i/>
          <w:iCs/>
        </w:rPr>
        <w:t xml:space="preserve">el </w:t>
      </w:r>
      <w:r w:rsidRPr="009A1DFB">
        <w:t xml:space="preserve">is the angle above the horizontal plane at which the radiated maximum true mean power limit in Table </w:t>
      </w:r>
      <w:r w:rsidR="00A47C8F">
        <w:t>3</w:t>
      </w:r>
      <w:r w:rsidRPr="009A1DFB">
        <w:t xml:space="preserve"> applies</w:t>
      </w:r>
      <w:r w:rsidR="00C67BD0" w:rsidRPr="009A1DFB">
        <w:t>.</w:t>
      </w:r>
    </w:p>
    <w:p w14:paraId="2CC22CF9" w14:textId="7A8B8D87" w:rsidR="00302C6D" w:rsidRPr="009A1DFB" w:rsidRDefault="00302C6D" w:rsidP="00F16504">
      <w:pPr>
        <w:pStyle w:val="subsection"/>
        <w:tabs>
          <w:tab w:val="clear" w:pos="1021"/>
        </w:tabs>
        <w:spacing w:before="120" w:after="120"/>
        <w:ind w:left="0" w:firstLine="0"/>
        <w:rPr>
          <w:b/>
          <w:bCs/>
        </w:rPr>
      </w:pPr>
      <w:r w:rsidRPr="009A1DFB">
        <w:rPr>
          <w:b/>
          <w:bCs/>
        </w:rPr>
        <w:t xml:space="preserve">Table </w:t>
      </w:r>
      <w:r w:rsidR="00A47C8F">
        <w:rPr>
          <w:b/>
          <w:bCs/>
        </w:rPr>
        <w:t>3</w:t>
      </w:r>
      <w:r w:rsidRPr="009A1DFB">
        <w:rPr>
          <w:b/>
          <w:bCs/>
        </w:rPr>
        <w:t xml:space="preserve">: Radiated maximum true mean power </w:t>
      </w:r>
      <w:r w:rsidR="00427CE5">
        <w:rPr>
          <w:b/>
          <w:bCs/>
        </w:rPr>
        <w:t xml:space="preserve">towards the geostationary orbit, </w:t>
      </w:r>
      <w:r w:rsidRPr="009A1DFB">
        <w:rPr>
          <w:b/>
          <w:bCs/>
        </w:rPr>
        <w:t>for specified elevation angles above the horizontal plane</w:t>
      </w:r>
      <w:r w:rsidR="00262A1D" w:rsidRPr="009A1DFB">
        <w:rPr>
          <w:b/>
          <w:bCs/>
        </w:rPr>
        <w:t xml:space="preserve"> – 27 GHz to 27.5 GHz, </w:t>
      </w:r>
      <w:r w:rsidR="00A47C8F">
        <w:rPr>
          <w:b/>
          <w:bCs/>
        </w:rPr>
        <w:t>in</w:t>
      </w:r>
      <w:r w:rsidR="00262A1D" w:rsidRPr="009A1DFB">
        <w:rPr>
          <w:b/>
          <w:bCs/>
        </w:rPr>
        <w:t>side a</w:t>
      </w:r>
      <w:r w:rsidR="00A47C8F">
        <w:rPr>
          <w:b/>
          <w:bCs/>
        </w:rPr>
        <w:t>n outer-</w:t>
      </w:r>
      <w:r w:rsidR="00262A1D" w:rsidRPr="009A1DFB">
        <w:rPr>
          <w:b/>
          <w:bCs/>
        </w:rPr>
        <w:t>footprint area</w:t>
      </w:r>
    </w:p>
    <w:tbl>
      <w:tblPr>
        <w:tblStyle w:val="TableGrid"/>
        <w:tblW w:w="5000" w:type="pct"/>
        <w:jc w:val="center"/>
        <w:tblLook w:val="04A0" w:firstRow="1" w:lastRow="0" w:firstColumn="1" w:lastColumn="0" w:noHBand="0" w:noVBand="1"/>
      </w:tblPr>
      <w:tblGrid>
        <w:gridCol w:w="3186"/>
        <w:gridCol w:w="3727"/>
        <w:gridCol w:w="2103"/>
      </w:tblGrid>
      <w:tr w:rsidR="00B40B9E" w:rsidRPr="009A1DFB" w14:paraId="5EEDBA84" w14:textId="77777777" w:rsidTr="00F623A3">
        <w:trPr>
          <w:cantSplit/>
          <w:jc w:val="center"/>
        </w:trPr>
        <w:tc>
          <w:tcPr>
            <w:tcW w:w="1767" w:type="pct"/>
            <w:tcBorders>
              <w:top w:val="single" w:sz="4" w:space="0" w:color="auto"/>
              <w:left w:val="single" w:sz="4" w:space="0" w:color="auto"/>
              <w:bottom w:val="single" w:sz="4" w:space="0" w:color="auto"/>
              <w:right w:val="single" w:sz="4" w:space="0" w:color="auto"/>
            </w:tcBorders>
            <w:hideMark/>
          </w:tcPr>
          <w:p w14:paraId="47F22D8A" w14:textId="77777777" w:rsidR="00B40B9E" w:rsidRPr="009A1DFB" w:rsidRDefault="00B40B9E" w:rsidP="00F623A3">
            <w:pPr>
              <w:keepNext/>
              <w:keepLines/>
              <w:jc w:val="center"/>
              <w:rPr>
                <w:rFonts w:eastAsiaTheme="minorEastAsia"/>
                <w:b/>
              </w:rPr>
            </w:pPr>
            <w:r w:rsidRPr="009A1DFB">
              <w:rPr>
                <w:rFonts w:eastAsiaTheme="minorEastAsia"/>
                <w:b/>
              </w:rPr>
              <w:t>Elevation angle above the horizontal plane</w:t>
            </w:r>
          </w:p>
          <w:p w14:paraId="30C9DE93" w14:textId="77777777" w:rsidR="00B40B9E" w:rsidRPr="009A1DFB" w:rsidRDefault="00B40B9E" w:rsidP="00F623A3">
            <w:pPr>
              <w:keepNext/>
              <w:keepLines/>
              <w:jc w:val="center"/>
              <w:rPr>
                <w:rFonts w:eastAsiaTheme="minorEastAsia"/>
                <w:b/>
              </w:rPr>
            </w:pPr>
            <w:r w:rsidRPr="009A1DFB">
              <w:rPr>
                <w:rFonts w:eastAsiaTheme="minorEastAsia"/>
                <w:b/>
              </w:rPr>
              <w:t>(el)</w:t>
            </w:r>
          </w:p>
        </w:tc>
        <w:tc>
          <w:tcPr>
            <w:tcW w:w="2067" w:type="pct"/>
            <w:tcBorders>
              <w:top w:val="single" w:sz="4" w:space="0" w:color="auto"/>
              <w:left w:val="single" w:sz="4" w:space="0" w:color="auto"/>
              <w:bottom w:val="single" w:sz="4" w:space="0" w:color="auto"/>
              <w:right w:val="single" w:sz="4" w:space="0" w:color="auto"/>
            </w:tcBorders>
            <w:hideMark/>
          </w:tcPr>
          <w:p w14:paraId="4B6C8644" w14:textId="77777777" w:rsidR="00B40B9E" w:rsidRPr="009A1DFB" w:rsidRDefault="00B40B9E" w:rsidP="00F623A3">
            <w:pPr>
              <w:keepNext/>
              <w:keepLines/>
              <w:jc w:val="center"/>
              <w:rPr>
                <w:b/>
              </w:rPr>
            </w:pPr>
            <w:r w:rsidRPr="009A1DFB">
              <w:rPr>
                <w:b/>
              </w:rPr>
              <w:t>Radiated maximum true mean power</w:t>
            </w:r>
          </w:p>
          <w:p w14:paraId="1D67C8E1" w14:textId="77777777" w:rsidR="00B40B9E" w:rsidRPr="009A1DFB" w:rsidRDefault="00B40B9E" w:rsidP="00F623A3">
            <w:pPr>
              <w:keepNext/>
              <w:keepLines/>
              <w:jc w:val="center"/>
              <w:rPr>
                <w:rFonts w:eastAsiaTheme="minorEastAsia"/>
                <w:b/>
              </w:rPr>
            </w:pPr>
            <w:r w:rsidRPr="009A1DFB">
              <w:rPr>
                <w:rFonts w:eastAsiaTheme="minorEastAsia"/>
                <w:b/>
              </w:rPr>
              <w:t>(dBm EIRP)</w:t>
            </w:r>
          </w:p>
        </w:tc>
        <w:tc>
          <w:tcPr>
            <w:tcW w:w="1166" w:type="pct"/>
            <w:tcBorders>
              <w:top w:val="single" w:sz="4" w:space="0" w:color="auto"/>
              <w:left w:val="single" w:sz="4" w:space="0" w:color="auto"/>
              <w:bottom w:val="single" w:sz="4" w:space="0" w:color="auto"/>
              <w:right w:val="single" w:sz="4" w:space="0" w:color="auto"/>
            </w:tcBorders>
            <w:hideMark/>
          </w:tcPr>
          <w:p w14:paraId="319221FA" w14:textId="77777777" w:rsidR="00B40B9E" w:rsidRPr="009A1DFB" w:rsidRDefault="00B40B9E" w:rsidP="00F623A3">
            <w:pPr>
              <w:keepNext/>
              <w:keepLines/>
              <w:jc w:val="center"/>
              <w:rPr>
                <w:rFonts w:eastAsiaTheme="minorEastAsia"/>
                <w:b/>
              </w:rPr>
            </w:pPr>
            <w:r w:rsidRPr="009A1DFB">
              <w:rPr>
                <w:rFonts w:eastAsiaTheme="minorEastAsia"/>
                <w:b/>
              </w:rPr>
              <w:t>Specified</w:t>
            </w:r>
          </w:p>
          <w:p w14:paraId="4E2E3D2D" w14:textId="77777777" w:rsidR="00B40B9E" w:rsidRPr="009A1DFB" w:rsidRDefault="00B40B9E" w:rsidP="00F623A3">
            <w:pPr>
              <w:keepNext/>
              <w:keepLines/>
              <w:jc w:val="center"/>
              <w:rPr>
                <w:rFonts w:eastAsiaTheme="minorEastAsia"/>
                <w:b/>
              </w:rPr>
            </w:pPr>
            <w:r w:rsidRPr="009A1DFB">
              <w:rPr>
                <w:rFonts w:eastAsiaTheme="minorEastAsia"/>
                <w:b/>
              </w:rPr>
              <w:t>Bandwidth</w:t>
            </w:r>
          </w:p>
        </w:tc>
      </w:tr>
      <w:tr w:rsidR="00B40B9E" w:rsidRPr="009A1DFB" w14:paraId="393E770C" w14:textId="77777777" w:rsidTr="00F623A3">
        <w:trPr>
          <w:cantSplit/>
          <w:jc w:val="center"/>
        </w:trPr>
        <w:tc>
          <w:tcPr>
            <w:tcW w:w="1767" w:type="pct"/>
            <w:tcBorders>
              <w:top w:val="single" w:sz="4" w:space="0" w:color="auto"/>
              <w:left w:val="single" w:sz="4" w:space="0" w:color="auto"/>
              <w:bottom w:val="single" w:sz="4" w:space="0" w:color="auto"/>
              <w:right w:val="single" w:sz="4" w:space="0" w:color="auto"/>
            </w:tcBorders>
            <w:hideMark/>
          </w:tcPr>
          <w:p w14:paraId="61194B9E" w14:textId="77777777" w:rsidR="00B40B9E" w:rsidRPr="009A1DFB" w:rsidRDefault="00B40B9E" w:rsidP="00F623A3">
            <w:pPr>
              <w:keepNext/>
              <w:keepLines/>
              <w:rPr>
                <w:rFonts w:eastAsiaTheme="minorEastAsia"/>
              </w:rPr>
            </w:pPr>
            <w:r w:rsidRPr="009A1DFB">
              <w:rPr>
                <w:rFonts w:eastAsiaTheme="minorEastAsia"/>
              </w:rPr>
              <w:t xml:space="preserve">15 degrees ≤ </w:t>
            </w:r>
            <w:r w:rsidRPr="009A1DFB">
              <w:rPr>
                <w:rFonts w:eastAsiaTheme="minorEastAsia"/>
                <w:i/>
                <w:iCs/>
              </w:rPr>
              <w:t>el</w:t>
            </w:r>
            <w:r w:rsidRPr="009A1DFB">
              <w:rPr>
                <w:rFonts w:eastAsiaTheme="minorEastAsia"/>
              </w:rPr>
              <w:t xml:space="preserve"> &lt; 25 degrees </w:t>
            </w:r>
          </w:p>
        </w:tc>
        <w:tc>
          <w:tcPr>
            <w:tcW w:w="2067" w:type="pct"/>
            <w:tcBorders>
              <w:top w:val="single" w:sz="4" w:space="0" w:color="auto"/>
              <w:left w:val="single" w:sz="4" w:space="0" w:color="auto"/>
              <w:bottom w:val="single" w:sz="4" w:space="0" w:color="auto"/>
              <w:right w:val="single" w:sz="4" w:space="0" w:color="auto"/>
            </w:tcBorders>
          </w:tcPr>
          <w:p w14:paraId="2276DB4B" w14:textId="1D31A0C4" w:rsidR="00B40B9E" w:rsidRPr="009A1DFB" w:rsidRDefault="00A47C8F" w:rsidP="00F623A3">
            <w:pPr>
              <w:keepNext/>
              <w:keepLines/>
              <w:jc w:val="center"/>
              <w:rPr>
                <w:rFonts w:eastAsiaTheme="minorEastAsia"/>
              </w:rPr>
            </w:pPr>
            <w:r>
              <w:rPr>
                <w:rFonts w:eastAsiaTheme="minorEastAsia"/>
              </w:rPr>
              <w:t>39</w:t>
            </w:r>
          </w:p>
        </w:tc>
        <w:tc>
          <w:tcPr>
            <w:tcW w:w="1166" w:type="pct"/>
            <w:tcBorders>
              <w:top w:val="single" w:sz="4" w:space="0" w:color="auto"/>
              <w:left w:val="single" w:sz="4" w:space="0" w:color="auto"/>
              <w:bottom w:val="single" w:sz="4" w:space="0" w:color="auto"/>
              <w:right w:val="single" w:sz="4" w:space="0" w:color="auto"/>
            </w:tcBorders>
            <w:vAlign w:val="center"/>
            <w:hideMark/>
          </w:tcPr>
          <w:p w14:paraId="44C79F7E" w14:textId="77777777" w:rsidR="00B40B9E" w:rsidRPr="009A1DFB" w:rsidRDefault="00B40B9E" w:rsidP="00F623A3">
            <w:pPr>
              <w:keepNext/>
              <w:keepLines/>
              <w:jc w:val="center"/>
              <w:rPr>
                <w:rFonts w:eastAsiaTheme="minorEastAsia"/>
              </w:rPr>
            </w:pPr>
            <w:r w:rsidRPr="009A1DFB">
              <w:rPr>
                <w:rFonts w:eastAsiaTheme="minorEastAsia"/>
              </w:rPr>
              <w:t>200 MHz</w:t>
            </w:r>
          </w:p>
        </w:tc>
      </w:tr>
      <w:tr w:rsidR="00B40B9E" w:rsidRPr="009A1DFB" w14:paraId="3DF5DFAE" w14:textId="77777777" w:rsidTr="00F623A3">
        <w:trPr>
          <w:cantSplit/>
          <w:jc w:val="center"/>
        </w:trPr>
        <w:tc>
          <w:tcPr>
            <w:tcW w:w="1767" w:type="pct"/>
            <w:tcBorders>
              <w:top w:val="single" w:sz="4" w:space="0" w:color="auto"/>
              <w:left w:val="single" w:sz="4" w:space="0" w:color="auto"/>
              <w:bottom w:val="single" w:sz="4" w:space="0" w:color="auto"/>
              <w:right w:val="single" w:sz="4" w:space="0" w:color="auto"/>
            </w:tcBorders>
            <w:hideMark/>
          </w:tcPr>
          <w:p w14:paraId="2C69CBC5" w14:textId="6597BCF7" w:rsidR="00B40B9E" w:rsidRPr="009A1DFB" w:rsidRDefault="00B40B9E" w:rsidP="00F623A3">
            <w:pPr>
              <w:keepNext/>
              <w:keepLines/>
              <w:rPr>
                <w:rFonts w:eastAsiaTheme="minorEastAsia"/>
              </w:rPr>
            </w:pPr>
            <w:r w:rsidRPr="009A1DFB">
              <w:rPr>
                <w:rFonts w:eastAsiaTheme="minorEastAsia"/>
              </w:rPr>
              <w:t xml:space="preserve">25 degrees ≤ </w:t>
            </w:r>
            <w:r w:rsidRPr="009A1DFB">
              <w:rPr>
                <w:rFonts w:eastAsiaTheme="minorEastAsia"/>
                <w:i/>
                <w:iCs/>
              </w:rPr>
              <w:t>el</w:t>
            </w:r>
            <w:r w:rsidRPr="009A1DFB">
              <w:rPr>
                <w:rFonts w:eastAsiaTheme="minorEastAsia"/>
              </w:rPr>
              <w:t xml:space="preserve"> &lt; </w:t>
            </w:r>
            <w:r w:rsidR="00A47C8F">
              <w:rPr>
                <w:rFonts w:eastAsiaTheme="minorEastAsia"/>
              </w:rPr>
              <w:t>40</w:t>
            </w:r>
            <w:r w:rsidRPr="009A1DFB">
              <w:rPr>
                <w:rFonts w:eastAsiaTheme="minorEastAsia"/>
              </w:rPr>
              <w:t xml:space="preserve"> degrees </w:t>
            </w:r>
          </w:p>
        </w:tc>
        <w:tc>
          <w:tcPr>
            <w:tcW w:w="2067" w:type="pct"/>
            <w:tcBorders>
              <w:top w:val="single" w:sz="4" w:space="0" w:color="auto"/>
              <w:left w:val="single" w:sz="4" w:space="0" w:color="auto"/>
              <w:bottom w:val="single" w:sz="4" w:space="0" w:color="auto"/>
              <w:right w:val="single" w:sz="4" w:space="0" w:color="auto"/>
            </w:tcBorders>
          </w:tcPr>
          <w:p w14:paraId="71BB182F" w14:textId="2DB95890" w:rsidR="00B40B9E" w:rsidRPr="009A1DFB" w:rsidRDefault="00A47C8F" w:rsidP="00F623A3">
            <w:pPr>
              <w:keepNext/>
              <w:keepLines/>
              <w:jc w:val="center"/>
              <w:rPr>
                <w:rFonts w:eastAsiaTheme="minorEastAsia"/>
              </w:rPr>
            </w:pPr>
            <m:oMathPara>
              <m:oMath>
                <m:r>
                  <w:rPr>
                    <w:rFonts w:ascii="Cambria Math" w:eastAsiaTheme="minorEastAsia" w:hAnsi="Cambria Math"/>
                  </w:rPr>
                  <m:t>39-0.43</m:t>
                </m:r>
                <m:d>
                  <m:dPr>
                    <m:ctrlPr>
                      <w:rPr>
                        <w:rFonts w:ascii="Cambria Math" w:eastAsiaTheme="minorEastAsia" w:hAnsi="Cambria Math"/>
                        <w:i/>
                      </w:rPr>
                    </m:ctrlPr>
                  </m:dPr>
                  <m:e>
                    <m:r>
                      <w:rPr>
                        <w:rFonts w:ascii="Cambria Math" w:eastAsiaTheme="minorEastAsia" w:hAnsi="Cambria Math"/>
                      </w:rPr>
                      <m:t>el-25</m:t>
                    </m:r>
                  </m:e>
                </m:d>
              </m:oMath>
            </m:oMathPara>
          </w:p>
        </w:tc>
        <w:tc>
          <w:tcPr>
            <w:tcW w:w="1166" w:type="pct"/>
            <w:tcBorders>
              <w:top w:val="single" w:sz="4" w:space="0" w:color="auto"/>
              <w:left w:val="single" w:sz="4" w:space="0" w:color="auto"/>
              <w:bottom w:val="single" w:sz="4" w:space="0" w:color="auto"/>
              <w:right w:val="single" w:sz="4" w:space="0" w:color="auto"/>
            </w:tcBorders>
            <w:vAlign w:val="center"/>
            <w:hideMark/>
          </w:tcPr>
          <w:p w14:paraId="319BB830" w14:textId="77777777" w:rsidR="00B40B9E" w:rsidRPr="009A1DFB" w:rsidRDefault="00B40B9E" w:rsidP="00F623A3">
            <w:pPr>
              <w:keepNext/>
              <w:keepLines/>
              <w:jc w:val="center"/>
              <w:rPr>
                <w:rFonts w:eastAsiaTheme="minorEastAsia"/>
              </w:rPr>
            </w:pPr>
            <w:r w:rsidRPr="009A1DFB">
              <w:rPr>
                <w:rFonts w:eastAsiaTheme="minorEastAsia"/>
              </w:rPr>
              <w:t>200 MHz</w:t>
            </w:r>
          </w:p>
        </w:tc>
      </w:tr>
      <w:tr w:rsidR="00B40B9E" w:rsidRPr="009A1DFB" w14:paraId="1ABC0AF4" w14:textId="77777777" w:rsidTr="00F623A3">
        <w:trPr>
          <w:cantSplit/>
          <w:jc w:val="center"/>
        </w:trPr>
        <w:tc>
          <w:tcPr>
            <w:tcW w:w="1767" w:type="pct"/>
            <w:tcBorders>
              <w:top w:val="single" w:sz="4" w:space="0" w:color="auto"/>
              <w:left w:val="single" w:sz="4" w:space="0" w:color="auto"/>
              <w:bottom w:val="single" w:sz="4" w:space="0" w:color="auto"/>
              <w:right w:val="single" w:sz="4" w:space="0" w:color="auto"/>
            </w:tcBorders>
          </w:tcPr>
          <w:p w14:paraId="1C92F2AD" w14:textId="635AC829" w:rsidR="00B40B9E" w:rsidRPr="009A1DFB" w:rsidRDefault="00A47C8F" w:rsidP="00F623A3">
            <w:pPr>
              <w:keepNext/>
              <w:keepLines/>
              <w:rPr>
                <w:rFonts w:eastAsiaTheme="minorEastAsia"/>
              </w:rPr>
            </w:pPr>
            <w:r>
              <w:rPr>
                <w:rFonts w:eastAsiaTheme="minorEastAsia"/>
              </w:rPr>
              <w:t>40</w:t>
            </w:r>
            <w:r w:rsidR="00B40B9E" w:rsidRPr="009A1DFB">
              <w:rPr>
                <w:rFonts w:eastAsiaTheme="minorEastAsia"/>
              </w:rPr>
              <w:t xml:space="preserve"> degrees ≤ </w:t>
            </w:r>
            <w:r w:rsidR="00B40B9E" w:rsidRPr="009A1DFB">
              <w:rPr>
                <w:rFonts w:eastAsiaTheme="minorEastAsia"/>
                <w:i/>
                <w:iCs/>
              </w:rPr>
              <w:t xml:space="preserve">el </w:t>
            </w:r>
            <w:r w:rsidR="00B40B9E" w:rsidRPr="009A1DFB">
              <w:rPr>
                <w:rFonts w:eastAsiaTheme="minorEastAsia"/>
              </w:rPr>
              <w:t>≤ 90 degrees</w:t>
            </w:r>
          </w:p>
        </w:tc>
        <w:tc>
          <w:tcPr>
            <w:tcW w:w="2067" w:type="pct"/>
            <w:tcBorders>
              <w:top w:val="single" w:sz="4" w:space="0" w:color="auto"/>
              <w:left w:val="single" w:sz="4" w:space="0" w:color="auto"/>
              <w:bottom w:val="single" w:sz="4" w:space="0" w:color="auto"/>
              <w:right w:val="single" w:sz="4" w:space="0" w:color="auto"/>
            </w:tcBorders>
          </w:tcPr>
          <w:p w14:paraId="4C748FDE" w14:textId="7DB5CCAB" w:rsidR="00B40B9E" w:rsidRPr="009A1DFB" w:rsidRDefault="00B82E75" w:rsidP="00F623A3">
            <w:pPr>
              <w:keepNext/>
              <w:keepLines/>
              <w:jc w:val="center"/>
              <w:rPr>
                <w:rFonts w:eastAsiaTheme="minorEastAsia"/>
              </w:rPr>
            </w:pPr>
            <w:r w:rsidRPr="009A1DFB">
              <w:rPr>
                <w:rFonts w:eastAsiaTheme="minorEastAsia"/>
              </w:rPr>
              <w:t>3</w:t>
            </w:r>
            <w:r w:rsidR="00A47C8F">
              <w:rPr>
                <w:rFonts w:eastAsiaTheme="minorEastAsia"/>
              </w:rPr>
              <w:t>2.5</w:t>
            </w:r>
          </w:p>
        </w:tc>
        <w:tc>
          <w:tcPr>
            <w:tcW w:w="1166" w:type="pct"/>
            <w:tcBorders>
              <w:top w:val="single" w:sz="4" w:space="0" w:color="auto"/>
              <w:left w:val="single" w:sz="4" w:space="0" w:color="auto"/>
              <w:bottom w:val="single" w:sz="4" w:space="0" w:color="auto"/>
              <w:right w:val="single" w:sz="4" w:space="0" w:color="auto"/>
            </w:tcBorders>
            <w:vAlign w:val="center"/>
          </w:tcPr>
          <w:p w14:paraId="2EC01A41" w14:textId="77777777" w:rsidR="00B40B9E" w:rsidRPr="009A1DFB" w:rsidRDefault="00B40B9E" w:rsidP="00F623A3">
            <w:pPr>
              <w:keepNext/>
              <w:keepLines/>
              <w:jc w:val="center"/>
              <w:rPr>
                <w:rFonts w:eastAsiaTheme="minorEastAsia"/>
              </w:rPr>
            </w:pPr>
            <w:r w:rsidRPr="009A1DFB">
              <w:rPr>
                <w:rFonts w:eastAsiaTheme="minorEastAsia"/>
              </w:rPr>
              <w:t>200 MHz</w:t>
            </w:r>
          </w:p>
        </w:tc>
      </w:tr>
    </w:tbl>
    <w:p w14:paraId="19D18AA6" w14:textId="5F914E3E" w:rsidR="00B40B9E" w:rsidRPr="009A1DFB" w:rsidRDefault="00B40B9E" w:rsidP="00302C6D">
      <w:pPr>
        <w:pStyle w:val="subsection"/>
        <w:rPr>
          <w:i/>
          <w:iCs/>
        </w:rPr>
      </w:pPr>
      <w:bookmarkStart w:id="30" w:name="_Hlk50127112"/>
      <w:r w:rsidRPr="009A1DFB">
        <w:rPr>
          <w:i/>
          <w:iCs/>
        </w:rPr>
        <w:t xml:space="preserve">Operation in the 27 GHz to 27.5 GHz frequency range inside </w:t>
      </w:r>
      <w:r w:rsidR="00427CE5">
        <w:rPr>
          <w:i/>
          <w:iCs/>
        </w:rPr>
        <w:t>inner-</w:t>
      </w:r>
      <w:r w:rsidRPr="009A1DFB">
        <w:rPr>
          <w:i/>
          <w:iCs/>
        </w:rPr>
        <w:t>footprint areas</w:t>
      </w:r>
      <w:bookmarkEnd w:id="30"/>
    </w:p>
    <w:p w14:paraId="64E3FB31" w14:textId="01D062DF" w:rsidR="00302C6D" w:rsidRPr="009A1DFB" w:rsidRDefault="00B40B9E" w:rsidP="00302C6D">
      <w:pPr>
        <w:pStyle w:val="subsection"/>
      </w:pPr>
      <w:r w:rsidRPr="009A1DFB">
        <w:tab/>
        <w:t>(</w:t>
      </w:r>
      <w:r w:rsidR="00B9041C">
        <w:t>5</w:t>
      </w:r>
      <w:r w:rsidRPr="009A1DFB">
        <w:t>)</w:t>
      </w:r>
      <w:r w:rsidRPr="009A1DFB">
        <w:tab/>
      </w:r>
      <w:r w:rsidR="009B1A00" w:rsidRPr="009A1DFB">
        <w:t>A radiocommunications transmitter operated under a spectrum licence in the 26 GHz band that is:</w:t>
      </w:r>
    </w:p>
    <w:p w14:paraId="3008A77A" w14:textId="02E0A670" w:rsidR="009B1A00" w:rsidRPr="009A1DFB" w:rsidRDefault="009B1A00" w:rsidP="003017C3">
      <w:pPr>
        <w:pStyle w:val="paragraph"/>
        <w:tabs>
          <w:tab w:val="clear" w:pos="1531"/>
        </w:tabs>
        <w:ind w:hanging="510"/>
      </w:pPr>
      <w:r w:rsidRPr="009A1DFB">
        <w:t>(a)</w:t>
      </w:r>
      <w:r w:rsidRPr="009A1DFB">
        <w:tab/>
      </w:r>
      <w:r w:rsidR="00D54D2B" w:rsidRPr="009A1DFB">
        <w:t>not an indoor transmitter;</w:t>
      </w:r>
    </w:p>
    <w:p w14:paraId="23DAEB26" w14:textId="77777777" w:rsidR="006B0AC7" w:rsidRPr="009A1DFB" w:rsidRDefault="006B0AC7" w:rsidP="00F21E1C">
      <w:pPr>
        <w:pStyle w:val="paragraph"/>
        <w:tabs>
          <w:tab w:val="clear" w:pos="1531"/>
        </w:tabs>
        <w:ind w:hanging="510"/>
      </w:pPr>
      <w:r w:rsidRPr="009A1DFB">
        <w:t>(b)</w:t>
      </w:r>
      <w:r w:rsidRPr="009A1DFB">
        <w:tab/>
        <w:t>operating in the frequency range 27 GHz</w:t>
      </w:r>
      <w:r w:rsidRPr="00F21E1C">
        <w:t>–</w:t>
      </w:r>
      <w:r w:rsidRPr="009A1DFB">
        <w:t>27.5 GHz;</w:t>
      </w:r>
    </w:p>
    <w:p w14:paraId="7B6D2F6E" w14:textId="7CA2D407" w:rsidR="00D54D2B" w:rsidRPr="009A1DFB" w:rsidRDefault="00D54D2B" w:rsidP="003017C3">
      <w:pPr>
        <w:pStyle w:val="paragraph"/>
        <w:tabs>
          <w:tab w:val="clear" w:pos="1531"/>
        </w:tabs>
        <w:ind w:hanging="510"/>
      </w:pPr>
      <w:r w:rsidRPr="009A1DFB">
        <w:t>(</w:t>
      </w:r>
      <w:r w:rsidR="006B0AC7" w:rsidRPr="009A1DFB">
        <w:t>c</w:t>
      </w:r>
      <w:r w:rsidRPr="009A1DFB">
        <w:t>)</w:t>
      </w:r>
      <w:r w:rsidRPr="009A1DFB">
        <w:tab/>
        <w:t>located inside a</w:t>
      </w:r>
      <w:r w:rsidR="00427CE5">
        <w:t>n inner-</w:t>
      </w:r>
      <w:r w:rsidRPr="009A1DFB">
        <w:t>footprint area; and</w:t>
      </w:r>
    </w:p>
    <w:p w14:paraId="61DB4753" w14:textId="3E7F269E" w:rsidR="00D54D2B" w:rsidRPr="009A1DFB" w:rsidRDefault="00D54D2B" w:rsidP="003017C3">
      <w:pPr>
        <w:pStyle w:val="paragraph"/>
        <w:tabs>
          <w:tab w:val="clear" w:pos="1531"/>
        </w:tabs>
        <w:ind w:hanging="510"/>
      </w:pPr>
      <w:r w:rsidRPr="009A1DFB">
        <w:t>(</w:t>
      </w:r>
      <w:r w:rsidR="006B0AC7" w:rsidRPr="009A1DFB">
        <w:t>d</w:t>
      </w:r>
      <w:r w:rsidRPr="009A1DFB">
        <w:t>)</w:t>
      </w:r>
      <w:r w:rsidRPr="009A1DFB">
        <w:tab/>
        <w:t xml:space="preserve">operating with a </w:t>
      </w:r>
      <w:r w:rsidR="001F43E6" w:rsidRPr="009A1DFB">
        <w:t xml:space="preserve">total radiated power </w:t>
      </w:r>
      <w:r w:rsidR="002E1D74" w:rsidRPr="009A1DFB">
        <w:t xml:space="preserve">greater than </w:t>
      </w:r>
      <w:r w:rsidR="001F43E6" w:rsidRPr="009A1DFB">
        <w:t>25 dBm/200 MHz;</w:t>
      </w:r>
    </w:p>
    <w:p w14:paraId="464939C9" w14:textId="363F183D" w:rsidR="001F43E6" w:rsidRPr="009A1DFB" w:rsidRDefault="001F43E6" w:rsidP="00801D20">
      <w:pPr>
        <w:pStyle w:val="subsection"/>
        <w:spacing w:before="60"/>
      </w:pPr>
      <w:r w:rsidRPr="009A1DFB">
        <w:tab/>
      </w:r>
      <w:r w:rsidRPr="009A1DFB">
        <w:tab/>
        <w:t>must not:</w:t>
      </w:r>
    </w:p>
    <w:p w14:paraId="2D91BB3F" w14:textId="2EF95C35" w:rsidR="001F43E6" w:rsidRPr="009A1DFB" w:rsidRDefault="00865E99" w:rsidP="00F16504">
      <w:pPr>
        <w:pStyle w:val="paragraph"/>
        <w:tabs>
          <w:tab w:val="clear" w:pos="1531"/>
        </w:tabs>
        <w:ind w:hanging="510"/>
      </w:pPr>
      <w:r w:rsidRPr="009A1DFB">
        <w:t>(</w:t>
      </w:r>
      <w:r w:rsidR="006B0AC7" w:rsidRPr="009A1DFB">
        <w:t>e</w:t>
      </w:r>
      <w:r w:rsidRPr="009A1DFB">
        <w:t>)</w:t>
      </w:r>
      <w:r w:rsidRPr="009A1DFB">
        <w:tab/>
      </w:r>
      <w:r w:rsidR="00A21629" w:rsidRPr="009A1DFB">
        <w:t xml:space="preserve">be connected to an antenna which has its highest gain directed above the horizontal plane when the antenna is not being electrically steered; </w:t>
      </w:r>
    </w:p>
    <w:p w14:paraId="721C1842" w14:textId="2F532ACE" w:rsidR="00A21629" w:rsidRPr="009A1DFB" w:rsidRDefault="00A21629" w:rsidP="00F16504">
      <w:pPr>
        <w:pStyle w:val="paragraph"/>
        <w:tabs>
          <w:tab w:val="clear" w:pos="1531"/>
        </w:tabs>
        <w:ind w:hanging="510"/>
      </w:pPr>
      <w:r w:rsidRPr="009A1DFB">
        <w:t>(</w:t>
      </w:r>
      <w:r w:rsidR="006B0AC7" w:rsidRPr="009A1DFB">
        <w:t>f</w:t>
      </w:r>
      <w:r w:rsidRPr="009A1DFB">
        <w:t>)</w:t>
      </w:r>
      <w:r w:rsidRPr="009A1DFB">
        <w:tab/>
        <w:t>direct its antenna beam via electrical steering to an elevation angle above the horizontal plane; or</w:t>
      </w:r>
    </w:p>
    <w:p w14:paraId="5EDC9A23" w14:textId="5137DAE7" w:rsidR="00A21629" w:rsidRPr="009A1DFB" w:rsidRDefault="00A21629" w:rsidP="00F16504">
      <w:pPr>
        <w:pStyle w:val="paragraph"/>
        <w:tabs>
          <w:tab w:val="clear" w:pos="1531"/>
        </w:tabs>
        <w:ind w:hanging="510"/>
      </w:pPr>
      <w:r w:rsidRPr="009A1DFB">
        <w:t>(</w:t>
      </w:r>
      <w:r w:rsidR="006B0AC7" w:rsidRPr="009A1DFB">
        <w:t>g</w:t>
      </w:r>
      <w:r w:rsidRPr="009A1DFB">
        <w:t>)</w:t>
      </w:r>
      <w:r w:rsidRPr="009A1DFB">
        <w:tab/>
      </w:r>
      <w:r w:rsidR="0014016C" w:rsidRPr="009A1DFB">
        <w:t>operate with a radiated maximum true mean power</w:t>
      </w:r>
      <w:r w:rsidR="00C11957" w:rsidRPr="009A1DFB">
        <w:t xml:space="preserve"> measured over the specified bandwidth</w:t>
      </w:r>
      <w:r w:rsidR="00427CE5">
        <w:t xml:space="preserve"> and in the direction of the geostationary orbit</w:t>
      </w:r>
      <w:r w:rsidR="00C11957" w:rsidRPr="009A1DFB">
        <w:t>,</w:t>
      </w:r>
      <w:r w:rsidR="0014016C" w:rsidRPr="009A1DFB">
        <w:t xml:space="preserve"> exceeding the limits set out in Table </w:t>
      </w:r>
      <w:r w:rsidR="00427CE5">
        <w:t>4</w:t>
      </w:r>
      <w:r w:rsidR="006D2051" w:rsidRPr="009A1DFB">
        <w:t>;</w:t>
      </w:r>
    </w:p>
    <w:p w14:paraId="0BD26515" w14:textId="3C0EBDF2" w:rsidR="0014016C" w:rsidRPr="009A1DFB" w:rsidRDefault="0014016C" w:rsidP="00C11957">
      <w:pPr>
        <w:pStyle w:val="subsection"/>
        <w:spacing w:before="60"/>
      </w:pPr>
      <w:r w:rsidRPr="009A1DFB">
        <w:tab/>
      </w:r>
      <w:r w:rsidRPr="009A1DFB">
        <w:tab/>
        <w:t>where:</w:t>
      </w:r>
    </w:p>
    <w:p w14:paraId="5322A382" w14:textId="6C4A4FA7" w:rsidR="0014016C" w:rsidRPr="009A1DFB" w:rsidRDefault="0014016C" w:rsidP="00C11957">
      <w:pPr>
        <w:pStyle w:val="subsection"/>
        <w:spacing w:before="60"/>
      </w:pPr>
      <w:r w:rsidRPr="009A1DFB">
        <w:tab/>
      </w:r>
      <w:r w:rsidRPr="009A1DFB">
        <w:tab/>
      </w:r>
      <w:r w:rsidRPr="009A1DFB">
        <w:rPr>
          <w:b/>
          <w:bCs/>
          <w:i/>
          <w:iCs/>
        </w:rPr>
        <w:t xml:space="preserve">el </w:t>
      </w:r>
      <w:r w:rsidRPr="009A1DFB">
        <w:t xml:space="preserve">is the angle above the horizontal plane at which the radiated maximum true mean power limit in Table </w:t>
      </w:r>
      <w:r w:rsidR="00427CE5">
        <w:t>4</w:t>
      </w:r>
      <w:r w:rsidRPr="009A1DFB">
        <w:t xml:space="preserve"> applies</w:t>
      </w:r>
      <w:r w:rsidR="006D2051" w:rsidRPr="009A1DFB">
        <w:t>.</w:t>
      </w:r>
    </w:p>
    <w:p w14:paraId="5F50C61F" w14:textId="324B0B64" w:rsidR="0014016C" w:rsidRPr="009A1DFB" w:rsidRDefault="008F5B50" w:rsidP="00F16504">
      <w:pPr>
        <w:pStyle w:val="subsection"/>
        <w:keepNext/>
        <w:tabs>
          <w:tab w:val="clear" w:pos="1021"/>
        </w:tabs>
        <w:spacing w:after="120"/>
        <w:ind w:left="0" w:firstLine="0"/>
        <w:rPr>
          <w:b/>
          <w:bCs/>
        </w:rPr>
      </w:pPr>
      <w:r w:rsidRPr="009A1DFB">
        <w:rPr>
          <w:b/>
          <w:bCs/>
        </w:rPr>
        <w:t xml:space="preserve">Table </w:t>
      </w:r>
      <w:r w:rsidR="00427CE5">
        <w:rPr>
          <w:b/>
          <w:bCs/>
        </w:rPr>
        <w:t>4</w:t>
      </w:r>
      <w:r w:rsidRPr="009A1DFB">
        <w:rPr>
          <w:b/>
          <w:bCs/>
        </w:rPr>
        <w:t xml:space="preserve">: Radiated maximum true mean power </w:t>
      </w:r>
      <w:r w:rsidR="00427CE5">
        <w:rPr>
          <w:b/>
          <w:bCs/>
        </w:rPr>
        <w:t xml:space="preserve">towards the geostationary orbit, </w:t>
      </w:r>
      <w:r w:rsidRPr="009A1DFB">
        <w:rPr>
          <w:b/>
          <w:bCs/>
        </w:rPr>
        <w:t>for specified elevation angles above the horizontal plane</w:t>
      </w:r>
      <w:r w:rsidR="006D2051" w:rsidRPr="009A1DFB">
        <w:rPr>
          <w:b/>
          <w:bCs/>
        </w:rPr>
        <w:t xml:space="preserve"> – 27 GHz to 27.5 GHz inside a</w:t>
      </w:r>
      <w:r w:rsidR="00427CE5">
        <w:rPr>
          <w:b/>
          <w:bCs/>
        </w:rPr>
        <w:t>n inner-</w:t>
      </w:r>
      <w:r w:rsidR="009D61CD" w:rsidRPr="009A1DFB">
        <w:rPr>
          <w:b/>
          <w:bCs/>
        </w:rPr>
        <w:t>footprint area</w:t>
      </w:r>
    </w:p>
    <w:tbl>
      <w:tblPr>
        <w:tblStyle w:val="TableGrid"/>
        <w:tblW w:w="5000" w:type="pct"/>
        <w:jc w:val="center"/>
        <w:tblLook w:val="04A0" w:firstRow="1" w:lastRow="0" w:firstColumn="1" w:lastColumn="0" w:noHBand="0" w:noVBand="1"/>
      </w:tblPr>
      <w:tblGrid>
        <w:gridCol w:w="3186"/>
        <w:gridCol w:w="3727"/>
        <w:gridCol w:w="2103"/>
      </w:tblGrid>
      <w:tr w:rsidR="003E59D5" w:rsidRPr="009A1DFB" w14:paraId="188ABD51" w14:textId="77777777" w:rsidTr="00F623A3">
        <w:trPr>
          <w:cantSplit/>
          <w:jc w:val="center"/>
        </w:trPr>
        <w:tc>
          <w:tcPr>
            <w:tcW w:w="1767" w:type="pct"/>
            <w:tcBorders>
              <w:top w:val="single" w:sz="4" w:space="0" w:color="auto"/>
              <w:left w:val="single" w:sz="4" w:space="0" w:color="auto"/>
              <w:bottom w:val="single" w:sz="4" w:space="0" w:color="auto"/>
              <w:right w:val="single" w:sz="4" w:space="0" w:color="auto"/>
            </w:tcBorders>
            <w:hideMark/>
          </w:tcPr>
          <w:p w14:paraId="069EF9FB" w14:textId="77777777" w:rsidR="003E59D5" w:rsidRPr="009A1DFB" w:rsidRDefault="003E59D5" w:rsidP="00F623A3">
            <w:pPr>
              <w:keepNext/>
              <w:keepLines/>
              <w:jc w:val="center"/>
              <w:rPr>
                <w:rFonts w:eastAsiaTheme="minorEastAsia"/>
                <w:b/>
              </w:rPr>
            </w:pPr>
            <w:r w:rsidRPr="009A1DFB">
              <w:rPr>
                <w:rFonts w:eastAsiaTheme="minorEastAsia"/>
                <w:b/>
              </w:rPr>
              <w:t>Elevation angle above the horizontal plane</w:t>
            </w:r>
          </w:p>
          <w:p w14:paraId="1BE8BCF8" w14:textId="77777777" w:rsidR="003E59D5" w:rsidRPr="009A1DFB" w:rsidRDefault="003E59D5" w:rsidP="00F623A3">
            <w:pPr>
              <w:keepNext/>
              <w:keepLines/>
              <w:jc w:val="center"/>
              <w:rPr>
                <w:rFonts w:eastAsiaTheme="minorEastAsia"/>
                <w:b/>
              </w:rPr>
            </w:pPr>
            <w:r w:rsidRPr="009A1DFB">
              <w:rPr>
                <w:rFonts w:eastAsiaTheme="minorEastAsia"/>
                <w:b/>
              </w:rPr>
              <w:t>(el)</w:t>
            </w:r>
          </w:p>
        </w:tc>
        <w:tc>
          <w:tcPr>
            <w:tcW w:w="2067" w:type="pct"/>
            <w:tcBorders>
              <w:top w:val="single" w:sz="4" w:space="0" w:color="auto"/>
              <w:left w:val="single" w:sz="4" w:space="0" w:color="auto"/>
              <w:bottom w:val="single" w:sz="4" w:space="0" w:color="auto"/>
              <w:right w:val="single" w:sz="4" w:space="0" w:color="auto"/>
            </w:tcBorders>
            <w:hideMark/>
          </w:tcPr>
          <w:p w14:paraId="4AA64511" w14:textId="77777777" w:rsidR="003E59D5" w:rsidRPr="009A1DFB" w:rsidRDefault="003E59D5" w:rsidP="00F623A3">
            <w:pPr>
              <w:keepNext/>
              <w:keepLines/>
              <w:jc w:val="center"/>
              <w:rPr>
                <w:b/>
              </w:rPr>
            </w:pPr>
            <w:r w:rsidRPr="009A1DFB">
              <w:rPr>
                <w:b/>
              </w:rPr>
              <w:t>Radiated maximum true mean power</w:t>
            </w:r>
          </w:p>
          <w:p w14:paraId="67B4883F" w14:textId="77777777" w:rsidR="003E59D5" w:rsidRPr="009A1DFB" w:rsidRDefault="003E59D5" w:rsidP="00F623A3">
            <w:pPr>
              <w:keepNext/>
              <w:keepLines/>
              <w:jc w:val="center"/>
              <w:rPr>
                <w:rFonts w:eastAsiaTheme="minorEastAsia"/>
                <w:b/>
              </w:rPr>
            </w:pPr>
            <w:r w:rsidRPr="009A1DFB">
              <w:rPr>
                <w:rFonts w:eastAsiaTheme="minorEastAsia"/>
                <w:b/>
              </w:rPr>
              <w:t>(dBm EIRP)</w:t>
            </w:r>
          </w:p>
        </w:tc>
        <w:tc>
          <w:tcPr>
            <w:tcW w:w="1166" w:type="pct"/>
            <w:tcBorders>
              <w:top w:val="single" w:sz="4" w:space="0" w:color="auto"/>
              <w:left w:val="single" w:sz="4" w:space="0" w:color="auto"/>
              <w:bottom w:val="single" w:sz="4" w:space="0" w:color="auto"/>
              <w:right w:val="single" w:sz="4" w:space="0" w:color="auto"/>
            </w:tcBorders>
            <w:hideMark/>
          </w:tcPr>
          <w:p w14:paraId="13DBC862" w14:textId="77777777" w:rsidR="003E59D5" w:rsidRPr="009A1DFB" w:rsidRDefault="003E59D5" w:rsidP="00F623A3">
            <w:pPr>
              <w:keepNext/>
              <w:keepLines/>
              <w:jc w:val="center"/>
              <w:rPr>
                <w:rFonts w:eastAsiaTheme="minorEastAsia"/>
                <w:b/>
              </w:rPr>
            </w:pPr>
            <w:r w:rsidRPr="009A1DFB">
              <w:rPr>
                <w:rFonts w:eastAsiaTheme="minorEastAsia"/>
                <w:b/>
              </w:rPr>
              <w:t>Specified</w:t>
            </w:r>
          </w:p>
          <w:p w14:paraId="71A315DD" w14:textId="77777777" w:rsidR="003E59D5" w:rsidRPr="009A1DFB" w:rsidRDefault="003E59D5" w:rsidP="00F623A3">
            <w:pPr>
              <w:keepNext/>
              <w:keepLines/>
              <w:jc w:val="center"/>
              <w:rPr>
                <w:rFonts w:eastAsiaTheme="minorEastAsia"/>
                <w:b/>
              </w:rPr>
            </w:pPr>
            <w:r w:rsidRPr="009A1DFB">
              <w:rPr>
                <w:rFonts w:eastAsiaTheme="minorEastAsia"/>
                <w:b/>
              </w:rPr>
              <w:t>Bandwidth</w:t>
            </w:r>
          </w:p>
        </w:tc>
      </w:tr>
      <w:tr w:rsidR="003E59D5" w:rsidRPr="009A1DFB" w14:paraId="29262974" w14:textId="77777777" w:rsidTr="00F623A3">
        <w:trPr>
          <w:cantSplit/>
          <w:jc w:val="center"/>
        </w:trPr>
        <w:tc>
          <w:tcPr>
            <w:tcW w:w="1767" w:type="pct"/>
            <w:tcBorders>
              <w:top w:val="single" w:sz="4" w:space="0" w:color="auto"/>
              <w:left w:val="single" w:sz="4" w:space="0" w:color="auto"/>
              <w:bottom w:val="single" w:sz="4" w:space="0" w:color="auto"/>
              <w:right w:val="single" w:sz="4" w:space="0" w:color="auto"/>
            </w:tcBorders>
            <w:hideMark/>
          </w:tcPr>
          <w:p w14:paraId="1D8D93FC" w14:textId="77777777" w:rsidR="003E59D5" w:rsidRPr="009A1DFB" w:rsidRDefault="003E59D5" w:rsidP="00F623A3">
            <w:pPr>
              <w:keepNext/>
              <w:keepLines/>
              <w:rPr>
                <w:rFonts w:eastAsiaTheme="minorEastAsia"/>
              </w:rPr>
            </w:pPr>
            <w:r w:rsidRPr="009A1DFB">
              <w:rPr>
                <w:rFonts w:eastAsiaTheme="minorEastAsia"/>
              </w:rPr>
              <w:t xml:space="preserve">15 degrees ≤ </w:t>
            </w:r>
            <w:r w:rsidRPr="009A1DFB">
              <w:rPr>
                <w:rFonts w:eastAsiaTheme="minorEastAsia"/>
                <w:i/>
                <w:iCs/>
              </w:rPr>
              <w:t>el</w:t>
            </w:r>
            <w:r w:rsidRPr="009A1DFB">
              <w:rPr>
                <w:rFonts w:eastAsiaTheme="minorEastAsia"/>
              </w:rPr>
              <w:t xml:space="preserve"> &lt; 25 degrees </w:t>
            </w:r>
          </w:p>
        </w:tc>
        <w:tc>
          <w:tcPr>
            <w:tcW w:w="2067" w:type="pct"/>
            <w:tcBorders>
              <w:top w:val="single" w:sz="4" w:space="0" w:color="auto"/>
              <w:left w:val="single" w:sz="4" w:space="0" w:color="auto"/>
              <w:bottom w:val="single" w:sz="4" w:space="0" w:color="auto"/>
              <w:right w:val="single" w:sz="4" w:space="0" w:color="auto"/>
            </w:tcBorders>
          </w:tcPr>
          <w:p w14:paraId="5B72EFEE" w14:textId="77777777" w:rsidR="003E59D5" w:rsidRPr="009A1DFB" w:rsidRDefault="003E59D5" w:rsidP="00F623A3">
            <w:pPr>
              <w:keepNext/>
              <w:keepLines/>
              <w:jc w:val="center"/>
              <w:rPr>
                <w:rFonts w:eastAsiaTheme="minorEastAsia"/>
              </w:rPr>
            </w:pPr>
            <w:r w:rsidRPr="009A1DFB">
              <w:rPr>
                <w:rFonts w:eastAsiaTheme="minorEastAsia"/>
              </w:rPr>
              <w:t>34</w:t>
            </w:r>
          </w:p>
        </w:tc>
        <w:tc>
          <w:tcPr>
            <w:tcW w:w="1166" w:type="pct"/>
            <w:tcBorders>
              <w:top w:val="single" w:sz="4" w:space="0" w:color="auto"/>
              <w:left w:val="single" w:sz="4" w:space="0" w:color="auto"/>
              <w:bottom w:val="single" w:sz="4" w:space="0" w:color="auto"/>
              <w:right w:val="single" w:sz="4" w:space="0" w:color="auto"/>
            </w:tcBorders>
            <w:vAlign w:val="center"/>
            <w:hideMark/>
          </w:tcPr>
          <w:p w14:paraId="636B5EF1" w14:textId="77777777" w:rsidR="003E59D5" w:rsidRPr="009A1DFB" w:rsidRDefault="003E59D5" w:rsidP="00F623A3">
            <w:pPr>
              <w:keepNext/>
              <w:keepLines/>
              <w:jc w:val="center"/>
              <w:rPr>
                <w:rFonts w:eastAsiaTheme="minorEastAsia"/>
              </w:rPr>
            </w:pPr>
            <w:r w:rsidRPr="009A1DFB">
              <w:rPr>
                <w:rFonts w:eastAsiaTheme="minorEastAsia"/>
              </w:rPr>
              <w:t>200 MHz</w:t>
            </w:r>
          </w:p>
        </w:tc>
      </w:tr>
      <w:tr w:rsidR="003E59D5" w:rsidRPr="009A1DFB" w14:paraId="77ECFBBE" w14:textId="77777777" w:rsidTr="00F623A3">
        <w:trPr>
          <w:cantSplit/>
          <w:jc w:val="center"/>
        </w:trPr>
        <w:tc>
          <w:tcPr>
            <w:tcW w:w="1767" w:type="pct"/>
            <w:tcBorders>
              <w:top w:val="single" w:sz="4" w:space="0" w:color="auto"/>
              <w:left w:val="single" w:sz="4" w:space="0" w:color="auto"/>
              <w:bottom w:val="single" w:sz="4" w:space="0" w:color="auto"/>
              <w:right w:val="single" w:sz="4" w:space="0" w:color="auto"/>
            </w:tcBorders>
            <w:hideMark/>
          </w:tcPr>
          <w:p w14:paraId="3811222E" w14:textId="70F93ED1" w:rsidR="003E59D5" w:rsidRPr="009A1DFB" w:rsidRDefault="003E59D5" w:rsidP="00F623A3">
            <w:pPr>
              <w:keepNext/>
              <w:keepLines/>
              <w:rPr>
                <w:rFonts w:eastAsiaTheme="minorEastAsia"/>
              </w:rPr>
            </w:pPr>
            <w:r w:rsidRPr="009A1DFB">
              <w:rPr>
                <w:rFonts w:eastAsiaTheme="minorEastAsia"/>
              </w:rPr>
              <w:t>25 degrees ≤</w:t>
            </w:r>
            <w:r w:rsidRPr="009A1DFB">
              <w:rPr>
                <w:rFonts w:eastAsiaTheme="minorEastAsia"/>
                <w:i/>
                <w:iCs/>
              </w:rPr>
              <w:t xml:space="preserve"> el</w:t>
            </w:r>
            <w:r w:rsidRPr="009A1DFB">
              <w:rPr>
                <w:rFonts w:eastAsiaTheme="minorEastAsia"/>
              </w:rPr>
              <w:t xml:space="preserve"> &lt; </w:t>
            </w:r>
            <w:r w:rsidR="00427CE5">
              <w:rPr>
                <w:rFonts w:eastAsiaTheme="minorEastAsia"/>
              </w:rPr>
              <w:t>40</w:t>
            </w:r>
            <w:r w:rsidRPr="009A1DFB">
              <w:rPr>
                <w:rFonts w:eastAsiaTheme="minorEastAsia"/>
              </w:rPr>
              <w:t xml:space="preserve"> degrees </w:t>
            </w:r>
          </w:p>
        </w:tc>
        <w:tc>
          <w:tcPr>
            <w:tcW w:w="2067" w:type="pct"/>
            <w:tcBorders>
              <w:top w:val="single" w:sz="4" w:space="0" w:color="auto"/>
              <w:left w:val="single" w:sz="4" w:space="0" w:color="auto"/>
              <w:bottom w:val="single" w:sz="4" w:space="0" w:color="auto"/>
              <w:right w:val="single" w:sz="4" w:space="0" w:color="auto"/>
            </w:tcBorders>
          </w:tcPr>
          <w:p w14:paraId="04590CCA" w14:textId="66E93AC6" w:rsidR="003E59D5" w:rsidRPr="009A1DFB" w:rsidRDefault="003E59D5" w:rsidP="00F623A3">
            <w:pPr>
              <w:keepNext/>
              <w:keepLines/>
              <w:jc w:val="center"/>
              <w:rPr>
                <w:rFonts w:eastAsiaTheme="minorEastAsia"/>
              </w:rPr>
            </w:pPr>
            <m:oMathPara>
              <m:oMath>
                <m:r>
                  <w:rPr>
                    <w:rFonts w:ascii="Cambria Math" w:eastAsiaTheme="minorEastAsia" w:hAnsi="Cambria Math"/>
                  </w:rPr>
                  <m:t>34-0.43</m:t>
                </m:r>
                <m:d>
                  <m:dPr>
                    <m:ctrlPr>
                      <w:rPr>
                        <w:rFonts w:ascii="Cambria Math" w:eastAsiaTheme="minorEastAsia" w:hAnsi="Cambria Math"/>
                        <w:i/>
                      </w:rPr>
                    </m:ctrlPr>
                  </m:dPr>
                  <m:e>
                    <m:r>
                      <w:rPr>
                        <w:rFonts w:ascii="Cambria Math" w:eastAsiaTheme="minorEastAsia" w:hAnsi="Cambria Math"/>
                      </w:rPr>
                      <m:t>el-25</m:t>
                    </m:r>
                  </m:e>
                </m:d>
              </m:oMath>
            </m:oMathPara>
          </w:p>
        </w:tc>
        <w:tc>
          <w:tcPr>
            <w:tcW w:w="1166" w:type="pct"/>
            <w:tcBorders>
              <w:top w:val="single" w:sz="4" w:space="0" w:color="auto"/>
              <w:left w:val="single" w:sz="4" w:space="0" w:color="auto"/>
              <w:bottom w:val="single" w:sz="4" w:space="0" w:color="auto"/>
              <w:right w:val="single" w:sz="4" w:space="0" w:color="auto"/>
            </w:tcBorders>
            <w:vAlign w:val="center"/>
            <w:hideMark/>
          </w:tcPr>
          <w:p w14:paraId="674C5F32" w14:textId="77777777" w:rsidR="003E59D5" w:rsidRPr="009A1DFB" w:rsidRDefault="003E59D5" w:rsidP="00F623A3">
            <w:pPr>
              <w:keepNext/>
              <w:keepLines/>
              <w:jc w:val="center"/>
              <w:rPr>
                <w:rFonts w:eastAsiaTheme="minorEastAsia"/>
              </w:rPr>
            </w:pPr>
            <w:r w:rsidRPr="009A1DFB">
              <w:rPr>
                <w:rFonts w:eastAsiaTheme="minorEastAsia"/>
              </w:rPr>
              <w:t>200 MHz</w:t>
            </w:r>
          </w:p>
        </w:tc>
      </w:tr>
      <w:tr w:rsidR="003E59D5" w:rsidRPr="009A1DFB" w14:paraId="0C468FA9" w14:textId="77777777" w:rsidTr="00F623A3">
        <w:trPr>
          <w:cantSplit/>
          <w:jc w:val="center"/>
        </w:trPr>
        <w:tc>
          <w:tcPr>
            <w:tcW w:w="1767" w:type="pct"/>
            <w:tcBorders>
              <w:top w:val="single" w:sz="4" w:space="0" w:color="auto"/>
              <w:left w:val="single" w:sz="4" w:space="0" w:color="auto"/>
              <w:bottom w:val="single" w:sz="4" w:space="0" w:color="auto"/>
              <w:right w:val="single" w:sz="4" w:space="0" w:color="auto"/>
            </w:tcBorders>
          </w:tcPr>
          <w:p w14:paraId="5982AE85" w14:textId="1893A815" w:rsidR="003E59D5" w:rsidRPr="009A1DFB" w:rsidRDefault="00427CE5" w:rsidP="00F623A3">
            <w:pPr>
              <w:keepNext/>
              <w:keepLines/>
              <w:rPr>
                <w:rFonts w:eastAsiaTheme="minorEastAsia"/>
              </w:rPr>
            </w:pPr>
            <w:r>
              <w:rPr>
                <w:rFonts w:eastAsiaTheme="minorEastAsia"/>
              </w:rPr>
              <w:t>40</w:t>
            </w:r>
            <w:r w:rsidR="003E59D5" w:rsidRPr="009A1DFB">
              <w:rPr>
                <w:rFonts w:eastAsiaTheme="minorEastAsia"/>
              </w:rPr>
              <w:t xml:space="preserve"> degrees ≤ </w:t>
            </w:r>
            <w:r w:rsidR="003E59D5" w:rsidRPr="009A1DFB">
              <w:rPr>
                <w:rFonts w:eastAsiaTheme="minorEastAsia"/>
                <w:i/>
                <w:iCs/>
              </w:rPr>
              <w:t>el</w:t>
            </w:r>
            <w:r w:rsidR="003E59D5" w:rsidRPr="009A1DFB">
              <w:rPr>
                <w:rFonts w:eastAsiaTheme="minorEastAsia"/>
              </w:rPr>
              <w:t xml:space="preserve"> ≤ 90 degrees</w:t>
            </w:r>
          </w:p>
        </w:tc>
        <w:tc>
          <w:tcPr>
            <w:tcW w:w="2067" w:type="pct"/>
            <w:tcBorders>
              <w:top w:val="single" w:sz="4" w:space="0" w:color="auto"/>
              <w:left w:val="single" w:sz="4" w:space="0" w:color="auto"/>
              <w:bottom w:val="single" w:sz="4" w:space="0" w:color="auto"/>
              <w:right w:val="single" w:sz="4" w:space="0" w:color="auto"/>
            </w:tcBorders>
          </w:tcPr>
          <w:p w14:paraId="056DFFF5" w14:textId="3F72FBA6" w:rsidR="003E59D5" w:rsidRPr="009A1DFB" w:rsidRDefault="003E59D5" w:rsidP="00F623A3">
            <w:pPr>
              <w:keepNext/>
              <w:keepLines/>
              <w:jc w:val="center"/>
              <w:rPr>
                <w:rFonts w:eastAsiaTheme="minorEastAsia"/>
              </w:rPr>
            </w:pPr>
            <w:r w:rsidRPr="009A1DFB">
              <w:rPr>
                <w:rFonts w:eastAsiaTheme="minorEastAsia"/>
              </w:rPr>
              <w:t>2</w:t>
            </w:r>
            <w:r w:rsidR="00427CE5">
              <w:rPr>
                <w:rFonts w:eastAsiaTheme="minorEastAsia"/>
              </w:rPr>
              <w:t>7.5</w:t>
            </w:r>
          </w:p>
        </w:tc>
        <w:tc>
          <w:tcPr>
            <w:tcW w:w="1166" w:type="pct"/>
            <w:tcBorders>
              <w:top w:val="single" w:sz="4" w:space="0" w:color="auto"/>
              <w:left w:val="single" w:sz="4" w:space="0" w:color="auto"/>
              <w:bottom w:val="single" w:sz="4" w:space="0" w:color="auto"/>
              <w:right w:val="single" w:sz="4" w:space="0" w:color="auto"/>
            </w:tcBorders>
            <w:vAlign w:val="center"/>
          </w:tcPr>
          <w:p w14:paraId="68011319" w14:textId="77777777" w:rsidR="003E59D5" w:rsidRPr="009A1DFB" w:rsidRDefault="003E59D5" w:rsidP="00F623A3">
            <w:pPr>
              <w:keepNext/>
              <w:keepLines/>
              <w:jc w:val="center"/>
              <w:rPr>
                <w:rFonts w:eastAsiaTheme="minorEastAsia"/>
              </w:rPr>
            </w:pPr>
            <w:r w:rsidRPr="009A1DFB">
              <w:rPr>
                <w:rFonts w:eastAsiaTheme="minorEastAsia"/>
              </w:rPr>
              <w:t>200 MHz</w:t>
            </w:r>
          </w:p>
        </w:tc>
      </w:tr>
    </w:tbl>
    <w:p w14:paraId="4D3B1E8F" w14:textId="5B68C2C0" w:rsidR="008F5B50" w:rsidRPr="009A1DFB" w:rsidRDefault="003E59D5" w:rsidP="0014016C">
      <w:pPr>
        <w:pStyle w:val="subsection"/>
      </w:pPr>
      <w:r w:rsidRPr="009A1DFB">
        <w:tab/>
        <w:t>(</w:t>
      </w:r>
      <w:r w:rsidR="00B9041C">
        <w:t>6</w:t>
      </w:r>
      <w:r w:rsidRPr="009A1DFB">
        <w:t>)</w:t>
      </w:r>
      <w:r w:rsidRPr="009A1DFB">
        <w:tab/>
        <w:t>A radiocommunications transmitter operated under a spectrum licence in the 26 GHz band that is:</w:t>
      </w:r>
    </w:p>
    <w:p w14:paraId="146F18BE" w14:textId="4211D874" w:rsidR="003E59D5" w:rsidRPr="009A1DFB" w:rsidRDefault="003E59D5" w:rsidP="00F16504">
      <w:pPr>
        <w:pStyle w:val="paragraph"/>
        <w:tabs>
          <w:tab w:val="clear" w:pos="1531"/>
        </w:tabs>
        <w:ind w:hanging="510"/>
      </w:pPr>
      <w:r w:rsidRPr="009A1DFB">
        <w:t>(a)</w:t>
      </w:r>
      <w:r w:rsidRPr="009A1DFB">
        <w:tab/>
        <w:t>a base station;</w:t>
      </w:r>
    </w:p>
    <w:p w14:paraId="0C9FD918" w14:textId="6F516B1D" w:rsidR="003E59D5" w:rsidRPr="009A1DFB" w:rsidRDefault="00C00C89" w:rsidP="00F16504">
      <w:pPr>
        <w:pStyle w:val="paragraph"/>
        <w:tabs>
          <w:tab w:val="clear" w:pos="1531"/>
        </w:tabs>
        <w:ind w:hanging="510"/>
      </w:pPr>
      <w:r w:rsidRPr="009A1DFB">
        <w:t>(b)</w:t>
      </w:r>
      <w:r w:rsidRPr="009A1DFB">
        <w:tab/>
        <w:t>not an indoor transmitter</w:t>
      </w:r>
      <w:r w:rsidR="0046348D" w:rsidRPr="009A1DFB">
        <w:t>;</w:t>
      </w:r>
    </w:p>
    <w:p w14:paraId="7E3636BD" w14:textId="0D97E34A" w:rsidR="005F2797" w:rsidRPr="009A1DFB" w:rsidRDefault="002E1D74" w:rsidP="00F16504">
      <w:pPr>
        <w:pStyle w:val="paragraph"/>
        <w:tabs>
          <w:tab w:val="clear" w:pos="1531"/>
        </w:tabs>
        <w:ind w:hanging="510"/>
      </w:pPr>
      <w:r w:rsidRPr="009A1DFB">
        <w:t>(c)</w:t>
      </w:r>
      <w:r w:rsidRPr="009A1DFB">
        <w:tab/>
        <w:t>operating in the frequency range 27 GHz</w:t>
      </w:r>
      <w:r w:rsidR="00E24FB9" w:rsidRPr="009A1DFB">
        <w:rPr>
          <w:rFonts w:eastAsiaTheme="minorHAnsi"/>
        </w:rPr>
        <w:t>–</w:t>
      </w:r>
      <w:r w:rsidRPr="009A1DFB">
        <w:t xml:space="preserve">27.5 GHz; </w:t>
      </w:r>
    </w:p>
    <w:p w14:paraId="1A49ED1A" w14:textId="0B81BEF6" w:rsidR="002E1D74" w:rsidRPr="009A1DFB" w:rsidRDefault="005F2797" w:rsidP="00F16504">
      <w:pPr>
        <w:pStyle w:val="paragraph"/>
        <w:tabs>
          <w:tab w:val="clear" w:pos="1531"/>
        </w:tabs>
        <w:ind w:hanging="510"/>
      </w:pPr>
      <w:r w:rsidRPr="009A1DFB">
        <w:t>(d)</w:t>
      </w:r>
      <w:r w:rsidRPr="009A1DFB">
        <w:tab/>
        <w:t>located inside a</w:t>
      </w:r>
      <w:r w:rsidR="00A60EAA">
        <w:t>n inner-</w:t>
      </w:r>
      <w:r w:rsidRPr="009A1DFB">
        <w:t xml:space="preserve">footprint area; </w:t>
      </w:r>
      <w:r w:rsidR="002E1D74" w:rsidRPr="009A1DFB">
        <w:t>and</w:t>
      </w:r>
    </w:p>
    <w:p w14:paraId="2BC88ECB" w14:textId="65EB7567" w:rsidR="002E1D74" w:rsidRPr="009A1DFB" w:rsidRDefault="002E1D74" w:rsidP="00F16504">
      <w:pPr>
        <w:pStyle w:val="paragraph"/>
        <w:tabs>
          <w:tab w:val="clear" w:pos="1531"/>
        </w:tabs>
        <w:ind w:hanging="510"/>
      </w:pPr>
      <w:r w:rsidRPr="009A1DFB">
        <w:t>(</w:t>
      </w:r>
      <w:r w:rsidR="00A60EAA">
        <w:t>e</w:t>
      </w:r>
      <w:r w:rsidRPr="009A1DFB">
        <w:t>)</w:t>
      </w:r>
      <w:r w:rsidRPr="009A1DFB">
        <w:tab/>
        <w:t xml:space="preserve">operating with a total radiated power less than or equal to </w:t>
      </w:r>
      <w:r w:rsidR="00DD5E61" w:rsidRPr="009A1DFB">
        <w:t>25 dBm/200 MHz;</w:t>
      </w:r>
    </w:p>
    <w:p w14:paraId="18D0C0F3" w14:textId="6DB94425" w:rsidR="00DD5E61" w:rsidRPr="009A1DFB" w:rsidRDefault="00DD5E61" w:rsidP="00C11957">
      <w:pPr>
        <w:pStyle w:val="subsection"/>
        <w:spacing w:before="60"/>
      </w:pPr>
      <w:r w:rsidRPr="009A1DFB">
        <w:lastRenderedPageBreak/>
        <w:tab/>
      </w:r>
      <w:r w:rsidRPr="009A1DFB">
        <w:tab/>
        <w:t>must not:</w:t>
      </w:r>
    </w:p>
    <w:p w14:paraId="77782B1C" w14:textId="0CBF0C86" w:rsidR="00DD5E61" w:rsidRPr="009A1DFB" w:rsidRDefault="00DD5E61" w:rsidP="00F16504">
      <w:pPr>
        <w:pStyle w:val="paragraph"/>
        <w:tabs>
          <w:tab w:val="clear" w:pos="1531"/>
        </w:tabs>
        <w:ind w:hanging="510"/>
      </w:pPr>
      <w:r w:rsidRPr="009A1DFB">
        <w:t>(</w:t>
      </w:r>
      <w:r w:rsidR="00A60EAA">
        <w:t>f</w:t>
      </w:r>
      <w:r w:rsidRPr="009A1DFB">
        <w:t>)</w:t>
      </w:r>
      <w:r w:rsidRPr="009A1DFB">
        <w:tab/>
      </w:r>
      <w:r w:rsidR="00D16B17" w:rsidRPr="009A1DFB">
        <w:t>be connected to an antenna which has its highest gain directed above the horizontal plane when the antenna is not being electrically steered; or</w:t>
      </w:r>
    </w:p>
    <w:p w14:paraId="062F89EC" w14:textId="33037B19" w:rsidR="00D16B17" w:rsidRPr="009A1DFB" w:rsidRDefault="00D16B17" w:rsidP="00F16504">
      <w:pPr>
        <w:pStyle w:val="paragraph"/>
        <w:tabs>
          <w:tab w:val="clear" w:pos="1531"/>
        </w:tabs>
        <w:ind w:hanging="510"/>
      </w:pPr>
      <w:r w:rsidRPr="009A1DFB">
        <w:t>(</w:t>
      </w:r>
      <w:r w:rsidR="00A60EAA">
        <w:t>g</w:t>
      </w:r>
      <w:r w:rsidRPr="009A1DFB">
        <w:t>)</w:t>
      </w:r>
      <w:r w:rsidRPr="009A1DFB">
        <w:tab/>
        <w:t xml:space="preserve">direct its antenna beam via electrical steering to an elevation </w:t>
      </w:r>
      <w:r w:rsidR="00A55B3C">
        <w:t xml:space="preserve">angle </w:t>
      </w:r>
      <w:r w:rsidRPr="009A1DFB">
        <w:t xml:space="preserve">greater than 5 degrees above the horizontal plane for more than 5 percent </w:t>
      </w:r>
      <w:r w:rsidR="006B787C">
        <w:t xml:space="preserve">(whether or not consecutive) </w:t>
      </w:r>
      <w:r w:rsidRPr="009A1DFB">
        <w:t xml:space="preserve">of </w:t>
      </w:r>
      <w:r w:rsidR="0046348D" w:rsidRPr="009A1DFB">
        <w:t xml:space="preserve">the </w:t>
      </w:r>
      <w:r w:rsidRPr="009A1DFB">
        <w:t>time in any 24 hour period.</w:t>
      </w:r>
    </w:p>
    <w:p w14:paraId="30CD65F6" w14:textId="679F01DC" w:rsidR="003A3A95" w:rsidRPr="009A1DFB" w:rsidRDefault="00091EC3" w:rsidP="00091EC3">
      <w:pPr>
        <w:pStyle w:val="subsection"/>
      </w:pPr>
      <w:r w:rsidRPr="009A1DFB">
        <w:tab/>
        <w:t>(</w:t>
      </w:r>
      <w:r w:rsidR="00B9041C">
        <w:t>7</w:t>
      </w:r>
      <w:r w:rsidRPr="009A1DFB">
        <w:t>)</w:t>
      </w:r>
      <w:r w:rsidRPr="009A1DFB">
        <w:tab/>
      </w:r>
      <w:r w:rsidR="002042B4" w:rsidRPr="009A1DFB">
        <w:t>A radiocommunications transmitter operated under a spectrum licence in the 26 GHz band that is:</w:t>
      </w:r>
    </w:p>
    <w:p w14:paraId="0784D82F" w14:textId="5E61D4B2" w:rsidR="002042B4" w:rsidRPr="009A1DFB" w:rsidRDefault="002042B4" w:rsidP="00F16504">
      <w:pPr>
        <w:pStyle w:val="paragraph"/>
        <w:tabs>
          <w:tab w:val="clear" w:pos="1531"/>
        </w:tabs>
        <w:ind w:hanging="510"/>
      </w:pPr>
      <w:r w:rsidRPr="009A1DFB">
        <w:t>(a)</w:t>
      </w:r>
      <w:r w:rsidRPr="009A1DFB">
        <w:tab/>
      </w:r>
      <w:r w:rsidR="009A0432" w:rsidRPr="009A1DFB">
        <w:t>not a base station</w:t>
      </w:r>
      <w:r w:rsidR="00FD1C63" w:rsidRPr="009A1DFB">
        <w:t>;</w:t>
      </w:r>
    </w:p>
    <w:p w14:paraId="1DA3BC45" w14:textId="170E1A7E" w:rsidR="00F051CA" w:rsidRPr="009A1DFB" w:rsidRDefault="00F051CA" w:rsidP="00F16504">
      <w:pPr>
        <w:pStyle w:val="paragraph"/>
        <w:tabs>
          <w:tab w:val="clear" w:pos="1531"/>
        </w:tabs>
        <w:ind w:hanging="510"/>
      </w:pPr>
      <w:r w:rsidRPr="009A1DFB">
        <w:t>(b)</w:t>
      </w:r>
      <w:r w:rsidRPr="009A1DFB">
        <w:tab/>
      </w:r>
      <w:r w:rsidR="00C3049A" w:rsidRPr="009A1DFB">
        <w:t>a fixed transmitter;</w:t>
      </w:r>
    </w:p>
    <w:p w14:paraId="381B2F41" w14:textId="233A9015" w:rsidR="00C3049A" w:rsidRPr="009A1DFB" w:rsidRDefault="00C3049A" w:rsidP="00F16504">
      <w:pPr>
        <w:pStyle w:val="paragraph"/>
        <w:tabs>
          <w:tab w:val="clear" w:pos="1531"/>
        </w:tabs>
        <w:ind w:hanging="510"/>
      </w:pPr>
      <w:r w:rsidRPr="009A1DFB">
        <w:t>(c)</w:t>
      </w:r>
      <w:r w:rsidRPr="009A1DFB">
        <w:tab/>
        <w:t>not an indoor transmitter;</w:t>
      </w:r>
    </w:p>
    <w:p w14:paraId="14DCE2DD" w14:textId="7D32858B" w:rsidR="00C3049A" w:rsidRPr="009A1DFB" w:rsidRDefault="00C3049A" w:rsidP="00F16504">
      <w:pPr>
        <w:pStyle w:val="paragraph"/>
        <w:tabs>
          <w:tab w:val="clear" w:pos="1531"/>
        </w:tabs>
        <w:ind w:hanging="510"/>
      </w:pPr>
      <w:r w:rsidRPr="009A1DFB">
        <w:t>(d)</w:t>
      </w:r>
      <w:r w:rsidRPr="009A1DFB">
        <w:tab/>
        <w:t>operating in the frequency range 27 GHz</w:t>
      </w:r>
      <w:r w:rsidR="00EC0A0E" w:rsidRPr="009A1DFB">
        <w:rPr>
          <w:rFonts w:eastAsiaTheme="minorHAnsi"/>
        </w:rPr>
        <w:t>–</w:t>
      </w:r>
      <w:r w:rsidRPr="009A1DFB">
        <w:t xml:space="preserve">27.5 GHz; </w:t>
      </w:r>
    </w:p>
    <w:p w14:paraId="63217FA7" w14:textId="4E2F4617" w:rsidR="00FD1C63" w:rsidRPr="009A1DFB" w:rsidRDefault="00FD1C63" w:rsidP="00F16504">
      <w:pPr>
        <w:pStyle w:val="paragraph"/>
        <w:tabs>
          <w:tab w:val="clear" w:pos="1531"/>
        </w:tabs>
        <w:ind w:hanging="510"/>
      </w:pPr>
      <w:r w:rsidRPr="009A1DFB">
        <w:t>(</w:t>
      </w:r>
      <w:r w:rsidR="00BE52B5" w:rsidRPr="009A1DFB">
        <w:t>e</w:t>
      </w:r>
      <w:r w:rsidRPr="009A1DFB">
        <w:t>)</w:t>
      </w:r>
      <w:r w:rsidRPr="009A1DFB">
        <w:tab/>
        <w:t>direct</w:t>
      </w:r>
      <w:r w:rsidR="00F051CA" w:rsidRPr="009A1DFB">
        <w:t>ing</w:t>
      </w:r>
      <w:r w:rsidRPr="009A1DFB">
        <w:t xml:space="preserve"> its antenna beam to an elevation angle greater than or equal to 11 degrees above the horizonal plane;</w:t>
      </w:r>
      <w:r w:rsidR="00221CA3" w:rsidRPr="009A1DFB">
        <w:t xml:space="preserve"> and</w:t>
      </w:r>
    </w:p>
    <w:p w14:paraId="20974F20" w14:textId="0EDA197C" w:rsidR="00A37E19" w:rsidRPr="009A1DFB" w:rsidRDefault="00A37E19" w:rsidP="00F16504">
      <w:pPr>
        <w:pStyle w:val="paragraph"/>
        <w:tabs>
          <w:tab w:val="clear" w:pos="1531"/>
        </w:tabs>
        <w:ind w:hanging="510"/>
      </w:pPr>
      <w:r w:rsidRPr="009A1DFB">
        <w:t>(f)</w:t>
      </w:r>
      <w:r w:rsidR="00221CA3" w:rsidRPr="009A1DFB">
        <w:tab/>
        <w:t>located inside a</w:t>
      </w:r>
      <w:r w:rsidR="002E44C9">
        <w:t>n inner-</w:t>
      </w:r>
      <w:r w:rsidR="000126B5" w:rsidRPr="009A1DFB">
        <w:t>footprint area</w:t>
      </w:r>
      <w:r w:rsidR="00EC0A0E" w:rsidRPr="009A1DFB">
        <w:t>;</w:t>
      </w:r>
    </w:p>
    <w:p w14:paraId="07C091C5" w14:textId="4A8ECF0D" w:rsidR="00EA7531" w:rsidRPr="009A1DFB" w:rsidRDefault="00EA7531" w:rsidP="00C11957">
      <w:pPr>
        <w:pStyle w:val="subsection"/>
        <w:spacing w:before="60"/>
      </w:pPr>
      <w:r w:rsidRPr="009A1DFB">
        <w:tab/>
      </w:r>
      <w:r w:rsidRPr="009A1DFB">
        <w:tab/>
        <w:t>must not:</w:t>
      </w:r>
    </w:p>
    <w:p w14:paraId="0E6AF09E" w14:textId="4A290D27" w:rsidR="00EA7531" w:rsidRPr="009A1DFB" w:rsidRDefault="00EA7531" w:rsidP="00F16504">
      <w:pPr>
        <w:pStyle w:val="paragraph"/>
        <w:tabs>
          <w:tab w:val="clear" w:pos="1531"/>
        </w:tabs>
        <w:ind w:hanging="510"/>
      </w:pPr>
      <w:r w:rsidRPr="009A1DFB">
        <w:t>(g)</w:t>
      </w:r>
      <w:r w:rsidRPr="009A1DFB">
        <w:tab/>
      </w:r>
      <w:r w:rsidR="009F2EEE" w:rsidRPr="009A1DFB">
        <w:t>direct its antenna beam to within:</w:t>
      </w:r>
    </w:p>
    <w:p w14:paraId="7934F22D" w14:textId="7D194463" w:rsidR="009F2EEE" w:rsidRPr="009A1DFB" w:rsidRDefault="009F2EEE" w:rsidP="00F16504">
      <w:pPr>
        <w:pStyle w:val="paragraphsub"/>
        <w:tabs>
          <w:tab w:val="clear" w:pos="1985"/>
        </w:tabs>
        <w:ind w:hanging="397"/>
      </w:pPr>
      <w:r w:rsidRPr="009A1DFB">
        <w:t>(i)</w:t>
      </w:r>
      <w:r w:rsidRPr="009A1DFB">
        <w:tab/>
        <w:t xml:space="preserve">1.5 degrees of the geostationary orbit if it is connected to an antenna with a gain of greater than or equal to 34.7 </w:t>
      </w:r>
      <w:proofErr w:type="spellStart"/>
      <w:r w:rsidRPr="009A1DFB">
        <w:t>dBi</w:t>
      </w:r>
      <w:proofErr w:type="spellEnd"/>
      <w:r w:rsidRPr="009A1DFB">
        <w:t>; or</w:t>
      </w:r>
    </w:p>
    <w:p w14:paraId="45C5CABF" w14:textId="5C8E8818" w:rsidR="002B4C80" w:rsidRPr="009A1DFB" w:rsidRDefault="009F2EEE" w:rsidP="00F16504">
      <w:pPr>
        <w:pStyle w:val="paragraphsub"/>
        <w:tabs>
          <w:tab w:val="clear" w:pos="1985"/>
        </w:tabs>
        <w:ind w:hanging="397"/>
      </w:pPr>
      <w:r w:rsidRPr="009A1DFB">
        <w:t>(ii)</w:t>
      </w:r>
      <w:r w:rsidRPr="009A1DFB">
        <w:tab/>
      </w:r>
      <w:r w:rsidR="005D1655" w:rsidRPr="009A1DFB">
        <w:t xml:space="preserve">25 degrees of the geostationary orbit </w:t>
      </w:r>
      <w:r w:rsidR="00BF518F" w:rsidRPr="009A1DFB">
        <w:t xml:space="preserve">if it is connected to an antenna with a gain of less than 34.7 </w:t>
      </w:r>
      <w:proofErr w:type="spellStart"/>
      <w:r w:rsidR="00BF518F" w:rsidRPr="009A1DFB">
        <w:t>dBi</w:t>
      </w:r>
      <w:proofErr w:type="spellEnd"/>
      <w:r w:rsidR="00BF518F" w:rsidRPr="009A1DFB">
        <w:t>.</w:t>
      </w:r>
    </w:p>
    <w:p w14:paraId="20F0469D" w14:textId="151B5956" w:rsidR="00B5097C" w:rsidRPr="009A1DFB" w:rsidRDefault="00DF0708" w:rsidP="002B4C80">
      <w:pPr>
        <w:pStyle w:val="subsection"/>
      </w:pPr>
      <w:r w:rsidRPr="009A1DFB">
        <w:tab/>
      </w:r>
      <w:r w:rsidRPr="009A1DFB">
        <w:tab/>
      </w:r>
      <w:r w:rsidR="00F0423E" w:rsidRPr="009A1DFB">
        <w:t xml:space="preserve"> </w:t>
      </w:r>
    </w:p>
    <w:p w14:paraId="64775E81" w14:textId="77777777" w:rsidR="00E95F2A" w:rsidRPr="009A1DFB" w:rsidRDefault="00E95F2A" w:rsidP="00240AD7">
      <w:pPr>
        <w:pStyle w:val="subsection"/>
        <w:sectPr w:rsidR="00E95F2A" w:rsidRPr="009A1DFB">
          <w:pgSz w:w="11906" w:h="16838"/>
          <w:pgMar w:top="1440" w:right="1440" w:bottom="1440" w:left="1440" w:header="708" w:footer="708" w:gutter="0"/>
          <w:cols w:space="720"/>
        </w:sectPr>
      </w:pPr>
    </w:p>
    <w:p w14:paraId="25C4DD71" w14:textId="04EA102C" w:rsidR="00461E3F" w:rsidRPr="009A1DFB" w:rsidRDefault="00BD3576" w:rsidP="00BD40C5">
      <w:pPr>
        <w:pStyle w:val="Heading1"/>
      </w:pPr>
      <w:bookmarkStart w:id="31" w:name="_Toc55373536"/>
      <w:r w:rsidRPr="009A1DFB">
        <w:rPr>
          <w:rStyle w:val="CharPartNo"/>
        </w:rPr>
        <w:lastRenderedPageBreak/>
        <w:t>Part 5</w:t>
      </w:r>
      <w:r w:rsidRPr="009A1DFB">
        <w:rPr>
          <w:rStyle w:val="CharPartNo"/>
        </w:rPr>
        <w:tab/>
      </w:r>
      <w:r w:rsidR="00820991" w:rsidRPr="009A1DFB">
        <w:rPr>
          <w:rStyle w:val="CharPartNo"/>
        </w:rPr>
        <w:t>Services authorised by an area-wide licence</w:t>
      </w:r>
      <w:bookmarkEnd w:id="31"/>
      <w:r w:rsidR="00820991" w:rsidRPr="009A1DFB">
        <w:t xml:space="preserve"> </w:t>
      </w:r>
    </w:p>
    <w:p w14:paraId="43B8E52C" w14:textId="5291FF95" w:rsidR="00BD3576" w:rsidRPr="009A1DFB" w:rsidRDefault="00EF31BF" w:rsidP="00BD40C5">
      <w:pPr>
        <w:pStyle w:val="Heading2"/>
      </w:pPr>
      <w:bookmarkStart w:id="32" w:name="_Toc55373537"/>
      <w:r w:rsidRPr="009A1DFB">
        <w:rPr>
          <w:rStyle w:val="CharSectno"/>
        </w:rPr>
        <w:t>1</w:t>
      </w:r>
      <w:r w:rsidR="00255D83" w:rsidRPr="009A1DFB">
        <w:rPr>
          <w:rStyle w:val="CharSectno"/>
        </w:rPr>
        <w:t>2</w:t>
      </w:r>
      <w:r w:rsidRPr="009A1DFB">
        <w:t xml:space="preserve">  Background</w:t>
      </w:r>
      <w:bookmarkEnd w:id="32"/>
    </w:p>
    <w:p w14:paraId="115A1ABC" w14:textId="6E5463AD" w:rsidR="00EF31BF" w:rsidRPr="009A1DFB" w:rsidRDefault="00EF31BF" w:rsidP="00EF31BF">
      <w:pPr>
        <w:pStyle w:val="subsection"/>
      </w:pPr>
      <w:r w:rsidRPr="009A1DFB">
        <w:tab/>
        <w:t>(1)</w:t>
      </w:r>
      <w:r w:rsidRPr="009A1DFB">
        <w:tab/>
      </w:r>
      <w:r w:rsidR="002752AA" w:rsidRPr="009A1DFB">
        <w:t>A</w:t>
      </w:r>
      <w:r w:rsidR="005B0220" w:rsidRPr="009A1DFB">
        <w:t>rea-wide licen</w:t>
      </w:r>
      <w:r w:rsidR="000E47C2" w:rsidRPr="009A1DFB">
        <w:t>c</w:t>
      </w:r>
      <w:r w:rsidR="005B0220" w:rsidRPr="009A1DFB">
        <w:t>e</w:t>
      </w:r>
      <w:r w:rsidR="000E47C2" w:rsidRPr="009A1DFB">
        <w:t>s</w:t>
      </w:r>
      <w:r w:rsidR="005B0220" w:rsidRPr="009A1DFB">
        <w:t xml:space="preserve"> authorise </w:t>
      </w:r>
      <w:r w:rsidR="002752AA" w:rsidRPr="009A1DFB">
        <w:t xml:space="preserve">the operation of radiocommunications devices </w:t>
      </w:r>
      <w:r w:rsidR="005B0220" w:rsidRPr="009A1DFB">
        <w:t xml:space="preserve">in the </w:t>
      </w:r>
      <w:r w:rsidR="00860EB9" w:rsidRPr="009A1DFB">
        <w:t xml:space="preserve">frequency ranges </w:t>
      </w:r>
      <w:r w:rsidR="005B0220" w:rsidRPr="009A1DFB">
        <w:t>24.7</w:t>
      </w:r>
      <w:r w:rsidR="0020079C" w:rsidRPr="009A1DFB">
        <w:t> </w:t>
      </w:r>
      <w:r w:rsidR="005B0220" w:rsidRPr="009A1DFB">
        <w:t>GHz</w:t>
      </w:r>
      <w:r w:rsidR="000E47C2" w:rsidRPr="009A1DFB">
        <w:rPr>
          <w:rFonts w:eastAsiaTheme="minorHAnsi"/>
        </w:rPr>
        <w:t>–</w:t>
      </w:r>
      <w:r w:rsidR="005B0220" w:rsidRPr="009A1DFB">
        <w:t xml:space="preserve">25.1 GHz </w:t>
      </w:r>
      <w:r w:rsidR="00860EB9" w:rsidRPr="009A1DFB">
        <w:t>and 27.5</w:t>
      </w:r>
      <w:r w:rsidR="00AA46BF" w:rsidRPr="009A1DFB">
        <w:t xml:space="preserve"> GHz</w:t>
      </w:r>
      <w:r w:rsidR="00860EB9" w:rsidRPr="009A1DFB">
        <w:rPr>
          <w:rFonts w:eastAsiaTheme="minorHAnsi"/>
        </w:rPr>
        <w:t>–</w:t>
      </w:r>
      <w:r w:rsidR="006B55C2">
        <w:t>30</w:t>
      </w:r>
      <w:r w:rsidR="00860EB9" w:rsidRPr="009A1DFB">
        <w:t xml:space="preserve"> GHz</w:t>
      </w:r>
      <w:r w:rsidR="005B0220" w:rsidRPr="009A1DFB">
        <w:t xml:space="preserve"> Australia wide</w:t>
      </w:r>
      <w:r w:rsidR="002C061D" w:rsidRPr="009A1DFB">
        <w:t>,</w:t>
      </w:r>
      <w:r w:rsidR="005B0220" w:rsidRPr="009A1DFB">
        <w:t xml:space="preserve"> and </w:t>
      </w:r>
      <w:r w:rsidR="0045599F" w:rsidRPr="009A1DFB">
        <w:t>in the 26 GHz band</w:t>
      </w:r>
      <w:r w:rsidR="005B0220" w:rsidRPr="009A1DFB">
        <w:t xml:space="preserve"> outside </w:t>
      </w:r>
      <w:r w:rsidR="0045599F" w:rsidRPr="009A1DFB">
        <w:t xml:space="preserve">of the </w:t>
      </w:r>
      <w:r w:rsidR="005B0220" w:rsidRPr="009A1DFB">
        <w:t xml:space="preserve">geographic areas subject to 26 GHz band spectrum licensing. Frequency assignment instructions and technical arrangements for area-wide licences are </w:t>
      </w:r>
      <w:r w:rsidR="006A5007" w:rsidRPr="009A1DFB">
        <w:t xml:space="preserve">set out </w:t>
      </w:r>
      <w:r w:rsidR="005B0220" w:rsidRPr="009A1DFB">
        <w:t xml:space="preserve">in RALI </w:t>
      </w:r>
      <w:r w:rsidR="00862C19">
        <w:t>MS 46</w:t>
      </w:r>
      <w:r w:rsidR="005B0220" w:rsidRPr="009A1DFB">
        <w:t>.</w:t>
      </w:r>
    </w:p>
    <w:p w14:paraId="723834A3" w14:textId="107BC6C5" w:rsidR="00D05F47" w:rsidRPr="009A1DFB" w:rsidRDefault="00E3260B" w:rsidP="00EF31BF">
      <w:pPr>
        <w:pStyle w:val="subsection"/>
      </w:pPr>
      <w:r w:rsidRPr="009A1DFB">
        <w:tab/>
        <w:t>(2)</w:t>
      </w:r>
      <w:r w:rsidRPr="009A1DFB">
        <w:tab/>
      </w:r>
      <w:r w:rsidR="0019092A" w:rsidRPr="009A1DFB">
        <w:t xml:space="preserve">Radiocommunications transmitters operated under a spectrum licence in the 26 GHz band have the potential to cause interference to </w:t>
      </w:r>
      <w:r w:rsidR="00933DE5" w:rsidRPr="009A1DFB">
        <w:t xml:space="preserve">adjacent-area and adjacent-band </w:t>
      </w:r>
      <w:r w:rsidR="0019092A" w:rsidRPr="009A1DFB">
        <w:t>area-wide licensed receivers.</w:t>
      </w:r>
    </w:p>
    <w:p w14:paraId="23BE8C48" w14:textId="6E5DA89F" w:rsidR="003A278F" w:rsidRPr="009A1DFB" w:rsidRDefault="003A278F" w:rsidP="00EF31BF">
      <w:pPr>
        <w:pStyle w:val="subsection"/>
      </w:pPr>
      <w:r w:rsidRPr="009A1DFB">
        <w:tab/>
        <w:t>(3)</w:t>
      </w:r>
      <w:r w:rsidRPr="009A1DFB">
        <w:tab/>
      </w:r>
      <w:r w:rsidR="007F6E59" w:rsidRPr="009A1DFB">
        <w:t xml:space="preserve">The device boundary criterion, as defined in the </w:t>
      </w:r>
      <w:r w:rsidR="00C41677" w:rsidRPr="009A1DFB">
        <w:t xml:space="preserve">Subsection </w:t>
      </w:r>
      <w:r w:rsidR="007F6E59" w:rsidRPr="009A1DFB">
        <w:t>145(4) Determination, is the primary mechanism for managing interference across geographical boundaries. However, at times it may be necessary for licensees operating radiocommunications transmitters in the 26 GHz band to negotiate with</w:t>
      </w:r>
      <w:r w:rsidR="00860EB9" w:rsidRPr="009A1DFB">
        <w:t xml:space="preserve"> area-wide </w:t>
      </w:r>
      <w:r w:rsidR="007F6E59" w:rsidRPr="009A1DFB">
        <w:t>licensees when deploying services in order to avoid harmful interference.</w:t>
      </w:r>
    </w:p>
    <w:p w14:paraId="7CCD059E" w14:textId="7279ADFE" w:rsidR="007F6E59" w:rsidRPr="009A1DFB" w:rsidRDefault="007F6E59" w:rsidP="00EF31BF">
      <w:pPr>
        <w:pStyle w:val="subsection"/>
      </w:pPr>
      <w:r w:rsidRPr="009A1DFB">
        <w:tab/>
        <w:t>(4)</w:t>
      </w:r>
      <w:r w:rsidRPr="009A1DFB">
        <w:tab/>
      </w:r>
      <w:r w:rsidR="003620A2" w:rsidRPr="009A1DFB">
        <w:t xml:space="preserve">The primary mechanism for managing interference across frequency boundaries is adherence to the unwanted emissions limits defined in the 26 GHz band spectrum licence. However, as </w:t>
      </w:r>
      <w:r w:rsidR="0094344F" w:rsidRPr="009A1DFB">
        <w:t>the technical frameworks for</w:t>
      </w:r>
      <w:r w:rsidR="003620A2" w:rsidRPr="009A1DFB">
        <w:t xml:space="preserve"> 26 GHz band spectrum licences and area-wide licences </w:t>
      </w:r>
      <w:r w:rsidR="0094344F" w:rsidRPr="009A1DFB">
        <w:t>are optimised for services which operate</w:t>
      </w:r>
      <w:r w:rsidR="003620A2" w:rsidRPr="009A1DFB">
        <w:t xml:space="preserve"> in </w:t>
      </w:r>
      <w:r w:rsidR="00860EB9" w:rsidRPr="009A1DFB">
        <w:t xml:space="preserve">the time-division duplex </w:t>
      </w:r>
      <w:r w:rsidR="003620A2" w:rsidRPr="009A1DFB">
        <w:t xml:space="preserve">mode, there is potential for interference even when devices comply with </w:t>
      </w:r>
      <w:r w:rsidR="002636DF" w:rsidRPr="009A1DFB">
        <w:t>t</w:t>
      </w:r>
      <w:r w:rsidR="003620A2" w:rsidRPr="009A1DFB">
        <w:t xml:space="preserve">hose limits. Therefore, at times it may be necessary for </w:t>
      </w:r>
      <w:r w:rsidR="00305ACE" w:rsidRPr="009A1DFB">
        <w:t xml:space="preserve">spectrum </w:t>
      </w:r>
      <w:r w:rsidR="003620A2" w:rsidRPr="009A1DFB">
        <w:t>licensees operating radiocommunications transmitters in the 26</w:t>
      </w:r>
      <w:r w:rsidR="00103CF8" w:rsidRPr="009A1DFB">
        <w:t> </w:t>
      </w:r>
      <w:r w:rsidR="003620A2" w:rsidRPr="009A1DFB">
        <w:t xml:space="preserve">GHz band to negotiate with </w:t>
      </w:r>
      <w:r w:rsidR="00933DE5" w:rsidRPr="009A1DFB">
        <w:t>area-wide</w:t>
      </w:r>
      <w:r w:rsidR="003620A2" w:rsidRPr="009A1DFB">
        <w:t xml:space="preserve"> licensees when deploying services in order to avoid harmful interference.</w:t>
      </w:r>
    </w:p>
    <w:p w14:paraId="4CDF18A1" w14:textId="49CE37C0" w:rsidR="009943EF" w:rsidRDefault="00305ACE" w:rsidP="00EF31BF">
      <w:pPr>
        <w:pStyle w:val="subsection"/>
      </w:pPr>
      <w:r w:rsidRPr="009A1DFB">
        <w:tab/>
        <w:t>(5)</w:t>
      </w:r>
      <w:r w:rsidRPr="009A1DFB">
        <w:tab/>
      </w:r>
      <w:r w:rsidR="005E7F2B" w:rsidRPr="009A1DFB">
        <w:t>The procedures detailed in section 1</w:t>
      </w:r>
      <w:r w:rsidR="00F110AB" w:rsidRPr="009A1DFB">
        <w:t>3</w:t>
      </w:r>
      <w:r w:rsidR="005E7F2B" w:rsidRPr="009A1DFB">
        <w:t xml:space="preserve"> are to be used to </w:t>
      </w:r>
      <w:r w:rsidR="00CF0F65" w:rsidRPr="009A1DFB">
        <w:t xml:space="preserve">guide the </w:t>
      </w:r>
      <w:r w:rsidR="005E7F2B" w:rsidRPr="009A1DFB">
        <w:t>manage</w:t>
      </w:r>
      <w:r w:rsidR="00CF0F65" w:rsidRPr="009A1DFB">
        <w:t>ment of</w:t>
      </w:r>
      <w:r w:rsidR="005E7F2B" w:rsidRPr="009A1DFB">
        <w:t xml:space="preserve"> both adjacent-area and adjacent-band interference from radiocommunications transmitters operated under a spectrum licence in the 26 GHz </w:t>
      </w:r>
      <w:r w:rsidR="004E3490">
        <w:t xml:space="preserve">band </w:t>
      </w:r>
      <w:r w:rsidR="00C82257" w:rsidRPr="009A1DFB">
        <w:t>to</w:t>
      </w:r>
      <w:r w:rsidR="005E7F2B" w:rsidRPr="009A1DFB">
        <w:t xml:space="preserve"> receivers </w:t>
      </w:r>
      <w:r w:rsidR="00E76F35">
        <w:t>that</w:t>
      </w:r>
      <w:r w:rsidR="00096E30">
        <w:t xml:space="preserve"> are both</w:t>
      </w:r>
      <w:r w:rsidR="009943EF">
        <w:t>:</w:t>
      </w:r>
    </w:p>
    <w:p w14:paraId="1F8305DD" w14:textId="72B12053" w:rsidR="00096E30" w:rsidRDefault="009943EF" w:rsidP="009943EF">
      <w:pPr>
        <w:pStyle w:val="paragraph"/>
        <w:tabs>
          <w:tab w:val="clear" w:pos="1531"/>
        </w:tabs>
        <w:ind w:hanging="510"/>
      </w:pPr>
      <w:r>
        <w:t>(a)</w:t>
      </w:r>
      <w:r>
        <w:tab/>
      </w:r>
      <w:r w:rsidR="00E76F35">
        <w:t xml:space="preserve">receiving communications from a transmitter </w:t>
      </w:r>
      <w:r w:rsidR="005E7F2B" w:rsidRPr="009A1DFB">
        <w:t xml:space="preserve">operated under an area-wide licence in </w:t>
      </w:r>
      <w:r w:rsidR="00C27E64">
        <w:t>or</w:t>
      </w:r>
      <w:r w:rsidR="00C27E64" w:rsidRPr="009A1DFB">
        <w:t xml:space="preserve"> </w:t>
      </w:r>
      <w:r w:rsidR="005E7F2B" w:rsidRPr="009A1DFB">
        <w:t>adjacent to the 26 GHz band</w:t>
      </w:r>
      <w:r>
        <w:t>; and</w:t>
      </w:r>
    </w:p>
    <w:p w14:paraId="6CD4FC78" w14:textId="23BD415A" w:rsidR="009943EF" w:rsidRDefault="00096E30" w:rsidP="009943EF">
      <w:pPr>
        <w:pStyle w:val="paragraph"/>
        <w:tabs>
          <w:tab w:val="clear" w:pos="1531"/>
        </w:tabs>
        <w:ind w:hanging="510"/>
      </w:pPr>
      <w:r>
        <w:t>(b)</w:t>
      </w:r>
      <w:r>
        <w:tab/>
      </w:r>
      <w:r w:rsidR="00E76F35">
        <w:t xml:space="preserve">located in the geographic area authorised by the </w:t>
      </w:r>
      <w:r w:rsidR="00E76F35" w:rsidRPr="009A1DFB">
        <w:t>area-wide licence</w:t>
      </w:r>
      <w:r w:rsidR="005E7F2B" w:rsidRPr="009A1DFB">
        <w:t>.</w:t>
      </w:r>
    </w:p>
    <w:p w14:paraId="4255212F" w14:textId="73B28A2B" w:rsidR="00305ACE" w:rsidRPr="009A1DFB" w:rsidRDefault="009943EF" w:rsidP="00EF31BF">
      <w:pPr>
        <w:pStyle w:val="subsection"/>
      </w:pPr>
      <w:r>
        <w:tab/>
      </w:r>
      <w:r>
        <w:tab/>
      </w:r>
      <w:r w:rsidR="005E7F2B" w:rsidRPr="009A1DFB">
        <w:t>The ACMA will take the application of these procedures into account when resolving an interference dispute.</w:t>
      </w:r>
    </w:p>
    <w:p w14:paraId="35AA0F73" w14:textId="02B26A72" w:rsidR="00CF0F65" w:rsidRPr="009A1DFB" w:rsidRDefault="00CF0F65" w:rsidP="00BD40C5">
      <w:pPr>
        <w:pStyle w:val="Heading2"/>
      </w:pPr>
      <w:bookmarkStart w:id="33" w:name="_Toc55373538"/>
      <w:r w:rsidRPr="009A1DFB">
        <w:rPr>
          <w:rStyle w:val="CharSectno"/>
        </w:rPr>
        <w:t>1</w:t>
      </w:r>
      <w:r w:rsidR="00255D83" w:rsidRPr="009A1DFB">
        <w:rPr>
          <w:rStyle w:val="CharSectno"/>
        </w:rPr>
        <w:t>3</w:t>
      </w:r>
      <w:r w:rsidRPr="009A1DFB">
        <w:t xml:space="preserve">  Recommended preliminary coordination procedures</w:t>
      </w:r>
      <w:bookmarkEnd w:id="33"/>
    </w:p>
    <w:p w14:paraId="55185209" w14:textId="0323B5AB" w:rsidR="00096E30" w:rsidRDefault="00CF0F65" w:rsidP="00CF0F65">
      <w:pPr>
        <w:pStyle w:val="subsection"/>
      </w:pPr>
      <w:r w:rsidRPr="009A1DFB">
        <w:tab/>
        <w:t>(1)</w:t>
      </w:r>
      <w:r w:rsidRPr="009A1DFB">
        <w:tab/>
      </w:r>
      <w:r w:rsidR="008136B7" w:rsidRPr="009A1DFB">
        <w:t>Spectrum licensees planning to deploy radiocommunications transmitters in the 26 GHz band should have regard to radiocommunications receivers</w:t>
      </w:r>
      <w:r w:rsidR="00096E30">
        <w:t xml:space="preserve"> that are</w:t>
      </w:r>
      <w:r w:rsidR="00895EC1">
        <w:t>:</w:t>
      </w:r>
    </w:p>
    <w:p w14:paraId="6480DFF9" w14:textId="77777777" w:rsidR="00895EC1" w:rsidRDefault="00895EC1" w:rsidP="00096E30">
      <w:pPr>
        <w:pStyle w:val="paragraph"/>
        <w:tabs>
          <w:tab w:val="clear" w:pos="1531"/>
        </w:tabs>
        <w:ind w:hanging="510"/>
      </w:pPr>
      <w:r>
        <w:t>(a)</w:t>
      </w:r>
      <w:r>
        <w:tab/>
      </w:r>
      <w:r w:rsidR="008136B7" w:rsidRPr="009A1DFB">
        <w:t>recorded in the Register</w:t>
      </w:r>
      <w:r>
        <w:t>;</w:t>
      </w:r>
      <w:r w:rsidR="008136B7" w:rsidRPr="009A1DFB">
        <w:t xml:space="preserve"> and </w:t>
      </w:r>
    </w:p>
    <w:p w14:paraId="768C99C8" w14:textId="77777777" w:rsidR="00895EC1" w:rsidRDefault="00895EC1" w:rsidP="00096E30">
      <w:pPr>
        <w:pStyle w:val="paragraph"/>
        <w:tabs>
          <w:tab w:val="clear" w:pos="1531"/>
        </w:tabs>
        <w:ind w:hanging="510"/>
      </w:pPr>
      <w:r>
        <w:t>(b)</w:t>
      </w:r>
      <w:r>
        <w:tab/>
      </w:r>
      <w:r w:rsidR="00B05A93">
        <w:t xml:space="preserve">receiving communications from a transmitter </w:t>
      </w:r>
      <w:r w:rsidR="008136B7" w:rsidRPr="009A1DFB">
        <w:t xml:space="preserve">authorised by area-wide licences operating in </w:t>
      </w:r>
      <w:r w:rsidR="00C27E64">
        <w:t>or</w:t>
      </w:r>
      <w:r w:rsidR="00C27E64" w:rsidRPr="009A1DFB">
        <w:t xml:space="preserve"> </w:t>
      </w:r>
      <w:r w:rsidR="008136B7" w:rsidRPr="009A1DFB">
        <w:t>adjacent to the 26 GHz band</w:t>
      </w:r>
      <w:r>
        <w:t>; and</w:t>
      </w:r>
    </w:p>
    <w:p w14:paraId="4FBE8AE8" w14:textId="1088785B" w:rsidR="00CF0F65" w:rsidRPr="009A1DFB" w:rsidRDefault="00895EC1" w:rsidP="00096E30">
      <w:pPr>
        <w:pStyle w:val="paragraph"/>
        <w:tabs>
          <w:tab w:val="clear" w:pos="1531"/>
        </w:tabs>
        <w:ind w:hanging="510"/>
      </w:pPr>
      <w:r>
        <w:t>(c)</w:t>
      </w:r>
      <w:r>
        <w:tab/>
      </w:r>
      <w:r w:rsidR="00B05A93">
        <w:t xml:space="preserve">located in the geographic area authorised by the relevant </w:t>
      </w:r>
      <w:r w:rsidR="00B05A93" w:rsidRPr="009A1DFB">
        <w:t>area-wide licence</w:t>
      </w:r>
      <w:r w:rsidR="00B05A93">
        <w:t>s</w:t>
      </w:r>
      <w:r w:rsidR="008136B7" w:rsidRPr="009A1DFB">
        <w:t>.</w:t>
      </w:r>
    </w:p>
    <w:p w14:paraId="4F63186A" w14:textId="77777777" w:rsidR="00A863BE" w:rsidRDefault="00CD02DA" w:rsidP="00CF0F65">
      <w:pPr>
        <w:pStyle w:val="subsection"/>
      </w:pPr>
      <w:r w:rsidRPr="009A1DFB">
        <w:tab/>
        <w:t>(2)</w:t>
      </w:r>
      <w:r w:rsidRPr="009A1DFB">
        <w:tab/>
      </w:r>
      <w:r w:rsidR="00E21A67" w:rsidRPr="009A1DFB">
        <w:t>In planning for the operation of fixed transmitters under a spectrum licence in the 26 GHz band, spectrum licensees should coordinate with any radiocommunications receiver</w:t>
      </w:r>
      <w:r w:rsidR="00A863BE">
        <w:t>s that are:</w:t>
      </w:r>
    </w:p>
    <w:p w14:paraId="29608CF1" w14:textId="77777777" w:rsidR="00A863BE" w:rsidRDefault="00A863BE" w:rsidP="00A863BE">
      <w:pPr>
        <w:pStyle w:val="paragraph"/>
        <w:tabs>
          <w:tab w:val="clear" w:pos="1531"/>
        </w:tabs>
        <w:ind w:hanging="510"/>
      </w:pPr>
      <w:r>
        <w:t>(a)</w:t>
      </w:r>
      <w:r>
        <w:tab/>
      </w:r>
      <w:r w:rsidR="00A011FA" w:rsidRPr="009A1DFB">
        <w:t>recorded in the Register</w:t>
      </w:r>
      <w:r>
        <w:t>; and</w:t>
      </w:r>
    </w:p>
    <w:p w14:paraId="78E4B458" w14:textId="77777777" w:rsidR="00A863BE" w:rsidRDefault="00A863BE" w:rsidP="00A863BE">
      <w:pPr>
        <w:pStyle w:val="paragraph"/>
        <w:tabs>
          <w:tab w:val="clear" w:pos="1531"/>
        </w:tabs>
        <w:ind w:hanging="510"/>
      </w:pPr>
      <w:r>
        <w:t>(b)</w:t>
      </w:r>
      <w:r>
        <w:tab/>
      </w:r>
      <w:r w:rsidR="00B05A93">
        <w:t xml:space="preserve">receiving communications from a transmitter </w:t>
      </w:r>
      <w:r w:rsidR="00BE6288" w:rsidRPr="009A1DFB">
        <w:t>operated under an area-wide licence</w:t>
      </w:r>
      <w:r>
        <w:t>; and</w:t>
      </w:r>
    </w:p>
    <w:p w14:paraId="72A99BE2" w14:textId="23048572" w:rsidR="00A863BE" w:rsidRDefault="00A863BE" w:rsidP="00BC33C9">
      <w:pPr>
        <w:pStyle w:val="paragraph"/>
        <w:keepNext/>
        <w:tabs>
          <w:tab w:val="clear" w:pos="1531"/>
        </w:tabs>
        <w:ind w:hanging="510"/>
      </w:pPr>
      <w:r>
        <w:lastRenderedPageBreak/>
        <w:t>(c)</w:t>
      </w:r>
      <w:r>
        <w:tab/>
      </w:r>
      <w:r w:rsidR="00B05A93">
        <w:t xml:space="preserve">located in the geographic area authorised by the </w:t>
      </w:r>
      <w:r w:rsidR="00B05A93" w:rsidRPr="009A1DFB">
        <w:t>area-wide licence</w:t>
      </w:r>
      <w:r w:rsidR="00E21A67" w:rsidRPr="009A1DFB">
        <w:t xml:space="preserve">. </w:t>
      </w:r>
    </w:p>
    <w:p w14:paraId="54BC8F38" w14:textId="4D5928E1" w:rsidR="00CD02DA" w:rsidRPr="009A1DFB" w:rsidRDefault="00A863BE" w:rsidP="00DA04D3">
      <w:pPr>
        <w:pStyle w:val="subsection"/>
        <w:spacing w:before="120"/>
      </w:pPr>
      <w:r>
        <w:tab/>
      </w:r>
      <w:r>
        <w:tab/>
      </w:r>
      <w:r w:rsidR="00E21A67" w:rsidRPr="009A1DFB">
        <w:t>Th</w:t>
      </w:r>
      <w:r w:rsidR="00D9524C" w:rsidRPr="009A1DFB">
        <w:t>is</w:t>
      </w:r>
      <w:r w:rsidR="00E21A67" w:rsidRPr="009A1DFB">
        <w:t xml:space="preserve"> coordination should:</w:t>
      </w:r>
    </w:p>
    <w:p w14:paraId="78CC2EEE" w14:textId="38FE0BC0" w:rsidR="00D9524C" w:rsidRPr="009A1DFB" w:rsidRDefault="00D9524C" w:rsidP="00F16504">
      <w:pPr>
        <w:pStyle w:val="paragraph"/>
        <w:tabs>
          <w:tab w:val="clear" w:pos="1531"/>
        </w:tabs>
        <w:ind w:hanging="510"/>
      </w:pPr>
      <w:r w:rsidRPr="009A1DFB">
        <w:t>(</w:t>
      </w:r>
      <w:r w:rsidR="00DA04D3">
        <w:t>d</w:t>
      </w:r>
      <w:r w:rsidRPr="009A1DFB">
        <w:t>)</w:t>
      </w:r>
      <w:r w:rsidRPr="009A1DFB">
        <w:tab/>
        <w:t>use the parameters of the radiocommunications receivers as recorded in the Register;</w:t>
      </w:r>
    </w:p>
    <w:p w14:paraId="60CB854D" w14:textId="0A05C80E" w:rsidR="00D9524C" w:rsidRPr="009A1DFB" w:rsidRDefault="00D9524C" w:rsidP="00F16504">
      <w:pPr>
        <w:pStyle w:val="paragraph"/>
        <w:tabs>
          <w:tab w:val="clear" w:pos="1531"/>
        </w:tabs>
        <w:ind w:hanging="510"/>
        <w:rPr>
          <w:i/>
          <w:iCs/>
        </w:rPr>
      </w:pPr>
      <w:r w:rsidRPr="009A1DFB">
        <w:t>(</w:t>
      </w:r>
      <w:r w:rsidR="00DA04D3">
        <w:t>e</w:t>
      </w:r>
      <w:r w:rsidRPr="009A1DFB">
        <w:t>)</w:t>
      </w:r>
      <w:r w:rsidRPr="009A1DFB">
        <w:tab/>
      </w:r>
      <w:r w:rsidR="00747A03" w:rsidRPr="009A1DFB">
        <w:t xml:space="preserve">use the compatibility requirement set out in Schedule 2 of the </w:t>
      </w:r>
      <w:r w:rsidR="00747A03" w:rsidRPr="009A1DFB">
        <w:rPr>
          <w:i/>
          <w:iCs/>
        </w:rPr>
        <w:t>Radiocommunications Advisory Guidelines (Managing Interference to Spectrum Licensed Receivers — 26 GHz Band) 2020</w:t>
      </w:r>
      <w:r w:rsidR="00747A03" w:rsidRPr="009A1DFB">
        <w:t>;</w:t>
      </w:r>
    </w:p>
    <w:p w14:paraId="1DBBF90C" w14:textId="7A84A9DE" w:rsidR="00747A03" w:rsidRPr="009A1DFB" w:rsidRDefault="00747A03" w:rsidP="00F16504">
      <w:pPr>
        <w:pStyle w:val="paragraph"/>
        <w:tabs>
          <w:tab w:val="clear" w:pos="1531"/>
        </w:tabs>
        <w:ind w:hanging="510"/>
      </w:pPr>
      <w:r w:rsidRPr="009A1DFB">
        <w:t>(</w:t>
      </w:r>
      <w:r w:rsidR="00DA04D3">
        <w:t>f</w:t>
      </w:r>
      <w:r w:rsidRPr="009A1DFB">
        <w:t>)</w:t>
      </w:r>
      <w:r w:rsidRPr="009A1DFB">
        <w:tab/>
      </w:r>
      <w:r w:rsidR="009A6379" w:rsidRPr="009A1DFB">
        <w:t xml:space="preserve">use the notional receiver performance levels set out in Schedule 1 of the </w:t>
      </w:r>
      <w:r w:rsidR="00996BDE" w:rsidRPr="009A1DFB">
        <w:rPr>
          <w:i/>
          <w:iCs/>
        </w:rPr>
        <w:t xml:space="preserve">Radiocommunications Advisory Guidelines (Managing Interference to Spectrum Licensed Receivers — </w:t>
      </w:r>
      <w:r w:rsidR="00C44B02" w:rsidRPr="009A1DFB">
        <w:rPr>
          <w:i/>
          <w:iCs/>
        </w:rPr>
        <w:t>26 GHz Band) 2020</w:t>
      </w:r>
      <w:r w:rsidR="00A74BE3" w:rsidRPr="009A1DFB">
        <w:t xml:space="preserve">; </w:t>
      </w:r>
    </w:p>
    <w:p w14:paraId="425791C0" w14:textId="3F8BF629" w:rsidR="00A74BE3" w:rsidRPr="009A1DFB" w:rsidRDefault="00A74BE3" w:rsidP="00F16504">
      <w:pPr>
        <w:pStyle w:val="paragraph"/>
        <w:tabs>
          <w:tab w:val="clear" w:pos="1531"/>
        </w:tabs>
        <w:ind w:hanging="510"/>
      </w:pPr>
      <w:r w:rsidRPr="009A1DFB">
        <w:t>(</w:t>
      </w:r>
      <w:r w:rsidR="00DA04D3">
        <w:t>g</w:t>
      </w:r>
      <w:r w:rsidRPr="009A1DFB">
        <w:t>)</w:t>
      </w:r>
      <w:r w:rsidRPr="009A1DFB">
        <w:tab/>
        <w:t xml:space="preserve">make use of a suitable propagation model to model path loss </w:t>
      </w:r>
      <w:r w:rsidR="00FC6BB0" w:rsidRPr="009A1DFB">
        <w:t>between the fixed transmitters and radiocommunications receivers; and</w:t>
      </w:r>
    </w:p>
    <w:p w14:paraId="2747DF27" w14:textId="43ACB5D3" w:rsidR="00FC6BB0" w:rsidRPr="009A1DFB" w:rsidRDefault="00FC6BB0" w:rsidP="00F16504">
      <w:pPr>
        <w:pStyle w:val="paragraph"/>
        <w:tabs>
          <w:tab w:val="clear" w:pos="1531"/>
        </w:tabs>
        <w:ind w:hanging="510"/>
      </w:pPr>
      <w:r w:rsidRPr="009A1DFB">
        <w:t>(</w:t>
      </w:r>
      <w:r w:rsidR="00DA04D3">
        <w:t>h</w:t>
      </w:r>
      <w:r w:rsidRPr="009A1DFB">
        <w:t>)</w:t>
      </w:r>
      <w:r w:rsidR="00F16504" w:rsidRPr="009A1DFB">
        <w:tab/>
      </w:r>
      <w:r w:rsidRPr="009A1DFB">
        <w:t>take into account terrain and any other relevant factors</w:t>
      </w:r>
      <w:r w:rsidR="00513F04" w:rsidRPr="009A1DFB">
        <w:t>.</w:t>
      </w:r>
    </w:p>
    <w:p w14:paraId="5747D553" w14:textId="44F3CD30" w:rsidR="008214C9" w:rsidRPr="009A1DFB" w:rsidRDefault="008214C9" w:rsidP="008214C9">
      <w:pPr>
        <w:pStyle w:val="notetext"/>
      </w:pPr>
      <w:r w:rsidRPr="009A1DFB">
        <w:t>Note:</w:t>
      </w:r>
      <w:r w:rsidRPr="009A1DFB">
        <w:tab/>
        <w:t xml:space="preserve">An example of a suitable propagation model is that set out in section </w:t>
      </w:r>
      <w:r w:rsidR="00D01794" w:rsidRPr="009A1DFB">
        <w:t>4.5.2 of the ITU-R Recommendation P.526-1</w:t>
      </w:r>
      <w:r w:rsidR="00F623A3" w:rsidRPr="009A1DFB">
        <w:t>5</w:t>
      </w:r>
      <w:r w:rsidR="005823FD" w:rsidRPr="009A1DFB">
        <w:t>:</w:t>
      </w:r>
      <w:r w:rsidR="00D01794" w:rsidRPr="009A1DFB">
        <w:t xml:space="preserve"> </w:t>
      </w:r>
      <w:r w:rsidR="005823FD" w:rsidRPr="009A1DFB">
        <w:t>“</w:t>
      </w:r>
      <w:r w:rsidR="00D01794" w:rsidRPr="009A1DFB">
        <w:rPr>
          <w:i/>
          <w:iCs/>
        </w:rPr>
        <w:t>Propagation by diffraction</w:t>
      </w:r>
      <w:r w:rsidR="005823FD" w:rsidRPr="009A1DFB">
        <w:rPr>
          <w:i/>
          <w:iCs/>
        </w:rPr>
        <w:t>”</w:t>
      </w:r>
      <w:r w:rsidR="003D4F4A" w:rsidRPr="009A1DFB">
        <w:t xml:space="preserve">, available free </w:t>
      </w:r>
      <w:r w:rsidR="009D0DDF">
        <w:t xml:space="preserve">of charge </w:t>
      </w:r>
      <w:r w:rsidR="000F298E" w:rsidRPr="009A1DFB">
        <w:t>from</w:t>
      </w:r>
      <w:r w:rsidR="003D4F4A" w:rsidRPr="009A1DFB">
        <w:t xml:space="preserve"> the ITU website: </w:t>
      </w:r>
      <w:hyperlink r:id="rId24" w:history="1">
        <w:r w:rsidR="000E5FDB" w:rsidRPr="009A1DFB">
          <w:rPr>
            <w:rStyle w:val="Hyperlink"/>
          </w:rPr>
          <w:t>www.itu.int</w:t>
        </w:r>
      </w:hyperlink>
      <w:r w:rsidR="000E5FDB" w:rsidRPr="009A1DFB">
        <w:t xml:space="preserve">. </w:t>
      </w:r>
    </w:p>
    <w:p w14:paraId="70E328CF" w14:textId="2FFE00BA" w:rsidR="003F2CEC" w:rsidRPr="009A1DFB" w:rsidRDefault="004D013E" w:rsidP="004D013E">
      <w:pPr>
        <w:pStyle w:val="subsection"/>
      </w:pPr>
      <w:r w:rsidRPr="009A1DFB">
        <w:tab/>
        <w:t>(3)</w:t>
      </w:r>
      <w:r w:rsidRPr="009A1DFB">
        <w:tab/>
      </w:r>
      <w:r w:rsidR="00497677" w:rsidRPr="009A1DFB">
        <w:t>If</w:t>
      </w:r>
      <w:r w:rsidR="003033CD" w:rsidRPr="009A1DFB">
        <w:t xml:space="preserve"> coordination performed under subsection (2) indicates interference may occur, spectrum licensees should consider:</w:t>
      </w:r>
    </w:p>
    <w:p w14:paraId="499E8B73" w14:textId="63A0CE64" w:rsidR="003033CD" w:rsidRPr="009A1DFB" w:rsidRDefault="00A61E9F" w:rsidP="00F16504">
      <w:pPr>
        <w:pStyle w:val="paragraph"/>
        <w:tabs>
          <w:tab w:val="clear" w:pos="1531"/>
        </w:tabs>
        <w:ind w:hanging="510"/>
      </w:pPr>
      <w:r w:rsidRPr="009A1DFB">
        <w:t>(a)</w:t>
      </w:r>
      <w:r w:rsidRPr="009A1DFB">
        <w:tab/>
        <w:t>replanning the deployment of the fixed transmitter to avoid causing harmful interference; or</w:t>
      </w:r>
    </w:p>
    <w:p w14:paraId="1B333496" w14:textId="61613F15" w:rsidR="00A61E9F" w:rsidRPr="009A1DFB" w:rsidRDefault="00A61E9F" w:rsidP="00F16504">
      <w:pPr>
        <w:pStyle w:val="paragraph"/>
        <w:tabs>
          <w:tab w:val="clear" w:pos="1531"/>
        </w:tabs>
        <w:ind w:hanging="510"/>
      </w:pPr>
      <w:r w:rsidRPr="009A1DFB">
        <w:t>(b)</w:t>
      </w:r>
      <w:r w:rsidRPr="009A1DFB">
        <w:tab/>
        <w:t>negotiating with the licensee of the affected area</w:t>
      </w:r>
      <w:r w:rsidR="004944AE" w:rsidRPr="009A1DFB">
        <w:t>-wide licen</w:t>
      </w:r>
      <w:r w:rsidR="00C82257" w:rsidRPr="009A1DFB">
        <w:t>c</w:t>
      </w:r>
      <w:r w:rsidR="004944AE" w:rsidRPr="009A1DFB">
        <w:t>e to find a resolution.</w:t>
      </w:r>
    </w:p>
    <w:p w14:paraId="13B75F82" w14:textId="64874196" w:rsidR="004944AE" w:rsidRPr="009A1DFB" w:rsidRDefault="004944AE" w:rsidP="004944AE">
      <w:pPr>
        <w:pStyle w:val="subsection"/>
      </w:pPr>
      <w:r w:rsidRPr="009A1DFB">
        <w:tab/>
        <w:t>(4)</w:t>
      </w:r>
      <w:r w:rsidRPr="009A1DFB">
        <w:tab/>
        <w:t xml:space="preserve">In the event a solution under subsection (3) cannot be found, interference is to be managed through the application of any synchronisation requirement condition included in the spectrum licence, unless other arrangements are agreed to by the affected licensees. </w:t>
      </w:r>
    </w:p>
    <w:p w14:paraId="581A7157" w14:textId="37D8550F" w:rsidR="00E37883" w:rsidRPr="009A1DFB" w:rsidRDefault="00E37883" w:rsidP="00E37883">
      <w:pPr>
        <w:pStyle w:val="notetext"/>
      </w:pPr>
    </w:p>
    <w:p w14:paraId="6A380D11" w14:textId="77777777" w:rsidR="00D26B4F" w:rsidRPr="009A1DFB" w:rsidRDefault="00D26B4F" w:rsidP="00E37883">
      <w:pPr>
        <w:pStyle w:val="notetext"/>
        <w:sectPr w:rsidR="00D26B4F" w:rsidRPr="009A1DFB">
          <w:pgSz w:w="11906" w:h="16838"/>
          <w:pgMar w:top="1440" w:right="1440" w:bottom="1440" w:left="1440" w:header="708" w:footer="708" w:gutter="0"/>
          <w:cols w:space="720"/>
        </w:sectPr>
      </w:pPr>
    </w:p>
    <w:p w14:paraId="1C1AD7E7" w14:textId="46AF356F" w:rsidR="000F78CB" w:rsidRPr="009A1DFB" w:rsidRDefault="00FB48D7" w:rsidP="00BD40C5">
      <w:pPr>
        <w:pStyle w:val="Heading1"/>
      </w:pPr>
      <w:bookmarkStart w:id="34" w:name="_Toc55373539"/>
      <w:r w:rsidRPr="009A1DFB">
        <w:rPr>
          <w:rStyle w:val="CharPartNo"/>
        </w:rPr>
        <w:lastRenderedPageBreak/>
        <w:t xml:space="preserve">Part </w:t>
      </w:r>
      <w:r w:rsidR="00350FEB" w:rsidRPr="009A1DFB">
        <w:rPr>
          <w:rStyle w:val="CharPartNo"/>
        </w:rPr>
        <w:t>6</w:t>
      </w:r>
      <w:r w:rsidRPr="009A1DFB">
        <w:rPr>
          <w:rStyle w:val="CharPartNo"/>
        </w:rPr>
        <w:tab/>
        <w:t>Class licensed services</w:t>
      </w:r>
      <w:bookmarkEnd w:id="34"/>
    </w:p>
    <w:p w14:paraId="36988C39" w14:textId="4F1DC572" w:rsidR="001251D0" w:rsidRPr="009A1DFB" w:rsidRDefault="008E77FF" w:rsidP="00BD40C5">
      <w:pPr>
        <w:pStyle w:val="Heading2"/>
      </w:pPr>
      <w:bookmarkStart w:id="35" w:name="_Toc55373540"/>
      <w:r w:rsidRPr="009A1DFB">
        <w:rPr>
          <w:rStyle w:val="CharSectno"/>
        </w:rPr>
        <w:t>1</w:t>
      </w:r>
      <w:r w:rsidR="00255D83" w:rsidRPr="009A1DFB">
        <w:rPr>
          <w:rStyle w:val="CharSectno"/>
        </w:rPr>
        <w:t>4</w:t>
      </w:r>
      <w:r w:rsidRPr="009A1DFB">
        <w:t xml:space="preserve">  </w:t>
      </w:r>
      <w:r w:rsidR="001251D0" w:rsidRPr="009A1DFB">
        <w:t>Background</w:t>
      </w:r>
      <w:bookmarkEnd w:id="35"/>
    </w:p>
    <w:p w14:paraId="564D4434" w14:textId="47769E91" w:rsidR="001251D0" w:rsidRPr="009A1DFB" w:rsidRDefault="001251D0" w:rsidP="001251D0">
      <w:pPr>
        <w:pStyle w:val="subsection"/>
      </w:pPr>
      <w:r w:rsidRPr="009A1DFB">
        <w:tab/>
      </w:r>
      <w:r w:rsidR="00145B47" w:rsidRPr="009A1DFB">
        <w:tab/>
      </w:r>
      <w:r w:rsidR="00C26F3F" w:rsidRPr="009A1DFB">
        <w:t xml:space="preserve">The </w:t>
      </w:r>
      <w:r w:rsidR="00C26F3F" w:rsidRPr="009A1DFB">
        <w:rPr>
          <w:i/>
          <w:iCs/>
        </w:rPr>
        <w:t>Radiocommunications (Body Scanning – Aviation Security) Class Licence 2018</w:t>
      </w:r>
      <w:r w:rsidR="00532111" w:rsidRPr="009A1DFB">
        <w:rPr>
          <w:i/>
          <w:iCs/>
        </w:rPr>
        <w:t xml:space="preserve"> </w:t>
      </w:r>
      <w:r w:rsidR="00C26F3F" w:rsidRPr="009A1DFB">
        <w:t xml:space="preserve">and </w:t>
      </w:r>
      <w:r w:rsidR="00C82257" w:rsidRPr="009A1DFB">
        <w:t xml:space="preserve">the </w:t>
      </w:r>
      <w:r w:rsidR="00C26F3F" w:rsidRPr="009A1DFB">
        <w:rPr>
          <w:i/>
          <w:iCs/>
        </w:rPr>
        <w:t>Radiocommunications (Low Interference Potential Devices) Class Licence 2015</w:t>
      </w:r>
      <w:r w:rsidR="00C26F3F" w:rsidRPr="009A1DFB">
        <w:t xml:space="preserve"> </w:t>
      </w:r>
      <w:r w:rsidR="00CE4315" w:rsidRPr="009A1DFB">
        <w:t xml:space="preserve">each </w:t>
      </w:r>
      <w:r w:rsidR="00C26F3F" w:rsidRPr="009A1DFB">
        <w:t>permit</w:t>
      </w:r>
      <w:r w:rsidR="00694FE0">
        <w:t>s</w:t>
      </w:r>
      <w:r w:rsidR="00C26F3F" w:rsidRPr="009A1DFB">
        <w:t xml:space="preserve"> the operation of a number of different types of radiocommunications transmitters in the 26 </w:t>
      </w:r>
      <w:r w:rsidR="00C82257" w:rsidRPr="009A1DFB">
        <w:t>G</w:t>
      </w:r>
      <w:r w:rsidR="00C26F3F" w:rsidRPr="009A1DFB">
        <w:t>Hz band.</w:t>
      </w:r>
    </w:p>
    <w:p w14:paraId="38AA6715" w14:textId="7400B368" w:rsidR="0055304E" w:rsidRPr="009A1DFB" w:rsidRDefault="0055304E" w:rsidP="00BD40C5">
      <w:pPr>
        <w:pStyle w:val="Heading2"/>
      </w:pPr>
      <w:bookmarkStart w:id="36" w:name="_Toc55373541"/>
      <w:r w:rsidRPr="009A1DFB">
        <w:t>1</w:t>
      </w:r>
      <w:r w:rsidR="00255D83" w:rsidRPr="009A1DFB">
        <w:t>5</w:t>
      </w:r>
      <w:r w:rsidRPr="009A1DFB">
        <w:t xml:space="preserve">  Protection requirements</w:t>
      </w:r>
      <w:bookmarkEnd w:id="36"/>
    </w:p>
    <w:p w14:paraId="07253785" w14:textId="20F21983" w:rsidR="0055304E" w:rsidRPr="009A1DFB" w:rsidRDefault="00D64C2C" w:rsidP="0055304E">
      <w:pPr>
        <w:pStyle w:val="subsection"/>
      </w:pPr>
      <w:r w:rsidRPr="009A1DFB">
        <w:tab/>
      </w:r>
      <w:r w:rsidR="00F16504" w:rsidRPr="009A1DFB">
        <w:tab/>
      </w:r>
      <w:r w:rsidR="00254AFD" w:rsidRPr="009A1DFB">
        <w:t xml:space="preserve">A device operated under the </w:t>
      </w:r>
      <w:bookmarkStart w:id="37" w:name="_Hlk50118991"/>
      <w:r w:rsidR="009A1F17" w:rsidRPr="009A1DFB">
        <w:rPr>
          <w:i/>
          <w:iCs/>
        </w:rPr>
        <w:t>Radiocommunications (Body Scanning – Aviation Security) Class Licence 2018</w:t>
      </w:r>
      <w:bookmarkEnd w:id="37"/>
      <w:r w:rsidR="00254AFD" w:rsidRPr="009A1DFB">
        <w:rPr>
          <w:i/>
          <w:iCs/>
        </w:rPr>
        <w:t xml:space="preserve"> </w:t>
      </w:r>
      <w:r w:rsidR="00254AFD" w:rsidRPr="009A1DFB">
        <w:t>will be</w:t>
      </w:r>
      <w:r w:rsidR="00254AFD" w:rsidRPr="009A1DFB">
        <w:rPr>
          <w:i/>
          <w:iCs/>
        </w:rPr>
        <w:t xml:space="preserve"> </w:t>
      </w:r>
      <w:r w:rsidR="00254AFD" w:rsidRPr="009A1DFB">
        <w:t>afforded protection from harmful interference caused by a radiocommunications transmitter operated under a spectrum licence in the 26 GHz band</w:t>
      </w:r>
      <w:r w:rsidR="009A1F17" w:rsidRPr="009A1DFB">
        <w:t>.</w:t>
      </w:r>
    </w:p>
    <w:p w14:paraId="4DF53D5E" w14:textId="6634AA7C" w:rsidR="00A02633" w:rsidRPr="009A1DFB" w:rsidRDefault="00A02633" w:rsidP="00A02633">
      <w:pPr>
        <w:pStyle w:val="notetext"/>
      </w:pPr>
      <w:r w:rsidRPr="009A1DFB">
        <w:t xml:space="preserve">Note: </w:t>
      </w:r>
      <w:r w:rsidR="00390F1C" w:rsidRPr="009A1DFB">
        <w:tab/>
        <w:t xml:space="preserve">A radiocommunications receiver operated under a spectrum licence in the 26 GHz band is not afforded protection from interference </w:t>
      </w:r>
      <w:r w:rsidR="00ED7551" w:rsidRPr="009A1DFB">
        <w:t xml:space="preserve">caused </w:t>
      </w:r>
      <w:r w:rsidR="00390F1C" w:rsidRPr="009A1DFB">
        <w:t xml:space="preserve">by a device operated under the </w:t>
      </w:r>
      <w:r w:rsidR="00390F1C" w:rsidRPr="009A1DFB">
        <w:rPr>
          <w:i/>
          <w:iCs/>
        </w:rPr>
        <w:t>Radiocommunications (Body Scanning – Aviation Security) Class Licence 2018</w:t>
      </w:r>
      <w:r w:rsidR="00390F1C" w:rsidRPr="009A1DFB">
        <w:t>.</w:t>
      </w:r>
    </w:p>
    <w:p w14:paraId="1D0F4877" w14:textId="4A778A82" w:rsidR="006D3FDA" w:rsidRPr="009A1DFB" w:rsidRDefault="005404DC" w:rsidP="0055304E">
      <w:pPr>
        <w:pStyle w:val="subsection"/>
      </w:pPr>
      <w:r w:rsidRPr="009A1DFB">
        <w:t>.</w:t>
      </w:r>
    </w:p>
    <w:p w14:paraId="63392DA5" w14:textId="77777777" w:rsidR="0029276D" w:rsidRPr="009A1DFB" w:rsidRDefault="0029276D" w:rsidP="0055304E">
      <w:pPr>
        <w:pStyle w:val="subsection"/>
        <w:sectPr w:rsidR="0029276D" w:rsidRPr="009A1DFB">
          <w:pgSz w:w="11906" w:h="16838"/>
          <w:pgMar w:top="1440" w:right="1440" w:bottom="1440" w:left="1440" w:header="708" w:footer="708" w:gutter="0"/>
          <w:cols w:space="720"/>
        </w:sectPr>
      </w:pPr>
    </w:p>
    <w:p w14:paraId="4AD7E910" w14:textId="025E9788" w:rsidR="0029276D" w:rsidRPr="009A1DFB" w:rsidRDefault="0029276D" w:rsidP="00BD40C5">
      <w:pPr>
        <w:pStyle w:val="Heading1"/>
      </w:pPr>
      <w:bookmarkStart w:id="38" w:name="_Toc55373542"/>
      <w:r w:rsidRPr="009A1DFB">
        <w:rPr>
          <w:rStyle w:val="CharPartNo"/>
        </w:rPr>
        <w:lastRenderedPageBreak/>
        <w:t xml:space="preserve">Part </w:t>
      </w:r>
      <w:r w:rsidR="00350FEB" w:rsidRPr="009A1DFB">
        <w:rPr>
          <w:rStyle w:val="CharPartNo"/>
        </w:rPr>
        <w:t>7</w:t>
      </w:r>
      <w:r w:rsidRPr="009A1DFB">
        <w:rPr>
          <w:rStyle w:val="CharPartNo"/>
        </w:rPr>
        <w:tab/>
        <w:t>Fixed services</w:t>
      </w:r>
      <w:bookmarkEnd w:id="38"/>
    </w:p>
    <w:p w14:paraId="309A7D5B" w14:textId="66F3EACB" w:rsidR="00256E13" w:rsidRPr="009A1DFB" w:rsidRDefault="00E05F72" w:rsidP="00BD40C5">
      <w:pPr>
        <w:pStyle w:val="Heading2"/>
      </w:pPr>
      <w:bookmarkStart w:id="39" w:name="_Toc55373543"/>
      <w:r w:rsidRPr="009A1DFB">
        <w:rPr>
          <w:rStyle w:val="CharSectno"/>
        </w:rPr>
        <w:t>1</w:t>
      </w:r>
      <w:r w:rsidR="00255D83" w:rsidRPr="009A1DFB">
        <w:rPr>
          <w:rStyle w:val="CharSectno"/>
        </w:rPr>
        <w:t>6</w:t>
      </w:r>
      <w:r w:rsidRPr="009A1DFB">
        <w:t xml:space="preserve">  Background</w:t>
      </w:r>
      <w:bookmarkEnd w:id="39"/>
    </w:p>
    <w:p w14:paraId="7D5DEFBD" w14:textId="7C15CF9C" w:rsidR="00F06DBB" w:rsidRPr="009A1DFB" w:rsidRDefault="00670A19" w:rsidP="00E05F72">
      <w:pPr>
        <w:pStyle w:val="subsection"/>
      </w:pPr>
      <w:r w:rsidRPr="009A1DFB">
        <w:tab/>
        <w:t>(1)</w:t>
      </w:r>
      <w:r w:rsidRPr="009A1DFB">
        <w:tab/>
      </w:r>
      <w:r w:rsidR="005F52AE" w:rsidRPr="009A1DFB">
        <w:t>Apparatus licensed fixed services operate in the frequency range 27.</w:t>
      </w:r>
      <w:r w:rsidR="009C2C5D" w:rsidRPr="009A1DFB">
        <w:t>5 </w:t>
      </w:r>
      <w:r w:rsidR="005F52AE" w:rsidRPr="009A1DFB">
        <w:t>GHz</w:t>
      </w:r>
      <w:r w:rsidR="009C2C5D" w:rsidRPr="009A1DFB">
        <w:rPr>
          <w:rFonts w:eastAsiaTheme="minorHAnsi"/>
        </w:rPr>
        <w:t>–</w:t>
      </w:r>
      <w:r w:rsidR="005F52AE" w:rsidRPr="009A1DFB">
        <w:t>29.5 GHz and are licensed in accordance with the frequency assignment criteria detailed in RALI FX 3</w:t>
      </w:r>
      <w:r w:rsidR="00F06DBB" w:rsidRPr="009A1DFB">
        <w:t>.</w:t>
      </w:r>
    </w:p>
    <w:p w14:paraId="4B84D827" w14:textId="0641E740" w:rsidR="00BB03D1" w:rsidRPr="009A1DFB" w:rsidRDefault="00F06DBB" w:rsidP="006866DF">
      <w:pPr>
        <w:pStyle w:val="subsection"/>
      </w:pPr>
      <w:r w:rsidRPr="009A1DFB">
        <w:tab/>
        <w:t>(2)</w:t>
      </w:r>
      <w:r w:rsidRPr="009A1DFB">
        <w:tab/>
      </w:r>
      <w:r w:rsidR="00690181" w:rsidRPr="009A1DFB">
        <w:t xml:space="preserve">RALI </w:t>
      </w:r>
      <w:r w:rsidR="00862C19">
        <w:t>MS 46</w:t>
      </w:r>
      <w:r w:rsidR="00690181" w:rsidRPr="009A1DFB">
        <w:t xml:space="preserve"> contains the </w:t>
      </w:r>
      <w:r w:rsidR="003B42D9" w:rsidRPr="009A1DFB">
        <w:t xml:space="preserve">coordination requirements </w:t>
      </w:r>
      <w:r w:rsidR="00EE5274" w:rsidRPr="009A1DFB">
        <w:t xml:space="preserve">to </w:t>
      </w:r>
      <w:r w:rsidR="00690181" w:rsidRPr="009A1DFB">
        <w:t>protect fixed service</w:t>
      </w:r>
      <w:r w:rsidR="006A774C" w:rsidRPr="009A1DFB">
        <w:t>s</w:t>
      </w:r>
      <w:r w:rsidR="00690181" w:rsidRPr="009A1DFB">
        <w:t xml:space="preserve"> </w:t>
      </w:r>
      <w:r w:rsidR="00EE5274" w:rsidRPr="009A1DFB">
        <w:t>from</w:t>
      </w:r>
      <w:r w:rsidR="00690181" w:rsidRPr="009A1DFB">
        <w:t xml:space="preserve"> interference </w:t>
      </w:r>
      <w:r w:rsidR="00EE5274" w:rsidRPr="009A1DFB">
        <w:t xml:space="preserve">caused by </w:t>
      </w:r>
      <w:r w:rsidR="00690181" w:rsidRPr="009A1DFB">
        <w:t>area-wide apparatus licensed services.</w:t>
      </w:r>
    </w:p>
    <w:p w14:paraId="4574A573" w14:textId="11BB828F" w:rsidR="006E6A3B" w:rsidRPr="009A1DFB" w:rsidRDefault="006E6A3B" w:rsidP="00BD40C5">
      <w:pPr>
        <w:pStyle w:val="Heading2"/>
      </w:pPr>
      <w:bookmarkStart w:id="40" w:name="_Toc55373544"/>
      <w:r w:rsidRPr="009A1DFB">
        <w:t>1</w:t>
      </w:r>
      <w:r w:rsidR="00255D83" w:rsidRPr="009A1DFB">
        <w:t>7</w:t>
      </w:r>
      <w:r w:rsidRPr="009A1DFB">
        <w:t xml:space="preserve">  </w:t>
      </w:r>
      <w:r w:rsidR="005345CF" w:rsidRPr="009A1DFB">
        <w:t>Protection requirements</w:t>
      </w:r>
      <w:bookmarkEnd w:id="40"/>
    </w:p>
    <w:p w14:paraId="016D2B88" w14:textId="1AA226AC" w:rsidR="00E22D10" w:rsidRPr="00E22D10" w:rsidRDefault="00551716" w:rsidP="00E22D10">
      <w:pPr>
        <w:pStyle w:val="subsection"/>
      </w:pPr>
      <w:r w:rsidRPr="009A1DFB">
        <w:tab/>
      </w:r>
      <w:r w:rsidRPr="009A1DFB">
        <w:tab/>
        <w:t>Spectrum licensees are to ensure that authorised radiocommunications transmitters</w:t>
      </w:r>
      <w:r w:rsidR="00A35C1E" w:rsidRPr="009A1DFB">
        <w:t xml:space="preserve">, excluding those exempt from registration in accordance with the conditions of the spectrum licence, protect fixed services </w:t>
      </w:r>
      <w:r w:rsidR="005345CF" w:rsidRPr="009A1DFB">
        <w:t xml:space="preserve">to the </w:t>
      </w:r>
      <w:r w:rsidR="00A35C1E" w:rsidRPr="009A1DFB">
        <w:t>level</w:t>
      </w:r>
      <w:r w:rsidR="005345CF" w:rsidRPr="009A1DFB">
        <w:t>s</w:t>
      </w:r>
      <w:r w:rsidR="00A35C1E" w:rsidRPr="009A1DFB">
        <w:t xml:space="preserve"> of out-of-band and in-band protection </w:t>
      </w:r>
      <w:r w:rsidR="005345CF" w:rsidRPr="009A1DFB">
        <w:t xml:space="preserve">detailed in RALI </w:t>
      </w:r>
      <w:r w:rsidR="00862C19">
        <w:t>MS 46</w:t>
      </w:r>
      <w:r w:rsidR="005345CF" w:rsidRPr="009A1DFB">
        <w:t>.</w:t>
      </w:r>
      <w:r w:rsidR="00E22D10" w:rsidRPr="00E22D10">
        <w:t xml:space="preserve"> When referring to RALI MS 46 in the application of section 17, references to an area-wide licensed transmitter in RALI MS 46 are to be substituted with a spectrum licensed transmitter. </w:t>
      </w:r>
    </w:p>
    <w:p w14:paraId="542BAA5D" w14:textId="77777777" w:rsidR="00E22D10" w:rsidRPr="00E22D10" w:rsidRDefault="00E22D10" w:rsidP="00E22D10">
      <w:pPr>
        <w:pStyle w:val="subsection"/>
      </w:pPr>
      <w:r w:rsidRPr="00E22D10">
        <w:tab/>
      </w:r>
    </w:p>
    <w:p w14:paraId="5C1239F6" w14:textId="2A33A733" w:rsidR="005345CF" w:rsidRPr="009A1DFB" w:rsidRDefault="005345CF" w:rsidP="007353C2">
      <w:pPr>
        <w:pStyle w:val="subsection"/>
      </w:pPr>
    </w:p>
    <w:p w14:paraId="01332066" w14:textId="61A131CE" w:rsidR="002332A2" w:rsidRPr="009A1DFB" w:rsidRDefault="002332A2" w:rsidP="00FB7D4B">
      <w:pPr>
        <w:pStyle w:val="notetext"/>
      </w:pPr>
    </w:p>
    <w:p w14:paraId="48E3E3EA" w14:textId="77777777" w:rsidR="00637397" w:rsidRPr="009A1DFB" w:rsidRDefault="00637397" w:rsidP="00970655">
      <w:pPr>
        <w:tabs>
          <w:tab w:val="left" w:pos="2664"/>
        </w:tabs>
        <w:sectPr w:rsidR="00637397" w:rsidRPr="009A1DFB" w:rsidSect="00957210">
          <w:pgSz w:w="11906" w:h="16838"/>
          <w:pgMar w:top="1440" w:right="1440" w:bottom="1440" w:left="1440" w:header="708" w:footer="708" w:gutter="0"/>
          <w:cols w:space="708"/>
          <w:docGrid w:linePitch="360"/>
        </w:sectPr>
      </w:pPr>
    </w:p>
    <w:p w14:paraId="679D679D" w14:textId="049E0873" w:rsidR="00637397" w:rsidRPr="009A1DFB" w:rsidRDefault="00034CC0" w:rsidP="00BD40C5">
      <w:pPr>
        <w:pStyle w:val="Heading1"/>
        <w:rPr>
          <w:rFonts w:eastAsiaTheme="minorHAnsi"/>
        </w:rPr>
      </w:pPr>
      <w:bookmarkStart w:id="41" w:name="_Toc55373545"/>
      <w:r w:rsidRPr="009A1DFB">
        <w:rPr>
          <w:rStyle w:val="CharPartNo"/>
        </w:rPr>
        <w:lastRenderedPageBreak/>
        <w:t>Schedule 1</w:t>
      </w:r>
      <w:r w:rsidR="00255D83" w:rsidRPr="009A1DFB">
        <w:rPr>
          <w:rStyle w:val="CharPartNo"/>
        </w:rPr>
        <w:t xml:space="preserve"> </w:t>
      </w:r>
      <w:r w:rsidR="00255D83" w:rsidRPr="009A1DFB">
        <w:rPr>
          <w:rStyle w:val="CharPartNo"/>
        </w:rPr>
        <w:tab/>
      </w:r>
      <w:r w:rsidR="006A5EB4">
        <w:rPr>
          <w:rStyle w:val="CharPartNo"/>
        </w:rPr>
        <w:t>Inner-</w:t>
      </w:r>
      <w:r w:rsidR="00287FA3" w:rsidRPr="009A1DFB">
        <w:rPr>
          <w:rStyle w:val="CharPartNo"/>
        </w:rPr>
        <w:t>footprint areas</w:t>
      </w:r>
      <w:bookmarkEnd w:id="41"/>
    </w:p>
    <w:p w14:paraId="7F5B4ED7" w14:textId="67180385" w:rsidR="0002053D" w:rsidRPr="009A1DFB" w:rsidRDefault="006079FF" w:rsidP="00E606CE">
      <w:pPr>
        <w:pStyle w:val="ActHead5"/>
        <w:spacing w:before="0"/>
        <w:ind w:left="0" w:firstLine="0"/>
        <w:rPr>
          <w:rStyle w:val="CharSectno"/>
          <w:b w:val="0"/>
          <w:sz w:val="18"/>
          <w:szCs w:val="18"/>
        </w:rPr>
      </w:pPr>
      <w:r w:rsidRPr="009A1DFB">
        <w:rPr>
          <w:rStyle w:val="CharSectno"/>
          <w:bCs/>
          <w:sz w:val="18"/>
          <w:szCs w:val="18"/>
        </w:rPr>
        <w:tab/>
      </w:r>
      <w:r w:rsidRPr="009A1DFB">
        <w:rPr>
          <w:rStyle w:val="CharSectno"/>
          <w:bCs/>
          <w:sz w:val="18"/>
          <w:szCs w:val="18"/>
        </w:rPr>
        <w:tab/>
      </w:r>
      <w:r w:rsidRPr="009A1DFB">
        <w:rPr>
          <w:rStyle w:val="CharSectno"/>
          <w:b w:val="0"/>
          <w:sz w:val="18"/>
          <w:szCs w:val="18"/>
        </w:rPr>
        <w:t xml:space="preserve">(subsection </w:t>
      </w:r>
      <w:r w:rsidR="00D2565C" w:rsidRPr="009A1DFB">
        <w:rPr>
          <w:rStyle w:val="CharSectno"/>
          <w:b w:val="0"/>
          <w:sz w:val="18"/>
          <w:szCs w:val="18"/>
        </w:rPr>
        <w:t>4(1))</w:t>
      </w:r>
    </w:p>
    <w:p w14:paraId="1F4BE620" w14:textId="61C50FB7" w:rsidR="00D2565C" w:rsidRPr="009A1DFB" w:rsidRDefault="00600F11" w:rsidP="00600F11">
      <w:pPr>
        <w:pStyle w:val="ActHead5"/>
        <w:rPr>
          <w:rFonts w:ascii="Arial" w:hAnsi="Arial" w:cs="Arial"/>
        </w:rPr>
      </w:pPr>
      <w:r w:rsidRPr="009A1DFB">
        <w:rPr>
          <w:rFonts w:ascii="Arial" w:hAnsi="Arial" w:cs="Arial"/>
        </w:rPr>
        <w:t>Description of Area</w:t>
      </w:r>
    </w:p>
    <w:p w14:paraId="5FF8CB13" w14:textId="5C52150A" w:rsidR="007E42AF" w:rsidRPr="009A1DFB" w:rsidRDefault="00202A40" w:rsidP="00202A40">
      <w:pPr>
        <w:pStyle w:val="Schedulepara"/>
        <w:tabs>
          <w:tab w:val="clear" w:pos="567"/>
          <w:tab w:val="right" w:pos="709"/>
        </w:tabs>
        <w:spacing w:line="240" w:lineRule="auto"/>
        <w:ind w:left="426" w:hanging="426"/>
        <w:jc w:val="left"/>
      </w:pPr>
      <w:r w:rsidRPr="009A1DFB">
        <w:t>1.</w:t>
      </w:r>
      <w:r w:rsidRPr="009A1DFB">
        <w:tab/>
      </w:r>
      <w:r w:rsidR="00310A13" w:rsidRPr="009A1DFB">
        <w:t xml:space="preserve">The </w:t>
      </w:r>
      <w:r w:rsidR="006A5EB4">
        <w:rPr>
          <w:b/>
          <w:bCs/>
          <w:i/>
          <w:iCs/>
        </w:rPr>
        <w:t>inner-</w:t>
      </w:r>
      <w:r w:rsidR="000126B5" w:rsidRPr="009A1DFB">
        <w:rPr>
          <w:b/>
          <w:bCs/>
          <w:i/>
          <w:iCs/>
        </w:rPr>
        <w:t>footprint areas</w:t>
      </w:r>
      <w:r w:rsidR="00310A13" w:rsidRPr="009A1DFB">
        <w:t xml:space="preserve"> are the areas named in Column 1 of the table below.</w:t>
      </w:r>
    </w:p>
    <w:p w14:paraId="6A88ACFB" w14:textId="6E79E4E1" w:rsidR="00310A13" w:rsidRPr="009A1DFB" w:rsidRDefault="00310A13" w:rsidP="00202A40">
      <w:pPr>
        <w:pStyle w:val="Schedulepara"/>
        <w:tabs>
          <w:tab w:val="clear" w:pos="567"/>
          <w:tab w:val="right" w:pos="709"/>
        </w:tabs>
        <w:spacing w:line="240" w:lineRule="auto"/>
        <w:ind w:left="426" w:hanging="426"/>
        <w:jc w:val="left"/>
      </w:pPr>
      <w:r w:rsidRPr="009A1DFB">
        <w:t>2.</w:t>
      </w:r>
      <w:r w:rsidRPr="009A1DFB">
        <w:tab/>
      </w:r>
      <w:r w:rsidR="00B17A96" w:rsidRPr="009A1DFB">
        <w:t>A</w:t>
      </w:r>
      <w:r w:rsidR="006A5EB4">
        <w:t>n</w:t>
      </w:r>
      <w:r w:rsidR="000126B5" w:rsidRPr="009A1DFB">
        <w:t xml:space="preserve"> </w:t>
      </w:r>
      <w:r w:rsidR="006A5EB4">
        <w:rPr>
          <w:b/>
          <w:bCs/>
          <w:i/>
          <w:iCs/>
        </w:rPr>
        <w:t>inner-</w:t>
      </w:r>
      <w:r w:rsidR="000126B5" w:rsidRPr="009A1DFB">
        <w:rPr>
          <w:b/>
          <w:bCs/>
          <w:i/>
          <w:iCs/>
        </w:rPr>
        <w:t>footprint area</w:t>
      </w:r>
      <w:r w:rsidR="000126B5" w:rsidRPr="009A1DFB">
        <w:t xml:space="preserve"> </w:t>
      </w:r>
      <w:r w:rsidR="00B17A96" w:rsidRPr="009A1DFB">
        <w:t xml:space="preserve">consists of the aggregation of block areas referenced by HCIS identifiers specified for the area in the corresponding Column 2 of the table below. </w:t>
      </w:r>
    </w:p>
    <w:p w14:paraId="4954C0BD" w14:textId="64E13632" w:rsidR="00B17A96" w:rsidRPr="009A1DFB" w:rsidRDefault="00B17A96" w:rsidP="00F21E1C">
      <w:pPr>
        <w:pStyle w:val="notetext"/>
        <w:spacing w:after="120"/>
      </w:pPr>
      <w:r w:rsidRPr="009A1DFB">
        <w:t>Note:</w:t>
      </w:r>
      <w:r w:rsidRPr="009A1DFB">
        <w:tab/>
        <w:t>Refer to the A</w:t>
      </w:r>
      <w:r w:rsidR="009D4949" w:rsidRPr="009A1DFB">
        <w:t>SMG</w:t>
      </w:r>
      <w:r w:rsidRPr="009A1DFB">
        <w:t xml:space="preserve"> for a complete description of the naming convention referred to as the HCIS.</w:t>
      </w:r>
    </w:p>
    <w:tbl>
      <w:tblPr>
        <w:tblStyle w:val="TableGrid"/>
        <w:tblW w:w="9209" w:type="dxa"/>
        <w:tblInd w:w="-5" w:type="dxa"/>
        <w:tblLayout w:type="fixed"/>
        <w:tblLook w:val="04A0" w:firstRow="1" w:lastRow="0" w:firstColumn="1" w:lastColumn="0" w:noHBand="0" w:noVBand="1"/>
        <w:tblCaption w:val="Shows name and HCIS identifiers."/>
      </w:tblPr>
      <w:tblGrid>
        <w:gridCol w:w="1701"/>
        <w:gridCol w:w="7508"/>
      </w:tblGrid>
      <w:tr w:rsidR="00113720" w:rsidRPr="009A1DFB" w14:paraId="53FBCE5E" w14:textId="77777777" w:rsidTr="00113720">
        <w:trPr>
          <w:tblHeader/>
        </w:trPr>
        <w:tc>
          <w:tcPr>
            <w:tcW w:w="1701" w:type="dxa"/>
            <w:shd w:val="clear" w:color="auto" w:fill="404040" w:themeFill="text1" w:themeFillTint="BF"/>
            <w:vAlign w:val="center"/>
          </w:tcPr>
          <w:p w14:paraId="616CB41D" w14:textId="77777777" w:rsidR="00113720" w:rsidRPr="009A1DFB" w:rsidRDefault="00113720" w:rsidP="00F623A3">
            <w:pPr>
              <w:pStyle w:val="TableHeading"/>
              <w:keepNext/>
              <w:keepLines/>
              <w:rPr>
                <w:rFonts w:ascii="Times New Roman" w:hAnsi="Times New Roman"/>
                <w:color w:val="FFFFFF" w:themeColor="background1"/>
              </w:rPr>
            </w:pPr>
            <w:r w:rsidRPr="009A1DFB">
              <w:rPr>
                <w:rFonts w:ascii="Times New Roman" w:hAnsi="Times New Roman"/>
                <w:color w:val="FFFFFF" w:themeColor="background1"/>
              </w:rPr>
              <w:t>Column 1</w:t>
            </w:r>
          </w:p>
          <w:p w14:paraId="2246A92F" w14:textId="77777777" w:rsidR="00113720" w:rsidRPr="009A1DFB" w:rsidRDefault="00113720" w:rsidP="00F623A3">
            <w:pPr>
              <w:pStyle w:val="TableHeading"/>
              <w:keepNext/>
              <w:keepLines/>
              <w:rPr>
                <w:rFonts w:ascii="Times New Roman" w:hAnsi="Times New Roman"/>
                <w:color w:val="FFFFFF" w:themeColor="background1"/>
              </w:rPr>
            </w:pPr>
            <w:r w:rsidRPr="009A1DFB">
              <w:rPr>
                <w:rFonts w:ascii="Times New Roman" w:hAnsi="Times New Roman"/>
                <w:color w:val="FFFFFF" w:themeColor="background1"/>
              </w:rPr>
              <w:t>Name</w:t>
            </w:r>
          </w:p>
        </w:tc>
        <w:tc>
          <w:tcPr>
            <w:tcW w:w="7508" w:type="dxa"/>
            <w:shd w:val="clear" w:color="auto" w:fill="404040" w:themeFill="text1" w:themeFillTint="BF"/>
            <w:vAlign w:val="center"/>
          </w:tcPr>
          <w:p w14:paraId="0BD53217" w14:textId="77777777" w:rsidR="00113720" w:rsidRPr="009A1DFB" w:rsidRDefault="00113720" w:rsidP="00F623A3">
            <w:pPr>
              <w:pStyle w:val="TableHeading"/>
              <w:keepNext/>
              <w:keepLines/>
              <w:rPr>
                <w:rFonts w:ascii="Times New Roman" w:hAnsi="Times New Roman"/>
                <w:color w:val="FFFFFF" w:themeColor="background1"/>
              </w:rPr>
            </w:pPr>
            <w:r w:rsidRPr="009A1DFB">
              <w:rPr>
                <w:rFonts w:ascii="Times New Roman" w:hAnsi="Times New Roman"/>
                <w:color w:val="FFFFFF" w:themeColor="background1"/>
              </w:rPr>
              <w:t>Column 2</w:t>
            </w:r>
          </w:p>
          <w:p w14:paraId="0CEF50CF" w14:textId="77777777" w:rsidR="00113720" w:rsidRPr="009A1DFB" w:rsidRDefault="00113720" w:rsidP="00F623A3">
            <w:pPr>
              <w:pStyle w:val="TableHeading"/>
              <w:keepNext/>
              <w:keepLines/>
              <w:rPr>
                <w:rFonts w:ascii="Times New Roman" w:hAnsi="Times New Roman"/>
                <w:color w:val="FFFFFF" w:themeColor="background1"/>
              </w:rPr>
            </w:pPr>
            <w:r w:rsidRPr="009A1DFB">
              <w:rPr>
                <w:rFonts w:ascii="Times New Roman" w:hAnsi="Times New Roman"/>
                <w:color w:val="FFFFFF" w:themeColor="background1"/>
              </w:rPr>
              <w:t>HCIS Identifiers</w:t>
            </w:r>
          </w:p>
        </w:tc>
      </w:tr>
      <w:tr w:rsidR="00113720" w:rsidRPr="009A1DFB" w:rsidDel="00866481" w14:paraId="596941C4" w14:textId="77777777" w:rsidTr="00113720">
        <w:tc>
          <w:tcPr>
            <w:tcW w:w="1701" w:type="dxa"/>
          </w:tcPr>
          <w:p w14:paraId="3615E039" w14:textId="6DF0B3AC" w:rsidR="00113720" w:rsidRPr="009A1DFB" w:rsidRDefault="00113720" w:rsidP="00F623A3">
            <w:pPr>
              <w:pStyle w:val="TableBody"/>
              <w:keepNext/>
              <w:keepLines/>
              <w:spacing w:after="120"/>
              <w:rPr>
                <w:rFonts w:ascii="Times New Roman" w:hAnsi="Times New Roman"/>
              </w:rPr>
            </w:pPr>
            <w:r w:rsidRPr="009A1DFB">
              <w:t>Geeveston</w:t>
            </w:r>
            <w:r w:rsidR="00394A41">
              <w:t xml:space="preserve"> (inner)</w:t>
            </w:r>
          </w:p>
        </w:tc>
        <w:tc>
          <w:tcPr>
            <w:tcW w:w="7508" w:type="dxa"/>
          </w:tcPr>
          <w:p w14:paraId="0047B14B" w14:textId="3C279CE3" w:rsidR="00113720" w:rsidRPr="009A1DFB" w:rsidRDefault="00E606CE" w:rsidP="00F623A3">
            <w:pPr>
              <w:pStyle w:val="TableBody"/>
              <w:keepNext/>
              <w:keepLines/>
              <w:spacing w:after="120"/>
              <w:rPr>
                <w:rFonts w:ascii="Times New Roman" w:hAnsi="Times New Roman"/>
              </w:rPr>
            </w:pPr>
            <w:r w:rsidRPr="009A1DFB">
              <w:t>LY9N, LY9I8, LY9I9, LY9J7, LY9J8, LY9J9, LY9K7, LY9K8, LY9M2, LY9M3, LY9M5, LY9M6, LY9M8, LY9M9, LY9O1, LY9O2, LY9O4, LY9O5, LY9O7, LY9O8, LZ3A2, LZ3A3, LZ3B1,</w:t>
            </w:r>
            <w:r w:rsidR="00B45CF1" w:rsidRPr="009A1DFB">
              <w:t xml:space="preserve"> </w:t>
            </w:r>
            <w:r w:rsidRPr="009A1DFB">
              <w:t>LZ3B2, LZ3B3, LZ3C1, LZ3C2</w:t>
            </w:r>
          </w:p>
        </w:tc>
      </w:tr>
      <w:tr w:rsidR="00113720" w:rsidRPr="00D90692" w:rsidDel="00866481" w14:paraId="254EB045" w14:textId="77777777" w:rsidTr="00113720">
        <w:tc>
          <w:tcPr>
            <w:tcW w:w="1701" w:type="dxa"/>
          </w:tcPr>
          <w:p w14:paraId="70ACCAE1" w14:textId="7FFB9D7C" w:rsidR="00113720" w:rsidRPr="009A1DFB" w:rsidRDefault="00113720" w:rsidP="00F623A3">
            <w:pPr>
              <w:pStyle w:val="TableBody"/>
              <w:keepNext/>
              <w:keepLines/>
              <w:spacing w:after="120"/>
            </w:pPr>
            <w:r w:rsidRPr="009A1DFB">
              <w:t>Waroona</w:t>
            </w:r>
            <w:r w:rsidR="00394A41">
              <w:t xml:space="preserve"> (inner)</w:t>
            </w:r>
          </w:p>
        </w:tc>
        <w:tc>
          <w:tcPr>
            <w:tcW w:w="7508" w:type="dxa"/>
          </w:tcPr>
          <w:p w14:paraId="2FF00077" w14:textId="6BB0C86F" w:rsidR="00113720" w:rsidRPr="006118E4" w:rsidRDefault="00E606CE" w:rsidP="00F623A3">
            <w:pPr>
              <w:pStyle w:val="TableBody"/>
              <w:keepNext/>
              <w:keepLines/>
              <w:spacing w:after="120"/>
            </w:pPr>
            <w:r w:rsidRPr="009A1DFB">
              <w:t>BV7G, BV7C4, BV7C5, BV7C6, BV7C7, BV7C8, BV7C9, BV7D4, BV7D5, BV7D7, BV7D8, BV7H1, BV7H2, BV7H4, BV7H5, BV7H7, BV7H8, BV7K1, BV7K2, BV7K3, BV7L1, BV7L2, BV7C1, BV7C2, BV7C3, BV7D1, BV7D2, BV4O, BV4P1, BV4P2, BV4P3, BV4P4, BV4P5, BV4P7, BV4P8, BV4M1, BV4M2, BV4M3, BV4N1, BV4N2, BV4N3, BV5M1, BV5M2, BV5M3, BV5N1, BV5N2, BV5N3, BV5J, BV5I, BV4L, BV4K, BV4J, BV4I, BV4E8, BV4E9, BV4E6, BV4F, BV4G, BV4H, BV5E, BV5F, BV5B, BV5A, BV4D, BV4C9, BV4C8, BV4C7, BV4C6, BV4C5, BV4C4, BV4C3, BV4C2, BV4B9, BV4B8, BV1P8,  BV1P9, BV2M7, BV2M8, BV2M9, BV2N4, BV2N5, BV2N6, BV2N7, BV2N8, BV2N9, BV7M4, BV7M5</w:t>
            </w:r>
          </w:p>
        </w:tc>
      </w:tr>
    </w:tbl>
    <w:p w14:paraId="678792C8" w14:textId="77777777" w:rsidR="006A5EB4" w:rsidRDefault="006A5EB4" w:rsidP="006A5EB4">
      <w:pPr>
        <w:pStyle w:val="Heading1"/>
        <w:rPr>
          <w:rStyle w:val="CharPartNo"/>
        </w:rPr>
      </w:pPr>
    </w:p>
    <w:p w14:paraId="246056F0" w14:textId="77777777" w:rsidR="006A5EB4" w:rsidRDefault="006A5EB4">
      <w:pPr>
        <w:spacing w:line="259" w:lineRule="auto"/>
        <w:rPr>
          <w:rStyle w:val="CharPartNo"/>
          <w:rFonts w:ascii="Times New Roman" w:eastAsia="Times New Roman" w:hAnsi="Times New Roman" w:cs="Times New Roman"/>
          <w:b/>
          <w:kern w:val="28"/>
          <w:sz w:val="32"/>
          <w:szCs w:val="32"/>
          <w:lang w:eastAsia="en-AU"/>
        </w:rPr>
      </w:pPr>
      <w:r>
        <w:rPr>
          <w:rStyle w:val="CharPartNo"/>
        </w:rPr>
        <w:br w:type="page"/>
      </w:r>
    </w:p>
    <w:p w14:paraId="1C6461DB" w14:textId="04DD33C1" w:rsidR="006A5EB4" w:rsidRPr="009A1DFB" w:rsidRDefault="006A5EB4" w:rsidP="006A5EB4">
      <w:pPr>
        <w:pStyle w:val="Heading1"/>
        <w:rPr>
          <w:rFonts w:eastAsiaTheme="minorHAnsi"/>
        </w:rPr>
      </w:pPr>
      <w:bookmarkStart w:id="42" w:name="_Toc55373546"/>
      <w:r w:rsidRPr="009A1DFB">
        <w:rPr>
          <w:rStyle w:val="CharPartNo"/>
        </w:rPr>
        <w:lastRenderedPageBreak/>
        <w:t xml:space="preserve">Schedule </w:t>
      </w:r>
      <w:r>
        <w:rPr>
          <w:rStyle w:val="CharPartNo"/>
        </w:rPr>
        <w:t>2</w:t>
      </w:r>
      <w:r w:rsidRPr="009A1DFB">
        <w:rPr>
          <w:rStyle w:val="CharPartNo"/>
        </w:rPr>
        <w:t xml:space="preserve"> </w:t>
      </w:r>
      <w:r w:rsidRPr="009A1DFB">
        <w:rPr>
          <w:rStyle w:val="CharPartNo"/>
        </w:rPr>
        <w:tab/>
      </w:r>
      <w:r>
        <w:rPr>
          <w:rStyle w:val="CharPartNo"/>
        </w:rPr>
        <w:t>Outer-</w:t>
      </w:r>
      <w:r w:rsidRPr="009A1DFB">
        <w:rPr>
          <w:rStyle w:val="CharPartNo"/>
        </w:rPr>
        <w:t>footprint areas</w:t>
      </w:r>
      <w:bookmarkEnd w:id="42"/>
    </w:p>
    <w:p w14:paraId="520AD896" w14:textId="77777777" w:rsidR="006A5EB4" w:rsidRPr="009A1DFB" w:rsidRDefault="006A5EB4" w:rsidP="006A5EB4">
      <w:pPr>
        <w:pStyle w:val="ActHead5"/>
        <w:spacing w:before="0"/>
        <w:ind w:left="0" w:firstLine="0"/>
        <w:rPr>
          <w:rStyle w:val="CharSectno"/>
          <w:b w:val="0"/>
          <w:sz w:val="18"/>
          <w:szCs w:val="18"/>
        </w:rPr>
      </w:pPr>
      <w:r w:rsidRPr="009A1DFB">
        <w:rPr>
          <w:rStyle w:val="CharSectno"/>
          <w:bCs/>
          <w:sz w:val="18"/>
          <w:szCs w:val="18"/>
        </w:rPr>
        <w:tab/>
      </w:r>
      <w:r w:rsidRPr="009A1DFB">
        <w:rPr>
          <w:rStyle w:val="CharSectno"/>
          <w:bCs/>
          <w:sz w:val="18"/>
          <w:szCs w:val="18"/>
        </w:rPr>
        <w:tab/>
      </w:r>
      <w:r w:rsidRPr="009A1DFB">
        <w:rPr>
          <w:rStyle w:val="CharSectno"/>
          <w:b w:val="0"/>
          <w:sz w:val="18"/>
          <w:szCs w:val="18"/>
        </w:rPr>
        <w:t>(subsection 4(1))</w:t>
      </w:r>
    </w:p>
    <w:p w14:paraId="0523DE05" w14:textId="77777777" w:rsidR="006A5EB4" w:rsidRPr="009A1DFB" w:rsidRDefault="006A5EB4" w:rsidP="006A5EB4">
      <w:pPr>
        <w:pStyle w:val="ActHead5"/>
        <w:rPr>
          <w:rFonts w:ascii="Arial" w:hAnsi="Arial" w:cs="Arial"/>
        </w:rPr>
      </w:pPr>
      <w:r w:rsidRPr="009A1DFB">
        <w:rPr>
          <w:rFonts w:ascii="Arial" w:hAnsi="Arial" w:cs="Arial"/>
        </w:rPr>
        <w:t>Description of Area</w:t>
      </w:r>
    </w:p>
    <w:p w14:paraId="4C090C08" w14:textId="32AE468D" w:rsidR="006A5EB4" w:rsidRPr="009A1DFB" w:rsidRDefault="006A5EB4" w:rsidP="006A5EB4">
      <w:pPr>
        <w:pStyle w:val="Schedulepara"/>
        <w:tabs>
          <w:tab w:val="clear" w:pos="567"/>
          <w:tab w:val="right" w:pos="709"/>
        </w:tabs>
        <w:spacing w:line="240" w:lineRule="auto"/>
        <w:ind w:left="426" w:hanging="426"/>
        <w:jc w:val="left"/>
      </w:pPr>
      <w:r w:rsidRPr="009A1DFB">
        <w:t>1.</w:t>
      </w:r>
      <w:r w:rsidRPr="009A1DFB">
        <w:tab/>
        <w:t xml:space="preserve">The </w:t>
      </w:r>
      <w:r>
        <w:rPr>
          <w:b/>
          <w:bCs/>
          <w:i/>
          <w:iCs/>
        </w:rPr>
        <w:t>outer-</w:t>
      </w:r>
      <w:r w:rsidRPr="009A1DFB">
        <w:rPr>
          <w:b/>
          <w:bCs/>
          <w:i/>
          <w:iCs/>
        </w:rPr>
        <w:t>footprint areas</w:t>
      </w:r>
      <w:r w:rsidRPr="009A1DFB">
        <w:t xml:space="preserve"> are the areas named in Column 1 of the table below.</w:t>
      </w:r>
    </w:p>
    <w:p w14:paraId="121F5AD0" w14:textId="3637F081" w:rsidR="006A5EB4" w:rsidRPr="009A1DFB" w:rsidRDefault="006A5EB4" w:rsidP="006A5EB4">
      <w:pPr>
        <w:pStyle w:val="Schedulepara"/>
        <w:tabs>
          <w:tab w:val="clear" w:pos="567"/>
          <w:tab w:val="right" w:pos="709"/>
        </w:tabs>
        <w:spacing w:line="240" w:lineRule="auto"/>
        <w:ind w:left="426" w:hanging="426"/>
        <w:jc w:val="left"/>
      </w:pPr>
      <w:r w:rsidRPr="009A1DFB">
        <w:t>2.</w:t>
      </w:r>
      <w:r w:rsidRPr="009A1DFB">
        <w:tab/>
        <w:t>A</w:t>
      </w:r>
      <w:r>
        <w:t xml:space="preserve">n </w:t>
      </w:r>
      <w:r w:rsidRPr="00394A41">
        <w:rPr>
          <w:b/>
          <w:bCs/>
          <w:i/>
          <w:iCs/>
        </w:rPr>
        <w:t>out</w:t>
      </w:r>
      <w:r>
        <w:rPr>
          <w:b/>
          <w:bCs/>
          <w:i/>
          <w:iCs/>
        </w:rPr>
        <w:t>er-</w:t>
      </w:r>
      <w:r w:rsidRPr="009A1DFB">
        <w:rPr>
          <w:b/>
          <w:bCs/>
          <w:i/>
          <w:iCs/>
        </w:rPr>
        <w:t>footprint area</w:t>
      </w:r>
      <w:r w:rsidRPr="009A1DFB">
        <w:t xml:space="preserve"> consists of the aggregation of block areas referenced by HCIS identifiers specified for the area in the corresponding Column 2 of the table below. </w:t>
      </w:r>
    </w:p>
    <w:p w14:paraId="57EB911D" w14:textId="77777777" w:rsidR="006A5EB4" w:rsidRPr="009A1DFB" w:rsidRDefault="006A5EB4" w:rsidP="00394A41">
      <w:pPr>
        <w:pStyle w:val="notetext"/>
        <w:spacing w:after="120"/>
      </w:pPr>
      <w:r w:rsidRPr="009A1DFB">
        <w:t>Note:</w:t>
      </w:r>
      <w:r w:rsidRPr="009A1DFB">
        <w:tab/>
        <w:t>Refer to the ASMG for a complete description of the naming convention referred to as the HCIS.</w:t>
      </w:r>
    </w:p>
    <w:tbl>
      <w:tblPr>
        <w:tblStyle w:val="TableGrid"/>
        <w:tblW w:w="9209" w:type="dxa"/>
        <w:tblInd w:w="-5" w:type="dxa"/>
        <w:tblLayout w:type="fixed"/>
        <w:tblLook w:val="04A0" w:firstRow="1" w:lastRow="0" w:firstColumn="1" w:lastColumn="0" w:noHBand="0" w:noVBand="1"/>
        <w:tblCaption w:val="Shows name and HCIS identifiers."/>
      </w:tblPr>
      <w:tblGrid>
        <w:gridCol w:w="1701"/>
        <w:gridCol w:w="7508"/>
      </w:tblGrid>
      <w:tr w:rsidR="006A5EB4" w:rsidRPr="009A1DFB" w14:paraId="2B994E78" w14:textId="77777777" w:rsidTr="00AF2D2E">
        <w:trPr>
          <w:tblHeader/>
        </w:trPr>
        <w:tc>
          <w:tcPr>
            <w:tcW w:w="1701" w:type="dxa"/>
            <w:shd w:val="clear" w:color="auto" w:fill="404040" w:themeFill="text1" w:themeFillTint="BF"/>
            <w:vAlign w:val="center"/>
          </w:tcPr>
          <w:p w14:paraId="032ADE2E" w14:textId="77777777" w:rsidR="006A5EB4" w:rsidRPr="009A1DFB" w:rsidRDefault="006A5EB4" w:rsidP="00AF2D2E">
            <w:pPr>
              <w:pStyle w:val="TableHeading"/>
              <w:keepNext/>
              <w:keepLines/>
              <w:rPr>
                <w:rFonts w:ascii="Times New Roman" w:hAnsi="Times New Roman"/>
                <w:color w:val="FFFFFF" w:themeColor="background1"/>
              </w:rPr>
            </w:pPr>
            <w:r w:rsidRPr="009A1DFB">
              <w:rPr>
                <w:rFonts w:ascii="Times New Roman" w:hAnsi="Times New Roman"/>
                <w:color w:val="FFFFFF" w:themeColor="background1"/>
              </w:rPr>
              <w:t>Column 1</w:t>
            </w:r>
          </w:p>
          <w:p w14:paraId="1E9A399E" w14:textId="77777777" w:rsidR="006A5EB4" w:rsidRPr="009A1DFB" w:rsidRDefault="006A5EB4" w:rsidP="00AF2D2E">
            <w:pPr>
              <w:pStyle w:val="TableHeading"/>
              <w:keepNext/>
              <w:keepLines/>
              <w:rPr>
                <w:rFonts w:ascii="Times New Roman" w:hAnsi="Times New Roman"/>
                <w:color w:val="FFFFFF" w:themeColor="background1"/>
              </w:rPr>
            </w:pPr>
            <w:r w:rsidRPr="009A1DFB">
              <w:rPr>
                <w:rFonts w:ascii="Times New Roman" w:hAnsi="Times New Roman"/>
                <w:color w:val="FFFFFF" w:themeColor="background1"/>
              </w:rPr>
              <w:t>Name</w:t>
            </w:r>
          </w:p>
        </w:tc>
        <w:tc>
          <w:tcPr>
            <w:tcW w:w="7508" w:type="dxa"/>
            <w:shd w:val="clear" w:color="auto" w:fill="404040" w:themeFill="text1" w:themeFillTint="BF"/>
            <w:vAlign w:val="center"/>
          </w:tcPr>
          <w:p w14:paraId="1DA13101" w14:textId="77777777" w:rsidR="006A5EB4" w:rsidRPr="009A1DFB" w:rsidRDefault="006A5EB4" w:rsidP="00AF2D2E">
            <w:pPr>
              <w:pStyle w:val="TableHeading"/>
              <w:keepNext/>
              <w:keepLines/>
              <w:rPr>
                <w:rFonts w:ascii="Times New Roman" w:hAnsi="Times New Roman"/>
                <w:color w:val="FFFFFF" w:themeColor="background1"/>
              </w:rPr>
            </w:pPr>
            <w:r w:rsidRPr="009A1DFB">
              <w:rPr>
                <w:rFonts w:ascii="Times New Roman" w:hAnsi="Times New Roman"/>
                <w:color w:val="FFFFFF" w:themeColor="background1"/>
              </w:rPr>
              <w:t>Column 2</w:t>
            </w:r>
          </w:p>
          <w:p w14:paraId="4BE1AC3C" w14:textId="77777777" w:rsidR="006A5EB4" w:rsidRPr="009A1DFB" w:rsidRDefault="006A5EB4" w:rsidP="00AF2D2E">
            <w:pPr>
              <w:pStyle w:val="TableHeading"/>
              <w:keepNext/>
              <w:keepLines/>
              <w:rPr>
                <w:rFonts w:ascii="Times New Roman" w:hAnsi="Times New Roman"/>
                <w:color w:val="FFFFFF" w:themeColor="background1"/>
              </w:rPr>
            </w:pPr>
            <w:r w:rsidRPr="009A1DFB">
              <w:rPr>
                <w:rFonts w:ascii="Times New Roman" w:hAnsi="Times New Roman"/>
                <w:color w:val="FFFFFF" w:themeColor="background1"/>
              </w:rPr>
              <w:t>HCIS Identifiers</w:t>
            </w:r>
          </w:p>
        </w:tc>
      </w:tr>
      <w:tr w:rsidR="006A5EB4" w:rsidRPr="009A1DFB" w:rsidDel="00866481" w14:paraId="294A97CB" w14:textId="77777777" w:rsidTr="00AF2D2E">
        <w:tc>
          <w:tcPr>
            <w:tcW w:w="1701" w:type="dxa"/>
          </w:tcPr>
          <w:p w14:paraId="33640ED0" w14:textId="2A177CED" w:rsidR="006A5EB4" w:rsidRPr="009A1DFB" w:rsidRDefault="006A5EB4" w:rsidP="00AF2D2E">
            <w:pPr>
              <w:pStyle w:val="TableBody"/>
              <w:keepNext/>
              <w:keepLines/>
              <w:spacing w:after="120"/>
              <w:rPr>
                <w:rFonts w:ascii="Times New Roman" w:hAnsi="Times New Roman"/>
              </w:rPr>
            </w:pPr>
            <w:r w:rsidRPr="009A1DFB">
              <w:t>Geeveston</w:t>
            </w:r>
            <w:r w:rsidR="00394A41">
              <w:t xml:space="preserve"> (outer)</w:t>
            </w:r>
          </w:p>
        </w:tc>
        <w:tc>
          <w:tcPr>
            <w:tcW w:w="7508" w:type="dxa"/>
          </w:tcPr>
          <w:p w14:paraId="20990467" w14:textId="2C51BEED" w:rsidR="006A5EB4" w:rsidRPr="009A1DFB" w:rsidRDefault="006A5EB4" w:rsidP="00AF2D2E">
            <w:pPr>
              <w:pStyle w:val="TableBody"/>
              <w:keepNext/>
              <w:keepLines/>
              <w:spacing w:after="120"/>
              <w:rPr>
                <w:rFonts w:ascii="Times New Roman" w:hAnsi="Times New Roman"/>
              </w:rPr>
            </w:pPr>
            <w:r>
              <w:rPr>
                <w:rFonts w:cs="Arial"/>
                <w:szCs w:val="20"/>
              </w:rPr>
              <w:t>LY5H3, LY5H6, LY5H9, LY6E, LY6F1, LY6F4, LY6F7, LY5L3, LY5L6, LY6I1, LY6I2, LY6I3, LY6I4, LY6I5, LY6I6, LY6J1, LY6J4</w:t>
            </w:r>
          </w:p>
        </w:tc>
      </w:tr>
      <w:tr w:rsidR="006A5EB4" w:rsidRPr="00D90692" w:rsidDel="00866481" w14:paraId="2CD7D882" w14:textId="77777777" w:rsidTr="00AF2D2E">
        <w:tc>
          <w:tcPr>
            <w:tcW w:w="1701" w:type="dxa"/>
          </w:tcPr>
          <w:p w14:paraId="2DAE1F50" w14:textId="6CF5C2E6" w:rsidR="006A5EB4" w:rsidRPr="009A1DFB" w:rsidRDefault="006A5EB4" w:rsidP="00AF2D2E">
            <w:pPr>
              <w:pStyle w:val="TableBody"/>
              <w:keepNext/>
              <w:keepLines/>
              <w:spacing w:after="120"/>
            </w:pPr>
            <w:r w:rsidRPr="009A1DFB">
              <w:t>Waroona</w:t>
            </w:r>
            <w:r w:rsidR="00394A41">
              <w:t xml:space="preserve"> (outer)</w:t>
            </w:r>
          </w:p>
        </w:tc>
        <w:tc>
          <w:tcPr>
            <w:tcW w:w="7508" w:type="dxa"/>
          </w:tcPr>
          <w:p w14:paraId="0BF40E5E" w14:textId="37EEB2BA" w:rsidR="006A5EB4" w:rsidRPr="006118E4" w:rsidRDefault="006A5EB4" w:rsidP="00AF2D2E">
            <w:pPr>
              <w:pStyle w:val="TableBody"/>
              <w:keepNext/>
              <w:keepLines/>
              <w:spacing w:after="120"/>
            </w:pPr>
            <w:r>
              <w:rPr>
                <w:rFonts w:cs="Arial"/>
                <w:szCs w:val="20"/>
              </w:rPr>
              <w:t xml:space="preserve">AV9P9, AV9P6,BV7M7,BV7M8,AW3D3,BW1A1,BW1A2, BV1I2,BV1I3,BV1I4,BV1I5,BV1I6,BV1I7,BV1I8,BV1I9, BV1J, BV1K, BV1L, BV1M, BV1N, BV1O, BV2I, BV2J, BV4A,  BV1F7, BV1F8, BV1F9,  BV1G7, BV1G8, BV1G9, BV1H7, BV1H8, BV1H9, BV1P1, BV1P2, BV1P3, BV1P4, BV1P5, BV1P6, BV1P7, BV2E7, BV2E8, BV2E9, BV2F7, BV2F8, BV2F9, BV2M1, BV2M2, BV2M3, BV2M4, BV2M5, BV2M6, BV2N1, BV2N2, BV2N3,  BV4B1, BV4B2, BV4B3, BV4B4, BV4B5, BV4B6, BV4B7, BV4C1, BV4E1, BV4E2, BV4E3, BV4E4, BV4E5, BV4E7    </w:t>
            </w:r>
          </w:p>
        </w:tc>
      </w:tr>
      <w:tr w:rsidR="006A5EB4" w:rsidRPr="00D90692" w:rsidDel="00866481" w14:paraId="230C4001" w14:textId="77777777" w:rsidTr="00AF2D2E">
        <w:tc>
          <w:tcPr>
            <w:tcW w:w="1701" w:type="dxa"/>
          </w:tcPr>
          <w:p w14:paraId="125E4C73" w14:textId="4DE060CF" w:rsidR="006A5EB4" w:rsidRPr="009A1DFB" w:rsidRDefault="006A5EB4" w:rsidP="00AF2D2E">
            <w:pPr>
              <w:pStyle w:val="TableBody"/>
              <w:keepNext/>
              <w:keepLines/>
              <w:spacing w:after="120"/>
            </w:pPr>
            <w:r>
              <w:t>Wolumla</w:t>
            </w:r>
            <w:r w:rsidR="00394A41">
              <w:t xml:space="preserve"> (outer)</w:t>
            </w:r>
          </w:p>
        </w:tc>
        <w:tc>
          <w:tcPr>
            <w:tcW w:w="7508" w:type="dxa"/>
          </w:tcPr>
          <w:p w14:paraId="46A780FD" w14:textId="44AD9777" w:rsidR="006A5EB4" w:rsidRDefault="006A5EB4" w:rsidP="00AF2D2E">
            <w:pPr>
              <w:pStyle w:val="TableBody"/>
              <w:keepNext/>
              <w:keepLines/>
              <w:spacing w:after="120"/>
              <w:rPr>
                <w:rFonts w:cs="Arial"/>
                <w:szCs w:val="20"/>
              </w:rPr>
            </w:pPr>
            <w:r>
              <w:rPr>
                <w:rFonts w:cs="Arial"/>
                <w:szCs w:val="20"/>
              </w:rPr>
              <w:t>MW5E, MW4D6, MW4D9, MW4H3, MW4H9, MW4L3, MW5A4, MW5A5, MW5A6, MW5A7, MW5A8, MW5A9, MW5B4, MW5B7, MW5F1, MW5F4, MW5F7, MW5I1, MW5I2, MW5I3, MW5J1, MW6C7, MW6C8</w:t>
            </w:r>
          </w:p>
        </w:tc>
      </w:tr>
    </w:tbl>
    <w:p w14:paraId="239A8E95" w14:textId="77777777" w:rsidR="00B17A96" w:rsidRPr="007E42AF" w:rsidRDefault="00B17A96" w:rsidP="00B17A96">
      <w:pPr>
        <w:pStyle w:val="notetext"/>
        <w:ind w:left="0" w:firstLine="0"/>
      </w:pPr>
    </w:p>
    <w:sectPr w:rsidR="00B17A96" w:rsidRPr="007E42AF" w:rsidSect="00957210">
      <w:head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45690" w14:textId="77777777" w:rsidR="00E83EC3" w:rsidRDefault="00E83EC3" w:rsidP="0017734A">
      <w:pPr>
        <w:spacing w:after="0" w:line="240" w:lineRule="auto"/>
      </w:pPr>
      <w:r>
        <w:separator/>
      </w:r>
    </w:p>
  </w:endnote>
  <w:endnote w:type="continuationSeparator" w:id="0">
    <w:p w14:paraId="2524CDCA" w14:textId="77777777" w:rsidR="00E83EC3" w:rsidRDefault="00E83EC3" w:rsidP="0017734A">
      <w:pPr>
        <w:spacing w:after="0" w:line="240" w:lineRule="auto"/>
      </w:pPr>
      <w:r>
        <w:continuationSeparator/>
      </w:r>
    </w:p>
  </w:endnote>
  <w:endnote w:type="continuationNotice" w:id="1">
    <w:p w14:paraId="22E35614" w14:textId="77777777" w:rsidR="00E83EC3" w:rsidRDefault="00E83E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61CE3" w14:textId="5E5C7545" w:rsidR="006B55C2" w:rsidRPr="003017C3" w:rsidRDefault="006B55C2" w:rsidP="003017C3">
    <w:pPr>
      <w:pStyle w:val="ShortT"/>
      <w:pBdr>
        <w:top w:val="single" w:sz="4" w:space="1" w:color="auto"/>
      </w:pBdr>
      <w:jc w:val="center"/>
      <w:rPr>
        <w:b w:val="0"/>
        <w:bCs/>
        <w:i/>
        <w:iCs/>
        <w:sz w:val="20"/>
      </w:rPr>
    </w:pPr>
    <w:r w:rsidRPr="003017C3">
      <w:rPr>
        <w:b w:val="0"/>
        <w:bCs/>
        <w:i/>
        <w:iCs/>
        <w:sz w:val="20"/>
      </w:rPr>
      <w:t>Radiocommunications Advisory Guidelines (Managing Interference from Spectrum Licensed Transmitters — 26</w:t>
    </w:r>
    <w:r w:rsidR="00A36649">
      <w:rPr>
        <w:b w:val="0"/>
        <w:bCs/>
        <w:i/>
        <w:iCs/>
        <w:sz w:val="20"/>
      </w:rPr>
      <w:t> </w:t>
    </w:r>
    <w:r w:rsidRPr="003017C3">
      <w:rPr>
        <w:b w:val="0"/>
        <w:bCs/>
        <w:i/>
        <w:iCs/>
        <w:sz w:val="20"/>
      </w:rPr>
      <w:t>GHz Band) 2020</w:t>
    </w:r>
  </w:p>
  <w:p w14:paraId="5383414D" w14:textId="2BAA904B" w:rsidR="006B55C2" w:rsidRPr="003017C3" w:rsidRDefault="006B55C2" w:rsidP="003017C3">
    <w:pPr>
      <w:pStyle w:val="Footer"/>
      <w:jc w:val="right"/>
      <w:rPr>
        <w:rFonts w:ascii="Times New Roman" w:hAnsi="Times New Roman" w:cs="Times New Roman"/>
      </w:rPr>
    </w:pPr>
    <w:r w:rsidRPr="003017C3">
      <w:rPr>
        <w:rFonts w:ascii="Times New Roman" w:hAnsi="Times New Roman" w:cs="Times New Roman"/>
      </w:rPr>
      <w:fldChar w:fldCharType="begin"/>
    </w:r>
    <w:r w:rsidRPr="003017C3">
      <w:rPr>
        <w:rFonts w:ascii="Times New Roman" w:hAnsi="Times New Roman" w:cs="Times New Roman"/>
      </w:rPr>
      <w:instrText xml:space="preserve"> PAGE   \* MERGEFORMAT </w:instrText>
    </w:r>
    <w:r w:rsidRPr="003017C3">
      <w:rPr>
        <w:rFonts w:ascii="Times New Roman" w:hAnsi="Times New Roman" w:cs="Times New Roman"/>
      </w:rPr>
      <w:fldChar w:fldCharType="separate"/>
    </w:r>
    <w:r w:rsidRPr="003017C3">
      <w:rPr>
        <w:rFonts w:ascii="Times New Roman" w:hAnsi="Times New Roman" w:cs="Times New Roman"/>
        <w:noProof/>
      </w:rPr>
      <w:t>1</w:t>
    </w:r>
    <w:r w:rsidRPr="003017C3">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D2A8A" w14:textId="77777777" w:rsidR="00E83EC3" w:rsidRDefault="00E83EC3" w:rsidP="0017734A">
      <w:pPr>
        <w:spacing w:after="0" w:line="240" w:lineRule="auto"/>
      </w:pPr>
      <w:r>
        <w:separator/>
      </w:r>
    </w:p>
  </w:footnote>
  <w:footnote w:type="continuationSeparator" w:id="0">
    <w:p w14:paraId="474155A2" w14:textId="77777777" w:rsidR="00E83EC3" w:rsidRDefault="00E83EC3" w:rsidP="0017734A">
      <w:pPr>
        <w:spacing w:after="0" w:line="240" w:lineRule="auto"/>
      </w:pPr>
      <w:r>
        <w:continuationSeparator/>
      </w:r>
    </w:p>
  </w:footnote>
  <w:footnote w:type="continuationNotice" w:id="1">
    <w:p w14:paraId="124002AF" w14:textId="77777777" w:rsidR="00E83EC3" w:rsidRDefault="00E83E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A08DE" w14:textId="1980A674" w:rsidR="006B55C2" w:rsidRPr="00255D83" w:rsidRDefault="006B55C2" w:rsidP="00255D83">
    <w:pPr>
      <w:pStyle w:val="Header"/>
      <w:pBdr>
        <w:bottom w:val="single" w:sz="4" w:space="1" w:color="auto"/>
      </w:pBdr>
      <w:tabs>
        <w:tab w:val="clear" w:pos="4513"/>
        <w:tab w:val="left" w:pos="1134"/>
      </w:tabs>
      <w:spacing w:after="120"/>
      <w:jc w:val="right"/>
      <w:rPr>
        <w:rFonts w:ascii="Times New Roman" w:hAnsi="Times New Roman" w:cs="Times New Roman"/>
      </w:rPr>
    </w:pPr>
    <w:r w:rsidRPr="00255D83">
      <w:rPr>
        <w:rFonts w:ascii="Times New Roman" w:hAnsi="Times New Roman" w:cs="Times New Roman"/>
      </w:rPr>
      <w:fldChar w:fldCharType="begin"/>
    </w:r>
    <w:r w:rsidRPr="00255D83">
      <w:rPr>
        <w:rFonts w:ascii="Times New Roman" w:hAnsi="Times New Roman" w:cs="Times New Roman"/>
      </w:rPr>
      <w:instrText xml:space="preserve"> STYLEREF  CharPartNo  \* MERGEFORMAT </w:instrText>
    </w:r>
    <w:r w:rsidRPr="00255D83">
      <w:rPr>
        <w:rFonts w:ascii="Times New Roman" w:hAnsi="Times New Roman" w:cs="Times New Roman"/>
      </w:rPr>
      <w:fldChar w:fldCharType="separate"/>
    </w:r>
    <w:r w:rsidR="00B60FC0" w:rsidRPr="00B60FC0">
      <w:rPr>
        <w:rFonts w:ascii="Times New Roman" w:hAnsi="Times New Roman" w:cs="Times New Roman"/>
        <w:noProof/>
        <w:lang w:val="en-US"/>
      </w:rPr>
      <w:t>Contents</w:t>
    </w:r>
    <w:r w:rsidR="00B60FC0">
      <w:rPr>
        <w:rFonts w:ascii="Times New Roman" w:hAnsi="Times New Roman" w:cs="Times New Roman"/>
        <w:noProof/>
      </w:rPr>
      <w:cr/>
    </w:r>
    <w:r w:rsidRPr="00255D83">
      <w:rPr>
        <w:rFonts w:ascii="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9EE18" w14:textId="245893B5" w:rsidR="006B55C2" w:rsidRDefault="006B55C2" w:rsidP="00255D83">
    <w:pPr>
      <w:pStyle w:val="Header"/>
      <w:pBdr>
        <w:bottom w:val="single" w:sz="4" w:space="1" w:color="auto"/>
      </w:pBdr>
      <w:tabs>
        <w:tab w:val="clear" w:pos="4513"/>
        <w:tab w:val="left" w:pos="1134"/>
      </w:tabs>
      <w:spacing w:after="120"/>
      <w:jc w:val="right"/>
      <w:rPr>
        <w:rFonts w:ascii="Times New Roman" w:hAnsi="Times New Roman" w:cs="Times New Roman"/>
      </w:rPr>
    </w:pPr>
    <w:r w:rsidRPr="00255D83">
      <w:rPr>
        <w:rFonts w:ascii="Times New Roman" w:hAnsi="Times New Roman" w:cs="Times New Roman"/>
      </w:rPr>
      <w:fldChar w:fldCharType="begin"/>
    </w:r>
    <w:r w:rsidRPr="00255D83">
      <w:rPr>
        <w:rFonts w:ascii="Times New Roman" w:hAnsi="Times New Roman" w:cs="Times New Roman"/>
      </w:rPr>
      <w:instrText xml:space="preserve"> STYLEREF  CharPartNo  \* MERGEFORMAT </w:instrText>
    </w:r>
    <w:r w:rsidRPr="00255D83">
      <w:rPr>
        <w:rFonts w:ascii="Times New Roman" w:hAnsi="Times New Roman" w:cs="Times New Roman"/>
      </w:rPr>
      <w:fldChar w:fldCharType="separate"/>
    </w:r>
    <w:r w:rsidR="00B60FC0" w:rsidRPr="00B60FC0">
      <w:rPr>
        <w:rFonts w:ascii="Times New Roman" w:hAnsi="Times New Roman" w:cs="Times New Roman"/>
        <w:noProof/>
        <w:lang w:val="en-US"/>
      </w:rPr>
      <w:t xml:space="preserve">Part </w:t>
    </w:r>
    <w:r w:rsidR="00B60FC0">
      <w:rPr>
        <w:rFonts w:ascii="Times New Roman" w:hAnsi="Times New Roman" w:cs="Times New Roman"/>
        <w:noProof/>
      </w:rPr>
      <w:t>7</w:t>
    </w:r>
    <w:r w:rsidR="00B60FC0">
      <w:rPr>
        <w:rFonts w:ascii="Times New Roman" w:hAnsi="Times New Roman" w:cs="Times New Roman"/>
        <w:noProof/>
      </w:rPr>
      <w:tab/>
      <w:t>Fixed services</w:t>
    </w:r>
    <w:r w:rsidRPr="00255D83">
      <w:rPr>
        <w:rFonts w:ascii="Times New Roman" w:hAnsi="Times New Roman" w:cs="Times New Roman"/>
      </w:rPr>
      <w:fldChar w:fldCharType="end"/>
    </w:r>
  </w:p>
  <w:p w14:paraId="13454055" w14:textId="7E33AC9E" w:rsidR="006B55C2" w:rsidRPr="00255D83" w:rsidRDefault="006B55C2" w:rsidP="00255D83">
    <w:pPr>
      <w:pStyle w:val="Header"/>
      <w:pBdr>
        <w:bottom w:val="single" w:sz="4" w:space="1" w:color="auto"/>
      </w:pBdr>
      <w:tabs>
        <w:tab w:val="clear" w:pos="4513"/>
        <w:tab w:val="left" w:pos="1134"/>
      </w:tabs>
      <w:spacing w:after="120"/>
      <w:jc w:val="right"/>
      <w:rPr>
        <w:rFonts w:ascii="Times New Roman" w:hAnsi="Times New Roman" w:cs="Times New Roman"/>
      </w:rPr>
    </w:pPr>
    <w:r>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B60FC0">
      <w:rPr>
        <w:rFonts w:ascii="Times New Roman" w:hAnsi="Times New Roman" w:cs="Times New Roman"/>
        <w:noProof/>
      </w:rPr>
      <w:t>16</w:t>
    </w:r>
    <w:r>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2C218" w14:textId="52268198" w:rsidR="006B55C2" w:rsidRDefault="006B55C2" w:rsidP="003017C3">
    <w:pPr>
      <w:pStyle w:val="Header"/>
      <w:pBdr>
        <w:bottom w:val="single" w:sz="4" w:space="1" w:color="auto"/>
      </w:pBdr>
      <w:tabs>
        <w:tab w:val="clear" w:pos="4513"/>
        <w:tab w:val="left" w:pos="1134"/>
      </w:tabs>
      <w:jc w:val="right"/>
      <w:rPr>
        <w:rFonts w:ascii="Times New Roman" w:hAnsi="Times New Roman" w:cs="Times New Roman"/>
      </w:rPr>
    </w:pPr>
    <w:r w:rsidRPr="00255D83">
      <w:rPr>
        <w:rFonts w:ascii="Times New Roman" w:hAnsi="Times New Roman" w:cs="Times New Roman"/>
      </w:rPr>
      <w:fldChar w:fldCharType="begin"/>
    </w:r>
    <w:r w:rsidRPr="00255D83">
      <w:rPr>
        <w:rFonts w:ascii="Times New Roman" w:hAnsi="Times New Roman" w:cs="Times New Roman"/>
      </w:rPr>
      <w:instrText xml:space="preserve"> STYLEREF  CharPartNo  \* MERGEFORMAT </w:instrText>
    </w:r>
    <w:r w:rsidRPr="00255D83">
      <w:rPr>
        <w:rFonts w:ascii="Times New Roman" w:hAnsi="Times New Roman" w:cs="Times New Roman"/>
      </w:rPr>
      <w:fldChar w:fldCharType="separate"/>
    </w:r>
    <w:r w:rsidR="00B60FC0" w:rsidRPr="00B60FC0">
      <w:rPr>
        <w:rFonts w:ascii="Times New Roman" w:hAnsi="Times New Roman" w:cs="Times New Roman"/>
        <w:noProof/>
        <w:lang w:val="en-US"/>
      </w:rPr>
      <w:t xml:space="preserve">Schedule </w:t>
    </w:r>
    <w:r w:rsidR="00B60FC0">
      <w:rPr>
        <w:rFonts w:ascii="Times New Roman" w:hAnsi="Times New Roman" w:cs="Times New Roman"/>
        <w:noProof/>
      </w:rPr>
      <w:t xml:space="preserve">2 </w:t>
    </w:r>
    <w:r w:rsidR="00B60FC0">
      <w:rPr>
        <w:rFonts w:ascii="Times New Roman" w:hAnsi="Times New Roman" w:cs="Times New Roman"/>
        <w:noProof/>
      </w:rPr>
      <w:tab/>
      <w:t>Outer-footprint areas</w:t>
    </w:r>
    <w:r w:rsidRPr="00255D83">
      <w:rPr>
        <w:rFonts w:ascii="Times New Roman" w:hAnsi="Times New Roman" w:cs="Times New Roman"/>
      </w:rPr>
      <w:fldChar w:fldCharType="end"/>
    </w:r>
  </w:p>
  <w:p w14:paraId="53E26D6C" w14:textId="77777777" w:rsidR="006B55C2" w:rsidRDefault="006B55C2" w:rsidP="003017C3">
    <w:pPr>
      <w:pStyle w:val="Header"/>
      <w:pBdr>
        <w:bottom w:val="single" w:sz="4" w:space="1" w:color="auto"/>
      </w:pBdr>
      <w:tabs>
        <w:tab w:val="clear" w:pos="4513"/>
        <w:tab w:val="left" w:pos="1134"/>
      </w:tabs>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5DE5"/>
    <w:multiLevelType w:val="hybridMultilevel"/>
    <w:tmpl w:val="2FA2B438"/>
    <w:lvl w:ilvl="0" w:tplc="7514DDBC">
      <w:start w:val="1"/>
      <w:numFmt w:val="decimal"/>
      <w:lvlText w:val="(%1)"/>
      <w:lvlJc w:val="left"/>
      <w:pPr>
        <w:ind w:left="1118" w:hanging="360"/>
      </w:pPr>
      <w:rPr>
        <w:rFonts w:hint="default"/>
      </w:rPr>
    </w:lvl>
    <w:lvl w:ilvl="1" w:tplc="0C090019" w:tentative="1">
      <w:start w:val="1"/>
      <w:numFmt w:val="lowerLetter"/>
      <w:lvlText w:val="%2."/>
      <w:lvlJc w:val="left"/>
      <w:pPr>
        <w:ind w:left="1838" w:hanging="360"/>
      </w:pPr>
    </w:lvl>
    <w:lvl w:ilvl="2" w:tplc="0C09001B" w:tentative="1">
      <w:start w:val="1"/>
      <w:numFmt w:val="lowerRoman"/>
      <w:lvlText w:val="%3."/>
      <w:lvlJc w:val="right"/>
      <w:pPr>
        <w:ind w:left="2558" w:hanging="180"/>
      </w:pPr>
    </w:lvl>
    <w:lvl w:ilvl="3" w:tplc="0C09000F" w:tentative="1">
      <w:start w:val="1"/>
      <w:numFmt w:val="decimal"/>
      <w:lvlText w:val="%4."/>
      <w:lvlJc w:val="left"/>
      <w:pPr>
        <w:ind w:left="3278" w:hanging="360"/>
      </w:pPr>
    </w:lvl>
    <w:lvl w:ilvl="4" w:tplc="0C090019" w:tentative="1">
      <w:start w:val="1"/>
      <w:numFmt w:val="lowerLetter"/>
      <w:lvlText w:val="%5."/>
      <w:lvlJc w:val="left"/>
      <w:pPr>
        <w:ind w:left="3998" w:hanging="360"/>
      </w:pPr>
    </w:lvl>
    <w:lvl w:ilvl="5" w:tplc="0C09001B" w:tentative="1">
      <w:start w:val="1"/>
      <w:numFmt w:val="lowerRoman"/>
      <w:lvlText w:val="%6."/>
      <w:lvlJc w:val="right"/>
      <w:pPr>
        <w:ind w:left="4718" w:hanging="180"/>
      </w:pPr>
    </w:lvl>
    <w:lvl w:ilvl="6" w:tplc="0C09000F" w:tentative="1">
      <w:start w:val="1"/>
      <w:numFmt w:val="decimal"/>
      <w:lvlText w:val="%7."/>
      <w:lvlJc w:val="left"/>
      <w:pPr>
        <w:ind w:left="5438" w:hanging="360"/>
      </w:pPr>
    </w:lvl>
    <w:lvl w:ilvl="7" w:tplc="0C090019" w:tentative="1">
      <w:start w:val="1"/>
      <w:numFmt w:val="lowerLetter"/>
      <w:lvlText w:val="%8."/>
      <w:lvlJc w:val="left"/>
      <w:pPr>
        <w:ind w:left="6158" w:hanging="360"/>
      </w:pPr>
    </w:lvl>
    <w:lvl w:ilvl="8" w:tplc="0C09001B" w:tentative="1">
      <w:start w:val="1"/>
      <w:numFmt w:val="lowerRoman"/>
      <w:lvlText w:val="%9."/>
      <w:lvlJc w:val="right"/>
      <w:pPr>
        <w:ind w:left="6878" w:hanging="180"/>
      </w:pPr>
    </w:lvl>
  </w:abstractNum>
  <w:abstractNum w:abstractNumId="1" w15:restartNumberingAfterBreak="0">
    <w:nsid w:val="173335D0"/>
    <w:multiLevelType w:val="hybridMultilevel"/>
    <w:tmpl w:val="D3CCD00E"/>
    <w:lvl w:ilvl="0" w:tplc="9D94BF6A">
      <w:start w:val="1"/>
      <w:numFmt w:val="lowerRoman"/>
      <w:lvlText w:val="(%1)"/>
      <w:lvlJc w:val="left"/>
      <w:pPr>
        <w:ind w:left="2498" w:hanging="72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3" w15:restartNumberingAfterBreak="0">
    <w:nsid w:val="18E0783E"/>
    <w:multiLevelType w:val="hybridMultilevel"/>
    <w:tmpl w:val="61346672"/>
    <w:lvl w:ilvl="0" w:tplc="3D4E6A74">
      <w:start w:val="1"/>
      <w:numFmt w:val="lowerRoman"/>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FD90E2F"/>
    <w:multiLevelType w:val="hybridMultilevel"/>
    <w:tmpl w:val="66BCB858"/>
    <w:lvl w:ilvl="0" w:tplc="C5420184">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007E22"/>
    <w:multiLevelType w:val="hybridMultilevel"/>
    <w:tmpl w:val="FE4A0E7C"/>
    <w:lvl w:ilvl="0" w:tplc="600C4B60">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9"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120248"/>
    <w:multiLevelType w:val="hybridMultilevel"/>
    <w:tmpl w:val="770A4304"/>
    <w:lvl w:ilvl="0" w:tplc="0C090001">
      <w:start w:val="1"/>
      <w:numFmt w:val="bullet"/>
      <w:lvlText w:val=""/>
      <w:lvlJc w:val="left"/>
      <w:pPr>
        <w:ind w:left="2345" w:hanging="360"/>
      </w:pPr>
      <w:rPr>
        <w:rFonts w:ascii="Symbol" w:hAnsi="Symbol"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1" w15:restartNumberingAfterBreak="0">
    <w:nsid w:val="50BD1DFC"/>
    <w:multiLevelType w:val="hybridMultilevel"/>
    <w:tmpl w:val="24A2A57A"/>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2" w15:restartNumberingAfterBreak="0">
    <w:nsid w:val="59013324"/>
    <w:multiLevelType w:val="hybridMultilevel"/>
    <w:tmpl w:val="61346672"/>
    <w:lvl w:ilvl="0" w:tplc="3D4E6A7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1435F54"/>
    <w:multiLevelType w:val="hybridMultilevel"/>
    <w:tmpl w:val="9768016C"/>
    <w:lvl w:ilvl="0" w:tplc="9D9A8E60">
      <w:start w:val="1"/>
      <w:numFmt w:val="lowerLetter"/>
      <w:lvlText w:val="(%1)"/>
      <w:lvlJc w:val="left"/>
      <w:pPr>
        <w:ind w:left="2353" w:hanging="368"/>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5" w15:restartNumberingAfterBreak="0">
    <w:nsid w:val="71F16A4F"/>
    <w:multiLevelType w:val="hybridMultilevel"/>
    <w:tmpl w:val="6F242162"/>
    <w:lvl w:ilvl="0" w:tplc="AAA4DF56">
      <w:start w:val="1"/>
      <w:numFmt w:val="lowerLetter"/>
      <w:lvlText w:val="(%1)"/>
      <w:lvlJc w:val="left"/>
      <w:pPr>
        <w:ind w:left="2353" w:hanging="368"/>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6" w15:restartNumberingAfterBreak="0">
    <w:nsid w:val="7D671DBD"/>
    <w:multiLevelType w:val="hybridMultilevel"/>
    <w:tmpl w:val="0C821A42"/>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7"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7"/>
  </w:num>
  <w:num w:numId="3">
    <w:abstractNumId w:val="9"/>
  </w:num>
  <w:num w:numId="4">
    <w:abstractNumId w:val="13"/>
  </w:num>
  <w:num w:numId="5">
    <w:abstractNumId w:val="7"/>
  </w:num>
  <w:num w:numId="6">
    <w:abstractNumId w:val="4"/>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5"/>
  </w:num>
  <w:num w:numId="13">
    <w:abstractNumId w:val="12"/>
  </w:num>
  <w:num w:numId="14">
    <w:abstractNumId w:val="1"/>
  </w:num>
  <w:num w:numId="15">
    <w:abstractNumId w:val="3"/>
  </w:num>
  <w:num w:numId="16">
    <w:abstractNumId w:val="11"/>
  </w:num>
  <w:num w:numId="17">
    <w:abstractNumId w:val="15"/>
  </w:num>
  <w:num w:numId="18">
    <w:abstractNumId w:val="10"/>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2874"/>
    <w:rsid w:val="00002F76"/>
    <w:rsid w:val="00004642"/>
    <w:rsid w:val="000049AB"/>
    <w:rsid w:val="000107B5"/>
    <w:rsid w:val="000126B5"/>
    <w:rsid w:val="000129F1"/>
    <w:rsid w:val="00017030"/>
    <w:rsid w:val="0002053D"/>
    <w:rsid w:val="0002752F"/>
    <w:rsid w:val="000340E0"/>
    <w:rsid w:val="00034CC0"/>
    <w:rsid w:val="000378E6"/>
    <w:rsid w:val="0004408B"/>
    <w:rsid w:val="00044E44"/>
    <w:rsid w:val="00057965"/>
    <w:rsid w:val="00067A05"/>
    <w:rsid w:val="000713B3"/>
    <w:rsid w:val="000749F1"/>
    <w:rsid w:val="00076CEB"/>
    <w:rsid w:val="00083628"/>
    <w:rsid w:val="00085CF1"/>
    <w:rsid w:val="0008674A"/>
    <w:rsid w:val="00086BF0"/>
    <w:rsid w:val="00087F5A"/>
    <w:rsid w:val="00091B39"/>
    <w:rsid w:val="00091EC3"/>
    <w:rsid w:val="00096E30"/>
    <w:rsid w:val="00097890"/>
    <w:rsid w:val="00097A1F"/>
    <w:rsid w:val="000A0717"/>
    <w:rsid w:val="000A30ED"/>
    <w:rsid w:val="000A596F"/>
    <w:rsid w:val="000A6AB0"/>
    <w:rsid w:val="000B506C"/>
    <w:rsid w:val="000B55F8"/>
    <w:rsid w:val="000B6945"/>
    <w:rsid w:val="000C18AA"/>
    <w:rsid w:val="000C2935"/>
    <w:rsid w:val="000C4C1C"/>
    <w:rsid w:val="000D3650"/>
    <w:rsid w:val="000D6066"/>
    <w:rsid w:val="000D7541"/>
    <w:rsid w:val="000E2FAD"/>
    <w:rsid w:val="000E35B9"/>
    <w:rsid w:val="000E4639"/>
    <w:rsid w:val="000E46BC"/>
    <w:rsid w:val="000E47C2"/>
    <w:rsid w:val="000E5FDB"/>
    <w:rsid w:val="000E69FF"/>
    <w:rsid w:val="000E7C92"/>
    <w:rsid w:val="000F1010"/>
    <w:rsid w:val="000F1339"/>
    <w:rsid w:val="000F13DE"/>
    <w:rsid w:val="000F1CE3"/>
    <w:rsid w:val="000F2057"/>
    <w:rsid w:val="000F298E"/>
    <w:rsid w:val="000F78CB"/>
    <w:rsid w:val="00101EB1"/>
    <w:rsid w:val="00102E46"/>
    <w:rsid w:val="00103CF8"/>
    <w:rsid w:val="00110A3A"/>
    <w:rsid w:val="00113720"/>
    <w:rsid w:val="00114491"/>
    <w:rsid w:val="00121BC1"/>
    <w:rsid w:val="00123884"/>
    <w:rsid w:val="00124704"/>
    <w:rsid w:val="00124FE6"/>
    <w:rsid w:val="001251D0"/>
    <w:rsid w:val="001339A9"/>
    <w:rsid w:val="0014016C"/>
    <w:rsid w:val="001407AC"/>
    <w:rsid w:val="00145177"/>
    <w:rsid w:val="00145B47"/>
    <w:rsid w:val="00145CEB"/>
    <w:rsid w:val="00150B26"/>
    <w:rsid w:val="00151DAE"/>
    <w:rsid w:val="0015215D"/>
    <w:rsid w:val="00152CE6"/>
    <w:rsid w:val="001541DA"/>
    <w:rsid w:val="00157511"/>
    <w:rsid w:val="00160F8E"/>
    <w:rsid w:val="0016365D"/>
    <w:rsid w:val="00163DD1"/>
    <w:rsid w:val="001667AF"/>
    <w:rsid w:val="00171171"/>
    <w:rsid w:val="0017203F"/>
    <w:rsid w:val="0017734A"/>
    <w:rsid w:val="001839C1"/>
    <w:rsid w:val="00183F81"/>
    <w:rsid w:val="00185140"/>
    <w:rsid w:val="001869C1"/>
    <w:rsid w:val="0019092A"/>
    <w:rsid w:val="00193847"/>
    <w:rsid w:val="00197F41"/>
    <w:rsid w:val="001A0519"/>
    <w:rsid w:val="001A2B69"/>
    <w:rsid w:val="001A4B39"/>
    <w:rsid w:val="001A5754"/>
    <w:rsid w:val="001B2574"/>
    <w:rsid w:val="001B2B02"/>
    <w:rsid w:val="001B2BDD"/>
    <w:rsid w:val="001B2FDE"/>
    <w:rsid w:val="001B300A"/>
    <w:rsid w:val="001C329F"/>
    <w:rsid w:val="001C3477"/>
    <w:rsid w:val="001D0302"/>
    <w:rsid w:val="001D50DD"/>
    <w:rsid w:val="001D7EEF"/>
    <w:rsid w:val="001E0709"/>
    <w:rsid w:val="001E1928"/>
    <w:rsid w:val="001E1A27"/>
    <w:rsid w:val="001E1DEF"/>
    <w:rsid w:val="001E30E2"/>
    <w:rsid w:val="001E33A5"/>
    <w:rsid w:val="001E45EA"/>
    <w:rsid w:val="001E5E9F"/>
    <w:rsid w:val="001F29DE"/>
    <w:rsid w:val="001F43E6"/>
    <w:rsid w:val="001F59A9"/>
    <w:rsid w:val="0020079C"/>
    <w:rsid w:val="00202A40"/>
    <w:rsid w:val="00203CA5"/>
    <w:rsid w:val="002042B4"/>
    <w:rsid w:val="002056F4"/>
    <w:rsid w:val="0021087E"/>
    <w:rsid w:val="00213199"/>
    <w:rsid w:val="002151B9"/>
    <w:rsid w:val="00216F8B"/>
    <w:rsid w:val="00217FE7"/>
    <w:rsid w:val="002205DA"/>
    <w:rsid w:val="00221CA3"/>
    <w:rsid w:val="00223DD7"/>
    <w:rsid w:val="002309A2"/>
    <w:rsid w:val="002332A2"/>
    <w:rsid w:val="002359DE"/>
    <w:rsid w:val="00237C4E"/>
    <w:rsid w:val="00240AD7"/>
    <w:rsid w:val="00243109"/>
    <w:rsid w:val="00244F45"/>
    <w:rsid w:val="00246980"/>
    <w:rsid w:val="00252886"/>
    <w:rsid w:val="00254AFD"/>
    <w:rsid w:val="00255D83"/>
    <w:rsid w:val="002569B5"/>
    <w:rsid w:val="00256A6D"/>
    <w:rsid w:val="00256E13"/>
    <w:rsid w:val="002574FD"/>
    <w:rsid w:val="00262A1D"/>
    <w:rsid w:val="002636DF"/>
    <w:rsid w:val="00265E94"/>
    <w:rsid w:val="0027116C"/>
    <w:rsid w:val="002714A0"/>
    <w:rsid w:val="00274067"/>
    <w:rsid w:val="002748FF"/>
    <w:rsid w:val="002752AA"/>
    <w:rsid w:val="0027611D"/>
    <w:rsid w:val="002774CF"/>
    <w:rsid w:val="00282510"/>
    <w:rsid w:val="002828E8"/>
    <w:rsid w:val="00283FDF"/>
    <w:rsid w:val="002851FC"/>
    <w:rsid w:val="0028541C"/>
    <w:rsid w:val="00287B20"/>
    <w:rsid w:val="00287FA3"/>
    <w:rsid w:val="00291C8D"/>
    <w:rsid w:val="0029276D"/>
    <w:rsid w:val="002937B9"/>
    <w:rsid w:val="00293CE5"/>
    <w:rsid w:val="0029479A"/>
    <w:rsid w:val="002A68C4"/>
    <w:rsid w:val="002B2A34"/>
    <w:rsid w:val="002B4C80"/>
    <w:rsid w:val="002B73D8"/>
    <w:rsid w:val="002C061D"/>
    <w:rsid w:val="002C539D"/>
    <w:rsid w:val="002D26BE"/>
    <w:rsid w:val="002D46D5"/>
    <w:rsid w:val="002D5CAE"/>
    <w:rsid w:val="002E1335"/>
    <w:rsid w:val="002E1D74"/>
    <w:rsid w:val="002E23B5"/>
    <w:rsid w:val="002E2AB0"/>
    <w:rsid w:val="002E44C9"/>
    <w:rsid w:val="002E4C72"/>
    <w:rsid w:val="002E4FC3"/>
    <w:rsid w:val="002E5B01"/>
    <w:rsid w:val="002E66D6"/>
    <w:rsid w:val="002E6A7D"/>
    <w:rsid w:val="002F0E3F"/>
    <w:rsid w:val="002F12F2"/>
    <w:rsid w:val="002F7598"/>
    <w:rsid w:val="002F79E0"/>
    <w:rsid w:val="003017C3"/>
    <w:rsid w:val="00302C6D"/>
    <w:rsid w:val="003033CD"/>
    <w:rsid w:val="00305ACE"/>
    <w:rsid w:val="00310A13"/>
    <w:rsid w:val="00314BEB"/>
    <w:rsid w:val="00316589"/>
    <w:rsid w:val="003166CF"/>
    <w:rsid w:val="00316BFE"/>
    <w:rsid w:val="0032059B"/>
    <w:rsid w:val="00325FE5"/>
    <w:rsid w:val="00333FFB"/>
    <w:rsid w:val="00334E78"/>
    <w:rsid w:val="0033513F"/>
    <w:rsid w:val="00336B0F"/>
    <w:rsid w:val="003375C6"/>
    <w:rsid w:val="0034116F"/>
    <w:rsid w:val="00342644"/>
    <w:rsid w:val="00344E9B"/>
    <w:rsid w:val="0034515A"/>
    <w:rsid w:val="00345721"/>
    <w:rsid w:val="00347174"/>
    <w:rsid w:val="00350FEB"/>
    <w:rsid w:val="00355F3C"/>
    <w:rsid w:val="003620A2"/>
    <w:rsid w:val="0036300F"/>
    <w:rsid w:val="00363BEE"/>
    <w:rsid w:val="003663AA"/>
    <w:rsid w:val="003670B6"/>
    <w:rsid w:val="00367E8B"/>
    <w:rsid w:val="003722A5"/>
    <w:rsid w:val="00372D68"/>
    <w:rsid w:val="00374A6A"/>
    <w:rsid w:val="00390E9E"/>
    <w:rsid w:val="00390F1C"/>
    <w:rsid w:val="00391897"/>
    <w:rsid w:val="00394993"/>
    <w:rsid w:val="00394A41"/>
    <w:rsid w:val="00395204"/>
    <w:rsid w:val="003973D0"/>
    <w:rsid w:val="003A278F"/>
    <w:rsid w:val="003A2D39"/>
    <w:rsid w:val="003A3A95"/>
    <w:rsid w:val="003A5C55"/>
    <w:rsid w:val="003A6F8B"/>
    <w:rsid w:val="003A715B"/>
    <w:rsid w:val="003B2C48"/>
    <w:rsid w:val="003B42D9"/>
    <w:rsid w:val="003B4A67"/>
    <w:rsid w:val="003B64CF"/>
    <w:rsid w:val="003B6C41"/>
    <w:rsid w:val="003B7BB7"/>
    <w:rsid w:val="003B7D44"/>
    <w:rsid w:val="003B7F01"/>
    <w:rsid w:val="003C0096"/>
    <w:rsid w:val="003C478C"/>
    <w:rsid w:val="003C5A0F"/>
    <w:rsid w:val="003D3609"/>
    <w:rsid w:val="003D4F4A"/>
    <w:rsid w:val="003E4970"/>
    <w:rsid w:val="003E59D5"/>
    <w:rsid w:val="003E6F25"/>
    <w:rsid w:val="003F0A4B"/>
    <w:rsid w:val="003F16C3"/>
    <w:rsid w:val="003F2CEC"/>
    <w:rsid w:val="00406CA8"/>
    <w:rsid w:val="00407638"/>
    <w:rsid w:val="00411FD8"/>
    <w:rsid w:val="00414722"/>
    <w:rsid w:val="00416E07"/>
    <w:rsid w:val="00417B8B"/>
    <w:rsid w:val="00421F82"/>
    <w:rsid w:val="00424038"/>
    <w:rsid w:val="00424C67"/>
    <w:rsid w:val="00427CE5"/>
    <w:rsid w:val="00430FEA"/>
    <w:rsid w:val="00431F15"/>
    <w:rsid w:val="004347AF"/>
    <w:rsid w:val="00434B53"/>
    <w:rsid w:val="004361D9"/>
    <w:rsid w:val="00436706"/>
    <w:rsid w:val="00436882"/>
    <w:rsid w:val="00440610"/>
    <w:rsid w:val="00440880"/>
    <w:rsid w:val="004447EE"/>
    <w:rsid w:val="00444878"/>
    <w:rsid w:val="00446E72"/>
    <w:rsid w:val="00447253"/>
    <w:rsid w:val="00452197"/>
    <w:rsid w:val="0045599F"/>
    <w:rsid w:val="004605B8"/>
    <w:rsid w:val="0046158C"/>
    <w:rsid w:val="00461E3F"/>
    <w:rsid w:val="0046204E"/>
    <w:rsid w:val="0046348D"/>
    <w:rsid w:val="00467596"/>
    <w:rsid w:val="00472125"/>
    <w:rsid w:val="0047290D"/>
    <w:rsid w:val="004778E7"/>
    <w:rsid w:val="0048128E"/>
    <w:rsid w:val="00482E71"/>
    <w:rsid w:val="004860F0"/>
    <w:rsid w:val="00490BA8"/>
    <w:rsid w:val="004944AE"/>
    <w:rsid w:val="00495F20"/>
    <w:rsid w:val="00497677"/>
    <w:rsid w:val="004A5471"/>
    <w:rsid w:val="004A65EB"/>
    <w:rsid w:val="004A66D7"/>
    <w:rsid w:val="004A6F64"/>
    <w:rsid w:val="004B030A"/>
    <w:rsid w:val="004B26CE"/>
    <w:rsid w:val="004B4796"/>
    <w:rsid w:val="004C3BC0"/>
    <w:rsid w:val="004C3CE3"/>
    <w:rsid w:val="004D013E"/>
    <w:rsid w:val="004D317C"/>
    <w:rsid w:val="004D40B1"/>
    <w:rsid w:val="004D5D42"/>
    <w:rsid w:val="004D6B79"/>
    <w:rsid w:val="004D79AF"/>
    <w:rsid w:val="004E2F16"/>
    <w:rsid w:val="004E3164"/>
    <w:rsid w:val="004E3490"/>
    <w:rsid w:val="004E6B1B"/>
    <w:rsid w:val="004F2B81"/>
    <w:rsid w:val="0050214B"/>
    <w:rsid w:val="00502445"/>
    <w:rsid w:val="00503362"/>
    <w:rsid w:val="00504F72"/>
    <w:rsid w:val="00507D03"/>
    <w:rsid w:val="00511349"/>
    <w:rsid w:val="00512F94"/>
    <w:rsid w:val="00513F04"/>
    <w:rsid w:val="00515B0D"/>
    <w:rsid w:val="00516315"/>
    <w:rsid w:val="005201E4"/>
    <w:rsid w:val="00520498"/>
    <w:rsid w:val="00532111"/>
    <w:rsid w:val="005345CF"/>
    <w:rsid w:val="0054011B"/>
    <w:rsid w:val="005404DC"/>
    <w:rsid w:val="00540A60"/>
    <w:rsid w:val="00543AB7"/>
    <w:rsid w:val="00544AD7"/>
    <w:rsid w:val="0054679E"/>
    <w:rsid w:val="00547D01"/>
    <w:rsid w:val="00551716"/>
    <w:rsid w:val="0055304E"/>
    <w:rsid w:val="0055674D"/>
    <w:rsid w:val="0056007B"/>
    <w:rsid w:val="005733B2"/>
    <w:rsid w:val="00574F11"/>
    <w:rsid w:val="0057583A"/>
    <w:rsid w:val="005770AE"/>
    <w:rsid w:val="00577AF4"/>
    <w:rsid w:val="005818A1"/>
    <w:rsid w:val="00581C26"/>
    <w:rsid w:val="005823FD"/>
    <w:rsid w:val="0058242F"/>
    <w:rsid w:val="005837AA"/>
    <w:rsid w:val="00583E08"/>
    <w:rsid w:val="00583F0E"/>
    <w:rsid w:val="00585C09"/>
    <w:rsid w:val="00593CAE"/>
    <w:rsid w:val="00593D0A"/>
    <w:rsid w:val="005957A6"/>
    <w:rsid w:val="0059614B"/>
    <w:rsid w:val="00597AA1"/>
    <w:rsid w:val="005A1C6E"/>
    <w:rsid w:val="005A2487"/>
    <w:rsid w:val="005A2F39"/>
    <w:rsid w:val="005A3582"/>
    <w:rsid w:val="005A3EBC"/>
    <w:rsid w:val="005A4B1E"/>
    <w:rsid w:val="005A6D26"/>
    <w:rsid w:val="005A7501"/>
    <w:rsid w:val="005B0220"/>
    <w:rsid w:val="005B56C9"/>
    <w:rsid w:val="005B6925"/>
    <w:rsid w:val="005B6AD5"/>
    <w:rsid w:val="005B6E4B"/>
    <w:rsid w:val="005B7F0E"/>
    <w:rsid w:val="005C0555"/>
    <w:rsid w:val="005C2885"/>
    <w:rsid w:val="005C5398"/>
    <w:rsid w:val="005C6A49"/>
    <w:rsid w:val="005D1655"/>
    <w:rsid w:val="005D43B5"/>
    <w:rsid w:val="005E11A6"/>
    <w:rsid w:val="005E2C4F"/>
    <w:rsid w:val="005E6FF3"/>
    <w:rsid w:val="005E77FE"/>
    <w:rsid w:val="005E7F2B"/>
    <w:rsid w:val="005F0880"/>
    <w:rsid w:val="005F1B68"/>
    <w:rsid w:val="005F2797"/>
    <w:rsid w:val="005F474D"/>
    <w:rsid w:val="005F52AE"/>
    <w:rsid w:val="005F7163"/>
    <w:rsid w:val="00600A45"/>
    <w:rsid w:val="00600F11"/>
    <w:rsid w:val="00604395"/>
    <w:rsid w:val="006079FF"/>
    <w:rsid w:val="0061039A"/>
    <w:rsid w:val="00611B00"/>
    <w:rsid w:val="00612A0E"/>
    <w:rsid w:val="006133AF"/>
    <w:rsid w:val="00616741"/>
    <w:rsid w:val="00622E33"/>
    <w:rsid w:val="00627845"/>
    <w:rsid w:val="00627D8A"/>
    <w:rsid w:val="00630347"/>
    <w:rsid w:val="00633A6C"/>
    <w:rsid w:val="00634EE0"/>
    <w:rsid w:val="00635AC0"/>
    <w:rsid w:val="00637397"/>
    <w:rsid w:val="006405CC"/>
    <w:rsid w:val="00640849"/>
    <w:rsid w:val="00640B74"/>
    <w:rsid w:val="006437D6"/>
    <w:rsid w:val="00643985"/>
    <w:rsid w:val="006440B2"/>
    <w:rsid w:val="00644381"/>
    <w:rsid w:val="00644AA9"/>
    <w:rsid w:val="006453A3"/>
    <w:rsid w:val="00647225"/>
    <w:rsid w:val="00651359"/>
    <w:rsid w:val="00656A9A"/>
    <w:rsid w:val="00656BB4"/>
    <w:rsid w:val="006618CF"/>
    <w:rsid w:val="006659AD"/>
    <w:rsid w:val="00667BF6"/>
    <w:rsid w:val="00670A19"/>
    <w:rsid w:val="00671870"/>
    <w:rsid w:val="006723AD"/>
    <w:rsid w:val="0067485A"/>
    <w:rsid w:val="00681361"/>
    <w:rsid w:val="00682F9B"/>
    <w:rsid w:val="006866DF"/>
    <w:rsid w:val="006869F7"/>
    <w:rsid w:val="0068722A"/>
    <w:rsid w:val="00690181"/>
    <w:rsid w:val="006918AA"/>
    <w:rsid w:val="006923FB"/>
    <w:rsid w:val="00693719"/>
    <w:rsid w:val="00693D4F"/>
    <w:rsid w:val="0069464D"/>
    <w:rsid w:val="00694FE0"/>
    <w:rsid w:val="00695BC6"/>
    <w:rsid w:val="006A5007"/>
    <w:rsid w:val="006A5EB4"/>
    <w:rsid w:val="006A74A6"/>
    <w:rsid w:val="006A774C"/>
    <w:rsid w:val="006B0AC7"/>
    <w:rsid w:val="006B1406"/>
    <w:rsid w:val="006B1CE3"/>
    <w:rsid w:val="006B55C2"/>
    <w:rsid w:val="006B787C"/>
    <w:rsid w:val="006C0251"/>
    <w:rsid w:val="006C03AA"/>
    <w:rsid w:val="006C2BB6"/>
    <w:rsid w:val="006C3B4C"/>
    <w:rsid w:val="006C5E84"/>
    <w:rsid w:val="006D2051"/>
    <w:rsid w:val="006D23CE"/>
    <w:rsid w:val="006D36DE"/>
    <w:rsid w:val="006D3FDA"/>
    <w:rsid w:val="006D7EC0"/>
    <w:rsid w:val="006E016B"/>
    <w:rsid w:val="006E13A8"/>
    <w:rsid w:val="006E21F8"/>
    <w:rsid w:val="006E5B82"/>
    <w:rsid w:val="006E6A3B"/>
    <w:rsid w:val="006F2025"/>
    <w:rsid w:val="006F24F5"/>
    <w:rsid w:val="006F3F9B"/>
    <w:rsid w:val="006F5422"/>
    <w:rsid w:val="006F5CF2"/>
    <w:rsid w:val="006F6428"/>
    <w:rsid w:val="006F662B"/>
    <w:rsid w:val="006F6ADC"/>
    <w:rsid w:val="006F6F03"/>
    <w:rsid w:val="006F706A"/>
    <w:rsid w:val="006F7656"/>
    <w:rsid w:val="00703828"/>
    <w:rsid w:val="0070447A"/>
    <w:rsid w:val="0070634B"/>
    <w:rsid w:val="00711337"/>
    <w:rsid w:val="0071141C"/>
    <w:rsid w:val="0071142C"/>
    <w:rsid w:val="00713DB6"/>
    <w:rsid w:val="00717749"/>
    <w:rsid w:val="00721966"/>
    <w:rsid w:val="00722527"/>
    <w:rsid w:val="00722F1D"/>
    <w:rsid w:val="00723B42"/>
    <w:rsid w:val="00730685"/>
    <w:rsid w:val="00731053"/>
    <w:rsid w:val="007322EF"/>
    <w:rsid w:val="00733263"/>
    <w:rsid w:val="00733FB0"/>
    <w:rsid w:val="007353C2"/>
    <w:rsid w:val="0074394B"/>
    <w:rsid w:val="007453FE"/>
    <w:rsid w:val="0074545C"/>
    <w:rsid w:val="00746A57"/>
    <w:rsid w:val="00747A03"/>
    <w:rsid w:val="007530C4"/>
    <w:rsid w:val="00753539"/>
    <w:rsid w:val="00753A51"/>
    <w:rsid w:val="00756B3D"/>
    <w:rsid w:val="00762C29"/>
    <w:rsid w:val="00763880"/>
    <w:rsid w:val="007641CE"/>
    <w:rsid w:val="00765F83"/>
    <w:rsid w:val="00766883"/>
    <w:rsid w:val="00767953"/>
    <w:rsid w:val="00770264"/>
    <w:rsid w:val="00774D1F"/>
    <w:rsid w:val="00775C21"/>
    <w:rsid w:val="007822B9"/>
    <w:rsid w:val="00782ADA"/>
    <w:rsid w:val="0078413B"/>
    <w:rsid w:val="007841AE"/>
    <w:rsid w:val="0078539B"/>
    <w:rsid w:val="00790F6B"/>
    <w:rsid w:val="00792BBE"/>
    <w:rsid w:val="007A20D7"/>
    <w:rsid w:val="007A3089"/>
    <w:rsid w:val="007A3884"/>
    <w:rsid w:val="007A54ED"/>
    <w:rsid w:val="007B1927"/>
    <w:rsid w:val="007C14B3"/>
    <w:rsid w:val="007C17F6"/>
    <w:rsid w:val="007C2FC7"/>
    <w:rsid w:val="007C6622"/>
    <w:rsid w:val="007D093E"/>
    <w:rsid w:val="007D0B1B"/>
    <w:rsid w:val="007D31F4"/>
    <w:rsid w:val="007D69CF"/>
    <w:rsid w:val="007E42AF"/>
    <w:rsid w:val="007F0E12"/>
    <w:rsid w:val="007F2566"/>
    <w:rsid w:val="007F4D04"/>
    <w:rsid w:val="007F52D9"/>
    <w:rsid w:val="007F6E59"/>
    <w:rsid w:val="00800926"/>
    <w:rsid w:val="00800B1D"/>
    <w:rsid w:val="00800FF4"/>
    <w:rsid w:val="00801D20"/>
    <w:rsid w:val="008025EB"/>
    <w:rsid w:val="00807E9D"/>
    <w:rsid w:val="00810637"/>
    <w:rsid w:val="00811B7A"/>
    <w:rsid w:val="0081244E"/>
    <w:rsid w:val="00812A22"/>
    <w:rsid w:val="00812DAB"/>
    <w:rsid w:val="008136B7"/>
    <w:rsid w:val="00814838"/>
    <w:rsid w:val="00816885"/>
    <w:rsid w:val="0081785C"/>
    <w:rsid w:val="00820991"/>
    <w:rsid w:val="008214C9"/>
    <w:rsid w:val="00822CD9"/>
    <w:rsid w:val="0082468C"/>
    <w:rsid w:val="00824DC7"/>
    <w:rsid w:val="0082615D"/>
    <w:rsid w:val="00827D0D"/>
    <w:rsid w:val="00832155"/>
    <w:rsid w:val="00834A41"/>
    <w:rsid w:val="00840F25"/>
    <w:rsid w:val="0084197F"/>
    <w:rsid w:val="00841F7A"/>
    <w:rsid w:val="00842FD0"/>
    <w:rsid w:val="0084383E"/>
    <w:rsid w:val="00845EDE"/>
    <w:rsid w:val="00854D50"/>
    <w:rsid w:val="00854E86"/>
    <w:rsid w:val="00855703"/>
    <w:rsid w:val="0085691C"/>
    <w:rsid w:val="00860EB9"/>
    <w:rsid w:val="00861273"/>
    <w:rsid w:val="0086239F"/>
    <w:rsid w:val="00862C19"/>
    <w:rsid w:val="00863832"/>
    <w:rsid w:val="00863CA6"/>
    <w:rsid w:val="00865E99"/>
    <w:rsid w:val="00866D50"/>
    <w:rsid w:val="00867234"/>
    <w:rsid w:val="008672FC"/>
    <w:rsid w:val="00870FA6"/>
    <w:rsid w:val="00871A8E"/>
    <w:rsid w:val="008725ED"/>
    <w:rsid w:val="0087278B"/>
    <w:rsid w:val="00892659"/>
    <w:rsid w:val="0089278F"/>
    <w:rsid w:val="00895EC1"/>
    <w:rsid w:val="00895EE2"/>
    <w:rsid w:val="0089653F"/>
    <w:rsid w:val="00896A23"/>
    <w:rsid w:val="008A0006"/>
    <w:rsid w:val="008A7F44"/>
    <w:rsid w:val="008B169F"/>
    <w:rsid w:val="008B24FD"/>
    <w:rsid w:val="008C0AF9"/>
    <w:rsid w:val="008C1E6C"/>
    <w:rsid w:val="008C303E"/>
    <w:rsid w:val="008C7CD3"/>
    <w:rsid w:val="008D06B3"/>
    <w:rsid w:val="008D0AC0"/>
    <w:rsid w:val="008D2BD1"/>
    <w:rsid w:val="008D51D0"/>
    <w:rsid w:val="008D642E"/>
    <w:rsid w:val="008E1B6F"/>
    <w:rsid w:val="008E230B"/>
    <w:rsid w:val="008E304F"/>
    <w:rsid w:val="008E33F2"/>
    <w:rsid w:val="008E5167"/>
    <w:rsid w:val="008E77FF"/>
    <w:rsid w:val="008F015D"/>
    <w:rsid w:val="008F0D09"/>
    <w:rsid w:val="008F12E8"/>
    <w:rsid w:val="008F25AE"/>
    <w:rsid w:val="008F359A"/>
    <w:rsid w:val="008F58E6"/>
    <w:rsid w:val="008F5B50"/>
    <w:rsid w:val="008F612B"/>
    <w:rsid w:val="00902CA5"/>
    <w:rsid w:val="00903870"/>
    <w:rsid w:val="0090503C"/>
    <w:rsid w:val="009105EE"/>
    <w:rsid w:val="00911B48"/>
    <w:rsid w:val="0091792E"/>
    <w:rsid w:val="00921211"/>
    <w:rsid w:val="00933DE5"/>
    <w:rsid w:val="009344BE"/>
    <w:rsid w:val="00936E66"/>
    <w:rsid w:val="00940E80"/>
    <w:rsid w:val="00941ED9"/>
    <w:rsid w:val="0094344F"/>
    <w:rsid w:val="009449DA"/>
    <w:rsid w:val="00945ECD"/>
    <w:rsid w:val="00950247"/>
    <w:rsid w:val="00953D8D"/>
    <w:rsid w:val="00954745"/>
    <w:rsid w:val="00957210"/>
    <w:rsid w:val="00960260"/>
    <w:rsid w:val="00960783"/>
    <w:rsid w:val="00961B6C"/>
    <w:rsid w:val="00961E4B"/>
    <w:rsid w:val="009635E3"/>
    <w:rsid w:val="0096393C"/>
    <w:rsid w:val="00963A54"/>
    <w:rsid w:val="00966602"/>
    <w:rsid w:val="00966DA5"/>
    <w:rsid w:val="00970536"/>
    <w:rsid w:val="00970655"/>
    <w:rsid w:val="00971812"/>
    <w:rsid w:val="00972F17"/>
    <w:rsid w:val="00975AA6"/>
    <w:rsid w:val="00977135"/>
    <w:rsid w:val="00980465"/>
    <w:rsid w:val="0098194C"/>
    <w:rsid w:val="0098576B"/>
    <w:rsid w:val="00987927"/>
    <w:rsid w:val="00987A5F"/>
    <w:rsid w:val="009943EF"/>
    <w:rsid w:val="009943F7"/>
    <w:rsid w:val="00996BDE"/>
    <w:rsid w:val="00997E7C"/>
    <w:rsid w:val="009A0432"/>
    <w:rsid w:val="009A1DFB"/>
    <w:rsid w:val="009A1F17"/>
    <w:rsid w:val="009A28A4"/>
    <w:rsid w:val="009A6379"/>
    <w:rsid w:val="009B1359"/>
    <w:rsid w:val="009B1A00"/>
    <w:rsid w:val="009B327F"/>
    <w:rsid w:val="009B3E70"/>
    <w:rsid w:val="009B49C7"/>
    <w:rsid w:val="009B4EB4"/>
    <w:rsid w:val="009B5544"/>
    <w:rsid w:val="009C2C5D"/>
    <w:rsid w:val="009C45D8"/>
    <w:rsid w:val="009C4A1A"/>
    <w:rsid w:val="009D02E5"/>
    <w:rsid w:val="009D0D86"/>
    <w:rsid w:val="009D0DDF"/>
    <w:rsid w:val="009D47D4"/>
    <w:rsid w:val="009D4949"/>
    <w:rsid w:val="009D61CD"/>
    <w:rsid w:val="009E2417"/>
    <w:rsid w:val="009E3A74"/>
    <w:rsid w:val="009E4932"/>
    <w:rsid w:val="009E5FBD"/>
    <w:rsid w:val="009E7D32"/>
    <w:rsid w:val="009F1C06"/>
    <w:rsid w:val="009F2EEE"/>
    <w:rsid w:val="009F4A71"/>
    <w:rsid w:val="009F681B"/>
    <w:rsid w:val="00A011FA"/>
    <w:rsid w:val="00A02633"/>
    <w:rsid w:val="00A036DE"/>
    <w:rsid w:val="00A03B2F"/>
    <w:rsid w:val="00A03F61"/>
    <w:rsid w:val="00A062E8"/>
    <w:rsid w:val="00A07A58"/>
    <w:rsid w:val="00A156DA"/>
    <w:rsid w:val="00A15FDD"/>
    <w:rsid w:val="00A175ED"/>
    <w:rsid w:val="00A20027"/>
    <w:rsid w:val="00A20A58"/>
    <w:rsid w:val="00A2154F"/>
    <w:rsid w:val="00A21629"/>
    <w:rsid w:val="00A21BE5"/>
    <w:rsid w:val="00A2207A"/>
    <w:rsid w:val="00A23F79"/>
    <w:rsid w:val="00A24D70"/>
    <w:rsid w:val="00A35A36"/>
    <w:rsid w:val="00A35C1E"/>
    <w:rsid w:val="00A36098"/>
    <w:rsid w:val="00A36649"/>
    <w:rsid w:val="00A37E19"/>
    <w:rsid w:val="00A40815"/>
    <w:rsid w:val="00A40997"/>
    <w:rsid w:val="00A40AE6"/>
    <w:rsid w:val="00A40DCD"/>
    <w:rsid w:val="00A4105B"/>
    <w:rsid w:val="00A44F13"/>
    <w:rsid w:val="00A466AE"/>
    <w:rsid w:val="00A47C8F"/>
    <w:rsid w:val="00A52532"/>
    <w:rsid w:val="00A533E4"/>
    <w:rsid w:val="00A5492D"/>
    <w:rsid w:val="00A55B3C"/>
    <w:rsid w:val="00A5787C"/>
    <w:rsid w:val="00A60C4C"/>
    <w:rsid w:val="00A60EAA"/>
    <w:rsid w:val="00A61E9F"/>
    <w:rsid w:val="00A652A7"/>
    <w:rsid w:val="00A65E7F"/>
    <w:rsid w:val="00A71FBB"/>
    <w:rsid w:val="00A72A1B"/>
    <w:rsid w:val="00A732FF"/>
    <w:rsid w:val="00A74BE3"/>
    <w:rsid w:val="00A766E4"/>
    <w:rsid w:val="00A82638"/>
    <w:rsid w:val="00A82E25"/>
    <w:rsid w:val="00A853EF"/>
    <w:rsid w:val="00A863BE"/>
    <w:rsid w:val="00A87309"/>
    <w:rsid w:val="00A8752E"/>
    <w:rsid w:val="00A91234"/>
    <w:rsid w:val="00A93EEF"/>
    <w:rsid w:val="00A93F6A"/>
    <w:rsid w:val="00A95E98"/>
    <w:rsid w:val="00A965A3"/>
    <w:rsid w:val="00AA46BF"/>
    <w:rsid w:val="00AB37BA"/>
    <w:rsid w:val="00AB6484"/>
    <w:rsid w:val="00AB651C"/>
    <w:rsid w:val="00AB686F"/>
    <w:rsid w:val="00AB758C"/>
    <w:rsid w:val="00AC00D1"/>
    <w:rsid w:val="00AC34AA"/>
    <w:rsid w:val="00AC400A"/>
    <w:rsid w:val="00AC4434"/>
    <w:rsid w:val="00AC5FC8"/>
    <w:rsid w:val="00AD14AA"/>
    <w:rsid w:val="00AD1EEA"/>
    <w:rsid w:val="00AD3252"/>
    <w:rsid w:val="00AD727F"/>
    <w:rsid w:val="00AE1ECA"/>
    <w:rsid w:val="00AE2D44"/>
    <w:rsid w:val="00AE414E"/>
    <w:rsid w:val="00AE50D5"/>
    <w:rsid w:val="00AE58CB"/>
    <w:rsid w:val="00AE655B"/>
    <w:rsid w:val="00AE7796"/>
    <w:rsid w:val="00AF0986"/>
    <w:rsid w:val="00AF2D2E"/>
    <w:rsid w:val="00AF4B56"/>
    <w:rsid w:val="00AF4BF1"/>
    <w:rsid w:val="00AF52AF"/>
    <w:rsid w:val="00AF57E3"/>
    <w:rsid w:val="00AF5CAD"/>
    <w:rsid w:val="00AF6D57"/>
    <w:rsid w:val="00B04418"/>
    <w:rsid w:val="00B05A93"/>
    <w:rsid w:val="00B13857"/>
    <w:rsid w:val="00B13B65"/>
    <w:rsid w:val="00B15361"/>
    <w:rsid w:val="00B15AF6"/>
    <w:rsid w:val="00B16638"/>
    <w:rsid w:val="00B17A96"/>
    <w:rsid w:val="00B22FA4"/>
    <w:rsid w:val="00B22FE6"/>
    <w:rsid w:val="00B340E7"/>
    <w:rsid w:val="00B34A4D"/>
    <w:rsid w:val="00B36454"/>
    <w:rsid w:val="00B40B9E"/>
    <w:rsid w:val="00B4127F"/>
    <w:rsid w:val="00B45CF1"/>
    <w:rsid w:val="00B47030"/>
    <w:rsid w:val="00B472FD"/>
    <w:rsid w:val="00B47DC7"/>
    <w:rsid w:val="00B50705"/>
    <w:rsid w:val="00B5097C"/>
    <w:rsid w:val="00B50C13"/>
    <w:rsid w:val="00B52027"/>
    <w:rsid w:val="00B531AB"/>
    <w:rsid w:val="00B53487"/>
    <w:rsid w:val="00B57E5E"/>
    <w:rsid w:val="00B60FC0"/>
    <w:rsid w:val="00B669DD"/>
    <w:rsid w:val="00B6797E"/>
    <w:rsid w:val="00B703CB"/>
    <w:rsid w:val="00B7359B"/>
    <w:rsid w:val="00B74422"/>
    <w:rsid w:val="00B76417"/>
    <w:rsid w:val="00B82E75"/>
    <w:rsid w:val="00B84D9D"/>
    <w:rsid w:val="00B87C04"/>
    <w:rsid w:val="00B9041C"/>
    <w:rsid w:val="00B90E47"/>
    <w:rsid w:val="00B90F17"/>
    <w:rsid w:val="00B91C19"/>
    <w:rsid w:val="00B92738"/>
    <w:rsid w:val="00B94518"/>
    <w:rsid w:val="00B94FFE"/>
    <w:rsid w:val="00BA111E"/>
    <w:rsid w:val="00BA1BB9"/>
    <w:rsid w:val="00BA4326"/>
    <w:rsid w:val="00BA4E70"/>
    <w:rsid w:val="00BA7DB7"/>
    <w:rsid w:val="00BB03D1"/>
    <w:rsid w:val="00BB061E"/>
    <w:rsid w:val="00BC109C"/>
    <w:rsid w:val="00BC28AB"/>
    <w:rsid w:val="00BC30F7"/>
    <w:rsid w:val="00BC33C9"/>
    <w:rsid w:val="00BC374C"/>
    <w:rsid w:val="00BC6C8F"/>
    <w:rsid w:val="00BD1015"/>
    <w:rsid w:val="00BD254C"/>
    <w:rsid w:val="00BD2A26"/>
    <w:rsid w:val="00BD3576"/>
    <w:rsid w:val="00BD40C5"/>
    <w:rsid w:val="00BD77C9"/>
    <w:rsid w:val="00BE02A8"/>
    <w:rsid w:val="00BE095C"/>
    <w:rsid w:val="00BE1E82"/>
    <w:rsid w:val="00BE4BC7"/>
    <w:rsid w:val="00BE52B5"/>
    <w:rsid w:val="00BE6288"/>
    <w:rsid w:val="00BF2103"/>
    <w:rsid w:val="00BF518F"/>
    <w:rsid w:val="00C00113"/>
    <w:rsid w:val="00C00C89"/>
    <w:rsid w:val="00C02C05"/>
    <w:rsid w:val="00C04BC4"/>
    <w:rsid w:val="00C07033"/>
    <w:rsid w:val="00C11957"/>
    <w:rsid w:val="00C13733"/>
    <w:rsid w:val="00C15839"/>
    <w:rsid w:val="00C15C3E"/>
    <w:rsid w:val="00C16799"/>
    <w:rsid w:val="00C21FF2"/>
    <w:rsid w:val="00C227FB"/>
    <w:rsid w:val="00C23B84"/>
    <w:rsid w:val="00C247E2"/>
    <w:rsid w:val="00C24E81"/>
    <w:rsid w:val="00C25DB4"/>
    <w:rsid w:val="00C26F3F"/>
    <w:rsid w:val="00C27E64"/>
    <w:rsid w:val="00C27F02"/>
    <w:rsid w:val="00C3049A"/>
    <w:rsid w:val="00C30CFA"/>
    <w:rsid w:val="00C30F7F"/>
    <w:rsid w:val="00C32610"/>
    <w:rsid w:val="00C33E66"/>
    <w:rsid w:val="00C345B1"/>
    <w:rsid w:val="00C34CDB"/>
    <w:rsid w:val="00C41677"/>
    <w:rsid w:val="00C41763"/>
    <w:rsid w:val="00C445C7"/>
    <w:rsid w:val="00C44B02"/>
    <w:rsid w:val="00C469BE"/>
    <w:rsid w:val="00C5225D"/>
    <w:rsid w:val="00C5287B"/>
    <w:rsid w:val="00C5344C"/>
    <w:rsid w:val="00C543F6"/>
    <w:rsid w:val="00C55E64"/>
    <w:rsid w:val="00C57BF3"/>
    <w:rsid w:val="00C57D6C"/>
    <w:rsid w:val="00C62066"/>
    <w:rsid w:val="00C6553C"/>
    <w:rsid w:val="00C65C0D"/>
    <w:rsid w:val="00C67BD0"/>
    <w:rsid w:val="00C70F22"/>
    <w:rsid w:val="00C71FA2"/>
    <w:rsid w:val="00C73EF8"/>
    <w:rsid w:val="00C769CC"/>
    <w:rsid w:val="00C76D4F"/>
    <w:rsid w:val="00C76D9C"/>
    <w:rsid w:val="00C818A6"/>
    <w:rsid w:val="00C82257"/>
    <w:rsid w:val="00C82D54"/>
    <w:rsid w:val="00C82E52"/>
    <w:rsid w:val="00C83284"/>
    <w:rsid w:val="00C93F35"/>
    <w:rsid w:val="00C9448D"/>
    <w:rsid w:val="00C959A6"/>
    <w:rsid w:val="00C97CD7"/>
    <w:rsid w:val="00CA19BF"/>
    <w:rsid w:val="00CA1FD1"/>
    <w:rsid w:val="00CA2042"/>
    <w:rsid w:val="00CA4413"/>
    <w:rsid w:val="00CA666D"/>
    <w:rsid w:val="00CA6B41"/>
    <w:rsid w:val="00CA773D"/>
    <w:rsid w:val="00CB54AA"/>
    <w:rsid w:val="00CB7288"/>
    <w:rsid w:val="00CC1C0A"/>
    <w:rsid w:val="00CC23D8"/>
    <w:rsid w:val="00CC2A89"/>
    <w:rsid w:val="00CC3C01"/>
    <w:rsid w:val="00CC519B"/>
    <w:rsid w:val="00CC63F0"/>
    <w:rsid w:val="00CC64DD"/>
    <w:rsid w:val="00CC7A23"/>
    <w:rsid w:val="00CD02DA"/>
    <w:rsid w:val="00CD2FCD"/>
    <w:rsid w:val="00CD3E10"/>
    <w:rsid w:val="00CD47EB"/>
    <w:rsid w:val="00CD7E95"/>
    <w:rsid w:val="00CE0068"/>
    <w:rsid w:val="00CE30E4"/>
    <w:rsid w:val="00CE4315"/>
    <w:rsid w:val="00CE4F42"/>
    <w:rsid w:val="00CE77E1"/>
    <w:rsid w:val="00CF02F7"/>
    <w:rsid w:val="00CF0475"/>
    <w:rsid w:val="00CF0F65"/>
    <w:rsid w:val="00CF1250"/>
    <w:rsid w:val="00CF4A41"/>
    <w:rsid w:val="00D01794"/>
    <w:rsid w:val="00D032FF"/>
    <w:rsid w:val="00D05F47"/>
    <w:rsid w:val="00D06908"/>
    <w:rsid w:val="00D12CB1"/>
    <w:rsid w:val="00D15825"/>
    <w:rsid w:val="00D16B17"/>
    <w:rsid w:val="00D20636"/>
    <w:rsid w:val="00D217EC"/>
    <w:rsid w:val="00D2565C"/>
    <w:rsid w:val="00D26B4F"/>
    <w:rsid w:val="00D27572"/>
    <w:rsid w:val="00D2763F"/>
    <w:rsid w:val="00D27FF0"/>
    <w:rsid w:val="00D30A70"/>
    <w:rsid w:val="00D31F3F"/>
    <w:rsid w:val="00D3207E"/>
    <w:rsid w:val="00D3274D"/>
    <w:rsid w:val="00D33298"/>
    <w:rsid w:val="00D3337D"/>
    <w:rsid w:val="00D37DBF"/>
    <w:rsid w:val="00D42280"/>
    <w:rsid w:val="00D510ED"/>
    <w:rsid w:val="00D53914"/>
    <w:rsid w:val="00D54D2B"/>
    <w:rsid w:val="00D5555A"/>
    <w:rsid w:val="00D5597E"/>
    <w:rsid w:val="00D5660F"/>
    <w:rsid w:val="00D56CCA"/>
    <w:rsid w:val="00D57CC2"/>
    <w:rsid w:val="00D6163D"/>
    <w:rsid w:val="00D62ACB"/>
    <w:rsid w:val="00D62DCD"/>
    <w:rsid w:val="00D64614"/>
    <w:rsid w:val="00D64C2C"/>
    <w:rsid w:val="00D64FBA"/>
    <w:rsid w:val="00D65F59"/>
    <w:rsid w:val="00D66D12"/>
    <w:rsid w:val="00D71099"/>
    <w:rsid w:val="00D72191"/>
    <w:rsid w:val="00D74FC0"/>
    <w:rsid w:val="00D75112"/>
    <w:rsid w:val="00D751BE"/>
    <w:rsid w:val="00D756B1"/>
    <w:rsid w:val="00D8048D"/>
    <w:rsid w:val="00D81D4C"/>
    <w:rsid w:val="00D830C1"/>
    <w:rsid w:val="00D91B92"/>
    <w:rsid w:val="00D92509"/>
    <w:rsid w:val="00D93EE6"/>
    <w:rsid w:val="00D9524C"/>
    <w:rsid w:val="00D96473"/>
    <w:rsid w:val="00D9691F"/>
    <w:rsid w:val="00DA04D3"/>
    <w:rsid w:val="00DA069B"/>
    <w:rsid w:val="00DA106B"/>
    <w:rsid w:val="00DA3696"/>
    <w:rsid w:val="00DA3F1E"/>
    <w:rsid w:val="00DA578C"/>
    <w:rsid w:val="00DA5CE4"/>
    <w:rsid w:val="00DA6712"/>
    <w:rsid w:val="00DB1671"/>
    <w:rsid w:val="00DB2AD1"/>
    <w:rsid w:val="00DB2FD8"/>
    <w:rsid w:val="00DB473D"/>
    <w:rsid w:val="00DC0CDF"/>
    <w:rsid w:val="00DC0FD7"/>
    <w:rsid w:val="00DC0FEA"/>
    <w:rsid w:val="00DC31AF"/>
    <w:rsid w:val="00DC5BFE"/>
    <w:rsid w:val="00DD556B"/>
    <w:rsid w:val="00DD5E61"/>
    <w:rsid w:val="00DD6BE8"/>
    <w:rsid w:val="00DE0534"/>
    <w:rsid w:val="00DE2D08"/>
    <w:rsid w:val="00DE4B54"/>
    <w:rsid w:val="00DF0708"/>
    <w:rsid w:val="00DF221F"/>
    <w:rsid w:val="00DF3CEA"/>
    <w:rsid w:val="00DF500F"/>
    <w:rsid w:val="00DF67D6"/>
    <w:rsid w:val="00DF736B"/>
    <w:rsid w:val="00E02DAE"/>
    <w:rsid w:val="00E03C1D"/>
    <w:rsid w:val="00E05F72"/>
    <w:rsid w:val="00E05FAC"/>
    <w:rsid w:val="00E10C31"/>
    <w:rsid w:val="00E1191F"/>
    <w:rsid w:val="00E13491"/>
    <w:rsid w:val="00E14F15"/>
    <w:rsid w:val="00E15DE4"/>
    <w:rsid w:val="00E164DB"/>
    <w:rsid w:val="00E21A67"/>
    <w:rsid w:val="00E22D10"/>
    <w:rsid w:val="00E24FB9"/>
    <w:rsid w:val="00E255FB"/>
    <w:rsid w:val="00E306F9"/>
    <w:rsid w:val="00E318F7"/>
    <w:rsid w:val="00E31FC3"/>
    <w:rsid w:val="00E3260B"/>
    <w:rsid w:val="00E36084"/>
    <w:rsid w:val="00E37883"/>
    <w:rsid w:val="00E4006A"/>
    <w:rsid w:val="00E4107D"/>
    <w:rsid w:val="00E41270"/>
    <w:rsid w:val="00E42AC2"/>
    <w:rsid w:val="00E43CFB"/>
    <w:rsid w:val="00E458FD"/>
    <w:rsid w:val="00E469AF"/>
    <w:rsid w:val="00E5385C"/>
    <w:rsid w:val="00E53CB0"/>
    <w:rsid w:val="00E5411E"/>
    <w:rsid w:val="00E606CE"/>
    <w:rsid w:val="00E6088A"/>
    <w:rsid w:val="00E618B6"/>
    <w:rsid w:val="00E6279A"/>
    <w:rsid w:val="00E629A4"/>
    <w:rsid w:val="00E643F8"/>
    <w:rsid w:val="00E64FC0"/>
    <w:rsid w:val="00E65866"/>
    <w:rsid w:val="00E6605F"/>
    <w:rsid w:val="00E71912"/>
    <w:rsid w:val="00E7332E"/>
    <w:rsid w:val="00E73C0D"/>
    <w:rsid w:val="00E75625"/>
    <w:rsid w:val="00E76AA2"/>
    <w:rsid w:val="00E76F35"/>
    <w:rsid w:val="00E81059"/>
    <w:rsid w:val="00E82F18"/>
    <w:rsid w:val="00E83EC3"/>
    <w:rsid w:val="00E843CB"/>
    <w:rsid w:val="00E90B30"/>
    <w:rsid w:val="00E92A0C"/>
    <w:rsid w:val="00E934DA"/>
    <w:rsid w:val="00E93756"/>
    <w:rsid w:val="00E93EBD"/>
    <w:rsid w:val="00E95A0F"/>
    <w:rsid w:val="00E95BE6"/>
    <w:rsid w:val="00E95F2A"/>
    <w:rsid w:val="00E964BD"/>
    <w:rsid w:val="00EA6634"/>
    <w:rsid w:val="00EA7531"/>
    <w:rsid w:val="00EB1901"/>
    <w:rsid w:val="00EB21EA"/>
    <w:rsid w:val="00EB7B11"/>
    <w:rsid w:val="00EC0A0E"/>
    <w:rsid w:val="00EC205E"/>
    <w:rsid w:val="00EC28A8"/>
    <w:rsid w:val="00EC54C3"/>
    <w:rsid w:val="00EC5B45"/>
    <w:rsid w:val="00EC5C7B"/>
    <w:rsid w:val="00EC746D"/>
    <w:rsid w:val="00EC7B39"/>
    <w:rsid w:val="00ED0EAE"/>
    <w:rsid w:val="00ED13AE"/>
    <w:rsid w:val="00ED2E8B"/>
    <w:rsid w:val="00ED3F20"/>
    <w:rsid w:val="00ED5B1B"/>
    <w:rsid w:val="00ED7551"/>
    <w:rsid w:val="00EE4C6D"/>
    <w:rsid w:val="00EE5274"/>
    <w:rsid w:val="00EE65E7"/>
    <w:rsid w:val="00EE7CE7"/>
    <w:rsid w:val="00EF0566"/>
    <w:rsid w:val="00EF1107"/>
    <w:rsid w:val="00EF31BF"/>
    <w:rsid w:val="00EF41B8"/>
    <w:rsid w:val="00EF50CE"/>
    <w:rsid w:val="00EF5CB3"/>
    <w:rsid w:val="00F003AF"/>
    <w:rsid w:val="00F01AEA"/>
    <w:rsid w:val="00F01C5D"/>
    <w:rsid w:val="00F0423E"/>
    <w:rsid w:val="00F051CA"/>
    <w:rsid w:val="00F05D39"/>
    <w:rsid w:val="00F064C8"/>
    <w:rsid w:val="00F06DBB"/>
    <w:rsid w:val="00F07A2C"/>
    <w:rsid w:val="00F110AB"/>
    <w:rsid w:val="00F14240"/>
    <w:rsid w:val="00F1448E"/>
    <w:rsid w:val="00F15B70"/>
    <w:rsid w:val="00F16504"/>
    <w:rsid w:val="00F17DDC"/>
    <w:rsid w:val="00F21E1C"/>
    <w:rsid w:val="00F30317"/>
    <w:rsid w:val="00F31EC9"/>
    <w:rsid w:val="00F36A9B"/>
    <w:rsid w:val="00F46285"/>
    <w:rsid w:val="00F462DD"/>
    <w:rsid w:val="00F50CE6"/>
    <w:rsid w:val="00F57219"/>
    <w:rsid w:val="00F623A3"/>
    <w:rsid w:val="00F62C1E"/>
    <w:rsid w:val="00F63280"/>
    <w:rsid w:val="00F71F83"/>
    <w:rsid w:val="00F72D6C"/>
    <w:rsid w:val="00F76C2B"/>
    <w:rsid w:val="00F77DB5"/>
    <w:rsid w:val="00F80971"/>
    <w:rsid w:val="00F80D15"/>
    <w:rsid w:val="00F83E90"/>
    <w:rsid w:val="00F856A6"/>
    <w:rsid w:val="00F85ED9"/>
    <w:rsid w:val="00F872C6"/>
    <w:rsid w:val="00F87D34"/>
    <w:rsid w:val="00F90642"/>
    <w:rsid w:val="00F908F2"/>
    <w:rsid w:val="00FA0DBE"/>
    <w:rsid w:val="00FB093B"/>
    <w:rsid w:val="00FB10C0"/>
    <w:rsid w:val="00FB1145"/>
    <w:rsid w:val="00FB1A4A"/>
    <w:rsid w:val="00FB3D25"/>
    <w:rsid w:val="00FB48D7"/>
    <w:rsid w:val="00FB59C1"/>
    <w:rsid w:val="00FB6CB8"/>
    <w:rsid w:val="00FB7D4B"/>
    <w:rsid w:val="00FC2244"/>
    <w:rsid w:val="00FC2D28"/>
    <w:rsid w:val="00FC4F61"/>
    <w:rsid w:val="00FC6234"/>
    <w:rsid w:val="00FC66C1"/>
    <w:rsid w:val="00FC69E6"/>
    <w:rsid w:val="00FC6BB0"/>
    <w:rsid w:val="00FD0C5A"/>
    <w:rsid w:val="00FD1C63"/>
    <w:rsid w:val="00FD298C"/>
    <w:rsid w:val="00FD323F"/>
    <w:rsid w:val="00FD3EAD"/>
    <w:rsid w:val="00FD4848"/>
    <w:rsid w:val="00FD5A55"/>
    <w:rsid w:val="00FE2C38"/>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EA5BEE"/>
  <w15:chartTrackingRefBased/>
  <w15:docId w15:val="{EEFA64CA-CDDC-4BE8-941D-71A31E07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ActHead5"/>
    <w:next w:val="Normal"/>
    <w:link w:val="Heading1Char"/>
    <w:uiPriority w:val="9"/>
    <w:qFormat/>
    <w:rsid w:val="00BD40C5"/>
    <w:pPr>
      <w:spacing w:before="0"/>
      <w:ind w:left="0" w:firstLine="0"/>
      <w:outlineLvl w:val="0"/>
    </w:pPr>
    <w:rPr>
      <w:sz w:val="32"/>
      <w:szCs w:val="32"/>
    </w:rPr>
  </w:style>
  <w:style w:type="paragraph" w:styleId="Heading2">
    <w:name w:val="heading 2"/>
    <w:basedOn w:val="ActHead5"/>
    <w:next w:val="Normal"/>
    <w:link w:val="Heading2Char"/>
    <w:uiPriority w:val="9"/>
    <w:unhideWhenUsed/>
    <w:qFormat/>
    <w:rsid w:val="00BD40C5"/>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character" w:styleId="UnresolvedMention">
    <w:name w:val="Unresolved Mention"/>
    <w:basedOn w:val="DefaultParagraphFont"/>
    <w:uiPriority w:val="99"/>
    <w:semiHidden/>
    <w:unhideWhenUsed/>
    <w:rsid w:val="00D6163D"/>
    <w:rPr>
      <w:color w:val="605E5C"/>
      <w:shd w:val="clear" w:color="auto" w:fill="E1DFDD"/>
    </w:rPr>
  </w:style>
  <w:style w:type="paragraph" w:customStyle="1" w:styleId="Schedulepara">
    <w:name w:val="Schedule para"/>
    <w:basedOn w:val="Normal"/>
    <w:rsid w:val="00202A40"/>
    <w:pPr>
      <w:tabs>
        <w:tab w:val="right" w:pos="567"/>
      </w:tabs>
      <w:spacing w:before="180" w:after="0" w:line="260" w:lineRule="exact"/>
      <w:ind w:left="964" w:hanging="964"/>
      <w:jc w:val="both"/>
    </w:pPr>
    <w:rPr>
      <w:rFonts w:ascii="Times New Roman" w:eastAsia="Times New Roman" w:hAnsi="Times New Roman" w:cs="Times New Roman"/>
      <w:noProof/>
      <w:sz w:val="24"/>
      <w:szCs w:val="24"/>
    </w:rPr>
  </w:style>
  <w:style w:type="table" w:styleId="TableGrid">
    <w:name w:val="Table Grid"/>
    <w:basedOn w:val="TableNormal"/>
    <w:rsid w:val="0011372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113720"/>
    <w:pPr>
      <w:spacing w:after="0" w:line="240" w:lineRule="atLeast"/>
    </w:pPr>
    <w:rPr>
      <w:rFonts w:ascii="Arial" w:eastAsia="Times New Roman" w:hAnsi="Arial" w:cs="Times New Roman"/>
      <w:b/>
      <w:sz w:val="20"/>
      <w:szCs w:val="24"/>
      <w:lang w:eastAsia="en-AU"/>
    </w:rPr>
  </w:style>
  <w:style w:type="paragraph" w:customStyle="1" w:styleId="TableBody">
    <w:name w:val="Table Body"/>
    <w:basedOn w:val="Normal"/>
    <w:qFormat/>
    <w:rsid w:val="00113720"/>
    <w:pPr>
      <w:spacing w:after="0" w:line="240" w:lineRule="auto"/>
    </w:pPr>
    <w:rPr>
      <w:rFonts w:ascii="Arial" w:eastAsia="Times New Roman" w:hAnsi="Arial" w:cs="Times New Roman"/>
      <w:sz w:val="20"/>
      <w:szCs w:val="24"/>
      <w:lang w:eastAsia="en-AU"/>
    </w:rPr>
  </w:style>
  <w:style w:type="character" w:styleId="FollowedHyperlink">
    <w:name w:val="FollowedHyperlink"/>
    <w:basedOn w:val="DefaultParagraphFont"/>
    <w:uiPriority w:val="99"/>
    <w:semiHidden/>
    <w:unhideWhenUsed/>
    <w:rsid w:val="002E66D6"/>
    <w:rPr>
      <w:color w:val="954F72" w:themeColor="followedHyperlink"/>
      <w:u w:val="single"/>
    </w:rPr>
  </w:style>
  <w:style w:type="paragraph" w:styleId="TOC1">
    <w:name w:val="toc 1"/>
    <w:basedOn w:val="Normal"/>
    <w:next w:val="Normal"/>
    <w:autoRedefine/>
    <w:uiPriority w:val="39"/>
    <w:unhideWhenUsed/>
    <w:rsid w:val="00293CE5"/>
    <w:pPr>
      <w:tabs>
        <w:tab w:val="left" w:pos="1100"/>
        <w:tab w:val="left" w:pos="2127"/>
        <w:tab w:val="right" w:leader="dot" w:pos="9016"/>
      </w:tabs>
      <w:spacing w:before="120" w:after="120" w:line="240" w:lineRule="auto"/>
    </w:pPr>
    <w:rPr>
      <w:rFonts w:ascii="Times New Roman" w:hAnsi="Times New Roman" w:cs="Times New Roman"/>
      <w:b/>
      <w:caps/>
      <w:noProof/>
      <w:sz w:val="24"/>
      <w:szCs w:val="24"/>
    </w:rPr>
  </w:style>
  <w:style w:type="paragraph" w:styleId="TOC2">
    <w:name w:val="toc 2"/>
    <w:basedOn w:val="Normal"/>
    <w:next w:val="Normal"/>
    <w:autoRedefine/>
    <w:uiPriority w:val="39"/>
    <w:unhideWhenUsed/>
    <w:rsid w:val="00BD40C5"/>
    <w:pPr>
      <w:spacing w:before="240" w:after="0"/>
    </w:pPr>
    <w:rPr>
      <w:rFonts w:cstheme="minorHAnsi"/>
      <w:b/>
      <w:bCs/>
      <w:sz w:val="20"/>
      <w:szCs w:val="20"/>
    </w:rPr>
  </w:style>
  <w:style w:type="paragraph" w:styleId="TOC3">
    <w:name w:val="toc 3"/>
    <w:basedOn w:val="Normal"/>
    <w:next w:val="Normal"/>
    <w:autoRedefine/>
    <w:uiPriority w:val="39"/>
    <w:unhideWhenUsed/>
    <w:rsid w:val="00BD40C5"/>
    <w:pPr>
      <w:spacing w:after="0"/>
      <w:ind w:left="220"/>
    </w:pPr>
    <w:rPr>
      <w:rFonts w:cstheme="minorHAnsi"/>
      <w:sz w:val="20"/>
      <w:szCs w:val="20"/>
    </w:rPr>
  </w:style>
  <w:style w:type="paragraph" w:styleId="TOC4">
    <w:name w:val="toc 4"/>
    <w:basedOn w:val="Normal"/>
    <w:next w:val="Normal"/>
    <w:autoRedefine/>
    <w:uiPriority w:val="39"/>
    <w:unhideWhenUsed/>
    <w:rsid w:val="00BD40C5"/>
    <w:pPr>
      <w:spacing w:after="0"/>
      <w:ind w:left="440"/>
    </w:pPr>
    <w:rPr>
      <w:rFonts w:cstheme="minorHAnsi"/>
      <w:sz w:val="20"/>
      <w:szCs w:val="20"/>
    </w:rPr>
  </w:style>
  <w:style w:type="paragraph" w:styleId="TOC5">
    <w:name w:val="toc 5"/>
    <w:basedOn w:val="Normal"/>
    <w:next w:val="Normal"/>
    <w:autoRedefine/>
    <w:uiPriority w:val="39"/>
    <w:unhideWhenUsed/>
    <w:rsid w:val="00BD40C5"/>
    <w:pPr>
      <w:spacing w:after="0"/>
      <w:ind w:left="660"/>
    </w:pPr>
    <w:rPr>
      <w:rFonts w:cstheme="minorHAnsi"/>
      <w:sz w:val="20"/>
      <w:szCs w:val="20"/>
    </w:rPr>
  </w:style>
  <w:style w:type="paragraph" w:styleId="TOC6">
    <w:name w:val="toc 6"/>
    <w:basedOn w:val="Normal"/>
    <w:next w:val="Normal"/>
    <w:autoRedefine/>
    <w:uiPriority w:val="39"/>
    <w:unhideWhenUsed/>
    <w:rsid w:val="00BD40C5"/>
    <w:pPr>
      <w:spacing w:after="0"/>
      <w:ind w:left="880"/>
    </w:pPr>
    <w:rPr>
      <w:rFonts w:cstheme="minorHAnsi"/>
      <w:sz w:val="20"/>
      <w:szCs w:val="20"/>
    </w:rPr>
  </w:style>
  <w:style w:type="paragraph" w:styleId="TOC7">
    <w:name w:val="toc 7"/>
    <w:basedOn w:val="Normal"/>
    <w:next w:val="Normal"/>
    <w:autoRedefine/>
    <w:uiPriority w:val="39"/>
    <w:unhideWhenUsed/>
    <w:rsid w:val="00BD40C5"/>
    <w:pPr>
      <w:spacing w:after="0"/>
      <w:ind w:left="1100"/>
    </w:pPr>
    <w:rPr>
      <w:rFonts w:cstheme="minorHAnsi"/>
      <w:sz w:val="20"/>
      <w:szCs w:val="20"/>
    </w:rPr>
  </w:style>
  <w:style w:type="paragraph" w:styleId="TOC8">
    <w:name w:val="toc 8"/>
    <w:basedOn w:val="Normal"/>
    <w:next w:val="Normal"/>
    <w:autoRedefine/>
    <w:uiPriority w:val="39"/>
    <w:unhideWhenUsed/>
    <w:rsid w:val="00BD40C5"/>
    <w:pPr>
      <w:spacing w:after="0"/>
      <w:ind w:left="1320"/>
    </w:pPr>
    <w:rPr>
      <w:rFonts w:cstheme="minorHAnsi"/>
      <w:sz w:val="20"/>
      <w:szCs w:val="20"/>
    </w:rPr>
  </w:style>
  <w:style w:type="paragraph" w:styleId="TOC9">
    <w:name w:val="toc 9"/>
    <w:basedOn w:val="Normal"/>
    <w:next w:val="Normal"/>
    <w:autoRedefine/>
    <w:uiPriority w:val="39"/>
    <w:unhideWhenUsed/>
    <w:rsid w:val="00BD40C5"/>
    <w:pPr>
      <w:spacing w:after="0"/>
      <w:ind w:left="1540"/>
    </w:pPr>
    <w:rPr>
      <w:rFonts w:cstheme="minorHAnsi"/>
      <w:sz w:val="20"/>
      <w:szCs w:val="20"/>
    </w:rPr>
  </w:style>
  <w:style w:type="character" w:customStyle="1" w:styleId="Heading1Char">
    <w:name w:val="Heading 1 Char"/>
    <w:basedOn w:val="DefaultParagraphFont"/>
    <w:link w:val="Heading1"/>
    <w:uiPriority w:val="9"/>
    <w:rsid w:val="00BD40C5"/>
    <w:rPr>
      <w:rFonts w:ascii="Times New Roman" w:eastAsia="Times New Roman" w:hAnsi="Times New Roman" w:cs="Times New Roman"/>
      <w:b/>
      <w:kern w:val="28"/>
      <w:sz w:val="32"/>
      <w:szCs w:val="32"/>
      <w:lang w:eastAsia="en-AU"/>
    </w:rPr>
  </w:style>
  <w:style w:type="character" w:customStyle="1" w:styleId="Heading2Char">
    <w:name w:val="Heading 2 Char"/>
    <w:basedOn w:val="DefaultParagraphFont"/>
    <w:link w:val="Heading2"/>
    <w:uiPriority w:val="9"/>
    <w:rsid w:val="00BD40C5"/>
    <w:rPr>
      <w:rFonts w:ascii="Times New Roman" w:eastAsia="Times New Roman" w:hAnsi="Times New Roman" w:cs="Times New Roman"/>
      <w:b/>
      <w:kern w:val="28"/>
      <w:sz w:val="24"/>
      <w:szCs w:val="20"/>
      <w:lang w:eastAsia="en-AU"/>
    </w:rPr>
  </w:style>
  <w:style w:type="paragraph" w:customStyle="1" w:styleId="Note">
    <w:name w:val="Note"/>
    <w:basedOn w:val="Normal"/>
    <w:autoRedefine/>
    <w:rsid w:val="00AF2D2E"/>
    <w:pPr>
      <w:tabs>
        <w:tab w:val="left" w:pos="1276"/>
      </w:tabs>
      <w:spacing w:before="120" w:after="120" w:line="220" w:lineRule="exact"/>
      <w:ind w:left="1276"/>
      <w:jc w:val="both"/>
    </w:pPr>
    <w:rPr>
      <w:rFonts w:ascii="Times" w:eastAsia="Times New Roman" w:hAnsi="Times" w:cs="Times New Roman"/>
      <w:sz w:val="18"/>
      <w:szCs w:val="18"/>
    </w:rPr>
  </w:style>
  <w:style w:type="character" w:styleId="PlaceholderText">
    <w:name w:val="Placeholder Text"/>
    <w:basedOn w:val="DefaultParagraphFont"/>
    <w:uiPriority w:val="99"/>
    <w:semiHidden/>
    <w:rsid w:val="00A47C8F"/>
    <w:rPr>
      <w:color w:val="808080"/>
    </w:rPr>
  </w:style>
  <w:style w:type="paragraph" w:styleId="FootnoteText">
    <w:name w:val="footnote text"/>
    <w:basedOn w:val="Normal"/>
    <w:link w:val="FootnoteTextChar"/>
    <w:uiPriority w:val="99"/>
    <w:semiHidden/>
    <w:unhideWhenUsed/>
    <w:rsid w:val="004A6F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6F64"/>
    <w:rPr>
      <w:sz w:val="20"/>
      <w:szCs w:val="20"/>
    </w:rPr>
  </w:style>
  <w:style w:type="character" w:styleId="FootnoteReference">
    <w:name w:val="footnote reference"/>
    <w:basedOn w:val="DefaultParagraphFont"/>
    <w:uiPriority w:val="99"/>
    <w:semiHidden/>
    <w:unhideWhenUsed/>
    <w:rsid w:val="004A6F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812634">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513107152">
      <w:bodyDiv w:val="1"/>
      <w:marLeft w:val="0"/>
      <w:marRight w:val="0"/>
      <w:marTop w:val="0"/>
      <w:marBottom w:val="0"/>
      <w:divBdr>
        <w:top w:val="none" w:sz="0" w:space="0" w:color="auto"/>
        <w:left w:val="none" w:sz="0" w:space="0" w:color="auto"/>
        <w:bottom w:val="none" w:sz="0" w:space="0" w:color="auto"/>
        <w:right w:val="none" w:sz="0" w:space="0" w:color="auto"/>
      </w:divBdr>
    </w:div>
    <w:div w:id="187649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tu.i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tu.in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cma.gov.a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acma.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itu.int" TargetMode="External"/><Relationship Id="rId5" Type="http://schemas.openxmlformats.org/officeDocument/2006/relationships/numbering" Target="numbering.xml"/><Relationship Id="rId15" Type="http://schemas.openxmlformats.org/officeDocument/2006/relationships/hyperlink" Target="http://www.itu.int" TargetMode="External"/><Relationship Id="rId23" Type="http://schemas.openxmlformats.org/officeDocument/2006/relationships/hyperlink" Target="http://www.itu.int" TargetMode="External"/><Relationship Id="rId10" Type="http://schemas.openxmlformats.org/officeDocument/2006/relationships/endnotes" Target="endnotes.xml"/><Relationship Id="rId19" Type="http://schemas.openxmlformats.org/officeDocument/2006/relationships/hyperlink" Target="http://www.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au" TargetMode="External"/><Relationship Id="rId22" Type="http://schemas.openxmlformats.org/officeDocument/2006/relationships/hyperlink" Target="http://www.itu.i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127E205E9ECA4D9726A1AFCB1653C2" ma:contentTypeVersion="13" ma:contentTypeDescription="Create a new document." ma:contentTypeScope="" ma:versionID="5b70a905bab8e75ec3747885d3b581e0">
  <xsd:schema xmlns:xsd="http://www.w3.org/2001/XMLSchema" xmlns:xs="http://www.w3.org/2001/XMLSchema" xmlns:p="http://schemas.microsoft.com/office/2006/metadata/properties" xmlns:ns3="75eea15c-2071-4c8d-9b7e-c00750b61f59" xmlns:ns4="50fce270-47b9-462b-93f8-8c8c4324667b" targetNamespace="http://schemas.microsoft.com/office/2006/metadata/properties" ma:root="true" ma:fieldsID="41d678090aa99883bf8dda15f7120cba" ns3:_="" ns4:_="">
    <xsd:import namespace="75eea15c-2071-4c8d-9b7e-c00750b61f59"/>
    <xsd:import namespace="50fce270-47b9-462b-93f8-8c8c432466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ea15c-2071-4c8d-9b7e-c00750b61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ce270-47b9-462b-93f8-8c8c4324667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54CB19-2CDF-4731-AD51-3F07639BE3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4CDADC-BE7E-4D9A-BFD7-A27E4CCAD5EB}">
  <ds:schemaRefs>
    <ds:schemaRef ds:uri="http://schemas.openxmlformats.org/officeDocument/2006/bibliography"/>
  </ds:schemaRefs>
</ds:datastoreItem>
</file>

<file path=customXml/itemProps3.xml><?xml version="1.0" encoding="utf-8"?>
<ds:datastoreItem xmlns:ds="http://schemas.openxmlformats.org/officeDocument/2006/customXml" ds:itemID="{D26060CB-2A06-498D-B157-2105821AE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ea15c-2071-4c8d-9b7e-c00750b61f59"/>
    <ds:schemaRef ds:uri="50fce270-47b9-462b-93f8-8c8c4324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9FA44A-2FD4-4627-A6E3-3677C31D03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4897</Words>
  <Characters>27917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24</cp:revision>
  <dcterms:created xsi:type="dcterms:W3CDTF">2020-11-15T22:10:00Z</dcterms:created>
  <dcterms:modified xsi:type="dcterms:W3CDTF">2020-11-20T03:33:00Z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0x0101003B127E205E9ECA4D9726A1AFCB1653C2</vt:lpwstr>
  </property>
  <property fmtid="{D5CDD505-2E9C-101B-9397-08002B2CF9AE}" pid="3" name="_dlc_DocIdItemGuid">
    <vt:lpwstr>215cd29e-37f6-4777-bee5-5977368d5f8c</vt:lpwstr>
  </property>
</Properties>
</file>