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CBF8" w14:textId="77777777" w:rsidR="005C07E5" w:rsidRDefault="005C07E5">
      <w:pPr>
        <w:pStyle w:val="Heading1"/>
        <w:spacing w:line="360" w:lineRule="auto"/>
      </w:pPr>
      <w:r>
        <w:t>EXPLANATORY STATEMENT</w:t>
      </w:r>
    </w:p>
    <w:p w14:paraId="477E996C" w14:textId="77777777" w:rsidR="001D091B" w:rsidRPr="00914369" w:rsidRDefault="001D091B" w:rsidP="00E30171">
      <w:pPr>
        <w:pStyle w:val="Heading2"/>
        <w:spacing w:before="120" w:after="360" w:line="276" w:lineRule="auto"/>
        <w:ind w:left="0" w:firstLine="0"/>
      </w:pPr>
      <w:r w:rsidRPr="00914369">
        <w:rPr>
          <w:i/>
        </w:rPr>
        <w:t xml:space="preserve">Migration Regulations 1994 </w:t>
      </w:r>
    </w:p>
    <w:p w14:paraId="469FA87F" w14:textId="5C4D8116" w:rsidR="00911D51" w:rsidRDefault="004C4C05" w:rsidP="00E30171">
      <w:pPr>
        <w:spacing w:after="80" w:line="276" w:lineRule="auto"/>
        <w:ind w:hanging="23"/>
        <w:jc w:val="center"/>
        <w:rPr>
          <w:b/>
          <w:i/>
          <w:sz w:val="24"/>
        </w:rPr>
      </w:pPr>
      <w:r w:rsidRPr="004C4C05">
        <w:rPr>
          <w:b/>
          <w:i/>
          <w:sz w:val="24"/>
        </w:rPr>
        <w:t xml:space="preserve">Migration </w:t>
      </w:r>
      <w:r w:rsidR="00EE50C3">
        <w:rPr>
          <w:b/>
          <w:i/>
          <w:sz w:val="24"/>
        </w:rPr>
        <w:t>(</w:t>
      </w:r>
      <w:r w:rsidRPr="004C4C05">
        <w:rPr>
          <w:b/>
          <w:i/>
          <w:sz w:val="24"/>
        </w:rPr>
        <w:t>Appropriate Regional Authority) Instrument</w:t>
      </w:r>
      <w:r w:rsidR="00911D51">
        <w:rPr>
          <w:b/>
          <w:i/>
          <w:sz w:val="24"/>
        </w:rPr>
        <w:t xml:space="preserve"> (LIN 20/236)</w:t>
      </w:r>
      <w:r w:rsidRPr="004C4C05">
        <w:rPr>
          <w:b/>
          <w:i/>
          <w:sz w:val="24"/>
        </w:rPr>
        <w:t xml:space="preserve"> 2020</w:t>
      </w:r>
    </w:p>
    <w:p w14:paraId="0535E61A" w14:textId="66AF331B" w:rsidR="001D091B" w:rsidRPr="00CD4C06" w:rsidRDefault="001A2268" w:rsidP="00E30171">
      <w:pPr>
        <w:spacing w:after="120" w:line="276" w:lineRule="auto"/>
        <w:ind w:hanging="23"/>
        <w:jc w:val="center"/>
        <w:rPr>
          <w:i/>
        </w:rPr>
      </w:pPr>
      <w:r w:rsidRPr="00CD4C06">
        <w:t>(</w:t>
      </w:r>
      <w:r w:rsidRPr="00CD4C06">
        <w:rPr>
          <w:i/>
        </w:rPr>
        <w:t>R</w:t>
      </w:r>
      <w:r w:rsidR="00DD6274" w:rsidRPr="00CD4C06">
        <w:rPr>
          <w:i/>
        </w:rPr>
        <w:t>egulation</w:t>
      </w:r>
      <w:r w:rsidRPr="00CD4C06">
        <w:rPr>
          <w:i/>
        </w:rPr>
        <w:t xml:space="preserve"> 1.03</w:t>
      </w:r>
      <w:r w:rsidRPr="00CD4C06">
        <w:t>)</w:t>
      </w:r>
    </w:p>
    <w:p w14:paraId="7FC931EF" w14:textId="496A0EF5" w:rsidR="001D091B" w:rsidRPr="00E30171" w:rsidRDefault="00AB5757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>The</w:t>
      </w:r>
      <w:r w:rsidR="00DB634D" w:rsidRPr="00E30171">
        <w:rPr>
          <w:sz w:val="22"/>
          <w:szCs w:val="22"/>
        </w:rPr>
        <w:t xml:space="preserve"> i</w:t>
      </w:r>
      <w:r w:rsidR="001D091B" w:rsidRPr="00E30171">
        <w:rPr>
          <w:sz w:val="22"/>
          <w:szCs w:val="22"/>
        </w:rPr>
        <w:t>nstrument</w:t>
      </w:r>
      <w:r w:rsidR="00DB634D" w:rsidRPr="00E30171">
        <w:rPr>
          <w:sz w:val="22"/>
          <w:szCs w:val="22"/>
        </w:rPr>
        <w:t>,</w:t>
      </w:r>
      <w:r w:rsidR="001D091B" w:rsidRPr="00E30171">
        <w:rPr>
          <w:sz w:val="22"/>
          <w:szCs w:val="22"/>
        </w:rPr>
        <w:t xml:space="preserve"> </w:t>
      </w:r>
      <w:r w:rsidR="001A2268" w:rsidRPr="00E30171">
        <w:rPr>
          <w:sz w:val="22"/>
          <w:szCs w:val="22"/>
        </w:rPr>
        <w:t>LIN 20/236</w:t>
      </w:r>
      <w:r w:rsidR="00DB634D" w:rsidRPr="00E30171">
        <w:rPr>
          <w:sz w:val="22"/>
          <w:szCs w:val="22"/>
        </w:rPr>
        <w:t>,</w:t>
      </w:r>
      <w:r w:rsidR="001D091B" w:rsidRPr="00E30171">
        <w:rPr>
          <w:sz w:val="22"/>
          <w:szCs w:val="22"/>
        </w:rPr>
        <w:t xml:space="preserve"> is made under</w:t>
      </w:r>
      <w:r w:rsidR="001A2268" w:rsidRPr="00E30171">
        <w:rPr>
          <w:sz w:val="22"/>
          <w:szCs w:val="22"/>
        </w:rPr>
        <w:t xml:space="preserve"> </w:t>
      </w:r>
      <w:r w:rsidR="00DD6274" w:rsidRPr="00E30171">
        <w:rPr>
          <w:sz w:val="22"/>
          <w:szCs w:val="22"/>
        </w:rPr>
        <w:t xml:space="preserve">the definition of </w:t>
      </w:r>
      <w:r w:rsidR="00DD6274" w:rsidRPr="00E30171">
        <w:rPr>
          <w:i/>
          <w:sz w:val="22"/>
          <w:szCs w:val="22"/>
        </w:rPr>
        <w:t>appropriate regional authority</w:t>
      </w:r>
      <w:r w:rsidR="00DD6274" w:rsidRPr="00E30171">
        <w:rPr>
          <w:sz w:val="22"/>
          <w:szCs w:val="22"/>
        </w:rPr>
        <w:t xml:space="preserve"> in </w:t>
      </w:r>
      <w:r w:rsidR="001A2268" w:rsidRPr="00E30171">
        <w:rPr>
          <w:sz w:val="22"/>
          <w:szCs w:val="22"/>
        </w:rPr>
        <w:t>regulation 1.03</w:t>
      </w:r>
      <w:r w:rsidR="001D091B" w:rsidRPr="00E30171">
        <w:rPr>
          <w:sz w:val="22"/>
          <w:szCs w:val="22"/>
        </w:rPr>
        <w:t xml:space="preserve"> of the</w:t>
      </w:r>
      <w:r w:rsidR="001A2268" w:rsidRPr="00E30171">
        <w:rPr>
          <w:sz w:val="22"/>
          <w:szCs w:val="22"/>
        </w:rPr>
        <w:t xml:space="preserve"> </w:t>
      </w:r>
      <w:r w:rsidR="001D091B" w:rsidRPr="00E30171">
        <w:rPr>
          <w:i/>
          <w:sz w:val="22"/>
          <w:szCs w:val="22"/>
        </w:rPr>
        <w:t>Migration Regulations 1994</w:t>
      </w:r>
      <w:r w:rsidR="001D091B" w:rsidRPr="00E30171">
        <w:rPr>
          <w:sz w:val="22"/>
          <w:szCs w:val="22"/>
        </w:rPr>
        <w:t xml:space="preserve"> (the Regulations)</w:t>
      </w:r>
      <w:r w:rsidR="001A2268" w:rsidRPr="00E30171">
        <w:rPr>
          <w:sz w:val="22"/>
          <w:szCs w:val="22"/>
        </w:rPr>
        <w:t>.</w:t>
      </w:r>
    </w:p>
    <w:p w14:paraId="648D8A65" w14:textId="73EB2329" w:rsidR="001D091B" w:rsidRPr="00E30171" w:rsidRDefault="00EC2CC3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>The i</w:t>
      </w:r>
      <w:r w:rsidR="001D091B" w:rsidRPr="00E30171">
        <w:rPr>
          <w:sz w:val="22"/>
          <w:szCs w:val="22"/>
        </w:rPr>
        <w:t>nstrument repeals</w:t>
      </w:r>
      <w:r w:rsidR="001A2268" w:rsidRPr="00E30171">
        <w:rPr>
          <w:sz w:val="22"/>
          <w:szCs w:val="22"/>
        </w:rPr>
        <w:t xml:space="preserve"> </w:t>
      </w:r>
      <w:r w:rsidR="00E30171">
        <w:rPr>
          <w:sz w:val="22"/>
          <w:szCs w:val="22"/>
        </w:rPr>
        <w:t xml:space="preserve">the instrument </w:t>
      </w:r>
      <w:r w:rsidR="00914369" w:rsidRPr="00E30171">
        <w:rPr>
          <w:i/>
          <w:sz w:val="22"/>
          <w:szCs w:val="22"/>
        </w:rPr>
        <w:t>APPROPRIATE REGIONAL AUTHORITY</w:t>
      </w:r>
      <w:r w:rsidR="00E30171">
        <w:rPr>
          <w:i/>
          <w:sz w:val="22"/>
          <w:szCs w:val="22"/>
        </w:rPr>
        <w:t xml:space="preserve"> (</w:t>
      </w:r>
      <w:r w:rsidR="00E30171" w:rsidRPr="00E30171">
        <w:rPr>
          <w:sz w:val="22"/>
          <w:szCs w:val="22"/>
        </w:rPr>
        <w:t>IMMI 10/041</w:t>
      </w:r>
      <w:r w:rsidR="00E30171">
        <w:rPr>
          <w:sz w:val="22"/>
          <w:szCs w:val="22"/>
        </w:rPr>
        <w:t xml:space="preserve">) </w:t>
      </w:r>
      <w:r w:rsidR="001D091B" w:rsidRPr="00E30171">
        <w:rPr>
          <w:sz w:val="22"/>
          <w:szCs w:val="22"/>
        </w:rPr>
        <w:t>(F20</w:t>
      </w:r>
      <w:r w:rsidR="008F4CAA" w:rsidRPr="00E30171">
        <w:rPr>
          <w:sz w:val="22"/>
          <w:szCs w:val="22"/>
        </w:rPr>
        <w:t>10L0</w:t>
      </w:r>
      <w:r w:rsidR="00F405AC" w:rsidRPr="00E30171">
        <w:rPr>
          <w:sz w:val="22"/>
          <w:szCs w:val="22"/>
        </w:rPr>
        <w:t>1</w:t>
      </w:r>
      <w:r w:rsidR="008F4CAA" w:rsidRPr="00E30171">
        <w:rPr>
          <w:sz w:val="22"/>
          <w:szCs w:val="22"/>
        </w:rPr>
        <w:t>487</w:t>
      </w:r>
      <w:r w:rsidR="001D091B" w:rsidRPr="00E30171">
        <w:rPr>
          <w:sz w:val="22"/>
          <w:szCs w:val="22"/>
        </w:rPr>
        <w:t xml:space="preserve">) made under </w:t>
      </w:r>
      <w:r w:rsidR="00DD6274" w:rsidRPr="00E30171">
        <w:rPr>
          <w:sz w:val="22"/>
          <w:szCs w:val="22"/>
        </w:rPr>
        <w:t xml:space="preserve">the definition of </w:t>
      </w:r>
      <w:r w:rsidR="00DD6274" w:rsidRPr="00E30171">
        <w:rPr>
          <w:i/>
          <w:sz w:val="22"/>
          <w:szCs w:val="22"/>
        </w:rPr>
        <w:t>appropriate regional authority</w:t>
      </w:r>
      <w:r w:rsidR="00DD6274" w:rsidRPr="00E30171">
        <w:rPr>
          <w:sz w:val="22"/>
          <w:szCs w:val="22"/>
        </w:rPr>
        <w:t xml:space="preserve"> in r</w:t>
      </w:r>
      <w:r w:rsidR="001A2268" w:rsidRPr="00E30171">
        <w:rPr>
          <w:sz w:val="22"/>
          <w:szCs w:val="22"/>
        </w:rPr>
        <w:t>egulation 1.03 of the Regulations</w:t>
      </w:r>
      <w:r w:rsidR="00914369" w:rsidRPr="00E30171">
        <w:rPr>
          <w:sz w:val="22"/>
          <w:szCs w:val="22"/>
        </w:rPr>
        <w:t xml:space="preserve">. </w:t>
      </w:r>
      <w:r w:rsidR="001D091B" w:rsidRPr="00E30171">
        <w:rPr>
          <w:sz w:val="22"/>
          <w:szCs w:val="22"/>
        </w:rPr>
        <w:t>Subsection 33(3) of the AIA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2503262D" w14:textId="19C59510" w:rsidR="00302011" w:rsidRPr="00E30171" w:rsidRDefault="00EC2CC3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>The i</w:t>
      </w:r>
      <w:r w:rsidR="001D091B" w:rsidRPr="00E30171">
        <w:rPr>
          <w:sz w:val="22"/>
          <w:szCs w:val="22"/>
        </w:rPr>
        <w:t>nstrument operate</w:t>
      </w:r>
      <w:r w:rsidR="001A2268" w:rsidRPr="00E30171">
        <w:rPr>
          <w:sz w:val="22"/>
          <w:szCs w:val="22"/>
        </w:rPr>
        <w:t xml:space="preserve">s to define </w:t>
      </w:r>
      <w:r w:rsidR="00DD6274" w:rsidRPr="00E30171">
        <w:rPr>
          <w:sz w:val="22"/>
          <w:szCs w:val="22"/>
        </w:rPr>
        <w:t xml:space="preserve">an </w:t>
      </w:r>
      <w:r w:rsidR="001A2268" w:rsidRPr="00E30171">
        <w:rPr>
          <w:sz w:val="22"/>
          <w:szCs w:val="22"/>
        </w:rPr>
        <w:t>‘appropriate regional authority’ for the purpose of regulation 1.03 of the Regulations. The definition in regulation 1.03 provides that in relation to a State or Territory and applications for visas of a particular class, an ‘appropriate regional authority’ is a Department or authority of that State or Te</w:t>
      </w:r>
      <w:r w:rsidR="00302011" w:rsidRPr="00E30171">
        <w:rPr>
          <w:sz w:val="22"/>
          <w:szCs w:val="22"/>
        </w:rPr>
        <w:t xml:space="preserve">rritory that is specified in a legislative instrument made by the Minister in relation to the grant of that class. </w:t>
      </w:r>
    </w:p>
    <w:p w14:paraId="10F70F9A" w14:textId="270424EE" w:rsidR="00EB49E5" w:rsidRPr="00E30171" w:rsidRDefault="00EB49E5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 xml:space="preserve">The instrument also operates to specify </w:t>
      </w:r>
      <w:r w:rsidRPr="00E30171">
        <w:rPr>
          <w:i/>
          <w:sz w:val="22"/>
          <w:szCs w:val="22"/>
        </w:rPr>
        <w:t>appropriate regional authorities</w:t>
      </w:r>
      <w:r w:rsidRPr="00E30171">
        <w:rPr>
          <w:sz w:val="22"/>
          <w:szCs w:val="22"/>
        </w:rPr>
        <w:t xml:space="preserve"> for the purpose of the definition of </w:t>
      </w:r>
      <w:r w:rsidRPr="00E30171">
        <w:rPr>
          <w:i/>
          <w:sz w:val="22"/>
          <w:szCs w:val="22"/>
        </w:rPr>
        <w:t>appropriate regional authority</w:t>
      </w:r>
      <w:r w:rsidRPr="00E30171">
        <w:rPr>
          <w:sz w:val="22"/>
          <w:szCs w:val="22"/>
        </w:rPr>
        <w:t xml:space="preserve"> in regulation 1.03 of the Regulations. Specifically to reflect the </w:t>
      </w:r>
      <w:r w:rsidR="00E30171">
        <w:rPr>
          <w:sz w:val="22"/>
          <w:szCs w:val="22"/>
        </w:rPr>
        <w:t xml:space="preserve">correct </w:t>
      </w:r>
      <w:r w:rsidRPr="00E30171">
        <w:rPr>
          <w:sz w:val="22"/>
          <w:szCs w:val="22"/>
        </w:rPr>
        <w:t>name</w:t>
      </w:r>
      <w:r w:rsidR="00E30171">
        <w:rPr>
          <w:sz w:val="22"/>
          <w:szCs w:val="22"/>
        </w:rPr>
        <w:t>s</w:t>
      </w:r>
      <w:r w:rsidRPr="00E30171">
        <w:rPr>
          <w:sz w:val="22"/>
          <w:szCs w:val="22"/>
        </w:rPr>
        <w:t xml:space="preserve"> for the a</w:t>
      </w:r>
      <w:r w:rsidR="00E30171">
        <w:rPr>
          <w:sz w:val="22"/>
          <w:szCs w:val="22"/>
        </w:rPr>
        <w:t>ppropriate regional authorities</w:t>
      </w:r>
      <w:r w:rsidRPr="00E30171">
        <w:rPr>
          <w:sz w:val="22"/>
          <w:szCs w:val="22"/>
        </w:rPr>
        <w:t xml:space="preserve"> who are</w:t>
      </w:r>
      <w:r w:rsidR="00E30171">
        <w:rPr>
          <w:sz w:val="22"/>
          <w:szCs w:val="22"/>
        </w:rPr>
        <w:t xml:space="preserve"> able to sign sponsorship forms </w:t>
      </w:r>
      <w:r w:rsidRPr="00E30171">
        <w:rPr>
          <w:sz w:val="22"/>
          <w:szCs w:val="22"/>
        </w:rPr>
        <w:t xml:space="preserve">required to be lodged with </w:t>
      </w:r>
      <w:r w:rsidR="00E30171">
        <w:rPr>
          <w:sz w:val="22"/>
          <w:szCs w:val="22"/>
        </w:rPr>
        <w:t>an</w:t>
      </w:r>
      <w:r w:rsidR="00F405AC" w:rsidRPr="00E30171">
        <w:rPr>
          <w:sz w:val="22"/>
          <w:szCs w:val="22"/>
        </w:rPr>
        <w:t xml:space="preserve"> application for </w:t>
      </w:r>
      <w:r w:rsidR="00E30171">
        <w:rPr>
          <w:sz w:val="22"/>
          <w:szCs w:val="22"/>
        </w:rPr>
        <w:t xml:space="preserve">one of </w:t>
      </w:r>
      <w:r w:rsidR="00F405AC" w:rsidRPr="00E30171">
        <w:rPr>
          <w:sz w:val="22"/>
          <w:szCs w:val="22"/>
        </w:rPr>
        <w:t>five legacy classes of visa</w:t>
      </w:r>
      <w:r w:rsidR="00797760" w:rsidRPr="00E30171">
        <w:rPr>
          <w:sz w:val="22"/>
          <w:szCs w:val="22"/>
        </w:rPr>
        <w:t>.</w:t>
      </w:r>
      <w:r w:rsidRPr="00E30171">
        <w:rPr>
          <w:sz w:val="22"/>
          <w:szCs w:val="22"/>
        </w:rPr>
        <w:t xml:space="preserve"> </w:t>
      </w:r>
      <w:r w:rsidR="00E30171">
        <w:rPr>
          <w:sz w:val="22"/>
          <w:szCs w:val="22"/>
        </w:rPr>
        <w:t>The names that differ from the previous instrument and are t</w:t>
      </w:r>
      <w:r w:rsidRPr="00E30171">
        <w:rPr>
          <w:sz w:val="22"/>
          <w:szCs w:val="22"/>
        </w:rPr>
        <w:t xml:space="preserve">he current </w:t>
      </w:r>
      <w:r w:rsidRPr="00E30171">
        <w:rPr>
          <w:i/>
          <w:sz w:val="22"/>
          <w:szCs w:val="22"/>
        </w:rPr>
        <w:t>appropriate regional authorities</w:t>
      </w:r>
      <w:r w:rsidRPr="00E30171">
        <w:rPr>
          <w:sz w:val="22"/>
          <w:szCs w:val="22"/>
        </w:rPr>
        <w:t xml:space="preserve"> are as </w:t>
      </w:r>
      <w:r w:rsidR="00797760" w:rsidRPr="00E30171">
        <w:rPr>
          <w:sz w:val="22"/>
          <w:szCs w:val="22"/>
        </w:rPr>
        <w:t>follows:</w:t>
      </w:r>
      <w:r w:rsidRPr="00E30171">
        <w:rPr>
          <w:sz w:val="22"/>
          <w:szCs w:val="22"/>
        </w:rPr>
        <w:t xml:space="preserve"> </w:t>
      </w:r>
    </w:p>
    <w:p w14:paraId="711E44C2" w14:textId="50C5DF76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New South Wales Treasury</w:t>
      </w:r>
      <w:r w:rsidR="00DA335F">
        <w:rPr>
          <w:sz w:val="22"/>
          <w:szCs w:val="22"/>
        </w:rPr>
        <w:t xml:space="preserve"> (NSW)</w:t>
      </w:r>
      <w:r w:rsidR="00797760" w:rsidRPr="00E30171">
        <w:rPr>
          <w:sz w:val="22"/>
          <w:szCs w:val="22"/>
        </w:rPr>
        <w:t>;</w:t>
      </w:r>
    </w:p>
    <w:p w14:paraId="3140C10F" w14:textId="49043A2C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Department of Jobs, Precincts and Regions</w:t>
      </w:r>
      <w:r w:rsidR="00DA335F">
        <w:rPr>
          <w:sz w:val="22"/>
          <w:szCs w:val="22"/>
        </w:rPr>
        <w:t xml:space="preserve"> (VIC)</w:t>
      </w:r>
      <w:r w:rsidR="00797760" w:rsidRPr="00E30171">
        <w:rPr>
          <w:sz w:val="22"/>
          <w:szCs w:val="22"/>
        </w:rPr>
        <w:t>;</w:t>
      </w:r>
    </w:p>
    <w:p w14:paraId="1C3B3C96" w14:textId="2FC340F7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Trade and Investment Queensland (BSMQ)</w:t>
      </w:r>
      <w:r w:rsidR="00DA335F">
        <w:rPr>
          <w:sz w:val="22"/>
          <w:szCs w:val="22"/>
        </w:rPr>
        <w:t>(QLD)</w:t>
      </w:r>
      <w:r w:rsidR="00797760" w:rsidRPr="00E30171">
        <w:rPr>
          <w:sz w:val="22"/>
          <w:szCs w:val="22"/>
        </w:rPr>
        <w:t>;</w:t>
      </w:r>
    </w:p>
    <w:p w14:paraId="278FFBB1" w14:textId="46988808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Small Business Development Corporation</w:t>
      </w:r>
      <w:r w:rsidR="00DA335F">
        <w:rPr>
          <w:sz w:val="22"/>
          <w:szCs w:val="22"/>
        </w:rPr>
        <w:t xml:space="preserve"> (WA)</w:t>
      </w:r>
      <w:r w:rsidR="00797760" w:rsidRPr="00E30171">
        <w:rPr>
          <w:sz w:val="22"/>
          <w:szCs w:val="22"/>
        </w:rPr>
        <w:t>;</w:t>
      </w:r>
    </w:p>
    <w:p w14:paraId="59B78DCA" w14:textId="3017B172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Department for Innovation and Skills</w:t>
      </w:r>
      <w:r w:rsidR="00DA335F">
        <w:rPr>
          <w:sz w:val="22"/>
          <w:szCs w:val="22"/>
        </w:rPr>
        <w:t xml:space="preserve"> (SA)</w:t>
      </w:r>
      <w:r w:rsidR="00797760" w:rsidRPr="00E30171">
        <w:rPr>
          <w:sz w:val="22"/>
          <w:szCs w:val="22"/>
        </w:rPr>
        <w:t>;</w:t>
      </w:r>
    </w:p>
    <w:p w14:paraId="71C76C13" w14:textId="7E939062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lastRenderedPageBreak/>
        <w:t>Department of State Growth</w:t>
      </w:r>
      <w:r w:rsidR="00DA335F">
        <w:rPr>
          <w:sz w:val="22"/>
          <w:szCs w:val="22"/>
        </w:rPr>
        <w:t xml:space="preserve"> (TAS)</w:t>
      </w:r>
      <w:r w:rsidR="00797760" w:rsidRPr="00E30171">
        <w:rPr>
          <w:sz w:val="22"/>
          <w:szCs w:val="22"/>
        </w:rPr>
        <w:t>;</w:t>
      </w:r>
    </w:p>
    <w:p w14:paraId="0A8A121C" w14:textId="675C5391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Department of Industry, Tourism and Trade</w:t>
      </w:r>
      <w:r w:rsidR="00DA335F">
        <w:rPr>
          <w:sz w:val="22"/>
          <w:szCs w:val="22"/>
        </w:rPr>
        <w:t xml:space="preserve"> (NT)</w:t>
      </w:r>
      <w:r w:rsidR="00797760" w:rsidRPr="00E30171">
        <w:rPr>
          <w:sz w:val="22"/>
          <w:szCs w:val="22"/>
        </w:rPr>
        <w:t>;</w:t>
      </w:r>
    </w:p>
    <w:p w14:paraId="4BF44C45" w14:textId="3CB4BBD1" w:rsidR="00EB49E5" w:rsidRPr="00E30171" w:rsidRDefault="00EB49E5" w:rsidP="00E30171">
      <w:pPr>
        <w:pStyle w:val="ListParagraph"/>
        <w:numPr>
          <w:ilvl w:val="0"/>
          <w:numId w:val="19"/>
        </w:numPr>
        <w:spacing w:before="120" w:line="360" w:lineRule="auto"/>
        <w:ind w:left="1281" w:hanging="357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ACT Chief Minister, Treasury and Economic Development Directorate</w:t>
      </w:r>
      <w:r w:rsidR="00DA335F">
        <w:rPr>
          <w:sz w:val="22"/>
          <w:szCs w:val="22"/>
        </w:rPr>
        <w:t xml:space="preserve"> (ACT)</w:t>
      </w:r>
      <w:bookmarkStart w:id="0" w:name="_GoBack"/>
      <w:bookmarkEnd w:id="0"/>
      <w:r w:rsidR="00797760" w:rsidRPr="00E30171">
        <w:rPr>
          <w:sz w:val="22"/>
          <w:szCs w:val="22"/>
        </w:rPr>
        <w:t>.</w:t>
      </w:r>
    </w:p>
    <w:p w14:paraId="4E982C90" w14:textId="6A6C557F" w:rsidR="003B1195" w:rsidRPr="00E30171" w:rsidRDefault="003B1195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>Legislative Instrument IMMI 10/041 is due to sunset</w:t>
      </w:r>
      <w:r w:rsidR="00302011" w:rsidRPr="00E30171">
        <w:rPr>
          <w:sz w:val="22"/>
          <w:szCs w:val="22"/>
        </w:rPr>
        <w:t xml:space="preserve"> on 1 October 2020</w:t>
      </w:r>
      <w:r w:rsidR="00BF6005" w:rsidRPr="00E30171">
        <w:rPr>
          <w:sz w:val="22"/>
          <w:szCs w:val="22"/>
        </w:rPr>
        <w:t xml:space="preserve">. </w:t>
      </w:r>
      <w:r w:rsidRPr="00E30171">
        <w:rPr>
          <w:sz w:val="22"/>
          <w:szCs w:val="22"/>
        </w:rPr>
        <w:t>The purpose of this instrument is to remake IMMI 10/041 to safeguard the rights</w:t>
      </w:r>
      <w:r w:rsidR="008076AB" w:rsidRPr="00E30171">
        <w:rPr>
          <w:sz w:val="22"/>
          <w:szCs w:val="22"/>
        </w:rPr>
        <w:t xml:space="preserve"> of the holders of five residual classes of visa, </w:t>
      </w:r>
      <w:r w:rsidRPr="00E30171">
        <w:rPr>
          <w:sz w:val="22"/>
          <w:szCs w:val="22"/>
        </w:rPr>
        <w:t xml:space="preserve">whose visa functionality will be impacted if LIN 20/236 is not made. The five legacy </w:t>
      </w:r>
      <w:r w:rsidR="008076AB" w:rsidRPr="00E30171">
        <w:rPr>
          <w:sz w:val="22"/>
          <w:szCs w:val="22"/>
        </w:rPr>
        <w:t xml:space="preserve">classes of </w:t>
      </w:r>
      <w:r w:rsidRPr="00E30171">
        <w:rPr>
          <w:sz w:val="22"/>
          <w:szCs w:val="22"/>
        </w:rPr>
        <w:t>visa are the following visas:</w:t>
      </w:r>
    </w:p>
    <w:p w14:paraId="1948476D" w14:textId="0CB4F58F" w:rsidR="003B1195" w:rsidRPr="00E30171" w:rsidRDefault="003B1195" w:rsidP="00E30171">
      <w:pPr>
        <w:pStyle w:val="ListParagraph"/>
        <w:numPr>
          <w:ilvl w:val="0"/>
          <w:numId w:val="18"/>
        </w:numPr>
        <w:autoSpaceDE w:val="0"/>
        <w:autoSpaceDN w:val="0"/>
        <w:spacing w:before="120" w:line="360" w:lineRule="auto"/>
        <w:ind w:left="1276" w:hanging="284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Business Skills (Migrant) (Class AD)</w:t>
      </w:r>
      <w:r w:rsidR="00797760" w:rsidRPr="00E30171">
        <w:rPr>
          <w:sz w:val="22"/>
          <w:szCs w:val="22"/>
        </w:rPr>
        <w:t>;</w:t>
      </w:r>
    </w:p>
    <w:p w14:paraId="04E8D8F3" w14:textId="23B06B47" w:rsidR="003B1195" w:rsidRPr="00E30171" w:rsidRDefault="003B1195" w:rsidP="00E30171">
      <w:pPr>
        <w:pStyle w:val="ListParagraph"/>
        <w:numPr>
          <w:ilvl w:val="0"/>
          <w:numId w:val="18"/>
        </w:numPr>
        <w:autoSpaceDE w:val="0"/>
        <w:autoSpaceDN w:val="0"/>
        <w:spacing w:before="120" w:line="360" w:lineRule="auto"/>
        <w:ind w:left="1276" w:hanging="284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Business Skills – Established Business (Residence) (Class BH)</w:t>
      </w:r>
      <w:r w:rsidR="00797760" w:rsidRPr="00E30171">
        <w:rPr>
          <w:sz w:val="22"/>
          <w:szCs w:val="22"/>
        </w:rPr>
        <w:t>;</w:t>
      </w:r>
    </w:p>
    <w:p w14:paraId="73D7862A" w14:textId="77777777" w:rsidR="003B1195" w:rsidRPr="00E30171" w:rsidRDefault="003B1195" w:rsidP="00E30171">
      <w:pPr>
        <w:pStyle w:val="ListParagraph"/>
        <w:numPr>
          <w:ilvl w:val="0"/>
          <w:numId w:val="18"/>
        </w:numPr>
        <w:autoSpaceDE w:val="0"/>
        <w:autoSpaceDN w:val="0"/>
        <w:spacing w:before="120" w:line="360" w:lineRule="auto"/>
        <w:ind w:left="1276" w:hanging="284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 xml:space="preserve">Business Skills (Residence) (Class DF); </w:t>
      </w:r>
    </w:p>
    <w:p w14:paraId="2E42F9B0" w14:textId="6ACB3DCE" w:rsidR="003B1195" w:rsidRPr="00E30171" w:rsidRDefault="003B1195" w:rsidP="00E30171">
      <w:pPr>
        <w:pStyle w:val="ListParagraph"/>
        <w:numPr>
          <w:ilvl w:val="0"/>
          <w:numId w:val="18"/>
        </w:numPr>
        <w:autoSpaceDE w:val="0"/>
        <w:autoSpaceDN w:val="0"/>
        <w:spacing w:before="120" w:line="360" w:lineRule="auto"/>
        <w:ind w:left="1276" w:hanging="284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Business Skills (Provisional) (Class UR)</w:t>
      </w:r>
      <w:r w:rsidR="00797760" w:rsidRPr="00E30171">
        <w:rPr>
          <w:sz w:val="22"/>
          <w:szCs w:val="22"/>
        </w:rPr>
        <w:t>;</w:t>
      </w:r>
    </w:p>
    <w:p w14:paraId="462C6762" w14:textId="26962521" w:rsidR="003B1195" w:rsidRPr="00E30171" w:rsidRDefault="003B1195" w:rsidP="00E30171">
      <w:pPr>
        <w:pStyle w:val="ListParagraph"/>
        <w:numPr>
          <w:ilvl w:val="0"/>
          <w:numId w:val="18"/>
        </w:numPr>
        <w:autoSpaceDE w:val="0"/>
        <w:autoSpaceDN w:val="0"/>
        <w:spacing w:before="120" w:line="360" w:lineRule="auto"/>
        <w:ind w:left="1276" w:hanging="284"/>
        <w:contextualSpacing w:val="0"/>
        <w:rPr>
          <w:sz w:val="22"/>
          <w:szCs w:val="22"/>
        </w:rPr>
      </w:pPr>
      <w:r w:rsidRPr="00E30171">
        <w:rPr>
          <w:sz w:val="22"/>
          <w:szCs w:val="22"/>
        </w:rPr>
        <w:t>Investor Retirement (Class UY)</w:t>
      </w:r>
      <w:r w:rsidR="00797760" w:rsidRPr="00E30171">
        <w:rPr>
          <w:sz w:val="22"/>
          <w:szCs w:val="22"/>
        </w:rPr>
        <w:t>.</w:t>
      </w:r>
    </w:p>
    <w:p w14:paraId="359006B8" w14:textId="1F75BD17" w:rsidR="00DD6274" w:rsidRPr="00E30171" w:rsidRDefault="00DD6274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>The Business Skills (Migrant) (Class AD) visa and the Business Skills – Established Business (Residence) (Class BH)</w:t>
      </w:r>
      <w:r w:rsidR="00EB49E5" w:rsidRPr="00E30171">
        <w:rPr>
          <w:sz w:val="22"/>
          <w:szCs w:val="22"/>
        </w:rPr>
        <w:t xml:space="preserve"> have been omitted from the Regulations.  However both of these visa classes have transitional savings provisions in the amending regulations, for the Class AD visa, see </w:t>
      </w:r>
      <w:r w:rsidR="00EB49E5" w:rsidRPr="00E30171">
        <w:rPr>
          <w:i/>
          <w:sz w:val="22"/>
          <w:szCs w:val="22"/>
        </w:rPr>
        <w:t xml:space="preserve">Migration Amendment Regulations 2002 (No. 10) </w:t>
      </w:r>
      <w:r w:rsidR="00EB49E5" w:rsidRPr="00E30171">
        <w:rPr>
          <w:sz w:val="22"/>
          <w:szCs w:val="22"/>
        </w:rPr>
        <w:t xml:space="preserve">( F2002B00355) and for the Class BH visa, see </w:t>
      </w:r>
      <w:r w:rsidR="00EB49E5" w:rsidRPr="00E30171">
        <w:rPr>
          <w:i/>
          <w:sz w:val="22"/>
          <w:szCs w:val="22"/>
        </w:rPr>
        <w:t>Migration Amendment Regulation 2012 (No. 2)</w:t>
      </w:r>
      <w:r w:rsidR="00EB49E5" w:rsidRPr="00E30171">
        <w:rPr>
          <w:sz w:val="22"/>
          <w:szCs w:val="22"/>
        </w:rPr>
        <w:t xml:space="preserve"> (F2012L01105).</w:t>
      </w:r>
    </w:p>
    <w:p w14:paraId="599708F0" w14:textId="2511F3AC" w:rsidR="00302011" w:rsidRPr="00E30171" w:rsidRDefault="00302011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 xml:space="preserve">Consultation was undertaken before the instrument was made with </w:t>
      </w:r>
      <w:r w:rsidR="000607C4" w:rsidRPr="00E30171">
        <w:rPr>
          <w:sz w:val="22"/>
          <w:szCs w:val="22"/>
        </w:rPr>
        <w:t>all States and Territor</w:t>
      </w:r>
      <w:r w:rsidR="00797760" w:rsidRPr="00E30171">
        <w:rPr>
          <w:sz w:val="22"/>
          <w:szCs w:val="22"/>
        </w:rPr>
        <w:t xml:space="preserve">y governments listed </w:t>
      </w:r>
      <w:r w:rsidR="008076AB" w:rsidRPr="00E30171">
        <w:rPr>
          <w:sz w:val="22"/>
          <w:szCs w:val="22"/>
        </w:rPr>
        <w:t xml:space="preserve">under item 4 above. </w:t>
      </w:r>
    </w:p>
    <w:p w14:paraId="123EC35F" w14:textId="77777777" w:rsidR="00302011" w:rsidRPr="00E30171" w:rsidRDefault="00302011" w:rsidP="00E30171">
      <w:pPr>
        <w:numPr>
          <w:ilvl w:val="0"/>
          <w:numId w:val="9"/>
        </w:numPr>
        <w:spacing w:before="240" w:line="360" w:lineRule="auto"/>
        <w:ind w:left="567" w:hanging="567"/>
        <w:rPr>
          <w:i/>
          <w:sz w:val="22"/>
          <w:szCs w:val="22"/>
        </w:rPr>
      </w:pPr>
      <w:r w:rsidRPr="00E30171">
        <w:rPr>
          <w:sz w:val="22"/>
          <w:szCs w:val="22"/>
        </w:rPr>
        <w:t xml:space="preserve">The Office of Best Practice Regulation (OBPR) has advised that a Regulatory Impact Statement is not required (OBPR Reference </w:t>
      </w:r>
      <w:r w:rsidRPr="00E30171">
        <w:rPr>
          <w:i/>
          <w:sz w:val="22"/>
          <w:szCs w:val="22"/>
        </w:rPr>
        <w:t>43087</w:t>
      </w:r>
      <w:r w:rsidRPr="00E30171">
        <w:rPr>
          <w:sz w:val="22"/>
          <w:szCs w:val="22"/>
        </w:rPr>
        <w:t>).</w:t>
      </w:r>
    </w:p>
    <w:p w14:paraId="0CD9C15F" w14:textId="77777777" w:rsidR="001E219C" w:rsidRPr="00E30171" w:rsidRDefault="00F4103B" w:rsidP="00E30171">
      <w:pPr>
        <w:numPr>
          <w:ilvl w:val="0"/>
          <w:numId w:val="9"/>
        </w:numPr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 xml:space="preserve">Under item 20 of the table in section 10 of the </w:t>
      </w:r>
      <w:r w:rsidRPr="00E30171">
        <w:rPr>
          <w:i/>
          <w:sz w:val="22"/>
          <w:szCs w:val="22"/>
        </w:rPr>
        <w:t xml:space="preserve">Legislation (Exemption and other Matters) Regulation 2015, </w:t>
      </w:r>
      <w:r w:rsidRPr="00E30171">
        <w:rPr>
          <w:sz w:val="22"/>
          <w:szCs w:val="22"/>
        </w:rPr>
        <w:t>the instrument is exempt from disallowance and therefore a Statement of Compatibility with Human Rights is not required.</w:t>
      </w:r>
    </w:p>
    <w:p w14:paraId="18DC1349" w14:textId="3A6FA50C" w:rsidR="005C07E5" w:rsidRPr="00E30171" w:rsidRDefault="005C07E5" w:rsidP="00E30171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rPr>
          <w:sz w:val="22"/>
          <w:szCs w:val="22"/>
        </w:rPr>
      </w:pPr>
      <w:r w:rsidRPr="00E30171">
        <w:rPr>
          <w:sz w:val="22"/>
          <w:szCs w:val="22"/>
        </w:rPr>
        <w:t xml:space="preserve">The </w:t>
      </w:r>
      <w:r w:rsidR="005F686B" w:rsidRPr="00E30171">
        <w:rPr>
          <w:sz w:val="22"/>
          <w:szCs w:val="22"/>
        </w:rPr>
        <w:t>i</w:t>
      </w:r>
      <w:r w:rsidRPr="00E30171">
        <w:rPr>
          <w:sz w:val="22"/>
          <w:szCs w:val="22"/>
        </w:rPr>
        <w:t xml:space="preserve">nstrument </w:t>
      </w:r>
      <w:r w:rsidR="00D60CC8" w:rsidRPr="00E30171">
        <w:rPr>
          <w:sz w:val="22"/>
          <w:szCs w:val="22"/>
        </w:rPr>
        <w:t xml:space="preserve">commences </w:t>
      </w:r>
      <w:r w:rsidR="00797760" w:rsidRPr="00E30171">
        <w:rPr>
          <w:sz w:val="22"/>
          <w:szCs w:val="22"/>
        </w:rPr>
        <w:t xml:space="preserve">on the </w:t>
      </w:r>
      <w:r w:rsidR="00D86636">
        <w:rPr>
          <w:sz w:val="22"/>
          <w:szCs w:val="22"/>
        </w:rPr>
        <w:t xml:space="preserve">day after it is registered on the Federal Register of Legislation. </w:t>
      </w:r>
    </w:p>
    <w:sectPr w:rsidR="005C07E5" w:rsidRPr="00E30171" w:rsidSect="00C85D16">
      <w:footerReference w:type="default" r:id="rId7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7B37" w14:textId="77777777" w:rsidR="00342666" w:rsidRDefault="00342666">
      <w:r>
        <w:separator/>
      </w:r>
    </w:p>
  </w:endnote>
  <w:endnote w:type="continuationSeparator" w:id="0">
    <w:p w14:paraId="4E3216AF" w14:textId="77777777" w:rsidR="00342666" w:rsidRDefault="003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3B5D" w14:textId="77777777" w:rsidR="00ED38A5" w:rsidRDefault="00ED38A5" w:rsidP="00ED38A5">
    <w:pPr>
      <w:pStyle w:val="Footer"/>
      <w:pBdr>
        <w:bottom w:val="single" w:sz="12" w:space="1" w:color="auto"/>
      </w:pBdr>
      <w:jc w:val="center"/>
    </w:pPr>
  </w:p>
  <w:p w14:paraId="3B791841" w14:textId="635CFCF6" w:rsidR="00ED38A5" w:rsidRDefault="00ED38A5" w:rsidP="00ED38A5">
    <w:pPr>
      <w:pStyle w:val="Footer"/>
      <w:spacing w:before="240"/>
      <w:jc w:val="center"/>
      <w:rPr>
        <w:i/>
      </w:rPr>
    </w:pPr>
    <w:r>
      <w:t xml:space="preserve">Explanatory Statement for </w:t>
    </w:r>
    <w:r w:rsidR="00670CEB">
      <w:rPr>
        <w:i/>
      </w:rPr>
      <w:t xml:space="preserve">Migration (Appropriate Regional Authority) Instrument </w:t>
    </w:r>
    <w:r w:rsidR="00D478FE">
      <w:rPr>
        <w:i/>
      </w:rPr>
      <w:t xml:space="preserve">(LIN 20/236) </w:t>
    </w:r>
    <w:r w:rsidR="00670CEB">
      <w:rPr>
        <w:i/>
      </w:rPr>
      <w:t>2020</w:t>
    </w:r>
  </w:p>
  <w:p w14:paraId="2FA45BAB" w14:textId="0CB7EF11" w:rsidR="00ED38A5" w:rsidRDefault="00ED38A5" w:rsidP="00ED38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35F">
      <w:rPr>
        <w:noProof/>
      </w:rPr>
      <w:t>2</w:t>
    </w:r>
    <w:r>
      <w:rPr>
        <w:noProof/>
      </w:rPr>
      <w:fldChar w:fldCharType="end"/>
    </w:r>
  </w:p>
  <w:p w14:paraId="4F5D71BB" w14:textId="77777777" w:rsidR="00ED38A5" w:rsidRDefault="00ED38A5" w:rsidP="00ED38A5">
    <w:pPr>
      <w:pStyle w:val="Footer"/>
      <w:jc w:val="center"/>
    </w:pPr>
  </w:p>
  <w:p w14:paraId="4EE0FF21" w14:textId="77777777" w:rsidR="00ED38A5" w:rsidRDefault="00ED3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57B1" w14:textId="77777777" w:rsidR="00342666" w:rsidRDefault="00342666">
      <w:r>
        <w:separator/>
      </w:r>
    </w:p>
  </w:footnote>
  <w:footnote w:type="continuationSeparator" w:id="0">
    <w:p w14:paraId="432280B5" w14:textId="77777777" w:rsidR="00342666" w:rsidRDefault="003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7" w15:restartNumberingAfterBreak="0">
    <w:nsid w:val="44F65D7B"/>
    <w:multiLevelType w:val="hybridMultilevel"/>
    <w:tmpl w:val="166C6D9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FB08D6"/>
    <w:multiLevelType w:val="hybridMultilevel"/>
    <w:tmpl w:val="B3565CD2"/>
    <w:lvl w:ilvl="0" w:tplc="66868674">
      <w:start w:val="2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E4E93"/>
    <w:multiLevelType w:val="hybridMultilevel"/>
    <w:tmpl w:val="3EF2437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AA50B3C"/>
    <w:multiLevelType w:val="hybridMultilevel"/>
    <w:tmpl w:val="7EC6E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7"/>
  </w:num>
  <w:num w:numId="14">
    <w:abstractNumId w:val="4"/>
  </w:num>
  <w:num w:numId="15">
    <w:abstractNumId w:val="5"/>
  </w:num>
  <w:num w:numId="16">
    <w:abstractNumId w:val="8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2DE8"/>
    <w:rsid w:val="00025B5D"/>
    <w:rsid w:val="000371B3"/>
    <w:rsid w:val="000607C4"/>
    <w:rsid w:val="0008110A"/>
    <w:rsid w:val="000904AF"/>
    <w:rsid w:val="000B29BF"/>
    <w:rsid w:val="000D1E10"/>
    <w:rsid w:val="000D246E"/>
    <w:rsid w:val="000E442C"/>
    <w:rsid w:val="000F0A84"/>
    <w:rsid w:val="000F4BFC"/>
    <w:rsid w:val="00115919"/>
    <w:rsid w:val="001408FB"/>
    <w:rsid w:val="00162BD5"/>
    <w:rsid w:val="001841F7"/>
    <w:rsid w:val="00193A68"/>
    <w:rsid w:val="001A2268"/>
    <w:rsid w:val="001C5BF3"/>
    <w:rsid w:val="001D091B"/>
    <w:rsid w:val="001D0DD5"/>
    <w:rsid w:val="001D2FBD"/>
    <w:rsid w:val="001E219C"/>
    <w:rsid w:val="001F04E7"/>
    <w:rsid w:val="001F4EC7"/>
    <w:rsid w:val="00215DF3"/>
    <w:rsid w:val="00231FFD"/>
    <w:rsid w:val="00236827"/>
    <w:rsid w:val="00236FC4"/>
    <w:rsid w:val="00244AA0"/>
    <w:rsid w:val="00253CAF"/>
    <w:rsid w:val="0026747D"/>
    <w:rsid w:val="0027119B"/>
    <w:rsid w:val="002A06A8"/>
    <w:rsid w:val="002B7AF6"/>
    <w:rsid w:val="002C1AFB"/>
    <w:rsid w:val="002C53C4"/>
    <w:rsid w:val="00302011"/>
    <w:rsid w:val="00302251"/>
    <w:rsid w:val="003172D1"/>
    <w:rsid w:val="00330F55"/>
    <w:rsid w:val="003348B8"/>
    <w:rsid w:val="00342666"/>
    <w:rsid w:val="0036537A"/>
    <w:rsid w:val="00372BB0"/>
    <w:rsid w:val="00397982"/>
    <w:rsid w:val="003A53F3"/>
    <w:rsid w:val="003B1195"/>
    <w:rsid w:val="003C5137"/>
    <w:rsid w:val="00417400"/>
    <w:rsid w:val="00430906"/>
    <w:rsid w:val="00465BCD"/>
    <w:rsid w:val="00474812"/>
    <w:rsid w:val="004C4B3E"/>
    <w:rsid w:val="004C4C05"/>
    <w:rsid w:val="004C6E73"/>
    <w:rsid w:val="004D6A29"/>
    <w:rsid w:val="004F5740"/>
    <w:rsid w:val="00542D46"/>
    <w:rsid w:val="00546F77"/>
    <w:rsid w:val="00554524"/>
    <w:rsid w:val="00567814"/>
    <w:rsid w:val="005B2BF1"/>
    <w:rsid w:val="005C07E5"/>
    <w:rsid w:val="005C45FF"/>
    <w:rsid w:val="005E22A3"/>
    <w:rsid w:val="005F686B"/>
    <w:rsid w:val="00610658"/>
    <w:rsid w:val="006146DA"/>
    <w:rsid w:val="00641022"/>
    <w:rsid w:val="0064639B"/>
    <w:rsid w:val="00670CEB"/>
    <w:rsid w:val="00671004"/>
    <w:rsid w:val="006C1428"/>
    <w:rsid w:val="006C22B0"/>
    <w:rsid w:val="006C508E"/>
    <w:rsid w:val="006F2DC8"/>
    <w:rsid w:val="0070010D"/>
    <w:rsid w:val="007030F4"/>
    <w:rsid w:val="0071413D"/>
    <w:rsid w:val="00715E24"/>
    <w:rsid w:val="007369BE"/>
    <w:rsid w:val="00797760"/>
    <w:rsid w:val="007E0AFF"/>
    <w:rsid w:val="008076AB"/>
    <w:rsid w:val="00840E48"/>
    <w:rsid w:val="00843107"/>
    <w:rsid w:val="00854256"/>
    <w:rsid w:val="008C3954"/>
    <w:rsid w:val="008F4CAA"/>
    <w:rsid w:val="00911D51"/>
    <w:rsid w:val="00911D5A"/>
    <w:rsid w:val="00914369"/>
    <w:rsid w:val="0094678B"/>
    <w:rsid w:val="009B2428"/>
    <w:rsid w:val="009D0462"/>
    <w:rsid w:val="009E3B49"/>
    <w:rsid w:val="00A03F71"/>
    <w:rsid w:val="00A31178"/>
    <w:rsid w:val="00A31276"/>
    <w:rsid w:val="00A40F42"/>
    <w:rsid w:val="00A4261F"/>
    <w:rsid w:val="00A905C6"/>
    <w:rsid w:val="00A9347E"/>
    <w:rsid w:val="00AB5757"/>
    <w:rsid w:val="00AE32B0"/>
    <w:rsid w:val="00AE3D02"/>
    <w:rsid w:val="00B70E55"/>
    <w:rsid w:val="00B95124"/>
    <w:rsid w:val="00B97255"/>
    <w:rsid w:val="00BC008B"/>
    <w:rsid w:val="00BE62F6"/>
    <w:rsid w:val="00BF2A49"/>
    <w:rsid w:val="00BF3D6A"/>
    <w:rsid w:val="00BF4868"/>
    <w:rsid w:val="00BF6005"/>
    <w:rsid w:val="00BF6A03"/>
    <w:rsid w:val="00C048BE"/>
    <w:rsid w:val="00C6050B"/>
    <w:rsid w:val="00C85D16"/>
    <w:rsid w:val="00CB5977"/>
    <w:rsid w:val="00CD3E97"/>
    <w:rsid w:val="00CD4C06"/>
    <w:rsid w:val="00D04E9A"/>
    <w:rsid w:val="00D22275"/>
    <w:rsid w:val="00D263E5"/>
    <w:rsid w:val="00D32CDF"/>
    <w:rsid w:val="00D478FE"/>
    <w:rsid w:val="00D60CC8"/>
    <w:rsid w:val="00D838FF"/>
    <w:rsid w:val="00D85646"/>
    <w:rsid w:val="00D86636"/>
    <w:rsid w:val="00DA335F"/>
    <w:rsid w:val="00DA476A"/>
    <w:rsid w:val="00DA4B5B"/>
    <w:rsid w:val="00DB634D"/>
    <w:rsid w:val="00DC344E"/>
    <w:rsid w:val="00DD6274"/>
    <w:rsid w:val="00E1110E"/>
    <w:rsid w:val="00E2158B"/>
    <w:rsid w:val="00E30171"/>
    <w:rsid w:val="00E3263F"/>
    <w:rsid w:val="00E3297D"/>
    <w:rsid w:val="00E32FDC"/>
    <w:rsid w:val="00E472C4"/>
    <w:rsid w:val="00E600A5"/>
    <w:rsid w:val="00E8404A"/>
    <w:rsid w:val="00EB49E5"/>
    <w:rsid w:val="00EC0201"/>
    <w:rsid w:val="00EC2CC3"/>
    <w:rsid w:val="00ED27C4"/>
    <w:rsid w:val="00ED38A5"/>
    <w:rsid w:val="00EE50C3"/>
    <w:rsid w:val="00EF4C7D"/>
    <w:rsid w:val="00F20E05"/>
    <w:rsid w:val="00F21AD8"/>
    <w:rsid w:val="00F336E2"/>
    <w:rsid w:val="00F405AC"/>
    <w:rsid w:val="00F4103B"/>
    <w:rsid w:val="00F64AC1"/>
    <w:rsid w:val="00F85B02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8E763BF"/>
  <w15:chartTrackingRefBased/>
  <w15:docId w15:val="{4EFC89CC-96B2-41CC-92A9-6961D15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ED38A5"/>
  </w:style>
  <w:style w:type="character" w:styleId="Hyperlink">
    <w:name w:val="Hyperlink"/>
    <w:basedOn w:val="DefaultParagraphFont"/>
    <w:uiPriority w:val="99"/>
    <w:unhideWhenUsed/>
    <w:rsid w:val="003020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0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0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011"/>
    <w:rPr>
      <w:b/>
      <w:bCs/>
    </w:rPr>
  </w:style>
  <w:style w:type="paragraph" w:styleId="ListParagraph">
    <w:name w:val="List Paragraph"/>
    <w:basedOn w:val="Normal"/>
    <w:uiPriority w:val="34"/>
    <w:qFormat/>
    <w:rsid w:val="00BF6005"/>
    <w:pPr>
      <w:ind w:left="720"/>
      <w:contextualSpacing/>
    </w:pPr>
  </w:style>
  <w:style w:type="paragraph" w:customStyle="1" w:styleId="ProtectiveMarkingLC">
    <w:name w:val="Protective Marking LC"/>
    <w:basedOn w:val="Normal"/>
    <w:uiPriority w:val="39"/>
    <w:semiHidden/>
    <w:rsid w:val="00BF6005"/>
    <w:pPr>
      <w:tabs>
        <w:tab w:val="center" w:pos="4513"/>
        <w:tab w:val="right" w:pos="9026"/>
      </w:tabs>
      <w:contextualSpacing/>
      <w:jc w:val="center"/>
    </w:pPr>
    <w:rPr>
      <w:rFonts w:asciiTheme="minorHAnsi" w:eastAsiaTheme="minorHAnsi" w:hAnsiTheme="minorHAnsi" w:cstheme="minorHAnsi"/>
      <w:color w:val="C00000"/>
      <w:lang w:eastAsia="en-US"/>
    </w:rPr>
  </w:style>
  <w:style w:type="paragraph" w:customStyle="1" w:styleId="Default">
    <w:name w:val="Default"/>
    <w:rsid w:val="008F4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0">
    <w:name w:val="Char Char"/>
    <w:basedOn w:val="Normal"/>
    <w:rsid w:val="003B1195"/>
    <w:pPr>
      <w:spacing w:before="120" w:after="12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Christine DENG</cp:lastModifiedBy>
  <cp:revision>2</cp:revision>
  <cp:lastPrinted>2020-09-24T23:29:00Z</cp:lastPrinted>
  <dcterms:created xsi:type="dcterms:W3CDTF">2020-11-05T22:02:00Z</dcterms:created>
  <dcterms:modified xsi:type="dcterms:W3CDTF">2020-11-05T22:02:00Z</dcterms:modified>
</cp:coreProperties>
</file>