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1FADE" w14:textId="77777777" w:rsidR="004C58B9" w:rsidRDefault="004C58B9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5CD095D8" w:rsidR="004C58B9" w:rsidRDefault="00A903B4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5BD65A2C" w14:textId="47FF53F9" w:rsidR="004C58B9" w:rsidRDefault="00C436BC" w:rsidP="004C58B9">
      <w:pPr>
        <w:jc w:val="center"/>
        <w:rPr>
          <w:rFonts w:ascii="Times New Roman" w:hAnsi="Times New Roman" w:cs="Times New Roman"/>
          <w:b/>
          <w:i/>
        </w:rPr>
      </w:pPr>
      <w:r w:rsidRPr="00C436BC">
        <w:rPr>
          <w:rFonts w:ascii="Times New Roman" w:hAnsi="Times New Roman" w:cs="Times New Roman"/>
          <w:b/>
          <w:i/>
        </w:rPr>
        <w:t>Radiocommunications (Trading Rules for Spectrum Licences) Amendment Determination 2020 (No. 1)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5FAA4BD" w14:textId="558A8F74" w:rsidR="004C58B9" w:rsidRPr="00727FA5" w:rsidRDefault="004C58B9" w:rsidP="00727FA5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Australian Communications and Media Authority (</w:t>
      </w:r>
      <w:r w:rsidRPr="00AB57DA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/>
        </w:rPr>
        <w:t xml:space="preserve"> ACMA</w:t>
      </w:r>
      <w:r>
        <w:rPr>
          <w:rFonts w:ascii="Times New Roman" w:hAnsi="Times New Roman" w:cs="Times New Roman"/>
        </w:rPr>
        <w:t xml:space="preserve">) has made the </w:t>
      </w:r>
      <w:r w:rsidR="00C436BC" w:rsidRPr="00C436BC">
        <w:rPr>
          <w:rFonts w:ascii="Times New Roman" w:hAnsi="Times New Roman" w:cs="Times New Roman"/>
          <w:i/>
          <w:iCs/>
        </w:rPr>
        <w:t xml:space="preserve">Radiocommunications (Trading Rules for Spectrum Licences) </w:t>
      </w:r>
      <w:r w:rsidR="00C436BC" w:rsidRPr="008111E6">
        <w:rPr>
          <w:rFonts w:ascii="Times New Roman" w:hAnsi="Times New Roman" w:cs="Times New Roman"/>
          <w:i/>
          <w:iCs/>
        </w:rPr>
        <w:t>Amendment Determination 2020 (No</w:t>
      </w:r>
      <w:r w:rsidR="00533A1E" w:rsidRPr="008111E6">
        <w:rPr>
          <w:rFonts w:ascii="Times New Roman" w:hAnsi="Times New Roman" w:cs="Times New Roman"/>
          <w:i/>
          <w:iCs/>
        </w:rPr>
        <w:t>.</w:t>
      </w:r>
      <w:r w:rsidR="00533A1E">
        <w:rPr>
          <w:rFonts w:ascii="Times New Roman" w:hAnsi="Times New Roman" w:cs="Times New Roman"/>
          <w:i/>
          <w:iCs/>
        </w:rPr>
        <w:t> </w:t>
      </w:r>
      <w:r w:rsidR="00C436BC" w:rsidRPr="008111E6">
        <w:rPr>
          <w:rFonts w:ascii="Times New Roman" w:hAnsi="Times New Roman" w:cs="Times New Roman"/>
          <w:i/>
          <w:iCs/>
        </w:rPr>
        <w:t xml:space="preserve">1) </w:t>
      </w:r>
      <w:r w:rsidRPr="008111E6">
        <w:rPr>
          <w:rFonts w:ascii="Times New Roman" w:hAnsi="Times New Roman" w:cs="Times New Roman"/>
        </w:rPr>
        <w:t>(</w:t>
      </w:r>
      <w:r w:rsidRPr="008111E6">
        <w:rPr>
          <w:rFonts w:ascii="Times New Roman" w:hAnsi="Times New Roman" w:cs="Times New Roman"/>
          <w:bCs/>
        </w:rPr>
        <w:t>the</w:t>
      </w:r>
      <w:r w:rsidRPr="008111E6">
        <w:rPr>
          <w:rFonts w:ascii="Times New Roman" w:hAnsi="Times New Roman" w:cs="Times New Roman"/>
          <w:b/>
        </w:rPr>
        <w:t xml:space="preserve"> </w:t>
      </w:r>
      <w:r w:rsidR="00727FA5" w:rsidRPr="00727FA5">
        <w:rPr>
          <w:rFonts w:ascii="Times New Roman" w:hAnsi="Times New Roman" w:cs="Times New Roman"/>
          <w:b/>
        </w:rPr>
        <w:t>Amendment Determination</w:t>
      </w:r>
      <w:r w:rsidR="00727FA5" w:rsidRPr="00727FA5">
        <w:rPr>
          <w:rFonts w:ascii="Times New Roman" w:hAnsi="Times New Roman" w:cs="Times New Roman"/>
          <w:bCs/>
        </w:rPr>
        <w:t xml:space="preserve">) in accordance with section 88 of the </w:t>
      </w:r>
      <w:r w:rsidR="00727FA5" w:rsidRPr="00573253">
        <w:rPr>
          <w:rFonts w:ascii="Times New Roman" w:hAnsi="Times New Roman" w:cs="Times New Roman"/>
          <w:bCs/>
          <w:i/>
          <w:iCs/>
        </w:rPr>
        <w:t>Radiocommunications Act 1992</w:t>
      </w:r>
      <w:r w:rsidR="00727FA5" w:rsidRPr="00727FA5">
        <w:rPr>
          <w:rFonts w:ascii="Times New Roman" w:hAnsi="Times New Roman" w:cs="Times New Roman"/>
          <w:bCs/>
        </w:rPr>
        <w:t xml:space="preserve"> (the </w:t>
      </w:r>
      <w:r w:rsidR="00727FA5" w:rsidRPr="00727FA5">
        <w:rPr>
          <w:rFonts w:ascii="Times New Roman" w:hAnsi="Times New Roman" w:cs="Times New Roman"/>
          <w:b/>
        </w:rPr>
        <w:t>Act</w:t>
      </w:r>
      <w:r w:rsidR="00727FA5" w:rsidRPr="00727FA5">
        <w:rPr>
          <w:rFonts w:ascii="Times New Roman" w:hAnsi="Times New Roman" w:cs="Times New Roman"/>
          <w:bCs/>
        </w:rPr>
        <w:t xml:space="preserve">) and in accordance with subsection 33(3) of the </w:t>
      </w:r>
      <w:r w:rsidR="00727FA5" w:rsidRPr="00573253">
        <w:rPr>
          <w:rFonts w:ascii="Times New Roman" w:hAnsi="Times New Roman" w:cs="Times New Roman"/>
          <w:bCs/>
          <w:i/>
          <w:iCs/>
        </w:rPr>
        <w:t>Acts Interpretation Act 1901</w:t>
      </w:r>
      <w:r w:rsidR="00727FA5" w:rsidRPr="00727FA5">
        <w:rPr>
          <w:rFonts w:ascii="Times New Roman" w:hAnsi="Times New Roman" w:cs="Times New Roman"/>
          <w:bCs/>
        </w:rPr>
        <w:t xml:space="preserve"> (the </w:t>
      </w:r>
      <w:r w:rsidR="00727FA5" w:rsidRPr="00727FA5">
        <w:rPr>
          <w:rFonts w:ascii="Times New Roman" w:hAnsi="Times New Roman" w:cs="Times New Roman"/>
          <w:b/>
        </w:rPr>
        <w:t>AI Act</w:t>
      </w:r>
      <w:r w:rsidR="00727FA5" w:rsidRPr="00727FA5">
        <w:rPr>
          <w:rFonts w:ascii="Times New Roman" w:hAnsi="Times New Roman" w:cs="Times New Roman"/>
          <w:bCs/>
        </w:rPr>
        <w:t>).</w:t>
      </w:r>
    </w:p>
    <w:p w14:paraId="19425832" w14:textId="6CAD75BC" w:rsidR="00727FA5" w:rsidRDefault="00727FA5" w:rsidP="00727FA5">
      <w:pPr>
        <w:shd w:val="clear" w:color="auto" w:fill="FFFFFF"/>
        <w:spacing w:line="257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>Section 88 of the Act provides that the ACMA may determine rules for assignment</w:t>
      </w:r>
      <w:r w:rsidR="00A83477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 xml:space="preserve"> of spectrum licences and </w:t>
      </w:r>
      <w:r w:rsidR="00FD2115">
        <w:rPr>
          <w:rFonts w:ascii="Times New Roman" w:eastAsia="Times New Roman" w:hAnsi="Times New Roman" w:cs="Times New Roman"/>
          <w:color w:val="000000"/>
          <w:lang w:eastAsia="en-AU"/>
        </w:rPr>
        <w:t xml:space="preserve">rules setting out </w:t>
      </w:r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 xml:space="preserve">the circumstances in which licences can be varied, </w:t>
      </w:r>
      <w:proofErr w:type="gramStart"/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>issued</w:t>
      </w:r>
      <w:proofErr w:type="gramEnd"/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 xml:space="preserve"> or cancelled as the result of an assignment.</w:t>
      </w:r>
    </w:p>
    <w:p w14:paraId="6C70C07A" w14:textId="5A415E86" w:rsidR="00727FA5" w:rsidRPr="00727FA5" w:rsidRDefault="00727FA5" w:rsidP="00727FA5">
      <w:pPr>
        <w:shd w:val="clear" w:color="auto" w:fill="FFFFFF"/>
        <w:spacing w:line="257" w:lineRule="auto"/>
        <w:jc w:val="both"/>
        <w:rPr>
          <w:rFonts w:ascii="Times New Roman" w:eastAsia="Times New Roman" w:hAnsi="Times New Roman" w:cs="Times New Roman"/>
          <w:color w:val="000000"/>
          <w:lang w:eastAsia="en-AU"/>
        </w:rPr>
      </w:pPr>
      <w:r w:rsidRPr="00727FA5">
        <w:rPr>
          <w:rFonts w:ascii="Times New Roman" w:eastAsia="Times New Roman" w:hAnsi="Times New Roman" w:cs="Times New Roman"/>
          <w:color w:val="000000"/>
          <w:lang w:eastAsia="en-AU"/>
        </w:rPr>
        <w:t>Subsection 33(3) of the AI Act relevantly provides that where an Act confers a power to make a legislative instrument, the power shall be construed as including a power exercisable in the like manner and subject to the like conditions (if any) to repeal, rescind, revoke, amend or vary any such instrument.</w:t>
      </w:r>
    </w:p>
    <w:p w14:paraId="7D900AC6" w14:textId="14FB5C9E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Purpose and operation of the instrument</w:t>
      </w:r>
    </w:p>
    <w:p w14:paraId="2D8BEAC5" w14:textId="399AAE72" w:rsidR="00F923E0" w:rsidRDefault="00727FA5" w:rsidP="002031CF">
      <w:pPr>
        <w:spacing w:line="257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27FA5">
        <w:rPr>
          <w:rFonts w:ascii="Times New Roman" w:hAnsi="Times New Roman" w:cs="Times New Roman"/>
          <w:color w:val="000000"/>
          <w:shd w:val="clear" w:color="auto" w:fill="FFFFFF"/>
        </w:rPr>
        <w:t>The </w:t>
      </w:r>
      <w:r w:rsidRPr="00727F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Radiocommunications (Trading Rules for Spectrum Licences) Determination </w:t>
      </w:r>
      <w:r w:rsidR="00C627BB" w:rsidRPr="00727F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2012</w:t>
      </w:r>
      <w:r w:rsidR="00C627B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C627BB" w:rsidRPr="00727FA5">
        <w:rPr>
          <w:rFonts w:ascii="Times New Roman" w:hAnsi="Times New Roman" w:cs="Times New Roman"/>
          <w:color w:val="000000"/>
          <w:shd w:val="clear" w:color="auto" w:fill="FFFFFF"/>
        </w:rPr>
        <w:t>the</w:t>
      </w:r>
      <w:r w:rsidR="00C627B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27FA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Determination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>) set</w:t>
      </w:r>
      <w:r w:rsidR="007E41F5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 xml:space="preserve"> out the rules for </w:t>
      </w:r>
      <w:r w:rsidR="007E41F5">
        <w:rPr>
          <w:rFonts w:ascii="Times New Roman" w:hAnsi="Times New Roman" w:cs="Times New Roman"/>
          <w:color w:val="000000"/>
          <w:shd w:val="clear" w:color="auto" w:fill="FFFFFF"/>
        </w:rPr>
        <w:t>assignments</w:t>
      </w:r>
      <w:r w:rsidR="007E41F5" w:rsidRPr="00727FA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 xml:space="preserve">of spectrum </w:t>
      </w:r>
      <w:r w:rsidR="002B6344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>icences</w:t>
      </w:r>
      <w:r w:rsidR="00C44500">
        <w:rPr>
          <w:rFonts w:ascii="Times New Roman" w:hAnsi="Times New Roman" w:cs="Times New Roman"/>
          <w:color w:val="000000"/>
          <w:shd w:val="clear" w:color="auto" w:fill="FFFFFF"/>
        </w:rPr>
        <w:t>, in accordance with section 88 of the Act</w:t>
      </w:r>
      <w:r w:rsidRPr="00727FA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B634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2DD5">
        <w:rPr>
          <w:rFonts w:ascii="Times New Roman" w:hAnsi="Times New Roman" w:cs="Times New Roman"/>
          <w:color w:val="000000"/>
          <w:shd w:val="clear" w:color="auto" w:fill="FFFFFF"/>
        </w:rPr>
        <w:t>Subs</w:t>
      </w:r>
      <w:r w:rsidR="000850C5">
        <w:rPr>
          <w:rFonts w:ascii="Times New Roman" w:hAnsi="Times New Roman" w:cs="Times New Roman"/>
          <w:color w:val="000000"/>
          <w:shd w:val="clear" w:color="auto" w:fill="FFFFFF"/>
        </w:rPr>
        <w:t>ection 8</w:t>
      </w:r>
      <w:r w:rsidR="00B82DD5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9B49E6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B82DD5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0850C5">
        <w:rPr>
          <w:rFonts w:ascii="Times New Roman" w:hAnsi="Times New Roman" w:cs="Times New Roman"/>
          <w:color w:val="000000"/>
          <w:shd w:val="clear" w:color="auto" w:fill="FFFFFF"/>
        </w:rPr>
        <w:t xml:space="preserve"> of t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he Determination </w:t>
      </w:r>
      <w:r w:rsidR="009B49E6">
        <w:rPr>
          <w:rFonts w:ascii="Times New Roman" w:hAnsi="Times New Roman" w:cs="Times New Roman"/>
          <w:color w:val="000000"/>
          <w:shd w:val="clear" w:color="auto" w:fill="FFFFFF"/>
        </w:rPr>
        <w:t>provides that a spectrum licensee must not trade a part of their licence if the trade results in a licence with a bandwidth less than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 the minimum contiguous bandwidth (</w:t>
      </w:r>
      <w:r w:rsidR="002031CF" w:rsidRPr="00CA7E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MCB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824016">
        <w:rPr>
          <w:rFonts w:ascii="Times New Roman" w:hAnsi="Times New Roman" w:cs="Times New Roman"/>
          <w:color w:val="000000"/>
          <w:shd w:val="clear" w:color="auto" w:fill="FFFFFF"/>
        </w:rPr>
        <w:t xml:space="preserve">specified 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in </w:t>
      </w:r>
      <w:r w:rsidR="00824016">
        <w:rPr>
          <w:rFonts w:ascii="Times New Roman" w:hAnsi="Times New Roman" w:cs="Times New Roman"/>
          <w:color w:val="000000"/>
          <w:shd w:val="clear" w:color="auto" w:fill="FFFFFF"/>
        </w:rPr>
        <w:t xml:space="preserve">the Schedule to 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>the Determination</w:t>
      </w:r>
      <w:r w:rsidR="00751407">
        <w:rPr>
          <w:rFonts w:ascii="Times New Roman" w:hAnsi="Times New Roman" w:cs="Times New Roman"/>
          <w:color w:val="000000"/>
          <w:shd w:val="clear" w:color="auto" w:fill="FFFFFF"/>
        </w:rPr>
        <w:t>. This effectively sets the MCB</w:t>
      </w:r>
      <w:r w:rsidR="002031CF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 as the smallest contiguous bandwidth that can generally be traded, and so ensures that the potential for fragmentation in the various spectrum bands is reduced.</w:t>
      </w:r>
      <w:r w:rsidR="002031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6F487BE" w14:textId="2DC1EF25" w:rsidR="002031CF" w:rsidRDefault="002031CF" w:rsidP="002031CF">
      <w:pPr>
        <w:spacing w:line="257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 Amendment </w:t>
      </w:r>
      <w:r w:rsidR="002B6344">
        <w:rPr>
          <w:rFonts w:ascii="Times New Roman" w:hAnsi="Times New Roman" w:cs="Times New Roman"/>
          <w:color w:val="000000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etermination </w:t>
      </w:r>
      <w:r w:rsidR="00F923E0">
        <w:rPr>
          <w:rFonts w:ascii="Times New Roman" w:hAnsi="Times New Roman" w:cs="Times New Roman"/>
          <w:color w:val="000000"/>
          <w:shd w:val="clear" w:color="auto" w:fill="FFFFFF"/>
        </w:rPr>
        <w:t xml:space="preserve">amends the Determination to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set the MCB for the </w:t>
      </w:r>
      <w:r w:rsidR="00431C8C">
        <w:rPr>
          <w:rFonts w:ascii="Times New Roman" w:hAnsi="Times New Roman" w:cs="Times New Roman"/>
        </w:rPr>
        <w:t xml:space="preserve">25.1–27.5 GHz band </w:t>
      </w:r>
      <w:r w:rsidR="00713A96">
        <w:rPr>
          <w:rFonts w:ascii="Times New Roman" w:hAnsi="Times New Roman" w:cs="Times New Roman"/>
        </w:rPr>
        <w:t>(</w:t>
      </w:r>
      <w:r w:rsidR="00713A96" w:rsidRPr="00CA7E4C">
        <w:rPr>
          <w:rFonts w:ascii="Times New Roman" w:hAnsi="Times New Roman" w:cs="Times New Roman"/>
          <w:b/>
          <w:bCs/>
        </w:rPr>
        <w:t>26 GHz band</w:t>
      </w:r>
      <w:r w:rsidR="00713A96">
        <w:rPr>
          <w:rFonts w:ascii="Times New Roman" w:hAnsi="Times New Roman" w:cs="Times New Roman"/>
        </w:rPr>
        <w:t xml:space="preserve">) </w:t>
      </w:r>
      <w:r w:rsidR="00F923E0">
        <w:rPr>
          <w:rFonts w:ascii="Times New Roman" w:hAnsi="Times New Roman" w:cs="Times New Roman"/>
          <w:color w:val="000000"/>
          <w:shd w:val="clear" w:color="auto" w:fill="FFFFFF"/>
        </w:rPr>
        <w:t xml:space="preserve">at </w:t>
      </w:r>
      <w:r>
        <w:rPr>
          <w:rFonts w:ascii="Times New Roman" w:hAnsi="Times New Roman" w:cs="Times New Roman"/>
          <w:color w:val="000000"/>
          <w:shd w:val="clear" w:color="auto" w:fill="FFFFFF"/>
        </w:rPr>
        <w:t>50 MHz.</w:t>
      </w:r>
    </w:p>
    <w:p w14:paraId="62529848" w14:textId="77777777" w:rsidR="004C58B9" w:rsidRDefault="004C58B9" w:rsidP="0043037A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provision-by-provision description of the instrument is set out in the notes at </w:t>
      </w:r>
      <w:r>
        <w:rPr>
          <w:rFonts w:ascii="Times New Roman" w:hAnsi="Times New Roman" w:cs="Times New Roman"/>
          <w:b/>
        </w:rPr>
        <w:t>Attachment A</w:t>
      </w:r>
      <w:r>
        <w:rPr>
          <w:rFonts w:ascii="Times New Roman" w:hAnsi="Times New Roman" w:cs="Times New Roman"/>
        </w:rPr>
        <w:t>.</w:t>
      </w:r>
    </w:p>
    <w:p w14:paraId="15A8EB95" w14:textId="38C9FB5B" w:rsidR="004C58B9" w:rsidRDefault="004C58B9" w:rsidP="0043037A">
      <w:pPr>
        <w:spacing w:line="257" w:lineRule="auto"/>
        <w:rPr>
          <w:rFonts w:ascii="Times New Roman" w:hAnsi="Times New Roman" w:cs="Times New Roman"/>
        </w:rPr>
      </w:pPr>
      <w:r w:rsidRPr="002B6344">
        <w:rPr>
          <w:rFonts w:ascii="Times New Roman" w:hAnsi="Times New Roman" w:cs="Times New Roman"/>
        </w:rPr>
        <w:t xml:space="preserve">The </w:t>
      </w:r>
      <w:r w:rsidR="002B6344" w:rsidRPr="002B6344">
        <w:rPr>
          <w:rFonts w:ascii="Times New Roman" w:hAnsi="Times New Roman" w:cs="Times New Roman"/>
        </w:rPr>
        <w:t xml:space="preserve">Amendment Determination </w:t>
      </w:r>
      <w:r w:rsidRPr="002B6344">
        <w:rPr>
          <w:rFonts w:ascii="Times New Roman" w:hAnsi="Times New Roman" w:cs="Times New Roman"/>
        </w:rPr>
        <w:t>is a</w:t>
      </w:r>
      <w:r w:rsidR="00F923E0">
        <w:rPr>
          <w:rFonts w:ascii="Times New Roman" w:hAnsi="Times New Roman" w:cs="Times New Roman"/>
        </w:rPr>
        <w:t xml:space="preserve"> disallowable</w:t>
      </w:r>
      <w:r w:rsidRPr="002B6344">
        <w:rPr>
          <w:rFonts w:ascii="Times New Roman" w:hAnsi="Times New Roman" w:cs="Times New Roman"/>
        </w:rPr>
        <w:t xml:space="preserve"> legislative</w:t>
      </w:r>
      <w:r>
        <w:rPr>
          <w:rFonts w:ascii="Times New Roman" w:hAnsi="Times New Roman" w:cs="Times New Roman"/>
        </w:rPr>
        <w:t xml:space="preserve"> instrument for the purposes of the </w:t>
      </w:r>
      <w:r>
        <w:rPr>
          <w:rFonts w:ascii="Times New Roman" w:hAnsi="Times New Roman" w:cs="Times New Roman"/>
          <w:i/>
        </w:rPr>
        <w:t xml:space="preserve">Legislation Act 2003 </w:t>
      </w:r>
      <w:r>
        <w:rPr>
          <w:rFonts w:ascii="Times New Roman" w:hAnsi="Times New Roman" w:cs="Times New Roman"/>
        </w:rPr>
        <w:t>(</w:t>
      </w:r>
      <w:r w:rsidRPr="00AB57DA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/>
        </w:rPr>
        <w:t xml:space="preserve"> LA</w:t>
      </w:r>
      <w:r>
        <w:rPr>
          <w:rFonts w:ascii="Times New Roman" w:hAnsi="Times New Roman" w:cs="Times New Roman"/>
        </w:rPr>
        <w:t xml:space="preserve">). </w:t>
      </w:r>
    </w:p>
    <w:p w14:paraId="0C627C6A" w14:textId="77777777" w:rsidR="004C58B9" w:rsidRPr="000D77F6" w:rsidRDefault="004C58B9" w:rsidP="004C58B9">
      <w:pPr>
        <w:rPr>
          <w:rFonts w:ascii="Times New Roman" w:hAnsi="Times New Roman" w:cs="Times New Roman"/>
          <w:b/>
        </w:rPr>
      </w:pPr>
      <w:r w:rsidRPr="000D77F6">
        <w:rPr>
          <w:rFonts w:ascii="Times New Roman" w:hAnsi="Times New Roman" w:cs="Times New Roman"/>
          <w:b/>
        </w:rPr>
        <w:t>Documents incorporated by reference</w:t>
      </w:r>
    </w:p>
    <w:p w14:paraId="6B3EB8BE" w14:textId="744E9BAA" w:rsidR="000D77F6" w:rsidRDefault="00F923E0" w:rsidP="000D77F6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Amendment Determination does not incorporate a document by reference</w:t>
      </w:r>
      <w:r w:rsidR="000D77F6" w:rsidRPr="000D77F6">
        <w:rPr>
          <w:rFonts w:ascii="Times New Roman" w:hAnsi="Times New Roman" w:cs="Times New Roman"/>
        </w:rPr>
        <w:t xml:space="preserve">. </w:t>
      </w:r>
    </w:p>
    <w:p w14:paraId="2EFDFDBF" w14:textId="2E5A86C4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Consultation</w:t>
      </w:r>
    </w:p>
    <w:p w14:paraId="06B18BAD" w14:textId="6C0E808B" w:rsidR="00AA39D4" w:rsidRDefault="00AA39D4" w:rsidP="00AA3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</w:t>
      </w:r>
      <w:r w:rsidR="00573253">
        <w:rPr>
          <w:rFonts w:ascii="Times New Roman" w:hAnsi="Times New Roman" w:cs="Times New Roman"/>
        </w:rPr>
        <w:t>Amendment Determination</w:t>
      </w:r>
      <w:r>
        <w:rPr>
          <w:rFonts w:ascii="Times New Roman" w:hAnsi="Times New Roman" w:cs="Times New Roman"/>
        </w:rPr>
        <w:t xml:space="preserve"> was made, the ACMA was satisfied that consultation was undertaken to the extent appropriate and reasonably practicable, in accordance with section 17 of the LA.  </w:t>
      </w:r>
    </w:p>
    <w:p w14:paraId="3C22334E" w14:textId="4FA64039" w:rsidR="00A72849" w:rsidRPr="00A72849" w:rsidRDefault="00A72849" w:rsidP="00A72849">
      <w:pPr>
        <w:rPr>
          <w:rFonts w:ascii="Times New Roman" w:hAnsi="Times New Roman" w:cs="Times New Roman"/>
        </w:rPr>
      </w:pPr>
      <w:bookmarkStart w:id="0" w:name="_Hlk50103483"/>
      <w:r w:rsidRPr="00A7284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November</w:t>
      </w:r>
      <w:r w:rsidRPr="00A7284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A72849">
        <w:rPr>
          <w:rFonts w:ascii="Times New Roman" w:hAnsi="Times New Roman" w:cs="Times New Roman"/>
        </w:rPr>
        <w:t xml:space="preserve">, the ACMA set up a short-term industry technical liaison group (the </w:t>
      </w:r>
      <w:r w:rsidRPr="00AB57DA">
        <w:rPr>
          <w:rFonts w:ascii="Times New Roman" w:hAnsi="Times New Roman" w:cs="Times New Roman"/>
          <w:b/>
          <w:bCs/>
        </w:rPr>
        <w:t>TLG</w:t>
      </w:r>
      <w:r w:rsidRPr="00A72849">
        <w:rPr>
          <w:rFonts w:ascii="Times New Roman" w:hAnsi="Times New Roman" w:cs="Times New Roman"/>
        </w:rPr>
        <w:t xml:space="preserve">) to support the development of a technical framework to support the introduction of </w:t>
      </w:r>
      <w:r>
        <w:rPr>
          <w:rFonts w:ascii="Times New Roman" w:hAnsi="Times New Roman" w:cs="Times New Roman"/>
        </w:rPr>
        <w:t>5</w:t>
      </w:r>
      <w:r w:rsidRPr="00A7284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A72849">
        <w:rPr>
          <w:rFonts w:ascii="Times New Roman" w:hAnsi="Times New Roman" w:cs="Times New Roman"/>
        </w:rPr>
        <w:t xml:space="preserve">generation </w:t>
      </w:r>
      <w:r>
        <w:rPr>
          <w:rFonts w:ascii="Times New Roman" w:hAnsi="Times New Roman" w:cs="Times New Roman"/>
        </w:rPr>
        <w:t xml:space="preserve">wireless </w:t>
      </w:r>
      <w:r w:rsidRPr="00A72849">
        <w:rPr>
          <w:rFonts w:ascii="Times New Roman" w:hAnsi="Times New Roman" w:cs="Times New Roman"/>
        </w:rPr>
        <w:t xml:space="preserve">broadband </w:t>
      </w:r>
      <w:r>
        <w:rPr>
          <w:rFonts w:ascii="Times New Roman" w:hAnsi="Times New Roman" w:cs="Times New Roman"/>
        </w:rPr>
        <w:t>services in</w:t>
      </w:r>
      <w:r w:rsidRPr="00A7284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26 GHz band</w:t>
      </w:r>
      <w:r w:rsidRPr="00A72849">
        <w:rPr>
          <w:rFonts w:ascii="Times New Roman" w:hAnsi="Times New Roman" w:cs="Times New Roman"/>
        </w:rPr>
        <w:t>.</w:t>
      </w:r>
    </w:p>
    <w:p w14:paraId="1BC3F3F8" w14:textId="3047E38D" w:rsidR="00A72849" w:rsidRPr="00A72849" w:rsidRDefault="00A72849" w:rsidP="00A72849">
      <w:pPr>
        <w:rPr>
          <w:rFonts w:ascii="Times New Roman" w:hAnsi="Times New Roman" w:cs="Times New Roman"/>
        </w:rPr>
      </w:pPr>
      <w:r w:rsidRPr="00A72849">
        <w:rPr>
          <w:rFonts w:ascii="Times New Roman" w:hAnsi="Times New Roman" w:cs="Times New Roman"/>
        </w:rPr>
        <w:lastRenderedPageBreak/>
        <w:t>The TLG was asked to consider and provide advice to the ACMA on technical aspects required for the development of the spectrum licence technical framework</w:t>
      </w:r>
      <w:r>
        <w:rPr>
          <w:rFonts w:ascii="Times New Roman" w:hAnsi="Times New Roman" w:cs="Times New Roman"/>
        </w:rPr>
        <w:t xml:space="preserve"> in the 26 GHz band</w:t>
      </w:r>
      <w:r w:rsidRPr="00A72849">
        <w:rPr>
          <w:rFonts w:ascii="Times New Roman" w:hAnsi="Times New Roman" w:cs="Times New Roman"/>
        </w:rPr>
        <w:t xml:space="preserve">. </w:t>
      </w:r>
      <w:bookmarkEnd w:id="0"/>
      <w:r w:rsidRPr="00A72849">
        <w:rPr>
          <w:rFonts w:ascii="Times New Roman" w:hAnsi="Times New Roman" w:cs="Times New Roman"/>
        </w:rPr>
        <w:t>These included</w:t>
      </w:r>
      <w:r w:rsidR="006212E4">
        <w:rPr>
          <w:rFonts w:ascii="Times New Roman" w:hAnsi="Times New Roman" w:cs="Times New Roman"/>
        </w:rPr>
        <w:t xml:space="preserve"> </w:t>
      </w:r>
      <w:r w:rsidR="006212E4" w:rsidRPr="00A72849">
        <w:rPr>
          <w:rFonts w:ascii="Times New Roman" w:hAnsi="Times New Roman" w:cs="Times New Roman"/>
        </w:rPr>
        <w:t xml:space="preserve">the development of the </w:t>
      </w:r>
      <w:r w:rsidR="006212E4">
        <w:rPr>
          <w:rFonts w:ascii="Times New Roman" w:hAnsi="Times New Roman" w:cs="Times New Roman"/>
        </w:rPr>
        <w:t>MCB</w:t>
      </w:r>
      <w:r w:rsidR="006212E4" w:rsidRPr="00A72849">
        <w:rPr>
          <w:rFonts w:ascii="Times New Roman" w:hAnsi="Times New Roman" w:cs="Times New Roman"/>
        </w:rPr>
        <w:t xml:space="preserve"> for spectrum licences in the 2</w:t>
      </w:r>
      <w:r w:rsidR="006212E4">
        <w:rPr>
          <w:rFonts w:ascii="Times New Roman" w:hAnsi="Times New Roman" w:cs="Times New Roman"/>
        </w:rPr>
        <w:t>6</w:t>
      </w:r>
      <w:r w:rsidR="006212E4" w:rsidRPr="00A72849">
        <w:rPr>
          <w:rFonts w:ascii="Times New Roman" w:hAnsi="Times New Roman" w:cs="Times New Roman"/>
        </w:rPr>
        <w:t xml:space="preserve"> GHz band</w:t>
      </w:r>
    </w:p>
    <w:p w14:paraId="485D58ED" w14:textId="461C77D5" w:rsidR="00A72849" w:rsidRPr="00A72849" w:rsidRDefault="00A72849" w:rsidP="00A72849">
      <w:pPr>
        <w:rPr>
          <w:rFonts w:ascii="Times New Roman" w:hAnsi="Times New Roman" w:cs="Times New Roman"/>
        </w:rPr>
      </w:pPr>
      <w:bookmarkStart w:id="1" w:name="_Hlk50103581"/>
      <w:r w:rsidRPr="00A72849">
        <w:rPr>
          <w:rFonts w:ascii="Times New Roman" w:hAnsi="Times New Roman" w:cs="Times New Roman"/>
        </w:rPr>
        <w:t>The ACMA developed papers which outlined its proposed approach to the spectrum licensing framework for the 2</w:t>
      </w:r>
      <w:r>
        <w:rPr>
          <w:rFonts w:ascii="Times New Roman" w:hAnsi="Times New Roman" w:cs="Times New Roman"/>
        </w:rPr>
        <w:t>6</w:t>
      </w:r>
      <w:r w:rsidRPr="00A72849">
        <w:rPr>
          <w:rFonts w:ascii="Times New Roman" w:hAnsi="Times New Roman" w:cs="Times New Roman"/>
        </w:rPr>
        <w:t xml:space="preserve"> GHz band. These papers were made available by the ACMA to the TLG members for comment. These papers can be found on the ACMA’s website</w:t>
      </w:r>
      <w:r>
        <w:rPr>
          <w:rFonts w:ascii="Times New Roman" w:hAnsi="Times New Roman" w:cs="Times New Roman"/>
        </w:rPr>
        <w:t>.</w:t>
      </w:r>
      <w:r w:rsidRPr="00A72849">
        <w:rPr>
          <w:rFonts w:ascii="Times New Roman" w:hAnsi="Times New Roman" w:cs="Times New Roman"/>
        </w:rPr>
        <w:t xml:space="preserve">  The ACMA had regard to the views expressed by the TLG members when preparing the </w:t>
      </w:r>
      <w:r w:rsidR="00573253">
        <w:rPr>
          <w:rFonts w:ascii="Times New Roman" w:hAnsi="Times New Roman" w:cs="Times New Roman"/>
        </w:rPr>
        <w:t>Amendment Determination</w:t>
      </w:r>
      <w:r w:rsidRPr="00A72849">
        <w:rPr>
          <w:rFonts w:ascii="Times New Roman" w:hAnsi="Times New Roman" w:cs="Times New Roman"/>
        </w:rPr>
        <w:t xml:space="preserve">. </w:t>
      </w:r>
    </w:p>
    <w:p w14:paraId="64480CF7" w14:textId="34DF0823" w:rsidR="00AA39D4" w:rsidRDefault="00AA39D4" w:rsidP="00AA3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draft version of the </w:t>
      </w:r>
      <w:r w:rsidR="00573253">
        <w:rPr>
          <w:rFonts w:ascii="Times New Roman" w:hAnsi="Times New Roman" w:cs="Times New Roman"/>
        </w:rPr>
        <w:t xml:space="preserve">Amendment Determination </w:t>
      </w:r>
      <w:r>
        <w:rPr>
          <w:rFonts w:ascii="Times New Roman" w:hAnsi="Times New Roman" w:cs="Times New Roman"/>
        </w:rPr>
        <w:t xml:space="preserve">was released for public consultation on 9 July 2020, together with the consultation paper </w:t>
      </w:r>
      <w:r w:rsidRPr="00E13030">
        <w:rPr>
          <w:rFonts w:ascii="Times New Roman" w:hAnsi="Times New Roman" w:cs="Times New Roman"/>
          <w:i/>
          <w:iCs/>
        </w:rPr>
        <w:t>26 GHz band spectrum licence technical framework</w:t>
      </w:r>
      <w:r>
        <w:rPr>
          <w:rFonts w:ascii="Times New Roman" w:hAnsi="Times New Roman" w:cs="Times New Roman"/>
        </w:rPr>
        <w:t>.</w:t>
      </w:r>
      <w:r w:rsidR="002B6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Consultation closed on 10 August 2020. </w:t>
      </w:r>
    </w:p>
    <w:bookmarkEnd w:id="1"/>
    <w:p w14:paraId="47AD69BD" w14:textId="2938BAD7" w:rsidR="00030D1C" w:rsidRDefault="00AA39D4" w:rsidP="00573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consultation sought stakeholder views on </w:t>
      </w:r>
      <w:r w:rsidR="00B92A7B">
        <w:rPr>
          <w:rFonts w:ascii="Times New Roman" w:hAnsi="Times New Roman" w:cs="Times New Roman"/>
        </w:rPr>
        <w:t>the proposed spectrum licence technical framework</w:t>
      </w:r>
      <w:r>
        <w:rPr>
          <w:rFonts w:ascii="Times New Roman" w:hAnsi="Times New Roman" w:cs="Times New Roman"/>
        </w:rPr>
        <w:t>. The ACMA received</w:t>
      </w:r>
      <w:r w:rsidR="00B125C6">
        <w:rPr>
          <w:rFonts w:ascii="Times New Roman" w:hAnsi="Times New Roman" w:cs="Times New Roman"/>
        </w:rPr>
        <w:t xml:space="preserve"> 1</w:t>
      </w:r>
      <w:r w:rsidR="001E67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written submissions in response to this consultation </w:t>
      </w:r>
      <w:r w:rsidRPr="00573253">
        <w:rPr>
          <w:rFonts w:ascii="Times New Roman" w:hAnsi="Times New Roman" w:cs="Times New Roman"/>
        </w:rPr>
        <w:t>paper</w:t>
      </w:r>
      <w:r w:rsidR="00B125C6" w:rsidRPr="00573253">
        <w:rPr>
          <w:rFonts w:ascii="Times New Roman" w:hAnsi="Times New Roman" w:cs="Times New Roman"/>
        </w:rPr>
        <w:t>,</w:t>
      </w:r>
      <w:r w:rsidR="006F68D2" w:rsidRPr="00573253">
        <w:rPr>
          <w:rFonts w:ascii="Times New Roman" w:hAnsi="Times New Roman" w:cs="Times New Roman"/>
        </w:rPr>
        <w:t xml:space="preserve"> </w:t>
      </w:r>
      <w:r w:rsidR="00573253" w:rsidRPr="00573253">
        <w:rPr>
          <w:rFonts w:ascii="Times New Roman" w:hAnsi="Times New Roman" w:cs="Times New Roman"/>
        </w:rPr>
        <w:t>none</w:t>
      </w:r>
      <w:r w:rsidR="006F68D2" w:rsidRPr="00573253">
        <w:rPr>
          <w:rFonts w:ascii="Times New Roman" w:hAnsi="Times New Roman" w:cs="Times New Roman"/>
        </w:rPr>
        <w:t xml:space="preserve"> of which provided comment in relation to </w:t>
      </w:r>
      <w:r w:rsidR="00573253" w:rsidRPr="00573253">
        <w:rPr>
          <w:rFonts w:ascii="Times New Roman" w:hAnsi="Times New Roman" w:cs="Times New Roman"/>
        </w:rPr>
        <w:t>the Amendment Determination</w:t>
      </w:r>
      <w:r w:rsidR="006F68D2" w:rsidRPr="00573253">
        <w:rPr>
          <w:rFonts w:ascii="Times New Roman" w:hAnsi="Times New Roman" w:cs="Times New Roman"/>
        </w:rPr>
        <w:t>.</w:t>
      </w:r>
      <w:r w:rsidR="00E25ED1">
        <w:rPr>
          <w:rFonts w:ascii="Times New Roman" w:hAnsi="Times New Roman" w:cs="Times New Roman"/>
        </w:rPr>
        <w:t xml:space="preserve"> </w:t>
      </w:r>
    </w:p>
    <w:p w14:paraId="2E01E108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65563922" w14:textId="3526A193" w:rsidR="007F2F5E" w:rsidRDefault="007F2F5E" w:rsidP="004C58B9">
      <w:pPr>
        <w:rPr>
          <w:rFonts w:ascii="Times New Roman" w:hAnsi="Times New Roman" w:cs="Times New Roman"/>
        </w:rPr>
      </w:pPr>
      <w:r w:rsidRPr="008B0DD6">
        <w:rPr>
          <w:rFonts w:ascii="Times New Roman" w:hAnsi="Times New Roman" w:cs="Times New Roman"/>
        </w:rPr>
        <w:t xml:space="preserve">A preliminary assessment of the proposal to make the </w:t>
      </w:r>
      <w:r w:rsidR="00573253" w:rsidRPr="00573253">
        <w:rPr>
          <w:rFonts w:ascii="Times New Roman" w:hAnsi="Times New Roman" w:cs="Times New Roman"/>
        </w:rPr>
        <w:t>Amendment Determination</w:t>
      </w:r>
      <w:r w:rsidR="00573253" w:rsidRPr="008B0DD6">
        <w:rPr>
          <w:rFonts w:ascii="Times New Roman" w:hAnsi="Times New Roman" w:cs="Times New Roman"/>
        </w:rPr>
        <w:t xml:space="preserve"> </w:t>
      </w:r>
      <w:r w:rsidRPr="008B0DD6">
        <w:rPr>
          <w:rFonts w:ascii="Times New Roman" w:hAnsi="Times New Roman" w:cs="Times New Roman"/>
        </w:rPr>
        <w:t>was conducted by the Office of Best Practice Regulation (</w:t>
      </w:r>
      <w:r w:rsidRPr="008B0DD6">
        <w:rPr>
          <w:rFonts w:ascii="Times New Roman" w:hAnsi="Times New Roman" w:cs="Times New Roman"/>
          <w:b/>
          <w:bCs/>
        </w:rPr>
        <w:t>OBPR</w:t>
      </w:r>
      <w:r w:rsidRPr="008B0DD6">
        <w:rPr>
          <w:rFonts w:ascii="Times New Roman" w:hAnsi="Times New Roman" w:cs="Times New Roman"/>
        </w:rPr>
        <w:t>), based on information provided by the ACMA, for the purposes of determining whether a Regulation Impact Statement (</w:t>
      </w:r>
      <w:r w:rsidRPr="008B0DD6">
        <w:rPr>
          <w:rFonts w:ascii="Times New Roman" w:hAnsi="Times New Roman" w:cs="Times New Roman"/>
          <w:b/>
          <w:bCs/>
        </w:rPr>
        <w:t>RIS</w:t>
      </w:r>
      <w:r w:rsidRPr="008B0DD6">
        <w:rPr>
          <w:rFonts w:ascii="Times New Roman" w:hAnsi="Times New Roman" w:cs="Times New Roman"/>
        </w:rPr>
        <w:t xml:space="preserve">) would be required. OBPR advised that a RIS would not be required because </w:t>
      </w:r>
      <w:r>
        <w:rPr>
          <w:rFonts w:ascii="Times New Roman" w:hAnsi="Times New Roman" w:cs="Times New Roman"/>
        </w:rPr>
        <w:t>the proposed regulatory change is minor or machinery in nature – OBPR reference number 24947.</w:t>
      </w:r>
    </w:p>
    <w:p w14:paraId="645DD02E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rights</w:t>
      </w:r>
    </w:p>
    <w:p w14:paraId="7E0868EC" w14:textId="3D140D7A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9(1) of the </w:t>
      </w:r>
      <w:r>
        <w:rPr>
          <w:rFonts w:ascii="Times New Roman" w:hAnsi="Times New Roman" w:cs="Times New Roman"/>
          <w:i/>
        </w:rPr>
        <w:t>Human Rights (Parliamentary Scrutiny) Act 2011</w:t>
      </w:r>
      <w:r>
        <w:rPr>
          <w:rFonts w:ascii="Times New Roman" w:hAnsi="Times New Roman" w:cs="Times New Roman"/>
        </w:rPr>
        <w:t xml:space="preserve"> requires the rule-maker in relation to a legislative instrument to which section 42 (disallowance) of the LA applies to cause a statement of compatibility</w:t>
      </w:r>
      <w:r w:rsidR="00256B0C">
        <w:rPr>
          <w:rFonts w:ascii="Times New Roman" w:hAnsi="Times New Roman" w:cs="Times New Roman"/>
        </w:rPr>
        <w:t xml:space="preserve"> with human rights</w:t>
      </w:r>
      <w:r>
        <w:rPr>
          <w:rFonts w:ascii="Times New Roman" w:hAnsi="Times New Roman" w:cs="Times New Roman"/>
        </w:rPr>
        <w:t xml:space="preserve"> to be prepared in respect of that legislative instrument.  </w:t>
      </w:r>
    </w:p>
    <w:p w14:paraId="23AE1B60" w14:textId="77777777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statement of compatibility set out below has been prepared to meet that requirement.</w:t>
      </w:r>
    </w:p>
    <w:p w14:paraId="695CEC3E" w14:textId="4B09D9DD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151390F8" w14:textId="61DCF72A" w:rsidR="00573253" w:rsidRPr="00573253" w:rsidRDefault="00573253" w:rsidP="00573253">
      <w:pPr>
        <w:shd w:val="clear" w:color="auto" w:fill="FFFFFF"/>
        <w:spacing w:line="257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>Section 88 of the</w:t>
      </w:r>
      <w:r w:rsidR="00AB64E2">
        <w:rPr>
          <w:rFonts w:ascii="Times New Roman" w:eastAsia="Times New Roman" w:hAnsi="Times New Roman" w:cs="Times New Roman"/>
          <w:color w:val="000000"/>
          <w:lang w:eastAsia="en-AU"/>
        </w:rPr>
        <w:t xml:space="preserve"> Act </w:t>
      </w: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>provides that the ACMA may determine rules for assignment</w:t>
      </w:r>
      <w:r w:rsidR="00D9569A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 of spectrum licences and </w:t>
      </w:r>
      <w:r w:rsidR="00D9569A">
        <w:rPr>
          <w:rFonts w:ascii="Times New Roman" w:eastAsia="Times New Roman" w:hAnsi="Times New Roman" w:cs="Times New Roman"/>
          <w:color w:val="000000"/>
          <w:lang w:eastAsia="en-AU"/>
        </w:rPr>
        <w:t xml:space="preserve">rules setting out </w:t>
      </w: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the circumstances in which licences can be varied, </w:t>
      </w:r>
      <w:proofErr w:type="gramStart"/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>issued</w:t>
      </w:r>
      <w:proofErr w:type="gramEnd"/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 or cancelled as the result of an assignment.</w:t>
      </w:r>
      <w:r w:rsidR="007564CC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A726C6">
        <w:rPr>
          <w:rFonts w:ascii="Times New Roman" w:eastAsia="Times New Roman" w:hAnsi="Times New Roman" w:cs="Times New Roman"/>
          <w:color w:val="000000"/>
          <w:lang w:eastAsia="en-AU"/>
        </w:rPr>
        <w:t>The ACMA has made the Dete</w:t>
      </w:r>
      <w:r w:rsidR="00AC533E">
        <w:rPr>
          <w:rFonts w:ascii="Times New Roman" w:eastAsia="Times New Roman" w:hAnsi="Times New Roman" w:cs="Times New Roman"/>
          <w:color w:val="000000"/>
          <w:lang w:eastAsia="en-AU"/>
        </w:rPr>
        <w:t>rmination</w:t>
      </w:r>
      <w:r w:rsidR="00E7547A">
        <w:rPr>
          <w:rFonts w:ascii="Times New Roman" w:eastAsia="Times New Roman" w:hAnsi="Times New Roman" w:cs="Times New Roman"/>
          <w:color w:val="000000"/>
          <w:lang w:eastAsia="en-AU"/>
        </w:rPr>
        <w:t xml:space="preserve"> under this section. 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>Subsection 8(2) of t</w:t>
      </w:r>
      <w:r w:rsidR="00E7547A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he Determination 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>provides that a spectrum licensee must not trade a part of their licence if the trade results in a licence with a bandwidth less than</w:t>
      </w:r>
      <w:r w:rsidR="00E7547A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 the 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>MCB</w:t>
      </w:r>
      <w:r w:rsidR="00E7547A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 xml:space="preserve">specified </w:t>
      </w:r>
      <w:r w:rsidR="00E7547A" w:rsidRPr="002031CF">
        <w:rPr>
          <w:rFonts w:ascii="Times New Roman" w:hAnsi="Times New Roman" w:cs="Times New Roman"/>
          <w:color w:val="000000"/>
          <w:shd w:val="clear" w:color="auto" w:fill="FFFFFF"/>
        </w:rPr>
        <w:t xml:space="preserve">in 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 xml:space="preserve">the Schedule to </w:t>
      </w:r>
      <w:r w:rsidR="00E7547A" w:rsidRPr="002031CF">
        <w:rPr>
          <w:rFonts w:ascii="Times New Roman" w:hAnsi="Times New Roman" w:cs="Times New Roman"/>
          <w:color w:val="000000"/>
          <w:shd w:val="clear" w:color="auto" w:fill="FFFFFF"/>
        </w:rPr>
        <w:t>the Determination</w:t>
      </w:r>
      <w:r w:rsidR="00E7547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0FBDADA" w14:textId="00648E12" w:rsidR="00573253" w:rsidRPr="00573253" w:rsidRDefault="00573253">
      <w:pPr>
        <w:shd w:val="clear" w:color="auto" w:fill="FFFFFF"/>
        <w:spacing w:line="257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The Amendment Determination </w:t>
      </w:r>
      <w:r w:rsidR="00AE7C15">
        <w:rPr>
          <w:rFonts w:ascii="Times New Roman" w:eastAsia="Times New Roman" w:hAnsi="Times New Roman" w:cs="Times New Roman"/>
          <w:color w:val="000000"/>
          <w:lang w:eastAsia="en-AU"/>
        </w:rPr>
        <w:t>includes an MCB</w:t>
      </w: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25768D">
        <w:rPr>
          <w:rFonts w:ascii="Times New Roman" w:eastAsia="Times New Roman" w:hAnsi="Times New Roman" w:cs="Times New Roman"/>
          <w:color w:val="000000"/>
          <w:lang w:eastAsia="en-AU"/>
        </w:rPr>
        <w:t xml:space="preserve">of 50 MHz </w:t>
      </w:r>
      <w:r w:rsidRPr="00573253">
        <w:rPr>
          <w:rFonts w:ascii="Times New Roman" w:eastAsia="Times New Roman" w:hAnsi="Times New Roman" w:cs="Times New Roman"/>
          <w:color w:val="000000"/>
          <w:lang w:eastAsia="en-AU"/>
        </w:rPr>
        <w:t>for the trading of spectrum licences in the 26 GHz band. </w:t>
      </w:r>
    </w:p>
    <w:p w14:paraId="62B66CB7" w14:textId="77777777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0B759C40" w14:textId="35F5EA9C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the </w:t>
      </w:r>
      <w:r w:rsidR="00197F8E"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Amendment Determination </w:t>
      </w:r>
      <w:r>
        <w:rPr>
          <w:rFonts w:ascii="Times New Roman" w:hAnsi="Times New Roman" w:cs="Times New Roman"/>
        </w:rPr>
        <w:t>is compatible with human rights, being the rights and freedoms recognised or declared by the international instruments listed in subsection 3(1) of the</w:t>
      </w:r>
      <w:r>
        <w:rPr>
          <w:rFonts w:ascii="Times New Roman" w:hAnsi="Times New Roman" w:cs="Times New Roman"/>
          <w:i/>
        </w:rPr>
        <w:t xml:space="preserve"> Human Rights (Parliamentary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39F7E8B7" w14:textId="5B1AEF7C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considered the likely impact of the </w:t>
      </w:r>
      <w:r w:rsidR="00197F8E"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Amendment Determination </w:t>
      </w:r>
      <w:r>
        <w:rPr>
          <w:rFonts w:ascii="Times New Roman" w:hAnsi="Times New Roman" w:cs="Times New Roman"/>
        </w:rPr>
        <w:t xml:space="preserve">and the nature of the applicable rights and freedoms, the ACMA has formed the view that the instrument does not engage any of those rights or freedoms.  </w:t>
      </w:r>
    </w:p>
    <w:p w14:paraId="76A7876C" w14:textId="77777777" w:rsidR="004C58B9" w:rsidRDefault="004C58B9" w:rsidP="004C58B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Conclusion</w:t>
      </w:r>
    </w:p>
    <w:p w14:paraId="14033D5D" w14:textId="5AD9FAE5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97F8E"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Amendment Determination </w:t>
      </w:r>
      <w:r>
        <w:rPr>
          <w:rFonts w:ascii="Times New Roman" w:hAnsi="Times New Roman" w:cs="Times New Roman"/>
        </w:rPr>
        <w:t>is compatible with human rights as it does not raise any human rights issues.</w:t>
      </w:r>
    </w:p>
    <w:p w14:paraId="04D2004B" w14:textId="77777777" w:rsidR="004C58B9" w:rsidRDefault="004C58B9" w:rsidP="004C58B9">
      <w:pPr>
        <w:rPr>
          <w:rFonts w:ascii="Times New Roman" w:hAnsi="Times New Roman" w:cs="Times New Roman"/>
        </w:rPr>
      </w:pPr>
    </w:p>
    <w:p w14:paraId="0761EB7B" w14:textId="77777777" w:rsidR="004C58B9" w:rsidRDefault="004C58B9" w:rsidP="004C58B9">
      <w:pPr>
        <w:rPr>
          <w:rFonts w:ascii="Times New Roman" w:hAnsi="Times New Roman" w:cs="Times New Roman"/>
        </w:rPr>
      </w:pPr>
    </w:p>
    <w:p w14:paraId="529383EE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0392EC9" w14:textId="77777777" w:rsidR="004C58B9" w:rsidRDefault="004C58B9" w:rsidP="004C58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2CC48905" w14:textId="2F6AD7D9" w:rsidR="004C58B9" w:rsidRDefault="004C58B9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C436BC" w:rsidRPr="00C45DF3">
        <w:rPr>
          <w:rFonts w:ascii="Times New Roman" w:hAnsi="Times New Roman" w:cs="Times New Roman"/>
          <w:b/>
          <w:i/>
          <w:iCs/>
          <w:sz w:val="28"/>
          <w:szCs w:val="28"/>
        </w:rPr>
        <w:t>Radiocommunications (Trading Rules for Spectrum Licences) Amendment Determination 2020 (No. 1)</w:t>
      </w:r>
    </w:p>
    <w:p w14:paraId="6A976F35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4BCA7D44" w14:textId="7A4C956D" w:rsidR="00AE1ACC" w:rsidRPr="00197F8E" w:rsidRDefault="004C58B9" w:rsidP="004C58B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2B6344"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Amendment Determination </w:t>
      </w:r>
      <w:r>
        <w:rPr>
          <w:rFonts w:ascii="Times New Roman" w:hAnsi="Times New Roman" w:cs="Times New Roman"/>
        </w:rPr>
        <w:t xml:space="preserve">to be cited as the </w:t>
      </w:r>
      <w:r w:rsidR="00197F8E" w:rsidRPr="00197F8E">
        <w:rPr>
          <w:rFonts w:ascii="Times New Roman" w:hAnsi="Times New Roman" w:cs="Times New Roman"/>
          <w:i/>
        </w:rPr>
        <w:t>Radiocommunications (Trading Rules for Spectrum Licences) Amendment Determination 2020 (No. 1)</w:t>
      </w:r>
      <w:r w:rsidR="00197F8E">
        <w:rPr>
          <w:rFonts w:ascii="Times New Roman" w:hAnsi="Times New Roman" w:cs="Times New Roman"/>
          <w:iCs/>
        </w:rPr>
        <w:t>.</w:t>
      </w:r>
    </w:p>
    <w:p w14:paraId="5A4825F8" w14:textId="568BC9D3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1CE591DC" w14:textId="51BB29A7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</w:t>
      </w:r>
      <w:r w:rsidR="00197F8E" w:rsidRPr="00573253">
        <w:rPr>
          <w:rFonts w:ascii="Times New Roman" w:eastAsia="Times New Roman" w:hAnsi="Times New Roman" w:cs="Times New Roman"/>
          <w:color w:val="000000"/>
          <w:lang w:eastAsia="en-AU"/>
        </w:rPr>
        <w:t xml:space="preserve">Amendment Determination </w:t>
      </w:r>
      <w:r>
        <w:rPr>
          <w:rFonts w:ascii="Times New Roman" w:hAnsi="Times New Roman" w:cs="Times New Roman"/>
        </w:rPr>
        <w:t xml:space="preserve">to commence at the start of the day after the day it is registered on the Federal Register of Legislation.  </w:t>
      </w:r>
    </w:p>
    <w:p w14:paraId="2E195494" w14:textId="289F1484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Federal Register of Legislation may be accessed free of charge at </w:t>
      </w:r>
      <w:hyperlink r:id="rId12" w:history="1">
        <w:r w:rsidR="00A72849" w:rsidRPr="00E950D4">
          <w:rPr>
            <w:rStyle w:val="Hyperlink"/>
            <w:rFonts w:ascii="Times New Roman" w:hAnsi="Times New Roman" w:cs="Times New Roman"/>
          </w:rPr>
          <w:t>www.legislation.gov.au</w:t>
        </w:r>
      </w:hyperlink>
      <w:r>
        <w:rPr>
          <w:rFonts w:ascii="Times New Roman" w:hAnsi="Times New Roman" w:cs="Times New Roman"/>
        </w:rPr>
        <w:t>.</w:t>
      </w:r>
    </w:p>
    <w:p w14:paraId="1CCE7953" w14:textId="77777777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38112A89" w14:textId="1787274F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identifies the provision of the Act that authorises the making of the </w:t>
      </w:r>
      <w:r w:rsidR="00197F8E" w:rsidRPr="00573253">
        <w:rPr>
          <w:rFonts w:ascii="Times New Roman" w:eastAsia="Times New Roman" w:hAnsi="Times New Roman" w:cs="Times New Roman"/>
          <w:color w:val="000000"/>
          <w:lang w:eastAsia="en-AU"/>
        </w:rPr>
        <w:t>Amendment Determination</w:t>
      </w:r>
      <w:r>
        <w:rPr>
          <w:rFonts w:ascii="Times New Roman" w:hAnsi="Times New Roman" w:cs="Times New Roman"/>
        </w:rPr>
        <w:t xml:space="preserve">, namely </w:t>
      </w:r>
      <w:r w:rsidR="003463BA">
        <w:rPr>
          <w:rFonts w:ascii="Times New Roman" w:hAnsi="Times New Roman" w:cs="Times New Roman"/>
        </w:rPr>
        <w:t xml:space="preserve">section </w:t>
      </w:r>
      <w:r w:rsidR="00197F8E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of the </w:t>
      </w:r>
      <w:r w:rsidR="006F735C" w:rsidRPr="00C45DF3">
        <w:rPr>
          <w:rFonts w:ascii="Times New Roman" w:hAnsi="Times New Roman" w:cs="Times New Roman"/>
          <w:iCs/>
        </w:rPr>
        <w:t>Act</w:t>
      </w:r>
      <w:r>
        <w:rPr>
          <w:rFonts w:ascii="Times New Roman" w:hAnsi="Times New Roman" w:cs="Times New Roman"/>
        </w:rPr>
        <w:t>.</w:t>
      </w:r>
    </w:p>
    <w:p w14:paraId="092F5492" w14:textId="5A2FF72B" w:rsidR="004C58B9" w:rsidRDefault="004C58B9" w:rsidP="004C58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3463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ab/>
      </w:r>
      <w:r w:rsidR="00C436BC">
        <w:rPr>
          <w:rFonts w:ascii="Times New Roman" w:hAnsi="Times New Roman" w:cs="Times New Roman"/>
          <w:b/>
        </w:rPr>
        <w:t>Amendments</w:t>
      </w:r>
    </w:p>
    <w:p w14:paraId="68AF7EB4" w14:textId="255E765E" w:rsidR="00197F8E" w:rsidRDefault="00197F8E" w:rsidP="004C58B9">
      <w:pPr>
        <w:rPr>
          <w:rFonts w:ascii="Times New Roman" w:hAnsi="Times New Roman" w:cs="Times New Roman"/>
        </w:rPr>
      </w:pPr>
      <w:r w:rsidRPr="00197F8E">
        <w:rPr>
          <w:rFonts w:ascii="Times New Roman" w:hAnsi="Times New Roman" w:cs="Times New Roman"/>
        </w:rPr>
        <w:t xml:space="preserve">This section specifies that Schedule 1 amends the </w:t>
      </w:r>
      <w:r w:rsidRPr="00197F8E">
        <w:rPr>
          <w:rFonts w:ascii="Times New Roman" w:hAnsi="Times New Roman" w:cs="Times New Roman"/>
          <w:i/>
          <w:iCs/>
        </w:rPr>
        <w:t>Radiocommunications (Trading Rules for Spectrum Licences) Determination 2012</w:t>
      </w:r>
      <w:r>
        <w:rPr>
          <w:rFonts w:ascii="Times New Roman" w:hAnsi="Times New Roman" w:cs="Times New Roman"/>
        </w:rPr>
        <w:t>.</w:t>
      </w:r>
    </w:p>
    <w:p w14:paraId="3A754FB7" w14:textId="70EC7652" w:rsidR="00D23144" w:rsidRDefault="00D23144" w:rsidP="00D23144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Schedule 1</w:t>
      </w:r>
    </w:p>
    <w:p w14:paraId="5F52722C" w14:textId="411C5AC9" w:rsidR="00197F8E" w:rsidRDefault="00197F8E" w:rsidP="00D231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Pr="00197F8E">
        <w:rPr>
          <w:rFonts w:ascii="Times New Roman" w:hAnsi="Times New Roman" w:cs="Times New Roman"/>
          <w:bCs/>
        </w:rPr>
        <w:t xml:space="preserve">his Schedule sets out </w:t>
      </w:r>
      <w:r>
        <w:rPr>
          <w:rFonts w:ascii="Times New Roman" w:hAnsi="Times New Roman" w:cs="Times New Roman"/>
          <w:bCs/>
        </w:rPr>
        <w:t>one</w:t>
      </w:r>
      <w:r w:rsidRPr="00197F8E">
        <w:rPr>
          <w:rFonts w:ascii="Times New Roman" w:hAnsi="Times New Roman" w:cs="Times New Roman"/>
          <w:bCs/>
        </w:rPr>
        <w:t xml:space="preserve"> amendment to the</w:t>
      </w:r>
      <w:r w:rsidR="006F735C">
        <w:rPr>
          <w:rFonts w:ascii="Times New Roman" w:hAnsi="Times New Roman" w:cs="Times New Roman"/>
          <w:bCs/>
        </w:rPr>
        <w:t xml:space="preserve"> Determination</w:t>
      </w:r>
      <w:r>
        <w:rPr>
          <w:rFonts w:ascii="Times New Roman" w:hAnsi="Times New Roman" w:cs="Times New Roman"/>
          <w:bCs/>
        </w:rPr>
        <w:t xml:space="preserve">, to set the MCB at 50 MHz </w:t>
      </w:r>
      <w:r w:rsidR="006F735C">
        <w:rPr>
          <w:rFonts w:ascii="Times New Roman" w:hAnsi="Times New Roman" w:cs="Times New Roman"/>
          <w:bCs/>
        </w:rPr>
        <w:t>for spectrum licences</w:t>
      </w:r>
      <w:r w:rsidR="001221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 the 26 GHz band</w:t>
      </w:r>
      <w:r w:rsidRPr="00197F8E">
        <w:rPr>
          <w:rFonts w:ascii="Times New Roman" w:hAnsi="Times New Roman" w:cs="Times New Roman"/>
          <w:bCs/>
        </w:rPr>
        <w:t>.</w:t>
      </w:r>
    </w:p>
    <w:p w14:paraId="5823D906" w14:textId="32F75516" w:rsidR="00197F8E" w:rsidRDefault="00197F8E" w:rsidP="00D23144">
      <w:pPr>
        <w:rPr>
          <w:rFonts w:ascii="Times New Roman" w:hAnsi="Times New Roman" w:cs="Times New Roman"/>
          <w:bCs/>
        </w:rPr>
      </w:pPr>
    </w:p>
    <w:sectPr w:rsidR="00197F8E" w:rsidSect="0008235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37E4E" w14:textId="77777777" w:rsidR="00BD13A7" w:rsidRDefault="00BD13A7" w:rsidP="00025ACE">
      <w:pPr>
        <w:spacing w:after="0" w:line="240" w:lineRule="auto"/>
      </w:pPr>
      <w:r>
        <w:separator/>
      </w:r>
    </w:p>
  </w:endnote>
  <w:endnote w:type="continuationSeparator" w:id="0">
    <w:p w14:paraId="68425C99" w14:textId="77777777" w:rsidR="00BD13A7" w:rsidRDefault="00BD13A7" w:rsidP="00025ACE">
      <w:pPr>
        <w:spacing w:after="0" w:line="240" w:lineRule="auto"/>
      </w:pPr>
      <w:r>
        <w:continuationSeparator/>
      </w:r>
    </w:p>
  </w:endnote>
  <w:endnote w:type="continuationNotice" w:id="1">
    <w:p w14:paraId="48DCB7AB" w14:textId="77777777" w:rsidR="00BD13A7" w:rsidRDefault="00BD1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9F4252" w:rsidRDefault="009F4252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179A5E1F" w:rsidR="009F4252" w:rsidRPr="00C436BC" w:rsidRDefault="009F4252" w:rsidP="00AD3414">
        <w:pPr>
          <w:pStyle w:val="Footer"/>
          <w:jc w:val="center"/>
          <w:rPr>
            <w:rFonts w:ascii="Times New Roman" w:hAnsi="Times New Roman" w:cs="Times New Roman"/>
            <w:i/>
          </w:rPr>
        </w:pPr>
        <w:r w:rsidRPr="00AD3414">
          <w:rPr>
            <w:rFonts w:ascii="Times New Roman" w:hAnsi="Times New Roman" w:cs="Times New Roman"/>
            <w:i/>
          </w:rPr>
          <w:t xml:space="preserve">Explanatory Statement to </w:t>
        </w:r>
        <w:r w:rsidRPr="00C436BC">
          <w:rPr>
            <w:rFonts w:ascii="Times New Roman" w:hAnsi="Times New Roman" w:cs="Times New Roman"/>
            <w:i/>
          </w:rPr>
          <w:t>the Radiocommunications (Trading Rules for Spectrum Licences) Amendment Determination 2020 (No. 1)</w:t>
        </w:r>
      </w:p>
      <w:p w14:paraId="556B0C98" w14:textId="77777777" w:rsidR="009F4252" w:rsidRDefault="009F4252">
        <w:pPr>
          <w:pStyle w:val="Footer"/>
          <w:jc w:val="right"/>
        </w:pPr>
      </w:p>
      <w:p w14:paraId="4E36910F" w14:textId="06CF02C2" w:rsidR="009F4252" w:rsidRPr="00AD3414" w:rsidRDefault="009F4252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9F4252" w:rsidRPr="00AD3414" w:rsidRDefault="009F4252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619A" w14:textId="77777777" w:rsidR="00BD13A7" w:rsidRDefault="00BD13A7" w:rsidP="00025ACE">
      <w:pPr>
        <w:spacing w:after="0" w:line="240" w:lineRule="auto"/>
      </w:pPr>
      <w:r>
        <w:separator/>
      </w:r>
    </w:p>
    <w:p w14:paraId="4ACB15BB" w14:textId="77777777" w:rsidR="00BD13A7" w:rsidRDefault="00BD13A7"/>
    <w:p w14:paraId="6C0D7708" w14:textId="77777777" w:rsidR="00BD13A7" w:rsidRDefault="00BD13A7" w:rsidP="00025ACE">
      <w:pPr>
        <w:spacing w:after="0" w:line="240" w:lineRule="auto"/>
      </w:pPr>
      <w:r>
        <w:continuationSeparator/>
      </w:r>
    </w:p>
    <w:p w14:paraId="5B9C4E6A" w14:textId="77777777" w:rsidR="00BD13A7" w:rsidRDefault="00BD13A7"/>
    <w:p w14:paraId="1679108D" w14:textId="77777777" w:rsidR="00BD13A7" w:rsidRDefault="00BD13A7" w:rsidP="00025ACE">
      <w:pPr>
        <w:spacing w:after="0" w:line="240" w:lineRule="auto"/>
      </w:pPr>
      <w:r>
        <w:separator/>
      </w:r>
    </w:p>
    <w:p w14:paraId="3D7CB51C" w14:textId="77777777" w:rsidR="00BD13A7" w:rsidRDefault="00BD13A7"/>
    <w:p w14:paraId="743CBC60" w14:textId="77777777" w:rsidR="00BD13A7" w:rsidRDefault="00BD13A7" w:rsidP="00025ACE">
      <w:pPr>
        <w:spacing w:after="0" w:line="240" w:lineRule="auto"/>
      </w:pPr>
      <w:r>
        <w:continuationSeparator/>
      </w:r>
    </w:p>
    <w:p w14:paraId="59139A79" w14:textId="77777777" w:rsidR="00BD13A7" w:rsidRDefault="00BD13A7"/>
    <w:p w14:paraId="6019E780" w14:textId="77777777" w:rsidR="00BD13A7" w:rsidRDefault="00BD13A7">
      <w:pPr>
        <w:pStyle w:val="Header"/>
      </w:pPr>
    </w:p>
    <w:p w14:paraId="5CD307A5" w14:textId="77777777" w:rsidR="00BD13A7" w:rsidRDefault="00BD13A7"/>
    <w:p w14:paraId="26D91F3B" w14:textId="77777777" w:rsidR="00BD13A7" w:rsidRDefault="00BD13A7">
      <w:pPr>
        <w:pStyle w:val="Header"/>
      </w:pPr>
    </w:p>
    <w:p w14:paraId="728FEF8D" w14:textId="77777777" w:rsidR="00BD13A7" w:rsidRPr="00AD3414" w:rsidRDefault="00BD13A7">
      <w:pPr>
        <w:pStyle w:val="Header"/>
        <w:rPr>
          <w:rFonts w:ascii="Times New Roman" w:hAnsi="Times New Roman" w:cs="Times New Roman"/>
        </w:rPr>
      </w:pPr>
    </w:p>
    <w:p w14:paraId="16E5DB40" w14:textId="77777777" w:rsidR="00BD13A7" w:rsidRDefault="00BD13A7"/>
    <w:p w14:paraId="0B18F6CD" w14:textId="77777777" w:rsidR="00BD13A7" w:rsidRDefault="00BD13A7">
      <w:pPr>
        <w:pStyle w:val="Footer"/>
      </w:pPr>
    </w:p>
    <w:p w14:paraId="57C0D410" w14:textId="77777777" w:rsidR="00BD13A7" w:rsidRDefault="00BD13A7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1B944F7E" w14:textId="77777777" w:rsidR="00BD13A7" w:rsidRDefault="00BD13A7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23BA5AE9" w14:textId="77777777" w:rsidR="00BD13A7" w:rsidRPr="00AD3414" w:rsidRDefault="00BD13A7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</w:rPr>
            <w:t>Radiocommunicaitons</w:t>
          </w:r>
          <w:proofErr w:type="spellEnd"/>
          <w:r>
            <w:rPr>
              <w:rFonts w:ascii="Times New Roman" w:hAnsi="Times New Roman" w:cs="Times New Roman"/>
              <w:i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</w:rPr>
            <w:t>Unacceptable</w:t>
          </w:r>
          <w:r w:rsidRPr="00AD3414">
            <w:rPr>
              <w:rFonts w:ascii="Times New Roman" w:hAnsi="Times New Roman" w:cs="Times New Roman"/>
              <w:i/>
            </w:rPr>
            <w:t>Title</w:t>
          </w:r>
          <w:proofErr w:type="spellEnd"/>
          <w:r w:rsidRPr="00AD3414">
            <w:rPr>
              <w:rFonts w:ascii="Times New Roman" w:hAnsi="Times New Roman" w:cs="Times New Roman"/>
              <w:i/>
            </w:rPr>
            <w:t xml:space="preserve"> of instrument, including year of making]</w:t>
          </w:r>
        </w:p>
        <w:p w14:paraId="3F3E50B8" w14:textId="77777777" w:rsidR="00BD13A7" w:rsidRDefault="00BD13A7">
          <w:pPr>
            <w:pStyle w:val="Footer"/>
            <w:jc w:val="right"/>
          </w:pPr>
        </w:p>
        <w:p w14:paraId="54AB85E6" w14:textId="77777777" w:rsidR="00BD13A7" w:rsidRPr="00AD3414" w:rsidRDefault="00BD13A7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533CA757" w14:textId="77777777" w:rsidR="00BD13A7" w:rsidRPr="00AD3414" w:rsidRDefault="00BD13A7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04D6EBF6" w14:textId="77777777" w:rsidR="00BD13A7" w:rsidRDefault="00BD13A7" w:rsidP="00025ACE">
      <w:pPr>
        <w:spacing w:after="0" w:line="240" w:lineRule="auto"/>
      </w:pPr>
      <w:r>
        <w:continuationSeparator/>
      </w:r>
    </w:p>
  </w:footnote>
  <w:footnote w:type="continuationNotice" w:id="1">
    <w:p w14:paraId="26C30C83" w14:textId="77777777" w:rsidR="00BD13A7" w:rsidRDefault="00BD1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4CED" w14:textId="77777777" w:rsidR="009F4252" w:rsidRDefault="009F4252">
    <w:pPr>
      <w:pStyle w:val="Header"/>
    </w:pPr>
  </w:p>
  <w:p w14:paraId="1FE48E17" w14:textId="77777777" w:rsidR="009F4252" w:rsidRPr="00AD3414" w:rsidRDefault="009F425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4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0"/>
  </w:num>
  <w:num w:numId="22">
    <w:abstractNumId w:val="8"/>
  </w:num>
  <w:num w:numId="23">
    <w:abstractNumId w:val="1"/>
  </w:num>
  <w:num w:numId="24">
    <w:abstractNumId w:val="12"/>
  </w:num>
  <w:num w:numId="25">
    <w:abstractNumId w:val="11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79"/>
    <w:rsid w:val="00002640"/>
    <w:rsid w:val="00003720"/>
    <w:rsid w:val="000124F9"/>
    <w:rsid w:val="00013079"/>
    <w:rsid w:val="000256ED"/>
    <w:rsid w:val="00025ACE"/>
    <w:rsid w:val="00030D1C"/>
    <w:rsid w:val="00030F14"/>
    <w:rsid w:val="00037F0E"/>
    <w:rsid w:val="00045B15"/>
    <w:rsid w:val="00064C6B"/>
    <w:rsid w:val="00070D91"/>
    <w:rsid w:val="000726C7"/>
    <w:rsid w:val="00074A8D"/>
    <w:rsid w:val="00076879"/>
    <w:rsid w:val="00082354"/>
    <w:rsid w:val="000850C5"/>
    <w:rsid w:val="00085AD8"/>
    <w:rsid w:val="00095AB3"/>
    <w:rsid w:val="000A3A94"/>
    <w:rsid w:val="000B0BA7"/>
    <w:rsid w:val="000B33B6"/>
    <w:rsid w:val="000B4B6C"/>
    <w:rsid w:val="000B540E"/>
    <w:rsid w:val="000C6436"/>
    <w:rsid w:val="000D4ECE"/>
    <w:rsid w:val="000D77F6"/>
    <w:rsid w:val="000E38C9"/>
    <w:rsid w:val="000E6F58"/>
    <w:rsid w:val="000F5275"/>
    <w:rsid w:val="000F6255"/>
    <w:rsid w:val="000F6E3F"/>
    <w:rsid w:val="00104130"/>
    <w:rsid w:val="00112987"/>
    <w:rsid w:val="0011398E"/>
    <w:rsid w:val="00117351"/>
    <w:rsid w:val="00121B9E"/>
    <w:rsid w:val="00122072"/>
    <w:rsid w:val="001221B0"/>
    <w:rsid w:val="00134705"/>
    <w:rsid w:val="00146A0C"/>
    <w:rsid w:val="00155FF9"/>
    <w:rsid w:val="00157528"/>
    <w:rsid w:val="00161C73"/>
    <w:rsid w:val="00174EAF"/>
    <w:rsid w:val="00185BDC"/>
    <w:rsid w:val="00197F8E"/>
    <w:rsid w:val="001B2DAA"/>
    <w:rsid w:val="001C4BF8"/>
    <w:rsid w:val="001C5421"/>
    <w:rsid w:val="001D5C25"/>
    <w:rsid w:val="001E1172"/>
    <w:rsid w:val="001E343E"/>
    <w:rsid w:val="001E6781"/>
    <w:rsid w:val="002031CF"/>
    <w:rsid w:val="00212847"/>
    <w:rsid w:val="00223D30"/>
    <w:rsid w:val="002328C7"/>
    <w:rsid w:val="00246EE2"/>
    <w:rsid w:val="002508F7"/>
    <w:rsid w:val="00256B0C"/>
    <w:rsid w:val="0025768D"/>
    <w:rsid w:val="002674E7"/>
    <w:rsid w:val="0029763A"/>
    <w:rsid w:val="002A5F7E"/>
    <w:rsid w:val="002B6344"/>
    <w:rsid w:val="002B6699"/>
    <w:rsid w:val="002C2256"/>
    <w:rsid w:val="002D040C"/>
    <w:rsid w:val="002E3B2A"/>
    <w:rsid w:val="002F36E0"/>
    <w:rsid w:val="00303F15"/>
    <w:rsid w:val="00336BB1"/>
    <w:rsid w:val="00341EEB"/>
    <w:rsid w:val="003434D4"/>
    <w:rsid w:val="003463BA"/>
    <w:rsid w:val="00352A2F"/>
    <w:rsid w:val="0036752E"/>
    <w:rsid w:val="00370620"/>
    <w:rsid w:val="00375FA7"/>
    <w:rsid w:val="00385EF1"/>
    <w:rsid w:val="003A3635"/>
    <w:rsid w:val="003A7407"/>
    <w:rsid w:val="003B3D92"/>
    <w:rsid w:val="003C2F82"/>
    <w:rsid w:val="003C44B4"/>
    <w:rsid w:val="003D23F8"/>
    <w:rsid w:val="003D48C6"/>
    <w:rsid w:val="003D5638"/>
    <w:rsid w:val="003D74BE"/>
    <w:rsid w:val="003F68F8"/>
    <w:rsid w:val="0041003E"/>
    <w:rsid w:val="00412326"/>
    <w:rsid w:val="00421632"/>
    <w:rsid w:val="00422EA0"/>
    <w:rsid w:val="0043037A"/>
    <w:rsid w:val="00431C8C"/>
    <w:rsid w:val="004362E3"/>
    <w:rsid w:val="00446CB7"/>
    <w:rsid w:val="00450F48"/>
    <w:rsid w:val="0045489F"/>
    <w:rsid w:val="00474889"/>
    <w:rsid w:val="004826DD"/>
    <w:rsid w:val="004971D6"/>
    <w:rsid w:val="004A1064"/>
    <w:rsid w:val="004A21BE"/>
    <w:rsid w:val="004B7207"/>
    <w:rsid w:val="004C25B9"/>
    <w:rsid w:val="004C3DBD"/>
    <w:rsid w:val="004C46F8"/>
    <w:rsid w:val="004C58B9"/>
    <w:rsid w:val="004C6D9E"/>
    <w:rsid w:val="004D2843"/>
    <w:rsid w:val="004E790E"/>
    <w:rsid w:val="004F1D39"/>
    <w:rsid w:val="004F5CC1"/>
    <w:rsid w:val="0050389F"/>
    <w:rsid w:val="00504F25"/>
    <w:rsid w:val="005075D3"/>
    <w:rsid w:val="0052687A"/>
    <w:rsid w:val="00533A1E"/>
    <w:rsid w:val="00565555"/>
    <w:rsid w:val="005708FF"/>
    <w:rsid w:val="00570974"/>
    <w:rsid w:val="00571505"/>
    <w:rsid w:val="00573253"/>
    <w:rsid w:val="0057545F"/>
    <w:rsid w:val="00585F58"/>
    <w:rsid w:val="005958D6"/>
    <w:rsid w:val="005964CF"/>
    <w:rsid w:val="005A490D"/>
    <w:rsid w:val="005A5624"/>
    <w:rsid w:val="005C65EB"/>
    <w:rsid w:val="005F5BE6"/>
    <w:rsid w:val="00603B3F"/>
    <w:rsid w:val="00610643"/>
    <w:rsid w:val="006212E4"/>
    <w:rsid w:val="00621840"/>
    <w:rsid w:val="006311D7"/>
    <w:rsid w:val="00641906"/>
    <w:rsid w:val="00663AF2"/>
    <w:rsid w:val="00664519"/>
    <w:rsid w:val="00670716"/>
    <w:rsid w:val="00671216"/>
    <w:rsid w:val="00681986"/>
    <w:rsid w:val="0068444F"/>
    <w:rsid w:val="0068574A"/>
    <w:rsid w:val="00686F06"/>
    <w:rsid w:val="00687290"/>
    <w:rsid w:val="006940DB"/>
    <w:rsid w:val="00696659"/>
    <w:rsid w:val="006A0BDF"/>
    <w:rsid w:val="006A53BB"/>
    <w:rsid w:val="006B7966"/>
    <w:rsid w:val="006C59D5"/>
    <w:rsid w:val="006F32BF"/>
    <w:rsid w:val="006F68D2"/>
    <w:rsid w:val="006F735C"/>
    <w:rsid w:val="00706F43"/>
    <w:rsid w:val="007119EA"/>
    <w:rsid w:val="00713A96"/>
    <w:rsid w:val="007265D2"/>
    <w:rsid w:val="00727834"/>
    <w:rsid w:val="00727FA5"/>
    <w:rsid w:val="0074661C"/>
    <w:rsid w:val="00750397"/>
    <w:rsid w:val="00751407"/>
    <w:rsid w:val="00753254"/>
    <w:rsid w:val="007564CC"/>
    <w:rsid w:val="00766475"/>
    <w:rsid w:val="0077364D"/>
    <w:rsid w:val="00794C5F"/>
    <w:rsid w:val="007A0103"/>
    <w:rsid w:val="007A2277"/>
    <w:rsid w:val="007A7876"/>
    <w:rsid w:val="007B57FE"/>
    <w:rsid w:val="007E1EC0"/>
    <w:rsid w:val="007E41F5"/>
    <w:rsid w:val="007F2F5E"/>
    <w:rsid w:val="00805358"/>
    <w:rsid w:val="008070A8"/>
    <w:rsid w:val="00810499"/>
    <w:rsid w:val="008111E6"/>
    <w:rsid w:val="0081166D"/>
    <w:rsid w:val="0081203C"/>
    <w:rsid w:val="00815D94"/>
    <w:rsid w:val="00821822"/>
    <w:rsid w:val="00821F3F"/>
    <w:rsid w:val="00824016"/>
    <w:rsid w:val="00830B25"/>
    <w:rsid w:val="008441CF"/>
    <w:rsid w:val="0084456C"/>
    <w:rsid w:val="0084470A"/>
    <w:rsid w:val="008610BF"/>
    <w:rsid w:val="00870F3F"/>
    <w:rsid w:val="0087707C"/>
    <w:rsid w:val="00881409"/>
    <w:rsid w:val="008976BB"/>
    <w:rsid w:val="008A1FDF"/>
    <w:rsid w:val="008A2AAB"/>
    <w:rsid w:val="008A6361"/>
    <w:rsid w:val="008C4140"/>
    <w:rsid w:val="008C584E"/>
    <w:rsid w:val="008E3483"/>
    <w:rsid w:val="008E3778"/>
    <w:rsid w:val="008F4C58"/>
    <w:rsid w:val="0090572C"/>
    <w:rsid w:val="0091080B"/>
    <w:rsid w:val="00926833"/>
    <w:rsid w:val="009278D1"/>
    <w:rsid w:val="0093526A"/>
    <w:rsid w:val="0094668A"/>
    <w:rsid w:val="009653D4"/>
    <w:rsid w:val="009670B7"/>
    <w:rsid w:val="009723D1"/>
    <w:rsid w:val="009732C1"/>
    <w:rsid w:val="00977705"/>
    <w:rsid w:val="009A7733"/>
    <w:rsid w:val="009B49E6"/>
    <w:rsid w:val="009C00CA"/>
    <w:rsid w:val="009C094D"/>
    <w:rsid w:val="009D1563"/>
    <w:rsid w:val="009D228C"/>
    <w:rsid w:val="009D5783"/>
    <w:rsid w:val="009D67A8"/>
    <w:rsid w:val="009E0F03"/>
    <w:rsid w:val="009E66DB"/>
    <w:rsid w:val="009F3B3B"/>
    <w:rsid w:val="009F4252"/>
    <w:rsid w:val="009F7219"/>
    <w:rsid w:val="00A07A2F"/>
    <w:rsid w:val="00A213A8"/>
    <w:rsid w:val="00A21F3E"/>
    <w:rsid w:val="00A23E96"/>
    <w:rsid w:val="00A34402"/>
    <w:rsid w:val="00A64EC4"/>
    <w:rsid w:val="00A7023B"/>
    <w:rsid w:val="00A726C6"/>
    <w:rsid w:val="00A72849"/>
    <w:rsid w:val="00A731F8"/>
    <w:rsid w:val="00A73FD8"/>
    <w:rsid w:val="00A7426B"/>
    <w:rsid w:val="00A83477"/>
    <w:rsid w:val="00A8752D"/>
    <w:rsid w:val="00A903B4"/>
    <w:rsid w:val="00A91EA7"/>
    <w:rsid w:val="00AA39D4"/>
    <w:rsid w:val="00AA6088"/>
    <w:rsid w:val="00AB57DA"/>
    <w:rsid w:val="00AB64E2"/>
    <w:rsid w:val="00AB65E7"/>
    <w:rsid w:val="00AC533E"/>
    <w:rsid w:val="00AD3414"/>
    <w:rsid w:val="00AD500F"/>
    <w:rsid w:val="00AD62CA"/>
    <w:rsid w:val="00AD7E74"/>
    <w:rsid w:val="00AE1ACC"/>
    <w:rsid w:val="00AE2CB4"/>
    <w:rsid w:val="00AE6898"/>
    <w:rsid w:val="00AE7C15"/>
    <w:rsid w:val="00AF080D"/>
    <w:rsid w:val="00AF6545"/>
    <w:rsid w:val="00B00FC3"/>
    <w:rsid w:val="00B110A2"/>
    <w:rsid w:val="00B125C6"/>
    <w:rsid w:val="00B414E8"/>
    <w:rsid w:val="00B52584"/>
    <w:rsid w:val="00B52F5E"/>
    <w:rsid w:val="00B665E6"/>
    <w:rsid w:val="00B727F3"/>
    <w:rsid w:val="00B82DD5"/>
    <w:rsid w:val="00B848F1"/>
    <w:rsid w:val="00B8579C"/>
    <w:rsid w:val="00B90F17"/>
    <w:rsid w:val="00B92A7B"/>
    <w:rsid w:val="00B94B30"/>
    <w:rsid w:val="00BA7D17"/>
    <w:rsid w:val="00BB076E"/>
    <w:rsid w:val="00BB1CF2"/>
    <w:rsid w:val="00BB7A25"/>
    <w:rsid w:val="00BC0A3C"/>
    <w:rsid w:val="00BC5916"/>
    <w:rsid w:val="00BC621F"/>
    <w:rsid w:val="00BC66A2"/>
    <w:rsid w:val="00BD059D"/>
    <w:rsid w:val="00BD13A7"/>
    <w:rsid w:val="00C016EF"/>
    <w:rsid w:val="00C032F0"/>
    <w:rsid w:val="00C03503"/>
    <w:rsid w:val="00C10E3A"/>
    <w:rsid w:val="00C114C5"/>
    <w:rsid w:val="00C14388"/>
    <w:rsid w:val="00C20621"/>
    <w:rsid w:val="00C21933"/>
    <w:rsid w:val="00C341AA"/>
    <w:rsid w:val="00C436BC"/>
    <w:rsid w:val="00C44500"/>
    <w:rsid w:val="00C45DF3"/>
    <w:rsid w:val="00C52681"/>
    <w:rsid w:val="00C55B87"/>
    <w:rsid w:val="00C577F4"/>
    <w:rsid w:val="00C57E29"/>
    <w:rsid w:val="00C627BB"/>
    <w:rsid w:val="00C63E8C"/>
    <w:rsid w:val="00C659A7"/>
    <w:rsid w:val="00C76FFC"/>
    <w:rsid w:val="00C87F05"/>
    <w:rsid w:val="00C9259F"/>
    <w:rsid w:val="00CA3398"/>
    <w:rsid w:val="00CA40FA"/>
    <w:rsid w:val="00CA6926"/>
    <w:rsid w:val="00CA735C"/>
    <w:rsid w:val="00CA7E4C"/>
    <w:rsid w:val="00CB3AD5"/>
    <w:rsid w:val="00CD0D86"/>
    <w:rsid w:val="00CD71EB"/>
    <w:rsid w:val="00CE1507"/>
    <w:rsid w:val="00CE3CC8"/>
    <w:rsid w:val="00CE5861"/>
    <w:rsid w:val="00D13D39"/>
    <w:rsid w:val="00D23144"/>
    <w:rsid w:val="00D23BD5"/>
    <w:rsid w:val="00D2518B"/>
    <w:rsid w:val="00D32E4E"/>
    <w:rsid w:val="00D35790"/>
    <w:rsid w:val="00D5385A"/>
    <w:rsid w:val="00D57387"/>
    <w:rsid w:val="00D83B0D"/>
    <w:rsid w:val="00D91C89"/>
    <w:rsid w:val="00D9569A"/>
    <w:rsid w:val="00DA0D39"/>
    <w:rsid w:val="00DA57FE"/>
    <w:rsid w:val="00DB4A50"/>
    <w:rsid w:val="00DF2758"/>
    <w:rsid w:val="00E13030"/>
    <w:rsid w:val="00E157CE"/>
    <w:rsid w:val="00E20311"/>
    <w:rsid w:val="00E25ED1"/>
    <w:rsid w:val="00E7547A"/>
    <w:rsid w:val="00E833DA"/>
    <w:rsid w:val="00EB0C79"/>
    <w:rsid w:val="00EC2B08"/>
    <w:rsid w:val="00EC54C3"/>
    <w:rsid w:val="00EC6969"/>
    <w:rsid w:val="00EC76A0"/>
    <w:rsid w:val="00EE5E7F"/>
    <w:rsid w:val="00EF343B"/>
    <w:rsid w:val="00F33BD8"/>
    <w:rsid w:val="00F406BB"/>
    <w:rsid w:val="00F4414D"/>
    <w:rsid w:val="00F449ED"/>
    <w:rsid w:val="00F57CB2"/>
    <w:rsid w:val="00F675AA"/>
    <w:rsid w:val="00F76781"/>
    <w:rsid w:val="00F76815"/>
    <w:rsid w:val="00F923E0"/>
    <w:rsid w:val="00FB4437"/>
    <w:rsid w:val="00FB6E15"/>
    <w:rsid w:val="00FC0BF3"/>
    <w:rsid w:val="00FC500E"/>
    <w:rsid w:val="00FC67DA"/>
    <w:rsid w:val="00FD2115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3NE2HDV7HD6D-70903741-994</_dlc_DocId>
    <_dlc_DocIdUrl xmlns="1d983eb4-33f7-44b0-aea1-cbdcf0c55136">
      <Url>http://collaboration/organisation/cid/RPB/MSAS/lib/_layouts/15/DocIdRedir.aspx?ID=3NE2HDV7HD6D-70903741-994</Url>
      <Description>3NE2HDV7HD6D-70903741-994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D7C3A4BEB94F9571DF6E5B214B49" ma:contentTypeVersion="0" ma:contentTypeDescription="Create a new document." ma:contentTypeScope="" ma:versionID="8b27767b1fac1ff08ad1ca28d0bf7f85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2597A-AE12-4056-AC1D-F757ED4E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A20D3-5249-4064-B676-33B74048141D}">
  <ds:schemaRefs>
    <ds:schemaRef ds:uri="http://purl.org/dc/terms/"/>
    <ds:schemaRef ds:uri="1d983eb4-33f7-44b0-aea1-cbdcf0c551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B91DE-E051-4D7D-BB60-7AD1530457E9}"/>
</file>

<file path=customXml/itemProps5.xml><?xml version="1.0" encoding="utf-8"?>
<ds:datastoreItem xmlns:ds="http://schemas.openxmlformats.org/officeDocument/2006/customXml" ds:itemID="{EF9EFC6C-BADE-47CF-992C-88C678F4E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Daniel Gocentas</cp:lastModifiedBy>
  <cp:revision>2</cp:revision>
  <cp:lastPrinted>2016-07-25T00:08:00Z</cp:lastPrinted>
  <dcterms:created xsi:type="dcterms:W3CDTF">2020-10-27T04:13:00Z</dcterms:created>
  <dcterms:modified xsi:type="dcterms:W3CDTF">2020-10-27T04:13:00Z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0x010100F087D7C3A4BEB94F9571DF6E5B214B49</vt:lpwstr>
  </property>
  <property fmtid="{D5CDD505-2E9C-101B-9397-08002B2CF9AE}" pid="3" name="_dlc_DocIdItemGuid">
    <vt:lpwstr>7e0b4cf0-cae8-4558-9e27-78f0398e6f04</vt:lpwstr>
  </property>
</Properties>
</file>