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4C3AE" w14:textId="77777777" w:rsidR="00AC3E35" w:rsidRPr="00022101" w:rsidRDefault="009F4385" w:rsidP="009F4385">
      <w:pPr>
        <w:jc w:val="center"/>
        <w:rPr>
          <w:rFonts w:ascii="Times New Roman" w:hAnsi="Times New Roman" w:cs="Times New Roman"/>
          <w:b/>
        </w:rPr>
      </w:pPr>
      <w:r w:rsidRPr="00022101">
        <w:rPr>
          <w:rFonts w:ascii="Times New Roman" w:hAnsi="Times New Roman" w:cs="Times New Roman"/>
          <w:b/>
        </w:rPr>
        <w:t>EXPLANATORY STATEMENT</w:t>
      </w:r>
    </w:p>
    <w:p w14:paraId="3423A3C2" w14:textId="77777777" w:rsidR="009F4385" w:rsidRPr="00152B44" w:rsidRDefault="009F4385" w:rsidP="00022101">
      <w:pPr>
        <w:jc w:val="center"/>
        <w:rPr>
          <w:rFonts w:ascii="Times New Roman" w:hAnsi="Times New Roman" w:cs="Times New Roman"/>
          <w:i/>
        </w:rPr>
      </w:pPr>
      <w:r w:rsidRPr="00152B44">
        <w:rPr>
          <w:rFonts w:ascii="Times New Roman" w:hAnsi="Times New Roman" w:cs="Times New Roman"/>
          <w:i/>
        </w:rPr>
        <w:t>Consumer Goods (Cosmetics) Information Standard 2020</w:t>
      </w:r>
    </w:p>
    <w:p w14:paraId="564E1022" w14:textId="77777777" w:rsidR="008F7027" w:rsidRPr="008F7027" w:rsidRDefault="008F7027" w:rsidP="008F7027">
      <w:pPr>
        <w:rPr>
          <w:rFonts w:ascii="Times New Roman" w:hAnsi="Times New Roman" w:cs="Times New Roman"/>
          <w:b/>
        </w:rPr>
      </w:pPr>
      <w:r>
        <w:rPr>
          <w:rFonts w:ascii="Times New Roman" w:hAnsi="Times New Roman" w:cs="Times New Roman"/>
          <w:b/>
        </w:rPr>
        <w:t>Overview</w:t>
      </w:r>
    </w:p>
    <w:p w14:paraId="0BCDCD35" w14:textId="77777777" w:rsidR="00022101" w:rsidRPr="00022101" w:rsidRDefault="00022101" w:rsidP="00022101">
      <w:pPr>
        <w:rPr>
          <w:rFonts w:ascii="Times New Roman" w:hAnsi="Times New Roman" w:cs="Times New Roman"/>
        </w:rPr>
      </w:pPr>
      <w:r w:rsidRPr="00022101">
        <w:rPr>
          <w:rFonts w:ascii="Times New Roman" w:hAnsi="Times New Roman" w:cs="Times New Roman"/>
        </w:rPr>
        <w:t xml:space="preserve">The Minister for Housing and Assistant Treasurer (the Minister) has made the </w:t>
      </w:r>
      <w:r w:rsidRPr="007B1A7D">
        <w:rPr>
          <w:rFonts w:ascii="Times New Roman" w:hAnsi="Times New Roman" w:cs="Times New Roman"/>
          <w:i/>
        </w:rPr>
        <w:t>Consumer Goods (Cosmetics) Information Standard 2020</w:t>
      </w:r>
      <w:r w:rsidRPr="00022101">
        <w:rPr>
          <w:rFonts w:ascii="Times New Roman" w:hAnsi="Times New Roman" w:cs="Times New Roman"/>
        </w:rPr>
        <w:t xml:space="preserve"> (the </w:t>
      </w:r>
      <w:r w:rsidRPr="005F4124">
        <w:rPr>
          <w:rFonts w:ascii="Times New Roman" w:hAnsi="Times New Roman" w:cs="Times New Roman"/>
          <w:b/>
        </w:rPr>
        <w:t>new information standard</w:t>
      </w:r>
      <w:r w:rsidRPr="00022101">
        <w:rPr>
          <w:rFonts w:ascii="Times New Roman" w:hAnsi="Times New Roman" w:cs="Times New Roman"/>
        </w:rPr>
        <w:t xml:space="preserve">), pursuant to section </w:t>
      </w:r>
      <w:r>
        <w:rPr>
          <w:rFonts w:ascii="Times New Roman" w:hAnsi="Times New Roman" w:cs="Times New Roman"/>
        </w:rPr>
        <w:t>134</w:t>
      </w:r>
      <w:r w:rsidRPr="00022101">
        <w:rPr>
          <w:rFonts w:ascii="Times New Roman" w:hAnsi="Times New Roman" w:cs="Times New Roman"/>
        </w:rPr>
        <w:t xml:space="preserve"> of the Australian Consumer Law, which is Schedule 2 of the Competition and Consumer Act 2010 (Cth).</w:t>
      </w:r>
    </w:p>
    <w:p w14:paraId="71463076" w14:textId="27713EB8" w:rsidR="008F7027" w:rsidRDefault="00022101" w:rsidP="008F7027">
      <w:pPr>
        <w:rPr>
          <w:rFonts w:ascii="Times New Roman" w:hAnsi="Times New Roman" w:cs="Times New Roman"/>
        </w:rPr>
      </w:pPr>
      <w:r w:rsidRPr="00022101">
        <w:rPr>
          <w:rFonts w:ascii="Times New Roman" w:hAnsi="Times New Roman" w:cs="Times New Roman"/>
        </w:rPr>
        <w:t xml:space="preserve">The Australian Government introduced the </w:t>
      </w:r>
      <w:r w:rsidR="00A76E1F" w:rsidRPr="007B1A7D">
        <w:rPr>
          <w:rFonts w:ascii="Times New Roman" w:hAnsi="Times New Roman" w:cs="Times New Roman"/>
          <w:i/>
        </w:rPr>
        <w:t>Trade Practices (Consumer Product Information Standards) (Cosmetics) Regulations 1991</w:t>
      </w:r>
      <w:r>
        <w:rPr>
          <w:rFonts w:ascii="Times New Roman" w:hAnsi="Times New Roman" w:cs="Times New Roman"/>
        </w:rPr>
        <w:t xml:space="preserve"> </w:t>
      </w:r>
      <w:r w:rsidRPr="00022101">
        <w:rPr>
          <w:rFonts w:ascii="Times New Roman" w:hAnsi="Times New Roman" w:cs="Times New Roman"/>
        </w:rPr>
        <w:t xml:space="preserve">(the </w:t>
      </w:r>
      <w:r w:rsidRPr="005F4124">
        <w:rPr>
          <w:rFonts w:ascii="Times New Roman" w:hAnsi="Times New Roman" w:cs="Times New Roman"/>
          <w:b/>
        </w:rPr>
        <w:t>repealed information standard</w:t>
      </w:r>
      <w:r w:rsidRPr="00022101">
        <w:rPr>
          <w:rFonts w:ascii="Times New Roman" w:hAnsi="Times New Roman" w:cs="Times New Roman"/>
        </w:rPr>
        <w:t xml:space="preserve">) to mandate </w:t>
      </w:r>
      <w:r>
        <w:rPr>
          <w:rFonts w:ascii="Times New Roman" w:hAnsi="Times New Roman" w:cs="Times New Roman"/>
        </w:rPr>
        <w:t xml:space="preserve">information </w:t>
      </w:r>
      <w:r w:rsidRPr="00022101">
        <w:rPr>
          <w:rFonts w:ascii="Times New Roman" w:hAnsi="Times New Roman" w:cs="Times New Roman"/>
        </w:rPr>
        <w:t xml:space="preserve">requirements for </w:t>
      </w:r>
      <w:r>
        <w:rPr>
          <w:rFonts w:ascii="Times New Roman" w:hAnsi="Times New Roman" w:cs="Times New Roman"/>
        </w:rPr>
        <w:t>cosmetic</w:t>
      </w:r>
      <w:r w:rsidR="008F7027">
        <w:rPr>
          <w:rFonts w:ascii="Times New Roman" w:hAnsi="Times New Roman" w:cs="Times New Roman"/>
        </w:rPr>
        <w:t xml:space="preserve"> products </w:t>
      </w:r>
      <w:r>
        <w:rPr>
          <w:rFonts w:ascii="Times New Roman" w:hAnsi="Times New Roman" w:cs="Times New Roman"/>
        </w:rPr>
        <w:t>to address a market failure where consumers did not have ready access to information about ingredients contained in them. This information allows consumers to avoid known allergens</w:t>
      </w:r>
      <w:r w:rsidR="00271EB3">
        <w:rPr>
          <w:rFonts w:ascii="Times New Roman" w:hAnsi="Times New Roman" w:cs="Times New Roman"/>
        </w:rPr>
        <w:t xml:space="preserve"> and </w:t>
      </w:r>
      <w:r>
        <w:rPr>
          <w:rFonts w:ascii="Times New Roman" w:hAnsi="Times New Roman" w:cs="Times New Roman"/>
        </w:rPr>
        <w:t>irritants</w:t>
      </w:r>
      <w:r w:rsidR="00271EB3">
        <w:rPr>
          <w:rFonts w:ascii="Times New Roman" w:hAnsi="Times New Roman" w:cs="Times New Roman"/>
        </w:rPr>
        <w:t>,</w:t>
      </w:r>
      <w:r>
        <w:rPr>
          <w:rFonts w:ascii="Times New Roman" w:hAnsi="Times New Roman" w:cs="Times New Roman"/>
        </w:rPr>
        <w:t xml:space="preserve"> and </w:t>
      </w:r>
      <w:r w:rsidR="00271EB3">
        <w:rPr>
          <w:rFonts w:ascii="Times New Roman" w:hAnsi="Times New Roman" w:cs="Times New Roman"/>
        </w:rPr>
        <w:t xml:space="preserve">to </w:t>
      </w:r>
      <w:r>
        <w:rPr>
          <w:rFonts w:ascii="Times New Roman" w:hAnsi="Times New Roman" w:cs="Times New Roman"/>
        </w:rPr>
        <w:t>make value comparisons between products based on ingredients. This information is also important for health care professionals to facilitate patient diagnosis and provide appropriate treatment where a consumer suffers an adverse reaction from the use of a cosmetic product</w:t>
      </w:r>
      <w:r w:rsidR="008F7027">
        <w:rPr>
          <w:rFonts w:ascii="Times New Roman" w:hAnsi="Times New Roman" w:cs="Times New Roman"/>
        </w:rPr>
        <w:t>.</w:t>
      </w:r>
    </w:p>
    <w:p w14:paraId="2CBE0047" w14:textId="77777777" w:rsidR="008F7027" w:rsidRPr="008F7027" w:rsidRDefault="008F7027" w:rsidP="008F7027">
      <w:pPr>
        <w:rPr>
          <w:rFonts w:ascii="Times New Roman" w:hAnsi="Times New Roman" w:cs="Times New Roman"/>
          <w:b/>
          <w:i/>
        </w:rPr>
      </w:pPr>
      <w:r w:rsidRPr="008F7027">
        <w:rPr>
          <w:rFonts w:ascii="Times New Roman" w:hAnsi="Times New Roman" w:cs="Times New Roman"/>
          <w:b/>
          <w:i/>
        </w:rPr>
        <w:t>Hand sanitisers and COVID-19</w:t>
      </w:r>
    </w:p>
    <w:p w14:paraId="101D5C5E" w14:textId="776F0E49" w:rsidR="008F7027" w:rsidRDefault="00DA485F" w:rsidP="008F7027">
      <w:pPr>
        <w:rPr>
          <w:rFonts w:ascii="Times New Roman" w:hAnsi="Times New Roman" w:cs="Times New Roman"/>
        </w:rPr>
      </w:pPr>
      <w:r>
        <w:rPr>
          <w:rFonts w:ascii="Times New Roman" w:hAnsi="Times New Roman" w:cs="Times New Roman"/>
        </w:rPr>
        <w:t>On 18 March 2020, the Australian Government</w:t>
      </w:r>
      <w:r w:rsidR="008F7027">
        <w:rPr>
          <w:rFonts w:ascii="Times New Roman" w:hAnsi="Times New Roman" w:cs="Times New Roman"/>
        </w:rPr>
        <w:t xml:space="preserve"> declared the outbreak of COVID-19 </w:t>
      </w:r>
      <w:r>
        <w:rPr>
          <w:rFonts w:ascii="Times New Roman" w:hAnsi="Times New Roman" w:cs="Times New Roman"/>
        </w:rPr>
        <w:t xml:space="preserve">to be a human biosecurity emergency in Australia. </w:t>
      </w:r>
      <w:r w:rsidR="008F7027">
        <w:rPr>
          <w:rFonts w:ascii="Times New Roman" w:hAnsi="Times New Roman" w:cs="Times New Roman"/>
        </w:rPr>
        <w:t xml:space="preserve">Since then, </w:t>
      </w:r>
      <w:r w:rsidR="008F7027" w:rsidRPr="009F3322">
        <w:rPr>
          <w:rFonts w:ascii="Times New Roman" w:hAnsi="Times New Roman" w:cs="Times New Roman"/>
        </w:rPr>
        <w:t xml:space="preserve">there has been </w:t>
      </w:r>
      <w:r w:rsidR="008F7027">
        <w:rPr>
          <w:rFonts w:ascii="Times New Roman" w:hAnsi="Times New Roman" w:cs="Times New Roman"/>
        </w:rPr>
        <w:t>heightened</w:t>
      </w:r>
      <w:r w:rsidR="008F7027" w:rsidRPr="009F3322">
        <w:rPr>
          <w:rFonts w:ascii="Times New Roman" w:hAnsi="Times New Roman" w:cs="Times New Roman"/>
        </w:rPr>
        <w:t xml:space="preserve"> public interest in personal hygiene measures that can reduce </w:t>
      </w:r>
      <w:r w:rsidR="008F7027">
        <w:rPr>
          <w:rFonts w:ascii="Times New Roman" w:hAnsi="Times New Roman" w:cs="Times New Roman"/>
        </w:rPr>
        <w:t>the spread of COVID-19</w:t>
      </w:r>
      <w:r w:rsidR="00080C44">
        <w:rPr>
          <w:rFonts w:ascii="Times New Roman" w:hAnsi="Times New Roman" w:cs="Times New Roman"/>
        </w:rPr>
        <w:t>.</w:t>
      </w:r>
    </w:p>
    <w:p w14:paraId="516D3AF1" w14:textId="0D9E98C1" w:rsidR="008F7027" w:rsidRDefault="008F7027" w:rsidP="008F7027">
      <w:pPr>
        <w:rPr>
          <w:rFonts w:ascii="Times New Roman" w:hAnsi="Times New Roman" w:cs="Times New Roman"/>
        </w:rPr>
      </w:pPr>
      <w:r w:rsidRPr="009F3322">
        <w:rPr>
          <w:rFonts w:ascii="Times New Roman" w:hAnsi="Times New Roman" w:cs="Times New Roman"/>
        </w:rPr>
        <w:t xml:space="preserve">Hand sanitisers have been an essential component of the public strategy to improve personal hygiene practices, driven by government and medical recommendations to use hand sanitisers </w:t>
      </w:r>
      <w:r>
        <w:rPr>
          <w:rFonts w:ascii="Times New Roman" w:hAnsi="Times New Roman" w:cs="Times New Roman"/>
        </w:rPr>
        <w:t>contain</w:t>
      </w:r>
      <w:r w:rsidR="007B1A7D">
        <w:rPr>
          <w:rFonts w:ascii="Times New Roman" w:hAnsi="Times New Roman" w:cs="Times New Roman"/>
        </w:rPr>
        <w:t>ing</w:t>
      </w:r>
      <w:r>
        <w:rPr>
          <w:rFonts w:ascii="Times New Roman" w:hAnsi="Times New Roman" w:cs="Times New Roman"/>
        </w:rPr>
        <w:t xml:space="preserve"> at least 60 per cent alcohol </w:t>
      </w:r>
      <w:r w:rsidRPr="009F3322">
        <w:rPr>
          <w:rFonts w:ascii="Times New Roman" w:hAnsi="Times New Roman" w:cs="Times New Roman"/>
        </w:rPr>
        <w:t xml:space="preserve">where soap and water is unavailable. </w:t>
      </w:r>
      <w:r>
        <w:rPr>
          <w:rFonts w:ascii="Times New Roman" w:hAnsi="Times New Roman" w:cs="Times New Roman"/>
        </w:rPr>
        <w:t>Th</w:t>
      </w:r>
      <w:r w:rsidR="00787A8A">
        <w:rPr>
          <w:rFonts w:ascii="Times New Roman" w:hAnsi="Times New Roman" w:cs="Times New Roman"/>
        </w:rPr>
        <w:t xml:space="preserve">e </w:t>
      </w:r>
      <w:r w:rsidR="00B10E9D">
        <w:rPr>
          <w:rFonts w:ascii="Times New Roman" w:hAnsi="Times New Roman" w:cs="Times New Roman"/>
        </w:rPr>
        <w:t xml:space="preserve">COVID-19 </w:t>
      </w:r>
      <w:r w:rsidR="00787A8A">
        <w:rPr>
          <w:rFonts w:ascii="Times New Roman" w:hAnsi="Times New Roman" w:cs="Times New Roman"/>
        </w:rPr>
        <w:t>emergency</w:t>
      </w:r>
      <w:r>
        <w:rPr>
          <w:rFonts w:ascii="Times New Roman" w:hAnsi="Times New Roman" w:cs="Times New Roman"/>
        </w:rPr>
        <w:t xml:space="preserve"> </w:t>
      </w:r>
      <w:r w:rsidRPr="005D417B">
        <w:rPr>
          <w:rFonts w:ascii="Times New Roman" w:hAnsi="Times New Roman" w:cs="Times New Roman"/>
        </w:rPr>
        <w:t>has highlighted some deficiencies in the market for hand sanitisers and the regulatory framework that governs the supply of hand sanitisers regulated as cosmetic products.</w:t>
      </w:r>
    </w:p>
    <w:p w14:paraId="667B239D" w14:textId="4CB881A5" w:rsidR="008F7027" w:rsidRPr="009F3322" w:rsidRDefault="00111516" w:rsidP="008F7027">
      <w:pPr>
        <w:rPr>
          <w:rFonts w:ascii="Times New Roman" w:hAnsi="Times New Roman" w:cs="Times New Roman"/>
        </w:rPr>
      </w:pPr>
      <w:r>
        <w:rPr>
          <w:rFonts w:ascii="Times New Roman" w:hAnsi="Times New Roman" w:cs="Times New Roman"/>
        </w:rPr>
        <w:t>Concerns were</w:t>
      </w:r>
      <w:r w:rsidR="008F7027">
        <w:rPr>
          <w:rFonts w:ascii="Times New Roman" w:hAnsi="Times New Roman" w:cs="Times New Roman"/>
        </w:rPr>
        <w:t xml:space="preserve"> raised </w:t>
      </w:r>
      <w:r w:rsidR="00787A8A">
        <w:rPr>
          <w:rFonts w:ascii="Times New Roman" w:hAnsi="Times New Roman" w:cs="Times New Roman"/>
        </w:rPr>
        <w:t>that some</w:t>
      </w:r>
      <w:r>
        <w:rPr>
          <w:rFonts w:ascii="Times New Roman" w:hAnsi="Times New Roman" w:cs="Times New Roman"/>
        </w:rPr>
        <w:t xml:space="preserve"> </w:t>
      </w:r>
      <w:r w:rsidR="007B1A7D">
        <w:rPr>
          <w:rFonts w:ascii="Times New Roman" w:hAnsi="Times New Roman" w:cs="Times New Roman"/>
        </w:rPr>
        <w:t xml:space="preserve">hand sanitisers </w:t>
      </w:r>
      <w:r w:rsidR="00787A8A">
        <w:rPr>
          <w:rFonts w:ascii="Times New Roman" w:hAnsi="Times New Roman" w:cs="Times New Roman"/>
        </w:rPr>
        <w:t>did</w:t>
      </w:r>
      <w:r>
        <w:rPr>
          <w:rFonts w:ascii="Times New Roman" w:hAnsi="Times New Roman" w:cs="Times New Roman"/>
        </w:rPr>
        <w:t xml:space="preserve"> not</w:t>
      </w:r>
      <w:r w:rsidR="008F7027">
        <w:rPr>
          <w:rFonts w:ascii="Times New Roman" w:hAnsi="Times New Roman" w:cs="Times New Roman"/>
        </w:rPr>
        <w:t xml:space="preserve"> contai</w:t>
      </w:r>
      <w:r w:rsidR="00787A8A">
        <w:rPr>
          <w:rFonts w:ascii="Times New Roman" w:hAnsi="Times New Roman" w:cs="Times New Roman"/>
        </w:rPr>
        <w:t>n</w:t>
      </w:r>
      <w:r w:rsidR="008F7027" w:rsidRPr="005D417B">
        <w:rPr>
          <w:rFonts w:ascii="Times New Roman" w:hAnsi="Times New Roman" w:cs="Times New Roman"/>
        </w:rPr>
        <w:t xml:space="preserve"> </w:t>
      </w:r>
      <w:r>
        <w:rPr>
          <w:rFonts w:ascii="Times New Roman" w:hAnsi="Times New Roman" w:cs="Times New Roman"/>
        </w:rPr>
        <w:t>sufficient</w:t>
      </w:r>
      <w:r w:rsidR="008F7027" w:rsidRPr="005D417B">
        <w:rPr>
          <w:rFonts w:ascii="Times New Roman" w:hAnsi="Times New Roman" w:cs="Times New Roman"/>
        </w:rPr>
        <w:t xml:space="preserve"> amounts of alcohol to be effective, misrepresentation</w:t>
      </w:r>
      <w:r w:rsidR="0018436E">
        <w:rPr>
          <w:rFonts w:ascii="Times New Roman" w:hAnsi="Times New Roman" w:cs="Times New Roman"/>
        </w:rPr>
        <w:t>s</w:t>
      </w:r>
      <w:r w:rsidR="008F7027" w:rsidRPr="005D417B">
        <w:rPr>
          <w:rFonts w:ascii="Times New Roman" w:hAnsi="Times New Roman" w:cs="Times New Roman"/>
        </w:rPr>
        <w:t xml:space="preserve"> by suppliers about the amount of alcohol contained in products</w:t>
      </w:r>
      <w:r>
        <w:rPr>
          <w:rFonts w:ascii="Times New Roman" w:hAnsi="Times New Roman" w:cs="Times New Roman"/>
        </w:rPr>
        <w:t>,</w:t>
      </w:r>
      <w:r w:rsidR="008F7027" w:rsidRPr="005D417B">
        <w:rPr>
          <w:rFonts w:ascii="Times New Roman" w:hAnsi="Times New Roman" w:cs="Times New Roman"/>
        </w:rPr>
        <w:t xml:space="preserve"> and products not disclosing the amount of alcohol </w:t>
      </w:r>
      <w:r w:rsidR="007B1A7D">
        <w:rPr>
          <w:rFonts w:ascii="Times New Roman" w:hAnsi="Times New Roman" w:cs="Times New Roman"/>
        </w:rPr>
        <w:t>contained in them</w:t>
      </w:r>
      <w:r w:rsidR="00A6331B">
        <w:rPr>
          <w:rFonts w:ascii="Times New Roman" w:hAnsi="Times New Roman" w:cs="Times New Roman"/>
        </w:rPr>
        <w:t>,</w:t>
      </w:r>
      <w:r>
        <w:rPr>
          <w:rFonts w:ascii="Times New Roman" w:hAnsi="Times New Roman" w:cs="Times New Roman"/>
        </w:rPr>
        <w:t xml:space="preserve"> which meant that consumers did</w:t>
      </w:r>
      <w:r w:rsidR="008F7027" w:rsidRPr="005D417B">
        <w:rPr>
          <w:rFonts w:ascii="Times New Roman" w:hAnsi="Times New Roman" w:cs="Times New Roman"/>
        </w:rPr>
        <w:t xml:space="preserve"> not have sufficient information</w:t>
      </w:r>
      <w:r w:rsidR="00787A8A">
        <w:rPr>
          <w:rFonts w:ascii="Times New Roman" w:hAnsi="Times New Roman" w:cs="Times New Roman"/>
        </w:rPr>
        <w:t xml:space="preserve"> to choose products that would effectively combat COVID-19.</w:t>
      </w:r>
      <w:r w:rsidR="008F7027" w:rsidRPr="005D417B">
        <w:rPr>
          <w:rFonts w:ascii="Times New Roman" w:hAnsi="Times New Roman" w:cs="Times New Roman"/>
        </w:rPr>
        <w:t xml:space="preserve"> </w:t>
      </w:r>
      <w:r w:rsidR="008F7027">
        <w:rPr>
          <w:rFonts w:ascii="Times New Roman" w:hAnsi="Times New Roman" w:cs="Times New Roman"/>
        </w:rPr>
        <w:t xml:space="preserve">There </w:t>
      </w:r>
      <w:r>
        <w:rPr>
          <w:rFonts w:ascii="Times New Roman" w:hAnsi="Times New Roman" w:cs="Times New Roman"/>
        </w:rPr>
        <w:t>were</w:t>
      </w:r>
      <w:r w:rsidR="008F7027">
        <w:rPr>
          <w:rFonts w:ascii="Times New Roman" w:hAnsi="Times New Roman" w:cs="Times New Roman"/>
        </w:rPr>
        <w:t xml:space="preserve"> additional concerns </w:t>
      </w:r>
      <w:r>
        <w:rPr>
          <w:rFonts w:ascii="Times New Roman" w:hAnsi="Times New Roman" w:cs="Times New Roman"/>
        </w:rPr>
        <w:t xml:space="preserve">raised </w:t>
      </w:r>
      <w:r w:rsidR="008F7027">
        <w:rPr>
          <w:rFonts w:ascii="Times New Roman" w:hAnsi="Times New Roman" w:cs="Times New Roman"/>
        </w:rPr>
        <w:t>about</w:t>
      </w:r>
      <w:r w:rsidR="000D1C72">
        <w:rPr>
          <w:rFonts w:ascii="Times New Roman" w:hAnsi="Times New Roman" w:cs="Times New Roman"/>
        </w:rPr>
        <w:t xml:space="preserve"> injuries to</w:t>
      </w:r>
      <w:r w:rsidR="008F7027">
        <w:rPr>
          <w:rFonts w:ascii="Times New Roman" w:hAnsi="Times New Roman" w:cs="Times New Roman"/>
        </w:rPr>
        <w:t xml:space="preserve"> children</w:t>
      </w:r>
      <w:r w:rsidR="000D1C72">
        <w:rPr>
          <w:rFonts w:ascii="Times New Roman" w:hAnsi="Times New Roman" w:cs="Times New Roman"/>
        </w:rPr>
        <w:t>, including hospitalisations, from</w:t>
      </w:r>
      <w:r>
        <w:rPr>
          <w:rFonts w:ascii="Times New Roman" w:hAnsi="Times New Roman" w:cs="Times New Roman"/>
        </w:rPr>
        <w:t xml:space="preserve"> </w:t>
      </w:r>
      <w:r w:rsidR="008F7027">
        <w:rPr>
          <w:rFonts w:ascii="Times New Roman" w:hAnsi="Times New Roman" w:cs="Times New Roman"/>
        </w:rPr>
        <w:t xml:space="preserve">consumption </w:t>
      </w:r>
      <w:r w:rsidR="007B1A7D">
        <w:rPr>
          <w:rFonts w:ascii="Times New Roman" w:hAnsi="Times New Roman" w:cs="Times New Roman"/>
        </w:rPr>
        <w:t>of hand sanitiser</w:t>
      </w:r>
      <w:r w:rsidR="000D1C72">
        <w:rPr>
          <w:rFonts w:ascii="Times New Roman" w:hAnsi="Times New Roman" w:cs="Times New Roman"/>
        </w:rPr>
        <w:t>.</w:t>
      </w:r>
    </w:p>
    <w:p w14:paraId="1D1225BD" w14:textId="55919CC3" w:rsidR="008F7027" w:rsidRPr="005D417B" w:rsidRDefault="008F7027" w:rsidP="008F7027">
      <w:pPr>
        <w:rPr>
          <w:rFonts w:ascii="Times New Roman" w:hAnsi="Times New Roman" w:cs="Times New Roman"/>
        </w:rPr>
      </w:pPr>
      <w:r w:rsidRPr="009F3322">
        <w:rPr>
          <w:rFonts w:ascii="Times New Roman" w:hAnsi="Times New Roman" w:cs="Times New Roman"/>
        </w:rPr>
        <w:t xml:space="preserve">Given the strong public interest and expert recommendations to use hand sanitisers to prevent the spread of COVID-19, it is critical consumers </w:t>
      </w:r>
      <w:r>
        <w:rPr>
          <w:rFonts w:ascii="Times New Roman" w:hAnsi="Times New Roman" w:cs="Times New Roman"/>
        </w:rPr>
        <w:t>are provided with information</w:t>
      </w:r>
      <w:r w:rsidRPr="009F3322">
        <w:rPr>
          <w:rFonts w:ascii="Times New Roman" w:hAnsi="Times New Roman" w:cs="Times New Roman"/>
        </w:rPr>
        <w:t xml:space="preserve"> to choose safe and effective hand sanitisers. </w:t>
      </w:r>
      <w:r>
        <w:rPr>
          <w:rFonts w:ascii="Times New Roman" w:hAnsi="Times New Roman" w:cs="Times New Roman"/>
        </w:rPr>
        <w:t xml:space="preserve">The </w:t>
      </w:r>
      <w:r w:rsidR="00B10E9D">
        <w:rPr>
          <w:rFonts w:ascii="Times New Roman" w:hAnsi="Times New Roman" w:cs="Times New Roman"/>
        </w:rPr>
        <w:t>repealed information standard did</w:t>
      </w:r>
      <w:r w:rsidRPr="009F3322">
        <w:rPr>
          <w:rFonts w:ascii="Times New Roman" w:hAnsi="Times New Roman" w:cs="Times New Roman"/>
        </w:rPr>
        <w:t xml:space="preserve"> not require hand sanitisers </w:t>
      </w:r>
      <w:r w:rsidR="007B1A7D">
        <w:rPr>
          <w:rFonts w:ascii="Times New Roman" w:hAnsi="Times New Roman" w:cs="Times New Roman"/>
        </w:rPr>
        <w:t xml:space="preserve">to </w:t>
      </w:r>
      <w:r w:rsidRPr="009F3322">
        <w:rPr>
          <w:rFonts w:ascii="Times New Roman" w:hAnsi="Times New Roman" w:cs="Times New Roman"/>
        </w:rPr>
        <w:t>disclose sufficient information to allow consumers to make a</w:t>
      </w:r>
      <w:r w:rsidR="00A462AE">
        <w:rPr>
          <w:rFonts w:ascii="Times New Roman" w:hAnsi="Times New Roman" w:cs="Times New Roman"/>
        </w:rPr>
        <w:t>n</w:t>
      </w:r>
      <w:r w:rsidRPr="009F3322">
        <w:rPr>
          <w:rFonts w:ascii="Times New Roman" w:hAnsi="Times New Roman" w:cs="Times New Roman"/>
        </w:rPr>
        <w:t xml:space="preserve"> informed choice</w:t>
      </w:r>
      <w:r w:rsidR="00A462AE">
        <w:rPr>
          <w:rFonts w:ascii="Times New Roman" w:hAnsi="Times New Roman" w:cs="Times New Roman"/>
        </w:rPr>
        <w:t xml:space="preserve"> and to use the</w:t>
      </w:r>
      <w:r w:rsidR="007B1A7D">
        <w:rPr>
          <w:rFonts w:ascii="Times New Roman" w:hAnsi="Times New Roman" w:cs="Times New Roman"/>
        </w:rPr>
        <w:t>m</w:t>
      </w:r>
      <w:r w:rsidR="00A462AE">
        <w:rPr>
          <w:rFonts w:ascii="Times New Roman" w:hAnsi="Times New Roman" w:cs="Times New Roman"/>
        </w:rPr>
        <w:t xml:space="preserve"> safely and effectively</w:t>
      </w:r>
      <w:r w:rsidRPr="009F3322">
        <w:rPr>
          <w:rFonts w:ascii="Times New Roman" w:hAnsi="Times New Roman" w:cs="Times New Roman"/>
        </w:rPr>
        <w:t xml:space="preserve">. </w:t>
      </w:r>
      <w:r>
        <w:rPr>
          <w:rFonts w:ascii="Times New Roman" w:hAnsi="Times New Roman" w:cs="Times New Roman"/>
        </w:rPr>
        <w:t xml:space="preserve">To correct this an amendment was </w:t>
      </w:r>
      <w:r w:rsidR="000F05FF">
        <w:rPr>
          <w:rFonts w:ascii="Times New Roman" w:hAnsi="Times New Roman" w:cs="Times New Roman"/>
        </w:rPr>
        <w:t xml:space="preserve">made </w:t>
      </w:r>
      <w:r>
        <w:rPr>
          <w:rFonts w:ascii="Times New Roman" w:hAnsi="Times New Roman" w:cs="Times New Roman"/>
        </w:rPr>
        <w:t>to require</w:t>
      </w:r>
      <w:r w:rsidRPr="005D417B">
        <w:rPr>
          <w:rFonts w:ascii="Times New Roman" w:hAnsi="Times New Roman" w:cs="Times New Roman"/>
        </w:rPr>
        <w:t xml:space="preserve"> hand sanitisers that rely on alcohol as </w:t>
      </w:r>
      <w:r w:rsidR="007B1A7D">
        <w:rPr>
          <w:rFonts w:ascii="Times New Roman" w:hAnsi="Times New Roman" w:cs="Times New Roman"/>
        </w:rPr>
        <w:t>the</w:t>
      </w:r>
      <w:r w:rsidR="007B1A7D" w:rsidRPr="005D417B">
        <w:rPr>
          <w:rFonts w:ascii="Times New Roman" w:hAnsi="Times New Roman" w:cs="Times New Roman"/>
        </w:rPr>
        <w:t xml:space="preserve"> </w:t>
      </w:r>
      <w:r w:rsidRPr="005D417B">
        <w:rPr>
          <w:rFonts w:ascii="Times New Roman" w:hAnsi="Times New Roman" w:cs="Times New Roman"/>
        </w:rPr>
        <w:t>primary active ingredient</w:t>
      </w:r>
      <w:r>
        <w:rPr>
          <w:rFonts w:ascii="Times New Roman" w:hAnsi="Times New Roman" w:cs="Times New Roman"/>
        </w:rPr>
        <w:t xml:space="preserve"> to </w:t>
      </w:r>
      <w:r w:rsidR="00D05EDE">
        <w:rPr>
          <w:rFonts w:ascii="Times New Roman" w:hAnsi="Times New Roman" w:cs="Times New Roman"/>
        </w:rPr>
        <w:t>provide</w:t>
      </w:r>
      <w:r w:rsidR="00D05EDE" w:rsidRPr="005D417B">
        <w:rPr>
          <w:rFonts w:ascii="Times New Roman" w:hAnsi="Times New Roman" w:cs="Times New Roman"/>
        </w:rPr>
        <w:t xml:space="preserve"> </w:t>
      </w:r>
      <w:r w:rsidRPr="005D417B">
        <w:rPr>
          <w:rFonts w:ascii="Times New Roman" w:hAnsi="Times New Roman" w:cs="Times New Roman"/>
        </w:rPr>
        <w:t xml:space="preserve">the alcohol content </w:t>
      </w:r>
      <w:r w:rsidR="007B1A7D">
        <w:rPr>
          <w:rFonts w:ascii="Times New Roman" w:hAnsi="Times New Roman" w:cs="Times New Roman"/>
        </w:rPr>
        <w:t xml:space="preserve">and warning information </w:t>
      </w:r>
      <w:r w:rsidRPr="005D417B">
        <w:rPr>
          <w:rFonts w:ascii="Times New Roman" w:hAnsi="Times New Roman" w:cs="Times New Roman"/>
        </w:rPr>
        <w:t xml:space="preserve">on </w:t>
      </w:r>
      <w:r w:rsidR="007B1A7D">
        <w:rPr>
          <w:rFonts w:ascii="Times New Roman" w:hAnsi="Times New Roman" w:cs="Times New Roman"/>
        </w:rPr>
        <w:t>the product</w:t>
      </w:r>
      <w:r w:rsidR="00906D06">
        <w:rPr>
          <w:rFonts w:ascii="Times New Roman" w:hAnsi="Times New Roman" w:cs="Times New Roman"/>
        </w:rPr>
        <w:t>’s</w:t>
      </w:r>
      <w:r w:rsidR="007B1A7D">
        <w:rPr>
          <w:rFonts w:ascii="Times New Roman" w:hAnsi="Times New Roman" w:cs="Times New Roman"/>
        </w:rPr>
        <w:t xml:space="preserve"> container.</w:t>
      </w:r>
    </w:p>
    <w:p w14:paraId="5C3E861F" w14:textId="28E15EF8" w:rsidR="00496121" w:rsidRPr="008F7027" w:rsidRDefault="00DB0A6C" w:rsidP="00E6197D">
      <w:pPr>
        <w:rPr>
          <w:rFonts w:ascii="Times New Roman" w:hAnsi="Times New Roman" w:cs="Times New Roman"/>
          <w:b/>
        </w:rPr>
      </w:pPr>
      <w:r>
        <w:rPr>
          <w:rFonts w:ascii="Times New Roman" w:hAnsi="Times New Roman" w:cs="Times New Roman"/>
          <w:b/>
        </w:rPr>
        <w:t xml:space="preserve">The repealed </w:t>
      </w:r>
      <w:r w:rsidR="000F05FF">
        <w:rPr>
          <w:rFonts w:ascii="Times New Roman" w:hAnsi="Times New Roman" w:cs="Times New Roman"/>
          <w:b/>
        </w:rPr>
        <w:t>i</w:t>
      </w:r>
      <w:r>
        <w:rPr>
          <w:rFonts w:ascii="Times New Roman" w:hAnsi="Times New Roman" w:cs="Times New Roman"/>
          <w:b/>
        </w:rPr>
        <w:t xml:space="preserve">nformation </w:t>
      </w:r>
      <w:r w:rsidR="000F05FF">
        <w:rPr>
          <w:rFonts w:ascii="Times New Roman" w:hAnsi="Times New Roman" w:cs="Times New Roman"/>
          <w:b/>
        </w:rPr>
        <w:t>s</w:t>
      </w:r>
      <w:r w:rsidR="008F7027">
        <w:rPr>
          <w:rFonts w:ascii="Times New Roman" w:hAnsi="Times New Roman" w:cs="Times New Roman"/>
          <w:b/>
        </w:rPr>
        <w:t>tandard</w:t>
      </w:r>
    </w:p>
    <w:p w14:paraId="65AC3185" w14:textId="01441FC2" w:rsidR="008F7027" w:rsidRPr="008F7027" w:rsidRDefault="008F7027" w:rsidP="008F7027">
      <w:pPr>
        <w:rPr>
          <w:rFonts w:ascii="Times New Roman" w:hAnsi="Times New Roman" w:cs="Times New Roman"/>
        </w:rPr>
      </w:pPr>
      <w:r w:rsidRPr="008F7027">
        <w:rPr>
          <w:rFonts w:ascii="Times New Roman" w:hAnsi="Times New Roman" w:cs="Times New Roman"/>
        </w:rPr>
        <w:t xml:space="preserve">The repealed </w:t>
      </w:r>
      <w:r w:rsidR="000F05FF">
        <w:rPr>
          <w:rFonts w:ascii="Times New Roman" w:hAnsi="Times New Roman" w:cs="Times New Roman"/>
        </w:rPr>
        <w:t>i</w:t>
      </w:r>
      <w:r w:rsidR="002B2172">
        <w:rPr>
          <w:rFonts w:ascii="Times New Roman" w:hAnsi="Times New Roman" w:cs="Times New Roman"/>
        </w:rPr>
        <w:t xml:space="preserve">nformation </w:t>
      </w:r>
      <w:r w:rsidR="000F05FF">
        <w:rPr>
          <w:rFonts w:ascii="Times New Roman" w:hAnsi="Times New Roman" w:cs="Times New Roman"/>
        </w:rPr>
        <w:t>s</w:t>
      </w:r>
      <w:r w:rsidR="002B2172">
        <w:rPr>
          <w:rFonts w:ascii="Times New Roman" w:hAnsi="Times New Roman" w:cs="Times New Roman"/>
        </w:rPr>
        <w:t>tandard</w:t>
      </w:r>
      <w:r w:rsidRPr="008F7027">
        <w:rPr>
          <w:rFonts w:ascii="Times New Roman" w:hAnsi="Times New Roman" w:cs="Times New Roman"/>
        </w:rPr>
        <w:t xml:space="preserve"> for </w:t>
      </w:r>
      <w:r>
        <w:rPr>
          <w:rFonts w:ascii="Times New Roman" w:hAnsi="Times New Roman" w:cs="Times New Roman"/>
        </w:rPr>
        <w:t>cosmetics</w:t>
      </w:r>
      <w:r w:rsidR="002B2172">
        <w:rPr>
          <w:rFonts w:ascii="Times New Roman" w:hAnsi="Times New Roman" w:cs="Times New Roman"/>
        </w:rPr>
        <w:t xml:space="preserve"> i</w:t>
      </w:r>
      <w:r w:rsidRPr="008F7027">
        <w:rPr>
          <w:rFonts w:ascii="Times New Roman" w:hAnsi="Times New Roman" w:cs="Times New Roman"/>
        </w:rPr>
        <w:t xml:space="preserve">s the </w:t>
      </w:r>
      <w:r w:rsidR="005C7849" w:rsidRPr="002B2172">
        <w:rPr>
          <w:rFonts w:ascii="Times New Roman" w:hAnsi="Times New Roman" w:cs="Times New Roman"/>
          <w:i/>
        </w:rPr>
        <w:t>Trade Practices (Consumer Product Information Standards) (Cosmetics) Regulations 1991</w:t>
      </w:r>
      <w:r w:rsidR="005C7849">
        <w:rPr>
          <w:rFonts w:ascii="Times New Roman" w:hAnsi="Times New Roman" w:cs="Times New Roman"/>
        </w:rPr>
        <w:t>.</w:t>
      </w:r>
    </w:p>
    <w:p w14:paraId="19F4A87D" w14:textId="77777777" w:rsidR="008F7027" w:rsidRPr="008F7027" w:rsidRDefault="008F7027" w:rsidP="008F7027">
      <w:pPr>
        <w:rPr>
          <w:rFonts w:ascii="Times New Roman" w:hAnsi="Times New Roman" w:cs="Times New Roman"/>
        </w:rPr>
      </w:pPr>
      <w:r w:rsidRPr="008F7027">
        <w:rPr>
          <w:rFonts w:ascii="Times New Roman" w:hAnsi="Times New Roman" w:cs="Times New Roman"/>
        </w:rPr>
        <w:t>Under subsection 33(3) of the Acts Interpretation Act 1901 (Cth),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9F08FD6" w14:textId="57B05A0F" w:rsidR="008F7027" w:rsidRPr="00C639E2" w:rsidRDefault="002B2172" w:rsidP="008F7027">
      <w:pPr>
        <w:rPr>
          <w:rFonts w:ascii="Times New Roman" w:hAnsi="Times New Roman" w:cs="Times New Roman"/>
          <w:b/>
        </w:rPr>
      </w:pPr>
      <w:r>
        <w:rPr>
          <w:rFonts w:ascii="Times New Roman" w:hAnsi="Times New Roman" w:cs="Times New Roman"/>
          <w:b/>
        </w:rPr>
        <w:lastRenderedPageBreak/>
        <w:t xml:space="preserve">The new </w:t>
      </w:r>
      <w:r w:rsidR="000F05FF">
        <w:rPr>
          <w:rFonts w:ascii="Times New Roman" w:hAnsi="Times New Roman" w:cs="Times New Roman"/>
          <w:b/>
        </w:rPr>
        <w:t>i</w:t>
      </w:r>
      <w:r>
        <w:rPr>
          <w:rFonts w:ascii="Times New Roman" w:hAnsi="Times New Roman" w:cs="Times New Roman"/>
          <w:b/>
        </w:rPr>
        <w:t xml:space="preserve">nformation </w:t>
      </w:r>
      <w:r w:rsidR="000F05FF">
        <w:rPr>
          <w:rFonts w:ascii="Times New Roman" w:hAnsi="Times New Roman" w:cs="Times New Roman"/>
          <w:b/>
        </w:rPr>
        <w:t>s</w:t>
      </w:r>
      <w:r w:rsidR="008F7027" w:rsidRPr="00C639E2">
        <w:rPr>
          <w:rFonts w:ascii="Times New Roman" w:hAnsi="Times New Roman" w:cs="Times New Roman"/>
          <w:b/>
        </w:rPr>
        <w:t>tandard</w:t>
      </w:r>
    </w:p>
    <w:p w14:paraId="5346F4C1" w14:textId="420B4AA6" w:rsidR="00C639E2" w:rsidRDefault="004048EB" w:rsidP="008F7027">
      <w:pPr>
        <w:rPr>
          <w:rFonts w:ascii="Times New Roman" w:hAnsi="Times New Roman" w:cs="Times New Roman"/>
        </w:rPr>
      </w:pPr>
      <w:r w:rsidRPr="00C639E2">
        <w:rPr>
          <w:rFonts w:ascii="Times New Roman" w:hAnsi="Times New Roman" w:cs="Times New Roman"/>
        </w:rPr>
        <w:t xml:space="preserve">The purpose of this </w:t>
      </w:r>
      <w:r w:rsidR="000F05FF">
        <w:rPr>
          <w:rFonts w:ascii="Times New Roman" w:hAnsi="Times New Roman" w:cs="Times New Roman"/>
        </w:rPr>
        <w:t>i</w:t>
      </w:r>
      <w:r w:rsidRPr="00C639E2">
        <w:rPr>
          <w:rFonts w:ascii="Times New Roman" w:hAnsi="Times New Roman" w:cs="Times New Roman"/>
        </w:rPr>
        <w:t xml:space="preserve">nformation </w:t>
      </w:r>
      <w:r w:rsidR="000F05FF">
        <w:rPr>
          <w:rFonts w:ascii="Times New Roman" w:hAnsi="Times New Roman" w:cs="Times New Roman"/>
        </w:rPr>
        <w:t>s</w:t>
      </w:r>
      <w:r w:rsidRPr="00C639E2">
        <w:rPr>
          <w:rFonts w:ascii="Times New Roman" w:hAnsi="Times New Roman" w:cs="Times New Roman"/>
        </w:rPr>
        <w:t xml:space="preserve">tandard is to provide clear and consistent information about the ingredients contained in cosmetic products so that consumers can make informed choices about the products they buy. </w:t>
      </w:r>
      <w:r w:rsidR="00C639E2" w:rsidRPr="00C639E2">
        <w:rPr>
          <w:rFonts w:ascii="Times New Roman" w:hAnsi="Times New Roman" w:cs="Times New Roman"/>
        </w:rPr>
        <w:t>T</w:t>
      </w:r>
      <w:r w:rsidR="005C7849" w:rsidRPr="00C639E2">
        <w:rPr>
          <w:rFonts w:ascii="Times New Roman" w:hAnsi="Times New Roman" w:cs="Times New Roman"/>
        </w:rPr>
        <w:t xml:space="preserve">he new </w:t>
      </w:r>
      <w:r w:rsidR="000F05FF">
        <w:rPr>
          <w:rFonts w:ascii="Times New Roman" w:hAnsi="Times New Roman" w:cs="Times New Roman"/>
        </w:rPr>
        <w:t>i</w:t>
      </w:r>
      <w:r w:rsidR="00C639E2" w:rsidRPr="00C639E2">
        <w:rPr>
          <w:rFonts w:ascii="Times New Roman" w:hAnsi="Times New Roman" w:cs="Times New Roman"/>
        </w:rPr>
        <w:t xml:space="preserve">nformation </w:t>
      </w:r>
      <w:r w:rsidR="000F05FF">
        <w:rPr>
          <w:rFonts w:ascii="Times New Roman" w:hAnsi="Times New Roman" w:cs="Times New Roman"/>
        </w:rPr>
        <w:t>s</w:t>
      </w:r>
      <w:r w:rsidR="00C639E2" w:rsidRPr="00C639E2">
        <w:rPr>
          <w:rFonts w:ascii="Times New Roman" w:hAnsi="Times New Roman" w:cs="Times New Roman"/>
        </w:rPr>
        <w:t>tandard</w:t>
      </w:r>
      <w:r w:rsidR="005C7849" w:rsidRPr="00C639E2">
        <w:rPr>
          <w:rFonts w:ascii="Times New Roman" w:hAnsi="Times New Roman" w:cs="Times New Roman"/>
        </w:rPr>
        <w:t xml:space="preserve"> carries over all of the requirements of the </w:t>
      </w:r>
      <w:r w:rsidR="008F7027" w:rsidRPr="00C639E2">
        <w:rPr>
          <w:rFonts w:ascii="Times New Roman" w:hAnsi="Times New Roman" w:cs="Times New Roman"/>
        </w:rPr>
        <w:t xml:space="preserve">repealed </w:t>
      </w:r>
      <w:r w:rsidR="000F05FF">
        <w:rPr>
          <w:rFonts w:ascii="Times New Roman" w:hAnsi="Times New Roman" w:cs="Times New Roman"/>
        </w:rPr>
        <w:t>i</w:t>
      </w:r>
      <w:r w:rsidR="00C639E2" w:rsidRPr="00C639E2">
        <w:rPr>
          <w:rFonts w:ascii="Times New Roman" w:hAnsi="Times New Roman" w:cs="Times New Roman"/>
        </w:rPr>
        <w:t xml:space="preserve">nformation </w:t>
      </w:r>
      <w:r w:rsidR="000F05FF">
        <w:rPr>
          <w:rFonts w:ascii="Times New Roman" w:hAnsi="Times New Roman" w:cs="Times New Roman"/>
        </w:rPr>
        <w:t>s</w:t>
      </w:r>
      <w:r w:rsidR="00C639E2" w:rsidRPr="00C639E2">
        <w:rPr>
          <w:rFonts w:ascii="Times New Roman" w:hAnsi="Times New Roman" w:cs="Times New Roman"/>
        </w:rPr>
        <w:t>tandard</w:t>
      </w:r>
      <w:r w:rsidR="008F7027" w:rsidRPr="00C639E2">
        <w:rPr>
          <w:rFonts w:ascii="Times New Roman" w:hAnsi="Times New Roman" w:cs="Times New Roman"/>
        </w:rPr>
        <w:t xml:space="preserve"> </w:t>
      </w:r>
      <w:r w:rsidR="005C7849" w:rsidRPr="00C639E2">
        <w:rPr>
          <w:rFonts w:ascii="Times New Roman" w:hAnsi="Times New Roman" w:cs="Times New Roman"/>
        </w:rPr>
        <w:t xml:space="preserve">and </w:t>
      </w:r>
      <w:r w:rsidR="00C639E2">
        <w:rPr>
          <w:rFonts w:ascii="Times New Roman" w:hAnsi="Times New Roman" w:cs="Times New Roman"/>
        </w:rPr>
        <w:t>introduce</w:t>
      </w:r>
      <w:r w:rsidR="00D05EDE">
        <w:rPr>
          <w:rFonts w:ascii="Times New Roman" w:hAnsi="Times New Roman" w:cs="Times New Roman"/>
        </w:rPr>
        <w:t>s</w:t>
      </w:r>
      <w:r w:rsidR="00C639E2">
        <w:rPr>
          <w:rFonts w:ascii="Times New Roman" w:hAnsi="Times New Roman" w:cs="Times New Roman"/>
        </w:rPr>
        <w:t xml:space="preserve"> new information re</w:t>
      </w:r>
      <w:r w:rsidR="008F7027" w:rsidRPr="00C639E2">
        <w:rPr>
          <w:rFonts w:ascii="Times New Roman" w:hAnsi="Times New Roman" w:cs="Times New Roman"/>
        </w:rPr>
        <w:t xml:space="preserve">quirements </w:t>
      </w:r>
      <w:r w:rsidR="00C639E2">
        <w:rPr>
          <w:rFonts w:ascii="Times New Roman" w:hAnsi="Times New Roman" w:cs="Times New Roman"/>
        </w:rPr>
        <w:t xml:space="preserve">specifically </w:t>
      </w:r>
      <w:r w:rsidR="008F7027" w:rsidRPr="00C639E2">
        <w:rPr>
          <w:rFonts w:ascii="Times New Roman" w:hAnsi="Times New Roman" w:cs="Times New Roman"/>
        </w:rPr>
        <w:t>for hand sanitiser.</w:t>
      </w:r>
    </w:p>
    <w:p w14:paraId="7CCAE911" w14:textId="45765390" w:rsidR="008F7027" w:rsidRDefault="003B4729" w:rsidP="008F7027">
      <w:pPr>
        <w:rPr>
          <w:rFonts w:ascii="Times New Roman" w:hAnsi="Times New Roman" w:cs="Times New Roman"/>
        </w:rPr>
      </w:pPr>
      <w:r>
        <w:rPr>
          <w:rFonts w:ascii="Times New Roman" w:hAnsi="Times New Roman" w:cs="Times New Roman"/>
        </w:rPr>
        <w:t xml:space="preserve">Attachment A provides a detailed explanation of the </w:t>
      </w:r>
      <w:r w:rsidR="00C639E2">
        <w:rPr>
          <w:rFonts w:ascii="Times New Roman" w:hAnsi="Times New Roman" w:cs="Times New Roman"/>
        </w:rPr>
        <w:t xml:space="preserve">new </w:t>
      </w:r>
      <w:r w:rsidR="000F05FF">
        <w:rPr>
          <w:rFonts w:ascii="Times New Roman" w:hAnsi="Times New Roman" w:cs="Times New Roman"/>
        </w:rPr>
        <w:t>i</w:t>
      </w:r>
      <w:r w:rsidR="00C639E2">
        <w:rPr>
          <w:rFonts w:ascii="Times New Roman" w:hAnsi="Times New Roman" w:cs="Times New Roman"/>
        </w:rPr>
        <w:t xml:space="preserve">nformation </w:t>
      </w:r>
      <w:r w:rsidR="000F05FF">
        <w:rPr>
          <w:rFonts w:ascii="Times New Roman" w:hAnsi="Times New Roman" w:cs="Times New Roman"/>
        </w:rPr>
        <w:t>s</w:t>
      </w:r>
      <w:r w:rsidR="00C639E2">
        <w:rPr>
          <w:rFonts w:ascii="Times New Roman" w:hAnsi="Times New Roman" w:cs="Times New Roman"/>
        </w:rPr>
        <w:t>tandard.</w:t>
      </w:r>
    </w:p>
    <w:p w14:paraId="601E39B4" w14:textId="644AB405" w:rsidR="004048EB" w:rsidRDefault="00E45893" w:rsidP="004048EB">
      <w:pPr>
        <w:rPr>
          <w:rFonts w:ascii="Times New Roman" w:hAnsi="Times New Roman" w:cs="Times New Roman"/>
        </w:rPr>
      </w:pPr>
      <w:r>
        <w:rPr>
          <w:rFonts w:ascii="Times New Roman" w:hAnsi="Times New Roman" w:cs="Times New Roman"/>
        </w:rPr>
        <w:t xml:space="preserve">The </w:t>
      </w:r>
      <w:r w:rsidR="000F05FF">
        <w:rPr>
          <w:rFonts w:ascii="Times New Roman" w:hAnsi="Times New Roman" w:cs="Times New Roman"/>
        </w:rPr>
        <w:t>new i</w:t>
      </w:r>
      <w:r>
        <w:rPr>
          <w:rFonts w:ascii="Times New Roman" w:hAnsi="Times New Roman" w:cs="Times New Roman"/>
        </w:rPr>
        <w:t xml:space="preserve">nformation </w:t>
      </w:r>
      <w:r w:rsidR="000F05FF">
        <w:rPr>
          <w:rFonts w:ascii="Times New Roman" w:hAnsi="Times New Roman" w:cs="Times New Roman"/>
        </w:rPr>
        <w:t>s</w:t>
      </w:r>
      <w:r>
        <w:rPr>
          <w:rFonts w:ascii="Times New Roman" w:hAnsi="Times New Roman" w:cs="Times New Roman"/>
        </w:rPr>
        <w:t>tandard</w:t>
      </w:r>
      <w:r w:rsidR="00EC5FF9">
        <w:rPr>
          <w:rFonts w:ascii="Times New Roman" w:hAnsi="Times New Roman" w:cs="Times New Roman"/>
        </w:rPr>
        <w:t xml:space="preserve"> only regulates the requirement for information specifically set out in the standard. </w:t>
      </w:r>
      <w:r w:rsidR="008A2D2A">
        <w:rPr>
          <w:rFonts w:ascii="Times New Roman" w:hAnsi="Times New Roman" w:cs="Times New Roman"/>
        </w:rPr>
        <w:t>In Australia, individual ingredients of cosmetic products are assessed by the Department of Health’s Australian Industrial Chemicals Introduction Scheme (AICIS</w:t>
      </w:r>
      <w:r w:rsidR="00941E19">
        <w:rPr>
          <w:rFonts w:ascii="Times New Roman" w:hAnsi="Times New Roman" w:cs="Times New Roman"/>
        </w:rPr>
        <w:t xml:space="preserve">) – formerly </w:t>
      </w:r>
      <w:r w:rsidR="008A2D2A">
        <w:rPr>
          <w:rFonts w:ascii="Times New Roman" w:hAnsi="Times New Roman" w:cs="Times New Roman"/>
        </w:rPr>
        <w:t xml:space="preserve">the National Industrial Chemicals Notification and Assessment </w:t>
      </w:r>
      <w:r w:rsidR="00373777">
        <w:rPr>
          <w:rFonts w:ascii="Times New Roman" w:hAnsi="Times New Roman" w:cs="Times New Roman"/>
        </w:rPr>
        <w:t>Scheme</w:t>
      </w:r>
      <w:r w:rsidR="008A2D2A">
        <w:rPr>
          <w:rFonts w:ascii="Times New Roman" w:hAnsi="Times New Roman" w:cs="Times New Roman"/>
        </w:rPr>
        <w:t xml:space="preserve"> (NICNAS).</w:t>
      </w:r>
    </w:p>
    <w:p w14:paraId="029898A5" w14:textId="77777777" w:rsidR="00BA6486" w:rsidRPr="00BA6486" w:rsidRDefault="00BA6486" w:rsidP="008A2D2A">
      <w:pPr>
        <w:rPr>
          <w:rFonts w:ascii="Times New Roman" w:hAnsi="Times New Roman" w:cs="Times New Roman"/>
          <w:i/>
        </w:rPr>
      </w:pPr>
      <w:r w:rsidRPr="00BA6486">
        <w:rPr>
          <w:rFonts w:ascii="Times New Roman" w:hAnsi="Times New Roman" w:cs="Times New Roman"/>
          <w:i/>
        </w:rPr>
        <w:t>Other government standards</w:t>
      </w:r>
    </w:p>
    <w:p w14:paraId="332494C9" w14:textId="4B2C8216" w:rsidR="00410F07" w:rsidRDefault="00D05EDE">
      <w:pPr>
        <w:rPr>
          <w:rFonts w:ascii="Times New Roman" w:hAnsi="Times New Roman" w:cs="Times New Roman"/>
        </w:rPr>
      </w:pPr>
      <w:r>
        <w:rPr>
          <w:rFonts w:ascii="Times New Roman" w:hAnsi="Times New Roman" w:cs="Times New Roman"/>
        </w:rPr>
        <w:t>C</w:t>
      </w:r>
      <w:r w:rsidR="008A2D2A">
        <w:rPr>
          <w:rFonts w:ascii="Times New Roman" w:hAnsi="Times New Roman" w:cs="Times New Roman"/>
        </w:rPr>
        <w:t xml:space="preserve">osmetic </w:t>
      </w:r>
      <w:r w:rsidR="00DF1860">
        <w:rPr>
          <w:rFonts w:ascii="Times New Roman" w:hAnsi="Times New Roman" w:cs="Times New Roman"/>
        </w:rPr>
        <w:t xml:space="preserve">products </w:t>
      </w:r>
      <w:r>
        <w:rPr>
          <w:rFonts w:ascii="Times New Roman" w:hAnsi="Times New Roman" w:cs="Times New Roman"/>
        </w:rPr>
        <w:t xml:space="preserve">regulated by this </w:t>
      </w:r>
      <w:r w:rsidR="000F05FF">
        <w:rPr>
          <w:rFonts w:ascii="Times New Roman" w:hAnsi="Times New Roman" w:cs="Times New Roman"/>
        </w:rPr>
        <w:t>i</w:t>
      </w:r>
      <w:r>
        <w:rPr>
          <w:rFonts w:ascii="Times New Roman" w:hAnsi="Times New Roman" w:cs="Times New Roman"/>
        </w:rPr>
        <w:t xml:space="preserve">nformation </w:t>
      </w:r>
      <w:r w:rsidR="000F05FF">
        <w:rPr>
          <w:rFonts w:ascii="Times New Roman" w:hAnsi="Times New Roman" w:cs="Times New Roman"/>
        </w:rPr>
        <w:t>s</w:t>
      </w:r>
      <w:r>
        <w:rPr>
          <w:rFonts w:ascii="Times New Roman" w:hAnsi="Times New Roman" w:cs="Times New Roman"/>
        </w:rPr>
        <w:t xml:space="preserve">tandard may also need to </w:t>
      </w:r>
      <w:r w:rsidR="00DF1860">
        <w:rPr>
          <w:rFonts w:ascii="Times New Roman" w:hAnsi="Times New Roman" w:cs="Times New Roman"/>
        </w:rPr>
        <w:t xml:space="preserve">comply with other government </w:t>
      </w:r>
      <w:r w:rsidR="008A2D2A">
        <w:rPr>
          <w:rFonts w:ascii="Times New Roman" w:hAnsi="Times New Roman" w:cs="Times New Roman"/>
        </w:rPr>
        <w:t>standards,</w:t>
      </w:r>
      <w:r w:rsidR="00DF1860">
        <w:rPr>
          <w:rFonts w:ascii="Times New Roman" w:hAnsi="Times New Roman" w:cs="Times New Roman"/>
        </w:rPr>
        <w:t xml:space="preserve"> including those established by:</w:t>
      </w:r>
    </w:p>
    <w:p w14:paraId="1D6CA842" w14:textId="77777777" w:rsidR="00410F07" w:rsidRPr="00622AD2" w:rsidRDefault="00410F07" w:rsidP="00622AD2">
      <w:pPr>
        <w:pStyle w:val="ListParagraph"/>
        <w:numPr>
          <w:ilvl w:val="0"/>
          <w:numId w:val="31"/>
        </w:numPr>
        <w:rPr>
          <w:rFonts w:ascii="Times New Roman" w:hAnsi="Times New Roman" w:cs="Times New Roman"/>
        </w:rPr>
      </w:pPr>
      <w:r w:rsidRPr="00622AD2">
        <w:rPr>
          <w:rFonts w:ascii="Times New Roman" w:hAnsi="Times New Roman" w:cs="Times New Roman"/>
        </w:rPr>
        <w:t xml:space="preserve">The </w:t>
      </w:r>
      <w:hyperlink r:id="rId9" w:history="1">
        <w:r w:rsidRPr="00622AD2">
          <w:rPr>
            <w:rStyle w:val="Hyperlink"/>
            <w:rFonts w:ascii="Times New Roman" w:hAnsi="Times New Roman" w:cs="Times New Roman"/>
          </w:rPr>
          <w:t>Poisons Standard</w:t>
        </w:r>
      </w:hyperlink>
    </w:p>
    <w:p w14:paraId="6C7FB029" w14:textId="77777777" w:rsidR="00410F07" w:rsidRPr="00622AD2" w:rsidRDefault="00410F07" w:rsidP="00622AD2">
      <w:pPr>
        <w:pStyle w:val="ListParagraph"/>
        <w:numPr>
          <w:ilvl w:val="0"/>
          <w:numId w:val="31"/>
        </w:numPr>
        <w:rPr>
          <w:rFonts w:ascii="Times New Roman" w:hAnsi="Times New Roman" w:cs="Times New Roman"/>
        </w:rPr>
      </w:pPr>
      <w:r w:rsidRPr="00622AD2">
        <w:rPr>
          <w:rFonts w:ascii="Times New Roman" w:hAnsi="Times New Roman" w:cs="Times New Roman"/>
        </w:rPr>
        <w:t xml:space="preserve">The </w:t>
      </w:r>
      <w:hyperlink r:id="rId10" w:history="1">
        <w:r w:rsidRPr="00622AD2">
          <w:rPr>
            <w:rStyle w:val="Hyperlink"/>
            <w:rFonts w:ascii="Times New Roman" w:hAnsi="Times New Roman" w:cs="Times New Roman"/>
          </w:rPr>
          <w:t>National Measurement Institute</w:t>
        </w:r>
      </w:hyperlink>
    </w:p>
    <w:p w14:paraId="7995F9F8" w14:textId="77777777" w:rsidR="00410F07" w:rsidRPr="00622AD2" w:rsidRDefault="00C577FC" w:rsidP="00622AD2">
      <w:pPr>
        <w:pStyle w:val="ListParagraph"/>
        <w:numPr>
          <w:ilvl w:val="0"/>
          <w:numId w:val="31"/>
        </w:numPr>
        <w:rPr>
          <w:rFonts w:ascii="Times New Roman" w:hAnsi="Times New Roman" w:cs="Times New Roman"/>
        </w:rPr>
      </w:pPr>
      <w:hyperlink r:id="rId11" w:history="1">
        <w:r w:rsidR="00410F07" w:rsidRPr="00622AD2">
          <w:rPr>
            <w:rStyle w:val="Hyperlink"/>
            <w:rFonts w:ascii="Times New Roman" w:hAnsi="Times New Roman" w:cs="Times New Roman"/>
          </w:rPr>
          <w:t>Safe Work Australia</w:t>
        </w:r>
      </w:hyperlink>
    </w:p>
    <w:p w14:paraId="09A3A0A6" w14:textId="77777777" w:rsidR="00BA6486" w:rsidRPr="00622AD2" w:rsidRDefault="00BA6486" w:rsidP="00622AD2">
      <w:pPr>
        <w:pStyle w:val="ListParagraph"/>
        <w:numPr>
          <w:ilvl w:val="0"/>
          <w:numId w:val="31"/>
        </w:numPr>
        <w:rPr>
          <w:rFonts w:ascii="Times New Roman" w:hAnsi="Times New Roman" w:cs="Times New Roman"/>
        </w:rPr>
      </w:pPr>
      <w:r w:rsidRPr="00622AD2">
        <w:rPr>
          <w:rFonts w:ascii="Times New Roman" w:hAnsi="Times New Roman" w:cs="Times New Roman"/>
        </w:rPr>
        <w:t xml:space="preserve">The </w:t>
      </w:r>
      <w:hyperlink r:id="rId12" w:history="1">
        <w:r w:rsidR="008A2D2A" w:rsidRPr="00622AD2">
          <w:rPr>
            <w:rStyle w:val="Hyperlink"/>
            <w:rFonts w:ascii="Times New Roman" w:hAnsi="Times New Roman" w:cs="Times New Roman"/>
          </w:rPr>
          <w:t>Customs</w:t>
        </w:r>
        <w:r w:rsidRPr="00622AD2">
          <w:rPr>
            <w:rStyle w:val="Hyperlink"/>
            <w:rFonts w:ascii="Times New Roman" w:hAnsi="Times New Roman" w:cs="Times New Roman"/>
          </w:rPr>
          <w:t xml:space="preserve"> (Prohibited Imports) Regulations 1956</w:t>
        </w:r>
      </w:hyperlink>
    </w:p>
    <w:p w14:paraId="6556B607" w14:textId="77777777" w:rsidR="004048EB" w:rsidRDefault="004048EB">
      <w:pPr>
        <w:rPr>
          <w:rFonts w:ascii="Times New Roman" w:hAnsi="Times New Roman" w:cs="Times New Roman"/>
          <w:b/>
        </w:rPr>
      </w:pPr>
      <w:r>
        <w:rPr>
          <w:rFonts w:ascii="Times New Roman" w:hAnsi="Times New Roman" w:cs="Times New Roman"/>
          <w:b/>
        </w:rPr>
        <w:t>Transitional arrangements</w:t>
      </w:r>
    </w:p>
    <w:p w14:paraId="61300D7F" w14:textId="0A1739FA" w:rsidR="001B0D0B" w:rsidRDefault="007B6176" w:rsidP="007B6176">
      <w:pPr>
        <w:rPr>
          <w:rFonts w:ascii="Times New Roman" w:hAnsi="Times New Roman" w:cs="Times New Roman"/>
        </w:rPr>
      </w:pPr>
      <w:r w:rsidRPr="007B6176">
        <w:rPr>
          <w:rFonts w:ascii="Times New Roman" w:hAnsi="Times New Roman" w:cs="Times New Roman"/>
        </w:rPr>
        <w:t>The instrument provides a transitional period of 180 days beginning on the day th</w:t>
      </w:r>
      <w:r w:rsidR="00B10E9D">
        <w:rPr>
          <w:rFonts w:ascii="Times New Roman" w:hAnsi="Times New Roman" w:cs="Times New Roman"/>
        </w:rPr>
        <w:t>e</w:t>
      </w:r>
      <w:r w:rsidRPr="007B6176">
        <w:rPr>
          <w:rFonts w:ascii="Times New Roman" w:hAnsi="Times New Roman" w:cs="Times New Roman"/>
        </w:rPr>
        <w:t xml:space="preserve"> instrument commences</w:t>
      </w:r>
      <w:r w:rsidR="001B0D0B">
        <w:rPr>
          <w:rFonts w:ascii="Times New Roman" w:hAnsi="Times New Roman" w:cs="Times New Roman"/>
        </w:rPr>
        <w:t>. Cosmetics manufactured</w:t>
      </w:r>
      <w:r w:rsidR="009D426C">
        <w:rPr>
          <w:rFonts w:ascii="Times New Roman" w:hAnsi="Times New Roman" w:cs="Times New Roman"/>
        </w:rPr>
        <w:t xml:space="preserve"> after 31 October 1993 and</w:t>
      </w:r>
      <w:r w:rsidR="001B0D0B">
        <w:rPr>
          <w:rFonts w:ascii="Times New Roman" w:hAnsi="Times New Roman" w:cs="Times New Roman"/>
        </w:rPr>
        <w:t xml:space="preserve"> before the end of 180 days after the commencement of the instrument must meet the requirements of either:</w:t>
      </w:r>
    </w:p>
    <w:p w14:paraId="601AC5A0" w14:textId="77777777" w:rsidR="007B6176" w:rsidRPr="007B6176" w:rsidRDefault="007B6176" w:rsidP="007B6176">
      <w:pPr>
        <w:pStyle w:val="ListParagraph"/>
        <w:numPr>
          <w:ilvl w:val="0"/>
          <w:numId w:val="31"/>
        </w:numPr>
        <w:rPr>
          <w:rFonts w:ascii="Times New Roman" w:hAnsi="Times New Roman" w:cs="Times New Roman"/>
        </w:rPr>
      </w:pPr>
      <w:r w:rsidRPr="007B6176">
        <w:rPr>
          <w:rFonts w:ascii="Times New Roman" w:hAnsi="Times New Roman" w:cs="Times New Roman"/>
        </w:rPr>
        <w:t xml:space="preserve">the </w:t>
      </w:r>
      <w:r w:rsidRPr="001B0D0B">
        <w:rPr>
          <w:rFonts w:ascii="Times New Roman" w:hAnsi="Times New Roman" w:cs="Times New Roman"/>
          <w:i/>
        </w:rPr>
        <w:t>Consumer Goods (Cosmetics) Information Standard 2020</w:t>
      </w:r>
      <w:r w:rsidRPr="007B6176">
        <w:rPr>
          <w:rFonts w:ascii="Times New Roman" w:hAnsi="Times New Roman" w:cs="Times New Roman"/>
        </w:rPr>
        <w:t>, or</w:t>
      </w:r>
    </w:p>
    <w:p w14:paraId="7E1C6496" w14:textId="0B82A073" w:rsidR="007B6176" w:rsidRPr="007B6176" w:rsidRDefault="007B6176" w:rsidP="00A76E1F">
      <w:pPr>
        <w:pStyle w:val="ListParagraph"/>
        <w:numPr>
          <w:ilvl w:val="0"/>
          <w:numId w:val="31"/>
        </w:numPr>
        <w:rPr>
          <w:rFonts w:ascii="Times New Roman" w:hAnsi="Times New Roman" w:cs="Times New Roman"/>
        </w:rPr>
      </w:pPr>
      <w:r w:rsidRPr="007B6176">
        <w:rPr>
          <w:rFonts w:ascii="Times New Roman" w:hAnsi="Times New Roman" w:cs="Times New Roman"/>
        </w:rPr>
        <w:t xml:space="preserve">the </w:t>
      </w:r>
      <w:r w:rsidR="00A76E1F" w:rsidRPr="001B0D0B">
        <w:rPr>
          <w:rFonts w:ascii="Times New Roman" w:hAnsi="Times New Roman" w:cs="Times New Roman"/>
          <w:i/>
        </w:rPr>
        <w:t>Trade Practices (Consumer Product Information Standards) (Cosmetics) Regulations 1991</w:t>
      </w:r>
      <w:r w:rsidR="001B0D0B">
        <w:rPr>
          <w:rFonts w:ascii="Times New Roman" w:hAnsi="Times New Roman" w:cs="Times New Roman"/>
        </w:rPr>
        <w:t>.</w:t>
      </w:r>
    </w:p>
    <w:p w14:paraId="224BCA0D" w14:textId="5B0385DD" w:rsidR="004048EB" w:rsidRPr="009D426C" w:rsidRDefault="009D426C" w:rsidP="007B6176">
      <w:pPr>
        <w:rPr>
          <w:rFonts w:ascii="Times New Roman" w:hAnsi="Times New Roman" w:cs="Times New Roman"/>
        </w:rPr>
      </w:pPr>
      <w:r w:rsidRPr="009D426C">
        <w:rPr>
          <w:rFonts w:ascii="Times New Roman" w:hAnsi="Times New Roman" w:cs="Times New Roman"/>
        </w:rPr>
        <w:t xml:space="preserve">Cosmetics manufactured after 180 days after the commencement of the instrument must meet the requirements of </w:t>
      </w:r>
      <w:r w:rsidR="007B6176" w:rsidRPr="009D426C">
        <w:rPr>
          <w:rFonts w:ascii="Times New Roman" w:hAnsi="Times New Roman" w:cs="Times New Roman"/>
        </w:rPr>
        <w:t xml:space="preserve">the </w:t>
      </w:r>
      <w:r w:rsidR="007B6176" w:rsidRPr="009D426C">
        <w:rPr>
          <w:rFonts w:ascii="Times New Roman" w:hAnsi="Times New Roman" w:cs="Times New Roman"/>
          <w:i/>
        </w:rPr>
        <w:t>Consumer Goods (Cosmetics) Information Standard 2020</w:t>
      </w:r>
      <w:r w:rsidR="007B6176" w:rsidRPr="009D426C">
        <w:rPr>
          <w:rFonts w:ascii="Times New Roman" w:hAnsi="Times New Roman" w:cs="Times New Roman"/>
        </w:rPr>
        <w:t>.</w:t>
      </w:r>
    </w:p>
    <w:p w14:paraId="50931C6E" w14:textId="77777777" w:rsidR="00D228FE" w:rsidRPr="00D228FE" w:rsidRDefault="00D228FE">
      <w:pPr>
        <w:rPr>
          <w:rFonts w:ascii="Times New Roman" w:hAnsi="Times New Roman" w:cs="Times New Roman"/>
          <w:b/>
        </w:rPr>
      </w:pPr>
      <w:r w:rsidRPr="00D228FE">
        <w:rPr>
          <w:rFonts w:ascii="Times New Roman" w:hAnsi="Times New Roman" w:cs="Times New Roman"/>
          <w:b/>
        </w:rPr>
        <w:t>Consultation</w:t>
      </w:r>
    </w:p>
    <w:p w14:paraId="2E1CB160" w14:textId="5D3B3E01" w:rsidR="009D426C" w:rsidRDefault="00D44A4D" w:rsidP="007F0AAB">
      <w:pPr>
        <w:rPr>
          <w:rFonts w:ascii="Times New Roman" w:hAnsi="Times New Roman" w:cs="Times New Roman"/>
        </w:rPr>
      </w:pPr>
      <w:r>
        <w:rPr>
          <w:rFonts w:ascii="Times New Roman" w:hAnsi="Times New Roman" w:cs="Times New Roman"/>
        </w:rPr>
        <w:t xml:space="preserve">The ACCC </w:t>
      </w:r>
      <w:r w:rsidR="00906D06">
        <w:rPr>
          <w:rFonts w:ascii="Times New Roman" w:hAnsi="Times New Roman" w:cs="Times New Roman"/>
        </w:rPr>
        <w:t>consulted</w:t>
      </w:r>
      <w:r w:rsidR="00715516">
        <w:rPr>
          <w:rFonts w:ascii="Times New Roman" w:hAnsi="Times New Roman" w:cs="Times New Roman"/>
        </w:rPr>
        <w:t xml:space="preserve"> on an exposure draft instrument</w:t>
      </w:r>
      <w:r w:rsidR="009D426C">
        <w:rPr>
          <w:rFonts w:ascii="Times New Roman" w:hAnsi="Times New Roman" w:cs="Times New Roman"/>
        </w:rPr>
        <w:t xml:space="preserve"> from 22 August to 4 September 2020. A total </w:t>
      </w:r>
      <w:r w:rsidR="007F0AAB">
        <w:rPr>
          <w:rFonts w:ascii="Times New Roman" w:hAnsi="Times New Roman" w:cs="Times New Roman"/>
        </w:rPr>
        <w:t>of 20 submissions were received from industry, consumer groups, suppliers, manufacturers, government and online platforms.</w:t>
      </w:r>
    </w:p>
    <w:p w14:paraId="394994EC" w14:textId="10DFABC7" w:rsidR="00333CE4" w:rsidRDefault="00333CE4" w:rsidP="007F0AAB">
      <w:pPr>
        <w:rPr>
          <w:rFonts w:ascii="Times New Roman" w:hAnsi="Times New Roman" w:cs="Times New Roman"/>
        </w:rPr>
      </w:pPr>
      <w:r>
        <w:rPr>
          <w:rFonts w:ascii="Times New Roman" w:hAnsi="Times New Roman" w:cs="Times New Roman"/>
        </w:rPr>
        <w:t xml:space="preserve">All stakeholders supported a requirement to display warnings, with one submission </w:t>
      </w:r>
      <w:r w:rsidR="00DF1E5F">
        <w:rPr>
          <w:rFonts w:ascii="Times New Roman" w:hAnsi="Times New Roman" w:cs="Times New Roman"/>
        </w:rPr>
        <w:t>proposing</w:t>
      </w:r>
      <w:r>
        <w:rPr>
          <w:rFonts w:ascii="Times New Roman" w:hAnsi="Times New Roman" w:cs="Times New Roman"/>
        </w:rPr>
        <w:t xml:space="preserve"> that this </w:t>
      </w:r>
      <w:r w:rsidR="00291002">
        <w:rPr>
          <w:rFonts w:ascii="Times New Roman" w:hAnsi="Times New Roman" w:cs="Times New Roman"/>
        </w:rPr>
        <w:t>sh</w:t>
      </w:r>
      <w:r>
        <w:rPr>
          <w:rFonts w:ascii="Times New Roman" w:hAnsi="Times New Roman" w:cs="Times New Roman"/>
        </w:rPr>
        <w:t>ould be achieved th</w:t>
      </w:r>
      <w:r w:rsidR="00080C44">
        <w:rPr>
          <w:rFonts w:ascii="Times New Roman" w:hAnsi="Times New Roman" w:cs="Times New Roman"/>
        </w:rPr>
        <w:t>rough industry self-regulation.</w:t>
      </w:r>
    </w:p>
    <w:p w14:paraId="43068E0D" w14:textId="5C5F89B0" w:rsidR="00333CE4" w:rsidRDefault="00333CE4" w:rsidP="007F0AAB">
      <w:pPr>
        <w:rPr>
          <w:rFonts w:ascii="Times New Roman" w:hAnsi="Times New Roman" w:cs="Times New Roman"/>
        </w:rPr>
      </w:pPr>
      <w:r>
        <w:rPr>
          <w:rFonts w:ascii="Times New Roman" w:hAnsi="Times New Roman" w:cs="Times New Roman"/>
        </w:rPr>
        <w:t xml:space="preserve">The majority of submissions (15) were supportive of a requirement to disclose alcohol content. </w:t>
      </w:r>
      <w:r w:rsidR="00291002">
        <w:rPr>
          <w:rFonts w:ascii="Times New Roman" w:hAnsi="Times New Roman" w:cs="Times New Roman"/>
        </w:rPr>
        <w:t xml:space="preserve">One submission did not support the </w:t>
      </w:r>
      <w:r w:rsidR="00080C44">
        <w:rPr>
          <w:rFonts w:ascii="Times New Roman" w:hAnsi="Times New Roman" w:cs="Times New Roman"/>
        </w:rPr>
        <w:t>disclosure of alcohol content.</w:t>
      </w:r>
    </w:p>
    <w:p w14:paraId="67F9D357" w14:textId="77777777" w:rsidR="00850841" w:rsidRDefault="00D44A4D">
      <w:pPr>
        <w:rPr>
          <w:rFonts w:ascii="Times New Roman" w:hAnsi="Times New Roman" w:cs="Times New Roman"/>
        </w:rPr>
      </w:pPr>
      <w:r>
        <w:rPr>
          <w:rFonts w:ascii="Times New Roman" w:hAnsi="Times New Roman" w:cs="Times New Roman"/>
        </w:rPr>
        <w:t>In addition, t</w:t>
      </w:r>
      <w:r w:rsidR="00850841">
        <w:rPr>
          <w:rFonts w:ascii="Times New Roman" w:hAnsi="Times New Roman" w:cs="Times New Roman"/>
        </w:rPr>
        <w:t xml:space="preserve">he Australian Industrial Chemical </w:t>
      </w:r>
      <w:r w:rsidR="00F72D05">
        <w:rPr>
          <w:rFonts w:ascii="Times New Roman" w:hAnsi="Times New Roman" w:cs="Times New Roman"/>
        </w:rPr>
        <w:t>Introduction</w:t>
      </w:r>
      <w:r w:rsidR="00850841">
        <w:rPr>
          <w:rFonts w:ascii="Times New Roman" w:hAnsi="Times New Roman" w:cs="Times New Roman"/>
        </w:rPr>
        <w:t xml:space="preserve"> Scheme (AIC</w:t>
      </w:r>
      <w:r w:rsidR="00F72D05">
        <w:rPr>
          <w:rFonts w:ascii="Times New Roman" w:hAnsi="Times New Roman" w:cs="Times New Roman"/>
        </w:rPr>
        <w:t>I</w:t>
      </w:r>
      <w:r w:rsidR="00850841">
        <w:rPr>
          <w:rFonts w:ascii="Times New Roman" w:hAnsi="Times New Roman" w:cs="Times New Roman"/>
        </w:rPr>
        <w:t>S), the Therapeutic Goods Administration (TGA)</w:t>
      </w:r>
      <w:r w:rsidR="00715516">
        <w:rPr>
          <w:rFonts w:ascii="Times New Roman" w:hAnsi="Times New Roman" w:cs="Times New Roman"/>
        </w:rPr>
        <w:t>, the National Measurement Institute (NMI)</w:t>
      </w:r>
      <w:r w:rsidR="00850841">
        <w:rPr>
          <w:rFonts w:ascii="Times New Roman" w:hAnsi="Times New Roman" w:cs="Times New Roman"/>
        </w:rPr>
        <w:t xml:space="preserve"> and </w:t>
      </w:r>
      <w:r w:rsidR="00715516">
        <w:rPr>
          <w:rFonts w:ascii="Times New Roman" w:hAnsi="Times New Roman" w:cs="Times New Roman"/>
        </w:rPr>
        <w:t>the Department of Industry were</w:t>
      </w:r>
      <w:r w:rsidR="00850841">
        <w:rPr>
          <w:rFonts w:ascii="Times New Roman" w:hAnsi="Times New Roman" w:cs="Times New Roman"/>
        </w:rPr>
        <w:t xml:space="preserve"> consulted in the preparation of this Information Standard.</w:t>
      </w:r>
    </w:p>
    <w:p w14:paraId="762DAAF6" w14:textId="77777777" w:rsidR="004048EB" w:rsidRDefault="004048EB" w:rsidP="007B6176">
      <w:pPr>
        <w:keepNext/>
        <w:rPr>
          <w:rFonts w:ascii="Times New Roman" w:hAnsi="Times New Roman" w:cs="Times New Roman"/>
          <w:b/>
        </w:rPr>
      </w:pPr>
      <w:r>
        <w:rPr>
          <w:rFonts w:ascii="Times New Roman" w:hAnsi="Times New Roman" w:cs="Times New Roman"/>
          <w:b/>
        </w:rPr>
        <w:t>Disallowance</w:t>
      </w:r>
    </w:p>
    <w:p w14:paraId="510490F5" w14:textId="5B24AF70" w:rsidR="004048EB" w:rsidRPr="004048EB" w:rsidRDefault="007B6176">
      <w:pPr>
        <w:rPr>
          <w:rFonts w:ascii="Times New Roman" w:hAnsi="Times New Roman" w:cs="Times New Roman"/>
        </w:rPr>
      </w:pPr>
      <w:r w:rsidRPr="007B6176">
        <w:rPr>
          <w:rFonts w:ascii="Times New Roman" w:hAnsi="Times New Roman" w:cs="Times New Roman"/>
        </w:rPr>
        <w:t>This legislative instrument is not s</w:t>
      </w:r>
      <w:r w:rsidR="007C11E1">
        <w:rPr>
          <w:rFonts w:ascii="Times New Roman" w:hAnsi="Times New Roman" w:cs="Times New Roman"/>
        </w:rPr>
        <w:t xml:space="preserve">ubject to disallowance due to </w:t>
      </w:r>
      <w:r w:rsidRPr="007B6176">
        <w:rPr>
          <w:rFonts w:ascii="Times New Roman" w:hAnsi="Times New Roman" w:cs="Times New Roman"/>
        </w:rPr>
        <w:t>section 44 of the Legislation Act 2003 (Cth).</w:t>
      </w:r>
    </w:p>
    <w:p w14:paraId="3739EEEE" w14:textId="77777777" w:rsidR="007B6176" w:rsidRDefault="004048EB">
      <w:pPr>
        <w:rPr>
          <w:rFonts w:ascii="Times New Roman" w:hAnsi="Times New Roman" w:cs="Times New Roman"/>
          <w:b/>
        </w:rPr>
      </w:pPr>
      <w:r>
        <w:rPr>
          <w:rFonts w:ascii="Times New Roman" w:hAnsi="Times New Roman" w:cs="Times New Roman"/>
          <w:b/>
        </w:rPr>
        <w:lastRenderedPageBreak/>
        <w:t>Commencement</w:t>
      </w:r>
    </w:p>
    <w:p w14:paraId="448FF7D4" w14:textId="77777777" w:rsidR="004048EB" w:rsidRPr="007B6176" w:rsidRDefault="007B6176">
      <w:pPr>
        <w:rPr>
          <w:rFonts w:ascii="Times New Roman" w:hAnsi="Times New Roman" w:cs="Times New Roman"/>
          <w:b/>
        </w:rPr>
      </w:pPr>
      <w:r w:rsidRPr="007B6176">
        <w:rPr>
          <w:rFonts w:ascii="Times New Roman" w:hAnsi="Times New Roman" w:cs="Times New Roman"/>
        </w:rPr>
        <w:t>The legislative instrument commences on the day after it is registered on the Federal Register of Legislation.</w:t>
      </w:r>
    </w:p>
    <w:p w14:paraId="622351E9" w14:textId="77777777" w:rsidR="004048EB" w:rsidRDefault="004048EB" w:rsidP="007B6176">
      <w:pPr>
        <w:keepNext/>
        <w:rPr>
          <w:rFonts w:ascii="Times New Roman" w:hAnsi="Times New Roman" w:cs="Times New Roman"/>
          <w:b/>
        </w:rPr>
      </w:pPr>
      <w:r>
        <w:rPr>
          <w:rFonts w:ascii="Times New Roman" w:hAnsi="Times New Roman" w:cs="Times New Roman"/>
          <w:b/>
        </w:rPr>
        <w:t>Sunsetting</w:t>
      </w:r>
    </w:p>
    <w:p w14:paraId="000A45F1" w14:textId="77777777" w:rsidR="004048EB" w:rsidRPr="007B6176" w:rsidRDefault="007B6176">
      <w:pPr>
        <w:rPr>
          <w:rFonts w:ascii="Times New Roman" w:hAnsi="Times New Roman" w:cs="Times New Roman"/>
        </w:rPr>
      </w:pPr>
      <w:r w:rsidRPr="007B6176">
        <w:rPr>
          <w:rFonts w:ascii="Times New Roman" w:hAnsi="Times New Roman" w:cs="Times New Roman"/>
        </w:rPr>
        <w:t>This legislative instrument is not subject to sunsetting due to section 54 of the Legislation Act 2003 (Cth).</w:t>
      </w:r>
    </w:p>
    <w:p w14:paraId="2529F06A" w14:textId="77777777" w:rsidR="004048EB" w:rsidRDefault="004048EB">
      <w:pPr>
        <w:rPr>
          <w:rFonts w:ascii="Times New Roman" w:hAnsi="Times New Roman" w:cs="Times New Roman"/>
          <w:b/>
        </w:rPr>
      </w:pPr>
      <w:r>
        <w:rPr>
          <w:rFonts w:ascii="Times New Roman" w:hAnsi="Times New Roman" w:cs="Times New Roman"/>
          <w:b/>
        </w:rPr>
        <w:t>Regulation impact assessment</w:t>
      </w:r>
    </w:p>
    <w:p w14:paraId="54F8DF62" w14:textId="77777777" w:rsidR="007B6176" w:rsidRDefault="007B6176">
      <w:pPr>
        <w:rPr>
          <w:rFonts w:ascii="Times New Roman" w:hAnsi="Times New Roman" w:cs="Times New Roman"/>
        </w:rPr>
      </w:pPr>
      <w:r w:rsidRPr="007B6176">
        <w:rPr>
          <w:rFonts w:ascii="Times New Roman" w:hAnsi="Times New Roman" w:cs="Times New Roman"/>
        </w:rPr>
        <w:t xml:space="preserve">The Office of Best Practice Regulation advised that a Regulation Impact Statement was not required (OBPR reference ID </w:t>
      </w:r>
      <w:r>
        <w:rPr>
          <w:rFonts w:ascii="Times New Roman" w:hAnsi="Times New Roman" w:cs="Times New Roman"/>
        </w:rPr>
        <w:t>42540).</w:t>
      </w:r>
    </w:p>
    <w:p w14:paraId="6A9EA803" w14:textId="77777777" w:rsidR="007B6176" w:rsidRDefault="007B6176" w:rsidP="004048EB">
      <w:pPr>
        <w:keepNext/>
        <w:rPr>
          <w:rFonts w:ascii="Times New Roman" w:hAnsi="Times New Roman" w:cs="Times New Roman"/>
          <w:b/>
        </w:rPr>
      </w:pPr>
    </w:p>
    <w:p w14:paraId="63A06D21" w14:textId="77777777" w:rsidR="007B6176" w:rsidRDefault="007B6176" w:rsidP="004048EB">
      <w:pPr>
        <w:keepNext/>
        <w:rPr>
          <w:rFonts w:ascii="Times New Roman" w:hAnsi="Times New Roman" w:cs="Times New Roman"/>
          <w:b/>
        </w:rPr>
      </w:pPr>
    </w:p>
    <w:p w14:paraId="63F4A9D4" w14:textId="77777777" w:rsidR="008E3F15" w:rsidRDefault="008E3F15">
      <w:pPr>
        <w:rPr>
          <w:rFonts w:ascii="Times New Roman" w:hAnsi="Times New Roman" w:cs="Times New Roman"/>
          <w:b/>
        </w:rPr>
      </w:pPr>
      <w:r>
        <w:rPr>
          <w:rFonts w:ascii="Times New Roman" w:hAnsi="Times New Roman" w:cs="Times New Roman"/>
          <w:b/>
        </w:rPr>
        <w:br w:type="page"/>
      </w:r>
    </w:p>
    <w:p w14:paraId="25AD50CC" w14:textId="6B4CF0E6" w:rsidR="008E3F15" w:rsidRDefault="008E3F15" w:rsidP="008E3F15">
      <w:pPr>
        <w:keepNext/>
        <w:jc w:val="center"/>
        <w:rPr>
          <w:rFonts w:ascii="Times New Roman" w:hAnsi="Times New Roman" w:cs="Times New Roman"/>
          <w:b/>
        </w:rPr>
      </w:pPr>
      <w:r>
        <w:rPr>
          <w:rFonts w:ascii="Times New Roman" w:hAnsi="Times New Roman" w:cs="Times New Roman"/>
          <w:b/>
        </w:rPr>
        <w:lastRenderedPageBreak/>
        <w:t>ATTACHMENT A</w:t>
      </w:r>
    </w:p>
    <w:p w14:paraId="13D48C6E" w14:textId="77777777" w:rsidR="00D228FE" w:rsidRPr="008E3F15" w:rsidRDefault="00D228FE" w:rsidP="008E3F15">
      <w:pPr>
        <w:spacing w:after="240"/>
        <w:jc w:val="center"/>
        <w:rPr>
          <w:rFonts w:ascii="Times New Roman" w:hAnsi="Times New Roman" w:cs="Times New Roman"/>
          <w:i/>
        </w:rPr>
      </w:pPr>
      <w:r w:rsidRPr="008E3F15">
        <w:rPr>
          <w:rFonts w:ascii="Times New Roman" w:hAnsi="Times New Roman" w:cs="Times New Roman"/>
          <w:i/>
        </w:rPr>
        <w:t>Detailed explanation of the Information Standard’s provisions</w:t>
      </w:r>
    </w:p>
    <w:p w14:paraId="5C1C05BE" w14:textId="77777777" w:rsidR="00D228FE" w:rsidRDefault="00D228FE">
      <w:pPr>
        <w:rPr>
          <w:rFonts w:ascii="Times New Roman" w:hAnsi="Times New Roman" w:cs="Times New Roman"/>
          <w:b/>
          <w:u w:val="single"/>
        </w:rPr>
      </w:pPr>
      <w:r w:rsidRPr="00D228FE">
        <w:rPr>
          <w:rFonts w:ascii="Times New Roman" w:hAnsi="Times New Roman" w:cs="Times New Roman"/>
          <w:b/>
          <w:u w:val="single"/>
        </w:rPr>
        <w:t xml:space="preserve">Part 1 </w:t>
      </w:r>
      <w:r>
        <w:rPr>
          <w:rFonts w:ascii="Times New Roman" w:hAnsi="Times New Roman" w:cs="Times New Roman"/>
          <w:b/>
          <w:u w:val="single"/>
        </w:rPr>
        <w:t>–</w:t>
      </w:r>
      <w:r w:rsidRPr="00D228FE">
        <w:rPr>
          <w:rFonts w:ascii="Times New Roman" w:hAnsi="Times New Roman" w:cs="Times New Roman"/>
          <w:b/>
          <w:u w:val="single"/>
        </w:rPr>
        <w:t xml:space="preserve"> </w:t>
      </w:r>
      <w:r w:rsidR="004543A5">
        <w:rPr>
          <w:rFonts w:ascii="Times New Roman" w:hAnsi="Times New Roman" w:cs="Times New Roman"/>
          <w:b/>
          <w:u w:val="single"/>
        </w:rPr>
        <w:t>Preliminary</w:t>
      </w:r>
    </w:p>
    <w:p w14:paraId="3A152330" w14:textId="4D81B97F" w:rsidR="00D228FE" w:rsidRDefault="00080C44">
      <w:pPr>
        <w:rPr>
          <w:rFonts w:ascii="Times New Roman" w:hAnsi="Times New Roman" w:cs="Times New Roman"/>
          <w:u w:val="single"/>
        </w:rPr>
      </w:pPr>
      <w:r>
        <w:rPr>
          <w:rFonts w:ascii="Times New Roman" w:hAnsi="Times New Roman" w:cs="Times New Roman"/>
          <w:u w:val="single"/>
        </w:rPr>
        <w:t>Section 1 – Name</w:t>
      </w:r>
    </w:p>
    <w:p w14:paraId="57F3C81F" w14:textId="77777777" w:rsidR="00D228FE" w:rsidRDefault="00D228FE" w:rsidP="00D228FE">
      <w:pPr>
        <w:rPr>
          <w:rFonts w:ascii="Times New Roman" w:hAnsi="Times New Roman" w:cs="Times New Roman"/>
          <w:i/>
        </w:rPr>
      </w:pPr>
      <w:r>
        <w:rPr>
          <w:rFonts w:ascii="Times New Roman" w:hAnsi="Times New Roman" w:cs="Times New Roman"/>
        </w:rPr>
        <w:t xml:space="preserve">This section provides the title of the Information Standard: </w:t>
      </w:r>
      <w:r w:rsidRPr="00D228FE">
        <w:rPr>
          <w:rFonts w:ascii="Times New Roman" w:hAnsi="Times New Roman" w:cs="Times New Roman"/>
          <w:i/>
        </w:rPr>
        <w:t>Consumer Goods (Cosmetics) Information Standard 2020</w:t>
      </w:r>
      <w:r>
        <w:rPr>
          <w:rFonts w:ascii="Times New Roman" w:hAnsi="Times New Roman" w:cs="Times New Roman"/>
          <w:i/>
        </w:rPr>
        <w:t>.</w:t>
      </w:r>
    </w:p>
    <w:p w14:paraId="3E512561" w14:textId="77777777" w:rsidR="004543A5" w:rsidRDefault="004543A5" w:rsidP="004543A5">
      <w:pPr>
        <w:rPr>
          <w:rFonts w:ascii="Times New Roman" w:hAnsi="Times New Roman" w:cs="Times New Roman"/>
          <w:u w:val="single"/>
        </w:rPr>
      </w:pPr>
      <w:r>
        <w:rPr>
          <w:rFonts w:ascii="Times New Roman" w:hAnsi="Times New Roman" w:cs="Times New Roman"/>
          <w:u w:val="single"/>
        </w:rPr>
        <w:t>Section 2</w:t>
      </w:r>
      <w:r w:rsidRPr="00D228FE">
        <w:rPr>
          <w:rFonts w:ascii="Times New Roman" w:hAnsi="Times New Roman" w:cs="Times New Roman"/>
          <w:u w:val="single"/>
        </w:rPr>
        <w:t xml:space="preserve"> – </w:t>
      </w:r>
      <w:r>
        <w:rPr>
          <w:rFonts w:ascii="Times New Roman" w:hAnsi="Times New Roman" w:cs="Times New Roman"/>
          <w:u w:val="single"/>
        </w:rPr>
        <w:t>Commencement</w:t>
      </w:r>
      <w:r w:rsidRPr="00D228FE">
        <w:rPr>
          <w:rFonts w:ascii="Times New Roman" w:hAnsi="Times New Roman" w:cs="Times New Roman"/>
          <w:u w:val="single"/>
        </w:rPr>
        <w:t xml:space="preserve"> </w:t>
      </w:r>
    </w:p>
    <w:p w14:paraId="4A13C517" w14:textId="77777777" w:rsidR="004543A5" w:rsidRPr="00D228FE" w:rsidRDefault="00A844AF" w:rsidP="004543A5">
      <w:pPr>
        <w:rPr>
          <w:rFonts w:ascii="Times New Roman" w:hAnsi="Times New Roman" w:cs="Times New Roman"/>
        </w:rPr>
      </w:pPr>
      <w:r>
        <w:rPr>
          <w:rFonts w:ascii="Times New Roman" w:hAnsi="Times New Roman" w:cs="Times New Roman"/>
        </w:rPr>
        <w:t>This section provides that th</w:t>
      </w:r>
      <w:r w:rsidR="00850841">
        <w:rPr>
          <w:rFonts w:ascii="Times New Roman" w:hAnsi="Times New Roman" w:cs="Times New Roman"/>
        </w:rPr>
        <w:t>e Information Standard commences on the day after it is registered on the Federal Register of Legislation</w:t>
      </w:r>
      <w:r>
        <w:rPr>
          <w:rFonts w:ascii="Times New Roman" w:hAnsi="Times New Roman" w:cs="Times New Roman"/>
        </w:rPr>
        <w:t>.</w:t>
      </w:r>
    </w:p>
    <w:p w14:paraId="737CEECD" w14:textId="4E05125A" w:rsidR="004543A5" w:rsidRDefault="004543A5" w:rsidP="004543A5">
      <w:pPr>
        <w:rPr>
          <w:rFonts w:ascii="Times New Roman" w:hAnsi="Times New Roman" w:cs="Times New Roman"/>
          <w:u w:val="single"/>
        </w:rPr>
      </w:pPr>
      <w:r>
        <w:rPr>
          <w:rFonts w:ascii="Times New Roman" w:hAnsi="Times New Roman" w:cs="Times New Roman"/>
          <w:u w:val="single"/>
        </w:rPr>
        <w:t>Section 3</w:t>
      </w:r>
      <w:r w:rsidRPr="00D228FE">
        <w:rPr>
          <w:rFonts w:ascii="Times New Roman" w:hAnsi="Times New Roman" w:cs="Times New Roman"/>
          <w:u w:val="single"/>
        </w:rPr>
        <w:t xml:space="preserve"> – </w:t>
      </w:r>
      <w:r>
        <w:rPr>
          <w:rFonts w:ascii="Times New Roman" w:hAnsi="Times New Roman" w:cs="Times New Roman"/>
          <w:u w:val="single"/>
        </w:rPr>
        <w:t>Authority</w:t>
      </w:r>
    </w:p>
    <w:p w14:paraId="1AE21A72" w14:textId="77777777" w:rsidR="004543A5" w:rsidRDefault="009D25B1" w:rsidP="004543A5">
      <w:pPr>
        <w:rPr>
          <w:rFonts w:ascii="Times New Roman" w:hAnsi="Times New Roman" w:cs="Times New Roman"/>
        </w:rPr>
      </w:pPr>
      <w:r>
        <w:rPr>
          <w:rFonts w:ascii="Times New Roman" w:hAnsi="Times New Roman" w:cs="Times New Roman"/>
        </w:rPr>
        <w:t>This section provides that the Information Standard is made under section 134 of the Australian Consumer Law.</w:t>
      </w:r>
    </w:p>
    <w:p w14:paraId="6F1D5783" w14:textId="3AB3B255" w:rsidR="004543A5" w:rsidRDefault="004543A5" w:rsidP="004543A5">
      <w:pPr>
        <w:rPr>
          <w:rFonts w:ascii="Times New Roman" w:hAnsi="Times New Roman" w:cs="Times New Roman"/>
          <w:u w:val="single"/>
        </w:rPr>
      </w:pPr>
      <w:r>
        <w:rPr>
          <w:rFonts w:ascii="Times New Roman" w:hAnsi="Times New Roman" w:cs="Times New Roman"/>
          <w:u w:val="single"/>
        </w:rPr>
        <w:t>Section 4</w:t>
      </w:r>
      <w:r w:rsidRPr="00D228FE">
        <w:rPr>
          <w:rFonts w:ascii="Times New Roman" w:hAnsi="Times New Roman" w:cs="Times New Roman"/>
          <w:u w:val="single"/>
        </w:rPr>
        <w:t xml:space="preserve"> – </w:t>
      </w:r>
      <w:r>
        <w:rPr>
          <w:rFonts w:ascii="Times New Roman" w:hAnsi="Times New Roman" w:cs="Times New Roman"/>
          <w:u w:val="single"/>
        </w:rPr>
        <w:t>Schedules</w:t>
      </w:r>
    </w:p>
    <w:p w14:paraId="53B31D19" w14:textId="378D1678" w:rsidR="004543A5" w:rsidRDefault="00541CFA" w:rsidP="004543A5">
      <w:pPr>
        <w:rPr>
          <w:rFonts w:ascii="Times New Roman" w:hAnsi="Times New Roman" w:cs="Times New Roman"/>
        </w:rPr>
      </w:pPr>
      <w:r>
        <w:rPr>
          <w:rFonts w:ascii="Times New Roman" w:hAnsi="Times New Roman" w:cs="Times New Roman"/>
        </w:rPr>
        <w:t>This section provide</w:t>
      </w:r>
      <w:r w:rsidR="00111637">
        <w:rPr>
          <w:rFonts w:ascii="Times New Roman" w:hAnsi="Times New Roman" w:cs="Times New Roman"/>
        </w:rPr>
        <w:t>s the way in which the Information Standard may operate in conjunction with other instruments specifi</w:t>
      </w:r>
      <w:r w:rsidR="00080C44">
        <w:rPr>
          <w:rFonts w:ascii="Times New Roman" w:hAnsi="Times New Roman" w:cs="Times New Roman"/>
        </w:rPr>
        <w:t>ed in the Information Standard.</w:t>
      </w:r>
    </w:p>
    <w:p w14:paraId="19702020" w14:textId="73ABE471" w:rsidR="004543A5" w:rsidRDefault="004543A5" w:rsidP="004543A5">
      <w:pPr>
        <w:rPr>
          <w:rFonts w:ascii="Times New Roman" w:hAnsi="Times New Roman" w:cs="Times New Roman"/>
          <w:u w:val="single"/>
        </w:rPr>
      </w:pPr>
      <w:r>
        <w:rPr>
          <w:rFonts w:ascii="Times New Roman" w:hAnsi="Times New Roman" w:cs="Times New Roman"/>
          <w:u w:val="single"/>
        </w:rPr>
        <w:t>Section 5</w:t>
      </w:r>
      <w:r w:rsidRPr="00D228FE">
        <w:rPr>
          <w:rFonts w:ascii="Times New Roman" w:hAnsi="Times New Roman" w:cs="Times New Roman"/>
          <w:u w:val="single"/>
        </w:rPr>
        <w:t xml:space="preserve"> – </w:t>
      </w:r>
      <w:r>
        <w:rPr>
          <w:rFonts w:ascii="Times New Roman" w:hAnsi="Times New Roman" w:cs="Times New Roman"/>
          <w:u w:val="single"/>
        </w:rPr>
        <w:t>Application</w:t>
      </w:r>
    </w:p>
    <w:p w14:paraId="7D8D2F82" w14:textId="55F412C8" w:rsidR="004543A5" w:rsidRDefault="00D20414" w:rsidP="004543A5">
      <w:pPr>
        <w:rPr>
          <w:rFonts w:ascii="Times New Roman" w:hAnsi="Times New Roman" w:cs="Times New Roman"/>
        </w:rPr>
      </w:pPr>
      <w:r>
        <w:rPr>
          <w:rFonts w:ascii="Times New Roman" w:hAnsi="Times New Roman" w:cs="Times New Roman"/>
        </w:rPr>
        <w:t>This section sets out the circumstances in which th</w:t>
      </w:r>
      <w:r w:rsidR="000F05FF">
        <w:rPr>
          <w:rFonts w:ascii="Times New Roman" w:hAnsi="Times New Roman" w:cs="Times New Roman"/>
        </w:rPr>
        <w:t>e i</w:t>
      </w:r>
      <w:r>
        <w:rPr>
          <w:rFonts w:ascii="Times New Roman" w:hAnsi="Times New Roman" w:cs="Times New Roman"/>
        </w:rPr>
        <w:t xml:space="preserve">nformation </w:t>
      </w:r>
      <w:r w:rsidR="000F05FF">
        <w:rPr>
          <w:rFonts w:ascii="Times New Roman" w:hAnsi="Times New Roman" w:cs="Times New Roman"/>
        </w:rPr>
        <w:t>s</w:t>
      </w:r>
      <w:r>
        <w:rPr>
          <w:rFonts w:ascii="Times New Roman" w:hAnsi="Times New Roman" w:cs="Times New Roman"/>
        </w:rPr>
        <w:t xml:space="preserve">tandard applies, and exemptions to </w:t>
      </w:r>
      <w:r w:rsidR="000F05FF">
        <w:rPr>
          <w:rFonts w:ascii="Times New Roman" w:hAnsi="Times New Roman" w:cs="Times New Roman"/>
        </w:rPr>
        <w:t>it</w:t>
      </w:r>
      <w:r>
        <w:rPr>
          <w:rFonts w:ascii="Times New Roman" w:hAnsi="Times New Roman" w:cs="Times New Roman"/>
        </w:rPr>
        <w:t xml:space="preserve">, including the types of products and circumstances to which the </w:t>
      </w:r>
      <w:r w:rsidR="004C043B">
        <w:rPr>
          <w:rFonts w:ascii="Times New Roman" w:hAnsi="Times New Roman" w:cs="Times New Roman"/>
        </w:rPr>
        <w:t>standard</w:t>
      </w:r>
      <w:r w:rsidR="00080C44">
        <w:rPr>
          <w:rFonts w:ascii="Times New Roman" w:hAnsi="Times New Roman" w:cs="Times New Roman"/>
        </w:rPr>
        <w:t xml:space="preserve"> does or does not apply.</w:t>
      </w:r>
    </w:p>
    <w:p w14:paraId="5A504A54" w14:textId="7A9FB0DC" w:rsidR="008D2852" w:rsidRDefault="00384F81" w:rsidP="00384F81">
      <w:pPr>
        <w:rPr>
          <w:rFonts w:ascii="Times New Roman" w:hAnsi="Times New Roman" w:cs="Times New Roman"/>
        </w:rPr>
      </w:pPr>
      <w:r>
        <w:rPr>
          <w:rFonts w:ascii="Times New Roman" w:hAnsi="Times New Roman" w:cs="Times New Roman"/>
        </w:rPr>
        <w:t xml:space="preserve">The </w:t>
      </w:r>
      <w:r w:rsidR="007B0DEB">
        <w:rPr>
          <w:rFonts w:ascii="Times New Roman" w:hAnsi="Times New Roman" w:cs="Times New Roman"/>
        </w:rPr>
        <w:t>i</w:t>
      </w:r>
      <w:r>
        <w:rPr>
          <w:rFonts w:ascii="Times New Roman" w:hAnsi="Times New Roman" w:cs="Times New Roman"/>
        </w:rPr>
        <w:t xml:space="preserve">nformation </w:t>
      </w:r>
      <w:r w:rsidR="007B0DEB">
        <w:rPr>
          <w:rFonts w:ascii="Times New Roman" w:hAnsi="Times New Roman" w:cs="Times New Roman"/>
        </w:rPr>
        <w:t>s</w:t>
      </w:r>
      <w:r>
        <w:rPr>
          <w:rFonts w:ascii="Times New Roman" w:hAnsi="Times New Roman" w:cs="Times New Roman"/>
        </w:rPr>
        <w:t xml:space="preserve">tandard </w:t>
      </w:r>
      <w:r w:rsidR="008D2852">
        <w:rPr>
          <w:rFonts w:ascii="Times New Roman" w:hAnsi="Times New Roman" w:cs="Times New Roman"/>
        </w:rPr>
        <w:t xml:space="preserve">provides a definition of </w:t>
      </w:r>
      <w:r w:rsidR="005620F9">
        <w:rPr>
          <w:rFonts w:ascii="Times New Roman" w:hAnsi="Times New Roman" w:cs="Times New Roman"/>
        </w:rPr>
        <w:t xml:space="preserve">a </w:t>
      </w:r>
      <w:r>
        <w:rPr>
          <w:rFonts w:ascii="Times New Roman" w:hAnsi="Times New Roman" w:cs="Times New Roman"/>
        </w:rPr>
        <w:t>“cosmetic product”</w:t>
      </w:r>
      <w:r w:rsidR="008D2852">
        <w:rPr>
          <w:rFonts w:ascii="Times New Roman" w:hAnsi="Times New Roman" w:cs="Times New Roman"/>
        </w:rPr>
        <w:t>.</w:t>
      </w:r>
    </w:p>
    <w:p w14:paraId="2C647DCC" w14:textId="65459322" w:rsidR="00384F81" w:rsidRDefault="004C043B" w:rsidP="00384F81">
      <w:pPr>
        <w:rPr>
          <w:rFonts w:ascii="Times New Roman" w:hAnsi="Times New Roman" w:cs="Times New Roman"/>
        </w:rPr>
      </w:pPr>
      <w:r>
        <w:rPr>
          <w:rFonts w:ascii="Times New Roman" w:hAnsi="Times New Roman" w:cs="Times New Roman"/>
        </w:rPr>
        <w:t>The ACCC</w:t>
      </w:r>
      <w:r w:rsidR="00384F81">
        <w:rPr>
          <w:rFonts w:ascii="Times New Roman" w:hAnsi="Times New Roman" w:cs="Times New Roman"/>
        </w:rPr>
        <w:t xml:space="preserve"> interprets </w:t>
      </w:r>
      <w:r w:rsidR="005620F9">
        <w:rPr>
          <w:rFonts w:ascii="Times New Roman" w:hAnsi="Times New Roman" w:cs="Times New Roman"/>
        </w:rPr>
        <w:t xml:space="preserve">cosmetic products </w:t>
      </w:r>
      <w:r w:rsidR="00384F81">
        <w:rPr>
          <w:rFonts w:ascii="Times New Roman" w:hAnsi="Times New Roman" w:cs="Times New Roman"/>
        </w:rPr>
        <w:t>to include, but not be limited to, the following:</w:t>
      </w:r>
    </w:p>
    <w:p w14:paraId="263AC06C" w14:textId="77777777" w:rsidR="00410F07" w:rsidRPr="00410F07" w:rsidRDefault="004509F3" w:rsidP="00AF3827">
      <w:pPr>
        <w:ind w:firstLine="340"/>
        <w:rPr>
          <w:rFonts w:ascii="Times New Roman" w:hAnsi="Times New Roman" w:cs="Times New Roman"/>
          <w:i/>
        </w:rPr>
      </w:pPr>
      <w:r>
        <w:rPr>
          <w:rFonts w:ascii="Times New Roman" w:hAnsi="Times New Roman" w:cs="Times New Roman"/>
          <w:i/>
        </w:rPr>
        <w:t>Face and nail</w:t>
      </w:r>
    </w:p>
    <w:p w14:paraId="36F4A363" w14:textId="157F04E8"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 xml:space="preserve">Products intended for application to the lips with SPF sunscreen that comply with the </w:t>
      </w:r>
      <w:hyperlink r:id="rId13" w:history="1">
        <w:r w:rsidR="00016C14" w:rsidRPr="00016C14">
          <w:rPr>
            <w:rStyle w:val="Hyperlink"/>
            <w:rFonts w:ascii="Times New Roman" w:hAnsi="Times New Roman" w:cs="Times New Roman"/>
            <w:i/>
          </w:rPr>
          <w:t>Therapeutic Goods Act 1989</w:t>
        </w:r>
      </w:hyperlink>
    </w:p>
    <w:p w14:paraId="622CD0A0"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Nail care products</w:t>
      </w:r>
    </w:p>
    <w:p w14:paraId="6C4C64C9"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Make-up such as mascara, eyeshadow, primer and bronzer</w:t>
      </w:r>
    </w:p>
    <w:p w14:paraId="49C36AFB"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Nail polish and varnish</w:t>
      </w:r>
    </w:p>
    <w:p w14:paraId="68EBF1AD"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Tinted bases and foundation without SPF sunscreen, including liquids, pastes and powders</w:t>
      </w:r>
    </w:p>
    <w:p w14:paraId="3EA37987"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Fake nails and adhesive for fake nails</w:t>
      </w:r>
    </w:p>
    <w:p w14:paraId="2079F74D"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Make-up removers</w:t>
      </w:r>
    </w:p>
    <w:p w14:paraId="021114DA" w14:textId="77777777" w:rsidR="00410F07" w:rsidRDefault="00410F07"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Products intended for application to the lips without SPF sunscreen</w:t>
      </w:r>
    </w:p>
    <w:p w14:paraId="6459946F" w14:textId="68836267" w:rsidR="00A54473" w:rsidRDefault="005D3769"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Hydrating f</w:t>
      </w:r>
      <w:r w:rsidR="00A54473">
        <w:rPr>
          <w:rFonts w:ascii="Times New Roman" w:hAnsi="Times New Roman" w:cs="Times New Roman"/>
        </w:rPr>
        <w:t>ace masks</w:t>
      </w:r>
    </w:p>
    <w:p w14:paraId="5BA04ABB" w14:textId="77777777" w:rsidR="00A54473" w:rsidRPr="00A54473" w:rsidRDefault="00A54473" w:rsidP="00AF3827">
      <w:pPr>
        <w:ind w:firstLine="340"/>
        <w:rPr>
          <w:rFonts w:ascii="Times New Roman" w:hAnsi="Times New Roman" w:cs="Times New Roman"/>
          <w:i/>
        </w:rPr>
      </w:pPr>
      <w:r w:rsidRPr="00A54473">
        <w:rPr>
          <w:rFonts w:ascii="Times New Roman" w:hAnsi="Times New Roman" w:cs="Times New Roman"/>
          <w:i/>
        </w:rPr>
        <w:t>Hair care</w:t>
      </w:r>
      <w:r w:rsidR="00A06882">
        <w:rPr>
          <w:rFonts w:ascii="Times New Roman" w:hAnsi="Times New Roman" w:cs="Times New Roman"/>
          <w:i/>
        </w:rPr>
        <w:t xml:space="preserve"> and hairdressing</w:t>
      </w:r>
    </w:p>
    <w:p w14:paraId="2F5FC1B3" w14:textId="65C197C0"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 xml:space="preserve">Anti-dandruff hair care products that comply with the </w:t>
      </w:r>
      <w:hyperlink r:id="rId14" w:history="1">
        <w:r w:rsidR="00016C14" w:rsidRPr="00016C14">
          <w:rPr>
            <w:rStyle w:val="Hyperlink"/>
            <w:rFonts w:ascii="Times New Roman" w:hAnsi="Times New Roman" w:cs="Times New Roman"/>
            <w:i/>
          </w:rPr>
          <w:t>Therapeutic Goods Act 1989</w:t>
        </w:r>
      </w:hyperlink>
    </w:p>
    <w:p w14:paraId="0796BABC" w14:textId="77777777" w:rsidR="00410F07"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Hair tints or bleaches</w:t>
      </w:r>
    </w:p>
    <w:p w14:paraId="3C867572" w14:textId="77777777"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Products for waving, straightening or fixing hair</w:t>
      </w:r>
    </w:p>
    <w:p w14:paraId="0D546445" w14:textId="77777777"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 xml:space="preserve">Hair-setting products </w:t>
      </w:r>
      <w:r w:rsidR="00A06882">
        <w:rPr>
          <w:rFonts w:ascii="Times New Roman" w:hAnsi="Times New Roman" w:cs="Times New Roman"/>
        </w:rPr>
        <w:t>such as</w:t>
      </w:r>
      <w:r>
        <w:rPr>
          <w:rFonts w:ascii="Times New Roman" w:hAnsi="Times New Roman" w:cs="Times New Roman"/>
        </w:rPr>
        <w:t xml:space="preserve"> lotions, creams, gels, sprays or oils</w:t>
      </w:r>
    </w:p>
    <w:p w14:paraId="799753F9" w14:textId="77777777"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Hair conditioning products</w:t>
      </w:r>
    </w:p>
    <w:p w14:paraId="3D7D7E67" w14:textId="77777777"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Shampoo and hair-cleansing products</w:t>
      </w:r>
    </w:p>
    <w:p w14:paraId="12671481" w14:textId="1CA71288" w:rsidR="00A54473" w:rsidRDefault="00A5447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Hairdressing products such as lotions and lacquers, brilliantines and hair tonic</w:t>
      </w:r>
    </w:p>
    <w:p w14:paraId="178A5F99" w14:textId="77777777" w:rsidR="00A54473" w:rsidRPr="00A06882" w:rsidRDefault="00A06882" w:rsidP="00AF3827">
      <w:pPr>
        <w:ind w:firstLine="340"/>
        <w:rPr>
          <w:rFonts w:ascii="Times New Roman" w:hAnsi="Times New Roman" w:cs="Times New Roman"/>
          <w:i/>
        </w:rPr>
      </w:pPr>
      <w:r w:rsidRPr="00A06882">
        <w:rPr>
          <w:rFonts w:ascii="Times New Roman" w:hAnsi="Times New Roman" w:cs="Times New Roman"/>
          <w:i/>
        </w:rPr>
        <w:lastRenderedPageBreak/>
        <w:t>Oral and dental hygiene</w:t>
      </w:r>
    </w:p>
    <w:p w14:paraId="3282360B" w14:textId="77777777" w:rsidR="001675B3" w:rsidRDefault="00A06882"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Products for care of mouth or teeth</w:t>
      </w:r>
      <w:r w:rsidR="004509F3">
        <w:rPr>
          <w:rFonts w:ascii="Times New Roman" w:hAnsi="Times New Roman" w:cs="Times New Roman"/>
        </w:rPr>
        <w:t xml:space="preserve"> </w:t>
      </w:r>
    </w:p>
    <w:p w14:paraId="48600615" w14:textId="77777777" w:rsidR="00A06882" w:rsidRDefault="001675B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T</w:t>
      </w:r>
      <w:r w:rsidR="004509F3">
        <w:rPr>
          <w:rFonts w:ascii="Times New Roman" w:hAnsi="Times New Roman" w:cs="Times New Roman"/>
        </w:rPr>
        <w:t>oothpaste and gel</w:t>
      </w:r>
    </w:p>
    <w:p w14:paraId="26D6356A" w14:textId="77777777" w:rsidR="004509F3" w:rsidRPr="004509F3" w:rsidRDefault="004509F3" w:rsidP="00AF3827">
      <w:pPr>
        <w:ind w:firstLine="340"/>
        <w:rPr>
          <w:rFonts w:ascii="Times New Roman" w:hAnsi="Times New Roman" w:cs="Times New Roman"/>
          <w:i/>
        </w:rPr>
      </w:pPr>
      <w:r w:rsidRPr="004509F3">
        <w:rPr>
          <w:rFonts w:ascii="Times New Roman" w:hAnsi="Times New Roman" w:cs="Times New Roman"/>
          <w:i/>
        </w:rPr>
        <w:t>Perfumes</w:t>
      </w:r>
    </w:p>
    <w:p w14:paraId="02CBD890"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Perfumes and colognes</w:t>
      </w:r>
    </w:p>
    <w:p w14:paraId="613FB080"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Eau de toilette</w:t>
      </w:r>
    </w:p>
    <w:p w14:paraId="63631470"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Eau de colognes</w:t>
      </w:r>
    </w:p>
    <w:p w14:paraId="6B13F9C8"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Eau de parfum</w:t>
      </w:r>
    </w:p>
    <w:p w14:paraId="7862597A" w14:textId="77777777" w:rsidR="004509F3" w:rsidRPr="004509F3" w:rsidRDefault="004509F3" w:rsidP="00AF3827">
      <w:pPr>
        <w:ind w:firstLine="340"/>
        <w:rPr>
          <w:rFonts w:ascii="Times New Roman" w:hAnsi="Times New Roman" w:cs="Times New Roman"/>
          <w:i/>
        </w:rPr>
      </w:pPr>
      <w:r w:rsidRPr="004509F3">
        <w:rPr>
          <w:rFonts w:ascii="Times New Roman" w:hAnsi="Times New Roman" w:cs="Times New Roman"/>
          <w:i/>
        </w:rPr>
        <w:t>Personal hygiene</w:t>
      </w:r>
    </w:p>
    <w:p w14:paraId="700F85D8"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Deodorants</w:t>
      </w:r>
    </w:p>
    <w:p w14:paraId="1E8E984C"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Shaving products such as creams, foams, lotions or soaps</w:t>
      </w:r>
    </w:p>
    <w:p w14:paraId="5F755394"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After-bath or hygiene powders</w:t>
      </w:r>
    </w:p>
    <w:p w14:paraId="331448E8"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Toilet or deodorant soaps</w:t>
      </w:r>
    </w:p>
    <w:p w14:paraId="2C3DB497"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Bath or shower preparations such as salts, foams, gels or oils</w:t>
      </w:r>
    </w:p>
    <w:p w14:paraId="5645C332"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Depilatories</w:t>
      </w:r>
    </w:p>
    <w:p w14:paraId="4D5E33CC" w14:textId="77777777" w:rsidR="004509F3" w:rsidRP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Hand cleansers</w:t>
      </w:r>
    </w:p>
    <w:p w14:paraId="31F602C2" w14:textId="77777777" w:rsidR="004509F3" w:rsidRPr="004509F3" w:rsidRDefault="004509F3" w:rsidP="00AF3827">
      <w:pPr>
        <w:ind w:firstLine="340"/>
        <w:rPr>
          <w:rFonts w:ascii="Times New Roman" w:hAnsi="Times New Roman" w:cs="Times New Roman"/>
          <w:i/>
        </w:rPr>
      </w:pPr>
      <w:r w:rsidRPr="004509F3">
        <w:rPr>
          <w:rFonts w:ascii="Times New Roman" w:hAnsi="Times New Roman" w:cs="Times New Roman"/>
          <w:i/>
        </w:rPr>
        <w:t>Skin care</w:t>
      </w:r>
    </w:p>
    <w:p w14:paraId="45D4AAA9" w14:textId="24228454" w:rsidR="004509F3" w:rsidRP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 xml:space="preserve">Secondary sunscreen products that comply with the </w:t>
      </w:r>
      <w:hyperlink r:id="rId15" w:history="1">
        <w:r w:rsidR="00016C14" w:rsidRPr="00016C14">
          <w:rPr>
            <w:rStyle w:val="Hyperlink"/>
            <w:rFonts w:ascii="Times New Roman" w:hAnsi="Times New Roman" w:cs="Times New Roman"/>
            <w:i/>
          </w:rPr>
          <w:t>Therapeutic Goods Act 1989</w:t>
        </w:r>
      </w:hyperlink>
    </w:p>
    <w:p w14:paraId="0AA3FB9A" w14:textId="0C279B0B" w:rsidR="004509F3" w:rsidRP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 xml:space="preserve">Anti-acne skin care products that comply with the </w:t>
      </w:r>
      <w:hyperlink r:id="rId16" w:history="1">
        <w:r w:rsidR="00016C14" w:rsidRPr="00016C14">
          <w:rPr>
            <w:rStyle w:val="Hyperlink"/>
            <w:rFonts w:ascii="Times New Roman" w:hAnsi="Times New Roman" w:cs="Times New Roman"/>
            <w:i/>
          </w:rPr>
          <w:t>Therapeutic Goods Act 1989</w:t>
        </w:r>
      </w:hyperlink>
    </w:p>
    <w:p w14:paraId="4FF7ED21"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Skin moisturisers without SPF sunscreen such as creams, lotions, gels and foams</w:t>
      </w:r>
    </w:p>
    <w:p w14:paraId="7550EEF1"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Products for tanning without the sun</w:t>
      </w:r>
    </w:p>
    <w:p w14:paraId="3CEB793B" w14:textId="77777777" w:rsidR="004509F3"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Skin whitening products</w:t>
      </w:r>
    </w:p>
    <w:p w14:paraId="309692A5" w14:textId="29567F96" w:rsidR="003254C6" w:rsidRDefault="004509F3"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Hand protective creams or barrier creams</w:t>
      </w:r>
    </w:p>
    <w:p w14:paraId="1B847EFD" w14:textId="77777777" w:rsidR="00340DF9" w:rsidRPr="00A06882" w:rsidRDefault="00340DF9" w:rsidP="00AF3827">
      <w:pPr>
        <w:ind w:firstLine="340"/>
        <w:rPr>
          <w:rFonts w:ascii="Times New Roman" w:hAnsi="Times New Roman" w:cs="Times New Roman"/>
          <w:i/>
        </w:rPr>
      </w:pPr>
      <w:r>
        <w:rPr>
          <w:rFonts w:ascii="Times New Roman" w:hAnsi="Times New Roman" w:cs="Times New Roman"/>
          <w:i/>
        </w:rPr>
        <w:t>Children’s products</w:t>
      </w:r>
    </w:p>
    <w:p w14:paraId="4508687B" w14:textId="77777777" w:rsidR="00340DF9" w:rsidRDefault="00340DF9"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Temporary tattoos</w:t>
      </w:r>
    </w:p>
    <w:p w14:paraId="6E9D15D7" w14:textId="77777777" w:rsidR="00340DF9" w:rsidRDefault="00340DF9"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Make-up designed or intended for play</w:t>
      </w:r>
    </w:p>
    <w:p w14:paraId="1B5BCD2C" w14:textId="77777777" w:rsidR="00340DF9" w:rsidRPr="00AF3827" w:rsidRDefault="00340DF9" w:rsidP="00A02CB6">
      <w:pPr>
        <w:pStyle w:val="ListParagraph"/>
        <w:numPr>
          <w:ilvl w:val="0"/>
          <w:numId w:val="30"/>
        </w:numPr>
        <w:spacing w:before="60"/>
        <w:ind w:left="714" w:hanging="357"/>
        <w:rPr>
          <w:rFonts w:ascii="Times New Roman" w:hAnsi="Times New Roman" w:cs="Times New Roman"/>
        </w:rPr>
      </w:pPr>
      <w:r>
        <w:rPr>
          <w:rFonts w:ascii="Times New Roman" w:hAnsi="Times New Roman" w:cs="Times New Roman"/>
        </w:rPr>
        <w:t>Face paints</w:t>
      </w:r>
    </w:p>
    <w:p w14:paraId="2BDAD266" w14:textId="1FA5115D" w:rsidR="008402F4" w:rsidRPr="00AC09A0" w:rsidRDefault="00ED3802" w:rsidP="004543A5">
      <w:pPr>
        <w:rPr>
          <w:rFonts w:ascii="Times New Roman" w:hAnsi="Times New Roman" w:cs="Times New Roman"/>
        </w:rPr>
      </w:pPr>
      <w:r>
        <w:rPr>
          <w:rFonts w:ascii="Times New Roman" w:hAnsi="Times New Roman" w:cs="Times New Roman"/>
        </w:rPr>
        <w:t>The Information Standard does not apply to:</w:t>
      </w:r>
    </w:p>
    <w:p w14:paraId="04C65C7D" w14:textId="313E5D69" w:rsidR="008402F4" w:rsidRDefault="007F68A4" w:rsidP="008402F4">
      <w:pPr>
        <w:pStyle w:val="ListParagraph"/>
        <w:numPr>
          <w:ilvl w:val="0"/>
          <w:numId w:val="28"/>
        </w:numPr>
        <w:rPr>
          <w:rFonts w:ascii="Times New Roman" w:hAnsi="Times New Roman" w:cs="Times New Roman"/>
        </w:rPr>
      </w:pPr>
      <w:r w:rsidRPr="00AC09A0">
        <w:rPr>
          <w:rFonts w:ascii="Times New Roman" w:hAnsi="Times New Roman" w:cs="Times New Roman"/>
        </w:rPr>
        <w:t xml:space="preserve">Cosmetics </w:t>
      </w:r>
      <w:r w:rsidR="00ED3802">
        <w:rPr>
          <w:rFonts w:ascii="Times New Roman" w:hAnsi="Times New Roman" w:cs="Times New Roman"/>
        </w:rPr>
        <w:t xml:space="preserve">supplied </w:t>
      </w:r>
      <w:r w:rsidRPr="00AC09A0">
        <w:rPr>
          <w:rFonts w:ascii="Times New Roman" w:hAnsi="Times New Roman" w:cs="Times New Roman"/>
        </w:rPr>
        <w:t>as free sample</w:t>
      </w:r>
      <w:r w:rsidR="00AC09A0" w:rsidRPr="00AC09A0">
        <w:rPr>
          <w:rFonts w:ascii="Times New Roman" w:hAnsi="Times New Roman" w:cs="Times New Roman"/>
        </w:rPr>
        <w:t>s or testers</w:t>
      </w:r>
    </w:p>
    <w:p w14:paraId="48D6DB2F" w14:textId="7CC86A7F" w:rsidR="00284F8C" w:rsidRPr="00284F8C" w:rsidRDefault="002B03B6" w:rsidP="00284F8C">
      <w:pPr>
        <w:pStyle w:val="ListParagraph"/>
        <w:numPr>
          <w:ilvl w:val="0"/>
          <w:numId w:val="28"/>
        </w:numPr>
        <w:rPr>
          <w:rFonts w:ascii="Times New Roman" w:hAnsi="Times New Roman" w:cs="Times New Roman"/>
        </w:rPr>
      </w:pPr>
      <w:r>
        <w:rPr>
          <w:rFonts w:ascii="Times New Roman" w:hAnsi="Times New Roman" w:cs="Times New Roman"/>
        </w:rPr>
        <w:t xml:space="preserve">Therapeutic goods within the meaning of the </w:t>
      </w:r>
      <w:hyperlink r:id="rId17" w:history="1">
        <w:r w:rsidR="00016C14" w:rsidRPr="00016C14">
          <w:rPr>
            <w:rStyle w:val="Hyperlink"/>
            <w:rFonts w:ascii="Times New Roman" w:hAnsi="Times New Roman" w:cs="Times New Roman"/>
            <w:i/>
          </w:rPr>
          <w:t>Therapeutic Goods Act 1989</w:t>
        </w:r>
      </w:hyperlink>
    </w:p>
    <w:p w14:paraId="75A3879E" w14:textId="77777777" w:rsidR="007F68A4" w:rsidRPr="002B03B6" w:rsidRDefault="002B03B6" w:rsidP="002B03B6">
      <w:pPr>
        <w:pStyle w:val="ListParagraph"/>
        <w:numPr>
          <w:ilvl w:val="0"/>
          <w:numId w:val="28"/>
        </w:numPr>
        <w:rPr>
          <w:rFonts w:ascii="Times New Roman" w:hAnsi="Times New Roman" w:cs="Times New Roman"/>
        </w:rPr>
      </w:pPr>
      <w:r>
        <w:rPr>
          <w:rFonts w:ascii="Times New Roman" w:hAnsi="Times New Roman" w:cs="Times New Roman"/>
        </w:rPr>
        <w:t>Cosmetics manufactured in Australia for export only.</w:t>
      </w:r>
    </w:p>
    <w:p w14:paraId="1D96A7AB" w14:textId="5BDAFE4E" w:rsidR="008402F4" w:rsidRPr="008402F4" w:rsidRDefault="008402F4" w:rsidP="008402F4">
      <w:pPr>
        <w:rPr>
          <w:rFonts w:ascii="Times New Roman" w:hAnsi="Times New Roman" w:cs="Times New Roman"/>
        </w:rPr>
      </w:pPr>
      <w:r>
        <w:rPr>
          <w:rFonts w:ascii="Times New Roman" w:hAnsi="Times New Roman" w:cs="Times New Roman"/>
        </w:rPr>
        <w:t>However, such products can still be labelled according to the In</w:t>
      </w:r>
      <w:r w:rsidR="00080C44">
        <w:rPr>
          <w:rFonts w:ascii="Times New Roman" w:hAnsi="Times New Roman" w:cs="Times New Roman"/>
        </w:rPr>
        <w:t>formation Standard voluntarily.</w:t>
      </w:r>
    </w:p>
    <w:p w14:paraId="37AB1AEC" w14:textId="661D3658" w:rsidR="004543A5" w:rsidRDefault="004543A5" w:rsidP="004543A5">
      <w:pPr>
        <w:rPr>
          <w:rFonts w:ascii="Times New Roman" w:hAnsi="Times New Roman" w:cs="Times New Roman"/>
          <w:u w:val="single"/>
        </w:rPr>
      </w:pPr>
      <w:r>
        <w:rPr>
          <w:rFonts w:ascii="Times New Roman" w:hAnsi="Times New Roman" w:cs="Times New Roman"/>
          <w:u w:val="single"/>
        </w:rPr>
        <w:t xml:space="preserve">Section 6 </w:t>
      </w:r>
      <w:r w:rsidRPr="00D228FE">
        <w:rPr>
          <w:rFonts w:ascii="Times New Roman" w:hAnsi="Times New Roman" w:cs="Times New Roman"/>
          <w:u w:val="single"/>
        </w:rPr>
        <w:t xml:space="preserve">– </w:t>
      </w:r>
      <w:r>
        <w:rPr>
          <w:rFonts w:ascii="Times New Roman" w:hAnsi="Times New Roman" w:cs="Times New Roman"/>
          <w:u w:val="single"/>
        </w:rPr>
        <w:t>Definitions</w:t>
      </w:r>
    </w:p>
    <w:p w14:paraId="3A34945F" w14:textId="084F4AEF" w:rsidR="00850841" w:rsidRPr="00D228FE" w:rsidRDefault="00850841" w:rsidP="004543A5">
      <w:pPr>
        <w:rPr>
          <w:rFonts w:ascii="Times New Roman" w:hAnsi="Times New Roman" w:cs="Times New Roman"/>
        </w:rPr>
      </w:pPr>
      <w:r>
        <w:rPr>
          <w:rFonts w:ascii="Times New Roman" w:hAnsi="Times New Roman" w:cs="Times New Roman"/>
        </w:rPr>
        <w:t>This section provides the definition</w:t>
      </w:r>
      <w:r w:rsidR="007B0DEB">
        <w:rPr>
          <w:rFonts w:ascii="Times New Roman" w:hAnsi="Times New Roman" w:cs="Times New Roman"/>
        </w:rPr>
        <w:t>s of certain terms used in the information s</w:t>
      </w:r>
      <w:r>
        <w:rPr>
          <w:rFonts w:ascii="Times New Roman" w:hAnsi="Times New Roman" w:cs="Times New Roman"/>
        </w:rPr>
        <w:t>tandard</w:t>
      </w:r>
      <w:r w:rsidR="00ED3802">
        <w:rPr>
          <w:rFonts w:ascii="Times New Roman" w:hAnsi="Times New Roman" w:cs="Times New Roman"/>
        </w:rPr>
        <w:t>, including new definitions for “alcohol” and “hand sanitiser”.</w:t>
      </w:r>
    </w:p>
    <w:p w14:paraId="0E2CC2AD" w14:textId="77777777" w:rsidR="004543A5" w:rsidRDefault="004543A5" w:rsidP="004543A5">
      <w:pPr>
        <w:rPr>
          <w:rFonts w:ascii="Times New Roman" w:hAnsi="Times New Roman" w:cs="Times New Roman"/>
          <w:b/>
          <w:u w:val="single"/>
        </w:rPr>
      </w:pPr>
      <w:r>
        <w:rPr>
          <w:rFonts w:ascii="Times New Roman" w:hAnsi="Times New Roman" w:cs="Times New Roman"/>
          <w:b/>
          <w:u w:val="single"/>
        </w:rPr>
        <w:t>Part 2</w:t>
      </w:r>
      <w:r w:rsidRPr="00D228FE">
        <w:rPr>
          <w:rFonts w:ascii="Times New Roman" w:hAnsi="Times New Roman" w:cs="Times New Roman"/>
          <w:b/>
          <w:u w:val="single"/>
        </w:rPr>
        <w:t xml:space="preserve"> </w:t>
      </w:r>
      <w:r>
        <w:rPr>
          <w:rFonts w:ascii="Times New Roman" w:hAnsi="Times New Roman" w:cs="Times New Roman"/>
          <w:b/>
          <w:u w:val="single"/>
        </w:rPr>
        <w:t>–</w:t>
      </w:r>
      <w:r w:rsidRPr="00D228FE">
        <w:rPr>
          <w:rFonts w:ascii="Times New Roman" w:hAnsi="Times New Roman" w:cs="Times New Roman"/>
          <w:b/>
          <w:u w:val="single"/>
        </w:rPr>
        <w:t xml:space="preserve"> </w:t>
      </w:r>
      <w:r>
        <w:rPr>
          <w:rFonts w:ascii="Times New Roman" w:hAnsi="Times New Roman" w:cs="Times New Roman"/>
          <w:b/>
          <w:u w:val="single"/>
        </w:rPr>
        <w:t>Information Standard</w:t>
      </w:r>
    </w:p>
    <w:p w14:paraId="6635293B" w14:textId="23FA5652" w:rsidR="004543A5" w:rsidRDefault="004543A5" w:rsidP="004543A5">
      <w:pPr>
        <w:rPr>
          <w:rFonts w:ascii="Times New Roman" w:hAnsi="Times New Roman" w:cs="Times New Roman"/>
          <w:u w:val="single"/>
        </w:rPr>
      </w:pPr>
      <w:r>
        <w:rPr>
          <w:rFonts w:ascii="Times New Roman" w:hAnsi="Times New Roman" w:cs="Times New Roman"/>
          <w:u w:val="single"/>
        </w:rPr>
        <w:t>Section 7</w:t>
      </w:r>
      <w:r w:rsidRPr="00D228FE">
        <w:rPr>
          <w:rFonts w:ascii="Times New Roman" w:hAnsi="Times New Roman" w:cs="Times New Roman"/>
          <w:u w:val="single"/>
        </w:rPr>
        <w:t xml:space="preserve"> – </w:t>
      </w:r>
      <w:r>
        <w:rPr>
          <w:rFonts w:ascii="Times New Roman" w:hAnsi="Times New Roman" w:cs="Times New Roman"/>
          <w:u w:val="single"/>
        </w:rPr>
        <w:t>List of ingredients</w:t>
      </w:r>
    </w:p>
    <w:p w14:paraId="207BBA17" w14:textId="2F569B02" w:rsidR="00F93EB2" w:rsidRDefault="007B0DEB" w:rsidP="004543A5">
      <w:pPr>
        <w:rPr>
          <w:rFonts w:ascii="Times New Roman" w:hAnsi="Times New Roman" w:cs="Times New Roman"/>
        </w:rPr>
      </w:pPr>
      <w:r>
        <w:rPr>
          <w:rFonts w:ascii="Times New Roman" w:hAnsi="Times New Roman" w:cs="Times New Roman"/>
        </w:rPr>
        <w:t>Th</w:t>
      </w:r>
      <w:r w:rsidR="00DF6C0F">
        <w:rPr>
          <w:rFonts w:ascii="Times New Roman" w:hAnsi="Times New Roman" w:cs="Times New Roman"/>
        </w:rPr>
        <w:t xml:space="preserve">is section provides requirements for </w:t>
      </w:r>
      <w:r w:rsidR="00186528">
        <w:rPr>
          <w:rFonts w:ascii="Times New Roman" w:hAnsi="Times New Roman" w:cs="Times New Roman"/>
        </w:rPr>
        <w:t xml:space="preserve">the order of ingredients in the </w:t>
      </w:r>
      <w:r w:rsidR="00DF6C0F">
        <w:rPr>
          <w:rFonts w:ascii="Times New Roman" w:hAnsi="Times New Roman" w:cs="Times New Roman"/>
        </w:rPr>
        <w:t xml:space="preserve">ingredient </w:t>
      </w:r>
      <w:r w:rsidR="00186528">
        <w:rPr>
          <w:rFonts w:ascii="Times New Roman" w:hAnsi="Times New Roman" w:cs="Times New Roman"/>
        </w:rPr>
        <w:t>list</w:t>
      </w:r>
      <w:r w:rsidR="00DF6C0F">
        <w:rPr>
          <w:rFonts w:ascii="Times New Roman" w:hAnsi="Times New Roman" w:cs="Times New Roman"/>
        </w:rPr>
        <w:t xml:space="preserve"> and how the ingredient list may be</w:t>
      </w:r>
      <w:r w:rsidR="00186528">
        <w:rPr>
          <w:rFonts w:ascii="Times New Roman" w:hAnsi="Times New Roman" w:cs="Times New Roman"/>
        </w:rPr>
        <w:t xml:space="preserve"> provided with </w:t>
      </w:r>
      <w:r w:rsidR="00F93EB2">
        <w:rPr>
          <w:rFonts w:ascii="Times New Roman" w:hAnsi="Times New Roman" w:cs="Times New Roman"/>
        </w:rPr>
        <w:t>cosmetic products</w:t>
      </w:r>
      <w:r w:rsidR="00FE2E16">
        <w:rPr>
          <w:rFonts w:ascii="Times New Roman" w:hAnsi="Times New Roman" w:cs="Times New Roman"/>
        </w:rPr>
        <w:t>.</w:t>
      </w:r>
    </w:p>
    <w:p w14:paraId="7882EF92" w14:textId="396FFD17" w:rsidR="00F93EB2" w:rsidRPr="00FE2E16" w:rsidRDefault="00F93EB2" w:rsidP="00FE2E16">
      <w:pPr>
        <w:rPr>
          <w:rFonts w:ascii="Times New Roman" w:hAnsi="Times New Roman" w:cs="Times New Roman"/>
        </w:rPr>
      </w:pPr>
      <w:r w:rsidRPr="00FE2E16">
        <w:rPr>
          <w:rFonts w:ascii="Times New Roman" w:hAnsi="Times New Roman" w:cs="Times New Roman"/>
        </w:rPr>
        <w:lastRenderedPageBreak/>
        <w:t>The ingredients must be specifically identified and listed in descending order calculated by either mass or volume. The quantity or percentage of each ingredient does not need to be declared unless the product is classified as a hand sanitiser in acc</w:t>
      </w:r>
      <w:r w:rsidR="007B0DEB">
        <w:rPr>
          <w:rFonts w:ascii="Times New Roman" w:hAnsi="Times New Roman" w:cs="Times New Roman"/>
        </w:rPr>
        <w:t>ordance with section 11 of the information s</w:t>
      </w:r>
      <w:r w:rsidRPr="00FE2E16">
        <w:rPr>
          <w:rFonts w:ascii="Times New Roman" w:hAnsi="Times New Roman" w:cs="Times New Roman"/>
        </w:rPr>
        <w:t>tandard.</w:t>
      </w:r>
    </w:p>
    <w:p w14:paraId="522D9BE4" w14:textId="77777777" w:rsidR="00F93EB2" w:rsidRPr="00FE2E16" w:rsidRDefault="00F93EB2" w:rsidP="00FE2E16">
      <w:pPr>
        <w:ind w:left="340" w:hanging="340"/>
        <w:rPr>
          <w:rFonts w:ascii="Times New Roman" w:hAnsi="Times New Roman" w:cs="Times New Roman"/>
        </w:rPr>
      </w:pPr>
      <w:r w:rsidRPr="00FE2E16">
        <w:rPr>
          <w:rFonts w:ascii="Times New Roman" w:hAnsi="Times New Roman" w:cs="Times New Roman"/>
        </w:rPr>
        <w:t>Alternatively, ingredients may be listed in the following way:</w:t>
      </w:r>
    </w:p>
    <w:p w14:paraId="3AC24A60" w14:textId="77777777" w:rsidR="00F93EB2" w:rsidRDefault="00F93EB2" w:rsidP="00FE2E16">
      <w:pPr>
        <w:pStyle w:val="ListParagraph"/>
        <w:numPr>
          <w:ilvl w:val="0"/>
          <w:numId w:val="32"/>
        </w:numPr>
        <w:rPr>
          <w:rFonts w:ascii="Times New Roman" w:hAnsi="Times New Roman" w:cs="Times New Roman"/>
        </w:rPr>
      </w:pPr>
      <w:r>
        <w:rPr>
          <w:rFonts w:ascii="Times New Roman" w:hAnsi="Times New Roman" w:cs="Times New Roman"/>
        </w:rPr>
        <w:t>all ingredients (except colour additives) present in concentrations greater than 1% shall be listed in descending order by volume</w:t>
      </w:r>
      <w:r w:rsidR="00506A51">
        <w:rPr>
          <w:rFonts w:ascii="Times New Roman" w:hAnsi="Times New Roman" w:cs="Times New Roman"/>
        </w:rPr>
        <w:t xml:space="preserve"> or mass</w:t>
      </w:r>
      <w:r>
        <w:rPr>
          <w:rFonts w:ascii="Times New Roman" w:hAnsi="Times New Roman" w:cs="Times New Roman"/>
        </w:rPr>
        <w:t>;</w:t>
      </w:r>
    </w:p>
    <w:p w14:paraId="4AAC28D4" w14:textId="77777777" w:rsidR="00F93EB2" w:rsidRDefault="00F93EB2" w:rsidP="00FE2E16">
      <w:pPr>
        <w:pStyle w:val="ListParagraph"/>
        <w:numPr>
          <w:ilvl w:val="0"/>
          <w:numId w:val="32"/>
        </w:numPr>
        <w:rPr>
          <w:rFonts w:ascii="Times New Roman" w:hAnsi="Times New Roman" w:cs="Times New Roman"/>
        </w:rPr>
      </w:pPr>
      <w:r>
        <w:rPr>
          <w:rFonts w:ascii="Times New Roman" w:hAnsi="Times New Roman" w:cs="Times New Roman"/>
        </w:rPr>
        <w:t>followed by ingredients (except colour additives) present in concentrations of less than 1% in any order; and</w:t>
      </w:r>
    </w:p>
    <w:p w14:paraId="49A732B1" w14:textId="77777777" w:rsidR="00F93EB2" w:rsidRDefault="00F93EB2" w:rsidP="00FE2E16">
      <w:pPr>
        <w:pStyle w:val="ListParagraph"/>
        <w:numPr>
          <w:ilvl w:val="0"/>
          <w:numId w:val="32"/>
        </w:numPr>
        <w:rPr>
          <w:rFonts w:ascii="Times New Roman" w:hAnsi="Times New Roman" w:cs="Times New Roman"/>
        </w:rPr>
      </w:pPr>
      <w:r>
        <w:rPr>
          <w:rFonts w:ascii="Times New Roman" w:hAnsi="Times New Roman" w:cs="Times New Roman"/>
        </w:rPr>
        <w:t>followed by colour additives, listed in any order.</w:t>
      </w:r>
    </w:p>
    <w:p w14:paraId="2E509CCC" w14:textId="3F978687" w:rsidR="00F93EB2" w:rsidRDefault="00F93EB2" w:rsidP="00F93EB2">
      <w:pPr>
        <w:rPr>
          <w:rFonts w:ascii="Times New Roman" w:hAnsi="Times New Roman" w:cs="Times New Roman"/>
        </w:rPr>
      </w:pPr>
      <w:r>
        <w:rPr>
          <w:rFonts w:ascii="Times New Roman" w:hAnsi="Times New Roman" w:cs="Times New Roman"/>
        </w:rPr>
        <w:t>Incidental ingredients do not need to be disclosed. They are ingredients which have no technical or functional effect in the cosmetic product and are present in a co</w:t>
      </w:r>
      <w:r w:rsidR="00080C44">
        <w:rPr>
          <w:rFonts w:ascii="Times New Roman" w:hAnsi="Times New Roman" w:cs="Times New Roman"/>
        </w:rPr>
        <w:t>smetic at insignificant levels.</w:t>
      </w:r>
    </w:p>
    <w:p w14:paraId="659C188C" w14:textId="77777777" w:rsidR="00F93EB2" w:rsidRDefault="00F93EB2" w:rsidP="00F93EB2">
      <w:pPr>
        <w:rPr>
          <w:rFonts w:ascii="Times New Roman" w:hAnsi="Times New Roman" w:cs="Times New Roman"/>
        </w:rPr>
      </w:pPr>
      <w:r>
        <w:rPr>
          <w:rFonts w:ascii="Times New Roman" w:hAnsi="Times New Roman" w:cs="Times New Roman"/>
        </w:rPr>
        <w:t>Fragrances and flavours are the only ingredients which may be generically identified as either “fragrance” or “flavour”, although the manufacturer may specifically identify the ingredients of the fragrances or flavours if desired.</w:t>
      </w:r>
    </w:p>
    <w:p w14:paraId="306695EA" w14:textId="6DD200B8" w:rsidR="00AC09A0" w:rsidRPr="00AC09A0" w:rsidRDefault="00651835" w:rsidP="00F93EB2">
      <w:pPr>
        <w:rPr>
          <w:rFonts w:ascii="Times New Roman" w:hAnsi="Times New Roman" w:cs="Times New Roman"/>
        </w:rPr>
      </w:pPr>
      <w:r>
        <w:rPr>
          <w:rFonts w:ascii="Times New Roman" w:hAnsi="Times New Roman" w:cs="Times New Roman"/>
        </w:rPr>
        <w:t>Cosmetics that</w:t>
      </w:r>
      <w:r w:rsidR="00651BDA">
        <w:rPr>
          <w:rFonts w:ascii="Times New Roman" w:hAnsi="Times New Roman" w:cs="Times New Roman"/>
        </w:rPr>
        <w:t xml:space="preserve"> cannot display the ingredients list on the container or product becaus</w:t>
      </w:r>
      <w:r>
        <w:rPr>
          <w:rFonts w:ascii="Times New Roman" w:hAnsi="Times New Roman" w:cs="Times New Roman"/>
        </w:rPr>
        <w:t xml:space="preserve">e of its size, shape or nature are permitted to show </w:t>
      </w:r>
      <w:r w:rsidR="00651BDA">
        <w:rPr>
          <w:rFonts w:ascii="Times New Roman" w:hAnsi="Times New Roman" w:cs="Times New Roman"/>
        </w:rPr>
        <w:t xml:space="preserve">the </w:t>
      </w:r>
      <w:r w:rsidR="00AC09A0" w:rsidRPr="00AC09A0">
        <w:rPr>
          <w:rFonts w:ascii="Times New Roman" w:hAnsi="Times New Roman" w:cs="Times New Roman"/>
        </w:rPr>
        <w:t>ingredients in another way that ensures a consumer can be informed about the ingredi</w:t>
      </w:r>
      <w:r w:rsidR="00651BDA">
        <w:rPr>
          <w:rFonts w:ascii="Times New Roman" w:hAnsi="Times New Roman" w:cs="Times New Roman"/>
        </w:rPr>
        <w:t>ents in the product – for example, displayed on the shelf near where the product is sold, or in a pam</w:t>
      </w:r>
      <w:r w:rsidR="00080C44">
        <w:rPr>
          <w:rFonts w:ascii="Times New Roman" w:hAnsi="Times New Roman" w:cs="Times New Roman"/>
        </w:rPr>
        <w:t>phlet to accompany the product.</w:t>
      </w:r>
    </w:p>
    <w:p w14:paraId="6A9210CA" w14:textId="08305589" w:rsidR="004543A5" w:rsidRDefault="004543A5" w:rsidP="004543A5">
      <w:pPr>
        <w:rPr>
          <w:rFonts w:ascii="Times New Roman" w:hAnsi="Times New Roman" w:cs="Times New Roman"/>
          <w:u w:val="single"/>
        </w:rPr>
      </w:pPr>
      <w:r>
        <w:rPr>
          <w:rFonts w:ascii="Times New Roman" w:hAnsi="Times New Roman" w:cs="Times New Roman"/>
          <w:u w:val="single"/>
        </w:rPr>
        <w:t>Section 8</w:t>
      </w:r>
      <w:r w:rsidRPr="00D228FE">
        <w:rPr>
          <w:rFonts w:ascii="Times New Roman" w:hAnsi="Times New Roman" w:cs="Times New Roman"/>
          <w:u w:val="single"/>
        </w:rPr>
        <w:t xml:space="preserve"> – </w:t>
      </w:r>
      <w:r>
        <w:rPr>
          <w:rFonts w:ascii="Times New Roman" w:hAnsi="Times New Roman" w:cs="Times New Roman"/>
          <w:u w:val="single"/>
        </w:rPr>
        <w:t>Form of ingredients list</w:t>
      </w:r>
    </w:p>
    <w:p w14:paraId="1E34EA47" w14:textId="28856F93" w:rsidR="00651835" w:rsidRDefault="00651835" w:rsidP="00F93EB2">
      <w:pPr>
        <w:rPr>
          <w:rFonts w:ascii="Times New Roman" w:hAnsi="Times New Roman" w:cs="Times New Roman"/>
        </w:rPr>
      </w:pPr>
      <w:r>
        <w:rPr>
          <w:rFonts w:ascii="Times New Roman" w:hAnsi="Times New Roman" w:cs="Times New Roman"/>
        </w:rPr>
        <w:t>Th</w:t>
      </w:r>
      <w:r w:rsidR="00186528">
        <w:rPr>
          <w:rFonts w:ascii="Times New Roman" w:hAnsi="Times New Roman" w:cs="Times New Roman"/>
        </w:rPr>
        <w:t>is section requires th</w:t>
      </w:r>
      <w:r>
        <w:rPr>
          <w:rFonts w:ascii="Times New Roman" w:hAnsi="Times New Roman" w:cs="Times New Roman"/>
        </w:rPr>
        <w:t>e list of ingredients</w:t>
      </w:r>
      <w:r w:rsidRPr="00651835">
        <w:rPr>
          <w:rFonts w:ascii="Times New Roman" w:hAnsi="Times New Roman" w:cs="Times New Roman"/>
        </w:rPr>
        <w:t xml:space="preserve"> </w:t>
      </w:r>
      <w:r w:rsidR="00186528">
        <w:rPr>
          <w:rFonts w:ascii="Times New Roman" w:hAnsi="Times New Roman" w:cs="Times New Roman"/>
        </w:rPr>
        <w:t xml:space="preserve">to </w:t>
      </w:r>
      <w:r>
        <w:rPr>
          <w:rFonts w:ascii="Times New Roman" w:hAnsi="Times New Roman" w:cs="Times New Roman"/>
        </w:rPr>
        <w:t>be prominently shown, clearly visible and legible. This means that the ingredients list is able to be easily read by a person with normal vision.</w:t>
      </w:r>
    </w:p>
    <w:p w14:paraId="009B0CF9" w14:textId="594F7E69" w:rsidR="00F93EB2" w:rsidRDefault="00F93EB2" w:rsidP="00F93EB2">
      <w:pPr>
        <w:rPr>
          <w:rFonts w:ascii="Times New Roman" w:hAnsi="Times New Roman" w:cs="Times New Roman"/>
        </w:rPr>
      </w:pPr>
      <w:r>
        <w:rPr>
          <w:rFonts w:ascii="Times New Roman" w:hAnsi="Times New Roman" w:cs="Times New Roman"/>
        </w:rPr>
        <w:t xml:space="preserve">The names of the ingredients in the list must be either their English names </w:t>
      </w:r>
      <w:r w:rsidR="007B0DEB">
        <w:rPr>
          <w:rFonts w:ascii="Times New Roman" w:hAnsi="Times New Roman" w:cs="Times New Roman"/>
        </w:rPr>
        <w:t xml:space="preserve">or </w:t>
      </w:r>
      <w:r>
        <w:rPr>
          <w:rFonts w:ascii="Times New Roman" w:hAnsi="Times New Roman" w:cs="Times New Roman"/>
        </w:rPr>
        <w:t>their International Nomenclature Cosmetic Ingredient (INCI) names. There may also be a list of i</w:t>
      </w:r>
      <w:r w:rsidR="00080C44">
        <w:rPr>
          <w:rFonts w:ascii="Times New Roman" w:hAnsi="Times New Roman" w:cs="Times New Roman"/>
        </w:rPr>
        <w:t>ngredients in another language.</w:t>
      </w:r>
    </w:p>
    <w:p w14:paraId="4DD0AC39" w14:textId="311C4BD1" w:rsidR="00FB4461" w:rsidRDefault="00FB4461" w:rsidP="00F93EB2">
      <w:pPr>
        <w:rPr>
          <w:rFonts w:ascii="Times New Roman" w:hAnsi="Times New Roman" w:cs="Times New Roman"/>
        </w:rPr>
      </w:pPr>
      <w:r>
        <w:rPr>
          <w:rFonts w:ascii="Times New Roman" w:hAnsi="Times New Roman" w:cs="Times New Roman"/>
        </w:rPr>
        <w:t xml:space="preserve">The </w:t>
      </w:r>
      <w:r w:rsidR="007B0DEB">
        <w:rPr>
          <w:rFonts w:ascii="Times New Roman" w:hAnsi="Times New Roman" w:cs="Times New Roman"/>
        </w:rPr>
        <w:t>i</w:t>
      </w:r>
      <w:r>
        <w:rPr>
          <w:rFonts w:ascii="Times New Roman" w:hAnsi="Times New Roman" w:cs="Times New Roman"/>
        </w:rPr>
        <w:t xml:space="preserve">nformation </w:t>
      </w:r>
      <w:r w:rsidR="007B0DEB">
        <w:rPr>
          <w:rFonts w:ascii="Times New Roman" w:hAnsi="Times New Roman" w:cs="Times New Roman"/>
        </w:rPr>
        <w:t>s</w:t>
      </w:r>
      <w:r>
        <w:rPr>
          <w:rFonts w:ascii="Times New Roman" w:hAnsi="Times New Roman" w:cs="Times New Roman"/>
        </w:rPr>
        <w:t xml:space="preserve">tandard requires that cosmetic products be labelled with a list of all ingredients on the container or, if not packed in a container, on the product itself. The </w:t>
      </w:r>
      <w:r w:rsidR="007B0DEB">
        <w:rPr>
          <w:rFonts w:ascii="Times New Roman" w:hAnsi="Times New Roman" w:cs="Times New Roman"/>
        </w:rPr>
        <w:t>i</w:t>
      </w:r>
      <w:r>
        <w:rPr>
          <w:rFonts w:ascii="Times New Roman" w:hAnsi="Times New Roman" w:cs="Times New Roman"/>
        </w:rPr>
        <w:t xml:space="preserve">nformation </w:t>
      </w:r>
      <w:r w:rsidR="007B0DEB">
        <w:rPr>
          <w:rFonts w:ascii="Times New Roman" w:hAnsi="Times New Roman" w:cs="Times New Roman"/>
        </w:rPr>
        <w:t>s</w:t>
      </w:r>
      <w:r>
        <w:rPr>
          <w:rFonts w:ascii="Times New Roman" w:hAnsi="Times New Roman" w:cs="Times New Roman"/>
        </w:rPr>
        <w:t>tandard allows suppliers to provide the list of ingredients in other ways if the size, shape or nature of a cosmetic product or its container prevents the list of ingredients being declared on the container or the product.</w:t>
      </w:r>
    </w:p>
    <w:p w14:paraId="596BDBAD" w14:textId="77777777" w:rsidR="00FB4461" w:rsidRPr="00F93EB2" w:rsidRDefault="00FB4461" w:rsidP="00F93EB2">
      <w:pPr>
        <w:rPr>
          <w:rFonts w:ascii="Times New Roman" w:hAnsi="Times New Roman" w:cs="Times New Roman"/>
        </w:rPr>
      </w:pPr>
      <w:r>
        <w:rPr>
          <w:rFonts w:ascii="Times New Roman" w:hAnsi="Times New Roman" w:cs="Times New Roman"/>
        </w:rPr>
        <w:t>Other ways to provide information to the consumer could include the use of leaflets, pamphlets, brochures, labels, manuals, swing-tags, display panels, posters or similar methods which are attached to, or provided with, or are prominently displayed alongside cosmetic products.</w:t>
      </w:r>
    </w:p>
    <w:p w14:paraId="19D754F1" w14:textId="2B599813" w:rsidR="004543A5" w:rsidRDefault="004543A5" w:rsidP="004543A5">
      <w:pPr>
        <w:rPr>
          <w:rFonts w:ascii="Times New Roman" w:hAnsi="Times New Roman" w:cs="Times New Roman"/>
          <w:u w:val="single"/>
        </w:rPr>
      </w:pPr>
      <w:r>
        <w:rPr>
          <w:rFonts w:ascii="Times New Roman" w:hAnsi="Times New Roman" w:cs="Times New Roman"/>
          <w:u w:val="single"/>
        </w:rPr>
        <w:t>Section 9</w:t>
      </w:r>
      <w:r w:rsidRPr="00D228FE">
        <w:rPr>
          <w:rFonts w:ascii="Times New Roman" w:hAnsi="Times New Roman" w:cs="Times New Roman"/>
          <w:u w:val="single"/>
        </w:rPr>
        <w:t xml:space="preserve"> – </w:t>
      </w:r>
      <w:r>
        <w:rPr>
          <w:rFonts w:ascii="Times New Roman" w:hAnsi="Times New Roman" w:cs="Times New Roman"/>
          <w:u w:val="single"/>
        </w:rPr>
        <w:t>Confidentiality provisions</w:t>
      </w:r>
    </w:p>
    <w:p w14:paraId="74E253E6" w14:textId="6E39507B" w:rsidR="004543A5" w:rsidRDefault="007B0DEB" w:rsidP="004543A5">
      <w:pPr>
        <w:rPr>
          <w:rFonts w:ascii="Times New Roman" w:hAnsi="Times New Roman" w:cs="Times New Roman"/>
        </w:rPr>
      </w:pPr>
      <w:r>
        <w:rPr>
          <w:rFonts w:ascii="Times New Roman" w:hAnsi="Times New Roman" w:cs="Times New Roman"/>
        </w:rPr>
        <w:t>Th</w:t>
      </w:r>
      <w:r w:rsidR="00B5254C">
        <w:rPr>
          <w:rFonts w:ascii="Times New Roman" w:hAnsi="Times New Roman" w:cs="Times New Roman"/>
        </w:rPr>
        <w:t>is</w:t>
      </w:r>
      <w:r>
        <w:rPr>
          <w:rFonts w:ascii="Times New Roman" w:hAnsi="Times New Roman" w:cs="Times New Roman"/>
        </w:rPr>
        <w:t xml:space="preserve"> </w:t>
      </w:r>
      <w:r w:rsidR="00B5254C">
        <w:rPr>
          <w:rFonts w:ascii="Times New Roman" w:hAnsi="Times New Roman" w:cs="Times New Roman"/>
        </w:rPr>
        <w:t>section</w:t>
      </w:r>
      <w:r w:rsidR="00FB4461">
        <w:rPr>
          <w:rFonts w:ascii="Times New Roman" w:hAnsi="Times New Roman" w:cs="Times New Roman"/>
        </w:rPr>
        <w:t xml:space="preserve"> provides for the responsible Minister to grant an exemption or trade secret status </w:t>
      </w:r>
      <w:r w:rsidR="000058FE">
        <w:rPr>
          <w:rFonts w:ascii="Times New Roman" w:hAnsi="Times New Roman" w:cs="Times New Roman"/>
        </w:rPr>
        <w:t>for</w:t>
      </w:r>
      <w:r w:rsidR="00080C44">
        <w:rPr>
          <w:rFonts w:ascii="Times New Roman" w:hAnsi="Times New Roman" w:cs="Times New Roman"/>
        </w:rPr>
        <w:t xml:space="preserve"> an ingredient.</w:t>
      </w:r>
    </w:p>
    <w:p w14:paraId="29B9A128" w14:textId="77777777" w:rsidR="000A32D4" w:rsidRDefault="000A32D4" w:rsidP="004543A5">
      <w:pPr>
        <w:rPr>
          <w:rFonts w:ascii="Times New Roman" w:hAnsi="Times New Roman" w:cs="Times New Roman"/>
        </w:rPr>
      </w:pPr>
      <w:r>
        <w:rPr>
          <w:rFonts w:ascii="Times New Roman" w:hAnsi="Times New Roman" w:cs="Times New Roman"/>
        </w:rPr>
        <w:t>The Minister may, on application, grant confidentiality status in relation to an ingredient if the Minister is satisfied that:</w:t>
      </w:r>
    </w:p>
    <w:p w14:paraId="51684616" w14:textId="77777777" w:rsidR="000A32D4" w:rsidRDefault="000A32D4" w:rsidP="000A32D4">
      <w:pPr>
        <w:pStyle w:val="ListParagraph"/>
        <w:numPr>
          <w:ilvl w:val="0"/>
          <w:numId w:val="32"/>
        </w:numPr>
        <w:rPr>
          <w:rFonts w:ascii="Times New Roman" w:hAnsi="Times New Roman" w:cs="Times New Roman"/>
        </w:rPr>
      </w:pPr>
      <w:r>
        <w:rPr>
          <w:rFonts w:ascii="Times New Roman" w:hAnsi="Times New Roman" w:cs="Times New Roman"/>
        </w:rPr>
        <w:t>revealing the name of the ingredient would prejudice a trade secret, and</w:t>
      </w:r>
    </w:p>
    <w:p w14:paraId="28558991" w14:textId="5E849A1A" w:rsidR="000A32D4" w:rsidRDefault="000A32D4" w:rsidP="000A32D4">
      <w:pPr>
        <w:pStyle w:val="ListParagraph"/>
        <w:numPr>
          <w:ilvl w:val="0"/>
          <w:numId w:val="32"/>
        </w:numPr>
        <w:rPr>
          <w:rFonts w:ascii="Times New Roman" w:hAnsi="Times New Roman" w:cs="Times New Roman"/>
        </w:rPr>
      </w:pPr>
      <w:r>
        <w:rPr>
          <w:rFonts w:ascii="Times New Roman" w:hAnsi="Times New Roman" w:cs="Times New Roman"/>
        </w:rPr>
        <w:t>the ingredient in the product is unlikely</w:t>
      </w:r>
      <w:r w:rsidR="00080C44">
        <w:rPr>
          <w:rFonts w:ascii="Times New Roman" w:hAnsi="Times New Roman" w:cs="Times New Roman"/>
        </w:rPr>
        <w:t xml:space="preserve"> to cause harm to the consumer.</w:t>
      </w:r>
    </w:p>
    <w:p w14:paraId="748B55C4" w14:textId="25AED863" w:rsidR="000A32D4" w:rsidRPr="000A32D4" w:rsidRDefault="000A32D4" w:rsidP="000A32D4">
      <w:pPr>
        <w:rPr>
          <w:rFonts w:ascii="Times New Roman" w:hAnsi="Times New Roman" w:cs="Times New Roman"/>
        </w:rPr>
      </w:pPr>
      <w:r>
        <w:rPr>
          <w:rFonts w:ascii="Times New Roman" w:hAnsi="Times New Roman" w:cs="Times New Roman"/>
        </w:rPr>
        <w:t>If the ingredient confidentiality is granted, the ingredient can be shown as ‘other ingr</w:t>
      </w:r>
      <w:r w:rsidR="00080C44">
        <w:rPr>
          <w:rFonts w:ascii="Times New Roman" w:hAnsi="Times New Roman" w:cs="Times New Roman"/>
        </w:rPr>
        <w:t>edient’ in the ingredient list.</w:t>
      </w:r>
    </w:p>
    <w:p w14:paraId="20663518" w14:textId="0BC41A82" w:rsidR="004543A5" w:rsidRDefault="004543A5" w:rsidP="007B0DEB">
      <w:pPr>
        <w:keepNext/>
        <w:rPr>
          <w:rFonts w:ascii="Times New Roman" w:hAnsi="Times New Roman" w:cs="Times New Roman"/>
          <w:u w:val="single"/>
        </w:rPr>
      </w:pPr>
      <w:r>
        <w:rPr>
          <w:rFonts w:ascii="Times New Roman" w:hAnsi="Times New Roman" w:cs="Times New Roman"/>
          <w:u w:val="single"/>
        </w:rPr>
        <w:lastRenderedPageBreak/>
        <w:t>Section 10</w:t>
      </w:r>
      <w:r w:rsidRPr="00D228FE">
        <w:rPr>
          <w:rFonts w:ascii="Times New Roman" w:hAnsi="Times New Roman" w:cs="Times New Roman"/>
          <w:u w:val="single"/>
        </w:rPr>
        <w:t xml:space="preserve"> – </w:t>
      </w:r>
      <w:r>
        <w:rPr>
          <w:rFonts w:ascii="Times New Roman" w:hAnsi="Times New Roman" w:cs="Times New Roman"/>
          <w:u w:val="single"/>
        </w:rPr>
        <w:t>Review of decisions</w:t>
      </w:r>
    </w:p>
    <w:p w14:paraId="0C0F9AFC" w14:textId="525D191D" w:rsidR="004543A5" w:rsidRDefault="00B5254C" w:rsidP="004543A5">
      <w:pPr>
        <w:rPr>
          <w:rFonts w:ascii="Times New Roman" w:hAnsi="Times New Roman" w:cs="Times New Roman"/>
          <w:i/>
        </w:rPr>
      </w:pPr>
      <w:r>
        <w:rPr>
          <w:rFonts w:ascii="Times New Roman" w:hAnsi="Times New Roman" w:cs="Times New Roman"/>
        </w:rPr>
        <w:t xml:space="preserve">This section provides that where </w:t>
      </w:r>
      <w:r w:rsidR="00286E71">
        <w:rPr>
          <w:rFonts w:ascii="Times New Roman" w:hAnsi="Times New Roman" w:cs="Times New Roman"/>
        </w:rPr>
        <w:t>the Minister refuses an application for ingredient confidentiality under section 9, the applicant may appeal against the decision to the Administrative Appeals Tribunal.</w:t>
      </w:r>
    </w:p>
    <w:p w14:paraId="4DB9710A" w14:textId="5E64B99B" w:rsidR="004543A5" w:rsidRDefault="004543A5" w:rsidP="004543A5">
      <w:pPr>
        <w:rPr>
          <w:rFonts w:ascii="Times New Roman" w:hAnsi="Times New Roman" w:cs="Times New Roman"/>
          <w:u w:val="single"/>
        </w:rPr>
      </w:pPr>
      <w:r>
        <w:rPr>
          <w:rFonts w:ascii="Times New Roman" w:hAnsi="Times New Roman" w:cs="Times New Roman"/>
          <w:u w:val="single"/>
        </w:rPr>
        <w:t xml:space="preserve">Section 11 </w:t>
      </w:r>
      <w:r w:rsidRPr="00D228FE">
        <w:rPr>
          <w:rFonts w:ascii="Times New Roman" w:hAnsi="Times New Roman" w:cs="Times New Roman"/>
          <w:u w:val="single"/>
        </w:rPr>
        <w:t xml:space="preserve">– </w:t>
      </w:r>
      <w:r>
        <w:rPr>
          <w:rFonts w:ascii="Times New Roman" w:hAnsi="Times New Roman" w:cs="Times New Roman"/>
          <w:u w:val="single"/>
        </w:rPr>
        <w:t>Additional requirements for hand sanitisers</w:t>
      </w:r>
    </w:p>
    <w:p w14:paraId="5E326F03" w14:textId="52181480" w:rsidR="00E67EB9" w:rsidRDefault="00047B05" w:rsidP="00477ADE">
      <w:pPr>
        <w:rPr>
          <w:rFonts w:ascii="Times New Roman" w:hAnsi="Times New Roman" w:cs="Times New Roman"/>
        </w:rPr>
      </w:pPr>
      <w:r>
        <w:rPr>
          <w:rFonts w:ascii="Times New Roman" w:hAnsi="Times New Roman" w:cs="Times New Roman"/>
        </w:rPr>
        <w:t xml:space="preserve">This </w:t>
      </w:r>
      <w:r w:rsidR="005D0C67">
        <w:rPr>
          <w:rFonts w:ascii="Times New Roman" w:hAnsi="Times New Roman" w:cs="Times New Roman"/>
        </w:rPr>
        <w:t>section provides specific information requirements that must be applied to cosmetic hand sanitisers</w:t>
      </w:r>
      <w:r w:rsidR="004E167F">
        <w:rPr>
          <w:rFonts w:ascii="Times New Roman" w:hAnsi="Times New Roman" w:cs="Times New Roman"/>
        </w:rPr>
        <w:t xml:space="preserve"> that contain alcohol as the primary active ingredient</w:t>
      </w:r>
      <w:r w:rsidR="005D0C67">
        <w:rPr>
          <w:rFonts w:ascii="Times New Roman" w:hAnsi="Times New Roman" w:cs="Times New Roman"/>
        </w:rPr>
        <w:t>.</w:t>
      </w:r>
    </w:p>
    <w:p w14:paraId="4FD9B2E3" w14:textId="5800BD19" w:rsidR="00284F8C" w:rsidRPr="00AC09A0" w:rsidRDefault="00C46A83" w:rsidP="00284F8C">
      <w:pPr>
        <w:rPr>
          <w:rFonts w:ascii="Times New Roman" w:hAnsi="Times New Roman" w:cs="Times New Roman"/>
        </w:rPr>
      </w:pPr>
      <w:r>
        <w:rPr>
          <w:rFonts w:ascii="Times New Roman" w:hAnsi="Times New Roman" w:cs="Times New Roman"/>
        </w:rPr>
        <w:t>This section does not apply to</w:t>
      </w:r>
      <w:r w:rsidR="00284F8C" w:rsidRPr="00AC09A0">
        <w:rPr>
          <w:rFonts w:ascii="Times New Roman" w:hAnsi="Times New Roman" w:cs="Times New Roman"/>
        </w:rPr>
        <w:t>:</w:t>
      </w:r>
    </w:p>
    <w:p w14:paraId="6DB07E69" w14:textId="77777777" w:rsidR="00284F8C" w:rsidRPr="00284F8C" w:rsidRDefault="00284F8C" w:rsidP="00284F8C">
      <w:pPr>
        <w:pStyle w:val="ListParagraph"/>
        <w:numPr>
          <w:ilvl w:val="0"/>
          <w:numId w:val="28"/>
        </w:numPr>
        <w:rPr>
          <w:rStyle w:val="Hyperlink"/>
          <w:rFonts w:ascii="Times New Roman" w:hAnsi="Times New Roman" w:cs="Times New Roman"/>
          <w:color w:val="auto"/>
          <w:u w:val="none"/>
        </w:rPr>
      </w:pPr>
      <w:r>
        <w:rPr>
          <w:rFonts w:ascii="Times New Roman" w:hAnsi="Times New Roman" w:cs="Times New Roman"/>
        </w:rPr>
        <w:t xml:space="preserve">Hand sanitisers that are therapeutic goods within the meaning of the </w:t>
      </w:r>
      <w:hyperlink r:id="rId18" w:history="1">
        <w:r w:rsidRPr="00410F07">
          <w:rPr>
            <w:rStyle w:val="Hyperlink"/>
            <w:rFonts w:ascii="Times New Roman" w:hAnsi="Times New Roman" w:cs="Times New Roman"/>
            <w:i/>
          </w:rPr>
          <w:t>Therapeutic Goods (Excluded Goods) Determination 2018</w:t>
        </w:r>
      </w:hyperlink>
    </w:p>
    <w:p w14:paraId="26EE7B15" w14:textId="77777777" w:rsidR="00284F8C" w:rsidRPr="00284F8C" w:rsidRDefault="00284F8C" w:rsidP="00284F8C">
      <w:pPr>
        <w:pStyle w:val="ListParagraph"/>
        <w:numPr>
          <w:ilvl w:val="0"/>
          <w:numId w:val="28"/>
        </w:numPr>
        <w:rPr>
          <w:rFonts w:ascii="Times New Roman" w:hAnsi="Times New Roman" w:cs="Times New Roman"/>
        </w:rPr>
      </w:pPr>
      <w:r>
        <w:rPr>
          <w:rFonts w:ascii="Times New Roman" w:hAnsi="Times New Roman" w:cs="Times New Roman"/>
        </w:rPr>
        <w:t xml:space="preserve">Hand sanitisers that are excluded goods for the purposes of that Act under the </w:t>
      </w:r>
      <w:hyperlink r:id="rId19" w:history="1">
        <w:r w:rsidRPr="00284F8C">
          <w:rPr>
            <w:rStyle w:val="Hyperlink"/>
            <w:rFonts w:ascii="Times New Roman" w:hAnsi="Times New Roman" w:cs="Times New Roman"/>
            <w:i/>
          </w:rPr>
          <w:t>Therapeutic Goods (Excluded Goods – Hand Sanitisers) Determination 2020.</w:t>
        </w:r>
      </w:hyperlink>
    </w:p>
    <w:p w14:paraId="25F48EB3" w14:textId="45627EE7" w:rsidR="00DE79EE" w:rsidRPr="00DE79EE" w:rsidRDefault="00DE79EE" w:rsidP="00477ADE">
      <w:pPr>
        <w:rPr>
          <w:rFonts w:ascii="Times New Roman" w:hAnsi="Times New Roman" w:cs="Times New Roman"/>
          <w:i/>
        </w:rPr>
      </w:pPr>
      <w:r w:rsidRPr="00DE79EE">
        <w:rPr>
          <w:rFonts w:ascii="Times New Roman" w:hAnsi="Times New Roman" w:cs="Times New Roman"/>
          <w:i/>
        </w:rPr>
        <w:t>Categories of hand sanitiser</w:t>
      </w:r>
    </w:p>
    <w:p w14:paraId="73CC65E6" w14:textId="30794EE6" w:rsidR="000D4CBF" w:rsidRDefault="00477ADE" w:rsidP="00477ADE">
      <w:pPr>
        <w:rPr>
          <w:rFonts w:ascii="Times New Roman" w:hAnsi="Times New Roman" w:cs="Times New Roman"/>
        </w:rPr>
      </w:pPr>
      <w:r w:rsidRPr="00477ADE">
        <w:rPr>
          <w:rFonts w:ascii="Times New Roman" w:hAnsi="Times New Roman" w:cs="Times New Roman"/>
        </w:rPr>
        <w:t xml:space="preserve">Hand sanitisers in Australia are </w:t>
      </w:r>
      <w:r w:rsidR="005A6543">
        <w:rPr>
          <w:rFonts w:ascii="Times New Roman" w:hAnsi="Times New Roman" w:cs="Times New Roman"/>
        </w:rPr>
        <w:t>regulated</w:t>
      </w:r>
      <w:r w:rsidRPr="00477ADE">
        <w:rPr>
          <w:rFonts w:ascii="Times New Roman" w:hAnsi="Times New Roman" w:cs="Times New Roman"/>
        </w:rPr>
        <w:t xml:space="preserve"> as either cosmetic products or therapeutic goods. </w:t>
      </w:r>
      <w:r w:rsidR="000D4CBF">
        <w:rPr>
          <w:rFonts w:ascii="Times New Roman" w:hAnsi="Times New Roman" w:cs="Times New Roman"/>
        </w:rPr>
        <w:t>The difference between therapeutic goods and cosmetics is not always clear. Suppliers should seek advice from the</w:t>
      </w:r>
      <w:r w:rsidR="00FB2CE8">
        <w:rPr>
          <w:rFonts w:ascii="Times New Roman" w:hAnsi="Times New Roman" w:cs="Times New Roman"/>
        </w:rPr>
        <w:t xml:space="preserve"> Australian Competition and Consumer Commission </w:t>
      </w:r>
      <w:r w:rsidR="005D3769">
        <w:rPr>
          <w:rFonts w:ascii="Times New Roman" w:hAnsi="Times New Roman" w:cs="Times New Roman"/>
        </w:rPr>
        <w:t xml:space="preserve">(ACCC) </w:t>
      </w:r>
      <w:r w:rsidR="00FB2CE8">
        <w:rPr>
          <w:rFonts w:ascii="Times New Roman" w:hAnsi="Times New Roman" w:cs="Times New Roman"/>
        </w:rPr>
        <w:t>or the</w:t>
      </w:r>
      <w:r w:rsidR="000D4CBF">
        <w:rPr>
          <w:rFonts w:ascii="Times New Roman" w:hAnsi="Times New Roman" w:cs="Times New Roman"/>
        </w:rPr>
        <w:t xml:space="preserve"> Therapeutic Goods Administration (TGA) if they are unsure whether the</w:t>
      </w:r>
      <w:r w:rsidR="00B5254C">
        <w:rPr>
          <w:rFonts w:ascii="Times New Roman" w:hAnsi="Times New Roman" w:cs="Times New Roman"/>
        </w:rPr>
        <w:t>ir</w:t>
      </w:r>
      <w:r w:rsidR="000D4CBF">
        <w:rPr>
          <w:rFonts w:ascii="Times New Roman" w:hAnsi="Times New Roman" w:cs="Times New Roman"/>
        </w:rPr>
        <w:t xml:space="preserve"> product is f</w:t>
      </w:r>
      <w:r w:rsidR="00080C44">
        <w:rPr>
          <w:rFonts w:ascii="Times New Roman" w:hAnsi="Times New Roman" w:cs="Times New Roman"/>
        </w:rPr>
        <w:t>or cosmetic or therapeutic use.</w:t>
      </w:r>
    </w:p>
    <w:p w14:paraId="32133A1A" w14:textId="7381013B" w:rsidR="00477ADE" w:rsidRPr="00477ADE" w:rsidRDefault="00477ADE" w:rsidP="00477ADE">
      <w:pPr>
        <w:rPr>
          <w:rFonts w:ascii="Times New Roman" w:hAnsi="Times New Roman" w:cs="Times New Roman"/>
        </w:rPr>
      </w:pPr>
      <w:r w:rsidRPr="00477ADE">
        <w:rPr>
          <w:rFonts w:ascii="Times New Roman" w:hAnsi="Times New Roman" w:cs="Times New Roman"/>
        </w:rPr>
        <w:t xml:space="preserve">Cosmetic </w:t>
      </w:r>
      <w:r w:rsidRPr="00477ADE" w:rsidDel="0065424C">
        <w:rPr>
          <w:rFonts w:ascii="Times New Roman" w:hAnsi="Times New Roman" w:cs="Times New Roman"/>
        </w:rPr>
        <w:t xml:space="preserve">hand sanitisers include hand sanitisers that contain only low-risk ingredients </w:t>
      </w:r>
      <w:r w:rsidR="007560C0">
        <w:rPr>
          <w:rFonts w:ascii="Times New Roman" w:hAnsi="Times New Roman" w:cs="Times New Roman"/>
        </w:rPr>
        <w:t>(</w:t>
      </w:r>
      <w:r w:rsidR="00F14BC7">
        <w:rPr>
          <w:rFonts w:ascii="Times New Roman" w:hAnsi="Times New Roman" w:cs="Times New Roman"/>
        </w:rPr>
        <w:t>i.e.</w:t>
      </w:r>
      <w:r w:rsidR="007560C0">
        <w:rPr>
          <w:rFonts w:ascii="Times New Roman" w:hAnsi="Times New Roman" w:cs="Times New Roman"/>
        </w:rPr>
        <w:t xml:space="preserve"> does not contain an ingredient in Schedules 2,</w:t>
      </w:r>
      <w:r w:rsidR="00F14BC7">
        <w:rPr>
          <w:rFonts w:ascii="Times New Roman" w:hAnsi="Times New Roman" w:cs="Times New Roman"/>
        </w:rPr>
        <w:t xml:space="preserve"> </w:t>
      </w:r>
      <w:r w:rsidR="007560C0">
        <w:rPr>
          <w:rFonts w:ascii="Times New Roman" w:hAnsi="Times New Roman" w:cs="Times New Roman"/>
        </w:rPr>
        <w:t>3,</w:t>
      </w:r>
      <w:r w:rsidR="00F14BC7">
        <w:rPr>
          <w:rFonts w:ascii="Times New Roman" w:hAnsi="Times New Roman" w:cs="Times New Roman"/>
        </w:rPr>
        <w:t xml:space="preserve"> </w:t>
      </w:r>
      <w:r w:rsidR="007560C0">
        <w:rPr>
          <w:rFonts w:ascii="Times New Roman" w:hAnsi="Times New Roman" w:cs="Times New Roman"/>
        </w:rPr>
        <w:t>4 or 8 of the Poisons Information Standard),</w:t>
      </w:r>
      <w:r w:rsidR="00F14BC7">
        <w:rPr>
          <w:rFonts w:ascii="Times New Roman" w:hAnsi="Times New Roman" w:cs="Times New Roman"/>
        </w:rPr>
        <w:t xml:space="preserve"> </w:t>
      </w:r>
      <w:r w:rsidR="007560C0">
        <w:rPr>
          <w:rFonts w:ascii="Times New Roman" w:hAnsi="Times New Roman" w:cs="Times New Roman"/>
        </w:rPr>
        <w:t>that</w:t>
      </w:r>
      <w:r w:rsidRPr="00477ADE" w:rsidDel="0065424C">
        <w:rPr>
          <w:rFonts w:ascii="Times New Roman" w:hAnsi="Times New Roman" w:cs="Times New Roman"/>
        </w:rPr>
        <w:t xml:space="preserve"> do not make a specific therapeutic claim</w:t>
      </w:r>
      <w:r w:rsidR="007560C0">
        <w:rPr>
          <w:rFonts w:ascii="Times New Roman" w:hAnsi="Times New Roman" w:cs="Times New Roman"/>
        </w:rPr>
        <w:t xml:space="preserve"> and that are not for use in a health care setting</w:t>
      </w:r>
      <w:r w:rsidRPr="00477ADE" w:rsidDel="0065424C">
        <w:rPr>
          <w:rFonts w:ascii="Times New Roman" w:hAnsi="Times New Roman" w:cs="Times New Roman"/>
        </w:rPr>
        <w:t xml:space="preserve">. </w:t>
      </w:r>
      <w:r w:rsidR="00E740EB">
        <w:rPr>
          <w:rFonts w:ascii="Times New Roman" w:hAnsi="Times New Roman" w:cs="Times New Roman"/>
        </w:rPr>
        <w:t>General low-</w:t>
      </w:r>
      <w:r w:rsidRPr="00477ADE">
        <w:rPr>
          <w:rFonts w:ascii="Times New Roman" w:hAnsi="Times New Roman" w:cs="Times New Roman"/>
        </w:rPr>
        <w:t xml:space="preserve">level claims </w:t>
      </w:r>
      <w:r w:rsidR="007560C0">
        <w:rPr>
          <w:rFonts w:ascii="Times New Roman" w:hAnsi="Times New Roman" w:cs="Times New Roman"/>
        </w:rPr>
        <w:t xml:space="preserve">of activity </w:t>
      </w:r>
      <w:r w:rsidRPr="00477ADE">
        <w:rPr>
          <w:rFonts w:ascii="Times New Roman" w:hAnsi="Times New Roman" w:cs="Times New Roman"/>
        </w:rPr>
        <w:t xml:space="preserve">against bacteria </w:t>
      </w:r>
      <w:r w:rsidR="00E740EB">
        <w:rPr>
          <w:rFonts w:ascii="Times New Roman" w:hAnsi="Times New Roman" w:cs="Times New Roman"/>
        </w:rPr>
        <w:t>are</w:t>
      </w:r>
      <w:r w:rsidRPr="00477ADE">
        <w:rPr>
          <w:rFonts w:ascii="Times New Roman" w:hAnsi="Times New Roman" w:cs="Times New Roman"/>
        </w:rPr>
        <w:t xml:space="preserve"> </w:t>
      </w:r>
      <w:r w:rsidR="007560C0">
        <w:rPr>
          <w:rFonts w:ascii="Times New Roman" w:hAnsi="Times New Roman" w:cs="Times New Roman"/>
        </w:rPr>
        <w:t>permitted</w:t>
      </w:r>
      <w:r w:rsidRPr="00477ADE">
        <w:rPr>
          <w:rFonts w:ascii="Times New Roman" w:hAnsi="Times New Roman" w:cs="Times New Roman"/>
        </w:rPr>
        <w:t xml:space="preserve">, and are made by the majority of </w:t>
      </w:r>
      <w:r w:rsidR="00B5254C">
        <w:rPr>
          <w:rFonts w:ascii="Times New Roman" w:hAnsi="Times New Roman" w:cs="Times New Roman"/>
        </w:rPr>
        <w:t>cosmetic grade hand sanitisers.</w:t>
      </w:r>
    </w:p>
    <w:p w14:paraId="26A8BF74" w14:textId="4D6F55E6" w:rsidR="00AE31C3" w:rsidRDefault="007560C0" w:rsidP="004543A5">
      <w:pPr>
        <w:rPr>
          <w:rFonts w:ascii="Times New Roman" w:hAnsi="Times New Roman" w:cs="Times New Roman"/>
        </w:rPr>
      </w:pPr>
      <w:r>
        <w:rPr>
          <w:rFonts w:ascii="Times New Roman" w:hAnsi="Times New Roman" w:cs="Times New Roman"/>
        </w:rPr>
        <w:t>H</w:t>
      </w:r>
      <w:r w:rsidR="00477ADE" w:rsidRPr="00477ADE">
        <w:rPr>
          <w:rFonts w:ascii="Times New Roman" w:hAnsi="Times New Roman" w:cs="Times New Roman"/>
        </w:rPr>
        <w:t xml:space="preserve">and sanitisers </w:t>
      </w:r>
      <w:r>
        <w:rPr>
          <w:rFonts w:ascii="Times New Roman" w:hAnsi="Times New Roman" w:cs="Times New Roman"/>
        </w:rPr>
        <w:t xml:space="preserve">regulated as therapeutic goods </w:t>
      </w:r>
      <w:r w:rsidR="00477ADE" w:rsidRPr="00477ADE">
        <w:rPr>
          <w:rFonts w:ascii="Times New Roman" w:hAnsi="Times New Roman" w:cs="Times New Roman"/>
        </w:rPr>
        <w:t>are those which make a therapeutic claim and</w:t>
      </w:r>
      <w:r>
        <w:rPr>
          <w:rFonts w:ascii="Times New Roman" w:hAnsi="Times New Roman" w:cs="Times New Roman"/>
        </w:rPr>
        <w:t>/or</w:t>
      </w:r>
      <w:r w:rsidR="00477ADE" w:rsidRPr="00477ADE">
        <w:rPr>
          <w:rFonts w:ascii="Times New Roman" w:hAnsi="Times New Roman" w:cs="Times New Roman"/>
        </w:rPr>
        <w:t xml:space="preserve"> are </w:t>
      </w:r>
      <w:r>
        <w:rPr>
          <w:rFonts w:ascii="Times New Roman" w:hAnsi="Times New Roman" w:cs="Times New Roman"/>
        </w:rPr>
        <w:t>intended</w:t>
      </w:r>
      <w:r w:rsidR="00787F77">
        <w:rPr>
          <w:rFonts w:ascii="Times New Roman" w:hAnsi="Times New Roman" w:cs="Times New Roman"/>
        </w:rPr>
        <w:t xml:space="preserve"> for use in a</w:t>
      </w:r>
      <w:r w:rsidR="00477ADE" w:rsidRPr="00477ADE">
        <w:rPr>
          <w:rFonts w:ascii="Times New Roman" w:hAnsi="Times New Roman" w:cs="Times New Roman"/>
        </w:rPr>
        <w:t xml:space="preserve"> clinical or hospital setting</w:t>
      </w:r>
      <w:r>
        <w:rPr>
          <w:rFonts w:ascii="Times New Roman" w:hAnsi="Times New Roman" w:cs="Times New Roman"/>
        </w:rPr>
        <w:t>, and/or are for use in relation to procedures that present greater risk of infections or disease transmission, such as body piercing or tattooing</w:t>
      </w:r>
      <w:r w:rsidR="00477ADE" w:rsidRPr="00477ADE">
        <w:rPr>
          <w:rFonts w:ascii="Times New Roman" w:hAnsi="Times New Roman" w:cs="Times New Roman"/>
        </w:rPr>
        <w:t>. Typi</w:t>
      </w:r>
      <w:r w:rsidR="00047B05">
        <w:rPr>
          <w:rFonts w:ascii="Times New Roman" w:hAnsi="Times New Roman" w:cs="Times New Roman"/>
        </w:rPr>
        <w:t xml:space="preserve">cal therapeutic claims include </w:t>
      </w:r>
      <w:r w:rsidR="00477ADE" w:rsidRPr="00477ADE">
        <w:rPr>
          <w:rFonts w:ascii="Times New Roman" w:hAnsi="Times New Roman" w:cs="Times New Roman"/>
        </w:rPr>
        <w:t>claims that are made in relation to killing a specific organism or virus e.g.</w:t>
      </w:r>
      <w:r w:rsidR="00F14BC7">
        <w:rPr>
          <w:rFonts w:ascii="Times New Roman" w:hAnsi="Times New Roman" w:cs="Times New Roman"/>
        </w:rPr>
        <w:t> </w:t>
      </w:r>
      <w:r w:rsidR="00477ADE" w:rsidRPr="00477ADE">
        <w:rPr>
          <w:rFonts w:ascii="Times New Roman" w:hAnsi="Times New Roman" w:cs="Times New Roman"/>
        </w:rPr>
        <w:t>‘kills E.</w:t>
      </w:r>
      <w:r w:rsidR="00787F77">
        <w:rPr>
          <w:rFonts w:ascii="Times New Roman" w:hAnsi="Times New Roman" w:cs="Times New Roman"/>
        </w:rPr>
        <w:t xml:space="preserve"> coli’ or ‘eliminates COVID-19’. </w:t>
      </w:r>
      <w:r w:rsidR="00477ADE" w:rsidRPr="00477ADE">
        <w:rPr>
          <w:rFonts w:ascii="Times New Roman" w:hAnsi="Times New Roman" w:cs="Times New Roman"/>
        </w:rPr>
        <w:t>The</w:t>
      </w:r>
      <w:r w:rsidR="00B5254C">
        <w:rPr>
          <w:rFonts w:ascii="Times New Roman" w:hAnsi="Times New Roman" w:cs="Times New Roman"/>
        </w:rPr>
        <w:t xml:space="preserve"> information s</w:t>
      </w:r>
      <w:r w:rsidR="00787F77">
        <w:rPr>
          <w:rFonts w:ascii="Times New Roman" w:hAnsi="Times New Roman" w:cs="Times New Roman"/>
        </w:rPr>
        <w:t>tandard does not apply to these</w:t>
      </w:r>
      <w:r w:rsidR="00477ADE" w:rsidRPr="00477ADE">
        <w:rPr>
          <w:rFonts w:ascii="Times New Roman" w:hAnsi="Times New Roman" w:cs="Times New Roman"/>
        </w:rPr>
        <w:t xml:space="preserve"> products </w:t>
      </w:r>
      <w:r w:rsidR="00787F77">
        <w:rPr>
          <w:rFonts w:ascii="Times New Roman" w:hAnsi="Times New Roman" w:cs="Times New Roman"/>
        </w:rPr>
        <w:t>as they are</w:t>
      </w:r>
      <w:r w:rsidR="00477ADE" w:rsidRPr="00477ADE">
        <w:rPr>
          <w:rFonts w:ascii="Times New Roman" w:hAnsi="Times New Roman" w:cs="Times New Roman"/>
        </w:rPr>
        <w:t xml:space="preserve"> regulated by the </w:t>
      </w:r>
      <w:r w:rsidR="00787F77">
        <w:rPr>
          <w:rFonts w:ascii="Times New Roman" w:hAnsi="Times New Roman" w:cs="Times New Roman"/>
        </w:rPr>
        <w:t>TGA.</w:t>
      </w:r>
    </w:p>
    <w:p w14:paraId="32C58DF9" w14:textId="36264A0E" w:rsidR="00477ADE" w:rsidRPr="00477ADE" w:rsidRDefault="00256A54" w:rsidP="00E740EB">
      <w:pPr>
        <w:spacing w:after="240"/>
        <w:rPr>
          <w:rFonts w:ascii="Times New Roman" w:hAnsi="Times New Roman" w:cs="Times New Roman"/>
        </w:rPr>
      </w:pPr>
      <w:r>
        <w:rPr>
          <w:rFonts w:ascii="Times New Roman" w:hAnsi="Times New Roman" w:cs="Times New Roman"/>
        </w:rPr>
        <w:t>The table below presents some examples highlighting the differences between a therapeutic claim and a cosmetic claim:</w:t>
      </w:r>
    </w:p>
    <w:tbl>
      <w:tblPr>
        <w:tblStyle w:val="TableGridLight"/>
        <w:tblW w:w="0" w:type="auto"/>
        <w:jc w:val="center"/>
        <w:tblLook w:val="04A0" w:firstRow="1" w:lastRow="0" w:firstColumn="1" w:lastColumn="0" w:noHBand="0" w:noVBand="1"/>
      </w:tblPr>
      <w:tblGrid>
        <w:gridCol w:w="3397"/>
        <w:gridCol w:w="1560"/>
      </w:tblGrid>
      <w:tr w:rsidR="00AE31C3" w:rsidRPr="00477ADE" w14:paraId="1873507A" w14:textId="77777777" w:rsidTr="00A62CF4">
        <w:trPr>
          <w:jc w:val="center"/>
        </w:trPr>
        <w:tc>
          <w:tcPr>
            <w:tcW w:w="3397" w:type="dxa"/>
          </w:tcPr>
          <w:p w14:paraId="5FE45236" w14:textId="77777777" w:rsidR="00AE31C3" w:rsidRPr="00477ADE" w:rsidRDefault="00E740EB" w:rsidP="00356488">
            <w:pPr>
              <w:spacing w:before="60" w:after="60"/>
              <w:rPr>
                <w:rFonts w:ascii="Times New Roman" w:hAnsi="Times New Roman" w:cs="Times New Roman"/>
                <w:b/>
              </w:rPr>
            </w:pPr>
            <w:r>
              <w:rPr>
                <w:rFonts w:ascii="Times New Roman" w:hAnsi="Times New Roman" w:cs="Times New Roman"/>
                <w:b/>
              </w:rPr>
              <w:t>Efficacy claim</w:t>
            </w:r>
          </w:p>
        </w:tc>
        <w:tc>
          <w:tcPr>
            <w:tcW w:w="1560" w:type="dxa"/>
          </w:tcPr>
          <w:p w14:paraId="5532C9C4" w14:textId="6162A0FD" w:rsidR="00AE31C3" w:rsidRPr="00477ADE" w:rsidRDefault="00455777" w:rsidP="00356488">
            <w:pPr>
              <w:spacing w:before="60" w:after="60"/>
              <w:rPr>
                <w:rFonts w:ascii="Times New Roman" w:hAnsi="Times New Roman" w:cs="Times New Roman"/>
                <w:b/>
              </w:rPr>
            </w:pPr>
            <w:r>
              <w:rPr>
                <w:rFonts w:ascii="Times New Roman" w:hAnsi="Times New Roman" w:cs="Times New Roman"/>
                <w:b/>
              </w:rPr>
              <w:t>Regulated as</w:t>
            </w:r>
          </w:p>
        </w:tc>
      </w:tr>
      <w:tr w:rsidR="00AE31C3" w:rsidRPr="00477ADE" w14:paraId="2B4C1BB2" w14:textId="77777777" w:rsidTr="00A62CF4">
        <w:trPr>
          <w:jc w:val="center"/>
        </w:trPr>
        <w:tc>
          <w:tcPr>
            <w:tcW w:w="3397" w:type="dxa"/>
          </w:tcPr>
          <w:p w14:paraId="1AE31DDB" w14:textId="77777777" w:rsidR="00AE31C3" w:rsidRPr="00477ADE" w:rsidRDefault="00E740EB" w:rsidP="00356488">
            <w:pPr>
              <w:spacing w:before="60" w:after="60"/>
              <w:rPr>
                <w:rFonts w:ascii="Times New Roman" w:hAnsi="Times New Roman" w:cs="Times New Roman"/>
              </w:rPr>
            </w:pPr>
            <w:r>
              <w:rPr>
                <w:rFonts w:ascii="Times New Roman" w:hAnsi="Times New Roman" w:cs="Times New Roman"/>
              </w:rPr>
              <w:t>Kills 99% of bacteria</w:t>
            </w:r>
          </w:p>
        </w:tc>
        <w:tc>
          <w:tcPr>
            <w:tcW w:w="1560" w:type="dxa"/>
          </w:tcPr>
          <w:p w14:paraId="15FD239E" w14:textId="77777777" w:rsidR="00AE31C3" w:rsidRPr="00477ADE" w:rsidRDefault="00256A54" w:rsidP="00356488">
            <w:pPr>
              <w:spacing w:before="60" w:after="60"/>
              <w:rPr>
                <w:rFonts w:ascii="Times New Roman" w:hAnsi="Times New Roman" w:cs="Times New Roman"/>
              </w:rPr>
            </w:pPr>
            <w:r>
              <w:rPr>
                <w:rFonts w:ascii="Times New Roman" w:hAnsi="Times New Roman" w:cs="Times New Roman"/>
              </w:rPr>
              <w:t>Cosmetic</w:t>
            </w:r>
          </w:p>
        </w:tc>
      </w:tr>
      <w:tr w:rsidR="00E740EB" w:rsidRPr="00477ADE" w14:paraId="7724AD50" w14:textId="77777777" w:rsidTr="00A62CF4">
        <w:trPr>
          <w:jc w:val="center"/>
        </w:trPr>
        <w:tc>
          <w:tcPr>
            <w:tcW w:w="3397" w:type="dxa"/>
          </w:tcPr>
          <w:p w14:paraId="21CF5774" w14:textId="77777777" w:rsidR="00E740EB" w:rsidRDefault="00E740EB" w:rsidP="00356488">
            <w:pPr>
              <w:spacing w:before="60" w:after="60"/>
              <w:rPr>
                <w:rFonts w:ascii="Times New Roman" w:hAnsi="Times New Roman" w:cs="Times New Roman"/>
              </w:rPr>
            </w:pPr>
            <w:r>
              <w:rPr>
                <w:rFonts w:ascii="Times New Roman" w:hAnsi="Times New Roman" w:cs="Times New Roman"/>
              </w:rPr>
              <w:t>Anti-viral</w:t>
            </w:r>
          </w:p>
        </w:tc>
        <w:tc>
          <w:tcPr>
            <w:tcW w:w="1560" w:type="dxa"/>
          </w:tcPr>
          <w:p w14:paraId="2A5AC42D" w14:textId="77777777" w:rsidR="00E740EB" w:rsidRPr="00477ADE" w:rsidRDefault="00E740EB" w:rsidP="00356488">
            <w:pPr>
              <w:spacing w:before="60" w:after="60"/>
              <w:rPr>
                <w:rFonts w:ascii="Times New Roman" w:hAnsi="Times New Roman" w:cs="Times New Roman"/>
              </w:rPr>
            </w:pPr>
            <w:r>
              <w:rPr>
                <w:rFonts w:ascii="Times New Roman" w:hAnsi="Times New Roman" w:cs="Times New Roman"/>
              </w:rPr>
              <w:t>Therapeutic</w:t>
            </w:r>
          </w:p>
        </w:tc>
      </w:tr>
      <w:tr w:rsidR="00E740EB" w:rsidRPr="00477ADE" w14:paraId="262F64BE" w14:textId="77777777" w:rsidTr="00A62CF4">
        <w:trPr>
          <w:jc w:val="center"/>
        </w:trPr>
        <w:tc>
          <w:tcPr>
            <w:tcW w:w="3397" w:type="dxa"/>
          </w:tcPr>
          <w:p w14:paraId="5519D464" w14:textId="77777777" w:rsidR="00E740EB" w:rsidRDefault="00E740EB" w:rsidP="00356488">
            <w:pPr>
              <w:spacing w:before="60" w:after="60"/>
              <w:rPr>
                <w:rFonts w:ascii="Times New Roman" w:hAnsi="Times New Roman" w:cs="Times New Roman"/>
              </w:rPr>
            </w:pPr>
            <w:r>
              <w:rPr>
                <w:rFonts w:ascii="Times New Roman" w:hAnsi="Times New Roman" w:cs="Times New Roman"/>
              </w:rPr>
              <w:t>Anti-virus</w:t>
            </w:r>
          </w:p>
        </w:tc>
        <w:tc>
          <w:tcPr>
            <w:tcW w:w="1560" w:type="dxa"/>
          </w:tcPr>
          <w:p w14:paraId="5AF5E3C2" w14:textId="77777777" w:rsidR="00E740EB" w:rsidRPr="00477ADE" w:rsidRDefault="00E740EB" w:rsidP="00356488">
            <w:pPr>
              <w:spacing w:before="60" w:after="60"/>
              <w:rPr>
                <w:rFonts w:ascii="Times New Roman" w:hAnsi="Times New Roman" w:cs="Times New Roman"/>
              </w:rPr>
            </w:pPr>
            <w:r>
              <w:rPr>
                <w:rFonts w:ascii="Times New Roman" w:hAnsi="Times New Roman" w:cs="Times New Roman"/>
              </w:rPr>
              <w:t>Therapeutic</w:t>
            </w:r>
          </w:p>
        </w:tc>
      </w:tr>
      <w:tr w:rsidR="00AE31C3" w:rsidRPr="00477ADE" w14:paraId="011E680B" w14:textId="77777777" w:rsidTr="00A62CF4">
        <w:trPr>
          <w:jc w:val="center"/>
        </w:trPr>
        <w:tc>
          <w:tcPr>
            <w:tcW w:w="3397" w:type="dxa"/>
          </w:tcPr>
          <w:p w14:paraId="033889A5" w14:textId="77777777" w:rsidR="00AE31C3" w:rsidRPr="00477ADE" w:rsidRDefault="00E740EB" w:rsidP="00356488">
            <w:pPr>
              <w:spacing w:before="60" w:after="60"/>
              <w:rPr>
                <w:rFonts w:ascii="Times New Roman" w:hAnsi="Times New Roman" w:cs="Times New Roman"/>
              </w:rPr>
            </w:pPr>
            <w:r>
              <w:rPr>
                <w:rFonts w:ascii="Times New Roman" w:hAnsi="Times New Roman" w:cs="Times New Roman"/>
              </w:rPr>
              <w:t>Virucidal</w:t>
            </w:r>
          </w:p>
        </w:tc>
        <w:tc>
          <w:tcPr>
            <w:tcW w:w="1560" w:type="dxa"/>
          </w:tcPr>
          <w:p w14:paraId="2B053065" w14:textId="77777777" w:rsidR="00AE31C3" w:rsidRPr="00477ADE" w:rsidRDefault="00E740EB" w:rsidP="00356488">
            <w:pPr>
              <w:spacing w:before="60" w:after="60"/>
              <w:rPr>
                <w:rFonts w:ascii="Times New Roman" w:hAnsi="Times New Roman" w:cs="Times New Roman"/>
              </w:rPr>
            </w:pPr>
            <w:r>
              <w:rPr>
                <w:rFonts w:ascii="Times New Roman" w:hAnsi="Times New Roman" w:cs="Times New Roman"/>
              </w:rPr>
              <w:t>Therapeutic</w:t>
            </w:r>
            <w:r w:rsidR="00A26CB0">
              <w:rPr>
                <w:rFonts w:ascii="Times New Roman" w:hAnsi="Times New Roman" w:cs="Times New Roman"/>
              </w:rPr>
              <w:t xml:space="preserve"> </w:t>
            </w:r>
          </w:p>
        </w:tc>
      </w:tr>
      <w:tr w:rsidR="00AE31C3" w:rsidRPr="00477ADE" w14:paraId="6D35D605" w14:textId="77777777" w:rsidTr="00A62CF4">
        <w:trPr>
          <w:jc w:val="center"/>
        </w:trPr>
        <w:tc>
          <w:tcPr>
            <w:tcW w:w="3397" w:type="dxa"/>
          </w:tcPr>
          <w:p w14:paraId="068A0DD8" w14:textId="77777777" w:rsidR="00AE31C3" w:rsidRPr="00477ADE" w:rsidRDefault="00E740EB" w:rsidP="00356488">
            <w:pPr>
              <w:spacing w:before="60" w:after="60"/>
              <w:rPr>
                <w:rFonts w:ascii="Times New Roman" w:hAnsi="Times New Roman" w:cs="Times New Roman"/>
              </w:rPr>
            </w:pPr>
            <w:r>
              <w:rPr>
                <w:rFonts w:ascii="Times New Roman" w:hAnsi="Times New Roman" w:cs="Times New Roman"/>
              </w:rPr>
              <w:t>Antibacterial</w:t>
            </w:r>
          </w:p>
        </w:tc>
        <w:tc>
          <w:tcPr>
            <w:tcW w:w="1560" w:type="dxa"/>
          </w:tcPr>
          <w:p w14:paraId="7941D283" w14:textId="77777777" w:rsidR="00AE31C3" w:rsidRPr="00477ADE" w:rsidRDefault="00256A54" w:rsidP="00356488">
            <w:pPr>
              <w:spacing w:before="60" w:after="60"/>
              <w:rPr>
                <w:rFonts w:ascii="Times New Roman" w:hAnsi="Times New Roman" w:cs="Times New Roman"/>
              </w:rPr>
            </w:pPr>
            <w:r>
              <w:rPr>
                <w:rFonts w:ascii="Times New Roman" w:hAnsi="Times New Roman" w:cs="Times New Roman"/>
              </w:rPr>
              <w:t>Cosmetic</w:t>
            </w:r>
            <w:r w:rsidR="00A26CB0">
              <w:rPr>
                <w:rFonts w:ascii="Times New Roman" w:hAnsi="Times New Roman" w:cs="Times New Roman"/>
              </w:rPr>
              <w:t xml:space="preserve"> </w:t>
            </w:r>
          </w:p>
        </w:tc>
      </w:tr>
      <w:tr w:rsidR="00E740EB" w:rsidRPr="00477ADE" w14:paraId="1F33F181" w14:textId="77777777" w:rsidTr="00A62CF4">
        <w:trPr>
          <w:jc w:val="center"/>
        </w:trPr>
        <w:tc>
          <w:tcPr>
            <w:tcW w:w="3397" w:type="dxa"/>
          </w:tcPr>
          <w:p w14:paraId="45606418" w14:textId="77777777" w:rsidR="00E740EB" w:rsidRDefault="00E740EB" w:rsidP="00356488">
            <w:pPr>
              <w:spacing w:before="60" w:after="60"/>
              <w:rPr>
                <w:rFonts w:ascii="Times New Roman" w:hAnsi="Times New Roman" w:cs="Times New Roman"/>
              </w:rPr>
            </w:pPr>
            <w:r>
              <w:rPr>
                <w:rFonts w:ascii="Times New Roman" w:hAnsi="Times New Roman" w:cs="Times New Roman"/>
              </w:rPr>
              <w:t>Provides antibacterial protection</w:t>
            </w:r>
          </w:p>
        </w:tc>
        <w:tc>
          <w:tcPr>
            <w:tcW w:w="1560" w:type="dxa"/>
          </w:tcPr>
          <w:p w14:paraId="1DECC450" w14:textId="77777777" w:rsidR="00E740EB" w:rsidRPr="00477ADE" w:rsidRDefault="00675C2C" w:rsidP="00356488">
            <w:pPr>
              <w:spacing w:before="60" w:after="60"/>
              <w:rPr>
                <w:rFonts w:ascii="Times New Roman" w:hAnsi="Times New Roman" w:cs="Times New Roman"/>
              </w:rPr>
            </w:pPr>
            <w:r>
              <w:rPr>
                <w:rFonts w:ascii="Times New Roman" w:hAnsi="Times New Roman" w:cs="Times New Roman"/>
              </w:rPr>
              <w:t>Therapeutic</w:t>
            </w:r>
          </w:p>
        </w:tc>
      </w:tr>
      <w:tr w:rsidR="00E740EB" w:rsidRPr="00477ADE" w14:paraId="0D0CB561" w14:textId="77777777" w:rsidTr="00A62CF4">
        <w:trPr>
          <w:jc w:val="center"/>
        </w:trPr>
        <w:tc>
          <w:tcPr>
            <w:tcW w:w="3397" w:type="dxa"/>
          </w:tcPr>
          <w:p w14:paraId="26C49D6F" w14:textId="77777777" w:rsidR="00E740EB" w:rsidRDefault="00E740EB" w:rsidP="00356488">
            <w:pPr>
              <w:spacing w:before="60" w:after="60"/>
              <w:rPr>
                <w:rFonts w:ascii="Times New Roman" w:hAnsi="Times New Roman" w:cs="Times New Roman"/>
              </w:rPr>
            </w:pPr>
            <w:r>
              <w:rPr>
                <w:rFonts w:ascii="Times New Roman" w:hAnsi="Times New Roman" w:cs="Times New Roman"/>
              </w:rPr>
              <w:t>Bacteriostatic</w:t>
            </w:r>
          </w:p>
        </w:tc>
        <w:tc>
          <w:tcPr>
            <w:tcW w:w="1560" w:type="dxa"/>
          </w:tcPr>
          <w:p w14:paraId="5FD86E4F" w14:textId="77777777" w:rsidR="00E740EB" w:rsidRPr="00477ADE" w:rsidRDefault="00675C2C" w:rsidP="00356488">
            <w:pPr>
              <w:spacing w:before="60" w:after="60"/>
              <w:rPr>
                <w:rFonts w:ascii="Times New Roman" w:hAnsi="Times New Roman" w:cs="Times New Roman"/>
              </w:rPr>
            </w:pPr>
            <w:r>
              <w:rPr>
                <w:rFonts w:ascii="Times New Roman" w:hAnsi="Times New Roman" w:cs="Times New Roman"/>
              </w:rPr>
              <w:t>Therapeutic</w:t>
            </w:r>
          </w:p>
        </w:tc>
      </w:tr>
      <w:tr w:rsidR="00E740EB" w:rsidRPr="00477ADE" w14:paraId="424C5472" w14:textId="77777777" w:rsidTr="00A62CF4">
        <w:trPr>
          <w:jc w:val="center"/>
        </w:trPr>
        <w:tc>
          <w:tcPr>
            <w:tcW w:w="3397" w:type="dxa"/>
          </w:tcPr>
          <w:p w14:paraId="3B96F433" w14:textId="77777777" w:rsidR="00E740EB" w:rsidRDefault="00E740EB" w:rsidP="00356488">
            <w:pPr>
              <w:spacing w:before="60" w:after="60"/>
              <w:rPr>
                <w:rFonts w:ascii="Times New Roman" w:hAnsi="Times New Roman" w:cs="Times New Roman"/>
              </w:rPr>
            </w:pPr>
            <w:r>
              <w:rPr>
                <w:rFonts w:ascii="Times New Roman" w:hAnsi="Times New Roman" w:cs="Times New Roman"/>
              </w:rPr>
              <w:t>Fights germs</w:t>
            </w:r>
          </w:p>
        </w:tc>
        <w:tc>
          <w:tcPr>
            <w:tcW w:w="1560" w:type="dxa"/>
          </w:tcPr>
          <w:p w14:paraId="29231794" w14:textId="77777777" w:rsidR="00E740EB" w:rsidRPr="00477ADE" w:rsidRDefault="00256A54" w:rsidP="00356488">
            <w:pPr>
              <w:spacing w:before="60" w:after="60"/>
              <w:rPr>
                <w:rFonts w:ascii="Times New Roman" w:hAnsi="Times New Roman" w:cs="Times New Roman"/>
              </w:rPr>
            </w:pPr>
            <w:r>
              <w:rPr>
                <w:rFonts w:ascii="Times New Roman" w:hAnsi="Times New Roman" w:cs="Times New Roman"/>
              </w:rPr>
              <w:t>Cosmetic</w:t>
            </w:r>
          </w:p>
        </w:tc>
      </w:tr>
      <w:tr w:rsidR="00E740EB" w:rsidRPr="00477ADE" w14:paraId="691E0A4D" w14:textId="77777777" w:rsidTr="00A62CF4">
        <w:trPr>
          <w:jc w:val="center"/>
        </w:trPr>
        <w:tc>
          <w:tcPr>
            <w:tcW w:w="3397" w:type="dxa"/>
          </w:tcPr>
          <w:p w14:paraId="05505E6D" w14:textId="77777777" w:rsidR="00E740EB" w:rsidRDefault="00E740EB" w:rsidP="00356488">
            <w:pPr>
              <w:spacing w:before="60" w:after="60"/>
              <w:rPr>
                <w:rFonts w:ascii="Times New Roman" w:hAnsi="Times New Roman" w:cs="Times New Roman"/>
              </w:rPr>
            </w:pPr>
            <w:r>
              <w:rPr>
                <w:rFonts w:ascii="Times New Roman" w:hAnsi="Times New Roman" w:cs="Times New Roman"/>
              </w:rPr>
              <w:t>Kills 99% of germs</w:t>
            </w:r>
          </w:p>
        </w:tc>
        <w:tc>
          <w:tcPr>
            <w:tcW w:w="1560" w:type="dxa"/>
          </w:tcPr>
          <w:p w14:paraId="77433A3C" w14:textId="77777777" w:rsidR="00E740EB" w:rsidRPr="00477ADE" w:rsidRDefault="00256A54" w:rsidP="00356488">
            <w:pPr>
              <w:spacing w:before="60" w:after="60"/>
              <w:rPr>
                <w:rFonts w:ascii="Times New Roman" w:hAnsi="Times New Roman" w:cs="Times New Roman"/>
              </w:rPr>
            </w:pPr>
            <w:r>
              <w:rPr>
                <w:rFonts w:ascii="Times New Roman" w:hAnsi="Times New Roman" w:cs="Times New Roman"/>
              </w:rPr>
              <w:t>Cosmetic</w:t>
            </w:r>
          </w:p>
        </w:tc>
      </w:tr>
      <w:tr w:rsidR="00E740EB" w:rsidRPr="00477ADE" w14:paraId="03E22616" w14:textId="77777777" w:rsidTr="00A62CF4">
        <w:trPr>
          <w:jc w:val="center"/>
        </w:trPr>
        <w:tc>
          <w:tcPr>
            <w:tcW w:w="3397" w:type="dxa"/>
          </w:tcPr>
          <w:p w14:paraId="407E2B93" w14:textId="77777777" w:rsidR="00E740EB" w:rsidRDefault="00E740EB" w:rsidP="00356488">
            <w:pPr>
              <w:spacing w:before="60" w:after="60"/>
              <w:rPr>
                <w:rFonts w:ascii="Times New Roman" w:hAnsi="Times New Roman" w:cs="Times New Roman"/>
              </w:rPr>
            </w:pPr>
            <w:r>
              <w:rPr>
                <w:rFonts w:ascii="Times New Roman" w:hAnsi="Times New Roman" w:cs="Times New Roman"/>
              </w:rPr>
              <w:t>Disinfectant</w:t>
            </w:r>
          </w:p>
        </w:tc>
        <w:tc>
          <w:tcPr>
            <w:tcW w:w="1560" w:type="dxa"/>
          </w:tcPr>
          <w:p w14:paraId="435A8D0E" w14:textId="77777777" w:rsidR="00E740EB" w:rsidRPr="00477ADE" w:rsidRDefault="00675C2C" w:rsidP="00356488">
            <w:pPr>
              <w:spacing w:before="60" w:after="60"/>
              <w:rPr>
                <w:rFonts w:ascii="Times New Roman" w:hAnsi="Times New Roman" w:cs="Times New Roman"/>
              </w:rPr>
            </w:pPr>
            <w:r>
              <w:rPr>
                <w:rFonts w:ascii="Times New Roman" w:hAnsi="Times New Roman" w:cs="Times New Roman"/>
              </w:rPr>
              <w:t>Therapeutic</w:t>
            </w:r>
          </w:p>
        </w:tc>
      </w:tr>
    </w:tbl>
    <w:p w14:paraId="2A35BF7C" w14:textId="68DE0FDE" w:rsidR="00E67EB9" w:rsidRDefault="00DE79EE" w:rsidP="00B5254C">
      <w:pPr>
        <w:keepNext/>
        <w:rPr>
          <w:rFonts w:ascii="Times New Roman" w:hAnsi="Times New Roman" w:cs="Times New Roman"/>
          <w:i/>
        </w:rPr>
      </w:pPr>
      <w:r w:rsidRPr="00DE79EE">
        <w:rPr>
          <w:rFonts w:ascii="Times New Roman" w:hAnsi="Times New Roman" w:cs="Times New Roman"/>
          <w:i/>
        </w:rPr>
        <w:lastRenderedPageBreak/>
        <w:t>Alcohol disclosure</w:t>
      </w:r>
    </w:p>
    <w:p w14:paraId="6AFFCF69" w14:textId="557524C0" w:rsidR="00E67EB9" w:rsidRDefault="00F33826" w:rsidP="00E67EB9">
      <w:pPr>
        <w:rPr>
          <w:rFonts w:ascii="Times New Roman" w:hAnsi="Times New Roman" w:cs="Times New Roman"/>
        </w:rPr>
      </w:pPr>
      <w:r>
        <w:rPr>
          <w:rFonts w:ascii="Times New Roman" w:hAnsi="Times New Roman" w:cs="Times New Roman"/>
        </w:rPr>
        <w:t>The</w:t>
      </w:r>
      <w:r w:rsidR="00E67EB9">
        <w:rPr>
          <w:rFonts w:ascii="Times New Roman" w:hAnsi="Times New Roman" w:cs="Times New Roman"/>
        </w:rPr>
        <w:t xml:space="preserve"> </w:t>
      </w:r>
      <w:r w:rsidR="00F14BC7">
        <w:rPr>
          <w:rFonts w:ascii="Times New Roman" w:hAnsi="Times New Roman" w:cs="Times New Roman"/>
        </w:rPr>
        <w:t xml:space="preserve">amount of </w:t>
      </w:r>
      <w:r w:rsidR="00E67EB9">
        <w:rPr>
          <w:rFonts w:ascii="Times New Roman" w:hAnsi="Times New Roman" w:cs="Times New Roman"/>
        </w:rPr>
        <w:t xml:space="preserve">alcohol contained in the hand sanitiser </w:t>
      </w:r>
      <w:r>
        <w:rPr>
          <w:rFonts w:ascii="Times New Roman" w:hAnsi="Times New Roman" w:cs="Times New Roman"/>
        </w:rPr>
        <w:t>is to</w:t>
      </w:r>
      <w:r w:rsidR="00E67EB9">
        <w:rPr>
          <w:rFonts w:ascii="Times New Roman" w:hAnsi="Times New Roman" w:cs="Times New Roman"/>
        </w:rPr>
        <w:t xml:space="preserve"> be calculated and</w:t>
      </w:r>
      <w:r>
        <w:rPr>
          <w:rFonts w:ascii="Times New Roman" w:hAnsi="Times New Roman" w:cs="Times New Roman"/>
        </w:rPr>
        <w:t xml:space="preserve"> </w:t>
      </w:r>
      <w:r w:rsidR="00E67EB9">
        <w:rPr>
          <w:rFonts w:ascii="Times New Roman" w:hAnsi="Times New Roman" w:cs="Times New Roman"/>
        </w:rPr>
        <w:t xml:space="preserve">shown </w:t>
      </w:r>
      <w:r w:rsidR="00F850F7">
        <w:rPr>
          <w:rFonts w:ascii="Times New Roman" w:hAnsi="Times New Roman" w:cs="Times New Roman"/>
        </w:rPr>
        <w:t xml:space="preserve">as a percentage, </w:t>
      </w:r>
      <w:r w:rsidR="00E67EB9">
        <w:rPr>
          <w:rFonts w:ascii="Times New Roman" w:hAnsi="Times New Roman" w:cs="Times New Roman"/>
        </w:rPr>
        <w:t>by volume per volume (v/v%)</w:t>
      </w:r>
      <w:r w:rsidR="000C16CA">
        <w:rPr>
          <w:rFonts w:ascii="Times New Roman" w:hAnsi="Times New Roman" w:cs="Times New Roman"/>
        </w:rPr>
        <w:t>. For example 80% Alcohol or Alcohol 80% v/v</w:t>
      </w:r>
      <w:r w:rsidR="00E67EB9">
        <w:rPr>
          <w:rFonts w:ascii="Times New Roman" w:hAnsi="Times New Roman" w:cs="Times New Roman"/>
        </w:rPr>
        <w:t>. The alcohol content must be displayed either in the list of ingredients or elsewhere on the container in a manner that is prominent and clearly legible.</w:t>
      </w:r>
      <w:r w:rsidR="000C16CA">
        <w:rPr>
          <w:rFonts w:ascii="Times New Roman" w:hAnsi="Times New Roman" w:cs="Times New Roman"/>
        </w:rPr>
        <w:t xml:space="preserve"> </w:t>
      </w:r>
      <w:bookmarkStart w:id="0" w:name="_GoBack"/>
      <w:bookmarkEnd w:id="0"/>
    </w:p>
    <w:p w14:paraId="72C4E767" w14:textId="5D05CC71" w:rsidR="00A01499" w:rsidRPr="00A01499" w:rsidRDefault="00F33826" w:rsidP="004543A5">
      <w:pPr>
        <w:rPr>
          <w:rFonts w:ascii="Times New Roman" w:hAnsi="Times New Roman" w:cs="Times New Roman"/>
          <w:i/>
        </w:rPr>
      </w:pPr>
      <w:r>
        <w:rPr>
          <w:rFonts w:ascii="Times New Roman" w:hAnsi="Times New Roman" w:cs="Times New Roman"/>
          <w:i/>
        </w:rPr>
        <w:t>Warnings</w:t>
      </w:r>
    </w:p>
    <w:p w14:paraId="06EE48CB" w14:textId="59A0B79A" w:rsidR="00A01499" w:rsidRDefault="00B5254C" w:rsidP="004543A5">
      <w:pPr>
        <w:rPr>
          <w:rFonts w:ascii="Times New Roman" w:hAnsi="Times New Roman" w:cs="Times New Roman"/>
        </w:rPr>
      </w:pPr>
      <w:r>
        <w:rPr>
          <w:rFonts w:ascii="Times New Roman" w:hAnsi="Times New Roman" w:cs="Times New Roman"/>
        </w:rPr>
        <w:t>The information s</w:t>
      </w:r>
      <w:r w:rsidR="00A01499">
        <w:rPr>
          <w:rFonts w:ascii="Times New Roman" w:hAnsi="Times New Roman" w:cs="Times New Roman"/>
        </w:rPr>
        <w:t xml:space="preserve">tandard makes provision for the container to include </w:t>
      </w:r>
      <w:r w:rsidR="00D616ED">
        <w:rPr>
          <w:rFonts w:ascii="Times New Roman" w:hAnsi="Times New Roman" w:cs="Times New Roman"/>
        </w:rPr>
        <w:t xml:space="preserve">minimum warnings to the </w:t>
      </w:r>
      <w:r w:rsidR="00A01499">
        <w:rPr>
          <w:rFonts w:ascii="Times New Roman" w:hAnsi="Times New Roman" w:cs="Times New Roman"/>
        </w:rPr>
        <w:t xml:space="preserve">effect of those specified in the </w:t>
      </w:r>
      <w:r w:rsidR="00D616ED">
        <w:rPr>
          <w:rFonts w:ascii="Times New Roman" w:hAnsi="Times New Roman" w:cs="Times New Roman"/>
        </w:rPr>
        <w:t>instrument</w:t>
      </w:r>
      <w:r w:rsidR="00A01499">
        <w:rPr>
          <w:rFonts w:ascii="Times New Roman" w:hAnsi="Times New Roman" w:cs="Times New Roman"/>
        </w:rPr>
        <w:t>.</w:t>
      </w:r>
      <w:r w:rsidR="00D616ED">
        <w:rPr>
          <w:rFonts w:ascii="Times New Roman" w:hAnsi="Times New Roman" w:cs="Times New Roman"/>
        </w:rPr>
        <w:t xml:space="preserve"> These warnings may be presented in any order</w:t>
      </w:r>
      <w:r w:rsidR="006257FC">
        <w:rPr>
          <w:rFonts w:ascii="Times New Roman" w:hAnsi="Times New Roman" w:cs="Times New Roman"/>
        </w:rPr>
        <w:t>,</w:t>
      </w:r>
      <w:r w:rsidR="00D616ED">
        <w:rPr>
          <w:rFonts w:ascii="Times New Roman" w:hAnsi="Times New Roman" w:cs="Times New Roman"/>
        </w:rPr>
        <w:t xml:space="preserve"> through text or</w:t>
      </w:r>
      <w:r w:rsidR="00291002">
        <w:rPr>
          <w:rFonts w:ascii="Times New Roman" w:hAnsi="Times New Roman" w:cs="Times New Roman"/>
        </w:rPr>
        <w:t xml:space="preserve"> via an</w:t>
      </w:r>
      <w:r w:rsidR="00D616ED">
        <w:rPr>
          <w:rFonts w:ascii="Times New Roman" w:hAnsi="Times New Roman" w:cs="Times New Roman"/>
        </w:rPr>
        <w:t xml:space="preserve"> alternative means</w:t>
      </w:r>
      <w:r w:rsidR="00291002">
        <w:rPr>
          <w:rFonts w:ascii="Times New Roman" w:hAnsi="Times New Roman" w:cs="Times New Roman"/>
        </w:rPr>
        <w:t>,</w:t>
      </w:r>
      <w:r w:rsidR="00D616ED">
        <w:rPr>
          <w:rFonts w:ascii="Times New Roman" w:hAnsi="Times New Roman" w:cs="Times New Roman"/>
        </w:rPr>
        <w:t xml:space="preserve"> such as internationally re</w:t>
      </w:r>
      <w:r w:rsidR="00080C44">
        <w:rPr>
          <w:rFonts w:ascii="Times New Roman" w:hAnsi="Times New Roman" w:cs="Times New Roman"/>
        </w:rPr>
        <w:t>cognised pictograms or symbols.</w:t>
      </w:r>
    </w:p>
    <w:p w14:paraId="720E849B" w14:textId="5E4A4E38" w:rsidR="004543A5" w:rsidRDefault="004543A5" w:rsidP="004543A5">
      <w:pPr>
        <w:rPr>
          <w:rFonts w:ascii="Times New Roman" w:hAnsi="Times New Roman" w:cs="Times New Roman"/>
          <w:u w:val="single"/>
        </w:rPr>
      </w:pPr>
      <w:r>
        <w:rPr>
          <w:rFonts w:ascii="Times New Roman" w:hAnsi="Times New Roman" w:cs="Times New Roman"/>
          <w:u w:val="single"/>
        </w:rPr>
        <w:t>Section 12</w:t>
      </w:r>
      <w:r w:rsidRPr="00D228FE">
        <w:rPr>
          <w:rFonts w:ascii="Times New Roman" w:hAnsi="Times New Roman" w:cs="Times New Roman"/>
          <w:u w:val="single"/>
        </w:rPr>
        <w:t xml:space="preserve"> – </w:t>
      </w:r>
      <w:r>
        <w:rPr>
          <w:rFonts w:ascii="Times New Roman" w:hAnsi="Times New Roman" w:cs="Times New Roman"/>
          <w:u w:val="single"/>
        </w:rPr>
        <w:t>Transitional provisions</w:t>
      </w:r>
    </w:p>
    <w:p w14:paraId="77589CC5" w14:textId="1E267098" w:rsidR="00BF7342" w:rsidRDefault="00BF7342" w:rsidP="00697AA9">
      <w:pPr>
        <w:rPr>
          <w:rFonts w:ascii="Times New Roman" w:hAnsi="Times New Roman" w:cs="Times New Roman"/>
        </w:rPr>
      </w:pPr>
      <w:r>
        <w:rPr>
          <w:rFonts w:ascii="Times New Roman" w:hAnsi="Times New Roman" w:cs="Times New Roman"/>
        </w:rPr>
        <w:t>The</w:t>
      </w:r>
      <w:r w:rsidR="00B5254C">
        <w:rPr>
          <w:rFonts w:ascii="Times New Roman" w:hAnsi="Times New Roman" w:cs="Times New Roman"/>
        </w:rPr>
        <w:t xml:space="preserve"> new information s</w:t>
      </w:r>
      <w:r w:rsidR="00697AA9" w:rsidRPr="00697AA9">
        <w:rPr>
          <w:rFonts w:ascii="Times New Roman" w:hAnsi="Times New Roman" w:cs="Times New Roman"/>
        </w:rPr>
        <w:t>tandard</w:t>
      </w:r>
      <w:r>
        <w:rPr>
          <w:rFonts w:ascii="Times New Roman" w:hAnsi="Times New Roman" w:cs="Times New Roman"/>
        </w:rPr>
        <w:t xml:space="preserve"> </w:t>
      </w:r>
      <w:r w:rsidR="00291002">
        <w:rPr>
          <w:rFonts w:ascii="Times New Roman" w:hAnsi="Times New Roman" w:cs="Times New Roman"/>
        </w:rPr>
        <w:t>carries</w:t>
      </w:r>
      <w:r>
        <w:rPr>
          <w:rFonts w:ascii="Times New Roman" w:hAnsi="Times New Roman" w:cs="Times New Roman"/>
        </w:rPr>
        <w:t xml:space="preserve"> over all the </w:t>
      </w:r>
      <w:r w:rsidR="00697AA9" w:rsidRPr="00697AA9">
        <w:rPr>
          <w:rFonts w:ascii="Times New Roman" w:hAnsi="Times New Roman" w:cs="Times New Roman"/>
        </w:rPr>
        <w:t xml:space="preserve">requirements </w:t>
      </w:r>
      <w:r>
        <w:rPr>
          <w:rFonts w:ascii="Times New Roman" w:hAnsi="Times New Roman" w:cs="Times New Roman"/>
        </w:rPr>
        <w:t>of</w:t>
      </w:r>
      <w:r w:rsidR="00B5254C">
        <w:rPr>
          <w:rFonts w:ascii="Times New Roman" w:hAnsi="Times New Roman" w:cs="Times New Roman"/>
        </w:rPr>
        <w:t xml:space="preserve"> the repealed information s</w:t>
      </w:r>
      <w:r w:rsidR="00697AA9" w:rsidRPr="00697AA9">
        <w:rPr>
          <w:rFonts w:ascii="Times New Roman" w:hAnsi="Times New Roman" w:cs="Times New Roman"/>
        </w:rPr>
        <w:t>tandard</w:t>
      </w:r>
      <w:r>
        <w:rPr>
          <w:rFonts w:ascii="Times New Roman" w:hAnsi="Times New Roman" w:cs="Times New Roman"/>
        </w:rPr>
        <w:t>, and these</w:t>
      </w:r>
      <w:r w:rsidR="00697AA9" w:rsidRPr="00697AA9">
        <w:rPr>
          <w:rFonts w:ascii="Times New Roman" w:hAnsi="Times New Roman" w:cs="Times New Roman"/>
        </w:rPr>
        <w:t xml:space="preserve"> continue to apply to cosmetic products manufactured </w:t>
      </w:r>
      <w:r w:rsidR="00610E05">
        <w:rPr>
          <w:rFonts w:ascii="Times New Roman" w:hAnsi="Times New Roman" w:cs="Times New Roman"/>
        </w:rPr>
        <w:t>in</w:t>
      </w:r>
      <w:r w:rsidR="005D3769">
        <w:rPr>
          <w:rFonts w:ascii="Times New Roman" w:hAnsi="Times New Roman" w:cs="Times New Roman"/>
        </w:rPr>
        <w:t xml:space="preserve"> or imported into </w:t>
      </w:r>
      <w:r w:rsidR="00610E05">
        <w:rPr>
          <w:rFonts w:ascii="Times New Roman" w:hAnsi="Times New Roman" w:cs="Times New Roman"/>
        </w:rPr>
        <w:t>Australia</w:t>
      </w:r>
      <w:r w:rsidR="00A12146">
        <w:rPr>
          <w:rFonts w:ascii="Times New Roman" w:hAnsi="Times New Roman" w:cs="Times New Roman"/>
        </w:rPr>
        <w:t>,</w:t>
      </w:r>
      <w:r w:rsidR="00610E05">
        <w:rPr>
          <w:rFonts w:ascii="Times New Roman" w:hAnsi="Times New Roman" w:cs="Times New Roman"/>
        </w:rPr>
        <w:t xml:space="preserve"> and intended to be used in Australia</w:t>
      </w:r>
      <w:r w:rsidR="005D3769">
        <w:rPr>
          <w:rFonts w:ascii="Times New Roman" w:hAnsi="Times New Roman" w:cs="Times New Roman"/>
        </w:rPr>
        <w:t xml:space="preserve">, </w:t>
      </w:r>
      <w:r w:rsidR="00B5254C">
        <w:rPr>
          <w:rFonts w:ascii="Times New Roman" w:hAnsi="Times New Roman" w:cs="Times New Roman"/>
        </w:rPr>
        <w:t>after 31 October 1993.</w:t>
      </w:r>
    </w:p>
    <w:p w14:paraId="3A86187D" w14:textId="58D0405E" w:rsidR="00027B83" w:rsidRDefault="00697AA9" w:rsidP="00027B83">
      <w:pPr>
        <w:rPr>
          <w:rFonts w:ascii="Times New Roman" w:hAnsi="Times New Roman" w:cs="Times New Roman"/>
        </w:rPr>
      </w:pPr>
      <w:r w:rsidRPr="00697AA9">
        <w:rPr>
          <w:rFonts w:ascii="Times New Roman" w:hAnsi="Times New Roman" w:cs="Times New Roman"/>
        </w:rPr>
        <w:t>The</w:t>
      </w:r>
      <w:r w:rsidR="00B5254C">
        <w:rPr>
          <w:rFonts w:ascii="Times New Roman" w:hAnsi="Times New Roman" w:cs="Times New Roman"/>
        </w:rPr>
        <w:t xml:space="preserve"> new information s</w:t>
      </w:r>
      <w:r w:rsidR="00BF7342">
        <w:rPr>
          <w:rFonts w:ascii="Times New Roman" w:hAnsi="Times New Roman" w:cs="Times New Roman"/>
        </w:rPr>
        <w:t>tandard provides a transitional period of 180 days</w:t>
      </w:r>
      <w:r w:rsidR="00027B83">
        <w:rPr>
          <w:rFonts w:ascii="Times New Roman" w:hAnsi="Times New Roman" w:cs="Times New Roman"/>
        </w:rPr>
        <w:t xml:space="preserve"> to accommodate</w:t>
      </w:r>
      <w:r w:rsidR="00B5254C">
        <w:rPr>
          <w:rFonts w:ascii="Times New Roman" w:hAnsi="Times New Roman" w:cs="Times New Roman"/>
        </w:rPr>
        <w:t xml:space="preserve"> the</w:t>
      </w:r>
      <w:r w:rsidRPr="00697AA9">
        <w:rPr>
          <w:rFonts w:ascii="Times New Roman" w:hAnsi="Times New Roman" w:cs="Times New Roman"/>
        </w:rPr>
        <w:t xml:space="preserve"> </w:t>
      </w:r>
      <w:r w:rsidR="00BF7342">
        <w:rPr>
          <w:rFonts w:ascii="Times New Roman" w:hAnsi="Times New Roman" w:cs="Times New Roman"/>
        </w:rPr>
        <w:t xml:space="preserve">new </w:t>
      </w:r>
      <w:r w:rsidRPr="00697AA9">
        <w:rPr>
          <w:rFonts w:ascii="Times New Roman" w:hAnsi="Times New Roman" w:cs="Times New Roman"/>
        </w:rPr>
        <w:t>requirements under</w:t>
      </w:r>
      <w:r w:rsidR="00BF7342">
        <w:rPr>
          <w:rFonts w:ascii="Times New Roman" w:hAnsi="Times New Roman" w:cs="Times New Roman"/>
        </w:rPr>
        <w:t xml:space="preserve"> section 11</w:t>
      </w:r>
      <w:r w:rsidR="00027B83">
        <w:rPr>
          <w:rFonts w:ascii="Times New Roman" w:hAnsi="Times New Roman" w:cs="Times New Roman"/>
        </w:rPr>
        <w:t xml:space="preserve"> (additional requirements for hand sanitisers)</w:t>
      </w:r>
      <w:r w:rsidR="00BF7342">
        <w:rPr>
          <w:rFonts w:ascii="Times New Roman" w:hAnsi="Times New Roman" w:cs="Times New Roman"/>
        </w:rPr>
        <w:t xml:space="preserve">. </w:t>
      </w:r>
      <w:r w:rsidR="00BF7342" w:rsidRPr="00027B83">
        <w:rPr>
          <w:rFonts w:ascii="Times New Roman" w:hAnsi="Times New Roman" w:cs="Times New Roman"/>
        </w:rPr>
        <w:t>During</w:t>
      </w:r>
      <w:r w:rsidR="006E302F" w:rsidRPr="00027B83">
        <w:rPr>
          <w:rFonts w:ascii="Times New Roman" w:hAnsi="Times New Roman" w:cs="Times New Roman"/>
        </w:rPr>
        <w:t xml:space="preserve"> the transitional period, </w:t>
      </w:r>
      <w:r w:rsidR="00027B83">
        <w:rPr>
          <w:rFonts w:ascii="Times New Roman" w:hAnsi="Times New Roman" w:cs="Times New Roman"/>
        </w:rPr>
        <w:t>cosmetics</w:t>
      </w:r>
      <w:r w:rsidR="006E302F" w:rsidRPr="00027B83">
        <w:rPr>
          <w:rFonts w:ascii="Times New Roman" w:hAnsi="Times New Roman" w:cs="Times New Roman"/>
        </w:rPr>
        <w:t xml:space="preserve"> </w:t>
      </w:r>
      <w:r w:rsidR="00BF7342" w:rsidRPr="00027B83">
        <w:rPr>
          <w:rFonts w:ascii="Times New Roman" w:hAnsi="Times New Roman" w:cs="Times New Roman"/>
        </w:rPr>
        <w:t xml:space="preserve">can </w:t>
      </w:r>
      <w:r w:rsidR="00D05EDE">
        <w:rPr>
          <w:rFonts w:ascii="Times New Roman" w:hAnsi="Times New Roman" w:cs="Times New Roman"/>
        </w:rPr>
        <w:t>comply</w:t>
      </w:r>
      <w:r w:rsidR="00BF7342" w:rsidRPr="00027B83">
        <w:rPr>
          <w:rFonts w:ascii="Times New Roman" w:hAnsi="Times New Roman" w:cs="Times New Roman"/>
        </w:rPr>
        <w:t xml:space="preserve"> with</w:t>
      </w:r>
      <w:r w:rsidR="00027B83">
        <w:rPr>
          <w:rFonts w:ascii="Times New Roman" w:hAnsi="Times New Roman" w:cs="Times New Roman"/>
        </w:rPr>
        <w:t xml:space="preserve"> either:</w:t>
      </w:r>
    </w:p>
    <w:p w14:paraId="6A980B83" w14:textId="16F2A612" w:rsidR="00027B83" w:rsidRDefault="006E302F" w:rsidP="00027B83">
      <w:pPr>
        <w:pStyle w:val="ListParagraph"/>
        <w:numPr>
          <w:ilvl w:val="0"/>
          <w:numId w:val="28"/>
        </w:numPr>
        <w:rPr>
          <w:rFonts w:ascii="Times New Roman" w:hAnsi="Times New Roman" w:cs="Times New Roman"/>
        </w:rPr>
      </w:pPr>
      <w:r w:rsidRPr="00027B83">
        <w:rPr>
          <w:rFonts w:ascii="Times New Roman" w:hAnsi="Times New Roman" w:cs="Times New Roman"/>
        </w:rPr>
        <w:t xml:space="preserve">the </w:t>
      </w:r>
      <w:r w:rsidRPr="00027B83">
        <w:rPr>
          <w:rFonts w:ascii="Times New Roman" w:hAnsi="Times New Roman" w:cs="Times New Roman"/>
          <w:i/>
        </w:rPr>
        <w:t xml:space="preserve">Trade Practices </w:t>
      </w:r>
      <w:r w:rsidR="00D061EF" w:rsidRPr="00027B83">
        <w:rPr>
          <w:rFonts w:ascii="Times New Roman" w:hAnsi="Times New Roman" w:cs="Times New Roman"/>
          <w:i/>
        </w:rPr>
        <w:t>(Consumer Product Information Standards) (Cosmetics) Regulations 1991</w:t>
      </w:r>
      <w:r w:rsidR="00027B83">
        <w:rPr>
          <w:rFonts w:ascii="Times New Roman" w:hAnsi="Times New Roman" w:cs="Times New Roman"/>
        </w:rPr>
        <w:t>, or</w:t>
      </w:r>
    </w:p>
    <w:p w14:paraId="74C47968" w14:textId="75D9CF83" w:rsidR="00027B83" w:rsidRDefault="00027B83" w:rsidP="00027B83">
      <w:pPr>
        <w:pStyle w:val="ListParagraph"/>
        <w:numPr>
          <w:ilvl w:val="0"/>
          <w:numId w:val="28"/>
        </w:numPr>
        <w:rPr>
          <w:rFonts w:ascii="Times New Roman" w:hAnsi="Times New Roman" w:cs="Times New Roman"/>
        </w:rPr>
      </w:pPr>
      <w:r w:rsidRPr="00027B83">
        <w:rPr>
          <w:rFonts w:ascii="Times New Roman" w:hAnsi="Times New Roman" w:cs="Times New Roman"/>
        </w:rPr>
        <w:t xml:space="preserve">the </w:t>
      </w:r>
      <w:r w:rsidRPr="00027B83">
        <w:rPr>
          <w:rFonts w:ascii="Times New Roman" w:hAnsi="Times New Roman" w:cs="Times New Roman"/>
          <w:i/>
        </w:rPr>
        <w:t>Consumer Goods (Cosmetics) Information Standard 2020.</w:t>
      </w:r>
    </w:p>
    <w:p w14:paraId="32021257" w14:textId="1197A5F7" w:rsidR="004543A5" w:rsidRPr="00027B83" w:rsidRDefault="00027B83" w:rsidP="004543A5">
      <w:pPr>
        <w:rPr>
          <w:rFonts w:ascii="Times New Roman" w:hAnsi="Times New Roman" w:cs="Times New Roman"/>
        </w:rPr>
      </w:pPr>
      <w:r w:rsidRPr="00027B83">
        <w:rPr>
          <w:rFonts w:ascii="Times New Roman" w:hAnsi="Times New Roman" w:cs="Times New Roman"/>
        </w:rPr>
        <w:t xml:space="preserve">Cosmetics manufactured after 180 days after the commencement of the instrument must meet the requirements of the </w:t>
      </w:r>
      <w:r w:rsidRPr="00027B83">
        <w:rPr>
          <w:rFonts w:ascii="Times New Roman" w:hAnsi="Times New Roman" w:cs="Times New Roman"/>
          <w:i/>
        </w:rPr>
        <w:t>Consumer Goods (Cosmetics) Information Standard 2020.</w:t>
      </w:r>
    </w:p>
    <w:p w14:paraId="148659F7" w14:textId="77B993FC" w:rsidR="0071647E" w:rsidRPr="0071647E" w:rsidRDefault="00027B83" w:rsidP="0071647E">
      <w:pPr>
        <w:rPr>
          <w:rFonts w:ascii="Times New Roman" w:hAnsi="Times New Roman" w:cs="Times New Roman"/>
        </w:rPr>
      </w:pPr>
      <w:r>
        <w:rPr>
          <w:rFonts w:ascii="Times New Roman" w:hAnsi="Times New Roman" w:cs="Times New Roman"/>
        </w:rPr>
        <w:t>These transitional provisions allow</w:t>
      </w:r>
      <w:r w:rsidR="00531525" w:rsidRPr="00027B83">
        <w:rPr>
          <w:rFonts w:ascii="Times New Roman" w:hAnsi="Times New Roman" w:cs="Times New Roman"/>
        </w:rPr>
        <w:t xml:space="preserve"> cosmetic hand sanitisers</w:t>
      </w:r>
      <w:r>
        <w:rPr>
          <w:rFonts w:ascii="Times New Roman" w:hAnsi="Times New Roman" w:cs="Times New Roman"/>
        </w:rPr>
        <w:t xml:space="preserve"> that are manufactured</w:t>
      </w:r>
      <w:r w:rsidR="0071647E">
        <w:rPr>
          <w:rFonts w:ascii="Times New Roman" w:hAnsi="Times New Roman" w:cs="Times New Roman"/>
        </w:rPr>
        <w:t xml:space="preserve"> according to the </w:t>
      </w:r>
      <w:r w:rsidR="0071647E" w:rsidRPr="00D061EF">
        <w:rPr>
          <w:rFonts w:ascii="Times New Roman" w:hAnsi="Times New Roman" w:cs="Times New Roman"/>
          <w:i/>
        </w:rPr>
        <w:t>Trade Practices (Consumer Product Information Standards) (Cosmetics) Regulations 1991</w:t>
      </w:r>
      <w:r w:rsidR="0071647E">
        <w:rPr>
          <w:rFonts w:ascii="Times New Roman" w:hAnsi="Times New Roman" w:cs="Times New Roman"/>
          <w:i/>
        </w:rPr>
        <w:t xml:space="preserve"> </w:t>
      </w:r>
      <w:r w:rsidR="0071647E">
        <w:rPr>
          <w:rFonts w:ascii="Times New Roman" w:hAnsi="Times New Roman" w:cs="Times New Roman"/>
        </w:rPr>
        <w:t>before or</w:t>
      </w:r>
      <w:r>
        <w:rPr>
          <w:rFonts w:ascii="Times New Roman" w:hAnsi="Times New Roman" w:cs="Times New Roman"/>
        </w:rPr>
        <w:t xml:space="preserve"> during the transition period</w:t>
      </w:r>
      <w:r w:rsidR="00FC12F6">
        <w:rPr>
          <w:rFonts w:ascii="Times New Roman" w:hAnsi="Times New Roman" w:cs="Times New Roman"/>
        </w:rPr>
        <w:t>,</w:t>
      </w:r>
      <w:r>
        <w:rPr>
          <w:rFonts w:ascii="Times New Roman" w:hAnsi="Times New Roman" w:cs="Times New Roman"/>
        </w:rPr>
        <w:t xml:space="preserve"> to</w:t>
      </w:r>
      <w:r w:rsidR="0071647E">
        <w:rPr>
          <w:rFonts w:ascii="Times New Roman" w:hAnsi="Times New Roman" w:cs="Times New Roman"/>
        </w:rPr>
        <w:t xml:space="preserve"> </w:t>
      </w:r>
      <w:r w:rsidR="0017633F">
        <w:rPr>
          <w:rFonts w:ascii="Times New Roman" w:hAnsi="Times New Roman" w:cs="Times New Roman"/>
        </w:rPr>
        <w:t>be supplied</w:t>
      </w:r>
      <w:r w:rsidR="0071647E">
        <w:rPr>
          <w:rFonts w:ascii="Times New Roman" w:hAnsi="Times New Roman" w:cs="Times New Roman"/>
        </w:rPr>
        <w:t xml:space="preserve"> throughout the transition period, and after it ends. </w:t>
      </w:r>
    </w:p>
    <w:p w14:paraId="013621B7" w14:textId="77777777" w:rsidR="004543A5" w:rsidRDefault="004543A5" w:rsidP="004543A5">
      <w:pPr>
        <w:rPr>
          <w:rFonts w:ascii="Times New Roman" w:hAnsi="Times New Roman" w:cs="Times New Roman"/>
          <w:b/>
          <w:u w:val="single"/>
        </w:rPr>
      </w:pPr>
      <w:r>
        <w:rPr>
          <w:rFonts w:ascii="Times New Roman" w:hAnsi="Times New Roman" w:cs="Times New Roman"/>
          <w:b/>
          <w:u w:val="single"/>
        </w:rPr>
        <w:t>Schedule 1</w:t>
      </w:r>
      <w:r w:rsidRPr="00D228FE">
        <w:rPr>
          <w:rFonts w:ascii="Times New Roman" w:hAnsi="Times New Roman" w:cs="Times New Roman"/>
          <w:b/>
          <w:u w:val="single"/>
        </w:rPr>
        <w:t xml:space="preserve"> </w:t>
      </w:r>
      <w:r>
        <w:rPr>
          <w:rFonts w:ascii="Times New Roman" w:hAnsi="Times New Roman" w:cs="Times New Roman"/>
          <w:b/>
          <w:u w:val="single"/>
        </w:rPr>
        <w:t>–</w:t>
      </w:r>
      <w:r w:rsidRPr="00D228FE">
        <w:rPr>
          <w:rFonts w:ascii="Times New Roman" w:hAnsi="Times New Roman" w:cs="Times New Roman"/>
          <w:b/>
          <w:u w:val="single"/>
        </w:rPr>
        <w:t xml:space="preserve"> </w:t>
      </w:r>
      <w:r>
        <w:rPr>
          <w:rFonts w:ascii="Times New Roman" w:hAnsi="Times New Roman" w:cs="Times New Roman"/>
          <w:b/>
          <w:u w:val="single"/>
        </w:rPr>
        <w:t>Repeals</w:t>
      </w:r>
    </w:p>
    <w:p w14:paraId="0BD5621D" w14:textId="10BD0B9A" w:rsidR="00041B5B" w:rsidRPr="00041B5B" w:rsidRDefault="00041B5B" w:rsidP="00041B5B">
      <w:pPr>
        <w:rPr>
          <w:rFonts w:ascii="Times New Roman" w:hAnsi="Times New Roman" w:cs="Times New Roman"/>
        </w:rPr>
      </w:pPr>
      <w:r w:rsidRPr="00041B5B">
        <w:rPr>
          <w:rFonts w:ascii="Times New Roman" w:hAnsi="Times New Roman" w:cs="Times New Roman"/>
        </w:rPr>
        <w:t xml:space="preserve">This schedule repeals the whole of the </w:t>
      </w:r>
      <w:r w:rsidRPr="00041B5B">
        <w:rPr>
          <w:rFonts w:ascii="Times New Roman" w:hAnsi="Times New Roman" w:cs="Times New Roman"/>
          <w:i/>
        </w:rPr>
        <w:t>Trade Practices (Consumer Product Information Standards) (Cosmetics) Regulations 1991</w:t>
      </w:r>
      <w:r w:rsidRPr="00041B5B">
        <w:rPr>
          <w:rFonts w:ascii="Times New Roman" w:hAnsi="Times New Roman" w:cs="Times New Roman"/>
        </w:rPr>
        <w:t>.</w:t>
      </w:r>
    </w:p>
    <w:p w14:paraId="14B819D0" w14:textId="4E100BAC" w:rsidR="004543A5" w:rsidRPr="00D228FE" w:rsidRDefault="004543A5" w:rsidP="004543A5">
      <w:pPr>
        <w:rPr>
          <w:rFonts w:ascii="Times New Roman" w:hAnsi="Times New Roman" w:cs="Times New Roman"/>
        </w:rPr>
      </w:pPr>
    </w:p>
    <w:p w14:paraId="75C2FA1B" w14:textId="77777777" w:rsidR="004543A5" w:rsidRPr="00D228FE" w:rsidRDefault="004543A5" w:rsidP="00D228FE">
      <w:pPr>
        <w:rPr>
          <w:rFonts w:ascii="Times New Roman" w:hAnsi="Times New Roman" w:cs="Times New Roman"/>
        </w:rPr>
      </w:pPr>
    </w:p>
    <w:sectPr w:rsidR="004543A5" w:rsidRPr="00D228FE" w:rsidSect="00B62438">
      <w:footerReference w:type="firs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4B1F3" w14:textId="77777777" w:rsidR="009F4385" w:rsidRDefault="009F4385" w:rsidP="004B4412">
      <w:pPr>
        <w:spacing w:before="0"/>
      </w:pPr>
      <w:r>
        <w:separator/>
      </w:r>
    </w:p>
  </w:endnote>
  <w:endnote w:type="continuationSeparator" w:id="0">
    <w:p w14:paraId="4BA9D327" w14:textId="77777777" w:rsidR="009F4385" w:rsidRDefault="009F438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43B1" w14:textId="77777777" w:rsidR="00691616" w:rsidRDefault="00691616">
    <w:pPr>
      <w:pStyle w:val="Footer"/>
    </w:pPr>
  </w:p>
  <w:p w14:paraId="07ECCB39"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121A" w14:textId="77777777" w:rsidR="009F4385" w:rsidRDefault="009F4385" w:rsidP="004B4412">
      <w:pPr>
        <w:spacing w:before="0"/>
      </w:pPr>
      <w:r>
        <w:separator/>
      </w:r>
    </w:p>
  </w:footnote>
  <w:footnote w:type="continuationSeparator" w:id="0">
    <w:p w14:paraId="5D40F00F" w14:textId="77777777" w:rsidR="009F4385" w:rsidRDefault="009F4385"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8F7B5C"/>
    <w:multiLevelType w:val="hybridMultilevel"/>
    <w:tmpl w:val="A8400AF6"/>
    <w:lvl w:ilvl="0" w:tplc="A2FE5CAC">
      <w:start w:val="5"/>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5C2894"/>
    <w:multiLevelType w:val="hybridMultilevel"/>
    <w:tmpl w:val="0DB417E8"/>
    <w:lvl w:ilvl="0" w:tplc="3C04C26A">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5027136"/>
    <w:multiLevelType w:val="hybridMultilevel"/>
    <w:tmpl w:val="31867338"/>
    <w:lvl w:ilvl="0" w:tplc="E9DC2B7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92BAB"/>
    <w:multiLevelType w:val="hybridMultilevel"/>
    <w:tmpl w:val="D66EDAC6"/>
    <w:lvl w:ilvl="0" w:tplc="A2FE5CAC">
      <w:start w:val="5"/>
      <w:numFmt w:val="bullet"/>
      <w:lvlText w:val="-"/>
      <w:lvlJc w:val="left"/>
      <w:pPr>
        <w:ind w:left="720" w:hanging="360"/>
      </w:pPr>
      <w:rPr>
        <w:rFonts w:ascii="Times New Roman" w:eastAsiaTheme="minorHAnsi" w:hAnsi="Times New Roman" w:cs="Times New Roman" w:hint="default"/>
      </w:rPr>
    </w:lvl>
    <w:lvl w:ilvl="1" w:tplc="19CCFD8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7F7E87"/>
    <w:multiLevelType w:val="hybridMultilevel"/>
    <w:tmpl w:val="AFFAA42C"/>
    <w:lvl w:ilvl="0" w:tplc="19CCFD8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8"/>
  </w:num>
  <w:num w:numId="11">
    <w:abstractNumId w:val="11"/>
  </w:num>
  <w:num w:numId="12">
    <w:abstractNumId w:val="14"/>
  </w:num>
  <w:num w:numId="13">
    <w:abstractNumId w:val="17"/>
  </w:num>
  <w:num w:numId="14">
    <w:abstractNumId w:val="2"/>
  </w:num>
  <w:num w:numId="15">
    <w:abstractNumId w:val="27"/>
  </w:num>
  <w:num w:numId="16">
    <w:abstractNumId w:val="30"/>
  </w:num>
  <w:num w:numId="17">
    <w:abstractNumId w:val="29"/>
  </w:num>
  <w:num w:numId="18">
    <w:abstractNumId w:val="23"/>
  </w:num>
  <w:num w:numId="19">
    <w:abstractNumId w:val="16"/>
  </w:num>
  <w:num w:numId="20">
    <w:abstractNumId w:val="20"/>
  </w:num>
  <w:num w:numId="21">
    <w:abstractNumId w:val="28"/>
  </w:num>
  <w:num w:numId="22">
    <w:abstractNumId w:val="24"/>
  </w:num>
  <w:num w:numId="23">
    <w:abstractNumId w:val="8"/>
  </w:num>
  <w:num w:numId="24">
    <w:abstractNumId w:val="3"/>
  </w:num>
  <w:num w:numId="25">
    <w:abstractNumId w:val="21"/>
  </w:num>
  <w:num w:numId="26">
    <w:abstractNumId w:val="13"/>
  </w:num>
  <w:num w:numId="27">
    <w:abstractNumId w:val="25"/>
  </w:num>
  <w:num w:numId="28">
    <w:abstractNumId w:val="9"/>
  </w:num>
  <w:num w:numId="29">
    <w:abstractNumId w:val="15"/>
  </w:num>
  <w:num w:numId="30">
    <w:abstractNumId w:val="10"/>
  </w:num>
  <w:num w:numId="31">
    <w:abstractNumId w:val="22"/>
  </w:num>
  <w:num w:numId="32">
    <w:abstractNumId w:val="19"/>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9F4385"/>
    <w:rsid w:val="000058FE"/>
    <w:rsid w:val="000060E5"/>
    <w:rsid w:val="00016C14"/>
    <w:rsid w:val="0002115F"/>
    <w:rsid w:val="00021202"/>
    <w:rsid w:val="00022101"/>
    <w:rsid w:val="000225C4"/>
    <w:rsid w:val="0002508C"/>
    <w:rsid w:val="00027B83"/>
    <w:rsid w:val="0003578C"/>
    <w:rsid w:val="00041B5B"/>
    <w:rsid w:val="00047B05"/>
    <w:rsid w:val="00063247"/>
    <w:rsid w:val="00070F9F"/>
    <w:rsid w:val="0007137B"/>
    <w:rsid w:val="00080C44"/>
    <w:rsid w:val="00085663"/>
    <w:rsid w:val="00085EBF"/>
    <w:rsid w:val="000A32D4"/>
    <w:rsid w:val="000C16CA"/>
    <w:rsid w:val="000D122C"/>
    <w:rsid w:val="000D1C72"/>
    <w:rsid w:val="000D4CBF"/>
    <w:rsid w:val="000D4D58"/>
    <w:rsid w:val="000E1819"/>
    <w:rsid w:val="000E6C72"/>
    <w:rsid w:val="000F05FF"/>
    <w:rsid w:val="000F2368"/>
    <w:rsid w:val="00111516"/>
    <w:rsid w:val="00111637"/>
    <w:rsid w:val="00116EB2"/>
    <w:rsid w:val="00124609"/>
    <w:rsid w:val="00152B44"/>
    <w:rsid w:val="001573E4"/>
    <w:rsid w:val="00160756"/>
    <w:rsid w:val="001675B3"/>
    <w:rsid w:val="0017232E"/>
    <w:rsid w:val="00174102"/>
    <w:rsid w:val="0017633F"/>
    <w:rsid w:val="00180157"/>
    <w:rsid w:val="00181223"/>
    <w:rsid w:val="0018436E"/>
    <w:rsid w:val="00186528"/>
    <w:rsid w:val="00186F77"/>
    <w:rsid w:val="001926A4"/>
    <w:rsid w:val="001A3A19"/>
    <w:rsid w:val="001B0D0B"/>
    <w:rsid w:val="001B246B"/>
    <w:rsid w:val="001B45A0"/>
    <w:rsid w:val="001C18EE"/>
    <w:rsid w:val="001C7FBB"/>
    <w:rsid w:val="001D055E"/>
    <w:rsid w:val="001E17CD"/>
    <w:rsid w:val="001F492E"/>
    <w:rsid w:val="001F6DA3"/>
    <w:rsid w:val="00212737"/>
    <w:rsid w:val="00224DB9"/>
    <w:rsid w:val="00237C65"/>
    <w:rsid w:val="00242374"/>
    <w:rsid w:val="00251745"/>
    <w:rsid w:val="00256A54"/>
    <w:rsid w:val="00263AC0"/>
    <w:rsid w:val="0026772D"/>
    <w:rsid w:val="00271EB3"/>
    <w:rsid w:val="00284F8C"/>
    <w:rsid w:val="00286874"/>
    <w:rsid w:val="00286E71"/>
    <w:rsid w:val="00291002"/>
    <w:rsid w:val="00296B65"/>
    <w:rsid w:val="002A7DEF"/>
    <w:rsid w:val="002B03B6"/>
    <w:rsid w:val="002B2172"/>
    <w:rsid w:val="002F7986"/>
    <w:rsid w:val="00303C4A"/>
    <w:rsid w:val="00307F6D"/>
    <w:rsid w:val="003177A2"/>
    <w:rsid w:val="0032425D"/>
    <w:rsid w:val="003254C6"/>
    <w:rsid w:val="003271B5"/>
    <w:rsid w:val="003301BA"/>
    <w:rsid w:val="00330CA0"/>
    <w:rsid w:val="00331264"/>
    <w:rsid w:val="00333CE4"/>
    <w:rsid w:val="00334C8D"/>
    <w:rsid w:val="00340655"/>
    <w:rsid w:val="00340DF9"/>
    <w:rsid w:val="003459E6"/>
    <w:rsid w:val="003518B3"/>
    <w:rsid w:val="00356488"/>
    <w:rsid w:val="00371641"/>
    <w:rsid w:val="00373777"/>
    <w:rsid w:val="003846F1"/>
    <w:rsid w:val="00384F81"/>
    <w:rsid w:val="00391C4A"/>
    <w:rsid w:val="003A673F"/>
    <w:rsid w:val="003B2E90"/>
    <w:rsid w:val="003B4729"/>
    <w:rsid w:val="003B5A70"/>
    <w:rsid w:val="003C1DA2"/>
    <w:rsid w:val="003D6335"/>
    <w:rsid w:val="003E2FEA"/>
    <w:rsid w:val="004048EB"/>
    <w:rsid w:val="00410F07"/>
    <w:rsid w:val="0041638D"/>
    <w:rsid w:val="004509F3"/>
    <w:rsid w:val="00451D4D"/>
    <w:rsid w:val="004543A5"/>
    <w:rsid w:val="00455777"/>
    <w:rsid w:val="00475DDE"/>
    <w:rsid w:val="00477ADE"/>
    <w:rsid w:val="00480B4B"/>
    <w:rsid w:val="00485DC4"/>
    <w:rsid w:val="00496121"/>
    <w:rsid w:val="004A1574"/>
    <w:rsid w:val="004B4412"/>
    <w:rsid w:val="004C043B"/>
    <w:rsid w:val="004C348C"/>
    <w:rsid w:val="004D1733"/>
    <w:rsid w:val="004D55BA"/>
    <w:rsid w:val="004E167F"/>
    <w:rsid w:val="005038DB"/>
    <w:rsid w:val="00506A51"/>
    <w:rsid w:val="0052379B"/>
    <w:rsid w:val="00523DBE"/>
    <w:rsid w:val="00530128"/>
    <w:rsid w:val="00531525"/>
    <w:rsid w:val="00532467"/>
    <w:rsid w:val="00541CFA"/>
    <w:rsid w:val="00547BA2"/>
    <w:rsid w:val="00547CCF"/>
    <w:rsid w:val="005620F9"/>
    <w:rsid w:val="00564A4D"/>
    <w:rsid w:val="00571B35"/>
    <w:rsid w:val="00571C9F"/>
    <w:rsid w:val="00577A09"/>
    <w:rsid w:val="00580B78"/>
    <w:rsid w:val="00584D8F"/>
    <w:rsid w:val="00596D42"/>
    <w:rsid w:val="005A404D"/>
    <w:rsid w:val="005A625D"/>
    <w:rsid w:val="005A6543"/>
    <w:rsid w:val="005B1E3C"/>
    <w:rsid w:val="005C24AC"/>
    <w:rsid w:val="005C26CC"/>
    <w:rsid w:val="005C2FA8"/>
    <w:rsid w:val="005C62DD"/>
    <w:rsid w:val="005C7849"/>
    <w:rsid w:val="005D0C67"/>
    <w:rsid w:val="005D3769"/>
    <w:rsid w:val="005D417B"/>
    <w:rsid w:val="005E6C0E"/>
    <w:rsid w:val="005F4124"/>
    <w:rsid w:val="00600309"/>
    <w:rsid w:val="00610E05"/>
    <w:rsid w:val="00615C6B"/>
    <w:rsid w:val="006215AD"/>
    <w:rsid w:val="006228BE"/>
    <w:rsid w:val="00622AD2"/>
    <w:rsid w:val="006257FC"/>
    <w:rsid w:val="00632D6D"/>
    <w:rsid w:val="00642C3E"/>
    <w:rsid w:val="00646025"/>
    <w:rsid w:val="00651835"/>
    <w:rsid w:val="00651BDA"/>
    <w:rsid w:val="00663DAD"/>
    <w:rsid w:val="00675C2C"/>
    <w:rsid w:val="00676679"/>
    <w:rsid w:val="00691616"/>
    <w:rsid w:val="00697AA9"/>
    <w:rsid w:val="006A7226"/>
    <w:rsid w:val="006B4CF9"/>
    <w:rsid w:val="006B7AC8"/>
    <w:rsid w:val="006D550F"/>
    <w:rsid w:val="006D77F3"/>
    <w:rsid w:val="006E302F"/>
    <w:rsid w:val="00701CAB"/>
    <w:rsid w:val="00707563"/>
    <w:rsid w:val="00715516"/>
    <w:rsid w:val="0071647E"/>
    <w:rsid w:val="0072348C"/>
    <w:rsid w:val="00724A37"/>
    <w:rsid w:val="007303C3"/>
    <w:rsid w:val="00743223"/>
    <w:rsid w:val="0074532E"/>
    <w:rsid w:val="00746E01"/>
    <w:rsid w:val="007560C0"/>
    <w:rsid w:val="00763E5D"/>
    <w:rsid w:val="007644BD"/>
    <w:rsid w:val="00767740"/>
    <w:rsid w:val="00775671"/>
    <w:rsid w:val="00777EE6"/>
    <w:rsid w:val="00782EEA"/>
    <w:rsid w:val="00782EF7"/>
    <w:rsid w:val="00785D15"/>
    <w:rsid w:val="00787A8A"/>
    <w:rsid w:val="00787F77"/>
    <w:rsid w:val="007B0DEB"/>
    <w:rsid w:val="007B1A7D"/>
    <w:rsid w:val="007B2C72"/>
    <w:rsid w:val="007B6176"/>
    <w:rsid w:val="007C11E1"/>
    <w:rsid w:val="007C1C53"/>
    <w:rsid w:val="007E26A9"/>
    <w:rsid w:val="007E4904"/>
    <w:rsid w:val="007E4CB5"/>
    <w:rsid w:val="007F066B"/>
    <w:rsid w:val="007F0AAB"/>
    <w:rsid w:val="007F16EE"/>
    <w:rsid w:val="007F68A4"/>
    <w:rsid w:val="008033C4"/>
    <w:rsid w:val="00806C88"/>
    <w:rsid w:val="0081034E"/>
    <w:rsid w:val="0081498B"/>
    <w:rsid w:val="008344F6"/>
    <w:rsid w:val="0083510F"/>
    <w:rsid w:val="008402F4"/>
    <w:rsid w:val="008414CB"/>
    <w:rsid w:val="00846C64"/>
    <w:rsid w:val="00850841"/>
    <w:rsid w:val="00851209"/>
    <w:rsid w:val="008718C3"/>
    <w:rsid w:val="0088007E"/>
    <w:rsid w:val="008837AC"/>
    <w:rsid w:val="008945B4"/>
    <w:rsid w:val="008A2D2A"/>
    <w:rsid w:val="008A587D"/>
    <w:rsid w:val="008C5486"/>
    <w:rsid w:val="008D2852"/>
    <w:rsid w:val="008D3420"/>
    <w:rsid w:val="008E3F15"/>
    <w:rsid w:val="008E7031"/>
    <w:rsid w:val="008F7027"/>
    <w:rsid w:val="00906D06"/>
    <w:rsid w:val="00922C95"/>
    <w:rsid w:val="009233EE"/>
    <w:rsid w:val="0093685A"/>
    <w:rsid w:val="009373BD"/>
    <w:rsid w:val="00941E19"/>
    <w:rsid w:val="00944DF7"/>
    <w:rsid w:val="009661DE"/>
    <w:rsid w:val="009856B7"/>
    <w:rsid w:val="0098602B"/>
    <w:rsid w:val="00991B3B"/>
    <w:rsid w:val="009962BA"/>
    <w:rsid w:val="009A1BDE"/>
    <w:rsid w:val="009B74B0"/>
    <w:rsid w:val="009C2847"/>
    <w:rsid w:val="009D1D9D"/>
    <w:rsid w:val="009D25B1"/>
    <w:rsid w:val="009D4081"/>
    <w:rsid w:val="009D426C"/>
    <w:rsid w:val="009D4414"/>
    <w:rsid w:val="009D6B46"/>
    <w:rsid w:val="009F3322"/>
    <w:rsid w:val="009F4385"/>
    <w:rsid w:val="009F4940"/>
    <w:rsid w:val="009F64A3"/>
    <w:rsid w:val="00A01499"/>
    <w:rsid w:val="00A0248C"/>
    <w:rsid w:val="00A02CB6"/>
    <w:rsid w:val="00A06882"/>
    <w:rsid w:val="00A12146"/>
    <w:rsid w:val="00A1241D"/>
    <w:rsid w:val="00A1665B"/>
    <w:rsid w:val="00A16E2E"/>
    <w:rsid w:val="00A249E8"/>
    <w:rsid w:val="00A26CB0"/>
    <w:rsid w:val="00A323D9"/>
    <w:rsid w:val="00A4478A"/>
    <w:rsid w:val="00A44852"/>
    <w:rsid w:val="00A462AE"/>
    <w:rsid w:val="00A54473"/>
    <w:rsid w:val="00A57D04"/>
    <w:rsid w:val="00A60A26"/>
    <w:rsid w:val="00A61598"/>
    <w:rsid w:val="00A62CF4"/>
    <w:rsid w:val="00A6331B"/>
    <w:rsid w:val="00A76E1F"/>
    <w:rsid w:val="00A844AF"/>
    <w:rsid w:val="00A84F46"/>
    <w:rsid w:val="00A871F4"/>
    <w:rsid w:val="00AC09A0"/>
    <w:rsid w:val="00AC1B2C"/>
    <w:rsid w:val="00AC3264"/>
    <w:rsid w:val="00AC3E35"/>
    <w:rsid w:val="00AC6F01"/>
    <w:rsid w:val="00AE0FE2"/>
    <w:rsid w:val="00AE1BF1"/>
    <w:rsid w:val="00AE31C3"/>
    <w:rsid w:val="00AF0DD2"/>
    <w:rsid w:val="00AF3827"/>
    <w:rsid w:val="00B10314"/>
    <w:rsid w:val="00B10E9D"/>
    <w:rsid w:val="00B13048"/>
    <w:rsid w:val="00B15998"/>
    <w:rsid w:val="00B1716D"/>
    <w:rsid w:val="00B17A1D"/>
    <w:rsid w:val="00B207A0"/>
    <w:rsid w:val="00B5254C"/>
    <w:rsid w:val="00B56E03"/>
    <w:rsid w:val="00B5746E"/>
    <w:rsid w:val="00B60F5D"/>
    <w:rsid w:val="00B62438"/>
    <w:rsid w:val="00B64FB0"/>
    <w:rsid w:val="00B67E91"/>
    <w:rsid w:val="00B8080B"/>
    <w:rsid w:val="00B87C39"/>
    <w:rsid w:val="00B95482"/>
    <w:rsid w:val="00BA4665"/>
    <w:rsid w:val="00BA6486"/>
    <w:rsid w:val="00BB2FB2"/>
    <w:rsid w:val="00BB3304"/>
    <w:rsid w:val="00BD0E47"/>
    <w:rsid w:val="00BD3446"/>
    <w:rsid w:val="00BE005A"/>
    <w:rsid w:val="00BE0328"/>
    <w:rsid w:val="00BE1F1B"/>
    <w:rsid w:val="00BE47B5"/>
    <w:rsid w:val="00BE4C99"/>
    <w:rsid w:val="00BF7342"/>
    <w:rsid w:val="00C058AB"/>
    <w:rsid w:val="00C06739"/>
    <w:rsid w:val="00C4603F"/>
    <w:rsid w:val="00C46A83"/>
    <w:rsid w:val="00C538A9"/>
    <w:rsid w:val="00C53B5A"/>
    <w:rsid w:val="00C54F5A"/>
    <w:rsid w:val="00C566C8"/>
    <w:rsid w:val="00C639E2"/>
    <w:rsid w:val="00C755AD"/>
    <w:rsid w:val="00C86679"/>
    <w:rsid w:val="00CB20E6"/>
    <w:rsid w:val="00CB52A3"/>
    <w:rsid w:val="00CB666B"/>
    <w:rsid w:val="00CE36AE"/>
    <w:rsid w:val="00CF799E"/>
    <w:rsid w:val="00D01CF0"/>
    <w:rsid w:val="00D0442A"/>
    <w:rsid w:val="00D05EDE"/>
    <w:rsid w:val="00D061EF"/>
    <w:rsid w:val="00D203E1"/>
    <w:rsid w:val="00D20414"/>
    <w:rsid w:val="00D228FE"/>
    <w:rsid w:val="00D23723"/>
    <w:rsid w:val="00D44A4D"/>
    <w:rsid w:val="00D5129E"/>
    <w:rsid w:val="00D521D5"/>
    <w:rsid w:val="00D544B8"/>
    <w:rsid w:val="00D61388"/>
    <w:rsid w:val="00D616ED"/>
    <w:rsid w:val="00D61A54"/>
    <w:rsid w:val="00D64DEA"/>
    <w:rsid w:val="00D80893"/>
    <w:rsid w:val="00D92CF1"/>
    <w:rsid w:val="00D92D38"/>
    <w:rsid w:val="00D950F5"/>
    <w:rsid w:val="00DA485F"/>
    <w:rsid w:val="00DB0A6C"/>
    <w:rsid w:val="00DB0F93"/>
    <w:rsid w:val="00DC542F"/>
    <w:rsid w:val="00DC7981"/>
    <w:rsid w:val="00DE1A9F"/>
    <w:rsid w:val="00DE4EFA"/>
    <w:rsid w:val="00DE5520"/>
    <w:rsid w:val="00DE79EE"/>
    <w:rsid w:val="00DF1860"/>
    <w:rsid w:val="00DF1E5F"/>
    <w:rsid w:val="00DF6C0F"/>
    <w:rsid w:val="00E04818"/>
    <w:rsid w:val="00E06442"/>
    <w:rsid w:val="00E23993"/>
    <w:rsid w:val="00E25AE9"/>
    <w:rsid w:val="00E25B8C"/>
    <w:rsid w:val="00E27642"/>
    <w:rsid w:val="00E33883"/>
    <w:rsid w:val="00E45893"/>
    <w:rsid w:val="00E4674F"/>
    <w:rsid w:val="00E47193"/>
    <w:rsid w:val="00E6197D"/>
    <w:rsid w:val="00E65C85"/>
    <w:rsid w:val="00E66199"/>
    <w:rsid w:val="00E67EB9"/>
    <w:rsid w:val="00E740EB"/>
    <w:rsid w:val="00E755EC"/>
    <w:rsid w:val="00E7624D"/>
    <w:rsid w:val="00EA3D42"/>
    <w:rsid w:val="00EA6B1B"/>
    <w:rsid w:val="00EB661C"/>
    <w:rsid w:val="00EC5FF9"/>
    <w:rsid w:val="00EC6929"/>
    <w:rsid w:val="00ED3802"/>
    <w:rsid w:val="00EE28F3"/>
    <w:rsid w:val="00EF5110"/>
    <w:rsid w:val="00F00CD6"/>
    <w:rsid w:val="00F05D85"/>
    <w:rsid w:val="00F14BC7"/>
    <w:rsid w:val="00F15882"/>
    <w:rsid w:val="00F17009"/>
    <w:rsid w:val="00F20BD3"/>
    <w:rsid w:val="00F33826"/>
    <w:rsid w:val="00F373A5"/>
    <w:rsid w:val="00F47559"/>
    <w:rsid w:val="00F60BE4"/>
    <w:rsid w:val="00F61B84"/>
    <w:rsid w:val="00F64C7B"/>
    <w:rsid w:val="00F676DD"/>
    <w:rsid w:val="00F72D05"/>
    <w:rsid w:val="00F74911"/>
    <w:rsid w:val="00F75A26"/>
    <w:rsid w:val="00F83FAD"/>
    <w:rsid w:val="00F850F7"/>
    <w:rsid w:val="00F91C6E"/>
    <w:rsid w:val="00F91DC6"/>
    <w:rsid w:val="00F93EB2"/>
    <w:rsid w:val="00F952A0"/>
    <w:rsid w:val="00FA3C7F"/>
    <w:rsid w:val="00FA4E09"/>
    <w:rsid w:val="00FB2CE8"/>
    <w:rsid w:val="00FB3A8E"/>
    <w:rsid w:val="00FB4461"/>
    <w:rsid w:val="00FB52D7"/>
    <w:rsid w:val="00FB74E2"/>
    <w:rsid w:val="00FC12F6"/>
    <w:rsid w:val="00FD5614"/>
    <w:rsid w:val="00FE0BE1"/>
    <w:rsid w:val="00FE1DE9"/>
    <w:rsid w:val="00FE2E16"/>
    <w:rsid w:val="00FE39C2"/>
    <w:rsid w:val="00FE64AE"/>
    <w:rsid w:val="00FF0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162F"/>
  <w15:chartTrackingRefBased/>
  <w15:docId w15:val="{174097D5-271C-4202-B215-57194409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27"/>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styleId="TableGridLight">
    <w:name w:val="Grid Table Light"/>
    <w:basedOn w:val="TableNormal"/>
    <w:uiPriority w:val="40"/>
    <w:rsid w:val="00AE31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B6176"/>
    <w:rPr>
      <w:sz w:val="16"/>
      <w:szCs w:val="16"/>
    </w:rPr>
  </w:style>
  <w:style w:type="paragraph" w:styleId="CommentText">
    <w:name w:val="annotation text"/>
    <w:basedOn w:val="Normal"/>
    <w:link w:val="CommentTextChar"/>
    <w:uiPriority w:val="99"/>
    <w:semiHidden/>
    <w:unhideWhenUsed/>
    <w:rsid w:val="007B6176"/>
    <w:rPr>
      <w:sz w:val="20"/>
      <w:szCs w:val="20"/>
    </w:rPr>
  </w:style>
  <w:style w:type="character" w:customStyle="1" w:styleId="CommentTextChar">
    <w:name w:val="Comment Text Char"/>
    <w:basedOn w:val="DefaultParagraphFont"/>
    <w:link w:val="CommentText"/>
    <w:uiPriority w:val="99"/>
    <w:semiHidden/>
    <w:rsid w:val="007B61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6176"/>
    <w:rPr>
      <w:b/>
      <w:bCs/>
    </w:rPr>
  </w:style>
  <w:style w:type="character" w:customStyle="1" w:styleId="CommentSubjectChar">
    <w:name w:val="Comment Subject Char"/>
    <w:basedOn w:val="CommentTextChar"/>
    <w:link w:val="CommentSubject"/>
    <w:uiPriority w:val="99"/>
    <w:semiHidden/>
    <w:rsid w:val="007B6176"/>
    <w:rPr>
      <w:rFonts w:ascii="Arial" w:hAnsi="Arial"/>
      <w:b/>
      <w:bCs/>
      <w:sz w:val="20"/>
      <w:szCs w:val="20"/>
    </w:rPr>
  </w:style>
  <w:style w:type="character" w:styleId="FollowedHyperlink">
    <w:name w:val="FollowedHyperlink"/>
    <w:basedOn w:val="DefaultParagraphFont"/>
    <w:uiPriority w:val="99"/>
    <w:semiHidden/>
    <w:unhideWhenUsed/>
    <w:rsid w:val="00DA4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63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Details/C2019C00066" TargetMode="External"/><Relationship Id="rId18" Type="http://schemas.openxmlformats.org/officeDocument/2006/relationships/hyperlink" Target="https://www.legislation.gov.au/Details/F2020C00367"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au/Details/F2016C00795" TargetMode="External"/><Relationship Id="rId17" Type="http://schemas.openxmlformats.org/officeDocument/2006/relationships/hyperlink" Target="https://www.legislation.gov.au/Details/C2019C00066" TargetMode="External"/><Relationship Id="rId2" Type="http://schemas.openxmlformats.org/officeDocument/2006/relationships/customXml" Target="../customXml/item2.xml"/><Relationship Id="rId16" Type="http://schemas.openxmlformats.org/officeDocument/2006/relationships/hyperlink" Target="https://www.legislation.gov.au/Details/C2019C0006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workaustralia.gov.au/doc/globally-harmonised-system-classification-and-labelling-chemicals-ghs-information-sheet" TargetMode="External"/><Relationship Id="rId5" Type="http://schemas.openxmlformats.org/officeDocument/2006/relationships/settings" Target="settings.xml"/><Relationship Id="rId15" Type="http://schemas.openxmlformats.org/officeDocument/2006/relationships/hyperlink" Target="https://www.legislation.gov.au/Details/C2019C00066" TargetMode="External"/><Relationship Id="rId10" Type="http://schemas.openxmlformats.org/officeDocument/2006/relationships/hyperlink" Target="https://www.industry.gov.au/strategies-for-the-future/national-measurement-institute" TargetMode="External"/><Relationship Id="rId19" Type="http://schemas.openxmlformats.org/officeDocument/2006/relationships/hyperlink" Target="https://www.legislation.gov.au/Details/F2020L00340" TargetMode="External"/><Relationship Id="rId4" Type="http://schemas.openxmlformats.org/officeDocument/2006/relationships/styles" Target="styles.xml"/><Relationship Id="rId9" Type="http://schemas.openxmlformats.org/officeDocument/2006/relationships/hyperlink" Target="https://www.tga.gov.au/publication/poisons-standard-susmp" TargetMode="External"/><Relationship Id="rId14" Type="http://schemas.openxmlformats.org/officeDocument/2006/relationships/hyperlink" Target="https://www.legislation.gov.au/Details/C2019C00066" TargetMode="External"/><Relationship Id="rId22" Type="http://schemas.openxmlformats.org/officeDocument/2006/relationships/theme" Target="theme/theme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A4F8A-1C13-4162-A73E-4917326C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Morrison, Sarah</dc:creator>
  <cp:keywords/>
  <dc:description/>
  <cp:lastModifiedBy>Owen, Todd</cp:lastModifiedBy>
  <cp:revision>172</cp:revision>
  <dcterms:created xsi:type="dcterms:W3CDTF">2020-09-23T23:59:00Z</dcterms:created>
  <dcterms:modified xsi:type="dcterms:W3CDTF">2020-10-28T04:12:00Z</dcterms:modified>
</cp:coreProperties>
</file>