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BAC02" w14:textId="107D4A19" w:rsidR="00017141" w:rsidRPr="00047C65" w:rsidRDefault="00017141" w:rsidP="00AE318B">
      <w:pPr>
        <w:spacing w:after="240" w:line="259" w:lineRule="auto"/>
        <w:jc w:val="center"/>
        <w:rPr>
          <w:rFonts w:ascii="Times New Roman" w:eastAsia="Calibri" w:hAnsi="Times New Roman"/>
          <w:b/>
          <w:sz w:val="28"/>
          <w:szCs w:val="28"/>
        </w:rPr>
      </w:pPr>
      <w:r w:rsidRPr="00047C65">
        <w:rPr>
          <w:rFonts w:ascii="Times New Roman" w:eastAsia="Calibri" w:hAnsi="Times New Roman"/>
          <w:b/>
          <w:sz w:val="28"/>
          <w:szCs w:val="28"/>
        </w:rPr>
        <w:t>EXPLANATORY STATEMENT</w:t>
      </w:r>
    </w:p>
    <w:p w14:paraId="0C228E1D" w14:textId="26C67F94" w:rsidR="00017141" w:rsidRPr="00047C65" w:rsidRDefault="00C305F0" w:rsidP="00AE318B">
      <w:pPr>
        <w:spacing w:after="240" w:line="259" w:lineRule="auto"/>
        <w:jc w:val="center"/>
        <w:rPr>
          <w:rFonts w:ascii="Times New Roman" w:eastAsia="Calibri" w:hAnsi="Times New Roman"/>
          <w:sz w:val="24"/>
        </w:rPr>
      </w:pPr>
      <w:r w:rsidRPr="00047C65">
        <w:rPr>
          <w:rFonts w:ascii="Times New Roman" w:eastAsia="Calibri" w:hAnsi="Times New Roman"/>
          <w:sz w:val="24"/>
        </w:rPr>
        <w:t>Issued by authority of the A</w:t>
      </w:r>
      <w:r w:rsidR="00AE318B" w:rsidRPr="00047C65">
        <w:rPr>
          <w:rFonts w:ascii="Times New Roman" w:eastAsia="Calibri" w:hAnsi="Times New Roman"/>
          <w:sz w:val="24"/>
        </w:rPr>
        <w:t>USTRAC CEO</w:t>
      </w:r>
    </w:p>
    <w:p w14:paraId="24B2A9A8" w14:textId="77777777" w:rsidR="00017141" w:rsidRPr="00047C65" w:rsidRDefault="00017141" w:rsidP="00AE318B">
      <w:pPr>
        <w:spacing w:after="240" w:line="259" w:lineRule="auto"/>
        <w:jc w:val="center"/>
        <w:rPr>
          <w:rFonts w:ascii="Times New Roman" w:eastAsia="Calibri" w:hAnsi="Times New Roman"/>
          <w:i/>
          <w:sz w:val="24"/>
        </w:rPr>
      </w:pPr>
      <w:r w:rsidRPr="00047C65">
        <w:rPr>
          <w:rFonts w:ascii="Times New Roman" w:eastAsia="Calibri" w:hAnsi="Times New Roman"/>
          <w:i/>
          <w:sz w:val="24"/>
        </w:rPr>
        <w:t>Anti-Money Laundering and Counter-Terrorism Financing Act 2006</w:t>
      </w:r>
    </w:p>
    <w:p w14:paraId="140A5441" w14:textId="48554402" w:rsidR="009B309E" w:rsidRPr="00047C65" w:rsidRDefault="00017141" w:rsidP="00AE318B">
      <w:pPr>
        <w:spacing w:after="240" w:line="259" w:lineRule="auto"/>
        <w:jc w:val="center"/>
        <w:rPr>
          <w:rFonts w:ascii="Times New Roman" w:eastAsia="Calibri" w:hAnsi="Times New Roman"/>
          <w:i/>
          <w:sz w:val="24"/>
        </w:rPr>
      </w:pPr>
      <w:r w:rsidRPr="00047C65">
        <w:rPr>
          <w:rFonts w:ascii="Times New Roman" w:eastAsia="Calibri" w:hAnsi="Times New Roman"/>
          <w:i/>
          <w:sz w:val="24"/>
        </w:rPr>
        <w:t xml:space="preserve">Anti-Money Laundering </w:t>
      </w:r>
      <w:r w:rsidR="00C13AE4" w:rsidRPr="00047C65">
        <w:rPr>
          <w:rFonts w:ascii="Times New Roman" w:eastAsia="Calibri" w:hAnsi="Times New Roman"/>
          <w:i/>
          <w:sz w:val="24"/>
        </w:rPr>
        <w:t xml:space="preserve">and Counter-Terrorism Financing Rules Amendment Instrument </w:t>
      </w:r>
      <w:r w:rsidR="00C8247B" w:rsidRPr="00047C65">
        <w:rPr>
          <w:rFonts w:ascii="Times New Roman" w:eastAsia="Calibri" w:hAnsi="Times New Roman"/>
          <w:i/>
          <w:sz w:val="24"/>
        </w:rPr>
        <w:t>2020</w:t>
      </w:r>
      <w:r w:rsidRPr="00047C65">
        <w:rPr>
          <w:rFonts w:ascii="Times New Roman" w:eastAsia="Calibri" w:hAnsi="Times New Roman"/>
          <w:i/>
          <w:sz w:val="24"/>
        </w:rPr>
        <w:t xml:space="preserve"> </w:t>
      </w:r>
      <w:r w:rsidR="00EF0419" w:rsidRPr="00047C65">
        <w:rPr>
          <w:rFonts w:ascii="Times New Roman" w:eastAsia="Calibri" w:hAnsi="Times New Roman"/>
          <w:i/>
          <w:sz w:val="24"/>
        </w:rPr>
        <w:t>(No. 5</w:t>
      </w:r>
      <w:r w:rsidR="007446FB" w:rsidRPr="00047C65">
        <w:rPr>
          <w:rFonts w:ascii="Times New Roman" w:eastAsia="Calibri" w:hAnsi="Times New Roman"/>
          <w:i/>
          <w:sz w:val="24"/>
        </w:rPr>
        <w:t>)</w:t>
      </w:r>
    </w:p>
    <w:p w14:paraId="7EEE9776" w14:textId="3D49F07C" w:rsidR="00224061" w:rsidRPr="00047C65" w:rsidRDefault="00224061" w:rsidP="006D4D39">
      <w:pPr>
        <w:shd w:val="clear" w:color="auto" w:fill="FFFFFF"/>
        <w:spacing w:before="320" w:after="160" w:line="259" w:lineRule="auto"/>
        <w:rPr>
          <w:rFonts w:ascii="Times New Roman" w:hAnsi="Times New Roman"/>
          <w:b/>
          <w:bCs/>
          <w:caps/>
          <w:color w:val="000000"/>
          <w:sz w:val="24"/>
          <w:lang w:eastAsia="en-AU"/>
        </w:rPr>
      </w:pPr>
      <w:r w:rsidRPr="00047C65">
        <w:rPr>
          <w:rFonts w:ascii="Times New Roman" w:hAnsi="Times New Roman"/>
          <w:b/>
          <w:bCs/>
          <w:caps/>
          <w:color w:val="000000"/>
          <w:sz w:val="24"/>
          <w:lang w:eastAsia="en-AU"/>
        </w:rPr>
        <w:t>AUTHORITY</w:t>
      </w:r>
    </w:p>
    <w:p w14:paraId="4F4BBDE1" w14:textId="4F05C9E5" w:rsidR="007446FB" w:rsidRPr="00047C65" w:rsidRDefault="00017141" w:rsidP="006D4D39">
      <w:pPr>
        <w:pStyle w:val="Style1"/>
        <w:spacing w:line="259" w:lineRule="auto"/>
      </w:pPr>
      <w:r w:rsidRPr="00047C65">
        <w:t>Section 229 of the </w:t>
      </w:r>
      <w:r w:rsidRPr="00047C65">
        <w:rPr>
          <w:i/>
          <w:iCs/>
        </w:rPr>
        <w:t>Anti-Money Laundering and Counter-Terrorism Financing Act 2006</w:t>
      </w:r>
      <w:r w:rsidR="007D3FDA" w:rsidRPr="00047C65">
        <w:rPr>
          <w:i/>
          <w:iCs/>
        </w:rPr>
        <w:t xml:space="preserve"> </w:t>
      </w:r>
      <w:r w:rsidR="007D3FDA" w:rsidRPr="00047C65">
        <w:rPr>
          <w:iCs/>
        </w:rPr>
        <w:t>(AML/</w:t>
      </w:r>
      <w:proofErr w:type="spellStart"/>
      <w:r w:rsidR="007D3FDA" w:rsidRPr="00047C65">
        <w:rPr>
          <w:iCs/>
        </w:rPr>
        <w:t>CTF</w:t>
      </w:r>
      <w:proofErr w:type="spellEnd"/>
      <w:r w:rsidR="007D3FDA" w:rsidRPr="00047C65">
        <w:rPr>
          <w:iCs/>
        </w:rPr>
        <w:t xml:space="preserve"> Act)</w:t>
      </w:r>
      <w:r w:rsidR="00183EA3" w:rsidRPr="00047C65">
        <w:rPr>
          <w:i/>
          <w:iCs/>
        </w:rPr>
        <w:t xml:space="preserve"> </w:t>
      </w:r>
      <w:r w:rsidRPr="00047C65">
        <w:t>provides that the AUSTRAC CEO may</w:t>
      </w:r>
      <w:r w:rsidR="008D57E7" w:rsidRPr="00047C65">
        <w:t xml:space="preserve">, by legislative instrument, </w:t>
      </w:r>
      <w:r w:rsidR="00AE318B" w:rsidRPr="00047C65">
        <w:t xml:space="preserve">make </w:t>
      </w:r>
      <w:r w:rsidR="007446FB" w:rsidRPr="00047C65">
        <w:t>Anti-Money Laundering and Counter-Terrorism Financin</w:t>
      </w:r>
      <w:r w:rsidR="00156DAB" w:rsidRPr="00047C65">
        <w:t>g Rules (AML/CTF Rules). These R</w:t>
      </w:r>
      <w:r w:rsidR="007446FB" w:rsidRPr="00047C65">
        <w:t xml:space="preserve">ules are set out in the </w:t>
      </w:r>
      <w:r w:rsidR="007446FB" w:rsidRPr="00047C65">
        <w:rPr>
          <w:i/>
        </w:rPr>
        <w:t>Anti-Money Laundering and Counter-Terrorism Financing Rules Instrument 2007 (No. 1)</w:t>
      </w:r>
      <w:r w:rsidR="007446FB" w:rsidRPr="00047C65">
        <w:t>.</w:t>
      </w:r>
    </w:p>
    <w:p w14:paraId="2996170B" w14:textId="1489C478" w:rsidR="00224061" w:rsidRPr="00047C65" w:rsidRDefault="00224061" w:rsidP="006D4D39">
      <w:pPr>
        <w:shd w:val="clear" w:color="auto" w:fill="FFFFFF"/>
        <w:spacing w:before="160" w:after="160" w:line="259" w:lineRule="auto"/>
        <w:rPr>
          <w:rFonts w:ascii="Times New Roman" w:hAnsi="Times New Roman"/>
          <w:b/>
          <w:bCs/>
          <w:caps/>
          <w:color w:val="000000"/>
          <w:sz w:val="24"/>
          <w:lang w:eastAsia="en-AU"/>
        </w:rPr>
      </w:pPr>
      <w:r w:rsidRPr="00047C65">
        <w:rPr>
          <w:rFonts w:ascii="Times New Roman" w:hAnsi="Times New Roman"/>
          <w:b/>
          <w:bCs/>
          <w:caps/>
          <w:color w:val="000000"/>
          <w:sz w:val="24"/>
          <w:lang w:eastAsia="en-AU"/>
        </w:rPr>
        <w:t>PURPOSE AND OPERATION OF THE INSTRUMENT</w:t>
      </w:r>
    </w:p>
    <w:p w14:paraId="03049433" w14:textId="3C6BA48D" w:rsidR="00FE32D7" w:rsidRDefault="00156DAB" w:rsidP="006D4D39">
      <w:pPr>
        <w:pStyle w:val="Style1"/>
        <w:spacing w:line="259" w:lineRule="auto"/>
      </w:pPr>
      <w:r w:rsidRPr="00047C65">
        <w:t>The</w:t>
      </w:r>
      <w:r w:rsidR="00D87E4D" w:rsidRPr="00047C65">
        <w:t xml:space="preserve"> </w:t>
      </w:r>
      <w:r w:rsidR="00D87E4D" w:rsidRPr="00047C65">
        <w:rPr>
          <w:i/>
        </w:rPr>
        <w:t>Anti-Money Laundering and Counter-Terrorism Financing</w:t>
      </w:r>
      <w:r w:rsidR="00C13AE4" w:rsidRPr="00047C65">
        <w:rPr>
          <w:i/>
        </w:rPr>
        <w:t xml:space="preserve"> Rules</w:t>
      </w:r>
      <w:r w:rsidR="00D87E4D" w:rsidRPr="00047C65">
        <w:rPr>
          <w:i/>
        </w:rPr>
        <w:t xml:space="preserve"> Amendment Instrument </w:t>
      </w:r>
      <w:r w:rsidR="00C13AE4" w:rsidRPr="00047C65">
        <w:rPr>
          <w:i/>
        </w:rPr>
        <w:t>2020</w:t>
      </w:r>
      <w:r w:rsidR="00EF0419" w:rsidRPr="00047C65">
        <w:rPr>
          <w:i/>
        </w:rPr>
        <w:t xml:space="preserve"> (No. 5</w:t>
      </w:r>
      <w:r w:rsidR="0070093C" w:rsidRPr="00047C65">
        <w:rPr>
          <w:i/>
        </w:rPr>
        <w:t>)</w:t>
      </w:r>
      <w:r w:rsidR="00C13AE4" w:rsidRPr="00047C65">
        <w:rPr>
          <w:i/>
        </w:rPr>
        <w:t xml:space="preserve"> </w:t>
      </w:r>
      <w:r w:rsidR="00C13AE4" w:rsidRPr="00047C65">
        <w:t>(</w:t>
      </w:r>
      <w:r w:rsidR="007D3FDA" w:rsidRPr="00047C65">
        <w:t>the</w:t>
      </w:r>
      <w:r w:rsidR="00C13AE4" w:rsidRPr="00047C65">
        <w:t xml:space="preserve"> </w:t>
      </w:r>
      <w:r w:rsidR="00CC5455" w:rsidRPr="00047C65">
        <w:t xml:space="preserve">Amendment </w:t>
      </w:r>
      <w:r w:rsidR="00C13AE4" w:rsidRPr="00047C65">
        <w:t>Instrument)</w:t>
      </w:r>
      <w:r w:rsidR="00B5251F" w:rsidRPr="00047C65">
        <w:t xml:space="preserve"> </w:t>
      </w:r>
      <w:r w:rsidR="002921D5" w:rsidRPr="00047C65">
        <w:t>inserts Chapter 78 of the AML/</w:t>
      </w:r>
      <w:proofErr w:type="spellStart"/>
      <w:r w:rsidR="002921D5" w:rsidRPr="00047C65">
        <w:t>CTF</w:t>
      </w:r>
      <w:proofErr w:type="spellEnd"/>
      <w:r w:rsidR="002921D5" w:rsidRPr="00047C65">
        <w:t xml:space="preserve"> Rules. </w:t>
      </w:r>
      <w:r w:rsidR="00FE32D7" w:rsidRPr="00047C65">
        <w:t xml:space="preserve">This Chapter applies </w:t>
      </w:r>
      <w:r w:rsidR="00C442EF" w:rsidRPr="00047C65">
        <w:t>to</w:t>
      </w:r>
      <w:r w:rsidR="00580187" w:rsidRPr="00047C65">
        <w:t xml:space="preserve"> one reporting entity,</w:t>
      </w:r>
      <w:r w:rsidR="00C442EF" w:rsidRPr="00047C65">
        <w:t xml:space="preserve"> </w:t>
      </w:r>
      <w:r w:rsidR="00FE32D7" w:rsidRPr="00047C65">
        <w:t>TransferWise Australia</w:t>
      </w:r>
      <w:r w:rsidR="00580187" w:rsidRPr="00047C65">
        <w:t xml:space="preserve"> Pty Ltd</w:t>
      </w:r>
      <w:r w:rsidR="00142D2E">
        <w:t xml:space="preserve"> ABN 38 616 463 855</w:t>
      </w:r>
      <w:r w:rsidR="00580187" w:rsidRPr="00047C65">
        <w:t xml:space="preserve"> (TransferWise Australia),</w:t>
      </w:r>
      <w:r w:rsidR="00FE32D7" w:rsidRPr="00047C65">
        <w:t xml:space="preserve"> and has been made to ensure that TransferWise Australia continues to report international funds transfer instructions (</w:t>
      </w:r>
      <w:proofErr w:type="spellStart"/>
      <w:r w:rsidR="00FE32D7" w:rsidRPr="00047C65">
        <w:t>IFTIs</w:t>
      </w:r>
      <w:proofErr w:type="spellEnd"/>
      <w:r w:rsidR="00FE32D7" w:rsidRPr="00047C65">
        <w:t>) after it becomes an authorised-deposit taking institution (</w:t>
      </w:r>
      <w:proofErr w:type="spellStart"/>
      <w:r w:rsidR="00FE32D7" w:rsidRPr="00047C65">
        <w:t>ADI</w:t>
      </w:r>
      <w:proofErr w:type="spellEnd"/>
      <w:r w:rsidR="00FE32D7" w:rsidRPr="00047C65">
        <w:t>).</w:t>
      </w:r>
      <w:r w:rsidR="003609D7" w:rsidRPr="00047C65">
        <w:t xml:space="preserve"> An </w:t>
      </w:r>
      <w:proofErr w:type="spellStart"/>
      <w:r w:rsidR="003609D7" w:rsidRPr="00047C65">
        <w:t>ADI</w:t>
      </w:r>
      <w:proofErr w:type="spellEnd"/>
      <w:r w:rsidR="003609D7" w:rsidRPr="00047C65">
        <w:t xml:space="preserve"> is a financial institution licenced by the Australian Pruden</w:t>
      </w:r>
      <w:r w:rsidR="00CA5CD7" w:rsidRPr="00047C65">
        <w:t>tial Regulation Authority</w:t>
      </w:r>
      <w:r w:rsidR="003609D7" w:rsidRPr="00047C65">
        <w:t xml:space="preserve"> to carry on a banking business under subsection 9(3) of the </w:t>
      </w:r>
      <w:r w:rsidR="003609D7" w:rsidRPr="00047C65">
        <w:rPr>
          <w:i/>
        </w:rPr>
        <w:t>Banking Act 1959</w:t>
      </w:r>
      <w:r w:rsidR="003609D7" w:rsidRPr="00047C65">
        <w:t>.</w:t>
      </w:r>
    </w:p>
    <w:p w14:paraId="0931A8BE" w14:textId="70823870" w:rsidR="00E455EA" w:rsidRPr="00047C65" w:rsidRDefault="00B5592B" w:rsidP="004638C4">
      <w:pPr>
        <w:pStyle w:val="Style1"/>
        <w:spacing w:line="259" w:lineRule="auto"/>
      </w:pPr>
      <w:r w:rsidRPr="00047C65">
        <w:t xml:space="preserve">At the time of making the Amendment Instrument, TransferWise Australia </w:t>
      </w:r>
      <w:r w:rsidR="00E455EA" w:rsidRPr="00047C65">
        <w:t xml:space="preserve">is a non-financier </w:t>
      </w:r>
      <w:r w:rsidR="009C1A2A">
        <w:t>providing</w:t>
      </w:r>
      <w:r w:rsidR="00E455EA" w:rsidRPr="00047C65">
        <w:t xml:space="preserve"> the designated services described in items 31 and 32 of table 1 in subsection 6(2) of the AML/</w:t>
      </w:r>
      <w:proofErr w:type="spellStart"/>
      <w:r w:rsidR="00E455EA" w:rsidRPr="00047C65">
        <w:t>CTF</w:t>
      </w:r>
      <w:proofErr w:type="spellEnd"/>
      <w:r w:rsidR="00E455EA" w:rsidRPr="00047C65">
        <w:t xml:space="preserve"> Act. </w:t>
      </w:r>
      <w:r w:rsidRPr="00047C65">
        <w:t>TransferWise Australia provides these designated services</w:t>
      </w:r>
      <w:r w:rsidR="00E455EA" w:rsidRPr="00047C65">
        <w:t xml:space="preserve"> </w:t>
      </w:r>
      <w:r w:rsidR="00CB4F9F">
        <w:t>when it sends or receives</w:t>
      </w:r>
      <w:r w:rsidR="004638C4">
        <w:t xml:space="preserve"> </w:t>
      </w:r>
      <w:r w:rsidR="005D2F9B">
        <w:t>instructions</w:t>
      </w:r>
      <w:r w:rsidR="004638C4">
        <w:t xml:space="preserve"> to make money available in Australia or a foreign country</w:t>
      </w:r>
      <w:r w:rsidR="005D2F9B">
        <w:t xml:space="preserve"> under a designated remittance arrangement</w:t>
      </w:r>
      <w:r w:rsidR="004638C4">
        <w:t xml:space="preserve">. </w:t>
      </w:r>
      <w:r w:rsidR="009B6646" w:rsidRPr="00047C65">
        <w:t>The counterparties to these instructions are</w:t>
      </w:r>
      <w:r w:rsidR="00E455EA" w:rsidRPr="00047C65">
        <w:t xml:space="preserve"> </w:t>
      </w:r>
      <w:r w:rsidR="00C370A4" w:rsidRPr="00047C65">
        <w:t xml:space="preserve">other </w:t>
      </w:r>
      <w:r w:rsidR="00580187" w:rsidRPr="00047C65">
        <w:t>companies</w:t>
      </w:r>
      <w:r w:rsidR="00C370A4" w:rsidRPr="00047C65">
        <w:t xml:space="preserve"> </w:t>
      </w:r>
      <w:r w:rsidR="00142D2E">
        <w:t>in</w:t>
      </w:r>
      <w:r w:rsidR="00C370A4" w:rsidRPr="00047C65">
        <w:t xml:space="preserve"> the</w:t>
      </w:r>
      <w:r w:rsidR="00E455EA" w:rsidRPr="00047C65">
        <w:t xml:space="preserve"> TransferWise Group. </w:t>
      </w:r>
      <w:r w:rsidR="009B6646" w:rsidRPr="00047C65">
        <w:t>The instructions</w:t>
      </w:r>
      <w:r w:rsidR="00E455EA" w:rsidRPr="00047C65">
        <w:t xml:space="preserve"> are reported as </w:t>
      </w:r>
      <w:proofErr w:type="spellStart"/>
      <w:r w:rsidR="00704278" w:rsidRPr="00047C65">
        <w:t>IFTIs</w:t>
      </w:r>
      <w:proofErr w:type="spellEnd"/>
      <w:r w:rsidR="00C370A4" w:rsidRPr="00047C65">
        <w:t xml:space="preserve"> under item</w:t>
      </w:r>
      <w:r w:rsidR="00E455EA" w:rsidRPr="00047C65">
        <w:t xml:space="preserve"> 3 </w:t>
      </w:r>
      <w:r w:rsidR="00C370A4" w:rsidRPr="00047C65">
        <w:t>or</w:t>
      </w:r>
      <w:r w:rsidR="00E455EA" w:rsidRPr="00047C65">
        <w:t xml:space="preserve"> 4 of the table in</w:t>
      </w:r>
      <w:r w:rsidR="002D0185" w:rsidRPr="00047C65">
        <w:t xml:space="preserve"> section 46 of the AML/</w:t>
      </w:r>
      <w:proofErr w:type="spellStart"/>
      <w:r w:rsidR="002D0185" w:rsidRPr="00047C65">
        <w:t>CTF</w:t>
      </w:r>
      <w:proofErr w:type="spellEnd"/>
      <w:r w:rsidR="002D0185" w:rsidRPr="00047C65">
        <w:t xml:space="preserve"> Act, and</w:t>
      </w:r>
      <w:r w:rsidR="00231366">
        <w:t xml:space="preserve"> </w:t>
      </w:r>
      <w:r w:rsidR="00F64172">
        <w:t xml:space="preserve">the </w:t>
      </w:r>
      <w:r w:rsidR="00D37179" w:rsidRPr="00047C65">
        <w:t>reports are</w:t>
      </w:r>
      <w:r w:rsidR="002D0185" w:rsidRPr="00047C65">
        <w:t xml:space="preserve"> completed with the information specified in Chapter 17 of the AML/</w:t>
      </w:r>
      <w:proofErr w:type="spellStart"/>
      <w:r w:rsidR="002D0185" w:rsidRPr="00047C65">
        <w:t>CTF</w:t>
      </w:r>
      <w:proofErr w:type="spellEnd"/>
      <w:r w:rsidR="002D0185" w:rsidRPr="00047C65">
        <w:t xml:space="preserve"> Rules.</w:t>
      </w:r>
    </w:p>
    <w:p w14:paraId="2F3B72A7" w14:textId="43DEA4B4" w:rsidR="005D2F9B" w:rsidRDefault="00B5592B" w:rsidP="005D2F9B">
      <w:pPr>
        <w:pStyle w:val="Style1"/>
        <w:spacing w:line="259" w:lineRule="auto"/>
      </w:pPr>
      <w:r w:rsidRPr="00047C65">
        <w:t xml:space="preserve">When TransferWise Australia becomes an </w:t>
      </w:r>
      <w:proofErr w:type="spellStart"/>
      <w:r w:rsidR="00E455EA" w:rsidRPr="00047C65">
        <w:t>ADI</w:t>
      </w:r>
      <w:proofErr w:type="spellEnd"/>
      <w:r w:rsidR="00E455EA" w:rsidRPr="00047C65">
        <w:t xml:space="preserve">, </w:t>
      </w:r>
      <w:r w:rsidR="003A4D77" w:rsidRPr="00047C65">
        <w:t>it</w:t>
      </w:r>
      <w:r w:rsidR="00E455EA" w:rsidRPr="00047C65">
        <w:t xml:space="preserve"> will </w:t>
      </w:r>
      <w:r w:rsidR="005D2F9B">
        <w:t>provide</w:t>
      </w:r>
      <w:r w:rsidR="00E455EA" w:rsidRPr="00047C65">
        <w:t xml:space="preserve"> the designated services described in items 29 and 30 of table 1 in sub</w:t>
      </w:r>
      <w:r w:rsidR="006B7E31" w:rsidRPr="00047C65">
        <w:t>section 6(2) of the AML/</w:t>
      </w:r>
      <w:proofErr w:type="spellStart"/>
      <w:r w:rsidR="006B7E31" w:rsidRPr="00047C65">
        <w:t>CTF</w:t>
      </w:r>
      <w:proofErr w:type="spellEnd"/>
      <w:r w:rsidR="006B7E31" w:rsidRPr="00047C65">
        <w:t xml:space="preserve"> Act</w:t>
      </w:r>
      <w:r w:rsidR="005D2F9B">
        <w:t>. TransferWise Australia will provide these designated services in the capacity of an ordering and beneficiary institution, rather than under a designated remittance arrangement.</w:t>
      </w:r>
      <w:r w:rsidR="00CB4F9F">
        <w:t xml:space="preserve"> </w:t>
      </w:r>
      <w:r w:rsidR="005D2F9B" w:rsidRPr="00047C65">
        <w:t>Sections 8 and 9 of the AML/</w:t>
      </w:r>
      <w:proofErr w:type="spellStart"/>
      <w:r w:rsidR="005D2F9B" w:rsidRPr="00047C65">
        <w:t>CTF</w:t>
      </w:r>
      <w:proofErr w:type="spellEnd"/>
      <w:r w:rsidR="005D2F9B" w:rsidRPr="00047C65">
        <w:t xml:space="preserve"> Act define an ordering or beneficiary institution as an </w:t>
      </w:r>
      <w:proofErr w:type="spellStart"/>
      <w:r w:rsidR="005D2F9B" w:rsidRPr="00047C65">
        <w:t>ADI</w:t>
      </w:r>
      <w:proofErr w:type="spellEnd"/>
      <w:r w:rsidR="005D2F9B" w:rsidRPr="00047C65">
        <w:t>, bank, building society, credit union or a person specified in the AML/</w:t>
      </w:r>
      <w:proofErr w:type="spellStart"/>
      <w:r w:rsidR="005D2F9B" w:rsidRPr="00047C65">
        <w:t>CTF</w:t>
      </w:r>
      <w:proofErr w:type="spellEnd"/>
      <w:r w:rsidR="005D2F9B" w:rsidRPr="00047C65">
        <w:t xml:space="preserve"> Rules</w:t>
      </w:r>
      <w:r w:rsidR="005D2F9B">
        <w:t>.</w:t>
      </w:r>
      <w:r w:rsidR="009C1A2A">
        <w:t xml:space="preserve"> The designated services described in items 29 and 30 are reported as </w:t>
      </w:r>
      <w:proofErr w:type="spellStart"/>
      <w:r w:rsidR="009C1A2A">
        <w:t>IFTIs</w:t>
      </w:r>
      <w:proofErr w:type="spellEnd"/>
      <w:r w:rsidR="009C1A2A" w:rsidRPr="009C1A2A">
        <w:t xml:space="preserve"> </w:t>
      </w:r>
      <w:r w:rsidR="009C1A2A" w:rsidRPr="00047C65">
        <w:t>under items 1 or 2 of the table in section 46 of the AML/</w:t>
      </w:r>
      <w:proofErr w:type="spellStart"/>
      <w:r w:rsidR="009C1A2A" w:rsidRPr="00047C65">
        <w:t>CTF</w:t>
      </w:r>
      <w:proofErr w:type="spellEnd"/>
      <w:r w:rsidR="009C1A2A" w:rsidRPr="00047C65">
        <w:t xml:space="preserve"> Act, and </w:t>
      </w:r>
      <w:r w:rsidR="009C1A2A">
        <w:t xml:space="preserve">the </w:t>
      </w:r>
      <w:r w:rsidR="009C1A2A" w:rsidRPr="00047C65">
        <w:lastRenderedPageBreak/>
        <w:t>reports</w:t>
      </w:r>
      <w:r w:rsidR="009C1A2A">
        <w:t xml:space="preserve"> </w:t>
      </w:r>
      <w:r w:rsidR="00561E65">
        <w:t xml:space="preserve">are </w:t>
      </w:r>
      <w:r w:rsidR="009C1A2A" w:rsidRPr="00047C65">
        <w:t>completed with the information specified in Chapter 16 of the AML/</w:t>
      </w:r>
      <w:proofErr w:type="spellStart"/>
      <w:r w:rsidR="009C1A2A" w:rsidRPr="00047C65">
        <w:t>CTF</w:t>
      </w:r>
      <w:proofErr w:type="spellEnd"/>
      <w:r w:rsidR="009C1A2A" w:rsidRPr="00047C65">
        <w:t xml:space="preserve"> Rules.</w:t>
      </w:r>
    </w:p>
    <w:p w14:paraId="5DE8F107" w14:textId="26CA870F" w:rsidR="003609D7" w:rsidRPr="00047C65" w:rsidRDefault="009C1A2A" w:rsidP="009C1A2A">
      <w:pPr>
        <w:pStyle w:val="Style1"/>
        <w:spacing w:line="259" w:lineRule="auto"/>
      </w:pPr>
      <w:r>
        <w:t>Due to an anomaly in the regulatory framework</w:t>
      </w:r>
      <w:r w:rsidR="005D2F9B">
        <w:t>, TransferWise Australia</w:t>
      </w:r>
      <w:r>
        <w:t xml:space="preserve">, as an </w:t>
      </w:r>
      <w:proofErr w:type="spellStart"/>
      <w:r>
        <w:t>ADI</w:t>
      </w:r>
      <w:proofErr w:type="spellEnd"/>
      <w:r>
        <w:t>,</w:t>
      </w:r>
      <w:r w:rsidR="005D2F9B">
        <w:t xml:space="preserve"> will have no obligation to report instructions related to the provision </w:t>
      </w:r>
      <w:r w:rsidR="00205016">
        <w:t>the</w:t>
      </w:r>
      <w:r>
        <w:t xml:space="preserve"> designated services </w:t>
      </w:r>
      <w:r w:rsidR="00205016">
        <w:t xml:space="preserve">described in items 29 and 30 </w:t>
      </w:r>
      <w:r w:rsidR="001C2CF2" w:rsidRPr="00047C65">
        <w:t xml:space="preserve">because </w:t>
      </w:r>
      <w:r w:rsidR="006B7E31" w:rsidRPr="00047C65">
        <w:t xml:space="preserve">no other </w:t>
      </w:r>
      <w:r w:rsidR="00580187" w:rsidRPr="00047C65">
        <w:t>company</w:t>
      </w:r>
      <w:r w:rsidR="006B7E31" w:rsidRPr="00047C65">
        <w:t xml:space="preserve"> in the TransferWise Group is, or is in the process of becoming, </w:t>
      </w:r>
      <w:r w:rsidR="003609D7" w:rsidRPr="00047C65">
        <w:t>an ordering or beneficiary institution.</w:t>
      </w:r>
    </w:p>
    <w:p w14:paraId="2FE268A8" w14:textId="5C099C7E" w:rsidR="003A4D77" w:rsidRPr="00047C65" w:rsidRDefault="006E5B44" w:rsidP="006D4D39">
      <w:pPr>
        <w:pStyle w:val="Style1"/>
        <w:spacing w:line="259" w:lineRule="auto"/>
      </w:pPr>
      <w:r w:rsidRPr="00047C65">
        <w:t>Paragraphs 78.2 and 78.3 of the</w:t>
      </w:r>
      <w:r w:rsidR="00A97C8C" w:rsidRPr="00047C65">
        <w:t xml:space="preserve"> AML/</w:t>
      </w:r>
      <w:proofErr w:type="spellStart"/>
      <w:r w:rsidR="00A97C8C" w:rsidRPr="00047C65">
        <w:t>CTF</w:t>
      </w:r>
      <w:proofErr w:type="spellEnd"/>
      <w:r w:rsidR="00A97C8C" w:rsidRPr="00047C65">
        <w:t xml:space="preserve"> Rules, as inserted by item 1 of Schedule 1, </w:t>
      </w:r>
      <w:r w:rsidR="00142D2E">
        <w:t>correct</w:t>
      </w:r>
      <w:r w:rsidR="00A97C8C" w:rsidRPr="00047C65">
        <w:t xml:space="preserve"> this anomaly by specifying </w:t>
      </w:r>
      <w:r w:rsidR="00580187" w:rsidRPr="00047C65">
        <w:t>companies in the TransferWise Group (other than TransferWise Australia) as ordering and beneficiary institutions</w:t>
      </w:r>
      <w:r w:rsidR="003A4D77" w:rsidRPr="00047C65">
        <w:t xml:space="preserve"> </w:t>
      </w:r>
      <w:r w:rsidR="00580187" w:rsidRPr="00047C65">
        <w:t>for t</w:t>
      </w:r>
      <w:r w:rsidR="00A97C8C" w:rsidRPr="00047C65">
        <w:t>he purposes of the AML/</w:t>
      </w:r>
      <w:proofErr w:type="spellStart"/>
      <w:r w:rsidR="00A97C8C" w:rsidRPr="00047C65">
        <w:t>CTF</w:t>
      </w:r>
      <w:proofErr w:type="spellEnd"/>
      <w:r w:rsidR="00A97C8C" w:rsidRPr="00047C65">
        <w:t xml:space="preserve"> Act. </w:t>
      </w:r>
      <w:r w:rsidRPr="00047C65">
        <w:t xml:space="preserve">The regulatory impact </w:t>
      </w:r>
      <w:r w:rsidR="00142D2E">
        <w:t>of these provisions is</w:t>
      </w:r>
      <w:r w:rsidRPr="00047C65">
        <w:t xml:space="preserve"> limited by the conditions in paragraphs 78.4 and 78.5</w:t>
      </w:r>
      <w:r w:rsidR="00561E65">
        <w:t>, as inserted by item 1,</w:t>
      </w:r>
      <w:r w:rsidRPr="00047C65">
        <w:t xml:space="preserve"> that exclude ordering and beneficiary institutions other than TransferWise Australia from reporting </w:t>
      </w:r>
      <w:proofErr w:type="spellStart"/>
      <w:r w:rsidRPr="00047C65">
        <w:t>IFTIs</w:t>
      </w:r>
      <w:proofErr w:type="spellEnd"/>
      <w:r w:rsidRPr="00047C65">
        <w:t xml:space="preserve"> if they deal with the specified entities. T</w:t>
      </w:r>
      <w:r w:rsidR="003A4D77" w:rsidRPr="00047C65">
        <w:t xml:space="preserve">aken together, </w:t>
      </w:r>
      <w:r w:rsidR="00142D2E">
        <w:t>the provisions in Chapter 78</w:t>
      </w:r>
      <w:r w:rsidR="00AB5DD7" w:rsidRPr="00047C65">
        <w:t xml:space="preserve"> </w:t>
      </w:r>
      <w:r w:rsidRPr="00047C65">
        <w:t xml:space="preserve">preserve the </w:t>
      </w:r>
      <w:r w:rsidR="003A4D77" w:rsidRPr="00047C65">
        <w:t xml:space="preserve">current requirement for TransferWise Australia to report </w:t>
      </w:r>
      <w:proofErr w:type="spellStart"/>
      <w:r w:rsidR="003A4D77" w:rsidRPr="00047C65">
        <w:t>IFTIs</w:t>
      </w:r>
      <w:proofErr w:type="spellEnd"/>
      <w:r w:rsidR="003A4D77" w:rsidRPr="00047C65">
        <w:t xml:space="preserve"> without placing additional reporting obligations on other reporting entities. </w:t>
      </w:r>
    </w:p>
    <w:p w14:paraId="2C3AA706" w14:textId="58B87BA8" w:rsidR="006C627A" w:rsidRPr="00047C65" w:rsidRDefault="006C627A" w:rsidP="006D4D39">
      <w:pPr>
        <w:pStyle w:val="Style1"/>
        <w:spacing w:line="259" w:lineRule="auto"/>
      </w:pPr>
      <w:r w:rsidRPr="00047C65">
        <w:t>Item 2 of Schedule 1 establishes a tran</w:t>
      </w:r>
      <w:r w:rsidR="00371C09" w:rsidRPr="00047C65">
        <w:t xml:space="preserve">sition period </w:t>
      </w:r>
      <w:r w:rsidRPr="00047C65">
        <w:t xml:space="preserve">to enable </w:t>
      </w:r>
      <w:proofErr w:type="spellStart"/>
      <w:r w:rsidRPr="00047C65">
        <w:t>TransferWise</w:t>
      </w:r>
      <w:proofErr w:type="spellEnd"/>
      <w:r w:rsidRPr="00047C65">
        <w:t xml:space="preserve"> </w:t>
      </w:r>
      <w:r w:rsidR="008F7727">
        <w:t xml:space="preserve">Australia </w:t>
      </w:r>
      <w:bookmarkStart w:id="0" w:name="_GoBack"/>
      <w:bookmarkEnd w:id="0"/>
      <w:r w:rsidRPr="00047C65">
        <w:t xml:space="preserve">to transition to reporting </w:t>
      </w:r>
      <w:proofErr w:type="spellStart"/>
      <w:r w:rsidRPr="00047C65">
        <w:t>IFTIs</w:t>
      </w:r>
      <w:proofErr w:type="spellEnd"/>
      <w:r w:rsidRPr="00047C65">
        <w:t xml:space="preserve"> with the details required by Chapter 16 of the AML/</w:t>
      </w:r>
      <w:proofErr w:type="spellStart"/>
      <w:r w:rsidRPr="00047C65">
        <w:t>CTF</w:t>
      </w:r>
      <w:proofErr w:type="spellEnd"/>
      <w:r w:rsidRPr="00047C65">
        <w:t xml:space="preserve"> Rules. </w:t>
      </w:r>
    </w:p>
    <w:p w14:paraId="49BDE941" w14:textId="5BA6052A" w:rsidR="008D57E7" w:rsidRPr="00047C65" w:rsidRDefault="008D57E7" w:rsidP="006D4D39">
      <w:pPr>
        <w:pStyle w:val="Style1"/>
        <w:spacing w:line="259" w:lineRule="auto"/>
      </w:pPr>
      <w:r w:rsidRPr="00047C65">
        <w:t xml:space="preserve">The Amendment Instrument is a legislative instrument for the purposes of the </w:t>
      </w:r>
      <w:r w:rsidRPr="00047C65">
        <w:rPr>
          <w:i/>
        </w:rPr>
        <w:t>Legislation Act 2003</w:t>
      </w:r>
      <w:r w:rsidRPr="00047C65">
        <w:t>.</w:t>
      </w:r>
    </w:p>
    <w:p w14:paraId="0E50A3B4" w14:textId="19ECBC06" w:rsidR="008D57E7" w:rsidRPr="00047C65" w:rsidRDefault="008D57E7" w:rsidP="006D4D39">
      <w:pPr>
        <w:pStyle w:val="Style1"/>
        <w:spacing w:line="259" w:lineRule="auto"/>
      </w:pPr>
      <w:r w:rsidRPr="00047C65">
        <w:t xml:space="preserve">Details of the Amendment Instrument are set out in </w:t>
      </w:r>
      <w:r w:rsidRPr="00047C65">
        <w:rPr>
          <w:u w:val="single"/>
        </w:rPr>
        <w:t>Attachment A.</w:t>
      </w:r>
    </w:p>
    <w:p w14:paraId="6444E25C" w14:textId="1C71D3B2" w:rsidR="008D57E7" w:rsidRPr="00047C65" w:rsidRDefault="008D57E7" w:rsidP="006D4D39">
      <w:pPr>
        <w:pStyle w:val="Style1"/>
        <w:spacing w:line="259" w:lineRule="auto"/>
      </w:pPr>
      <w:r w:rsidRPr="00047C65">
        <w:t xml:space="preserve">A Statement of Compatibility with Human Rights is at </w:t>
      </w:r>
      <w:r w:rsidRPr="00047C65">
        <w:rPr>
          <w:u w:val="single"/>
        </w:rPr>
        <w:t>Attachment B</w:t>
      </w:r>
      <w:r w:rsidRPr="00047C65">
        <w:t>.</w:t>
      </w:r>
    </w:p>
    <w:p w14:paraId="0AB6062E" w14:textId="38EFE0A6" w:rsidR="008D57E7" w:rsidRPr="00047C65" w:rsidRDefault="008D57E7" w:rsidP="006D4D39">
      <w:pPr>
        <w:shd w:val="clear" w:color="auto" w:fill="FFFFFF"/>
        <w:spacing w:before="160" w:after="160" w:line="259" w:lineRule="auto"/>
        <w:rPr>
          <w:rFonts w:ascii="Times New Roman" w:hAnsi="Times New Roman"/>
          <w:b/>
          <w:bCs/>
          <w:caps/>
          <w:color w:val="000000"/>
          <w:sz w:val="24"/>
          <w:lang w:eastAsia="en-AU"/>
        </w:rPr>
      </w:pPr>
      <w:r w:rsidRPr="00047C65">
        <w:rPr>
          <w:rFonts w:ascii="Times New Roman" w:hAnsi="Times New Roman"/>
          <w:b/>
          <w:bCs/>
          <w:caps/>
          <w:color w:val="000000"/>
          <w:sz w:val="24"/>
          <w:lang w:eastAsia="en-AU"/>
        </w:rPr>
        <w:t>CONSULTATION</w:t>
      </w:r>
    </w:p>
    <w:p w14:paraId="6EF7A570" w14:textId="2A638A6F" w:rsidR="00935F41" w:rsidRPr="00047C65" w:rsidRDefault="00935F41" w:rsidP="006D4D39">
      <w:pPr>
        <w:pStyle w:val="Style1"/>
        <w:spacing w:line="259" w:lineRule="auto"/>
      </w:pPr>
      <w:r w:rsidRPr="00047C65">
        <w:t xml:space="preserve">TransferWise Australia was consulted </w:t>
      </w:r>
      <w:r w:rsidR="00CC4FAA" w:rsidRPr="00047C65">
        <w:t>in the development of the</w:t>
      </w:r>
      <w:r w:rsidRPr="00047C65">
        <w:t xml:space="preserve"> Amendment Instrument to ensure </w:t>
      </w:r>
      <w:r w:rsidR="000166D7">
        <w:t>its</w:t>
      </w:r>
      <w:r w:rsidR="006C627A" w:rsidRPr="00047C65">
        <w:t xml:space="preserve"> effectiveness. </w:t>
      </w:r>
      <w:r w:rsidR="0093311F" w:rsidRPr="00047C65">
        <w:t xml:space="preserve"> </w:t>
      </w:r>
    </w:p>
    <w:p w14:paraId="3373225B" w14:textId="41154BA7" w:rsidR="00CC4FAA" w:rsidRPr="00047C65" w:rsidRDefault="002721FA" w:rsidP="006D4D39">
      <w:pPr>
        <w:pStyle w:val="Style1"/>
        <w:spacing w:line="259" w:lineRule="auto"/>
      </w:pPr>
      <w:r w:rsidRPr="00047C65">
        <w:t xml:space="preserve">Consultation </w:t>
      </w:r>
      <w:r w:rsidR="00935F41" w:rsidRPr="00047C65">
        <w:t>was</w:t>
      </w:r>
      <w:r w:rsidR="00C442EF" w:rsidRPr="00047C65">
        <w:t xml:space="preserve"> also</w:t>
      </w:r>
      <w:r w:rsidR="00935F41" w:rsidRPr="00047C65">
        <w:t xml:space="preserve"> undertaken</w:t>
      </w:r>
      <w:r w:rsidRPr="00047C65">
        <w:t xml:space="preserve"> with</w:t>
      </w:r>
      <w:r w:rsidR="00142D2E">
        <w:t xml:space="preserve"> the</w:t>
      </w:r>
      <w:r w:rsidR="00CC4FAA" w:rsidRPr="00047C65">
        <w:t xml:space="preserve"> Australian Prudential Regulation Authority, Australian Taxation Office, Office of the Australian Information Commissioner, Australian Federal Police, Australian Criminal Intelligence Commission, Australian Border Force and Department of Home Affairs.</w:t>
      </w:r>
    </w:p>
    <w:p w14:paraId="2C9BF1E6" w14:textId="6E1582AF" w:rsidR="009911EF" w:rsidRPr="00047C65" w:rsidRDefault="009911EF" w:rsidP="006D4D39">
      <w:pPr>
        <w:pStyle w:val="Style1"/>
        <w:spacing w:line="259" w:lineRule="auto"/>
      </w:pPr>
      <w:r w:rsidRPr="00047C65">
        <w:t xml:space="preserve">Public consultation has not occurred </w:t>
      </w:r>
      <w:r w:rsidR="00935F41" w:rsidRPr="00047C65">
        <w:t xml:space="preserve">due to the limited nature of the changes. </w:t>
      </w:r>
      <w:r w:rsidR="0093311F" w:rsidRPr="00047C65">
        <w:t>The</w:t>
      </w:r>
      <w:r w:rsidR="00935F41" w:rsidRPr="00047C65">
        <w:t xml:space="preserve"> Amendment Instrument only affect</w:t>
      </w:r>
      <w:r w:rsidR="0093311F" w:rsidRPr="00047C65">
        <w:t>s</w:t>
      </w:r>
      <w:r w:rsidR="00935F41" w:rsidRPr="00047C65">
        <w:t xml:space="preserve"> TransferWise Australia. </w:t>
      </w:r>
    </w:p>
    <w:p w14:paraId="257C7778" w14:textId="3E041C60" w:rsidR="008D57E7" w:rsidRPr="00047C65" w:rsidRDefault="008D57E7" w:rsidP="006D4D39">
      <w:pPr>
        <w:shd w:val="clear" w:color="auto" w:fill="FFFFFF"/>
        <w:spacing w:before="160" w:after="160" w:line="259" w:lineRule="auto"/>
        <w:rPr>
          <w:rFonts w:ascii="Times New Roman" w:hAnsi="Times New Roman"/>
          <w:b/>
          <w:bCs/>
          <w:caps/>
          <w:color w:val="000000"/>
          <w:sz w:val="24"/>
          <w:lang w:eastAsia="en-AU"/>
        </w:rPr>
      </w:pPr>
      <w:r w:rsidRPr="00047C65">
        <w:rPr>
          <w:rFonts w:ascii="Times New Roman" w:hAnsi="Times New Roman"/>
          <w:b/>
          <w:bCs/>
          <w:caps/>
          <w:color w:val="000000"/>
          <w:sz w:val="24"/>
          <w:lang w:eastAsia="en-AU"/>
        </w:rPr>
        <w:t>REGULATION IMPACT STATEMENT</w:t>
      </w:r>
    </w:p>
    <w:p w14:paraId="429E8BB2" w14:textId="4081A8F4" w:rsidR="007446FB" w:rsidRDefault="007446FB" w:rsidP="000166D7">
      <w:pPr>
        <w:pStyle w:val="Style1"/>
        <w:spacing w:line="259" w:lineRule="auto"/>
      </w:pPr>
      <w:r w:rsidRPr="00047C65">
        <w:t xml:space="preserve">The Office of Best Practice and Regulation has advised that the </w:t>
      </w:r>
      <w:r w:rsidR="00A20579" w:rsidRPr="00047C65">
        <w:t>proposed amendment</w:t>
      </w:r>
      <w:r w:rsidR="00846474" w:rsidRPr="00047C65">
        <w:t xml:space="preserve"> </w:t>
      </w:r>
      <w:r w:rsidR="004827D9" w:rsidRPr="00047C65">
        <w:t>is</w:t>
      </w:r>
      <w:r w:rsidR="009911EF" w:rsidRPr="00047C65">
        <w:t xml:space="preserve"> unlikely to have more than a minimal regulatory impact on business, community organisations or individuals. </w:t>
      </w:r>
      <w:r w:rsidR="001C7A53" w:rsidRPr="00047C65">
        <w:t>Therefore, the preparation of a Regulation Impact Statement was not required for the proposal.</w:t>
      </w:r>
    </w:p>
    <w:p w14:paraId="46C5B318" w14:textId="7F2FEC77" w:rsidR="009B309E" w:rsidRPr="00047C65" w:rsidRDefault="009B309E" w:rsidP="009B309E">
      <w:pPr>
        <w:spacing w:after="160" w:line="360" w:lineRule="auto"/>
        <w:jc w:val="right"/>
        <w:rPr>
          <w:rFonts w:ascii="Times New Roman" w:eastAsia="Calibri" w:hAnsi="Times New Roman"/>
          <w:b/>
          <w:caps/>
          <w:sz w:val="24"/>
          <w:u w:val="single"/>
        </w:rPr>
      </w:pPr>
      <w:r w:rsidRPr="00047C65">
        <w:rPr>
          <w:rFonts w:ascii="Times New Roman" w:eastAsia="Calibri" w:hAnsi="Times New Roman"/>
          <w:b/>
          <w:caps/>
          <w:sz w:val="24"/>
          <w:u w:val="single"/>
        </w:rPr>
        <w:lastRenderedPageBreak/>
        <w:t>ATTACHMENT A</w:t>
      </w:r>
    </w:p>
    <w:p w14:paraId="3DA72700" w14:textId="77777777" w:rsidR="00B04F55" w:rsidRPr="00047C65" w:rsidRDefault="00B04F55" w:rsidP="00B04F55">
      <w:pPr>
        <w:spacing w:before="240"/>
        <w:rPr>
          <w:rFonts w:ascii="Times New Roman" w:hAnsi="Times New Roman"/>
          <w:b/>
          <w:sz w:val="24"/>
        </w:rPr>
      </w:pPr>
    </w:p>
    <w:p w14:paraId="27035FD6" w14:textId="42FFC9C0" w:rsidR="00B04F55" w:rsidRPr="00047C65" w:rsidRDefault="00B04F55" w:rsidP="006D4D39">
      <w:pPr>
        <w:spacing w:before="240" w:after="160" w:line="259" w:lineRule="auto"/>
        <w:rPr>
          <w:rFonts w:ascii="Times New Roman" w:eastAsia="Calibri" w:hAnsi="Times New Roman"/>
          <w:b/>
          <w:i/>
          <w:sz w:val="24"/>
        </w:rPr>
      </w:pPr>
      <w:r w:rsidRPr="00047C65">
        <w:rPr>
          <w:rFonts w:ascii="Times New Roman" w:eastAsia="Calibri" w:hAnsi="Times New Roman"/>
          <w:b/>
          <w:i/>
          <w:sz w:val="24"/>
        </w:rPr>
        <w:t>Anti-Money Laundering and Counter-Terrorism Financing Rules Amendment Instrument 20</w:t>
      </w:r>
      <w:r w:rsidR="005C28B5" w:rsidRPr="00047C65">
        <w:rPr>
          <w:rFonts w:ascii="Times New Roman" w:eastAsia="Calibri" w:hAnsi="Times New Roman"/>
          <w:b/>
          <w:i/>
          <w:sz w:val="24"/>
        </w:rPr>
        <w:t>20</w:t>
      </w:r>
      <w:r w:rsidRPr="00047C65">
        <w:rPr>
          <w:rFonts w:ascii="Times New Roman" w:eastAsia="Calibri" w:hAnsi="Times New Roman"/>
          <w:b/>
          <w:i/>
          <w:sz w:val="24"/>
        </w:rPr>
        <w:t xml:space="preserve"> (No. </w:t>
      </w:r>
      <w:r w:rsidR="00EF0419" w:rsidRPr="00047C65">
        <w:rPr>
          <w:rFonts w:ascii="Times New Roman" w:eastAsia="Calibri" w:hAnsi="Times New Roman"/>
          <w:b/>
          <w:i/>
          <w:sz w:val="24"/>
        </w:rPr>
        <w:t>5</w:t>
      </w:r>
      <w:r w:rsidRPr="00047C65">
        <w:rPr>
          <w:rFonts w:ascii="Times New Roman" w:eastAsia="Calibri" w:hAnsi="Times New Roman"/>
          <w:b/>
          <w:i/>
          <w:sz w:val="24"/>
        </w:rPr>
        <w:t xml:space="preserve">) </w:t>
      </w:r>
    </w:p>
    <w:p w14:paraId="045A236D" w14:textId="201D1E91" w:rsidR="00B04F55" w:rsidRPr="00047C65" w:rsidRDefault="00B04F55" w:rsidP="006D4D39">
      <w:pPr>
        <w:spacing w:before="240" w:line="259" w:lineRule="auto"/>
        <w:rPr>
          <w:rFonts w:ascii="Times New Roman" w:hAnsi="Times New Roman"/>
          <w:b/>
          <w:sz w:val="24"/>
        </w:rPr>
      </w:pPr>
      <w:r w:rsidRPr="00047C65">
        <w:rPr>
          <w:rFonts w:ascii="Times New Roman" w:hAnsi="Times New Roman"/>
          <w:b/>
          <w:sz w:val="24"/>
        </w:rPr>
        <w:t>Section 1</w:t>
      </w:r>
      <w:r w:rsidR="00AA5444" w:rsidRPr="00047C65">
        <w:rPr>
          <w:rFonts w:ascii="Times New Roman" w:hAnsi="Times New Roman"/>
          <w:b/>
          <w:sz w:val="24"/>
        </w:rPr>
        <w:t>—</w:t>
      </w:r>
      <w:r w:rsidR="00224061" w:rsidRPr="00047C65">
        <w:rPr>
          <w:rFonts w:ascii="Times New Roman" w:hAnsi="Times New Roman"/>
          <w:b/>
          <w:sz w:val="24"/>
        </w:rPr>
        <w:t>Name</w:t>
      </w:r>
    </w:p>
    <w:p w14:paraId="110DBB82" w14:textId="2272B8C3" w:rsidR="00B04F55" w:rsidRPr="000166D7" w:rsidRDefault="00B04F55" w:rsidP="000166D7">
      <w:pPr>
        <w:pStyle w:val="ListParagraph"/>
        <w:numPr>
          <w:ilvl w:val="0"/>
          <w:numId w:val="3"/>
        </w:numPr>
        <w:spacing w:before="240" w:after="160" w:line="259" w:lineRule="auto"/>
        <w:ind w:left="0" w:firstLine="0"/>
        <w:rPr>
          <w:rFonts w:ascii="Times New Roman" w:eastAsia="Calibri" w:hAnsi="Times New Roman"/>
          <w:sz w:val="24"/>
        </w:rPr>
      </w:pPr>
      <w:r w:rsidRPr="000166D7">
        <w:rPr>
          <w:rFonts w:ascii="Times New Roman" w:eastAsia="Calibri" w:hAnsi="Times New Roman"/>
          <w:sz w:val="24"/>
        </w:rPr>
        <w:t xml:space="preserve">This section </w:t>
      </w:r>
      <w:r w:rsidR="00206C4A" w:rsidRPr="000166D7">
        <w:rPr>
          <w:rFonts w:ascii="Times New Roman" w:eastAsia="Calibri" w:hAnsi="Times New Roman"/>
          <w:sz w:val="24"/>
        </w:rPr>
        <w:t>provides that the name of the Instrument is</w:t>
      </w:r>
      <w:r w:rsidRPr="000166D7">
        <w:rPr>
          <w:rFonts w:ascii="Times New Roman" w:eastAsia="Calibri" w:hAnsi="Times New Roman"/>
          <w:sz w:val="24"/>
        </w:rPr>
        <w:t xml:space="preserve"> the </w:t>
      </w:r>
      <w:r w:rsidRPr="000166D7">
        <w:rPr>
          <w:rFonts w:ascii="Times New Roman" w:eastAsia="Calibri" w:hAnsi="Times New Roman"/>
          <w:i/>
          <w:sz w:val="24"/>
        </w:rPr>
        <w:t>Anti-Money Laundering and Counter-Terrorism Financing Rules Amendment Instrument 20</w:t>
      </w:r>
      <w:r w:rsidR="005C28B5" w:rsidRPr="000166D7">
        <w:rPr>
          <w:rFonts w:ascii="Times New Roman" w:eastAsia="Calibri" w:hAnsi="Times New Roman"/>
          <w:i/>
          <w:sz w:val="24"/>
        </w:rPr>
        <w:t>20</w:t>
      </w:r>
      <w:r w:rsidRPr="000166D7">
        <w:rPr>
          <w:rFonts w:ascii="Times New Roman" w:eastAsia="Calibri" w:hAnsi="Times New Roman"/>
          <w:i/>
          <w:sz w:val="24"/>
        </w:rPr>
        <w:t xml:space="preserve"> (No. </w:t>
      </w:r>
      <w:r w:rsidR="00EF0419" w:rsidRPr="000166D7">
        <w:rPr>
          <w:rFonts w:ascii="Times New Roman" w:eastAsia="Calibri" w:hAnsi="Times New Roman"/>
          <w:i/>
          <w:sz w:val="24"/>
        </w:rPr>
        <w:t>5</w:t>
      </w:r>
      <w:r w:rsidRPr="000166D7">
        <w:rPr>
          <w:rFonts w:ascii="Times New Roman" w:eastAsia="Calibri" w:hAnsi="Times New Roman"/>
          <w:i/>
          <w:sz w:val="24"/>
        </w:rPr>
        <w:t>)</w:t>
      </w:r>
      <w:r w:rsidRPr="000166D7">
        <w:rPr>
          <w:rFonts w:ascii="Times New Roman" w:eastAsia="Calibri" w:hAnsi="Times New Roman"/>
          <w:sz w:val="24"/>
        </w:rPr>
        <w:t>.</w:t>
      </w:r>
    </w:p>
    <w:p w14:paraId="56DF1276" w14:textId="36A013A5" w:rsidR="00B04F55" w:rsidRPr="00047C65" w:rsidRDefault="00B04F55" w:rsidP="006D4D39">
      <w:pPr>
        <w:spacing w:before="240" w:line="259" w:lineRule="auto"/>
        <w:rPr>
          <w:rFonts w:ascii="Times New Roman" w:hAnsi="Times New Roman"/>
          <w:b/>
          <w:sz w:val="24"/>
        </w:rPr>
      </w:pPr>
      <w:r w:rsidRPr="00047C65">
        <w:rPr>
          <w:rFonts w:ascii="Times New Roman" w:hAnsi="Times New Roman"/>
          <w:b/>
          <w:sz w:val="24"/>
        </w:rPr>
        <w:t>Section 2</w:t>
      </w:r>
      <w:r w:rsidR="00AA5444" w:rsidRPr="00047C65">
        <w:rPr>
          <w:rFonts w:ascii="Times New Roman" w:hAnsi="Times New Roman"/>
          <w:b/>
          <w:sz w:val="24"/>
        </w:rPr>
        <w:t>—</w:t>
      </w:r>
      <w:r w:rsidR="00224061" w:rsidRPr="00047C65">
        <w:rPr>
          <w:rFonts w:ascii="Times New Roman" w:hAnsi="Times New Roman"/>
          <w:b/>
          <w:sz w:val="24"/>
        </w:rPr>
        <w:t>Commencement</w:t>
      </w:r>
    </w:p>
    <w:p w14:paraId="78F23E14" w14:textId="026E3887" w:rsidR="00BF3F0D" w:rsidRPr="000166D7" w:rsidRDefault="00371C09" w:rsidP="000166D7">
      <w:pPr>
        <w:pStyle w:val="ListParagraph"/>
        <w:numPr>
          <w:ilvl w:val="0"/>
          <w:numId w:val="3"/>
        </w:numPr>
        <w:spacing w:before="240" w:after="160" w:line="259" w:lineRule="auto"/>
        <w:ind w:left="0" w:firstLine="0"/>
        <w:rPr>
          <w:rFonts w:ascii="Times New Roman" w:eastAsia="Calibri" w:hAnsi="Times New Roman"/>
          <w:sz w:val="24"/>
        </w:rPr>
      </w:pPr>
      <w:r w:rsidRPr="000166D7">
        <w:rPr>
          <w:rFonts w:ascii="Times New Roman" w:eastAsia="Calibri" w:hAnsi="Times New Roman"/>
          <w:sz w:val="24"/>
        </w:rPr>
        <w:t>This section provides</w:t>
      </w:r>
      <w:r w:rsidR="00AA5444" w:rsidRPr="000166D7">
        <w:rPr>
          <w:rFonts w:ascii="Times New Roman" w:eastAsia="Calibri" w:hAnsi="Times New Roman"/>
          <w:sz w:val="24"/>
        </w:rPr>
        <w:t xml:space="preserve"> for</w:t>
      </w:r>
      <w:r w:rsidRPr="000166D7">
        <w:rPr>
          <w:rFonts w:ascii="Times New Roman" w:eastAsia="Calibri" w:hAnsi="Times New Roman"/>
          <w:sz w:val="24"/>
        </w:rPr>
        <w:t xml:space="preserve"> the</w:t>
      </w:r>
      <w:r w:rsidR="00BF3F0D" w:rsidRPr="000166D7">
        <w:rPr>
          <w:rFonts w:ascii="Times New Roman" w:eastAsia="Calibri" w:hAnsi="Times New Roman"/>
          <w:sz w:val="24"/>
        </w:rPr>
        <w:t xml:space="preserve"> commencement of each provision in the Instrument, as set out in the table subsection 2(2).</w:t>
      </w:r>
    </w:p>
    <w:p w14:paraId="53FAB79A" w14:textId="6408FF4A" w:rsidR="00B04F55" w:rsidRPr="00047C65" w:rsidRDefault="00B04F55" w:rsidP="006D4D39">
      <w:pPr>
        <w:spacing w:before="240" w:line="259" w:lineRule="auto"/>
        <w:rPr>
          <w:rFonts w:ascii="Times New Roman" w:hAnsi="Times New Roman"/>
          <w:b/>
          <w:sz w:val="24"/>
        </w:rPr>
      </w:pPr>
      <w:r w:rsidRPr="00047C65">
        <w:rPr>
          <w:rFonts w:ascii="Times New Roman" w:hAnsi="Times New Roman"/>
          <w:b/>
          <w:sz w:val="24"/>
        </w:rPr>
        <w:t>Section 3</w:t>
      </w:r>
      <w:r w:rsidR="00AA5444" w:rsidRPr="00047C65">
        <w:rPr>
          <w:rFonts w:ascii="Times New Roman" w:hAnsi="Times New Roman"/>
          <w:b/>
          <w:sz w:val="24"/>
        </w:rPr>
        <w:t>—</w:t>
      </w:r>
      <w:r w:rsidR="00224061" w:rsidRPr="00047C65">
        <w:rPr>
          <w:rFonts w:ascii="Times New Roman" w:hAnsi="Times New Roman"/>
          <w:b/>
          <w:sz w:val="24"/>
        </w:rPr>
        <w:t>Authority</w:t>
      </w:r>
    </w:p>
    <w:p w14:paraId="12DAE540" w14:textId="23C0852B" w:rsidR="00224061" w:rsidRPr="000166D7" w:rsidRDefault="00371C09" w:rsidP="000166D7">
      <w:pPr>
        <w:pStyle w:val="ListParagraph"/>
        <w:numPr>
          <w:ilvl w:val="0"/>
          <w:numId w:val="3"/>
        </w:numPr>
        <w:spacing w:before="240" w:after="160" w:line="259" w:lineRule="auto"/>
        <w:ind w:left="0" w:firstLine="0"/>
        <w:rPr>
          <w:rFonts w:ascii="Times New Roman" w:eastAsia="Calibri" w:hAnsi="Times New Roman"/>
          <w:sz w:val="24"/>
        </w:rPr>
      </w:pPr>
      <w:r w:rsidRPr="000166D7">
        <w:rPr>
          <w:rFonts w:ascii="Times New Roman" w:eastAsia="Calibri" w:hAnsi="Times New Roman"/>
          <w:sz w:val="24"/>
        </w:rPr>
        <w:t>This section provides that the</w:t>
      </w:r>
      <w:r w:rsidR="00224061" w:rsidRPr="000166D7">
        <w:rPr>
          <w:rFonts w:ascii="Times New Roman" w:eastAsia="Calibri" w:hAnsi="Times New Roman"/>
          <w:sz w:val="24"/>
        </w:rPr>
        <w:t xml:space="preserve"> Instrument is made under section 229 of the </w:t>
      </w:r>
      <w:r w:rsidR="00224061" w:rsidRPr="000166D7">
        <w:rPr>
          <w:rFonts w:ascii="Times New Roman" w:eastAsia="Calibri" w:hAnsi="Times New Roman"/>
          <w:i/>
          <w:sz w:val="24"/>
        </w:rPr>
        <w:t>Anti-Money Laundering and Counter-Terrorism Financing Act 2006</w:t>
      </w:r>
      <w:r w:rsidR="00EF0419" w:rsidRPr="000166D7">
        <w:rPr>
          <w:rFonts w:ascii="Times New Roman" w:eastAsia="Calibri" w:hAnsi="Times New Roman"/>
          <w:sz w:val="24"/>
        </w:rPr>
        <w:t>.</w:t>
      </w:r>
    </w:p>
    <w:p w14:paraId="5FB0C94D" w14:textId="047BFF5D" w:rsidR="00B04F55" w:rsidRPr="00047C65" w:rsidRDefault="00B04F55" w:rsidP="006D4D39">
      <w:pPr>
        <w:autoSpaceDE w:val="0"/>
        <w:autoSpaceDN w:val="0"/>
        <w:adjustRightInd w:val="0"/>
        <w:spacing w:before="240" w:line="259" w:lineRule="auto"/>
        <w:rPr>
          <w:rFonts w:ascii="Times New Roman" w:hAnsi="Times New Roman"/>
          <w:b/>
          <w:sz w:val="24"/>
        </w:rPr>
      </w:pPr>
      <w:r w:rsidRPr="00047C65">
        <w:rPr>
          <w:rFonts w:ascii="Times New Roman" w:hAnsi="Times New Roman"/>
          <w:b/>
          <w:sz w:val="24"/>
        </w:rPr>
        <w:t>Section 4</w:t>
      </w:r>
      <w:r w:rsidR="00AA5444" w:rsidRPr="00047C65">
        <w:rPr>
          <w:rFonts w:ascii="Times New Roman" w:hAnsi="Times New Roman"/>
          <w:b/>
          <w:sz w:val="24"/>
        </w:rPr>
        <w:t>—</w:t>
      </w:r>
      <w:r w:rsidR="00224061" w:rsidRPr="00047C65">
        <w:rPr>
          <w:rFonts w:ascii="Times New Roman" w:hAnsi="Times New Roman"/>
          <w:b/>
          <w:sz w:val="24"/>
        </w:rPr>
        <w:t>Schedules</w:t>
      </w:r>
    </w:p>
    <w:p w14:paraId="0D2429B1" w14:textId="4A474DE5" w:rsidR="00135DA2" w:rsidRPr="000166D7" w:rsidRDefault="00206C4A" w:rsidP="000166D7">
      <w:pPr>
        <w:pStyle w:val="ListParagraph"/>
        <w:numPr>
          <w:ilvl w:val="0"/>
          <w:numId w:val="3"/>
        </w:numPr>
        <w:spacing w:before="240" w:after="160" w:line="259" w:lineRule="auto"/>
        <w:ind w:left="0" w:firstLine="0"/>
        <w:rPr>
          <w:rFonts w:ascii="Times New Roman" w:eastAsia="Calibri" w:hAnsi="Times New Roman"/>
          <w:sz w:val="24"/>
        </w:rPr>
      </w:pPr>
      <w:r w:rsidRPr="000166D7">
        <w:rPr>
          <w:rFonts w:ascii="Times New Roman" w:eastAsia="Calibri" w:hAnsi="Times New Roman"/>
          <w:sz w:val="24"/>
        </w:rPr>
        <w:t>This section provides that</w:t>
      </w:r>
      <w:r w:rsidR="00371C09" w:rsidRPr="000166D7">
        <w:rPr>
          <w:rFonts w:ascii="Times New Roman" w:eastAsia="Calibri" w:hAnsi="Times New Roman"/>
          <w:sz w:val="24"/>
        </w:rPr>
        <w:t xml:space="preserve"> the i</w:t>
      </w:r>
      <w:r w:rsidR="00135DA2" w:rsidRPr="000166D7">
        <w:rPr>
          <w:rFonts w:ascii="Times New Roman" w:eastAsia="Calibri" w:hAnsi="Times New Roman"/>
          <w:sz w:val="24"/>
        </w:rPr>
        <w:t>nstrument specified in Schedule 1 is amended as set out in the applicable items in that Schedule.</w:t>
      </w:r>
    </w:p>
    <w:p w14:paraId="0738D6B6" w14:textId="0A44AA4A" w:rsidR="00B04F55" w:rsidRPr="00047C65" w:rsidRDefault="00B04F55" w:rsidP="006D4D39">
      <w:pPr>
        <w:spacing w:before="240" w:line="259" w:lineRule="auto"/>
        <w:rPr>
          <w:rFonts w:ascii="Times New Roman" w:hAnsi="Times New Roman"/>
          <w:b/>
          <w:sz w:val="24"/>
        </w:rPr>
      </w:pPr>
      <w:r w:rsidRPr="00047C65">
        <w:rPr>
          <w:rFonts w:ascii="Times New Roman" w:hAnsi="Times New Roman"/>
          <w:b/>
          <w:sz w:val="24"/>
        </w:rPr>
        <w:t>Schedule 1—Amendments</w:t>
      </w:r>
    </w:p>
    <w:p w14:paraId="07457E47" w14:textId="62E3518E" w:rsidR="00206C4A" w:rsidRPr="00047C65" w:rsidRDefault="00206C4A" w:rsidP="006D4D39">
      <w:pPr>
        <w:spacing w:before="240" w:line="259" w:lineRule="auto"/>
        <w:rPr>
          <w:rFonts w:ascii="Times New Roman" w:hAnsi="Times New Roman"/>
          <w:b/>
          <w:sz w:val="24"/>
        </w:rPr>
      </w:pPr>
      <w:r w:rsidRPr="00047C65">
        <w:rPr>
          <w:rFonts w:ascii="Times New Roman" w:hAnsi="Times New Roman"/>
          <w:i/>
          <w:sz w:val="24"/>
        </w:rPr>
        <w:t>Anti-Money Laundering and Counter-Terrorism Financing Rules Instrument 2007 (No. 1</w:t>
      </w:r>
      <w:r w:rsidR="005C28B5" w:rsidRPr="00047C65">
        <w:rPr>
          <w:rFonts w:ascii="Times New Roman" w:hAnsi="Times New Roman"/>
          <w:i/>
          <w:sz w:val="24"/>
        </w:rPr>
        <w:t>)</w:t>
      </w:r>
    </w:p>
    <w:p w14:paraId="31A4E642" w14:textId="77777777" w:rsidR="00B04F55" w:rsidRPr="00047C65" w:rsidRDefault="00B04F55" w:rsidP="006D4D39">
      <w:pPr>
        <w:keepNext/>
        <w:spacing w:before="240" w:line="259" w:lineRule="auto"/>
        <w:rPr>
          <w:rFonts w:ascii="Times New Roman" w:hAnsi="Times New Roman"/>
          <w:b/>
          <w:sz w:val="24"/>
        </w:rPr>
      </w:pPr>
      <w:r w:rsidRPr="00047C65">
        <w:rPr>
          <w:rFonts w:ascii="Times New Roman" w:hAnsi="Times New Roman"/>
          <w:b/>
          <w:sz w:val="24"/>
        </w:rPr>
        <w:t>Notes on items</w:t>
      </w:r>
    </w:p>
    <w:p w14:paraId="206814C7" w14:textId="3051CFBA" w:rsidR="00B04F55" w:rsidRPr="00047C65" w:rsidRDefault="00B04F55" w:rsidP="006D4D39">
      <w:pPr>
        <w:keepNext/>
        <w:spacing w:before="240" w:line="259" w:lineRule="auto"/>
        <w:rPr>
          <w:rFonts w:ascii="Times New Roman" w:hAnsi="Times New Roman"/>
          <w:b/>
          <w:sz w:val="24"/>
        </w:rPr>
      </w:pPr>
      <w:r w:rsidRPr="00047C65">
        <w:rPr>
          <w:rFonts w:ascii="Times New Roman" w:hAnsi="Times New Roman"/>
          <w:b/>
          <w:sz w:val="24"/>
        </w:rPr>
        <w:t>Item 1</w:t>
      </w:r>
      <w:r w:rsidR="00AA5444" w:rsidRPr="00047C65">
        <w:rPr>
          <w:rFonts w:ascii="Times New Roman" w:hAnsi="Times New Roman"/>
          <w:b/>
          <w:sz w:val="24"/>
        </w:rPr>
        <w:t>—After Chapter 77</w:t>
      </w:r>
    </w:p>
    <w:p w14:paraId="53F1E365" w14:textId="33F7A913" w:rsidR="00B04F55" w:rsidRPr="00047C65" w:rsidRDefault="00B04F55" w:rsidP="000166D7">
      <w:pPr>
        <w:pStyle w:val="ListParagraph"/>
        <w:numPr>
          <w:ilvl w:val="0"/>
          <w:numId w:val="3"/>
        </w:numPr>
        <w:spacing w:before="240" w:after="160" w:line="259" w:lineRule="auto"/>
        <w:ind w:left="0" w:firstLine="0"/>
        <w:rPr>
          <w:rFonts w:ascii="Times New Roman" w:hAnsi="Times New Roman"/>
          <w:sz w:val="24"/>
        </w:rPr>
      </w:pPr>
      <w:r w:rsidRPr="000166D7">
        <w:rPr>
          <w:rFonts w:ascii="Times New Roman" w:eastAsia="Calibri" w:hAnsi="Times New Roman"/>
          <w:sz w:val="24"/>
        </w:rPr>
        <w:t xml:space="preserve">This item </w:t>
      </w:r>
      <w:r w:rsidR="00EF0419" w:rsidRPr="000166D7">
        <w:rPr>
          <w:rFonts w:ascii="Times New Roman" w:eastAsia="Calibri" w:hAnsi="Times New Roman"/>
          <w:sz w:val="24"/>
        </w:rPr>
        <w:t>inserts</w:t>
      </w:r>
      <w:r w:rsidR="00371C09" w:rsidRPr="000166D7">
        <w:rPr>
          <w:rFonts w:ascii="Times New Roman" w:eastAsia="Calibri" w:hAnsi="Times New Roman"/>
          <w:sz w:val="24"/>
        </w:rPr>
        <w:t xml:space="preserve"> Chapter 78 of the AML/</w:t>
      </w:r>
      <w:proofErr w:type="spellStart"/>
      <w:r w:rsidR="00371C09" w:rsidRPr="000166D7">
        <w:rPr>
          <w:rFonts w:ascii="Times New Roman" w:eastAsia="Calibri" w:hAnsi="Times New Roman"/>
          <w:sz w:val="24"/>
        </w:rPr>
        <w:t>CTF</w:t>
      </w:r>
      <w:proofErr w:type="spellEnd"/>
      <w:r w:rsidR="00371C09" w:rsidRPr="000166D7">
        <w:rPr>
          <w:rFonts w:ascii="Times New Roman" w:eastAsia="Calibri" w:hAnsi="Times New Roman"/>
          <w:sz w:val="24"/>
        </w:rPr>
        <w:t xml:space="preserve"> Rules.</w:t>
      </w:r>
    </w:p>
    <w:p w14:paraId="31775981" w14:textId="28C3491A" w:rsidR="00EF0419" w:rsidRPr="00047C65" w:rsidRDefault="00EF0419" w:rsidP="006D4D39">
      <w:pPr>
        <w:keepNext/>
        <w:spacing w:before="240" w:line="259" w:lineRule="auto"/>
        <w:rPr>
          <w:rFonts w:ascii="Times New Roman" w:hAnsi="Times New Roman"/>
          <w:b/>
          <w:sz w:val="24"/>
        </w:rPr>
      </w:pPr>
      <w:r w:rsidRPr="00047C65">
        <w:rPr>
          <w:rFonts w:ascii="Times New Roman" w:hAnsi="Times New Roman"/>
          <w:b/>
          <w:sz w:val="24"/>
        </w:rPr>
        <w:t>Item 2</w:t>
      </w:r>
      <w:r w:rsidR="00AA5444" w:rsidRPr="00047C65">
        <w:rPr>
          <w:rFonts w:ascii="Times New Roman" w:hAnsi="Times New Roman"/>
          <w:b/>
          <w:sz w:val="24"/>
        </w:rPr>
        <w:t>—Application and transitional provisions</w:t>
      </w:r>
    </w:p>
    <w:p w14:paraId="0138592D" w14:textId="0A443EFA" w:rsidR="00AA5444" w:rsidRDefault="00AA5444" w:rsidP="000166D7">
      <w:pPr>
        <w:pStyle w:val="ListParagraph"/>
        <w:numPr>
          <w:ilvl w:val="0"/>
          <w:numId w:val="3"/>
        </w:numPr>
        <w:spacing w:before="240" w:after="160" w:line="259" w:lineRule="auto"/>
        <w:ind w:left="0" w:firstLine="0"/>
        <w:rPr>
          <w:rFonts w:ascii="Times New Roman" w:eastAsia="Calibri" w:hAnsi="Times New Roman"/>
          <w:sz w:val="24"/>
        </w:rPr>
      </w:pPr>
      <w:r w:rsidRPr="000166D7">
        <w:rPr>
          <w:rFonts w:ascii="Times New Roman" w:eastAsia="Calibri" w:hAnsi="Times New Roman"/>
          <w:sz w:val="24"/>
        </w:rPr>
        <w:t>This item</w:t>
      </w:r>
      <w:r w:rsidR="00C464B8" w:rsidRPr="000166D7">
        <w:rPr>
          <w:rFonts w:ascii="Times New Roman" w:eastAsia="Calibri" w:hAnsi="Times New Roman"/>
          <w:sz w:val="24"/>
        </w:rPr>
        <w:t xml:space="preserve"> provides </w:t>
      </w:r>
      <w:r w:rsidRPr="000166D7">
        <w:rPr>
          <w:rFonts w:ascii="Times New Roman" w:eastAsia="Calibri" w:hAnsi="Times New Roman"/>
          <w:sz w:val="24"/>
        </w:rPr>
        <w:t>application and transitional provisions that apply to Chapter 78 of the AML/</w:t>
      </w:r>
      <w:proofErr w:type="spellStart"/>
      <w:r w:rsidRPr="000166D7">
        <w:rPr>
          <w:rFonts w:ascii="Times New Roman" w:eastAsia="Calibri" w:hAnsi="Times New Roman"/>
          <w:sz w:val="24"/>
        </w:rPr>
        <w:t>CTF</w:t>
      </w:r>
      <w:proofErr w:type="spellEnd"/>
      <w:r w:rsidRPr="000166D7">
        <w:rPr>
          <w:rFonts w:ascii="Times New Roman" w:eastAsia="Calibri" w:hAnsi="Times New Roman"/>
          <w:sz w:val="24"/>
        </w:rPr>
        <w:t xml:space="preserve"> Rules, as inserted by ite</w:t>
      </w:r>
      <w:r w:rsidR="000166D7" w:rsidRPr="000166D7">
        <w:rPr>
          <w:rFonts w:ascii="Times New Roman" w:eastAsia="Calibri" w:hAnsi="Times New Roman"/>
          <w:sz w:val="24"/>
        </w:rPr>
        <w:t>m 1</w:t>
      </w:r>
      <w:r w:rsidRPr="000166D7">
        <w:rPr>
          <w:rFonts w:ascii="Times New Roman" w:eastAsia="Calibri" w:hAnsi="Times New Roman"/>
          <w:sz w:val="24"/>
        </w:rPr>
        <w:t>.</w:t>
      </w:r>
    </w:p>
    <w:p w14:paraId="7730B5FD" w14:textId="609DF6F1" w:rsidR="000166D7" w:rsidRDefault="000166D7" w:rsidP="000166D7">
      <w:pPr>
        <w:spacing w:before="240" w:after="160" w:line="259" w:lineRule="auto"/>
        <w:rPr>
          <w:rFonts w:ascii="Times New Roman" w:eastAsia="Calibri" w:hAnsi="Times New Roman"/>
          <w:sz w:val="24"/>
        </w:rPr>
      </w:pPr>
    </w:p>
    <w:p w14:paraId="7B6F3735" w14:textId="18F1578F" w:rsidR="000166D7" w:rsidRPr="000166D7" w:rsidRDefault="000166D7" w:rsidP="000166D7">
      <w:pPr>
        <w:spacing w:before="240" w:after="160" w:line="259" w:lineRule="auto"/>
        <w:rPr>
          <w:rFonts w:ascii="Times New Roman" w:eastAsia="Calibri" w:hAnsi="Times New Roman"/>
          <w:sz w:val="24"/>
        </w:rPr>
      </w:pPr>
    </w:p>
    <w:p w14:paraId="3A04D6CC" w14:textId="73905C2E" w:rsidR="000166D7" w:rsidRPr="00047C65" w:rsidRDefault="000166D7" w:rsidP="00EF0419">
      <w:pPr>
        <w:autoSpaceDE w:val="0"/>
        <w:autoSpaceDN w:val="0"/>
        <w:adjustRightInd w:val="0"/>
        <w:spacing w:before="240" w:line="259" w:lineRule="auto"/>
        <w:rPr>
          <w:rFonts w:ascii="Times New Roman" w:hAnsi="Times New Roman"/>
          <w:sz w:val="24"/>
        </w:rPr>
      </w:pPr>
    </w:p>
    <w:p w14:paraId="4EC1DA11" w14:textId="73ED54E8" w:rsidR="000166D7" w:rsidRDefault="000166D7" w:rsidP="00EF0419">
      <w:pPr>
        <w:autoSpaceDE w:val="0"/>
        <w:autoSpaceDN w:val="0"/>
        <w:adjustRightInd w:val="0"/>
        <w:spacing w:before="240" w:line="259" w:lineRule="auto"/>
        <w:rPr>
          <w:rFonts w:ascii="Times New Roman" w:hAnsi="Times New Roman"/>
          <w:sz w:val="24"/>
        </w:rPr>
        <w:sectPr w:rsidR="000166D7" w:rsidSect="00784484">
          <w:footerReference w:type="even" r:id="rId8"/>
          <w:footerReference w:type="default" r:id="rId9"/>
          <w:type w:val="continuous"/>
          <w:pgSz w:w="11906" w:h="16838" w:code="9"/>
          <w:pgMar w:top="1440" w:right="1797" w:bottom="1440" w:left="1797" w:header="709" w:footer="709" w:gutter="0"/>
          <w:cols w:space="708"/>
          <w:docGrid w:linePitch="360"/>
        </w:sectPr>
      </w:pPr>
    </w:p>
    <w:p w14:paraId="511385A5" w14:textId="77777777" w:rsidR="000166D7" w:rsidRDefault="000166D7" w:rsidP="009B309E">
      <w:pPr>
        <w:spacing w:after="160" w:line="360" w:lineRule="auto"/>
        <w:jc w:val="right"/>
        <w:rPr>
          <w:rFonts w:ascii="Times New Roman" w:eastAsia="Calibri" w:hAnsi="Times New Roman"/>
          <w:b/>
          <w:caps/>
          <w:sz w:val="24"/>
          <w:u w:val="single"/>
        </w:rPr>
      </w:pPr>
    </w:p>
    <w:p w14:paraId="1C4487B8" w14:textId="13A58CB4" w:rsidR="009B309E" w:rsidRPr="00047C65" w:rsidRDefault="009B309E" w:rsidP="009B309E">
      <w:pPr>
        <w:spacing w:after="160" w:line="360" w:lineRule="auto"/>
        <w:jc w:val="right"/>
        <w:rPr>
          <w:rFonts w:ascii="Times New Roman" w:eastAsia="Calibri" w:hAnsi="Times New Roman"/>
          <w:b/>
          <w:caps/>
          <w:sz w:val="24"/>
          <w:u w:val="single"/>
        </w:rPr>
      </w:pPr>
      <w:r w:rsidRPr="00047C65">
        <w:rPr>
          <w:rFonts w:ascii="Times New Roman" w:eastAsia="Calibri" w:hAnsi="Times New Roman"/>
          <w:b/>
          <w:caps/>
          <w:sz w:val="24"/>
          <w:u w:val="single"/>
        </w:rPr>
        <w:lastRenderedPageBreak/>
        <w:t>ATTACHMENT B</w:t>
      </w:r>
    </w:p>
    <w:p w14:paraId="0C175FC9" w14:textId="77777777" w:rsidR="009B309E" w:rsidRPr="00047C65" w:rsidRDefault="009B309E" w:rsidP="009B309E">
      <w:pPr>
        <w:spacing w:after="160" w:line="360" w:lineRule="auto"/>
        <w:rPr>
          <w:rFonts w:ascii="Times New Roman" w:eastAsia="Calibri" w:hAnsi="Times New Roman"/>
          <w:b/>
          <w:caps/>
          <w:sz w:val="24"/>
        </w:rPr>
      </w:pPr>
    </w:p>
    <w:p w14:paraId="0505F18F" w14:textId="237A8E03" w:rsidR="00017141" w:rsidRPr="00047C65" w:rsidRDefault="00017141" w:rsidP="007A1198">
      <w:pPr>
        <w:spacing w:after="160" w:line="360" w:lineRule="auto"/>
        <w:jc w:val="center"/>
        <w:rPr>
          <w:rFonts w:ascii="Times New Roman" w:eastAsia="Calibri" w:hAnsi="Times New Roman"/>
          <w:b/>
          <w:caps/>
          <w:sz w:val="24"/>
        </w:rPr>
      </w:pPr>
      <w:r w:rsidRPr="00047C65">
        <w:rPr>
          <w:rFonts w:ascii="Times New Roman" w:eastAsia="Calibri" w:hAnsi="Times New Roman"/>
          <w:b/>
          <w:caps/>
          <w:sz w:val="24"/>
        </w:rPr>
        <w:t>Statement of Compatibility with Human Rights</w:t>
      </w:r>
    </w:p>
    <w:p w14:paraId="5010A176" w14:textId="77777777" w:rsidR="00017141" w:rsidRPr="00047C65" w:rsidRDefault="00017141" w:rsidP="007A1198">
      <w:pPr>
        <w:spacing w:after="160" w:line="360" w:lineRule="auto"/>
        <w:jc w:val="center"/>
        <w:rPr>
          <w:rFonts w:ascii="Times New Roman" w:eastAsia="Calibri" w:hAnsi="Times New Roman"/>
          <w:sz w:val="24"/>
        </w:rPr>
      </w:pPr>
      <w:r w:rsidRPr="00047C65">
        <w:rPr>
          <w:rFonts w:ascii="Times New Roman" w:eastAsia="Calibri" w:hAnsi="Times New Roman"/>
          <w:i/>
          <w:iCs/>
          <w:sz w:val="24"/>
        </w:rPr>
        <w:t>Prepared in accordance with Part 3 of the Human Rights (Parliamentary Scrutiny) Act 2011</w:t>
      </w:r>
    </w:p>
    <w:p w14:paraId="290F13A5" w14:textId="77777777" w:rsidR="00017141" w:rsidRPr="00047C65" w:rsidRDefault="00017141" w:rsidP="00017141">
      <w:pPr>
        <w:spacing w:after="160" w:line="360" w:lineRule="auto"/>
        <w:rPr>
          <w:rFonts w:ascii="Times New Roman" w:eastAsia="Calibri" w:hAnsi="Times New Roman"/>
          <w:b/>
          <w:i/>
          <w:sz w:val="24"/>
        </w:rPr>
      </w:pPr>
      <w:r w:rsidRPr="00047C65">
        <w:rPr>
          <w:rFonts w:ascii="Times New Roman" w:eastAsia="Calibri" w:hAnsi="Times New Roman"/>
          <w:b/>
          <w:i/>
          <w:sz w:val="24"/>
        </w:rPr>
        <w:t xml:space="preserve">Australian Human Rights Commission Regulations 2019 </w:t>
      </w:r>
    </w:p>
    <w:p w14:paraId="42716A5F" w14:textId="644A930B" w:rsidR="00017141" w:rsidRPr="00784484" w:rsidRDefault="00017141" w:rsidP="000166D7">
      <w:pPr>
        <w:pStyle w:val="ListParagraph"/>
        <w:numPr>
          <w:ilvl w:val="0"/>
          <w:numId w:val="5"/>
        </w:numPr>
        <w:spacing w:after="160" w:line="259" w:lineRule="auto"/>
        <w:ind w:left="0" w:firstLine="0"/>
        <w:rPr>
          <w:rFonts w:ascii="Times New Roman" w:eastAsia="Calibri" w:hAnsi="Times New Roman"/>
          <w:sz w:val="24"/>
        </w:rPr>
      </w:pPr>
      <w:r w:rsidRPr="00784484">
        <w:rPr>
          <w:rFonts w:ascii="Times New Roman" w:eastAsia="Calibri" w:hAnsi="Times New Roman"/>
          <w:sz w:val="24"/>
        </w:rPr>
        <w:t xml:space="preserve">This </w:t>
      </w:r>
      <w:r w:rsidR="00E07413" w:rsidRPr="00784484">
        <w:rPr>
          <w:rFonts w:ascii="Times New Roman" w:eastAsia="Calibri" w:hAnsi="Times New Roman"/>
          <w:sz w:val="24"/>
        </w:rPr>
        <w:t xml:space="preserve">Disallowable </w:t>
      </w:r>
      <w:r w:rsidRPr="00784484">
        <w:rPr>
          <w:rFonts w:ascii="Times New Roman" w:eastAsia="Calibri" w:hAnsi="Times New Roman"/>
          <w:sz w:val="24"/>
        </w:rPr>
        <w:t>Legislative Instrument</w:t>
      </w:r>
      <w:r w:rsidR="00613646" w:rsidRPr="00784484">
        <w:rPr>
          <w:rFonts w:ascii="Times New Roman" w:eastAsia="Calibri" w:hAnsi="Times New Roman"/>
          <w:sz w:val="24"/>
        </w:rPr>
        <w:t xml:space="preserve"> (the Instrument)</w:t>
      </w:r>
      <w:r w:rsidRPr="00784484">
        <w:rPr>
          <w:rFonts w:ascii="Times New Roman" w:eastAsia="Calibri" w:hAnsi="Times New Roman"/>
          <w:sz w:val="24"/>
        </w:rPr>
        <w:t xml:space="preserve"> is compatible with the human rights and freedoms recognised or declared in the international instruments listed in section 3 of the </w:t>
      </w:r>
      <w:r w:rsidRPr="000166D7">
        <w:rPr>
          <w:rFonts w:ascii="Times New Roman" w:eastAsia="Calibri" w:hAnsi="Times New Roman"/>
          <w:i/>
          <w:sz w:val="24"/>
        </w:rPr>
        <w:t>Human Rights (Parliamentary Scrutiny) Act 2011</w:t>
      </w:r>
      <w:r w:rsidRPr="00784484">
        <w:rPr>
          <w:rFonts w:ascii="Times New Roman" w:eastAsia="Calibri" w:hAnsi="Times New Roman"/>
          <w:sz w:val="24"/>
        </w:rPr>
        <w:t>.</w:t>
      </w:r>
    </w:p>
    <w:p w14:paraId="140A98A7" w14:textId="4F5ECC34" w:rsidR="00017141" w:rsidRPr="00047C65" w:rsidRDefault="00017141" w:rsidP="00017141">
      <w:pPr>
        <w:spacing w:after="160" w:line="360" w:lineRule="auto"/>
        <w:rPr>
          <w:rFonts w:ascii="Times New Roman" w:eastAsia="Calibri" w:hAnsi="Times New Roman"/>
          <w:b/>
          <w:sz w:val="24"/>
        </w:rPr>
      </w:pPr>
      <w:r w:rsidRPr="00047C65">
        <w:rPr>
          <w:rFonts w:ascii="Times New Roman" w:eastAsia="Calibri" w:hAnsi="Times New Roman"/>
          <w:b/>
          <w:sz w:val="24"/>
        </w:rPr>
        <w:t>Overview of the</w:t>
      </w:r>
      <w:r w:rsidR="00E07413" w:rsidRPr="00047C65">
        <w:rPr>
          <w:rFonts w:ascii="Times New Roman" w:eastAsia="Calibri" w:hAnsi="Times New Roman"/>
          <w:b/>
          <w:sz w:val="24"/>
        </w:rPr>
        <w:t xml:space="preserve"> </w:t>
      </w:r>
      <w:r w:rsidRPr="00047C65">
        <w:rPr>
          <w:rFonts w:ascii="Times New Roman" w:eastAsia="Calibri" w:hAnsi="Times New Roman"/>
          <w:b/>
          <w:sz w:val="24"/>
        </w:rPr>
        <w:t>Instrument</w:t>
      </w:r>
    </w:p>
    <w:p w14:paraId="7E27E92D" w14:textId="7C89B51F" w:rsidR="00006A2B" w:rsidRPr="00047C65" w:rsidRDefault="00006A2B" w:rsidP="000166D7">
      <w:pPr>
        <w:pStyle w:val="ListParagraph"/>
        <w:numPr>
          <w:ilvl w:val="0"/>
          <w:numId w:val="5"/>
        </w:numPr>
        <w:spacing w:after="160" w:line="259" w:lineRule="auto"/>
        <w:ind w:left="0" w:firstLine="0"/>
        <w:rPr>
          <w:rFonts w:ascii="Times New Roman" w:eastAsia="Calibri" w:hAnsi="Times New Roman"/>
          <w:sz w:val="24"/>
        </w:rPr>
      </w:pPr>
      <w:r w:rsidRPr="00047C65">
        <w:rPr>
          <w:rFonts w:ascii="Times New Roman" w:eastAsia="Calibri" w:hAnsi="Times New Roman"/>
          <w:sz w:val="24"/>
        </w:rPr>
        <w:t xml:space="preserve">The Instrument inserts Chapter 78 of the </w:t>
      </w:r>
      <w:r w:rsidR="006D4D39">
        <w:rPr>
          <w:rFonts w:ascii="Times New Roman" w:eastAsia="Calibri" w:hAnsi="Times New Roman"/>
          <w:i/>
          <w:sz w:val="24"/>
        </w:rPr>
        <w:t xml:space="preserve">Anti-Money Laundering and Counter-Terrorism Financing Rules Instrument 2007 (No. 1) </w:t>
      </w:r>
      <w:r w:rsidR="006D4D39">
        <w:rPr>
          <w:rFonts w:ascii="Times New Roman" w:eastAsia="Calibri" w:hAnsi="Times New Roman"/>
          <w:sz w:val="24"/>
        </w:rPr>
        <w:t>(AML/</w:t>
      </w:r>
      <w:proofErr w:type="spellStart"/>
      <w:r w:rsidR="006D4D39">
        <w:rPr>
          <w:rFonts w:ascii="Times New Roman" w:eastAsia="Calibri" w:hAnsi="Times New Roman"/>
          <w:sz w:val="24"/>
        </w:rPr>
        <w:t>CTF</w:t>
      </w:r>
      <w:proofErr w:type="spellEnd"/>
      <w:r w:rsidR="006D4D39">
        <w:rPr>
          <w:rFonts w:ascii="Times New Roman" w:eastAsia="Calibri" w:hAnsi="Times New Roman"/>
          <w:sz w:val="24"/>
        </w:rPr>
        <w:t xml:space="preserve"> Rules)</w:t>
      </w:r>
      <w:r w:rsidRPr="00047C65">
        <w:rPr>
          <w:rFonts w:ascii="Times New Roman" w:eastAsia="Calibri" w:hAnsi="Times New Roman"/>
          <w:sz w:val="24"/>
        </w:rPr>
        <w:t>. This Chapter applies to one reporting entity, TransferWise Australia Pty Ltd</w:t>
      </w:r>
      <w:r w:rsidR="00333B10">
        <w:rPr>
          <w:rFonts w:ascii="Times New Roman" w:eastAsia="Calibri" w:hAnsi="Times New Roman"/>
          <w:sz w:val="24"/>
        </w:rPr>
        <w:t xml:space="preserve"> </w:t>
      </w:r>
      <w:r w:rsidR="00333B10" w:rsidRPr="00333B10">
        <w:rPr>
          <w:rFonts w:ascii="Times New Roman" w:eastAsia="Calibri" w:hAnsi="Times New Roman"/>
          <w:sz w:val="24"/>
        </w:rPr>
        <w:t>ABN 38 616 463 855</w:t>
      </w:r>
      <w:r w:rsidR="00333B10" w:rsidRPr="00047C65">
        <w:t xml:space="preserve"> </w:t>
      </w:r>
      <w:r w:rsidRPr="00047C65">
        <w:rPr>
          <w:rFonts w:ascii="Times New Roman" w:eastAsia="Calibri" w:hAnsi="Times New Roman"/>
          <w:sz w:val="24"/>
        </w:rPr>
        <w:t>(TransferWise Australia), and has been made to ensure that TransferWise Australia continues to report international funds transfer instructions (</w:t>
      </w:r>
      <w:proofErr w:type="spellStart"/>
      <w:r w:rsidRPr="00047C65">
        <w:rPr>
          <w:rFonts w:ascii="Times New Roman" w:eastAsia="Calibri" w:hAnsi="Times New Roman"/>
          <w:sz w:val="24"/>
        </w:rPr>
        <w:t>IFTIs</w:t>
      </w:r>
      <w:proofErr w:type="spellEnd"/>
      <w:r w:rsidRPr="00047C65">
        <w:rPr>
          <w:rFonts w:ascii="Times New Roman" w:eastAsia="Calibri" w:hAnsi="Times New Roman"/>
          <w:sz w:val="24"/>
        </w:rPr>
        <w:t>) after it becomes an authorised-deposit taking institution (</w:t>
      </w:r>
      <w:proofErr w:type="spellStart"/>
      <w:r w:rsidRPr="00047C65">
        <w:rPr>
          <w:rFonts w:ascii="Times New Roman" w:eastAsia="Calibri" w:hAnsi="Times New Roman"/>
          <w:sz w:val="24"/>
        </w:rPr>
        <w:t>ADI</w:t>
      </w:r>
      <w:proofErr w:type="spellEnd"/>
      <w:r w:rsidRPr="00047C65">
        <w:rPr>
          <w:rFonts w:ascii="Times New Roman" w:eastAsia="Calibri" w:hAnsi="Times New Roman"/>
          <w:sz w:val="24"/>
        </w:rPr>
        <w:t xml:space="preserve">). </w:t>
      </w:r>
      <w:r w:rsidR="00CB4F9F">
        <w:rPr>
          <w:rFonts w:ascii="Times New Roman" w:eastAsia="Calibri" w:hAnsi="Times New Roman"/>
          <w:sz w:val="24"/>
        </w:rPr>
        <w:t xml:space="preserve">For the purposes of </w:t>
      </w:r>
      <w:r w:rsidR="00205016">
        <w:rPr>
          <w:rFonts w:ascii="Times New Roman" w:eastAsia="Calibri" w:hAnsi="Times New Roman"/>
          <w:sz w:val="24"/>
        </w:rPr>
        <w:t xml:space="preserve">the </w:t>
      </w:r>
      <w:proofErr w:type="spellStart"/>
      <w:r w:rsidR="00205016">
        <w:rPr>
          <w:rFonts w:ascii="Times New Roman" w:eastAsia="Calibri" w:hAnsi="Times New Roman"/>
          <w:sz w:val="24"/>
        </w:rPr>
        <w:t>IFTI</w:t>
      </w:r>
      <w:proofErr w:type="spellEnd"/>
      <w:r w:rsidR="00205016">
        <w:rPr>
          <w:rFonts w:ascii="Times New Roman" w:eastAsia="Calibri" w:hAnsi="Times New Roman"/>
          <w:sz w:val="24"/>
        </w:rPr>
        <w:t xml:space="preserve"> reporting obligation</w:t>
      </w:r>
      <w:r w:rsidR="00CB4F9F">
        <w:rPr>
          <w:rFonts w:ascii="Times New Roman" w:eastAsia="Calibri" w:hAnsi="Times New Roman"/>
          <w:sz w:val="24"/>
        </w:rPr>
        <w:t xml:space="preserve">, an </w:t>
      </w:r>
      <w:proofErr w:type="spellStart"/>
      <w:r w:rsidR="00CB4F9F">
        <w:rPr>
          <w:rFonts w:ascii="Times New Roman" w:eastAsia="Calibri" w:hAnsi="Times New Roman"/>
          <w:sz w:val="24"/>
        </w:rPr>
        <w:t>ADI</w:t>
      </w:r>
      <w:proofErr w:type="spellEnd"/>
      <w:r w:rsidR="00CB4F9F">
        <w:rPr>
          <w:rFonts w:ascii="Times New Roman" w:eastAsia="Calibri" w:hAnsi="Times New Roman"/>
          <w:sz w:val="24"/>
        </w:rPr>
        <w:t xml:space="preserve"> is treated as an ordering and beneficiary institution.</w:t>
      </w:r>
    </w:p>
    <w:p w14:paraId="639EAE6C" w14:textId="422AC72D" w:rsidR="009B309E" w:rsidRPr="00047C65" w:rsidRDefault="009B309E" w:rsidP="00006A2B">
      <w:pPr>
        <w:spacing w:after="160" w:line="360" w:lineRule="auto"/>
        <w:rPr>
          <w:rFonts w:ascii="Times New Roman" w:eastAsia="Calibri" w:hAnsi="Times New Roman"/>
          <w:b/>
          <w:sz w:val="24"/>
        </w:rPr>
      </w:pPr>
      <w:r w:rsidRPr="00047C65">
        <w:rPr>
          <w:rFonts w:ascii="Times New Roman" w:eastAsia="Calibri" w:hAnsi="Times New Roman"/>
          <w:b/>
          <w:sz w:val="24"/>
        </w:rPr>
        <w:t>Human rights implications</w:t>
      </w:r>
    </w:p>
    <w:p w14:paraId="19ADEFE0" w14:textId="77777777" w:rsidR="00C34C45" w:rsidRPr="00047C65" w:rsidRDefault="00C34C45" w:rsidP="000166D7">
      <w:pPr>
        <w:pStyle w:val="ListParagraph"/>
        <w:numPr>
          <w:ilvl w:val="0"/>
          <w:numId w:val="5"/>
        </w:numPr>
        <w:spacing w:after="160" w:line="259" w:lineRule="auto"/>
        <w:ind w:left="0" w:firstLine="0"/>
        <w:rPr>
          <w:rFonts w:ascii="Times New Roman" w:eastAsia="Calibri" w:hAnsi="Times New Roman"/>
          <w:sz w:val="24"/>
        </w:rPr>
      </w:pPr>
      <w:r w:rsidRPr="00047C65">
        <w:rPr>
          <w:rFonts w:ascii="Times New Roman" w:eastAsia="Calibri" w:hAnsi="Times New Roman"/>
          <w:sz w:val="24"/>
        </w:rPr>
        <w:t xml:space="preserve">The </w:t>
      </w:r>
      <w:r w:rsidRPr="006D4D39">
        <w:rPr>
          <w:rFonts w:ascii="Times New Roman" w:eastAsia="Calibri" w:hAnsi="Times New Roman"/>
          <w:i/>
          <w:sz w:val="24"/>
        </w:rPr>
        <w:t>Human Rights (Parliamentary Scrutiny) Act 2011</w:t>
      </w:r>
      <w:r w:rsidRPr="00047C65">
        <w:rPr>
          <w:rFonts w:ascii="Times New Roman" w:eastAsia="Calibri" w:hAnsi="Times New Roman"/>
          <w:sz w:val="24"/>
        </w:rPr>
        <w:t xml:space="preserve"> requires that Statements of Compatibility must be made by the rule-maker with regard to disallowable legislative instruments, and must contain an assessment of whether the legislative instrument is compatible with the rights and freedoms recognised in the seven core international human rights treaties that Australia has ratified.</w:t>
      </w:r>
    </w:p>
    <w:p w14:paraId="5E8524C4" w14:textId="21968FBA" w:rsidR="00785889" w:rsidRPr="00E26F98" w:rsidRDefault="00C442EF" w:rsidP="00E26F98">
      <w:pPr>
        <w:pStyle w:val="ListParagraph"/>
        <w:numPr>
          <w:ilvl w:val="0"/>
          <w:numId w:val="5"/>
        </w:numPr>
        <w:spacing w:after="160" w:line="259" w:lineRule="auto"/>
        <w:ind w:left="0" w:firstLine="0"/>
        <w:rPr>
          <w:rFonts w:ascii="Times New Roman" w:eastAsia="Calibri" w:hAnsi="Times New Roman"/>
          <w:sz w:val="24"/>
        </w:rPr>
      </w:pPr>
      <w:r w:rsidRPr="00047C65">
        <w:rPr>
          <w:rFonts w:ascii="Times New Roman" w:eastAsia="Calibri" w:hAnsi="Times New Roman"/>
          <w:sz w:val="24"/>
        </w:rPr>
        <w:t xml:space="preserve">The Instrument engages the right to privacy in Article 17 of the </w:t>
      </w:r>
      <w:r w:rsidRPr="00E26F98">
        <w:rPr>
          <w:rFonts w:ascii="Times New Roman" w:eastAsia="Calibri" w:hAnsi="Times New Roman"/>
          <w:i/>
          <w:sz w:val="24"/>
        </w:rPr>
        <w:t>International Covenant on Civil and Political Right</w:t>
      </w:r>
      <w:r w:rsidRPr="00047C65">
        <w:rPr>
          <w:rFonts w:ascii="Times New Roman" w:eastAsia="Calibri" w:hAnsi="Times New Roman"/>
          <w:sz w:val="24"/>
        </w:rPr>
        <w:t>s (</w:t>
      </w:r>
      <w:proofErr w:type="spellStart"/>
      <w:r w:rsidRPr="00047C65">
        <w:rPr>
          <w:rFonts w:ascii="Times New Roman" w:eastAsia="Calibri" w:hAnsi="Times New Roman"/>
          <w:sz w:val="24"/>
        </w:rPr>
        <w:t>ICCPR</w:t>
      </w:r>
      <w:proofErr w:type="spellEnd"/>
      <w:r w:rsidRPr="00047C65">
        <w:rPr>
          <w:rFonts w:ascii="Times New Roman" w:eastAsia="Calibri" w:hAnsi="Times New Roman"/>
          <w:sz w:val="24"/>
        </w:rPr>
        <w:t>)</w:t>
      </w:r>
      <w:r w:rsidR="00442196">
        <w:rPr>
          <w:rFonts w:ascii="Times New Roman" w:eastAsia="Calibri" w:hAnsi="Times New Roman"/>
          <w:sz w:val="24"/>
        </w:rPr>
        <w:t>.</w:t>
      </w:r>
      <w:r w:rsidR="008D1C76" w:rsidRPr="00047C65">
        <w:rPr>
          <w:rFonts w:ascii="Times New Roman" w:eastAsia="Calibri" w:hAnsi="Times New Roman"/>
          <w:sz w:val="24"/>
        </w:rPr>
        <w:t xml:space="preserve"> </w:t>
      </w:r>
      <w:r w:rsidR="00442196" w:rsidRPr="00E26F98">
        <w:rPr>
          <w:rFonts w:ascii="Times New Roman" w:eastAsia="Calibri" w:hAnsi="Times New Roman"/>
          <w:sz w:val="24"/>
        </w:rPr>
        <w:t xml:space="preserve">Article 17 of the </w:t>
      </w:r>
      <w:proofErr w:type="spellStart"/>
      <w:r w:rsidR="00442196" w:rsidRPr="00E26F98">
        <w:rPr>
          <w:rFonts w:ascii="Times New Roman" w:eastAsia="Calibri" w:hAnsi="Times New Roman"/>
          <w:sz w:val="24"/>
        </w:rPr>
        <w:t>ICCPR</w:t>
      </w:r>
      <w:proofErr w:type="spellEnd"/>
      <w:r w:rsidR="00442196" w:rsidRPr="00E26F98">
        <w:rPr>
          <w:rFonts w:ascii="Times New Roman" w:eastAsia="Calibri" w:hAnsi="Times New Roman"/>
          <w:sz w:val="24"/>
        </w:rPr>
        <w:t xml:space="preserve"> provides that no one shall be subjected to arbitrary or unlawful interference with their privacy, family, home or correspondence. </w:t>
      </w:r>
      <w:r w:rsidR="00785889" w:rsidRPr="00E26F98">
        <w:rPr>
          <w:rFonts w:ascii="Times New Roman" w:eastAsia="Calibri" w:hAnsi="Times New Roman"/>
          <w:sz w:val="24"/>
        </w:rPr>
        <w:t xml:space="preserve">The right to privacy also requires respect for private and confidential information, </w:t>
      </w:r>
      <w:r w:rsidR="009C1A2A">
        <w:rPr>
          <w:rFonts w:ascii="Times New Roman" w:eastAsia="Calibri" w:hAnsi="Times New Roman"/>
          <w:sz w:val="24"/>
        </w:rPr>
        <w:t>including</w:t>
      </w:r>
      <w:r w:rsidR="00785889" w:rsidRPr="00E26F98">
        <w:rPr>
          <w:rFonts w:ascii="Times New Roman" w:eastAsia="Calibri" w:hAnsi="Times New Roman"/>
          <w:sz w:val="24"/>
        </w:rPr>
        <w:t xml:space="preserve"> the storing, use and sharing of such information. </w:t>
      </w:r>
    </w:p>
    <w:p w14:paraId="0BAB4B79" w14:textId="0D40880E" w:rsidR="00785889" w:rsidRPr="00785889" w:rsidRDefault="00785889" w:rsidP="00785889">
      <w:pPr>
        <w:pStyle w:val="ListParagraph"/>
        <w:numPr>
          <w:ilvl w:val="0"/>
          <w:numId w:val="5"/>
        </w:numPr>
        <w:spacing w:after="160" w:line="259" w:lineRule="auto"/>
        <w:ind w:left="0" w:firstLine="0"/>
        <w:rPr>
          <w:rFonts w:ascii="Times New Roman" w:eastAsia="Calibri" w:hAnsi="Times New Roman"/>
          <w:sz w:val="24"/>
        </w:rPr>
      </w:pPr>
      <w:r w:rsidRPr="00785889">
        <w:rPr>
          <w:rFonts w:ascii="Times New Roman" w:eastAsia="Calibri" w:hAnsi="Times New Roman"/>
          <w:sz w:val="24"/>
        </w:rPr>
        <w:t xml:space="preserve">The use of the term ‘arbitrary’ means that any interference with privacy must be in accordance with the provisions, aims and objectives of the </w:t>
      </w:r>
      <w:proofErr w:type="spellStart"/>
      <w:r w:rsidRPr="00785889">
        <w:rPr>
          <w:rFonts w:ascii="Times New Roman" w:eastAsia="Calibri" w:hAnsi="Times New Roman"/>
          <w:sz w:val="24"/>
        </w:rPr>
        <w:t>ICCPR</w:t>
      </w:r>
      <w:proofErr w:type="spellEnd"/>
      <w:r w:rsidRPr="00785889">
        <w:rPr>
          <w:rFonts w:ascii="Times New Roman" w:eastAsia="Calibri" w:hAnsi="Times New Roman"/>
          <w:sz w:val="24"/>
        </w:rPr>
        <w:t xml:space="preserve"> and should be reasonable in the given circumstances. The United Nations Human Rights Committee has interpreted ‘reasonableness’ to imply that any limitation must be proportionate and necessary in the circumstances. The right to privacy can be limited by necessity in a democratic society in the interests of national security or public order. </w:t>
      </w:r>
    </w:p>
    <w:p w14:paraId="0327D922" w14:textId="6497D509" w:rsidR="00442196" w:rsidRPr="00CB4F9F" w:rsidRDefault="00785889" w:rsidP="00CB4F9F">
      <w:pPr>
        <w:pStyle w:val="ListParagraph"/>
        <w:numPr>
          <w:ilvl w:val="0"/>
          <w:numId w:val="5"/>
        </w:numPr>
        <w:spacing w:after="160" w:line="259" w:lineRule="auto"/>
        <w:ind w:left="0" w:firstLine="0"/>
        <w:rPr>
          <w:rFonts w:ascii="Times New Roman" w:eastAsia="Calibri" w:hAnsi="Times New Roman"/>
          <w:sz w:val="24"/>
        </w:rPr>
      </w:pPr>
      <w:r w:rsidRPr="00E26F98">
        <w:rPr>
          <w:rFonts w:ascii="Times New Roman" w:eastAsia="Calibri" w:hAnsi="Times New Roman"/>
          <w:sz w:val="24"/>
        </w:rPr>
        <w:t>The Instrument requires TransferWise Australia</w:t>
      </w:r>
      <w:r w:rsidR="00CB4F9F">
        <w:rPr>
          <w:rFonts w:ascii="Times New Roman" w:eastAsia="Calibri" w:hAnsi="Times New Roman"/>
          <w:sz w:val="24"/>
        </w:rPr>
        <w:t>, as an ordering and beneficiary institution,</w:t>
      </w:r>
      <w:r w:rsidR="00987F37">
        <w:rPr>
          <w:rFonts w:ascii="Times New Roman" w:eastAsia="Calibri" w:hAnsi="Times New Roman"/>
          <w:sz w:val="24"/>
        </w:rPr>
        <w:t xml:space="preserve"> </w:t>
      </w:r>
      <w:r w:rsidRPr="00E26F98">
        <w:rPr>
          <w:rFonts w:ascii="Times New Roman" w:eastAsia="Calibri" w:hAnsi="Times New Roman"/>
          <w:sz w:val="24"/>
        </w:rPr>
        <w:t xml:space="preserve">to </w:t>
      </w:r>
      <w:r w:rsidR="004638C4">
        <w:rPr>
          <w:rFonts w:ascii="Times New Roman" w:eastAsia="Calibri" w:hAnsi="Times New Roman"/>
          <w:sz w:val="24"/>
        </w:rPr>
        <w:t xml:space="preserve">continue </w:t>
      </w:r>
      <w:r w:rsidRPr="00E26F98">
        <w:rPr>
          <w:rFonts w:ascii="Times New Roman" w:eastAsia="Calibri" w:hAnsi="Times New Roman"/>
          <w:sz w:val="24"/>
        </w:rPr>
        <w:t>report</w:t>
      </w:r>
      <w:r w:rsidR="004638C4">
        <w:rPr>
          <w:rFonts w:ascii="Times New Roman" w:eastAsia="Calibri" w:hAnsi="Times New Roman"/>
          <w:sz w:val="24"/>
        </w:rPr>
        <w:t>ing</w:t>
      </w:r>
      <w:r w:rsidRPr="00E26F98">
        <w:rPr>
          <w:rFonts w:ascii="Times New Roman" w:eastAsia="Calibri" w:hAnsi="Times New Roman"/>
          <w:sz w:val="24"/>
        </w:rPr>
        <w:t xml:space="preserve"> </w:t>
      </w:r>
      <w:proofErr w:type="spellStart"/>
      <w:r w:rsidR="00CB4F9F">
        <w:rPr>
          <w:rFonts w:ascii="Times New Roman" w:eastAsia="Calibri" w:hAnsi="Times New Roman"/>
          <w:sz w:val="24"/>
        </w:rPr>
        <w:t>IFTIs</w:t>
      </w:r>
      <w:proofErr w:type="spellEnd"/>
      <w:r w:rsidRPr="00E26F98">
        <w:rPr>
          <w:rFonts w:ascii="Times New Roman" w:eastAsia="Calibri" w:hAnsi="Times New Roman"/>
          <w:sz w:val="24"/>
        </w:rPr>
        <w:t xml:space="preserve"> to AUSTRAC</w:t>
      </w:r>
      <w:r w:rsidR="00987F37">
        <w:rPr>
          <w:rFonts w:ascii="Times New Roman" w:eastAsia="Calibri" w:hAnsi="Times New Roman"/>
          <w:sz w:val="24"/>
        </w:rPr>
        <w:t xml:space="preserve"> </w:t>
      </w:r>
      <w:r w:rsidR="00CB4F9F">
        <w:rPr>
          <w:rFonts w:ascii="Times New Roman" w:eastAsia="Calibri" w:hAnsi="Times New Roman"/>
          <w:sz w:val="24"/>
        </w:rPr>
        <w:t xml:space="preserve">when it deals with </w:t>
      </w:r>
      <w:r w:rsidR="00CB4F9F">
        <w:rPr>
          <w:rFonts w:ascii="Times New Roman" w:eastAsia="Calibri" w:hAnsi="Times New Roman"/>
          <w:sz w:val="24"/>
        </w:rPr>
        <w:lastRenderedPageBreak/>
        <w:t xml:space="preserve">other companies in the TransferWise Group that are not ordering and beneficiary institutions. </w:t>
      </w:r>
      <w:proofErr w:type="spellStart"/>
      <w:r w:rsidRPr="00CB4F9F">
        <w:rPr>
          <w:rFonts w:ascii="Times New Roman" w:eastAsia="Calibri" w:hAnsi="Times New Roman"/>
          <w:sz w:val="24"/>
        </w:rPr>
        <w:t>IFTIs</w:t>
      </w:r>
      <w:proofErr w:type="spellEnd"/>
      <w:r w:rsidRPr="00CB4F9F">
        <w:rPr>
          <w:rFonts w:ascii="Times New Roman" w:eastAsia="Calibri" w:hAnsi="Times New Roman"/>
          <w:sz w:val="24"/>
        </w:rPr>
        <w:t xml:space="preserve"> contain the information specified in chapters 16 or 17 of the AML/</w:t>
      </w:r>
      <w:proofErr w:type="spellStart"/>
      <w:r w:rsidRPr="00CB4F9F">
        <w:rPr>
          <w:rFonts w:ascii="Times New Roman" w:eastAsia="Calibri" w:hAnsi="Times New Roman"/>
          <w:sz w:val="24"/>
        </w:rPr>
        <w:t>CTF</w:t>
      </w:r>
      <w:proofErr w:type="spellEnd"/>
      <w:r w:rsidRPr="00CB4F9F">
        <w:rPr>
          <w:rFonts w:ascii="Times New Roman" w:eastAsia="Calibri" w:hAnsi="Times New Roman"/>
          <w:sz w:val="24"/>
        </w:rPr>
        <w:t xml:space="preserve"> Rules, which includes personal information. </w:t>
      </w:r>
    </w:p>
    <w:p w14:paraId="52688E62" w14:textId="41EDF767" w:rsidR="00E26F98" w:rsidRPr="00AE057E" w:rsidRDefault="00E26F98" w:rsidP="00AE057E">
      <w:pPr>
        <w:pStyle w:val="ListParagraph"/>
        <w:numPr>
          <w:ilvl w:val="0"/>
          <w:numId w:val="5"/>
        </w:numPr>
        <w:spacing w:after="160" w:line="259" w:lineRule="auto"/>
        <w:ind w:left="0" w:firstLine="0"/>
        <w:rPr>
          <w:rFonts w:ascii="Times New Roman" w:eastAsia="Calibri" w:hAnsi="Times New Roman"/>
          <w:sz w:val="24"/>
        </w:rPr>
      </w:pPr>
      <w:r>
        <w:rPr>
          <w:rFonts w:ascii="Times New Roman" w:eastAsia="Calibri" w:hAnsi="Times New Roman"/>
          <w:sz w:val="24"/>
        </w:rPr>
        <w:t xml:space="preserve">To the extent that the Instrument limits </w:t>
      </w:r>
      <w:r w:rsidR="00AE057E">
        <w:rPr>
          <w:rFonts w:ascii="Times New Roman" w:eastAsia="Calibri" w:hAnsi="Times New Roman"/>
          <w:sz w:val="24"/>
        </w:rPr>
        <w:t>the right</w:t>
      </w:r>
      <w:r>
        <w:rPr>
          <w:rFonts w:ascii="Times New Roman" w:eastAsia="Calibri" w:hAnsi="Times New Roman"/>
          <w:sz w:val="24"/>
        </w:rPr>
        <w:t xml:space="preserve"> to privacy, </w:t>
      </w:r>
      <w:r w:rsidR="00561E65">
        <w:rPr>
          <w:rFonts w:ascii="Times New Roman" w:eastAsia="Calibri" w:hAnsi="Times New Roman"/>
          <w:sz w:val="24"/>
        </w:rPr>
        <w:t>those</w:t>
      </w:r>
      <w:r>
        <w:rPr>
          <w:rFonts w:ascii="Times New Roman" w:eastAsia="Calibri" w:hAnsi="Times New Roman"/>
          <w:sz w:val="24"/>
        </w:rPr>
        <w:t xml:space="preserve"> </w:t>
      </w:r>
      <w:r w:rsidR="00AE057E">
        <w:rPr>
          <w:rFonts w:ascii="Times New Roman" w:eastAsia="Calibri" w:hAnsi="Times New Roman"/>
          <w:sz w:val="24"/>
        </w:rPr>
        <w:t>limitations are</w:t>
      </w:r>
      <w:r>
        <w:rPr>
          <w:rFonts w:ascii="Times New Roman" w:eastAsia="Calibri" w:hAnsi="Times New Roman"/>
          <w:sz w:val="24"/>
        </w:rPr>
        <w:t xml:space="preserve"> necessary, reasonable and proportionate to achieving the legitimate objectives of protecting national security and public order.</w:t>
      </w:r>
      <w:r w:rsidR="00CB4F9F">
        <w:rPr>
          <w:rFonts w:ascii="Times New Roman" w:eastAsia="Calibri" w:hAnsi="Times New Roman"/>
          <w:sz w:val="24"/>
        </w:rPr>
        <w:t xml:space="preserve"> </w:t>
      </w:r>
      <w:proofErr w:type="spellStart"/>
      <w:r w:rsidR="009C1A2A">
        <w:rPr>
          <w:rFonts w:ascii="Times New Roman" w:eastAsia="Calibri" w:hAnsi="Times New Roman"/>
          <w:sz w:val="24"/>
        </w:rPr>
        <w:t>IFTIs</w:t>
      </w:r>
      <w:proofErr w:type="spellEnd"/>
      <w:r w:rsidR="009C1A2A">
        <w:rPr>
          <w:rFonts w:ascii="Times New Roman" w:eastAsia="Calibri" w:hAnsi="Times New Roman"/>
          <w:sz w:val="24"/>
        </w:rPr>
        <w:t xml:space="preserve"> provide</w:t>
      </w:r>
      <w:r w:rsidR="00CB4F9F">
        <w:rPr>
          <w:rFonts w:ascii="Times New Roman" w:eastAsia="Calibri" w:hAnsi="Times New Roman"/>
          <w:sz w:val="24"/>
        </w:rPr>
        <w:t xml:space="preserve"> an important source of information</w:t>
      </w:r>
      <w:r w:rsidR="00AE057E">
        <w:rPr>
          <w:rFonts w:ascii="Times New Roman" w:eastAsia="Calibri" w:hAnsi="Times New Roman"/>
          <w:sz w:val="24"/>
        </w:rPr>
        <w:t xml:space="preserve"> to AUSTRAC and other Commonwealth agencies on </w:t>
      </w:r>
      <w:r w:rsidR="00CB4F9F" w:rsidRPr="00AE057E">
        <w:rPr>
          <w:rFonts w:ascii="Times New Roman" w:eastAsia="Calibri" w:hAnsi="Times New Roman"/>
          <w:sz w:val="24"/>
        </w:rPr>
        <w:t xml:space="preserve">overseas transactions that may be connected with money laundering, terrorism financing or other serious crimes. </w:t>
      </w:r>
    </w:p>
    <w:p w14:paraId="410AFB75" w14:textId="7C6DD788" w:rsidR="00AE057E" w:rsidRDefault="00AE057E" w:rsidP="000166D7">
      <w:pPr>
        <w:pStyle w:val="ListParagraph"/>
        <w:numPr>
          <w:ilvl w:val="0"/>
          <w:numId w:val="5"/>
        </w:numPr>
        <w:spacing w:after="160" w:line="259" w:lineRule="auto"/>
        <w:ind w:left="0" w:firstLine="0"/>
        <w:rPr>
          <w:rFonts w:ascii="Times New Roman" w:eastAsia="Calibri" w:hAnsi="Times New Roman"/>
          <w:sz w:val="24"/>
        </w:rPr>
      </w:pPr>
      <w:r>
        <w:rPr>
          <w:rFonts w:ascii="Times New Roman" w:eastAsia="Calibri" w:hAnsi="Times New Roman"/>
          <w:sz w:val="24"/>
        </w:rPr>
        <w:t xml:space="preserve">TransferWise Australia, as a reporting entity, must comply with the </w:t>
      </w:r>
      <w:r w:rsidRPr="00AE057E">
        <w:rPr>
          <w:rFonts w:ascii="Times New Roman" w:eastAsia="Calibri" w:hAnsi="Times New Roman"/>
          <w:i/>
          <w:sz w:val="24"/>
        </w:rPr>
        <w:t>Privacy Act 1988</w:t>
      </w:r>
      <w:r w:rsidRPr="00AE057E">
        <w:rPr>
          <w:rFonts w:ascii="Times New Roman" w:eastAsia="Calibri" w:hAnsi="Times New Roman"/>
          <w:sz w:val="24"/>
        </w:rPr>
        <w:t xml:space="preserve"> when collecting and disclosing personal information for the purposes of the </w:t>
      </w:r>
      <w:r w:rsidR="009C1A2A">
        <w:rPr>
          <w:rFonts w:ascii="Times New Roman" w:eastAsia="Calibri" w:hAnsi="Times New Roman"/>
          <w:i/>
          <w:sz w:val="24"/>
        </w:rPr>
        <w:t xml:space="preserve">Anti-Money Laundering and Counter-Terrorism Financing Act 2006 </w:t>
      </w:r>
      <w:r w:rsidR="009C1A2A">
        <w:rPr>
          <w:rFonts w:ascii="Times New Roman" w:eastAsia="Calibri" w:hAnsi="Times New Roman"/>
          <w:sz w:val="24"/>
        </w:rPr>
        <w:t>(AML/</w:t>
      </w:r>
      <w:proofErr w:type="spellStart"/>
      <w:r w:rsidR="009C1A2A">
        <w:rPr>
          <w:rFonts w:ascii="Times New Roman" w:eastAsia="Calibri" w:hAnsi="Times New Roman"/>
          <w:sz w:val="24"/>
        </w:rPr>
        <w:t>CTF</w:t>
      </w:r>
      <w:proofErr w:type="spellEnd"/>
      <w:r w:rsidR="009C1A2A">
        <w:rPr>
          <w:rFonts w:ascii="Times New Roman" w:eastAsia="Calibri" w:hAnsi="Times New Roman"/>
          <w:sz w:val="24"/>
        </w:rPr>
        <w:t xml:space="preserve"> Act)</w:t>
      </w:r>
      <w:r w:rsidRPr="00AE057E">
        <w:rPr>
          <w:rFonts w:ascii="Times New Roman" w:eastAsia="Calibri" w:hAnsi="Times New Roman"/>
          <w:sz w:val="24"/>
        </w:rPr>
        <w:t xml:space="preserve">. The information contained in an </w:t>
      </w:r>
      <w:proofErr w:type="spellStart"/>
      <w:r w:rsidRPr="00AE057E">
        <w:rPr>
          <w:rFonts w:ascii="Times New Roman" w:eastAsia="Calibri" w:hAnsi="Times New Roman"/>
          <w:sz w:val="24"/>
        </w:rPr>
        <w:t>IFTI</w:t>
      </w:r>
      <w:proofErr w:type="spellEnd"/>
      <w:r w:rsidRPr="00AE057E">
        <w:rPr>
          <w:rFonts w:ascii="Times New Roman" w:eastAsia="Calibri" w:hAnsi="Times New Roman"/>
          <w:sz w:val="24"/>
        </w:rPr>
        <w:t xml:space="preserve"> report is protected under</w:t>
      </w:r>
      <w:r w:rsidR="009C1A2A">
        <w:rPr>
          <w:rFonts w:ascii="Times New Roman" w:eastAsia="Calibri" w:hAnsi="Times New Roman"/>
          <w:sz w:val="24"/>
        </w:rPr>
        <w:t xml:space="preserve"> the</w:t>
      </w:r>
      <w:r w:rsidRPr="00AE057E">
        <w:rPr>
          <w:rFonts w:ascii="Times New Roman" w:eastAsia="Calibri" w:hAnsi="Times New Roman"/>
          <w:sz w:val="24"/>
        </w:rPr>
        <w:t xml:space="preserve"> secrecy provisions in Part 11 of the AML/</w:t>
      </w:r>
      <w:proofErr w:type="spellStart"/>
      <w:r w:rsidRPr="00AE057E">
        <w:rPr>
          <w:rFonts w:ascii="Times New Roman" w:eastAsia="Calibri" w:hAnsi="Times New Roman"/>
          <w:sz w:val="24"/>
        </w:rPr>
        <w:t>CTF</w:t>
      </w:r>
      <w:proofErr w:type="spellEnd"/>
      <w:r w:rsidRPr="00AE057E">
        <w:rPr>
          <w:rFonts w:ascii="Times New Roman" w:eastAsia="Calibri" w:hAnsi="Times New Roman"/>
          <w:sz w:val="24"/>
        </w:rPr>
        <w:t xml:space="preserve"> Act.</w:t>
      </w:r>
    </w:p>
    <w:p w14:paraId="77F53FEB" w14:textId="3D27FE60" w:rsidR="009B309E" w:rsidRPr="003530DB" w:rsidRDefault="00A57341" w:rsidP="003530DB">
      <w:pPr>
        <w:spacing w:after="160" w:line="360" w:lineRule="auto"/>
        <w:rPr>
          <w:rFonts w:ascii="Times New Roman" w:eastAsia="Calibri" w:hAnsi="Times New Roman"/>
          <w:b/>
          <w:sz w:val="24"/>
        </w:rPr>
      </w:pPr>
      <w:r w:rsidRPr="003530DB">
        <w:rPr>
          <w:rFonts w:ascii="Times New Roman" w:eastAsia="Calibri" w:hAnsi="Times New Roman"/>
          <w:b/>
          <w:sz w:val="24"/>
        </w:rPr>
        <w:t>Conc</w:t>
      </w:r>
      <w:r w:rsidR="009B309E" w:rsidRPr="003530DB">
        <w:rPr>
          <w:rFonts w:ascii="Times New Roman" w:eastAsia="Calibri" w:hAnsi="Times New Roman"/>
          <w:b/>
          <w:sz w:val="24"/>
        </w:rPr>
        <w:t>lusion</w:t>
      </w:r>
    </w:p>
    <w:p w14:paraId="4BA40025" w14:textId="19545B54" w:rsidR="00BF3F0D" w:rsidRPr="003530DB" w:rsidRDefault="009B309E" w:rsidP="003530DB">
      <w:pPr>
        <w:pStyle w:val="ListParagraph"/>
        <w:numPr>
          <w:ilvl w:val="0"/>
          <w:numId w:val="5"/>
        </w:numPr>
        <w:spacing w:after="160" w:line="259" w:lineRule="auto"/>
        <w:ind w:left="0" w:firstLine="0"/>
        <w:rPr>
          <w:rFonts w:ascii="Times New Roman" w:eastAsia="Calibri" w:hAnsi="Times New Roman"/>
          <w:sz w:val="24"/>
        </w:rPr>
      </w:pPr>
      <w:r w:rsidRPr="003530DB">
        <w:rPr>
          <w:rFonts w:ascii="Times New Roman" w:eastAsia="Calibri" w:hAnsi="Times New Roman"/>
          <w:sz w:val="24"/>
        </w:rPr>
        <w:t xml:space="preserve">This </w:t>
      </w:r>
      <w:r w:rsidR="0048014C" w:rsidRPr="00047C65">
        <w:rPr>
          <w:rFonts w:ascii="Times New Roman" w:eastAsia="Calibri" w:hAnsi="Times New Roman"/>
          <w:sz w:val="24"/>
        </w:rPr>
        <w:t xml:space="preserve">Instrument </w:t>
      </w:r>
      <w:r w:rsidR="002246B0" w:rsidRPr="003530DB">
        <w:rPr>
          <w:rFonts w:ascii="Times New Roman" w:eastAsia="Calibri" w:hAnsi="Times New Roman"/>
          <w:sz w:val="24"/>
        </w:rPr>
        <w:t>is compatible with human rights</w:t>
      </w:r>
      <w:r w:rsidR="003530DB">
        <w:rPr>
          <w:rFonts w:ascii="Times New Roman" w:eastAsia="Calibri" w:hAnsi="Times New Roman"/>
          <w:sz w:val="24"/>
        </w:rPr>
        <w:t xml:space="preserve">. To the extent that the </w:t>
      </w:r>
      <w:r w:rsidR="00205016">
        <w:rPr>
          <w:rFonts w:ascii="Times New Roman" w:eastAsia="Calibri" w:hAnsi="Times New Roman"/>
          <w:sz w:val="24"/>
        </w:rPr>
        <w:t>Instrument</w:t>
      </w:r>
      <w:r w:rsidR="00BF3F0D" w:rsidRPr="003530DB">
        <w:rPr>
          <w:rFonts w:ascii="Times New Roman" w:eastAsia="Calibri" w:hAnsi="Times New Roman"/>
          <w:sz w:val="24"/>
        </w:rPr>
        <w:t xml:space="preserve"> may limit </w:t>
      </w:r>
      <w:r w:rsidR="003530DB" w:rsidRPr="003530DB">
        <w:rPr>
          <w:rFonts w:ascii="Times New Roman" w:eastAsia="Calibri" w:hAnsi="Times New Roman"/>
          <w:sz w:val="24"/>
        </w:rPr>
        <w:t>human</w:t>
      </w:r>
      <w:r w:rsidR="00BF3F0D" w:rsidRPr="003530DB">
        <w:rPr>
          <w:rFonts w:ascii="Times New Roman" w:eastAsia="Calibri" w:hAnsi="Times New Roman"/>
          <w:sz w:val="24"/>
        </w:rPr>
        <w:t xml:space="preserve"> rights, </w:t>
      </w:r>
      <w:r w:rsidR="003530DB" w:rsidRPr="003530DB">
        <w:rPr>
          <w:rFonts w:ascii="Times New Roman" w:eastAsia="Calibri" w:hAnsi="Times New Roman"/>
          <w:sz w:val="24"/>
        </w:rPr>
        <w:t>those</w:t>
      </w:r>
      <w:r w:rsidR="00BF3F0D" w:rsidRPr="003530DB">
        <w:rPr>
          <w:rFonts w:ascii="Times New Roman" w:eastAsia="Calibri" w:hAnsi="Times New Roman"/>
          <w:sz w:val="24"/>
        </w:rPr>
        <w:t xml:space="preserve"> limitations are reasonable, necessary and proportionate</w:t>
      </w:r>
      <w:r w:rsidR="003530DB" w:rsidRPr="003530DB">
        <w:rPr>
          <w:rFonts w:ascii="Times New Roman" w:eastAsia="Calibri" w:hAnsi="Times New Roman"/>
          <w:sz w:val="24"/>
        </w:rPr>
        <w:t>.</w:t>
      </w:r>
    </w:p>
    <w:p w14:paraId="3E10DF76" w14:textId="77777777" w:rsidR="00BF3F0D" w:rsidRPr="00047C65" w:rsidRDefault="00BF3F0D" w:rsidP="00C049D1">
      <w:pPr>
        <w:spacing w:before="240" w:line="259" w:lineRule="auto"/>
        <w:rPr>
          <w:rFonts w:ascii="Times New Roman" w:hAnsi="Times New Roman"/>
          <w:sz w:val="24"/>
        </w:rPr>
      </w:pPr>
    </w:p>
    <w:p w14:paraId="6446E6B2" w14:textId="349F82CF" w:rsidR="009B309E" w:rsidRDefault="009B309E" w:rsidP="009B309E">
      <w:pPr>
        <w:spacing w:before="240"/>
        <w:rPr>
          <w:rFonts w:ascii="Times New Roman" w:hAnsi="Times New Roman"/>
          <w:sz w:val="24"/>
        </w:rPr>
      </w:pPr>
    </w:p>
    <w:p w14:paraId="666A1058" w14:textId="3A9BD0B5" w:rsidR="00AE057E" w:rsidRDefault="00AE057E" w:rsidP="009B309E">
      <w:pPr>
        <w:spacing w:before="240"/>
        <w:rPr>
          <w:rFonts w:ascii="Times New Roman" w:hAnsi="Times New Roman"/>
          <w:sz w:val="24"/>
        </w:rPr>
      </w:pPr>
    </w:p>
    <w:p w14:paraId="25D33808" w14:textId="0C804182" w:rsidR="009B309E" w:rsidRPr="00047C65" w:rsidRDefault="009B309E" w:rsidP="009B309E">
      <w:pPr>
        <w:rPr>
          <w:rFonts w:ascii="Times New Roman" w:hAnsi="Times New Roman"/>
          <w:sz w:val="24"/>
        </w:rPr>
      </w:pPr>
    </w:p>
    <w:sectPr w:rsidR="009B309E" w:rsidRPr="00047C65" w:rsidSect="00784484">
      <w:type w:val="continuous"/>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50D39" w14:textId="77777777" w:rsidR="0057610E" w:rsidRDefault="0057610E">
      <w:r>
        <w:separator/>
      </w:r>
    </w:p>
  </w:endnote>
  <w:endnote w:type="continuationSeparator" w:id="0">
    <w:p w14:paraId="316B0086" w14:textId="77777777" w:rsidR="0057610E" w:rsidRDefault="0057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BEE1" w14:textId="77777777" w:rsidR="00860B5B" w:rsidRDefault="00860B5B"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4EB9ADF" w14:textId="77777777" w:rsidR="00860B5B" w:rsidRDefault="00860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0745" w14:textId="2F35D3C0" w:rsidR="00860B5B" w:rsidRPr="007A53C1" w:rsidRDefault="00860B5B" w:rsidP="003F250A">
    <w:pPr>
      <w:pStyle w:val="Footer"/>
      <w:framePr w:wrap="around" w:vAnchor="text" w:hAnchor="margin" w:xAlign="center" w:y="1"/>
      <w:rPr>
        <w:rStyle w:val="PageNumber"/>
        <w:rFonts w:ascii="Times New Roman" w:hAnsi="Times New Roman"/>
      </w:rPr>
    </w:pPr>
    <w:r w:rsidRPr="007A53C1">
      <w:rPr>
        <w:rStyle w:val="PageNumber"/>
        <w:rFonts w:ascii="Times New Roman" w:hAnsi="Times New Roman"/>
      </w:rPr>
      <w:fldChar w:fldCharType="begin"/>
    </w:r>
    <w:r w:rsidRPr="007A53C1">
      <w:rPr>
        <w:rStyle w:val="PageNumber"/>
        <w:rFonts w:ascii="Times New Roman" w:hAnsi="Times New Roman"/>
      </w:rPr>
      <w:instrText xml:space="preserve">PAGE  </w:instrText>
    </w:r>
    <w:r w:rsidRPr="007A53C1">
      <w:rPr>
        <w:rStyle w:val="PageNumber"/>
        <w:rFonts w:ascii="Times New Roman" w:hAnsi="Times New Roman"/>
      </w:rPr>
      <w:fldChar w:fldCharType="separate"/>
    </w:r>
    <w:r w:rsidR="008F7727">
      <w:rPr>
        <w:rStyle w:val="PageNumber"/>
        <w:rFonts w:ascii="Times New Roman" w:hAnsi="Times New Roman"/>
        <w:noProof/>
      </w:rPr>
      <w:t>5</w:t>
    </w:r>
    <w:r w:rsidRPr="007A53C1">
      <w:rPr>
        <w:rStyle w:val="PageNumber"/>
        <w:rFonts w:ascii="Times New Roman" w:hAnsi="Times New Roman"/>
      </w:rPr>
      <w:fldChar w:fldCharType="end"/>
    </w:r>
  </w:p>
  <w:p w14:paraId="1D4C9A6A" w14:textId="77777777" w:rsidR="00860B5B" w:rsidRPr="007A53C1" w:rsidRDefault="00860B5B" w:rsidP="003B7524">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18382" w14:textId="77777777" w:rsidR="0057610E" w:rsidRDefault="0057610E">
      <w:r>
        <w:separator/>
      </w:r>
    </w:p>
  </w:footnote>
  <w:footnote w:type="continuationSeparator" w:id="0">
    <w:p w14:paraId="1F916466" w14:textId="77777777" w:rsidR="0057610E" w:rsidRDefault="00576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46879"/>
    <w:multiLevelType w:val="hybridMultilevel"/>
    <w:tmpl w:val="62EAFECC"/>
    <w:lvl w:ilvl="0" w:tplc="985EC548">
      <w:start w:val="1"/>
      <w:numFmt w:val="decimal"/>
      <w:pStyle w:val="Style1"/>
      <w:lvlText w:val="%1."/>
      <w:lvlJc w:val="left"/>
      <w:pPr>
        <w:ind w:left="720" w:hanging="360"/>
      </w:pPr>
      <w:rPr>
        <w:rFonts w:ascii="Times New Roman" w:hAnsi="Times New Roman" w:cs="Times New Roman" w:hint="default"/>
        <w:b w:val="0"/>
        <w:i w:val="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598A4560"/>
    <w:multiLevelType w:val="hybridMultilevel"/>
    <w:tmpl w:val="793A2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76D0EC8"/>
    <w:multiLevelType w:val="hybridMultilevel"/>
    <w:tmpl w:val="793A2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C982EC1"/>
    <w:multiLevelType w:val="hybridMultilevel"/>
    <w:tmpl w:val="B38A65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24"/>
    <w:rsid w:val="0000129C"/>
    <w:rsid w:val="00002D59"/>
    <w:rsid w:val="00004237"/>
    <w:rsid w:val="00005185"/>
    <w:rsid w:val="00006A2B"/>
    <w:rsid w:val="0001158F"/>
    <w:rsid w:val="00011BFD"/>
    <w:rsid w:val="00013686"/>
    <w:rsid w:val="000166D7"/>
    <w:rsid w:val="00017141"/>
    <w:rsid w:val="0001730D"/>
    <w:rsid w:val="00021CB1"/>
    <w:rsid w:val="000222A4"/>
    <w:rsid w:val="00024783"/>
    <w:rsid w:val="00024980"/>
    <w:rsid w:val="00024C66"/>
    <w:rsid w:val="00027747"/>
    <w:rsid w:val="0003033B"/>
    <w:rsid w:val="00031690"/>
    <w:rsid w:val="00033B8D"/>
    <w:rsid w:val="00035795"/>
    <w:rsid w:val="000358DA"/>
    <w:rsid w:val="00035AF4"/>
    <w:rsid w:val="00036B71"/>
    <w:rsid w:val="00037327"/>
    <w:rsid w:val="00042863"/>
    <w:rsid w:val="000430D4"/>
    <w:rsid w:val="00047C65"/>
    <w:rsid w:val="00050B40"/>
    <w:rsid w:val="00050CE5"/>
    <w:rsid w:val="000511B6"/>
    <w:rsid w:val="00051713"/>
    <w:rsid w:val="00053A7A"/>
    <w:rsid w:val="000552BF"/>
    <w:rsid w:val="000572EA"/>
    <w:rsid w:val="00057C98"/>
    <w:rsid w:val="0006328D"/>
    <w:rsid w:val="00064B1E"/>
    <w:rsid w:val="000673A4"/>
    <w:rsid w:val="00072759"/>
    <w:rsid w:val="00075472"/>
    <w:rsid w:val="0008191B"/>
    <w:rsid w:val="00083A52"/>
    <w:rsid w:val="000869B9"/>
    <w:rsid w:val="000926BD"/>
    <w:rsid w:val="00092891"/>
    <w:rsid w:val="0009363E"/>
    <w:rsid w:val="000942AF"/>
    <w:rsid w:val="0009570F"/>
    <w:rsid w:val="000961DD"/>
    <w:rsid w:val="00097839"/>
    <w:rsid w:val="000A0109"/>
    <w:rsid w:val="000A1B36"/>
    <w:rsid w:val="000A25BE"/>
    <w:rsid w:val="000A448C"/>
    <w:rsid w:val="000A71FF"/>
    <w:rsid w:val="000B07C2"/>
    <w:rsid w:val="000B3A73"/>
    <w:rsid w:val="000B3D22"/>
    <w:rsid w:val="000B4EE1"/>
    <w:rsid w:val="000B7D16"/>
    <w:rsid w:val="000C26E9"/>
    <w:rsid w:val="000C4CBB"/>
    <w:rsid w:val="000C4DEC"/>
    <w:rsid w:val="000C5E2A"/>
    <w:rsid w:val="000D0E25"/>
    <w:rsid w:val="000D13F2"/>
    <w:rsid w:val="000D143A"/>
    <w:rsid w:val="000D180A"/>
    <w:rsid w:val="000D1DA2"/>
    <w:rsid w:val="000D261E"/>
    <w:rsid w:val="000D4F84"/>
    <w:rsid w:val="000D658D"/>
    <w:rsid w:val="000E22B7"/>
    <w:rsid w:val="000E4349"/>
    <w:rsid w:val="000E63EE"/>
    <w:rsid w:val="000F0AA0"/>
    <w:rsid w:val="00100A29"/>
    <w:rsid w:val="00100E9D"/>
    <w:rsid w:val="00101CDF"/>
    <w:rsid w:val="0010234E"/>
    <w:rsid w:val="00105634"/>
    <w:rsid w:val="0010649D"/>
    <w:rsid w:val="00111246"/>
    <w:rsid w:val="00112B9E"/>
    <w:rsid w:val="001138C2"/>
    <w:rsid w:val="00114B13"/>
    <w:rsid w:val="00115CA1"/>
    <w:rsid w:val="001161BA"/>
    <w:rsid w:val="001212F7"/>
    <w:rsid w:val="00121FC3"/>
    <w:rsid w:val="00122D9B"/>
    <w:rsid w:val="00132ADC"/>
    <w:rsid w:val="00133529"/>
    <w:rsid w:val="0013429C"/>
    <w:rsid w:val="00134CA6"/>
    <w:rsid w:val="00135DA2"/>
    <w:rsid w:val="00135E20"/>
    <w:rsid w:val="001369B9"/>
    <w:rsid w:val="00142343"/>
    <w:rsid w:val="00142983"/>
    <w:rsid w:val="00142D2E"/>
    <w:rsid w:val="00143BAA"/>
    <w:rsid w:val="00146670"/>
    <w:rsid w:val="00146C29"/>
    <w:rsid w:val="001475BE"/>
    <w:rsid w:val="00147610"/>
    <w:rsid w:val="00151851"/>
    <w:rsid w:val="00151CE0"/>
    <w:rsid w:val="0015491C"/>
    <w:rsid w:val="00156041"/>
    <w:rsid w:val="0015621A"/>
    <w:rsid w:val="00156C39"/>
    <w:rsid w:val="00156DAB"/>
    <w:rsid w:val="00157B80"/>
    <w:rsid w:val="00160041"/>
    <w:rsid w:val="001602B8"/>
    <w:rsid w:val="00162CC7"/>
    <w:rsid w:val="001663D5"/>
    <w:rsid w:val="0017034F"/>
    <w:rsid w:val="00183EA3"/>
    <w:rsid w:val="00190C40"/>
    <w:rsid w:val="00193377"/>
    <w:rsid w:val="001941DA"/>
    <w:rsid w:val="00194C14"/>
    <w:rsid w:val="0019595E"/>
    <w:rsid w:val="001970B1"/>
    <w:rsid w:val="00197E8A"/>
    <w:rsid w:val="001A03E1"/>
    <w:rsid w:val="001A11DA"/>
    <w:rsid w:val="001A25CB"/>
    <w:rsid w:val="001A537C"/>
    <w:rsid w:val="001A58BA"/>
    <w:rsid w:val="001A63E8"/>
    <w:rsid w:val="001B005E"/>
    <w:rsid w:val="001B0A21"/>
    <w:rsid w:val="001B3A61"/>
    <w:rsid w:val="001B679A"/>
    <w:rsid w:val="001B6FCC"/>
    <w:rsid w:val="001B7562"/>
    <w:rsid w:val="001B7DCC"/>
    <w:rsid w:val="001C001A"/>
    <w:rsid w:val="001C2371"/>
    <w:rsid w:val="001C2CF2"/>
    <w:rsid w:val="001C37C9"/>
    <w:rsid w:val="001C55AA"/>
    <w:rsid w:val="001C57DA"/>
    <w:rsid w:val="001C5B36"/>
    <w:rsid w:val="001C5B6B"/>
    <w:rsid w:val="001C60F1"/>
    <w:rsid w:val="001C6C6F"/>
    <w:rsid w:val="001C7A53"/>
    <w:rsid w:val="001D022F"/>
    <w:rsid w:val="001D3034"/>
    <w:rsid w:val="001D3559"/>
    <w:rsid w:val="001D3968"/>
    <w:rsid w:val="001D3C6E"/>
    <w:rsid w:val="001D5E25"/>
    <w:rsid w:val="001D6003"/>
    <w:rsid w:val="001D63FB"/>
    <w:rsid w:val="001E005B"/>
    <w:rsid w:val="001E23BF"/>
    <w:rsid w:val="001E2728"/>
    <w:rsid w:val="001E4D8A"/>
    <w:rsid w:val="001E52A5"/>
    <w:rsid w:val="001F108A"/>
    <w:rsid w:val="001F396D"/>
    <w:rsid w:val="001F4CE5"/>
    <w:rsid w:val="002016FA"/>
    <w:rsid w:val="0020292C"/>
    <w:rsid w:val="00205016"/>
    <w:rsid w:val="00205CB0"/>
    <w:rsid w:val="00205D35"/>
    <w:rsid w:val="00205D9F"/>
    <w:rsid w:val="00206C4A"/>
    <w:rsid w:val="0020702F"/>
    <w:rsid w:val="00207A4E"/>
    <w:rsid w:val="00207D34"/>
    <w:rsid w:val="00210C12"/>
    <w:rsid w:val="002222BA"/>
    <w:rsid w:val="002227A8"/>
    <w:rsid w:val="00224061"/>
    <w:rsid w:val="002246B0"/>
    <w:rsid w:val="00231302"/>
    <w:rsid w:val="00231366"/>
    <w:rsid w:val="00232C59"/>
    <w:rsid w:val="00234EE9"/>
    <w:rsid w:val="002358FE"/>
    <w:rsid w:val="00236988"/>
    <w:rsid w:val="00237735"/>
    <w:rsid w:val="00241858"/>
    <w:rsid w:val="00243298"/>
    <w:rsid w:val="00243B31"/>
    <w:rsid w:val="00243C97"/>
    <w:rsid w:val="00244D95"/>
    <w:rsid w:val="002452DD"/>
    <w:rsid w:val="00245F65"/>
    <w:rsid w:val="00246666"/>
    <w:rsid w:val="00247043"/>
    <w:rsid w:val="002475AC"/>
    <w:rsid w:val="002526C4"/>
    <w:rsid w:val="00252A86"/>
    <w:rsid w:val="00252D90"/>
    <w:rsid w:val="0025603C"/>
    <w:rsid w:val="002570AB"/>
    <w:rsid w:val="00261776"/>
    <w:rsid w:val="002632D9"/>
    <w:rsid w:val="00263EDA"/>
    <w:rsid w:val="002669EB"/>
    <w:rsid w:val="002700FC"/>
    <w:rsid w:val="00270F89"/>
    <w:rsid w:val="002721FA"/>
    <w:rsid w:val="00272368"/>
    <w:rsid w:val="0027417D"/>
    <w:rsid w:val="002748A5"/>
    <w:rsid w:val="00276CC0"/>
    <w:rsid w:val="00285066"/>
    <w:rsid w:val="00285882"/>
    <w:rsid w:val="00291994"/>
    <w:rsid w:val="00292115"/>
    <w:rsid w:val="002921D5"/>
    <w:rsid w:val="002948D1"/>
    <w:rsid w:val="0029686B"/>
    <w:rsid w:val="002A02FC"/>
    <w:rsid w:val="002A0A5F"/>
    <w:rsid w:val="002A2BE8"/>
    <w:rsid w:val="002A4E4A"/>
    <w:rsid w:val="002A5004"/>
    <w:rsid w:val="002A6852"/>
    <w:rsid w:val="002A6B5F"/>
    <w:rsid w:val="002B0655"/>
    <w:rsid w:val="002B0D2D"/>
    <w:rsid w:val="002B4D5C"/>
    <w:rsid w:val="002C10AE"/>
    <w:rsid w:val="002C2936"/>
    <w:rsid w:val="002C3BD6"/>
    <w:rsid w:val="002C6AC2"/>
    <w:rsid w:val="002C7537"/>
    <w:rsid w:val="002C75DD"/>
    <w:rsid w:val="002C76AE"/>
    <w:rsid w:val="002D0185"/>
    <w:rsid w:val="002D123A"/>
    <w:rsid w:val="002D18EA"/>
    <w:rsid w:val="002D6746"/>
    <w:rsid w:val="002D67A4"/>
    <w:rsid w:val="002D7A9B"/>
    <w:rsid w:val="002D7CAB"/>
    <w:rsid w:val="002E74AC"/>
    <w:rsid w:val="002F38AD"/>
    <w:rsid w:val="002F4E2A"/>
    <w:rsid w:val="002F71B2"/>
    <w:rsid w:val="003017CC"/>
    <w:rsid w:val="00301D3F"/>
    <w:rsid w:val="00303AFD"/>
    <w:rsid w:val="00304398"/>
    <w:rsid w:val="0030476E"/>
    <w:rsid w:val="00304ACF"/>
    <w:rsid w:val="00304F91"/>
    <w:rsid w:val="0030571B"/>
    <w:rsid w:val="00306189"/>
    <w:rsid w:val="00306D9E"/>
    <w:rsid w:val="0030748F"/>
    <w:rsid w:val="003112C7"/>
    <w:rsid w:val="00313FAF"/>
    <w:rsid w:val="00316294"/>
    <w:rsid w:val="003206F6"/>
    <w:rsid w:val="00322542"/>
    <w:rsid w:val="00322DBF"/>
    <w:rsid w:val="00324521"/>
    <w:rsid w:val="00325102"/>
    <w:rsid w:val="00326047"/>
    <w:rsid w:val="00326E01"/>
    <w:rsid w:val="00327A8D"/>
    <w:rsid w:val="00330393"/>
    <w:rsid w:val="00333B10"/>
    <w:rsid w:val="003340DB"/>
    <w:rsid w:val="00341E53"/>
    <w:rsid w:val="00344E15"/>
    <w:rsid w:val="00345CA1"/>
    <w:rsid w:val="0034729E"/>
    <w:rsid w:val="003474C3"/>
    <w:rsid w:val="003530DB"/>
    <w:rsid w:val="003559A1"/>
    <w:rsid w:val="00356306"/>
    <w:rsid w:val="003568F8"/>
    <w:rsid w:val="00360349"/>
    <w:rsid w:val="003609D7"/>
    <w:rsid w:val="00363F21"/>
    <w:rsid w:val="00365FD7"/>
    <w:rsid w:val="003676D9"/>
    <w:rsid w:val="00371C09"/>
    <w:rsid w:val="003747EE"/>
    <w:rsid w:val="00384116"/>
    <w:rsid w:val="003911F4"/>
    <w:rsid w:val="003912AD"/>
    <w:rsid w:val="003932F4"/>
    <w:rsid w:val="00393952"/>
    <w:rsid w:val="00393D2A"/>
    <w:rsid w:val="00394650"/>
    <w:rsid w:val="003A0C67"/>
    <w:rsid w:val="003A1795"/>
    <w:rsid w:val="003A3B0B"/>
    <w:rsid w:val="003A49E8"/>
    <w:rsid w:val="003A4D77"/>
    <w:rsid w:val="003A73B8"/>
    <w:rsid w:val="003B2DDD"/>
    <w:rsid w:val="003B4F88"/>
    <w:rsid w:val="003B7524"/>
    <w:rsid w:val="003C0500"/>
    <w:rsid w:val="003C1A25"/>
    <w:rsid w:val="003C43B6"/>
    <w:rsid w:val="003C57E7"/>
    <w:rsid w:val="003D141D"/>
    <w:rsid w:val="003D1772"/>
    <w:rsid w:val="003D672A"/>
    <w:rsid w:val="003D7390"/>
    <w:rsid w:val="003D7A85"/>
    <w:rsid w:val="003D7BC9"/>
    <w:rsid w:val="003E07F4"/>
    <w:rsid w:val="003E13D0"/>
    <w:rsid w:val="003E22BE"/>
    <w:rsid w:val="003E2DC9"/>
    <w:rsid w:val="003E6AA6"/>
    <w:rsid w:val="003F12F1"/>
    <w:rsid w:val="003F166D"/>
    <w:rsid w:val="003F16C9"/>
    <w:rsid w:val="003F250A"/>
    <w:rsid w:val="003F2F59"/>
    <w:rsid w:val="003F55FC"/>
    <w:rsid w:val="003F5ADD"/>
    <w:rsid w:val="003F623E"/>
    <w:rsid w:val="00402D9E"/>
    <w:rsid w:val="0040415D"/>
    <w:rsid w:val="00404190"/>
    <w:rsid w:val="0040525D"/>
    <w:rsid w:val="004062DD"/>
    <w:rsid w:val="004065F6"/>
    <w:rsid w:val="00407EE4"/>
    <w:rsid w:val="00412303"/>
    <w:rsid w:val="004132BB"/>
    <w:rsid w:val="00413391"/>
    <w:rsid w:val="00413620"/>
    <w:rsid w:val="0041386C"/>
    <w:rsid w:val="0041387C"/>
    <w:rsid w:val="0041480B"/>
    <w:rsid w:val="004171CA"/>
    <w:rsid w:val="00420679"/>
    <w:rsid w:val="00420F02"/>
    <w:rsid w:val="0042132D"/>
    <w:rsid w:val="004253AB"/>
    <w:rsid w:val="004255A4"/>
    <w:rsid w:val="00426515"/>
    <w:rsid w:val="00430DA3"/>
    <w:rsid w:val="00430E99"/>
    <w:rsid w:val="00431575"/>
    <w:rsid w:val="004321FD"/>
    <w:rsid w:val="00433B24"/>
    <w:rsid w:val="00433C9D"/>
    <w:rsid w:val="00435A0B"/>
    <w:rsid w:val="0043626D"/>
    <w:rsid w:val="004379C6"/>
    <w:rsid w:val="00442196"/>
    <w:rsid w:val="004444B7"/>
    <w:rsid w:val="00445B35"/>
    <w:rsid w:val="004479B7"/>
    <w:rsid w:val="00451459"/>
    <w:rsid w:val="004516ED"/>
    <w:rsid w:val="00451B36"/>
    <w:rsid w:val="004521B8"/>
    <w:rsid w:val="004544D0"/>
    <w:rsid w:val="004571E2"/>
    <w:rsid w:val="00460652"/>
    <w:rsid w:val="00460BA8"/>
    <w:rsid w:val="00460E86"/>
    <w:rsid w:val="004619BB"/>
    <w:rsid w:val="004638C4"/>
    <w:rsid w:val="00464460"/>
    <w:rsid w:val="004661D5"/>
    <w:rsid w:val="00472C35"/>
    <w:rsid w:val="00474718"/>
    <w:rsid w:val="00474DE4"/>
    <w:rsid w:val="00475F7C"/>
    <w:rsid w:val="004760F8"/>
    <w:rsid w:val="0048013E"/>
    <w:rsid w:val="0048014C"/>
    <w:rsid w:val="004811E8"/>
    <w:rsid w:val="00481A82"/>
    <w:rsid w:val="004827D9"/>
    <w:rsid w:val="00482B80"/>
    <w:rsid w:val="004849C5"/>
    <w:rsid w:val="00484BF4"/>
    <w:rsid w:val="00486E49"/>
    <w:rsid w:val="0048754E"/>
    <w:rsid w:val="004878CA"/>
    <w:rsid w:val="0049116B"/>
    <w:rsid w:val="0049443F"/>
    <w:rsid w:val="004A2AEF"/>
    <w:rsid w:val="004A3E59"/>
    <w:rsid w:val="004A47D4"/>
    <w:rsid w:val="004A49A4"/>
    <w:rsid w:val="004A4CD9"/>
    <w:rsid w:val="004B06CC"/>
    <w:rsid w:val="004B06F0"/>
    <w:rsid w:val="004B17CA"/>
    <w:rsid w:val="004B231F"/>
    <w:rsid w:val="004B264D"/>
    <w:rsid w:val="004B37C0"/>
    <w:rsid w:val="004B3BB2"/>
    <w:rsid w:val="004B3D32"/>
    <w:rsid w:val="004C1454"/>
    <w:rsid w:val="004C42D1"/>
    <w:rsid w:val="004C4968"/>
    <w:rsid w:val="004D1BEF"/>
    <w:rsid w:val="004D29B8"/>
    <w:rsid w:val="004D3937"/>
    <w:rsid w:val="004D3F13"/>
    <w:rsid w:val="004D4B9B"/>
    <w:rsid w:val="004D6131"/>
    <w:rsid w:val="004E2FA0"/>
    <w:rsid w:val="004E3315"/>
    <w:rsid w:val="004F00BC"/>
    <w:rsid w:val="004F566E"/>
    <w:rsid w:val="004F6865"/>
    <w:rsid w:val="00504315"/>
    <w:rsid w:val="00504EFC"/>
    <w:rsid w:val="005063DE"/>
    <w:rsid w:val="00506FF0"/>
    <w:rsid w:val="005073C6"/>
    <w:rsid w:val="00507EC4"/>
    <w:rsid w:val="005107A4"/>
    <w:rsid w:val="005114F2"/>
    <w:rsid w:val="005117CC"/>
    <w:rsid w:val="0051246A"/>
    <w:rsid w:val="00512DE8"/>
    <w:rsid w:val="005132E2"/>
    <w:rsid w:val="0051481D"/>
    <w:rsid w:val="00514F91"/>
    <w:rsid w:val="00515AE5"/>
    <w:rsid w:val="00515F66"/>
    <w:rsid w:val="00517752"/>
    <w:rsid w:val="00521F8E"/>
    <w:rsid w:val="0052299B"/>
    <w:rsid w:val="00523B84"/>
    <w:rsid w:val="00524990"/>
    <w:rsid w:val="00525E3E"/>
    <w:rsid w:val="00527C66"/>
    <w:rsid w:val="005300D6"/>
    <w:rsid w:val="00531FCB"/>
    <w:rsid w:val="005352F5"/>
    <w:rsid w:val="00535FD4"/>
    <w:rsid w:val="0054012A"/>
    <w:rsid w:val="00540572"/>
    <w:rsid w:val="00542129"/>
    <w:rsid w:val="00543C45"/>
    <w:rsid w:val="00543FD3"/>
    <w:rsid w:val="0054466C"/>
    <w:rsid w:val="0054647D"/>
    <w:rsid w:val="005467A0"/>
    <w:rsid w:val="005472C1"/>
    <w:rsid w:val="005474A0"/>
    <w:rsid w:val="005516F3"/>
    <w:rsid w:val="005522D5"/>
    <w:rsid w:val="00555A1B"/>
    <w:rsid w:val="0055701C"/>
    <w:rsid w:val="00560220"/>
    <w:rsid w:val="0056172E"/>
    <w:rsid w:val="00561E65"/>
    <w:rsid w:val="00565748"/>
    <w:rsid w:val="00570274"/>
    <w:rsid w:val="00570F9B"/>
    <w:rsid w:val="005723CF"/>
    <w:rsid w:val="00573FB1"/>
    <w:rsid w:val="00575F3B"/>
    <w:rsid w:val="0057610E"/>
    <w:rsid w:val="00580187"/>
    <w:rsid w:val="0058089B"/>
    <w:rsid w:val="00580BF2"/>
    <w:rsid w:val="00582944"/>
    <w:rsid w:val="00583869"/>
    <w:rsid w:val="0058606F"/>
    <w:rsid w:val="0058695A"/>
    <w:rsid w:val="00591B98"/>
    <w:rsid w:val="00592027"/>
    <w:rsid w:val="0059487B"/>
    <w:rsid w:val="00596868"/>
    <w:rsid w:val="005A36E3"/>
    <w:rsid w:val="005A3C8A"/>
    <w:rsid w:val="005A3F83"/>
    <w:rsid w:val="005A78CC"/>
    <w:rsid w:val="005B0550"/>
    <w:rsid w:val="005B43BF"/>
    <w:rsid w:val="005B548D"/>
    <w:rsid w:val="005B5AD3"/>
    <w:rsid w:val="005B5D9A"/>
    <w:rsid w:val="005B6807"/>
    <w:rsid w:val="005B69DB"/>
    <w:rsid w:val="005B7452"/>
    <w:rsid w:val="005C0442"/>
    <w:rsid w:val="005C0E87"/>
    <w:rsid w:val="005C28B5"/>
    <w:rsid w:val="005C51C8"/>
    <w:rsid w:val="005C60A5"/>
    <w:rsid w:val="005C77BF"/>
    <w:rsid w:val="005D07B2"/>
    <w:rsid w:val="005D1AAB"/>
    <w:rsid w:val="005D2F9B"/>
    <w:rsid w:val="005D4A0E"/>
    <w:rsid w:val="005D51C8"/>
    <w:rsid w:val="005D58B2"/>
    <w:rsid w:val="005D59E2"/>
    <w:rsid w:val="005D650F"/>
    <w:rsid w:val="005D67E7"/>
    <w:rsid w:val="005D7052"/>
    <w:rsid w:val="005E5849"/>
    <w:rsid w:val="005E5E7F"/>
    <w:rsid w:val="005E600A"/>
    <w:rsid w:val="005E7F24"/>
    <w:rsid w:val="005F2719"/>
    <w:rsid w:val="005F2F3D"/>
    <w:rsid w:val="005F4536"/>
    <w:rsid w:val="005F5E52"/>
    <w:rsid w:val="005F5F9C"/>
    <w:rsid w:val="005F6A22"/>
    <w:rsid w:val="0060028C"/>
    <w:rsid w:val="006032DC"/>
    <w:rsid w:val="00603BC5"/>
    <w:rsid w:val="00604416"/>
    <w:rsid w:val="00604EF2"/>
    <w:rsid w:val="00605791"/>
    <w:rsid w:val="00605CE2"/>
    <w:rsid w:val="00607A71"/>
    <w:rsid w:val="00611827"/>
    <w:rsid w:val="00613646"/>
    <w:rsid w:val="00613E6B"/>
    <w:rsid w:val="00617B8E"/>
    <w:rsid w:val="00617ECA"/>
    <w:rsid w:val="00617F43"/>
    <w:rsid w:val="00621D05"/>
    <w:rsid w:val="00624DF2"/>
    <w:rsid w:val="00625479"/>
    <w:rsid w:val="006262A1"/>
    <w:rsid w:val="00626E80"/>
    <w:rsid w:val="00627996"/>
    <w:rsid w:val="00627C0B"/>
    <w:rsid w:val="0063048E"/>
    <w:rsid w:val="0063124C"/>
    <w:rsid w:val="00631254"/>
    <w:rsid w:val="00631371"/>
    <w:rsid w:val="00633BBF"/>
    <w:rsid w:val="006361B8"/>
    <w:rsid w:val="00637851"/>
    <w:rsid w:val="00640917"/>
    <w:rsid w:val="00640C28"/>
    <w:rsid w:val="00642710"/>
    <w:rsid w:val="006474D5"/>
    <w:rsid w:val="00650E63"/>
    <w:rsid w:val="006552E8"/>
    <w:rsid w:val="006568C2"/>
    <w:rsid w:val="00656B01"/>
    <w:rsid w:val="00657A4D"/>
    <w:rsid w:val="006613BC"/>
    <w:rsid w:val="00661BFE"/>
    <w:rsid w:val="00662190"/>
    <w:rsid w:val="00662796"/>
    <w:rsid w:val="006757A9"/>
    <w:rsid w:val="006760CB"/>
    <w:rsid w:val="006825A8"/>
    <w:rsid w:val="00682BC5"/>
    <w:rsid w:val="00685865"/>
    <w:rsid w:val="00685FBE"/>
    <w:rsid w:val="006867FD"/>
    <w:rsid w:val="00686BF3"/>
    <w:rsid w:val="00687B9D"/>
    <w:rsid w:val="006906D3"/>
    <w:rsid w:val="00690D57"/>
    <w:rsid w:val="006A0527"/>
    <w:rsid w:val="006A21D1"/>
    <w:rsid w:val="006A400D"/>
    <w:rsid w:val="006A44F1"/>
    <w:rsid w:val="006A5671"/>
    <w:rsid w:val="006A6DC9"/>
    <w:rsid w:val="006B0CA0"/>
    <w:rsid w:val="006B1285"/>
    <w:rsid w:val="006B1CCB"/>
    <w:rsid w:val="006B2808"/>
    <w:rsid w:val="006B3A2F"/>
    <w:rsid w:val="006B520D"/>
    <w:rsid w:val="006B5231"/>
    <w:rsid w:val="006B6E4A"/>
    <w:rsid w:val="006B7E31"/>
    <w:rsid w:val="006C1ED7"/>
    <w:rsid w:val="006C3F77"/>
    <w:rsid w:val="006C627A"/>
    <w:rsid w:val="006C6AC0"/>
    <w:rsid w:val="006D0503"/>
    <w:rsid w:val="006D1560"/>
    <w:rsid w:val="006D4D39"/>
    <w:rsid w:val="006E3BDF"/>
    <w:rsid w:val="006E438F"/>
    <w:rsid w:val="006E51E2"/>
    <w:rsid w:val="006E5B44"/>
    <w:rsid w:val="006E5F4D"/>
    <w:rsid w:val="006E645F"/>
    <w:rsid w:val="006E65FD"/>
    <w:rsid w:val="006E6DFF"/>
    <w:rsid w:val="006F4E28"/>
    <w:rsid w:val="006F54CB"/>
    <w:rsid w:val="006F5D16"/>
    <w:rsid w:val="0070093C"/>
    <w:rsid w:val="00700D0B"/>
    <w:rsid w:val="0070191D"/>
    <w:rsid w:val="0070277B"/>
    <w:rsid w:val="007030C7"/>
    <w:rsid w:val="007037F4"/>
    <w:rsid w:val="00703DE2"/>
    <w:rsid w:val="0070408F"/>
    <w:rsid w:val="00704278"/>
    <w:rsid w:val="00704289"/>
    <w:rsid w:val="00705608"/>
    <w:rsid w:val="00705CED"/>
    <w:rsid w:val="00706BE4"/>
    <w:rsid w:val="007102B3"/>
    <w:rsid w:val="007103FF"/>
    <w:rsid w:val="00710EA7"/>
    <w:rsid w:val="00712840"/>
    <w:rsid w:val="00712D1D"/>
    <w:rsid w:val="00713311"/>
    <w:rsid w:val="00715DED"/>
    <w:rsid w:val="007202F1"/>
    <w:rsid w:val="00720D25"/>
    <w:rsid w:val="007229AE"/>
    <w:rsid w:val="00722B4C"/>
    <w:rsid w:val="00722E42"/>
    <w:rsid w:val="00723200"/>
    <w:rsid w:val="00724258"/>
    <w:rsid w:val="007242D1"/>
    <w:rsid w:val="00725474"/>
    <w:rsid w:val="00730049"/>
    <w:rsid w:val="00731178"/>
    <w:rsid w:val="00731CAB"/>
    <w:rsid w:val="007350B4"/>
    <w:rsid w:val="00736E51"/>
    <w:rsid w:val="007402D2"/>
    <w:rsid w:val="00740E05"/>
    <w:rsid w:val="00743DDD"/>
    <w:rsid w:val="007442E3"/>
    <w:rsid w:val="007446FB"/>
    <w:rsid w:val="00745E6D"/>
    <w:rsid w:val="00746C4A"/>
    <w:rsid w:val="00747409"/>
    <w:rsid w:val="00747548"/>
    <w:rsid w:val="00752598"/>
    <w:rsid w:val="00753E95"/>
    <w:rsid w:val="00756964"/>
    <w:rsid w:val="00760411"/>
    <w:rsid w:val="00761556"/>
    <w:rsid w:val="00766E95"/>
    <w:rsid w:val="00774219"/>
    <w:rsid w:val="00775723"/>
    <w:rsid w:val="00775BBE"/>
    <w:rsid w:val="00776474"/>
    <w:rsid w:val="00777624"/>
    <w:rsid w:val="00780E18"/>
    <w:rsid w:val="0078172D"/>
    <w:rsid w:val="00781EFF"/>
    <w:rsid w:val="00784484"/>
    <w:rsid w:val="00784906"/>
    <w:rsid w:val="00785889"/>
    <w:rsid w:val="00785B2D"/>
    <w:rsid w:val="00786207"/>
    <w:rsid w:val="007868DF"/>
    <w:rsid w:val="00787D9C"/>
    <w:rsid w:val="00791450"/>
    <w:rsid w:val="007929FC"/>
    <w:rsid w:val="00794DB6"/>
    <w:rsid w:val="00797E4D"/>
    <w:rsid w:val="007A1198"/>
    <w:rsid w:val="007A4967"/>
    <w:rsid w:val="007A53C1"/>
    <w:rsid w:val="007A6649"/>
    <w:rsid w:val="007A7979"/>
    <w:rsid w:val="007B0B01"/>
    <w:rsid w:val="007B0ECA"/>
    <w:rsid w:val="007B174A"/>
    <w:rsid w:val="007B1B95"/>
    <w:rsid w:val="007B404C"/>
    <w:rsid w:val="007C1E79"/>
    <w:rsid w:val="007C52B3"/>
    <w:rsid w:val="007C6B20"/>
    <w:rsid w:val="007C7671"/>
    <w:rsid w:val="007D0554"/>
    <w:rsid w:val="007D0816"/>
    <w:rsid w:val="007D191E"/>
    <w:rsid w:val="007D1961"/>
    <w:rsid w:val="007D2DBB"/>
    <w:rsid w:val="007D3E7B"/>
    <w:rsid w:val="007D3FDA"/>
    <w:rsid w:val="007D52F8"/>
    <w:rsid w:val="007D57F7"/>
    <w:rsid w:val="007D5F87"/>
    <w:rsid w:val="007D7E86"/>
    <w:rsid w:val="007E08A2"/>
    <w:rsid w:val="007E2861"/>
    <w:rsid w:val="007E2D73"/>
    <w:rsid w:val="007E32CD"/>
    <w:rsid w:val="007E53E1"/>
    <w:rsid w:val="007E6720"/>
    <w:rsid w:val="007E67BF"/>
    <w:rsid w:val="007F25EF"/>
    <w:rsid w:val="007F2F0F"/>
    <w:rsid w:val="007F550C"/>
    <w:rsid w:val="007F6190"/>
    <w:rsid w:val="007F6303"/>
    <w:rsid w:val="007F7874"/>
    <w:rsid w:val="00800032"/>
    <w:rsid w:val="00800383"/>
    <w:rsid w:val="00800465"/>
    <w:rsid w:val="008017F2"/>
    <w:rsid w:val="008018B5"/>
    <w:rsid w:val="00801D69"/>
    <w:rsid w:val="00802A94"/>
    <w:rsid w:val="00803999"/>
    <w:rsid w:val="00807BFF"/>
    <w:rsid w:val="00812B1B"/>
    <w:rsid w:val="00813180"/>
    <w:rsid w:val="00813BA2"/>
    <w:rsid w:val="008156AC"/>
    <w:rsid w:val="008158AC"/>
    <w:rsid w:val="0081645F"/>
    <w:rsid w:val="008169EF"/>
    <w:rsid w:val="0082090C"/>
    <w:rsid w:val="00821DE1"/>
    <w:rsid w:val="00822A17"/>
    <w:rsid w:val="00822B6C"/>
    <w:rsid w:val="008274CA"/>
    <w:rsid w:val="008275EE"/>
    <w:rsid w:val="00832FD7"/>
    <w:rsid w:val="0083420B"/>
    <w:rsid w:val="008344D1"/>
    <w:rsid w:val="00834E6A"/>
    <w:rsid w:val="00836D05"/>
    <w:rsid w:val="00842441"/>
    <w:rsid w:val="008429C5"/>
    <w:rsid w:val="00844BEE"/>
    <w:rsid w:val="00846474"/>
    <w:rsid w:val="00846965"/>
    <w:rsid w:val="00847D82"/>
    <w:rsid w:val="00850188"/>
    <w:rsid w:val="00850EFB"/>
    <w:rsid w:val="00851AE0"/>
    <w:rsid w:val="00851B71"/>
    <w:rsid w:val="00853BDB"/>
    <w:rsid w:val="00853EB5"/>
    <w:rsid w:val="00854825"/>
    <w:rsid w:val="00854C0D"/>
    <w:rsid w:val="00854FDF"/>
    <w:rsid w:val="00856FD6"/>
    <w:rsid w:val="00860109"/>
    <w:rsid w:val="00860B5B"/>
    <w:rsid w:val="00862CF5"/>
    <w:rsid w:val="008634E5"/>
    <w:rsid w:val="00867C11"/>
    <w:rsid w:val="00870E6D"/>
    <w:rsid w:val="008759D0"/>
    <w:rsid w:val="00881FF0"/>
    <w:rsid w:val="0088590B"/>
    <w:rsid w:val="0088758A"/>
    <w:rsid w:val="00890E98"/>
    <w:rsid w:val="008925E2"/>
    <w:rsid w:val="008929D0"/>
    <w:rsid w:val="00893479"/>
    <w:rsid w:val="00893E97"/>
    <w:rsid w:val="008944A3"/>
    <w:rsid w:val="00896697"/>
    <w:rsid w:val="00896EA0"/>
    <w:rsid w:val="008A4E5F"/>
    <w:rsid w:val="008A5AE5"/>
    <w:rsid w:val="008A602F"/>
    <w:rsid w:val="008A6095"/>
    <w:rsid w:val="008B14C4"/>
    <w:rsid w:val="008B2491"/>
    <w:rsid w:val="008B4637"/>
    <w:rsid w:val="008B5AA2"/>
    <w:rsid w:val="008C002C"/>
    <w:rsid w:val="008C3631"/>
    <w:rsid w:val="008C3CEA"/>
    <w:rsid w:val="008C67CA"/>
    <w:rsid w:val="008D00E8"/>
    <w:rsid w:val="008D0498"/>
    <w:rsid w:val="008D0E3B"/>
    <w:rsid w:val="008D128E"/>
    <w:rsid w:val="008D1C76"/>
    <w:rsid w:val="008D1D16"/>
    <w:rsid w:val="008D25B6"/>
    <w:rsid w:val="008D2782"/>
    <w:rsid w:val="008D57E7"/>
    <w:rsid w:val="008E016D"/>
    <w:rsid w:val="008E09CA"/>
    <w:rsid w:val="008E4D07"/>
    <w:rsid w:val="008E7F86"/>
    <w:rsid w:val="008F36B9"/>
    <w:rsid w:val="008F5EA5"/>
    <w:rsid w:val="008F6EB6"/>
    <w:rsid w:val="008F7727"/>
    <w:rsid w:val="00901510"/>
    <w:rsid w:val="00901A26"/>
    <w:rsid w:val="00903128"/>
    <w:rsid w:val="00903A21"/>
    <w:rsid w:val="00906E18"/>
    <w:rsid w:val="009103AC"/>
    <w:rsid w:val="009143FB"/>
    <w:rsid w:val="00915C8B"/>
    <w:rsid w:val="0091656F"/>
    <w:rsid w:val="00916A8D"/>
    <w:rsid w:val="00920455"/>
    <w:rsid w:val="00922EA2"/>
    <w:rsid w:val="00923554"/>
    <w:rsid w:val="00923713"/>
    <w:rsid w:val="0093311F"/>
    <w:rsid w:val="00935459"/>
    <w:rsid w:val="00935F41"/>
    <w:rsid w:val="009413B8"/>
    <w:rsid w:val="009430AC"/>
    <w:rsid w:val="0094470E"/>
    <w:rsid w:val="009451CB"/>
    <w:rsid w:val="009471D1"/>
    <w:rsid w:val="0094760B"/>
    <w:rsid w:val="00951A7D"/>
    <w:rsid w:val="0095227F"/>
    <w:rsid w:val="009531E4"/>
    <w:rsid w:val="00955AF7"/>
    <w:rsid w:val="00956137"/>
    <w:rsid w:val="0096018A"/>
    <w:rsid w:val="00961209"/>
    <w:rsid w:val="00961CA2"/>
    <w:rsid w:val="00962024"/>
    <w:rsid w:val="0096237A"/>
    <w:rsid w:val="00965575"/>
    <w:rsid w:val="009671EF"/>
    <w:rsid w:val="00972512"/>
    <w:rsid w:val="0097268A"/>
    <w:rsid w:val="0097373B"/>
    <w:rsid w:val="00976AF8"/>
    <w:rsid w:val="00977E50"/>
    <w:rsid w:val="009808DB"/>
    <w:rsid w:val="00980BB2"/>
    <w:rsid w:val="00981803"/>
    <w:rsid w:val="00983976"/>
    <w:rsid w:val="00983BAF"/>
    <w:rsid w:val="0098428C"/>
    <w:rsid w:val="00986F88"/>
    <w:rsid w:val="00987A3A"/>
    <w:rsid w:val="00987F37"/>
    <w:rsid w:val="009911EF"/>
    <w:rsid w:val="00992FA8"/>
    <w:rsid w:val="00995FE6"/>
    <w:rsid w:val="009A05A7"/>
    <w:rsid w:val="009A188F"/>
    <w:rsid w:val="009A29DA"/>
    <w:rsid w:val="009A5B10"/>
    <w:rsid w:val="009A70D8"/>
    <w:rsid w:val="009A7C0B"/>
    <w:rsid w:val="009B18E1"/>
    <w:rsid w:val="009B309E"/>
    <w:rsid w:val="009B30D9"/>
    <w:rsid w:val="009B4428"/>
    <w:rsid w:val="009B6646"/>
    <w:rsid w:val="009B66AA"/>
    <w:rsid w:val="009C1A2A"/>
    <w:rsid w:val="009C2AEA"/>
    <w:rsid w:val="009C6DD3"/>
    <w:rsid w:val="009C7626"/>
    <w:rsid w:val="009D1541"/>
    <w:rsid w:val="009D1CD1"/>
    <w:rsid w:val="009D20F2"/>
    <w:rsid w:val="009D4EDA"/>
    <w:rsid w:val="009D7365"/>
    <w:rsid w:val="009E0B1E"/>
    <w:rsid w:val="009E2403"/>
    <w:rsid w:val="009E3615"/>
    <w:rsid w:val="009E3ABB"/>
    <w:rsid w:val="009E3D62"/>
    <w:rsid w:val="009F1526"/>
    <w:rsid w:val="009F24E4"/>
    <w:rsid w:val="009F55D4"/>
    <w:rsid w:val="009F7B8D"/>
    <w:rsid w:val="00A046E3"/>
    <w:rsid w:val="00A04F48"/>
    <w:rsid w:val="00A05511"/>
    <w:rsid w:val="00A15D25"/>
    <w:rsid w:val="00A15FD8"/>
    <w:rsid w:val="00A20579"/>
    <w:rsid w:val="00A20C58"/>
    <w:rsid w:val="00A220EF"/>
    <w:rsid w:val="00A247CD"/>
    <w:rsid w:val="00A265DF"/>
    <w:rsid w:val="00A3206B"/>
    <w:rsid w:val="00A3220B"/>
    <w:rsid w:val="00A33486"/>
    <w:rsid w:val="00A33736"/>
    <w:rsid w:val="00A3493F"/>
    <w:rsid w:val="00A35354"/>
    <w:rsid w:val="00A364BC"/>
    <w:rsid w:val="00A40D24"/>
    <w:rsid w:val="00A41DC2"/>
    <w:rsid w:val="00A4234D"/>
    <w:rsid w:val="00A42783"/>
    <w:rsid w:val="00A427FE"/>
    <w:rsid w:val="00A42967"/>
    <w:rsid w:val="00A434EF"/>
    <w:rsid w:val="00A435EB"/>
    <w:rsid w:val="00A44FB5"/>
    <w:rsid w:val="00A52F00"/>
    <w:rsid w:val="00A5328A"/>
    <w:rsid w:val="00A55140"/>
    <w:rsid w:val="00A55530"/>
    <w:rsid w:val="00A55E30"/>
    <w:rsid w:val="00A56A87"/>
    <w:rsid w:val="00A57341"/>
    <w:rsid w:val="00A57F33"/>
    <w:rsid w:val="00A629AC"/>
    <w:rsid w:val="00A66647"/>
    <w:rsid w:val="00A66E81"/>
    <w:rsid w:val="00A673EB"/>
    <w:rsid w:val="00A67B86"/>
    <w:rsid w:val="00A70225"/>
    <w:rsid w:val="00A70400"/>
    <w:rsid w:val="00A72496"/>
    <w:rsid w:val="00A72603"/>
    <w:rsid w:val="00A73A2F"/>
    <w:rsid w:val="00A743E1"/>
    <w:rsid w:val="00A76C79"/>
    <w:rsid w:val="00A80293"/>
    <w:rsid w:val="00A810CD"/>
    <w:rsid w:val="00A81A7B"/>
    <w:rsid w:val="00A825E5"/>
    <w:rsid w:val="00A82F52"/>
    <w:rsid w:val="00A83001"/>
    <w:rsid w:val="00A84F00"/>
    <w:rsid w:val="00A91296"/>
    <w:rsid w:val="00A920E5"/>
    <w:rsid w:val="00A93FC1"/>
    <w:rsid w:val="00A969F6"/>
    <w:rsid w:val="00A97C8C"/>
    <w:rsid w:val="00AA0188"/>
    <w:rsid w:val="00AA28B4"/>
    <w:rsid w:val="00AA5444"/>
    <w:rsid w:val="00AA6218"/>
    <w:rsid w:val="00AA6A5E"/>
    <w:rsid w:val="00AB1745"/>
    <w:rsid w:val="00AB3147"/>
    <w:rsid w:val="00AB4A86"/>
    <w:rsid w:val="00AB5DD7"/>
    <w:rsid w:val="00AC2B2D"/>
    <w:rsid w:val="00AC4DF8"/>
    <w:rsid w:val="00AC4EFE"/>
    <w:rsid w:val="00AD12F4"/>
    <w:rsid w:val="00AD168B"/>
    <w:rsid w:val="00AD1949"/>
    <w:rsid w:val="00AE057E"/>
    <w:rsid w:val="00AE0609"/>
    <w:rsid w:val="00AE0E61"/>
    <w:rsid w:val="00AE10CB"/>
    <w:rsid w:val="00AE23BF"/>
    <w:rsid w:val="00AE318B"/>
    <w:rsid w:val="00AE52B2"/>
    <w:rsid w:val="00AE63D5"/>
    <w:rsid w:val="00AE7619"/>
    <w:rsid w:val="00AF361F"/>
    <w:rsid w:val="00AF543F"/>
    <w:rsid w:val="00AF6BAB"/>
    <w:rsid w:val="00B00638"/>
    <w:rsid w:val="00B024FE"/>
    <w:rsid w:val="00B0398F"/>
    <w:rsid w:val="00B04F55"/>
    <w:rsid w:val="00B05B5F"/>
    <w:rsid w:val="00B06115"/>
    <w:rsid w:val="00B0751C"/>
    <w:rsid w:val="00B12DE7"/>
    <w:rsid w:val="00B12E5F"/>
    <w:rsid w:val="00B14265"/>
    <w:rsid w:val="00B142A8"/>
    <w:rsid w:val="00B14DFD"/>
    <w:rsid w:val="00B177C9"/>
    <w:rsid w:val="00B20C44"/>
    <w:rsid w:val="00B235C2"/>
    <w:rsid w:val="00B26413"/>
    <w:rsid w:val="00B268B2"/>
    <w:rsid w:val="00B3042A"/>
    <w:rsid w:val="00B304FD"/>
    <w:rsid w:val="00B3179F"/>
    <w:rsid w:val="00B319D0"/>
    <w:rsid w:val="00B35542"/>
    <w:rsid w:val="00B414A6"/>
    <w:rsid w:val="00B41C9C"/>
    <w:rsid w:val="00B42965"/>
    <w:rsid w:val="00B42F5D"/>
    <w:rsid w:val="00B435C2"/>
    <w:rsid w:val="00B45F8C"/>
    <w:rsid w:val="00B4677F"/>
    <w:rsid w:val="00B47D6F"/>
    <w:rsid w:val="00B51AAC"/>
    <w:rsid w:val="00B5251F"/>
    <w:rsid w:val="00B53805"/>
    <w:rsid w:val="00B5592B"/>
    <w:rsid w:val="00B572B0"/>
    <w:rsid w:val="00B647FD"/>
    <w:rsid w:val="00B66083"/>
    <w:rsid w:val="00B7008F"/>
    <w:rsid w:val="00B70663"/>
    <w:rsid w:val="00B75210"/>
    <w:rsid w:val="00B76175"/>
    <w:rsid w:val="00B76BAC"/>
    <w:rsid w:val="00B77480"/>
    <w:rsid w:val="00B7788B"/>
    <w:rsid w:val="00B804DA"/>
    <w:rsid w:val="00B85A4C"/>
    <w:rsid w:val="00B85D0F"/>
    <w:rsid w:val="00B907A6"/>
    <w:rsid w:val="00B925C6"/>
    <w:rsid w:val="00B936F6"/>
    <w:rsid w:val="00B94373"/>
    <w:rsid w:val="00B950C0"/>
    <w:rsid w:val="00B95901"/>
    <w:rsid w:val="00B96675"/>
    <w:rsid w:val="00B96862"/>
    <w:rsid w:val="00B969D5"/>
    <w:rsid w:val="00BA0C4A"/>
    <w:rsid w:val="00BA11F5"/>
    <w:rsid w:val="00BA1275"/>
    <w:rsid w:val="00BA2CFE"/>
    <w:rsid w:val="00BA7E86"/>
    <w:rsid w:val="00BB186F"/>
    <w:rsid w:val="00BB454B"/>
    <w:rsid w:val="00BB57CE"/>
    <w:rsid w:val="00BB59CE"/>
    <w:rsid w:val="00BB6C62"/>
    <w:rsid w:val="00BB6FC8"/>
    <w:rsid w:val="00BC0846"/>
    <w:rsid w:val="00BC0F96"/>
    <w:rsid w:val="00BC1C66"/>
    <w:rsid w:val="00BC221B"/>
    <w:rsid w:val="00BC451A"/>
    <w:rsid w:val="00BC71EB"/>
    <w:rsid w:val="00BD06AD"/>
    <w:rsid w:val="00BD07E8"/>
    <w:rsid w:val="00BD14DB"/>
    <w:rsid w:val="00BD2466"/>
    <w:rsid w:val="00BD3813"/>
    <w:rsid w:val="00BE3D82"/>
    <w:rsid w:val="00BE509D"/>
    <w:rsid w:val="00BF0E87"/>
    <w:rsid w:val="00BF295D"/>
    <w:rsid w:val="00BF3F0D"/>
    <w:rsid w:val="00BF3F47"/>
    <w:rsid w:val="00BF4F6F"/>
    <w:rsid w:val="00BF7EAB"/>
    <w:rsid w:val="00C00D41"/>
    <w:rsid w:val="00C011CA"/>
    <w:rsid w:val="00C0291D"/>
    <w:rsid w:val="00C039F5"/>
    <w:rsid w:val="00C049D1"/>
    <w:rsid w:val="00C0660F"/>
    <w:rsid w:val="00C07A56"/>
    <w:rsid w:val="00C13200"/>
    <w:rsid w:val="00C13686"/>
    <w:rsid w:val="00C13AE4"/>
    <w:rsid w:val="00C1446B"/>
    <w:rsid w:val="00C14E21"/>
    <w:rsid w:val="00C15AD7"/>
    <w:rsid w:val="00C21C37"/>
    <w:rsid w:val="00C305F0"/>
    <w:rsid w:val="00C32017"/>
    <w:rsid w:val="00C320D4"/>
    <w:rsid w:val="00C32255"/>
    <w:rsid w:val="00C3257C"/>
    <w:rsid w:val="00C33C4F"/>
    <w:rsid w:val="00C34C45"/>
    <w:rsid w:val="00C35234"/>
    <w:rsid w:val="00C3543E"/>
    <w:rsid w:val="00C35547"/>
    <w:rsid w:val="00C370A4"/>
    <w:rsid w:val="00C37EE6"/>
    <w:rsid w:val="00C40447"/>
    <w:rsid w:val="00C406E5"/>
    <w:rsid w:val="00C40751"/>
    <w:rsid w:val="00C40AA3"/>
    <w:rsid w:val="00C40CB3"/>
    <w:rsid w:val="00C442EF"/>
    <w:rsid w:val="00C44C32"/>
    <w:rsid w:val="00C464B8"/>
    <w:rsid w:val="00C47BCA"/>
    <w:rsid w:val="00C50A36"/>
    <w:rsid w:val="00C53B7B"/>
    <w:rsid w:val="00C562F5"/>
    <w:rsid w:val="00C5647C"/>
    <w:rsid w:val="00C566D3"/>
    <w:rsid w:val="00C57C3B"/>
    <w:rsid w:val="00C64858"/>
    <w:rsid w:val="00C66A1A"/>
    <w:rsid w:val="00C672BC"/>
    <w:rsid w:val="00C70146"/>
    <w:rsid w:val="00C74DF5"/>
    <w:rsid w:val="00C813A6"/>
    <w:rsid w:val="00C822A4"/>
    <w:rsid w:val="00C8247B"/>
    <w:rsid w:val="00C83B9B"/>
    <w:rsid w:val="00C83C74"/>
    <w:rsid w:val="00C86384"/>
    <w:rsid w:val="00C87509"/>
    <w:rsid w:val="00C878B0"/>
    <w:rsid w:val="00C92E44"/>
    <w:rsid w:val="00CA0D07"/>
    <w:rsid w:val="00CA1878"/>
    <w:rsid w:val="00CA215F"/>
    <w:rsid w:val="00CA239D"/>
    <w:rsid w:val="00CA3485"/>
    <w:rsid w:val="00CA497D"/>
    <w:rsid w:val="00CA5CD7"/>
    <w:rsid w:val="00CB020A"/>
    <w:rsid w:val="00CB12E9"/>
    <w:rsid w:val="00CB2871"/>
    <w:rsid w:val="00CB2E92"/>
    <w:rsid w:val="00CB3BA0"/>
    <w:rsid w:val="00CB4F9F"/>
    <w:rsid w:val="00CB5002"/>
    <w:rsid w:val="00CB5B8C"/>
    <w:rsid w:val="00CB5CDA"/>
    <w:rsid w:val="00CB6711"/>
    <w:rsid w:val="00CB675F"/>
    <w:rsid w:val="00CC054E"/>
    <w:rsid w:val="00CC0775"/>
    <w:rsid w:val="00CC34D4"/>
    <w:rsid w:val="00CC3776"/>
    <w:rsid w:val="00CC4FAA"/>
    <w:rsid w:val="00CC5455"/>
    <w:rsid w:val="00CC5DDC"/>
    <w:rsid w:val="00CD1629"/>
    <w:rsid w:val="00CD4FA5"/>
    <w:rsid w:val="00CD5822"/>
    <w:rsid w:val="00CD7CBE"/>
    <w:rsid w:val="00CE05AD"/>
    <w:rsid w:val="00CE2AEB"/>
    <w:rsid w:val="00CE3A3D"/>
    <w:rsid w:val="00CE3E37"/>
    <w:rsid w:val="00CE3FFF"/>
    <w:rsid w:val="00CE532B"/>
    <w:rsid w:val="00CE7678"/>
    <w:rsid w:val="00CE7F16"/>
    <w:rsid w:val="00CF081A"/>
    <w:rsid w:val="00CF3A4F"/>
    <w:rsid w:val="00CF684B"/>
    <w:rsid w:val="00D008C3"/>
    <w:rsid w:val="00D01CB0"/>
    <w:rsid w:val="00D035FD"/>
    <w:rsid w:val="00D071F3"/>
    <w:rsid w:val="00D07AC3"/>
    <w:rsid w:val="00D1119E"/>
    <w:rsid w:val="00D13DE2"/>
    <w:rsid w:val="00D13F7F"/>
    <w:rsid w:val="00D14754"/>
    <w:rsid w:val="00D17CB5"/>
    <w:rsid w:val="00D202CE"/>
    <w:rsid w:val="00D21F50"/>
    <w:rsid w:val="00D25D42"/>
    <w:rsid w:val="00D26799"/>
    <w:rsid w:val="00D300A2"/>
    <w:rsid w:val="00D30F52"/>
    <w:rsid w:val="00D335F0"/>
    <w:rsid w:val="00D34049"/>
    <w:rsid w:val="00D35C24"/>
    <w:rsid w:val="00D36795"/>
    <w:rsid w:val="00D37179"/>
    <w:rsid w:val="00D37860"/>
    <w:rsid w:val="00D41A19"/>
    <w:rsid w:val="00D426F8"/>
    <w:rsid w:val="00D4382C"/>
    <w:rsid w:val="00D447B2"/>
    <w:rsid w:val="00D44977"/>
    <w:rsid w:val="00D44DEA"/>
    <w:rsid w:val="00D456F1"/>
    <w:rsid w:val="00D4591E"/>
    <w:rsid w:val="00D548E2"/>
    <w:rsid w:val="00D5606C"/>
    <w:rsid w:val="00D569FC"/>
    <w:rsid w:val="00D62B18"/>
    <w:rsid w:val="00D62BC3"/>
    <w:rsid w:val="00D62CF0"/>
    <w:rsid w:val="00D62E3F"/>
    <w:rsid w:val="00D631C4"/>
    <w:rsid w:val="00D65393"/>
    <w:rsid w:val="00D656CC"/>
    <w:rsid w:val="00D70C84"/>
    <w:rsid w:val="00D71B84"/>
    <w:rsid w:val="00D72E28"/>
    <w:rsid w:val="00D74443"/>
    <w:rsid w:val="00D763EF"/>
    <w:rsid w:val="00D808DA"/>
    <w:rsid w:val="00D80A79"/>
    <w:rsid w:val="00D80B64"/>
    <w:rsid w:val="00D852BA"/>
    <w:rsid w:val="00D87E4D"/>
    <w:rsid w:val="00D92A32"/>
    <w:rsid w:val="00D932DB"/>
    <w:rsid w:val="00DA141C"/>
    <w:rsid w:val="00DA5511"/>
    <w:rsid w:val="00DA6BA2"/>
    <w:rsid w:val="00DA6E85"/>
    <w:rsid w:val="00DA7965"/>
    <w:rsid w:val="00DB2BA3"/>
    <w:rsid w:val="00DB317D"/>
    <w:rsid w:val="00DB32A9"/>
    <w:rsid w:val="00DB46BA"/>
    <w:rsid w:val="00DB59B1"/>
    <w:rsid w:val="00DB5D63"/>
    <w:rsid w:val="00DB626B"/>
    <w:rsid w:val="00DB62BE"/>
    <w:rsid w:val="00DB6EF1"/>
    <w:rsid w:val="00DB7E90"/>
    <w:rsid w:val="00DC3F5A"/>
    <w:rsid w:val="00DC5399"/>
    <w:rsid w:val="00DC6773"/>
    <w:rsid w:val="00DC73ED"/>
    <w:rsid w:val="00DD029B"/>
    <w:rsid w:val="00DD17DD"/>
    <w:rsid w:val="00DD3A09"/>
    <w:rsid w:val="00DD464C"/>
    <w:rsid w:val="00DD4AD5"/>
    <w:rsid w:val="00DD5873"/>
    <w:rsid w:val="00DE08BE"/>
    <w:rsid w:val="00DE43EB"/>
    <w:rsid w:val="00DE4563"/>
    <w:rsid w:val="00DE4DCD"/>
    <w:rsid w:val="00DE6A9B"/>
    <w:rsid w:val="00DE7AA1"/>
    <w:rsid w:val="00DE7DBA"/>
    <w:rsid w:val="00DF0101"/>
    <w:rsid w:val="00DF3630"/>
    <w:rsid w:val="00E00882"/>
    <w:rsid w:val="00E02648"/>
    <w:rsid w:val="00E0591C"/>
    <w:rsid w:val="00E064BE"/>
    <w:rsid w:val="00E06A12"/>
    <w:rsid w:val="00E07413"/>
    <w:rsid w:val="00E07FA9"/>
    <w:rsid w:val="00E108DB"/>
    <w:rsid w:val="00E1250A"/>
    <w:rsid w:val="00E1267D"/>
    <w:rsid w:val="00E13361"/>
    <w:rsid w:val="00E15115"/>
    <w:rsid w:val="00E157F5"/>
    <w:rsid w:val="00E1765C"/>
    <w:rsid w:val="00E22266"/>
    <w:rsid w:val="00E2277B"/>
    <w:rsid w:val="00E2389C"/>
    <w:rsid w:val="00E266EA"/>
    <w:rsid w:val="00E26F98"/>
    <w:rsid w:val="00E32833"/>
    <w:rsid w:val="00E32F27"/>
    <w:rsid w:val="00E33BDF"/>
    <w:rsid w:val="00E34D58"/>
    <w:rsid w:val="00E36D58"/>
    <w:rsid w:val="00E454F8"/>
    <w:rsid w:val="00E455EA"/>
    <w:rsid w:val="00E45F28"/>
    <w:rsid w:val="00E53E58"/>
    <w:rsid w:val="00E5533D"/>
    <w:rsid w:val="00E55548"/>
    <w:rsid w:val="00E567C6"/>
    <w:rsid w:val="00E600DC"/>
    <w:rsid w:val="00E61D36"/>
    <w:rsid w:val="00E635EC"/>
    <w:rsid w:val="00E64F1D"/>
    <w:rsid w:val="00E66000"/>
    <w:rsid w:val="00E67FF6"/>
    <w:rsid w:val="00E72232"/>
    <w:rsid w:val="00E773B9"/>
    <w:rsid w:val="00E83DF0"/>
    <w:rsid w:val="00E90ADC"/>
    <w:rsid w:val="00E90EF9"/>
    <w:rsid w:val="00E9115C"/>
    <w:rsid w:val="00E912AF"/>
    <w:rsid w:val="00E9361B"/>
    <w:rsid w:val="00E93F84"/>
    <w:rsid w:val="00E943AE"/>
    <w:rsid w:val="00E961FB"/>
    <w:rsid w:val="00EA0FB0"/>
    <w:rsid w:val="00EA1048"/>
    <w:rsid w:val="00EA32FC"/>
    <w:rsid w:val="00EA3406"/>
    <w:rsid w:val="00EA5F4F"/>
    <w:rsid w:val="00EB1C10"/>
    <w:rsid w:val="00EB3BF2"/>
    <w:rsid w:val="00EB51D0"/>
    <w:rsid w:val="00EB5C57"/>
    <w:rsid w:val="00EB5F44"/>
    <w:rsid w:val="00EB6E3B"/>
    <w:rsid w:val="00EC1042"/>
    <w:rsid w:val="00EC4A44"/>
    <w:rsid w:val="00EC51D6"/>
    <w:rsid w:val="00EC58C8"/>
    <w:rsid w:val="00EC638E"/>
    <w:rsid w:val="00ED0231"/>
    <w:rsid w:val="00ED38BE"/>
    <w:rsid w:val="00ED6C78"/>
    <w:rsid w:val="00ED7333"/>
    <w:rsid w:val="00EE04A8"/>
    <w:rsid w:val="00EE3472"/>
    <w:rsid w:val="00EE7D92"/>
    <w:rsid w:val="00EF0419"/>
    <w:rsid w:val="00EF1910"/>
    <w:rsid w:val="00EF197E"/>
    <w:rsid w:val="00EF1BAE"/>
    <w:rsid w:val="00EF30D3"/>
    <w:rsid w:val="00EF3F73"/>
    <w:rsid w:val="00EF7964"/>
    <w:rsid w:val="00F00884"/>
    <w:rsid w:val="00F021D4"/>
    <w:rsid w:val="00F0383E"/>
    <w:rsid w:val="00F03C63"/>
    <w:rsid w:val="00F053E4"/>
    <w:rsid w:val="00F06A0F"/>
    <w:rsid w:val="00F10923"/>
    <w:rsid w:val="00F15258"/>
    <w:rsid w:val="00F17295"/>
    <w:rsid w:val="00F21CB2"/>
    <w:rsid w:val="00F228A0"/>
    <w:rsid w:val="00F239B5"/>
    <w:rsid w:val="00F24D4D"/>
    <w:rsid w:val="00F2653B"/>
    <w:rsid w:val="00F26ECE"/>
    <w:rsid w:val="00F30B06"/>
    <w:rsid w:val="00F30D1C"/>
    <w:rsid w:val="00F35A73"/>
    <w:rsid w:val="00F36D4C"/>
    <w:rsid w:val="00F3748B"/>
    <w:rsid w:val="00F43D4C"/>
    <w:rsid w:val="00F44835"/>
    <w:rsid w:val="00F45001"/>
    <w:rsid w:val="00F474CA"/>
    <w:rsid w:val="00F47B4B"/>
    <w:rsid w:val="00F53284"/>
    <w:rsid w:val="00F55412"/>
    <w:rsid w:val="00F62A16"/>
    <w:rsid w:val="00F64172"/>
    <w:rsid w:val="00F72014"/>
    <w:rsid w:val="00F7392E"/>
    <w:rsid w:val="00F74E13"/>
    <w:rsid w:val="00F76DE0"/>
    <w:rsid w:val="00F7776E"/>
    <w:rsid w:val="00F81405"/>
    <w:rsid w:val="00F82B9F"/>
    <w:rsid w:val="00F83A54"/>
    <w:rsid w:val="00F83DEF"/>
    <w:rsid w:val="00F8508D"/>
    <w:rsid w:val="00F85165"/>
    <w:rsid w:val="00F86738"/>
    <w:rsid w:val="00F90296"/>
    <w:rsid w:val="00F905A2"/>
    <w:rsid w:val="00F910C0"/>
    <w:rsid w:val="00F927A7"/>
    <w:rsid w:val="00F92905"/>
    <w:rsid w:val="00FA0F1A"/>
    <w:rsid w:val="00FA17AB"/>
    <w:rsid w:val="00FA1EEF"/>
    <w:rsid w:val="00FA2372"/>
    <w:rsid w:val="00FA4351"/>
    <w:rsid w:val="00FA45DE"/>
    <w:rsid w:val="00FA4A39"/>
    <w:rsid w:val="00FA5793"/>
    <w:rsid w:val="00FA5799"/>
    <w:rsid w:val="00FA7AE1"/>
    <w:rsid w:val="00FA7E9A"/>
    <w:rsid w:val="00FC34E7"/>
    <w:rsid w:val="00FC3DE0"/>
    <w:rsid w:val="00FC42B9"/>
    <w:rsid w:val="00FC504D"/>
    <w:rsid w:val="00FC6595"/>
    <w:rsid w:val="00FC730B"/>
    <w:rsid w:val="00FD0BB4"/>
    <w:rsid w:val="00FD3177"/>
    <w:rsid w:val="00FD5727"/>
    <w:rsid w:val="00FD5819"/>
    <w:rsid w:val="00FD6954"/>
    <w:rsid w:val="00FE0828"/>
    <w:rsid w:val="00FE32D7"/>
    <w:rsid w:val="00FE38AB"/>
    <w:rsid w:val="00FE415A"/>
    <w:rsid w:val="00FE5A97"/>
    <w:rsid w:val="00FE78D3"/>
    <w:rsid w:val="00FF299A"/>
    <w:rsid w:val="00FF525E"/>
    <w:rsid w:val="00FF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47F62"/>
  <w15:docId w15:val="{D9B1A4E2-8787-4765-930B-B285905E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524"/>
    <w:rPr>
      <w:rFonts w:ascii="CG Omega" w:hAnsi="CG Omega"/>
      <w:sz w:val="22"/>
      <w:szCs w:val="24"/>
      <w:lang w:eastAsia="en-US"/>
    </w:rPr>
  </w:style>
  <w:style w:type="paragraph" w:styleId="Heading1">
    <w:name w:val="heading 1"/>
    <w:basedOn w:val="Normal"/>
    <w:next w:val="Normal"/>
    <w:link w:val="Heading1Char"/>
    <w:qFormat/>
    <w:rsid w:val="001A03E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B32A9"/>
    <w:pPr>
      <w:keepNext/>
      <w:keepLines/>
      <w:spacing w:before="200"/>
      <w:outlineLvl w:val="1"/>
    </w:pPr>
    <w:rPr>
      <w:rFonts w:ascii="Times New Roman" w:hAnsi="Times New Roman"/>
      <w:b/>
      <w:bCs/>
      <w:color w:val="4F81BD"/>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524"/>
    <w:pPr>
      <w:numPr>
        <w:ilvl w:val="12"/>
      </w:numPr>
      <w:spacing w:before="240"/>
    </w:pPr>
    <w:rPr>
      <w:rFonts w:ascii="Times New Roman" w:hAnsi="Times New Roman"/>
      <w:sz w:val="24"/>
      <w:szCs w:val="20"/>
      <w:lang w:eastAsia="en-AU"/>
    </w:rPr>
  </w:style>
  <w:style w:type="paragraph" w:customStyle="1" w:styleId="StyleLeft349cmRight-011cm">
    <w:name w:val="Style Left:  3.49 cm Right:  -0.11 cm"/>
    <w:basedOn w:val="Normal"/>
    <w:rsid w:val="003B7524"/>
    <w:pPr>
      <w:ind w:left="1979" w:right="1701"/>
    </w:pPr>
    <w:rPr>
      <w:rFonts w:ascii="Times New Roman" w:hAnsi="Times New Roman"/>
      <w:sz w:val="24"/>
      <w:szCs w:val="20"/>
      <w:lang w:eastAsia="en-AU"/>
    </w:rPr>
  </w:style>
  <w:style w:type="paragraph" w:styleId="Footer">
    <w:name w:val="footer"/>
    <w:basedOn w:val="Normal"/>
    <w:rsid w:val="003B7524"/>
    <w:pPr>
      <w:tabs>
        <w:tab w:val="center" w:pos="4153"/>
        <w:tab w:val="right" w:pos="8306"/>
      </w:tabs>
    </w:pPr>
  </w:style>
  <w:style w:type="character" w:styleId="PageNumber">
    <w:name w:val="page number"/>
    <w:basedOn w:val="DefaultParagraphFont"/>
    <w:rsid w:val="003B7524"/>
  </w:style>
  <w:style w:type="paragraph" w:customStyle="1" w:styleId="Default1">
    <w:name w:val="Default1"/>
    <w:basedOn w:val="Normal"/>
    <w:next w:val="Normal"/>
    <w:rsid w:val="003B7524"/>
    <w:pPr>
      <w:autoSpaceDE w:val="0"/>
      <w:autoSpaceDN w:val="0"/>
      <w:adjustRightInd w:val="0"/>
      <w:spacing w:after="240"/>
    </w:pPr>
    <w:rPr>
      <w:rFonts w:ascii="Times New Roman" w:hAnsi="Times New Roman"/>
      <w:sz w:val="24"/>
      <w:lang w:eastAsia="en-AU"/>
    </w:rPr>
  </w:style>
  <w:style w:type="paragraph" w:styleId="Header">
    <w:name w:val="header"/>
    <w:aliases w:val="h"/>
    <w:basedOn w:val="Normal"/>
    <w:link w:val="HeaderChar"/>
    <w:uiPriority w:val="99"/>
    <w:rsid w:val="003B7524"/>
    <w:pPr>
      <w:tabs>
        <w:tab w:val="center" w:pos="4153"/>
        <w:tab w:val="right" w:pos="8306"/>
      </w:tabs>
    </w:pPr>
  </w:style>
  <w:style w:type="paragraph" w:styleId="BalloonText">
    <w:name w:val="Balloon Text"/>
    <w:basedOn w:val="Normal"/>
    <w:semiHidden/>
    <w:rsid w:val="00146C29"/>
    <w:rPr>
      <w:rFonts w:ascii="Tahoma" w:hAnsi="Tahoma" w:cs="Tahoma"/>
      <w:sz w:val="16"/>
      <w:szCs w:val="16"/>
    </w:rPr>
  </w:style>
  <w:style w:type="character" w:styleId="CommentReference">
    <w:name w:val="annotation reference"/>
    <w:uiPriority w:val="99"/>
    <w:semiHidden/>
    <w:rsid w:val="0009363E"/>
    <w:rPr>
      <w:sz w:val="16"/>
      <w:szCs w:val="16"/>
    </w:rPr>
  </w:style>
  <w:style w:type="paragraph" w:styleId="CommentText">
    <w:name w:val="annotation text"/>
    <w:basedOn w:val="Normal"/>
    <w:link w:val="CommentTextChar"/>
    <w:uiPriority w:val="99"/>
    <w:semiHidden/>
    <w:rsid w:val="0009363E"/>
    <w:rPr>
      <w:sz w:val="20"/>
      <w:szCs w:val="20"/>
    </w:rPr>
  </w:style>
  <w:style w:type="paragraph" w:styleId="CommentSubject">
    <w:name w:val="annotation subject"/>
    <w:basedOn w:val="CommentText"/>
    <w:next w:val="CommentText"/>
    <w:semiHidden/>
    <w:rsid w:val="0009363E"/>
    <w:rPr>
      <w:b/>
      <w:bCs/>
    </w:rPr>
  </w:style>
  <w:style w:type="paragraph" w:customStyle="1" w:styleId="Default">
    <w:name w:val="Default"/>
    <w:rsid w:val="00F7392E"/>
    <w:pPr>
      <w:autoSpaceDE w:val="0"/>
      <w:autoSpaceDN w:val="0"/>
      <w:adjustRightInd w:val="0"/>
    </w:pPr>
    <w:rPr>
      <w:color w:val="000000"/>
      <w:sz w:val="24"/>
      <w:szCs w:val="24"/>
    </w:rPr>
  </w:style>
  <w:style w:type="character" w:styleId="Hyperlink">
    <w:name w:val="Hyperlink"/>
    <w:rsid w:val="004D1BEF"/>
    <w:rPr>
      <w:color w:val="0000FF"/>
      <w:u w:val="single"/>
    </w:rPr>
  </w:style>
  <w:style w:type="paragraph" w:styleId="ListParagraph">
    <w:name w:val="List Paragraph"/>
    <w:basedOn w:val="Normal"/>
    <w:uiPriority w:val="34"/>
    <w:qFormat/>
    <w:rsid w:val="00433B24"/>
    <w:pPr>
      <w:ind w:left="720"/>
    </w:pPr>
  </w:style>
  <w:style w:type="character" w:customStyle="1" w:styleId="CommentTextChar">
    <w:name w:val="Comment Text Char"/>
    <w:link w:val="CommentText"/>
    <w:semiHidden/>
    <w:rsid w:val="00190C40"/>
    <w:rPr>
      <w:rFonts w:ascii="CG Omega" w:hAnsi="CG Omega"/>
      <w:lang w:eastAsia="en-US"/>
    </w:rPr>
  </w:style>
  <w:style w:type="character" w:customStyle="1" w:styleId="Heading2Char">
    <w:name w:val="Heading 2 Char"/>
    <w:link w:val="Heading2"/>
    <w:uiPriority w:val="9"/>
    <w:rsid w:val="00DB32A9"/>
    <w:rPr>
      <w:b/>
      <w:bCs/>
      <w:color w:val="4F81BD"/>
      <w:sz w:val="26"/>
      <w:szCs w:val="26"/>
    </w:rPr>
  </w:style>
  <w:style w:type="table" w:styleId="TableGrid">
    <w:name w:val="Table Grid"/>
    <w:basedOn w:val="TableNormal"/>
    <w:rsid w:val="00DB32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5E3E"/>
    <w:rPr>
      <w:color w:val="800080"/>
      <w:u w:val="single"/>
    </w:rPr>
  </w:style>
  <w:style w:type="character" w:customStyle="1" w:styleId="HeaderChar">
    <w:name w:val="Header Char"/>
    <w:aliases w:val="h Char"/>
    <w:link w:val="Header"/>
    <w:uiPriority w:val="99"/>
    <w:rsid w:val="00800032"/>
    <w:rPr>
      <w:rFonts w:ascii="CG Omega" w:hAnsi="CG Omega"/>
      <w:sz w:val="22"/>
      <w:szCs w:val="24"/>
      <w:lang w:eastAsia="en-US"/>
    </w:rPr>
  </w:style>
  <w:style w:type="paragraph" w:customStyle="1" w:styleId="TableText">
    <w:name w:val="TableText"/>
    <w:basedOn w:val="Normal"/>
    <w:qFormat/>
    <w:rsid w:val="00114B13"/>
    <w:pPr>
      <w:spacing w:before="120" w:after="120"/>
    </w:pPr>
    <w:rPr>
      <w:rFonts w:ascii="Arial" w:hAnsi="Arial" w:cs="Arial"/>
      <w:bCs/>
      <w:sz w:val="20"/>
      <w:szCs w:val="20"/>
    </w:rPr>
  </w:style>
  <w:style w:type="paragraph" w:styleId="Revision">
    <w:name w:val="Revision"/>
    <w:hidden/>
    <w:uiPriority w:val="99"/>
    <w:semiHidden/>
    <w:rsid w:val="006E645F"/>
    <w:rPr>
      <w:rFonts w:ascii="CG Omega" w:hAnsi="CG Omega"/>
      <w:sz w:val="22"/>
      <w:szCs w:val="24"/>
      <w:lang w:eastAsia="en-US"/>
    </w:rPr>
  </w:style>
  <w:style w:type="character" w:customStyle="1" w:styleId="Heading1Char">
    <w:name w:val="Heading 1 Char"/>
    <w:link w:val="Heading1"/>
    <w:rsid w:val="001A03E1"/>
    <w:rPr>
      <w:rFonts w:ascii="Cambria" w:eastAsia="Times New Roman" w:hAnsi="Cambria" w:cs="Times New Roman"/>
      <w:b/>
      <w:bCs/>
      <w:kern w:val="32"/>
      <w:sz w:val="32"/>
      <w:szCs w:val="32"/>
      <w:lang w:eastAsia="en-US"/>
    </w:rPr>
  </w:style>
  <w:style w:type="character" w:customStyle="1" w:styleId="CommentTextChar1">
    <w:name w:val="Comment Text Char1"/>
    <w:uiPriority w:val="99"/>
    <w:semiHidden/>
    <w:rsid w:val="001A03E1"/>
    <w:rPr>
      <w:sz w:val="20"/>
      <w:szCs w:val="20"/>
    </w:rPr>
  </w:style>
  <w:style w:type="character" w:customStyle="1" w:styleId="Style1Char">
    <w:name w:val="Style1 Char"/>
    <w:basedOn w:val="DefaultParagraphFont"/>
    <w:link w:val="Style1"/>
    <w:locked/>
    <w:rsid w:val="00047C65"/>
    <w:rPr>
      <w:rFonts w:eastAsia="Calibri"/>
      <w:sz w:val="24"/>
      <w:szCs w:val="24"/>
    </w:rPr>
  </w:style>
  <w:style w:type="paragraph" w:customStyle="1" w:styleId="Style1">
    <w:name w:val="Style1"/>
    <w:basedOn w:val="ListParagraph"/>
    <w:link w:val="Style1Char"/>
    <w:qFormat/>
    <w:rsid w:val="00047C65"/>
    <w:pPr>
      <w:numPr>
        <w:numId w:val="1"/>
      </w:numPr>
      <w:spacing w:before="240"/>
      <w:ind w:left="0" w:firstLine="0"/>
    </w:pPr>
    <w:rPr>
      <w:rFonts w:ascii="Times New Roman" w:eastAsia="Calibri"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1934">
      <w:bodyDiv w:val="1"/>
      <w:marLeft w:val="0"/>
      <w:marRight w:val="0"/>
      <w:marTop w:val="0"/>
      <w:marBottom w:val="0"/>
      <w:divBdr>
        <w:top w:val="none" w:sz="0" w:space="0" w:color="auto"/>
        <w:left w:val="none" w:sz="0" w:space="0" w:color="auto"/>
        <w:bottom w:val="none" w:sz="0" w:space="0" w:color="auto"/>
        <w:right w:val="none" w:sz="0" w:space="0" w:color="auto"/>
      </w:divBdr>
    </w:div>
    <w:div w:id="144856074">
      <w:bodyDiv w:val="1"/>
      <w:marLeft w:val="0"/>
      <w:marRight w:val="0"/>
      <w:marTop w:val="0"/>
      <w:marBottom w:val="0"/>
      <w:divBdr>
        <w:top w:val="none" w:sz="0" w:space="0" w:color="auto"/>
        <w:left w:val="none" w:sz="0" w:space="0" w:color="auto"/>
        <w:bottom w:val="none" w:sz="0" w:space="0" w:color="auto"/>
        <w:right w:val="none" w:sz="0" w:space="0" w:color="auto"/>
      </w:divBdr>
    </w:div>
    <w:div w:id="263929394">
      <w:bodyDiv w:val="1"/>
      <w:marLeft w:val="0"/>
      <w:marRight w:val="0"/>
      <w:marTop w:val="0"/>
      <w:marBottom w:val="0"/>
      <w:divBdr>
        <w:top w:val="none" w:sz="0" w:space="0" w:color="auto"/>
        <w:left w:val="none" w:sz="0" w:space="0" w:color="auto"/>
        <w:bottom w:val="none" w:sz="0" w:space="0" w:color="auto"/>
        <w:right w:val="none" w:sz="0" w:space="0" w:color="auto"/>
      </w:divBdr>
    </w:div>
    <w:div w:id="268126803">
      <w:bodyDiv w:val="1"/>
      <w:marLeft w:val="0"/>
      <w:marRight w:val="0"/>
      <w:marTop w:val="0"/>
      <w:marBottom w:val="0"/>
      <w:divBdr>
        <w:top w:val="none" w:sz="0" w:space="0" w:color="auto"/>
        <w:left w:val="none" w:sz="0" w:space="0" w:color="auto"/>
        <w:bottom w:val="none" w:sz="0" w:space="0" w:color="auto"/>
        <w:right w:val="none" w:sz="0" w:space="0" w:color="auto"/>
      </w:divBdr>
    </w:div>
    <w:div w:id="327440870">
      <w:bodyDiv w:val="1"/>
      <w:marLeft w:val="0"/>
      <w:marRight w:val="0"/>
      <w:marTop w:val="0"/>
      <w:marBottom w:val="0"/>
      <w:divBdr>
        <w:top w:val="none" w:sz="0" w:space="0" w:color="auto"/>
        <w:left w:val="none" w:sz="0" w:space="0" w:color="auto"/>
        <w:bottom w:val="none" w:sz="0" w:space="0" w:color="auto"/>
        <w:right w:val="none" w:sz="0" w:space="0" w:color="auto"/>
      </w:divBdr>
    </w:div>
    <w:div w:id="1024020194">
      <w:bodyDiv w:val="1"/>
      <w:marLeft w:val="0"/>
      <w:marRight w:val="0"/>
      <w:marTop w:val="0"/>
      <w:marBottom w:val="0"/>
      <w:divBdr>
        <w:top w:val="none" w:sz="0" w:space="0" w:color="auto"/>
        <w:left w:val="none" w:sz="0" w:space="0" w:color="auto"/>
        <w:bottom w:val="none" w:sz="0" w:space="0" w:color="auto"/>
        <w:right w:val="none" w:sz="0" w:space="0" w:color="auto"/>
      </w:divBdr>
    </w:div>
    <w:div w:id="1294215146">
      <w:bodyDiv w:val="1"/>
      <w:marLeft w:val="0"/>
      <w:marRight w:val="0"/>
      <w:marTop w:val="0"/>
      <w:marBottom w:val="0"/>
      <w:divBdr>
        <w:top w:val="none" w:sz="0" w:space="0" w:color="auto"/>
        <w:left w:val="none" w:sz="0" w:space="0" w:color="auto"/>
        <w:bottom w:val="none" w:sz="0" w:space="0" w:color="auto"/>
        <w:right w:val="none" w:sz="0" w:space="0" w:color="auto"/>
      </w:divBdr>
    </w:div>
    <w:div w:id="1297375660">
      <w:bodyDiv w:val="1"/>
      <w:marLeft w:val="0"/>
      <w:marRight w:val="0"/>
      <w:marTop w:val="0"/>
      <w:marBottom w:val="0"/>
      <w:divBdr>
        <w:top w:val="none" w:sz="0" w:space="0" w:color="auto"/>
        <w:left w:val="none" w:sz="0" w:space="0" w:color="auto"/>
        <w:bottom w:val="none" w:sz="0" w:space="0" w:color="auto"/>
        <w:right w:val="none" w:sz="0" w:space="0" w:color="auto"/>
      </w:divBdr>
    </w:div>
    <w:div w:id="1364942763">
      <w:bodyDiv w:val="1"/>
      <w:marLeft w:val="0"/>
      <w:marRight w:val="0"/>
      <w:marTop w:val="0"/>
      <w:marBottom w:val="0"/>
      <w:divBdr>
        <w:top w:val="none" w:sz="0" w:space="0" w:color="auto"/>
        <w:left w:val="none" w:sz="0" w:space="0" w:color="auto"/>
        <w:bottom w:val="none" w:sz="0" w:space="0" w:color="auto"/>
        <w:right w:val="none" w:sz="0" w:space="0" w:color="auto"/>
      </w:divBdr>
    </w:div>
    <w:div w:id="1506900722">
      <w:bodyDiv w:val="1"/>
      <w:marLeft w:val="0"/>
      <w:marRight w:val="0"/>
      <w:marTop w:val="0"/>
      <w:marBottom w:val="0"/>
      <w:divBdr>
        <w:top w:val="none" w:sz="0" w:space="0" w:color="auto"/>
        <w:left w:val="none" w:sz="0" w:space="0" w:color="auto"/>
        <w:bottom w:val="none" w:sz="0" w:space="0" w:color="auto"/>
        <w:right w:val="none" w:sz="0" w:space="0" w:color="auto"/>
      </w:divBdr>
    </w:div>
    <w:div w:id="1561791439">
      <w:bodyDiv w:val="1"/>
      <w:marLeft w:val="0"/>
      <w:marRight w:val="0"/>
      <w:marTop w:val="0"/>
      <w:marBottom w:val="0"/>
      <w:divBdr>
        <w:top w:val="none" w:sz="0" w:space="0" w:color="auto"/>
        <w:left w:val="none" w:sz="0" w:space="0" w:color="auto"/>
        <w:bottom w:val="none" w:sz="0" w:space="0" w:color="auto"/>
        <w:right w:val="none" w:sz="0" w:space="0" w:color="auto"/>
      </w:divBdr>
    </w:div>
    <w:div w:id="1761363616">
      <w:bodyDiv w:val="1"/>
      <w:marLeft w:val="0"/>
      <w:marRight w:val="0"/>
      <w:marTop w:val="0"/>
      <w:marBottom w:val="0"/>
      <w:divBdr>
        <w:top w:val="none" w:sz="0" w:space="0" w:color="auto"/>
        <w:left w:val="none" w:sz="0" w:space="0" w:color="auto"/>
        <w:bottom w:val="none" w:sz="0" w:space="0" w:color="auto"/>
        <w:right w:val="none" w:sz="0" w:space="0" w:color="auto"/>
      </w:divBdr>
    </w:div>
    <w:div w:id="20447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85E2B-B111-47EB-9730-AC8CB870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5</Pages>
  <Words>1481</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pjohns</dc:creator>
  <cp:lastModifiedBy>Timothy Wright</cp:lastModifiedBy>
  <cp:revision>18</cp:revision>
  <cp:lastPrinted>2018-03-15T05:08:00Z</cp:lastPrinted>
  <dcterms:created xsi:type="dcterms:W3CDTF">2020-10-29T22:44:00Z</dcterms:created>
  <dcterms:modified xsi:type="dcterms:W3CDTF">2020-11-16T22:16:00Z</dcterms:modified>
</cp:coreProperties>
</file>