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CB" w:rsidRPr="00B42AC6" w:rsidRDefault="00E26081" w:rsidP="006E0ECB">
      <w:pPr>
        <w:pStyle w:val="NoSpacing"/>
        <w:jc w:val="center"/>
        <w:rPr>
          <w:b/>
          <w:u w:val="single"/>
        </w:rPr>
      </w:pPr>
      <w:r>
        <w:rPr>
          <w:b/>
          <w:u w:val="single"/>
        </w:rPr>
        <w:t>INTERNATIONAL ARBITRATION REGULATIONS 2020</w:t>
      </w:r>
    </w:p>
    <w:p w:rsidR="006E0ECB" w:rsidRPr="009D58FA" w:rsidRDefault="006E0ECB" w:rsidP="006E0ECB">
      <w:pPr>
        <w:pStyle w:val="NoSpacing"/>
        <w:jc w:val="center"/>
      </w:pPr>
    </w:p>
    <w:p w:rsidR="006E0ECB" w:rsidRPr="009D58FA" w:rsidRDefault="006E0ECB" w:rsidP="006E0ECB">
      <w:pPr>
        <w:pStyle w:val="NoSpacing"/>
        <w:jc w:val="center"/>
      </w:pPr>
    </w:p>
    <w:p w:rsidR="006E0ECB" w:rsidRPr="00B42AC6" w:rsidRDefault="006E0ECB" w:rsidP="006E0ECB">
      <w:pPr>
        <w:pStyle w:val="NoSpacing"/>
        <w:jc w:val="center"/>
        <w:rPr>
          <w:b/>
          <w:u w:val="single"/>
        </w:rPr>
      </w:pPr>
      <w:r w:rsidRPr="00B42AC6">
        <w:rPr>
          <w:b/>
          <w:u w:val="single"/>
        </w:rPr>
        <w:t>EXPLANATORY STATEMENT</w:t>
      </w:r>
    </w:p>
    <w:p w:rsidR="006E0ECB" w:rsidRDefault="006E0ECB" w:rsidP="006E0ECB">
      <w:pPr>
        <w:pStyle w:val="NoSpacing"/>
        <w:jc w:val="center"/>
      </w:pPr>
    </w:p>
    <w:p w:rsidR="006E0ECB" w:rsidRPr="009D58FA" w:rsidRDefault="006E0ECB" w:rsidP="006E0ECB">
      <w:pPr>
        <w:pStyle w:val="NoSpacing"/>
        <w:jc w:val="center"/>
      </w:pPr>
    </w:p>
    <w:p w:rsidR="006E0ECB" w:rsidRDefault="006E0ECB" w:rsidP="006E0ECB">
      <w:pPr>
        <w:pStyle w:val="NoSpacing"/>
        <w:jc w:val="center"/>
      </w:pPr>
      <w:r w:rsidRPr="009D58FA">
        <w:t>Issued by authority of the Attorney-General</w:t>
      </w:r>
    </w:p>
    <w:p w:rsidR="006E0ECB" w:rsidRDefault="006E0ECB" w:rsidP="006E0ECB">
      <w:pPr>
        <w:pStyle w:val="NoSpacing"/>
        <w:jc w:val="center"/>
      </w:pPr>
    </w:p>
    <w:p w:rsidR="006E0ECB" w:rsidRPr="009D58FA" w:rsidRDefault="006E0ECB" w:rsidP="006E0ECB">
      <w:pPr>
        <w:pStyle w:val="NoSpacing"/>
        <w:jc w:val="center"/>
      </w:pPr>
    </w:p>
    <w:p w:rsidR="006E0ECB" w:rsidRDefault="006E0ECB" w:rsidP="006E0ECB">
      <w:pPr>
        <w:pStyle w:val="NoSpacing"/>
        <w:jc w:val="center"/>
        <w:rPr>
          <w:i/>
        </w:rPr>
      </w:pPr>
      <w:proofErr w:type="gramStart"/>
      <w:r w:rsidRPr="009D58FA">
        <w:t>in</w:t>
      </w:r>
      <w:proofErr w:type="gramEnd"/>
      <w:r w:rsidRPr="009D58FA">
        <w:t xml:space="preserve"> compliance with section 15J of the </w:t>
      </w:r>
      <w:r w:rsidRPr="009D58FA">
        <w:rPr>
          <w:i/>
        </w:rPr>
        <w:t>Legislation Act 2003</w:t>
      </w:r>
    </w:p>
    <w:p w:rsidR="006E0ECB" w:rsidRDefault="006E0ECB" w:rsidP="006E0ECB">
      <w:pPr>
        <w:pStyle w:val="NoSpacing"/>
        <w:jc w:val="center"/>
        <w:rPr>
          <w:i/>
        </w:rPr>
      </w:pPr>
    </w:p>
    <w:p w:rsidR="006E0ECB" w:rsidRDefault="006E0ECB" w:rsidP="006E0ECB">
      <w:pPr>
        <w:pStyle w:val="NoSpacing"/>
      </w:pPr>
    </w:p>
    <w:p w:rsidR="006E0ECB" w:rsidRDefault="006E0ECB" w:rsidP="006E0ECB">
      <w:pPr>
        <w:pStyle w:val="NoSpacing"/>
        <w:rPr>
          <w:b/>
        </w:rPr>
      </w:pPr>
      <w:r>
        <w:rPr>
          <w:b/>
        </w:rPr>
        <w:t xml:space="preserve">PURPOSE AND OPERATION OF THE INSTRUMENT </w:t>
      </w:r>
    </w:p>
    <w:p w:rsidR="006E0ECB" w:rsidRDefault="006E0ECB" w:rsidP="006E0ECB">
      <w:pPr>
        <w:pStyle w:val="NoSpacing"/>
        <w:rPr>
          <w:b/>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w:t>
      </w:r>
      <w:r w:rsidRPr="00975E4F">
        <w:rPr>
          <w:rFonts w:ascii="Times New Roman" w:eastAsia="Times New Roman" w:hAnsi="Times New Roman" w:cs="Times New Roman"/>
          <w:i/>
          <w:color w:val="auto"/>
          <w:sz w:val="24"/>
          <w:lang w:eastAsia="en-AU"/>
        </w:rPr>
        <w:t>International Arbitration Regulations 2020</w:t>
      </w:r>
      <w:r>
        <w:rPr>
          <w:rFonts w:ascii="Times New Roman" w:eastAsia="Times New Roman" w:hAnsi="Times New Roman" w:cs="Times New Roman"/>
          <w:color w:val="auto"/>
          <w:sz w:val="24"/>
          <w:lang w:eastAsia="en-AU"/>
        </w:rPr>
        <w:t xml:space="preserve"> (the new Regulations) address the sunset of the </w:t>
      </w:r>
      <w:r w:rsidRPr="00975E4F">
        <w:rPr>
          <w:rFonts w:ascii="Times New Roman" w:eastAsia="Times New Roman" w:hAnsi="Times New Roman" w:cs="Times New Roman"/>
          <w:i/>
          <w:color w:val="auto"/>
          <w:sz w:val="24"/>
          <w:lang w:eastAsia="en-AU"/>
        </w:rPr>
        <w:t>International Arbitration Regulations 2011</w:t>
      </w:r>
      <w:r w:rsidR="0021122A">
        <w:rPr>
          <w:rFonts w:ascii="Times New Roman" w:eastAsia="Times New Roman" w:hAnsi="Times New Roman" w:cs="Times New Roman"/>
          <w:color w:val="auto"/>
          <w:sz w:val="24"/>
          <w:lang w:eastAsia="en-AU"/>
        </w:rPr>
        <w:t>.</w:t>
      </w:r>
      <w:r>
        <w:rPr>
          <w:rFonts w:ascii="Times New Roman" w:eastAsia="Times New Roman" w:hAnsi="Times New Roman" w:cs="Times New Roman"/>
          <w:color w:val="auto"/>
          <w:sz w:val="24"/>
          <w:lang w:eastAsia="en-AU"/>
        </w:rPr>
        <w:t xml:space="preserve"> </w:t>
      </w: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Pr="005411E2" w:rsidRDefault="006E0ECB" w:rsidP="006E0ECB">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 xml:space="preserve">The </w:t>
      </w:r>
      <w:r>
        <w:rPr>
          <w:rFonts w:ascii="Times New Roman" w:eastAsia="Times New Roman" w:hAnsi="Times New Roman" w:cs="Times New Roman"/>
          <w:i/>
          <w:color w:val="auto"/>
          <w:sz w:val="24"/>
          <w:lang w:eastAsia="en-AU"/>
        </w:rPr>
        <w:t>International Arbitration Act 1974</w:t>
      </w:r>
      <w:r w:rsidRPr="005411E2">
        <w:rPr>
          <w:rFonts w:ascii="Times New Roman" w:eastAsia="Times New Roman" w:hAnsi="Times New Roman" w:cs="Times New Roman"/>
          <w:color w:val="auto"/>
          <w:sz w:val="24"/>
          <w:lang w:eastAsia="en-AU"/>
        </w:rPr>
        <w:t xml:space="preserve"> (the Act) </w:t>
      </w:r>
      <w:r>
        <w:rPr>
          <w:rFonts w:ascii="Times New Roman" w:eastAsia="Times New Roman" w:hAnsi="Times New Roman" w:cs="Times New Roman"/>
          <w:color w:val="auto"/>
          <w:sz w:val="24"/>
          <w:lang w:eastAsia="en-AU"/>
        </w:rPr>
        <w:t xml:space="preserve">gives the force of law to the United Nations Commission on International Trade Law’s Model Law on International Commercial Arbitration (‘the Model Law’) as the law governing the conduct of international commercial arbitrations in Australia. </w:t>
      </w:r>
    </w:p>
    <w:p w:rsidR="006E0ECB" w:rsidRPr="005411E2"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Pr="005411E2"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Section 40</w:t>
      </w:r>
      <w:r w:rsidRPr="005411E2">
        <w:rPr>
          <w:rFonts w:ascii="Times New Roman" w:eastAsia="Times New Roman" w:hAnsi="Times New Roman" w:cs="Times New Roman"/>
          <w:color w:val="auto"/>
          <w:sz w:val="24"/>
          <w:lang w:eastAsia="en-AU"/>
        </w:rPr>
        <w:t xml:space="preserve"> of the Act provides that the Governo</w:t>
      </w:r>
      <w:r>
        <w:rPr>
          <w:rFonts w:ascii="Times New Roman" w:eastAsia="Times New Roman" w:hAnsi="Times New Roman" w:cs="Times New Roman"/>
          <w:color w:val="auto"/>
          <w:sz w:val="24"/>
          <w:lang w:eastAsia="en-AU"/>
        </w:rPr>
        <w:t>r</w:t>
      </w:r>
      <w:r>
        <w:rPr>
          <w:rFonts w:ascii="Times New Roman" w:eastAsia="Times New Roman" w:hAnsi="Times New Roman" w:cs="Times New Roman"/>
          <w:color w:val="auto"/>
          <w:sz w:val="24"/>
          <w:lang w:eastAsia="en-AU"/>
        </w:rPr>
        <w:noBreakHyphen/>
        <w:t xml:space="preserve">General may make regulations </w:t>
      </w:r>
      <w:r w:rsidRPr="005411E2">
        <w:rPr>
          <w:rFonts w:ascii="Times New Roman" w:eastAsia="Times New Roman" w:hAnsi="Times New Roman" w:cs="Times New Roman"/>
          <w:color w:val="auto"/>
          <w:sz w:val="24"/>
          <w:lang w:eastAsia="en-AU"/>
        </w:rPr>
        <w:t>prescribing matters required or permitted by the Act to be prescribed, or necessary or convenient to be prescribed</w:t>
      </w:r>
      <w:r>
        <w:rPr>
          <w:rFonts w:ascii="Times New Roman" w:eastAsia="Times New Roman" w:hAnsi="Times New Roman" w:cs="Times New Roman"/>
          <w:color w:val="auto"/>
          <w:sz w:val="24"/>
          <w:lang w:eastAsia="en-AU"/>
        </w:rPr>
        <w:t>,</w:t>
      </w:r>
      <w:r w:rsidRPr="005411E2">
        <w:rPr>
          <w:rFonts w:ascii="Times New Roman" w:eastAsia="Times New Roman" w:hAnsi="Times New Roman" w:cs="Times New Roman"/>
          <w:color w:val="auto"/>
          <w:sz w:val="24"/>
          <w:lang w:eastAsia="en-AU"/>
        </w:rPr>
        <w:t xml:space="preserve"> for carrying out or giving effect to the Act.</w:t>
      </w:r>
    </w:p>
    <w:p w:rsidR="006E0ECB" w:rsidRPr="005411E2"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Pr="005411E2"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Section 18 of the Act</w:t>
      </w:r>
      <w:r w:rsidRPr="005411E2">
        <w:rPr>
          <w:rFonts w:ascii="Times New Roman" w:eastAsia="Times New Roman" w:hAnsi="Times New Roman" w:cs="Times New Roman"/>
          <w:color w:val="auto"/>
          <w:sz w:val="24"/>
          <w:lang w:eastAsia="en-AU"/>
        </w:rPr>
        <w:t xml:space="preserve"> provides </w:t>
      </w:r>
      <w:r>
        <w:rPr>
          <w:rFonts w:ascii="Times New Roman" w:eastAsia="Times New Roman" w:hAnsi="Times New Roman" w:cs="Times New Roman"/>
          <w:color w:val="auto"/>
          <w:sz w:val="24"/>
          <w:lang w:eastAsia="en-AU"/>
        </w:rPr>
        <w:t xml:space="preserve">that a court or authority prescribed for the purposes of subsections 18(1) and (2) is taken to have been specified in Article 6 of the Model Law as an authority competent to perform the functions referred to in Articles 11(3) and (4) of the Model Law. </w:t>
      </w: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Article 11(3) of the Model Law sets out a default procedure for the appointment of an arbitrator or arbitrators where the parties have not agreed on an appointment process between themselves. Where this default procedure breaks down, a competent authority specified in Article 6 may be called upon, at the request of a party, to make the necessary appointment or appointments. </w:t>
      </w: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Article 11(4) of the Model Law applies where the parties have agreed on a procedure for the appointment of an arbitrator or arbitrators between themselves but this procedure has broken down. Where this occurs, Article 11(4) provides for a competent authority specified in Article 6 to make the necessary appointment or appointments, at the request of a party. </w:t>
      </w: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Prior to the enactment of the </w:t>
      </w:r>
      <w:r>
        <w:rPr>
          <w:rFonts w:ascii="Times New Roman" w:eastAsia="Times New Roman" w:hAnsi="Times New Roman" w:cs="Times New Roman"/>
          <w:i/>
          <w:color w:val="auto"/>
          <w:sz w:val="24"/>
          <w:lang w:eastAsia="en-AU"/>
        </w:rPr>
        <w:t xml:space="preserve">International Arbitration Amendment Act </w:t>
      </w:r>
      <w:r w:rsidRPr="005133B0">
        <w:rPr>
          <w:rFonts w:ascii="Times New Roman" w:eastAsia="Times New Roman" w:hAnsi="Times New Roman" w:cs="Times New Roman"/>
          <w:i/>
          <w:color w:val="auto"/>
          <w:sz w:val="24"/>
          <w:lang w:eastAsia="en-AU"/>
        </w:rPr>
        <w:t>2010</w:t>
      </w:r>
      <w:r>
        <w:rPr>
          <w:rFonts w:ascii="Times New Roman" w:eastAsia="Times New Roman" w:hAnsi="Times New Roman" w:cs="Times New Roman"/>
          <w:color w:val="auto"/>
          <w:sz w:val="24"/>
          <w:lang w:eastAsia="en-AU"/>
        </w:rPr>
        <w:t xml:space="preserve"> (the Amendment Act), these functions were performed exclusively by the courts. The Amendment Act amended </w:t>
      </w:r>
      <w:r w:rsidRPr="00785532">
        <w:rPr>
          <w:rFonts w:ascii="Times New Roman" w:eastAsia="Times New Roman" w:hAnsi="Times New Roman" w:cs="Times New Roman"/>
          <w:color w:val="auto"/>
          <w:sz w:val="24"/>
          <w:lang w:eastAsia="en-AU"/>
        </w:rPr>
        <w:t>section</w:t>
      </w:r>
      <w:r>
        <w:rPr>
          <w:rFonts w:ascii="Times New Roman" w:eastAsia="Times New Roman" w:hAnsi="Times New Roman" w:cs="Times New Roman"/>
          <w:color w:val="auto"/>
          <w:sz w:val="24"/>
          <w:lang w:eastAsia="en-AU"/>
        </w:rPr>
        <w:t xml:space="preserve"> 18 of the Act to allow for the appointment of bodies other than the courts to perform these functions either alongside or in substitution for the courts. That process for reform of the Act was the subject of an extensive consultation process involving public submissions. </w:t>
      </w:r>
    </w:p>
    <w:p w:rsidR="0021122A" w:rsidRDefault="0021122A"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lastRenderedPageBreak/>
        <w:t xml:space="preserve">The Regulations were then made to prescribe the Australian Centre for International Commercial Arbitration (ACICA) as the </w:t>
      </w:r>
      <w:r w:rsidRPr="00B53273">
        <w:rPr>
          <w:rFonts w:ascii="Times New Roman" w:eastAsia="Times New Roman" w:hAnsi="Times New Roman" w:cs="Times New Roman"/>
          <w:color w:val="auto"/>
          <w:sz w:val="24"/>
          <w:lang w:eastAsia="en-AU"/>
        </w:rPr>
        <w:t>sole competent authority</w:t>
      </w:r>
      <w:r>
        <w:rPr>
          <w:rFonts w:ascii="Times New Roman" w:eastAsia="Times New Roman" w:hAnsi="Times New Roman" w:cs="Times New Roman"/>
          <w:color w:val="auto"/>
          <w:sz w:val="24"/>
          <w:lang w:eastAsia="en-AU"/>
        </w:rPr>
        <w:t xml:space="preserve"> specified in the Regulations to perform these appointment functions following consultation with a number of stakeholders, </w:t>
      </w:r>
      <w:r w:rsidRPr="00B32673">
        <w:rPr>
          <w:rFonts w:ascii="Times New Roman" w:eastAsia="Times New Roman" w:hAnsi="Times New Roman" w:cs="Times New Roman"/>
          <w:color w:val="auto"/>
          <w:sz w:val="24"/>
          <w:lang w:eastAsia="en-AU"/>
        </w:rPr>
        <w:t>including the federal judiciary</w:t>
      </w:r>
      <w:r>
        <w:rPr>
          <w:rFonts w:ascii="Times New Roman" w:eastAsia="Times New Roman" w:hAnsi="Times New Roman" w:cs="Times New Roman"/>
          <w:color w:val="auto"/>
          <w:sz w:val="24"/>
          <w:lang w:eastAsia="en-AU"/>
        </w:rPr>
        <w:t xml:space="preserve">. This was on the basis that these important, but largely administrative appointment functions, should be performed by an international arbitral institution in order to ensure speed and efficiency in this critical aspect of the arbitration process, and to apply the expertise and knowledge that an international arbitral institution has to appointments. ACICA is a national peak body for international commercial arbitrators in Australia. </w:t>
      </w: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Pr="0021122A"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w:t>
      </w:r>
      <w:r w:rsidR="0021122A">
        <w:rPr>
          <w:rFonts w:ascii="Times New Roman" w:eastAsia="Times New Roman" w:hAnsi="Times New Roman" w:cs="Times New Roman"/>
          <w:i/>
          <w:color w:val="auto"/>
          <w:sz w:val="24"/>
          <w:lang w:eastAsia="en-AU"/>
        </w:rPr>
        <w:t xml:space="preserve">International Arbitration Regulations 2011 </w:t>
      </w:r>
      <w:r w:rsidR="0021122A">
        <w:rPr>
          <w:rFonts w:ascii="Times New Roman" w:eastAsia="Times New Roman" w:hAnsi="Times New Roman" w:cs="Times New Roman"/>
          <w:color w:val="auto"/>
          <w:sz w:val="24"/>
          <w:lang w:eastAsia="en-AU"/>
        </w:rPr>
        <w:t xml:space="preserve">sunset </w:t>
      </w:r>
      <w:r>
        <w:rPr>
          <w:rFonts w:ascii="Times New Roman" w:eastAsia="Times New Roman" w:hAnsi="Times New Roman" w:cs="Times New Roman"/>
          <w:color w:val="auto"/>
          <w:sz w:val="24"/>
          <w:lang w:eastAsia="en-AU"/>
        </w:rPr>
        <w:t>on 1 April 2021. The new Regulations remake the</w:t>
      </w:r>
      <w:r w:rsidR="0021122A">
        <w:rPr>
          <w:rFonts w:ascii="Times New Roman" w:eastAsia="Times New Roman" w:hAnsi="Times New Roman" w:cs="Times New Roman"/>
          <w:color w:val="auto"/>
          <w:sz w:val="24"/>
          <w:lang w:eastAsia="en-AU"/>
        </w:rPr>
        <w:t xml:space="preserve"> </w:t>
      </w:r>
      <w:r w:rsidR="0021122A">
        <w:rPr>
          <w:rFonts w:ascii="Times New Roman" w:eastAsia="Times New Roman" w:hAnsi="Times New Roman" w:cs="Times New Roman"/>
          <w:i/>
          <w:color w:val="auto"/>
          <w:sz w:val="24"/>
          <w:lang w:eastAsia="en-AU"/>
        </w:rPr>
        <w:t>Internation</w:t>
      </w:r>
      <w:r w:rsidR="0021122A">
        <w:rPr>
          <w:rFonts w:ascii="Times New Roman" w:eastAsia="Times New Roman" w:hAnsi="Times New Roman" w:cs="Times New Roman"/>
          <w:i/>
          <w:color w:val="auto"/>
          <w:sz w:val="24"/>
          <w:lang w:eastAsia="en-AU"/>
        </w:rPr>
        <w:t>al Arbitration Regulations 2011</w:t>
      </w:r>
      <w:r>
        <w:rPr>
          <w:rFonts w:ascii="Times New Roman" w:eastAsia="Times New Roman" w:hAnsi="Times New Roman" w:cs="Times New Roman"/>
          <w:color w:val="auto"/>
          <w:sz w:val="24"/>
          <w:lang w:eastAsia="en-AU"/>
        </w:rPr>
        <w:t xml:space="preserve"> and continue to </w:t>
      </w:r>
      <w:r w:rsidRPr="005411E2">
        <w:rPr>
          <w:rFonts w:ascii="Times New Roman" w:eastAsia="Times New Roman" w:hAnsi="Times New Roman" w:cs="Times New Roman"/>
          <w:color w:val="auto"/>
          <w:sz w:val="24"/>
          <w:lang w:eastAsia="en-AU"/>
        </w:rPr>
        <w:t>prescribe</w:t>
      </w:r>
      <w:r>
        <w:rPr>
          <w:rFonts w:ascii="Times New Roman" w:eastAsia="Times New Roman" w:hAnsi="Times New Roman" w:cs="Times New Roman"/>
          <w:color w:val="auto"/>
          <w:sz w:val="24"/>
          <w:lang w:eastAsia="en-AU"/>
        </w:rPr>
        <w:t xml:space="preserve"> ACICA as the sole competent authority to perform the appointment functions set out in Articles 11(3) and (4) of the Model law. The new Regulations also repeal the </w:t>
      </w:r>
      <w:r w:rsidR="0021122A">
        <w:rPr>
          <w:rFonts w:ascii="Times New Roman" w:eastAsia="Times New Roman" w:hAnsi="Times New Roman" w:cs="Times New Roman"/>
          <w:i/>
          <w:color w:val="auto"/>
          <w:sz w:val="24"/>
          <w:lang w:eastAsia="en-AU"/>
        </w:rPr>
        <w:t>International Arbitration Regulations 2011</w:t>
      </w:r>
      <w:r w:rsidR="0021122A">
        <w:rPr>
          <w:rFonts w:ascii="Times New Roman" w:eastAsia="Times New Roman" w:hAnsi="Times New Roman" w:cs="Times New Roman"/>
          <w:color w:val="auto"/>
          <w:sz w:val="24"/>
          <w:lang w:eastAsia="en-AU"/>
        </w:rPr>
        <w:t>.</w:t>
      </w:r>
    </w:p>
    <w:p w:rsidR="006E0ECB" w:rsidRPr="00DC5ADC"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6E0ECB">
      <w:pPr>
        <w:spacing w:after="0" w:line="240" w:lineRule="auto"/>
        <w:ind w:right="91"/>
        <w:rPr>
          <w:rFonts w:ascii="Times New Roman" w:eastAsia="Times New Roman" w:hAnsi="Times New Roman" w:cs="Times New Roman"/>
          <w:b/>
          <w:color w:val="auto"/>
          <w:sz w:val="24"/>
          <w:lang w:eastAsia="en-AU"/>
        </w:rPr>
      </w:pPr>
      <w:r>
        <w:rPr>
          <w:rFonts w:ascii="Times New Roman" w:eastAsia="Times New Roman" w:hAnsi="Times New Roman" w:cs="Times New Roman"/>
          <w:b/>
          <w:color w:val="auto"/>
          <w:sz w:val="24"/>
          <w:lang w:eastAsia="en-AU"/>
        </w:rPr>
        <w:t>CONSULTATION</w:t>
      </w:r>
    </w:p>
    <w:p w:rsidR="006E0ECB" w:rsidRDefault="006E0ECB" w:rsidP="006E0ECB">
      <w:pPr>
        <w:spacing w:after="0" w:line="240" w:lineRule="auto"/>
        <w:ind w:right="91"/>
        <w:rPr>
          <w:rFonts w:ascii="Times New Roman" w:eastAsia="Times New Roman" w:hAnsi="Times New Roman" w:cs="Times New Roman"/>
          <w:b/>
          <w:color w:val="auto"/>
          <w:sz w:val="24"/>
          <w:lang w:eastAsia="en-AU"/>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The Attorney-General’s Department conducted targeted consultation with key arbitration stakeholders including ACICA, the Chartered Institute of Arbitrators (Australia), the Australian Bar Association, the Law Council of Australia, and the Federal Court of Australia. The outcom</w:t>
      </w:r>
      <w:r w:rsidR="0021122A">
        <w:rPr>
          <w:rFonts w:ascii="Times New Roman" w:eastAsia="Times New Roman" w:hAnsi="Times New Roman" w:cs="Times New Roman"/>
          <w:color w:val="auto"/>
          <w:sz w:val="24"/>
          <w:lang w:eastAsia="en-AU"/>
        </w:rPr>
        <w:t xml:space="preserve">es of the consultation process </w:t>
      </w:r>
      <w:r>
        <w:rPr>
          <w:rFonts w:ascii="Times New Roman" w:eastAsia="Times New Roman" w:hAnsi="Times New Roman" w:cs="Times New Roman"/>
          <w:color w:val="auto"/>
          <w:sz w:val="24"/>
          <w:lang w:eastAsia="en-AU"/>
        </w:rPr>
        <w:t>raised no concerns with the current arrangements and emphasised the importance and appropriateness for the appointment functions in Articles 11(3) and (4) of the Model Law to continue to sit with an international arbitral institution that has the expertise to deal with complex applications efficiently. It also emphasised</w:t>
      </w:r>
      <w:r w:rsidR="0021122A">
        <w:rPr>
          <w:rFonts w:ascii="Times New Roman" w:eastAsia="Times New Roman" w:hAnsi="Times New Roman" w:cs="Times New Roman"/>
          <w:color w:val="auto"/>
          <w:sz w:val="24"/>
          <w:lang w:eastAsia="en-AU"/>
        </w:rPr>
        <w:t xml:space="preserve"> that</w:t>
      </w:r>
      <w:r>
        <w:rPr>
          <w:rFonts w:ascii="Times New Roman" w:eastAsia="Times New Roman" w:hAnsi="Times New Roman" w:cs="Times New Roman"/>
          <w:color w:val="auto"/>
          <w:sz w:val="24"/>
          <w:lang w:eastAsia="en-AU"/>
        </w:rPr>
        <w:t xml:space="preserve"> this continues to be appropriate given that industry bodies may have more direct knowledge of who would be a suitable arbitrator or arbitrators to resolve a particular dispute.</w:t>
      </w:r>
    </w:p>
    <w:p w:rsidR="006E0ECB" w:rsidRDefault="006E0ECB" w:rsidP="006E0ECB">
      <w:pPr>
        <w:spacing w:after="0" w:line="240" w:lineRule="auto"/>
        <w:ind w:right="91"/>
        <w:rPr>
          <w:rFonts w:ascii="Times New Roman" w:eastAsia="Times New Roman" w:hAnsi="Times New Roman" w:cs="Times New Roman"/>
          <w:b/>
          <w:color w:val="auto"/>
          <w:sz w:val="24"/>
          <w:lang w:eastAsia="en-AU"/>
        </w:rPr>
      </w:pPr>
    </w:p>
    <w:p w:rsidR="006E0ECB" w:rsidRDefault="006E0ECB" w:rsidP="006E0ECB">
      <w:pPr>
        <w:spacing w:after="0" w:line="240" w:lineRule="auto"/>
        <w:ind w:right="91"/>
        <w:rPr>
          <w:rFonts w:ascii="Times New Roman" w:eastAsia="Times New Roman" w:hAnsi="Times New Roman" w:cs="Times New Roman"/>
          <w:b/>
          <w:color w:val="auto"/>
          <w:sz w:val="24"/>
          <w:u w:val="single"/>
          <w:lang w:eastAsia="en-AU"/>
        </w:rPr>
      </w:pPr>
      <w:r>
        <w:rPr>
          <w:rFonts w:ascii="Times New Roman" w:eastAsia="Times New Roman" w:hAnsi="Times New Roman" w:cs="Times New Roman"/>
          <w:color w:val="auto"/>
          <w:sz w:val="24"/>
          <w:lang w:eastAsia="en-AU"/>
        </w:rPr>
        <w:t xml:space="preserve">Details of </w:t>
      </w:r>
      <w:r w:rsidR="00CF4D14">
        <w:rPr>
          <w:rFonts w:ascii="Times New Roman" w:eastAsia="Times New Roman" w:hAnsi="Times New Roman" w:cs="Times New Roman"/>
          <w:color w:val="auto"/>
          <w:sz w:val="24"/>
          <w:lang w:eastAsia="en-AU"/>
        </w:rPr>
        <w:t>the new</w:t>
      </w:r>
      <w:r w:rsidR="0021122A">
        <w:rPr>
          <w:rFonts w:ascii="Times New Roman" w:eastAsia="Times New Roman" w:hAnsi="Times New Roman" w:cs="Times New Roman"/>
          <w:color w:val="auto"/>
          <w:sz w:val="24"/>
          <w:lang w:eastAsia="en-AU"/>
        </w:rPr>
        <w:t xml:space="preserve"> Regulations are set out in</w:t>
      </w:r>
      <w:r>
        <w:rPr>
          <w:rFonts w:ascii="Times New Roman" w:eastAsia="Times New Roman" w:hAnsi="Times New Roman" w:cs="Times New Roman"/>
          <w:color w:val="auto"/>
          <w:sz w:val="24"/>
          <w:lang w:eastAsia="en-AU"/>
        </w:rPr>
        <w:t xml:space="preserve"> </w:t>
      </w:r>
      <w:r w:rsidRPr="009B2723">
        <w:rPr>
          <w:rFonts w:ascii="Times New Roman" w:eastAsia="Times New Roman" w:hAnsi="Times New Roman" w:cs="Times New Roman"/>
          <w:b/>
          <w:color w:val="auto"/>
          <w:sz w:val="24"/>
          <w:u w:val="single"/>
          <w:lang w:eastAsia="en-AU"/>
        </w:rPr>
        <w:t>Attachment</w:t>
      </w:r>
      <w:r w:rsidR="00CF4D14" w:rsidRPr="009B2723">
        <w:rPr>
          <w:rFonts w:ascii="Times New Roman" w:eastAsia="Times New Roman" w:hAnsi="Times New Roman" w:cs="Times New Roman"/>
          <w:b/>
          <w:color w:val="auto"/>
          <w:sz w:val="24"/>
          <w:u w:val="single"/>
          <w:lang w:eastAsia="en-AU"/>
        </w:rPr>
        <w:t xml:space="preserve"> A</w:t>
      </w:r>
      <w:r w:rsidRPr="009B2723">
        <w:rPr>
          <w:rFonts w:ascii="Times New Roman" w:eastAsia="Times New Roman" w:hAnsi="Times New Roman" w:cs="Times New Roman"/>
          <w:b/>
          <w:color w:val="auto"/>
          <w:sz w:val="24"/>
          <w:u w:val="single"/>
          <w:lang w:eastAsia="en-AU"/>
        </w:rPr>
        <w:t>.</w:t>
      </w:r>
      <w:r w:rsidRPr="00444792">
        <w:rPr>
          <w:rFonts w:ascii="Times New Roman" w:eastAsia="Times New Roman" w:hAnsi="Times New Roman" w:cs="Times New Roman"/>
          <w:color w:val="auto"/>
          <w:sz w:val="24"/>
          <w:u w:val="single"/>
          <w:lang w:eastAsia="en-AU"/>
        </w:rPr>
        <w:t xml:space="preserve"> </w:t>
      </w:r>
    </w:p>
    <w:p w:rsidR="006E0ECB" w:rsidRDefault="006E0ECB" w:rsidP="006E0ECB">
      <w:pPr>
        <w:spacing w:after="0" w:line="240" w:lineRule="auto"/>
        <w:ind w:right="91"/>
        <w:rPr>
          <w:rFonts w:ascii="Times New Roman" w:eastAsia="Times New Roman" w:hAnsi="Times New Roman" w:cs="Times New Roman"/>
          <w:b/>
          <w:color w:val="auto"/>
          <w:sz w:val="24"/>
          <w:lang w:eastAsia="en-AU"/>
        </w:rPr>
      </w:pPr>
    </w:p>
    <w:p w:rsidR="006E0ECB" w:rsidRDefault="00CF4D14" w:rsidP="006E0EC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A Statement of Compatibility with Human Rights is at </w:t>
      </w:r>
      <w:r w:rsidRPr="009B2723">
        <w:rPr>
          <w:rFonts w:ascii="Times New Roman" w:eastAsia="Times New Roman" w:hAnsi="Times New Roman" w:cs="Times New Roman"/>
          <w:b/>
          <w:color w:val="auto"/>
          <w:sz w:val="24"/>
          <w:u w:val="single"/>
          <w:lang w:eastAsia="en-AU"/>
        </w:rPr>
        <w:t>Attachment B.</w:t>
      </w:r>
      <w:r>
        <w:rPr>
          <w:rFonts w:ascii="Times New Roman" w:eastAsia="Times New Roman" w:hAnsi="Times New Roman" w:cs="Times New Roman"/>
          <w:color w:val="auto"/>
          <w:sz w:val="24"/>
          <w:lang w:eastAsia="en-AU"/>
        </w:rPr>
        <w:t xml:space="preserve"> </w:t>
      </w: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CF4D14">
      <w:pPr>
        <w:spacing w:after="0" w:line="240" w:lineRule="auto"/>
        <w:ind w:right="91"/>
        <w:rPr>
          <w:rFonts w:ascii="Times New Roman" w:eastAsia="Times New Roman" w:hAnsi="Times New Roman" w:cs="Times New Roman"/>
          <w:i/>
          <w:color w:val="auto"/>
          <w:sz w:val="24"/>
          <w:lang w:eastAsia="en-AU"/>
        </w:rPr>
      </w:pPr>
      <w:r>
        <w:rPr>
          <w:rFonts w:ascii="Times New Roman" w:eastAsia="Times New Roman" w:hAnsi="Times New Roman" w:cs="Times New Roman"/>
          <w:color w:val="auto"/>
          <w:sz w:val="24"/>
          <w:lang w:eastAsia="en-AU"/>
        </w:rPr>
        <w:tab/>
      </w:r>
      <w:r>
        <w:rPr>
          <w:rFonts w:ascii="Times New Roman" w:eastAsia="Times New Roman" w:hAnsi="Times New Roman" w:cs="Times New Roman"/>
          <w:color w:val="auto"/>
          <w:sz w:val="24"/>
          <w:lang w:eastAsia="en-AU"/>
        </w:rPr>
        <w:tab/>
      </w:r>
      <w:r>
        <w:rPr>
          <w:rFonts w:ascii="Times New Roman" w:eastAsia="Times New Roman" w:hAnsi="Times New Roman" w:cs="Times New Roman"/>
          <w:color w:val="auto"/>
          <w:sz w:val="24"/>
          <w:lang w:eastAsia="en-AU"/>
        </w:rPr>
        <w:tab/>
      </w:r>
      <w:r>
        <w:rPr>
          <w:rFonts w:ascii="Times New Roman" w:eastAsia="Times New Roman" w:hAnsi="Times New Roman" w:cs="Times New Roman"/>
          <w:color w:val="auto"/>
          <w:sz w:val="24"/>
          <w:lang w:eastAsia="en-AU"/>
        </w:rPr>
        <w:tab/>
      </w:r>
      <w:r>
        <w:rPr>
          <w:rFonts w:ascii="Times New Roman" w:eastAsia="Times New Roman" w:hAnsi="Times New Roman" w:cs="Times New Roman"/>
          <w:color w:val="auto"/>
          <w:sz w:val="24"/>
          <w:lang w:eastAsia="en-AU"/>
        </w:rPr>
        <w:tab/>
      </w:r>
    </w:p>
    <w:p w:rsidR="006E0ECB" w:rsidRDefault="006E0ECB" w:rsidP="006E0ECB">
      <w:pPr>
        <w:spacing w:after="0" w:line="240" w:lineRule="auto"/>
        <w:ind w:right="91"/>
        <w:rPr>
          <w:rFonts w:ascii="Times New Roman" w:eastAsia="Times New Roman" w:hAnsi="Times New Roman" w:cs="Times New Roman"/>
          <w:i/>
          <w:color w:val="auto"/>
          <w:sz w:val="24"/>
          <w:lang w:eastAsia="en-AU"/>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6E0ECB">
      <w:pPr>
        <w:spacing w:after="0" w:line="240" w:lineRule="auto"/>
        <w:ind w:right="91"/>
        <w:rPr>
          <w:rFonts w:ascii="Times New Roman" w:eastAsia="Times New Roman" w:hAnsi="Times New Roman" w:cs="Times New Roman"/>
          <w:color w:val="auto"/>
          <w:sz w:val="24"/>
          <w:lang w:eastAsia="en-AU"/>
        </w:rPr>
      </w:pPr>
    </w:p>
    <w:p w:rsidR="006E0ECB"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CF4D14" w:rsidRDefault="00CF4D14"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CF4D14" w:rsidRDefault="00CF4D14"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CF4D14" w:rsidRDefault="00CF4D14"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CF4D14" w:rsidRDefault="00CF4D14"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CF4D14" w:rsidRDefault="00CF4D14"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CF4D14" w:rsidRDefault="00CF4D14"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CF4D14" w:rsidRDefault="00CF4D14"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Pr="00E20AF1"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Default="006E0ECB" w:rsidP="006E0ECB">
      <w:pPr>
        <w:spacing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w:t>
      </w:r>
      <w:r w:rsidR="00CF4D14">
        <w:rPr>
          <w:rFonts w:ascii="Times New Roman" w:hAnsi="Times New Roman" w:cs="Times New Roman"/>
          <w:b/>
          <w:sz w:val="24"/>
          <w:szCs w:val="24"/>
          <w:u w:val="single"/>
        </w:rPr>
        <w:t xml:space="preserve"> A</w:t>
      </w:r>
    </w:p>
    <w:p w:rsidR="006E0ECB" w:rsidRDefault="006E0ECB" w:rsidP="006E0ECB">
      <w:pPr>
        <w:spacing w:line="240" w:lineRule="auto"/>
        <w:jc w:val="right"/>
        <w:rPr>
          <w:rFonts w:ascii="Times New Roman" w:hAnsi="Times New Roman" w:cs="Times New Roman"/>
          <w:b/>
          <w:sz w:val="24"/>
          <w:szCs w:val="24"/>
          <w:u w:val="single"/>
        </w:rPr>
      </w:pPr>
    </w:p>
    <w:p w:rsidR="006E0ECB" w:rsidRPr="00061DAB" w:rsidRDefault="006E0ECB" w:rsidP="006E0ECB">
      <w:pPr>
        <w:spacing w:line="240" w:lineRule="auto"/>
        <w:rPr>
          <w:rFonts w:ascii="Times New Roman" w:hAnsi="Times New Roman" w:cs="Times New Roman"/>
          <w:b/>
          <w:i/>
          <w:sz w:val="24"/>
          <w:szCs w:val="24"/>
          <w:u w:val="single"/>
        </w:rPr>
      </w:pPr>
      <w:r w:rsidRPr="00061DAB">
        <w:rPr>
          <w:rFonts w:ascii="Times New Roman" w:hAnsi="Times New Roman" w:cs="Times New Roman"/>
          <w:b/>
          <w:sz w:val="24"/>
          <w:szCs w:val="24"/>
          <w:u w:val="single"/>
        </w:rPr>
        <w:t xml:space="preserve">Details of the proposed </w:t>
      </w:r>
      <w:r w:rsidRPr="00061DAB">
        <w:rPr>
          <w:rFonts w:ascii="Times New Roman" w:hAnsi="Times New Roman" w:cs="Times New Roman"/>
          <w:b/>
          <w:i/>
          <w:sz w:val="24"/>
          <w:szCs w:val="24"/>
          <w:u w:val="single"/>
        </w:rPr>
        <w:t>International Arbitration Regulations 2020</w:t>
      </w:r>
      <w:r>
        <w:rPr>
          <w:rFonts w:ascii="Times New Roman" w:hAnsi="Times New Roman" w:cs="Times New Roman"/>
          <w:b/>
          <w:i/>
          <w:sz w:val="24"/>
          <w:szCs w:val="24"/>
          <w:u w:val="single"/>
        </w:rPr>
        <w:br/>
      </w:r>
    </w:p>
    <w:p w:rsidR="006E0ECB" w:rsidRDefault="006E0ECB" w:rsidP="006E0ECB">
      <w:pPr>
        <w:spacing w:line="240" w:lineRule="auto"/>
        <w:rPr>
          <w:rFonts w:ascii="Times New Roman" w:hAnsi="Times New Roman" w:cs="Times New Roman"/>
          <w:sz w:val="24"/>
          <w:szCs w:val="24"/>
          <w:u w:val="single"/>
        </w:rPr>
      </w:pPr>
      <w:r w:rsidRPr="00061DAB">
        <w:rPr>
          <w:rFonts w:ascii="Times New Roman" w:hAnsi="Times New Roman" w:cs="Times New Roman"/>
          <w:sz w:val="24"/>
          <w:szCs w:val="24"/>
          <w:u w:val="single"/>
        </w:rPr>
        <w:t xml:space="preserve">Section 1 – Name </w:t>
      </w:r>
    </w:p>
    <w:p w:rsidR="006E0ECB" w:rsidRDefault="006E0ECB" w:rsidP="006E0ECB">
      <w:pPr>
        <w:spacing w:line="240" w:lineRule="auto"/>
        <w:rPr>
          <w:rFonts w:ascii="Times New Roman" w:hAnsi="Times New Roman" w:cs="Times New Roman"/>
          <w:i/>
          <w:sz w:val="24"/>
          <w:szCs w:val="24"/>
        </w:rPr>
      </w:pPr>
      <w:r>
        <w:rPr>
          <w:rFonts w:ascii="Times New Roman" w:hAnsi="Times New Roman" w:cs="Times New Roman"/>
          <w:sz w:val="24"/>
          <w:szCs w:val="24"/>
        </w:rPr>
        <w:t xml:space="preserve">This section provides that the title of the Regulations is the </w:t>
      </w:r>
      <w:r>
        <w:rPr>
          <w:rFonts w:ascii="Times New Roman" w:hAnsi="Times New Roman" w:cs="Times New Roman"/>
          <w:i/>
          <w:sz w:val="24"/>
          <w:szCs w:val="24"/>
        </w:rPr>
        <w:t xml:space="preserve">International Arbitration Regulations 2020. </w:t>
      </w:r>
      <w:r>
        <w:rPr>
          <w:rFonts w:ascii="Times New Roman" w:hAnsi="Times New Roman" w:cs="Times New Roman"/>
          <w:i/>
          <w:sz w:val="24"/>
          <w:szCs w:val="24"/>
        </w:rPr>
        <w:br/>
      </w:r>
    </w:p>
    <w:p w:rsidR="006E0ECB" w:rsidRDefault="006E0ECB" w:rsidP="006E0ECB">
      <w:pPr>
        <w:spacing w:line="240" w:lineRule="auto"/>
        <w:rPr>
          <w:rFonts w:ascii="Times New Roman" w:hAnsi="Times New Roman" w:cs="Times New Roman"/>
          <w:sz w:val="24"/>
          <w:szCs w:val="24"/>
          <w:u w:val="single"/>
        </w:rPr>
      </w:pPr>
      <w:r w:rsidRPr="00061DAB">
        <w:rPr>
          <w:rFonts w:ascii="Times New Roman" w:hAnsi="Times New Roman" w:cs="Times New Roman"/>
          <w:sz w:val="24"/>
          <w:szCs w:val="24"/>
          <w:u w:val="single"/>
        </w:rPr>
        <w:t>Section 2 – Commencement</w:t>
      </w:r>
    </w:p>
    <w:p w:rsidR="006E0ECB" w:rsidRPr="00E03B33" w:rsidRDefault="006E0ECB" w:rsidP="006E0ECB">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Regulations commence on the day after the instrument is registered. </w:t>
      </w:r>
      <w:r>
        <w:rPr>
          <w:rFonts w:ascii="Times New Roman" w:hAnsi="Times New Roman" w:cs="Times New Roman"/>
          <w:sz w:val="24"/>
          <w:szCs w:val="24"/>
        </w:rPr>
        <w:br/>
      </w:r>
    </w:p>
    <w:p w:rsidR="006E0ECB" w:rsidRDefault="006E0ECB" w:rsidP="006E0ECB">
      <w:pPr>
        <w:spacing w:line="240" w:lineRule="auto"/>
        <w:rPr>
          <w:rFonts w:ascii="Times New Roman" w:hAnsi="Times New Roman" w:cs="Times New Roman"/>
          <w:sz w:val="24"/>
          <w:szCs w:val="24"/>
          <w:u w:val="single"/>
        </w:rPr>
      </w:pPr>
      <w:r w:rsidRPr="00061DAB">
        <w:rPr>
          <w:rFonts w:ascii="Times New Roman" w:hAnsi="Times New Roman" w:cs="Times New Roman"/>
          <w:sz w:val="24"/>
          <w:szCs w:val="24"/>
          <w:u w:val="single"/>
        </w:rPr>
        <w:t xml:space="preserve">Section 3 – Authority </w:t>
      </w:r>
    </w:p>
    <w:p w:rsidR="006E0ECB" w:rsidRPr="003311D0" w:rsidRDefault="006E0ECB" w:rsidP="006E0ECB">
      <w:pPr>
        <w:spacing w:line="240" w:lineRule="auto"/>
        <w:rPr>
          <w:rFonts w:ascii="Times New Roman" w:hAnsi="Times New Roman" w:cs="Times New Roman"/>
          <w:i/>
          <w:sz w:val="24"/>
          <w:szCs w:val="24"/>
        </w:rPr>
      </w:pPr>
      <w:r>
        <w:rPr>
          <w:rFonts w:ascii="Times New Roman" w:hAnsi="Times New Roman" w:cs="Times New Roman"/>
          <w:sz w:val="24"/>
          <w:szCs w:val="24"/>
        </w:rPr>
        <w:t xml:space="preserve">This section provides that the </w:t>
      </w:r>
      <w:r>
        <w:rPr>
          <w:rFonts w:ascii="Times New Roman" w:hAnsi="Times New Roman" w:cs="Times New Roman"/>
          <w:i/>
          <w:sz w:val="24"/>
          <w:szCs w:val="24"/>
        </w:rPr>
        <w:t xml:space="preserve">International Arbitration Regulations 2020 </w:t>
      </w:r>
      <w:r>
        <w:rPr>
          <w:rFonts w:ascii="Times New Roman" w:hAnsi="Times New Roman" w:cs="Times New Roman"/>
          <w:sz w:val="24"/>
          <w:szCs w:val="24"/>
        </w:rPr>
        <w:t xml:space="preserve">are made under the </w:t>
      </w:r>
      <w:r>
        <w:rPr>
          <w:rFonts w:ascii="Times New Roman" w:hAnsi="Times New Roman" w:cs="Times New Roman"/>
          <w:i/>
          <w:sz w:val="24"/>
          <w:szCs w:val="24"/>
        </w:rPr>
        <w:t xml:space="preserve">International Arbitration Act 1974. </w:t>
      </w:r>
      <w:r>
        <w:rPr>
          <w:rFonts w:ascii="Times New Roman" w:hAnsi="Times New Roman" w:cs="Times New Roman"/>
          <w:i/>
          <w:sz w:val="24"/>
          <w:szCs w:val="24"/>
        </w:rPr>
        <w:br/>
      </w:r>
    </w:p>
    <w:p w:rsidR="006E0ECB" w:rsidRDefault="006E0ECB" w:rsidP="006E0ECB">
      <w:pPr>
        <w:spacing w:line="240" w:lineRule="auto"/>
        <w:rPr>
          <w:rFonts w:ascii="Times New Roman" w:hAnsi="Times New Roman" w:cs="Times New Roman"/>
          <w:sz w:val="24"/>
          <w:szCs w:val="24"/>
          <w:u w:val="single"/>
        </w:rPr>
      </w:pPr>
      <w:r w:rsidRPr="00061DAB">
        <w:rPr>
          <w:rFonts w:ascii="Times New Roman" w:hAnsi="Times New Roman" w:cs="Times New Roman"/>
          <w:sz w:val="24"/>
          <w:szCs w:val="24"/>
          <w:u w:val="single"/>
        </w:rPr>
        <w:t>Section 4 – Schedules</w:t>
      </w:r>
    </w:p>
    <w:p w:rsidR="006E0ECB" w:rsidRPr="00E03B33" w:rsidRDefault="006E0ECB" w:rsidP="006E0ECB">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each instrument that is specified in a Schedule to this instrument is amended or repealed as set out in the applicable items in the Schedule concerned, and any other item in a Schedule to this instrument has effect according to its terms. </w:t>
      </w:r>
      <w:r>
        <w:rPr>
          <w:rFonts w:ascii="Times New Roman" w:hAnsi="Times New Roman" w:cs="Times New Roman"/>
          <w:sz w:val="24"/>
          <w:szCs w:val="24"/>
        </w:rPr>
        <w:br/>
      </w:r>
    </w:p>
    <w:p w:rsidR="006E0ECB" w:rsidRDefault="006E0ECB" w:rsidP="006E0ECB">
      <w:pPr>
        <w:spacing w:line="240" w:lineRule="auto"/>
        <w:rPr>
          <w:rFonts w:ascii="Times New Roman" w:hAnsi="Times New Roman" w:cs="Times New Roman"/>
          <w:sz w:val="24"/>
          <w:szCs w:val="24"/>
          <w:u w:val="single"/>
        </w:rPr>
      </w:pPr>
      <w:r w:rsidRPr="00061DAB">
        <w:rPr>
          <w:rFonts w:ascii="Times New Roman" w:hAnsi="Times New Roman" w:cs="Times New Roman"/>
          <w:sz w:val="24"/>
          <w:szCs w:val="24"/>
          <w:u w:val="single"/>
        </w:rPr>
        <w:t xml:space="preserve">Section 5 – Definitions </w:t>
      </w:r>
    </w:p>
    <w:p w:rsidR="006E0ECB" w:rsidRPr="0048036B" w:rsidRDefault="006E0ECB" w:rsidP="006E0ECB">
      <w:pPr>
        <w:spacing w:line="240" w:lineRule="auto"/>
        <w:rPr>
          <w:rFonts w:ascii="Times New Roman" w:hAnsi="Times New Roman" w:cs="Times New Roman"/>
          <w:i/>
          <w:sz w:val="24"/>
          <w:szCs w:val="24"/>
        </w:rPr>
      </w:pPr>
      <w:r>
        <w:rPr>
          <w:rFonts w:ascii="Times New Roman" w:hAnsi="Times New Roman" w:cs="Times New Roman"/>
          <w:sz w:val="24"/>
          <w:szCs w:val="24"/>
        </w:rPr>
        <w:t>This section provides that the term ‘</w:t>
      </w:r>
      <w:r w:rsidRPr="0048036B">
        <w:rPr>
          <w:rFonts w:ascii="Times New Roman" w:hAnsi="Times New Roman" w:cs="Times New Roman"/>
          <w:i/>
          <w:sz w:val="24"/>
          <w:szCs w:val="24"/>
        </w:rPr>
        <w:t>Act</w:t>
      </w:r>
      <w:r>
        <w:rPr>
          <w:rFonts w:ascii="Times New Roman" w:hAnsi="Times New Roman" w:cs="Times New Roman"/>
          <w:sz w:val="24"/>
          <w:szCs w:val="24"/>
        </w:rPr>
        <w:t xml:space="preserve">’ in this instrument means the </w:t>
      </w:r>
      <w:r>
        <w:rPr>
          <w:rFonts w:ascii="Times New Roman" w:hAnsi="Times New Roman" w:cs="Times New Roman"/>
          <w:i/>
          <w:sz w:val="24"/>
          <w:szCs w:val="24"/>
        </w:rPr>
        <w:t xml:space="preserve">International Arbitration Act 1974. </w:t>
      </w:r>
      <w:r>
        <w:rPr>
          <w:rFonts w:ascii="Times New Roman" w:hAnsi="Times New Roman" w:cs="Times New Roman"/>
          <w:i/>
          <w:sz w:val="24"/>
          <w:szCs w:val="24"/>
        </w:rPr>
        <w:br/>
      </w:r>
    </w:p>
    <w:p w:rsidR="006E0ECB" w:rsidRDefault="006E0ECB" w:rsidP="006E0ECB">
      <w:pPr>
        <w:spacing w:line="240" w:lineRule="auto"/>
        <w:rPr>
          <w:rFonts w:ascii="Times New Roman" w:hAnsi="Times New Roman" w:cs="Times New Roman"/>
          <w:sz w:val="24"/>
          <w:szCs w:val="24"/>
          <w:u w:val="single"/>
        </w:rPr>
      </w:pPr>
      <w:r w:rsidRPr="00061DAB">
        <w:rPr>
          <w:rFonts w:ascii="Times New Roman" w:hAnsi="Times New Roman" w:cs="Times New Roman"/>
          <w:sz w:val="24"/>
          <w:szCs w:val="24"/>
          <w:u w:val="single"/>
        </w:rPr>
        <w:t>Section 6 – Prescribed Authorities</w:t>
      </w:r>
    </w:p>
    <w:p w:rsidR="006E0ECB" w:rsidRPr="0048036B" w:rsidRDefault="006E0ECB" w:rsidP="006E0ECB">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for the purposes of subsections 18(1) and (2) of the Act, the Australian Centre for International Commercial Arbitration is prescribed. </w:t>
      </w:r>
      <w:r>
        <w:rPr>
          <w:rFonts w:ascii="Times New Roman" w:hAnsi="Times New Roman" w:cs="Times New Roman"/>
          <w:sz w:val="24"/>
          <w:szCs w:val="24"/>
        </w:rPr>
        <w:br/>
      </w:r>
    </w:p>
    <w:p w:rsidR="006E0ECB" w:rsidRDefault="006E0ECB" w:rsidP="006E0ECB">
      <w:pPr>
        <w:spacing w:line="240" w:lineRule="auto"/>
        <w:rPr>
          <w:rFonts w:ascii="Times New Roman" w:hAnsi="Times New Roman" w:cs="Times New Roman"/>
          <w:sz w:val="24"/>
          <w:szCs w:val="24"/>
          <w:u w:val="single"/>
        </w:rPr>
      </w:pPr>
      <w:r w:rsidRPr="00061DAB">
        <w:rPr>
          <w:rFonts w:ascii="Times New Roman" w:hAnsi="Times New Roman" w:cs="Times New Roman"/>
          <w:sz w:val="24"/>
          <w:szCs w:val="24"/>
          <w:u w:val="single"/>
        </w:rPr>
        <w:t xml:space="preserve">Schedule 1 </w:t>
      </w:r>
      <w:r>
        <w:rPr>
          <w:rFonts w:ascii="Times New Roman" w:hAnsi="Times New Roman" w:cs="Times New Roman"/>
          <w:sz w:val="24"/>
          <w:szCs w:val="24"/>
          <w:u w:val="single"/>
        </w:rPr>
        <w:t>–</w:t>
      </w:r>
      <w:r w:rsidRPr="00061DAB">
        <w:rPr>
          <w:rFonts w:ascii="Times New Roman" w:hAnsi="Times New Roman" w:cs="Times New Roman"/>
          <w:sz w:val="24"/>
          <w:szCs w:val="24"/>
          <w:u w:val="single"/>
        </w:rPr>
        <w:t xml:space="preserve"> Repeals</w:t>
      </w:r>
    </w:p>
    <w:p w:rsidR="006E0ECB" w:rsidRPr="00A6169F" w:rsidRDefault="006E0ECB" w:rsidP="006E0ECB">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1 repeals the </w:t>
      </w:r>
      <w:r>
        <w:rPr>
          <w:rFonts w:ascii="Times New Roman" w:hAnsi="Times New Roman" w:cs="Times New Roman"/>
          <w:i/>
          <w:sz w:val="24"/>
          <w:szCs w:val="24"/>
        </w:rPr>
        <w:t>International Arbitration Regulations 2011</w:t>
      </w:r>
      <w:r>
        <w:rPr>
          <w:rFonts w:ascii="Times New Roman" w:hAnsi="Times New Roman" w:cs="Times New Roman"/>
          <w:sz w:val="24"/>
          <w:szCs w:val="24"/>
        </w:rPr>
        <w:t>.</w:t>
      </w:r>
    </w:p>
    <w:p w:rsidR="006E0ECB"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Default="006E0ECB" w:rsidP="006E0ECB">
      <w:pPr>
        <w:tabs>
          <w:tab w:val="left" w:pos="6521"/>
        </w:tabs>
        <w:spacing w:after="0" w:line="240" w:lineRule="auto"/>
        <w:ind w:right="91"/>
        <w:rPr>
          <w:rFonts w:ascii="Times New Roman" w:eastAsia="Times New Roman" w:hAnsi="Times New Roman" w:cs="Times New Roman"/>
          <w:color w:val="auto"/>
          <w:sz w:val="24"/>
          <w:lang w:eastAsia="en-AU"/>
        </w:rPr>
      </w:pPr>
    </w:p>
    <w:p w:rsidR="006E0ECB" w:rsidRDefault="006E0ECB" w:rsidP="006E0ECB">
      <w:pPr>
        <w:pStyle w:val="NoSpacing"/>
        <w:rPr>
          <w:b/>
        </w:rPr>
      </w:pPr>
    </w:p>
    <w:p w:rsidR="006E0ECB" w:rsidRDefault="006E0ECB" w:rsidP="006E0ECB">
      <w:pPr>
        <w:pStyle w:val="NoSpacing"/>
        <w:rPr>
          <w:b/>
        </w:rPr>
      </w:pPr>
    </w:p>
    <w:p w:rsidR="006E0ECB" w:rsidRDefault="006E0ECB" w:rsidP="006E0ECB">
      <w:pPr>
        <w:pStyle w:val="NoSpacing"/>
        <w:rPr>
          <w:b/>
        </w:rPr>
      </w:pPr>
    </w:p>
    <w:p w:rsidR="006E0ECB" w:rsidRDefault="006E0ECB" w:rsidP="006E0ECB">
      <w:pPr>
        <w:pStyle w:val="NoSpacing"/>
        <w:rPr>
          <w:b/>
        </w:rPr>
      </w:pPr>
    </w:p>
    <w:p w:rsidR="006E0ECB" w:rsidRDefault="006E0ECB" w:rsidP="006E0ECB">
      <w:pPr>
        <w:pStyle w:val="NoSpacing"/>
        <w:rPr>
          <w:b/>
        </w:rPr>
      </w:pPr>
    </w:p>
    <w:p w:rsidR="006E0ECB" w:rsidRDefault="006E0ECB" w:rsidP="006E0ECB">
      <w:pPr>
        <w:pStyle w:val="NoSpacing"/>
        <w:rPr>
          <w:b/>
        </w:rPr>
      </w:pPr>
    </w:p>
    <w:p w:rsidR="006E0ECB" w:rsidRDefault="006E0ECB" w:rsidP="006E0ECB">
      <w:pPr>
        <w:pStyle w:val="NoSpacing"/>
        <w:rPr>
          <w:b/>
        </w:rPr>
      </w:pPr>
    </w:p>
    <w:p w:rsidR="006E0ECB" w:rsidRDefault="006E0ECB" w:rsidP="006E0ECB">
      <w:pPr>
        <w:pStyle w:val="NoSpacing"/>
        <w:rPr>
          <w:b/>
        </w:rPr>
      </w:pPr>
    </w:p>
    <w:p w:rsidR="006E0ECB" w:rsidRDefault="006E0ECB" w:rsidP="006E0ECB">
      <w:pPr>
        <w:pStyle w:val="NoSpacing"/>
        <w:rPr>
          <w:b/>
        </w:rPr>
      </w:pPr>
    </w:p>
    <w:p w:rsidR="00CF4D14" w:rsidRDefault="00CF4D14" w:rsidP="006E0ECB">
      <w:pPr>
        <w:pStyle w:val="NoSpacing"/>
        <w:rPr>
          <w:b/>
        </w:rPr>
      </w:pPr>
    </w:p>
    <w:p w:rsidR="00CF4D14" w:rsidRPr="00CF4D14" w:rsidRDefault="00CF4D14" w:rsidP="00CF4D14">
      <w:pPr>
        <w:pStyle w:val="NoSpacing"/>
        <w:jc w:val="right"/>
        <w:rPr>
          <w:b/>
          <w:u w:val="single"/>
        </w:rPr>
      </w:pPr>
      <w:r>
        <w:rPr>
          <w:b/>
          <w:u w:val="single"/>
        </w:rPr>
        <w:t>ATTACHMENT B</w:t>
      </w:r>
    </w:p>
    <w:p w:rsidR="00CF4D14" w:rsidRDefault="00CF4D14" w:rsidP="00CF4D14">
      <w:pPr>
        <w:pStyle w:val="Heading2"/>
      </w:pPr>
      <w:r>
        <w:t>Statement of Compatibility with Human Rights</w:t>
      </w:r>
    </w:p>
    <w:p w:rsidR="00CF4D14" w:rsidRDefault="00CF4D14" w:rsidP="00CF4D14">
      <w:pPr>
        <w:spacing w:before="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rsidR="00CF4D14" w:rsidRDefault="00CF4D14" w:rsidP="00CF4D14">
      <w:pPr>
        <w:spacing w:before="120" w:line="240" w:lineRule="auto"/>
        <w:jc w:val="center"/>
        <w:rPr>
          <w:rFonts w:ascii="Times New Roman" w:hAnsi="Times New Roman"/>
          <w:sz w:val="24"/>
          <w:szCs w:val="24"/>
        </w:rPr>
      </w:pPr>
    </w:p>
    <w:p w:rsidR="00CF4D14" w:rsidRDefault="00CF4D14" w:rsidP="00CF4D14">
      <w:pPr>
        <w:spacing w:before="120" w:line="240" w:lineRule="auto"/>
        <w:jc w:val="center"/>
        <w:rPr>
          <w:rFonts w:ascii="Times New Roman" w:hAnsi="Times New Roman"/>
          <w:b/>
          <w:sz w:val="24"/>
          <w:szCs w:val="24"/>
        </w:rPr>
      </w:pPr>
      <w:r>
        <w:rPr>
          <w:rFonts w:ascii="Times New Roman" w:hAnsi="Times New Roman"/>
          <w:b/>
          <w:sz w:val="24"/>
          <w:szCs w:val="24"/>
        </w:rPr>
        <w:t>International Arbitration Regulations 2020</w:t>
      </w:r>
    </w:p>
    <w:p w:rsidR="00CF4D14" w:rsidRDefault="00CF4D14" w:rsidP="00CF4D14">
      <w:pPr>
        <w:spacing w:before="120" w:line="240" w:lineRule="auto"/>
        <w:jc w:val="center"/>
        <w:rPr>
          <w:rFonts w:ascii="Times New Roman" w:hAnsi="Times New Roman"/>
          <w:b/>
          <w:sz w:val="24"/>
          <w:szCs w:val="24"/>
        </w:rPr>
      </w:pPr>
    </w:p>
    <w:p w:rsidR="00CF4D14" w:rsidRDefault="00CF4D14" w:rsidP="00CF4D14">
      <w:pPr>
        <w:pStyle w:val="ListParagraph"/>
        <w:spacing w:before="120" w:after="120" w:line="240" w:lineRule="auto"/>
        <w:jc w:val="center"/>
        <w:rPr>
          <w:rFonts w:ascii="Times New Roman" w:hAnsi="Times New Roman"/>
          <w:sz w:val="24"/>
          <w:szCs w:val="24"/>
        </w:rPr>
      </w:pPr>
      <w:r w:rsidRPr="004B51E1">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4B51E1">
        <w:rPr>
          <w:rFonts w:ascii="Times New Roman" w:hAnsi="Times New Roman"/>
          <w:i/>
          <w:sz w:val="24"/>
          <w:szCs w:val="24"/>
        </w:rPr>
        <w:t>Human Rights (Parliamentary Scrutiny) Act 2011</w:t>
      </w:r>
      <w:r w:rsidRPr="004B51E1">
        <w:rPr>
          <w:rFonts w:ascii="Times New Roman" w:hAnsi="Times New Roman"/>
          <w:sz w:val="24"/>
          <w:szCs w:val="24"/>
        </w:rPr>
        <w:t>.</w:t>
      </w:r>
    </w:p>
    <w:p w:rsidR="00CF4D14" w:rsidRPr="007B3A92" w:rsidRDefault="00CF4D14" w:rsidP="00CF4D14">
      <w:pPr>
        <w:pStyle w:val="ListParagraph"/>
        <w:spacing w:before="120" w:after="120" w:line="240" w:lineRule="auto"/>
        <w:rPr>
          <w:rFonts w:ascii="Times New Roman" w:hAnsi="Times New Roman"/>
          <w:sz w:val="24"/>
          <w:szCs w:val="24"/>
        </w:rPr>
      </w:pPr>
    </w:p>
    <w:p w:rsidR="00CF4D14" w:rsidRDefault="00CF4D14" w:rsidP="00CF4D14">
      <w:pPr>
        <w:pStyle w:val="Heading3"/>
      </w:pPr>
      <w:r>
        <w:t>Overview of the Regulations</w:t>
      </w:r>
    </w:p>
    <w:p w:rsidR="00CF4D14" w:rsidRDefault="00CF4D14" w:rsidP="00CF4D14">
      <w:pPr>
        <w:pStyle w:val="ListParagraph"/>
        <w:numPr>
          <w:ilvl w:val="0"/>
          <w:numId w:val="1"/>
        </w:numPr>
        <w:spacing w:before="120" w:after="120" w:line="240" w:lineRule="auto"/>
        <w:rPr>
          <w:rFonts w:ascii="Times New Roman" w:hAnsi="Times New Roman"/>
          <w:sz w:val="24"/>
          <w:szCs w:val="24"/>
        </w:rPr>
      </w:pPr>
      <w:r>
        <w:rPr>
          <w:rFonts w:ascii="Times New Roman" w:hAnsi="Times New Roman"/>
          <w:sz w:val="24"/>
          <w:szCs w:val="24"/>
        </w:rPr>
        <w:t xml:space="preserve">The purpose of the </w:t>
      </w:r>
      <w:r>
        <w:rPr>
          <w:rFonts w:ascii="Times New Roman" w:hAnsi="Times New Roman"/>
          <w:i/>
          <w:sz w:val="24"/>
          <w:szCs w:val="24"/>
        </w:rPr>
        <w:t>International Arbitration Regulations 2020</w:t>
      </w:r>
      <w:r>
        <w:rPr>
          <w:rFonts w:ascii="Times New Roman" w:hAnsi="Times New Roman"/>
          <w:sz w:val="24"/>
          <w:szCs w:val="24"/>
        </w:rPr>
        <w:t xml:space="preserve"> (the Regulations)</w:t>
      </w:r>
      <w:r>
        <w:rPr>
          <w:rFonts w:ascii="Times New Roman" w:hAnsi="Times New Roman"/>
          <w:i/>
          <w:sz w:val="24"/>
          <w:szCs w:val="24"/>
        </w:rPr>
        <w:t xml:space="preserve"> </w:t>
      </w:r>
      <w:r>
        <w:rPr>
          <w:rFonts w:ascii="Times New Roman" w:hAnsi="Times New Roman"/>
          <w:sz w:val="24"/>
          <w:szCs w:val="24"/>
        </w:rPr>
        <w:t>is to:</w:t>
      </w:r>
    </w:p>
    <w:p w:rsidR="00CF4D14" w:rsidRDefault="00CF4D14" w:rsidP="00CF4D14">
      <w:pPr>
        <w:pStyle w:val="ListParagraph"/>
        <w:spacing w:before="120" w:after="120" w:line="240" w:lineRule="auto"/>
        <w:rPr>
          <w:rFonts w:ascii="Times New Roman" w:hAnsi="Times New Roman"/>
          <w:sz w:val="24"/>
          <w:szCs w:val="24"/>
        </w:rPr>
      </w:pPr>
    </w:p>
    <w:p w:rsidR="00CF4D14" w:rsidRDefault="00CF4D14" w:rsidP="00CF4D14">
      <w:pPr>
        <w:pStyle w:val="ListParagraph"/>
        <w:numPr>
          <w:ilvl w:val="0"/>
          <w:numId w:val="2"/>
        </w:numPr>
        <w:spacing w:before="120" w:after="120" w:line="240" w:lineRule="auto"/>
        <w:rPr>
          <w:rFonts w:ascii="Times New Roman" w:hAnsi="Times New Roman"/>
          <w:sz w:val="24"/>
          <w:szCs w:val="24"/>
        </w:rPr>
      </w:pPr>
      <w:r>
        <w:rPr>
          <w:rFonts w:ascii="Times New Roman" w:hAnsi="Times New Roman"/>
          <w:sz w:val="24"/>
          <w:szCs w:val="24"/>
        </w:rPr>
        <w:t xml:space="preserve">prescribe the Australian Centre for International Commercial Arbitration (ACICA) as the sole competent authority for the purposes of sections 18(1) and (2) of the </w:t>
      </w:r>
      <w:r>
        <w:rPr>
          <w:rFonts w:ascii="Times New Roman" w:hAnsi="Times New Roman"/>
          <w:i/>
          <w:sz w:val="24"/>
          <w:szCs w:val="24"/>
        </w:rPr>
        <w:t xml:space="preserve">International Arbitration Act 1974 </w:t>
      </w:r>
      <w:r>
        <w:rPr>
          <w:rFonts w:ascii="Times New Roman" w:hAnsi="Times New Roman"/>
          <w:sz w:val="24"/>
          <w:szCs w:val="24"/>
        </w:rPr>
        <w:t xml:space="preserve">(the Act), so that ACICA can perform the specific appointment functions set out in articles 11(3) and (4) of the UNCITRAL </w:t>
      </w:r>
      <w:r w:rsidRPr="00A27572">
        <w:rPr>
          <w:rFonts w:ascii="Times New Roman" w:hAnsi="Times New Roman"/>
          <w:i/>
          <w:sz w:val="24"/>
          <w:szCs w:val="24"/>
        </w:rPr>
        <w:t>Model Law on International Commercial Arbitration 1985</w:t>
      </w:r>
      <w:r>
        <w:rPr>
          <w:rFonts w:ascii="Times New Roman" w:hAnsi="Times New Roman"/>
          <w:sz w:val="24"/>
          <w:szCs w:val="24"/>
        </w:rPr>
        <w:t xml:space="preserve"> in Australia. That function covers the appointment of arbitrators where the parties to an international arbitration (</w:t>
      </w:r>
      <w:proofErr w:type="spellStart"/>
      <w:r>
        <w:rPr>
          <w:rFonts w:ascii="Times New Roman" w:hAnsi="Times New Roman"/>
          <w:sz w:val="24"/>
          <w:szCs w:val="24"/>
        </w:rPr>
        <w:t>i</w:t>
      </w:r>
      <w:proofErr w:type="spellEnd"/>
      <w:r>
        <w:rPr>
          <w:rFonts w:ascii="Times New Roman" w:hAnsi="Times New Roman"/>
          <w:sz w:val="24"/>
          <w:szCs w:val="24"/>
        </w:rPr>
        <w:t>) have not agreed on an appointment process, or (ii) where they have agreed on such a process but that process has broken down;</w:t>
      </w:r>
    </w:p>
    <w:p w:rsidR="00CF4D14" w:rsidRDefault="00CF4D14" w:rsidP="00CF4D14">
      <w:pPr>
        <w:pStyle w:val="ListParagraph"/>
        <w:spacing w:before="120" w:after="120" w:line="240" w:lineRule="auto"/>
        <w:ind w:left="1440"/>
        <w:rPr>
          <w:rFonts w:ascii="Times New Roman" w:hAnsi="Times New Roman"/>
          <w:sz w:val="24"/>
          <w:szCs w:val="24"/>
        </w:rPr>
      </w:pPr>
    </w:p>
    <w:p w:rsidR="00CF4D14" w:rsidRDefault="00CF4D14" w:rsidP="00CF4D14">
      <w:pPr>
        <w:pStyle w:val="ListParagraph"/>
        <w:numPr>
          <w:ilvl w:val="0"/>
          <w:numId w:val="2"/>
        </w:numPr>
        <w:spacing w:before="120" w:after="120" w:line="240" w:lineRule="auto"/>
        <w:rPr>
          <w:rFonts w:ascii="Times New Roman" w:hAnsi="Times New Roman"/>
          <w:sz w:val="24"/>
          <w:szCs w:val="24"/>
        </w:rPr>
      </w:pPr>
      <w:proofErr w:type="gramStart"/>
      <w:r>
        <w:rPr>
          <w:rFonts w:ascii="Times New Roman" w:hAnsi="Times New Roman"/>
          <w:sz w:val="24"/>
          <w:szCs w:val="24"/>
        </w:rPr>
        <w:t>repeal</w:t>
      </w:r>
      <w:proofErr w:type="gramEnd"/>
      <w:r>
        <w:rPr>
          <w:rFonts w:ascii="Times New Roman" w:hAnsi="Times New Roman"/>
          <w:sz w:val="24"/>
          <w:szCs w:val="24"/>
        </w:rPr>
        <w:t xml:space="preserve"> the </w:t>
      </w:r>
      <w:r>
        <w:rPr>
          <w:rFonts w:ascii="Times New Roman" w:hAnsi="Times New Roman"/>
          <w:i/>
          <w:sz w:val="24"/>
          <w:szCs w:val="24"/>
        </w:rPr>
        <w:t>International Arbitration Regulations 2011</w:t>
      </w:r>
      <w:r>
        <w:rPr>
          <w:rFonts w:ascii="Times New Roman" w:hAnsi="Times New Roman"/>
          <w:sz w:val="24"/>
          <w:szCs w:val="24"/>
        </w:rPr>
        <w:t>.</w:t>
      </w:r>
    </w:p>
    <w:p w:rsidR="00CF4D14" w:rsidRPr="005F7DE7" w:rsidRDefault="00CF4D14" w:rsidP="00CF4D14">
      <w:pPr>
        <w:pStyle w:val="ListParagraph"/>
        <w:rPr>
          <w:rFonts w:ascii="Times New Roman" w:hAnsi="Times New Roman"/>
          <w:sz w:val="24"/>
          <w:szCs w:val="24"/>
        </w:rPr>
      </w:pPr>
    </w:p>
    <w:p w:rsidR="00CF4D14" w:rsidRPr="007B3A92" w:rsidRDefault="00CF4D14" w:rsidP="00CF4D14">
      <w:pPr>
        <w:pStyle w:val="ListParagraph"/>
        <w:numPr>
          <w:ilvl w:val="0"/>
          <w:numId w:val="1"/>
        </w:numPr>
        <w:spacing w:before="120" w:after="120" w:line="240" w:lineRule="auto"/>
        <w:rPr>
          <w:rFonts w:ascii="Times New Roman" w:hAnsi="Times New Roman"/>
          <w:sz w:val="24"/>
          <w:szCs w:val="24"/>
        </w:rPr>
      </w:pPr>
      <w:r>
        <w:rPr>
          <w:rFonts w:ascii="Times New Roman" w:hAnsi="Times New Roman"/>
          <w:sz w:val="24"/>
          <w:szCs w:val="24"/>
        </w:rPr>
        <w:t xml:space="preserve">ACICA is the most appropriate body in Australia to perform the appointment functions under the Act because: </w:t>
      </w:r>
      <w:r>
        <w:rPr>
          <w:rFonts w:ascii="Times New Roman" w:hAnsi="Times New Roman"/>
          <w:sz w:val="24"/>
          <w:szCs w:val="24"/>
        </w:rPr>
        <w:br/>
      </w:r>
    </w:p>
    <w:p w:rsidR="00CF4D14" w:rsidRPr="007B3A92" w:rsidRDefault="00CF4D14" w:rsidP="00CF4D14">
      <w:pPr>
        <w:pStyle w:val="ListParagraph"/>
        <w:numPr>
          <w:ilvl w:val="1"/>
          <w:numId w:val="1"/>
        </w:numPr>
        <w:spacing w:before="120" w:after="120" w:line="240" w:lineRule="auto"/>
        <w:rPr>
          <w:rFonts w:ascii="Times New Roman" w:hAnsi="Times New Roman"/>
          <w:sz w:val="24"/>
          <w:szCs w:val="24"/>
        </w:rPr>
      </w:pPr>
      <w:r>
        <w:rPr>
          <w:rFonts w:ascii="Times New Roman" w:hAnsi="Times New Roman"/>
          <w:sz w:val="24"/>
          <w:szCs w:val="24"/>
        </w:rPr>
        <w:t>as the appointment functions are largely administrative in nature, they are therefore best performed by an international arbitration institution rather than the courts for the purposes of ensuring speed and efficiency, which is a critical aspect of the arbitration process;</w:t>
      </w:r>
      <w:r>
        <w:rPr>
          <w:rFonts w:ascii="Times New Roman" w:hAnsi="Times New Roman"/>
          <w:sz w:val="24"/>
          <w:szCs w:val="24"/>
        </w:rPr>
        <w:br/>
      </w:r>
    </w:p>
    <w:p w:rsidR="00CF4D14" w:rsidRPr="007B3A92" w:rsidRDefault="00CF4D14" w:rsidP="00CF4D14">
      <w:pPr>
        <w:pStyle w:val="ListParagraph"/>
        <w:numPr>
          <w:ilvl w:val="1"/>
          <w:numId w:val="1"/>
        </w:numPr>
        <w:spacing w:before="120" w:after="120" w:line="240" w:lineRule="auto"/>
        <w:rPr>
          <w:rFonts w:ascii="Times New Roman" w:hAnsi="Times New Roman"/>
          <w:sz w:val="24"/>
          <w:szCs w:val="24"/>
        </w:rPr>
      </w:pPr>
      <w:r>
        <w:rPr>
          <w:rFonts w:ascii="Times New Roman" w:hAnsi="Times New Roman"/>
          <w:sz w:val="24"/>
          <w:szCs w:val="24"/>
        </w:rPr>
        <w:t>ACICA is Australia’s international arbitration institution, governed by a board that includes some of Australia’s leading arbitration practitioners. It has more than 30 years’ experience assisting parties to effectively resolve disputes;</w:t>
      </w:r>
      <w:r>
        <w:rPr>
          <w:rFonts w:ascii="Times New Roman" w:hAnsi="Times New Roman"/>
          <w:sz w:val="24"/>
          <w:szCs w:val="24"/>
        </w:rPr>
        <w:br/>
      </w:r>
    </w:p>
    <w:p w:rsidR="00CF4D14" w:rsidRDefault="00CF4D14" w:rsidP="00CF4D14">
      <w:pPr>
        <w:pStyle w:val="ListParagraph"/>
        <w:numPr>
          <w:ilvl w:val="1"/>
          <w:numId w:val="1"/>
        </w:numPr>
        <w:spacing w:before="120" w:after="120" w:line="240" w:lineRule="auto"/>
        <w:rPr>
          <w:rFonts w:ascii="Times New Roman" w:hAnsi="Times New Roman"/>
          <w:sz w:val="24"/>
          <w:szCs w:val="24"/>
        </w:rPr>
      </w:pPr>
      <w:r>
        <w:rPr>
          <w:rFonts w:ascii="Times New Roman" w:hAnsi="Times New Roman"/>
          <w:sz w:val="24"/>
          <w:szCs w:val="24"/>
        </w:rPr>
        <w:t>ACICA has developed and continues to apply a robust process to deal with appointment applications brought under the Act, including developing and maintaining its own Rules and appointment process under those Rules to appropriately fulfil its functions.</w:t>
      </w:r>
    </w:p>
    <w:p w:rsidR="00CF4D14" w:rsidRDefault="00CF4D14" w:rsidP="00CF4D14">
      <w:pPr>
        <w:pStyle w:val="ListParagraph"/>
        <w:spacing w:before="120" w:after="120" w:line="240" w:lineRule="auto"/>
        <w:ind w:left="1440"/>
        <w:rPr>
          <w:rFonts w:ascii="Times New Roman" w:hAnsi="Times New Roman"/>
          <w:sz w:val="24"/>
          <w:szCs w:val="24"/>
        </w:rPr>
      </w:pPr>
    </w:p>
    <w:p w:rsidR="0021122A" w:rsidRDefault="0021122A" w:rsidP="00CF4D14">
      <w:pPr>
        <w:pStyle w:val="Heading3"/>
      </w:pPr>
    </w:p>
    <w:p w:rsidR="00CF4D14" w:rsidRDefault="00CF4D14" w:rsidP="00CF4D14">
      <w:pPr>
        <w:pStyle w:val="Heading3"/>
      </w:pPr>
      <w:bookmarkStart w:id="0" w:name="_GoBack"/>
      <w:bookmarkEnd w:id="0"/>
      <w:r>
        <w:lastRenderedPageBreak/>
        <w:t>Human rights implications</w:t>
      </w:r>
    </w:p>
    <w:p w:rsidR="00CF4D14" w:rsidRDefault="00CF4D14" w:rsidP="00CF4D14">
      <w:pPr>
        <w:pStyle w:val="ListParagraph"/>
        <w:numPr>
          <w:ilvl w:val="0"/>
          <w:numId w:val="1"/>
        </w:numPr>
        <w:spacing w:before="120" w:after="120" w:line="240" w:lineRule="auto"/>
        <w:rPr>
          <w:rFonts w:ascii="Times New Roman" w:hAnsi="Times New Roman"/>
          <w:sz w:val="24"/>
          <w:szCs w:val="24"/>
        </w:rPr>
      </w:pPr>
      <w:r>
        <w:rPr>
          <w:rFonts w:ascii="Times New Roman" w:hAnsi="Times New Roman"/>
          <w:sz w:val="24"/>
          <w:szCs w:val="24"/>
        </w:rPr>
        <w:t>The Disallowable Legislative Instrument engages the following human rights:</w:t>
      </w:r>
    </w:p>
    <w:p w:rsidR="00CF4D14" w:rsidRPr="00957672" w:rsidRDefault="00CF4D14" w:rsidP="00CF4D14">
      <w:pPr>
        <w:pStyle w:val="ListParagraph"/>
        <w:spacing w:before="120" w:after="120" w:line="240" w:lineRule="auto"/>
        <w:rPr>
          <w:rFonts w:ascii="Times New Roman" w:hAnsi="Times New Roman"/>
          <w:sz w:val="24"/>
          <w:szCs w:val="24"/>
        </w:rPr>
      </w:pPr>
    </w:p>
    <w:p w:rsidR="00CF4D14" w:rsidRDefault="00CF4D14" w:rsidP="00CF4D14">
      <w:pPr>
        <w:pStyle w:val="ListParagraph"/>
        <w:numPr>
          <w:ilvl w:val="1"/>
          <w:numId w:val="1"/>
        </w:numPr>
        <w:spacing w:before="120" w:after="120" w:line="240" w:lineRule="auto"/>
        <w:rPr>
          <w:rFonts w:ascii="Times New Roman" w:hAnsi="Times New Roman"/>
          <w:sz w:val="24"/>
          <w:szCs w:val="24"/>
        </w:rPr>
      </w:pPr>
      <w:r>
        <w:rPr>
          <w:rFonts w:ascii="Times New Roman" w:hAnsi="Times New Roman"/>
          <w:sz w:val="24"/>
          <w:szCs w:val="24"/>
        </w:rPr>
        <w:t xml:space="preserve">the right to a fair trial and fair hearing rights: </w:t>
      </w:r>
      <w:r w:rsidRPr="003E3327">
        <w:rPr>
          <w:rFonts w:ascii="Times New Roman" w:hAnsi="Times New Roman"/>
          <w:sz w:val="24"/>
          <w:szCs w:val="24"/>
        </w:rPr>
        <w:t xml:space="preserve">Article 14 of the </w:t>
      </w:r>
      <w:r w:rsidRPr="003E3327">
        <w:rPr>
          <w:rFonts w:ascii="Times New Roman" w:hAnsi="Times New Roman"/>
          <w:i/>
          <w:sz w:val="24"/>
          <w:szCs w:val="24"/>
        </w:rPr>
        <w:t>International Covenant on Civil and Political Rights</w:t>
      </w:r>
      <w:r w:rsidRPr="003E3327">
        <w:rPr>
          <w:rFonts w:ascii="Times New Roman" w:hAnsi="Times New Roman"/>
          <w:sz w:val="24"/>
          <w:szCs w:val="24"/>
        </w:rPr>
        <w:t xml:space="preserve"> </w:t>
      </w:r>
      <w:r>
        <w:rPr>
          <w:rFonts w:ascii="Times New Roman" w:hAnsi="Times New Roman"/>
          <w:i/>
          <w:sz w:val="24"/>
          <w:szCs w:val="24"/>
        </w:rPr>
        <w:t xml:space="preserve">1966 </w:t>
      </w:r>
      <w:r>
        <w:rPr>
          <w:rFonts w:ascii="Times New Roman" w:hAnsi="Times New Roman"/>
          <w:sz w:val="24"/>
          <w:szCs w:val="24"/>
        </w:rPr>
        <w:t>(</w:t>
      </w:r>
      <w:r w:rsidRPr="00E57B5A">
        <w:rPr>
          <w:rFonts w:ascii="Times New Roman" w:hAnsi="Times New Roman"/>
          <w:i/>
          <w:sz w:val="24"/>
          <w:szCs w:val="24"/>
        </w:rPr>
        <w:t>ICCPR</w:t>
      </w:r>
      <w:r>
        <w:rPr>
          <w:rFonts w:ascii="Times New Roman" w:hAnsi="Times New Roman"/>
          <w:sz w:val="24"/>
          <w:szCs w:val="24"/>
        </w:rPr>
        <w:t>);</w:t>
      </w:r>
    </w:p>
    <w:p w:rsidR="00CF4D14" w:rsidRDefault="00CF4D14" w:rsidP="00CF4D14">
      <w:pPr>
        <w:pStyle w:val="ListParagraph"/>
        <w:spacing w:before="120" w:after="120" w:line="240" w:lineRule="auto"/>
        <w:ind w:left="1440"/>
        <w:rPr>
          <w:rFonts w:ascii="Times New Roman" w:hAnsi="Times New Roman"/>
          <w:sz w:val="24"/>
          <w:szCs w:val="24"/>
        </w:rPr>
      </w:pPr>
    </w:p>
    <w:p w:rsidR="00CF4D14" w:rsidRPr="00CF4D14" w:rsidRDefault="00CF4D14" w:rsidP="00CF4D14">
      <w:pPr>
        <w:pStyle w:val="ListParagraph"/>
        <w:numPr>
          <w:ilvl w:val="1"/>
          <w:numId w:val="1"/>
        </w:numPr>
        <w:spacing w:before="120" w:after="120" w:line="240" w:lineRule="auto"/>
        <w:rPr>
          <w:rFonts w:ascii="Times New Roman" w:hAnsi="Times New Roman"/>
          <w:sz w:val="24"/>
          <w:szCs w:val="24"/>
        </w:rPr>
      </w:pPr>
      <w:proofErr w:type="gramStart"/>
      <w:r>
        <w:rPr>
          <w:rFonts w:ascii="Times New Roman" w:hAnsi="Times New Roman"/>
          <w:sz w:val="24"/>
          <w:szCs w:val="24"/>
        </w:rPr>
        <w:t>right</w:t>
      </w:r>
      <w:proofErr w:type="gramEnd"/>
      <w:r>
        <w:rPr>
          <w:rFonts w:ascii="Times New Roman" w:hAnsi="Times New Roman"/>
          <w:sz w:val="24"/>
          <w:szCs w:val="24"/>
        </w:rPr>
        <w:t xml:space="preserve"> to recognition and equality before the law: Articles 2, 16 and 26 of the </w:t>
      </w:r>
      <w:r w:rsidRPr="00E57B5A">
        <w:rPr>
          <w:rFonts w:ascii="Times New Roman" w:hAnsi="Times New Roman"/>
          <w:i/>
          <w:sz w:val="24"/>
          <w:szCs w:val="24"/>
        </w:rPr>
        <w:t>ICCPR</w:t>
      </w:r>
      <w:r>
        <w:rPr>
          <w:rFonts w:ascii="Times New Roman" w:hAnsi="Times New Roman"/>
          <w:i/>
          <w:sz w:val="24"/>
          <w:szCs w:val="24"/>
        </w:rPr>
        <w:t xml:space="preserve">. </w:t>
      </w:r>
    </w:p>
    <w:p w:rsidR="00CF4D14" w:rsidRDefault="00CF4D14" w:rsidP="00CF4D14">
      <w:pPr>
        <w:spacing w:before="120" w:line="240" w:lineRule="auto"/>
        <w:rPr>
          <w:rFonts w:ascii="Times New Roman" w:hAnsi="Times New Roman"/>
          <w:i/>
          <w:sz w:val="24"/>
          <w:szCs w:val="24"/>
        </w:rPr>
      </w:pPr>
      <w:r>
        <w:rPr>
          <w:rFonts w:ascii="Times New Roman" w:hAnsi="Times New Roman"/>
          <w:i/>
          <w:sz w:val="24"/>
          <w:szCs w:val="24"/>
        </w:rPr>
        <w:t>The right to a fair trial and fair hearing rights</w:t>
      </w:r>
    </w:p>
    <w:p w:rsidR="00CF4D14" w:rsidRPr="00CF4D14" w:rsidRDefault="00CF4D14" w:rsidP="00CF4D14">
      <w:pPr>
        <w:pStyle w:val="ListParagraph"/>
        <w:numPr>
          <w:ilvl w:val="0"/>
          <w:numId w:val="1"/>
        </w:numPr>
        <w:spacing w:before="120" w:after="120" w:line="240" w:lineRule="auto"/>
        <w:rPr>
          <w:rFonts w:ascii="Times New Roman" w:hAnsi="Times New Roman"/>
          <w:sz w:val="24"/>
          <w:szCs w:val="24"/>
        </w:rPr>
      </w:pPr>
      <w:r w:rsidRPr="006656C8">
        <w:rPr>
          <w:rFonts w:ascii="Times New Roman" w:hAnsi="Times New Roman"/>
          <w:sz w:val="24"/>
          <w:szCs w:val="24"/>
        </w:rPr>
        <w:t>The</w:t>
      </w:r>
      <w:r>
        <w:rPr>
          <w:rFonts w:ascii="Times New Roman" w:hAnsi="Times New Roman"/>
          <w:sz w:val="24"/>
          <w:szCs w:val="24"/>
        </w:rPr>
        <w:t xml:space="preserve"> Disallowable Legislative I</w:t>
      </w:r>
      <w:r w:rsidRPr="006656C8">
        <w:rPr>
          <w:rFonts w:ascii="Times New Roman" w:hAnsi="Times New Roman"/>
          <w:sz w:val="24"/>
          <w:szCs w:val="24"/>
        </w:rPr>
        <w:t xml:space="preserve">nstrument engages the right to a fair trial and fair hearing rights. The Instrument promotes this right as it provides a framework for ensuring that arbitration proceedings can take place even where parties have not agreed on an </w:t>
      </w:r>
      <w:r>
        <w:rPr>
          <w:rFonts w:ascii="Times New Roman" w:hAnsi="Times New Roman"/>
          <w:sz w:val="24"/>
          <w:szCs w:val="24"/>
        </w:rPr>
        <w:t xml:space="preserve">arbitrator </w:t>
      </w:r>
      <w:r w:rsidRPr="006656C8">
        <w:rPr>
          <w:rFonts w:ascii="Times New Roman" w:hAnsi="Times New Roman"/>
          <w:sz w:val="24"/>
          <w:szCs w:val="24"/>
        </w:rPr>
        <w:t>appointment process or where that process has broken down. This facilitates the parties’ ability to have their dispute determined before a competent, independent and impartial tribunal</w:t>
      </w:r>
      <w:r>
        <w:rPr>
          <w:rFonts w:ascii="Times New Roman" w:hAnsi="Times New Roman"/>
          <w:sz w:val="24"/>
          <w:szCs w:val="24"/>
        </w:rPr>
        <w:t xml:space="preserve">, which in turn allows for the enforcement of foreign arbitration agreements and awards before domestic courts. </w:t>
      </w:r>
      <w:r w:rsidRPr="00CF4D14">
        <w:rPr>
          <w:rFonts w:ascii="Times New Roman" w:hAnsi="Times New Roman"/>
          <w:sz w:val="24"/>
          <w:szCs w:val="24"/>
        </w:rPr>
        <w:t xml:space="preserve"> </w:t>
      </w:r>
    </w:p>
    <w:p w:rsidR="00CF4D14" w:rsidRDefault="00CF4D14" w:rsidP="00CF4D14">
      <w:pPr>
        <w:spacing w:before="120" w:line="240" w:lineRule="auto"/>
        <w:rPr>
          <w:rFonts w:ascii="Times New Roman" w:hAnsi="Times New Roman"/>
          <w:i/>
          <w:sz w:val="24"/>
          <w:szCs w:val="24"/>
        </w:rPr>
      </w:pPr>
      <w:r>
        <w:rPr>
          <w:rFonts w:ascii="Times New Roman" w:hAnsi="Times New Roman"/>
          <w:i/>
          <w:sz w:val="24"/>
          <w:szCs w:val="24"/>
        </w:rPr>
        <w:t>The r</w:t>
      </w:r>
      <w:r w:rsidRPr="00707EC6">
        <w:rPr>
          <w:rFonts w:ascii="Times New Roman" w:hAnsi="Times New Roman"/>
          <w:i/>
          <w:sz w:val="24"/>
          <w:szCs w:val="24"/>
        </w:rPr>
        <w:t>ight to recognition and equality before the law</w:t>
      </w:r>
    </w:p>
    <w:p w:rsidR="00CF4D14" w:rsidRDefault="00CF4D14" w:rsidP="00CF4D14">
      <w:pPr>
        <w:pStyle w:val="ListParagraph"/>
        <w:numPr>
          <w:ilvl w:val="0"/>
          <w:numId w:val="1"/>
        </w:numPr>
        <w:spacing w:before="120" w:after="120" w:line="240" w:lineRule="auto"/>
        <w:rPr>
          <w:rFonts w:ascii="Times New Roman" w:hAnsi="Times New Roman"/>
          <w:sz w:val="24"/>
          <w:szCs w:val="24"/>
        </w:rPr>
      </w:pPr>
      <w:r>
        <w:rPr>
          <w:rFonts w:ascii="Times New Roman" w:hAnsi="Times New Roman"/>
          <w:sz w:val="24"/>
          <w:szCs w:val="24"/>
        </w:rPr>
        <w:t>The Disallowable Legislative Instrument engages the right to recognition and equality before the law, an absolute right. The Instrument promotes this right because it ensures the appointment of arbitrators for proceedings where the parties have been unable to do so themselves. This allows parties to proceed with arbitral proceedings for the purpose of resolving their dispute.</w:t>
      </w:r>
    </w:p>
    <w:p w:rsidR="00CF4D14" w:rsidRDefault="00CF4D14" w:rsidP="00CF4D14">
      <w:pPr>
        <w:pStyle w:val="ListParagraph"/>
        <w:spacing w:before="120" w:after="120" w:line="240" w:lineRule="auto"/>
        <w:rPr>
          <w:rFonts w:ascii="Times New Roman" w:hAnsi="Times New Roman"/>
          <w:sz w:val="24"/>
          <w:szCs w:val="24"/>
        </w:rPr>
      </w:pPr>
    </w:p>
    <w:p w:rsidR="00CF4D14" w:rsidRPr="00766256" w:rsidRDefault="00CF4D14" w:rsidP="00CF4D14">
      <w:pPr>
        <w:pStyle w:val="ListParagraph"/>
        <w:numPr>
          <w:ilvl w:val="0"/>
          <w:numId w:val="1"/>
        </w:numPr>
        <w:spacing w:before="120" w:after="120" w:line="240" w:lineRule="auto"/>
        <w:rPr>
          <w:rFonts w:ascii="Times New Roman" w:hAnsi="Times New Roman"/>
          <w:sz w:val="24"/>
          <w:szCs w:val="24"/>
        </w:rPr>
      </w:pPr>
      <w:r>
        <w:rPr>
          <w:rFonts w:ascii="Times New Roman" w:hAnsi="Times New Roman"/>
          <w:sz w:val="24"/>
          <w:szCs w:val="24"/>
        </w:rPr>
        <w:t>The Instrument therefore enhances</w:t>
      </w:r>
      <w:r w:rsidRPr="00766256">
        <w:rPr>
          <w:rFonts w:ascii="Times New Roman" w:hAnsi="Times New Roman"/>
          <w:sz w:val="24"/>
          <w:szCs w:val="24"/>
        </w:rPr>
        <w:t xml:space="preserve"> acc</w:t>
      </w:r>
      <w:r>
        <w:rPr>
          <w:rFonts w:ascii="Times New Roman" w:hAnsi="Times New Roman"/>
          <w:sz w:val="24"/>
          <w:szCs w:val="24"/>
        </w:rPr>
        <w:t xml:space="preserve">ess to justice and recognition before the law for parties involved in international commercial disputes.  </w:t>
      </w:r>
    </w:p>
    <w:p w:rsidR="00CF4D14" w:rsidRPr="00333B49" w:rsidRDefault="00CF4D14" w:rsidP="00CF4D14">
      <w:pPr>
        <w:pStyle w:val="ListParagraph"/>
        <w:spacing w:before="120" w:after="120" w:line="240" w:lineRule="auto"/>
        <w:rPr>
          <w:rFonts w:ascii="Times New Roman" w:hAnsi="Times New Roman"/>
          <w:sz w:val="24"/>
          <w:szCs w:val="24"/>
        </w:rPr>
      </w:pPr>
    </w:p>
    <w:p w:rsidR="00CF4D14" w:rsidRDefault="00CF4D14" w:rsidP="00CF4D14">
      <w:pPr>
        <w:pStyle w:val="Heading3"/>
      </w:pPr>
      <w:r>
        <w:t>Conclusion</w:t>
      </w:r>
    </w:p>
    <w:p w:rsidR="006E0ECB" w:rsidRPr="006E0ECB" w:rsidRDefault="00CF4D14" w:rsidP="00CF4D14">
      <w:pPr>
        <w:pStyle w:val="NoSpacing"/>
        <w:rPr>
          <w:b/>
        </w:rPr>
      </w:pPr>
      <w:r w:rsidRPr="009B7A3D">
        <w:rPr>
          <w:szCs w:val="24"/>
        </w:rPr>
        <w:t>Th</w:t>
      </w:r>
      <w:r>
        <w:rPr>
          <w:szCs w:val="24"/>
        </w:rPr>
        <w:t xml:space="preserve">e Disallowable Legislative Instrument </w:t>
      </w:r>
      <w:r w:rsidRPr="009B7A3D">
        <w:rPr>
          <w:szCs w:val="24"/>
        </w:rPr>
        <w:t xml:space="preserve">is compatible with human rights </w:t>
      </w:r>
      <w:r>
        <w:rPr>
          <w:szCs w:val="24"/>
        </w:rPr>
        <w:t xml:space="preserve">because it </w:t>
      </w:r>
      <w:r w:rsidRPr="009B7A3D">
        <w:rPr>
          <w:szCs w:val="24"/>
        </w:rPr>
        <w:t xml:space="preserve">promotes the </w:t>
      </w:r>
      <w:r>
        <w:rPr>
          <w:szCs w:val="24"/>
        </w:rPr>
        <w:t xml:space="preserve">protection of the </w:t>
      </w:r>
      <w:r w:rsidRPr="009B7A3D">
        <w:rPr>
          <w:szCs w:val="24"/>
        </w:rPr>
        <w:t xml:space="preserve">right </w:t>
      </w:r>
      <w:r>
        <w:rPr>
          <w:szCs w:val="24"/>
        </w:rPr>
        <w:t xml:space="preserve">to a fair trial and fair hearing rights, and the right to recognition and </w:t>
      </w:r>
      <w:r w:rsidRPr="009B7A3D">
        <w:rPr>
          <w:szCs w:val="24"/>
        </w:rPr>
        <w:t>equal</w:t>
      </w:r>
      <w:r>
        <w:rPr>
          <w:szCs w:val="24"/>
        </w:rPr>
        <w:t>ity before the law</w:t>
      </w:r>
      <w:r w:rsidRPr="009B7A3D">
        <w:rPr>
          <w:szCs w:val="24"/>
        </w:rPr>
        <w:t>.</w:t>
      </w:r>
    </w:p>
    <w:sectPr w:rsidR="006E0ECB" w:rsidRPr="006E0EC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62" w:rsidRDefault="00A85562" w:rsidP="00CF4D14">
      <w:pPr>
        <w:spacing w:after="0" w:line="240" w:lineRule="auto"/>
      </w:pPr>
      <w:r>
        <w:separator/>
      </w:r>
    </w:p>
  </w:endnote>
  <w:endnote w:type="continuationSeparator" w:id="0">
    <w:p w:rsidR="00A85562" w:rsidRDefault="00A85562" w:rsidP="00CF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70626592"/>
      <w:docPartObj>
        <w:docPartGallery w:val="Page Numbers (Bottom of Page)"/>
        <w:docPartUnique/>
      </w:docPartObj>
    </w:sdtPr>
    <w:sdtEndPr>
      <w:rPr>
        <w:noProof/>
      </w:rPr>
    </w:sdtEndPr>
    <w:sdtContent>
      <w:p w:rsidR="00CF4D14" w:rsidRPr="00CF4D14" w:rsidRDefault="00CF4D14">
        <w:pPr>
          <w:pStyle w:val="Footer"/>
          <w:jc w:val="right"/>
          <w:rPr>
            <w:rFonts w:ascii="Times New Roman" w:hAnsi="Times New Roman" w:cs="Times New Roman"/>
            <w:sz w:val="24"/>
            <w:szCs w:val="24"/>
          </w:rPr>
        </w:pPr>
        <w:r w:rsidRPr="00CF4D14">
          <w:rPr>
            <w:rFonts w:ascii="Times New Roman" w:hAnsi="Times New Roman" w:cs="Times New Roman"/>
            <w:sz w:val="24"/>
            <w:szCs w:val="24"/>
          </w:rPr>
          <w:fldChar w:fldCharType="begin"/>
        </w:r>
        <w:r w:rsidRPr="00CF4D14">
          <w:rPr>
            <w:rFonts w:ascii="Times New Roman" w:hAnsi="Times New Roman" w:cs="Times New Roman"/>
            <w:sz w:val="24"/>
            <w:szCs w:val="24"/>
          </w:rPr>
          <w:instrText xml:space="preserve"> PAGE   \* MERGEFORMAT </w:instrText>
        </w:r>
        <w:r w:rsidRPr="00CF4D14">
          <w:rPr>
            <w:rFonts w:ascii="Times New Roman" w:hAnsi="Times New Roman" w:cs="Times New Roman"/>
            <w:sz w:val="24"/>
            <w:szCs w:val="24"/>
          </w:rPr>
          <w:fldChar w:fldCharType="separate"/>
        </w:r>
        <w:r w:rsidR="0021122A">
          <w:rPr>
            <w:rFonts w:ascii="Times New Roman" w:hAnsi="Times New Roman" w:cs="Times New Roman"/>
            <w:noProof/>
            <w:sz w:val="24"/>
            <w:szCs w:val="24"/>
          </w:rPr>
          <w:t>5</w:t>
        </w:r>
        <w:r w:rsidRPr="00CF4D14">
          <w:rPr>
            <w:rFonts w:ascii="Times New Roman" w:hAnsi="Times New Roman" w:cs="Times New Roman"/>
            <w:noProof/>
            <w:sz w:val="24"/>
            <w:szCs w:val="24"/>
          </w:rPr>
          <w:fldChar w:fldCharType="end"/>
        </w:r>
      </w:p>
    </w:sdtContent>
  </w:sdt>
  <w:p w:rsidR="00CF4D14" w:rsidRDefault="00CF4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62" w:rsidRDefault="00A85562" w:rsidP="00CF4D14">
      <w:pPr>
        <w:spacing w:after="0" w:line="240" w:lineRule="auto"/>
      </w:pPr>
      <w:r>
        <w:separator/>
      </w:r>
    </w:p>
  </w:footnote>
  <w:footnote w:type="continuationSeparator" w:id="0">
    <w:p w:rsidR="00A85562" w:rsidRDefault="00A85562" w:rsidP="00CF4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F362A"/>
    <w:multiLevelType w:val="hybridMultilevel"/>
    <w:tmpl w:val="46A248D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021602"/>
    <w:multiLevelType w:val="hybridMultilevel"/>
    <w:tmpl w:val="E39201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CB"/>
    <w:rsid w:val="0021122A"/>
    <w:rsid w:val="0056776C"/>
    <w:rsid w:val="00581713"/>
    <w:rsid w:val="006E0ECB"/>
    <w:rsid w:val="009B2723"/>
    <w:rsid w:val="00A85562"/>
    <w:rsid w:val="00CF4D14"/>
    <w:rsid w:val="00D10431"/>
    <w:rsid w:val="00E26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D3140-0522-4331-B76F-B0C79234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6E0ECB"/>
    <w:pPr>
      <w:spacing w:after="120" w:line="264" w:lineRule="auto"/>
    </w:pPr>
    <w:rPr>
      <w:color w:val="262626" w:themeColor="text1" w:themeTint="D9"/>
      <w:sz w:val="20"/>
      <w:szCs w:val="20"/>
    </w:rPr>
  </w:style>
  <w:style w:type="paragraph" w:styleId="Heading2">
    <w:name w:val="heading 2"/>
    <w:basedOn w:val="Normal"/>
    <w:next w:val="Normal"/>
    <w:link w:val="Heading2Char"/>
    <w:uiPriority w:val="9"/>
    <w:unhideWhenUsed/>
    <w:qFormat/>
    <w:rsid w:val="00CF4D14"/>
    <w:pPr>
      <w:spacing w:before="360" w:line="240" w:lineRule="auto"/>
      <w:jc w:val="center"/>
      <w:outlineLvl w:val="1"/>
    </w:pPr>
    <w:rPr>
      <w:rFonts w:ascii="Times New Roman" w:hAnsi="Times New Roman"/>
      <w:b/>
      <w:color w:val="auto"/>
      <w:sz w:val="28"/>
      <w:szCs w:val="28"/>
    </w:rPr>
  </w:style>
  <w:style w:type="paragraph" w:styleId="Heading3">
    <w:name w:val="heading 3"/>
    <w:basedOn w:val="Normal"/>
    <w:next w:val="Normal"/>
    <w:link w:val="Heading3Char"/>
    <w:uiPriority w:val="9"/>
    <w:unhideWhenUsed/>
    <w:qFormat/>
    <w:rsid w:val="00CF4D14"/>
    <w:pPr>
      <w:spacing w:before="120" w:line="240" w:lineRule="auto"/>
      <w:jc w:val="both"/>
      <w:outlineLvl w:val="2"/>
    </w:pPr>
    <w:rPr>
      <w:rFonts w:ascii="Times New Roman" w:hAnsi="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ECB"/>
    <w:pPr>
      <w:spacing w:after="0" w:line="240" w:lineRule="auto"/>
    </w:pPr>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CF4D14"/>
    <w:rPr>
      <w:rFonts w:ascii="Times New Roman" w:hAnsi="Times New Roman"/>
      <w:b/>
      <w:sz w:val="28"/>
      <w:szCs w:val="28"/>
    </w:rPr>
  </w:style>
  <w:style w:type="character" w:customStyle="1" w:styleId="Heading3Char">
    <w:name w:val="Heading 3 Char"/>
    <w:basedOn w:val="DefaultParagraphFont"/>
    <w:link w:val="Heading3"/>
    <w:uiPriority w:val="9"/>
    <w:rsid w:val="00CF4D14"/>
    <w:rPr>
      <w:rFonts w:ascii="Times New Roman" w:hAnsi="Times New Roman"/>
      <w:b/>
      <w:sz w:val="24"/>
      <w:szCs w:val="24"/>
    </w:rPr>
  </w:style>
  <w:style w:type="paragraph" w:styleId="ListParagraph">
    <w:name w:val="List Paragraph"/>
    <w:basedOn w:val="Normal"/>
    <w:uiPriority w:val="34"/>
    <w:qFormat/>
    <w:rsid w:val="00CF4D14"/>
    <w:pPr>
      <w:spacing w:after="200" w:line="276" w:lineRule="auto"/>
      <w:ind w:left="720"/>
      <w:contextualSpacing/>
    </w:pPr>
    <w:rPr>
      <w:color w:val="auto"/>
      <w:sz w:val="22"/>
      <w:szCs w:val="22"/>
    </w:rPr>
  </w:style>
  <w:style w:type="paragraph" w:styleId="Header">
    <w:name w:val="header"/>
    <w:basedOn w:val="Normal"/>
    <w:link w:val="HeaderChar"/>
    <w:uiPriority w:val="99"/>
    <w:unhideWhenUsed/>
    <w:rsid w:val="00CF4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D14"/>
    <w:rPr>
      <w:color w:val="262626" w:themeColor="text1" w:themeTint="D9"/>
      <w:sz w:val="20"/>
      <w:szCs w:val="20"/>
    </w:rPr>
  </w:style>
  <w:style w:type="paragraph" w:styleId="Footer">
    <w:name w:val="footer"/>
    <w:basedOn w:val="Normal"/>
    <w:link w:val="FooterChar"/>
    <w:uiPriority w:val="99"/>
    <w:unhideWhenUsed/>
    <w:rsid w:val="00CF4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D14"/>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Rebecca</dc:creator>
  <cp:keywords/>
  <dc:description/>
  <cp:lastModifiedBy>Xu, Rebecca</cp:lastModifiedBy>
  <cp:revision>4</cp:revision>
  <dcterms:created xsi:type="dcterms:W3CDTF">2020-10-21T00:24:00Z</dcterms:created>
  <dcterms:modified xsi:type="dcterms:W3CDTF">2020-11-16T01:00:00Z</dcterms:modified>
</cp:coreProperties>
</file>