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63D0" w14:textId="77777777" w:rsidR="00CA173C" w:rsidRPr="009E24EB" w:rsidRDefault="00CA173C" w:rsidP="00B40569">
      <w:pPr>
        <w:pStyle w:val="Heading3"/>
        <w:ind w:left="2550"/>
        <w:rPr>
          <w:rFonts w:ascii="Times New Roman" w:hAnsi="Times New Roman" w:cs="Times New Roman"/>
          <w:i w:val="0"/>
          <w:sz w:val="24"/>
          <w:szCs w:val="24"/>
        </w:rPr>
      </w:pPr>
      <w:r w:rsidRPr="009E24EB">
        <w:rPr>
          <w:rFonts w:ascii="Times New Roman" w:hAnsi="Times New Roman" w:cs="Times New Roman"/>
          <w:i w:val="0"/>
          <w:sz w:val="24"/>
          <w:szCs w:val="24"/>
        </w:rPr>
        <w:t>EXPLANATORY STATEMENT</w:t>
      </w:r>
    </w:p>
    <w:p w14:paraId="4AFAD776" w14:textId="77777777" w:rsidR="00CA173C" w:rsidRPr="009E24EB" w:rsidRDefault="00CA173C" w:rsidP="00CA173C">
      <w:pPr>
        <w:jc w:val="center"/>
        <w:rPr>
          <w:szCs w:val="24"/>
        </w:rPr>
      </w:pPr>
    </w:p>
    <w:p w14:paraId="1428ACDA" w14:textId="77777777" w:rsidR="00CA173C" w:rsidRPr="009E24EB" w:rsidRDefault="00CA173C" w:rsidP="00CA173C">
      <w:pPr>
        <w:jc w:val="center"/>
        <w:rPr>
          <w:szCs w:val="24"/>
        </w:rPr>
      </w:pPr>
      <w:bookmarkStart w:id="0" w:name="_GoBack"/>
      <w:bookmarkEnd w:id="0"/>
      <w:r w:rsidRPr="009E24EB">
        <w:rPr>
          <w:szCs w:val="24"/>
        </w:rPr>
        <w:t>Issued by the authority of the Minister for Health</w:t>
      </w:r>
    </w:p>
    <w:p w14:paraId="777BEFA6" w14:textId="77777777" w:rsidR="00CA173C" w:rsidRPr="009E24EB" w:rsidRDefault="00CA173C" w:rsidP="00CA173C">
      <w:pPr>
        <w:jc w:val="center"/>
        <w:rPr>
          <w:i/>
          <w:szCs w:val="24"/>
        </w:rPr>
      </w:pPr>
    </w:p>
    <w:p w14:paraId="68A5A5F1" w14:textId="77777777" w:rsidR="00CA173C" w:rsidRPr="009E24EB" w:rsidRDefault="00CA173C" w:rsidP="00CA173C">
      <w:pPr>
        <w:jc w:val="center"/>
        <w:rPr>
          <w:szCs w:val="24"/>
        </w:rPr>
      </w:pPr>
      <w:r w:rsidRPr="009E24EB">
        <w:rPr>
          <w:i/>
          <w:szCs w:val="24"/>
        </w:rPr>
        <w:t>National Health Act 1953</w:t>
      </w:r>
    </w:p>
    <w:p w14:paraId="35DC0B75" w14:textId="77777777" w:rsidR="00CA173C" w:rsidRPr="009E24EB" w:rsidRDefault="00CA173C" w:rsidP="00CA173C">
      <w:pPr>
        <w:rPr>
          <w:i/>
          <w:szCs w:val="24"/>
        </w:rPr>
      </w:pPr>
    </w:p>
    <w:p w14:paraId="55B05979" w14:textId="4A8571A7" w:rsidR="003F0D47" w:rsidRPr="009E24EB" w:rsidRDefault="003F0D47" w:rsidP="003F0D47">
      <w:pPr>
        <w:jc w:val="center"/>
        <w:rPr>
          <w:i/>
        </w:rPr>
      </w:pPr>
      <w:r w:rsidRPr="009E24EB">
        <w:rPr>
          <w:i/>
        </w:rPr>
        <w:t xml:space="preserve">National Health (Pharmaceuticals and Vaccines—Cost Recovery) Amendment (2020 Measures No. </w:t>
      </w:r>
      <w:r w:rsidR="00881970" w:rsidRPr="009E24EB">
        <w:rPr>
          <w:i/>
        </w:rPr>
        <w:t>2</w:t>
      </w:r>
      <w:r w:rsidRPr="009E24EB">
        <w:rPr>
          <w:i/>
        </w:rPr>
        <w:t>) Regulations 2020</w:t>
      </w:r>
    </w:p>
    <w:p w14:paraId="69656C38" w14:textId="77777777" w:rsidR="00CA173C" w:rsidRPr="009E24EB" w:rsidRDefault="00CA173C" w:rsidP="00CA173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5B38A6FB" w14:textId="77777777" w:rsidR="004E3DB9" w:rsidRPr="009E24EB" w:rsidRDefault="004E3DB9" w:rsidP="004E3DB9">
      <w:pPr>
        <w:tabs>
          <w:tab w:val="left" w:pos="1701"/>
          <w:tab w:val="right" w:pos="9072"/>
        </w:tabs>
        <w:ind w:right="91"/>
        <w:outlineLvl w:val="2"/>
        <w:rPr>
          <w:szCs w:val="24"/>
        </w:rPr>
      </w:pPr>
      <w:r w:rsidRPr="009E24EB">
        <w:t xml:space="preserve">The </w:t>
      </w:r>
      <w:r w:rsidRPr="009E24EB">
        <w:rPr>
          <w:i/>
        </w:rPr>
        <w:t>National Health Act 1953</w:t>
      </w:r>
      <w:r w:rsidRPr="009E24EB">
        <w:t xml:space="preserve"> (the Act) </w:t>
      </w:r>
      <w:r w:rsidRPr="009E24EB">
        <w:rPr>
          <w:szCs w:val="24"/>
        </w:rPr>
        <w:t>makes provision in relation to pharmaceutical, sickness and hospital benefits, and of medical and dental services.</w:t>
      </w:r>
    </w:p>
    <w:p w14:paraId="0EFCA9BF" w14:textId="77777777" w:rsidR="00A95037" w:rsidRPr="009E24EB" w:rsidRDefault="00A95037" w:rsidP="00A95037">
      <w:pPr>
        <w:pStyle w:val="PlainParagraph"/>
        <w:spacing w:before="0" w:after="0" w:line="240" w:lineRule="auto"/>
        <w:rPr>
          <w:rFonts w:ascii="Times New Roman" w:hAnsi="Times New Roman" w:cs="Times New Roman"/>
          <w:sz w:val="24"/>
          <w:szCs w:val="24"/>
        </w:rPr>
      </w:pPr>
    </w:p>
    <w:p w14:paraId="6083435E" w14:textId="77777777" w:rsidR="004E3DB9" w:rsidRPr="009E24EB" w:rsidRDefault="004E3DB9" w:rsidP="004E3DB9">
      <w:pPr>
        <w:pStyle w:val="PlainParagraph"/>
        <w:spacing w:before="0" w:after="0" w:line="240" w:lineRule="auto"/>
        <w:rPr>
          <w:rFonts w:ascii="Times New Roman" w:hAnsi="Times New Roman" w:cs="Times New Roman"/>
          <w:sz w:val="24"/>
          <w:szCs w:val="24"/>
        </w:rPr>
      </w:pPr>
      <w:r w:rsidRPr="009E24EB">
        <w:rPr>
          <w:rFonts w:ascii="Times New Roman" w:hAnsi="Times New Roman" w:cs="Times New Roman"/>
          <w:sz w:val="24"/>
          <w:szCs w:val="24"/>
        </w:rPr>
        <w:t>Section 140 of the Act provides that the Governor-General may make regulations, not inconsistent with the Act, prescribing all matters which by the Act are required or permitted or are necessary or convenient to be prescribed for carrying out or giving effect to the Act. Subsection 99YBA(1) of the Act provides that the regulations may make provision in relation to services provided by the Commonwealth in relation to the exercise of a power by the Minister under the following provisions:</w:t>
      </w:r>
    </w:p>
    <w:p w14:paraId="26BC5779" w14:textId="77777777" w:rsidR="004E3DB9" w:rsidRPr="009E24EB" w:rsidRDefault="004E3DB9" w:rsidP="004E3DB9">
      <w:pPr>
        <w:pStyle w:val="PlainParagraph"/>
        <w:numPr>
          <w:ilvl w:val="0"/>
          <w:numId w:val="30"/>
        </w:numPr>
        <w:spacing w:before="120" w:after="120" w:line="240" w:lineRule="auto"/>
        <w:ind w:left="714" w:hanging="357"/>
        <w:rPr>
          <w:rFonts w:ascii="Times New Roman" w:hAnsi="Times New Roman" w:cs="Times New Roman"/>
          <w:sz w:val="24"/>
          <w:szCs w:val="24"/>
        </w:rPr>
      </w:pPr>
      <w:r w:rsidRPr="009E24EB">
        <w:rPr>
          <w:rFonts w:ascii="Times New Roman" w:hAnsi="Times New Roman" w:cs="Times New Roman"/>
          <w:sz w:val="24"/>
          <w:szCs w:val="24"/>
        </w:rPr>
        <w:t>Section 9B of the Act, which provides that the Minister may provide, or arrange for the provision of, designated vaccines and goods and services associated with or incidental to the provision or administration of designated vaccines.</w:t>
      </w:r>
    </w:p>
    <w:p w14:paraId="22748D22" w14:textId="77777777" w:rsidR="004E3DB9" w:rsidRPr="009E24EB" w:rsidRDefault="004E3DB9" w:rsidP="004E3DB9">
      <w:pPr>
        <w:pStyle w:val="PlainParagraph"/>
        <w:numPr>
          <w:ilvl w:val="0"/>
          <w:numId w:val="30"/>
        </w:numPr>
        <w:spacing w:before="120" w:after="0" w:line="240" w:lineRule="auto"/>
        <w:ind w:left="714" w:hanging="357"/>
        <w:rPr>
          <w:rFonts w:ascii="Times New Roman" w:hAnsi="Times New Roman" w:cs="Times New Roman"/>
          <w:sz w:val="24"/>
          <w:szCs w:val="24"/>
        </w:rPr>
      </w:pPr>
      <w:r w:rsidRPr="009E24EB">
        <w:rPr>
          <w:rFonts w:ascii="Times New Roman" w:hAnsi="Times New Roman" w:cs="Times New Roman"/>
          <w:sz w:val="24"/>
          <w:szCs w:val="24"/>
        </w:rPr>
        <w:t>Part VII of the Act, which concerns pharmaceutical benefits and deals with matters including the supply of and payments concerning pharmaceutical benefits and the PBS.</w:t>
      </w:r>
    </w:p>
    <w:p w14:paraId="6C571276" w14:textId="77777777" w:rsidR="004E3DB9" w:rsidRPr="009E24EB" w:rsidRDefault="004E3DB9" w:rsidP="004E3DB9">
      <w:pPr>
        <w:pStyle w:val="Dot1"/>
        <w:numPr>
          <w:ilvl w:val="0"/>
          <w:numId w:val="0"/>
        </w:numPr>
        <w:spacing w:after="0" w:line="240" w:lineRule="auto"/>
        <w:rPr>
          <w:rFonts w:ascii="Times New Roman" w:hAnsi="Times New Roman" w:cs="Times New Roman"/>
          <w:sz w:val="24"/>
          <w:szCs w:val="24"/>
        </w:rPr>
      </w:pPr>
    </w:p>
    <w:p w14:paraId="636C3326" w14:textId="77777777" w:rsidR="004E3DB9" w:rsidRPr="009E24EB" w:rsidRDefault="004E3DB9" w:rsidP="004E3DB9">
      <w:pPr>
        <w:pStyle w:val="PlainParagraph"/>
        <w:spacing w:before="0" w:after="0" w:line="240" w:lineRule="auto"/>
        <w:rPr>
          <w:rFonts w:ascii="Times New Roman" w:hAnsi="Times New Roman" w:cs="Times New Roman"/>
          <w:sz w:val="24"/>
          <w:szCs w:val="24"/>
        </w:rPr>
      </w:pPr>
      <w:r w:rsidRPr="009E24EB">
        <w:rPr>
          <w:rFonts w:ascii="Times New Roman" w:hAnsi="Times New Roman" w:cs="Times New Roman"/>
          <w:sz w:val="24"/>
          <w:szCs w:val="24"/>
        </w:rPr>
        <w:t>Subsection 99YBA(2) of</w:t>
      </w:r>
      <w:r w:rsidRPr="009E24EB">
        <w:t xml:space="preserve"> the </w:t>
      </w:r>
      <w:r w:rsidRPr="009E24EB">
        <w:rPr>
          <w:rFonts w:ascii="Times New Roman" w:hAnsi="Times New Roman" w:cs="Times New Roman"/>
          <w:sz w:val="24"/>
          <w:szCs w:val="24"/>
        </w:rPr>
        <w:t xml:space="preserve">Act further provides that regulations may make provision in relation to matters including the prescribing of fees, the making of applications, and exemptions from the prescribed fees, in relation to the exercise of a power by the Minister </w:t>
      </w:r>
      <w:proofErr w:type="gramStart"/>
      <w:r w:rsidRPr="009E24EB">
        <w:rPr>
          <w:rFonts w:ascii="Times New Roman" w:hAnsi="Times New Roman" w:cs="Times New Roman"/>
          <w:sz w:val="24"/>
          <w:szCs w:val="24"/>
        </w:rPr>
        <w:t>under</w:t>
      </w:r>
      <w:proofErr w:type="gramEnd"/>
      <w:r w:rsidRPr="009E24EB">
        <w:rPr>
          <w:rFonts w:ascii="Times New Roman" w:hAnsi="Times New Roman" w:cs="Times New Roman"/>
          <w:sz w:val="24"/>
          <w:szCs w:val="24"/>
        </w:rPr>
        <w:t xml:space="preserve"> section 9B and Part VII of the Act.</w:t>
      </w:r>
    </w:p>
    <w:p w14:paraId="253CABC7" w14:textId="77777777" w:rsidR="00AA45E5" w:rsidRPr="009E24EB" w:rsidRDefault="00AA45E5" w:rsidP="00AA45E5">
      <w:pPr>
        <w:pStyle w:val="Dot1"/>
        <w:numPr>
          <w:ilvl w:val="0"/>
          <w:numId w:val="0"/>
        </w:numPr>
        <w:spacing w:after="0" w:line="240" w:lineRule="auto"/>
        <w:rPr>
          <w:rFonts w:ascii="Times New Roman" w:hAnsi="Times New Roman" w:cs="Times New Roman"/>
          <w:sz w:val="24"/>
          <w:szCs w:val="24"/>
        </w:rPr>
      </w:pPr>
    </w:p>
    <w:p w14:paraId="608FDD9A" w14:textId="77777777" w:rsidR="004E3DB9" w:rsidRPr="009E24EB" w:rsidRDefault="004E3DB9" w:rsidP="004E3DB9">
      <w:r w:rsidRPr="009E24EB">
        <w:rPr>
          <w:szCs w:val="24"/>
        </w:rPr>
        <w:t xml:space="preserve">The </w:t>
      </w:r>
      <w:r w:rsidRPr="009E24EB">
        <w:rPr>
          <w:i/>
          <w:szCs w:val="24"/>
        </w:rPr>
        <w:t xml:space="preserve">National Health (Pharmaceutical and Vaccines—Cost Recovery) Regulations 2009 </w:t>
      </w:r>
      <w:r w:rsidRPr="009E24EB">
        <w:rPr>
          <w:i/>
          <w:szCs w:val="24"/>
        </w:rPr>
        <w:br/>
      </w:r>
      <w:r w:rsidRPr="009E24EB">
        <w:rPr>
          <w:szCs w:val="24"/>
        </w:rPr>
        <w:t>(the Principal Regulations) prescribe fees and matters relating to the making of applications for services provided by the Commonwealth in relation to the exercise of a power by the Minister under section 9B and Part VII of the Act.</w:t>
      </w:r>
      <w:r w:rsidRPr="009E24EB">
        <w:t xml:space="preserve"> Much of the assessment work is out-sourced to external evaluators at a cost to Government, and the regulations implement cost-recovery arrangements whereby these evaluation costs and the costs the Department itself incurs in PBS approval and management are recouped from industry through fees provided in the regulations. </w:t>
      </w:r>
    </w:p>
    <w:p w14:paraId="5F8932F6" w14:textId="77777777" w:rsidR="004E3DB9" w:rsidRPr="009E24EB" w:rsidRDefault="004E3DB9" w:rsidP="004E3DB9">
      <w:pPr>
        <w:rPr>
          <w:szCs w:val="24"/>
        </w:rPr>
      </w:pPr>
    </w:p>
    <w:p w14:paraId="6FDA35FD" w14:textId="2D95B196" w:rsidR="004E3DB9" w:rsidRPr="009E24EB" w:rsidRDefault="004E3DB9" w:rsidP="004E3DB9">
      <w:r w:rsidRPr="009E24EB">
        <w:rPr>
          <w:szCs w:val="24"/>
        </w:rPr>
        <w:t xml:space="preserve">The purpose of the proposed </w:t>
      </w:r>
      <w:r w:rsidRPr="009E24EB">
        <w:rPr>
          <w:i/>
          <w:szCs w:val="24"/>
        </w:rPr>
        <w:t>National Health (Pharmaceuticals and Vaccines – Cost Recovery) Amendment (2020 Measures No. 2) Regulations 2020</w:t>
      </w:r>
      <w:r w:rsidRPr="009E24EB">
        <w:rPr>
          <w:szCs w:val="24"/>
        </w:rPr>
        <w:t xml:space="preserve"> (the Amendment Regulations) is to ensure the sustainability of the PBS by assisting</w:t>
      </w:r>
      <w:r w:rsidRPr="009E24EB">
        <w:t xml:space="preserve"> the Department to recover its costs associated with PBS and National Immunisation Program listing and make it more efficient for applicants to obtain PBS listing.</w:t>
      </w:r>
    </w:p>
    <w:p w14:paraId="6E2C1823" w14:textId="77777777" w:rsidR="004E3DB9" w:rsidRPr="009E24EB" w:rsidRDefault="004E3DB9" w:rsidP="0027662B"/>
    <w:p w14:paraId="46CC588B" w14:textId="1D865B68" w:rsidR="00881970" w:rsidRPr="009E24EB" w:rsidRDefault="00881970" w:rsidP="00881970">
      <w:r w:rsidRPr="009E24EB">
        <w:t>The Amendment Regulations:</w:t>
      </w:r>
    </w:p>
    <w:p w14:paraId="62B4023A" w14:textId="77777777" w:rsidR="004E3DB9" w:rsidRPr="009E24EB" w:rsidRDefault="004E3DB9" w:rsidP="00081E8B">
      <w:pPr>
        <w:numPr>
          <w:ilvl w:val="0"/>
          <w:numId w:val="31"/>
        </w:numPr>
        <w:spacing w:before="120"/>
        <w:ind w:left="714" w:hanging="357"/>
        <w:rPr>
          <w:szCs w:val="24"/>
        </w:rPr>
      </w:pPr>
      <w:r w:rsidRPr="009E24EB">
        <w:rPr>
          <w:szCs w:val="24"/>
        </w:rPr>
        <w:t>update 2020-21 fees for PBAC/PBS services to accurately reflect the costs of providing these services; including removing indexation of fees by Consumer Price Index (CPI);</w:t>
      </w:r>
    </w:p>
    <w:p w14:paraId="2EC65FBC" w14:textId="77777777" w:rsidR="004E3DB9" w:rsidRPr="009E24EB" w:rsidRDefault="004E3DB9" w:rsidP="00081E8B">
      <w:pPr>
        <w:numPr>
          <w:ilvl w:val="0"/>
          <w:numId w:val="31"/>
        </w:numPr>
        <w:ind w:left="714" w:hanging="357"/>
        <w:rPr>
          <w:szCs w:val="24"/>
        </w:rPr>
      </w:pPr>
      <w:r w:rsidRPr="009E24EB">
        <w:rPr>
          <w:szCs w:val="24"/>
        </w:rPr>
        <w:lastRenderedPageBreak/>
        <w:t>remove partial fee waivers and make amendments to the timing for lodgement, notification and withdrawal for fee waiver or exemption requests;</w:t>
      </w:r>
    </w:p>
    <w:p w14:paraId="0B538205" w14:textId="77777777" w:rsidR="004E3DB9" w:rsidRPr="009E24EB" w:rsidRDefault="004E3DB9" w:rsidP="00081E8B">
      <w:pPr>
        <w:numPr>
          <w:ilvl w:val="0"/>
          <w:numId w:val="31"/>
        </w:numPr>
        <w:rPr>
          <w:szCs w:val="24"/>
        </w:rPr>
      </w:pPr>
      <w:r w:rsidRPr="009E24EB">
        <w:rPr>
          <w:szCs w:val="24"/>
        </w:rPr>
        <w:t>amend pre-submission meeting acceptance requirements and notification timing;</w:t>
      </w:r>
    </w:p>
    <w:p w14:paraId="1DAFC1AD" w14:textId="0E136C91" w:rsidR="004E3DB9" w:rsidRPr="009E24EB" w:rsidRDefault="004E3DB9" w:rsidP="00081E8B">
      <w:pPr>
        <w:numPr>
          <w:ilvl w:val="0"/>
          <w:numId w:val="31"/>
        </w:numPr>
        <w:ind w:left="714" w:hanging="357"/>
        <w:rPr>
          <w:szCs w:val="24"/>
        </w:rPr>
      </w:pPr>
      <w:r w:rsidRPr="009E24EB">
        <w:rPr>
          <w:szCs w:val="24"/>
        </w:rPr>
        <w:t>revise Part 2 – Submission Services, to support implementation of changes to PBAC submission evaluation categories</w:t>
      </w:r>
      <w:r w:rsidR="00400E09" w:rsidRPr="009E24EB">
        <w:rPr>
          <w:szCs w:val="24"/>
        </w:rPr>
        <w:t xml:space="preserve"> (Stage 2 PBS process improvements)</w:t>
      </w:r>
      <w:r w:rsidRPr="009E24EB">
        <w:rPr>
          <w:szCs w:val="24"/>
        </w:rPr>
        <w:t>;</w:t>
      </w:r>
    </w:p>
    <w:p w14:paraId="7AA5C4BD" w14:textId="77777777" w:rsidR="004E3DB9" w:rsidRPr="009E24EB" w:rsidRDefault="004E3DB9" w:rsidP="00081E8B">
      <w:pPr>
        <w:numPr>
          <w:ilvl w:val="0"/>
          <w:numId w:val="31"/>
        </w:numPr>
        <w:ind w:left="714" w:hanging="357"/>
        <w:rPr>
          <w:szCs w:val="24"/>
        </w:rPr>
      </w:pPr>
      <w:r w:rsidRPr="009E24EB">
        <w:rPr>
          <w:szCs w:val="24"/>
        </w:rPr>
        <w:t>add new provisions in Part 3 – Pricing Services, to allow the Department to cease pricing services after 26 weeks when there is no active negotiation occurring; and to support implementation of cost recovery for deed management services;</w:t>
      </w:r>
    </w:p>
    <w:p w14:paraId="44797E05" w14:textId="77777777" w:rsidR="004E3DB9" w:rsidRPr="009E24EB" w:rsidRDefault="004E3DB9" w:rsidP="00081E8B">
      <w:pPr>
        <w:numPr>
          <w:ilvl w:val="0"/>
          <w:numId w:val="31"/>
        </w:numPr>
        <w:rPr>
          <w:szCs w:val="24"/>
        </w:rPr>
      </w:pPr>
      <w:r w:rsidRPr="009E24EB">
        <w:rPr>
          <w:szCs w:val="24"/>
        </w:rPr>
        <w:t>add new provisions in Part 3A – List Management Services to support implementation of cost recovery for deed renewal and deed variation requests; and</w:t>
      </w:r>
    </w:p>
    <w:p w14:paraId="03E46D4C" w14:textId="77777777" w:rsidR="004E3DB9" w:rsidRPr="009E24EB" w:rsidRDefault="004E3DB9" w:rsidP="00081E8B">
      <w:pPr>
        <w:numPr>
          <w:ilvl w:val="0"/>
          <w:numId w:val="31"/>
        </w:numPr>
        <w:rPr>
          <w:szCs w:val="24"/>
        </w:rPr>
      </w:pPr>
      <w:proofErr w:type="gramStart"/>
      <w:r w:rsidRPr="009E24EB">
        <w:rPr>
          <w:szCs w:val="24"/>
        </w:rPr>
        <w:t>make</w:t>
      </w:r>
      <w:proofErr w:type="gramEnd"/>
      <w:r w:rsidRPr="009E24EB">
        <w:rPr>
          <w:szCs w:val="24"/>
        </w:rPr>
        <w:t xml:space="preserve"> minor administrative amendments; including wording amendments, updating the existing internal review provision and removing Schedule 2.</w:t>
      </w:r>
    </w:p>
    <w:p w14:paraId="75A95AAC" w14:textId="77777777" w:rsidR="00881970" w:rsidRPr="009E24EB" w:rsidRDefault="00881970" w:rsidP="00A95037"/>
    <w:p w14:paraId="0C34925C" w14:textId="028459B0" w:rsidR="00AA45E5" w:rsidRPr="009E24EB" w:rsidRDefault="00881970" w:rsidP="00881970">
      <w:pPr>
        <w:ind w:right="91"/>
        <w:rPr>
          <w:szCs w:val="24"/>
        </w:rPr>
      </w:pPr>
      <w:r w:rsidRPr="009E24EB">
        <w:t>These amendments reflect the Government’s approval through the 2020-21 Budget</w:t>
      </w:r>
      <w:r w:rsidRPr="009E24EB">
        <w:rPr>
          <w:szCs w:val="24"/>
        </w:rPr>
        <w:t xml:space="preserve"> measure</w:t>
      </w:r>
      <w:r w:rsidRPr="009E24EB">
        <w:t xml:space="preserve"> </w:t>
      </w:r>
      <w:r w:rsidR="00F42447" w:rsidRPr="009E24EB">
        <w:rPr>
          <w:i/>
          <w:szCs w:val="24"/>
        </w:rPr>
        <w:t xml:space="preserve">Improving Access to Medicines — Pharmaceutical Benefits Scheme and Repatriation Pharmaceutical Benefits Scheme — new and amended listings, </w:t>
      </w:r>
      <w:r w:rsidR="00F42447" w:rsidRPr="009E24EB">
        <w:rPr>
          <w:szCs w:val="24"/>
        </w:rPr>
        <w:t xml:space="preserve">to implement the second stage of PBS process changes and revised cost recovery arrangements. These changes </w:t>
      </w:r>
      <w:r w:rsidR="006251BF" w:rsidRPr="009E24EB">
        <w:rPr>
          <w:szCs w:val="24"/>
        </w:rPr>
        <w:t>allow the Commonwealth to</w:t>
      </w:r>
      <w:r w:rsidR="00F42447" w:rsidRPr="009E24EB">
        <w:rPr>
          <w:szCs w:val="24"/>
        </w:rPr>
        <w:t xml:space="preserve"> continue to</w:t>
      </w:r>
      <w:r w:rsidR="006251BF" w:rsidRPr="009E24EB">
        <w:rPr>
          <w:szCs w:val="24"/>
        </w:rPr>
        <w:t xml:space="preserve"> support the sustainability of the PBS and manage applications effectively.</w:t>
      </w:r>
      <w:r w:rsidR="006251BF" w:rsidRPr="009E24EB">
        <w:t xml:space="preserve"> </w:t>
      </w:r>
    </w:p>
    <w:p w14:paraId="163898EE" w14:textId="77777777" w:rsidR="000D4E4D" w:rsidRPr="009E24EB" w:rsidRDefault="000D4E4D" w:rsidP="000D4E4D"/>
    <w:p w14:paraId="4B003C7B" w14:textId="77777777" w:rsidR="004F2D3F" w:rsidRPr="009E24EB" w:rsidRDefault="004F2D3F" w:rsidP="004F2D3F">
      <w:r w:rsidRPr="009E24EB">
        <w:t xml:space="preserve">The Amendment Regulations carry on the arrangements made by the Principal Regulations which sunset on 1 April 2022.  </w:t>
      </w:r>
    </w:p>
    <w:p w14:paraId="78E3E7CC" w14:textId="77777777" w:rsidR="004F2D3F" w:rsidRPr="009E24EB" w:rsidRDefault="004F2D3F" w:rsidP="005A75CF">
      <w:pPr>
        <w:ind w:right="91"/>
        <w:rPr>
          <w:szCs w:val="24"/>
        </w:rPr>
      </w:pPr>
    </w:p>
    <w:p w14:paraId="7712811A" w14:textId="519915BD" w:rsidR="005A75CF" w:rsidRPr="009E24EB" w:rsidRDefault="005A75CF" w:rsidP="005A75CF">
      <w:pPr>
        <w:ind w:right="91"/>
      </w:pPr>
      <w:r w:rsidRPr="009E24EB">
        <w:rPr>
          <w:szCs w:val="24"/>
        </w:rPr>
        <w:t xml:space="preserve">Details of the </w:t>
      </w:r>
      <w:r w:rsidR="00AE28DE" w:rsidRPr="009E24EB">
        <w:rPr>
          <w:szCs w:val="24"/>
        </w:rPr>
        <w:t>operation of the Amendment</w:t>
      </w:r>
      <w:r w:rsidR="006251BF" w:rsidRPr="009E24EB">
        <w:rPr>
          <w:szCs w:val="24"/>
        </w:rPr>
        <w:t xml:space="preserve"> </w:t>
      </w:r>
      <w:r w:rsidR="00776F5E" w:rsidRPr="009E24EB">
        <w:rPr>
          <w:szCs w:val="24"/>
        </w:rPr>
        <w:t xml:space="preserve">Regulations </w:t>
      </w:r>
      <w:r w:rsidRPr="009E24EB">
        <w:rPr>
          <w:szCs w:val="24"/>
        </w:rPr>
        <w:t xml:space="preserve">are </w:t>
      </w:r>
      <w:r w:rsidR="00DC26EA" w:rsidRPr="009E24EB">
        <w:rPr>
          <w:szCs w:val="24"/>
        </w:rPr>
        <w:t xml:space="preserve">provided </w:t>
      </w:r>
      <w:r w:rsidRPr="009E24EB">
        <w:rPr>
          <w:szCs w:val="24"/>
        </w:rPr>
        <w:t xml:space="preserve">in the </w:t>
      </w:r>
      <w:r w:rsidRPr="009E24EB">
        <w:rPr>
          <w:szCs w:val="24"/>
          <w:u w:val="single"/>
        </w:rPr>
        <w:t>Attachment</w:t>
      </w:r>
      <w:r w:rsidRPr="009E24EB">
        <w:rPr>
          <w:szCs w:val="24"/>
        </w:rPr>
        <w:t>.</w:t>
      </w:r>
    </w:p>
    <w:p w14:paraId="3B7F2237" w14:textId="77777777" w:rsidR="005A75CF" w:rsidRPr="009E24EB" w:rsidRDefault="005A75CF" w:rsidP="000D4E4D"/>
    <w:p w14:paraId="144F8FF2" w14:textId="6C71D92D" w:rsidR="000D4E4D" w:rsidRPr="009E24EB" w:rsidRDefault="000D4E4D" w:rsidP="000D4E4D">
      <w:r w:rsidRPr="009E24EB">
        <w:t xml:space="preserve">The </w:t>
      </w:r>
      <w:r w:rsidR="00DC26EA" w:rsidRPr="009E24EB">
        <w:t>Amended</w:t>
      </w:r>
      <w:r w:rsidR="00776F5E" w:rsidRPr="009E24EB">
        <w:t xml:space="preserve"> Regulations </w:t>
      </w:r>
      <w:r w:rsidRPr="009E24EB">
        <w:t>co</w:t>
      </w:r>
      <w:r w:rsidR="0005057B" w:rsidRPr="009E24EB">
        <w:t>mmenced</w:t>
      </w:r>
      <w:r w:rsidRPr="009E24EB">
        <w:t xml:space="preserve"> on 1</w:t>
      </w:r>
      <w:r w:rsidR="000D421A" w:rsidRPr="009E24EB">
        <w:t xml:space="preserve"> </w:t>
      </w:r>
      <w:r w:rsidR="00881970" w:rsidRPr="009E24EB">
        <w:t>January 2021</w:t>
      </w:r>
      <w:r w:rsidRPr="009E24EB">
        <w:t>.</w:t>
      </w:r>
    </w:p>
    <w:p w14:paraId="4B51F434" w14:textId="77777777" w:rsidR="000D4E4D" w:rsidRPr="009E24EB" w:rsidRDefault="000D4E4D" w:rsidP="000D4E4D"/>
    <w:p w14:paraId="22125F0F" w14:textId="0C895939" w:rsidR="000D4E4D" w:rsidRPr="009E24EB" w:rsidRDefault="000D4E4D" w:rsidP="000D4E4D">
      <w:pPr>
        <w:rPr>
          <w:i/>
        </w:rPr>
      </w:pPr>
      <w:r w:rsidRPr="009E24EB">
        <w:t xml:space="preserve">The </w:t>
      </w:r>
      <w:r w:rsidR="00776F5E" w:rsidRPr="009E24EB">
        <w:t xml:space="preserve">Principal Regulations are </w:t>
      </w:r>
      <w:r w:rsidRPr="009E24EB">
        <w:t xml:space="preserve">a legislative instrument for the purposes of the </w:t>
      </w:r>
      <w:r w:rsidRPr="009E24EB">
        <w:rPr>
          <w:i/>
        </w:rPr>
        <w:t>Legislation Act 2003.</w:t>
      </w:r>
    </w:p>
    <w:p w14:paraId="35D59911" w14:textId="2C2CEF69" w:rsidR="0005057B" w:rsidRPr="009E24EB" w:rsidRDefault="0005057B" w:rsidP="0005057B">
      <w:pPr>
        <w:tabs>
          <w:tab w:val="left" w:pos="567"/>
        </w:tabs>
        <w:spacing w:before="240" w:after="240"/>
        <w:rPr>
          <w:szCs w:val="24"/>
        </w:rPr>
      </w:pPr>
      <w:r w:rsidRPr="009E24EB">
        <w:rPr>
          <w:szCs w:val="24"/>
        </w:rPr>
        <w:t>A Statement of Compatibility with Human Rights has been completed for the Amend</w:t>
      </w:r>
      <w:r w:rsidR="00AE28DE" w:rsidRPr="009E24EB">
        <w:rPr>
          <w:szCs w:val="24"/>
        </w:rPr>
        <w:t>ment</w:t>
      </w:r>
      <w:r w:rsidRPr="009E24EB">
        <w:rPr>
          <w:szCs w:val="24"/>
        </w:rPr>
        <w:t xml:space="preserve"> Regulation, in accordance with the </w:t>
      </w:r>
      <w:r w:rsidRPr="009E24EB">
        <w:rPr>
          <w:i/>
          <w:szCs w:val="24"/>
        </w:rPr>
        <w:t>Human Rights (Parliamentary Scrutiny) Act 2011</w:t>
      </w:r>
      <w:r w:rsidRPr="009E24EB">
        <w:rPr>
          <w:szCs w:val="24"/>
        </w:rPr>
        <w:t xml:space="preserve">. The Statement’s assessment is that the measures in the </w:t>
      </w:r>
      <w:r w:rsidR="00AE28DE" w:rsidRPr="009E24EB">
        <w:rPr>
          <w:szCs w:val="24"/>
        </w:rPr>
        <w:t>Amendment</w:t>
      </w:r>
      <w:r w:rsidR="00776F5E" w:rsidRPr="009E24EB">
        <w:rPr>
          <w:szCs w:val="24"/>
        </w:rPr>
        <w:t xml:space="preserve"> Re</w:t>
      </w:r>
      <w:r w:rsidRPr="009E24EB">
        <w:rPr>
          <w:szCs w:val="24"/>
        </w:rPr>
        <w:t>gulations are compatible with human rights.</w:t>
      </w:r>
    </w:p>
    <w:p w14:paraId="54EA9579" w14:textId="77777777" w:rsidR="00DC26EA" w:rsidRPr="009E24EB" w:rsidRDefault="00DC26EA" w:rsidP="00DC26EA">
      <w:pPr>
        <w:tabs>
          <w:tab w:val="left" w:pos="567"/>
        </w:tabs>
        <w:spacing w:after="120"/>
        <w:rPr>
          <w:szCs w:val="24"/>
          <w:u w:val="single"/>
        </w:rPr>
      </w:pPr>
      <w:r w:rsidRPr="009E24EB">
        <w:rPr>
          <w:u w:val="single"/>
        </w:rPr>
        <w:t>Consultation</w:t>
      </w:r>
    </w:p>
    <w:p w14:paraId="244BAA34" w14:textId="77777777" w:rsidR="00056813" w:rsidRPr="009E24EB" w:rsidRDefault="00CA39BB">
      <w:pPr>
        <w:contextualSpacing/>
        <w:rPr>
          <w:szCs w:val="24"/>
        </w:rPr>
      </w:pPr>
      <w:r w:rsidRPr="009E24EB">
        <w:rPr>
          <w:szCs w:val="24"/>
        </w:rPr>
        <w:t>PBS process improvements were developed in collaboration with industry through the Access to Medicines Working Group – Streamlined Pathways Subgroup</w:t>
      </w:r>
      <w:r w:rsidR="00C15019" w:rsidRPr="009E24EB">
        <w:rPr>
          <w:szCs w:val="24"/>
        </w:rPr>
        <w:t>,</w:t>
      </w:r>
      <w:r w:rsidR="006E3466" w:rsidRPr="009E24EB">
        <w:rPr>
          <w:szCs w:val="24"/>
        </w:rPr>
        <w:t xml:space="preserve"> to meet the objectives of clause 10.3 of the Government’s five-year Strategic Agreement with Medicines Australia</w:t>
      </w:r>
      <w:r w:rsidRPr="009E24EB">
        <w:rPr>
          <w:szCs w:val="24"/>
        </w:rPr>
        <w:t xml:space="preserve">. </w:t>
      </w:r>
      <w:r w:rsidR="006E3466" w:rsidRPr="009E24EB">
        <w:rPr>
          <w:szCs w:val="24"/>
        </w:rPr>
        <w:t xml:space="preserve">In August 2018, Minister Hunt approved broad consultation on proposed framework and endorsed a staged implementation approach. The first stage of PBS process improvements were implemented on 1 July 2019. </w:t>
      </w:r>
    </w:p>
    <w:p w14:paraId="3C5D1716" w14:textId="77777777" w:rsidR="00056813" w:rsidRPr="009E24EB" w:rsidRDefault="00056813" w:rsidP="00056813">
      <w:pPr>
        <w:spacing w:before="120"/>
        <w:contextualSpacing/>
        <w:rPr>
          <w:szCs w:val="24"/>
        </w:rPr>
      </w:pPr>
    </w:p>
    <w:p w14:paraId="721246D1" w14:textId="082B8D1C" w:rsidR="009C3A08" w:rsidRPr="009E24EB" w:rsidRDefault="004E3DB9" w:rsidP="00056813">
      <w:pPr>
        <w:spacing w:before="120"/>
        <w:contextualSpacing/>
        <w:rPr>
          <w:b/>
        </w:rPr>
      </w:pPr>
      <w:r w:rsidRPr="009E24EB">
        <w:rPr>
          <w:szCs w:val="24"/>
        </w:rPr>
        <w:t>Public consultation on</w:t>
      </w:r>
      <w:r w:rsidR="006E3466" w:rsidRPr="009E24EB">
        <w:rPr>
          <w:szCs w:val="24"/>
        </w:rPr>
        <w:t xml:space="preserve"> the second stage of </w:t>
      </w:r>
      <w:r w:rsidRPr="009E24EB">
        <w:rPr>
          <w:szCs w:val="24"/>
        </w:rPr>
        <w:t xml:space="preserve">process changes commenced in November 2019, followed by public consultation on fee changes in February 2020. A further public webinar on process and fee changes was undertaken in September 2020, with 230 registered online participants. Public consultation on supporting documentation was undertaken in September and October 2020. A total of seven submissions were received in response to this consultation. Stakeholder feedback included seeking timely advice on a fee waivers, further clarification on deed management fees, particularly where they are terminated early. The Department also consulted with peak bodies (Medicines Australia and the Generic and Biosimilar Medicines Association) on an Exposure Draft of the </w:t>
      </w:r>
      <w:r w:rsidR="00D70574" w:rsidRPr="009E24EB">
        <w:rPr>
          <w:szCs w:val="24"/>
        </w:rPr>
        <w:t>Amendment</w:t>
      </w:r>
      <w:r w:rsidRPr="009E24EB">
        <w:rPr>
          <w:szCs w:val="24"/>
        </w:rPr>
        <w:t xml:space="preserve"> Regulations.</w:t>
      </w:r>
    </w:p>
    <w:p w14:paraId="06D68040" w14:textId="20E27434" w:rsidR="000D4E4D" w:rsidRPr="009E24EB" w:rsidRDefault="000D4E4D" w:rsidP="000D4E4D">
      <w:pPr>
        <w:jc w:val="right"/>
        <w:rPr>
          <w:b/>
        </w:rPr>
      </w:pPr>
      <w:r w:rsidRPr="009E24EB">
        <w:rPr>
          <w:b/>
        </w:rPr>
        <w:lastRenderedPageBreak/>
        <w:t>ATTACHMENT</w:t>
      </w:r>
    </w:p>
    <w:p w14:paraId="6E02C089" w14:textId="77777777" w:rsidR="000D4E4D" w:rsidRPr="009E24EB" w:rsidRDefault="000D4E4D" w:rsidP="000D4E4D">
      <w:pPr>
        <w:jc w:val="right"/>
        <w:rPr>
          <w:b/>
        </w:rPr>
      </w:pPr>
    </w:p>
    <w:p w14:paraId="7AA13054" w14:textId="39350C19" w:rsidR="000D4E4D" w:rsidRPr="009E24EB" w:rsidRDefault="000D4E4D" w:rsidP="00440F0A">
      <w:pPr>
        <w:rPr>
          <w:i/>
        </w:rPr>
      </w:pPr>
      <w:r w:rsidRPr="009E24EB">
        <w:rPr>
          <w:b/>
          <w:u w:val="single"/>
        </w:rPr>
        <w:t xml:space="preserve">Details of the </w:t>
      </w:r>
      <w:r w:rsidR="00440F0A" w:rsidRPr="009E24EB">
        <w:rPr>
          <w:b/>
          <w:i/>
          <w:u w:val="single"/>
        </w:rPr>
        <w:t xml:space="preserve">National Health (Pharmaceuticals and Vaccines—Cost Recovery) Amendment (2020 Measures No. </w:t>
      </w:r>
      <w:r w:rsidR="00881970" w:rsidRPr="009E24EB">
        <w:rPr>
          <w:b/>
          <w:i/>
          <w:u w:val="single"/>
        </w:rPr>
        <w:t>2</w:t>
      </w:r>
      <w:r w:rsidR="00440F0A" w:rsidRPr="009E24EB">
        <w:rPr>
          <w:b/>
          <w:i/>
          <w:u w:val="single"/>
        </w:rPr>
        <w:t>) Regulations 2020</w:t>
      </w:r>
    </w:p>
    <w:p w14:paraId="5899D3E2" w14:textId="53256EC4" w:rsidR="000D4E4D" w:rsidRPr="009E24EB" w:rsidRDefault="000D4E4D" w:rsidP="000D4E4D">
      <w:pPr>
        <w:rPr>
          <w:i/>
          <w:u w:val="single"/>
        </w:rPr>
      </w:pPr>
    </w:p>
    <w:p w14:paraId="2062684F" w14:textId="61A4E315" w:rsidR="000D4E4D" w:rsidRPr="009E24EB" w:rsidRDefault="000054DB" w:rsidP="000054DB">
      <w:pPr>
        <w:rPr>
          <w:u w:val="single"/>
        </w:rPr>
      </w:pPr>
      <w:r w:rsidRPr="009E24EB">
        <w:rPr>
          <w:u w:val="single"/>
        </w:rPr>
        <w:t xml:space="preserve">Section 1 – </w:t>
      </w:r>
      <w:r w:rsidR="000D4E4D" w:rsidRPr="009E24EB">
        <w:rPr>
          <w:u w:val="single"/>
        </w:rPr>
        <w:t>Name</w:t>
      </w:r>
      <w:r w:rsidRPr="009E24EB">
        <w:rPr>
          <w:u w:val="single"/>
        </w:rPr>
        <w:t xml:space="preserve"> </w:t>
      </w:r>
      <w:r w:rsidR="000D4E4D" w:rsidRPr="009E24EB">
        <w:rPr>
          <w:u w:val="single"/>
        </w:rPr>
        <w:t xml:space="preserve">of </w:t>
      </w:r>
      <w:r w:rsidRPr="009E24EB">
        <w:rPr>
          <w:u w:val="single"/>
        </w:rPr>
        <w:t>Regulations</w:t>
      </w:r>
    </w:p>
    <w:p w14:paraId="7A48650E" w14:textId="2700112F" w:rsidR="000D4E4D" w:rsidRPr="009E24EB" w:rsidRDefault="000054DB" w:rsidP="005578B2">
      <w:pPr>
        <w:spacing w:before="120"/>
      </w:pPr>
      <w:r w:rsidRPr="009E24EB">
        <w:t>This s</w:t>
      </w:r>
      <w:r w:rsidR="00AC6CC0" w:rsidRPr="009E24EB">
        <w:t>ection provides that the name of the</w:t>
      </w:r>
      <w:r w:rsidR="000D4E4D" w:rsidRPr="009E24EB">
        <w:t xml:space="preserve"> </w:t>
      </w:r>
      <w:r w:rsidR="00AE28DE" w:rsidRPr="009E24EB">
        <w:t>Amendment</w:t>
      </w:r>
      <w:r w:rsidR="005578B2" w:rsidRPr="009E24EB">
        <w:t xml:space="preserve"> Regulations </w:t>
      </w:r>
      <w:r w:rsidR="000D4E4D" w:rsidRPr="009E24EB">
        <w:t xml:space="preserve">is the </w:t>
      </w:r>
      <w:r w:rsidR="00440F0A" w:rsidRPr="009E24EB">
        <w:rPr>
          <w:i/>
        </w:rPr>
        <w:t xml:space="preserve">National Health (Pharmaceuticals and Vaccines—Cost Recovery) Amendment (2020 Measures No. </w:t>
      </w:r>
      <w:r w:rsidR="00881970" w:rsidRPr="009E24EB">
        <w:rPr>
          <w:i/>
        </w:rPr>
        <w:t>2</w:t>
      </w:r>
      <w:r w:rsidR="00440F0A" w:rsidRPr="009E24EB">
        <w:rPr>
          <w:i/>
        </w:rPr>
        <w:t>) Regulations 2020</w:t>
      </w:r>
      <w:r w:rsidR="000D4E4D" w:rsidRPr="009E24EB">
        <w:t>.</w:t>
      </w:r>
    </w:p>
    <w:p w14:paraId="4659B96E" w14:textId="77777777" w:rsidR="000D4E4D" w:rsidRPr="009E24EB" w:rsidRDefault="000D4E4D" w:rsidP="000D4E4D">
      <w:pPr>
        <w:rPr>
          <w:b/>
        </w:rPr>
      </w:pPr>
    </w:p>
    <w:p w14:paraId="7B2B87CD" w14:textId="18DB48C2" w:rsidR="000D4E4D" w:rsidRPr="009E24EB" w:rsidRDefault="000054DB" w:rsidP="000054DB">
      <w:pPr>
        <w:rPr>
          <w:u w:val="single"/>
        </w:rPr>
      </w:pPr>
      <w:r w:rsidRPr="009E24EB">
        <w:rPr>
          <w:u w:val="single"/>
        </w:rPr>
        <w:t xml:space="preserve">Section 2 – </w:t>
      </w:r>
      <w:r w:rsidR="000D4E4D" w:rsidRPr="009E24EB">
        <w:rPr>
          <w:u w:val="single"/>
        </w:rPr>
        <w:t>Commencement</w:t>
      </w:r>
    </w:p>
    <w:p w14:paraId="5005B151" w14:textId="1C6D7DB4" w:rsidR="000D4E4D" w:rsidRPr="009E24EB" w:rsidRDefault="000054DB" w:rsidP="005578B2">
      <w:pPr>
        <w:spacing w:before="120"/>
      </w:pPr>
      <w:r w:rsidRPr="009E24EB">
        <w:t>This s</w:t>
      </w:r>
      <w:r w:rsidR="000D4E4D" w:rsidRPr="009E24EB">
        <w:t>ection</w:t>
      </w:r>
      <w:r w:rsidRPr="009E24EB">
        <w:t xml:space="preserve"> </w:t>
      </w:r>
      <w:r w:rsidR="00AC6CC0" w:rsidRPr="009E24EB">
        <w:t xml:space="preserve">provides for the </w:t>
      </w:r>
      <w:r w:rsidR="00AE28DE" w:rsidRPr="009E24EB">
        <w:t>Amendment</w:t>
      </w:r>
      <w:r w:rsidR="005578B2" w:rsidRPr="009E24EB">
        <w:t xml:space="preserve"> Regulations </w:t>
      </w:r>
      <w:r w:rsidR="00AC6CC0" w:rsidRPr="009E24EB">
        <w:t xml:space="preserve">to </w:t>
      </w:r>
      <w:r w:rsidR="000D4E4D" w:rsidRPr="009E24EB">
        <w:t xml:space="preserve">commence on 1 </w:t>
      </w:r>
      <w:r w:rsidR="003F0D47" w:rsidRPr="009E24EB">
        <w:t>J</w:t>
      </w:r>
      <w:r w:rsidR="00881970" w:rsidRPr="009E24EB">
        <w:t>anuary 2021</w:t>
      </w:r>
      <w:r w:rsidR="000D4E4D" w:rsidRPr="009E24EB">
        <w:t>.</w:t>
      </w:r>
    </w:p>
    <w:p w14:paraId="460360FE" w14:textId="77777777" w:rsidR="000054DB" w:rsidRPr="009E24EB" w:rsidRDefault="000054DB" w:rsidP="000054DB">
      <w:pPr>
        <w:rPr>
          <w:b/>
        </w:rPr>
      </w:pPr>
    </w:p>
    <w:p w14:paraId="4187513C" w14:textId="3A344566" w:rsidR="000D4E4D" w:rsidRPr="009E24EB" w:rsidRDefault="000054DB" w:rsidP="000054DB">
      <w:pPr>
        <w:rPr>
          <w:i/>
          <w:u w:val="single"/>
        </w:rPr>
      </w:pPr>
      <w:r w:rsidRPr="009E24EB">
        <w:rPr>
          <w:u w:val="single"/>
        </w:rPr>
        <w:t xml:space="preserve">Section 3 – </w:t>
      </w:r>
      <w:r w:rsidR="000047A8" w:rsidRPr="009E24EB">
        <w:rPr>
          <w:u w:val="single"/>
        </w:rPr>
        <w:t>Authority</w:t>
      </w:r>
      <w:r w:rsidRPr="009E24EB">
        <w:rPr>
          <w:u w:val="single"/>
        </w:rPr>
        <w:t xml:space="preserve"> </w:t>
      </w:r>
    </w:p>
    <w:p w14:paraId="7F444814" w14:textId="2D95E9D1" w:rsidR="000047A8" w:rsidRPr="009E24EB" w:rsidRDefault="000054DB" w:rsidP="005578B2">
      <w:pPr>
        <w:spacing w:before="120"/>
      </w:pPr>
      <w:r w:rsidRPr="009E24EB">
        <w:t>This s</w:t>
      </w:r>
      <w:r w:rsidR="000D4E4D" w:rsidRPr="009E24EB">
        <w:t xml:space="preserve">ection </w:t>
      </w:r>
      <w:r w:rsidR="00AC6CC0" w:rsidRPr="009E24EB">
        <w:t xml:space="preserve">provides that the </w:t>
      </w:r>
      <w:r w:rsidR="00AE28DE" w:rsidRPr="009E24EB">
        <w:t>Amendment</w:t>
      </w:r>
      <w:r w:rsidR="005578B2" w:rsidRPr="009E24EB">
        <w:t xml:space="preserve"> Regulations are</w:t>
      </w:r>
      <w:r w:rsidR="000047A8" w:rsidRPr="009E24EB">
        <w:t xml:space="preserve"> </w:t>
      </w:r>
      <w:r w:rsidR="00AC6CC0" w:rsidRPr="009E24EB">
        <w:t xml:space="preserve">made under </w:t>
      </w:r>
      <w:r w:rsidR="000047A8" w:rsidRPr="009E24EB">
        <w:t xml:space="preserve">the </w:t>
      </w:r>
      <w:r w:rsidR="000047A8" w:rsidRPr="009E24EB">
        <w:rPr>
          <w:i/>
        </w:rPr>
        <w:t>National Health Act 1953.</w:t>
      </w:r>
    </w:p>
    <w:p w14:paraId="798E2CEF" w14:textId="77777777" w:rsidR="000047A8" w:rsidRPr="009E24EB" w:rsidRDefault="000047A8" w:rsidP="000D4E4D"/>
    <w:p w14:paraId="5E5ECED3" w14:textId="3641CF91" w:rsidR="000D4E4D" w:rsidRPr="009E24EB" w:rsidRDefault="000054DB" w:rsidP="000D4E4D">
      <w:pPr>
        <w:rPr>
          <w:u w:val="single"/>
        </w:rPr>
      </w:pPr>
      <w:r w:rsidRPr="009E24EB">
        <w:rPr>
          <w:u w:val="single"/>
        </w:rPr>
        <w:t xml:space="preserve">Section 4 – Schedules </w:t>
      </w:r>
    </w:p>
    <w:p w14:paraId="7631542F" w14:textId="77777777" w:rsidR="00AC6CC0" w:rsidRPr="009E24EB" w:rsidRDefault="00AC6CC0" w:rsidP="005578B2">
      <w:pPr>
        <w:pStyle w:val="Dot1"/>
        <w:numPr>
          <w:ilvl w:val="0"/>
          <w:numId w:val="0"/>
        </w:numPr>
        <w:spacing w:before="120" w:after="280"/>
        <w:rPr>
          <w:rFonts w:ascii="Times New Roman" w:hAnsi="Times New Roman" w:cs="Times New Roman"/>
          <w:sz w:val="24"/>
          <w:szCs w:val="24"/>
        </w:rPr>
      </w:pPr>
      <w:r w:rsidRPr="009E24EB">
        <w:rPr>
          <w:rFonts w:ascii="Times New Roman" w:hAnsi="Times New Roman" w:cs="Times New Roman"/>
          <w:sz w:val="24"/>
          <w:szCs w:val="24"/>
        </w:rPr>
        <w:t>This section provides that each instrument specified in the Schedule is amended or repealed as set out in the Schedule and that any other item in the Schedule has effect according to its terms.</w:t>
      </w:r>
    </w:p>
    <w:p w14:paraId="15C4C57F" w14:textId="0DFBF844" w:rsidR="000054DB" w:rsidRPr="009E24EB" w:rsidRDefault="000054DB" w:rsidP="00AC6CC0">
      <w:pPr>
        <w:pStyle w:val="Dot1"/>
        <w:numPr>
          <w:ilvl w:val="0"/>
          <w:numId w:val="0"/>
        </w:numPr>
        <w:spacing w:after="280"/>
        <w:rPr>
          <w:rFonts w:ascii="Times New Roman" w:hAnsi="Times New Roman" w:cs="Times New Roman"/>
          <w:sz w:val="24"/>
          <w:szCs w:val="24"/>
          <w:u w:val="single"/>
        </w:rPr>
      </w:pPr>
      <w:r w:rsidRPr="009E24EB">
        <w:rPr>
          <w:rFonts w:ascii="Times New Roman" w:hAnsi="Times New Roman" w:cs="Times New Roman"/>
          <w:sz w:val="24"/>
          <w:szCs w:val="24"/>
          <w:u w:val="single"/>
        </w:rPr>
        <w:t xml:space="preserve">Schedule 1 – Amendments </w:t>
      </w:r>
    </w:p>
    <w:p w14:paraId="416B8933" w14:textId="77777777" w:rsidR="004E3DB9" w:rsidRPr="009E24EB" w:rsidRDefault="004E3DB9" w:rsidP="004E3DB9">
      <w:pPr>
        <w:pStyle w:val="Dot1"/>
        <w:numPr>
          <w:ilvl w:val="0"/>
          <w:numId w:val="0"/>
        </w:numPr>
        <w:rPr>
          <w:rFonts w:ascii="Times New Roman" w:hAnsi="Times New Roman" w:cs="Times New Roman"/>
          <w:b/>
          <w:sz w:val="24"/>
          <w:szCs w:val="24"/>
        </w:rPr>
      </w:pPr>
      <w:r w:rsidRPr="009E24EB">
        <w:rPr>
          <w:rFonts w:ascii="Times New Roman" w:hAnsi="Times New Roman" w:cs="Times New Roman"/>
          <w:b/>
          <w:sz w:val="24"/>
          <w:szCs w:val="24"/>
        </w:rPr>
        <w:t xml:space="preserve">Item [1] – Regulation 1.3 (after the heading) </w:t>
      </w:r>
    </w:p>
    <w:p w14:paraId="557B36B4" w14:textId="39154A70" w:rsidR="004E3DB9" w:rsidRPr="009E24EB" w:rsidRDefault="004E3DB9" w:rsidP="004E3DB9">
      <w:pPr>
        <w:pStyle w:val="Dot1"/>
        <w:numPr>
          <w:ilvl w:val="0"/>
          <w:numId w:val="0"/>
        </w:numPr>
        <w:spacing w:before="120" w:after="0" w:line="240" w:lineRule="auto"/>
        <w:rPr>
          <w:rFonts w:ascii="Times New Roman" w:hAnsi="Times New Roman" w:cs="Times New Roman"/>
          <w:i/>
          <w:sz w:val="24"/>
          <w:szCs w:val="24"/>
        </w:rPr>
      </w:pPr>
      <w:r w:rsidRPr="009E24EB">
        <w:rPr>
          <w:rFonts w:ascii="Times New Roman" w:hAnsi="Times New Roman" w:cs="Times New Roman"/>
          <w:sz w:val="24"/>
          <w:szCs w:val="24"/>
        </w:rPr>
        <w:t>This item insert</w:t>
      </w:r>
      <w:r w:rsidR="00B70243" w:rsidRPr="009E24EB">
        <w:rPr>
          <w:rFonts w:ascii="Times New Roman" w:hAnsi="Times New Roman" w:cs="Times New Roman"/>
          <w:sz w:val="24"/>
          <w:szCs w:val="24"/>
        </w:rPr>
        <w:t>ed</w:t>
      </w:r>
      <w:r w:rsidRPr="009E24EB">
        <w:rPr>
          <w:rFonts w:ascii="Times New Roman" w:hAnsi="Times New Roman" w:cs="Times New Roman"/>
          <w:sz w:val="24"/>
          <w:szCs w:val="24"/>
        </w:rPr>
        <w:t xml:space="preserve"> a note within the Principal Regulations to advise certain expressions are defined in the </w:t>
      </w:r>
      <w:r w:rsidRPr="009E24EB">
        <w:rPr>
          <w:rFonts w:ascii="Times New Roman" w:hAnsi="Times New Roman" w:cs="Times New Roman"/>
          <w:i/>
          <w:sz w:val="24"/>
          <w:szCs w:val="24"/>
        </w:rPr>
        <w:t>National Health Act 1953</w:t>
      </w:r>
      <w:r w:rsidRPr="009E24EB">
        <w:rPr>
          <w:rFonts w:ascii="Times New Roman" w:hAnsi="Times New Roman" w:cs="Times New Roman"/>
          <w:sz w:val="24"/>
          <w:szCs w:val="24"/>
        </w:rPr>
        <w:t xml:space="preserve"> (the Act)</w:t>
      </w:r>
      <w:r w:rsidRPr="009E24EB">
        <w:rPr>
          <w:rFonts w:ascii="Times New Roman" w:hAnsi="Times New Roman" w:cs="Times New Roman"/>
          <w:i/>
          <w:sz w:val="24"/>
          <w:szCs w:val="24"/>
        </w:rPr>
        <w:t xml:space="preserve">. </w:t>
      </w:r>
    </w:p>
    <w:p w14:paraId="72EE74AC" w14:textId="77777777" w:rsidR="004E3DB9" w:rsidRPr="009E24EB" w:rsidRDefault="004E3DB9" w:rsidP="004E3DB9">
      <w:pPr>
        <w:pStyle w:val="Dot1"/>
        <w:numPr>
          <w:ilvl w:val="0"/>
          <w:numId w:val="0"/>
        </w:numPr>
        <w:spacing w:before="240" w:after="0" w:line="240" w:lineRule="auto"/>
        <w:rPr>
          <w:rFonts w:ascii="Times New Roman" w:hAnsi="Times New Roman" w:cs="Times New Roman"/>
          <w:sz w:val="24"/>
          <w:szCs w:val="24"/>
        </w:rPr>
      </w:pPr>
      <w:r w:rsidRPr="009E24EB">
        <w:rPr>
          <w:rFonts w:ascii="Times New Roman" w:hAnsi="Times New Roman" w:cs="Times New Roman"/>
          <w:b/>
          <w:sz w:val="24"/>
          <w:szCs w:val="24"/>
        </w:rPr>
        <w:t>Item [2] – Regulation 1.3</w:t>
      </w:r>
    </w:p>
    <w:p w14:paraId="40FEF028" w14:textId="56FBE2C9" w:rsidR="004E3DB9" w:rsidRPr="009E24EB" w:rsidRDefault="004E3DB9" w:rsidP="004E3DB9">
      <w:pPr>
        <w:pStyle w:val="Dot1"/>
        <w:numPr>
          <w:ilvl w:val="0"/>
          <w:numId w:val="0"/>
        </w:numPr>
        <w:spacing w:before="120" w:after="0" w:line="240" w:lineRule="auto"/>
        <w:rPr>
          <w:rFonts w:ascii="Times New Roman" w:hAnsi="Times New Roman" w:cs="Times New Roman"/>
          <w:sz w:val="24"/>
          <w:szCs w:val="24"/>
        </w:rPr>
      </w:pPr>
      <w:r w:rsidRPr="009E24EB">
        <w:rPr>
          <w:rFonts w:ascii="Times New Roman" w:hAnsi="Times New Roman" w:cs="Times New Roman"/>
          <w:sz w:val="24"/>
          <w:szCs w:val="24"/>
        </w:rPr>
        <w:t>This item insert</w:t>
      </w:r>
      <w:r w:rsidR="00B70243" w:rsidRPr="009E24EB">
        <w:rPr>
          <w:rFonts w:ascii="Times New Roman" w:hAnsi="Times New Roman" w:cs="Times New Roman"/>
          <w:sz w:val="24"/>
          <w:szCs w:val="24"/>
        </w:rPr>
        <w:t>ed</w:t>
      </w:r>
      <w:r w:rsidRPr="009E24EB">
        <w:rPr>
          <w:rFonts w:ascii="Times New Roman" w:hAnsi="Times New Roman" w:cs="Times New Roman"/>
          <w:sz w:val="24"/>
          <w:szCs w:val="24"/>
        </w:rPr>
        <w:t xml:space="preserve"> new definitions for ‘cost-effectiveness test’, ‘evaluation category’, ‘high-added therapeutic value’ and ‘MSAC’</w:t>
      </w:r>
      <w:r w:rsidR="00B70243" w:rsidRPr="009E24EB">
        <w:rPr>
          <w:rFonts w:ascii="Times New Roman" w:hAnsi="Times New Roman" w:cs="Times New Roman"/>
          <w:sz w:val="24"/>
          <w:szCs w:val="24"/>
        </w:rPr>
        <w:t xml:space="preserve"> into the Principal Regulations. </w:t>
      </w:r>
    </w:p>
    <w:p w14:paraId="0F500A2C" w14:textId="77777777" w:rsidR="004E3DB9" w:rsidRPr="009E24EB" w:rsidRDefault="004E3DB9" w:rsidP="004E3DB9">
      <w:pPr>
        <w:pStyle w:val="Dot1"/>
        <w:numPr>
          <w:ilvl w:val="0"/>
          <w:numId w:val="0"/>
        </w:numPr>
        <w:spacing w:before="240" w:after="0" w:line="240" w:lineRule="auto"/>
        <w:rPr>
          <w:rFonts w:ascii="Times New Roman" w:hAnsi="Times New Roman" w:cs="Times New Roman"/>
          <w:sz w:val="24"/>
          <w:szCs w:val="24"/>
        </w:rPr>
      </w:pPr>
      <w:r w:rsidRPr="009E24EB">
        <w:rPr>
          <w:rFonts w:ascii="Times New Roman" w:hAnsi="Times New Roman" w:cs="Times New Roman"/>
          <w:b/>
          <w:sz w:val="24"/>
          <w:szCs w:val="24"/>
        </w:rPr>
        <w:t>Item [3] – Regulation 1.3 (paragraphs (b), (c), (d), (e) and (f) of the definition of notification)</w:t>
      </w:r>
    </w:p>
    <w:p w14:paraId="0CA2F315" w14:textId="7D03003F" w:rsidR="004E3DB9" w:rsidRPr="009E24EB" w:rsidRDefault="004E3DB9" w:rsidP="004E3DB9">
      <w:pPr>
        <w:pStyle w:val="Item"/>
        <w:spacing w:before="120"/>
        <w:ind w:left="0"/>
        <w:rPr>
          <w:sz w:val="24"/>
          <w:szCs w:val="24"/>
        </w:rPr>
      </w:pPr>
      <w:r w:rsidRPr="009E24EB">
        <w:rPr>
          <w:sz w:val="24"/>
          <w:szCs w:val="24"/>
        </w:rPr>
        <w:t xml:space="preserve">This item </w:t>
      </w:r>
      <w:r w:rsidR="0001107B" w:rsidRPr="009E24EB">
        <w:rPr>
          <w:sz w:val="24"/>
          <w:szCs w:val="24"/>
        </w:rPr>
        <w:t>replaced</w:t>
      </w:r>
      <w:r w:rsidR="00B70243" w:rsidRPr="009E24EB">
        <w:rPr>
          <w:sz w:val="24"/>
          <w:szCs w:val="24"/>
        </w:rPr>
        <w:t xml:space="preserve"> </w:t>
      </w:r>
      <w:r w:rsidRPr="009E24EB">
        <w:rPr>
          <w:sz w:val="24"/>
          <w:szCs w:val="24"/>
        </w:rPr>
        <w:t>para</w:t>
      </w:r>
      <w:r w:rsidR="00D606AA" w:rsidRPr="009E24EB">
        <w:rPr>
          <w:sz w:val="24"/>
          <w:szCs w:val="24"/>
        </w:rPr>
        <w:t>graphs (b), (c) and (d), amending in the definition of ‘notification’</w:t>
      </w:r>
      <w:r w:rsidR="00D12B6E" w:rsidRPr="009E24EB">
        <w:rPr>
          <w:sz w:val="24"/>
          <w:szCs w:val="24"/>
        </w:rPr>
        <w:t xml:space="preserve"> within the Principal Regulations </w:t>
      </w:r>
      <w:r w:rsidR="008214AF" w:rsidRPr="009E24EB">
        <w:rPr>
          <w:sz w:val="24"/>
          <w:szCs w:val="24"/>
        </w:rPr>
        <w:t>to</w:t>
      </w:r>
      <w:r w:rsidR="000E7B7A" w:rsidRPr="009E24EB">
        <w:rPr>
          <w:sz w:val="24"/>
          <w:szCs w:val="24"/>
        </w:rPr>
        <w:t xml:space="preserve"> align with the changes</w:t>
      </w:r>
      <w:r w:rsidR="0001107B" w:rsidRPr="009E24EB">
        <w:rPr>
          <w:sz w:val="24"/>
          <w:szCs w:val="24"/>
        </w:rPr>
        <w:t xml:space="preserve"> made by items </w:t>
      </w:r>
      <w:r w:rsidR="000E7B7A" w:rsidRPr="009E24EB">
        <w:rPr>
          <w:sz w:val="24"/>
          <w:szCs w:val="24"/>
        </w:rPr>
        <w:t>20, 41 and 58</w:t>
      </w:r>
      <w:r w:rsidR="008214AF" w:rsidRPr="009E24EB">
        <w:rPr>
          <w:sz w:val="24"/>
          <w:szCs w:val="24"/>
        </w:rPr>
        <w:t>.</w:t>
      </w:r>
    </w:p>
    <w:p w14:paraId="62542FD6" w14:textId="77777777" w:rsidR="004E3DB9" w:rsidRPr="009E24EB" w:rsidRDefault="004E3DB9" w:rsidP="004E3DB9">
      <w:pPr>
        <w:pStyle w:val="Dot1"/>
        <w:numPr>
          <w:ilvl w:val="0"/>
          <w:numId w:val="0"/>
        </w:numPr>
        <w:spacing w:before="240" w:after="0" w:line="240" w:lineRule="auto"/>
        <w:rPr>
          <w:rFonts w:ascii="Times New Roman" w:hAnsi="Times New Roman" w:cs="Times New Roman"/>
          <w:sz w:val="24"/>
          <w:szCs w:val="24"/>
        </w:rPr>
      </w:pPr>
      <w:r w:rsidRPr="009E24EB">
        <w:rPr>
          <w:rFonts w:ascii="Times New Roman" w:hAnsi="Times New Roman" w:cs="Times New Roman"/>
          <w:b/>
          <w:sz w:val="24"/>
          <w:szCs w:val="24"/>
        </w:rPr>
        <w:t>Item [4] – Regulation 1.3 (definition of Secretary)</w:t>
      </w:r>
    </w:p>
    <w:p w14:paraId="52BC2252" w14:textId="07E56816"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B70243" w:rsidRPr="009E24EB">
        <w:rPr>
          <w:rFonts w:ascii="Times New Roman" w:hAnsi="Times New Roman"/>
          <w:b w:val="0"/>
          <w:kern w:val="0"/>
          <w:szCs w:val="24"/>
        </w:rPr>
        <w:t xml:space="preserve">removed </w:t>
      </w:r>
      <w:r w:rsidRPr="009E24EB">
        <w:rPr>
          <w:rFonts w:ascii="Times New Roman" w:hAnsi="Times New Roman"/>
          <w:b w:val="0"/>
          <w:kern w:val="0"/>
          <w:szCs w:val="24"/>
        </w:rPr>
        <w:t>the definition of ‘Secretary’</w:t>
      </w:r>
      <w:r w:rsidR="00B70243" w:rsidRPr="009E24EB">
        <w:rPr>
          <w:rFonts w:ascii="Times New Roman" w:hAnsi="Times New Roman"/>
          <w:b w:val="0"/>
          <w:kern w:val="0"/>
          <w:szCs w:val="24"/>
        </w:rPr>
        <w:t xml:space="preserve"> from </w:t>
      </w:r>
      <w:r w:rsidRPr="009E24EB">
        <w:rPr>
          <w:rFonts w:ascii="Times New Roman" w:hAnsi="Times New Roman"/>
          <w:b w:val="0"/>
          <w:kern w:val="0"/>
          <w:szCs w:val="24"/>
        </w:rPr>
        <w:t>the Principal Regulations</w:t>
      </w:r>
      <w:r w:rsidR="00B70243" w:rsidRPr="009E24EB">
        <w:rPr>
          <w:rFonts w:ascii="Times New Roman" w:hAnsi="Times New Roman"/>
          <w:b w:val="0"/>
          <w:kern w:val="0"/>
          <w:szCs w:val="24"/>
        </w:rPr>
        <w:t>. ‘Secretary’ is defined in the Act.</w:t>
      </w:r>
    </w:p>
    <w:p w14:paraId="69C1BEB5" w14:textId="1369468E" w:rsidR="004E3DB9" w:rsidRPr="009E24EB" w:rsidRDefault="004E3DB9" w:rsidP="00B70243">
      <w:pPr>
        <w:spacing w:before="240" w:after="160" w:line="259" w:lineRule="auto"/>
        <w:rPr>
          <w:szCs w:val="24"/>
        </w:rPr>
      </w:pPr>
      <w:r w:rsidRPr="009E24EB">
        <w:rPr>
          <w:b/>
          <w:szCs w:val="24"/>
        </w:rPr>
        <w:t>Item [5] – Regulation 1.3 (definition of submission services)</w:t>
      </w:r>
    </w:p>
    <w:p w14:paraId="48BE0D3B" w14:textId="35D14EA2"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w:t>
      </w:r>
      <w:r w:rsidR="00B70243" w:rsidRPr="009E24EB">
        <w:rPr>
          <w:rFonts w:ascii="Times New Roman" w:hAnsi="Times New Roman"/>
          <w:b w:val="0"/>
          <w:kern w:val="0"/>
          <w:szCs w:val="24"/>
        </w:rPr>
        <w:t xml:space="preserve"> item</w:t>
      </w:r>
      <w:r w:rsidRPr="009E24EB">
        <w:rPr>
          <w:rFonts w:ascii="Times New Roman" w:hAnsi="Times New Roman"/>
          <w:b w:val="0"/>
          <w:kern w:val="0"/>
          <w:szCs w:val="24"/>
        </w:rPr>
        <w:t xml:space="preserve"> amend</w:t>
      </w:r>
      <w:r w:rsidR="00B70243" w:rsidRPr="009E24EB">
        <w:rPr>
          <w:rFonts w:ascii="Times New Roman" w:hAnsi="Times New Roman"/>
          <w:b w:val="0"/>
          <w:kern w:val="0"/>
          <w:szCs w:val="24"/>
        </w:rPr>
        <w:t>ed</w:t>
      </w:r>
      <w:r w:rsidRPr="009E24EB">
        <w:rPr>
          <w:rFonts w:ascii="Times New Roman" w:hAnsi="Times New Roman"/>
          <w:b w:val="0"/>
          <w:kern w:val="0"/>
          <w:szCs w:val="24"/>
        </w:rPr>
        <w:t xml:space="preserve"> the </w:t>
      </w:r>
      <w:r w:rsidR="00B70243" w:rsidRPr="009E24EB">
        <w:rPr>
          <w:rFonts w:ascii="Times New Roman" w:hAnsi="Times New Roman"/>
          <w:b w:val="0"/>
          <w:kern w:val="0"/>
          <w:szCs w:val="24"/>
        </w:rPr>
        <w:t>reference</w:t>
      </w:r>
      <w:r w:rsidR="00081E8B" w:rsidRPr="009E24EB">
        <w:rPr>
          <w:rFonts w:ascii="Times New Roman" w:hAnsi="Times New Roman"/>
          <w:b w:val="0"/>
          <w:kern w:val="0"/>
          <w:szCs w:val="24"/>
        </w:rPr>
        <w:t xml:space="preserve"> </w:t>
      </w:r>
      <w:r w:rsidR="000F370E" w:rsidRPr="009E24EB">
        <w:rPr>
          <w:rFonts w:ascii="Times New Roman" w:hAnsi="Times New Roman"/>
          <w:b w:val="0"/>
          <w:kern w:val="0"/>
          <w:szCs w:val="24"/>
        </w:rPr>
        <w:t>in</w:t>
      </w:r>
      <w:r w:rsidR="00B70243" w:rsidRPr="009E24EB">
        <w:rPr>
          <w:rFonts w:ascii="Times New Roman" w:hAnsi="Times New Roman"/>
          <w:b w:val="0"/>
          <w:kern w:val="0"/>
          <w:szCs w:val="24"/>
        </w:rPr>
        <w:t xml:space="preserve"> the </w:t>
      </w:r>
      <w:r w:rsidRPr="009E24EB">
        <w:rPr>
          <w:rFonts w:ascii="Times New Roman" w:hAnsi="Times New Roman"/>
          <w:b w:val="0"/>
          <w:kern w:val="0"/>
          <w:szCs w:val="24"/>
        </w:rPr>
        <w:t>definition of ‘submission services’</w:t>
      </w:r>
      <w:r w:rsidR="000F370E" w:rsidRPr="009E24EB">
        <w:rPr>
          <w:rFonts w:ascii="Times New Roman" w:hAnsi="Times New Roman"/>
          <w:b w:val="0"/>
          <w:kern w:val="0"/>
          <w:szCs w:val="24"/>
        </w:rPr>
        <w:t xml:space="preserve"> within the Principal Regulations</w:t>
      </w:r>
      <w:r w:rsidR="00081E8B" w:rsidRPr="009E24EB">
        <w:rPr>
          <w:rFonts w:ascii="Times New Roman" w:hAnsi="Times New Roman"/>
          <w:b w:val="0"/>
          <w:kern w:val="0"/>
          <w:szCs w:val="24"/>
        </w:rPr>
        <w:t>.</w:t>
      </w:r>
    </w:p>
    <w:p w14:paraId="3E0E645B" w14:textId="673237E0" w:rsidR="004E3DB9" w:rsidRPr="009E24EB" w:rsidRDefault="00B70243" w:rsidP="0001107B">
      <w:pPr>
        <w:rPr>
          <w:szCs w:val="24"/>
        </w:rPr>
      </w:pPr>
      <w:r w:rsidRPr="009E24EB">
        <w:rPr>
          <w:b/>
          <w:szCs w:val="24"/>
        </w:rPr>
        <w:br w:type="page"/>
      </w:r>
      <w:r w:rsidR="004E3DB9" w:rsidRPr="009E24EB">
        <w:rPr>
          <w:b/>
          <w:szCs w:val="24"/>
        </w:rPr>
        <w:lastRenderedPageBreak/>
        <w:t xml:space="preserve">Item [6] – Regulation 1.3 </w:t>
      </w:r>
    </w:p>
    <w:p w14:paraId="492CBB51" w14:textId="7291FDA3"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insert</w:t>
      </w:r>
      <w:r w:rsidR="00C45CF0" w:rsidRPr="009E24EB">
        <w:rPr>
          <w:rFonts w:ascii="Times New Roman" w:hAnsi="Times New Roman"/>
          <w:b w:val="0"/>
          <w:kern w:val="0"/>
          <w:szCs w:val="24"/>
        </w:rPr>
        <w:t>ed</w:t>
      </w:r>
      <w:r w:rsidRPr="009E24EB">
        <w:rPr>
          <w:rFonts w:ascii="Times New Roman" w:hAnsi="Times New Roman"/>
          <w:b w:val="0"/>
          <w:kern w:val="0"/>
          <w:szCs w:val="24"/>
        </w:rPr>
        <w:t xml:space="preserve"> a new definition of ‘Therapeutic Goods Administration’ in</w:t>
      </w:r>
      <w:r w:rsidR="00B70243" w:rsidRPr="009E24EB">
        <w:rPr>
          <w:rFonts w:ascii="Times New Roman" w:hAnsi="Times New Roman"/>
          <w:b w:val="0"/>
          <w:kern w:val="0"/>
          <w:szCs w:val="24"/>
        </w:rPr>
        <w:t>to</w:t>
      </w:r>
      <w:r w:rsidRPr="009E24EB">
        <w:rPr>
          <w:rFonts w:ascii="Times New Roman" w:hAnsi="Times New Roman"/>
          <w:b w:val="0"/>
          <w:kern w:val="0"/>
          <w:szCs w:val="24"/>
        </w:rPr>
        <w:t xml:space="preserve"> the Principal Regulations. </w:t>
      </w:r>
    </w:p>
    <w:p w14:paraId="541AFE79" w14:textId="77777777" w:rsidR="004E3DB9" w:rsidRPr="009E24EB" w:rsidRDefault="004E3DB9" w:rsidP="004E3DB9">
      <w:pPr>
        <w:pStyle w:val="Dot1"/>
        <w:numPr>
          <w:ilvl w:val="0"/>
          <w:numId w:val="0"/>
        </w:numPr>
        <w:spacing w:before="240" w:after="0" w:line="240" w:lineRule="auto"/>
        <w:rPr>
          <w:rFonts w:ascii="Times New Roman" w:hAnsi="Times New Roman" w:cs="Times New Roman"/>
          <w:sz w:val="24"/>
          <w:szCs w:val="24"/>
        </w:rPr>
      </w:pPr>
      <w:r w:rsidRPr="009E24EB">
        <w:rPr>
          <w:rFonts w:ascii="Times New Roman" w:hAnsi="Times New Roman" w:cs="Times New Roman"/>
          <w:b/>
          <w:sz w:val="24"/>
          <w:szCs w:val="24"/>
        </w:rPr>
        <w:t>Item [7] – Regulation 1.3 (definition of therapy)</w:t>
      </w:r>
    </w:p>
    <w:p w14:paraId="2AA13EF3" w14:textId="61704A48"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C45CF0" w:rsidRPr="009E24EB">
        <w:rPr>
          <w:rFonts w:ascii="Times New Roman" w:hAnsi="Times New Roman"/>
          <w:b w:val="0"/>
          <w:kern w:val="0"/>
          <w:szCs w:val="24"/>
        </w:rPr>
        <w:t>removed</w:t>
      </w:r>
      <w:r w:rsidRPr="009E24EB">
        <w:rPr>
          <w:rFonts w:ascii="Times New Roman" w:hAnsi="Times New Roman"/>
          <w:b w:val="0"/>
          <w:kern w:val="0"/>
          <w:szCs w:val="24"/>
        </w:rPr>
        <w:t xml:space="preserve"> the definition of ‘therapy’ </w:t>
      </w:r>
      <w:r w:rsidR="00C45CF0" w:rsidRPr="009E24EB">
        <w:rPr>
          <w:rFonts w:ascii="Times New Roman" w:hAnsi="Times New Roman"/>
          <w:b w:val="0"/>
          <w:kern w:val="0"/>
          <w:szCs w:val="24"/>
        </w:rPr>
        <w:t>from the Principal Regulations</w:t>
      </w:r>
      <w:r w:rsidR="000F370E" w:rsidRPr="009E24EB">
        <w:rPr>
          <w:rFonts w:ascii="Times New Roman" w:hAnsi="Times New Roman"/>
          <w:b w:val="0"/>
          <w:kern w:val="0"/>
          <w:szCs w:val="24"/>
        </w:rPr>
        <w:t xml:space="preserve"> as t</w:t>
      </w:r>
      <w:r w:rsidR="00C45CF0" w:rsidRPr="009E24EB">
        <w:rPr>
          <w:rFonts w:ascii="Times New Roman" w:hAnsi="Times New Roman"/>
          <w:b w:val="0"/>
          <w:kern w:val="0"/>
          <w:szCs w:val="24"/>
        </w:rPr>
        <w:t>his definition is no longer required.</w:t>
      </w:r>
    </w:p>
    <w:p w14:paraId="06F8C5B3" w14:textId="77777777" w:rsidR="004E3DB9" w:rsidRPr="009E24EB" w:rsidRDefault="004E3DB9" w:rsidP="004E3DB9">
      <w:pPr>
        <w:pStyle w:val="ItemHead"/>
        <w:spacing w:before="240"/>
        <w:ind w:left="0" w:firstLine="0"/>
        <w:rPr>
          <w:rFonts w:ascii="Times New Roman" w:hAnsi="Times New Roman"/>
          <w:kern w:val="0"/>
          <w:szCs w:val="24"/>
        </w:rPr>
      </w:pPr>
      <w:r w:rsidRPr="009E24EB">
        <w:rPr>
          <w:rFonts w:ascii="Times New Roman" w:hAnsi="Times New Roman"/>
          <w:kern w:val="0"/>
          <w:szCs w:val="24"/>
        </w:rPr>
        <w:t xml:space="preserve">Item [8]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1A.1(</w:t>
      </w:r>
      <w:proofErr w:type="gramEnd"/>
      <w:r w:rsidRPr="009E24EB">
        <w:rPr>
          <w:rFonts w:ascii="Times New Roman" w:hAnsi="Times New Roman"/>
          <w:kern w:val="0"/>
          <w:szCs w:val="24"/>
        </w:rPr>
        <w:t>2)</w:t>
      </w:r>
    </w:p>
    <w:p w14:paraId="10C51A34" w14:textId="79F2E276"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C45CF0" w:rsidRPr="009E24EB">
        <w:rPr>
          <w:rFonts w:ascii="Times New Roman" w:hAnsi="Times New Roman"/>
          <w:b w:val="0"/>
          <w:kern w:val="0"/>
          <w:szCs w:val="24"/>
        </w:rPr>
        <w:t xml:space="preserve">removed </w:t>
      </w:r>
      <w:r w:rsidRPr="009E24EB">
        <w:rPr>
          <w:rFonts w:ascii="Times New Roman" w:hAnsi="Times New Roman"/>
          <w:b w:val="0"/>
          <w:kern w:val="0"/>
          <w:szCs w:val="24"/>
        </w:rPr>
        <w:t xml:space="preserve">the words ‘if the notification for the person’s ATAGI application is given during the financial year starting on 1 July 2020’ from the Principal Regulations as they are no longer required. </w:t>
      </w:r>
    </w:p>
    <w:p w14:paraId="748AFCE0"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[9]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1A.1(</w:t>
      </w:r>
      <w:proofErr w:type="gramEnd"/>
      <w:r w:rsidRPr="009E24EB">
        <w:rPr>
          <w:rFonts w:ascii="Times New Roman" w:hAnsi="Times New Roman"/>
          <w:kern w:val="0"/>
          <w:szCs w:val="24"/>
        </w:rPr>
        <w:t>2) (note)</w:t>
      </w:r>
    </w:p>
    <w:p w14:paraId="1314223A" w14:textId="0C5E5B03"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C45CF0" w:rsidRPr="009E24EB">
        <w:rPr>
          <w:rFonts w:ascii="Times New Roman" w:hAnsi="Times New Roman"/>
          <w:b w:val="0"/>
          <w:kern w:val="0"/>
          <w:szCs w:val="24"/>
        </w:rPr>
        <w:t xml:space="preserve">removed </w:t>
      </w:r>
      <w:r w:rsidRPr="009E24EB">
        <w:rPr>
          <w:rFonts w:ascii="Times New Roman" w:hAnsi="Times New Roman"/>
          <w:b w:val="0"/>
          <w:kern w:val="0"/>
          <w:szCs w:val="24"/>
        </w:rPr>
        <w:t xml:space="preserve">the note </w:t>
      </w:r>
      <w:r w:rsidR="00C45CF0" w:rsidRPr="009E24EB">
        <w:rPr>
          <w:rFonts w:ascii="Times New Roman" w:hAnsi="Times New Roman"/>
          <w:b w:val="0"/>
          <w:kern w:val="0"/>
          <w:szCs w:val="24"/>
        </w:rPr>
        <w:t>r</w:t>
      </w:r>
      <w:r w:rsidRPr="009E24EB">
        <w:rPr>
          <w:rFonts w:ascii="Times New Roman" w:hAnsi="Times New Roman"/>
          <w:b w:val="0"/>
          <w:kern w:val="0"/>
          <w:szCs w:val="24"/>
        </w:rPr>
        <w:t>elated to indexation of fees by CPI</w:t>
      </w:r>
      <w:r w:rsidR="00C45CF0" w:rsidRPr="009E24EB">
        <w:rPr>
          <w:rFonts w:ascii="Times New Roman" w:hAnsi="Times New Roman"/>
          <w:b w:val="0"/>
          <w:kern w:val="0"/>
          <w:szCs w:val="24"/>
        </w:rPr>
        <w:t xml:space="preserve"> from the Principal Regulations</w:t>
      </w:r>
      <w:r w:rsidR="008214AF" w:rsidRPr="009E24EB">
        <w:rPr>
          <w:rFonts w:ascii="Times New Roman" w:hAnsi="Times New Roman"/>
          <w:b w:val="0"/>
          <w:kern w:val="0"/>
          <w:szCs w:val="24"/>
        </w:rPr>
        <w:t xml:space="preserve"> to reflect the change made by </w:t>
      </w:r>
      <w:r w:rsidRPr="009E24EB">
        <w:rPr>
          <w:rFonts w:ascii="Times New Roman" w:hAnsi="Times New Roman"/>
          <w:b w:val="0"/>
          <w:kern w:val="0"/>
          <w:szCs w:val="24"/>
        </w:rPr>
        <w:t>item 75.</w:t>
      </w:r>
    </w:p>
    <w:p w14:paraId="0671C07F"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[10]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1A.2(</w:t>
      </w:r>
      <w:proofErr w:type="gramEnd"/>
      <w:r w:rsidRPr="009E24EB">
        <w:rPr>
          <w:rFonts w:ascii="Times New Roman" w:hAnsi="Times New Roman"/>
          <w:kern w:val="0"/>
          <w:szCs w:val="24"/>
        </w:rPr>
        <w:t>3)</w:t>
      </w:r>
    </w:p>
    <w:p w14:paraId="54F28F2B" w14:textId="0197A426"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C45CF0" w:rsidRPr="009E24EB">
        <w:rPr>
          <w:rFonts w:ascii="Times New Roman" w:hAnsi="Times New Roman"/>
          <w:b w:val="0"/>
          <w:kern w:val="0"/>
          <w:szCs w:val="24"/>
        </w:rPr>
        <w:t>removed</w:t>
      </w:r>
      <w:r w:rsidRPr="009E24EB">
        <w:rPr>
          <w:rFonts w:ascii="Times New Roman" w:hAnsi="Times New Roman"/>
          <w:b w:val="0"/>
          <w:kern w:val="0"/>
          <w:szCs w:val="24"/>
        </w:rPr>
        <w:t xml:space="preserve"> the words ‘(if the notification for the person’s ATAGI application is given during the financial year starting on 1 July 2020)’ from the Principal Regulations as they are no longer required. </w:t>
      </w:r>
    </w:p>
    <w:p w14:paraId="786B45F3"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[11]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1A.2(</w:t>
      </w:r>
      <w:proofErr w:type="gramEnd"/>
      <w:r w:rsidRPr="009E24EB">
        <w:rPr>
          <w:rFonts w:ascii="Times New Roman" w:hAnsi="Times New Roman"/>
          <w:kern w:val="0"/>
          <w:szCs w:val="24"/>
        </w:rPr>
        <w:t>3) (note)</w:t>
      </w:r>
    </w:p>
    <w:p w14:paraId="043F9931" w14:textId="77777777" w:rsidR="008214AF" w:rsidRPr="009E24EB" w:rsidRDefault="008214AF" w:rsidP="008214AF">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removed the note related to indexation of fees by CPI from the Principal Regulations to reflect the change made by item 75.</w:t>
      </w:r>
    </w:p>
    <w:p w14:paraId="0AB112BE"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[12] – Paragraph </w:t>
      </w:r>
      <w:proofErr w:type="gramStart"/>
      <w:r w:rsidRPr="009E24EB">
        <w:rPr>
          <w:rFonts w:ascii="Times New Roman" w:hAnsi="Times New Roman"/>
          <w:kern w:val="0"/>
          <w:szCs w:val="24"/>
        </w:rPr>
        <w:t>1A.4(</w:t>
      </w:r>
      <w:proofErr w:type="gramEnd"/>
      <w:r w:rsidRPr="009E24EB">
        <w:rPr>
          <w:rFonts w:ascii="Times New Roman" w:hAnsi="Times New Roman"/>
          <w:kern w:val="0"/>
          <w:szCs w:val="24"/>
        </w:rPr>
        <w:t>1)(b)</w:t>
      </w:r>
    </w:p>
    <w:p w14:paraId="4628B7EC" w14:textId="28E29FE5" w:rsidR="004E3DB9" w:rsidRPr="009E24EB" w:rsidRDefault="004E3DB9" w:rsidP="004E3DB9">
      <w:pPr>
        <w:pStyle w:val="Item"/>
        <w:ind w:left="0"/>
        <w:rPr>
          <w:b/>
          <w:szCs w:val="24"/>
        </w:rPr>
      </w:pPr>
      <w:r w:rsidRPr="009E24EB">
        <w:rPr>
          <w:sz w:val="24"/>
          <w:szCs w:val="24"/>
        </w:rPr>
        <w:t>This item amend</w:t>
      </w:r>
      <w:r w:rsidR="00C45CF0" w:rsidRPr="009E24EB">
        <w:rPr>
          <w:sz w:val="24"/>
          <w:szCs w:val="24"/>
        </w:rPr>
        <w:t>ed</w:t>
      </w:r>
      <w:r w:rsidRPr="009E24EB">
        <w:rPr>
          <w:sz w:val="24"/>
          <w:szCs w:val="24"/>
        </w:rPr>
        <w:t xml:space="preserve"> the</w:t>
      </w:r>
      <w:r w:rsidR="00C45CF0" w:rsidRPr="009E24EB">
        <w:rPr>
          <w:sz w:val="24"/>
          <w:szCs w:val="24"/>
        </w:rPr>
        <w:t xml:space="preserve"> </w:t>
      </w:r>
      <w:r w:rsidRPr="009E24EB">
        <w:rPr>
          <w:sz w:val="24"/>
          <w:szCs w:val="24"/>
        </w:rPr>
        <w:t xml:space="preserve">wording </w:t>
      </w:r>
      <w:r w:rsidR="00C45CF0" w:rsidRPr="009E24EB">
        <w:rPr>
          <w:sz w:val="24"/>
          <w:szCs w:val="24"/>
        </w:rPr>
        <w:t xml:space="preserve">of paragraph (b) </w:t>
      </w:r>
      <w:r w:rsidR="000F370E" w:rsidRPr="009E24EB">
        <w:rPr>
          <w:sz w:val="24"/>
          <w:szCs w:val="24"/>
        </w:rPr>
        <w:t xml:space="preserve">within the Principal Regulations </w:t>
      </w:r>
      <w:r w:rsidRPr="009E24EB">
        <w:rPr>
          <w:sz w:val="24"/>
          <w:szCs w:val="24"/>
        </w:rPr>
        <w:t xml:space="preserve">to clarify that fee exemption applications must include the reasons why Regulation 5.1 applies. </w:t>
      </w:r>
    </w:p>
    <w:p w14:paraId="2324BBB7"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[13]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1A.4(</w:t>
      </w:r>
      <w:proofErr w:type="gramEnd"/>
      <w:r w:rsidRPr="009E24EB">
        <w:rPr>
          <w:rFonts w:ascii="Times New Roman" w:hAnsi="Times New Roman"/>
          <w:kern w:val="0"/>
          <w:szCs w:val="24"/>
        </w:rPr>
        <w:t>2)</w:t>
      </w:r>
    </w:p>
    <w:p w14:paraId="5342334C" w14:textId="0848F3F1" w:rsidR="004E3DB9" w:rsidRPr="009E24EB" w:rsidRDefault="004E3DB9" w:rsidP="004E3DB9">
      <w:pPr>
        <w:pStyle w:val="Item"/>
        <w:ind w:left="0"/>
        <w:rPr>
          <w:sz w:val="24"/>
          <w:szCs w:val="24"/>
        </w:rPr>
      </w:pPr>
      <w:r w:rsidRPr="009E24EB">
        <w:rPr>
          <w:sz w:val="24"/>
          <w:szCs w:val="24"/>
        </w:rPr>
        <w:t>This item remove</w:t>
      </w:r>
      <w:r w:rsidR="00C45CF0" w:rsidRPr="009E24EB">
        <w:rPr>
          <w:sz w:val="24"/>
          <w:szCs w:val="24"/>
        </w:rPr>
        <w:t>d</w:t>
      </w:r>
      <w:r w:rsidRPr="009E24EB">
        <w:rPr>
          <w:sz w:val="24"/>
          <w:szCs w:val="24"/>
        </w:rPr>
        <w:t xml:space="preserve"> the reference to ‘the Department’ </w:t>
      </w:r>
      <w:r w:rsidR="00D12B6E" w:rsidRPr="009E24EB">
        <w:rPr>
          <w:sz w:val="24"/>
          <w:szCs w:val="24"/>
        </w:rPr>
        <w:t xml:space="preserve">from the Principal Regulations </w:t>
      </w:r>
      <w:r w:rsidRPr="009E24EB">
        <w:rPr>
          <w:sz w:val="24"/>
          <w:szCs w:val="24"/>
        </w:rPr>
        <w:t xml:space="preserve">to align with section 99YBA of the Act which specifies that fees are payable to the Commonwealth. </w:t>
      </w:r>
    </w:p>
    <w:p w14:paraId="2DB6BFF4"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[14] – Paragraph </w:t>
      </w:r>
      <w:proofErr w:type="gramStart"/>
      <w:r w:rsidRPr="009E24EB">
        <w:rPr>
          <w:rFonts w:ascii="Times New Roman" w:hAnsi="Times New Roman"/>
          <w:kern w:val="0"/>
          <w:szCs w:val="24"/>
        </w:rPr>
        <w:t>1A.7(</w:t>
      </w:r>
      <w:proofErr w:type="gramEnd"/>
      <w:r w:rsidRPr="009E24EB">
        <w:rPr>
          <w:rFonts w:ascii="Times New Roman" w:hAnsi="Times New Roman"/>
          <w:kern w:val="0"/>
          <w:szCs w:val="24"/>
        </w:rPr>
        <w:t>b)</w:t>
      </w:r>
    </w:p>
    <w:p w14:paraId="56EEC935" w14:textId="21CF0B19" w:rsidR="004E3DB9" w:rsidRPr="009E24EB" w:rsidRDefault="004E3DB9" w:rsidP="004E3DB9">
      <w:pPr>
        <w:pStyle w:val="Item"/>
        <w:spacing w:before="120"/>
        <w:ind w:left="0"/>
        <w:rPr>
          <w:b/>
          <w:sz w:val="24"/>
          <w:szCs w:val="24"/>
        </w:rPr>
      </w:pPr>
      <w:r w:rsidRPr="009E24EB">
        <w:rPr>
          <w:sz w:val="24"/>
          <w:szCs w:val="24"/>
        </w:rPr>
        <w:t>This item replace</w:t>
      </w:r>
      <w:r w:rsidR="00C45CF0" w:rsidRPr="009E24EB">
        <w:rPr>
          <w:sz w:val="24"/>
          <w:szCs w:val="24"/>
        </w:rPr>
        <w:t>d</w:t>
      </w:r>
      <w:r w:rsidRPr="009E24EB">
        <w:rPr>
          <w:sz w:val="24"/>
          <w:szCs w:val="24"/>
        </w:rPr>
        <w:t xml:space="preserve"> the words ‘in Schedule 1’ with ‘of Schedule 1’</w:t>
      </w:r>
      <w:r w:rsidR="00086B95" w:rsidRPr="009E24EB">
        <w:rPr>
          <w:sz w:val="24"/>
          <w:szCs w:val="24"/>
        </w:rPr>
        <w:t xml:space="preserve"> within the Principal Regulations.</w:t>
      </w:r>
    </w:p>
    <w:p w14:paraId="21A9E0BB"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[15] – Regulation 1A.7 (table)</w:t>
      </w:r>
    </w:p>
    <w:p w14:paraId="7AC201C3" w14:textId="2438BECD" w:rsidR="00CE00E7" w:rsidRPr="009E24EB" w:rsidRDefault="004E3DB9" w:rsidP="00CE00E7">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F42447" w:rsidRPr="009E24EB">
        <w:rPr>
          <w:rFonts w:ascii="Times New Roman" w:hAnsi="Times New Roman"/>
          <w:b w:val="0"/>
          <w:kern w:val="0"/>
          <w:szCs w:val="24"/>
        </w:rPr>
        <w:t xml:space="preserve">replaced </w:t>
      </w:r>
      <w:r w:rsidRPr="009E24EB">
        <w:rPr>
          <w:rFonts w:ascii="Times New Roman" w:hAnsi="Times New Roman"/>
          <w:b w:val="0"/>
          <w:kern w:val="0"/>
          <w:szCs w:val="24"/>
        </w:rPr>
        <w:t>the fee table within the Principal Regulations to reflect the revised 2020-21 fees approved by Government in the 2020-21 Budget.</w:t>
      </w:r>
      <w:r w:rsidR="00CE00E7" w:rsidRPr="009E24EB">
        <w:rPr>
          <w:rFonts w:ascii="Times New Roman" w:hAnsi="Times New Roman"/>
          <w:b w:val="0"/>
          <w:kern w:val="0"/>
          <w:szCs w:val="24"/>
        </w:rPr>
        <w:t xml:space="preserve"> These revised fees reflect the costs incurred by the Department in providing pre-submission services.</w:t>
      </w:r>
      <w:r w:rsidR="008A0E82" w:rsidRPr="009E24EB">
        <w:rPr>
          <w:rFonts w:ascii="Times New Roman" w:hAnsi="Times New Roman"/>
          <w:b w:val="0"/>
          <w:kern w:val="0"/>
          <w:szCs w:val="24"/>
        </w:rPr>
        <w:t xml:space="preserve"> </w:t>
      </w:r>
    </w:p>
    <w:p w14:paraId="0D1F1DAF" w14:textId="755C6466" w:rsidR="004E3DB9" w:rsidRPr="009E24EB" w:rsidRDefault="004E3DB9" w:rsidP="004E3DB9">
      <w:pPr>
        <w:pStyle w:val="Item"/>
        <w:spacing w:before="120"/>
        <w:ind w:left="0"/>
        <w:rPr>
          <w:sz w:val="24"/>
          <w:szCs w:val="24"/>
        </w:rPr>
      </w:pPr>
    </w:p>
    <w:p w14:paraId="5D7B3777" w14:textId="122F998E" w:rsidR="00F42447"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lastRenderedPageBreak/>
        <w:t xml:space="preserve">To support implementation of the </w:t>
      </w:r>
      <w:r w:rsidR="00CE00E7" w:rsidRPr="009E24EB">
        <w:rPr>
          <w:rFonts w:ascii="Times New Roman" w:hAnsi="Times New Roman"/>
          <w:b w:val="0"/>
          <w:kern w:val="0"/>
          <w:szCs w:val="24"/>
        </w:rPr>
        <w:t xml:space="preserve">second stage of </w:t>
      </w:r>
      <w:r w:rsidRPr="009E24EB">
        <w:rPr>
          <w:rFonts w:ascii="Times New Roman" w:hAnsi="Times New Roman"/>
          <w:b w:val="0"/>
          <w:kern w:val="0"/>
          <w:szCs w:val="24"/>
        </w:rPr>
        <w:t xml:space="preserve">PBS process improvements, the department further reviewed and updated the 2018-19 activity based cost model. Additional activities were identified as part of revising submission categories and the new resubmission pathways. In addition, there have been changes to all fees as a result of parameter changes which include changes to IT costs, depreciation, salary and wage costs to meet whole-of-Government requirements. In line with the </w:t>
      </w:r>
      <w:r w:rsidR="008214AF" w:rsidRPr="009E24EB">
        <w:rPr>
          <w:rFonts w:ascii="Times New Roman" w:hAnsi="Times New Roman"/>
          <w:b w:val="0"/>
          <w:kern w:val="0"/>
          <w:szCs w:val="24"/>
        </w:rPr>
        <w:t>Australian Government Cost Recovery Guidelines (</w:t>
      </w:r>
      <w:r w:rsidRPr="009E24EB">
        <w:rPr>
          <w:rFonts w:ascii="Times New Roman" w:hAnsi="Times New Roman"/>
          <w:b w:val="0"/>
          <w:kern w:val="0"/>
          <w:szCs w:val="24"/>
        </w:rPr>
        <w:t>CRGs</w:t>
      </w:r>
      <w:r w:rsidR="008214AF" w:rsidRPr="009E24EB">
        <w:rPr>
          <w:rFonts w:ascii="Times New Roman" w:hAnsi="Times New Roman"/>
          <w:b w:val="0"/>
          <w:kern w:val="0"/>
          <w:szCs w:val="24"/>
        </w:rPr>
        <w:t>)</w:t>
      </w:r>
      <w:r w:rsidRPr="009E24EB">
        <w:rPr>
          <w:rFonts w:ascii="Times New Roman" w:hAnsi="Times New Roman"/>
          <w:b w:val="0"/>
          <w:kern w:val="0"/>
          <w:szCs w:val="24"/>
        </w:rPr>
        <w:t>, the cost model only recovers the costs of those services directly requested by sponsors.</w:t>
      </w:r>
      <w:r w:rsidR="00F42447" w:rsidRPr="009E24EB">
        <w:rPr>
          <w:rFonts w:ascii="Times New Roman" w:hAnsi="Times New Roman"/>
          <w:b w:val="0"/>
          <w:kern w:val="0"/>
          <w:szCs w:val="24"/>
        </w:rPr>
        <w:t xml:space="preserve"> </w:t>
      </w:r>
    </w:p>
    <w:p w14:paraId="7D2B9E5B"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[16] – Regulation 1A.7 (note)</w:t>
      </w:r>
    </w:p>
    <w:p w14:paraId="79E52D43" w14:textId="1C664D5C" w:rsidR="008214AF" w:rsidRPr="009E24EB" w:rsidRDefault="008214AF" w:rsidP="008214AF">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removed </w:t>
      </w:r>
      <w:r w:rsidR="008E35A9" w:rsidRPr="009E24EB">
        <w:rPr>
          <w:rFonts w:ascii="Times New Roman" w:hAnsi="Times New Roman"/>
          <w:b w:val="0"/>
          <w:kern w:val="0"/>
          <w:szCs w:val="24"/>
        </w:rPr>
        <w:t>th</w:t>
      </w:r>
      <w:r w:rsidR="00175CFD" w:rsidRPr="009E24EB">
        <w:rPr>
          <w:rFonts w:ascii="Times New Roman" w:hAnsi="Times New Roman"/>
          <w:b w:val="0"/>
          <w:kern w:val="0"/>
          <w:szCs w:val="24"/>
        </w:rPr>
        <w:t>is</w:t>
      </w:r>
      <w:r w:rsidRPr="009E24EB">
        <w:rPr>
          <w:rFonts w:ascii="Times New Roman" w:hAnsi="Times New Roman"/>
          <w:b w:val="0"/>
          <w:kern w:val="0"/>
          <w:szCs w:val="24"/>
        </w:rPr>
        <w:t xml:space="preserve"> note</w:t>
      </w:r>
      <w:r w:rsidR="00175CFD" w:rsidRPr="009E24EB">
        <w:rPr>
          <w:rFonts w:ascii="Times New Roman" w:hAnsi="Times New Roman"/>
          <w:b w:val="0"/>
          <w:kern w:val="0"/>
          <w:szCs w:val="24"/>
        </w:rPr>
        <w:t xml:space="preserve"> from the </w:t>
      </w:r>
      <w:r w:rsidRPr="009E24EB">
        <w:rPr>
          <w:rFonts w:ascii="Times New Roman" w:hAnsi="Times New Roman"/>
          <w:b w:val="0"/>
          <w:kern w:val="0"/>
          <w:szCs w:val="24"/>
        </w:rPr>
        <w:t>Principal Regulations to reflect the change made by item 75.</w:t>
      </w:r>
      <w:r w:rsidR="00175CFD" w:rsidRPr="009E24EB">
        <w:rPr>
          <w:rFonts w:ascii="Times New Roman" w:hAnsi="Times New Roman"/>
          <w:b w:val="0"/>
          <w:kern w:val="0"/>
          <w:szCs w:val="24"/>
        </w:rPr>
        <w:t xml:space="preserve"> Indexation of fees by CPI is no longer provided for in the Principal Regulations.</w:t>
      </w:r>
    </w:p>
    <w:p w14:paraId="437F50CF"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[17] – Regulation 1A.9</w:t>
      </w:r>
    </w:p>
    <w:p w14:paraId="2C20AD28" w14:textId="4931C2A9" w:rsidR="004E3DB9" w:rsidRPr="009E24EB" w:rsidRDefault="004E3DB9" w:rsidP="00425388">
      <w:pPr>
        <w:pStyle w:val="Item"/>
        <w:spacing w:before="120"/>
        <w:ind w:left="0"/>
        <w:rPr>
          <w:b/>
          <w:szCs w:val="24"/>
        </w:rPr>
      </w:pPr>
      <w:r w:rsidRPr="009E24EB">
        <w:rPr>
          <w:sz w:val="24"/>
          <w:szCs w:val="24"/>
        </w:rPr>
        <w:t>This remove</w:t>
      </w:r>
      <w:r w:rsidR="00086B95" w:rsidRPr="009E24EB">
        <w:rPr>
          <w:sz w:val="24"/>
          <w:szCs w:val="24"/>
        </w:rPr>
        <w:t>d</w:t>
      </w:r>
      <w:r w:rsidRPr="009E24EB">
        <w:rPr>
          <w:sz w:val="24"/>
          <w:szCs w:val="24"/>
        </w:rPr>
        <w:t xml:space="preserve"> the words ‘and briefing papers’ from the Principal Regulations</w:t>
      </w:r>
      <w:r w:rsidR="00CE00E7" w:rsidRPr="009E24EB">
        <w:rPr>
          <w:sz w:val="24"/>
          <w:szCs w:val="24"/>
        </w:rPr>
        <w:t>, to</w:t>
      </w:r>
      <w:r w:rsidRPr="009E24EB">
        <w:rPr>
          <w:sz w:val="24"/>
          <w:szCs w:val="24"/>
        </w:rPr>
        <w:t xml:space="preserve"> allow the Department to agree or not agree to </w:t>
      </w:r>
      <w:r w:rsidR="00CE00E7" w:rsidRPr="009E24EB">
        <w:rPr>
          <w:sz w:val="24"/>
          <w:szCs w:val="24"/>
        </w:rPr>
        <w:t>hold</w:t>
      </w:r>
      <w:r w:rsidRPr="009E24EB">
        <w:rPr>
          <w:sz w:val="24"/>
          <w:szCs w:val="24"/>
        </w:rPr>
        <w:t xml:space="preserve"> a pre-submission meeting after only considering the meeting application. This amendment allow</w:t>
      </w:r>
      <w:r w:rsidR="00CE00E7" w:rsidRPr="009E24EB">
        <w:rPr>
          <w:sz w:val="24"/>
          <w:szCs w:val="24"/>
        </w:rPr>
        <w:t>s</w:t>
      </w:r>
      <w:r w:rsidRPr="009E24EB">
        <w:rPr>
          <w:sz w:val="24"/>
          <w:szCs w:val="24"/>
        </w:rPr>
        <w:t xml:space="preserve"> for increased efficiencies in the Secretary determining whether to hold a pre-submission meeting.</w:t>
      </w:r>
    </w:p>
    <w:p w14:paraId="7C9FA827"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[18]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1A.10(</w:t>
      </w:r>
      <w:proofErr w:type="gramEnd"/>
      <w:r w:rsidRPr="009E24EB">
        <w:rPr>
          <w:rFonts w:ascii="Times New Roman" w:hAnsi="Times New Roman"/>
          <w:kern w:val="0"/>
          <w:szCs w:val="24"/>
        </w:rPr>
        <w:t>1)</w:t>
      </w:r>
    </w:p>
    <w:p w14:paraId="1402CB18" w14:textId="22ABDB09" w:rsidR="004E3DB9" w:rsidRPr="009E24EB" w:rsidRDefault="004E3DB9" w:rsidP="004E3DB9">
      <w:pPr>
        <w:pStyle w:val="Item"/>
        <w:spacing w:before="120"/>
        <w:ind w:left="0"/>
        <w:rPr>
          <w:sz w:val="24"/>
          <w:szCs w:val="24"/>
        </w:rPr>
      </w:pPr>
      <w:r w:rsidRPr="009E24EB">
        <w:rPr>
          <w:sz w:val="24"/>
          <w:szCs w:val="24"/>
        </w:rPr>
        <w:t>This item amend</w:t>
      </w:r>
      <w:r w:rsidR="00086B95" w:rsidRPr="009E24EB">
        <w:rPr>
          <w:sz w:val="24"/>
          <w:szCs w:val="24"/>
        </w:rPr>
        <w:t>ed</w:t>
      </w:r>
      <w:r w:rsidRPr="009E24EB">
        <w:rPr>
          <w:sz w:val="24"/>
          <w:szCs w:val="24"/>
        </w:rPr>
        <w:t xml:space="preserve"> the wording </w:t>
      </w:r>
      <w:r w:rsidR="00175CFD" w:rsidRPr="009E24EB">
        <w:rPr>
          <w:sz w:val="24"/>
          <w:szCs w:val="24"/>
        </w:rPr>
        <w:t xml:space="preserve">of this </w:t>
      </w:r>
      <w:proofErr w:type="spellStart"/>
      <w:r w:rsidR="00175CFD" w:rsidRPr="009E24EB">
        <w:rPr>
          <w:sz w:val="24"/>
          <w:szCs w:val="24"/>
        </w:rPr>
        <w:t>subregulation</w:t>
      </w:r>
      <w:proofErr w:type="spellEnd"/>
      <w:r w:rsidR="00175CFD" w:rsidRPr="009E24EB">
        <w:rPr>
          <w:sz w:val="24"/>
          <w:szCs w:val="24"/>
        </w:rPr>
        <w:t xml:space="preserve"> within t</w:t>
      </w:r>
      <w:r w:rsidRPr="009E24EB">
        <w:rPr>
          <w:sz w:val="24"/>
          <w:szCs w:val="24"/>
        </w:rPr>
        <w:t xml:space="preserve">he Principal Regulations to align with </w:t>
      </w:r>
      <w:r w:rsidR="00CE00E7" w:rsidRPr="009E24EB">
        <w:rPr>
          <w:sz w:val="24"/>
          <w:szCs w:val="24"/>
        </w:rPr>
        <w:t xml:space="preserve">the changes </w:t>
      </w:r>
      <w:r w:rsidRPr="009E24EB">
        <w:rPr>
          <w:sz w:val="24"/>
          <w:szCs w:val="24"/>
        </w:rPr>
        <w:t>made by item 17. Th</w:t>
      </w:r>
      <w:r w:rsidR="00CE00E7" w:rsidRPr="009E24EB">
        <w:rPr>
          <w:sz w:val="24"/>
          <w:szCs w:val="24"/>
        </w:rPr>
        <w:t>is</w:t>
      </w:r>
      <w:r w:rsidRPr="009E24EB">
        <w:rPr>
          <w:sz w:val="24"/>
          <w:szCs w:val="24"/>
        </w:rPr>
        <w:t xml:space="preserve"> amendment require</w:t>
      </w:r>
      <w:r w:rsidR="00CE00E7" w:rsidRPr="009E24EB">
        <w:rPr>
          <w:sz w:val="24"/>
          <w:szCs w:val="24"/>
        </w:rPr>
        <w:t>s</w:t>
      </w:r>
      <w:r w:rsidRPr="009E24EB">
        <w:rPr>
          <w:sz w:val="24"/>
          <w:szCs w:val="24"/>
        </w:rPr>
        <w:t xml:space="preserve"> the Department to issue a notification within 10 business days after receiving a meeting application</w:t>
      </w:r>
      <w:r w:rsidR="00CE00E7" w:rsidRPr="009E24EB">
        <w:rPr>
          <w:sz w:val="24"/>
          <w:szCs w:val="24"/>
        </w:rPr>
        <w:t>.</w:t>
      </w:r>
    </w:p>
    <w:p w14:paraId="4A3612FD"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[19] – Paragraph </w:t>
      </w:r>
      <w:proofErr w:type="gramStart"/>
      <w:r w:rsidRPr="009E24EB">
        <w:rPr>
          <w:rFonts w:ascii="Times New Roman" w:hAnsi="Times New Roman"/>
          <w:kern w:val="0"/>
          <w:szCs w:val="24"/>
        </w:rPr>
        <w:t>1A.10(</w:t>
      </w:r>
      <w:proofErr w:type="gramEnd"/>
      <w:r w:rsidRPr="009E24EB">
        <w:rPr>
          <w:rFonts w:ascii="Times New Roman" w:hAnsi="Times New Roman"/>
          <w:kern w:val="0"/>
          <w:szCs w:val="24"/>
        </w:rPr>
        <w:t>1)(a)</w:t>
      </w:r>
    </w:p>
    <w:p w14:paraId="17834164" w14:textId="4806DCDA" w:rsidR="004E3DB9" w:rsidRPr="009E24EB" w:rsidRDefault="004E3DB9" w:rsidP="004E3DB9">
      <w:pPr>
        <w:pStyle w:val="Item"/>
        <w:spacing w:before="120"/>
        <w:ind w:left="0"/>
        <w:rPr>
          <w:b/>
          <w:sz w:val="24"/>
          <w:szCs w:val="24"/>
        </w:rPr>
      </w:pPr>
      <w:r w:rsidRPr="009E24EB">
        <w:rPr>
          <w:sz w:val="24"/>
          <w:szCs w:val="24"/>
        </w:rPr>
        <w:t>This item remove</w:t>
      </w:r>
      <w:r w:rsidR="00086B95" w:rsidRPr="009E24EB">
        <w:rPr>
          <w:sz w:val="24"/>
          <w:szCs w:val="24"/>
        </w:rPr>
        <w:t>d</w:t>
      </w:r>
      <w:r w:rsidRPr="009E24EB">
        <w:rPr>
          <w:sz w:val="24"/>
          <w:szCs w:val="24"/>
        </w:rPr>
        <w:t xml:space="preserve"> the words ‘and briefing papers’ from paragraph (a) </w:t>
      </w:r>
      <w:r w:rsidR="00175CFD" w:rsidRPr="009E24EB">
        <w:rPr>
          <w:sz w:val="24"/>
          <w:szCs w:val="24"/>
        </w:rPr>
        <w:t>within the</w:t>
      </w:r>
      <w:r w:rsidRPr="009E24EB">
        <w:rPr>
          <w:sz w:val="24"/>
          <w:szCs w:val="24"/>
        </w:rPr>
        <w:t xml:space="preserve"> Principal Regulations to align with the </w:t>
      </w:r>
      <w:r w:rsidR="00CE00E7" w:rsidRPr="009E24EB">
        <w:rPr>
          <w:sz w:val="24"/>
          <w:szCs w:val="24"/>
        </w:rPr>
        <w:t xml:space="preserve">changes </w:t>
      </w:r>
      <w:r w:rsidRPr="009E24EB">
        <w:rPr>
          <w:sz w:val="24"/>
          <w:szCs w:val="24"/>
        </w:rPr>
        <w:t xml:space="preserve">made by item 17.  </w:t>
      </w:r>
    </w:p>
    <w:p w14:paraId="217045C3"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[20] – </w:t>
      </w:r>
      <w:proofErr w:type="spellStart"/>
      <w:r w:rsidRPr="009E24EB">
        <w:rPr>
          <w:rFonts w:ascii="Times New Roman" w:hAnsi="Times New Roman"/>
          <w:kern w:val="0"/>
          <w:szCs w:val="24"/>
        </w:rPr>
        <w:t>Subregulations</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1A.10(</w:t>
      </w:r>
      <w:proofErr w:type="gramEnd"/>
      <w:r w:rsidRPr="009E24EB">
        <w:rPr>
          <w:rFonts w:ascii="Times New Roman" w:hAnsi="Times New Roman"/>
          <w:kern w:val="0"/>
          <w:szCs w:val="24"/>
        </w:rPr>
        <w:t>2) and (3)</w:t>
      </w:r>
    </w:p>
    <w:p w14:paraId="6B3118A9" w14:textId="31DBA24E" w:rsidR="004E3DB9" w:rsidRPr="009E24EB" w:rsidRDefault="00CE00E7" w:rsidP="004E3DB9">
      <w:pPr>
        <w:pStyle w:val="Item"/>
        <w:spacing w:before="120"/>
        <w:ind w:left="0"/>
        <w:rPr>
          <w:sz w:val="24"/>
          <w:szCs w:val="24"/>
        </w:rPr>
      </w:pPr>
      <w:r w:rsidRPr="009E24EB">
        <w:rPr>
          <w:sz w:val="24"/>
          <w:szCs w:val="24"/>
        </w:rPr>
        <w:t>This item replace</w:t>
      </w:r>
      <w:r w:rsidR="00086B95" w:rsidRPr="009E24EB">
        <w:rPr>
          <w:sz w:val="24"/>
          <w:szCs w:val="24"/>
        </w:rPr>
        <w:t>d</w:t>
      </w:r>
      <w:r w:rsidRPr="009E24EB">
        <w:rPr>
          <w:sz w:val="24"/>
          <w:szCs w:val="24"/>
        </w:rPr>
        <w:t xml:space="preserve"> </w:t>
      </w:r>
      <w:r w:rsidR="00086B95" w:rsidRPr="009E24EB">
        <w:rPr>
          <w:sz w:val="24"/>
          <w:szCs w:val="24"/>
        </w:rPr>
        <w:t xml:space="preserve">these </w:t>
      </w:r>
      <w:proofErr w:type="spellStart"/>
      <w:r w:rsidR="004E3DB9" w:rsidRPr="009E24EB">
        <w:rPr>
          <w:sz w:val="24"/>
          <w:szCs w:val="24"/>
        </w:rPr>
        <w:t>subregulations</w:t>
      </w:r>
      <w:proofErr w:type="spellEnd"/>
      <w:r w:rsidR="004E3DB9" w:rsidRPr="009E24EB">
        <w:rPr>
          <w:sz w:val="24"/>
          <w:szCs w:val="24"/>
        </w:rPr>
        <w:t xml:space="preserve"> </w:t>
      </w:r>
      <w:r w:rsidR="00D12B6E" w:rsidRPr="009E24EB">
        <w:rPr>
          <w:sz w:val="24"/>
          <w:szCs w:val="24"/>
        </w:rPr>
        <w:t>within</w:t>
      </w:r>
      <w:r w:rsidR="004E3DB9" w:rsidRPr="009E24EB">
        <w:rPr>
          <w:sz w:val="24"/>
          <w:szCs w:val="24"/>
        </w:rPr>
        <w:t xml:space="preserve"> the Principal Regulations to provide the matters </w:t>
      </w:r>
      <w:r w:rsidR="00D12B6E" w:rsidRPr="009E24EB">
        <w:rPr>
          <w:sz w:val="24"/>
          <w:szCs w:val="24"/>
        </w:rPr>
        <w:t xml:space="preserve">which </w:t>
      </w:r>
      <w:r w:rsidR="004E3DB9" w:rsidRPr="009E24EB">
        <w:rPr>
          <w:sz w:val="24"/>
          <w:szCs w:val="24"/>
        </w:rPr>
        <w:t xml:space="preserve">the Secretary must notify the applicant of when agreeing to hold a pre-submission meeting. The timeframe for providing these matters to the applicant varies depending on the time between the </w:t>
      </w:r>
      <w:proofErr w:type="gramStart"/>
      <w:r w:rsidR="004E3DB9" w:rsidRPr="009E24EB">
        <w:rPr>
          <w:sz w:val="24"/>
          <w:szCs w:val="24"/>
        </w:rPr>
        <w:t>Secretary</w:t>
      </w:r>
      <w:proofErr w:type="gramEnd"/>
      <w:r w:rsidR="004E3DB9" w:rsidRPr="009E24EB">
        <w:rPr>
          <w:sz w:val="24"/>
          <w:szCs w:val="24"/>
        </w:rPr>
        <w:t xml:space="preserve"> providing notice to the applicant under </w:t>
      </w:r>
      <w:proofErr w:type="spellStart"/>
      <w:r w:rsidR="004E3DB9" w:rsidRPr="009E24EB">
        <w:rPr>
          <w:sz w:val="24"/>
          <w:szCs w:val="24"/>
        </w:rPr>
        <w:t>subregulation</w:t>
      </w:r>
      <w:proofErr w:type="spellEnd"/>
      <w:r w:rsidR="004E3DB9" w:rsidRPr="009E24EB">
        <w:rPr>
          <w:sz w:val="24"/>
          <w:szCs w:val="24"/>
        </w:rPr>
        <w:t xml:space="preserve"> (1) and when the Secretary agrees to the Department holding the pre-submission meeting.</w:t>
      </w:r>
    </w:p>
    <w:p w14:paraId="35FC52B4" w14:textId="72A4DCA3" w:rsidR="00425388" w:rsidRPr="009E24EB" w:rsidRDefault="00425388" w:rsidP="00425388">
      <w:pPr>
        <w:pStyle w:val="ItemHead"/>
        <w:spacing w:before="120"/>
        <w:ind w:left="0" w:firstLine="0"/>
        <w:rPr>
          <w:rFonts w:ascii="Times New Roman" w:hAnsi="Times New Roman"/>
          <w:b w:val="0"/>
          <w:szCs w:val="24"/>
        </w:rPr>
      </w:pPr>
      <w:r w:rsidRPr="009E24EB">
        <w:rPr>
          <w:rFonts w:ascii="Times New Roman" w:hAnsi="Times New Roman"/>
          <w:b w:val="0"/>
          <w:szCs w:val="24"/>
        </w:rPr>
        <w:t xml:space="preserve">These amendments streamline the invoicing process and reduce the administrative burden on the Department in cancelling and reissuing invoices by allowing additional time for the Department to issue a notification (and invoice) where a pre-submission meeting is accepted at least 30 business days prior to the meeting date. </w:t>
      </w:r>
    </w:p>
    <w:p w14:paraId="44D98E06" w14:textId="6732FA4B" w:rsidR="00D12B6E" w:rsidRPr="009E24EB" w:rsidRDefault="00425388" w:rsidP="00D12B6E">
      <w:pPr>
        <w:pStyle w:val="Item"/>
        <w:ind w:left="0"/>
        <w:rPr>
          <w:sz w:val="24"/>
          <w:szCs w:val="24"/>
        </w:rPr>
      </w:pPr>
      <w:r w:rsidRPr="009E24EB">
        <w:rPr>
          <w:sz w:val="24"/>
          <w:szCs w:val="24"/>
        </w:rPr>
        <w:t xml:space="preserve">This item </w:t>
      </w:r>
      <w:r w:rsidR="000E110E" w:rsidRPr="009E24EB">
        <w:rPr>
          <w:sz w:val="24"/>
          <w:szCs w:val="24"/>
        </w:rPr>
        <w:t xml:space="preserve">also </w:t>
      </w:r>
      <w:r w:rsidR="00D12B6E" w:rsidRPr="009E24EB">
        <w:rPr>
          <w:sz w:val="24"/>
          <w:szCs w:val="24"/>
        </w:rPr>
        <w:t xml:space="preserve">removed the reference to ‘the Department’ from the Principal Regulations to align with section 99YBA of the Act which specifies that fees are payable to the Commonwealth. </w:t>
      </w:r>
    </w:p>
    <w:p w14:paraId="0EEB69DE"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[21]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w:t>
      </w:r>
      <w:proofErr w:type="gramStart"/>
      <w:r w:rsidRPr="009E24EB">
        <w:rPr>
          <w:rFonts w:ascii="Times New Roman" w:hAnsi="Times New Roman"/>
          <w:kern w:val="0"/>
          <w:szCs w:val="24"/>
        </w:rPr>
        <w:t>1A.11(</w:t>
      </w:r>
      <w:proofErr w:type="gramEnd"/>
      <w:r w:rsidRPr="009E24EB">
        <w:rPr>
          <w:rFonts w:ascii="Times New Roman" w:hAnsi="Times New Roman"/>
          <w:kern w:val="0"/>
          <w:szCs w:val="24"/>
        </w:rPr>
        <w:t>2)</w:t>
      </w:r>
    </w:p>
    <w:p w14:paraId="273FCE30" w14:textId="34D06094" w:rsidR="004E3DB9" w:rsidRPr="009E24EB" w:rsidRDefault="004E3DB9" w:rsidP="00425388">
      <w:pPr>
        <w:pStyle w:val="Item"/>
        <w:spacing w:before="120"/>
        <w:ind w:left="0"/>
        <w:rPr>
          <w:b/>
          <w:szCs w:val="24"/>
        </w:rPr>
      </w:pPr>
      <w:r w:rsidRPr="009E24EB">
        <w:rPr>
          <w:sz w:val="24"/>
          <w:szCs w:val="24"/>
        </w:rPr>
        <w:t>This item amend</w:t>
      </w:r>
      <w:r w:rsidR="00086B95" w:rsidRPr="009E24EB">
        <w:rPr>
          <w:sz w:val="24"/>
          <w:szCs w:val="24"/>
        </w:rPr>
        <w:t>ed</w:t>
      </w:r>
      <w:r w:rsidRPr="009E24EB">
        <w:rPr>
          <w:sz w:val="24"/>
          <w:szCs w:val="24"/>
        </w:rPr>
        <w:t xml:space="preserve"> the </w:t>
      </w:r>
      <w:r w:rsidR="000F370E" w:rsidRPr="009E24EB">
        <w:rPr>
          <w:sz w:val="24"/>
          <w:szCs w:val="24"/>
        </w:rPr>
        <w:t xml:space="preserve">wording of this </w:t>
      </w:r>
      <w:proofErr w:type="spellStart"/>
      <w:r w:rsidR="000F370E" w:rsidRPr="009E24EB">
        <w:rPr>
          <w:sz w:val="24"/>
          <w:szCs w:val="24"/>
        </w:rPr>
        <w:t>subregulation</w:t>
      </w:r>
      <w:proofErr w:type="spellEnd"/>
      <w:r w:rsidR="000F370E" w:rsidRPr="009E24EB">
        <w:rPr>
          <w:sz w:val="24"/>
          <w:szCs w:val="24"/>
        </w:rPr>
        <w:t xml:space="preserve"> within the </w:t>
      </w:r>
      <w:r w:rsidRPr="009E24EB">
        <w:rPr>
          <w:sz w:val="24"/>
          <w:szCs w:val="24"/>
        </w:rPr>
        <w:t>Principal Regulations to allow for a refund of any fee paid where a pre-submission meeting application is withdrawn before the last business day before the meeting is to be held.</w:t>
      </w:r>
      <w:r w:rsidR="00425388" w:rsidRPr="009E24EB">
        <w:rPr>
          <w:sz w:val="24"/>
          <w:szCs w:val="24"/>
        </w:rPr>
        <w:t xml:space="preserve"> </w:t>
      </w:r>
      <w:r w:rsidRPr="009E24EB">
        <w:rPr>
          <w:sz w:val="24"/>
          <w:szCs w:val="24"/>
        </w:rPr>
        <w:t>This amendment simplif</w:t>
      </w:r>
      <w:r w:rsidR="00425388" w:rsidRPr="009E24EB">
        <w:rPr>
          <w:sz w:val="24"/>
          <w:szCs w:val="24"/>
        </w:rPr>
        <w:t>ies</w:t>
      </w:r>
      <w:r w:rsidRPr="009E24EB">
        <w:rPr>
          <w:sz w:val="24"/>
          <w:szCs w:val="24"/>
        </w:rPr>
        <w:t xml:space="preserve"> the refund withdrawal window.</w:t>
      </w:r>
    </w:p>
    <w:p w14:paraId="55D5CFBE"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lastRenderedPageBreak/>
        <w:t xml:space="preserve">Item [22] – Regulation 2.1A (paragraph beginning ‘Submission services are provided’) </w:t>
      </w:r>
    </w:p>
    <w:p w14:paraId="068F90BB" w14:textId="5F4D7EFA" w:rsidR="004E3DB9" w:rsidRPr="009E24EB" w:rsidRDefault="004E3DB9" w:rsidP="004E3DB9">
      <w:pPr>
        <w:pStyle w:val="Item"/>
        <w:spacing w:before="120"/>
        <w:ind w:left="0"/>
        <w:rPr>
          <w:b/>
          <w:sz w:val="24"/>
          <w:szCs w:val="24"/>
        </w:rPr>
      </w:pPr>
      <w:r w:rsidRPr="009E24EB">
        <w:rPr>
          <w:sz w:val="24"/>
          <w:szCs w:val="24"/>
        </w:rPr>
        <w:t xml:space="preserve">This item </w:t>
      </w:r>
      <w:r w:rsidR="00425388" w:rsidRPr="009E24EB">
        <w:rPr>
          <w:sz w:val="24"/>
          <w:szCs w:val="24"/>
        </w:rPr>
        <w:t>replace</w:t>
      </w:r>
      <w:r w:rsidR="00086B95" w:rsidRPr="009E24EB">
        <w:rPr>
          <w:sz w:val="24"/>
          <w:szCs w:val="24"/>
        </w:rPr>
        <w:t>d</w:t>
      </w:r>
      <w:r w:rsidR="00425388" w:rsidRPr="009E24EB">
        <w:rPr>
          <w:sz w:val="24"/>
          <w:szCs w:val="24"/>
        </w:rPr>
        <w:t xml:space="preserve"> </w:t>
      </w:r>
      <w:r w:rsidRPr="009E24EB">
        <w:rPr>
          <w:sz w:val="24"/>
          <w:szCs w:val="24"/>
        </w:rPr>
        <w:t>the paragraph beginning ‘Submission services are provided’ within the Principal Regulations to provide a simplified outline of the changes to Part 2</w:t>
      </w:r>
      <w:r w:rsidR="00425388" w:rsidRPr="009E24EB">
        <w:rPr>
          <w:sz w:val="24"/>
          <w:szCs w:val="24"/>
        </w:rPr>
        <w:t xml:space="preserve"> made by the Amendment Regulations.</w:t>
      </w:r>
    </w:p>
    <w:p w14:paraId="4CB00E34"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[23] – Regulation 2.1A</w:t>
      </w:r>
    </w:p>
    <w:p w14:paraId="191DCA8B" w14:textId="69FFD9F1" w:rsidR="004E3DB9" w:rsidRPr="009E24EB" w:rsidRDefault="004E3DB9" w:rsidP="004E3DB9">
      <w:pPr>
        <w:pStyle w:val="Item"/>
        <w:spacing w:before="120"/>
        <w:ind w:left="0"/>
        <w:rPr>
          <w:b/>
          <w:sz w:val="24"/>
          <w:szCs w:val="24"/>
        </w:rPr>
      </w:pPr>
      <w:r w:rsidRPr="009E24EB">
        <w:rPr>
          <w:sz w:val="24"/>
          <w:szCs w:val="24"/>
        </w:rPr>
        <w:t>This item insert</w:t>
      </w:r>
      <w:r w:rsidR="00086B95" w:rsidRPr="009E24EB">
        <w:rPr>
          <w:sz w:val="24"/>
          <w:szCs w:val="24"/>
        </w:rPr>
        <w:t>ed</w:t>
      </w:r>
      <w:r w:rsidRPr="009E24EB">
        <w:rPr>
          <w:sz w:val="24"/>
          <w:szCs w:val="24"/>
        </w:rPr>
        <w:t xml:space="preserve"> the word ‘generally’ to the paragraph beginning ‘If the person’s application is to the Committee, the person will’ within the Principal regulations to align with the changes </w:t>
      </w:r>
      <w:r w:rsidR="000F370E" w:rsidRPr="009E24EB">
        <w:rPr>
          <w:sz w:val="24"/>
          <w:szCs w:val="24"/>
        </w:rPr>
        <w:t xml:space="preserve">made to </w:t>
      </w:r>
      <w:r w:rsidRPr="009E24EB">
        <w:rPr>
          <w:sz w:val="24"/>
          <w:szCs w:val="24"/>
        </w:rPr>
        <w:t>Part 2</w:t>
      </w:r>
      <w:r w:rsidR="000F370E" w:rsidRPr="009E24EB">
        <w:rPr>
          <w:sz w:val="24"/>
          <w:szCs w:val="24"/>
        </w:rPr>
        <w:t>.</w:t>
      </w:r>
    </w:p>
    <w:p w14:paraId="26EFEE52"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[24] – Subdivision 1 of Division 2.1 (heading)</w:t>
      </w:r>
    </w:p>
    <w:p w14:paraId="5D967FA0" w14:textId="0BD036BA"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425388" w:rsidRPr="009E24EB">
        <w:rPr>
          <w:rFonts w:ascii="Times New Roman" w:hAnsi="Times New Roman"/>
          <w:b w:val="0"/>
          <w:kern w:val="0"/>
          <w:szCs w:val="24"/>
        </w:rPr>
        <w:t>remove</w:t>
      </w:r>
      <w:r w:rsidR="00086B95" w:rsidRPr="009E24EB">
        <w:rPr>
          <w:rFonts w:ascii="Times New Roman" w:hAnsi="Times New Roman"/>
          <w:b w:val="0"/>
          <w:kern w:val="0"/>
          <w:szCs w:val="24"/>
        </w:rPr>
        <w:t>d</w:t>
      </w:r>
      <w:r w:rsidR="000F370E" w:rsidRPr="009E24EB">
        <w:rPr>
          <w:rFonts w:ascii="Times New Roman" w:hAnsi="Times New Roman"/>
          <w:b w:val="0"/>
          <w:kern w:val="0"/>
          <w:szCs w:val="24"/>
        </w:rPr>
        <w:t xml:space="preserve"> this</w:t>
      </w:r>
      <w:r w:rsidRPr="009E24EB">
        <w:rPr>
          <w:rFonts w:ascii="Times New Roman" w:hAnsi="Times New Roman"/>
          <w:b w:val="0"/>
          <w:kern w:val="0"/>
          <w:szCs w:val="24"/>
        </w:rPr>
        <w:t xml:space="preserve"> heading from the </w:t>
      </w:r>
      <w:r w:rsidR="00425388" w:rsidRPr="009E24EB">
        <w:rPr>
          <w:rFonts w:ascii="Times New Roman" w:hAnsi="Times New Roman"/>
          <w:b w:val="0"/>
          <w:kern w:val="0"/>
          <w:szCs w:val="24"/>
        </w:rPr>
        <w:t>Principal Regulations</w:t>
      </w:r>
      <w:r w:rsidRPr="009E24EB">
        <w:rPr>
          <w:rFonts w:ascii="Times New Roman" w:hAnsi="Times New Roman"/>
          <w:b w:val="0"/>
          <w:kern w:val="0"/>
          <w:szCs w:val="24"/>
        </w:rPr>
        <w:t xml:space="preserve"> as it </w:t>
      </w:r>
      <w:r w:rsidR="00425388" w:rsidRPr="009E24EB">
        <w:rPr>
          <w:rFonts w:ascii="Times New Roman" w:hAnsi="Times New Roman"/>
          <w:b w:val="0"/>
          <w:kern w:val="0"/>
          <w:szCs w:val="24"/>
        </w:rPr>
        <w:t>is</w:t>
      </w:r>
      <w:r w:rsidRPr="009E24EB">
        <w:rPr>
          <w:rFonts w:ascii="Times New Roman" w:hAnsi="Times New Roman"/>
          <w:b w:val="0"/>
          <w:kern w:val="0"/>
          <w:szCs w:val="24"/>
        </w:rPr>
        <w:t xml:space="preserve"> no longer </w:t>
      </w:r>
      <w:r w:rsidR="00425388" w:rsidRPr="009E24EB">
        <w:rPr>
          <w:rFonts w:ascii="Times New Roman" w:hAnsi="Times New Roman"/>
          <w:b w:val="0"/>
          <w:kern w:val="0"/>
          <w:szCs w:val="24"/>
        </w:rPr>
        <w:t>required.</w:t>
      </w:r>
    </w:p>
    <w:p w14:paraId="71AB1409"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[25] – Paragraph 2.1(1</w:t>
      </w:r>
      <w:proofErr w:type="gramStart"/>
      <w:r w:rsidRPr="009E24EB">
        <w:rPr>
          <w:rFonts w:ascii="Times New Roman" w:hAnsi="Times New Roman"/>
          <w:kern w:val="0"/>
          <w:szCs w:val="24"/>
        </w:rPr>
        <w:t>)(</w:t>
      </w:r>
      <w:proofErr w:type="gramEnd"/>
      <w:r w:rsidRPr="009E24EB">
        <w:rPr>
          <w:rFonts w:ascii="Times New Roman" w:hAnsi="Times New Roman"/>
          <w:kern w:val="0"/>
          <w:szCs w:val="24"/>
        </w:rPr>
        <w:t>a)</w:t>
      </w:r>
    </w:p>
    <w:p w14:paraId="17BD0D76" w14:textId="77777777" w:rsidR="00086B95" w:rsidRPr="009E24EB" w:rsidRDefault="00086B95" w:rsidP="00086B95">
      <w:pPr>
        <w:pStyle w:val="Item"/>
        <w:spacing w:before="120"/>
        <w:ind w:left="0"/>
        <w:rPr>
          <w:b/>
          <w:sz w:val="24"/>
          <w:szCs w:val="24"/>
        </w:rPr>
      </w:pPr>
      <w:r w:rsidRPr="009E24EB">
        <w:rPr>
          <w:sz w:val="24"/>
          <w:szCs w:val="24"/>
        </w:rPr>
        <w:t>This item replaced the words ‘in Schedule 1’ with ‘of Schedule 1’ within the Principal Regulations.</w:t>
      </w:r>
    </w:p>
    <w:p w14:paraId="05664D8A"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[26] – At the end of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2.1(1)</w:t>
      </w:r>
    </w:p>
    <w:p w14:paraId="40B954D7" w14:textId="71F790B2" w:rsidR="004E3DB9" w:rsidRPr="009E24EB" w:rsidRDefault="004E3DB9" w:rsidP="004E3DB9">
      <w:pPr>
        <w:pStyle w:val="Item"/>
        <w:spacing w:before="120"/>
        <w:ind w:left="0"/>
        <w:rPr>
          <w:sz w:val="24"/>
          <w:szCs w:val="24"/>
        </w:rPr>
      </w:pPr>
      <w:r w:rsidRPr="009E24EB">
        <w:rPr>
          <w:sz w:val="24"/>
          <w:szCs w:val="24"/>
        </w:rPr>
        <w:t>This item insert</w:t>
      </w:r>
      <w:r w:rsidR="00086B95" w:rsidRPr="009E24EB">
        <w:rPr>
          <w:sz w:val="24"/>
          <w:szCs w:val="24"/>
        </w:rPr>
        <w:t>ed</w:t>
      </w:r>
      <w:r w:rsidRPr="009E24EB">
        <w:rPr>
          <w:sz w:val="24"/>
          <w:szCs w:val="24"/>
        </w:rPr>
        <w:t xml:space="preserve"> a note into the Principal Regulations to refer to Regulation 2.16 for detail on how to apply (for submission services).</w:t>
      </w:r>
    </w:p>
    <w:p w14:paraId="20F88E4E"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[27]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2.1(2) (note)</w:t>
      </w:r>
    </w:p>
    <w:p w14:paraId="7A7803C6" w14:textId="30BFB76F" w:rsidR="004E3DB9" w:rsidRPr="009E24EB" w:rsidRDefault="004E3DB9" w:rsidP="004E3DB9">
      <w:pPr>
        <w:pStyle w:val="Item"/>
        <w:spacing w:before="120"/>
        <w:ind w:left="0"/>
        <w:rPr>
          <w:sz w:val="24"/>
          <w:szCs w:val="24"/>
        </w:rPr>
      </w:pPr>
      <w:r w:rsidRPr="009E24EB">
        <w:rPr>
          <w:sz w:val="24"/>
          <w:szCs w:val="24"/>
        </w:rPr>
        <w:t>This item insert</w:t>
      </w:r>
      <w:r w:rsidR="00086B95" w:rsidRPr="009E24EB">
        <w:rPr>
          <w:sz w:val="24"/>
          <w:szCs w:val="24"/>
        </w:rPr>
        <w:t>ed</w:t>
      </w:r>
      <w:r w:rsidRPr="009E24EB">
        <w:rPr>
          <w:sz w:val="24"/>
          <w:szCs w:val="24"/>
        </w:rPr>
        <w:t xml:space="preserve"> a note into the Principal Regulations to clarify the evaluation category that appl</w:t>
      </w:r>
      <w:r w:rsidR="005C65A5" w:rsidRPr="009E24EB">
        <w:rPr>
          <w:sz w:val="24"/>
          <w:szCs w:val="24"/>
        </w:rPr>
        <w:t>ies</w:t>
      </w:r>
      <w:r w:rsidRPr="009E24EB">
        <w:rPr>
          <w:sz w:val="24"/>
          <w:szCs w:val="24"/>
        </w:rPr>
        <w:t xml:space="preserve"> where an application includes two or more requests.</w:t>
      </w:r>
    </w:p>
    <w:p w14:paraId="6935C108"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 xml:space="preserve">Item [28]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2.2(1)</w:t>
      </w:r>
    </w:p>
    <w:p w14:paraId="4E3B44B8" w14:textId="77DCEE32" w:rsidR="004E3DB9" w:rsidRPr="009E24EB" w:rsidRDefault="004E3DB9" w:rsidP="004E3DB9">
      <w:pPr>
        <w:pStyle w:val="Item"/>
        <w:spacing w:before="120"/>
        <w:ind w:left="0"/>
        <w:rPr>
          <w:sz w:val="24"/>
          <w:szCs w:val="24"/>
        </w:rPr>
      </w:pPr>
      <w:r w:rsidRPr="009E24EB">
        <w:rPr>
          <w:sz w:val="24"/>
          <w:szCs w:val="24"/>
        </w:rPr>
        <w:t>This item replace</w:t>
      </w:r>
      <w:r w:rsidR="00086B95" w:rsidRPr="009E24EB">
        <w:rPr>
          <w:sz w:val="24"/>
          <w:szCs w:val="24"/>
        </w:rPr>
        <w:t>d</w:t>
      </w:r>
      <w:r w:rsidRPr="009E24EB">
        <w:rPr>
          <w:sz w:val="24"/>
          <w:szCs w:val="24"/>
        </w:rPr>
        <w:t xml:space="preserve"> the words ‘(1) </w:t>
      </w:r>
      <w:proofErr w:type="gramStart"/>
      <w:r w:rsidRPr="009E24EB">
        <w:rPr>
          <w:sz w:val="24"/>
          <w:szCs w:val="24"/>
        </w:rPr>
        <w:t>For</w:t>
      </w:r>
      <w:proofErr w:type="gramEnd"/>
      <w:r w:rsidRPr="009E24EB">
        <w:rPr>
          <w:sz w:val="24"/>
          <w:szCs w:val="24"/>
        </w:rPr>
        <w:t xml:space="preserve">’ with the word ‘For’ </w:t>
      </w:r>
      <w:r w:rsidR="000F370E" w:rsidRPr="009E24EB">
        <w:rPr>
          <w:sz w:val="24"/>
          <w:szCs w:val="24"/>
        </w:rPr>
        <w:t>within</w:t>
      </w:r>
      <w:r w:rsidRPr="009E24EB">
        <w:rPr>
          <w:sz w:val="24"/>
          <w:szCs w:val="24"/>
        </w:rPr>
        <w:t xml:space="preserve"> the Principal Regulations. </w:t>
      </w:r>
    </w:p>
    <w:p w14:paraId="52C82780" w14:textId="77777777" w:rsidR="004E3DB9" w:rsidRPr="009E24EB" w:rsidRDefault="004E3DB9" w:rsidP="004E3DB9">
      <w:pPr>
        <w:pStyle w:val="Item"/>
        <w:spacing w:before="240"/>
        <w:ind w:left="0"/>
        <w:rPr>
          <w:b/>
          <w:sz w:val="24"/>
          <w:szCs w:val="24"/>
        </w:rPr>
      </w:pPr>
      <w:r w:rsidRPr="009E24EB">
        <w:rPr>
          <w:b/>
          <w:sz w:val="24"/>
          <w:szCs w:val="24"/>
        </w:rPr>
        <w:t xml:space="preserve">Item [29] – </w:t>
      </w:r>
      <w:proofErr w:type="spellStart"/>
      <w:r w:rsidRPr="009E24EB">
        <w:rPr>
          <w:b/>
          <w:sz w:val="24"/>
          <w:szCs w:val="24"/>
        </w:rPr>
        <w:t>Subregulation</w:t>
      </w:r>
      <w:proofErr w:type="spellEnd"/>
      <w:r w:rsidRPr="009E24EB">
        <w:rPr>
          <w:b/>
          <w:sz w:val="24"/>
          <w:szCs w:val="24"/>
        </w:rPr>
        <w:t xml:space="preserve"> 2.2(1)</w:t>
      </w:r>
    </w:p>
    <w:p w14:paraId="7C044283" w14:textId="5A85E799" w:rsidR="00086B95" w:rsidRPr="009E24EB" w:rsidRDefault="004E3DB9" w:rsidP="00086B95">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086B95" w:rsidRPr="009E24EB">
        <w:rPr>
          <w:rFonts w:ascii="Times New Roman" w:hAnsi="Times New Roman"/>
          <w:b w:val="0"/>
          <w:kern w:val="0"/>
          <w:szCs w:val="24"/>
        </w:rPr>
        <w:t xml:space="preserve">replaced </w:t>
      </w:r>
      <w:r w:rsidRPr="009E24EB">
        <w:rPr>
          <w:rFonts w:ascii="Times New Roman" w:hAnsi="Times New Roman"/>
          <w:b w:val="0"/>
          <w:kern w:val="0"/>
          <w:szCs w:val="24"/>
        </w:rPr>
        <w:t>the fee table within the Principal Regulations to reflect the revised 2020-21 fees approved by Government in the 2020-21 Budget.</w:t>
      </w:r>
      <w:r w:rsidR="00086B95" w:rsidRPr="009E24EB">
        <w:rPr>
          <w:rFonts w:ascii="Times New Roman" w:hAnsi="Times New Roman"/>
          <w:b w:val="0"/>
          <w:kern w:val="0"/>
          <w:szCs w:val="24"/>
        </w:rPr>
        <w:t xml:space="preserve"> These revised fees reflect the expected costs incurred by the Department </w:t>
      </w:r>
      <w:r w:rsidR="000F370E" w:rsidRPr="009E24EB">
        <w:rPr>
          <w:rFonts w:ascii="Times New Roman" w:hAnsi="Times New Roman"/>
          <w:b w:val="0"/>
          <w:kern w:val="0"/>
          <w:szCs w:val="24"/>
        </w:rPr>
        <w:t>following implementation of changes to submission services.</w:t>
      </w:r>
    </w:p>
    <w:p w14:paraId="6C506AF2" w14:textId="10A50C3A" w:rsidR="00086B95" w:rsidRPr="009E24EB" w:rsidRDefault="00086B95" w:rsidP="00086B95">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also inserted three notes into the Principal Regulations to clarify:</w:t>
      </w:r>
    </w:p>
    <w:p w14:paraId="6423A692" w14:textId="4993D3A9" w:rsidR="00086B95" w:rsidRPr="009E24EB" w:rsidRDefault="00086B95" w:rsidP="00086B95">
      <w:pPr>
        <w:pStyle w:val="ItemHead"/>
        <w:numPr>
          <w:ilvl w:val="0"/>
          <w:numId w:val="34"/>
        </w:numPr>
        <w:spacing w:before="120"/>
        <w:ind w:left="714" w:hanging="357"/>
        <w:rPr>
          <w:rFonts w:ascii="Times New Roman" w:hAnsi="Times New Roman"/>
          <w:b w:val="0"/>
          <w:kern w:val="0"/>
          <w:szCs w:val="24"/>
        </w:rPr>
      </w:pPr>
      <w:r w:rsidRPr="009E24EB">
        <w:rPr>
          <w:rFonts w:ascii="Times New Roman" w:hAnsi="Times New Roman"/>
          <w:b w:val="0"/>
          <w:kern w:val="0"/>
          <w:szCs w:val="24"/>
        </w:rPr>
        <w:t>that an evaluation category generally depends on the request made in the application, unless the application is resent</w:t>
      </w:r>
      <w:r w:rsidR="005A17A9" w:rsidRPr="009E24EB">
        <w:rPr>
          <w:rFonts w:ascii="Times New Roman" w:hAnsi="Times New Roman"/>
          <w:b w:val="0"/>
          <w:kern w:val="0"/>
          <w:szCs w:val="24"/>
        </w:rPr>
        <w:t>;</w:t>
      </w:r>
      <w:r w:rsidRPr="009E24EB">
        <w:rPr>
          <w:rFonts w:ascii="Times New Roman" w:hAnsi="Times New Roman"/>
          <w:b w:val="0"/>
          <w:kern w:val="0"/>
          <w:szCs w:val="24"/>
        </w:rPr>
        <w:t xml:space="preserve"> </w:t>
      </w:r>
    </w:p>
    <w:p w14:paraId="46BA152B" w14:textId="6B195A15" w:rsidR="00086B95" w:rsidRPr="009E24EB" w:rsidRDefault="00086B95" w:rsidP="00086B95">
      <w:pPr>
        <w:pStyle w:val="ItemHead"/>
        <w:numPr>
          <w:ilvl w:val="0"/>
          <w:numId w:val="34"/>
        </w:numPr>
        <w:spacing w:before="0"/>
        <w:rPr>
          <w:rFonts w:ascii="Times New Roman" w:hAnsi="Times New Roman"/>
          <w:b w:val="0"/>
          <w:kern w:val="0"/>
          <w:szCs w:val="24"/>
        </w:rPr>
      </w:pPr>
      <w:r w:rsidRPr="009E24EB">
        <w:rPr>
          <w:rFonts w:ascii="Times New Roman" w:hAnsi="Times New Roman"/>
          <w:b w:val="0"/>
          <w:kern w:val="0"/>
          <w:szCs w:val="24"/>
        </w:rPr>
        <w:t>how an evaluation category should be determined (unless the application is resent)</w:t>
      </w:r>
      <w:r w:rsidR="005A17A9" w:rsidRPr="009E24EB">
        <w:rPr>
          <w:rFonts w:ascii="Times New Roman" w:hAnsi="Times New Roman"/>
          <w:b w:val="0"/>
          <w:kern w:val="0"/>
          <w:szCs w:val="24"/>
        </w:rPr>
        <w:t>; and</w:t>
      </w:r>
    </w:p>
    <w:p w14:paraId="5A18FBC8" w14:textId="77777777" w:rsidR="00D12B6E" w:rsidRPr="009E24EB" w:rsidRDefault="00086B95" w:rsidP="00D12B6E">
      <w:pPr>
        <w:pStyle w:val="Item"/>
        <w:numPr>
          <w:ilvl w:val="0"/>
          <w:numId w:val="34"/>
        </w:numPr>
        <w:spacing w:before="0"/>
        <w:rPr>
          <w:sz w:val="24"/>
          <w:szCs w:val="24"/>
        </w:rPr>
      </w:pPr>
      <w:proofErr w:type="gramStart"/>
      <w:r w:rsidRPr="009E24EB">
        <w:rPr>
          <w:sz w:val="24"/>
          <w:szCs w:val="24"/>
        </w:rPr>
        <w:t>that</w:t>
      </w:r>
      <w:proofErr w:type="gramEnd"/>
      <w:r w:rsidRPr="009E24EB">
        <w:rPr>
          <w:sz w:val="24"/>
          <w:szCs w:val="24"/>
        </w:rPr>
        <w:t xml:space="preserve"> the deposit referred to in column 3 of the table may not be refunded.</w:t>
      </w:r>
    </w:p>
    <w:p w14:paraId="15B00D54" w14:textId="64E62A90" w:rsidR="004E3DB9" w:rsidRPr="009E24EB" w:rsidRDefault="004E3DB9" w:rsidP="00D12B6E">
      <w:pPr>
        <w:pStyle w:val="Item"/>
        <w:spacing w:before="120"/>
        <w:ind w:left="0"/>
        <w:rPr>
          <w:sz w:val="24"/>
          <w:szCs w:val="24"/>
        </w:rPr>
      </w:pPr>
      <w:r w:rsidRPr="009E24EB">
        <w:rPr>
          <w:sz w:val="24"/>
          <w:szCs w:val="24"/>
        </w:rPr>
        <w:t xml:space="preserve">To support implementation of the </w:t>
      </w:r>
      <w:r w:rsidR="00086B95" w:rsidRPr="009E24EB">
        <w:rPr>
          <w:sz w:val="24"/>
          <w:szCs w:val="24"/>
        </w:rPr>
        <w:t xml:space="preserve">second stage of </w:t>
      </w:r>
      <w:r w:rsidR="00400E09" w:rsidRPr="009E24EB">
        <w:rPr>
          <w:sz w:val="24"/>
          <w:szCs w:val="24"/>
        </w:rPr>
        <w:t>PBS process improvements, the D</w:t>
      </w:r>
      <w:r w:rsidRPr="009E24EB">
        <w:rPr>
          <w:sz w:val="24"/>
          <w:szCs w:val="24"/>
        </w:rPr>
        <w:t>epartment further reviewed and updated the 2018-19 activity based cost model. Additional activities were identified as part of revising submission categories and the new resubmission pathways. In addition, there have been changes to all fees as a result of parameter changes which include changes to IT costs, depreciation, salary and wage costs to meet whole-of-Government requirements. In line with the CRGs, the cost model only recovers the costs of those services directly requested by sponsors.</w:t>
      </w:r>
    </w:p>
    <w:p w14:paraId="7E9E13F9"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lastRenderedPageBreak/>
        <w:t xml:space="preserve">Item [30] – </w:t>
      </w:r>
      <w:proofErr w:type="spellStart"/>
      <w:r w:rsidRPr="009E24EB">
        <w:rPr>
          <w:rFonts w:ascii="Times New Roman" w:hAnsi="Times New Roman"/>
          <w:kern w:val="0"/>
          <w:szCs w:val="24"/>
        </w:rPr>
        <w:t>Subregulation</w:t>
      </w:r>
      <w:proofErr w:type="spellEnd"/>
      <w:r w:rsidRPr="009E24EB">
        <w:rPr>
          <w:rFonts w:ascii="Times New Roman" w:hAnsi="Times New Roman"/>
          <w:kern w:val="0"/>
          <w:szCs w:val="24"/>
        </w:rPr>
        <w:t xml:space="preserve"> 2.2(2) </w:t>
      </w:r>
    </w:p>
    <w:p w14:paraId="117131AB" w14:textId="1384FC19" w:rsidR="004E3DB9" w:rsidRPr="009E24EB" w:rsidRDefault="004E3DB9" w:rsidP="004E3DB9">
      <w:pPr>
        <w:pStyle w:val="Item"/>
        <w:ind w:left="0"/>
        <w:rPr>
          <w:sz w:val="24"/>
          <w:szCs w:val="24"/>
        </w:rPr>
      </w:pPr>
      <w:r w:rsidRPr="009E24EB">
        <w:rPr>
          <w:sz w:val="24"/>
          <w:szCs w:val="24"/>
        </w:rPr>
        <w:t xml:space="preserve">This item </w:t>
      </w:r>
      <w:r w:rsidR="00086B95" w:rsidRPr="009E24EB">
        <w:rPr>
          <w:sz w:val="24"/>
          <w:szCs w:val="24"/>
        </w:rPr>
        <w:t xml:space="preserve">removed </w:t>
      </w:r>
      <w:r w:rsidR="002A67CF" w:rsidRPr="009E24EB">
        <w:rPr>
          <w:sz w:val="24"/>
          <w:szCs w:val="24"/>
        </w:rPr>
        <w:t xml:space="preserve">this </w:t>
      </w:r>
      <w:proofErr w:type="spellStart"/>
      <w:r w:rsidRPr="009E24EB">
        <w:rPr>
          <w:sz w:val="24"/>
          <w:szCs w:val="24"/>
        </w:rPr>
        <w:t>subregulation</w:t>
      </w:r>
      <w:proofErr w:type="spellEnd"/>
      <w:r w:rsidRPr="009E24EB">
        <w:rPr>
          <w:sz w:val="24"/>
          <w:szCs w:val="24"/>
        </w:rPr>
        <w:t xml:space="preserve"> </w:t>
      </w:r>
      <w:r w:rsidR="00086B95" w:rsidRPr="009E24EB">
        <w:rPr>
          <w:sz w:val="24"/>
          <w:szCs w:val="24"/>
        </w:rPr>
        <w:t>from t</w:t>
      </w:r>
      <w:r w:rsidRPr="009E24EB">
        <w:rPr>
          <w:sz w:val="24"/>
          <w:szCs w:val="24"/>
        </w:rPr>
        <w:t>he Principal Regulations</w:t>
      </w:r>
      <w:r w:rsidR="00086B95" w:rsidRPr="009E24EB">
        <w:rPr>
          <w:sz w:val="24"/>
          <w:szCs w:val="24"/>
        </w:rPr>
        <w:t xml:space="preserve"> as it is</w:t>
      </w:r>
      <w:r w:rsidRPr="009E24EB">
        <w:rPr>
          <w:sz w:val="24"/>
          <w:szCs w:val="24"/>
        </w:rPr>
        <w:t xml:space="preserve"> no longer necessary to specify deposit amounts for the 2019-20 and 2020-21 financial years.</w:t>
      </w:r>
      <w:r w:rsidR="00586B35" w:rsidRPr="009E24EB">
        <w:rPr>
          <w:sz w:val="24"/>
          <w:szCs w:val="24"/>
        </w:rPr>
        <w:t xml:space="preserve"> Revised deposit amounts for the 2020-21 financial year are </w:t>
      </w:r>
      <w:r w:rsidR="002A67CF" w:rsidRPr="009E24EB">
        <w:rPr>
          <w:sz w:val="24"/>
          <w:szCs w:val="24"/>
        </w:rPr>
        <w:t>specified in t</w:t>
      </w:r>
      <w:r w:rsidR="00586B35" w:rsidRPr="009E24EB">
        <w:rPr>
          <w:sz w:val="24"/>
          <w:szCs w:val="24"/>
        </w:rPr>
        <w:t xml:space="preserve">he fee table. </w:t>
      </w:r>
    </w:p>
    <w:p w14:paraId="6B24B3F6" w14:textId="77777777" w:rsidR="00175CFD" w:rsidRPr="009E24EB" w:rsidRDefault="00175CFD" w:rsidP="00175CFD">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also removed the note related to indexation of fees by CPI from the Principal Regulations to reflect the change made by item 75. </w:t>
      </w:r>
    </w:p>
    <w:p w14:paraId="7BE9CE2E" w14:textId="77777777" w:rsidR="004E3DB9" w:rsidRPr="009E24EB" w:rsidRDefault="004E3DB9" w:rsidP="004E3DB9">
      <w:pPr>
        <w:pStyle w:val="ItemHead"/>
        <w:spacing w:before="240"/>
        <w:rPr>
          <w:rFonts w:ascii="Times New Roman" w:hAnsi="Times New Roman"/>
          <w:kern w:val="0"/>
          <w:szCs w:val="24"/>
        </w:rPr>
      </w:pPr>
      <w:r w:rsidRPr="009E24EB">
        <w:rPr>
          <w:rFonts w:ascii="Times New Roman" w:hAnsi="Times New Roman"/>
          <w:kern w:val="0"/>
          <w:szCs w:val="24"/>
        </w:rPr>
        <w:t>Item [31] – Subdivisions 2, 3 and 4 of Division 2.1</w:t>
      </w:r>
    </w:p>
    <w:p w14:paraId="5397B392" w14:textId="77777777" w:rsidR="004E3DB9" w:rsidRPr="009E24EB" w:rsidRDefault="004E3DB9" w:rsidP="004E3DB9">
      <w:pPr>
        <w:pStyle w:val="Item"/>
        <w:spacing w:before="120"/>
        <w:ind w:left="0"/>
        <w:rPr>
          <w:b/>
          <w:sz w:val="24"/>
          <w:szCs w:val="24"/>
        </w:rPr>
      </w:pPr>
      <w:r w:rsidRPr="009E24EB">
        <w:rPr>
          <w:b/>
          <w:sz w:val="24"/>
          <w:szCs w:val="24"/>
        </w:rPr>
        <w:t>Summary</w:t>
      </w:r>
    </w:p>
    <w:p w14:paraId="7DD0C16D" w14:textId="7552F9F9" w:rsidR="004E3DB9" w:rsidRPr="009E24EB" w:rsidRDefault="004E3DB9" w:rsidP="004E3DB9">
      <w:pPr>
        <w:spacing w:before="120"/>
        <w:rPr>
          <w:szCs w:val="24"/>
        </w:rPr>
      </w:pPr>
      <w:r w:rsidRPr="009E24EB">
        <w:rPr>
          <w:szCs w:val="24"/>
        </w:rPr>
        <w:t>Th</w:t>
      </w:r>
      <w:r w:rsidR="00086B95" w:rsidRPr="009E24EB">
        <w:rPr>
          <w:szCs w:val="24"/>
        </w:rPr>
        <w:t>is item amended</w:t>
      </w:r>
      <w:r w:rsidRPr="009E24EB">
        <w:rPr>
          <w:szCs w:val="24"/>
        </w:rPr>
        <w:t xml:space="preserve"> Part 2 of the Principal Regulations to reflect Government approval through the 2020-21 Budget measure: </w:t>
      </w:r>
      <w:r w:rsidRPr="009E24EB">
        <w:rPr>
          <w:i/>
          <w:szCs w:val="24"/>
        </w:rPr>
        <w:t>Improving Access to Medicines — Pharmaceutical Benefits Scheme and Repatriation Pharmaceutical Benefits Scheme — new and amended listings</w:t>
      </w:r>
      <w:r w:rsidRPr="009E24EB">
        <w:rPr>
          <w:szCs w:val="24"/>
        </w:rPr>
        <w:t xml:space="preserve"> to implement the second stage of PBS process improvements and </w:t>
      </w:r>
      <w:r w:rsidR="00586B35" w:rsidRPr="009E24EB">
        <w:rPr>
          <w:szCs w:val="24"/>
        </w:rPr>
        <w:t xml:space="preserve">revised </w:t>
      </w:r>
      <w:r w:rsidRPr="009E24EB">
        <w:rPr>
          <w:szCs w:val="24"/>
        </w:rPr>
        <w:t>cost recovery arrangements. Stage 2 changes include:</w:t>
      </w:r>
    </w:p>
    <w:p w14:paraId="4C996730" w14:textId="77777777" w:rsidR="004E3DB9" w:rsidRPr="009E24EB" w:rsidRDefault="004E3DB9" w:rsidP="00081E8B">
      <w:pPr>
        <w:pStyle w:val="ListParagraph"/>
        <w:numPr>
          <w:ilvl w:val="0"/>
          <w:numId w:val="44"/>
        </w:numPr>
        <w:spacing w:before="120" w:after="120"/>
        <w:contextualSpacing/>
        <w:rPr>
          <w:szCs w:val="24"/>
        </w:rPr>
      </w:pPr>
      <w:r w:rsidRPr="009E24EB">
        <w:rPr>
          <w:szCs w:val="24"/>
        </w:rPr>
        <w:t>revised PBAC submission categories for applications to the PBAC (Categories 1, 2, 3, and 4); and introduction of a single submission date;</w:t>
      </w:r>
    </w:p>
    <w:p w14:paraId="34186831" w14:textId="1579DD57" w:rsidR="004E3DB9" w:rsidRPr="009E24EB" w:rsidRDefault="004E3DB9" w:rsidP="00081E8B">
      <w:pPr>
        <w:pStyle w:val="ListParagraph"/>
        <w:numPr>
          <w:ilvl w:val="0"/>
          <w:numId w:val="44"/>
        </w:numPr>
        <w:spacing w:before="120" w:after="120"/>
        <w:contextualSpacing/>
        <w:rPr>
          <w:szCs w:val="24"/>
        </w:rPr>
      </w:pPr>
      <w:r w:rsidRPr="009E24EB">
        <w:rPr>
          <w:szCs w:val="24"/>
        </w:rPr>
        <w:t xml:space="preserve">introduction of solution focussed </w:t>
      </w:r>
      <w:r w:rsidR="00223CD4" w:rsidRPr="009E24EB">
        <w:rPr>
          <w:szCs w:val="24"/>
        </w:rPr>
        <w:t>p</w:t>
      </w:r>
      <w:r w:rsidRPr="009E24EB">
        <w:rPr>
          <w:szCs w:val="24"/>
        </w:rPr>
        <w:t>athways</w:t>
      </w:r>
      <w:r w:rsidR="00223CD4" w:rsidRPr="009E24EB">
        <w:rPr>
          <w:szCs w:val="24"/>
        </w:rPr>
        <w:t xml:space="preserve"> for PBAC reconsideration following a ‘not recommended’ PBAC outcome (resubmission pathways)</w:t>
      </w:r>
      <w:r w:rsidRPr="009E24EB">
        <w:rPr>
          <w:szCs w:val="24"/>
        </w:rPr>
        <w:t xml:space="preserve">; </w:t>
      </w:r>
    </w:p>
    <w:p w14:paraId="2761EBC8" w14:textId="77777777" w:rsidR="004E3DB9" w:rsidRPr="009E24EB" w:rsidRDefault="004E3DB9" w:rsidP="00081E8B">
      <w:pPr>
        <w:pStyle w:val="ListParagraph"/>
        <w:numPr>
          <w:ilvl w:val="0"/>
          <w:numId w:val="44"/>
        </w:numPr>
        <w:spacing w:before="120" w:after="120"/>
        <w:contextualSpacing/>
        <w:rPr>
          <w:szCs w:val="24"/>
        </w:rPr>
      </w:pPr>
      <w:r w:rsidRPr="009E24EB">
        <w:rPr>
          <w:szCs w:val="24"/>
        </w:rPr>
        <w:t>revised cost recovery arrangements; and</w:t>
      </w:r>
    </w:p>
    <w:p w14:paraId="729F122C" w14:textId="77777777" w:rsidR="004E3DB9" w:rsidRPr="009E24EB" w:rsidRDefault="004E3DB9" w:rsidP="00081E8B">
      <w:pPr>
        <w:pStyle w:val="ListParagraph"/>
        <w:numPr>
          <w:ilvl w:val="0"/>
          <w:numId w:val="44"/>
        </w:numPr>
        <w:spacing w:before="120" w:after="120"/>
        <w:contextualSpacing/>
        <w:rPr>
          <w:szCs w:val="24"/>
        </w:rPr>
      </w:pPr>
      <w:proofErr w:type="gramStart"/>
      <w:r w:rsidRPr="009E24EB">
        <w:rPr>
          <w:szCs w:val="24"/>
        </w:rPr>
        <w:t>further</w:t>
      </w:r>
      <w:proofErr w:type="gramEnd"/>
      <w:r w:rsidRPr="009E24EB">
        <w:rPr>
          <w:szCs w:val="24"/>
        </w:rPr>
        <w:t xml:space="preserve"> expansion of the Department’s Health Products Portal. </w:t>
      </w:r>
    </w:p>
    <w:p w14:paraId="5B891CDE" w14:textId="77777777" w:rsidR="004E3DB9" w:rsidRPr="009E24EB" w:rsidRDefault="004E3DB9" w:rsidP="004E3DB9">
      <w:pPr>
        <w:pStyle w:val="Item"/>
        <w:spacing w:before="120"/>
        <w:ind w:left="0"/>
        <w:rPr>
          <w:sz w:val="24"/>
          <w:szCs w:val="24"/>
        </w:rPr>
      </w:pPr>
      <w:r w:rsidRPr="009E24EB">
        <w:rPr>
          <w:sz w:val="24"/>
          <w:szCs w:val="24"/>
        </w:rPr>
        <w:t>The Department has consulted on Stage 2 process changes since November 2019.</w:t>
      </w:r>
    </w:p>
    <w:p w14:paraId="3625464B" w14:textId="77777777" w:rsidR="004E3DB9" w:rsidRPr="009E24EB" w:rsidRDefault="004E3DB9" w:rsidP="004E3DB9">
      <w:pPr>
        <w:spacing w:before="240"/>
        <w:rPr>
          <w:szCs w:val="24"/>
          <w:u w:val="single"/>
        </w:rPr>
      </w:pPr>
      <w:r w:rsidRPr="009E24EB">
        <w:rPr>
          <w:szCs w:val="24"/>
          <w:u w:val="single"/>
        </w:rPr>
        <w:t>Revised submission categories</w:t>
      </w:r>
    </w:p>
    <w:p w14:paraId="4F067653" w14:textId="77777777" w:rsidR="004E3DB9" w:rsidRPr="009E24EB" w:rsidRDefault="004E3DB9" w:rsidP="004E3DB9">
      <w:pPr>
        <w:spacing w:before="120"/>
        <w:rPr>
          <w:szCs w:val="24"/>
        </w:rPr>
      </w:pPr>
      <w:r w:rsidRPr="009E24EB">
        <w:rPr>
          <w:szCs w:val="24"/>
        </w:rPr>
        <w:t xml:space="preserve">The revised submission categories have been established to: </w:t>
      </w:r>
    </w:p>
    <w:p w14:paraId="45F62824" w14:textId="77777777" w:rsidR="004E3DB9" w:rsidRPr="009E24EB" w:rsidRDefault="004E3DB9" w:rsidP="00081E8B">
      <w:pPr>
        <w:pStyle w:val="ListParagraph"/>
        <w:numPr>
          <w:ilvl w:val="0"/>
          <w:numId w:val="40"/>
        </w:numPr>
        <w:spacing w:before="120"/>
        <w:contextualSpacing/>
        <w:rPr>
          <w:color w:val="000000"/>
          <w:szCs w:val="24"/>
        </w:rPr>
      </w:pPr>
      <w:r w:rsidRPr="009E24EB">
        <w:rPr>
          <w:color w:val="000000"/>
          <w:szCs w:val="24"/>
        </w:rPr>
        <w:t>Provide greater transparency on the complexity and activities required to assess the different application types coming forward for PBAC consideration.</w:t>
      </w:r>
    </w:p>
    <w:p w14:paraId="0F6ECCB1" w14:textId="77777777" w:rsidR="004E3DB9" w:rsidRPr="009E24EB" w:rsidRDefault="004E3DB9" w:rsidP="00081E8B">
      <w:pPr>
        <w:pStyle w:val="ListParagraph"/>
        <w:numPr>
          <w:ilvl w:val="0"/>
          <w:numId w:val="40"/>
        </w:numPr>
        <w:spacing w:before="120"/>
        <w:contextualSpacing/>
        <w:rPr>
          <w:color w:val="000000"/>
          <w:szCs w:val="24"/>
        </w:rPr>
      </w:pPr>
      <w:r w:rsidRPr="009E24EB">
        <w:rPr>
          <w:color w:val="000000"/>
          <w:szCs w:val="24"/>
        </w:rPr>
        <w:t>Align work effort and resourcing with the cost recovery fees and further reduce cross-subsidisation of evaluation fees via more granular categories.</w:t>
      </w:r>
    </w:p>
    <w:p w14:paraId="28AF4D16" w14:textId="77777777" w:rsidR="004E3DB9" w:rsidRPr="009E24EB" w:rsidRDefault="004E3DB9" w:rsidP="00081E8B">
      <w:pPr>
        <w:pStyle w:val="ListParagraph"/>
        <w:numPr>
          <w:ilvl w:val="0"/>
          <w:numId w:val="40"/>
        </w:numPr>
        <w:spacing w:before="120"/>
        <w:contextualSpacing/>
        <w:rPr>
          <w:color w:val="000000"/>
          <w:szCs w:val="24"/>
        </w:rPr>
      </w:pPr>
      <w:r w:rsidRPr="009E24EB">
        <w:rPr>
          <w:color w:val="000000"/>
          <w:szCs w:val="24"/>
        </w:rPr>
        <w:t>Ensure continued effective handling of submissions, focussing resources on the more complex PBAC submissions.</w:t>
      </w:r>
    </w:p>
    <w:p w14:paraId="682D13F7" w14:textId="77777777" w:rsidR="004E3DB9" w:rsidRPr="009E24EB" w:rsidRDefault="004E3DB9" w:rsidP="004E3DB9">
      <w:pPr>
        <w:spacing w:before="120"/>
        <w:rPr>
          <w:szCs w:val="24"/>
        </w:rPr>
      </w:pPr>
      <w:r w:rsidRPr="009E24EB">
        <w:rPr>
          <w:szCs w:val="24"/>
        </w:rPr>
        <w:t xml:space="preserve">Categories 1 and 2 replace the ‘major’ evaluation category; and Categories 3 and 4 replace the ‘minor’ evaluation category. </w:t>
      </w:r>
    </w:p>
    <w:p w14:paraId="2463D5CE" w14:textId="77777777" w:rsidR="004E3DB9" w:rsidRPr="009E24EB" w:rsidRDefault="004E3DB9" w:rsidP="00081E8B">
      <w:pPr>
        <w:pStyle w:val="ListParagraph"/>
        <w:numPr>
          <w:ilvl w:val="0"/>
          <w:numId w:val="45"/>
        </w:numPr>
        <w:spacing w:before="120"/>
        <w:contextualSpacing/>
        <w:rPr>
          <w:szCs w:val="24"/>
        </w:rPr>
      </w:pPr>
      <w:r w:rsidRPr="009E24EB">
        <w:rPr>
          <w:szCs w:val="24"/>
        </w:rPr>
        <w:t xml:space="preserve">Category 2 will apply for all ‘major’ applications, unless an applicant clearly justifies how their application meets one or more of the Category 1 criteria. </w:t>
      </w:r>
    </w:p>
    <w:p w14:paraId="250E08F8" w14:textId="77777777" w:rsidR="004E3DB9" w:rsidRPr="009E24EB" w:rsidRDefault="004E3DB9" w:rsidP="00081E8B">
      <w:pPr>
        <w:pStyle w:val="ListParagraph"/>
        <w:numPr>
          <w:ilvl w:val="0"/>
          <w:numId w:val="45"/>
        </w:numPr>
        <w:spacing w:before="120"/>
        <w:contextualSpacing/>
        <w:rPr>
          <w:szCs w:val="24"/>
        </w:rPr>
      </w:pPr>
      <w:r w:rsidRPr="009E24EB">
        <w:rPr>
          <w:szCs w:val="24"/>
        </w:rPr>
        <w:t>Category 3 will apply for all ‘minor’ applications unless an applicant clearly justifies how their application meets one or more of the Category 4 criteria.</w:t>
      </w:r>
    </w:p>
    <w:p w14:paraId="267AD05C" w14:textId="77777777" w:rsidR="004E3DB9" w:rsidRPr="009E24EB" w:rsidRDefault="004E3DB9" w:rsidP="004E3DB9">
      <w:pPr>
        <w:spacing w:before="120"/>
        <w:rPr>
          <w:kern w:val="28"/>
          <w:szCs w:val="24"/>
        </w:rPr>
      </w:pPr>
      <w:r w:rsidRPr="009E24EB">
        <w:rPr>
          <w:szCs w:val="24"/>
        </w:rPr>
        <w:t xml:space="preserve">PBAC (Committee) Secretariat and New Brand (Generic) submission categories remain unchanged. </w:t>
      </w:r>
      <w:r w:rsidRPr="009E24EB">
        <w:rPr>
          <w:kern w:val="28"/>
          <w:szCs w:val="24"/>
        </w:rPr>
        <w:t>The Department will continue to validate applications to ensure the correct fee is charged.</w:t>
      </w:r>
    </w:p>
    <w:p w14:paraId="50983116" w14:textId="3C3FE3FB" w:rsidR="004E3DB9" w:rsidRPr="009E24EB" w:rsidRDefault="004E3DB9" w:rsidP="004E3DB9">
      <w:pPr>
        <w:pStyle w:val="Item"/>
        <w:spacing w:before="240"/>
        <w:ind w:left="0"/>
        <w:rPr>
          <w:sz w:val="24"/>
          <w:szCs w:val="24"/>
        </w:rPr>
      </w:pPr>
      <w:r w:rsidRPr="009E24EB">
        <w:rPr>
          <w:sz w:val="24"/>
          <w:szCs w:val="24"/>
        </w:rPr>
        <w:t xml:space="preserve">This item </w:t>
      </w:r>
      <w:r w:rsidR="00223CD4" w:rsidRPr="009E24EB">
        <w:rPr>
          <w:sz w:val="24"/>
          <w:szCs w:val="24"/>
        </w:rPr>
        <w:t xml:space="preserve">removes </w:t>
      </w:r>
      <w:r w:rsidRPr="009E24EB">
        <w:rPr>
          <w:sz w:val="24"/>
          <w:szCs w:val="24"/>
        </w:rPr>
        <w:t xml:space="preserve">Subdivisions 2, 3 and 4 of Division 2.1 </w:t>
      </w:r>
      <w:r w:rsidR="00223CD4" w:rsidRPr="009E24EB">
        <w:rPr>
          <w:sz w:val="24"/>
          <w:szCs w:val="24"/>
        </w:rPr>
        <w:t>from</w:t>
      </w:r>
      <w:r w:rsidRPr="009E24EB">
        <w:rPr>
          <w:sz w:val="24"/>
          <w:szCs w:val="24"/>
        </w:rPr>
        <w:t xml:space="preserve"> the Principal Regulations and </w:t>
      </w:r>
      <w:r w:rsidR="00223CD4" w:rsidRPr="009E24EB">
        <w:rPr>
          <w:sz w:val="24"/>
          <w:szCs w:val="24"/>
        </w:rPr>
        <w:t xml:space="preserve">replaces with the </w:t>
      </w:r>
      <w:r w:rsidRPr="009E24EB">
        <w:rPr>
          <w:sz w:val="24"/>
          <w:szCs w:val="24"/>
        </w:rPr>
        <w:t>following:</w:t>
      </w:r>
    </w:p>
    <w:p w14:paraId="79A006C2" w14:textId="4397EAA2" w:rsidR="004E3DB9" w:rsidRPr="009E24EB" w:rsidRDefault="00223CD4" w:rsidP="004E3DB9">
      <w:pPr>
        <w:pStyle w:val="ItemHead"/>
        <w:rPr>
          <w:rFonts w:ascii="Times New Roman" w:hAnsi="Times New Roman"/>
          <w:b w:val="0"/>
          <w:i/>
          <w:szCs w:val="24"/>
        </w:rPr>
      </w:pPr>
      <w:r w:rsidRPr="009E24EB">
        <w:rPr>
          <w:rFonts w:ascii="Times New Roman" w:hAnsi="Times New Roman"/>
          <w:b w:val="0"/>
          <w:i/>
          <w:szCs w:val="24"/>
        </w:rPr>
        <w:t>R</w:t>
      </w:r>
      <w:r w:rsidR="004E3DB9" w:rsidRPr="009E24EB">
        <w:rPr>
          <w:rFonts w:ascii="Times New Roman" w:hAnsi="Times New Roman"/>
          <w:b w:val="0"/>
          <w:i/>
          <w:szCs w:val="24"/>
        </w:rPr>
        <w:t>egulation 2.3 - Applications in Category 1</w:t>
      </w:r>
    </w:p>
    <w:p w14:paraId="0B3044A7" w14:textId="1EB32820" w:rsidR="004E3DB9" w:rsidRPr="009E24EB" w:rsidRDefault="004E3DB9" w:rsidP="004E3DB9">
      <w:pPr>
        <w:pStyle w:val="Item"/>
        <w:spacing w:before="120"/>
        <w:ind w:left="0"/>
        <w:rPr>
          <w:sz w:val="24"/>
          <w:szCs w:val="24"/>
        </w:rPr>
      </w:pPr>
      <w:r w:rsidRPr="009E24EB">
        <w:rPr>
          <w:sz w:val="24"/>
          <w:szCs w:val="24"/>
        </w:rPr>
        <w:t>This regulation prescribe</w:t>
      </w:r>
      <w:r w:rsidR="00223CD4" w:rsidRPr="009E24EB">
        <w:rPr>
          <w:sz w:val="24"/>
          <w:szCs w:val="24"/>
        </w:rPr>
        <w:t>s</w:t>
      </w:r>
      <w:r w:rsidRPr="009E24EB">
        <w:rPr>
          <w:sz w:val="24"/>
          <w:szCs w:val="24"/>
        </w:rPr>
        <w:t xml:space="preserve"> the definition of when a person’s application is in the ‘Category 1’ evaluation category. An application </w:t>
      </w:r>
      <w:r w:rsidR="00223CD4" w:rsidRPr="009E24EB">
        <w:rPr>
          <w:sz w:val="24"/>
          <w:szCs w:val="24"/>
        </w:rPr>
        <w:t>is</w:t>
      </w:r>
      <w:r w:rsidRPr="009E24EB">
        <w:rPr>
          <w:sz w:val="24"/>
          <w:szCs w:val="24"/>
        </w:rPr>
        <w:t xml:space="preserve"> in this category if the application includes a request in relation to one or more of the three following criteria:</w:t>
      </w:r>
    </w:p>
    <w:p w14:paraId="55C67E07" w14:textId="6839F475" w:rsidR="004E3DB9" w:rsidRPr="009E24EB" w:rsidRDefault="004E3DB9" w:rsidP="00081E8B">
      <w:pPr>
        <w:pStyle w:val="ItemHead"/>
        <w:numPr>
          <w:ilvl w:val="0"/>
          <w:numId w:val="37"/>
        </w:numPr>
        <w:spacing w:before="120"/>
        <w:ind w:left="714" w:hanging="357"/>
        <w:rPr>
          <w:rFonts w:ascii="Times New Roman" w:hAnsi="Times New Roman"/>
          <w:b w:val="0"/>
        </w:rPr>
      </w:pPr>
      <w:r w:rsidRPr="009E24EB">
        <w:rPr>
          <w:rFonts w:ascii="Times New Roman" w:hAnsi="Times New Roman"/>
          <w:b w:val="0"/>
        </w:rPr>
        <w:lastRenderedPageBreak/>
        <w:t xml:space="preserve">A first in class medicine or vaccine for a new population [defined by </w:t>
      </w:r>
      <w:proofErr w:type="spellStart"/>
      <w:r w:rsidRPr="009E24EB">
        <w:rPr>
          <w:rFonts w:ascii="Times New Roman" w:hAnsi="Times New Roman"/>
          <w:b w:val="0"/>
        </w:rPr>
        <w:t>subregulation</w:t>
      </w:r>
      <w:proofErr w:type="spellEnd"/>
      <w:r w:rsidRPr="009E24EB">
        <w:rPr>
          <w:rFonts w:ascii="Times New Roman" w:hAnsi="Times New Roman"/>
          <w:b w:val="0"/>
        </w:rPr>
        <w:t xml:space="preserve"> (2)]; or</w:t>
      </w:r>
    </w:p>
    <w:p w14:paraId="3ADDB7B2" w14:textId="13C5A049" w:rsidR="004E3DB9" w:rsidRPr="009E24EB" w:rsidRDefault="004E3DB9" w:rsidP="00081E8B">
      <w:pPr>
        <w:pStyle w:val="ItemHead"/>
        <w:numPr>
          <w:ilvl w:val="0"/>
          <w:numId w:val="37"/>
        </w:numPr>
        <w:spacing w:before="120"/>
        <w:ind w:left="714" w:hanging="357"/>
        <w:rPr>
          <w:rFonts w:ascii="Times New Roman" w:hAnsi="Times New Roman"/>
          <w:b w:val="0"/>
        </w:rPr>
      </w:pPr>
      <w:r w:rsidRPr="009E24EB">
        <w:rPr>
          <w:rFonts w:ascii="Times New Roman" w:hAnsi="Times New Roman"/>
          <w:b w:val="0"/>
        </w:rPr>
        <w:t xml:space="preserve">A drug or designated vaccine with a TGA Provisional determination related to the proposed population [defined by </w:t>
      </w:r>
      <w:proofErr w:type="spellStart"/>
      <w:r w:rsidRPr="009E24EB">
        <w:rPr>
          <w:rFonts w:ascii="Times New Roman" w:hAnsi="Times New Roman"/>
          <w:b w:val="0"/>
        </w:rPr>
        <w:t>subregulation</w:t>
      </w:r>
      <w:proofErr w:type="spellEnd"/>
      <w:r w:rsidRPr="009E24EB">
        <w:rPr>
          <w:rFonts w:ascii="Times New Roman" w:hAnsi="Times New Roman"/>
          <w:b w:val="0"/>
        </w:rPr>
        <w:t xml:space="preserve"> (3)]; or</w:t>
      </w:r>
    </w:p>
    <w:p w14:paraId="66DD09BE" w14:textId="06A939A1" w:rsidR="004E3DB9" w:rsidRPr="009E24EB" w:rsidRDefault="004E3DB9" w:rsidP="00081E8B">
      <w:pPr>
        <w:pStyle w:val="ItemHead"/>
        <w:numPr>
          <w:ilvl w:val="0"/>
          <w:numId w:val="37"/>
        </w:numPr>
        <w:spacing w:before="120"/>
        <w:ind w:left="714" w:hanging="357"/>
        <w:rPr>
          <w:rFonts w:ascii="Times New Roman" w:hAnsi="Times New Roman"/>
          <w:b w:val="0"/>
        </w:rPr>
      </w:pPr>
      <w:r w:rsidRPr="009E24EB">
        <w:rPr>
          <w:rFonts w:ascii="Times New Roman" w:hAnsi="Times New Roman"/>
          <w:b w:val="0"/>
        </w:rPr>
        <w:t xml:space="preserve">A drug with a </w:t>
      </w:r>
      <w:proofErr w:type="spellStart"/>
      <w:r w:rsidRPr="009E24EB">
        <w:rPr>
          <w:rFonts w:ascii="Times New Roman" w:hAnsi="Times New Roman"/>
          <w:b w:val="0"/>
        </w:rPr>
        <w:t>codependent</w:t>
      </w:r>
      <w:proofErr w:type="spellEnd"/>
      <w:r w:rsidRPr="009E24EB">
        <w:rPr>
          <w:rFonts w:ascii="Times New Roman" w:hAnsi="Times New Roman"/>
          <w:b w:val="0"/>
        </w:rPr>
        <w:t xml:space="preserve"> technology that requires an integrated </w:t>
      </w:r>
      <w:proofErr w:type="spellStart"/>
      <w:r w:rsidRPr="009E24EB">
        <w:rPr>
          <w:rFonts w:ascii="Times New Roman" w:hAnsi="Times New Roman"/>
          <w:b w:val="0"/>
        </w:rPr>
        <w:t>codependent</w:t>
      </w:r>
      <w:proofErr w:type="spellEnd"/>
      <w:r w:rsidRPr="009E24EB">
        <w:rPr>
          <w:rFonts w:ascii="Times New Roman" w:hAnsi="Times New Roman"/>
          <w:b w:val="0"/>
        </w:rPr>
        <w:t xml:space="preserve"> submission to the PBAC and Medical Services Advisory Committee (MSAC) [defined by </w:t>
      </w:r>
      <w:proofErr w:type="spellStart"/>
      <w:r w:rsidRPr="009E24EB">
        <w:rPr>
          <w:rFonts w:ascii="Times New Roman" w:hAnsi="Times New Roman"/>
          <w:b w:val="0"/>
        </w:rPr>
        <w:t>subregulations</w:t>
      </w:r>
      <w:proofErr w:type="spellEnd"/>
      <w:r w:rsidRPr="009E24EB">
        <w:rPr>
          <w:rFonts w:ascii="Times New Roman" w:hAnsi="Times New Roman"/>
          <w:b w:val="0"/>
        </w:rPr>
        <w:t xml:space="preserve"> (4) and (5)]. </w:t>
      </w:r>
    </w:p>
    <w:p w14:paraId="48CBB54F" w14:textId="5F8D6395" w:rsidR="004E3DB9" w:rsidRPr="009E24EB" w:rsidRDefault="004E3DB9" w:rsidP="004E3DB9">
      <w:pPr>
        <w:pStyle w:val="Item"/>
        <w:spacing w:before="120"/>
        <w:ind w:left="0"/>
        <w:rPr>
          <w:sz w:val="24"/>
          <w:szCs w:val="24"/>
        </w:rPr>
      </w:pPr>
      <w:r w:rsidRPr="009E24EB">
        <w:rPr>
          <w:sz w:val="24"/>
          <w:szCs w:val="24"/>
        </w:rPr>
        <w:t>Category 1 applications require the Committee to apply the ‘cost-effectiveness test’</w:t>
      </w:r>
      <w:r w:rsidR="00C315E7" w:rsidRPr="009E24EB">
        <w:rPr>
          <w:sz w:val="24"/>
          <w:szCs w:val="24"/>
        </w:rPr>
        <w:t>. The definition of ‘cost-effectiveness test’ was added to the Principal Regulations by item 2.</w:t>
      </w:r>
      <w:r w:rsidR="00066305" w:rsidRPr="009E24EB">
        <w:rPr>
          <w:sz w:val="24"/>
          <w:szCs w:val="24"/>
        </w:rPr>
        <w:t xml:space="preserve"> </w:t>
      </w:r>
      <w:r w:rsidRPr="009E24EB">
        <w:rPr>
          <w:sz w:val="24"/>
          <w:szCs w:val="24"/>
        </w:rPr>
        <w:t xml:space="preserve">This definition aligns with the ‘health advantage test’ </w:t>
      </w:r>
      <w:r w:rsidR="00066305" w:rsidRPr="009E24EB">
        <w:rPr>
          <w:sz w:val="24"/>
          <w:szCs w:val="24"/>
        </w:rPr>
        <w:t>previously p</w:t>
      </w:r>
      <w:r w:rsidRPr="009E24EB">
        <w:rPr>
          <w:sz w:val="24"/>
          <w:szCs w:val="24"/>
        </w:rPr>
        <w:t xml:space="preserve">rovided for in </w:t>
      </w:r>
      <w:proofErr w:type="spellStart"/>
      <w:r w:rsidRPr="009E24EB">
        <w:rPr>
          <w:sz w:val="24"/>
          <w:szCs w:val="24"/>
        </w:rPr>
        <w:t>subregulation</w:t>
      </w:r>
      <w:proofErr w:type="spellEnd"/>
      <w:r w:rsidRPr="009E24EB">
        <w:rPr>
          <w:sz w:val="24"/>
          <w:szCs w:val="24"/>
        </w:rPr>
        <w:t xml:space="preserve"> 2.4(2) of the Principal Regulations.</w:t>
      </w:r>
    </w:p>
    <w:p w14:paraId="49F77822" w14:textId="77777777" w:rsidR="004E3DB9" w:rsidRPr="009E24EB" w:rsidRDefault="004E3DB9" w:rsidP="004E3DB9">
      <w:pPr>
        <w:pStyle w:val="Item"/>
        <w:spacing w:before="120"/>
        <w:ind w:left="0"/>
        <w:rPr>
          <w:sz w:val="24"/>
          <w:szCs w:val="24"/>
        </w:rPr>
      </w:pPr>
      <w:r w:rsidRPr="009E24EB">
        <w:rPr>
          <w:sz w:val="24"/>
          <w:szCs w:val="24"/>
        </w:rPr>
        <w:t>These submission types are expected to require additional interaction between the PBAC Secretariat and either TGA representatives or MSAC Secretariat and the PBAC.</w:t>
      </w:r>
    </w:p>
    <w:p w14:paraId="35C8816D" w14:textId="17996BDF" w:rsidR="004E3DB9" w:rsidRPr="009E24EB" w:rsidRDefault="00223CD4" w:rsidP="004E3DB9">
      <w:pPr>
        <w:pStyle w:val="ItemHead"/>
        <w:rPr>
          <w:rFonts w:ascii="Times New Roman" w:hAnsi="Times New Roman"/>
          <w:b w:val="0"/>
          <w:i/>
          <w:szCs w:val="24"/>
        </w:rPr>
      </w:pPr>
      <w:r w:rsidRPr="009E24EB">
        <w:rPr>
          <w:rFonts w:ascii="Times New Roman" w:hAnsi="Times New Roman"/>
          <w:b w:val="0"/>
          <w:i/>
          <w:szCs w:val="24"/>
        </w:rPr>
        <w:t>R</w:t>
      </w:r>
      <w:r w:rsidR="004E3DB9" w:rsidRPr="009E24EB">
        <w:rPr>
          <w:rFonts w:ascii="Times New Roman" w:hAnsi="Times New Roman"/>
          <w:b w:val="0"/>
          <w:i/>
          <w:szCs w:val="24"/>
        </w:rPr>
        <w:t>egulation 2.4 - Applications in Category 2</w:t>
      </w:r>
    </w:p>
    <w:p w14:paraId="6819FA9A" w14:textId="587C1676" w:rsidR="004E3DB9" w:rsidRPr="009E24EB" w:rsidRDefault="004E3DB9" w:rsidP="004E3DB9">
      <w:pPr>
        <w:pStyle w:val="Item"/>
        <w:spacing w:before="120"/>
        <w:ind w:left="0"/>
        <w:rPr>
          <w:sz w:val="24"/>
          <w:szCs w:val="24"/>
        </w:rPr>
      </w:pPr>
      <w:r w:rsidRPr="009E24EB">
        <w:rPr>
          <w:sz w:val="24"/>
          <w:szCs w:val="24"/>
        </w:rPr>
        <w:t>This regulation prescribe</w:t>
      </w:r>
      <w:r w:rsidR="00223CD4" w:rsidRPr="009E24EB">
        <w:rPr>
          <w:sz w:val="24"/>
          <w:szCs w:val="24"/>
        </w:rPr>
        <w:t>s</w:t>
      </w:r>
      <w:r w:rsidRPr="009E24EB">
        <w:rPr>
          <w:sz w:val="24"/>
          <w:szCs w:val="24"/>
        </w:rPr>
        <w:t xml:space="preserve"> the definition of when a person’s application is in the ‘Category 2’ evaluation category. An application </w:t>
      </w:r>
      <w:r w:rsidR="00223CD4" w:rsidRPr="009E24EB">
        <w:rPr>
          <w:sz w:val="24"/>
          <w:szCs w:val="24"/>
        </w:rPr>
        <w:t>is</w:t>
      </w:r>
      <w:r w:rsidRPr="009E24EB">
        <w:rPr>
          <w:sz w:val="24"/>
          <w:szCs w:val="24"/>
        </w:rPr>
        <w:t xml:space="preserve"> in this category if a request in the application relates to specified items of Schedule 1, requires the Committee to apply the ‘cost-effectiveness’ test, and is not in Category 1.</w:t>
      </w:r>
    </w:p>
    <w:p w14:paraId="47AFD524" w14:textId="7B907CED" w:rsidR="004E3DB9" w:rsidRPr="009E24EB" w:rsidRDefault="004E3DB9" w:rsidP="004E3DB9">
      <w:pPr>
        <w:pStyle w:val="ItemHead"/>
        <w:spacing w:before="120"/>
        <w:ind w:left="0" w:firstLine="0"/>
        <w:rPr>
          <w:rFonts w:ascii="Times New Roman" w:hAnsi="Times New Roman"/>
          <w:b w:val="0"/>
          <w:i/>
          <w:szCs w:val="24"/>
        </w:rPr>
      </w:pPr>
      <w:r w:rsidRPr="009E24EB">
        <w:rPr>
          <w:rFonts w:ascii="Times New Roman" w:hAnsi="Times New Roman"/>
          <w:b w:val="0"/>
        </w:rPr>
        <w:t xml:space="preserve">Evaluation Category 2 generally reflects the wording of ‘Subdivision 2 – Applications that are major’, </w:t>
      </w:r>
      <w:r w:rsidR="00066305" w:rsidRPr="009E24EB">
        <w:rPr>
          <w:rFonts w:ascii="Times New Roman" w:hAnsi="Times New Roman"/>
          <w:b w:val="0"/>
        </w:rPr>
        <w:t xml:space="preserve">previously </w:t>
      </w:r>
      <w:r w:rsidRPr="009E24EB">
        <w:rPr>
          <w:rFonts w:ascii="Times New Roman" w:hAnsi="Times New Roman"/>
          <w:b w:val="0"/>
        </w:rPr>
        <w:t xml:space="preserve">provided for in the Principal Regulations. </w:t>
      </w:r>
    </w:p>
    <w:p w14:paraId="3F908ED5" w14:textId="45713055" w:rsidR="004E3DB9" w:rsidRPr="009E24EB" w:rsidRDefault="00223CD4" w:rsidP="004E3DB9">
      <w:pPr>
        <w:pStyle w:val="ItemHead"/>
        <w:rPr>
          <w:rFonts w:ascii="Times New Roman" w:hAnsi="Times New Roman"/>
          <w:b w:val="0"/>
          <w:i/>
          <w:szCs w:val="24"/>
        </w:rPr>
      </w:pPr>
      <w:r w:rsidRPr="009E24EB">
        <w:rPr>
          <w:rFonts w:ascii="Times New Roman" w:hAnsi="Times New Roman"/>
          <w:b w:val="0"/>
          <w:i/>
          <w:szCs w:val="24"/>
        </w:rPr>
        <w:t>R</w:t>
      </w:r>
      <w:r w:rsidR="004E3DB9" w:rsidRPr="009E24EB">
        <w:rPr>
          <w:rFonts w:ascii="Times New Roman" w:hAnsi="Times New Roman"/>
          <w:b w:val="0"/>
          <w:i/>
          <w:szCs w:val="24"/>
        </w:rPr>
        <w:t>egulation 2.5 - Applications in Category 3</w:t>
      </w:r>
    </w:p>
    <w:p w14:paraId="27C46988" w14:textId="14927A5E" w:rsidR="004E3DB9" w:rsidRPr="009E24EB" w:rsidRDefault="004E3DB9" w:rsidP="004E3DB9">
      <w:pPr>
        <w:pStyle w:val="Item"/>
        <w:spacing w:before="120"/>
        <w:ind w:left="0"/>
        <w:rPr>
          <w:sz w:val="24"/>
          <w:szCs w:val="24"/>
        </w:rPr>
      </w:pPr>
      <w:r w:rsidRPr="009E24EB">
        <w:rPr>
          <w:sz w:val="24"/>
          <w:szCs w:val="24"/>
        </w:rPr>
        <w:t>This regulation prescribe</w:t>
      </w:r>
      <w:r w:rsidR="00223CD4" w:rsidRPr="009E24EB">
        <w:rPr>
          <w:sz w:val="24"/>
          <w:szCs w:val="24"/>
        </w:rPr>
        <w:t>s</w:t>
      </w:r>
      <w:r w:rsidRPr="009E24EB">
        <w:rPr>
          <w:sz w:val="24"/>
          <w:szCs w:val="24"/>
        </w:rPr>
        <w:t xml:space="preserve"> the definition of when a person’s application is in the ‘Category 3’ evaluation category. An application </w:t>
      </w:r>
      <w:r w:rsidR="00223CD4" w:rsidRPr="009E24EB">
        <w:rPr>
          <w:sz w:val="24"/>
          <w:szCs w:val="24"/>
        </w:rPr>
        <w:t>is in</w:t>
      </w:r>
      <w:r w:rsidRPr="009E24EB">
        <w:rPr>
          <w:sz w:val="24"/>
          <w:szCs w:val="24"/>
        </w:rPr>
        <w:t xml:space="preserve"> this category if request in the application:</w:t>
      </w:r>
    </w:p>
    <w:p w14:paraId="35114C51" w14:textId="1CC9A726" w:rsidR="004E3DB9" w:rsidRPr="009E24EB" w:rsidRDefault="004E3DB9" w:rsidP="00081E8B">
      <w:pPr>
        <w:pStyle w:val="Item"/>
        <w:numPr>
          <w:ilvl w:val="0"/>
          <w:numId w:val="39"/>
        </w:numPr>
        <w:spacing w:before="120"/>
        <w:rPr>
          <w:sz w:val="24"/>
          <w:szCs w:val="24"/>
        </w:rPr>
      </w:pPr>
      <w:r w:rsidRPr="009E24EB">
        <w:rPr>
          <w:sz w:val="24"/>
          <w:szCs w:val="24"/>
        </w:rPr>
        <w:t xml:space="preserve">relates to specified items of Schedule 1 and is not in evaluation Category 1 or 2 [as defined by </w:t>
      </w:r>
      <w:proofErr w:type="spellStart"/>
      <w:r w:rsidRPr="009E24EB">
        <w:rPr>
          <w:sz w:val="24"/>
          <w:szCs w:val="24"/>
        </w:rPr>
        <w:t>subregulations</w:t>
      </w:r>
      <w:proofErr w:type="spellEnd"/>
      <w:r w:rsidRPr="009E24EB">
        <w:rPr>
          <w:sz w:val="24"/>
          <w:szCs w:val="24"/>
        </w:rPr>
        <w:t xml:space="preserve"> (1) and (2)]; or </w:t>
      </w:r>
    </w:p>
    <w:p w14:paraId="73A984F5" w14:textId="3AF86754" w:rsidR="004E3DB9" w:rsidRPr="009E24EB" w:rsidRDefault="004E3DB9" w:rsidP="00081E8B">
      <w:pPr>
        <w:pStyle w:val="Item"/>
        <w:numPr>
          <w:ilvl w:val="0"/>
          <w:numId w:val="39"/>
        </w:numPr>
        <w:spacing w:before="120"/>
        <w:rPr>
          <w:sz w:val="24"/>
          <w:szCs w:val="24"/>
        </w:rPr>
      </w:pPr>
      <w:r w:rsidRPr="009E24EB">
        <w:rPr>
          <w:sz w:val="24"/>
          <w:szCs w:val="24"/>
        </w:rPr>
        <w:t xml:space="preserve">requires the Committee to assess the clinical need and effectiveness of a drug, medicinal preparation or vaccine [as defined by </w:t>
      </w:r>
      <w:proofErr w:type="spellStart"/>
      <w:r w:rsidRPr="009E24EB">
        <w:rPr>
          <w:sz w:val="24"/>
          <w:szCs w:val="24"/>
        </w:rPr>
        <w:t>subregulation</w:t>
      </w:r>
      <w:proofErr w:type="spellEnd"/>
      <w:r w:rsidRPr="009E24EB">
        <w:rPr>
          <w:sz w:val="24"/>
          <w:szCs w:val="24"/>
        </w:rPr>
        <w:t xml:space="preserve"> (3)]; or </w:t>
      </w:r>
    </w:p>
    <w:p w14:paraId="495E9A6C" w14:textId="12AE3E45" w:rsidR="004E3DB9" w:rsidRPr="009E24EB" w:rsidRDefault="004E3DB9" w:rsidP="00081E8B">
      <w:pPr>
        <w:pStyle w:val="Item"/>
        <w:numPr>
          <w:ilvl w:val="0"/>
          <w:numId w:val="39"/>
        </w:numPr>
        <w:spacing w:before="120"/>
        <w:ind w:left="771" w:hanging="357"/>
        <w:rPr>
          <w:sz w:val="24"/>
          <w:szCs w:val="24"/>
        </w:rPr>
      </w:pPr>
      <w:r w:rsidRPr="009E24EB">
        <w:rPr>
          <w:sz w:val="24"/>
          <w:szCs w:val="24"/>
        </w:rPr>
        <w:t>relates to an exception to the new brand of an existing pharmaceutical item category because the application includes a claim about the the</w:t>
      </w:r>
      <w:r w:rsidR="005A17A9" w:rsidRPr="009E24EB">
        <w:rPr>
          <w:sz w:val="24"/>
          <w:szCs w:val="24"/>
        </w:rPr>
        <w:t xml:space="preserve">rapeutic benefit or relates to </w:t>
      </w:r>
      <w:proofErr w:type="spellStart"/>
      <w:r w:rsidR="005A17A9" w:rsidRPr="009E24EB">
        <w:rPr>
          <w:sz w:val="24"/>
          <w:szCs w:val="24"/>
        </w:rPr>
        <w:t>S</w:t>
      </w:r>
      <w:r w:rsidRPr="009E24EB">
        <w:rPr>
          <w:sz w:val="24"/>
          <w:szCs w:val="24"/>
        </w:rPr>
        <w:t>omatropin</w:t>
      </w:r>
      <w:proofErr w:type="spellEnd"/>
      <w:r w:rsidRPr="009E24EB">
        <w:rPr>
          <w:sz w:val="24"/>
          <w:szCs w:val="24"/>
        </w:rPr>
        <w:t xml:space="preserve"> [</w:t>
      </w:r>
      <w:proofErr w:type="spellStart"/>
      <w:r w:rsidRPr="009E24EB">
        <w:rPr>
          <w:sz w:val="24"/>
          <w:szCs w:val="24"/>
        </w:rPr>
        <w:t>subregulation</w:t>
      </w:r>
      <w:proofErr w:type="spellEnd"/>
      <w:r w:rsidRPr="009E24EB">
        <w:rPr>
          <w:sz w:val="24"/>
          <w:szCs w:val="24"/>
        </w:rPr>
        <w:t xml:space="preserve"> (4)]; or  </w:t>
      </w:r>
    </w:p>
    <w:p w14:paraId="4D56FEF8" w14:textId="596C4334" w:rsidR="004E3DB9" w:rsidRPr="009E24EB" w:rsidRDefault="004E3DB9" w:rsidP="00081E8B">
      <w:pPr>
        <w:pStyle w:val="Item"/>
        <w:numPr>
          <w:ilvl w:val="0"/>
          <w:numId w:val="39"/>
        </w:numPr>
        <w:spacing w:before="120"/>
        <w:ind w:left="771" w:hanging="357"/>
        <w:rPr>
          <w:sz w:val="24"/>
          <w:szCs w:val="24"/>
        </w:rPr>
      </w:pPr>
      <w:proofErr w:type="gramStart"/>
      <w:r w:rsidRPr="009E24EB">
        <w:rPr>
          <w:sz w:val="24"/>
          <w:szCs w:val="24"/>
        </w:rPr>
        <w:t>is</w:t>
      </w:r>
      <w:proofErr w:type="gramEnd"/>
      <w:r w:rsidRPr="009E24EB">
        <w:rPr>
          <w:sz w:val="24"/>
          <w:szCs w:val="24"/>
        </w:rPr>
        <w:t xml:space="preserve"> in relation to a medicinal food [</w:t>
      </w:r>
      <w:proofErr w:type="spellStart"/>
      <w:r w:rsidRPr="009E24EB">
        <w:rPr>
          <w:sz w:val="24"/>
          <w:szCs w:val="24"/>
        </w:rPr>
        <w:t>subregulation</w:t>
      </w:r>
      <w:proofErr w:type="spellEnd"/>
      <w:r w:rsidRPr="009E24EB">
        <w:rPr>
          <w:sz w:val="24"/>
          <w:szCs w:val="24"/>
        </w:rPr>
        <w:t xml:space="preserve"> (5)].</w:t>
      </w:r>
    </w:p>
    <w:p w14:paraId="1D8052DA" w14:textId="17D987FF" w:rsidR="004E3DB9" w:rsidRPr="009E24EB" w:rsidRDefault="004E3DB9" w:rsidP="004E3DB9">
      <w:pPr>
        <w:pStyle w:val="Item"/>
        <w:spacing w:before="120"/>
        <w:ind w:left="0"/>
        <w:rPr>
          <w:sz w:val="24"/>
          <w:szCs w:val="24"/>
        </w:rPr>
      </w:pPr>
      <w:r w:rsidRPr="009E24EB">
        <w:rPr>
          <w:sz w:val="24"/>
          <w:szCs w:val="24"/>
        </w:rPr>
        <w:t xml:space="preserve">Evaluation Category 3 generally reflects the wording of ‘Subdivision 3 – Applications that are minor’, </w:t>
      </w:r>
      <w:r w:rsidR="00066305" w:rsidRPr="009E24EB">
        <w:rPr>
          <w:sz w:val="24"/>
          <w:szCs w:val="24"/>
        </w:rPr>
        <w:t xml:space="preserve">previously </w:t>
      </w:r>
      <w:r w:rsidRPr="009E24EB">
        <w:rPr>
          <w:sz w:val="24"/>
          <w:szCs w:val="24"/>
        </w:rPr>
        <w:t xml:space="preserve">provided for in the Principal Regulations. </w:t>
      </w:r>
    </w:p>
    <w:p w14:paraId="5EF7381B" w14:textId="7FA25558" w:rsidR="004E3DB9" w:rsidRPr="009E24EB" w:rsidRDefault="00223CD4" w:rsidP="004E3DB9">
      <w:pPr>
        <w:pStyle w:val="ItemHead"/>
        <w:rPr>
          <w:rFonts w:ascii="Times New Roman" w:hAnsi="Times New Roman"/>
          <w:b w:val="0"/>
          <w:i/>
          <w:szCs w:val="24"/>
        </w:rPr>
      </w:pPr>
      <w:r w:rsidRPr="009E24EB">
        <w:rPr>
          <w:rFonts w:ascii="Times New Roman" w:hAnsi="Times New Roman"/>
          <w:b w:val="0"/>
          <w:i/>
          <w:szCs w:val="24"/>
        </w:rPr>
        <w:t>R</w:t>
      </w:r>
      <w:r w:rsidR="004E3DB9" w:rsidRPr="009E24EB">
        <w:rPr>
          <w:rFonts w:ascii="Times New Roman" w:hAnsi="Times New Roman"/>
          <w:b w:val="0"/>
          <w:i/>
          <w:szCs w:val="24"/>
        </w:rPr>
        <w:t>egulation 2.6 - Applications in Category 4</w:t>
      </w:r>
    </w:p>
    <w:p w14:paraId="4D304584" w14:textId="48728580" w:rsidR="004E3DB9" w:rsidRPr="009E24EB" w:rsidRDefault="004E3DB9" w:rsidP="004E3DB9">
      <w:pPr>
        <w:pStyle w:val="Item"/>
        <w:spacing w:before="120"/>
        <w:ind w:left="0"/>
        <w:rPr>
          <w:sz w:val="24"/>
          <w:szCs w:val="24"/>
        </w:rPr>
      </w:pPr>
      <w:r w:rsidRPr="009E24EB">
        <w:rPr>
          <w:sz w:val="24"/>
          <w:szCs w:val="24"/>
        </w:rPr>
        <w:t>This regulation prescribe</w:t>
      </w:r>
      <w:r w:rsidR="00223CD4" w:rsidRPr="009E24EB">
        <w:rPr>
          <w:sz w:val="24"/>
          <w:szCs w:val="24"/>
        </w:rPr>
        <w:t>s</w:t>
      </w:r>
      <w:r w:rsidRPr="009E24EB">
        <w:rPr>
          <w:sz w:val="24"/>
          <w:szCs w:val="24"/>
        </w:rPr>
        <w:t xml:space="preserve"> the definition of when a person’s application is in the ‘Category 4’ evaluati</w:t>
      </w:r>
      <w:r w:rsidR="00223CD4" w:rsidRPr="009E24EB">
        <w:rPr>
          <w:sz w:val="24"/>
          <w:szCs w:val="24"/>
        </w:rPr>
        <w:t>on category. An application is in</w:t>
      </w:r>
      <w:r w:rsidRPr="009E24EB">
        <w:rPr>
          <w:sz w:val="24"/>
          <w:szCs w:val="24"/>
        </w:rPr>
        <w:t xml:space="preserve"> this category if the application is not in Category 1, Category 2 or Category 3 and includes a request in relation to one of the six following criteria:</w:t>
      </w:r>
    </w:p>
    <w:p w14:paraId="4FE7AD66" w14:textId="6ECBC661" w:rsidR="004E3DB9" w:rsidRPr="009E24EB" w:rsidRDefault="004E3DB9" w:rsidP="00081E8B">
      <w:pPr>
        <w:pStyle w:val="Item"/>
        <w:numPr>
          <w:ilvl w:val="0"/>
          <w:numId w:val="38"/>
        </w:numPr>
        <w:spacing w:before="120"/>
        <w:rPr>
          <w:sz w:val="24"/>
          <w:szCs w:val="24"/>
        </w:rPr>
      </w:pPr>
      <w:r w:rsidRPr="009E24EB">
        <w:rPr>
          <w:sz w:val="24"/>
          <w:szCs w:val="24"/>
        </w:rPr>
        <w:t xml:space="preserve">Listing of a new pharmaceutical item of a listed medicine [as defined by </w:t>
      </w:r>
      <w:proofErr w:type="spellStart"/>
      <w:r w:rsidRPr="009E24EB">
        <w:rPr>
          <w:sz w:val="24"/>
          <w:szCs w:val="24"/>
        </w:rPr>
        <w:t>subregulation</w:t>
      </w:r>
      <w:proofErr w:type="spellEnd"/>
      <w:r w:rsidRPr="009E24EB">
        <w:rPr>
          <w:sz w:val="24"/>
          <w:szCs w:val="24"/>
        </w:rPr>
        <w:t xml:space="preserve"> (2)]; or</w:t>
      </w:r>
    </w:p>
    <w:p w14:paraId="05F3F0BC" w14:textId="34255EB5" w:rsidR="004E3DB9" w:rsidRPr="009E24EB" w:rsidRDefault="004E3DB9" w:rsidP="00081E8B">
      <w:pPr>
        <w:pStyle w:val="Item"/>
        <w:numPr>
          <w:ilvl w:val="0"/>
          <w:numId w:val="38"/>
        </w:numPr>
        <w:spacing w:before="120"/>
        <w:rPr>
          <w:sz w:val="24"/>
          <w:szCs w:val="24"/>
        </w:rPr>
      </w:pPr>
      <w:r w:rsidRPr="009E24EB">
        <w:rPr>
          <w:sz w:val="24"/>
          <w:szCs w:val="24"/>
        </w:rPr>
        <w:t xml:space="preserve">A change/new manner of administration of a listed drug [as defined by </w:t>
      </w:r>
      <w:proofErr w:type="spellStart"/>
      <w:r w:rsidRPr="009E24EB">
        <w:rPr>
          <w:sz w:val="24"/>
          <w:szCs w:val="24"/>
        </w:rPr>
        <w:t>subregulation</w:t>
      </w:r>
      <w:proofErr w:type="spellEnd"/>
      <w:r w:rsidRPr="009E24EB">
        <w:rPr>
          <w:sz w:val="24"/>
          <w:szCs w:val="24"/>
        </w:rPr>
        <w:t xml:space="preserve"> (2)]; or</w:t>
      </w:r>
    </w:p>
    <w:p w14:paraId="7A670521" w14:textId="76F946D9" w:rsidR="004E3DB9" w:rsidRPr="009E24EB" w:rsidRDefault="004E3DB9" w:rsidP="00081E8B">
      <w:pPr>
        <w:pStyle w:val="Item"/>
        <w:numPr>
          <w:ilvl w:val="0"/>
          <w:numId w:val="38"/>
        </w:numPr>
        <w:spacing w:before="120"/>
        <w:rPr>
          <w:sz w:val="24"/>
          <w:szCs w:val="24"/>
        </w:rPr>
      </w:pPr>
      <w:r w:rsidRPr="009E24EB">
        <w:rPr>
          <w:sz w:val="24"/>
          <w:szCs w:val="24"/>
        </w:rPr>
        <w:lastRenderedPageBreak/>
        <w:t xml:space="preserve">A change to the maximum quantity and/or number of repeats of a listed medicine [as defined by </w:t>
      </w:r>
      <w:proofErr w:type="spellStart"/>
      <w:r w:rsidRPr="009E24EB">
        <w:rPr>
          <w:sz w:val="24"/>
          <w:szCs w:val="24"/>
        </w:rPr>
        <w:t>subregulation</w:t>
      </w:r>
      <w:proofErr w:type="spellEnd"/>
      <w:r w:rsidRPr="009E24EB">
        <w:rPr>
          <w:sz w:val="24"/>
          <w:szCs w:val="24"/>
        </w:rPr>
        <w:t xml:space="preserve"> (3)]; or</w:t>
      </w:r>
    </w:p>
    <w:p w14:paraId="5D3CC2F7" w14:textId="6DDE4808" w:rsidR="004E3DB9" w:rsidRPr="009E24EB" w:rsidRDefault="004E3DB9" w:rsidP="00081E8B">
      <w:pPr>
        <w:pStyle w:val="Item"/>
        <w:numPr>
          <w:ilvl w:val="0"/>
          <w:numId w:val="38"/>
        </w:numPr>
        <w:spacing w:before="120"/>
        <w:rPr>
          <w:sz w:val="24"/>
          <w:szCs w:val="24"/>
        </w:rPr>
      </w:pPr>
      <w:r w:rsidRPr="009E24EB">
        <w:rPr>
          <w:sz w:val="24"/>
          <w:szCs w:val="24"/>
        </w:rPr>
        <w:t xml:space="preserve">A change or addition to the prescriber type(s) of a listed medicine  [as defined by </w:t>
      </w:r>
      <w:proofErr w:type="spellStart"/>
      <w:r w:rsidRPr="009E24EB">
        <w:rPr>
          <w:sz w:val="24"/>
          <w:szCs w:val="24"/>
        </w:rPr>
        <w:t>subregulation</w:t>
      </w:r>
      <w:proofErr w:type="spellEnd"/>
      <w:r w:rsidRPr="009E24EB">
        <w:rPr>
          <w:sz w:val="24"/>
          <w:szCs w:val="24"/>
        </w:rPr>
        <w:t xml:space="preserve"> (4)]; or</w:t>
      </w:r>
    </w:p>
    <w:p w14:paraId="7F1060DB" w14:textId="63DDFD22" w:rsidR="004E3DB9" w:rsidRPr="009E24EB" w:rsidRDefault="004E3DB9" w:rsidP="00081E8B">
      <w:pPr>
        <w:pStyle w:val="Item"/>
        <w:numPr>
          <w:ilvl w:val="0"/>
          <w:numId w:val="38"/>
        </w:numPr>
        <w:spacing w:before="120"/>
        <w:rPr>
          <w:sz w:val="24"/>
          <w:szCs w:val="24"/>
        </w:rPr>
      </w:pPr>
      <w:r w:rsidRPr="009E24EB">
        <w:rPr>
          <w:sz w:val="24"/>
          <w:szCs w:val="24"/>
        </w:rPr>
        <w:t xml:space="preserve">Including a listed medicine on the prescriber bag, or varying an existing prescriber bag listing [as defined by </w:t>
      </w:r>
      <w:proofErr w:type="spellStart"/>
      <w:r w:rsidRPr="009E24EB">
        <w:rPr>
          <w:sz w:val="24"/>
          <w:szCs w:val="24"/>
        </w:rPr>
        <w:t>subregulation</w:t>
      </w:r>
      <w:proofErr w:type="spellEnd"/>
      <w:r w:rsidRPr="009E24EB">
        <w:rPr>
          <w:sz w:val="24"/>
          <w:szCs w:val="24"/>
        </w:rPr>
        <w:t xml:space="preserve"> (5)]; or</w:t>
      </w:r>
    </w:p>
    <w:p w14:paraId="3260BDAD" w14:textId="4288F9DA" w:rsidR="004E3DB9" w:rsidRPr="009E24EB" w:rsidRDefault="004E3DB9" w:rsidP="00081E8B">
      <w:pPr>
        <w:pStyle w:val="ItemHead"/>
        <w:numPr>
          <w:ilvl w:val="0"/>
          <w:numId w:val="38"/>
        </w:numPr>
        <w:spacing w:before="120"/>
        <w:rPr>
          <w:rFonts w:ascii="Times New Roman" w:hAnsi="Times New Roman"/>
          <w:b w:val="0"/>
        </w:rPr>
      </w:pPr>
      <w:r w:rsidRPr="009E24EB">
        <w:rPr>
          <w:rFonts w:ascii="Times New Roman" w:hAnsi="Times New Roman"/>
          <w:b w:val="0"/>
        </w:rPr>
        <w:t xml:space="preserve">Consideration as an exempt item (exempt items are dealt with in s 84AH of the A) [as defined by </w:t>
      </w:r>
      <w:proofErr w:type="spellStart"/>
      <w:r w:rsidRPr="009E24EB">
        <w:rPr>
          <w:rFonts w:ascii="Times New Roman" w:hAnsi="Times New Roman"/>
          <w:b w:val="0"/>
        </w:rPr>
        <w:t>subregulation</w:t>
      </w:r>
      <w:proofErr w:type="spellEnd"/>
      <w:r w:rsidRPr="009E24EB">
        <w:rPr>
          <w:rFonts w:ascii="Times New Roman" w:hAnsi="Times New Roman"/>
          <w:b w:val="0"/>
        </w:rPr>
        <w:t xml:space="preserve"> (6)].</w:t>
      </w:r>
    </w:p>
    <w:p w14:paraId="44596319" w14:textId="7140E564" w:rsidR="004E3DB9" w:rsidRPr="009E24EB" w:rsidRDefault="004E3DB9" w:rsidP="004E3DB9">
      <w:pPr>
        <w:pStyle w:val="Item"/>
        <w:ind w:left="0"/>
        <w:rPr>
          <w:sz w:val="24"/>
          <w:szCs w:val="24"/>
        </w:rPr>
      </w:pPr>
      <w:r w:rsidRPr="009E24EB">
        <w:rPr>
          <w:sz w:val="24"/>
          <w:szCs w:val="24"/>
        </w:rPr>
        <w:t xml:space="preserve">These application types are expected to require minimal evaluation. Category 4 applications </w:t>
      </w:r>
      <w:r w:rsidR="005C65A5" w:rsidRPr="009E24EB">
        <w:rPr>
          <w:sz w:val="24"/>
          <w:szCs w:val="24"/>
        </w:rPr>
        <w:t xml:space="preserve">are </w:t>
      </w:r>
      <w:r w:rsidRPr="009E24EB">
        <w:rPr>
          <w:sz w:val="24"/>
          <w:szCs w:val="24"/>
        </w:rPr>
        <w:t>considered by the PBAC Executive, and ratified by the PBAC to streamline the process for these submission types.</w:t>
      </w:r>
    </w:p>
    <w:p w14:paraId="343B9A56" w14:textId="2D38B802" w:rsidR="004E3DB9" w:rsidRPr="009E24EB" w:rsidRDefault="00066305" w:rsidP="004E3DB9">
      <w:pPr>
        <w:pStyle w:val="ItemHead"/>
        <w:rPr>
          <w:rFonts w:ascii="Times New Roman" w:hAnsi="Times New Roman"/>
          <w:b w:val="0"/>
          <w:i/>
          <w:szCs w:val="24"/>
        </w:rPr>
      </w:pPr>
      <w:r w:rsidRPr="009E24EB">
        <w:rPr>
          <w:rFonts w:ascii="Times New Roman" w:hAnsi="Times New Roman"/>
          <w:b w:val="0"/>
          <w:i/>
          <w:szCs w:val="24"/>
        </w:rPr>
        <w:t>R</w:t>
      </w:r>
      <w:r w:rsidR="004E3DB9" w:rsidRPr="009E24EB">
        <w:rPr>
          <w:rFonts w:ascii="Times New Roman" w:hAnsi="Times New Roman"/>
          <w:b w:val="0"/>
          <w:i/>
          <w:szCs w:val="24"/>
        </w:rPr>
        <w:t>egulation 2.7 - Applications in Committee Secretariat category</w:t>
      </w:r>
    </w:p>
    <w:p w14:paraId="6D9CB06D" w14:textId="4FA1FE0E" w:rsidR="004E3DB9" w:rsidRPr="009E24EB" w:rsidRDefault="004E3DB9" w:rsidP="004E3DB9">
      <w:pPr>
        <w:pStyle w:val="Item"/>
        <w:spacing w:before="120"/>
        <w:ind w:left="0"/>
        <w:rPr>
          <w:sz w:val="24"/>
          <w:szCs w:val="24"/>
        </w:rPr>
      </w:pPr>
      <w:r w:rsidRPr="009E24EB">
        <w:rPr>
          <w:sz w:val="24"/>
          <w:szCs w:val="24"/>
        </w:rPr>
        <w:t>This regulation prescribe</w:t>
      </w:r>
      <w:r w:rsidR="00066305" w:rsidRPr="009E24EB">
        <w:rPr>
          <w:sz w:val="24"/>
          <w:szCs w:val="24"/>
        </w:rPr>
        <w:t>s</w:t>
      </w:r>
      <w:r w:rsidRPr="009E24EB">
        <w:rPr>
          <w:sz w:val="24"/>
          <w:szCs w:val="24"/>
        </w:rPr>
        <w:t xml:space="preserve"> the definition of when a person’s application is in the ‘Committee secretariat’ evaluation category. This definition reflects the wording of Regulations 2.12 and 2.13 </w:t>
      </w:r>
      <w:r w:rsidR="00066305" w:rsidRPr="009E24EB">
        <w:rPr>
          <w:sz w:val="24"/>
          <w:szCs w:val="24"/>
        </w:rPr>
        <w:t>previously provided for in the Principal Regulations.</w:t>
      </w:r>
    </w:p>
    <w:p w14:paraId="2F2947F9" w14:textId="4CB2AAB1" w:rsidR="004E3DB9" w:rsidRPr="009E24EB" w:rsidRDefault="00066305" w:rsidP="004E3DB9">
      <w:pPr>
        <w:pStyle w:val="ItemHead"/>
        <w:ind w:left="0" w:firstLine="0"/>
        <w:rPr>
          <w:rFonts w:ascii="Times New Roman" w:hAnsi="Times New Roman"/>
          <w:b w:val="0"/>
          <w:i/>
          <w:szCs w:val="24"/>
        </w:rPr>
      </w:pPr>
      <w:r w:rsidRPr="009E24EB">
        <w:rPr>
          <w:rFonts w:ascii="Times New Roman" w:hAnsi="Times New Roman"/>
          <w:b w:val="0"/>
          <w:i/>
          <w:szCs w:val="24"/>
        </w:rPr>
        <w:t>R</w:t>
      </w:r>
      <w:r w:rsidR="004E3DB9" w:rsidRPr="009E24EB">
        <w:rPr>
          <w:rFonts w:ascii="Times New Roman" w:hAnsi="Times New Roman"/>
          <w:b w:val="0"/>
          <w:i/>
          <w:szCs w:val="24"/>
        </w:rPr>
        <w:t>egulation 2.8 - Applications in new brand of existing pharmaceutical item category</w:t>
      </w:r>
    </w:p>
    <w:p w14:paraId="5DBAF764" w14:textId="1BAC9359" w:rsidR="004E3DB9" w:rsidRPr="009E24EB" w:rsidRDefault="004E3DB9" w:rsidP="004E3DB9">
      <w:pPr>
        <w:pStyle w:val="Item"/>
        <w:spacing w:before="120"/>
        <w:ind w:left="0"/>
        <w:rPr>
          <w:sz w:val="24"/>
          <w:szCs w:val="24"/>
        </w:rPr>
      </w:pPr>
      <w:r w:rsidRPr="009E24EB">
        <w:rPr>
          <w:sz w:val="24"/>
          <w:szCs w:val="24"/>
        </w:rPr>
        <w:t>This regulation prescribe</w:t>
      </w:r>
      <w:r w:rsidR="005C65A5" w:rsidRPr="009E24EB">
        <w:rPr>
          <w:sz w:val="24"/>
          <w:szCs w:val="24"/>
        </w:rPr>
        <w:t>s</w:t>
      </w:r>
      <w:r w:rsidRPr="009E24EB">
        <w:rPr>
          <w:sz w:val="24"/>
          <w:szCs w:val="24"/>
        </w:rPr>
        <w:t xml:space="preserve"> the definition of when a person’s application is in the ‘Committee secretariat’ evaluation category. This definition reflects the wording of Regulations 2.14 of the Principal Regulations. </w:t>
      </w:r>
    </w:p>
    <w:p w14:paraId="68B1B2A8" w14:textId="77777777" w:rsidR="004E3DB9" w:rsidRPr="009E24EB" w:rsidRDefault="004E3DB9" w:rsidP="004E3DB9">
      <w:pPr>
        <w:pStyle w:val="Item"/>
        <w:spacing w:before="120"/>
        <w:ind w:left="0"/>
        <w:rPr>
          <w:sz w:val="24"/>
          <w:szCs w:val="24"/>
        </w:rPr>
      </w:pPr>
      <w:r w:rsidRPr="009E24EB">
        <w:rPr>
          <w:sz w:val="24"/>
          <w:szCs w:val="24"/>
        </w:rPr>
        <w:t xml:space="preserve">This definition reflects the wording of regulation 2.14 of the Principal Regulations. </w:t>
      </w:r>
    </w:p>
    <w:p w14:paraId="041FD67D" w14:textId="77777777" w:rsidR="004E3DB9" w:rsidRPr="009E24EB" w:rsidRDefault="004E3DB9" w:rsidP="004E3DB9">
      <w:pPr>
        <w:pStyle w:val="ItemHead"/>
        <w:ind w:left="0" w:firstLine="0"/>
        <w:rPr>
          <w:rFonts w:ascii="Times New Roman" w:hAnsi="Times New Roman"/>
          <w:b w:val="0"/>
          <w:i/>
          <w:szCs w:val="24"/>
        </w:rPr>
      </w:pPr>
      <w:r w:rsidRPr="009E24EB">
        <w:rPr>
          <w:rFonts w:ascii="Times New Roman" w:hAnsi="Times New Roman"/>
          <w:b w:val="0"/>
          <w:i/>
          <w:szCs w:val="24"/>
        </w:rPr>
        <w:t>Proposed regulation 2.9 – Evaluation categories of certain resent applications</w:t>
      </w:r>
    </w:p>
    <w:p w14:paraId="54742BC3" w14:textId="77777777" w:rsidR="004E3DB9" w:rsidRPr="009E24EB" w:rsidRDefault="004E3DB9" w:rsidP="004E3DB9">
      <w:pPr>
        <w:spacing w:before="120"/>
        <w:rPr>
          <w:b/>
          <w:bCs/>
          <w:iCs/>
          <w:szCs w:val="24"/>
        </w:rPr>
      </w:pPr>
      <w:r w:rsidRPr="009E24EB">
        <w:rPr>
          <w:b/>
          <w:bCs/>
          <w:iCs/>
          <w:szCs w:val="24"/>
        </w:rPr>
        <w:t>Summary</w:t>
      </w:r>
    </w:p>
    <w:p w14:paraId="07BFB415" w14:textId="77777777" w:rsidR="004E3DB9" w:rsidRPr="009E24EB" w:rsidRDefault="004E3DB9" w:rsidP="004E3DB9">
      <w:pPr>
        <w:spacing w:before="120"/>
        <w:rPr>
          <w:bCs/>
          <w:iCs/>
          <w:szCs w:val="24"/>
          <w:u w:val="single"/>
        </w:rPr>
      </w:pPr>
      <w:r w:rsidRPr="009E24EB">
        <w:rPr>
          <w:bCs/>
          <w:iCs/>
          <w:szCs w:val="24"/>
          <w:u w:val="single"/>
        </w:rPr>
        <w:t>Resubmission Pathways</w:t>
      </w:r>
    </w:p>
    <w:p w14:paraId="606C2DBE" w14:textId="77777777" w:rsidR="004E3DB9" w:rsidRPr="009E24EB" w:rsidRDefault="004E3DB9" w:rsidP="004E3DB9">
      <w:pPr>
        <w:spacing w:before="120"/>
        <w:rPr>
          <w:szCs w:val="24"/>
        </w:rPr>
      </w:pPr>
      <w:r w:rsidRPr="009E24EB">
        <w:rPr>
          <w:szCs w:val="24"/>
        </w:rPr>
        <w:t>Initial submissions that have not been recommended by the PBAC, are eligible to return to the PBAC for further consideration, these submissions and are considered a resubmission. Currently there is no clear delineation between an initial submission and a resubmission. In returning to the PBAC for further consideration, four resubmission pathways have been established to:</w:t>
      </w:r>
    </w:p>
    <w:p w14:paraId="3123C0FE" w14:textId="77777777" w:rsidR="004E3DB9" w:rsidRPr="009E24EB" w:rsidRDefault="004E3DB9" w:rsidP="00081E8B">
      <w:pPr>
        <w:pStyle w:val="NormalWeb"/>
        <w:numPr>
          <w:ilvl w:val="0"/>
          <w:numId w:val="41"/>
        </w:numPr>
        <w:spacing w:before="120"/>
        <w:ind w:left="714" w:hanging="357"/>
        <w:jc w:val="both"/>
      </w:pPr>
      <w:r w:rsidRPr="009E24EB">
        <w:t>Support the PBAC’s decision-making process and provide a framework for the PBAC to assist applicants in the development of their resubmission;</w:t>
      </w:r>
    </w:p>
    <w:p w14:paraId="43AFAA7D" w14:textId="77777777" w:rsidR="004E3DB9" w:rsidRPr="009E24EB" w:rsidRDefault="004E3DB9" w:rsidP="00081E8B">
      <w:pPr>
        <w:pStyle w:val="NormalWeb"/>
        <w:numPr>
          <w:ilvl w:val="0"/>
          <w:numId w:val="41"/>
        </w:numPr>
        <w:jc w:val="both"/>
      </w:pPr>
      <w:r w:rsidRPr="009E24EB">
        <w:t>Support access to medicines through solution-focused pathways where issues can be easily resolved;</w:t>
      </w:r>
    </w:p>
    <w:p w14:paraId="452C4B8F" w14:textId="77777777" w:rsidR="004E3DB9" w:rsidRPr="009E24EB" w:rsidRDefault="004E3DB9" w:rsidP="00081E8B">
      <w:pPr>
        <w:pStyle w:val="NormalWeb"/>
        <w:numPr>
          <w:ilvl w:val="0"/>
          <w:numId w:val="41"/>
        </w:numPr>
        <w:jc w:val="both"/>
      </w:pPr>
      <w:r w:rsidRPr="009E24EB">
        <w:t>Enable efficient use of PBAC time by focusing on more complex resubmissions; and</w:t>
      </w:r>
    </w:p>
    <w:p w14:paraId="4F5B9819" w14:textId="77777777" w:rsidR="004E3DB9" w:rsidRPr="009E24EB" w:rsidRDefault="004E3DB9" w:rsidP="00081E8B">
      <w:pPr>
        <w:pStyle w:val="NormalWeb"/>
        <w:numPr>
          <w:ilvl w:val="0"/>
          <w:numId w:val="41"/>
        </w:numPr>
        <w:jc w:val="both"/>
      </w:pPr>
      <w:r w:rsidRPr="009E24EB">
        <w:t>Align work effort, resourcing and cost recovery fees.</w:t>
      </w:r>
    </w:p>
    <w:p w14:paraId="07E6C72F" w14:textId="77777777" w:rsidR="004E3DB9" w:rsidRPr="009E24EB" w:rsidRDefault="004E3DB9" w:rsidP="00C315E7">
      <w:pPr>
        <w:spacing w:before="240"/>
        <w:rPr>
          <w:rFonts w:eastAsiaTheme="minorEastAsia"/>
          <w:szCs w:val="24"/>
        </w:rPr>
      </w:pPr>
      <w:r w:rsidRPr="009E24EB">
        <w:rPr>
          <w:rFonts w:eastAsiaTheme="minorEastAsia"/>
          <w:szCs w:val="24"/>
        </w:rPr>
        <w:t xml:space="preserve">Following PBAC consideration, all submissions with a ‘not recommended’ outcome are able to lodge a resubmission via the Standard Re-entry Pathway. </w:t>
      </w:r>
    </w:p>
    <w:p w14:paraId="3B741038" w14:textId="40068AD4" w:rsidR="004E3DB9" w:rsidRPr="009E24EB" w:rsidRDefault="004E3DB9" w:rsidP="004E3DB9">
      <w:pPr>
        <w:spacing w:before="120"/>
        <w:rPr>
          <w:rFonts w:eastAsiaTheme="minorEastAsia"/>
          <w:szCs w:val="24"/>
        </w:rPr>
      </w:pPr>
      <w:r w:rsidRPr="009E24EB">
        <w:rPr>
          <w:rFonts w:eastAsiaTheme="minorEastAsia"/>
          <w:szCs w:val="24"/>
        </w:rPr>
        <w:t>The PBAC may nominate an Early Resolution</w:t>
      </w:r>
      <w:r w:rsidR="00995813" w:rsidRPr="009E24EB">
        <w:rPr>
          <w:rFonts w:eastAsiaTheme="minorEastAsia"/>
          <w:szCs w:val="24"/>
        </w:rPr>
        <w:t xml:space="preserve"> Pathway</w:t>
      </w:r>
      <w:r w:rsidRPr="009E24EB">
        <w:rPr>
          <w:rFonts w:eastAsiaTheme="minorEastAsia"/>
          <w:szCs w:val="24"/>
        </w:rPr>
        <w:t>, Early Re-entry</w:t>
      </w:r>
      <w:r w:rsidR="00995813" w:rsidRPr="009E24EB">
        <w:rPr>
          <w:rFonts w:eastAsiaTheme="minorEastAsia"/>
          <w:szCs w:val="24"/>
        </w:rPr>
        <w:t xml:space="preserve"> Pathway</w:t>
      </w:r>
      <w:r w:rsidRPr="009E24EB">
        <w:rPr>
          <w:rFonts w:eastAsiaTheme="minorEastAsia"/>
          <w:szCs w:val="24"/>
        </w:rPr>
        <w:t xml:space="preserve"> or Facilitated Resolution Pathway based on their independent assessment of:</w:t>
      </w:r>
    </w:p>
    <w:p w14:paraId="6E9F0C62" w14:textId="77777777" w:rsidR="004E3DB9" w:rsidRPr="009E24EB" w:rsidRDefault="004E3DB9" w:rsidP="00081E8B">
      <w:pPr>
        <w:pStyle w:val="ListBullet"/>
        <w:numPr>
          <w:ilvl w:val="0"/>
          <w:numId w:val="47"/>
        </w:numPr>
        <w:spacing w:before="120" w:after="120"/>
        <w:ind w:left="357" w:hanging="357"/>
        <w:contextualSpacing w:val="0"/>
        <w:rPr>
          <w:szCs w:val="24"/>
        </w:rPr>
      </w:pPr>
      <w:r w:rsidRPr="009E24EB">
        <w:rPr>
          <w:szCs w:val="24"/>
        </w:rPr>
        <w:t>the issues for resolution; and</w:t>
      </w:r>
    </w:p>
    <w:p w14:paraId="66AAF5D9" w14:textId="77777777" w:rsidR="004E3DB9" w:rsidRPr="009E24EB" w:rsidRDefault="004E3DB9" w:rsidP="00081E8B">
      <w:pPr>
        <w:pStyle w:val="ListBullet"/>
        <w:numPr>
          <w:ilvl w:val="0"/>
          <w:numId w:val="47"/>
        </w:numPr>
        <w:spacing w:before="120" w:after="120"/>
        <w:ind w:left="357" w:hanging="357"/>
        <w:contextualSpacing w:val="0"/>
        <w:rPr>
          <w:szCs w:val="24"/>
        </w:rPr>
      </w:pPr>
      <w:r w:rsidRPr="009E24EB">
        <w:rPr>
          <w:szCs w:val="24"/>
        </w:rPr>
        <w:t xml:space="preserve">whether the medicine or vaccine represents High Added Therapeutic Value (HATV) for the proposed population: </w:t>
      </w:r>
    </w:p>
    <w:p w14:paraId="47A6758D" w14:textId="77777777" w:rsidR="004E3DB9" w:rsidRPr="009E24EB" w:rsidRDefault="004E3DB9" w:rsidP="005A17A9">
      <w:pPr>
        <w:pStyle w:val="ListBullet"/>
        <w:numPr>
          <w:ilvl w:val="1"/>
          <w:numId w:val="46"/>
        </w:numPr>
        <w:ind w:left="1434" w:hanging="357"/>
        <w:contextualSpacing w:val="0"/>
        <w:rPr>
          <w:szCs w:val="24"/>
        </w:rPr>
      </w:pPr>
      <w:r w:rsidRPr="009E24EB">
        <w:rPr>
          <w:szCs w:val="24"/>
        </w:rPr>
        <w:t>the medicine or vaccine addresses a high and urgent unmet clinical need; and</w:t>
      </w:r>
    </w:p>
    <w:p w14:paraId="57F87564" w14:textId="77777777" w:rsidR="004E3DB9" w:rsidRPr="009E24EB" w:rsidRDefault="004E3DB9" w:rsidP="005A17A9">
      <w:pPr>
        <w:pStyle w:val="ListBullet"/>
        <w:numPr>
          <w:ilvl w:val="1"/>
          <w:numId w:val="46"/>
        </w:numPr>
        <w:ind w:left="1434" w:hanging="357"/>
        <w:contextualSpacing w:val="0"/>
        <w:rPr>
          <w:szCs w:val="24"/>
        </w:rPr>
      </w:pPr>
      <w:proofErr w:type="gramStart"/>
      <w:r w:rsidRPr="009E24EB">
        <w:rPr>
          <w:szCs w:val="24"/>
        </w:rPr>
        <w:lastRenderedPageBreak/>
        <w:t>the</w:t>
      </w:r>
      <w:proofErr w:type="gramEnd"/>
      <w:r w:rsidRPr="009E24EB">
        <w:rPr>
          <w:szCs w:val="24"/>
        </w:rPr>
        <w:t xml:space="preserve"> medicine or vaccine is expected to provide a substantial and clinically relevant improvement in efficacy, or reduction of toxicity, over any alternative therapies.</w:t>
      </w:r>
    </w:p>
    <w:p w14:paraId="71BC6EFE" w14:textId="461C0233" w:rsidR="004E3DB9" w:rsidRPr="009E24EB" w:rsidRDefault="00C315E7" w:rsidP="00C315E7">
      <w:pPr>
        <w:spacing w:before="120"/>
        <w:ind w:left="1440"/>
        <w:rPr>
          <w:szCs w:val="24"/>
        </w:rPr>
      </w:pPr>
      <w:r w:rsidRPr="009E24EB">
        <w:rPr>
          <w:szCs w:val="24"/>
        </w:rPr>
        <w:t xml:space="preserve">The definition of ‘high added therapeutic value’ was added to the Principal Regulations by item 2. </w:t>
      </w:r>
    </w:p>
    <w:p w14:paraId="64FAF52A" w14:textId="62BF5FAE" w:rsidR="004E3DB9" w:rsidRPr="009E24EB" w:rsidRDefault="004E3DB9" w:rsidP="004E3DB9">
      <w:pPr>
        <w:pStyle w:val="Item"/>
        <w:spacing w:before="240"/>
        <w:ind w:left="0"/>
        <w:rPr>
          <w:sz w:val="24"/>
          <w:szCs w:val="24"/>
        </w:rPr>
      </w:pPr>
      <w:r w:rsidRPr="009E24EB">
        <w:rPr>
          <w:sz w:val="24"/>
          <w:szCs w:val="24"/>
        </w:rPr>
        <w:t>This regulation define</w:t>
      </w:r>
      <w:r w:rsidR="00DD371A" w:rsidRPr="009E24EB">
        <w:rPr>
          <w:sz w:val="24"/>
          <w:szCs w:val="24"/>
        </w:rPr>
        <w:t>s</w:t>
      </w:r>
      <w:r w:rsidRPr="009E24EB">
        <w:rPr>
          <w:sz w:val="24"/>
          <w:szCs w:val="24"/>
        </w:rPr>
        <w:t xml:space="preserve"> the four pathways available for PBAC reconsideration:</w:t>
      </w:r>
    </w:p>
    <w:p w14:paraId="0A9C45DF" w14:textId="77777777" w:rsidR="004E3DB9" w:rsidRPr="009E24EB" w:rsidRDefault="004E3DB9" w:rsidP="00081E8B">
      <w:pPr>
        <w:pStyle w:val="ListParagraph"/>
        <w:numPr>
          <w:ilvl w:val="0"/>
          <w:numId w:val="42"/>
        </w:numPr>
        <w:spacing w:before="120"/>
        <w:contextualSpacing/>
        <w:rPr>
          <w:bCs/>
          <w:iCs/>
          <w:szCs w:val="24"/>
        </w:rPr>
      </w:pPr>
      <w:r w:rsidRPr="009E24EB">
        <w:rPr>
          <w:bCs/>
          <w:i/>
          <w:iCs/>
          <w:szCs w:val="24"/>
        </w:rPr>
        <w:t>Standard Re-entry Pathway</w:t>
      </w:r>
      <w:r w:rsidRPr="009E24EB">
        <w:rPr>
          <w:bCs/>
          <w:iCs/>
          <w:szCs w:val="24"/>
        </w:rPr>
        <w:t xml:space="preserve"> is the sponsor-determined (default) resubmission pathway and also applies where:</w:t>
      </w:r>
    </w:p>
    <w:p w14:paraId="283127EC" w14:textId="77777777" w:rsidR="004E3DB9" w:rsidRPr="009E24EB" w:rsidRDefault="004E3DB9" w:rsidP="00081E8B">
      <w:pPr>
        <w:pStyle w:val="ListParagraph"/>
        <w:numPr>
          <w:ilvl w:val="0"/>
          <w:numId w:val="43"/>
        </w:numPr>
        <w:spacing w:before="120"/>
        <w:contextualSpacing/>
        <w:rPr>
          <w:bCs/>
          <w:iCs/>
          <w:szCs w:val="24"/>
        </w:rPr>
      </w:pPr>
      <w:r w:rsidRPr="009E24EB">
        <w:rPr>
          <w:bCs/>
          <w:iCs/>
          <w:szCs w:val="24"/>
        </w:rPr>
        <w:t>an applicant chooses not to accept the PBAC nominated resubmission pathway; or</w:t>
      </w:r>
    </w:p>
    <w:p w14:paraId="00D54D26" w14:textId="1937A976" w:rsidR="004E3DB9" w:rsidRPr="009E24EB" w:rsidRDefault="004E3DB9" w:rsidP="00081E8B">
      <w:pPr>
        <w:pStyle w:val="ListParagraph"/>
        <w:numPr>
          <w:ilvl w:val="0"/>
          <w:numId w:val="43"/>
        </w:numPr>
        <w:spacing w:before="120"/>
        <w:contextualSpacing/>
        <w:rPr>
          <w:bCs/>
          <w:iCs/>
          <w:szCs w:val="24"/>
        </w:rPr>
      </w:pPr>
      <w:r w:rsidRPr="009E24EB">
        <w:rPr>
          <w:bCs/>
          <w:iCs/>
          <w:szCs w:val="24"/>
        </w:rPr>
        <w:t>an Early Re-entry</w:t>
      </w:r>
      <w:r w:rsidR="00995813" w:rsidRPr="009E24EB">
        <w:rPr>
          <w:bCs/>
          <w:iCs/>
          <w:szCs w:val="24"/>
        </w:rPr>
        <w:t xml:space="preserve"> Pathway</w:t>
      </w:r>
      <w:r w:rsidRPr="009E24EB">
        <w:rPr>
          <w:bCs/>
          <w:iCs/>
          <w:szCs w:val="24"/>
        </w:rPr>
        <w:t xml:space="preserve"> or Early Resolution Pathway has been nominated by the PBAC and an applicant decides to address issues other than those identified by the PBAC (including a subset of issues); or</w:t>
      </w:r>
    </w:p>
    <w:p w14:paraId="11FD5811" w14:textId="77777777" w:rsidR="004E3DB9" w:rsidRPr="009E24EB" w:rsidRDefault="004E3DB9" w:rsidP="00081E8B">
      <w:pPr>
        <w:pStyle w:val="ListParagraph"/>
        <w:numPr>
          <w:ilvl w:val="0"/>
          <w:numId w:val="43"/>
        </w:numPr>
        <w:spacing w:before="120"/>
        <w:contextualSpacing/>
        <w:rPr>
          <w:bCs/>
          <w:iCs/>
          <w:szCs w:val="24"/>
        </w:rPr>
      </w:pPr>
      <w:proofErr w:type="gramStart"/>
      <w:r w:rsidRPr="009E24EB">
        <w:rPr>
          <w:bCs/>
          <w:iCs/>
          <w:szCs w:val="24"/>
        </w:rPr>
        <w:t>an</w:t>
      </w:r>
      <w:proofErr w:type="gramEnd"/>
      <w:r w:rsidRPr="009E24EB">
        <w:rPr>
          <w:bCs/>
          <w:iCs/>
          <w:szCs w:val="24"/>
        </w:rPr>
        <w:t xml:space="preserve"> applicant decides to lodge later than the allowable timelines for the other pathways.</w:t>
      </w:r>
    </w:p>
    <w:p w14:paraId="3F282C90" w14:textId="77777777" w:rsidR="004E3DB9" w:rsidRPr="009E24EB" w:rsidRDefault="004E3DB9" w:rsidP="00C315E7">
      <w:pPr>
        <w:pStyle w:val="ListParagraph"/>
        <w:ind w:left="1077"/>
        <w:rPr>
          <w:bCs/>
          <w:iCs/>
          <w:szCs w:val="24"/>
        </w:rPr>
      </w:pPr>
    </w:p>
    <w:p w14:paraId="034271FC" w14:textId="77777777" w:rsidR="004E3DB9" w:rsidRPr="009E24EB" w:rsidRDefault="004E3DB9" w:rsidP="00081E8B">
      <w:pPr>
        <w:pStyle w:val="ListParagraph"/>
        <w:numPr>
          <w:ilvl w:val="0"/>
          <w:numId w:val="42"/>
        </w:numPr>
        <w:spacing w:before="120"/>
        <w:contextualSpacing/>
        <w:rPr>
          <w:bCs/>
          <w:iCs/>
          <w:szCs w:val="24"/>
        </w:rPr>
      </w:pPr>
      <w:r w:rsidRPr="009E24EB">
        <w:rPr>
          <w:bCs/>
          <w:i/>
          <w:iCs/>
          <w:szCs w:val="24"/>
        </w:rPr>
        <w:t>Early Re-entry Pathway</w:t>
      </w:r>
      <w:r w:rsidRPr="009E24EB">
        <w:rPr>
          <w:bCs/>
          <w:iCs/>
          <w:szCs w:val="24"/>
        </w:rPr>
        <w:t xml:space="preserve"> may be nominated by the PBAC, where the PBAC considers that the remaining issues could be easily resolved; and the medicine or vaccine </w:t>
      </w:r>
      <w:r w:rsidRPr="009E24EB">
        <w:rPr>
          <w:bCs/>
          <w:iCs/>
          <w:szCs w:val="24"/>
          <w:u w:val="single"/>
        </w:rPr>
        <w:t>does not</w:t>
      </w:r>
      <w:r w:rsidRPr="009E24EB">
        <w:rPr>
          <w:bCs/>
          <w:iCs/>
          <w:szCs w:val="24"/>
        </w:rPr>
        <w:t xml:space="preserve"> represent HATV for the proposed population. Applicants who accept this pathway must only address the issues as outlined by the Committee. To ensure early reconsideration, two lodgement deadlines apply for this pathway.</w:t>
      </w:r>
    </w:p>
    <w:p w14:paraId="271B8E4A" w14:textId="77777777" w:rsidR="004E3DB9" w:rsidRPr="009E24EB" w:rsidRDefault="004E3DB9" w:rsidP="00C315E7">
      <w:pPr>
        <w:pStyle w:val="ListParagraph"/>
        <w:rPr>
          <w:bCs/>
          <w:i/>
          <w:iCs/>
          <w:szCs w:val="24"/>
        </w:rPr>
      </w:pPr>
    </w:p>
    <w:p w14:paraId="672E7A22" w14:textId="77777777" w:rsidR="004E3DB9" w:rsidRPr="009E24EB" w:rsidRDefault="004E3DB9" w:rsidP="00081E8B">
      <w:pPr>
        <w:pStyle w:val="ListParagraph"/>
        <w:numPr>
          <w:ilvl w:val="0"/>
          <w:numId w:val="42"/>
        </w:numPr>
        <w:spacing w:before="120"/>
        <w:contextualSpacing/>
        <w:rPr>
          <w:bCs/>
          <w:i/>
          <w:iCs/>
          <w:szCs w:val="24"/>
        </w:rPr>
      </w:pPr>
      <w:r w:rsidRPr="009E24EB">
        <w:rPr>
          <w:bCs/>
          <w:i/>
          <w:iCs/>
          <w:szCs w:val="24"/>
        </w:rPr>
        <w:t xml:space="preserve">Early Resolution Pathway </w:t>
      </w:r>
      <w:r w:rsidRPr="009E24EB">
        <w:rPr>
          <w:bCs/>
          <w:iCs/>
          <w:szCs w:val="24"/>
        </w:rPr>
        <w:t xml:space="preserve">may be nominated by the PBAC, where the PBAC considers the medicine or vaccine </w:t>
      </w:r>
      <w:r w:rsidRPr="009E24EB">
        <w:rPr>
          <w:bCs/>
          <w:iCs/>
          <w:szCs w:val="24"/>
          <w:u w:val="single"/>
        </w:rPr>
        <w:t>represents</w:t>
      </w:r>
      <w:r w:rsidRPr="009E24EB">
        <w:rPr>
          <w:bCs/>
          <w:iCs/>
          <w:szCs w:val="24"/>
        </w:rPr>
        <w:t xml:space="preserve"> HATV for the proposed population; and that the remaining issues could be easily resolved. Applicants who accept this pathway must only address the issues as outlined by the Committee. To ensure early reconsideration, two lodgement deadlines apply for this pathway.</w:t>
      </w:r>
    </w:p>
    <w:p w14:paraId="7D10659B" w14:textId="77777777" w:rsidR="004E3DB9" w:rsidRPr="009E24EB" w:rsidRDefault="004E3DB9" w:rsidP="00C315E7">
      <w:pPr>
        <w:pStyle w:val="ListParagraph"/>
        <w:rPr>
          <w:bCs/>
          <w:i/>
          <w:iCs/>
          <w:szCs w:val="24"/>
        </w:rPr>
      </w:pPr>
    </w:p>
    <w:p w14:paraId="7916E3CA" w14:textId="30670F92" w:rsidR="004E3DB9" w:rsidRPr="009E24EB" w:rsidRDefault="004E3DB9" w:rsidP="00081E8B">
      <w:pPr>
        <w:pStyle w:val="ListParagraph"/>
        <w:numPr>
          <w:ilvl w:val="0"/>
          <w:numId w:val="42"/>
        </w:numPr>
        <w:spacing w:before="120"/>
        <w:contextualSpacing/>
        <w:rPr>
          <w:bCs/>
          <w:i/>
          <w:iCs/>
          <w:szCs w:val="24"/>
        </w:rPr>
      </w:pPr>
      <w:r w:rsidRPr="009E24EB">
        <w:rPr>
          <w:i/>
          <w:szCs w:val="24"/>
        </w:rPr>
        <w:t>Facilitated Resolution Pathway</w:t>
      </w:r>
      <w:r w:rsidRPr="009E24EB">
        <w:rPr>
          <w:szCs w:val="24"/>
        </w:rPr>
        <w:t xml:space="preserve"> may be nominated by the PBAC, where the PBAC considers </w:t>
      </w:r>
      <w:r w:rsidRPr="009E24EB">
        <w:rPr>
          <w:bCs/>
          <w:iCs/>
          <w:szCs w:val="24"/>
        </w:rPr>
        <w:t xml:space="preserve">the medicine or vaccine </w:t>
      </w:r>
      <w:r w:rsidRPr="009E24EB">
        <w:rPr>
          <w:bCs/>
          <w:iCs/>
          <w:szCs w:val="24"/>
          <w:u w:val="single"/>
        </w:rPr>
        <w:t>represents</w:t>
      </w:r>
      <w:r w:rsidRPr="009E24EB">
        <w:rPr>
          <w:bCs/>
          <w:iCs/>
          <w:szCs w:val="24"/>
        </w:rPr>
        <w:t xml:space="preserve"> HATV for the proposed population and where the PBAC can determine specific matters that need discussion and could be resolved through a workshop. Applicants who accept this pathway will have </w:t>
      </w:r>
      <w:r w:rsidR="00E979E4" w:rsidRPr="009E24EB">
        <w:rPr>
          <w:bCs/>
          <w:iCs/>
          <w:szCs w:val="24"/>
        </w:rPr>
        <w:t xml:space="preserve">the opportunity to attend </w:t>
      </w:r>
      <w:r w:rsidRPr="009E24EB">
        <w:rPr>
          <w:bCs/>
          <w:iCs/>
          <w:szCs w:val="24"/>
        </w:rPr>
        <w:t>a solution-focussed workshop with one or more members of the PBAC to explore feasible options to address the issues identified by the Committee. To ensure the reconsideration in a timely manner following the workshop, two lodgement deadlines apply for this pathway.</w:t>
      </w:r>
    </w:p>
    <w:p w14:paraId="7E2DBF94" w14:textId="01E634CF" w:rsidR="004E3DB9" w:rsidRPr="009E24EB" w:rsidRDefault="004E3DB9" w:rsidP="004E3DB9">
      <w:pPr>
        <w:spacing w:before="120"/>
        <w:rPr>
          <w:b/>
          <w:kern w:val="28"/>
        </w:rPr>
      </w:pPr>
      <w:r w:rsidRPr="009E24EB">
        <w:rPr>
          <w:bCs/>
          <w:iCs/>
          <w:szCs w:val="24"/>
        </w:rPr>
        <w:t xml:space="preserve">The Department will also validate resubmission pathway applications to ensure the correct </w:t>
      </w:r>
      <w:r w:rsidR="00C315E7" w:rsidRPr="009E24EB">
        <w:rPr>
          <w:bCs/>
          <w:iCs/>
          <w:szCs w:val="24"/>
        </w:rPr>
        <w:t xml:space="preserve">evaluation </w:t>
      </w:r>
      <w:r w:rsidRPr="009E24EB">
        <w:rPr>
          <w:bCs/>
          <w:iCs/>
          <w:szCs w:val="24"/>
        </w:rPr>
        <w:t xml:space="preserve">fee is charged. </w:t>
      </w:r>
    </w:p>
    <w:p w14:paraId="3C1B9311" w14:textId="77777777" w:rsidR="004E3DB9" w:rsidRPr="009E24EB" w:rsidRDefault="004E3DB9" w:rsidP="004E3DB9">
      <w:pPr>
        <w:spacing w:before="240"/>
        <w:rPr>
          <w:b/>
          <w:kern w:val="28"/>
        </w:rPr>
      </w:pPr>
      <w:r w:rsidRPr="009E24EB">
        <w:rPr>
          <w:b/>
          <w:kern w:val="28"/>
        </w:rPr>
        <w:t xml:space="preserve">Item [32] – </w:t>
      </w:r>
      <w:proofErr w:type="spellStart"/>
      <w:r w:rsidRPr="009E24EB">
        <w:rPr>
          <w:b/>
          <w:kern w:val="28"/>
        </w:rPr>
        <w:t>Subregulation</w:t>
      </w:r>
      <w:proofErr w:type="spellEnd"/>
      <w:r w:rsidRPr="009E24EB">
        <w:rPr>
          <w:b/>
          <w:kern w:val="28"/>
        </w:rPr>
        <w:t xml:space="preserve"> 2.15(1)</w:t>
      </w:r>
    </w:p>
    <w:p w14:paraId="08E5C839" w14:textId="5430FB6C" w:rsidR="004E3DB9" w:rsidRPr="009E24EB" w:rsidRDefault="004E3DB9" w:rsidP="004E3DB9">
      <w:pPr>
        <w:pStyle w:val="Item"/>
        <w:ind w:left="0"/>
        <w:rPr>
          <w:sz w:val="24"/>
          <w:szCs w:val="24"/>
        </w:rPr>
      </w:pPr>
      <w:r w:rsidRPr="009E24EB">
        <w:rPr>
          <w:sz w:val="24"/>
          <w:szCs w:val="24"/>
        </w:rPr>
        <w:t>This item amend</w:t>
      </w:r>
      <w:r w:rsidR="00DD371A" w:rsidRPr="009E24EB">
        <w:rPr>
          <w:sz w:val="24"/>
          <w:szCs w:val="24"/>
        </w:rPr>
        <w:t>ed</w:t>
      </w:r>
      <w:r w:rsidRPr="009E24EB">
        <w:rPr>
          <w:sz w:val="24"/>
          <w:szCs w:val="24"/>
        </w:rPr>
        <w:t xml:space="preserve"> the wording of th</w:t>
      </w:r>
      <w:r w:rsidR="002A67CF" w:rsidRPr="009E24EB">
        <w:rPr>
          <w:sz w:val="24"/>
          <w:szCs w:val="24"/>
        </w:rPr>
        <w:t xml:space="preserve">is </w:t>
      </w:r>
      <w:proofErr w:type="spellStart"/>
      <w:r w:rsidR="002A67CF" w:rsidRPr="009E24EB">
        <w:rPr>
          <w:sz w:val="24"/>
          <w:szCs w:val="24"/>
        </w:rPr>
        <w:t>subregulation</w:t>
      </w:r>
      <w:proofErr w:type="spellEnd"/>
      <w:r w:rsidR="002A67CF" w:rsidRPr="009E24EB">
        <w:rPr>
          <w:sz w:val="24"/>
          <w:szCs w:val="24"/>
        </w:rPr>
        <w:t xml:space="preserve"> within th</w:t>
      </w:r>
      <w:r w:rsidRPr="009E24EB">
        <w:rPr>
          <w:sz w:val="24"/>
          <w:szCs w:val="24"/>
        </w:rPr>
        <w:t xml:space="preserve">e Principal Regulations </w:t>
      </w:r>
      <w:r w:rsidR="002A67CF" w:rsidRPr="009E24EB">
        <w:rPr>
          <w:sz w:val="24"/>
          <w:szCs w:val="24"/>
        </w:rPr>
        <w:t xml:space="preserve">to require lodgement of </w:t>
      </w:r>
      <w:r w:rsidRPr="009E24EB">
        <w:rPr>
          <w:sz w:val="24"/>
          <w:szCs w:val="24"/>
        </w:rPr>
        <w:t xml:space="preserve">prior notice for all applications to the PBAC. </w:t>
      </w:r>
      <w:r w:rsidR="002A67CF" w:rsidRPr="009E24EB">
        <w:rPr>
          <w:sz w:val="24"/>
          <w:szCs w:val="24"/>
        </w:rPr>
        <w:t>P</w:t>
      </w:r>
      <w:r w:rsidRPr="009E24EB">
        <w:rPr>
          <w:sz w:val="24"/>
          <w:szCs w:val="24"/>
        </w:rPr>
        <w:t xml:space="preserve">rior notice </w:t>
      </w:r>
      <w:r w:rsidR="002A67CF" w:rsidRPr="009E24EB">
        <w:rPr>
          <w:sz w:val="24"/>
          <w:szCs w:val="24"/>
        </w:rPr>
        <w:t xml:space="preserve">is not </w:t>
      </w:r>
      <w:r w:rsidR="00D421C9" w:rsidRPr="009E24EB">
        <w:rPr>
          <w:sz w:val="24"/>
          <w:szCs w:val="24"/>
        </w:rPr>
        <w:t>require</w:t>
      </w:r>
      <w:r w:rsidR="002A67CF" w:rsidRPr="009E24EB">
        <w:rPr>
          <w:sz w:val="24"/>
          <w:szCs w:val="24"/>
        </w:rPr>
        <w:t xml:space="preserve">d </w:t>
      </w:r>
      <w:r w:rsidRPr="009E24EB">
        <w:rPr>
          <w:sz w:val="24"/>
          <w:szCs w:val="24"/>
        </w:rPr>
        <w:t>for new brand applications</w:t>
      </w:r>
      <w:r w:rsidR="00D421C9" w:rsidRPr="009E24EB">
        <w:rPr>
          <w:sz w:val="24"/>
          <w:szCs w:val="24"/>
        </w:rPr>
        <w:t>; or where an urgent public health exception applies</w:t>
      </w:r>
      <w:r w:rsidRPr="009E24EB">
        <w:rPr>
          <w:sz w:val="24"/>
          <w:szCs w:val="24"/>
        </w:rPr>
        <w:t xml:space="preserve">. </w:t>
      </w:r>
    </w:p>
    <w:p w14:paraId="723EEC66" w14:textId="77777777" w:rsidR="004E3DB9" w:rsidRPr="009E24EB" w:rsidRDefault="004E3DB9" w:rsidP="004E3DB9">
      <w:pPr>
        <w:pStyle w:val="ItemHead"/>
        <w:rPr>
          <w:rFonts w:ascii="Times New Roman" w:hAnsi="Times New Roman"/>
        </w:rPr>
      </w:pPr>
      <w:r w:rsidRPr="009E24EB">
        <w:rPr>
          <w:rFonts w:ascii="Times New Roman" w:hAnsi="Times New Roman"/>
        </w:rPr>
        <w:t>Item [33]</w:t>
      </w:r>
      <w:r w:rsidRPr="009E24EB">
        <w:t xml:space="preserve"> </w:t>
      </w:r>
      <w:r w:rsidRPr="009E24EB">
        <w:rPr>
          <w:rFonts w:ascii="Times New Roman" w:hAnsi="Times New Roman"/>
        </w:rPr>
        <w:t>– Paragraph 2.15(1</w:t>
      </w:r>
      <w:proofErr w:type="gramStart"/>
      <w:r w:rsidRPr="009E24EB">
        <w:rPr>
          <w:rFonts w:ascii="Times New Roman" w:hAnsi="Times New Roman"/>
        </w:rPr>
        <w:t>)(</w:t>
      </w:r>
      <w:proofErr w:type="gramEnd"/>
      <w:r w:rsidRPr="009E24EB">
        <w:rPr>
          <w:rFonts w:ascii="Times New Roman" w:hAnsi="Times New Roman"/>
        </w:rPr>
        <w:t>b)</w:t>
      </w:r>
    </w:p>
    <w:p w14:paraId="73000002" w14:textId="1D26711B" w:rsidR="004E3DB9" w:rsidRPr="009E24EB" w:rsidRDefault="004E3DB9" w:rsidP="004E3DB9">
      <w:pPr>
        <w:pStyle w:val="Item"/>
        <w:ind w:left="0"/>
        <w:rPr>
          <w:sz w:val="24"/>
          <w:szCs w:val="24"/>
        </w:rPr>
      </w:pPr>
      <w:r w:rsidRPr="009E24EB">
        <w:rPr>
          <w:sz w:val="24"/>
          <w:szCs w:val="24"/>
        </w:rPr>
        <w:t>This item replace</w:t>
      </w:r>
      <w:r w:rsidR="00D421C9" w:rsidRPr="009E24EB">
        <w:rPr>
          <w:sz w:val="24"/>
          <w:szCs w:val="24"/>
        </w:rPr>
        <w:t>d</w:t>
      </w:r>
      <w:r w:rsidRPr="009E24EB">
        <w:rPr>
          <w:sz w:val="24"/>
          <w:szCs w:val="24"/>
        </w:rPr>
        <w:t xml:space="preserve"> paragraph (b) </w:t>
      </w:r>
      <w:r w:rsidR="002A67CF" w:rsidRPr="009E24EB">
        <w:rPr>
          <w:sz w:val="24"/>
          <w:szCs w:val="24"/>
        </w:rPr>
        <w:t xml:space="preserve">within </w:t>
      </w:r>
      <w:r w:rsidRPr="009E24EB">
        <w:rPr>
          <w:sz w:val="24"/>
          <w:szCs w:val="24"/>
        </w:rPr>
        <w:t xml:space="preserve">the Principal Regulations to specify the timeframes in which a person must give the Department the required period of notice prior to lodgement. Prior notice lodgement timeframes vary depending on which evaluation category applies.   </w:t>
      </w:r>
    </w:p>
    <w:p w14:paraId="620D4FC6" w14:textId="63491D89" w:rsidR="004E3DB9" w:rsidRPr="009E24EB" w:rsidRDefault="004E3DB9" w:rsidP="004E3DB9">
      <w:pPr>
        <w:pStyle w:val="ItemHead"/>
        <w:spacing w:before="120"/>
        <w:ind w:left="0" w:firstLine="0"/>
        <w:rPr>
          <w:rFonts w:ascii="Times New Roman" w:hAnsi="Times New Roman"/>
          <w:b w:val="0"/>
        </w:rPr>
      </w:pPr>
      <w:r w:rsidRPr="009E24EB">
        <w:rPr>
          <w:rFonts w:ascii="Times New Roman" w:hAnsi="Times New Roman"/>
          <w:b w:val="0"/>
        </w:rPr>
        <w:lastRenderedPageBreak/>
        <w:t xml:space="preserve">For evaluation categories 1 to 4 and Committee secretariat, prior notice </w:t>
      </w:r>
      <w:r w:rsidR="00460F6D" w:rsidRPr="009E24EB">
        <w:rPr>
          <w:rFonts w:ascii="Times New Roman" w:hAnsi="Times New Roman"/>
          <w:b w:val="0"/>
        </w:rPr>
        <w:t>is</w:t>
      </w:r>
      <w:r w:rsidRPr="009E24EB">
        <w:rPr>
          <w:rFonts w:ascii="Times New Roman" w:hAnsi="Times New Roman"/>
          <w:b w:val="0"/>
        </w:rPr>
        <w:t xml:space="preserve"> required at least 20 business days prior to lodgement. This maintains the process currently provided for in the Principal Regulations. </w:t>
      </w:r>
    </w:p>
    <w:p w14:paraId="33BA534B" w14:textId="7A707124" w:rsidR="004E3DB9" w:rsidRPr="009E24EB" w:rsidRDefault="004E3DB9" w:rsidP="004E3DB9">
      <w:pPr>
        <w:pStyle w:val="ItemHead"/>
        <w:spacing w:before="120"/>
        <w:ind w:left="0" w:firstLine="0"/>
        <w:rPr>
          <w:rFonts w:ascii="Times New Roman" w:hAnsi="Times New Roman"/>
          <w:b w:val="0"/>
        </w:rPr>
      </w:pPr>
      <w:r w:rsidRPr="009E24EB">
        <w:rPr>
          <w:rFonts w:ascii="Times New Roman" w:hAnsi="Times New Roman"/>
          <w:b w:val="0"/>
        </w:rPr>
        <w:t>For evaluation categories Early Re-entry Path</w:t>
      </w:r>
      <w:r w:rsidR="00D421C9" w:rsidRPr="009E24EB">
        <w:rPr>
          <w:rFonts w:ascii="Times New Roman" w:hAnsi="Times New Roman"/>
          <w:b w:val="0"/>
        </w:rPr>
        <w:t>way and Early Resolution Pathway</w:t>
      </w:r>
      <w:r w:rsidRPr="009E24EB">
        <w:rPr>
          <w:rFonts w:ascii="Times New Roman" w:hAnsi="Times New Roman"/>
          <w:b w:val="0"/>
        </w:rPr>
        <w:t xml:space="preserve">, prior notice </w:t>
      </w:r>
      <w:r w:rsidR="00460F6D" w:rsidRPr="009E24EB">
        <w:rPr>
          <w:rFonts w:ascii="Times New Roman" w:hAnsi="Times New Roman"/>
          <w:b w:val="0"/>
        </w:rPr>
        <w:t>is</w:t>
      </w:r>
      <w:r w:rsidRPr="009E24EB">
        <w:rPr>
          <w:rFonts w:ascii="Times New Roman" w:hAnsi="Times New Roman"/>
          <w:b w:val="0"/>
        </w:rPr>
        <w:t xml:space="preserve"> required at least 5 business days before lodgement. For the Facilitated Resolution Pathway evaluation category, prior notice </w:t>
      </w:r>
      <w:r w:rsidR="00460F6D" w:rsidRPr="009E24EB">
        <w:rPr>
          <w:rFonts w:ascii="Times New Roman" w:hAnsi="Times New Roman"/>
          <w:b w:val="0"/>
        </w:rPr>
        <w:t xml:space="preserve">is </w:t>
      </w:r>
      <w:r w:rsidRPr="009E24EB">
        <w:rPr>
          <w:rFonts w:ascii="Times New Roman" w:hAnsi="Times New Roman"/>
          <w:b w:val="0"/>
        </w:rPr>
        <w:t xml:space="preserve">required at least 10 business days before </w:t>
      </w:r>
      <w:r w:rsidR="00D421C9" w:rsidRPr="009E24EB">
        <w:rPr>
          <w:rFonts w:ascii="Times New Roman" w:hAnsi="Times New Roman"/>
          <w:b w:val="0"/>
        </w:rPr>
        <w:t>the workshop is held.</w:t>
      </w:r>
    </w:p>
    <w:p w14:paraId="0E1A4176" w14:textId="77777777" w:rsidR="004E3DB9" w:rsidRPr="009E24EB" w:rsidRDefault="004E3DB9" w:rsidP="004E3DB9">
      <w:pPr>
        <w:pStyle w:val="ItemHead"/>
        <w:rPr>
          <w:rFonts w:ascii="Times New Roman" w:hAnsi="Times New Roman"/>
        </w:rPr>
      </w:pPr>
      <w:r w:rsidRPr="009E24EB">
        <w:rPr>
          <w:rFonts w:ascii="Times New Roman" w:hAnsi="Times New Roman"/>
        </w:rPr>
        <w:t>Item [34]</w:t>
      </w:r>
      <w:r w:rsidRPr="009E24EB">
        <w:t xml:space="preserve"> </w:t>
      </w:r>
      <w:r w:rsidRPr="009E24EB">
        <w:rPr>
          <w:rFonts w:ascii="Times New Roman" w:hAnsi="Times New Roman"/>
        </w:rPr>
        <w:t>– Subparagraph 2.16(1</w:t>
      </w:r>
      <w:proofErr w:type="gramStart"/>
      <w:r w:rsidRPr="009E24EB">
        <w:rPr>
          <w:rFonts w:ascii="Times New Roman" w:hAnsi="Times New Roman"/>
        </w:rPr>
        <w:t>)(</w:t>
      </w:r>
      <w:proofErr w:type="gramEnd"/>
      <w:r w:rsidRPr="009E24EB">
        <w:rPr>
          <w:rFonts w:ascii="Times New Roman" w:hAnsi="Times New Roman"/>
        </w:rPr>
        <w:t>c)(</w:t>
      </w:r>
      <w:proofErr w:type="spellStart"/>
      <w:r w:rsidRPr="009E24EB">
        <w:rPr>
          <w:rFonts w:ascii="Times New Roman" w:hAnsi="Times New Roman"/>
        </w:rPr>
        <w:t>i</w:t>
      </w:r>
      <w:proofErr w:type="spellEnd"/>
      <w:r w:rsidRPr="009E24EB">
        <w:rPr>
          <w:rFonts w:ascii="Times New Roman" w:hAnsi="Times New Roman"/>
        </w:rPr>
        <w:t>)</w:t>
      </w:r>
    </w:p>
    <w:p w14:paraId="204DFDD9" w14:textId="7D572E69" w:rsidR="004E3DB9" w:rsidRPr="009E24EB" w:rsidRDefault="004E3DB9" w:rsidP="004E3DB9">
      <w:pPr>
        <w:pStyle w:val="Item"/>
        <w:ind w:left="0"/>
        <w:rPr>
          <w:sz w:val="24"/>
          <w:szCs w:val="24"/>
        </w:rPr>
      </w:pPr>
      <w:r w:rsidRPr="009E24EB">
        <w:rPr>
          <w:sz w:val="24"/>
          <w:szCs w:val="24"/>
        </w:rPr>
        <w:t>This item amend</w:t>
      </w:r>
      <w:r w:rsidR="00460F6D" w:rsidRPr="009E24EB">
        <w:rPr>
          <w:sz w:val="24"/>
          <w:szCs w:val="24"/>
        </w:rPr>
        <w:t>ed</w:t>
      </w:r>
      <w:r w:rsidRPr="009E24EB">
        <w:rPr>
          <w:sz w:val="24"/>
          <w:szCs w:val="24"/>
        </w:rPr>
        <w:t xml:space="preserve"> the references in subparagraph (</w:t>
      </w:r>
      <w:proofErr w:type="spellStart"/>
      <w:r w:rsidRPr="009E24EB">
        <w:rPr>
          <w:sz w:val="24"/>
          <w:szCs w:val="24"/>
        </w:rPr>
        <w:t>i</w:t>
      </w:r>
      <w:proofErr w:type="spellEnd"/>
      <w:r w:rsidRPr="009E24EB">
        <w:rPr>
          <w:sz w:val="24"/>
          <w:szCs w:val="24"/>
        </w:rPr>
        <w:t>) of the Principal Regulations</w:t>
      </w:r>
      <w:r w:rsidR="000E110E" w:rsidRPr="009E24EB">
        <w:rPr>
          <w:sz w:val="24"/>
          <w:szCs w:val="24"/>
        </w:rPr>
        <w:t>.</w:t>
      </w:r>
    </w:p>
    <w:p w14:paraId="6B10273A" w14:textId="77777777" w:rsidR="004E3DB9" w:rsidRPr="009E24EB" w:rsidRDefault="004E3DB9" w:rsidP="004E3DB9">
      <w:pPr>
        <w:pStyle w:val="ItemHead"/>
        <w:rPr>
          <w:rFonts w:ascii="Times New Roman" w:hAnsi="Times New Roman"/>
        </w:rPr>
      </w:pPr>
      <w:r w:rsidRPr="009E24EB">
        <w:rPr>
          <w:rFonts w:ascii="Times New Roman" w:hAnsi="Times New Roman"/>
        </w:rPr>
        <w:t>Item [35]</w:t>
      </w:r>
      <w:r w:rsidRPr="009E24EB">
        <w:t xml:space="preserve"> </w:t>
      </w:r>
      <w:r w:rsidRPr="009E24EB">
        <w:rPr>
          <w:rFonts w:ascii="Times New Roman" w:hAnsi="Times New Roman"/>
        </w:rPr>
        <w:t xml:space="preserve">– </w:t>
      </w:r>
      <w:proofErr w:type="spellStart"/>
      <w:r w:rsidRPr="009E24EB">
        <w:rPr>
          <w:rFonts w:ascii="Times New Roman" w:hAnsi="Times New Roman"/>
        </w:rPr>
        <w:t>Subregulation</w:t>
      </w:r>
      <w:proofErr w:type="spellEnd"/>
      <w:r w:rsidRPr="009E24EB">
        <w:rPr>
          <w:rFonts w:ascii="Times New Roman" w:hAnsi="Times New Roman"/>
        </w:rPr>
        <w:t xml:space="preserve"> 2.16(3)</w:t>
      </w:r>
    </w:p>
    <w:p w14:paraId="65BDBB27" w14:textId="1AE3ACB1" w:rsidR="004E3DB9" w:rsidRPr="009E24EB" w:rsidRDefault="004E3DB9" w:rsidP="004E3DB9">
      <w:pPr>
        <w:pStyle w:val="Item"/>
        <w:ind w:left="0"/>
        <w:rPr>
          <w:sz w:val="24"/>
          <w:szCs w:val="24"/>
        </w:rPr>
      </w:pPr>
      <w:r w:rsidRPr="009E24EB">
        <w:rPr>
          <w:sz w:val="24"/>
          <w:szCs w:val="24"/>
        </w:rPr>
        <w:t>This item remove</w:t>
      </w:r>
      <w:r w:rsidR="00460F6D" w:rsidRPr="009E24EB">
        <w:rPr>
          <w:sz w:val="24"/>
          <w:szCs w:val="24"/>
        </w:rPr>
        <w:t>d</w:t>
      </w:r>
      <w:r w:rsidRPr="009E24EB">
        <w:rPr>
          <w:sz w:val="24"/>
          <w:szCs w:val="24"/>
        </w:rPr>
        <w:t xml:space="preserve"> the words ‘meeting that is’ from the Principal Regulations to allow for out-of-ses</w:t>
      </w:r>
      <w:r w:rsidR="00460F6D" w:rsidRPr="009E24EB">
        <w:rPr>
          <w:sz w:val="24"/>
          <w:szCs w:val="24"/>
        </w:rPr>
        <w:t xml:space="preserve">sion consideration by the PBAC for Early Resolution Pathway </w:t>
      </w:r>
      <w:r w:rsidR="000E110E" w:rsidRPr="009E24EB">
        <w:rPr>
          <w:sz w:val="24"/>
          <w:szCs w:val="24"/>
        </w:rPr>
        <w:t>applications</w:t>
      </w:r>
      <w:r w:rsidR="00460F6D" w:rsidRPr="009E24EB">
        <w:rPr>
          <w:sz w:val="24"/>
          <w:szCs w:val="24"/>
        </w:rPr>
        <w:t>.</w:t>
      </w:r>
    </w:p>
    <w:p w14:paraId="3AC1B457" w14:textId="77777777" w:rsidR="004E3DB9" w:rsidRPr="009E24EB" w:rsidRDefault="004E3DB9" w:rsidP="004E3DB9">
      <w:pPr>
        <w:pStyle w:val="ItemHead"/>
        <w:rPr>
          <w:rFonts w:ascii="Times New Roman" w:hAnsi="Times New Roman"/>
        </w:rPr>
      </w:pPr>
      <w:r w:rsidRPr="009E24EB">
        <w:rPr>
          <w:rFonts w:ascii="Times New Roman" w:hAnsi="Times New Roman"/>
        </w:rPr>
        <w:t>Item [36]</w:t>
      </w:r>
      <w:r w:rsidRPr="009E24EB">
        <w:t xml:space="preserve"> </w:t>
      </w:r>
      <w:r w:rsidRPr="009E24EB">
        <w:rPr>
          <w:rFonts w:ascii="Times New Roman" w:hAnsi="Times New Roman"/>
        </w:rPr>
        <w:t xml:space="preserve">– </w:t>
      </w:r>
      <w:proofErr w:type="spellStart"/>
      <w:r w:rsidRPr="009E24EB">
        <w:rPr>
          <w:rFonts w:ascii="Times New Roman" w:hAnsi="Times New Roman"/>
        </w:rPr>
        <w:t>Subregulation</w:t>
      </w:r>
      <w:proofErr w:type="spellEnd"/>
      <w:r w:rsidRPr="009E24EB">
        <w:rPr>
          <w:rFonts w:ascii="Times New Roman" w:hAnsi="Times New Roman"/>
        </w:rPr>
        <w:t xml:space="preserve"> 2.16(3) (note)</w:t>
      </w:r>
    </w:p>
    <w:p w14:paraId="34303A09" w14:textId="42D0D0D2" w:rsidR="004E3DB9" w:rsidRPr="009E24EB" w:rsidRDefault="004E3DB9" w:rsidP="004E3DB9">
      <w:pPr>
        <w:pStyle w:val="Item"/>
        <w:ind w:left="0"/>
        <w:rPr>
          <w:sz w:val="24"/>
          <w:szCs w:val="24"/>
        </w:rPr>
      </w:pPr>
      <w:r w:rsidRPr="009E24EB">
        <w:rPr>
          <w:sz w:val="24"/>
          <w:szCs w:val="24"/>
        </w:rPr>
        <w:t xml:space="preserve">This item </w:t>
      </w:r>
      <w:r w:rsidR="00460F6D" w:rsidRPr="009E24EB">
        <w:rPr>
          <w:sz w:val="24"/>
          <w:szCs w:val="24"/>
        </w:rPr>
        <w:t>removed</w:t>
      </w:r>
      <w:r w:rsidR="002A67CF" w:rsidRPr="009E24EB">
        <w:rPr>
          <w:sz w:val="24"/>
          <w:szCs w:val="24"/>
        </w:rPr>
        <w:t xml:space="preserve"> this</w:t>
      </w:r>
      <w:r w:rsidRPr="009E24EB">
        <w:rPr>
          <w:sz w:val="24"/>
          <w:szCs w:val="24"/>
        </w:rPr>
        <w:t xml:space="preserve"> note from the Principal Regulations as it </w:t>
      </w:r>
      <w:r w:rsidR="000E110E" w:rsidRPr="009E24EB">
        <w:rPr>
          <w:sz w:val="24"/>
          <w:szCs w:val="24"/>
        </w:rPr>
        <w:t>is</w:t>
      </w:r>
      <w:r w:rsidRPr="009E24EB">
        <w:rPr>
          <w:sz w:val="24"/>
          <w:szCs w:val="24"/>
        </w:rPr>
        <w:t xml:space="preserve"> no longer necessary</w:t>
      </w:r>
      <w:r w:rsidR="000E110E" w:rsidRPr="009E24EB">
        <w:rPr>
          <w:sz w:val="24"/>
          <w:szCs w:val="24"/>
        </w:rPr>
        <w:t>.</w:t>
      </w:r>
    </w:p>
    <w:p w14:paraId="392F293C" w14:textId="77777777" w:rsidR="004E3DB9" w:rsidRPr="009E24EB" w:rsidRDefault="004E3DB9" w:rsidP="004E3DB9">
      <w:pPr>
        <w:pStyle w:val="ItemHead"/>
        <w:rPr>
          <w:rFonts w:ascii="Times New Roman" w:hAnsi="Times New Roman"/>
        </w:rPr>
      </w:pPr>
      <w:r w:rsidRPr="009E24EB">
        <w:rPr>
          <w:rFonts w:ascii="Times New Roman" w:hAnsi="Times New Roman"/>
        </w:rPr>
        <w:t>Item [37]</w:t>
      </w:r>
      <w:r w:rsidRPr="009E24EB">
        <w:t xml:space="preserve"> </w:t>
      </w:r>
      <w:r w:rsidRPr="009E24EB">
        <w:rPr>
          <w:rFonts w:ascii="Times New Roman" w:hAnsi="Times New Roman"/>
        </w:rPr>
        <w:t xml:space="preserve">– </w:t>
      </w:r>
      <w:proofErr w:type="spellStart"/>
      <w:r w:rsidRPr="009E24EB">
        <w:rPr>
          <w:rFonts w:ascii="Times New Roman" w:hAnsi="Times New Roman"/>
        </w:rPr>
        <w:t>Subregulation</w:t>
      </w:r>
      <w:proofErr w:type="spellEnd"/>
      <w:r w:rsidRPr="009E24EB">
        <w:rPr>
          <w:rFonts w:ascii="Times New Roman" w:hAnsi="Times New Roman"/>
        </w:rPr>
        <w:t xml:space="preserve"> 2.16(4)</w:t>
      </w:r>
    </w:p>
    <w:p w14:paraId="614DC4F4" w14:textId="6031B552" w:rsidR="004E3DB9" w:rsidRPr="009E24EB" w:rsidRDefault="004E3DB9" w:rsidP="004E3DB9">
      <w:pPr>
        <w:pStyle w:val="Item"/>
        <w:ind w:left="0"/>
        <w:rPr>
          <w:sz w:val="24"/>
          <w:szCs w:val="24"/>
        </w:rPr>
      </w:pPr>
      <w:r w:rsidRPr="009E24EB">
        <w:rPr>
          <w:sz w:val="24"/>
          <w:szCs w:val="24"/>
        </w:rPr>
        <w:t>This item replace</w:t>
      </w:r>
      <w:r w:rsidR="000E110E" w:rsidRPr="009E24EB">
        <w:rPr>
          <w:sz w:val="24"/>
          <w:szCs w:val="24"/>
        </w:rPr>
        <w:t>d</w:t>
      </w:r>
      <w:r w:rsidRPr="009E24EB">
        <w:rPr>
          <w:sz w:val="24"/>
          <w:szCs w:val="24"/>
        </w:rPr>
        <w:t xml:space="preserve"> the word ‘meeting’ with ‘consideration of applications’ in the Principal Regulations to allow for out-of-session consideration by the PBAC</w:t>
      </w:r>
      <w:r w:rsidR="000E110E" w:rsidRPr="009E24EB">
        <w:rPr>
          <w:sz w:val="24"/>
          <w:szCs w:val="24"/>
        </w:rPr>
        <w:t xml:space="preserve"> for Early Resolution Pathway applications.</w:t>
      </w:r>
      <w:r w:rsidRPr="009E24EB">
        <w:rPr>
          <w:sz w:val="24"/>
          <w:szCs w:val="24"/>
        </w:rPr>
        <w:t xml:space="preserve"> </w:t>
      </w:r>
    </w:p>
    <w:p w14:paraId="7F899C87" w14:textId="77777777" w:rsidR="004E3DB9" w:rsidRPr="009E24EB" w:rsidRDefault="004E3DB9" w:rsidP="004E3DB9">
      <w:pPr>
        <w:pStyle w:val="ItemHead"/>
        <w:rPr>
          <w:rFonts w:ascii="Times New Roman" w:hAnsi="Times New Roman"/>
        </w:rPr>
      </w:pPr>
      <w:r w:rsidRPr="009E24EB">
        <w:rPr>
          <w:rFonts w:ascii="Times New Roman" w:hAnsi="Times New Roman"/>
        </w:rPr>
        <w:t>Item [38]</w:t>
      </w:r>
      <w:r w:rsidRPr="009E24EB">
        <w:t xml:space="preserve"> </w:t>
      </w:r>
      <w:r w:rsidRPr="009E24EB">
        <w:rPr>
          <w:rFonts w:ascii="Times New Roman" w:hAnsi="Times New Roman"/>
        </w:rPr>
        <w:t>– After regulation 2.16</w:t>
      </w:r>
    </w:p>
    <w:p w14:paraId="5D46E9B7" w14:textId="4AA0E707" w:rsidR="004E3DB9" w:rsidRPr="009E24EB" w:rsidRDefault="004E3DB9" w:rsidP="004E3DB9">
      <w:pPr>
        <w:pStyle w:val="Item"/>
        <w:ind w:left="0"/>
        <w:rPr>
          <w:sz w:val="24"/>
          <w:szCs w:val="24"/>
        </w:rPr>
      </w:pPr>
      <w:r w:rsidRPr="009E24EB">
        <w:rPr>
          <w:sz w:val="24"/>
          <w:szCs w:val="24"/>
        </w:rPr>
        <w:t>This item insert</w:t>
      </w:r>
      <w:r w:rsidR="000E110E" w:rsidRPr="009E24EB">
        <w:rPr>
          <w:sz w:val="24"/>
          <w:szCs w:val="24"/>
        </w:rPr>
        <w:t>ed</w:t>
      </w:r>
      <w:r w:rsidRPr="009E24EB">
        <w:rPr>
          <w:sz w:val="24"/>
          <w:szCs w:val="24"/>
        </w:rPr>
        <w:t xml:space="preserve"> a new provision into the Principal Regulations to require an economic evaluation for Category 1 and 2 applications. </w:t>
      </w:r>
    </w:p>
    <w:p w14:paraId="0481094B" w14:textId="77777777" w:rsidR="004E3DB9" w:rsidRPr="009E24EB" w:rsidRDefault="004E3DB9" w:rsidP="004E3DB9">
      <w:pPr>
        <w:pStyle w:val="ItemHead"/>
        <w:rPr>
          <w:rFonts w:ascii="Times New Roman" w:hAnsi="Times New Roman"/>
        </w:rPr>
      </w:pPr>
      <w:r w:rsidRPr="009E24EB">
        <w:rPr>
          <w:rFonts w:ascii="Times New Roman" w:hAnsi="Times New Roman"/>
        </w:rPr>
        <w:t>Item [39]</w:t>
      </w:r>
      <w:r w:rsidRPr="009E24EB">
        <w:t xml:space="preserve"> </w:t>
      </w:r>
      <w:r w:rsidRPr="009E24EB">
        <w:rPr>
          <w:rFonts w:ascii="Times New Roman" w:hAnsi="Times New Roman"/>
        </w:rPr>
        <w:t xml:space="preserve">– </w:t>
      </w:r>
      <w:proofErr w:type="spellStart"/>
      <w:r w:rsidRPr="009E24EB">
        <w:rPr>
          <w:rFonts w:ascii="Times New Roman" w:hAnsi="Times New Roman"/>
        </w:rPr>
        <w:t>Subregulation</w:t>
      </w:r>
      <w:proofErr w:type="spellEnd"/>
      <w:r w:rsidRPr="009E24EB">
        <w:rPr>
          <w:rFonts w:ascii="Times New Roman" w:hAnsi="Times New Roman"/>
        </w:rPr>
        <w:t xml:space="preserve"> 2.17(1)</w:t>
      </w:r>
    </w:p>
    <w:p w14:paraId="642B3C14" w14:textId="77777777" w:rsidR="00D12B6E" w:rsidRPr="009E24EB" w:rsidRDefault="00D12B6E" w:rsidP="00D12B6E">
      <w:pPr>
        <w:pStyle w:val="Item"/>
        <w:ind w:left="0"/>
        <w:rPr>
          <w:sz w:val="24"/>
          <w:szCs w:val="24"/>
        </w:rPr>
      </w:pPr>
      <w:r w:rsidRPr="009E24EB">
        <w:rPr>
          <w:sz w:val="24"/>
          <w:szCs w:val="24"/>
        </w:rPr>
        <w:t xml:space="preserve">This item removed the reference to ‘the Department’ from the Principal Regulations to align with section 99YBA of the Act which specifies that fees are payable to the Commonwealth. </w:t>
      </w:r>
    </w:p>
    <w:p w14:paraId="06FC4E87" w14:textId="77777777" w:rsidR="004E3DB9" w:rsidRPr="009E24EB" w:rsidRDefault="004E3DB9" w:rsidP="004E3DB9">
      <w:pPr>
        <w:pStyle w:val="Item"/>
        <w:spacing w:before="240"/>
        <w:ind w:left="0"/>
        <w:rPr>
          <w:b/>
          <w:kern w:val="28"/>
          <w:sz w:val="24"/>
        </w:rPr>
      </w:pPr>
      <w:r w:rsidRPr="009E24EB">
        <w:rPr>
          <w:b/>
          <w:kern w:val="28"/>
          <w:sz w:val="24"/>
        </w:rPr>
        <w:t xml:space="preserve">Item [40] – </w:t>
      </w:r>
      <w:proofErr w:type="spellStart"/>
      <w:r w:rsidRPr="009E24EB">
        <w:rPr>
          <w:b/>
          <w:kern w:val="28"/>
          <w:sz w:val="24"/>
        </w:rPr>
        <w:t>Subregulation</w:t>
      </w:r>
      <w:proofErr w:type="spellEnd"/>
      <w:r w:rsidRPr="009E24EB">
        <w:rPr>
          <w:b/>
          <w:kern w:val="28"/>
          <w:sz w:val="24"/>
        </w:rPr>
        <w:t xml:space="preserve"> 2.17(1) (note 2)</w:t>
      </w:r>
    </w:p>
    <w:p w14:paraId="185D3550" w14:textId="6B56482E" w:rsidR="004E3DB9" w:rsidRPr="009E24EB" w:rsidRDefault="004E3DB9" w:rsidP="004E3DB9">
      <w:pPr>
        <w:pStyle w:val="Item"/>
        <w:ind w:left="0"/>
        <w:rPr>
          <w:sz w:val="24"/>
          <w:szCs w:val="24"/>
        </w:rPr>
      </w:pPr>
      <w:r w:rsidRPr="009E24EB">
        <w:rPr>
          <w:sz w:val="24"/>
          <w:szCs w:val="24"/>
        </w:rPr>
        <w:t xml:space="preserve">This item </w:t>
      </w:r>
      <w:r w:rsidR="00AE1F6A" w:rsidRPr="009E24EB">
        <w:rPr>
          <w:sz w:val="24"/>
          <w:szCs w:val="24"/>
        </w:rPr>
        <w:t>re</w:t>
      </w:r>
      <w:r w:rsidR="003A4BD8" w:rsidRPr="009E24EB">
        <w:rPr>
          <w:sz w:val="24"/>
          <w:szCs w:val="24"/>
        </w:rPr>
        <w:t xml:space="preserve">moved this note </w:t>
      </w:r>
      <w:r w:rsidR="00AE1F6A" w:rsidRPr="009E24EB">
        <w:rPr>
          <w:sz w:val="24"/>
          <w:szCs w:val="24"/>
        </w:rPr>
        <w:t>from</w:t>
      </w:r>
      <w:r w:rsidR="003A4BD8" w:rsidRPr="009E24EB">
        <w:rPr>
          <w:sz w:val="24"/>
          <w:szCs w:val="24"/>
        </w:rPr>
        <w:t xml:space="preserve"> the Principal Regulations – refer item 41. </w:t>
      </w:r>
    </w:p>
    <w:p w14:paraId="4AD2EE3E" w14:textId="77777777" w:rsidR="004E3DB9" w:rsidRPr="009E24EB" w:rsidRDefault="004E3DB9" w:rsidP="004E3DB9">
      <w:pPr>
        <w:pStyle w:val="ItemHead"/>
        <w:rPr>
          <w:rFonts w:ascii="Times New Roman" w:hAnsi="Times New Roman"/>
        </w:rPr>
      </w:pPr>
      <w:r w:rsidRPr="009E24EB">
        <w:rPr>
          <w:rFonts w:ascii="Times New Roman" w:hAnsi="Times New Roman"/>
        </w:rPr>
        <w:t>Item [41]</w:t>
      </w:r>
      <w:r w:rsidRPr="009E24EB">
        <w:t xml:space="preserve"> </w:t>
      </w:r>
      <w:r w:rsidRPr="009E24EB">
        <w:rPr>
          <w:rFonts w:ascii="Times New Roman" w:hAnsi="Times New Roman"/>
        </w:rPr>
        <w:t xml:space="preserve">– </w:t>
      </w:r>
      <w:proofErr w:type="spellStart"/>
      <w:r w:rsidRPr="009E24EB">
        <w:rPr>
          <w:rFonts w:ascii="Times New Roman" w:hAnsi="Times New Roman"/>
        </w:rPr>
        <w:t>Subregulations</w:t>
      </w:r>
      <w:proofErr w:type="spellEnd"/>
      <w:r w:rsidRPr="009E24EB">
        <w:rPr>
          <w:rFonts w:ascii="Times New Roman" w:hAnsi="Times New Roman"/>
        </w:rPr>
        <w:t xml:space="preserve"> 2.17(2) and (3)</w:t>
      </w:r>
    </w:p>
    <w:p w14:paraId="190A927F" w14:textId="78AE9A4D"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w:t>
      </w:r>
      <w:r w:rsidR="000E110E" w:rsidRPr="009E24EB">
        <w:rPr>
          <w:rFonts w:ascii="Times New Roman" w:hAnsi="Times New Roman"/>
          <w:b w:val="0"/>
          <w:kern w:val="0"/>
          <w:szCs w:val="24"/>
        </w:rPr>
        <w:t xml:space="preserve">replaced these </w:t>
      </w:r>
      <w:proofErr w:type="spellStart"/>
      <w:r w:rsidRPr="009E24EB">
        <w:rPr>
          <w:rFonts w:ascii="Times New Roman" w:hAnsi="Times New Roman"/>
          <w:b w:val="0"/>
          <w:kern w:val="0"/>
          <w:szCs w:val="24"/>
        </w:rPr>
        <w:t>subregulations</w:t>
      </w:r>
      <w:proofErr w:type="spellEnd"/>
      <w:r w:rsidRPr="009E24EB">
        <w:rPr>
          <w:rFonts w:ascii="Times New Roman" w:hAnsi="Times New Roman"/>
          <w:b w:val="0"/>
          <w:kern w:val="0"/>
          <w:szCs w:val="24"/>
        </w:rPr>
        <w:t xml:space="preserve"> and </w:t>
      </w:r>
      <w:r w:rsidR="000E110E" w:rsidRPr="009E24EB">
        <w:rPr>
          <w:rFonts w:ascii="Times New Roman" w:hAnsi="Times New Roman"/>
          <w:b w:val="0"/>
          <w:kern w:val="0"/>
          <w:szCs w:val="24"/>
        </w:rPr>
        <w:t xml:space="preserve">the </w:t>
      </w:r>
      <w:r w:rsidRPr="009E24EB">
        <w:rPr>
          <w:rFonts w:ascii="Times New Roman" w:hAnsi="Times New Roman"/>
          <w:b w:val="0"/>
          <w:kern w:val="0"/>
          <w:szCs w:val="24"/>
        </w:rPr>
        <w:t xml:space="preserve">note currently provided for in the Principal Regulations </w:t>
      </w:r>
      <w:r w:rsidR="000E110E" w:rsidRPr="009E24EB">
        <w:rPr>
          <w:rFonts w:ascii="Times New Roman" w:hAnsi="Times New Roman"/>
          <w:b w:val="0"/>
          <w:kern w:val="0"/>
          <w:szCs w:val="24"/>
        </w:rPr>
        <w:t>to provide for</w:t>
      </w:r>
      <w:r w:rsidRPr="009E24EB">
        <w:rPr>
          <w:rFonts w:ascii="Times New Roman" w:hAnsi="Times New Roman"/>
          <w:b w:val="0"/>
          <w:kern w:val="0"/>
          <w:szCs w:val="24"/>
        </w:rPr>
        <w:t xml:space="preserve"> lodgement of a fee waiver or exemption application with prior notice (where applicable). This amendment reflects the </w:t>
      </w:r>
      <w:r w:rsidR="000E110E" w:rsidRPr="009E24EB">
        <w:rPr>
          <w:rFonts w:ascii="Times New Roman" w:hAnsi="Times New Roman"/>
          <w:b w:val="0"/>
          <w:kern w:val="0"/>
          <w:szCs w:val="24"/>
        </w:rPr>
        <w:t xml:space="preserve">changes </w:t>
      </w:r>
      <w:r w:rsidRPr="009E24EB">
        <w:rPr>
          <w:rFonts w:ascii="Times New Roman" w:hAnsi="Times New Roman"/>
          <w:b w:val="0"/>
          <w:kern w:val="0"/>
          <w:szCs w:val="24"/>
        </w:rPr>
        <w:t>made by items 77 and 81.</w:t>
      </w:r>
    </w:p>
    <w:p w14:paraId="45A2E109" w14:textId="028F53F3" w:rsidR="004E3DB9" w:rsidRPr="009E24EB" w:rsidRDefault="003A4BD8"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The Department is required</w:t>
      </w:r>
      <w:r w:rsidR="004E3DB9" w:rsidRPr="009E24EB">
        <w:rPr>
          <w:rFonts w:ascii="Times New Roman" w:hAnsi="Times New Roman"/>
          <w:b w:val="0"/>
          <w:kern w:val="0"/>
          <w:szCs w:val="24"/>
        </w:rPr>
        <w:t xml:space="preserve"> to issue a notification within 15 days after lodgement of the a</w:t>
      </w:r>
      <w:r w:rsidR="004E3DB9" w:rsidRPr="009E24EB">
        <w:rPr>
          <w:rFonts w:ascii="Times New Roman" w:hAnsi="Times New Roman"/>
          <w:b w:val="0"/>
        </w:rPr>
        <w:t>pplication</w:t>
      </w:r>
      <w:r w:rsidR="000E110E" w:rsidRPr="009E24EB">
        <w:rPr>
          <w:rFonts w:ascii="Times New Roman" w:hAnsi="Times New Roman"/>
          <w:b w:val="0"/>
        </w:rPr>
        <w:t xml:space="preserve"> (to the PBAC)</w:t>
      </w:r>
      <w:r w:rsidR="004E3DB9" w:rsidRPr="009E24EB">
        <w:rPr>
          <w:rFonts w:ascii="Times New Roman" w:hAnsi="Times New Roman"/>
          <w:b w:val="0"/>
        </w:rPr>
        <w:t xml:space="preserve">, where a fee waiver or exemption </w:t>
      </w:r>
      <w:r w:rsidR="004E3DB9" w:rsidRPr="009E24EB">
        <w:rPr>
          <w:rFonts w:ascii="Times New Roman" w:hAnsi="Times New Roman"/>
          <w:b w:val="0"/>
          <w:kern w:val="0"/>
          <w:szCs w:val="24"/>
        </w:rPr>
        <w:t xml:space="preserve">is requested; and/or where prior notice is not required. </w:t>
      </w:r>
    </w:p>
    <w:p w14:paraId="149FFA60" w14:textId="7720362D" w:rsidR="004E3DB9" w:rsidRPr="009E24EB" w:rsidRDefault="004E3DB9" w:rsidP="004E3DB9">
      <w:pPr>
        <w:pStyle w:val="Item"/>
        <w:ind w:left="0"/>
        <w:rPr>
          <w:sz w:val="24"/>
          <w:szCs w:val="24"/>
        </w:rPr>
      </w:pPr>
      <w:r w:rsidRPr="009E24EB">
        <w:rPr>
          <w:sz w:val="24"/>
          <w:szCs w:val="24"/>
        </w:rPr>
        <w:t>This item also insert</w:t>
      </w:r>
      <w:r w:rsidR="000E110E" w:rsidRPr="009E24EB">
        <w:rPr>
          <w:sz w:val="24"/>
          <w:szCs w:val="24"/>
        </w:rPr>
        <w:t>ed</w:t>
      </w:r>
      <w:r w:rsidRPr="009E24EB">
        <w:rPr>
          <w:sz w:val="24"/>
          <w:szCs w:val="24"/>
        </w:rPr>
        <w:t xml:space="preserve"> a note to clarify that Part 4 deals with payment of fees.</w:t>
      </w:r>
      <w:r w:rsidR="003A4BD8" w:rsidRPr="009E24EB">
        <w:rPr>
          <w:sz w:val="24"/>
          <w:szCs w:val="24"/>
        </w:rPr>
        <w:t xml:space="preserve"> This note was removed by item 40.</w:t>
      </w:r>
      <w:r w:rsidRPr="009E24EB">
        <w:rPr>
          <w:sz w:val="24"/>
          <w:szCs w:val="24"/>
        </w:rPr>
        <w:t xml:space="preserve"> </w:t>
      </w:r>
    </w:p>
    <w:p w14:paraId="18D56A0D" w14:textId="77777777" w:rsidR="000E110E" w:rsidRPr="009E24EB" w:rsidRDefault="000E110E">
      <w:pPr>
        <w:rPr>
          <w:b/>
          <w:kern w:val="28"/>
        </w:rPr>
      </w:pPr>
      <w:r w:rsidRPr="009E24EB">
        <w:rPr>
          <w:b/>
          <w:kern w:val="28"/>
        </w:rPr>
        <w:br w:type="page"/>
      </w:r>
    </w:p>
    <w:p w14:paraId="5E7148F1" w14:textId="0F21A576" w:rsidR="000E110E" w:rsidRPr="009E24EB" w:rsidRDefault="004E3DB9" w:rsidP="00EA76CA">
      <w:pPr>
        <w:pStyle w:val="Item"/>
        <w:spacing w:before="240"/>
        <w:ind w:left="0"/>
        <w:rPr>
          <w:b/>
          <w:kern w:val="28"/>
          <w:sz w:val="24"/>
        </w:rPr>
      </w:pPr>
      <w:r w:rsidRPr="009E24EB">
        <w:rPr>
          <w:b/>
          <w:kern w:val="28"/>
          <w:sz w:val="24"/>
        </w:rPr>
        <w:lastRenderedPageBreak/>
        <w:t>Item [42] – After regulation 2.17</w:t>
      </w:r>
    </w:p>
    <w:p w14:paraId="503F69E1" w14:textId="4D6F39E9" w:rsidR="004E3DB9" w:rsidRPr="009E24EB" w:rsidRDefault="004E3DB9" w:rsidP="00EA76CA">
      <w:pPr>
        <w:pStyle w:val="Item"/>
        <w:spacing w:before="120"/>
        <w:ind w:left="0"/>
        <w:rPr>
          <w:sz w:val="24"/>
          <w:szCs w:val="24"/>
        </w:rPr>
      </w:pPr>
      <w:r w:rsidRPr="009E24EB">
        <w:rPr>
          <w:sz w:val="24"/>
          <w:szCs w:val="24"/>
        </w:rPr>
        <w:t xml:space="preserve">This item </w:t>
      </w:r>
      <w:r w:rsidR="000E110E" w:rsidRPr="009E24EB">
        <w:rPr>
          <w:sz w:val="24"/>
          <w:szCs w:val="24"/>
        </w:rPr>
        <w:t>i</w:t>
      </w:r>
      <w:r w:rsidRPr="009E24EB">
        <w:rPr>
          <w:sz w:val="24"/>
          <w:szCs w:val="24"/>
        </w:rPr>
        <w:t>nsert</w:t>
      </w:r>
      <w:r w:rsidR="000E110E" w:rsidRPr="009E24EB">
        <w:rPr>
          <w:sz w:val="24"/>
          <w:szCs w:val="24"/>
        </w:rPr>
        <w:t>ed</w:t>
      </w:r>
      <w:r w:rsidRPr="009E24EB">
        <w:rPr>
          <w:sz w:val="24"/>
          <w:szCs w:val="24"/>
        </w:rPr>
        <w:t xml:space="preserve"> a new provision into the Principal Regulations to allow the Department to not accept </w:t>
      </w:r>
      <w:r w:rsidR="00974C55" w:rsidRPr="009E24EB">
        <w:rPr>
          <w:sz w:val="24"/>
          <w:szCs w:val="24"/>
        </w:rPr>
        <w:t xml:space="preserve">an application </w:t>
      </w:r>
      <w:r w:rsidRPr="009E24EB">
        <w:rPr>
          <w:sz w:val="24"/>
          <w:szCs w:val="24"/>
        </w:rPr>
        <w:t xml:space="preserve">to the PBAC on the basis it is incomplete and does not contain the information required for PBAC consideration. In these circumstances, the Department </w:t>
      </w:r>
      <w:r w:rsidR="000E110E" w:rsidRPr="009E24EB">
        <w:rPr>
          <w:sz w:val="24"/>
          <w:szCs w:val="24"/>
        </w:rPr>
        <w:t xml:space="preserve">will </w:t>
      </w:r>
      <w:r w:rsidRPr="009E24EB">
        <w:rPr>
          <w:sz w:val="24"/>
          <w:szCs w:val="24"/>
        </w:rPr>
        <w:t>notify the applicant within 10 business days after lodgement of their application</w:t>
      </w:r>
      <w:r w:rsidR="000E110E" w:rsidRPr="009E24EB">
        <w:rPr>
          <w:sz w:val="24"/>
          <w:szCs w:val="24"/>
        </w:rPr>
        <w:t xml:space="preserve"> </w:t>
      </w:r>
      <w:r w:rsidRPr="009E24EB">
        <w:rPr>
          <w:sz w:val="24"/>
          <w:szCs w:val="24"/>
        </w:rPr>
        <w:t xml:space="preserve">and refund any fee paid except for the non-refundable deposit amount. </w:t>
      </w:r>
    </w:p>
    <w:p w14:paraId="2BCDB7ED" w14:textId="70A7C4DC" w:rsidR="004E3DB9" w:rsidRPr="009E24EB" w:rsidRDefault="00974C55" w:rsidP="004E3DB9">
      <w:pPr>
        <w:pStyle w:val="ItemHead"/>
        <w:spacing w:before="120"/>
        <w:ind w:left="0" w:firstLine="0"/>
        <w:rPr>
          <w:rFonts w:ascii="Times New Roman" w:hAnsi="Times New Roman"/>
          <w:b w:val="0"/>
          <w:szCs w:val="24"/>
        </w:rPr>
      </w:pPr>
      <w:r w:rsidRPr="009E24EB">
        <w:rPr>
          <w:rFonts w:ascii="Times New Roman" w:hAnsi="Times New Roman"/>
          <w:b w:val="0"/>
          <w:szCs w:val="24"/>
        </w:rPr>
        <w:t>T</w:t>
      </w:r>
      <w:r w:rsidR="004E3DB9" w:rsidRPr="009E24EB">
        <w:rPr>
          <w:rFonts w:ascii="Times New Roman" w:hAnsi="Times New Roman"/>
          <w:b w:val="0"/>
          <w:szCs w:val="24"/>
        </w:rPr>
        <w:t>he Department’s online Health Products Portal assists applicants to provide the required submission documents</w:t>
      </w:r>
      <w:r w:rsidRPr="009E24EB">
        <w:rPr>
          <w:rFonts w:ascii="Times New Roman" w:hAnsi="Times New Roman"/>
          <w:b w:val="0"/>
          <w:szCs w:val="24"/>
        </w:rPr>
        <w:t>. T</w:t>
      </w:r>
      <w:r w:rsidR="004E3DB9" w:rsidRPr="009E24EB">
        <w:rPr>
          <w:rFonts w:ascii="Times New Roman" w:hAnsi="Times New Roman"/>
          <w:b w:val="0"/>
          <w:szCs w:val="24"/>
        </w:rPr>
        <w:t xml:space="preserve">he decision to not accept an incomplete application </w:t>
      </w:r>
      <w:r w:rsidRPr="009E24EB">
        <w:rPr>
          <w:rFonts w:ascii="Times New Roman" w:hAnsi="Times New Roman"/>
          <w:b w:val="0"/>
          <w:szCs w:val="24"/>
        </w:rPr>
        <w:t>is not</w:t>
      </w:r>
      <w:r w:rsidR="004E3DB9" w:rsidRPr="009E24EB">
        <w:rPr>
          <w:rFonts w:ascii="Times New Roman" w:hAnsi="Times New Roman"/>
          <w:b w:val="0"/>
          <w:szCs w:val="24"/>
        </w:rPr>
        <w:t xml:space="preserve"> </w:t>
      </w:r>
      <w:r w:rsidRPr="009E24EB">
        <w:rPr>
          <w:rFonts w:ascii="Times New Roman" w:hAnsi="Times New Roman"/>
          <w:b w:val="0"/>
          <w:szCs w:val="24"/>
        </w:rPr>
        <w:t xml:space="preserve">a </w:t>
      </w:r>
      <w:r w:rsidR="004E3DB9" w:rsidRPr="009E24EB">
        <w:rPr>
          <w:rFonts w:ascii="Times New Roman" w:hAnsi="Times New Roman"/>
          <w:b w:val="0"/>
          <w:szCs w:val="24"/>
        </w:rPr>
        <w:t xml:space="preserve">reviewable decision under Part 6 of the Principal Regulations. </w:t>
      </w:r>
    </w:p>
    <w:p w14:paraId="0E15DB1D" w14:textId="77777777" w:rsidR="004E3DB9" w:rsidRPr="009E24EB" w:rsidRDefault="004E3DB9" w:rsidP="004E3DB9">
      <w:pPr>
        <w:pStyle w:val="Item"/>
        <w:spacing w:before="240"/>
        <w:ind w:left="0"/>
        <w:rPr>
          <w:b/>
          <w:kern w:val="28"/>
          <w:sz w:val="24"/>
        </w:rPr>
      </w:pPr>
      <w:r w:rsidRPr="009E24EB">
        <w:rPr>
          <w:b/>
          <w:kern w:val="28"/>
          <w:sz w:val="24"/>
        </w:rPr>
        <w:t xml:space="preserve">Item [43] – </w:t>
      </w:r>
      <w:proofErr w:type="spellStart"/>
      <w:r w:rsidRPr="009E24EB">
        <w:rPr>
          <w:b/>
          <w:kern w:val="28"/>
          <w:sz w:val="24"/>
        </w:rPr>
        <w:t>Subregulation</w:t>
      </w:r>
      <w:proofErr w:type="spellEnd"/>
      <w:r w:rsidRPr="009E24EB">
        <w:rPr>
          <w:b/>
          <w:kern w:val="28"/>
          <w:sz w:val="24"/>
        </w:rPr>
        <w:t xml:space="preserve"> 2.18(2)</w:t>
      </w:r>
    </w:p>
    <w:p w14:paraId="77839D1B" w14:textId="188A6553" w:rsidR="004E3DB9" w:rsidRPr="009E24EB" w:rsidRDefault="004E3DB9" w:rsidP="004E3DB9">
      <w:pPr>
        <w:pStyle w:val="Item"/>
        <w:ind w:left="0"/>
        <w:rPr>
          <w:sz w:val="24"/>
          <w:szCs w:val="24"/>
        </w:rPr>
      </w:pPr>
      <w:r w:rsidRPr="009E24EB">
        <w:rPr>
          <w:sz w:val="24"/>
          <w:szCs w:val="24"/>
        </w:rPr>
        <w:t xml:space="preserve">This item </w:t>
      </w:r>
      <w:r w:rsidR="00E979E4" w:rsidRPr="009E24EB">
        <w:rPr>
          <w:sz w:val="24"/>
          <w:szCs w:val="24"/>
        </w:rPr>
        <w:t xml:space="preserve">expanded </w:t>
      </w:r>
      <w:r w:rsidRPr="009E24EB">
        <w:rPr>
          <w:sz w:val="24"/>
          <w:szCs w:val="24"/>
        </w:rPr>
        <w:t xml:space="preserve">the refund withdrawal window </w:t>
      </w:r>
      <w:r w:rsidR="00995813" w:rsidRPr="009E24EB">
        <w:rPr>
          <w:sz w:val="24"/>
          <w:szCs w:val="24"/>
        </w:rPr>
        <w:t xml:space="preserve">within the Principal Regulations </w:t>
      </w:r>
      <w:r w:rsidRPr="009E24EB">
        <w:rPr>
          <w:sz w:val="24"/>
          <w:szCs w:val="24"/>
        </w:rPr>
        <w:t>to</w:t>
      </w:r>
      <w:r w:rsidR="00995813" w:rsidRPr="009E24EB">
        <w:rPr>
          <w:sz w:val="24"/>
          <w:szCs w:val="24"/>
        </w:rPr>
        <w:t xml:space="preserve"> provide for</w:t>
      </w:r>
      <w:r w:rsidRPr="009E24EB">
        <w:rPr>
          <w:sz w:val="24"/>
          <w:szCs w:val="24"/>
        </w:rPr>
        <w:t xml:space="preserve"> the later of</w:t>
      </w:r>
      <w:r w:rsidR="00995813" w:rsidRPr="009E24EB">
        <w:rPr>
          <w:sz w:val="24"/>
          <w:szCs w:val="24"/>
        </w:rPr>
        <w:t xml:space="preserve"> – </w:t>
      </w:r>
      <w:r w:rsidRPr="009E24EB">
        <w:rPr>
          <w:sz w:val="24"/>
          <w:szCs w:val="24"/>
        </w:rPr>
        <w:t>10</w:t>
      </w:r>
      <w:r w:rsidR="00995813" w:rsidRPr="009E24EB">
        <w:rPr>
          <w:sz w:val="24"/>
          <w:szCs w:val="24"/>
        </w:rPr>
        <w:t xml:space="preserve"> </w:t>
      </w:r>
      <w:r w:rsidRPr="009E24EB">
        <w:rPr>
          <w:sz w:val="24"/>
          <w:szCs w:val="24"/>
        </w:rPr>
        <w:t>business days after the notification is given by the Department</w:t>
      </w:r>
      <w:r w:rsidR="00995813" w:rsidRPr="009E24EB">
        <w:rPr>
          <w:sz w:val="24"/>
          <w:szCs w:val="24"/>
        </w:rPr>
        <w:t>;</w:t>
      </w:r>
      <w:r w:rsidRPr="009E24EB">
        <w:rPr>
          <w:sz w:val="24"/>
          <w:szCs w:val="24"/>
        </w:rPr>
        <w:t xml:space="preserve"> </w:t>
      </w:r>
      <w:r w:rsidR="00186572" w:rsidRPr="009E24EB">
        <w:rPr>
          <w:sz w:val="24"/>
          <w:szCs w:val="24"/>
        </w:rPr>
        <w:t>o</w:t>
      </w:r>
      <w:r w:rsidR="00995813" w:rsidRPr="009E24EB">
        <w:rPr>
          <w:sz w:val="24"/>
          <w:szCs w:val="24"/>
        </w:rPr>
        <w:t>r</w:t>
      </w:r>
      <w:r w:rsidR="00186572" w:rsidRPr="009E24EB">
        <w:rPr>
          <w:sz w:val="24"/>
          <w:szCs w:val="24"/>
        </w:rPr>
        <w:t xml:space="preserve"> the submission due day. </w:t>
      </w:r>
    </w:p>
    <w:p w14:paraId="0F2F1025" w14:textId="1CD1F2D6" w:rsidR="004E3DB9" w:rsidRPr="009E24EB" w:rsidRDefault="004E3DB9" w:rsidP="004E3DB9">
      <w:pPr>
        <w:pStyle w:val="Item"/>
        <w:spacing w:before="120"/>
        <w:ind w:left="0"/>
        <w:rPr>
          <w:sz w:val="24"/>
          <w:szCs w:val="24"/>
        </w:rPr>
      </w:pPr>
      <w:r w:rsidRPr="009E24EB">
        <w:rPr>
          <w:sz w:val="24"/>
          <w:szCs w:val="24"/>
        </w:rPr>
        <w:t xml:space="preserve">For </w:t>
      </w:r>
      <w:r w:rsidR="00995813" w:rsidRPr="009E24EB">
        <w:rPr>
          <w:sz w:val="24"/>
          <w:szCs w:val="24"/>
        </w:rPr>
        <w:t>Early Re-entry Pathway, Early Resolution Pathway or Fa</w:t>
      </w:r>
      <w:r w:rsidRPr="009E24EB">
        <w:rPr>
          <w:sz w:val="24"/>
          <w:szCs w:val="24"/>
        </w:rPr>
        <w:t xml:space="preserve">cilitated </w:t>
      </w:r>
      <w:r w:rsidR="00995813" w:rsidRPr="009E24EB">
        <w:rPr>
          <w:sz w:val="24"/>
          <w:szCs w:val="24"/>
        </w:rPr>
        <w:t>Resolution P</w:t>
      </w:r>
      <w:r w:rsidRPr="009E24EB">
        <w:rPr>
          <w:sz w:val="24"/>
          <w:szCs w:val="24"/>
        </w:rPr>
        <w:t xml:space="preserve">athway applications, the </w:t>
      </w:r>
      <w:r w:rsidR="00186572" w:rsidRPr="009E24EB">
        <w:rPr>
          <w:sz w:val="24"/>
          <w:szCs w:val="24"/>
        </w:rPr>
        <w:t xml:space="preserve">refund </w:t>
      </w:r>
      <w:r w:rsidRPr="009E24EB">
        <w:rPr>
          <w:sz w:val="24"/>
          <w:szCs w:val="24"/>
        </w:rPr>
        <w:t xml:space="preserve">withdrawal window </w:t>
      </w:r>
      <w:r w:rsidR="00186572" w:rsidRPr="009E24EB">
        <w:rPr>
          <w:sz w:val="24"/>
          <w:szCs w:val="24"/>
        </w:rPr>
        <w:t xml:space="preserve">is </w:t>
      </w:r>
      <w:r w:rsidRPr="009E24EB">
        <w:rPr>
          <w:sz w:val="24"/>
          <w:szCs w:val="24"/>
        </w:rPr>
        <w:t xml:space="preserve">within 10 business days after the </w:t>
      </w:r>
      <w:r w:rsidR="005A17A9" w:rsidRPr="009E24EB">
        <w:rPr>
          <w:sz w:val="24"/>
          <w:szCs w:val="24"/>
        </w:rPr>
        <w:t>Department gives the notification</w:t>
      </w:r>
      <w:r w:rsidRPr="009E24EB">
        <w:rPr>
          <w:sz w:val="24"/>
          <w:szCs w:val="24"/>
        </w:rPr>
        <w:t>.</w:t>
      </w:r>
    </w:p>
    <w:p w14:paraId="1B8B0E52" w14:textId="77777777" w:rsidR="004E3DB9" w:rsidRPr="009E24EB" w:rsidRDefault="004E3DB9" w:rsidP="004E3DB9">
      <w:pPr>
        <w:pStyle w:val="Item"/>
        <w:spacing w:before="240"/>
        <w:ind w:left="0"/>
        <w:rPr>
          <w:b/>
          <w:kern w:val="28"/>
          <w:sz w:val="24"/>
        </w:rPr>
      </w:pPr>
      <w:r w:rsidRPr="009E24EB">
        <w:rPr>
          <w:b/>
          <w:kern w:val="28"/>
          <w:sz w:val="24"/>
        </w:rPr>
        <w:t>Item [44] – Paragraph 2.18(3</w:t>
      </w:r>
      <w:proofErr w:type="gramStart"/>
      <w:r w:rsidRPr="009E24EB">
        <w:rPr>
          <w:b/>
          <w:kern w:val="28"/>
          <w:sz w:val="24"/>
        </w:rPr>
        <w:t>)(</w:t>
      </w:r>
      <w:proofErr w:type="gramEnd"/>
      <w:r w:rsidRPr="009E24EB">
        <w:rPr>
          <w:b/>
          <w:kern w:val="28"/>
          <w:sz w:val="24"/>
        </w:rPr>
        <w:t>b)</w:t>
      </w:r>
    </w:p>
    <w:p w14:paraId="40B12014" w14:textId="4D02C0EA" w:rsidR="004E3DB9" w:rsidRPr="009E24EB" w:rsidRDefault="004E3DB9" w:rsidP="004E3DB9">
      <w:pPr>
        <w:pStyle w:val="Item"/>
        <w:ind w:left="0"/>
        <w:rPr>
          <w:sz w:val="24"/>
          <w:szCs w:val="24"/>
        </w:rPr>
      </w:pPr>
      <w:r w:rsidRPr="009E24EB">
        <w:rPr>
          <w:sz w:val="24"/>
          <w:szCs w:val="24"/>
        </w:rPr>
        <w:t>This item replace</w:t>
      </w:r>
      <w:r w:rsidR="00974C55" w:rsidRPr="009E24EB">
        <w:rPr>
          <w:sz w:val="24"/>
          <w:szCs w:val="24"/>
        </w:rPr>
        <w:t>d</w:t>
      </w:r>
      <w:r w:rsidRPr="009E24EB">
        <w:rPr>
          <w:sz w:val="24"/>
          <w:szCs w:val="24"/>
        </w:rPr>
        <w:t xml:space="preserve"> the reference in paragraph (b) </w:t>
      </w:r>
      <w:r w:rsidR="003A4BD8" w:rsidRPr="009E24EB">
        <w:rPr>
          <w:sz w:val="24"/>
          <w:szCs w:val="24"/>
        </w:rPr>
        <w:t xml:space="preserve">within </w:t>
      </w:r>
      <w:r w:rsidRPr="009E24EB">
        <w:rPr>
          <w:sz w:val="24"/>
          <w:szCs w:val="24"/>
        </w:rPr>
        <w:t>the Principal Regulations</w:t>
      </w:r>
      <w:r w:rsidR="00974C55" w:rsidRPr="009E24EB">
        <w:rPr>
          <w:sz w:val="24"/>
          <w:szCs w:val="24"/>
        </w:rPr>
        <w:t xml:space="preserve"> to reflect the changes made by item 41.</w:t>
      </w:r>
    </w:p>
    <w:p w14:paraId="66287342" w14:textId="77777777" w:rsidR="004E3DB9" w:rsidRPr="009E24EB" w:rsidRDefault="004E3DB9" w:rsidP="004E3DB9">
      <w:pPr>
        <w:pStyle w:val="Item"/>
        <w:spacing w:before="240"/>
        <w:ind w:left="0"/>
        <w:rPr>
          <w:b/>
          <w:kern w:val="28"/>
          <w:sz w:val="24"/>
        </w:rPr>
      </w:pPr>
      <w:r w:rsidRPr="009E24EB">
        <w:rPr>
          <w:b/>
          <w:kern w:val="28"/>
          <w:sz w:val="24"/>
        </w:rPr>
        <w:t>Item [45] – At the end of regulation 2.18</w:t>
      </w:r>
    </w:p>
    <w:p w14:paraId="38DA9C92" w14:textId="70FE4AE9" w:rsidR="004E3DB9" w:rsidRPr="009E24EB" w:rsidRDefault="004E3DB9" w:rsidP="004E3DB9">
      <w:pPr>
        <w:pStyle w:val="Item"/>
        <w:ind w:left="0"/>
        <w:rPr>
          <w:sz w:val="24"/>
          <w:szCs w:val="24"/>
        </w:rPr>
      </w:pPr>
      <w:r w:rsidRPr="009E24EB">
        <w:rPr>
          <w:sz w:val="24"/>
          <w:szCs w:val="24"/>
        </w:rPr>
        <w:t>This item insert</w:t>
      </w:r>
      <w:r w:rsidR="00974C55" w:rsidRPr="009E24EB">
        <w:rPr>
          <w:sz w:val="24"/>
          <w:szCs w:val="24"/>
        </w:rPr>
        <w:t>ed</w:t>
      </w:r>
      <w:r w:rsidRPr="009E24EB">
        <w:rPr>
          <w:sz w:val="24"/>
          <w:szCs w:val="24"/>
        </w:rPr>
        <w:t xml:space="preserve"> a new provision into the Principal Regulations </w:t>
      </w:r>
      <w:r w:rsidR="00974C55" w:rsidRPr="009E24EB">
        <w:rPr>
          <w:sz w:val="24"/>
          <w:szCs w:val="24"/>
        </w:rPr>
        <w:t xml:space="preserve">to </w:t>
      </w:r>
      <w:r w:rsidR="003A4BD8" w:rsidRPr="009E24EB">
        <w:rPr>
          <w:sz w:val="24"/>
          <w:szCs w:val="24"/>
        </w:rPr>
        <w:t xml:space="preserve">provide </w:t>
      </w:r>
      <w:r w:rsidRPr="009E24EB">
        <w:rPr>
          <w:sz w:val="24"/>
          <w:szCs w:val="24"/>
        </w:rPr>
        <w:t xml:space="preserve">the </w:t>
      </w:r>
      <w:r w:rsidR="00974C55" w:rsidRPr="009E24EB">
        <w:rPr>
          <w:sz w:val="24"/>
          <w:szCs w:val="24"/>
        </w:rPr>
        <w:t>D</w:t>
      </w:r>
      <w:r w:rsidRPr="009E24EB">
        <w:rPr>
          <w:sz w:val="24"/>
          <w:szCs w:val="24"/>
        </w:rPr>
        <w:t xml:space="preserve">epartment </w:t>
      </w:r>
      <w:r w:rsidR="003A4BD8" w:rsidRPr="009E24EB">
        <w:rPr>
          <w:sz w:val="24"/>
          <w:szCs w:val="24"/>
        </w:rPr>
        <w:t xml:space="preserve">with the </w:t>
      </w:r>
      <w:r w:rsidRPr="009E24EB">
        <w:rPr>
          <w:sz w:val="24"/>
          <w:szCs w:val="24"/>
        </w:rPr>
        <w:t xml:space="preserve">discretion to provide a refund in relation to the fee paid for the </w:t>
      </w:r>
      <w:r w:rsidR="00995813" w:rsidRPr="009E24EB">
        <w:rPr>
          <w:sz w:val="24"/>
          <w:szCs w:val="24"/>
        </w:rPr>
        <w:t>Facilitated R</w:t>
      </w:r>
      <w:r w:rsidRPr="009E24EB">
        <w:rPr>
          <w:sz w:val="24"/>
          <w:szCs w:val="24"/>
        </w:rPr>
        <w:t xml:space="preserve">esolution </w:t>
      </w:r>
      <w:r w:rsidR="00995813" w:rsidRPr="009E24EB">
        <w:rPr>
          <w:sz w:val="24"/>
          <w:szCs w:val="24"/>
        </w:rPr>
        <w:t>P</w:t>
      </w:r>
      <w:r w:rsidRPr="009E24EB">
        <w:rPr>
          <w:sz w:val="24"/>
          <w:szCs w:val="24"/>
        </w:rPr>
        <w:t xml:space="preserve">athway </w:t>
      </w:r>
      <w:r w:rsidR="00974C55" w:rsidRPr="009E24EB">
        <w:rPr>
          <w:sz w:val="24"/>
          <w:szCs w:val="24"/>
        </w:rPr>
        <w:t xml:space="preserve">evaluation </w:t>
      </w:r>
      <w:r w:rsidRPr="009E24EB">
        <w:rPr>
          <w:sz w:val="24"/>
          <w:szCs w:val="24"/>
        </w:rPr>
        <w:t>category where an applicant withdraws their prior notice after the last business day before the workshop.</w:t>
      </w:r>
      <w:r w:rsidRPr="009E24EB">
        <w:t xml:space="preserve"> </w:t>
      </w:r>
    </w:p>
    <w:p w14:paraId="35B54E9A" w14:textId="77777777" w:rsidR="004E3DB9" w:rsidRPr="009E24EB" w:rsidRDefault="004E3DB9" w:rsidP="004E3DB9">
      <w:pPr>
        <w:pStyle w:val="Item"/>
        <w:spacing w:before="240"/>
        <w:ind w:left="0"/>
        <w:rPr>
          <w:b/>
          <w:kern w:val="28"/>
          <w:sz w:val="24"/>
        </w:rPr>
      </w:pPr>
      <w:r w:rsidRPr="009E24EB">
        <w:rPr>
          <w:b/>
          <w:kern w:val="28"/>
          <w:sz w:val="24"/>
        </w:rPr>
        <w:t xml:space="preserve">Item [46] – </w:t>
      </w:r>
      <w:proofErr w:type="spellStart"/>
      <w:r w:rsidRPr="009E24EB">
        <w:rPr>
          <w:b/>
          <w:kern w:val="28"/>
          <w:sz w:val="24"/>
        </w:rPr>
        <w:t>Subregulation</w:t>
      </w:r>
      <w:proofErr w:type="spellEnd"/>
      <w:r w:rsidRPr="009E24EB">
        <w:rPr>
          <w:b/>
          <w:kern w:val="28"/>
          <w:sz w:val="24"/>
        </w:rPr>
        <w:t xml:space="preserve"> 2.19(1)</w:t>
      </w:r>
    </w:p>
    <w:p w14:paraId="07954151" w14:textId="68DA795B" w:rsidR="004E3DB9" w:rsidRPr="009E24EB" w:rsidRDefault="004E3DB9" w:rsidP="004E3DB9">
      <w:pPr>
        <w:pStyle w:val="Item"/>
        <w:ind w:left="0"/>
        <w:rPr>
          <w:sz w:val="24"/>
          <w:szCs w:val="24"/>
        </w:rPr>
      </w:pPr>
      <w:r w:rsidRPr="009E24EB">
        <w:rPr>
          <w:sz w:val="24"/>
          <w:szCs w:val="24"/>
        </w:rPr>
        <w:t>This item remove</w:t>
      </w:r>
      <w:r w:rsidR="00974C55" w:rsidRPr="009E24EB">
        <w:rPr>
          <w:sz w:val="24"/>
          <w:szCs w:val="24"/>
        </w:rPr>
        <w:t>d</w:t>
      </w:r>
      <w:r w:rsidRPr="009E24EB">
        <w:rPr>
          <w:sz w:val="24"/>
          <w:szCs w:val="24"/>
        </w:rPr>
        <w:t xml:space="preserve"> the number ‘(1)’ from the Principal Regulations as </w:t>
      </w:r>
      <w:r w:rsidR="00974C55" w:rsidRPr="009E24EB">
        <w:rPr>
          <w:sz w:val="24"/>
          <w:szCs w:val="24"/>
        </w:rPr>
        <w:t xml:space="preserve">it is </w:t>
      </w:r>
      <w:r w:rsidRPr="009E24EB">
        <w:rPr>
          <w:sz w:val="24"/>
          <w:szCs w:val="24"/>
        </w:rPr>
        <w:t>no longer required</w:t>
      </w:r>
      <w:r w:rsidR="00974C55" w:rsidRPr="009E24EB">
        <w:rPr>
          <w:sz w:val="24"/>
          <w:szCs w:val="24"/>
        </w:rPr>
        <w:t>.</w:t>
      </w:r>
    </w:p>
    <w:p w14:paraId="03F76BF7" w14:textId="77777777" w:rsidR="004E3DB9" w:rsidRPr="009E24EB" w:rsidRDefault="004E3DB9" w:rsidP="004E3DB9">
      <w:pPr>
        <w:pStyle w:val="Item"/>
        <w:spacing w:before="240"/>
        <w:ind w:left="0"/>
        <w:rPr>
          <w:b/>
          <w:kern w:val="28"/>
          <w:sz w:val="24"/>
        </w:rPr>
      </w:pPr>
      <w:r w:rsidRPr="009E24EB">
        <w:rPr>
          <w:b/>
          <w:kern w:val="28"/>
          <w:sz w:val="24"/>
        </w:rPr>
        <w:t xml:space="preserve">Item [47] – </w:t>
      </w:r>
      <w:proofErr w:type="spellStart"/>
      <w:r w:rsidRPr="009E24EB">
        <w:rPr>
          <w:b/>
          <w:kern w:val="28"/>
          <w:sz w:val="24"/>
        </w:rPr>
        <w:t>Subregulations</w:t>
      </w:r>
      <w:proofErr w:type="spellEnd"/>
      <w:r w:rsidRPr="009E24EB">
        <w:rPr>
          <w:b/>
          <w:kern w:val="28"/>
          <w:sz w:val="24"/>
        </w:rPr>
        <w:t xml:space="preserve"> 2.19(2) and (3)</w:t>
      </w:r>
    </w:p>
    <w:p w14:paraId="76E13FD5" w14:textId="48232F93" w:rsidR="004E3DB9" w:rsidRPr="009E24EB" w:rsidRDefault="004E3DB9" w:rsidP="00974C55">
      <w:pPr>
        <w:pStyle w:val="Item"/>
        <w:ind w:left="0"/>
        <w:rPr>
          <w:b/>
          <w:kern w:val="28"/>
        </w:rPr>
      </w:pPr>
      <w:r w:rsidRPr="009E24EB">
        <w:rPr>
          <w:sz w:val="24"/>
          <w:szCs w:val="24"/>
        </w:rPr>
        <w:t xml:space="preserve">This item </w:t>
      </w:r>
      <w:r w:rsidR="00974C55" w:rsidRPr="009E24EB">
        <w:rPr>
          <w:sz w:val="24"/>
          <w:szCs w:val="24"/>
        </w:rPr>
        <w:t xml:space="preserve">removed </w:t>
      </w:r>
      <w:proofErr w:type="spellStart"/>
      <w:r w:rsidRPr="009E24EB">
        <w:rPr>
          <w:sz w:val="24"/>
          <w:szCs w:val="24"/>
        </w:rPr>
        <w:t>subregulations</w:t>
      </w:r>
      <w:proofErr w:type="spellEnd"/>
      <w:r w:rsidRPr="009E24EB">
        <w:rPr>
          <w:sz w:val="24"/>
          <w:szCs w:val="24"/>
        </w:rPr>
        <w:t xml:space="preserve"> (2) and (3) from the Principal Regulations</w:t>
      </w:r>
      <w:r w:rsidR="003A4BD8" w:rsidRPr="009E24EB">
        <w:rPr>
          <w:sz w:val="24"/>
          <w:szCs w:val="24"/>
        </w:rPr>
        <w:t xml:space="preserve"> </w:t>
      </w:r>
      <w:r w:rsidRPr="009E24EB">
        <w:rPr>
          <w:sz w:val="24"/>
          <w:szCs w:val="24"/>
        </w:rPr>
        <w:t>as</w:t>
      </w:r>
      <w:r w:rsidR="003A4BD8" w:rsidRPr="009E24EB">
        <w:rPr>
          <w:sz w:val="24"/>
          <w:szCs w:val="24"/>
        </w:rPr>
        <w:t xml:space="preserve"> prior notice exceptions for resent applications</w:t>
      </w:r>
      <w:r w:rsidR="00974C55" w:rsidRPr="009E24EB">
        <w:rPr>
          <w:sz w:val="24"/>
          <w:szCs w:val="24"/>
        </w:rPr>
        <w:t xml:space="preserve"> are </w:t>
      </w:r>
      <w:r w:rsidRPr="009E24EB">
        <w:rPr>
          <w:sz w:val="24"/>
          <w:szCs w:val="24"/>
        </w:rPr>
        <w:t>no longer be required</w:t>
      </w:r>
      <w:r w:rsidR="00974C55" w:rsidRPr="009E24EB">
        <w:rPr>
          <w:sz w:val="24"/>
          <w:szCs w:val="24"/>
        </w:rPr>
        <w:t>.</w:t>
      </w:r>
    </w:p>
    <w:p w14:paraId="3A5AC19F" w14:textId="77777777" w:rsidR="004E3DB9" w:rsidRPr="009E24EB" w:rsidRDefault="004E3DB9" w:rsidP="004E3DB9">
      <w:pPr>
        <w:pStyle w:val="Item"/>
        <w:spacing w:before="240"/>
        <w:ind w:left="0"/>
        <w:rPr>
          <w:b/>
          <w:kern w:val="28"/>
          <w:sz w:val="24"/>
        </w:rPr>
      </w:pPr>
      <w:r w:rsidRPr="009E24EB">
        <w:rPr>
          <w:b/>
          <w:kern w:val="28"/>
          <w:sz w:val="24"/>
        </w:rPr>
        <w:t xml:space="preserve">Item [48] – After </w:t>
      </w:r>
      <w:proofErr w:type="spellStart"/>
      <w:r w:rsidRPr="009E24EB">
        <w:rPr>
          <w:b/>
          <w:kern w:val="28"/>
          <w:sz w:val="24"/>
        </w:rPr>
        <w:t>subregulation</w:t>
      </w:r>
      <w:proofErr w:type="spellEnd"/>
      <w:r w:rsidRPr="009E24EB">
        <w:rPr>
          <w:b/>
          <w:kern w:val="28"/>
          <w:sz w:val="24"/>
        </w:rPr>
        <w:t xml:space="preserve"> 2.20(1)</w:t>
      </w:r>
    </w:p>
    <w:p w14:paraId="46C2B253" w14:textId="02862866" w:rsidR="004E3DB9" w:rsidRPr="009E24EB" w:rsidRDefault="004E3DB9" w:rsidP="004E3DB9">
      <w:pPr>
        <w:pStyle w:val="Item"/>
        <w:spacing w:before="120"/>
        <w:ind w:left="0"/>
        <w:rPr>
          <w:sz w:val="24"/>
          <w:szCs w:val="24"/>
        </w:rPr>
      </w:pPr>
      <w:r w:rsidRPr="009E24EB">
        <w:rPr>
          <w:sz w:val="24"/>
          <w:szCs w:val="24"/>
        </w:rPr>
        <w:t>This item insert</w:t>
      </w:r>
      <w:r w:rsidR="00974C55" w:rsidRPr="009E24EB">
        <w:rPr>
          <w:sz w:val="24"/>
          <w:szCs w:val="24"/>
        </w:rPr>
        <w:t>ed</w:t>
      </w:r>
      <w:r w:rsidRPr="009E24EB">
        <w:rPr>
          <w:sz w:val="24"/>
          <w:szCs w:val="24"/>
        </w:rPr>
        <w:t xml:space="preserve"> a new </w:t>
      </w:r>
      <w:proofErr w:type="spellStart"/>
      <w:r w:rsidRPr="009E24EB">
        <w:rPr>
          <w:sz w:val="24"/>
          <w:szCs w:val="24"/>
        </w:rPr>
        <w:t>subregulation</w:t>
      </w:r>
      <w:proofErr w:type="spellEnd"/>
      <w:r w:rsidRPr="009E24EB">
        <w:rPr>
          <w:sz w:val="24"/>
          <w:szCs w:val="24"/>
        </w:rPr>
        <w:t xml:space="preserve"> into the Principal Regulations to clarify that an evaluation category may change because of the Department’s validation process. </w:t>
      </w:r>
      <w:r w:rsidR="003A4BD8" w:rsidRPr="009E24EB">
        <w:rPr>
          <w:sz w:val="24"/>
          <w:szCs w:val="24"/>
        </w:rPr>
        <w:t>There is no change to the validation of evaluation categories</w:t>
      </w:r>
      <w:r w:rsidR="004D3BF2" w:rsidRPr="009E24EB">
        <w:rPr>
          <w:sz w:val="24"/>
          <w:szCs w:val="24"/>
        </w:rPr>
        <w:t xml:space="preserve"> process</w:t>
      </w:r>
      <w:r w:rsidR="003A4BD8" w:rsidRPr="009E24EB">
        <w:rPr>
          <w:sz w:val="24"/>
          <w:szCs w:val="24"/>
        </w:rPr>
        <w:t xml:space="preserve"> provided for in the Principal Regulations.</w:t>
      </w:r>
    </w:p>
    <w:p w14:paraId="363FF185" w14:textId="77777777" w:rsidR="004E3DB9" w:rsidRPr="009E24EB" w:rsidRDefault="004E3DB9" w:rsidP="004E3DB9">
      <w:pPr>
        <w:pStyle w:val="Item"/>
        <w:spacing w:before="240"/>
        <w:ind w:left="0"/>
        <w:rPr>
          <w:b/>
          <w:kern w:val="28"/>
          <w:sz w:val="24"/>
        </w:rPr>
      </w:pPr>
      <w:r w:rsidRPr="009E24EB">
        <w:rPr>
          <w:b/>
          <w:kern w:val="28"/>
          <w:sz w:val="24"/>
        </w:rPr>
        <w:t>Item [49] – Paragraph 2.20(3</w:t>
      </w:r>
      <w:proofErr w:type="gramStart"/>
      <w:r w:rsidRPr="009E24EB">
        <w:rPr>
          <w:b/>
          <w:kern w:val="28"/>
          <w:sz w:val="24"/>
        </w:rPr>
        <w:t>)(</w:t>
      </w:r>
      <w:proofErr w:type="gramEnd"/>
      <w:r w:rsidRPr="009E24EB">
        <w:rPr>
          <w:b/>
          <w:kern w:val="28"/>
          <w:sz w:val="24"/>
        </w:rPr>
        <w:t>a)</w:t>
      </w:r>
    </w:p>
    <w:p w14:paraId="4E214D36" w14:textId="43224623" w:rsidR="004E3DB9" w:rsidRPr="009E24EB" w:rsidRDefault="004E3DB9" w:rsidP="004E3DB9">
      <w:pPr>
        <w:pStyle w:val="Item"/>
        <w:spacing w:before="120"/>
        <w:ind w:left="0"/>
        <w:rPr>
          <w:sz w:val="24"/>
          <w:szCs w:val="24"/>
        </w:rPr>
      </w:pPr>
      <w:r w:rsidRPr="009E24EB">
        <w:rPr>
          <w:sz w:val="24"/>
          <w:szCs w:val="24"/>
        </w:rPr>
        <w:t>This item amend</w:t>
      </w:r>
      <w:r w:rsidR="00926859" w:rsidRPr="009E24EB">
        <w:rPr>
          <w:sz w:val="24"/>
          <w:szCs w:val="24"/>
        </w:rPr>
        <w:t>ed</w:t>
      </w:r>
      <w:r w:rsidRPr="009E24EB">
        <w:rPr>
          <w:sz w:val="24"/>
          <w:szCs w:val="24"/>
        </w:rPr>
        <w:t xml:space="preserve"> the wording of paragraph (a) </w:t>
      </w:r>
      <w:r w:rsidR="004D3BF2" w:rsidRPr="009E24EB">
        <w:rPr>
          <w:sz w:val="24"/>
          <w:szCs w:val="24"/>
        </w:rPr>
        <w:t>withi</w:t>
      </w:r>
      <w:r w:rsidRPr="009E24EB">
        <w:rPr>
          <w:sz w:val="24"/>
          <w:szCs w:val="24"/>
        </w:rPr>
        <w:t xml:space="preserve">n the </w:t>
      </w:r>
      <w:r w:rsidR="00926859" w:rsidRPr="009E24EB">
        <w:rPr>
          <w:sz w:val="24"/>
          <w:szCs w:val="24"/>
        </w:rPr>
        <w:t xml:space="preserve">Principal Regulations to clarify the fee that </w:t>
      </w:r>
      <w:r w:rsidR="00EA76CA" w:rsidRPr="009E24EB">
        <w:rPr>
          <w:sz w:val="24"/>
          <w:szCs w:val="24"/>
        </w:rPr>
        <w:t xml:space="preserve">will </w:t>
      </w:r>
      <w:r w:rsidR="00926859" w:rsidRPr="009E24EB">
        <w:rPr>
          <w:sz w:val="24"/>
          <w:szCs w:val="24"/>
        </w:rPr>
        <w:t xml:space="preserve">be payable as a result of the Department’s validation of an evaluation category. The fee that </w:t>
      </w:r>
      <w:r w:rsidR="00B55595" w:rsidRPr="009E24EB">
        <w:rPr>
          <w:sz w:val="24"/>
          <w:szCs w:val="24"/>
        </w:rPr>
        <w:t>applies is i</w:t>
      </w:r>
      <w:r w:rsidR="00926859" w:rsidRPr="009E24EB">
        <w:rPr>
          <w:sz w:val="24"/>
          <w:szCs w:val="24"/>
        </w:rPr>
        <w:t>n the same financial year as the notification was originally given by the Department.</w:t>
      </w:r>
    </w:p>
    <w:p w14:paraId="73200ED2" w14:textId="77777777" w:rsidR="00EA76CA" w:rsidRPr="009E24EB" w:rsidRDefault="00EA76CA">
      <w:pPr>
        <w:rPr>
          <w:b/>
          <w:kern w:val="28"/>
        </w:rPr>
      </w:pPr>
      <w:r w:rsidRPr="009E24EB">
        <w:rPr>
          <w:b/>
          <w:kern w:val="28"/>
        </w:rPr>
        <w:br w:type="page"/>
      </w:r>
    </w:p>
    <w:p w14:paraId="57444D24" w14:textId="7D605168" w:rsidR="00EA76CA" w:rsidRPr="009E24EB" w:rsidRDefault="004E3DB9" w:rsidP="00EA76CA">
      <w:pPr>
        <w:pStyle w:val="Item"/>
        <w:spacing w:before="240"/>
        <w:ind w:left="0"/>
        <w:rPr>
          <w:b/>
          <w:kern w:val="28"/>
          <w:sz w:val="24"/>
        </w:rPr>
      </w:pPr>
      <w:r w:rsidRPr="009E24EB">
        <w:rPr>
          <w:b/>
          <w:kern w:val="28"/>
          <w:sz w:val="24"/>
        </w:rPr>
        <w:lastRenderedPageBreak/>
        <w:t xml:space="preserve">Item [50] – </w:t>
      </w:r>
      <w:proofErr w:type="spellStart"/>
      <w:r w:rsidRPr="009E24EB">
        <w:rPr>
          <w:b/>
          <w:kern w:val="28"/>
          <w:sz w:val="24"/>
        </w:rPr>
        <w:t>Subregulation</w:t>
      </w:r>
      <w:proofErr w:type="spellEnd"/>
      <w:r w:rsidRPr="009E24EB">
        <w:rPr>
          <w:b/>
          <w:kern w:val="28"/>
          <w:sz w:val="24"/>
        </w:rPr>
        <w:t xml:space="preserve"> 2.20(3)</w:t>
      </w:r>
    </w:p>
    <w:p w14:paraId="31A031CE" w14:textId="77777777" w:rsidR="00D12B6E" w:rsidRPr="009E24EB" w:rsidRDefault="00D12B6E" w:rsidP="00D12B6E">
      <w:pPr>
        <w:pStyle w:val="Item"/>
        <w:ind w:left="0"/>
        <w:rPr>
          <w:sz w:val="24"/>
          <w:szCs w:val="24"/>
        </w:rPr>
      </w:pPr>
      <w:r w:rsidRPr="009E24EB">
        <w:rPr>
          <w:sz w:val="24"/>
          <w:szCs w:val="24"/>
        </w:rPr>
        <w:t xml:space="preserve">This item removed the reference to ‘the Department’ from the Principal Regulations to align with section 99YBA of the Act which specifies that fees are payable to the Commonwealth. </w:t>
      </w:r>
    </w:p>
    <w:p w14:paraId="19B9EFF7" w14:textId="77777777" w:rsidR="004E3DB9" w:rsidRPr="009E24EB" w:rsidRDefault="004E3DB9" w:rsidP="004E3DB9">
      <w:pPr>
        <w:pStyle w:val="Item"/>
        <w:spacing w:before="240"/>
        <w:ind w:left="0"/>
        <w:rPr>
          <w:b/>
          <w:kern w:val="28"/>
          <w:sz w:val="24"/>
        </w:rPr>
      </w:pPr>
      <w:r w:rsidRPr="009E24EB">
        <w:rPr>
          <w:b/>
          <w:kern w:val="28"/>
          <w:sz w:val="24"/>
        </w:rPr>
        <w:t xml:space="preserve">Item [51] – </w:t>
      </w:r>
      <w:proofErr w:type="spellStart"/>
      <w:r w:rsidRPr="009E24EB">
        <w:rPr>
          <w:b/>
          <w:kern w:val="28"/>
          <w:sz w:val="24"/>
        </w:rPr>
        <w:t>Subregulation</w:t>
      </w:r>
      <w:proofErr w:type="spellEnd"/>
      <w:r w:rsidRPr="009E24EB">
        <w:rPr>
          <w:b/>
          <w:kern w:val="28"/>
          <w:sz w:val="24"/>
        </w:rPr>
        <w:t xml:space="preserve"> 2.20(4)</w:t>
      </w:r>
    </w:p>
    <w:p w14:paraId="0D379F31" w14:textId="607A0C5E" w:rsidR="004E3DB9" w:rsidRPr="009E24EB" w:rsidRDefault="004E3DB9" w:rsidP="004E3DB9">
      <w:pPr>
        <w:pStyle w:val="Item"/>
        <w:ind w:left="0"/>
        <w:rPr>
          <w:sz w:val="24"/>
          <w:szCs w:val="24"/>
        </w:rPr>
      </w:pPr>
      <w:r w:rsidRPr="009E24EB">
        <w:rPr>
          <w:sz w:val="24"/>
          <w:szCs w:val="24"/>
        </w:rPr>
        <w:t xml:space="preserve">This item </w:t>
      </w:r>
      <w:r w:rsidR="00EA76CA" w:rsidRPr="009E24EB">
        <w:rPr>
          <w:sz w:val="24"/>
          <w:szCs w:val="24"/>
        </w:rPr>
        <w:t xml:space="preserve">removed </w:t>
      </w:r>
      <w:r w:rsidRPr="009E24EB">
        <w:rPr>
          <w:sz w:val="24"/>
          <w:szCs w:val="24"/>
        </w:rPr>
        <w:t xml:space="preserve">this </w:t>
      </w:r>
      <w:proofErr w:type="spellStart"/>
      <w:r w:rsidRPr="009E24EB">
        <w:rPr>
          <w:sz w:val="24"/>
          <w:szCs w:val="24"/>
        </w:rPr>
        <w:t>subregulation</w:t>
      </w:r>
      <w:proofErr w:type="spellEnd"/>
      <w:r w:rsidRPr="009E24EB">
        <w:rPr>
          <w:sz w:val="24"/>
          <w:szCs w:val="24"/>
        </w:rPr>
        <w:t xml:space="preserve"> from the Principal Regulations as it </w:t>
      </w:r>
      <w:r w:rsidR="00EA76CA" w:rsidRPr="009E24EB">
        <w:rPr>
          <w:sz w:val="24"/>
          <w:szCs w:val="24"/>
        </w:rPr>
        <w:t xml:space="preserve">is </w:t>
      </w:r>
      <w:r w:rsidRPr="009E24EB">
        <w:rPr>
          <w:sz w:val="24"/>
          <w:szCs w:val="24"/>
        </w:rPr>
        <w:t>no longer required</w:t>
      </w:r>
      <w:r w:rsidR="00EA76CA" w:rsidRPr="009E24EB">
        <w:rPr>
          <w:sz w:val="24"/>
          <w:szCs w:val="24"/>
        </w:rPr>
        <w:t>.</w:t>
      </w:r>
    </w:p>
    <w:p w14:paraId="29E2C0B7" w14:textId="77777777" w:rsidR="004E3DB9" w:rsidRPr="009E24EB" w:rsidRDefault="004E3DB9" w:rsidP="004E3DB9">
      <w:pPr>
        <w:pStyle w:val="Item"/>
        <w:spacing w:before="240"/>
        <w:ind w:left="0"/>
        <w:rPr>
          <w:b/>
          <w:kern w:val="28"/>
          <w:sz w:val="24"/>
        </w:rPr>
      </w:pPr>
      <w:r w:rsidRPr="009E24EB">
        <w:rPr>
          <w:b/>
          <w:kern w:val="28"/>
          <w:sz w:val="24"/>
        </w:rPr>
        <w:t>Item [52] – 3.1 (paragraph beginning “The pricing application”)</w:t>
      </w:r>
    </w:p>
    <w:p w14:paraId="7B0802DF" w14:textId="563AEF7A" w:rsidR="004E3DB9" w:rsidRPr="009E24EB" w:rsidRDefault="004E3DB9" w:rsidP="004E3DB9">
      <w:pPr>
        <w:pStyle w:val="Item"/>
        <w:ind w:left="0"/>
        <w:rPr>
          <w:sz w:val="24"/>
          <w:szCs w:val="24"/>
        </w:rPr>
      </w:pPr>
      <w:r w:rsidRPr="009E24EB">
        <w:rPr>
          <w:sz w:val="24"/>
          <w:szCs w:val="24"/>
        </w:rPr>
        <w:t xml:space="preserve">This item </w:t>
      </w:r>
      <w:r w:rsidR="00EA76CA" w:rsidRPr="009E24EB">
        <w:rPr>
          <w:sz w:val="24"/>
          <w:szCs w:val="24"/>
        </w:rPr>
        <w:t>r</w:t>
      </w:r>
      <w:r w:rsidRPr="009E24EB">
        <w:rPr>
          <w:sz w:val="24"/>
          <w:szCs w:val="24"/>
        </w:rPr>
        <w:t>eplace</w:t>
      </w:r>
      <w:r w:rsidR="00EA76CA" w:rsidRPr="009E24EB">
        <w:rPr>
          <w:sz w:val="24"/>
          <w:szCs w:val="24"/>
        </w:rPr>
        <w:t>d</w:t>
      </w:r>
      <w:r w:rsidRPr="009E24EB">
        <w:rPr>
          <w:sz w:val="24"/>
          <w:szCs w:val="24"/>
        </w:rPr>
        <w:t xml:space="preserve"> the words ‘42 days’ with ‘30 business days’ </w:t>
      </w:r>
      <w:r w:rsidR="004D3BF2" w:rsidRPr="009E24EB">
        <w:rPr>
          <w:sz w:val="24"/>
          <w:szCs w:val="24"/>
        </w:rPr>
        <w:t>with</w:t>
      </w:r>
      <w:r w:rsidRPr="009E24EB">
        <w:rPr>
          <w:sz w:val="24"/>
          <w:szCs w:val="24"/>
        </w:rPr>
        <w:t>in the Principal Regulations</w:t>
      </w:r>
      <w:r w:rsidR="004D3BF2" w:rsidRPr="009E24EB">
        <w:rPr>
          <w:sz w:val="24"/>
          <w:szCs w:val="24"/>
        </w:rPr>
        <w:t>.</w:t>
      </w:r>
    </w:p>
    <w:p w14:paraId="7D630F68" w14:textId="77777777" w:rsidR="004E3DB9" w:rsidRPr="009E24EB" w:rsidRDefault="004E3DB9" w:rsidP="004E3DB9">
      <w:pPr>
        <w:pStyle w:val="Item"/>
        <w:spacing w:before="240"/>
        <w:ind w:left="0"/>
        <w:rPr>
          <w:b/>
          <w:kern w:val="28"/>
          <w:sz w:val="24"/>
        </w:rPr>
      </w:pPr>
      <w:r w:rsidRPr="009E24EB">
        <w:rPr>
          <w:b/>
          <w:kern w:val="28"/>
          <w:sz w:val="24"/>
        </w:rPr>
        <w:t>Item [53] – At the end of regulation 3.1</w:t>
      </w:r>
    </w:p>
    <w:p w14:paraId="5C530649" w14:textId="533232E9" w:rsidR="004E3DB9" w:rsidRPr="009E24EB" w:rsidRDefault="004E3DB9" w:rsidP="004E3DB9">
      <w:pPr>
        <w:pStyle w:val="Item"/>
        <w:ind w:left="0"/>
        <w:rPr>
          <w:sz w:val="24"/>
          <w:szCs w:val="24"/>
        </w:rPr>
      </w:pPr>
      <w:r w:rsidRPr="009E24EB">
        <w:rPr>
          <w:sz w:val="24"/>
          <w:szCs w:val="24"/>
        </w:rPr>
        <w:t>This item insert</w:t>
      </w:r>
      <w:r w:rsidR="00EA76CA" w:rsidRPr="009E24EB">
        <w:rPr>
          <w:sz w:val="24"/>
          <w:szCs w:val="24"/>
        </w:rPr>
        <w:t>ed</w:t>
      </w:r>
      <w:r w:rsidRPr="009E24EB">
        <w:rPr>
          <w:sz w:val="24"/>
          <w:szCs w:val="24"/>
        </w:rPr>
        <w:t xml:space="preserve"> a new paragraph into the Principal Regulations to provide a simplified outline for the changes </w:t>
      </w:r>
      <w:r w:rsidR="009E68BB" w:rsidRPr="009E24EB">
        <w:rPr>
          <w:sz w:val="24"/>
          <w:szCs w:val="24"/>
        </w:rPr>
        <w:t>made t</w:t>
      </w:r>
      <w:r w:rsidRPr="009E24EB">
        <w:rPr>
          <w:sz w:val="24"/>
          <w:szCs w:val="24"/>
        </w:rPr>
        <w:t>o Part 3</w:t>
      </w:r>
      <w:r w:rsidR="009E68BB" w:rsidRPr="009E24EB">
        <w:rPr>
          <w:sz w:val="24"/>
          <w:szCs w:val="24"/>
        </w:rPr>
        <w:t>.</w:t>
      </w:r>
      <w:r w:rsidR="00EA76CA" w:rsidRPr="009E24EB">
        <w:rPr>
          <w:sz w:val="24"/>
          <w:szCs w:val="24"/>
        </w:rPr>
        <w:t xml:space="preserve"> </w:t>
      </w:r>
    </w:p>
    <w:p w14:paraId="782501F2" w14:textId="77777777" w:rsidR="004E3DB9" w:rsidRPr="009E24EB" w:rsidRDefault="004E3DB9" w:rsidP="004E3DB9">
      <w:pPr>
        <w:pStyle w:val="Item"/>
        <w:spacing w:before="240"/>
        <w:ind w:left="0"/>
        <w:rPr>
          <w:b/>
          <w:kern w:val="28"/>
          <w:sz w:val="24"/>
        </w:rPr>
      </w:pPr>
      <w:r w:rsidRPr="009E24EB">
        <w:rPr>
          <w:b/>
          <w:kern w:val="28"/>
          <w:sz w:val="24"/>
        </w:rPr>
        <w:t xml:space="preserve">Item [54] – </w:t>
      </w:r>
      <w:proofErr w:type="spellStart"/>
      <w:r w:rsidRPr="009E24EB">
        <w:rPr>
          <w:b/>
          <w:kern w:val="28"/>
          <w:sz w:val="24"/>
        </w:rPr>
        <w:t>Subregulation</w:t>
      </w:r>
      <w:proofErr w:type="spellEnd"/>
      <w:r w:rsidRPr="009E24EB">
        <w:rPr>
          <w:b/>
          <w:kern w:val="28"/>
          <w:sz w:val="24"/>
        </w:rPr>
        <w:t xml:space="preserve"> 3.3(1) (table)</w:t>
      </w:r>
    </w:p>
    <w:p w14:paraId="32106B44" w14:textId="44A7E6EF" w:rsidR="004E3DB9" w:rsidRPr="009E24EB" w:rsidRDefault="004E3DB9" w:rsidP="004E3DB9">
      <w:pPr>
        <w:pStyle w:val="Item"/>
        <w:spacing w:before="120"/>
        <w:ind w:left="0"/>
        <w:rPr>
          <w:sz w:val="24"/>
          <w:szCs w:val="24"/>
        </w:rPr>
      </w:pPr>
      <w:r w:rsidRPr="009E24EB">
        <w:rPr>
          <w:sz w:val="24"/>
          <w:szCs w:val="24"/>
        </w:rPr>
        <w:t xml:space="preserve">This item </w:t>
      </w:r>
      <w:r w:rsidR="00EA76CA" w:rsidRPr="009E24EB">
        <w:rPr>
          <w:sz w:val="24"/>
          <w:szCs w:val="24"/>
        </w:rPr>
        <w:t xml:space="preserve">replaced </w:t>
      </w:r>
      <w:r w:rsidRPr="009E24EB">
        <w:rPr>
          <w:sz w:val="24"/>
          <w:szCs w:val="24"/>
        </w:rPr>
        <w:t>the fee table within the Principal Regulations to reflect the revised 2020-21 fees approved by G</w:t>
      </w:r>
      <w:r w:rsidR="00EA76CA" w:rsidRPr="009E24EB">
        <w:rPr>
          <w:sz w:val="24"/>
          <w:szCs w:val="24"/>
        </w:rPr>
        <w:t xml:space="preserve">overnment in the 2020-21 Budget. </w:t>
      </w:r>
      <w:r w:rsidRPr="009E24EB">
        <w:rPr>
          <w:sz w:val="24"/>
          <w:szCs w:val="24"/>
        </w:rPr>
        <w:t>This amendment reflect</w:t>
      </w:r>
      <w:r w:rsidR="00EA76CA" w:rsidRPr="009E24EB">
        <w:rPr>
          <w:sz w:val="24"/>
          <w:szCs w:val="24"/>
        </w:rPr>
        <w:t>s</w:t>
      </w:r>
      <w:r w:rsidRPr="009E24EB">
        <w:rPr>
          <w:sz w:val="24"/>
          <w:szCs w:val="24"/>
        </w:rPr>
        <w:t xml:space="preserve"> the costs incurred by the Department in providing pricing services</w:t>
      </w:r>
      <w:r w:rsidR="00EA76CA" w:rsidRPr="009E24EB">
        <w:rPr>
          <w:sz w:val="24"/>
          <w:szCs w:val="24"/>
        </w:rPr>
        <w:t>.</w:t>
      </w:r>
    </w:p>
    <w:p w14:paraId="3C6244E9" w14:textId="77777777" w:rsidR="00143E21" w:rsidRPr="009E24EB" w:rsidRDefault="00143E21" w:rsidP="00143E21">
      <w:pPr>
        <w:pStyle w:val="Item"/>
        <w:spacing w:before="120"/>
        <w:ind w:left="0"/>
        <w:rPr>
          <w:sz w:val="24"/>
          <w:szCs w:val="24"/>
        </w:rPr>
      </w:pPr>
      <w:r w:rsidRPr="009E24EB">
        <w:rPr>
          <w:sz w:val="24"/>
          <w:szCs w:val="24"/>
        </w:rPr>
        <w:t xml:space="preserve">Pricing Pathway A, B and C fees outlined in the table include the $8,275 ‘rebate management fee’.  This fee covers rebate management activities undertaken by the Department, required over the five-year deed term for an applicant to maintain their PBS listing arrangements. </w:t>
      </w:r>
    </w:p>
    <w:p w14:paraId="3AEFCF18" w14:textId="13AF158E" w:rsidR="004E3DB9" w:rsidRPr="009E24EB" w:rsidRDefault="004E3DB9" w:rsidP="004E3DB9">
      <w:pPr>
        <w:pStyle w:val="Item"/>
        <w:spacing w:before="120"/>
        <w:ind w:left="0"/>
        <w:rPr>
          <w:sz w:val="24"/>
          <w:szCs w:val="24"/>
        </w:rPr>
      </w:pPr>
      <w:r w:rsidRPr="009E24EB">
        <w:rPr>
          <w:sz w:val="24"/>
          <w:szCs w:val="24"/>
        </w:rPr>
        <w:t xml:space="preserve">To support implementation of the </w:t>
      </w:r>
      <w:r w:rsidR="00EA76CA" w:rsidRPr="009E24EB">
        <w:rPr>
          <w:sz w:val="24"/>
          <w:szCs w:val="24"/>
        </w:rPr>
        <w:t>second stage of</w:t>
      </w:r>
      <w:r w:rsidRPr="009E24EB">
        <w:rPr>
          <w:sz w:val="24"/>
          <w:szCs w:val="24"/>
        </w:rPr>
        <w:t xml:space="preserve"> PBS process improvements, the Department further reviewed and updated the 2018-19 cost model. New activities were identified because of the changes to submission evaluation categories. In addition, there have been changes to all fees because of parameter changes, which include changes to IT costs, depreciation, salary and wage costs to meet whole-of-Government requirements. </w:t>
      </w:r>
    </w:p>
    <w:p w14:paraId="223B869C" w14:textId="77777777" w:rsidR="004E3DB9" w:rsidRPr="009E24EB" w:rsidRDefault="004E3DB9" w:rsidP="004E3DB9">
      <w:pPr>
        <w:pStyle w:val="Item"/>
        <w:spacing w:before="240"/>
        <w:ind w:left="0"/>
        <w:rPr>
          <w:b/>
          <w:kern w:val="28"/>
          <w:sz w:val="24"/>
        </w:rPr>
      </w:pPr>
      <w:r w:rsidRPr="009E24EB">
        <w:rPr>
          <w:b/>
          <w:kern w:val="28"/>
          <w:sz w:val="24"/>
        </w:rPr>
        <w:t xml:space="preserve">Item [55] – </w:t>
      </w:r>
      <w:proofErr w:type="spellStart"/>
      <w:r w:rsidRPr="009E24EB">
        <w:rPr>
          <w:b/>
          <w:kern w:val="28"/>
          <w:sz w:val="24"/>
        </w:rPr>
        <w:t>Subregulation</w:t>
      </w:r>
      <w:proofErr w:type="spellEnd"/>
      <w:r w:rsidRPr="009E24EB">
        <w:rPr>
          <w:b/>
          <w:kern w:val="28"/>
          <w:sz w:val="24"/>
        </w:rPr>
        <w:t xml:space="preserve"> 3.3(2)</w:t>
      </w:r>
    </w:p>
    <w:p w14:paraId="60A7CBBD" w14:textId="003BA62B" w:rsidR="004E3DB9" w:rsidRPr="009E24EB" w:rsidRDefault="004E3DB9" w:rsidP="004E3DB9">
      <w:pPr>
        <w:pStyle w:val="Item"/>
        <w:ind w:left="0"/>
        <w:rPr>
          <w:sz w:val="24"/>
          <w:szCs w:val="24"/>
        </w:rPr>
      </w:pPr>
      <w:r w:rsidRPr="009E24EB">
        <w:rPr>
          <w:sz w:val="24"/>
          <w:szCs w:val="24"/>
        </w:rPr>
        <w:t xml:space="preserve">This item </w:t>
      </w:r>
      <w:r w:rsidR="00BA55BA" w:rsidRPr="009E24EB">
        <w:rPr>
          <w:sz w:val="24"/>
          <w:szCs w:val="24"/>
        </w:rPr>
        <w:t xml:space="preserve">replaced </w:t>
      </w:r>
      <w:r w:rsidRPr="009E24EB">
        <w:rPr>
          <w:sz w:val="24"/>
          <w:szCs w:val="24"/>
        </w:rPr>
        <w:t xml:space="preserve">this </w:t>
      </w:r>
      <w:proofErr w:type="spellStart"/>
      <w:r w:rsidRPr="009E24EB">
        <w:rPr>
          <w:sz w:val="24"/>
          <w:szCs w:val="24"/>
        </w:rPr>
        <w:t>subregulation</w:t>
      </w:r>
      <w:proofErr w:type="spellEnd"/>
      <w:r w:rsidRPr="009E24EB">
        <w:rPr>
          <w:sz w:val="24"/>
          <w:szCs w:val="24"/>
        </w:rPr>
        <w:t xml:space="preserve"> </w:t>
      </w:r>
      <w:r w:rsidR="00995813" w:rsidRPr="009E24EB">
        <w:rPr>
          <w:sz w:val="24"/>
          <w:szCs w:val="24"/>
        </w:rPr>
        <w:t>with</w:t>
      </w:r>
      <w:r w:rsidRPr="009E24EB">
        <w:rPr>
          <w:sz w:val="24"/>
          <w:szCs w:val="24"/>
        </w:rPr>
        <w:t xml:space="preserve">in the Principal Regulations </w:t>
      </w:r>
      <w:r w:rsidR="00143E21" w:rsidRPr="009E24EB">
        <w:rPr>
          <w:sz w:val="24"/>
          <w:szCs w:val="24"/>
        </w:rPr>
        <w:t>to</w:t>
      </w:r>
      <w:r w:rsidRPr="009E24EB">
        <w:rPr>
          <w:sz w:val="24"/>
          <w:szCs w:val="24"/>
        </w:rPr>
        <w:t xml:space="preserve"> specify the non-refundable deposit amounts that apply for pricing services. </w:t>
      </w:r>
    </w:p>
    <w:p w14:paraId="00016804" w14:textId="709A2667" w:rsidR="00175CFD" w:rsidRPr="009E24EB" w:rsidRDefault="00143E21" w:rsidP="00175CFD">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 xml:space="preserve">This item also </w:t>
      </w:r>
      <w:r w:rsidR="008214AF" w:rsidRPr="009E24EB">
        <w:rPr>
          <w:rFonts w:ascii="Times New Roman" w:hAnsi="Times New Roman"/>
          <w:b w:val="0"/>
          <w:kern w:val="0"/>
          <w:szCs w:val="24"/>
        </w:rPr>
        <w:t xml:space="preserve">removed </w:t>
      </w:r>
      <w:r w:rsidR="00175CFD" w:rsidRPr="009E24EB">
        <w:rPr>
          <w:rFonts w:ascii="Times New Roman" w:hAnsi="Times New Roman"/>
          <w:b w:val="0"/>
          <w:kern w:val="0"/>
          <w:szCs w:val="24"/>
        </w:rPr>
        <w:t xml:space="preserve">the note related to indexation of fees by CPI from the Principal Regulations to reflect the change made by item 75. </w:t>
      </w:r>
    </w:p>
    <w:p w14:paraId="4F70FCB7" w14:textId="77777777" w:rsidR="004E3DB9" w:rsidRPr="009E24EB" w:rsidRDefault="004E3DB9" w:rsidP="004E3DB9">
      <w:pPr>
        <w:pStyle w:val="Item"/>
        <w:spacing w:before="240"/>
        <w:ind w:left="0"/>
        <w:rPr>
          <w:b/>
          <w:kern w:val="28"/>
          <w:sz w:val="24"/>
        </w:rPr>
      </w:pPr>
      <w:r w:rsidRPr="009E24EB">
        <w:rPr>
          <w:b/>
          <w:kern w:val="28"/>
          <w:sz w:val="24"/>
        </w:rPr>
        <w:t xml:space="preserve">Item [56] – </w:t>
      </w:r>
      <w:proofErr w:type="spellStart"/>
      <w:r w:rsidRPr="009E24EB">
        <w:rPr>
          <w:b/>
          <w:kern w:val="28"/>
          <w:sz w:val="24"/>
        </w:rPr>
        <w:t>Subregulation</w:t>
      </w:r>
      <w:proofErr w:type="spellEnd"/>
      <w:r w:rsidRPr="009E24EB">
        <w:rPr>
          <w:b/>
          <w:kern w:val="28"/>
          <w:sz w:val="24"/>
        </w:rPr>
        <w:t xml:space="preserve"> 3.12(1)</w:t>
      </w:r>
    </w:p>
    <w:p w14:paraId="3A14FD51" w14:textId="77777777" w:rsidR="00D12B6E" w:rsidRPr="009E24EB" w:rsidRDefault="00D12B6E" w:rsidP="00D12B6E">
      <w:pPr>
        <w:pStyle w:val="Item"/>
        <w:ind w:left="0"/>
        <w:rPr>
          <w:sz w:val="24"/>
          <w:szCs w:val="24"/>
        </w:rPr>
      </w:pPr>
      <w:r w:rsidRPr="009E24EB">
        <w:rPr>
          <w:sz w:val="24"/>
          <w:szCs w:val="24"/>
        </w:rPr>
        <w:t xml:space="preserve">This item removed the reference to ‘the Department’ from the Principal Regulations to align with section 99YBA of the Act which specifies that fees are payable to the Commonwealth. </w:t>
      </w:r>
    </w:p>
    <w:p w14:paraId="4092C8F4" w14:textId="77777777" w:rsidR="004E3DB9" w:rsidRPr="009E24EB" w:rsidRDefault="004E3DB9" w:rsidP="004E3DB9">
      <w:pPr>
        <w:pStyle w:val="Item"/>
        <w:spacing w:before="240"/>
        <w:ind w:left="0"/>
        <w:rPr>
          <w:b/>
          <w:kern w:val="28"/>
          <w:sz w:val="24"/>
        </w:rPr>
      </w:pPr>
      <w:r w:rsidRPr="009E24EB">
        <w:rPr>
          <w:b/>
          <w:kern w:val="28"/>
          <w:sz w:val="24"/>
        </w:rPr>
        <w:t xml:space="preserve">Item [57] – </w:t>
      </w:r>
      <w:proofErr w:type="spellStart"/>
      <w:r w:rsidRPr="009E24EB">
        <w:rPr>
          <w:b/>
          <w:kern w:val="28"/>
          <w:sz w:val="24"/>
        </w:rPr>
        <w:t>Subregulation</w:t>
      </w:r>
      <w:proofErr w:type="spellEnd"/>
      <w:r w:rsidRPr="009E24EB">
        <w:rPr>
          <w:b/>
          <w:kern w:val="28"/>
          <w:sz w:val="24"/>
        </w:rPr>
        <w:t xml:space="preserve"> 3.12(1) (note 2)</w:t>
      </w:r>
    </w:p>
    <w:p w14:paraId="5A340E35" w14:textId="3E53E6D4" w:rsidR="004E3DB9" w:rsidRPr="009E24EB" w:rsidRDefault="00AE1F6A" w:rsidP="004E3DB9">
      <w:pPr>
        <w:pStyle w:val="Item"/>
        <w:ind w:left="0"/>
        <w:rPr>
          <w:sz w:val="24"/>
          <w:szCs w:val="24"/>
        </w:rPr>
      </w:pPr>
      <w:r w:rsidRPr="009E24EB">
        <w:rPr>
          <w:sz w:val="24"/>
          <w:szCs w:val="24"/>
        </w:rPr>
        <w:t>This item removed this note from the Principal Regulations – refer item 58</w:t>
      </w:r>
    </w:p>
    <w:p w14:paraId="77AFE2A5" w14:textId="77777777" w:rsidR="00143E21" w:rsidRPr="009E24EB" w:rsidRDefault="004E3DB9" w:rsidP="00143E21">
      <w:pPr>
        <w:pStyle w:val="Item"/>
        <w:spacing w:before="240"/>
        <w:ind w:left="0"/>
        <w:rPr>
          <w:b/>
          <w:kern w:val="28"/>
          <w:sz w:val="24"/>
        </w:rPr>
      </w:pPr>
      <w:r w:rsidRPr="009E24EB">
        <w:rPr>
          <w:b/>
          <w:kern w:val="28"/>
          <w:sz w:val="24"/>
        </w:rPr>
        <w:t xml:space="preserve">Item [58] – </w:t>
      </w:r>
      <w:proofErr w:type="spellStart"/>
      <w:r w:rsidRPr="009E24EB">
        <w:rPr>
          <w:b/>
          <w:kern w:val="28"/>
          <w:sz w:val="24"/>
        </w:rPr>
        <w:t>Subregulations</w:t>
      </w:r>
      <w:proofErr w:type="spellEnd"/>
      <w:r w:rsidRPr="009E24EB">
        <w:rPr>
          <w:b/>
          <w:kern w:val="28"/>
          <w:sz w:val="24"/>
        </w:rPr>
        <w:t xml:space="preserve"> 3.12(2) and (3)</w:t>
      </w:r>
    </w:p>
    <w:p w14:paraId="3D734AAE" w14:textId="68020E34" w:rsidR="004E3DB9" w:rsidRPr="009E24EB" w:rsidRDefault="004E3DB9" w:rsidP="00143E21">
      <w:pPr>
        <w:pStyle w:val="Item"/>
        <w:spacing w:before="120"/>
        <w:ind w:left="0"/>
        <w:rPr>
          <w:sz w:val="24"/>
          <w:szCs w:val="24"/>
        </w:rPr>
      </w:pPr>
      <w:r w:rsidRPr="009E24EB">
        <w:rPr>
          <w:sz w:val="24"/>
          <w:szCs w:val="24"/>
        </w:rPr>
        <w:t xml:space="preserve">This item </w:t>
      </w:r>
      <w:r w:rsidR="00143E21" w:rsidRPr="009E24EB">
        <w:rPr>
          <w:sz w:val="24"/>
          <w:szCs w:val="24"/>
        </w:rPr>
        <w:t>replace</w:t>
      </w:r>
      <w:r w:rsidR="00B55595" w:rsidRPr="009E24EB">
        <w:rPr>
          <w:sz w:val="24"/>
          <w:szCs w:val="24"/>
        </w:rPr>
        <w:t>d</w:t>
      </w:r>
      <w:r w:rsidR="00143E21" w:rsidRPr="009E24EB">
        <w:rPr>
          <w:sz w:val="24"/>
          <w:szCs w:val="24"/>
        </w:rPr>
        <w:t xml:space="preserve"> </w:t>
      </w:r>
      <w:r w:rsidRPr="009E24EB">
        <w:rPr>
          <w:sz w:val="24"/>
          <w:szCs w:val="24"/>
        </w:rPr>
        <w:t>the</w:t>
      </w:r>
      <w:r w:rsidR="00143E21" w:rsidRPr="009E24EB">
        <w:rPr>
          <w:sz w:val="24"/>
          <w:szCs w:val="24"/>
        </w:rPr>
        <w:t>se</w:t>
      </w:r>
      <w:r w:rsidRPr="009E24EB">
        <w:rPr>
          <w:sz w:val="24"/>
          <w:szCs w:val="24"/>
        </w:rPr>
        <w:t xml:space="preserve"> </w:t>
      </w:r>
      <w:proofErr w:type="spellStart"/>
      <w:r w:rsidRPr="009E24EB">
        <w:rPr>
          <w:sz w:val="24"/>
          <w:szCs w:val="24"/>
        </w:rPr>
        <w:t>subregulations</w:t>
      </w:r>
      <w:proofErr w:type="spellEnd"/>
      <w:r w:rsidRPr="009E24EB">
        <w:rPr>
          <w:sz w:val="24"/>
          <w:szCs w:val="24"/>
        </w:rPr>
        <w:t xml:space="preserve"> and </w:t>
      </w:r>
      <w:r w:rsidR="00B55595" w:rsidRPr="009E24EB">
        <w:rPr>
          <w:sz w:val="24"/>
          <w:szCs w:val="24"/>
        </w:rPr>
        <w:t xml:space="preserve">the </w:t>
      </w:r>
      <w:r w:rsidRPr="009E24EB">
        <w:rPr>
          <w:sz w:val="24"/>
          <w:szCs w:val="24"/>
        </w:rPr>
        <w:t xml:space="preserve">note </w:t>
      </w:r>
      <w:r w:rsidR="00051788" w:rsidRPr="009E24EB">
        <w:rPr>
          <w:sz w:val="24"/>
          <w:szCs w:val="24"/>
        </w:rPr>
        <w:t xml:space="preserve">within the Principal Regulations </w:t>
      </w:r>
      <w:r w:rsidR="00143E21" w:rsidRPr="009E24EB">
        <w:rPr>
          <w:sz w:val="24"/>
          <w:szCs w:val="24"/>
        </w:rPr>
        <w:t>to</w:t>
      </w:r>
      <w:r w:rsidRPr="009E24EB">
        <w:rPr>
          <w:sz w:val="24"/>
          <w:szCs w:val="24"/>
        </w:rPr>
        <w:t xml:space="preserve"> </w:t>
      </w:r>
      <w:r w:rsidR="00B55595" w:rsidRPr="009E24EB">
        <w:rPr>
          <w:sz w:val="24"/>
          <w:szCs w:val="24"/>
        </w:rPr>
        <w:t>prov</w:t>
      </w:r>
      <w:r w:rsidRPr="009E24EB">
        <w:rPr>
          <w:sz w:val="24"/>
          <w:szCs w:val="24"/>
        </w:rPr>
        <w:t xml:space="preserve">ide for lodgement of a fee waiver or exemption application with prior notice (where applicable). This amendment reflects the </w:t>
      </w:r>
      <w:r w:rsidR="00143E21" w:rsidRPr="009E24EB">
        <w:rPr>
          <w:sz w:val="24"/>
          <w:szCs w:val="24"/>
        </w:rPr>
        <w:t xml:space="preserve">changes made </w:t>
      </w:r>
      <w:r w:rsidRPr="009E24EB">
        <w:rPr>
          <w:sz w:val="24"/>
          <w:szCs w:val="24"/>
        </w:rPr>
        <w:t>by items 77 and 81.</w:t>
      </w:r>
    </w:p>
    <w:p w14:paraId="0B04D473" w14:textId="08B2751B"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lastRenderedPageBreak/>
        <w:t xml:space="preserve">This item </w:t>
      </w:r>
      <w:r w:rsidR="00143E21" w:rsidRPr="009E24EB">
        <w:rPr>
          <w:rFonts w:ascii="Times New Roman" w:hAnsi="Times New Roman"/>
          <w:b w:val="0"/>
          <w:kern w:val="0"/>
          <w:szCs w:val="24"/>
        </w:rPr>
        <w:t>a</w:t>
      </w:r>
      <w:r w:rsidRPr="009E24EB">
        <w:rPr>
          <w:rFonts w:ascii="Times New Roman" w:hAnsi="Times New Roman"/>
          <w:b w:val="0"/>
          <w:kern w:val="0"/>
          <w:szCs w:val="24"/>
        </w:rPr>
        <w:t>lso require</w:t>
      </w:r>
      <w:r w:rsidR="00143E21" w:rsidRPr="009E24EB">
        <w:rPr>
          <w:rFonts w:ascii="Times New Roman" w:hAnsi="Times New Roman"/>
          <w:b w:val="0"/>
          <w:kern w:val="0"/>
          <w:szCs w:val="24"/>
        </w:rPr>
        <w:t>s</w:t>
      </w:r>
      <w:r w:rsidRPr="009E24EB">
        <w:rPr>
          <w:rFonts w:ascii="Times New Roman" w:hAnsi="Times New Roman"/>
          <w:b w:val="0"/>
          <w:kern w:val="0"/>
          <w:szCs w:val="24"/>
        </w:rPr>
        <w:t xml:space="preserve"> the Department to give notice within 15 days as to whether the waiver or exemption is approved.</w:t>
      </w:r>
    </w:p>
    <w:p w14:paraId="5356EE15" w14:textId="72B14BE8" w:rsidR="004E3DB9" w:rsidRPr="009E24EB" w:rsidRDefault="004E3DB9" w:rsidP="004E3DB9">
      <w:pPr>
        <w:pStyle w:val="Item"/>
        <w:ind w:left="0"/>
        <w:rPr>
          <w:sz w:val="24"/>
          <w:szCs w:val="24"/>
        </w:rPr>
      </w:pPr>
      <w:r w:rsidRPr="009E24EB">
        <w:rPr>
          <w:sz w:val="24"/>
          <w:szCs w:val="24"/>
        </w:rPr>
        <w:t>This item also insert</w:t>
      </w:r>
      <w:r w:rsidR="00143E21" w:rsidRPr="009E24EB">
        <w:rPr>
          <w:sz w:val="24"/>
          <w:szCs w:val="24"/>
        </w:rPr>
        <w:t>ed</w:t>
      </w:r>
      <w:r w:rsidR="00FB75B2" w:rsidRPr="009E24EB">
        <w:rPr>
          <w:sz w:val="24"/>
          <w:szCs w:val="24"/>
        </w:rPr>
        <w:t xml:space="preserve"> a</w:t>
      </w:r>
      <w:r w:rsidRPr="009E24EB">
        <w:rPr>
          <w:sz w:val="24"/>
          <w:szCs w:val="24"/>
        </w:rPr>
        <w:t xml:space="preserve"> note to clarify that Part 4 deals with payment of fees. </w:t>
      </w:r>
      <w:r w:rsidR="00AE1F6A" w:rsidRPr="009E24EB">
        <w:rPr>
          <w:sz w:val="24"/>
          <w:szCs w:val="24"/>
        </w:rPr>
        <w:t>This note was removed by item 58.</w:t>
      </w:r>
    </w:p>
    <w:p w14:paraId="48F87F35" w14:textId="77777777" w:rsidR="004E3DB9" w:rsidRPr="009E24EB" w:rsidRDefault="004E3DB9" w:rsidP="004E3DB9">
      <w:pPr>
        <w:pStyle w:val="Item"/>
        <w:spacing w:before="240"/>
        <w:ind w:left="0"/>
        <w:rPr>
          <w:b/>
          <w:kern w:val="28"/>
          <w:sz w:val="24"/>
        </w:rPr>
      </w:pPr>
      <w:r w:rsidRPr="009E24EB">
        <w:rPr>
          <w:b/>
          <w:kern w:val="28"/>
          <w:sz w:val="24"/>
        </w:rPr>
        <w:t xml:space="preserve">Item [59] – After </w:t>
      </w:r>
      <w:proofErr w:type="spellStart"/>
      <w:r w:rsidRPr="009E24EB">
        <w:rPr>
          <w:b/>
          <w:kern w:val="28"/>
          <w:sz w:val="24"/>
        </w:rPr>
        <w:t>subregulation</w:t>
      </w:r>
      <w:proofErr w:type="spellEnd"/>
      <w:r w:rsidRPr="009E24EB">
        <w:rPr>
          <w:b/>
          <w:kern w:val="28"/>
          <w:sz w:val="24"/>
        </w:rPr>
        <w:t xml:space="preserve"> 3.13(2)</w:t>
      </w:r>
    </w:p>
    <w:p w14:paraId="0034FD75" w14:textId="3AAE02F9" w:rsidR="004E3DB9" w:rsidRPr="009E24EB" w:rsidRDefault="004E3DB9" w:rsidP="004E3DB9">
      <w:pPr>
        <w:pStyle w:val="Item"/>
        <w:ind w:left="0"/>
        <w:rPr>
          <w:sz w:val="24"/>
          <w:szCs w:val="24"/>
        </w:rPr>
      </w:pPr>
      <w:r w:rsidRPr="009E24EB">
        <w:rPr>
          <w:sz w:val="24"/>
          <w:szCs w:val="24"/>
        </w:rPr>
        <w:t>This item insert</w:t>
      </w:r>
      <w:r w:rsidR="00FB75B2" w:rsidRPr="009E24EB">
        <w:rPr>
          <w:sz w:val="24"/>
          <w:szCs w:val="24"/>
        </w:rPr>
        <w:t>ed</w:t>
      </w:r>
      <w:r w:rsidRPr="009E24EB">
        <w:rPr>
          <w:sz w:val="24"/>
          <w:szCs w:val="24"/>
        </w:rPr>
        <w:t xml:space="preserve"> a provision into the Principal Regulations </w:t>
      </w:r>
      <w:r w:rsidR="00FB75B2" w:rsidRPr="009E24EB">
        <w:rPr>
          <w:sz w:val="24"/>
          <w:szCs w:val="24"/>
        </w:rPr>
        <w:t xml:space="preserve">to </w:t>
      </w:r>
      <w:r w:rsidRPr="009E24EB">
        <w:rPr>
          <w:sz w:val="24"/>
          <w:szCs w:val="24"/>
        </w:rPr>
        <w:t>provide for a refund of any fee paid (except for the non-refundable deposit amount)</w:t>
      </w:r>
      <w:r w:rsidR="00FB75B2" w:rsidRPr="009E24EB">
        <w:rPr>
          <w:sz w:val="24"/>
          <w:szCs w:val="24"/>
        </w:rPr>
        <w:t>;</w:t>
      </w:r>
      <w:r w:rsidRPr="009E24EB">
        <w:rPr>
          <w:sz w:val="24"/>
          <w:szCs w:val="24"/>
        </w:rPr>
        <w:t xml:space="preserve"> where an applicant withdraws their pricing application within 10 business days after</w:t>
      </w:r>
      <w:r w:rsidR="00FB75B2" w:rsidRPr="009E24EB">
        <w:rPr>
          <w:sz w:val="24"/>
          <w:szCs w:val="24"/>
        </w:rPr>
        <w:t xml:space="preserve"> a notification is given.</w:t>
      </w:r>
    </w:p>
    <w:p w14:paraId="0BEC25E2" w14:textId="77777777" w:rsidR="004E3DB9" w:rsidRPr="009E24EB" w:rsidRDefault="004E3DB9" w:rsidP="004E3DB9">
      <w:pPr>
        <w:pStyle w:val="Item"/>
        <w:spacing w:before="240"/>
        <w:ind w:left="0"/>
        <w:rPr>
          <w:b/>
          <w:kern w:val="28"/>
          <w:sz w:val="24"/>
        </w:rPr>
      </w:pPr>
      <w:r w:rsidRPr="009E24EB">
        <w:rPr>
          <w:b/>
          <w:kern w:val="28"/>
          <w:sz w:val="24"/>
        </w:rPr>
        <w:t>Item [60] – Paragraph 3.13(3</w:t>
      </w:r>
      <w:proofErr w:type="gramStart"/>
      <w:r w:rsidRPr="009E24EB">
        <w:rPr>
          <w:b/>
          <w:kern w:val="28"/>
          <w:sz w:val="24"/>
        </w:rPr>
        <w:t>)(</w:t>
      </w:r>
      <w:proofErr w:type="gramEnd"/>
      <w:r w:rsidRPr="009E24EB">
        <w:rPr>
          <w:b/>
          <w:kern w:val="28"/>
          <w:sz w:val="24"/>
        </w:rPr>
        <w:t>b)</w:t>
      </w:r>
    </w:p>
    <w:p w14:paraId="7D76014D" w14:textId="73D73081" w:rsidR="004E3DB9" w:rsidRPr="009E24EB" w:rsidRDefault="004E3DB9" w:rsidP="004E3DB9">
      <w:pPr>
        <w:pStyle w:val="Item"/>
        <w:ind w:left="0"/>
        <w:rPr>
          <w:sz w:val="24"/>
          <w:szCs w:val="24"/>
        </w:rPr>
      </w:pPr>
      <w:r w:rsidRPr="009E24EB">
        <w:rPr>
          <w:sz w:val="24"/>
          <w:szCs w:val="24"/>
        </w:rPr>
        <w:t>This item replace</w:t>
      </w:r>
      <w:r w:rsidR="00FB75B2" w:rsidRPr="009E24EB">
        <w:rPr>
          <w:sz w:val="24"/>
          <w:szCs w:val="24"/>
        </w:rPr>
        <w:t>d</w:t>
      </w:r>
      <w:r w:rsidRPr="009E24EB">
        <w:rPr>
          <w:sz w:val="24"/>
          <w:szCs w:val="24"/>
        </w:rPr>
        <w:t xml:space="preserve"> the reference in paragraph (b) </w:t>
      </w:r>
      <w:r w:rsidR="00051788" w:rsidRPr="009E24EB">
        <w:rPr>
          <w:sz w:val="24"/>
          <w:szCs w:val="24"/>
        </w:rPr>
        <w:t>with</w:t>
      </w:r>
      <w:r w:rsidRPr="009E24EB">
        <w:rPr>
          <w:sz w:val="24"/>
          <w:szCs w:val="24"/>
        </w:rPr>
        <w:t xml:space="preserve">in the Principal Regulations to reflect the amendments </w:t>
      </w:r>
      <w:r w:rsidR="00FB75B2" w:rsidRPr="009E24EB">
        <w:rPr>
          <w:sz w:val="24"/>
          <w:szCs w:val="24"/>
        </w:rPr>
        <w:t xml:space="preserve">made by </w:t>
      </w:r>
      <w:r w:rsidRPr="009E24EB">
        <w:rPr>
          <w:sz w:val="24"/>
          <w:szCs w:val="24"/>
        </w:rPr>
        <w:t xml:space="preserve">item 58.  </w:t>
      </w:r>
    </w:p>
    <w:p w14:paraId="331CEA04" w14:textId="77777777" w:rsidR="004E3DB9" w:rsidRPr="009E24EB" w:rsidRDefault="004E3DB9" w:rsidP="004E3DB9">
      <w:pPr>
        <w:pStyle w:val="Item"/>
        <w:spacing w:before="240"/>
        <w:ind w:left="0"/>
        <w:rPr>
          <w:b/>
          <w:kern w:val="28"/>
          <w:sz w:val="24"/>
        </w:rPr>
      </w:pPr>
      <w:r w:rsidRPr="009E24EB">
        <w:rPr>
          <w:b/>
          <w:kern w:val="28"/>
          <w:sz w:val="24"/>
        </w:rPr>
        <w:t>Item [61] – At the end of regulation 3.13</w:t>
      </w:r>
    </w:p>
    <w:p w14:paraId="774A5A2A" w14:textId="5C2E1F72" w:rsidR="004E3DB9" w:rsidRPr="009E24EB" w:rsidRDefault="004E3DB9" w:rsidP="004E3DB9">
      <w:pPr>
        <w:pStyle w:val="Item"/>
        <w:spacing w:before="120"/>
        <w:ind w:left="0"/>
        <w:rPr>
          <w:sz w:val="24"/>
          <w:szCs w:val="24"/>
        </w:rPr>
      </w:pPr>
      <w:r w:rsidRPr="009E24EB">
        <w:rPr>
          <w:sz w:val="24"/>
          <w:szCs w:val="24"/>
        </w:rPr>
        <w:t>This item insert</w:t>
      </w:r>
      <w:r w:rsidR="00FB75B2" w:rsidRPr="009E24EB">
        <w:rPr>
          <w:sz w:val="24"/>
          <w:szCs w:val="24"/>
        </w:rPr>
        <w:t>ed</w:t>
      </w:r>
      <w:r w:rsidRPr="009E24EB">
        <w:rPr>
          <w:sz w:val="24"/>
          <w:szCs w:val="24"/>
        </w:rPr>
        <w:t xml:space="preserve"> a new provision into the Principal Regulations </w:t>
      </w:r>
      <w:r w:rsidR="00FB75B2" w:rsidRPr="009E24EB">
        <w:rPr>
          <w:sz w:val="24"/>
          <w:szCs w:val="24"/>
        </w:rPr>
        <w:t xml:space="preserve">to </w:t>
      </w:r>
      <w:r w:rsidRPr="009E24EB">
        <w:rPr>
          <w:sz w:val="24"/>
          <w:szCs w:val="24"/>
        </w:rPr>
        <w:t xml:space="preserve">specify the refund that </w:t>
      </w:r>
      <w:r w:rsidR="00FB75B2" w:rsidRPr="009E24EB">
        <w:rPr>
          <w:sz w:val="24"/>
          <w:szCs w:val="24"/>
        </w:rPr>
        <w:t xml:space="preserve">applies </w:t>
      </w:r>
      <w:r w:rsidRPr="009E24EB">
        <w:rPr>
          <w:sz w:val="24"/>
          <w:szCs w:val="24"/>
        </w:rPr>
        <w:t xml:space="preserve">for Pricing Pathway A, B or C applications where a deed arrangement between the applicant (‘responsible person’) and the Commonwealth has not been entered into. </w:t>
      </w:r>
    </w:p>
    <w:p w14:paraId="02464758" w14:textId="2307851C" w:rsidR="004E3DB9" w:rsidRPr="009E24EB" w:rsidRDefault="004E3DB9" w:rsidP="004E3DB9">
      <w:pPr>
        <w:pStyle w:val="Item"/>
        <w:spacing w:before="120"/>
        <w:ind w:left="0"/>
        <w:rPr>
          <w:sz w:val="24"/>
          <w:szCs w:val="24"/>
        </w:rPr>
      </w:pPr>
      <w:r w:rsidRPr="009E24EB">
        <w:rPr>
          <w:sz w:val="24"/>
          <w:szCs w:val="24"/>
        </w:rPr>
        <w:t xml:space="preserve">Where an applicant withdraws their prior notice or pricing application within 10 business days from the date the notice is given, the Department </w:t>
      </w:r>
      <w:r w:rsidR="00FB75B2" w:rsidRPr="009E24EB">
        <w:rPr>
          <w:sz w:val="24"/>
          <w:szCs w:val="24"/>
        </w:rPr>
        <w:t xml:space="preserve">is </w:t>
      </w:r>
      <w:r w:rsidRPr="009E24EB">
        <w:rPr>
          <w:sz w:val="24"/>
          <w:szCs w:val="24"/>
        </w:rPr>
        <w:t>required to refund any fee paid except for the non-refundable deposit amount</w:t>
      </w:r>
      <w:r w:rsidR="00FB75B2" w:rsidRPr="009E24EB">
        <w:rPr>
          <w:sz w:val="24"/>
          <w:szCs w:val="24"/>
        </w:rPr>
        <w:t>.</w:t>
      </w:r>
    </w:p>
    <w:p w14:paraId="5D2BB4BD" w14:textId="701CAEAB" w:rsidR="004E3DB9" w:rsidRPr="009E24EB" w:rsidRDefault="004E3DB9" w:rsidP="004E3DB9">
      <w:pPr>
        <w:pStyle w:val="Item"/>
        <w:spacing w:before="120"/>
        <w:ind w:left="0"/>
        <w:rPr>
          <w:sz w:val="24"/>
          <w:szCs w:val="24"/>
        </w:rPr>
      </w:pPr>
      <w:r w:rsidRPr="009E24EB">
        <w:rPr>
          <w:sz w:val="24"/>
          <w:szCs w:val="24"/>
        </w:rPr>
        <w:t>In addition, where an applicant withdraws their pricing application and has not entered into a deed arrangement (under Pricing Pathway A, B or C)</w:t>
      </w:r>
      <w:r w:rsidR="006C07C3" w:rsidRPr="009E24EB">
        <w:rPr>
          <w:sz w:val="24"/>
          <w:szCs w:val="24"/>
        </w:rPr>
        <w:t>,</w:t>
      </w:r>
      <w:r w:rsidRPr="009E24EB">
        <w:rPr>
          <w:sz w:val="24"/>
          <w:szCs w:val="24"/>
        </w:rPr>
        <w:t xml:space="preserve"> including where the Department ceases to provide pricing services after 26 weeks (see item 63)</w:t>
      </w:r>
      <w:r w:rsidR="006C07C3" w:rsidRPr="009E24EB">
        <w:rPr>
          <w:sz w:val="24"/>
          <w:szCs w:val="24"/>
        </w:rPr>
        <w:t>,</w:t>
      </w:r>
      <w:r w:rsidRPr="009E24EB">
        <w:rPr>
          <w:sz w:val="24"/>
          <w:szCs w:val="24"/>
        </w:rPr>
        <w:t xml:space="preserve"> the Department </w:t>
      </w:r>
      <w:r w:rsidR="00FB75B2" w:rsidRPr="009E24EB">
        <w:rPr>
          <w:sz w:val="24"/>
          <w:szCs w:val="24"/>
        </w:rPr>
        <w:t xml:space="preserve">is </w:t>
      </w:r>
      <w:r w:rsidRPr="009E24EB">
        <w:rPr>
          <w:sz w:val="24"/>
          <w:szCs w:val="24"/>
        </w:rPr>
        <w:t>required to refund the $8,275 rebate management fee</w:t>
      </w:r>
      <w:r w:rsidR="00FB75B2" w:rsidRPr="009E24EB">
        <w:rPr>
          <w:sz w:val="24"/>
          <w:szCs w:val="24"/>
        </w:rPr>
        <w:t>.</w:t>
      </w:r>
    </w:p>
    <w:p w14:paraId="70C19239" w14:textId="77777777" w:rsidR="004E3DB9" w:rsidRPr="009E24EB" w:rsidRDefault="004E3DB9" w:rsidP="004E3DB9">
      <w:pPr>
        <w:pStyle w:val="Item"/>
        <w:spacing w:before="240"/>
        <w:ind w:left="0"/>
        <w:rPr>
          <w:b/>
          <w:kern w:val="28"/>
          <w:sz w:val="24"/>
        </w:rPr>
      </w:pPr>
      <w:r w:rsidRPr="009E24EB">
        <w:rPr>
          <w:b/>
          <w:kern w:val="28"/>
          <w:sz w:val="24"/>
        </w:rPr>
        <w:t xml:space="preserve">Item [62] – </w:t>
      </w:r>
      <w:proofErr w:type="spellStart"/>
      <w:r w:rsidRPr="009E24EB">
        <w:rPr>
          <w:b/>
          <w:kern w:val="28"/>
          <w:sz w:val="24"/>
        </w:rPr>
        <w:t>Subregulation</w:t>
      </w:r>
      <w:proofErr w:type="spellEnd"/>
      <w:r w:rsidRPr="009E24EB">
        <w:rPr>
          <w:b/>
          <w:kern w:val="28"/>
          <w:sz w:val="24"/>
        </w:rPr>
        <w:t xml:space="preserve"> 3.14(3)</w:t>
      </w:r>
    </w:p>
    <w:p w14:paraId="5EA158B2" w14:textId="77777777" w:rsidR="00D12B6E" w:rsidRPr="009E24EB" w:rsidRDefault="00D12B6E" w:rsidP="00D12B6E">
      <w:pPr>
        <w:pStyle w:val="Item"/>
        <w:ind w:left="0"/>
        <w:rPr>
          <w:sz w:val="24"/>
          <w:szCs w:val="24"/>
        </w:rPr>
      </w:pPr>
      <w:r w:rsidRPr="009E24EB">
        <w:rPr>
          <w:sz w:val="24"/>
          <w:szCs w:val="24"/>
        </w:rPr>
        <w:t xml:space="preserve">This item removed the reference to ‘the Department’ from the Principal Regulations to align with section 99YBA of the Act which specifies that fees are payable to the Commonwealth. </w:t>
      </w:r>
    </w:p>
    <w:p w14:paraId="00C37D29" w14:textId="77777777" w:rsidR="004E3DB9" w:rsidRPr="009E24EB" w:rsidRDefault="004E3DB9" w:rsidP="004E3DB9">
      <w:pPr>
        <w:pStyle w:val="Item"/>
        <w:spacing w:before="240"/>
        <w:ind w:left="0"/>
        <w:rPr>
          <w:b/>
          <w:kern w:val="28"/>
          <w:sz w:val="24"/>
        </w:rPr>
      </w:pPr>
      <w:r w:rsidRPr="009E24EB">
        <w:rPr>
          <w:b/>
          <w:kern w:val="28"/>
          <w:sz w:val="24"/>
        </w:rPr>
        <w:t>Item [63] – At the end of Part 3</w:t>
      </w:r>
    </w:p>
    <w:p w14:paraId="66A53F32" w14:textId="3CE61031" w:rsidR="004E3DB9" w:rsidRPr="009E24EB" w:rsidRDefault="004E3DB9" w:rsidP="004E3DB9">
      <w:pPr>
        <w:pStyle w:val="Item"/>
        <w:ind w:left="0"/>
        <w:rPr>
          <w:sz w:val="24"/>
          <w:szCs w:val="24"/>
        </w:rPr>
      </w:pPr>
      <w:r w:rsidRPr="009E24EB">
        <w:rPr>
          <w:sz w:val="24"/>
          <w:szCs w:val="24"/>
        </w:rPr>
        <w:t>This item insert</w:t>
      </w:r>
      <w:r w:rsidR="00945CD7" w:rsidRPr="009E24EB">
        <w:rPr>
          <w:sz w:val="24"/>
          <w:szCs w:val="24"/>
        </w:rPr>
        <w:t>ed</w:t>
      </w:r>
      <w:r w:rsidRPr="009E24EB">
        <w:rPr>
          <w:sz w:val="24"/>
          <w:szCs w:val="24"/>
        </w:rPr>
        <w:t xml:space="preserve"> a new Division</w:t>
      </w:r>
      <w:r w:rsidR="00051788" w:rsidRPr="009E24EB">
        <w:rPr>
          <w:sz w:val="24"/>
          <w:szCs w:val="24"/>
        </w:rPr>
        <w:t>, Division</w:t>
      </w:r>
      <w:r w:rsidRPr="009E24EB">
        <w:rPr>
          <w:sz w:val="24"/>
          <w:szCs w:val="24"/>
        </w:rPr>
        <w:t xml:space="preserve"> 3.5 into the Principal Regulations to allow the Department to cease pricing services after 6 months (26 weeks) and to </w:t>
      </w:r>
      <w:r w:rsidR="006C07C3" w:rsidRPr="009E24EB">
        <w:rPr>
          <w:sz w:val="24"/>
          <w:szCs w:val="24"/>
        </w:rPr>
        <w:t>provide f</w:t>
      </w:r>
      <w:r w:rsidRPr="009E24EB">
        <w:rPr>
          <w:sz w:val="24"/>
          <w:szCs w:val="24"/>
        </w:rPr>
        <w:t xml:space="preserve">or a refund </w:t>
      </w:r>
      <w:r w:rsidR="002F1041" w:rsidRPr="009E24EB">
        <w:rPr>
          <w:sz w:val="24"/>
          <w:szCs w:val="24"/>
        </w:rPr>
        <w:t xml:space="preserve">of the </w:t>
      </w:r>
      <w:r w:rsidR="006C07C3" w:rsidRPr="009E24EB">
        <w:rPr>
          <w:sz w:val="24"/>
          <w:szCs w:val="24"/>
        </w:rPr>
        <w:t xml:space="preserve">in circumstances </w:t>
      </w:r>
      <w:r w:rsidRPr="009E24EB">
        <w:rPr>
          <w:sz w:val="24"/>
          <w:szCs w:val="24"/>
        </w:rPr>
        <w:t>where a deed arrangement between the applicant (‘responsible person’) and the Commonwealth has not been entered into.</w:t>
      </w:r>
    </w:p>
    <w:p w14:paraId="6C764EEF" w14:textId="5EA81DA4" w:rsidR="004E3DB9" w:rsidRPr="009E24EB" w:rsidRDefault="004E3DB9" w:rsidP="004E3DB9">
      <w:pPr>
        <w:pStyle w:val="ItemHead"/>
        <w:spacing w:before="120"/>
        <w:ind w:left="0" w:firstLine="0"/>
        <w:rPr>
          <w:rFonts w:ascii="Times New Roman" w:hAnsi="Times New Roman"/>
          <w:b w:val="0"/>
        </w:rPr>
      </w:pPr>
      <w:r w:rsidRPr="009E24EB">
        <w:rPr>
          <w:rFonts w:ascii="Times New Roman" w:hAnsi="Times New Roman"/>
          <w:b w:val="0"/>
        </w:rPr>
        <w:t>The ability to cease pricing se</w:t>
      </w:r>
      <w:r w:rsidR="00B55595" w:rsidRPr="009E24EB">
        <w:rPr>
          <w:rFonts w:ascii="Times New Roman" w:hAnsi="Times New Roman"/>
          <w:b w:val="0"/>
        </w:rPr>
        <w:t>rvices after 6 months (26 weeks):</w:t>
      </w:r>
    </w:p>
    <w:p w14:paraId="11BF101A" w14:textId="153E512E" w:rsidR="004E3DB9" w:rsidRPr="009E24EB" w:rsidRDefault="004E3DB9" w:rsidP="00081E8B">
      <w:pPr>
        <w:pStyle w:val="ItemHead"/>
        <w:numPr>
          <w:ilvl w:val="0"/>
          <w:numId w:val="36"/>
        </w:numPr>
        <w:spacing w:before="120"/>
        <w:rPr>
          <w:rFonts w:ascii="Times New Roman" w:hAnsi="Times New Roman"/>
          <w:b w:val="0"/>
        </w:rPr>
      </w:pPr>
      <w:r w:rsidRPr="009E24EB">
        <w:rPr>
          <w:rFonts w:ascii="Times New Roman" w:hAnsi="Times New Roman"/>
          <w:b w:val="0"/>
        </w:rPr>
        <w:t>allow</w:t>
      </w:r>
      <w:r w:rsidR="00B55595" w:rsidRPr="009E24EB">
        <w:rPr>
          <w:rFonts w:ascii="Times New Roman" w:hAnsi="Times New Roman"/>
          <w:b w:val="0"/>
        </w:rPr>
        <w:t>s</w:t>
      </w:r>
      <w:r w:rsidRPr="009E24EB">
        <w:rPr>
          <w:rFonts w:ascii="Times New Roman" w:hAnsi="Times New Roman"/>
          <w:b w:val="0"/>
        </w:rPr>
        <w:t xml:space="preserve"> the Department to formally end pricing services where there is no ongoing (active) negotiation between the applicant and the Department; and </w:t>
      </w:r>
    </w:p>
    <w:p w14:paraId="69D970DC" w14:textId="6A12CB51" w:rsidR="004E3DB9" w:rsidRPr="009E24EB" w:rsidRDefault="004E3DB9" w:rsidP="00081E8B">
      <w:pPr>
        <w:pStyle w:val="ItemHead"/>
        <w:numPr>
          <w:ilvl w:val="0"/>
          <w:numId w:val="35"/>
        </w:numPr>
        <w:spacing w:before="120"/>
        <w:rPr>
          <w:rFonts w:ascii="Times New Roman" w:hAnsi="Times New Roman"/>
          <w:b w:val="0"/>
        </w:rPr>
      </w:pPr>
      <w:proofErr w:type="gramStart"/>
      <w:r w:rsidRPr="009E24EB">
        <w:rPr>
          <w:rFonts w:ascii="Times New Roman" w:hAnsi="Times New Roman"/>
          <w:b w:val="0"/>
        </w:rPr>
        <w:t>provide</w:t>
      </w:r>
      <w:r w:rsidR="00B55595" w:rsidRPr="009E24EB">
        <w:rPr>
          <w:rFonts w:ascii="Times New Roman" w:hAnsi="Times New Roman"/>
          <w:b w:val="0"/>
        </w:rPr>
        <w:t>s</w:t>
      </w:r>
      <w:proofErr w:type="gramEnd"/>
      <w:r w:rsidRPr="009E24EB">
        <w:rPr>
          <w:rFonts w:ascii="Times New Roman" w:hAnsi="Times New Roman"/>
          <w:b w:val="0"/>
        </w:rPr>
        <w:t xml:space="preserve"> increased transparency in relation to the expected timeframe for pricing services – from lodgement of a pricing application to in-principle agreement to listing arrangements. There is currently no timeframe for the provision of pricing services. </w:t>
      </w:r>
    </w:p>
    <w:p w14:paraId="4BA91CDB" w14:textId="3645658B" w:rsidR="002F1041" w:rsidRPr="009E24EB" w:rsidRDefault="002F1041" w:rsidP="002F1041">
      <w:pPr>
        <w:pStyle w:val="ItemHead"/>
        <w:spacing w:before="120"/>
        <w:ind w:left="0" w:firstLine="0"/>
        <w:rPr>
          <w:rFonts w:ascii="Times New Roman" w:hAnsi="Times New Roman"/>
          <w:b w:val="0"/>
        </w:rPr>
      </w:pPr>
      <w:r w:rsidRPr="009E24EB">
        <w:rPr>
          <w:rFonts w:ascii="Times New Roman" w:hAnsi="Times New Roman"/>
          <w:b w:val="0"/>
        </w:rPr>
        <w:t>To recommence pricing services where pricing services had ceased, an applicant is required to lodge a new prior notice and pricing application and a new fee is payable dependent on the listing arrangements sought.</w:t>
      </w:r>
    </w:p>
    <w:p w14:paraId="013A0296" w14:textId="4541C189" w:rsidR="004E3DB9" w:rsidRPr="009E24EB" w:rsidRDefault="004E3DB9" w:rsidP="004E3DB9">
      <w:pPr>
        <w:pStyle w:val="Item"/>
        <w:ind w:left="0"/>
        <w:rPr>
          <w:sz w:val="24"/>
          <w:szCs w:val="24"/>
        </w:rPr>
      </w:pPr>
      <w:r w:rsidRPr="009E24EB">
        <w:rPr>
          <w:sz w:val="24"/>
          <w:szCs w:val="24"/>
        </w:rPr>
        <w:t xml:space="preserve">As </w:t>
      </w:r>
      <w:r w:rsidR="002F1041" w:rsidRPr="009E24EB">
        <w:rPr>
          <w:sz w:val="24"/>
          <w:szCs w:val="24"/>
        </w:rPr>
        <w:t xml:space="preserve">pricing services can only be ceased where an </w:t>
      </w:r>
      <w:r w:rsidRPr="009E24EB">
        <w:rPr>
          <w:sz w:val="24"/>
          <w:szCs w:val="24"/>
        </w:rPr>
        <w:t xml:space="preserve">applicant is not actively negotiating with the Department to reach in-principal agreement on listing arrangements, the decision to cease pricing services after 6 months </w:t>
      </w:r>
      <w:r w:rsidR="002F1041" w:rsidRPr="009E24EB">
        <w:rPr>
          <w:sz w:val="24"/>
          <w:szCs w:val="24"/>
        </w:rPr>
        <w:t>in these circumstances, is not</w:t>
      </w:r>
      <w:r w:rsidRPr="009E24EB">
        <w:rPr>
          <w:sz w:val="24"/>
          <w:szCs w:val="24"/>
        </w:rPr>
        <w:t xml:space="preserve"> a reviewable decision under Part 6 of the Principal Regulations. </w:t>
      </w:r>
    </w:p>
    <w:p w14:paraId="2981DDB4" w14:textId="37E9DC43" w:rsidR="004E3DB9" w:rsidRPr="009E24EB" w:rsidRDefault="004E3DB9" w:rsidP="004E3DB9">
      <w:pPr>
        <w:pStyle w:val="Item"/>
        <w:spacing w:before="240"/>
        <w:ind w:left="0"/>
        <w:rPr>
          <w:b/>
          <w:kern w:val="28"/>
          <w:sz w:val="24"/>
        </w:rPr>
      </w:pPr>
      <w:r w:rsidRPr="009E24EB">
        <w:rPr>
          <w:b/>
          <w:kern w:val="28"/>
          <w:sz w:val="24"/>
        </w:rPr>
        <w:lastRenderedPageBreak/>
        <w:t xml:space="preserve">Item [64] – Paragraph </w:t>
      </w:r>
      <w:proofErr w:type="gramStart"/>
      <w:r w:rsidRPr="009E24EB">
        <w:rPr>
          <w:b/>
          <w:kern w:val="28"/>
          <w:sz w:val="24"/>
        </w:rPr>
        <w:t>3A.1(</w:t>
      </w:r>
      <w:proofErr w:type="gramEnd"/>
      <w:r w:rsidRPr="009E24EB">
        <w:rPr>
          <w:b/>
          <w:kern w:val="28"/>
          <w:sz w:val="24"/>
        </w:rPr>
        <w:t>1)(b)</w:t>
      </w:r>
    </w:p>
    <w:p w14:paraId="7623187B" w14:textId="5B9714C2"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amend</w:t>
      </w:r>
      <w:r w:rsidR="002F1041" w:rsidRPr="009E24EB">
        <w:rPr>
          <w:rFonts w:ascii="Times New Roman" w:hAnsi="Times New Roman"/>
          <w:b w:val="0"/>
          <w:kern w:val="0"/>
          <w:szCs w:val="24"/>
        </w:rPr>
        <w:t>ed</w:t>
      </w:r>
      <w:r w:rsidRPr="009E24EB">
        <w:rPr>
          <w:rFonts w:ascii="Times New Roman" w:hAnsi="Times New Roman"/>
          <w:b w:val="0"/>
          <w:kern w:val="0"/>
          <w:szCs w:val="24"/>
        </w:rPr>
        <w:t xml:space="preserve"> the wording of the</w:t>
      </w:r>
      <w:r w:rsidR="00995813" w:rsidRPr="009E24EB">
        <w:rPr>
          <w:rFonts w:ascii="Times New Roman" w:hAnsi="Times New Roman"/>
          <w:b w:val="0"/>
          <w:kern w:val="0"/>
          <w:szCs w:val="24"/>
        </w:rPr>
        <w:t xml:space="preserve"> paragraph (b) within the</w:t>
      </w:r>
      <w:r w:rsidRPr="009E24EB">
        <w:rPr>
          <w:rFonts w:ascii="Times New Roman" w:hAnsi="Times New Roman"/>
          <w:b w:val="0"/>
          <w:kern w:val="0"/>
          <w:szCs w:val="24"/>
        </w:rPr>
        <w:t xml:space="preserve"> Principal Regulations to reflect wording in the replacement fee table – refer item 65.</w:t>
      </w:r>
    </w:p>
    <w:p w14:paraId="3B6F2713" w14:textId="77777777" w:rsidR="004E3DB9" w:rsidRPr="009E24EB" w:rsidRDefault="004E3DB9" w:rsidP="004E3DB9">
      <w:pPr>
        <w:pStyle w:val="Item"/>
        <w:spacing w:before="240"/>
        <w:ind w:left="0"/>
        <w:rPr>
          <w:b/>
          <w:kern w:val="28"/>
          <w:sz w:val="24"/>
        </w:rPr>
      </w:pPr>
      <w:r w:rsidRPr="009E24EB">
        <w:rPr>
          <w:b/>
          <w:kern w:val="28"/>
          <w:sz w:val="24"/>
        </w:rPr>
        <w:t xml:space="preserve">Item [65] – </w:t>
      </w:r>
      <w:proofErr w:type="spellStart"/>
      <w:r w:rsidRPr="009E24EB">
        <w:rPr>
          <w:b/>
          <w:kern w:val="28"/>
          <w:sz w:val="24"/>
        </w:rPr>
        <w:t>Subregulation</w:t>
      </w:r>
      <w:proofErr w:type="spellEnd"/>
      <w:r w:rsidRPr="009E24EB">
        <w:rPr>
          <w:b/>
          <w:kern w:val="28"/>
          <w:sz w:val="24"/>
        </w:rPr>
        <w:t xml:space="preserve"> </w:t>
      </w:r>
      <w:proofErr w:type="gramStart"/>
      <w:r w:rsidRPr="009E24EB">
        <w:rPr>
          <w:b/>
          <w:kern w:val="28"/>
          <w:sz w:val="24"/>
        </w:rPr>
        <w:t>3A.1(</w:t>
      </w:r>
      <w:proofErr w:type="gramEnd"/>
      <w:r w:rsidRPr="009E24EB">
        <w:rPr>
          <w:b/>
          <w:kern w:val="28"/>
          <w:sz w:val="24"/>
        </w:rPr>
        <w:t>1) (table)</w:t>
      </w:r>
    </w:p>
    <w:p w14:paraId="22115547" w14:textId="1B668F3A" w:rsidR="002F1041" w:rsidRPr="009E24EB" w:rsidRDefault="004E3DB9" w:rsidP="004E3DB9">
      <w:pPr>
        <w:pStyle w:val="Item"/>
        <w:spacing w:before="120"/>
        <w:ind w:left="0"/>
        <w:rPr>
          <w:sz w:val="24"/>
          <w:szCs w:val="24"/>
        </w:rPr>
      </w:pPr>
      <w:r w:rsidRPr="009E24EB">
        <w:rPr>
          <w:sz w:val="24"/>
          <w:szCs w:val="24"/>
        </w:rPr>
        <w:t xml:space="preserve">This item </w:t>
      </w:r>
      <w:r w:rsidR="00D75E0C" w:rsidRPr="009E24EB">
        <w:rPr>
          <w:sz w:val="24"/>
          <w:szCs w:val="24"/>
        </w:rPr>
        <w:t>replaced</w:t>
      </w:r>
      <w:r w:rsidR="002F1041" w:rsidRPr="009E24EB">
        <w:rPr>
          <w:sz w:val="24"/>
          <w:szCs w:val="24"/>
        </w:rPr>
        <w:t xml:space="preserve"> </w:t>
      </w:r>
      <w:r w:rsidRPr="009E24EB">
        <w:rPr>
          <w:sz w:val="24"/>
          <w:szCs w:val="24"/>
        </w:rPr>
        <w:t>the fee table within the Principal Regulations to reflect the revised 2020-21 fees approved by Go</w:t>
      </w:r>
      <w:r w:rsidR="002F1041" w:rsidRPr="009E24EB">
        <w:rPr>
          <w:sz w:val="24"/>
          <w:szCs w:val="24"/>
        </w:rPr>
        <w:t xml:space="preserve">vernment in the 2020-21 Budget. </w:t>
      </w:r>
    </w:p>
    <w:p w14:paraId="15DE24C5" w14:textId="092EC0B9" w:rsidR="004E3DB9" w:rsidRPr="009E24EB" w:rsidRDefault="004E3DB9" w:rsidP="004E3DB9">
      <w:pPr>
        <w:pStyle w:val="Item"/>
        <w:spacing w:before="120"/>
        <w:ind w:left="0"/>
        <w:rPr>
          <w:sz w:val="24"/>
          <w:szCs w:val="24"/>
        </w:rPr>
      </w:pPr>
      <w:r w:rsidRPr="009E24EB">
        <w:rPr>
          <w:sz w:val="24"/>
          <w:szCs w:val="24"/>
        </w:rPr>
        <w:t xml:space="preserve">This amendment </w:t>
      </w:r>
      <w:r w:rsidR="002F1041" w:rsidRPr="009E24EB">
        <w:rPr>
          <w:sz w:val="24"/>
          <w:szCs w:val="24"/>
        </w:rPr>
        <w:t>reflects</w:t>
      </w:r>
      <w:r w:rsidRPr="009E24EB">
        <w:rPr>
          <w:sz w:val="24"/>
          <w:szCs w:val="24"/>
        </w:rPr>
        <w:t xml:space="preserve"> the costs incurred by the Department in providi</w:t>
      </w:r>
      <w:r w:rsidR="002F1041" w:rsidRPr="009E24EB">
        <w:rPr>
          <w:sz w:val="24"/>
          <w:szCs w:val="24"/>
        </w:rPr>
        <w:t>ng PBS list management services</w:t>
      </w:r>
      <w:r w:rsidR="00D75E0C" w:rsidRPr="009E24EB">
        <w:rPr>
          <w:sz w:val="24"/>
          <w:szCs w:val="24"/>
        </w:rPr>
        <w:t xml:space="preserve">. New fees were introduced to cost recover existing deed management activities undertaken by the Department in response to an applicant’s request to renew or vary their deed arrangement. </w:t>
      </w:r>
    </w:p>
    <w:p w14:paraId="0635537D" w14:textId="32B92CB7" w:rsidR="004E3DB9" w:rsidRPr="009E24EB" w:rsidRDefault="004E3DB9" w:rsidP="004E3DB9">
      <w:pPr>
        <w:pStyle w:val="Item"/>
        <w:spacing w:before="120"/>
        <w:ind w:left="0"/>
        <w:rPr>
          <w:sz w:val="24"/>
          <w:szCs w:val="24"/>
        </w:rPr>
      </w:pPr>
      <w:r w:rsidRPr="009E24EB">
        <w:rPr>
          <w:i/>
          <w:sz w:val="24"/>
          <w:szCs w:val="24"/>
        </w:rPr>
        <w:t>Deed renewal fee</w:t>
      </w:r>
      <w:r w:rsidRPr="009E24EB">
        <w:rPr>
          <w:sz w:val="24"/>
          <w:szCs w:val="24"/>
        </w:rPr>
        <w:t xml:space="preserve">: This fee </w:t>
      </w:r>
      <w:r w:rsidR="00B55595" w:rsidRPr="009E24EB">
        <w:rPr>
          <w:sz w:val="24"/>
          <w:szCs w:val="24"/>
        </w:rPr>
        <w:t xml:space="preserve">is </w:t>
      </w:r>
      <w:r w:rsidRPr="009E24EB">
        <w:rPr>
          <w:sz w:val="24"/>
          <w:szCs w:val="24"/>
        </w:rPr>
        <w:t>charged in response to an applicant’s request to enter into a new deed, at the end of the original deed term. Applicants request deed renewal services via an Application for List Management Services. The deed renewal fee also includes the rebate management fee to account for ongoing management of the deed.</w:t>
      </w:r>
    </w:p>
    <w:p w14:paraId="46D0A58C" w14:textId="30AA4FE2" w:rsidR="004E3DB9" w:rsidRPr="009E24EB" w:rsidRDefault="004E3DB9" w:rsidP="004E3DB9">
      <w:pPr>
        <w:pStyle w:val="Item"/>
        <w:spacing w:before="120"/>
        <w:ind w:left="0"/>
        <w:rPr>
          <w:sz w:val="24"/>
          <w:szCs w:val="24"/>
        </w:rPr>
      </w:pPr>
      <w:r w:rsidRPr="009E24EB">
        <w:rPr>
          <w:i/>
          <w:sz w:val="24"/>
          <w:szCs w:val="24"/>
        </w:rPr>
        <w:t>Deed variation fee</w:t>
      </w:r>
      <w:r w:rsidRPr="009E24EB">
        <w:rPr>
          <w:sz w:val="24"/>
          <w:szCs w:val="24"/>
        </w:rPr>
        <w:t xml:space="preserve">: This fee </w:t>
      </w:r>
      <w:r w:rsidR="00B55595" w:rsidRPr="009E24EB">
        <w:rPr>
          <w:sz w:val="24"/>
          <w:szCs w:val="24"/>
        </w:rPr>
        <w:t xml:space="preserve">is </w:t>
      </w:r>
      <w:r w:rsidRPr="009E24EB">
        <w:rPr>
          <w:sz w:val="24"/>
          <w:szCs w:val="24"/>
        </w:rPr>
        <w:t>charged in response to an applicant’s request to vary the terms of an existing deed, within the existing deed term. Applicants request deed variation services via an Application for List Management Services. Applicants may seek to vary deed arrangements to support more beneficial terms and conditions (i.e. the PBAC has amended allowable risk share arrangements or widened the subsidy cap).</w:t>
      </w:r>
    </w:p>
    <w:p w14:paraId="4D6BBC1B" w14:textId="6EE20F3E" w:rsidR="004E3DB9" w:rsidRPr="009E24EB" w:rsidRDefault="004E3DB9" w:rsidP="004E3DB9">
      <w:pPr>
        <w:pStyle w:val="Item"/>
        <w:spacing w:before="120"/>
        <w:ind w:left="0"/>
        <w:rPr>
          <w:sz w:val="24"/>
          <w:szCs w:val="24"/>
        </w:rPr>
      </w:pPr>
      <w:r w:rsidRPr="009E24EB">
        <w:rPr>
          <w:sz w:val="24"/>
          <w:szCs w:val="24"/>
        </w:rPr>
        <w:t>To support implementation of the</w:t>
      </w:r>
      <w:r w:rsidR="00D75E0C" w:rsidRPr="009E24EB">
        <w:rPr>
          <w:sz w:val="24"/>
          <w:szCs w:val="24"/>
        </w:rPr>
        <w:t xml:space="preserve"> second stage of </w:t>
      </w:r>
      <w:r w:rsidRPr="009E24EB">
        <w:rPr>
          <w:sz w:val="24"/>
          <w:szCs w:val="24"/>
        </w:rPr>
        <w:t xml:space="preserve">PBS process improvements, the Department further reviewed and updated the 2018-19 cost model. New activities were identified because of the changes to submission evaluation categories. In addition, there have been changes to all fees because of parameter changes, which include changes to IT costs, depreciation, salary and wage costs to meet whole-of-Government requirements. </w:t>
      </w:r>
    </w:p>
    <w:p w14:paraId="391C4641" w14:textId="77777777" w:rsidR="004E3DB9" w:rsidRPr="009E24EB" w:rsidRDefault="004E3DB9" w:rsidP="004E3DB9">
      <w:pPr>
        <w:pStyle w:val="Item"/>
        <w:spacing w:before="240"/>
        <w:ind w:left="0"/>
        <w:rPr>
          <w:b/>
          <w:kern w:val="28"/>
          <w:sz w:val="24"/>
        </w:rPr>
      </w:pPr>
      <w:r w:rsidRPr="009E24EB">
        <w:rPr>
          <w:b/>
          <w:kern w:val="28"/>
          <w:sz w:val="24"/>
        </w:rPr>
        <w:t xml:space="preserve">Item [66] – </w:t>
      </w:r>
      <w:proofErr w:type="spellStart"/>
      <w:r w:rsidRPr="009E24EB">
        <w:rPr>
          <w:b/>
          <w:kern w:val="28"/>
          <w:sz w:val="24"/>
        </w:rPr>
        <w:t>Subregulation</w:t>
      </w:r>
      <w:proofErr w:type="spellEnd"/>
      <w:r w:rsidRPr="009E24EB">
        <w:rPr>
          <w:b/>
          <w:kern w:val="28"/>
          <w:sz w:val="24"/>
        </w:rPr>
        <w:t xml:space="preserve"> </w:t>
      </w:r>
      <w:proofErr w:type="gramStart"/>
      <w:r w:rsidRPr="009E24EB">
        <w:rPr>
          <w:b/>
          <w:kern w:val="28"/>
          <w:sz w:val="24"/>
        </w:rPr>
        <w:t>3A.1(</w:t>
      </w:r>
      <w:proofErr w:type="gramEnd"/>
      <w:r w:rsidRPr="009E24EB">
        <w:rPr>
          <w:b/>
          <w:kern w:val="28"/>
          <w:sz w:val="24"/>
        </w:rPr>
        <w:t>1) (note)</w:t>
      </w:r>
    </w:p>
    <w:p w14:paraId="2C9B8BAF" w14:textId="77777777" w:rsidR="00175CFD" w:rsidRPr="009E24EB" w:rsidRDefault="00175CFD" w:rsidP="00175CFD">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removed this note from the Principal Regulations to reflect the change made by item 75. Indexation of fees by CPI is no longer provided for in the Principal Regulations.</w:t>
      </w:r>
    </w:p>
    <w:p w14:paraId="3C1CD625" w14:textId="77777777" w:rsidR="004E3DB9" w:rsidRPr="009E24EB" w:rsidRDefault="004E3DB9" w:rsidP="004E3DB9">
      <w:pPr>
        <w:pStyle w:val="Item"/>
        <w:spacing w:before="240"/>
        <w:ind w:left="0"/>
        <w:rPr>
          <w:b/>
          <w:kern w:val="28"/>
          <w:sz w:val="24"/>
        </w:rPr>
      </w:pPr>
      <w:r w:rsidRPr="009E24EB">
        <w:rPr>
          <w:b/>
          <w:kern w:val="28"/>
          <w:sz w:val="24"/>
        </w:rPr>
        <w:t xml:space="preserve">Item [67] – </w:t>
      </w:r>
      <w:proofErr w:type="spellStart"/>
      <w:r w:rsidRPr="009E24EB">
        <w:rPr>
          <w:b/>
          <w:kern w:val="28"/>
          <w:sz w:val="24"/>
        </w:rPr>
        <w:t>Subregulation</w:t>
      </w:r>
      <w:proofErr w:type="spellEnd"/>
      <w:r w:rsidRPr="009E24EB">
        <w:rPr>
          <w:b/>
          <w:kern w:val="28"/>
          <w:sz w:val="24"/>
        </w:rPr>
        <w:t xml:space="preserve"> </w:t>
      </w:r>
      <w:proofErr w:type="gramStart"/>
      <w:r w:rsidRPr="009E24EB">
        <w:rPr>
          <w:b/>
          <w:kern w:val="28"/>
          <w:sz w:val="24"/>
        </w:rPr>
        <w:t>3A.3(</w:t>
      </w:r>
      <w:proofErr w:type="gramEnd"/>
      <w:r w:rsidRPr="009E24EB">
        <w:rPr>
          <w:b/>
          <w:kern w:val="28"/>
          <w:sz w:val="24"/>
        </w:rPr>
        <w:t>1)</w:t>
      </w:r>
    </w:p>
    <w:p w14:paraId="39500B9B" w14:textId="732E8CB9"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amend</w:t>
      </w:r>
      <w:r w:rsidR="00D75E0C" w:rsidRPr="009E24EB">
        <w:rPr>
          <w:rFonts w:ascii="Times New Roman" w:hAnsi="Times New Roman"/>
          <w:b w:val="0"/>
          <w:kern w:val="0"/>
          <w:szCs w:val="24"/>
        </w:rPr>
        <w:t>ed</w:t>
      </w:r>
      <w:r w:rsidR="00995813" w:rsidRPr="009E24EB">
        <w:rPr>
          <w:rFonts w:ascii="Times New Roman" w:hAnsi="Times New Roman"/>
          <w:b w:val="0"/>
          <w:kern w:val="0"/>
          <w:szCs w:val="24"/>
        </w:rPr>
        <w:t xml:space="preserve"> wording of</w:t>
      </w:r>
      <w:r w:rsidRPr="009E24EB">
        <w:rPr>
          <w:rFonts w:ascii="Times New Roman" w:hAnsi="Times New Roman"/>
          <w:b w:val="0"/>
          <w:kern w:val="0"/>
          <w:szCs w:val="24"/>
        </w:rPr>
        <w:t xml:space="preserve"> th</w:t>
      </w:r>
      <w:r w:rsidR="00051788" w:rsidRPr="009E24EB">
        <w:rPr>
          <w:rFonts w:ascii="Times New Roman" w:hAnsi="Times New Roman"/>
          <w:b w:val="0"/>
          <w:kern w:val="0"/>
          <w:szCs w:val="24"/>
        </w:rPr>
        <w:t xml:space="preserve">is </w:t>
      </w:r>
      <w:proofErr w:type="spellStart"/>
      <w:r w:rsidR="00051788" w:rsidRPr="009E24EB">
        <w:rPr>
          <w:rFonts w:ascii="Times New Roman" w:hAnsi="Times New Roman"/>
          <w:b w:val="0"/>
          <w:kern w:val="0"/>
          <w:szCs w:val="24"/>
        </w:rPr>
        <w:t>subregulation</w:t>
      </w:r>
      <w:proofErr w:type="spellEnd"/>
      <w:r w:rsidR="00051788" w:rsidRPr="009E24EB">
        <w:rPr>
          <w:rFonts w:ascii="Times New Roman" w:hAnsi="Times New Roman"/>
          <w:b w:val="0"/>
          <w:kern w:val="0"/>
          <w:szCs w:val="24"/>
        </w:rPr>
        <w:t xml:space="preserve"> within the</w:t>
      </w:r>
      <w:r w:rsidRPr="009E24EB">
        <w:rPr>
          <w:rFonts w:ascii="Times New Roman" w:hAnsi="Times New Roman"/>
          <w:b w:val="0"/>
          <w:kern w:val="0"/>
          <w:szCs w:val="24"/>
        </w:rPr>
        <w:t xml:space="preserve"> Principal Regulations to allow the Department 15 business days to issue a notification in response to an application for PBS list management services. </w:t>
      </w:r>
    </w:p>
    <w:p w14:paraId="4ED9FBB2" w14:textId="77777777" w:rsidR="004E3DB9" w:rsidRPr="009E24EB" w:rsidRDefault="004E3DB9" w:rsidP="004E3DB9">
      <w:pPr>
        <w:pStyle w:val="Item"/>
        <w:spacing w:before="240"/>
        <w:ind w:left="0"/>
        <w:rPr>
          <w:b/>
          <w:kern w:val="28"/>
          <w:sz w:val="24"/>
        </w:rPr>
      </w:pPr>
      <w:r w:rsidRPr="009E24EB">
        <w:rPr>
          <w:b/>
          <w:kern w:val="28"/>
          <w:sz w:val="24"/>
        </w:rPr>
        <w:t xml:space="preserve">Item [68] – Paragraph </w:t>
      </w:r>
      <w:proofErr w:type="gramStart"/>
      <w:r w:rsidRPr="009E24EB">
        <w:rPr>
          <w:b/>
          <w:kern w:val="28"/>
          <w:sz w:val="24"/>
        </w:rPr>
        <w:t>3A.3(</w:t>
      </w:r>
      <w:proofErr w:type="gramEnd"/>
      <w:r w:rsidRPr="009E24EB">
        <w:rPr>
          <w:b/>
          <w:kern w:val="28"/>
          <w:sz w:val="24"/>
        </w:rPr>
        <w:t>1)(c)</w:t>
      </w:r>
    </w:p>
    <w:p w14:paraId="1B99B2F5" w14:textId="68E705EA"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item amend</w:t>
      </w:r>
      <w:r w:rsidR="00D75E0C" w:rsidRPr="009E24EB">
        <w:rPr>
          <w:rFonts w:ascii="Times New Roman" w:hAnsi="Times New Roman"/>
          <w:b w:val="0"/>
          <w:kern w:val="0"/>
          <w:szCs w:val="24"/>
        </w:rPr>
        <w:t>ed</w:t>
      </w:r>
      <w:r w:rsidRPr="009E24EB">
        <w:rPr>
          <w:rFonts w:ascii="Times New Roman" w:hAnsi="Times New Roman"/>
          <w:b w:val="0"/>
          <w:kern w:val="0"/>
          <w:szCs w:val="24"/>
        </w:rPr>
        <w:t xml:space="preserve"> the wording of paragraph (c) within the Principal Regulations to ensure consi</w:t>
      </w:r>
      <w:r w:rsidRPr="009E24EB">
        <w:rPr>
          <w:rFonts w:ascii="Times New Roman" w:hAnsi="Times New Roman"/>
          <w:b w:val="0"/>
        </w:rPr>
        <w:t xml:space="preserve">stency with </w:t>
      </w:r>
      <w:r w:rsidRPr="009E24EB">
        <w:rPr>
          <w:rFonts w:ascii="Times New Roman" w:hAnsi="Times New Roman"/>
          <w:b w:val="0"/>
          <w:kern w:val="0"/>
          <w:szCs w:val="24"/>
        </w:rPr>
        <w:t xml:space="preserve">Regulation 5.1. </w:t>
      </w:r>
    </w:p>
    <w:p w14:paraId="72732BEE" w14:textId="77777777" w:rsidR="004E3DB9" w:rsidRPr="009E24EB" w:rsidRDefault="004E3DB9" w:rsidP="004E3DB9">
      <w:pPr>
        <w:pStyle w:val="Item"/>
        <w:spacing w:before="240"/>
        <w:ind w:left="0"/>
        <w:rPr>
          <w:b/>
          <w:kern w:val="28"/>
          <w:sz w:val="24"/>
        </w:rPr>
      </w:pPr>
      <w:r w:rsidRPr="009E24EB">
        <w:rPr>
          <w:b/>
          <w:kern w:val="28"/>
          <w:sz w:val="24"/>
        </w:rPr>
        <w:t xml:space="preserve">Item [69] – </w:t>
      </w:r>
      <w:proofErr w:type="spellStart"/>
      <w:r w:rsidRPr="009E24EB">
        <w:rPr>
          <w:b/>
          <w:kern w:val="28"/>
          <w:sz w:val="24"/>
        </w:rPr>
        <w:t>Subregulation</w:t>
      </w:r>
      <w:proofErr w:type="spellEnd"/>
      <w:r w:rsidRPr="009E24EB">
        <w:rPr>
          <w:b/>
          <w:kern w:val="28"/>
          <w:sz w:val="24"/>
        </w:rPr>
        <w:t xml:space="preserve"> </w:t>
      </w:r>
      <w:proofErr w:type="gramStart"/>
      <w:r w:rsidRPr="009E24EB">
        <w:rPr>
          <w:b/>
          <w:kern w:val="28"/>
          <w:sz w:val="24"/>
        </w:rPr>
        <w:t>3A.3(</w:t>
      </w:r>
      <w:proofErr w:type="gramEnd"/>
      <w:r w:rsidRPr="009E24EB">
        <w:rPr>
          <w:b/>
          <w:kern w:val="28"/>
          <w:sz w:val="24"/>
        </w:rPr>
        <w:t>2)</w:t>
      </w:r>
    </w:p>
    <w:p w14:paraId="47693BE0" w14:textId="118EEC88" w:rsidR="004E3DB9" w:rsidRPr="009E24EB" w:rsidRDefault="004E3DB9" w:rsidP="004E3DB9">
      <w:pPr>
        <w:pStyle w:val="Item"/>
        <w:spacing w:before="120"/>
        <w:ind w:left="0"/>
        <w:rPr>
          <w:sz w:val="24"/>
          <w:szCs w:val="24"/>
        </w:rPr>
      </w:pPr>
      <w:r w:rsidRPr="009E24EB">
        <w:rPr>
          <w:sz w:val="24"/>
          <w:szCs w:val="24"/>
        </w:rPr>
        <w:t>This item remove</w:t>
      </w:r>
      <w:r w:rsidR="00D75E0C" w:rsidRPr="009E24EB">
        <w:rPr>
          <w:sz w:val="24"/>
          <w:szCs w:val="24"/>
        </w:rPr>
        <w:t xml:space="preserve">d the </w:t>
      </w:r>
      <w:r w:rsidRPr="009E24EB">
        <w:rPr>
          <w:sz w:val="24"/>
          <w:szCs w:val="24"/>
        </w:rPr>
        <w:t xml:space="preserve">reference to a partial fee waiver </w:t>
      </w:r>
      <w:r w:rsidR="00051788" w:rsidRPr="009E24EB">
        <w:rPr>
          <w:sz w:val="24"/>
          <w:szCs w:val="24"/>
        </w:rPr>
        <w:t>from t</w:t>
      </w:r>
      <w:r w:rsidRPr="009E24EB">
        <w:rPr>
          <w:sz w:val="24"/>
          <w:szCs w:val="24"/>
        </w:rPr>
        <w:t>he Principal Regulations</w:t>
      </w:r>
      <w:r w:rsidR="00051788" w:rsidRPr="009E24EB">
        <w:rPr>
          <w:sz w:val="24"/>
          <w:szCs w:val="24"/>
        </w:rPr>
        <w:t xml:space="preserve"> as it is no longer required.</w:t>
      </w:r>
    </w:p>
    <w:p w14:paraId="2B2AE84D" w14:textId="77777777" w:rsidR="004E3DB9" w:rsidRPr="009E24EB" w:rsidRDefault="004E3DB9" w:rsidP="004E3DB9">
      <w:pPr>
        <w:pStyle w:val="Item"/>
        <w:spacing w:before="240"/>
        <w:ind w:left="0"/>
        <w:rPr>
          <w:b/>
          <w:kern w:val="28"/>
          <w:sz w:val="24"/>
        </w:rPr>
      </w:pPr>
      <w:r w:rsidRPr="009E24EB">
        <w:rPr>
          <w:b/>
          <w:kern w:val="28"/>
          <w:sz w:val="24"/>
        </w:rPr>
        <w:t xml:space="preserve">Item [70] – </w:t>
      </w:r>
      <w:proofErr w:type="spellStart"/>
      <w:r w:rsidRPr="009E24EB">
        <w:rPr>
          <w:b/>
          <w:kern w:val="28"/>
          <w:sz w:val="24"/>
        </w:rPr>
        <w:t>Subregulation</w:t>
      </w:r>
      <w:proofErr w:type="spellEnd"/>
      <w:r w:rsidRPr="009E24EB">
        <w:rPr>
          <w:b/>
          <w:kern w:val="28"/>
          <w:sz w:val="24"/>
        </w:rPr>
        <w:t xml:space="preserve"> </w:t>
      </w:r>
      <w:proofErr w:type="gramStart"/>
      <w:r w:rsidRPr="009E24EB">
        <w:rPr>
          <w:b/>
          <w:kern w:val="28"/>
          <w:sz w:val="24"/>
        </w:rPr>
        <w:t>3A.4(</w:t>
      </w:r>
      <w:proofErr w:type="gramEnd"/>
      <w:r w:rsidRPr="009E24EB">
        <w:rPr>
          <w:b/>
          <w:kern w:val="28"/>
          <w:sz w:val="24"/>
        </w:rPr>
        <w:t>2)</w:t>
      </w:r>
    </w:p>
    <w:p w14:paraId="281EA957" w14:textId="30171822" w:rsidR="004E3DB9" w:rsidRPr="009E24EB" w:rsidRDefault="004E3DB9" w:rsidP="004E3DB9">
      <w:pPr>
        <w:pStyle w:val="Item"/>
        <w:spacing w:before="120"/>
        <w:ind w:left="0"/>
        <w:rPr>
          <w:sz w:val="24"/>
          <w:szCs w:val="24"/>
        </w:rPr>
      </w:pPr>
      <w:r w:rsidRPr="009E24EB">
        <w:rPr>
          <w:sz w:val="24"/>
          <w:szCs w:val="24"/>
        </w:rPr>
        <w:t>This item replace</w:t>
      </w:r>
      <w:r w:rsidR="00D75E0C" w:rsidRPr="009E24EB">
        <w:rPr>
          <w:sz w:val="24"/>
          <w:szCs w:val="24"/>
        </w:rPr>
        <w:t>d</w:t>
      </w:r>
      <w:r w:rsidRPr="009E24EB">
        <w:rPr>
          <w:sz w:val="24"/>
          <w:szCs w:val="24"/>
        </w:rPr>
        <w:t xml:space="preserve"> the words ‘notice about’ with ‘notification for’ in the Principal Regulations. </w:t>
      </w:r>
    </w:p>
    <w:p w14:paraId="76DA270F" w14:textId="77777777" w:rsidR="00051788" w:rsidRPr="009E24EB" w:rsidRDefault="00051788">
      <w:pPr>
        <w:rPr>
          <w:b/>
          <w:kern w:val="28"/>
        </w:rPr>
      </w:pPr>
      <w:r w:rsidRPr="009E24EB">
        <w:rPr>
          <w:b/>
          <w:kern w:val="28"/>
        </w:rPr>
        <w:br w:type="page"/>
      </w:r>
    </w:p>
    <w:p w14:paraId="3B534081" w14:textId="038094D3" w:rsidR="004E3DB9" w:rsidRPr="009E24EB" w:rsidRDefault="004E3DB9" w:rsidP="004E3DB9">
      <w:pPr>
        <w:pStyle w:val="Item"/>
        <w:spacing w:before="240"/>
        <w:ind w:left="0"/>
        <w:rPr>
          <w:b/>
          <w:kern w:val="28"/>
          <w:sz w:val="24"/>
        </w:rPr>
      </w:pPr>
      <w:r w:rsidRPr="009E24EB">
        <w:rPr>
          <w:b/>
          <w:kern w:val="28"/>
          <w:sz w:val="24"/>
        </w:rPr>
        <w:lastRenderedPageBreak/>
        <w:t>Item [71] – At the end of Part 3A</w:t>
      </w:r>
    </w:p>
    <w:p w14:paraId="03DE5CCC" w14:textId="5D724700" w:rsidR="004E3DB9" w:rsidRPr="009E24EB" w:rsidRDefault="004E3DB9" w:rsidP="004E3DB9">
      <w:pPr>
        <w:pStyle w:val="Item"/>
        <w:spacing w:before="120"/>
        <w:ind w:left="0"/>
        <w:rPr>
          <w:sz w:val="24"/>
          <w:szCs w:val="24"/>
        </w:rPr>
      </w:pPr>
      <w:r w:rsidRPr="009E24EB">
        <w:rPr>
          <w:sz w:val="24"/>
          <w:szCs w:val="24"/>
        </w:rPr>
        <w:t>This item insert</w:t>
      </w:r>
      <w:r w:rsidR="00D75E0C" w:rsidRPr="009E24EB">
        <w:rPr>
          <w:sz w:val="24"/>
          <w:szCs w:val="24"/>
        </w:rPr>
        <w:t>ed</w:t>
      </w:r>
      <w:r w:rsidRPr="009E24EB">
        <w:rPr>
          <w:sz w:val="24"/>
          <w:szCs w:val="24"/>
        </w:rPr>
        <w:t xml:space="preserve"> new provisions into the Principal regulations to provide for a partial refund of the ‘deed renewal fee’ where an applicant withdraws their list management application, and a deed arrangement (between the applicant (‘responsible person’) and the Commonwealth) has not been entered into.</w:t>
      </w:r>
    </w:p>
    <w:p w14:paraId="049ABFFA" w14:textId="10407A2E" w:rsidR="004E3DB9" w:rsidRPr="009E24EB" w:rsidRDefault="004E3DB9" w:rsidP="004E3DB9">
      <w:pPr>
        <w:pStyle w:val="ItemHead"/>
        <w:ind w:left="0" w:firstLine="0"/>
        <w:rPr>
          <w:rFonts w:ascii="Times New Roman" w:hAnsi="Times New Roman"/>
          <w:b w:val="0"/>
          <w:kern w:val="0"/>
          <w:szCs w:val="24"/>
        </w:rPr>
      </w:pPr>
      <w:r w:rsidRPr="009E24EB">
        <w:rPr>
          <w:rFonts w:ascii="Times New Roman" w:hAnsi="Times New Roman"/>
          <w:b w:val="0"/>
          <w:kern w:val="0"/>
          <w:szCs w:val="24"/>
        </w:rPr>
        <w:t>This is in addition to the refund of list management fees paid if an application is withdrawn within 10 business days after the notification is given</w:t>
      </w:r>
      <w:r w:rsidR="00D75E0C" w:rsidRPr="009E24EB">
        <w:rPr>
          <w:rFonts w:ascii="Times New Roman" w:hAnsi="Times New Roman"/>
          <w:b w:val="0"/>
          <w:kern w:val="0"/>
          <w:szCs w:val="24"/>
        </w:rPr>
        <w:t>.</w:t>
      </w:r>
      <w:r w:rsidRPr="009E24EB">
        <w:rPr>
          <w:rFonts w:ascii="Times New Roman" w:hAnsi="Times New Roman"/>
          <w:b w:val="0"/>
          <w:kern w:val="0"/>
          <w:szCs w:val="24"/>
        </w:rPr>
        <w:t xml:space="preserve"> </w:t>
      </w:r>
    </w:p>
    <w:p w14:paraId="3FC38055" w14:textId="77777777" w:rsidR="004E3DB9" w:rsidRPr="009E24EB" w:rsidRDefault="004E3DB9" w:rsidP="004E3DB9">
      <w:pPr>
        <w:pStyle w:val="Item"/>
        <w:spacing w:before="240"/>
        <w:ind w:left="0"/>
        <w:rPr>
          <w:b/>
          <w:kern w:val="28"/>
          <w:sz w:val="24"/>
        </w:rPr>
      </w:pPr>
      <w:r w:rsidRPr="009E24EB">
        <w:rPr>
          <w:b/>
          <w:kern w:val="28"/>
          <w:sz w:val="24"/>
        </w:rPr>
        <w:t>Item [72] – Paragraph 4.1(1</w:t>
      </w:r>
      <w:proofErr w:type="gramStart"/>
      <w:r w:rsidRPr="009E24EB">
        <w:rPr>
          <w:b/>
          <w:kern w:val="28"/>
          <w:sz w:val="24"/>
        </w:rPr>
        <w:t>)(</w:t>
      </w:r>
      <w:proofErr w:type="gramEnd"/>
      <w:r w:rsidRPr="009E24EB">
        <w:rPr>
          <w:b/>
          <w:kern w:val="28"/>
          <w:sz w:val="24"/>
        </w:rPr>
        <w:t>b)</w:t>
      </w:r>
    </w:p>
    <w:p w14:paraId="4A1F24A8" w14:textId="6F47325E" w:rsidR="004E3DB9" w:rsidRPr="009E24EB" w:rsidRDefault="004E3DB9" w:rsidP="004E3DB9">
      <w:pPr>
        <w:pStyle w:val="Item"/>
        <w:spacing w:before="120"/>
        <w:ind w:left="0"/>
        <w:rPr>
          <w:sz w:val="24"/>
          <w:szCs w:val="24"/>
        </w:rPr>
      </w:pPr>
      <w:r w:rsidRPr="009E24EB">
        <w:rPr>
          <w:sz w:val="24"/>
          <w:szCs w:val="24"/>
        </w:rPr>
        <w:t>This item replace</w:t>
      </w:r>
      <w:r w:rsidR="00D75E0C" w:rsidRPr="009E24EB">
        <w:rPr>
          <w:sz w:val="24"/>
          <w:szCs w:val="24"/>
        </w:rPr>
        <w:t>d</w:t>
      </w:r>
      <w:r w:rsidRPr="009E24EB">
        <w:rPr>
          <w:sz w:val="24"/>
          <w:szCs w:val="24"/>
        </w:rPr>
        <w:t xml:space="preserve"> paragraph (b)</w:t>
      </w:r>
      <w:r w:rsidR="00D732A9" w:rsidRPr="009E24EB">
        <w:rPr>
          <w:sz w:val="24"/>
          <w:szCs w:val="24"/>
        </w:rPr>
        <w:t xml:space="preserve"> within the Principal Regulations</w:t>
      </w:r>
      <w:r w:rsidR="00917B1C" w:rsidRPr="009E24EB">
        <w:rPr>
          <w:sz w:val="24"/>
          <w:szCs w:val="24"/>
        </w:rPr>
        <w:t>,</w:t>
      </w:r>
      <w:r w:rsidRPr="009E24EB">
        <w:rPr>
          <w:sz w:val="24"/>
          <w:szCs w:val="24"/>
        </w:rPr>
        <w:t xml:space="preserve"> to specify the Department’s 28-day payment terms. </w:t>
      </w:r>
    </w:p>
    <w:p w14:paraId="27CE0A76" w14:textId="77777777" w:rsidR="004E3DB9" w:rsidRPr="009E24EB" w:rsidRDefault="004E3DB9" w:rsidP="004E3DB9">
      <w:pPr>
        <w:pStyle w:val="Item"/>
        <w:spacing w:before="240"/>
        <w:ind w:left="0"/>
        <w:rPr>
          <w:b/>
          <w:kern w:val="28"/>
          <w:sz w:val="24"/>
        </w:rPr>
      </w:pPr>
      <w:r w:rsidRPr="009E24EB">
        <w:rPr>
          <w:b/>
          <w:kern w:val="28"/>
          <w:sz w:val="24"/>
        </w:rPr>
        <w:t xml:space="preserve">Item [73] – </w:t>
      </w:r>
      <w:proofErr w:type="spellStart"/>
      <w:r w:rsidRPr="009E24EB">
        <w:rPr>
          <w:b/>
          <w:kern w:val="28"/>
          <w:sz w:val="24"/>
        </w:rPr>
        <w:t>Subregulation</w:t>
      </w:r>
      <w:proofErr w:type="spellEnd"/>
      <w:r w:rsidRPr="009E24EB">
        <w:rPr>
          <w:b/>
          <w:kern w:val="28"/>
          <w:sz w:val="24"/>
        </w:rPr>
        <w:t xml:space="preserve"> 4.1(4) (note)</w:t>
      </w:r>
    </w:p>
    <w:p w14:paraId="51A2B2E8" w14:textId="454D80FE" w:rsidR="004E3DB9" w:rsidRPr="009E24EB" w:rsidRDefault="004E3DB9" w:rsidP="00917B1C">
      <w:pPr>
        <w:pStyle w:val="Item"/>
        <w:spacing w:before="120"/>
        <w:ind w:left="0"/>
        <w:rPr>
          <w:b/>
          <w:kern w:val="28"/>
        </w:rPr>
      </w:pPr>
      <w:r w:rsidRPr="009E24EB">
        <w:rPr>
          <w:sz w:val="24"/>
          <w:szCs w:val="24"/>
        </w:rPr>
        <w:t>This item amend</w:t>
      </w:r>
      <w:r w:rsidR="00917B1C" w:rsidRPr="009E24EB">
        <w:rPr>
          <w:sz w:val="24"/>
          <w:szCs w:val="24"/>
        </w:rPr>
        <w:t>ed</w:t>
      </w:r>
      <w:r w:rsidRPr="009E24EB">
        <w:rPr>
          <w:sz w:val="24"/>
          <w:szCs w:val="24"/>
        </w:rPr>
        <w:t xml:space="preserve"> the wording of </w:t>
      </w:r>
      <w:r w:rsidR="00D732A9" w:rsidRPr="009E24EB">
        <w:rPr>
          <w:sz w:val="24"/>
          <w:szCs w:val="24"/>
        </w:rPr>
        <w:t xml:space="preserve">this note within the Principal Regulations </w:t>
      </w:r>
      <w:r w:rsidRPr="009E24EB">
        <w:rPr>
          <w:sz w:val="24"/>
          <w:szCs w:val="24"/>
        </w:rPr>
        <w:t xml:space="preserve">to update the </w:t>
      </w:r>
      <w:proofErr w:type="spellStart"/>
      <w:r w:rsidRPr="009E24EB">
        <w:rPr>
          <w:sz w:val="24"/>
          <w:szCs w:val="24"/>
        </w:rPr>
        <w:t>subregulation</w:t>
      </w:r>
      <w:proofErr w:type="spellEnd"/>
      <w:r w:rsidRPr="009E24EB">
        <w:rPr>
          <w:sz w:val="24"/>
          <w:szCs w:val="24"/>
        </w:rPr>
        <w:t xml:space="preserve"> references and remove </w:t>
      </w:r>
      <w:r w:rsidR="00D732A9" w:rsidRPr="009E24EB">
        <w:rPr>
          <w:sz w:val="24"/>
          <w:szCs w:val="24"/>
        </w:rPr>
        <w:t xml:space="preserve">the </w:t>
      </w:r>
      <w:r w:rsidRPr="009E24EB">
        <w:rPr>
          <w:sz w:val="24"/>
          <w:szCs w:val="24"/>
        </w:rPr>
        <w:t>reference to a partial fee waiver</w:t>
      </w:r>
      <w:r w:rsidR="00D732A9" w:rsidRPr="009E24EB">
        <w:rPr>
          <w:sz w:val="24"/>
          <w:szCs w:val="24"/>
        </w:rPr>
        <w:t xml:space="preserve"> as it is no longer required.</w:t>
      </w:r>
    </w:p>
    <w:p w14:paraId="69B65D8C" w14:textId="77777777" w:rsidR="004E3DB9" w:rsidRPr="009E24EB" w:rsidRDefault="004E3DB9" w:rsidP="004E3DB9">
      <w:pPr>
        <w:pStyle w:val="Item"/>
        <w:spacing w:before="240"/>
        <w:ind w:left="0"/>
        <w:rPr>
          <w:b/>
          <w:kern w:val="28"/>
          <w:sz w:val="24"/>
        </w:rPr>
      </w:pPr>
      <w:r w:rsidRPr="009E24EB">
        <w:rPr>
          <w:b/>
          <w:kern w:val="28"/>
          <w:sz w:val="24"/>
        </w:rPr>
        <w:t>Item [74] – Paragraph 4.3(3</w:t>
      </w:r>
      <w:proofErr w:type="gramStart"/>
      <w:r w:rsidRPr="009E24EB">
        <w:rPr>
          <w:b/>
          <w:kern w:val="28"/>
          <w:sz w:val="24"/>
        </w:rPr>
        <w:t>)(</w:t>
      </w:r>
      <w:proofErr w:type="gramEnd"/>
      <w:r w:rsidRPr="009E24EB">
        <w:rPr>
          <w:b/>
          <w:kern w:val="28"/>
          <w:sz w:val="24"/>
        </w:rPr>
        <w:t>a)</w:t>
      </w:r>
    </w:p>
    <w:p w14:paraId="142FB9F3" w14:textId="75295C71" w:rsidR="004E3DB9" w:rsidRPr="009E24EB" w:rsidRDefault="004E3DB9" w:rsidP="004E3DB9">
      <w:pPr>
        <w:pStyle w:val="Item"/>
        <w:spacing w:before="120"/>
        <w:ind w:left="0"/>
        <w:rPr>
          <w:sz w:val="24"/>
          <w:szCs w:val="24"/>
        </w:rPr>
      </w:pPr>
      <w:r w:rsidRPr="009E24EB">
        <w:rPr>
          <w:sz w:val="24"/>
          <w:szCs w:val="24"/>
        </w:rPr>
        <w:t>This item amend</w:t>
      </w:r>
      <w:r w:rsidR="00917B1C" w:rsidRPr="009E24EB">
        <w:rPr>
          <w:sz w:val="24"/>
          <w:szCs w:val="24"/>
        </w:rPr>
        <w:t>ed</w:t>
      </w:r>
      <w:r w:rsidRPr="009E24EB">
        <w:rPr>
          <w:sz w:val="24"/>
          <w:szCs w:val="24"/>
        </w:rPr>
        <w:t xml:space="preserve"> the wording of paragraph (a)</w:t>
      </w:r>
      <w:r w:rsidR="00995813" w:rsidRPr="009E24EB">
        <w:rPr>
          <w:sz w:val="24"/>
          <w:szCs w:val="24"/>
        </w:rPr>
        <w:t xml:space="preserve"> within the Principal Regulations</w:t>
      </w:r>
      <w:r w:rsidR="00917B1C" w:rsidRPr="009E24EB">
        <w:rPr>
          <w:sz w:val="24"/>
          <w:szCs w:val="24"/>
        </w:rPr>
        <w:t xml:space="preserve">, </w:t>
      </w:r>
      <w:r w:rsidRPr="009E24EB">
        <w:rPr>
          <w:sz w:val="24"/>
          <w:szCs w:val="24"/>
        </w:rPr>
        <w:t>to specify the fee payable for an independent review aligns with the evaluation Category 2</w:t>
      </w:r>
      <w:r w:rsidR="00917B1C" w:rsidRPr="009E24EB">
        <w:rPr>
          <w:sz w:val="24"/>
          <w:szCs w:val="24"/>
        </w:rPr>
        <w:t>.</w:t>
      </w:r>
    </w:p>
    <w:p w14:paraId="05FD5CF2" w14:textId="77777777" w:rsidR="004E3DB9" w:rsidRPr="009E24EB" w:rsidRDefault="004E3DB9" w:rsidP="004E3DB9">
      <w:pPr>
        <w:pStyle w:val="Item"/>
        <w:spacing w:before="240"/>
        <w:ind w:left="0"/>
        <w:rPr>
          <w:b/>
          <w:kern w:val="28"/>
          <w:sz w:val="24"/>
        </w:rPr>
      </w:pPr>
      <w:r w:rsidRPr="009E24EB">
        <w:rPr>
          <w:b/>
          <w:kern w:val="28"/>
          <w:sz w:val="24"/>
        </w:rPr>
        <w:t>Item [75] – Regulation 4.7</w:t>
      </w:r>
    </w:p>
    <w:p w14:paraId="63E37632" w14:textId="2460BDB7" w:rsidR="004E3DB9" w:rsidRPr="009E24EB" w:rsidRDefault="004E3DB9" w:rsidP="004E3DB9">
      <w:pPr>
        <w:pStyle w:val="Item"/>
        <w:spacing w:before="120"/>
        <w:ind w:left="0"/>
        <w:rPr>
          <w:sz w:val="24"/>
          <w:szCs w:val="24"/>
        </w:rPr>
      </w:pPr>
      <w:r w:rsidRPr="009E24EB">
        <w:rPr>
          <w:sz w:val="24"/>
          <w:szCs w:val="24"/>
        </w:rPr>
        <w:t xml:space="preserve">This item </w:t>
      </w:r>
      <w:r w:rsidR="00917B1C" w:rsidRPr="009E24EB">
        <w:rPr>
          <w:sz w:val="24"/>
          <w:szCs w:val="24"/>
        </w:rPr>
        <w:t>removed</w:t>
      </w:r>
      <w:r w:rsidRPr="009E24EB">
        <w:rPr>
          <w:sz w:val="24"/>
          <w:szCs w:val="24"/>
        </w:rPr>
        <w:t xml:space="preserve"> this regulation from the </w:t>
      </w:r>
      <w:r w:rsidR="00917B1C" w:rsidRPr="009E24EB">
        <w:rPr>
          <w:sz w:val="24"/>
          <w:szCs w:val="24"/>
        </w:rPr>
        <w:t>P</w:t>
      </w:r>
      <w:r w:rsidRPr="009E24EB">
        <w:rPr>
          <w:sz w:val="24"/>
          <w:szCs w:val="24"/>
        </w:rPr>
        <w:t xml:space="preserve">rincipal Regulations. Indexation by CPI is inconsistent with the current Australian Government Charging Framework. Under the Framework, fees are reviewed and updated annually in line with the </w:t>
      </w:r>
      <w:r w:rsidR="00917B1C" w:rsidRPr="009E24EB">
        <w:rPr>
          <w:sz w:val="24"/>
          <w:szCs w:val="24"/>
        </w:rPr>
        <w:t xml:space="preserve">Government agreed </w:t>
      </w:r>
      <w:r w:rsidRPr="009E24EB">
        <w:rPr>
          <w:sz w:val="24"/>
          <w:szCs w:val="24"/>
        </w:rPr>
        <w:t>charging model.</w:t>
      </w:r>
    </w:p>
    <w:p w14:paraId="283A448A" w14:textId="77777777" w:rsidR="004E3DB9" w:rsidRPr="009E24EB" w:rsidRDefault="004E3DB9" w:rsidP="004E3DB9">
      <w:pPr>
        <w:pStyle w:val="Item"/>
        <w:spacing w:before="240"/>
        <w:ind w:left="0"/>
        <w:rPr>
          <w:b/>
          <w:kern w:val="28"/>
          <w:sz w:val="24"/>
        </w:rPr>
      </w:pPr>
      <w:r w:rsidRPr="009E24EB">
        <w:rPr>
          <w:b/>
          <w:kern w:val="28"/>
          <w:sz w:val="24"/>
        </w:rPr>
        <w:t>Item [76] – Subparagraph 5.1(1</w:t>
      </w:r>
      <w:proofErr w:type="gramStart"/>
      <w:r w:rsidRPr="009E24EB">
        <w:rPr>
          <w:b/>
          <w:kern w:val="28"/>
          <w:sz w:val="24"/>
        </w:rPr>
        <w:t>)(</w:t>
      </w:r>
      <w:proofErr w:type="gramEnd"/>
      <w:r w:rsidRPr="009E24EB">
        <w:rPr>
          <w:b/>
          <w:kern w:val="28"/>
          <w:sz w:val="24"/>
        </w:rPr>
        <w:t>m)(</w:t>
      </w:r>
      <w:proofErr w:type="spellStart"/>
      <w:r w:rsidRPr="009E24EB">
        <w:rPr>
          <w:b/>
          <w:kern w:val="28"/>
          <w:sz w:val="24"/>
        </w:rPr>
        <w:t>i</w:t>
      </w:r>
      <w:proofErr w:type="spellEnd"/>
      <w:r w:rsidRPr="009E24EB">
        <w:rPr>
          <w:b/>
          <w:kern w:val="28"/>
          <w:sz w:val="24"/>
        </w:rPr>
        <w:t>)</w:t>
      </w:r>
    </w:p>
    <w:p w14:paraId="5E643CF2" w14:textId="6E15499B" w:rsidR="004E3DB9" w:rsidRPr="009E24EB" w:rsidRDefault="004E3DB9" w:rsidP="004E3DB9">
      <w:pPr>
        <w:pStyle w:val="Item"/>
        <w:spacing w:before="120"/>
        <w:ind w:left="0"/>
        <w:rPr>
          <w:sz w:val="24"/>
          <w:szCs w:val="24"/>
        </w:rPr>
      </w:pPr>
      <w:r w:rsidRPr="009E24EB">
        <w:rPr>
          <w:sz w:val="24"/>
          <w:szCs w:val="24"/>
        </w:rPr>
        <w:t>This item replace</w:t>
      </w:r>
      <w:r w:rsidR="00917B1C" w:rsidRPr="009E24EB">
        <w:rPr>
          <w:sz w:val="24"/>
          <w:szCs w:val="24"/>
        </w:rPr>
        <w:t>d</w:t>
      </w:r>
      <w:r w:rsidRPr="009E24EB">
        <w:rPr>
          <w:sz w:val="24"/>
          <w:szCs w:val="24"/>
        </w:rPr>
        <w:t xml:space="preserve"> the reference to ‘the Human Services Department’ with ‘Services Australia’ in subparagraph (m</w:t>
      </w:r>
      <w:proofErr w:type="gramStart"/>
      <w:r w:rsidRPr="009E24EB">
        <w:rPr>
          <w:sz w:val="24"/>
          <w:szCs w:val="24"/>
        </w:rPr>
        <w:t>)(</w:t>
      </w:r>
      <w:proofErr w:type="spellStart"/>
      <w:proofErr w:type="gramEnd"/>
      <w:r w:rsidRPr="009E24EB">
        <w:rPr>
          <w:sz w:val="24"/>
          <w:szCs w:val="24"/>
        </w:rPr>
        <w:t>i</w:t>
      </w:r>
      <w:proofErr w:type="spellEnd"/>
      <w:r w:rsidRPr="009E24EB">
        <w:rPr>
          <w:sz w:val="24"/>
          <w:szCs w:val="24"/>
        </w:rPr>
        <w:t>)</w:t>
      </w:r>
      <w:r w:rsidR="00995813" w:rsidRPr="009E24EB">
        <w:rPr>
          <w:sz w:val="24"/>
          <w:szCs w:val="24"/>
        </w:rPr>
        <w:t xml:space="preserve"> </w:t>
      </w:r>
      <w:r w:rsidR="005A17A9" w:rsidRPr="009E24EB">
        <w:rPr>
          <w:sz w:val="24"/>
          <w:szCs w:val="24"/>
        </w:rPr>
        <w:t>within</w:t>
      </w:r>
      <w:r w:rsidR="00995813" w:rsidRPr="009E24EB">
        <w:rPr>
          <w:sz w:val="24"/>
          <w:szCs w:val="24"/>
        </w:rPr>
        <w:t xml:space="preserve"> the Principal Regulations</w:t>
      </w:r>
      <w:r w:rsidR="00917B1C" w:rsidRPr="009E24EB">
        <w:rPr>
          <w:sz w:val="24"/>
          <w:szCs w:val="24"/>
        </w:rPr>
        <w:t>.</w:t>
      </w:r>
      <w:r w:rsidRPr="009E24EB">
        <w:rPr>
          <w:sz w:val="24"/>
          <w:szCs w:val="24"/>
        </w:rPr>
        <w:t xml:space="preserve"> </w:t>
      </w:r>
    </w:p>
    <w:p w14:paraId="4682EF73" w14:textId="77777777" w:rsidR="004E3DB9" w:rsidRPr="009E24EB" w:rsidRDefault="004E3DB9" w:rsidP="004E3DB9">
      <w:pPr>
        <w:pStyle w:val="Item"/>
        <w:spacing w:before="240"/>
        <w:ind w:left="0"/>
        <w:rPr>
          <w:b/>
          <w:kern w:val="28"/>
          <w:sz w:val="24"/>
        </w:rPr>
      </w:pPr>
      <w:r w:rsidRPr="009E24EB">
        <w:rPr>
          <w:b/>
          <w:kern w:val="28"/>
          <w:sz w:val="24"/>
        </w:rPr>
        <w:t xml:space="preserve">Item [77] – </w:t>
      </w:r>
      <w:proofErr w:type="spellStart"/>
      <w:r w:rsidRPr="009E24EB">
        <w:rPr>
          <w:b/>
          <w:kern w:val="28"/>
          <w:sz w:val="24"/>
        </w:rPr>
        <w:t>Subregulation</w:t>
      </w:r>
      <w:proofErr w:type="spellEnd"/>
      <w:r w:rsidRPr="009E24EB">
        <w:rPr>
          <w:b/>
          <w:kern w:val="28"/>
          <w:sz w:val="24"/>
        </w:rPr>
        <w:t xml:space="preserve"> 5.1(6)</w:t>
      </w:r>
    </w:p>
    <w:p w14:paraId="2828D8F5" w14:textId="515EE4A6" w:rsidR="004E3DB9" w:rsidRPr="009E24EB" w:rsidRDefault="004E3DB9" w:rsidP="004E3DB9">
      <w:pPr>
        <w:pStyle w:val="Item"/>
        <w:spacing w:before="120"/>
        <w:ind w:left="0"/>
        <w:rPr>
          <w:sz w:val="24"/>
          <w:szCs w:val="24"/>
        </w:rPr>
      </w:pPr>
      <w:r w:rsidRPr="009E24EB">
        <w:rPr>
          <w:sz w:val="24"/>
          <w:szCs w:val="24"/>
        </w:rPr>
        <w:t xml:space="preserve">This item </w:t>
      </w:r>
      <w:r w:rsidR="00917B1C" w:rsidRPr="009E24EB">
        <w:rPr>
          <w:sz w:val="24"/>
          <w:szCs w:val="24"/>
        </w:rPr>
        <w:t xml:space="preserve">removed this </w:t>
      </w:r>
      <w:proofErr w:type="spellStart"/>
      <w:r w:rsidR="00917B1C" w:rsidRPr="009E24EB">
        <w:rPr>
          <w:sz w:val="24"/>
          <w:szCs w:val="24"/>
        </w:rPr>
        <w:t>subregulation</w:t>
      </w:r>
      <w:proofErr w:type="spellEnd"/>
      <w:r w:rsidRPr="009E24EB">
        <w:rPr>
          <w:sz w:val="24"/>
          <w:szCs w:val="24"/>
        </w:rPr>
        <w:t xml:space="preserve"> and insert</w:t>
      </w:r>
      <w:r w:rsidR="00917B1C" w:rsidRPr="009E24EB">
        <w:rPr>
          <w:sz w:val="24"/>
          <w:szCs w:val="24"/>
        </w:rPr>
        <w:t>ed</w:t>
      </w:r>
      <w:r w:rsidRPr="009E24EB">
        <w:rPr>
          <w:sz w:val="24"/>
          <w:szCs w:val="24"/>
        </w:rPr>
        <w:t xml:space="preserve"> new provisions </w:t>
      </w:r>
      <w:r w:rsidR="00917B1C" w:rsidRPr="009E24EB">
        <w:rPr>
          <w:sz w:val="24"/>
          <w:szCs w:val="24"/>
        </w:rPr>
        <w:t>to r</w:t>
      </w:r>
      <w:r w:rsidRPr="009E24EB">
        <w:rPr>
          <w:sz w:val="24"/>
          <w:szCs w:val="24"/>
        </w:rPr>
        <w:t xml:space="preserve">equire a person to give reasons as to why they are eligible for a fee </w:t>
      </w:r>
      <w:r w:rsidR="00E979E4" w:rsidRPr="009E24EB">
        <w:rPr>
          <w:sz w:val="24"/>
          <w:szCs w:val="24"/>
        </w:rPr>
        <w:t>exemption</w:t>
      </w:r>
      <w:r w:rsidRPr="009E24EB">
        <w:rPr>
          <w:sz w:val="24"/>
          <w:szCs w:val="24"/>
        </w:rPr>
        <w:t>.</w:t>
      </w:r>
    </w:p>
    <w:p w14:paraId="42180219" w14:textId="660312F3" w:rsidR="004E3DB9" w:rsidRPr="009E24EB" w:rsidRDefault="004E3DB9" w:rsidP="004E3DB9">
      <w:pPr>
        <w:pStyle w:val="Item"/>
        <w:spacing w:before="120"/>
        <w:ind w:left="0"/>
        <w:rPr>
          <w:sz w:val="24"/>
          <w:szCs w:val="24"/>
        </w:rPr>
      </w:pPr>
      <w:r w:rsidRPr="009E24EB">
        <w:rPr>
          <w:sz w:val="24"/>
          <w:szCs w:val="24"/>
        </w:rPr>
        <w:t>Where prior notice is required, an applicant must provide the reasons a fee exemption applies with their prior notice. Where prior notice is not required, an applicant must provide the reasons a fee exemption applies with their application</w:t>
      </w:r>
      <w:r w:rsidR="00E979E4" w:rsidRPr="009E24EB">
        <w:rPr>
          <w:sz w:val="24"/>
          <w:szCs w:val="24"/>
        </w:rPr>
        <w:t xml:space="preserve"> to the PBAC</w:t>
      </w:r>
      <w:r w:rsidRPr="009E24EB">
        <w:rPr>
          <w:sz w:val="24"/>
          <w:szCs w:val="24"/>
        </w:rPr>
        <w:t xml:space="preserve">.  </w:t>
      </w:r>
    </w:p>
    <w:p w14:paraId="2E1563C8" w14:textId="0D27DEC5"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amendment align</w:t>
      </w:r>
      <w:r w:rsidR="00E979E4" w:rsidRPr="009E24EB">
        <w:rPr>
          <w:rFonts w:ascii="Times New Roman" w:hAnsi="Times New Roman"/>
          <w:b w:val="0"/>
          <w:kern w:val="0"/>
          <w:szCs w:val="24"/>
        </w:rPr>
        <w:t>s</w:t>
      </w:r>
      <w:r w:rsidRPr="009E24EB">
        <w:rPr>
          <w:rFonts w:ascii="Times New Roman" w:hAnsi="Times New Roman"/>
          <w:b w:val="0"/>
          <w:kern w:val="0"/>
          <w:szCs w:val="24"/>
        </w:rPr>
        <w:t xml:space="preserve"> invoicing with fee </w:t>
      </w:r>
      <w:r w:rsidR="00E979E4" w:rsidRPr="009E24EB">
        <w:rPr>
          <w:rFonts w:ascii="Times New Roman" w:hAnsi="Times New Roman"/>
          <w:b w:val="0"/>
          <w:kern w:val="0"/>
          <w:szCs w:val="24"/>
        </w:rPr>
        <w:t>exemption</w:t>
      </w:r>
      <w:r w:rsidRPr="009E24EB">
        <w:rPr>
          <w:rFonts w:ascii="Times New Roman" w:hAnsi="Times New Roman"/>
          <w:b w:val="0"/>
          <w:kern w:val="0"/>
          <w:szCs w:val="24"/>
        </w:rPr>
        <w:t xml:space="preserve"> decision notices</w:t>
      </w:r>
      <w:r w:rsidR="00917B1C" w:rsidRPr="009E24EB">
        <w:rPr>
          <w:rFonts w:ascii="Times New Roman" w:hAnsi="Times New Roman"/>
          <w:b w:val="0"/>
          <w:kern w:val="0"/>
          <w:szCs w:val="24"/>
        </w:rPr>
        <w:t xml:space="preserve">, and </w:t>
      </w:r>
      <w:r w:rsidRPr="009E24EB">
        <w:rPr>
          <w:rFonts w:ascii="Times New Roman" w:hAnsi="Times New Roman"/>
          <w:b w:val="0"/>
          <w:kern w:val="0"/>
          <w:szCs w:val="24"/>
        </w:rPr>
        <w:t>allow</w:t>
      </w:r>
      <w:r w:rsidR="00917B1C" w:rsidRPr="009E24EB">
        <w:rPr>
          <w:rFonts w:ascii="Times New Roman" w:hAnsi="Times New Roman"/>
          <w:b w:val="0"/>
          <w:kern w:val="0"/>
          <w:szCs w:val="24"/>
        </w:rPr>
        <w:t>s</w:t>
      </w:r>
      <w:r w:rsidRPr="009E24EB">
        <w:rPr>
          <w:rFonts w:ascii="Times New Roman" w:hAnsi="Times New Roman"/>
          <w:b w:val="0"/>
          <w:kern w:val="0"/>
          <w:szCs w:val="24"/>
        </w:rPr>
        <w:t xml:space="preserve"> applicants the opportunity to withdraw an application (without penalty) following receipt of their decision notice.</w:t>
      </w:r>
    </w:p>
    <w:p w14:paraId="05A1BC50" w14:textId="0B9D163D" w:rsidR="004E3DB9" w:rsidRPr="009E24EB" w:rsidRDefault="00917B1C" w:rsidP="004E3DB9">
      <w:pPr>
        <w:pStyle w:val="Item"/>
        <w:ind w:left="0"/>
        <w:rPr>
          <w:sz w:val="24"/>
          <w:szCs w:val="24"/>
        </w:rPr>
      </w:pPr>
      <w:r w:rsidRPr="009E24EB">
        <w:rPr>
          <w:sz w:val="24"/>
          <w:szCs w:val="24"/>
        </w:rPr>
        <w:t>F</w:t>
      </w:r>
      <w:r w:rsidR="004E3DB9" w:rsidRPr="009E24EB">
        <w:rPr>
          <w:sz w:val="24"/>
          <w:szCs w:val="24"/>
        </w:rPr>
        <w:t>ee exemptions are available for applications that meet the eligibility criteria.</w:t>
      </w:r>
    </w:p>
    <w:p w14:paraId="28C1F592" w14:textId="77777777" w:rsidR="004E3DB9" w:rsidRPr="009E24EB" w:rsidRDefault="004E3DB9" w:rsidP="004E3DB9">
      <w:pPr>
        <w:pStyle w:val="Item"/>
        <w:spacing w:before="240"/>
        <w:ind w:left="0"/>
        <w:rPr>
          <w:b/>
          <w:kern w:val="28"/>
          <w:sz w:val="24"/>
        </w:rPr>
      </w:pPr>
      <w:r w:rsidRPr="009E24EB">
        <w:rPr>
          <w:b/>
          <w:kern w:val="28"/>
          <w:sz w:val="24"/>
        </w:rPr>
        <w:t xml:space="preserve">Item [78] – </w:t>
      </w:r>
      <w:proofErr w:type="spellStart"/>
      <w:r w:rsidRPr="009E24EB">
        <w:rPr>
          <w:b/>
          <w:kern w:val="28"/>
          <w:sz w:val="24"/>
        </w:rPr>
        <w:t>Subregulation</w:t>
      </w:r>
      <w:proofErr w:type="spellEnd"/>
      <w:r w:rsidRPr="009E24EB">
        <w:rPr>
          <w:b/>
          <w:kern w:val="28"/>
          <w:sz w:val="24"/>
        </w:rPr>
        <w:t xml:space="preserve"> 5.2(1)</w:t>
      </w:r>
    </w:p>
    <w:p w14:paraId="33F6B7D5" w14:textId="3B897917" w:rsidR="004E3DB9" w:rsidRPr="009E24EB" w:rsidRDefault="004E3DB9" w:rsidP="004E3DB9">
      <w:pPr>
        <w:pStyle w:val="Item"/>
        <w:spacing w:before="120"/>
        <w:ind w:left="0"/>
        <w:rPr>
          <w:sz w:val="24"/>
          <w:szCs w:val="24"/>
        </w:rPr>
      </w:pPr>
      <w:r w:rsidRPr="009E24EB">
        <w:rPr>
          <w:sz w:val="24"/>
          <w:szCs w:val="24"/>
        </w:rPr>
        <w:t>This item remove</w:t>
      </w:r>
      <w:r w:rsidR="00917B1C" w:rsidRPr="009E24EB">
        <w:rPr>
          <w:sz w:val="24"/>
          <w:szCs w:val="24"/>
        </w:rPr>
        <w:t>d</w:t>
      </w:r>
      <w:r w:rsidRPr="009E24EB">
        <w:rPr>
          <w:sz w:val="24"/>
          <w:szCs w:val="24"/>
        </w:rPr>
        <w:t xml:space="preserve"> partial fee waivers</w:t>
      </w:r>
      <w:r w:rsidR="00917B1C" w:rsidRPr="009E24EB">
        <w:rPr>
          <w:sz w:val="24"/>
          <w:szCs w:val="24"/>
        </w:rPr>
        <w:t xml:space="preserve"> from the Principal Regulations</w:t>
      </w:r>
      <w:r w:rsidR="00E979E4" w:rsidRPr="009E24EB">
        <w:rPr>
          <w:sz w:val="24"/>
          <w:szCs w:val="24"/>
        </w:rPr>
        <w:t xml:space="preserve"> to</w:t>
      </w:r>
      <w:r w:rsidRPr="009E24EB">
        <w:rPr>
          <w:sz w:val="24"/>
          <w:szCs w:val="24"/>
        </w:rPr>
        <w:t xml:space="preserve"> reflect the Department’s cost recovery administrative processes</w:t>
      </w:r>
      <w:r w:rsidR="00E979E4" w:rsidRPr="009E24EB">
        <w:rPr>
          <w:sz w:val="24"/>
          <w:szCs w:val="24"/>
        </w:rPr>
        <w:t>. W</w:t>
      </w:r>
      <w:r w:rsidRPr="009E24EB">
        <w:rPr>
          <w:sz w:val="24"/>
          <w:szCs w:val="24"/>
        </w:rPr>
        <w:t>here an applicant meets the eligibility criteria for a fee waiver, the fees are waived in full.</w:t>
      </w:r>
    </w:p>
    <w:p w14:paraId="72086CF6" w14:textId="77777777" w:rsidR="00D732A9" w:rsidRPr="009E24EB" w:rsidRDefault="00D732A9">
      <w:pPr>
        <w:rPr>
          <w:b/>
          <w:kern w:val="28"/>
        </w:rPr>
      </w:pPr>
      <w:r w:rsidRPr="009E24EB">
        <w:rPr>
          <w:b/>
          <w:kern w:val="28"/>
        </w:rPr>
        <w:br w:type="page"/>
      </w:r>
    </w:p>
    <w:p w14:paraId="1AF73F65" w14:textId="78A521A3" w:rsidR="004E3DB9" w:rsidRPr="009E24EB" w:rsidRDefault="004E3DB9" w:rsidP="004E3DB9">
      <w:pPr>
        <w:pStyle w:val="Item"/>
        <w:spacing w:before="240"/>
        <w:ind w:left="0"/>
        <w:rPr>
          <w:b/>
          <w:kern w:val="28"/>
          <w:sz w:val="24"/>
        </w:rPr>
      </w:pPr>
      <w:r w:rsidRPr="009E24EB">
        <w:rPr>
          <w:b/>
          <w:kern w:val="28"/>
          <w:sz w:val="24"/>
        </w:rPr>
        <w:lastRenderedPageBreak/>
        <w:t xml:space="preserve">Item [79] – </w:t>
      </w:r>
      <w:proofErr w:type="spellStart"/>
      <w:r w:rsidRPr="009E24EB">
        <w:rPr>
          <w:b/>
          <w:kern w:val="28"/>
          <w:sz w:val="24"/>
        </w:rPr>
        <w:t>Subregulation</w:t>
      </w:r>
      <w:proofErr w:type="spellEnd"/>
      <w:r w:rsidRPr="009E24EB">
        <w:rPr>
          <w:b/>
          <w:kern w:val="28"/>
          <w:sz w:val="24"/>
        </w:rPr>
        <w:t xml:space="preserve"> 5.2(1)</w:t>
      </w:r>
    </w:p>
    <w:p w14:paraId="69993CB3" w14:textId="042BE1F0" w:rsidR="005E11E0" w:rsidRPr="009E24EB" w:rsidRDefault="005E11E0" w:rsidP="005E11E0">
      <w:pPr>
        <w:pStyle w:val="Item"/>
        <w:spacing w:before="120"/>
        <w:ind w:left="0"/>
        <w:rPr>
          <w:sz w:val="24"/>
          <w:szCs w:val="24"/>
        </w:rPr>
      </w:pPr>
      <w:r w:rsidRPr="009E24EB">
        <w:rPr>
          <w:sz w:val="24"/>
          <w:szCs w:val="24"/>
        </w:rPr>
        <w:t xml:space="preserve">This item amended the wording of this </w:t>
      </w:r>
      <w:proofErr w:type="spellStart"/>
      <w:r w:rsidRPr="009E24EB">
        <w:rPr>
          <w:sz w:val="24"/>
          <w:szCs w:val="24"/>
        </w:rPr>
        <w:t>subregulation</w:t>
      </w:r>
      <w:proofErr w:type="spellEnd"/>
      <w:r w:rsidRPr="009E24EB">
        <w:rPr>
          <w:sz w:val="24"/>
          <w:szCs w:val="24"/>
        </w:rPr>
        <w:t xml:space="preserve"> within the Principal Regulations to reflect the change to fee waiver lodgement timing made by item 81.</w:t>
      </w:r>
    </w:p>
    <w:p w14:paraId="5120C40B" w14:textId="77777777" w:rsidR="004E3DB9" w:rsidRPr="009E24EB" w:rsidRDefault="004E3DB9" w:rsidP="004E3DB9">
      <w:pPr>
        <w:pStyle w:val="Item"/>
        <w:spacing w:before="240"/>
        <w:ind w:left="0"/>
        <w:rPr>
          <w:b/>
          <w:kern w:val="28"/>
          <w:sz w:val="24"/>
        </w:rPr>
      </w:pPr>
      <w:r w:rsidRPr="009E24EB">
        <w:rPr>
          <w:b/>
          <w:kern w:val="28"/>
          <w:sz w:val="24"/>
        </w:rPr>
        <w:t xml:space="preserve">Item [80] – </w:t>
      </w:r>
      <w:proofErr w:type="spellStart"/>
      <w:r w:rsidRPr="009E24EB">
        <w:rPr>
          <w:b/>
          <w:kern w:val="28"/>
          <w:sz w:val="24"/>
        </w:rPr>
        <w:t>Subregulation</w:t>
      </w:r>
      <w:proofErr w:type="spellEnd"/>
      <w:r w:rsidRPr="009E24EB">
        <w:rPr>
          <w:b/>
          <w:kern w:val="28"/>
          <w:sz w:val="24"/>
        </w:rPr>
        <w:t xml:space="preserve"> 5.2(1) (note)</w:t>
      </w:r>
    </w:p>
    <w:p w14:paraId="710DCA76" w14:textId="03D76BB4" w:rsidR="004E3DB9" w:rsidRPr="009E24EB" w:rsidRDefault="004E3DB9" w:rsidP="004E3DB9">
      <w:pPr>
        <w:pStyle w:val="Item"/>
        <w:spacing w:before="120"/>
        <w:ind w:left="0"/>
        <w:rPr>
          <w:sz w:val="24"/>
          <w:szCs w:val="24"/>
        </w:rPr>
      </w:pPr>
      <w:r w:rsidRPr="009E24EB">
        <w:rPr>
          <w:sz w:val="24"/>
          <w:szCs w:val="24"/>
        </w:rPr>
        <w:t xml:space="preserve">This item </w:t>
      </w:r>
      <w:r w:rsidR="00B55595" w:rsidRPr="009E24EB">
        <w:rPr>
          <w:sz w:val="24"/>
          <w:szCs w:val="24"/>
        </w:rPr>
        <w:t xml:space="preserve">removed </w:t>
      </w:r>
      <w:r w:rsidR="0088342C" w:rsidRPr="009E24EB">
        <w:rPr>
          <w:sz w:val="24"/>
          <w:szCs w:val="24"/>
        </w:rPr>
        <w:t xml:space="preserve">this note </w:t>
      </w:r>
      <w:r w:rsidR="00D732A9" w:rsidRPr="009E24EB">
        <w:rPr>
          <w:sz w:val="24"/>
          <w:szCs w:val="24"/>
        </w:rPr>
        <w:t>from the Principal Regulations – refer item 81.</w:t>
      </w:r>
    </w:p>
    <w:p w14:paraId="391D035C" w14:textId="77777777" w:rsidR="004E3DB9" w:rsidRPr="009E24EB" w:rsidRDefault="004E3DB9" w:rsidP="004E3DB9">
      <w:pPr>
        <w:pStyle w:val="Item"/>
        <w:spacing w:before="240"/>
        <w:ind w:left="0"/>
        <w:rPr>
          <w:b/>
          <w:kern w:val="28"/>
          <w:sz w:val="24"/>
        </w:rPr>
      </w:pPr>
      <w:r w:rsidRPr="009E24EB">
        <w:rPr>
          <w:b/>
          <w:kern w:val="28"/>
          <w:sz w:val="24"/>
        </w:rPr>
        <w:t xml:space="preserve">Item [81] – </w:t>
      </w:r>
      <w:proofErr w:type="spellStart"/>
      <w:r w:rsidRPr="009E24EB">
        <w:rPr>
          <w:b/>
          <w:kern w:val="28"/>
          <w:sz w:val="24"/>
        </w:rPr>
        <w:t>Subregulation</w:t>
      </w:r>
      <w:proofErr w:type="spellEnd"/>
      <w:r w:rsidRPr="009E24EB">
        <w:rPr>
          <w:b/>
          <w:kern w:val="28"/>
          <w:sz w:val="24"/>
        </w:rPr>
        <w:t xml:space="preserve"> 5.2(1) </w:t>
      </w:r>
    </w:p>
    <w:p w14:paraId="2916A8E1" w14:textId="7122334E" w:rsidR="004E3DB9" w:rsidRPr="009E24EB" w:rsidRDefault="004E3DB9" w:rsidP="004E3DB9">
      <w:pPr>
        <w:pStyle w:val="Item"/>
        <w:spacing w:before="120"/>
        <w:ind w:left="0"/>
        <w:rPr>
          <w:sz w:val="24"/>
          <w:szCs w:val="24"/>
        </w:rPr>
      </w:pPr>
      <w:r w:rsidRPr="009E24EB">
        <w:rPr>
          <w:sz w:val="24"/>
          <w:szCs w:val="24"/>
        </w:rPr>
        <w:t>This item insert</w:t>
      </w:r>
      <w:r w:rsidR="00B55595" w:rsidRPr="009E24EB">
        <w:rPr>
          <w:sz w:val="24"/>
          <w:szCs w:val="24"/>
        </w:rPr>
        <w:t xml:space="preserve">ed </w:t>
      </w:r>
      <w:r w:rsidRPr="009E24EB">
        <w:rPr>
          <w:sz w:val="24"/>
          <w:szCs w:val="24"/>
        </w:rPr>
        <w:t xml:space="preserve">a new </w:t>
      </w:r>
      <w:proofErr w:type="spellStart"/>
      <w:r w:rsidRPr="009E24EB">
        <w:rPr>
          <w:sz w:val="24"/>
          <w:szCs w:val="24"/>
        </w:rPr>
        <w:t>subregulation</w:t>
      </w:r>
      <w:proofErr w:type="spellEnd"/>
      <w:r w:rsidR="005A17A9" w:rsidRPr="009E24EB">
        <w:rPr>
          <w:sz w:val="24"/>
          <w:szCs w:val="24"/>
        </w:rPr>
        <w:t xml:space="preserve"> into the Principal Regulations</w:t>
      </w:r>
      <w:r w:rsidRPr="009E24EB">
        <w:rPr>
          <w:sz w:val="24"/>
          <w:szCs w:val="24"/>
        </w:rPr>
        <w:t xml:space="preserve"> </w:t>
      </w:r>
      <w:r w:rsidR="00B55595" w:rsidRPr="009E24EB">
        <w:rPr>
          <w:sz w:val="24"/>
          <w:szCs w:val="24"/>
        </w:rPr>
        <w:t>t</w:t>
      </w:r>
      <w:r w:rsidRPr="009E24EB">
        <w:rPr>
          <w:sz w:val="24"/>
          <w:szCs w:val="24"/>
        </w:rPr>
        <w:t xml:space="preserve">o </w:t>
      </w:r>
      <w:r w:rsidR="005E11E0" w:rsidRPr="009E24EB">
        <w:rPr>
          <w:sz w:val="24"/>
          <w:szCs w:val="24"/>
        </w:rPr>
        <w:t>change the lodgement timing for</w:t>
      </w:r>
      <w:r w:rsidRPr="009E24EB">
        <w:rPr>
          <w:sz w:val="24"/>
          <w:szCs w:val="24"/>
        </w:rPr>
        <w:t xml:space="preserve"> fee waiver applications.</w:t>
      </w:r>
    </w:p>
    <w:p w14:paraId="65598C03" w14:textId="7C88CF0F" w:rsidR="004E3DB9" w:rsidRPr="009E24EB" w:rsidRDefault="004E3DB9" w:rsidP="004E3DB9">
      <w:pPr>
        <w:pStyle w:val="Item"/>
        <w:spacing w:before="120"/>
        <w:ind w:left="0"/>
        <w:rPr>
          <w:sz w:val="24"/>
          <w:szCs w:val="24"/>
        </w:rPr>
      </w:pPr>
      <w:r w:rsidRPr="009E24EB">
        <w:rPr>
          <w:sz w:val="24"/>
          <w:szCs w:val="24"/>
        </w:rPr>
        <w:t>This item also insert</w:t>
      </w:r>
      <w:r w:rsidR="00B55595" w:rsidRPr="009E24EB">
        <w:rPr>
          <w:sz w:val="24"/>
          <w:szCs w:val="24"/>
        </w:rPr>
        <w:t>ed</w:t>
      </w:r>
      <w:r w:rsidRPr="009E24EB">
        <w:rPr>
          <w:sz w:val="24"/>
          <w:szCs w:val="24"/>
        </w:rPr>
        <w:t xml:space="preserve"> a note</w:t>
      </w:r>
      <w:r w:rsidR="00B55595" w:rsidRPr="009E24EB">
        <w:rPr>
          <w:sz w:val="24"/>
          <w:szCs w:val="24"/>
        </w:rPr>
        <w:t xml:space="preserve"> into the Principal Regulations</w:t>
      </w:r>
      <w:r w:rsidRPr="009E24EB">
        <w:rPr>
          <w:sz w:val="24"/>
          <w:szCs w:val="24"/>
        </w:rPr>
        <w:t xml:space="preserve"> to advise that a request to waive ATAGI fees need to be included in the related application for submission or pricing services</w:t>
      </w:r>
      <w:r w:rsidR="00B55595" w:rsidRPr="009E24EB">
        <w:rPr>
          <w:sz w:val="24"/>
          <w:szCs w:val="24"/>
        </w:rPr>
        <w:t xml:space="preserve">. </w:t>
      </w:r>
      <w:r w:rsidR="0022219E" w:rsidRPr="009E24EB">
        <w:rPr>
          <w:sz w:val="24"/>
          <w:szCs w:val="24"/>
        </w:rPr>
        <w:t>This note was removed by item 80.</w:t>
      </w:r>
    </w:p>
    <w:p w14:paraId="375D4BD9" w14:textId="097B4C19" w:rsidR="004E3DB9" w:rsidRPr="009E24EB" w:rsidRDefault="004E3DB9" w:rsidP="004E3DB9">
      <w:pPr>
        <w:pStyle w:val="Item"/>
        <w:spacing w:before="120"/>
        <w:ind w:left="0"/>
        <w:rPr>
          <w:sz w:val="24"/>
          <w:szCs w:val="24"/>
        </w:rPr>
      </w:pPr>
      <w:r w:rsidRPr="009E24EB">
        <w:rPr>
          <w:sz w:val="24"/>
          <w:szCs w:val="24"/>
        </w:rPr>
        <w:t>Where prior notice is required, an applicant must provide their fee waiver application with their prior notice. Where prior notice is not required, an applicant must provide their fee waiver</w:t>
      </w:r>
      <w:r w:rsidR="00414194" w:rsidRPr="009E24EB">
        <w:rPr>
          <w:sz w:val="24"/>
          <w:szCs w:val="24"/>
        </w:rPr>
        <w:t xml:space="preserve"> application </w:t>
      </w:r>
      <w:r w:rsidRPr="009E24EB">
        <w:rPr>
          <w:sz w:val="24"/>
          <w:szCs w:val="24"/>
        </w:rPr>
        <w:t xml:space="preserve">with their application for submission, pricing or list management services.  </w:t>
      </w:r>
    </w:p>
    <w:p w14:paraId="113387DF" w14:textId="0EBE790D" w:rsidR="004E3DB9" w:rsidRPr="009E24EB" w:rsidRDefault="004E3DB9" w:rsidP="00B55595">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amendment align</w:t>
      </w:r>
      <w:r w:rsidR="00B55595" w:rsidRPr="009E24EB">
        <w:rPr>
          <w:rFonts w:ascii="Times New Roman" w:hAnsi="Times New Roman"/>
          <w:b w:val="0"/>
          <w:kern w:val="0"/>
          <w:szCs w:val="24"/>
        </w:rPr>
        <w:t>s</w:t>
      </w:r>
      <w:r w:rsidRPr="009E24EB">
        <w:rPr>
          <w:rFonts w:ascii="Times New Roman" w:hAnsi="Times New Roman"/>
          <w:b w:val="0"/>
          <w:kern w:val="0"/>
          <w:szCs w:val="24"/>
        </w:rPr>
        <w:t xml:space="preserve"> invoicing w</w:t>
      </w:r>
      <w:r w:rsidR="00B55595" w:rsidRPr="009E24EB">
        <w:rPr>
          <w:rFonts w:ascii="Times New Roman" w:hAnsi="Times New Roman"/>
          <w:b w:val="0"/>
          <w:kern w:val="0"/>
          <w:szCs w:val="24"/>
        </w:rPr>
        <w:t xml:space="preserve">ith fee waiver decision notices and </w:t>
      </w:r>
      <w:r w:rsidRPr="009E24EB">
        <w:rPr>
          <w:rFonts w:ascii="Times New Roman" w:hAnsi="Times New Roman"/>
          <w:b w:val="0"/>
          <w:kern w:val="0"/>
          <w:szCs w:val="24"/>
        </w:rPr>
        <w:t>allow</w:t>
      </w:r>
      <w:r w:rsidR="00B55595" w:rsidRPr="009E24EB">
        <w:rPr>
          <w:rFonts w:ascii="Times New Roman" w:hAnsi="Times New Roman"/>
          <w:b w:val="0"/>
          <w:kern w:val="0"/>
          <w:szCs w:val="24"/>
        </w:rPr>
        <w:t>s</w:t>
      </w:r>
      <w:r w:rsidRPr="009E24EB">
        <w:rPr>
          <w:rFonts w:ascii="Times New Roman" w:hAnsi="Times New Roman"/>
          <w:b w:val="0"/>
          <w:kern w:val="0"/>
          <w:szCs w:val="24"/>
        </w:rPr>
        <w:t xml:space="preserve"> applicants to withdraw an application (without penalty) following receipt of their decision notice.</w:t>
      </w:r>
    </w:p>
    <w:p w14:paraId="00F026CB" w14:textId="4EC2317D" w:rsidR="004E3DB9" w:rsidRPr="009E24EB" w:rsidRDefault="0088342C" w:rsidP="004E3DB9">
      <w:pPr>
        <w:pStyle w:val="Item"/>
        <w:ind w:left="0"/>
        <w:rPr>
          <w:sz w:val="24"/>
          <w:szCs w:val="24"/>
        </w:rPr>
      </w:pPr>
      <w:r w:rsidRPr="009E24EB">
        <w:rPr>
          <w:sz w:val="24"/>
          <w:szCs w:val="24"/>
        </w:rPr>
        <w:t>Fe</w:t>
      </w:r>
      <w:r w:rsidR="004E3DB9" w:rsidRPr="009E24EB">
        <w:rPr>
          <w:sz w:val="24"/>
          <w:szCs w:val="24"/>
        </w:rPr>
        <w:t>e waivers are available for applications that meet the eligibility criteria.</w:t>
      </w:r>
    </w:p>
    <w:p w14:paraId="180CF6BE" w14:textId="77777777" w:rsidR="004E3DB9" w:rsidRPr="009E24EB" w:rsidRDefault="004E3DB9" w:rsidP="004E3DB9">
      <w:pPr>
        <w:pStyle w:val="Item"/>
        <w:spacing w:before="240"/>
        <w:ind w:left="0"/>
        <w:rPr>
          <w:b/>
          <w:kern w:val="28"/>
          <w:sz w:val="24"/>
        </w:rPr>
      </w:pPr>
      <w:r w:rsidRPr="009E24EB">
        <w:rPr>
          <w:b/>
          <w:kern w:val="28"/>
          <w:sz w:val="24"/>
        </w:rPr>
        <w:t xml:space="preserve">Item [82] – </w:t>
      </w:r>
      <w:proofErr w:type="spellStart"/>
      <w:r w:rsidRPr="009E24EB">
        <w:rPr>
          <w:b/>
          <w:kern w:val="28"/>
          <w:sz w:val="24"/>
        </w:rPr>
        <w:t>Subregulation</w:t>
      </w:r>
      <w:proofErr w:type="spellEnd"/>
      <w:r w:rsidRPr="009E24EB">
        <w:rPr>
          <w:b/>
          <w:kern w:val="28"/>
          <w:sz w:val="24"/>
        </w:rPr>
        <w:t xml:space="preserve"> 5.2(2)</w:t>
      </w:r>
    </w:p>
    <w:p w14:paraId="446284F5" w14:textId="74578DF4" w:rsidR="004E3DB9" w:rsidRPr="009E24EB" w:rsidRDefault="004E3DB9" w:rsidP="004E3DB9">
      <w:pPr>
        <w:pStyle w:val="Item"/>
        <w:spacing w:before="120"/>
        <w:ind w:left="0"/>
        <w:rPr>
          <w:sz w:val="24"/>
          <w:szCs w:val="24"/>
        </w:rPr>
      </w:pPr>
      <w:r w:rsidRPr="009E24EB">
        <w:rPr>
          <w:sz w:val="24"/>
          <w:szCs w:val="24"/>
        </w:rPr>
        <w:t>This item amend</w:t>
      </w:r>
      <w:r w:rsidR="0088342C" w:rsidRPr="009E24EB">
        <w:rPr>
          <w:sz w:val="24"/>
          <w:szCs w:val="24"/>
        </w:rPr>
        <w:t>ed</w:t>
      </w:r>
      <w:r w:rsidRPr="009E24EB">
        <w:rPr>
          <w:sz w:val="24"/>
          <w:szCs w:val="24"/>
        </w:rPr>
        <w:t xml:space="preserve"> the word</w:t>
      </w:r>
      <w:r w:rsidR="0088342C" w:rsidRPr="009E24EB">
        <w:rPr>
          <w:sz w:val="24"/>
          <w:szCs w:val="24"/>
        </w:rPr>
        <w:t>ing of th</w:t>
      </w:r>
      <w:r w:rsidR="0022219E" w:rsidRPr="009E24EB">
        <w:rPr>
          <w:sz w:val="24"/>
          <w:szCs w:val="24"/>
        </w:rPr>
        <w:t xml:space="preserve">is </w:t>
      </w:r>
      <w:proofErr w:type="spellStart"/>
      <w:r w:rsidR="0022219E" w:rsidRPr="009E24EB">
        <w:rPr>
          <w:sz w:val="24"/>
          <w:szCs w:val="24"/>
        </w:rPr>
        <w:t>subregulation</w:t>
      </w:r>
      <w:proofErr w:type="spellEnd"/>
      <w:r w:rsidR="0022219E" w:rsidRPr="009E24EB">
        <w:rPr>
          <w:sz w:val="24"/>
          <w:szCs w:val="24"/>
        </w:rPr>
        <w:t xml:space="preserve"> within the</w:t>
      </w:r>
      <w:r w:rsidR="0088342C" w:rsidRPr="009E24EB">
        <w:rPr>
          <w:sz w:val="24"/>
          <w:szCs w:val="24"/>
        </w:rPr>
        <w:t xml:space="preserve"> Principal Regulations to </w:t>
      </w:r>
      <w:r w:rsidRPr="009E24EB">
        <w:rPr>
          <w:sz w:val="24"/>
          <w:szCs w:val="24"/>
        </w:rPr>
        <w:t>align with</w:t>
      </w:r>
      <w:r w:rsidR="0088342C" w:rsidRPr="009E24EB">
        <w:rPr>
          <w:sz w:val="24"/>
          <w:szCs w:val="24"/>
        </w:rPr>
        <w:t xml:space="preserve"> the change made by i</w:t>
      </w:r>
      <w:r w:rsidRPr="009E24EB">
        <w:rPr>
          <w:sz w:val="24"/>
          <w:szCs w:val="24"/>
        </w:rPr>
        <w:t>tem 78</w:t>
      </w:r>
      <w:r w:rsidR="0088342C" w:rsidRPr="009E24EB">
        <w:rPr>
          <w:sz w:val="24"/>
          <w:szCs w:val="24"/>
        </w:rPr>
        <w:t>.</w:t>
      </w:r>
    </w:p>
    <w:p w14:paraId="1293773F" w14:textId="77777777" w:rsidR="004E3DB9" w:rsidRPr="009E24EB" w:rsidRDefault="004E3DB9" w:rsidP="004E3DB9">
      <w:pPr>
        <w:pStyle w:val="Item"/>
        <w:spacing w:before="240"/>
        <w:ind w:left="0"/>
        <w:rPr>
          <w:b/>
          <w:kern w:val="28"/>
          <w:sz w:val="24"/>
        </w:rPr>
      </w:pPr>
      <w:r w:rsidRPr="009E24EB">
        <w:rPr>
          <w:b/>
          <w:kern w:val="28"/>
          <w:sz w:val="24"/>
        </w:rPr>
        <w:t>Item [83] – Paragraph 5.2(4</w:t>
      </w:r>
      <w:proofErr w:type="gramStart"/>
      <w:r w:rsidRPr="009E24EB">
        <w:rPr>
          <w:b/>
          <w:kern w:val="28"/>
          <w:sz w:val="24"/>
        </w:rPr>
        <w:t>)(</w:t>
      </w:r>
      <w:proofErr w:type="gramEnd"/>
      <w:r w:rsidRPr="009E24EB">
        <w:rPr>
          <w:b/>
          <w:kern w:val="28"/>
          <w:sz w:val="24"/>
        </w:rPr>
        <w:t>a)</w:t>
      </w:r>
    </w:p>
    <w:p w14:paraId="3E526B94" w14:textId="070D8846" w:rsidR="004E3DB9" w:rsidRPr="009E24EB" w:rsidRDefault="004E3DB9" w:rsidP="004E3DB9">
      <w:pPr>
        <w:pStyle w:val="Item"/>
        <w:spacing w:before="120"/>
        <w:ind w:left="0"/>
        <w:rPr>
          <w:sz w:val="24"/>
          <w:szCs w:val="24"/>
        </w:rPr>
      </w:pPr>
      <w:r w:rsidRPr="009E24EB">
        <w:rPr>
          <w:sz w:val="24"/>
          <w:szCs w:val="24"/>
        </w:rPr>
        <w:t xml:space="preserve">This item </w:t>
      </w:r>
      <w:r w:rsidR="0088342C" w:rsidRPr="009E24EB">
        <w:rPr>
          <w:sz w:val="24"/>
          <w:szCs w:val="24"/>
        </w:rPr>
        <w:t>amended</w:t>
      </w:r>
      <w:r w:rsidRPr="009E24EB">
        <w:rPr>
          <w:sz w:val="24"/>
          <w:szCs w:val="24"/>
        </w:rPr>
        <w:t xml:space="preserve"> the wording </w:t>
      </w:r>
      <w:r w:rsidR="0088342C" w:rsidRPr="009E24EB">
        <w:rPr>
          <w:sz w:val="24"/>
          <w:szCs w:val="24"/>
        </w:rPr>
        <w:t>of</w:t>
      </w:r>
      <w:r w:rsidRPr="009E24EB">
        <w:rPr>
          <w:sz w:val="24"/>
          <w:szCs w:val="24"/>
        </w:rPr>
        <w:t xml:space="preserve"> paragraph (a)</w:t>
      </w:r>
      <w:r w:rsidR="0022219E" w:rsidRPr="009E24EB">
        <w:rPr>
          <w:sz w:val="24"/>
          <w:szCs w:val="24"/>
        </w:rPr>
        <w:t xml:space="preserve"> within the Principal Regulations</w:t>
      </w:r>
      <w:r w:rsidR="0088342C" w:rsidRPr="009E24EB">
        <w:rPr>
          <w:sz w:val="24"/>
          <w:szCs w:val="24"/>
        </w:rPr>
        <w:t xml:space="preserve"> </w:t>
      </w:r>
      <w:r w:rsidRPr="009E24EB">
        <w:rPr>
          <w:sz w:val="24"/>
          <w:szCs w:val="24"/>
        </w:rPr>
        <w:t>to align with</w:t>
      </w:r>
      <w:r w:rsidR="0088342C" w:rsidRPr="009E24EB">
        <w:rPr>
          <w:sz w:val="24"/>
          <w:szCs w:val="24"/>
        </w:rPr>
        <w:t xml:space="preserve"> the change made by</w:t>
      </w:r>
      <w:r w:rsidRPr="009E24EB">
        <w:rPr>
          <w:sz w:val="24"/>
          <w:szCs w:val="24"/>
        </w:rPr>
        <w:t xml:space="preserve"> item 78</w:t>
      </w:r>
      <w:r w:rsidR="0088342C" w:rsidRPr="009E24EB">
        <w:rPr>
          <w:sz w:val="24"/>
          <w:szCs w:val="24"/>
        </w:rPr>
        <w:t>.</w:t>
      </w:r>
    </w:p>
    <w:p w14:paraId="7AF5CF60" w14:textId="77777777" w:rsidR="004E3DB9" w:rsidRPr="009E24EB" w:rsidRDefault="004E3DB9" w:rsidP="004E3DB9">
      <w:pPr>
        <w:pStyle w:val="Item"/>
        <w:spacing w:before="240"/>
        <w:ind w:left="0"/>
        <w:rPr>
          <w:b/>
          <w:kern w:val="28"/>
          <w:sz w:val="24"/>
        </w:rPr>
      </w:pPr>
      <w:r w:rsidRPr="009E24EB">
        <w:rPr>
          <w:b/>
          <w:kern w:val="28"/>
          <w:sz w:val="24"/>
        </w:rPr>
        <w:t xml:space="preserve">Item [84] – </w:t>
      </w:r>
      <w:proofErr w:type="spellStart"/>
      <w:r w:rsidRPr="009E24EB">
        <w:rPr>
          <w:b/>
          <w:kern w:val="28"/>
          <w:sz w:val="24"/>
        </w:rPr>
        <w:t>Subregulation</w:t>
      </w:r>
      <w:proofErr w:type="spellEnd"/>
      <w:r w:rsidRPr="009E24EB">
        <w:rPr>
          <w:b/>
          <w:kern w:val="28"/>
          <w:sz w:val="24"/>
        </w:rPr>
        <w:t xml:space="preserve"> 5.2(4)</w:t>
      </w:r>
    </w:p>
    <w:p w14:paraId="43218212" w14:textId="1CDC4B29" w:rsidR="004E3DB9" w:rsidRPr="009E24EB" w:rsidRDefault="004E3DB9" w:rsidP="004E3DB9">
      <w:pPr>
        <w:pStyle w:val="Item"/>
        <w:spacing w:before="120"/>
        <w:ind w:left="0"/>
        <w:rPr>
          <w:sz w:val="24"/>
          <w:szCs w:val="24"/>
        </w:rPr>
      </w:pPr>
      <w:r w:rsidRPr="009E24EB">
        <w:rPr>
          <w:sz w:val="24"/>
          <w:szCs w:val="24"/>
        </w:rPr>
        <w:t>This item amend</w:t>
      </w:r>
      <w:r w:rsidR="0088342C" w:rsidRPr="009E24EB">
        <w:rPr>
          <w:sz w:val="24"/>
          <w:szCs w:val="24"/>
        </w:rPr>
        <w:t xml:space="preserve">ed the wording of this </w:t>
      </w:r>
      <w:proofErr w:type="spellStart"/>
      <w:r w:rsidR="0088342C" w:rsidRPr="009E24EB">
        <w:rPr>
          <w:sz w:val="24"/>
          <w:szCs w:val="24"/>
        </w:rPr>
        <w:t>subregulation</w:t>
      </w:r>
      <w:proofErr w:type="spellEnd"/>
      <w:r w:rsidR="00995813" w:rsidRPr="009E24EB">
        <w:rPr>
          <w:sz w:val="24"/>
          <w:szCs w:val="24"/>
        </w:rPr>
        <w:t xml:space="preserve"> within the Principal Regulations</w:t>
      </w:r>
      <w:r w:rsidR="0088342C" w:rsidRPr="009E24EB">
        <w:rPr>
          <w:sz w:val="24"/>
          <w:szCs w:val="24"/>
        </w:rPr>
        <w:t xml:space="preserve"> </w:t>
      </w:r>
      <w:r w:rsidRPr="009E24EB">
        <w:rPr>
          <w:sz w:val="24"/>
          <w:szCs w:val="24"/>
        </w:rPr>
        <w:t>to align with</w:t>
      </w:r>
      <w:r w:rsidR="0088342C" w:rsidRPr="009E24EB">
        <w:rPr>
          <w:sz w:val="24"/>
          <w:szCs w:val="24"/>
        </w:rPr>
        <w:t xml:space="preserve"> change made by</w:t>
      </w:r>
      <w:r w:rsidRPr="009E24EB">
        <w:rPr>
          <w:sz w:val="24"/>
          <w:szCs w:val="24"/>
        </w:rPr>
        <w:t xml:space="preserve"> item 78</w:t>
      </w:r>
      <w:r w:rsidR="0088342C" w:rsidRPr="009E24EB">
        <w:rPr>
          <w:sz w:val="24"/>
          <w:szCs w:val="24"/>
        </w:rPr>
        <w:t>.</w:t>
      </w:r>
    </w:p>
    <w:p w14:paraId="7787D177" w14:textId="77777777" w:rsidR="004E3DB9" w:rsidRPr="009E24EB" w:rsidRDefault="004E3DB9" w:rsidP="004E3DB9">
      <w:pPr>
        <w:pStyle w:val="Item"/>
        <w:spacing w:before="240"/>
        <w:ind w:left="0"/>
        <w:rPr>
          <w:b/>
          <w:kern w:val="28"/>
          <w:sz w:val="24"/>
        </w:rPr>
      </w:pPr>
      <w:r w:rsidRPr="009E24EB">
        <w:rPr>
          <w:b/>
          <w:kern w:val="28"/>
          <w:sz w:val="24"/>
        </w:rPr>
        <w:t xml:space="preserve">Item [85] – </w:t>
      </w:r>
      <w:proofErr w:type="spellStart"/>
      <w:r w:rsidRPr="009E24EB">
        <w:rPr>
          <w:b/>
          <w:kern w:val="28"/>
          <w:sz w:val="24"/>
        </w:rPr>
        <w:t>Subregulations</w:t>
      </w:r>
      <w:proofErr w:type="spellEnd"/>
      <w:r w:rsidRPr="009E24EB">
        <w:rPr>
          <w:b/>
          <w:kern w:val="28"/>
          <w:sz w:val="24"/>
        </w:rPr>
        <w:t xml:space="preserve"> 5.2(5) and (7)</w:t>
      </w:r>
    </w:p>
    <w:p w14:paraId="307BB5C5" w14:textId="213551CF" w:rsidR="004E3DB9" w:rsidRPr="009E24EB" w:rsidRDefault="004E3DB9" w:rsidP="004E3DB9">
      <w:pPr>
        <w:pStyle w:val="Item"/>
        <w:spacing w:before="120"/>
        <w:ind w:left="0"/>
        <w:rPr>
          <w:sz w:val="24"/>
          <w:szCs w:val="24"/>
        </w:rPr>
      </w:pPr>
      <w:r w:rsidRPr="009E24EB">
        <w:rPr>
          <w:sz w:val="24"/>
          <w:szCs w:val="24"/>
        </w:rPr>
        <w:t>This item amend</w:t>
      </w:r>
      <w:r w:rsidR="0088342C" w:rsidRPr="009E24EB">
        <w:rPr>
          <w:sz w:val="24"/>
          <w:szCs w:val="24"/>
        </w:rPr>
        <w:t>ed</w:t>
      </w:r>
      <w:r w:rsidRPr="009E24EB">
        <w:rPr>
          <w:sz w:val="24"/>
          <w:szCs w:val="24"/>
        </w:rPr>
        <w:t xml:space="preserve"> the wording </w:t>
      </w:r>
      <w:r w:rsidR="0088342C" w:rsidRPr="009E24EB">
        <w:rPr>
          <w:sz w:val="24"/>
          <w:szCs w:val="24"/>
        </w:rPr>
        <w:t xml:space="preserve">of these </w:t>
      </w:r>
      <w:proofErr w:type="spellStart"/>
      <w:r w:rsidR="0088342C" w:rsidRPr="009E24EB">
        <w:rPr>
          <w:sz w:val="24"/>
          <w:szCs w:val="24"/>
        </w:rPr>
        <w:t>subregulations</w:t>
      </w:r>
      <w:proofErr w:type="spellEnd"/>
      <w:r w:rsidR="00995813" w:rsidRPr="009E24EB">
        <w:rPr>
          <w:sz w:val="24"/>
          <w:szCs w:val="24"/>
        </w:rPr>
        <w:t xml:space="preserve"> within the Principal Regulations</w:t>
      </w:r>
      <w:r w:rsidR="0088342C" w:rsidRPr="009E24EB">
        <w:rPr>
          <w:sz w:val="24"/>
          <w:szCs w:val="24"/>
        </w:rPr>
        <w:t xml:space="preserve"> </w:t>
      </w:r>
      <w:r w:rsidRPr="009E24EB">
        <w:rPr>
          <w:sz w:val="24"/>
          <w:szCs w:val="24"/>
        </w:rPr>
        <w:t>to align with</w:t>
      </w:r>
      <w:r w:rsidR="0088342C" w:rsidRPr="009E24EB">
        <w:rPr>
          <w:sz w:val="24"/>
          <w:szCs w:val="24"/>
        </w:rPr>
        <w:t xml:space="preserve"> the change made by</w:t>
      </w:r>
      <w:r w:rsidRPr="009E24EB">
        <w:rPr>
          <w:sz w:val="24"/>
          <w:szCs w:val="24"/>
        </w:rPr>
        <w:t xml:space="preserve"> item 78</w:t>
      </w:r>
      <w:r w:rsidR="0088342C" w:rsidRPr="009E24EB">
        <w:rPr>
          <w:sz w:val="24"/>
          <w:szCs w:val="24"/>
        </w:rPr>
        <w:t>.</w:t>
      </w:r>
    </w:p>
    <w:p w14:paraId="14F92401" w14:textId="77777777" w:rsidR="004E3DB9" w:rsidRPr="009E24EB" w:rsidRDefault="004E3DB9" w:rsidP="004E3DB9">
      <w:pPr>
        <w:pStyle w:val="Item"/>
        <w:spacing w:before="240"/>
        <w:ind w:left="0"/>
        <w:rPr>
          <w:b/>
          <w:kern w:val="28"/>
          <w:sz w:val="24"/>
        </w:rPr>
      </w:pPr>
      <w:r w:rsidRPr="009E24EB">
        <w:rPr>
          <w:b/>
          <w:kern w:val="28"/>
          <w:sz w:val="24"/>
        </w:rPr>
        <w:t xml:space="preserve">Item [86] – </w:t>
      </w:r>
      <w:proofErr w:type="spellStart"/>
      <w:r w:rsidRPr="009E24EB">
        <w:rPr>
          <w:b/>
          <w:kern w:val="28"/>
          <w:sz w:val="24"/>
        </w:rPr>
        <w:t>Subregulation</w:t>
      </w:r>
      <w:proofErr w:type="spellEnd"/>
      <w:r w:rsidRPr="009E24EB">
        <w:rPr>
          <w:b/>
          <w:kern w:val="28"/>
          <w:sz w:val="24"/>
        </w:rPr>
        <w:t xml:space="preserve"> 6.2(3)</w:t>
      </w:r>
    </w:p>
    <w:p w14:paraId="34E7013F" w14:textId="3E8391C2" w:rsidR="004E3DB9" w:rsidRPr="009E24EB" w:rsidRDefault="004E3DB9" w:rsidP="004E3DB9">
      <w:pPr>
        <w:pStyle w:val="Item"/>
        <w:spacing w:before="120"/>
        <w:ind w:left="0"/>
        <w:rPr>
          <w:sz w:val="24"/>
          <w:szCs w:val="24"/>
        </w:rPr>
      </w:pPr>
      <w:r w:rsidRPr="009E24EB">
        <w:rPr>
          <w:sz w:val="24"/>
          <w:szCs w:val="24"/>
        </w:rPr>
        <w:t>This item amend</w:t>
      </w:r>
      <w:r w:rsidR="0088342C" w:rsidRPr="009E24EB">
        <w:rPr>
          <w:sz w:val="24"/>
          <w:szCs w:val="24"/>
        </w:rPr>
        <w:t>ed</w:t>
      </w:r>
      <w:r w:rsidRPr="009E24EB">
        <w:rPr>
          <w:sz w:val="24"/>
          <w:szCs w:val="24"/>
        </w:rPr>
        <w:t xml:space="preserve"> the internal review provision</w:t>
      </w:r>
      <w:r w:rsidR="00995813" w:rsidRPr="009E24EB">
        <w:rPr>
          <w:sz w:val="24"/>
          <w:szCs w:val="24"/>
        </w:rPr>
        <w:t xml:space="preserve"> within the Principal Regulations</w:t>
      </w:r>
      <w:r w:rsidR="0022219E" w:rsidRPr="009E24EB">
        <w:rPr>
          <w:sz w:val="24"/>
          <w:szCs w:val="24"/>
        </w:rPr>
        <w:t xml:space="preserve"> </w:t>
      </w:r>
      <w:r w:rsidRPr="009E24EB">
        <w:rPr>
          <w:sz w:val="24"/>
          <w:szCs w:val="24"/>
        </w:rPr>
        <w:t>so that the delegates for a reviewable decision and an initial review decision are not the same person.</w:t>
      </w:r>
    </w:p>
    <w:p w14:paraId="1D27A149" w14:textId="23B42209" w:rsidR="004E3DB9" w:rsidRPr="009E24EB" w:rsidRDefault="004E3DB9" w:rsidP="004E3DB9">
      <w:pPr>
        <w:pStyle w:val="Item"/>
        <w:spacing w:before="240"/>
        <w:ind w:left="0"/>
        <w:rPr>
          <w:b/>
          <w:kern w:val="28"/>
          <w:sz w:val="24"/>
        </w:rPr>
      </w:pPr>
      <w:r w:rsidRPr="009E24EB">
        <w:rPr>
          <w:b/>
          <w:kern w:val="28"/>
          <w:sz w:val="24"/>
        </w:rPr>
        <w:t xml:space="preserve">Item [87] – </w:t>
      </w:r>
      <w:proofErr w:type="spellStart"/>
      <w:r w:rsidRPr="009E24EB">
        <w:rPr>
          <w:b/>
          <w:kern w:val="28"/>
          <w:sz w:val="24"/>
        </w:rPr>
        <w:t>Subregulation</w:t>
      </w:r>
      <w:proofErr w:type="spellEnd"/>
      <w:r w:rsidRPr="009E24EB">
        <w:rPr>
          <w:b/>
          <w:kern w:val="28"/>
          <w:sz w:val="24"/>
        </w:rPr>
        <w:t xml:space="preserve"> 6.2(</w:t>
      </w:r>
      <w:r w:rsidR="006D7525" w:rsidRPr="009E24EB">
        <w:rPr>
          <w:b/>
          <w:kern w:val="28"/>
          <w:sz w:val="24"/>
        </w:rPr>
        <w:t>4</w:t>
      </w:r>
      <w:r w:rsidRPr="009E24EB">
        <w:rPr>
          <w:b/>
          <w:kern w:val="28"/>
          <w:sz w:val="24"/>
        </w:rPr>
        <w:t>)</w:t>
      </w:r>
    </w:p>
    <w:p w14:paraId="1463275E" w14:textId="2583375B" w:rsidR="004E3DB9" w:rsidRPr="009E24EB" w:rsidRDefault="004E3DB9" w:rsidP="004E3DB9">
      <w:pPr>
        <w:pStyle w:val="Item"/>
        <w:spacing w:before="120"/>
        <w:ind w:left="0"/>
        <w:rPr>
          <w:sz w:val="24"/>
          <w:szCs w:val="24"/>
        </w:rPr>
      </w:pPr>
      <w:r w:rsidRPr="009E24EB">
        <w:rPr>
          <w:sz w:val="24"/>
          <w:szCs w:val="24"/>
        </w:rPr>
        <w:t xml:space="preserve">This item </w:t>
      </w:r>
      <w:r w:rsidR="00880139" w:rsidRPr="009E24EB">
        <w:rPr>
          <w:sz w:val="24"/>
          <w:szCs w:val="24"/>
        </w:rPr>
        <w:t>removed the reference to ‘paragraph (3</w:t>
      </w:r>
      <w:proofErr w:type="gramStart"/>
      <w:r w:rsidR="00880139" w:rsidRPr="009E24EB">
        <w:rPr>
          <w:sz w:val="24"/>
          <w:szCs w:val="24"/>
        </w:rPr>
        <w:t>)(</w:t>
      </w:r>
      <w:proofErr w:type="gramEnd"/>
      <w:r w:rsidR="00880139" w:rsidRPr="009E24EB">
        <w:rPr>
          <w:sz w:val="24"/>
          <w:szCs w:val="24"/>
        </w:rPr>
        <w:t xml:space="preserve">d)’ and </w:t>
      </w:r>
      <w:r w:rsidRPr="009E24EB">
        <w:rPr>
          <w:sz w:val="24"/>
          <w:szCs w:val="24"/>
        </w:rPr>
        <w:t>replace</w:t>
      </w:r>
      <w:r w:rsidR="00880139" w:rsidRPr="009E24EB">
        <w:rPr>
          <w:sz w:val="24"/>
          <w:szCs w:val="24"/>
        </w:rPr>
        <w:t xml:space="preserve">d with ‘paragraph (3)(c)’ in this </w:t>
      </w:r>
      <w:proofErr w:type="spellStart"/>
      <w:r w:rsidR="00880139" w:rsidRPr="009E24EB">
        <w:rPr>
          <w:sz w:val="24"/>
          <w:szCs w:val="24"/>
        </w:rPr>
        <w:t>subregulation</w:t>
      </w:r>
      <w:proofErr w:type="spellEnd"/>
      <w:r w:rsidR="00880139" w:rsidRPr="009E24EB">
        <w:rPr>
          <w:sz w:val="24"/>
          <w:szCs w:val="24"/>
        </w:rPr>
        <w:t xml:space="preserve"> </w:t>
      </w:r>
      <w:r w:rsidR="0022219E" w:rsidRPr="009E24EB">
        <w:rPr>
          <w:sz w:val="24"/>
          <w:szCs w:val="24"/>
        </w:rPr>
        <w:t xml:space="preserve">within the Principal Regulations </w:t>
      </w:r>
      <w:r w:rsidRPr="009E24EB">
        <w:rPr>
          <w:sz w:val="24"/>
          <w:szCs w:val="24"/>
        </w:rPr>
        <w:t>to align with</w:t>
      </w:r>
      <w:r w:rsidR="004C67AA" w:rsidRPr="009E24EB">
        <w:rPr>
          <w:sz w:val="24"/>
          <w:szCs w:val="24"/>
        </w:rPr>
        <w:t xml:space="preserve"> the changes made by</w:t>
      </w:r>
      <w:r w:rsidRPr="009E24EB">
        <w:rPr>
          <w:sz w:val="24"/>
          <w:szCs w:val="24"/>
        </w:rPr>
        <w:t xml:space="preserve"> item 86</w:t>
      </w:r>
      <w:r w:rsidR="004C67AA" w:rsidRPr="009E24EB">
        <w:rPr>
          <w:sz w:val="24"/>
          <w:szCs w:val="24"/>
        </w:rPr>
        <w:t>.</w:t>
      </w:r>
    </w:p>
    <w:p w14:paraId="3AE9FD51" w14:textId="77777777" w:rsidR="004E3DB9" w:rsidRPr="009E24EB" w:rsidRDefault="004E3DB9" w:rsidP="004E3DB9">
      <w:pPr>
        <w:pStyle w:val="Item"/>
        <w:spacing w:before="240"/>
        <w:ind w:left="0"/>
        <w:rPr>
          <w:b/>
          <w:kern w:val="28"/>
          <w:sz w:val="24"/>
        </w:rPr>
      </w:pPr>
      <w:r w:rsidRPr="009E24EB">
        <w:rPr>
          <w:b/>
          <w:kern w:val="28"/>
          <w:sz w:val="24"/>
        </w:rPr>
        <w:t xml:space="preserve">Item [88] – </w:t>
      </w:r>
      <w:proofErr w:type="spellStart"/>
      <w:r w:rsidRPr="009E24EB">
        <w:rPr>
          <w:b/>
          <w:kern w:val="28"/>
          <w:sz w:val="24"/>
        </w:rPr>
        <w:t>Subregulation</w:t>
      </w:r>
      <w:proofErr w:type="spellEnd"/>
      <w:r w:rsidRPr="009E24EB">
        <w:rPr>
          <w:b/>
          <w:kern w:val="28"/>
          <w:sz w:val="24"/>
        </w:rPr>
        <w:t xml:space="preserve"> 6.2(7)</w:t>
      </w:r>
    </w:p>
    <w:p w14:paraId="3DA7E0CC" w14:textId="1699E905" w:rsidR="004E3DB9" w:rsidRPr="009E24EB" w:rsidRDefault="004E3DB9" w:rsidP="004E3DB9">
      <w:pPr>
        <w:pStyle w:val="Item"/>
        <w:spacing w:before="120"/>
        <w:ind w:left="0"/>
        <w:rPr>
          <w:sz w:val="24"/>
          <w:szCs w:val="24"/>
        </w:rPr>
      </w:pPr>
      <w:r w:rsidRPr="009E24EB">
        <w:rPr>
          <w:sz w:val="24"/>
          <w:szCs w:val="24"/>
        </w:rPr>
        <w:t>This item replace</w:t>
      </w:r>
      <w:r w:rsidR="00ED5ED7" w:rsidRPr="009E24EB">
        <w:rPr>
          <w:sz w:val="24"/>
          <w:szCs w:val="24"/>
        </w:rPr>
        <w:t>d this</w:t>
      </w:r>
      <w:r w:rsidRPr="009E24EB">
        <w:rPr>
          <w:sz w:val="24"/>
          <w:szCs w:val="24"/>
        </w:rPr>
        <w:t xml:space="preserve"> </w:t>
      </w:r>
      <w:proofErr w:type="spellStart"/>
      <w:r w:rsidRPr="009E24EB">
        <w:rPr>
          <w:sz w:val="24"/>
          <w:szCs w:val="24"/>
        </w:rPr>
        <w:t>subregulation</w:t>
      </w:r>
      <w:proofErr w:type="spellEnd"/>
      <w:r w:rsidRPr="009E24EB">
        <w:rPr>
          <w:sz w:val="24"/>
          <w:szCs w:val="24"/>
        </w:rPr>
        <w:t xml:space="preserve"> to </w:t>
      </w:r>
      <w:r w:rsidR="0022219E" w:rsidRPr="009E24EB">
        <w:rPr>
          <w:sz w:val="24"/>
          <w:szCs w:val="24"/>
        </w:rPr>
        <w:t xml:space="preserve">align with the changes made </w:t>
      </w:r>
      <w:r w:rsidR="00ED5ED7" w:rsidRPr="009E24EB">
        <w:rPr>
          <w:sz w:val="24"/>
          <w:szCs w:val="24"/>
        </w:rPr>
        <w:t>by i</w:t>
      </w:r>
      <w:r w:rsidRPr="009E24EB">
        <w:rPr>
          <w:sz w:val="24"/>
          <w:szCs w:val="24"/>
        </w:rPr>
        <w:t>tem 86</w:t>
      </w:r>
      <w:r w:rsidR="00ED5ED7" w:rsidRPr="009E24EB">
        <w:rPr>
          <w:sz w:val="24"/>
          <w:szCs w:val="24"/>
        </w:rPr>
        <w:t>.</w:t>
      </w:r>
    </w:p>
    <w:p w14:paraId="0004298F" w14:textId="77777777" w:rsidR="006D7525" w:rsidRPr="009E24EB" w:rsidRDefault="006D7525">
      <w:pPr>
        <w:rPr>
          <w:b/>
          <w:kern w:val="28"/>
        </w:rPr>
      </w:pPr>
      <w:r w:rsidRPr="009E24EB">
        <w:rPr>
          <w:b/>
          <w:kern w:val="28"/>
        </w:rPr>
        <w:br w:type="page"/>
      </w:r>
    </w:p>
    <w:p w14:paraId="6C67B9D0" w14:textId="4D1D81AA" w:rsidR="004E3DB9" w:rsidRPr="009E24EB" w:rsidRDefault="004E3DB9" w:rsidP="004E3DB9">
      <w:pPr>
        <w:pStyle w:val="Item"/>
        <w:spacing w:before="240"/>
        <w:ind w:left="0"/>
        <w:rPr>
          <w:b/>
          <w:kern w:val="28"/>
          <w:sz w:val="24"/>
        </w:rPr>
      </w:pPr>
      <w:r w:rsidRPr="009E24EB">
        <w:rPr>
          <w:b/>
          <w:kern w:val="28"/>
          <w:sz w:val="24"/>
        </w:rPr>
        <w:lastRenderedPageBreak/>
        <w:t>Item [89] – Paragraph 6.4(a)</w:t>
      </w:r>
    </w:p>
    <w:p w14:paraId="6111FD16" w14:textId="4A20F184" w:rsidR="00ED5ED7" w:rsidRPr="009E24EB" w:rsidRDefault="00ED5ED7" w:rsidP="00ED5ED7">
      <w:pPr>
        <w:pStyle w:val="Item"/>
        <w:spacing w:before="120"/>
        <w:ind w:left="0"/>
        <w:rPr>
          <w:sz w:val="24"/>
          <w:szCs w:val="24"/>
        </w:rPr>
      </w:pPr>
      <w:r w:rsidRPr="009E24EB">
        <w:rPr>
          <w:sz w:val="24"/>
          <w:szCs w:val="24"/>
        </w:rPr>
        <w:t>This item removed the reference to ‘6.2(3</w:t>
      </w:r>
      <w:proofErr w:type="gramStart"/>
      <w:r w:rsidRPr="009E24EB">
        <w:rPr>
          <w:sz w:val="24"/>
          <w:szCs w:val="24"/>
        </w:rPr>
        <w:t>)(</w:t>
      </w:r>
      <w:proofErr w:type="gramEnd"/>
      <w:r w:rsidRPr="009E24EB">
        <w:rPr>
          <w:sz w:val="24"/>
          <w:szCs w:val="24"/>
        </w:rPr>
        <w:t xml:space="preserve">c)’ and replaced with ‘6.2(3)(b)’ </w:t>
      </w:r>
      <w:r w:rsidR="0022219E" w:rsidRPr="009E24EB">
        <w:rPr>
          <w:sz w:val="24"/>
          <w:szCs w:val="24"/>
        </w:rPr>
        <w:t xml:space="preserve">in paragraph (a) within the Principal Regulations to </w:t>
      </w:r>
      <w:r w:rsidRPr="009E24EB">
        <w:rPr>
          <w:sz w:val="24"/>
          <w:szCs w:val="24"/>
        </w:rPr>
        <w:t>align with the changes made by item 86.</w:t>
      </w:r>
    </w:p>
    <w:p w14:paraId="3FA2FC20" w14:textId="77777777" w:rsidR="004E3DB9" w:rsidRPr="009E24EB" w:rsidRDefault="004E3DB9" w:rsidP="004E3DB9">
      <w:pPr>
        <w:pStyle w:val="Item"/>
        <w:spacing w:before="240"/>
        <w:ind w:left="0"/>
        <w:rPr>
          <w:b/>
          <w:kern w:val="28"/>
          <w:sz w:val="24"/>
        </w:rPr>
      </w:pPr>
      <w:r w:rsidRPr="009E24EB">
        <w:rPr>
          <w:b/>
          <w:kern w:val="28"/>
          <w:sz w:val="24"/>
        </w:rPr>
        <w:t>Item [90] – In the appropriate position in Part 7</w:t>
      </w:r>
    </w:p>
    <w:p w14:paraId="6AAF3E46" w14:textId="574707B0" w:rsidR="004E3DB9" w:rsidRPr="009E24EB" w:rsidRDefault="004E3DB9" w:rsidP="004E3DB9">
      <w:pPr>
        <w:pStyle w:val="Item"/>
        <w:spacing w:before="120"/>
        <w:ind w:left="0"/>
        <w:rPr>
          <w:sz w:val="24"/>
          <w:szCs w:val="24"/>
        </w:rPr>
      </w:pPr>
      <w:r w:rsidRPr="009E24EB">
        <w:rPr>
          <w:sz w:val="24"/>
          <w:szCs w:val="24"/>
        </w:rPr>
        <w:t>This item insert</w:t>
      </w:r>
      <w:r w:rsidR="0022219E" w:rsidRPr="009E24EB">
        <w:rPr>
          <w:sz w:val="24"/>
          <w:szCs w:val="24"/>
        </w:rPr>
        <w:t>ed</w:t>
      </w:r>
      <w:r w:rsidRPr="009E24EB">
        <w:rPr>
          <w:sz w:val="24"/>
          <w:szCs w:val="24"/>
        </w:rPr>
        <w:t xml:space="preserve"> a new heading ‘Division 4—Application and transitional provisions relating to amendments commencing on 1 January 2021’ and the following application provisions into the Principal Regulations:</w:t>
      </w:r>
    </w:p>
    <w:p w14:paraId="5FF4FDC9" w14:textId="2D000926" w:rsidR="004E3DB9" w:rsidRPr="009E24EB" w:rsidRDefault="004E3DB9" w:rsidP="004E3DB9">
      <w:pPr>
        <w:pStyle w:val="ItemHead"/>
        <w:rPr>
          <w:rFonts w:ascii="Times New Roman" w:hAnsi="Times New Roman"/>
          <w:b w:val="0"/>
          <w:i/>
        </w:rPr>
      </w:pPr>
      <w:r w:rsidRPr="009E24EB">
        <w:rPr>
          <w:rFonts w:ascii="Times New Roman" w:hAnsi="Times New Roman"/>
          <w:b w:val="0"/>
          <w:i/>
        </w:rPr>
        <w:t>7.4 Scope of this Division</w:t>
      </w:r>
    </w:p>
    <w:p w14:paraId="54B8F99C" w14:textId="5E2A92B3" w:rsidR="004E3DB9" w:rsidRPr="009E24EB" w:rsidRDefault="004E3DB9" w:rsidP="004E3DB9">
      <w:pPr>
        <w:pStyle w:val="Item"/>
        <w:ind w:left="0"/>
        <w:rPr>
          <w:sz w:val="24"/>
          <w:szCs w:val="24"/>
        </w:rPr>
      </w:pPr>
      <w:r w:rsidRPr="009E24EB">
        <w:rPr>
          <w:sz w:val="24"/>
          <w:szCs w:val="24"/>
        </w:rPr>
        <w:t>This regulation specif</w:t>
      </w:r>
      <w:r w:rsidR="00ED5ED7" w:rsidRPr="009E24EB">
        <w:rPr>
          <w:sz w:val="24"/>
          <w:szCs w:val="24"/>
        </w:rPr>
        <w:t>ies</w:t>
      </w:r>
      <w:r w:rsidRPr="009E24EB">
        <w:rPr>
          <w:sz w:val="24"/>
          <w:szCs w:val="24"/>
        </w:rPr>
        <w:t xml:space="preserve"> that the application provisions be made in relation to the proposed Regulations.</w:t>
      </w:r>
    </w:p>
    <w:p w14:paraId="574CBD99" w14:textId="4A477FFE" w:rsidR="004E3DB9" w:rsidRPr="009E24EB" w:rsidRDefault="004E3DB9" w:rsidP="004E3DB9">
      <w:pPr>
        <w:pStyle w:val="ItemHead"/>
        <w:rPr>
          <w:rFonts w:ascii="Times New Roman" w:hAnsi="Times New Roman"/>
          <w:b w:val="0"/>
          <w:i/>
        </w:rPr>
      </w:pPr>
      <w:r w:rsidRPr="009E24EB">
        <w:rPr>
          <w:rFonts w:ascii="Times New Roman" w:hAnsi="Times New Roman"/>
          <w:b w:val="0"/>
          <w:i/>
        </w:rPr>
        <w:t>7.5 Application of new fees</w:t>
      </w:r>
    </w:p>
    <w:p w14:paraId="36126DF3" w14:textId="4579246D" w:rsidR="004E3DB9" w:rsidRPr="009E24EB" w:rsidRDefault="004E3DB9" w:rsidP="004E3DB9">
      <w:pPr>
        <w:pStyle w:val="Item"/>
        <w:ind w:left="0"/>
        <w:rPr>
          <w:sz w:val="24"/>
          <w:szCs w:val="24"/>
        </w:rPr>
      </w:pPr>
      <w:r w:rsidRPr="009E24EB">
        <w:rPr>
          <w:sz w:val="24"/>
          <w:szCs w:val="24"/>
        </w:rPr>
        <w:t>This regulation specif</w:t>
      </w:r>
      <w:r w:rsidR="00ED5ED7" w:rsidRPr="009E24EB">
        <w:rPr>
          <w:sz w:val="24"/>
          <w:szCs w:val="24"/>
        </w:rPr>
        <w:t xml:space="preserve">ies </w:t>
      </w:r>
      <w:r w:rsidRPr="009E24EB">
        <w:rPr>
          <w:sz w:val="24"/>
          <w:szCs w:val="24"/>
        </w:rPr>
        <w:t xml:space="preserve">that new fees apply to applications for pre-submission services, submission services, pricing services and list management services where the notification is given by the Department on or after 1 January 2021.  </w:t>
      </w:r>
    </w:p>
    <w:p w14:paraId="7C10D52C" w14:textId="67796BF0" w:rsidR="004E3DB9" w:rsidRPr="009E24EB" w:rsidRDefault="004E3DB9" w:rsidP="004E3DB9">
      <w:pPr>
        <w:pStyle w:val="Item"/>
        <w:spacing w:before="240"/>
        <w:ind w:left="0"/>
        <w:rPr>
          <w:i/>
          <w:sz w:val="24"/>
          <w:szCs w:val="24"/>
        </w:rPr>
      </w:pPr>
      <w:r w:rsidRPr="009E24EB">
        <w:rPr>
          <w:i/>
          <w:sz w:val="24"/>
          <w:szCs w:val="24"/>
        </w:rPr>
        <w:t>7.6 Application of amendment of provisions about applications for pre-submission meetings</w:t>
      </w:r>
    </w:p>
    <w:p w14:paraId="2CCEE748" w14:textId="63F7AF46" w:rsidR="004E3DB9" w:rsidRPr="009E24EB" w:rsidRDefault="004E3DB9" w:rsidP="004E3DB9">
      <w:pPr>
        <w:pStyle w:val="ItemHead"/>
        <w:spacing w:before="120"/>
        <w:ind w:left="0" w:firstLine="0"/>
        <w:rPr>
          <w:rFonts w:ascii="Times New Roman" w:hAnsi="Times New Roman"/>
          <w:b w:val="0"/>
          <w:kern w:val="0"/>
          <w:szCs w:val="24"/>
        </w:rPr>
      </w:pPr>
      <w:r w:rsidRPr="009E24EB">
        <w:rPr>
          <w:rFonts w:ascii="Times New Roman" w:hAnsi="Times New Roman"/>
          <w:b w:val="0"/>
          <w:kern w:val="0"/>
          <w:szCs w:val="24"/>
        </w:rPr>
        <w:t>This regulation specif</w:t>
      </w:r>
      <w:r w:rsidR="00ED5ED7" w:rsidRPr="009E24EB">
        <w:rPr>
          <w:rFonts w:ascii="Times New Roman" w:hAnsi="Times New Roman"/>
          <w:b w:val="0"/>
          <w:kern w:val="0"/>
          <w:szCs w:val="24"/>
        </w:rPr>
        <w:t>ies</w:t>
      </w:r>
      <w:r w:rsidRPr="009E24EB">
        <w:rPr>
          <w:rFonts w:ascii="Times New Roman" w:hAnsi="Times New Roman"/>
          <w:b w:val="0"/>
          <w:kern w:val="0"/>
          <w:szCs w:val="24"/>
        </w:rPr>
        <w:t xml:space="preserve"> that the amendments given effect by items 17 to 21</w:t>
      </w:r>
      <w:r w:rsidR="005C65A5" w:rsidRPr="009E24EB">
        <w:rPr>
          <w:rFonts w:ascii="Times New Roman" w:hAnsi="Times New Roman"/>
          <w:b w:val="0"/>
          <w:kern w:val="0"/>
          <w:szCs w:val="24"/>
        </w:rPr>
        <w:t xml:space="preserve"> </w:t>
      </w:r>
      <w:r w:rsidRPr="009E24EB">
        <w:rPr>
          <w:rFonts w:ascii="Times New Roman" w:hAnsi="Times New Roman"/>
          <w:b w:val="0"/>
          <w:kern w:val="0"/>
          <w:szCs w:val="24"/>
        </w:rPr>
        <w:t xml:space="preserve">apply to meeting applications sent on or after 1 January 2021. </w:t>
      </w:r>
    </w:p>
    <w:p w14:paraId="188B7705" w14:textId="0F420DF8" w:rsidR="004E3DB9" w:rsidRPr="009E24EB" w:rsidRDefault="004E3DB9" w:rsidP="004E3DB9">
      <w:pPr>
        <w:pStyle w:val="Item"/>
        <w:spacing w:before="240"/>
        <w:ind w:left="0"/>
        <w:rPr>
          <w:i/>
          <w:sz w:val="24"/>
          <w:szCs w:val="24"/>
        </w:rPr>
      </w:pPr>
      <w:r w:rsidRPr="009E24EB">
        <w:rPr>
          <w:i/>
          <w:sz w:val="24"/>
          <w:szCs w:val="24"/>
        </w:rPr>
        <w:t>7.7 Application of amendments about procedure for making applications under Part 2</w:t>
      </w:r>
    </w:p>
    <w:p w14:paraId="3961C7B2" w14:textId="23DA1865" w:rsidR="004E3DB9" w:rsidRPr="009E24EB" w:rsidRDefault="004E3DB9" w:rsidP="004E3DB9">
      <w:pPr>
        <w:pStyle w:val="Item"/>
        <w:spacing w:before="120"/>
        <w:ind w:left="0"/>
        <w:rPr>
          <w:sz w:val="24"/>
          <w:szCs w:val="24"/>
        </w:rPr>
      </w:pPr>
      <w:r w:rsidRPr="009E24EB">
        <w:rPr>
          <w:sz w:val="24"/>
          <w:szCs w:val="24"/>
        </w:rPr>
        <w:t xml:space="preserve">This regulation </w:t>
      </w:r>
      <w:r w:rsidR="00ED5ED7" w:rsidRPr="009E24EB">
        <w:rPr>
          <w:sz w:val="24"/>
          <w:szCs w:val="24"/>
        </w:rPr>
        <w:t>s</w:t>
      </w:r>
      <w:r w:rsidRPr="009E24EB">
        <w:rPr>
          <w:sz w:val="24"/>
          <w:szCs w:val="24"/>
        </w:rPr>
        <w:t>pecif</w:t>
      </w:r>
      <w:r w:rsidR="00ED5ED7" w:rsidRPr="009E24EB">
        <w:rPr>
          <w:sz w:val="24"/>
          <w:szCs w:val="24"/>
        </w:rPr>
        <w:t>ies</w:t>
      </w:r>
      <w:r w:rsidRPr="009E24EB">
        <w:rPr>
          <w:sz w:val="24"/>
          <w:szCs w:val="24"/>
        </w:rPr>
        <w:t xml:space="preserve"> that the amendments given effect by items 22 to 52</w:t>
      </w:r>
      <w:r w:rsidR="005C65A5" w:rsidRPr="009E24EB">
        <w:rPr>
          <w:sz w:val="24"/>
          <w:szCs w:val="24"/>
        </w:rPr>
        <w:t xml:space="preserve"> </w:t>
      </w:r>
      <w:r w:rsidRPr="009E24EB">
        <w:rPr>
          <w:sz w:val="24"/>
          <w:szCs w:val="24"/>
        </w:rPr>
        <w:t>apply to applications for submission services sent (or proposed to be sent) on or after 1 January 2021.</w:t>
      </w:r>
    </w:p>
    <w:p w14:paraId="7736B913" w14:textId="266D97F6" w:rsidR="004E3DB9" w:rsidRPr="009E24EB" w:rsidRDefault="004E3DB9" w:rsidP="004E3DB9">
      <w:pPr>
        <w:pStyle w:val="Item"/>
        <w:spacing w:before="240"/>
        <w:ind w:left="0"/>
        <w:rPr>
          <w:i/>
          <w:sz w:val="24"/>
          <w:szCs w:val="24"/>
        </w:rPr>
      </w:pPr>
      <w:r w:rsidRPr="009E24EB">
        <w:rPr>
          <w:i/>
          <w:sz w:val="24"/>
          <w:szCs w:val="24"/>
        </w:rPr>
        <w:t>7.8 Application of amendments about procedure for making pricing applications</w:t>
      </w:r>
    </w:p>
    <w:p w14:paraId="0966FDB3" w14:textId="4D0774EA" w:rsidR="004E3DB9" w:rsidRPr="009E24EB" w:rsidRDefault="004E3DB9" w:rsidP="004E3DB9">
      <w:pPr>
        <w:pStyle w:val="Item"/>
        <w:spacing w:before="120"/>
        <w:ind w:left="0"/>
        <w:rPr>
          <w:sz w:val="24"/>
          <w:szCs w:val="24"/>
        </w:rPr>
      </w:pPr>
      <w:r w:rsidRPr="009E24EB">
        <w:rPr>
          <w:sz w:val="24"/>
          <w:szCs w:val="24"/>
        </w:rPr>
        <w:t>This regulation specif</w:t>
      </w:r>
      <w:r w:rsidR="00ED5ED7" w:rsidRPr="009E24EB">
        <w:rPr>
          <w:sz w:val="24"/>
          <w:szCs w:val="24"/>
        </w:rPr>
        <w:t>ies</w:t>
      </w:r>
      <w:r w:rsidRPr="009E24EB">
        <w:rPr>
          <w:sz w:val="24"/>
          <w:szCs w:val="24"/>
        </w:rPr>
        <w:t xml:space="preserve"> that the amendments given effect by items 53 to </w:t>
      </w:r>
      <w:r w:rsidR="005C65A5" w:rsidRPr="009E24EB">
        <w:rPr>
          <w:sz w:val="24"/>
          <w:szCs w:val="24"/>
        </w:rPr>
        <w:t xml:space="preserve">63 </w:t>
      </w:r>
      <w:r w:rsidRPr="009E24EB">
        <w:rPr>
          <w:sz w:val="24"/>
          <w:szCs w:val="24"/>
        </w:rPr>
        <w:t>apply to applications for pricing services sent (or proposed to be sent) on or after 1 January 2021.</w:t>
      </w:r>
    </w:p>
    <w:p w14:paraId="4F1F6FCD" w14:textId="6B140441" w:rsidR="004E3DB9" w:rsidRPr="009E24EB" w:rsidRDefault="004E3DB9" w:rsidP="004E3DB9">
      <w:pPr>
        <w:pStyle w:val="Item"/>
        <w:spacing w:before="240"/>
        <w:ind w:left="0"/>
        <w:rPr>
          <w:i/>
          <w:sz w:val="24"/>
          <w:szCs w:val="24"/>
        </w:rPr>
      </w:pPr>
      <w:r w:rsidRPr="009E24EB">
        <w:rPr>
          <w:i/>
          <w:sz w:val="24"/>
          <w:szCs w:val="24"/>
        </w:rPr>
        <w:t>7.9 Cessation of pricing cervices 6 months after pricing application sent</w:t>
      </w:r>
    </w:p>
    <w:p w14:paraId="0410F906" w14:textId="7EC74D86" w:rsidR="004E3DB9" w:rsidRPr="009E24EB" w:rsidRDefault="004E3DB9" w:rsidP="004E3DB9">
      <w:pPr>
        <w:pStyle w:val="Item"/>
        <w:spacing w:before="120"/>
        <w:ind w:left="0"/>
        <w:rPr>
          <w:sz w:val="24"/>
          <w:szCs w:val="24"/>
        </w:rPr>
      </w:pPr>
      <w:r w:rsidRPr="009E24EB">
        <w:rPr>
          <w:sz w:val="24"/>
          <w:szCs w:val="24"/>
        </w:rPr>
        <w:t>This regulation specif</w:t>
      </w:r>
      <w:r w:rsidR="00ED5ED7" w:rsidRPr="009E24EB">
        <w:rPr>
          <w:sz w:val="24"/>
          <w:szCs w:val="24"/>
        </w:rPr>
        <w:t>ies</w:t>
      </w:r>
      <w:r w:rsidRPr="009E24EB">
        <w:rPr>
          <w:sz w:val="24"/>
          <w:szCs w:val="24"/>
        </w:rPr>
        <w:t xml:space="preserve"> that the amendment given effect by item 63 apply to applications for pricing services sent (or proposed to be sent) on or after 1 January 2021.</w:t>
      </w:r>
    </w:p>
    <w:p w14:paraId="1A2DFDB9" w14:textId="61EED174" w:rsidR="004E3DB9" w:rsidRPr="009E24EB" w:rsidRDefault="004E3DB9" w:rsidP="004E3DB9">
      <w:pPr>
        <w:pStyle w:val="Item"/>
        <w:spacing w:before="240"/>
        <w:ind w:left="0"/>
        <w:rPr>
          <w:i/>
          <w:sz w:val="24"/>
          <w:szCs w:val="24"/>
        </w:rPr>
      </w:pPr>
      <w:r w:rsidRPr="009E24EB">
        <w:rPr>
          <w:i/>
          <w:sz w:val="24"/>
          <w:szCs w:val="24"/>
        </w:rPr>
        <w:t>7.10 Application of amendment about time for payment of fees</w:t>
      </w:r>
    </w:p>
    <w:p w14:paraId="716B71EE" w14:textId="4A11A3DA" w:rsidR="004E3DB9" w:rsidRPr="009E24EB" w:rsidRDefault="004E3DB9" w:rsidP="004E3DB9">
      <w:pPr>
        <w:pStyle w:val="Item"/>
        <w:spacing w:before="120"/>
        <w:ind w:left="0"/>
        <w:rPr>
          <w:sz w:val="24"/>
          <w:szCs w:val="24"/>
        </w:rPr>
      </w:pPr>
      <w:r w:rsidRPr="009E24EB">
        <w:rPr>
          <w:sz w:val="24"/>
          <w:szCs w:val="24"/>
        </w:rPr>
        <w:t>This regulation specif</w:t>
      </w:r>
      <w:r w:rsidR="00ED5ED7" w:rsidRPr="009E24EB">
        <w:rPr>
          <w:sz w:val="24"/>
          <w:szCs w:val="24"/>
        </w:rPr>
        <w:t>ies</w:t>
      </w:r>
      <w:r w:rsidRPr="009E24EB">
        <w:rPr>
          <w:sz w:val="24"/>
          <w:szCs w:val="24"/>
        </w:rPr>
        <w:t xml:space="preserve"> that the amendment given effect by item 72 apply to notifications given on or after 1 January 2021.</w:t>
      </w:r>
    </w:p>
    <w:p w14:paraId="41FE9B7E" w14:textId="4DA50923" w:rsidR="004E3DB9" w:rsidRPr="009E24EB" w:rsidRDefault="004E3DB9" w:rsidP="004E3DB9">
      <w:pPr>
        <w:pStyle w:val="ItemHead"/>
        <w:ind w:left="0" w:firstLine="0"/>
        <w:rPr>
          <w:rFonts w:ascii="Times New Roman" w:hAnsi="Times New Roman"/>
          <w:b w:val="0"/>
          <w:i/>
          <w:kern w:val="0"/>
          <w:szCs w:val="24"/>
        </w:rPr>
      </w:pPr>
      <w:r w:rsidRPr="009E24EB">
        <w:rPr>
          <w:rFonts w:ascii="Times New Roman" w:hAnsi="Times New Roman"/>
          <w:b w:val="0"/>
          <w:i/>
          <w:kern w:val="0"/>
          <w:szCs w:val="24"/>
        </w:rPr>
        <w:t>7.11 Application of provisions about including reasons for fee exemptions in application or prior notices</w:t>
      </w:r>
    </w:p>
    <w:p w14:paraId="5F9FF721" w14:textId="54A9E65E" w:rsidR="004E3DB9" w:rsidRPr="009E24EB" w:rsidRDefault="00ED5ED7" w:rsidP="004E3DB9">
      <w:pPr>
        <w:pStyle w:val="Item"/>
        <w:spacing w:before="120"/>
        <w:ind w:left="0"/>
        <w:rPr>
          <w:sz w:val="24"/>
          <w:szCs w:val="24"/>
        </w:rPr>
      </w:pPr>
      <w:r w:rsidRPr="009E24EB">
        <w:rPr>
          <w:sz w:val="24"/>
          <w:szCs w:val="24"/>
        </w:rPr>
        <w:t>T</w:t>
      </w:r>
      <w:r w:rsidR="004E3DB9" w:rsidRPr="009E24EB">
        <w:rPr>
          <w:sz w:val="24"/>
          <w:szCs w:val="24"/>
        </w:rPr>
        <w:t>his regulation specif</w:t>
      </w:r>
      <w:r w:rsidRPr="009E24EB">
        <w:rPr>
          <w:sz w:val="24"/>
          <w:szCs w:val="24"/>
        </w:rPr>
        <w:t>ies</w:t>
      </w:r>
      <w:r w:rsidR="004E3DB9" w:rsidRPr="009E24EB">
        <w:rPr>
          <w:sz w:val="24"/>
          <w:szCs w:val="24"/>
        </w:rPr>
        <w:t xml:space="preserve"> that the amendment given effect by item 77 apply to applications sent or notices given on or after 1 January 2021.</w:t>
      </w:r>
    </w:p>
    <w:p w14:paraId="16D89C56" w14:textId="68229F26" w:rsidR="004E3DB9" w:rsidRPr="009E24EB" w:rsidRDefault="004E3DB9" w:rsidP="004E3DB9">
      <w:pPr>
        <w:pStyle w:val="ItemHead"/>
        <w:rPr>
          <w:rFonts w:ascii="Times New Roman" w:hAnsi="Times New Roman"/>
          <w:b w:val="0"/>
          <w:i/>
          <w:kern w:val="0"/>
          <w:szCs w:val="24"/>
        </w:rPr>
      </w:pPr>
      <w:r w:rsidRPr="009E24EB">
        <w:rPr>
          <w:rFonts w:ascii="Times New Roman" w:hAnsi="Times New Roman"/>
          <w:b w:val="0"/>
          <w:i/>
          <w:kern w:val="0"/>
          <w:szCs w:val="24"/>
        </w:rPr>
        <w:t>7.12 Application of provisions about requests for fee waivers</w:t>
      </w:r>
    </w:p>
    <w:p w14:paraId="0EF23F93" w14:textId="69500D64" w:rsidR="004E3DB9" w:rsidRPr="009E24EB" w:rsidRDefault="004E3DB9" w:rsidP="004E3DB9">
      <w:pPr>
        <w:pStyle w:val="Item"/>
        <w:spacing w:before="120"/>
        <w:ind w:left="0"/>
        <w:rPr>
          <w:sz w:val="24"/>
          <w:szCs w:val="24"/>
        </w:rPr>
      </w:pPr>
      <w:r w:rsidRPr="009E24EB">
        <w:rPr>
          <w:sz w:val="24"/>
          <w:szCs w:val="24"/>
        </w:rPr>
        <w:t>This regulation specif</w:t>
      </w:r>
      <w:r w:rsidR="00ED5ED7" w:rsidRPr="009E24EB">
        <w:rPr>
          <w:sz w:val="24"/>
          <w:szCs w:val="24"/>
        </w:rPr>
        <w:t>ies</w:t>
      </w:r>
      <w:r w:rsidRPr="009E24EB">
        <w:rPr>
          <w:sz w:val="24"/>
          <w:szCs w:val="24"/>
        </w:rPr>
        <w:t xml:space="preserve"> that the amendment given effect by items 78 to 85 apply to requests made on or after 1 January 2021.</w:t>
      </w:r>
    </w:p>
    <w:p w14:paraId="7E7DA3F2" w14:textId="6E3CD175" w:rsidR="004E3DB9" w:rsidRPr="009E24EB" w:rsidRDefault="004E3DB9" w:rsidP="004E3DB9">
      <w:pPr>
        <w:pStyle w:val="ItemHead"/>
        <w:rPr>
          <w:rFonts w:ascii="Times New Roman" w:hAnsi="Times New Roman"/>
          <w:b w:val="0"/>
          <w:i/>
          <w:kern w:val="0"/>
          <w:szCs w:val="24"/>
        </w:rPr>
      </w:pPr>
      <w:r w:rsidRPr="009E24EB">
        <w:rPr>
          <w:rFonts w:ascii="Times New Roman" w:hAnsi="Times New Roman"/>
          <w:b w:val="0"/>
          <w:i/>
          <w:kern w:val="0"/>
          <w:szCs w:val="24"/>
        </w:rPr>
        <w:lastRenderedPageBreak/>
        <w:t>7.13 Application of provisions about internal review</w:t>
      </w:r>
    </w:p>
    <w:p w14:paraId="350767F0" w14:textId="444CC4C2" w:rsidR="004E3DB9" w:rsidRPr="009E24EB" w:rsidRDefault="004E3DB9" w:rsidP="004E3DB9">
      <w:pPr>
        <w:pStyle w:val="Item"/>
        <w:spacing w:before="120"/>
        <w:ind w:left="0"/>
        <w:rPr>
          <w:sz w:val="24"/>
          <w:szCs w:val="24"/>
        </w:rPr>
      </w:pPr>
      <w:r w:rsidRPr="009E24EB">
        <w:rPr>
          <w:sz w:val="24"/>
          <w:szCs w:val="24"/>
        </w:rPr>
        <w:t>This regulation specif</w:t>
      </w:r>
      <w:r w:rsidR="00ED5ED7" w:rsidRPr="009E24EB">
        <w:rPr>
          <w:sz w:val="24"/>
          <w:szCs w:val="24"/>
        </w:rPr>
        <w:t>ies</w:t>
      </w:r>
      <w:r w:rsidRPr="009E24EB">
        <w:rPr>
          <w:sz w:val="24"/>
          <w:szCs w:val="24"/>
        </w:rPr>
        <w:t xml:space="preserve"> that the amendment given effect by items 86 to 89 apply to applications made [under </w:t>
      </w:r>
      <w:proofErr w:type="spellStart"/>
      <w:r w:rsidRPr="009E24EB">
        <w:rPr>
          <w:sz w:val="24"/>
          <w:szCs w:val="24"/>
        </w:rPr>
        <w:t>subregulation</w:t>
      </w:r>
      <w:proofErr w:type="spellEnd"/>
      <w:r w:rsidRPr="009E24EB">
        <w:rPr>
          <w:sz w:val="24"/>
          <w:szCs w:val="24"/>
        </w:rPr>
        <w:t xml:space="preserve"> 6.2(1)] on or after 1 January 2021.</w:t>
      </w:r>
    </w:p>
    <w:p w14:paraId="782B20C0" w14:textId="77777777" w:rsidR="004E3DB9" w:rsidRPr="009E24EB" w:rsidRDefault="004E3DB9" w:rsidP="004E3DB9">
      <w:pPr>
        <w:pStyle w:val="Item"/>
        <w:spacing w:before="240"/>
        <w:ind w:left="0"/>
        <w:rPr>
          <w:b/>
          <w:kern w:val="28"/>
          <w:sz w:val="24"/>
        </w:rPr>
      </w:pPr>
      <w:r w:rsidRPr="009E24EB">
        <w:rPr>
          <w:b/>
          <w:kern w:val="28"/>
          <w:sz w:val="24"/>
        </w:rPr>
        <w:t>Item [91] – After item 2.6 of Schedule 1</w:t>
      </w:r>
    </w:p>
    <w:p w14:paraId="2994594B" w14:textId="00E5FCF2" w:rsidR="004E3DB9" w:rsidRPr="009E24EB" w:rsidRDefault="004E3DB9" w:rsidP="004E3DB9">
      <w:pPr>
        <w:pStyle w:val="Item"/>
        <w:spacing w:before="120"/>
        <w:ind w:left="0"/>
        <w:rPr>
          <w:sz w:val="24"/>
          <w:szCs w:val="24"/>
        </w:rPr>
      </w:pPr>
      <w:r w:rsidRPr="009E24EB">
        <w:rPr>
          <w:sz w:val="24"/>
          <w:szCs w:val="24"/>
        </w:rPr>
        <w:t>This item insert</w:t>
      </w:r>
      <w:r w:rsidR="00ED5ED7" w:rsidRPr="009E24EB">
        <w:rPr>
          <w:sz w:val="24"/>
          <w:szCs w:val="24"/>
        </w:rPr>
        <w:t>ed</w:t>
      </w:r>
      <w:r w:rsidRPr="009E24EB">
        <w:rPr>
          <w:sz w:val="24"/>
          <w:szCs w:val="24"/>
        </w:rPr>
        <w:t xml:space="preserve"> two new sub-items into Schedule 1 </w:t>
      </w:r>
      <w:r w:rsidR="005A17A9" w:rsidRPr="009E24EB">
        <w:rPr>
          <w:sz w:val="24"/>
          <w:szCs w:val="24"/>
        </w:rPr>
        <w:t>of</w:t>
      </w:r>
      <w:r w:rsidRPr="009E24EB">
        <w:rPr>
          <w:sz w:val="24"/>
          <w:szCs w:val="24"/>
        </w:rPr>
        <w:t xml:space="preserve"> the Principal Regulations to give effect to the amendments made by item 31 (in relation to the Category 4).</w:t>
      </w:r>
    </w:p>
    <w:p w14:paraId="3B324952" w14:textId="77777777" w:rsidR="004E3DB9" w:rsidRPr="009E24EB" w:rsidRDefault="004E3DB9" w:rsidP="004E3DB9">
      <w:pPr>
        <w:pStyle w:val="Item"/>
        <w:spacing w:before="240"/>
        <w:ind w:left="0"/>
        <w:rPr>
          <w:b/>
          <w:kern w:val="28"/>
          <w:sz w:val="24"/>
        </w:rPr>
      </w:pPr>
      <w:r w:rsidRPr="009E24EB">
        <w:rPr>
          <w:b/>
          <w:kern w:val="28"/>
          <w:sz w:val="24"/>
        </w:rPr>
        <w:t>Item [92] – Item 2.8 of Schedule 1</w:t>
      </w:r>
    </w:p>
    <w:p w14:paraId="133395AD" w14:textId="24E6E490" w:rsidR="004E3DB9" w:rsidRPr="009E24EB" w:rsidRDefault="004E3DB9" w:rsidP="004E3DB9">
      <w:pPr>
        <w:pStyle w:val="Item"/>
        <w:spacing w:before="120"/>
        <w:ind w:left="0"/>
        <w:rPr>
          <w:sz w:val="24"/>
          <w:szCs w:val="24"/>
        </w:rPr>
      </w:pPr>
      <w:r w:rsidRPr="009E24EB">
        <w:rPr>
          <w:sz w:val="24"/>
          <w:szCs w:val="24"/>
        </w:rPr>
        <w:t xml:space="preserve">This item </w:t>
      </w:r>
      <w:r w:rsidR="00C63724" w:rsidRPr="009E24EB">
        <w:rPr>
          <w:sz w:val="24"/>
          <w:szCs w:val="24"/>
        </w:rPr>
        <w:t xml:space="preserve">amended </w:t>
      </w:r>
      <w:r w:rsidRPr="009E24EB">
        <w:rPr>
          <w:sz w:val="24"/>
          <w:szCs w:val="24"/>
        </w:rPr>
        <w:t xml:space="preserve">the wording of Schedule 1 </w:t>
      </w:r>
      <w:r w:rsidR="005A17A9" w:rsidRPr="009E24EB">
        <w:rPr>
          <w:sz w:val="24"/>
          <w:szCs w:val="24"/>
        </w:rPr>
        <w:t xml:space="preserve">of </w:t>
      </w:r>
      <w:r w:rsidRPr="009E24EB">
        <w:rPr>
          <w:sz w:val="24"/>
          <w:szCs w:val="24"/>
        </w:rPr>
        <w:t>the Principal Regulations to also include reference to section 93AB of the Act</w:t>
      </w:r>
      <w:r w:rsidR="00C63724" w:rsidRPr="009E24EB">
        <w:rPr>
          <w:sz w:val="24"/>
          <w:szCs w:val="24"/>
        </w:rPr>
        <w:t xml:space="preserve">, </w:t>
      </w:r>
      <w:r w:rsidRPr="009E24EB">
        <w:rPr>
          <w:sz w:val="24"/>
          <w:szCs w:val="24"/>
        </w:rPr>
        <w:t xml:space="preserve">to give effect to the amendments made by item 31 </w:t>
      </w:r>
      <w:r w:rsidR="00C63724" w:rsidRPr="009E24EB">
        <w:rPr>
          <w:sz w:val="24"/>
          <w:szCs w:val="24"/>
        </w:rPr>
        <w:br/>
        <w:t>(in re</w:t>
      </w:r>
      <w:r w:rsidRPr="009E24EB">
        <w:rPr>
          <w:sz w:val="24"/>
          <w:szCs w:val="24"/>
        </w:rPr>
        <w:t>lation to the Category 4).</w:t>
      </w:r>
    </w:p>
    <w:p w14:paraId="3D01BAE1" w14:textId="77777777" w:rsidR="004E3DB9" w:rsidRPr="009E24EB" w:rsidRDefault="004E3DB9" w:rsidP="004E3DB9">
      <w:pPr>
        <w:pStyle w:val="Item"/>
        <w:spacing w:before="240"/>
        <w:ind w:left="0"/>
        <w:rPr>
          <w:b/>
          <w:kern w:val="28"/>
          <w:sz w:val="24"/>
        </w:rPr>
      </w:pPr>
      <w:r w:rsidRPr="009E24EB">
        <w:rPr>
          <w:b/>
          <w:kern w:val="28"/>
          <w:sz w:val="24"/>
        </w:rPr>
        <w:t>Item [93] – Schedule 2</w:t>
      </w:r>
    </w:p>
    <w:p w14:paraId="066B29F3" w14:textId="6461F86F" w:rsidR="004E3DB9" w:rsidRPr="009E24EB" w:rsidRDefault="004E3DB9" w:rsidP="004E3DB9">
      <w:pPr>
        <w:pStyle w:val="Item"/>
        <w:spacing w:before="120"/>
        <w:ind w:left="0"/>
        <w:rPr>
          <w:sz w:val="24"/>
          <w:szCs w:val="24"/>
        </w:rPr>
      </w:pPr>
      <w:r w:rsidRPr="009E24EB">
        <w:rPr>
          <w:sz w:val="24"/>
          <w:szCs w:val="24"/>
        </w:rPr>
        <w:t xml:space="preserve">This item </w:t>
      </w:r>
      <w:r w:rsidR="00C63724" w:rsidRPr="009E24EB">
        <w:rPr>
          <w:sz w:val="24"/>
          <w:szCs w:val="24"/>
        </w:rPr>
        <w:t>removed</w:t>
      </w:r>
      <w:r w:rsidRPr="009E24EB">
        <w:rPr>
          <w:sz w:val="24"/>
          <w:szCs w:val="24"/>
        </w:rPr>
        <w:t xml:space="preserve"> Schedule 2 </w:t>
      </w:r>
      <w:r w:rsidR="005A17A9" w:rsidRPr="009E24EB">
        <w:rPr>
          <w:sz w:val="24"/>
          <w:szCs w:val="24"/>
        </w:rPr>
        <w:t xml:space="preserve">from </w:t>
      </w:r>
      <w:r w:rsidRPr="009E24EB">
        <w:rPr>
          <w:sz w:val="24"/>
          <w:szCs w:val="24"/>
        </w:rPr>
        <w:t xml:space="preserve">the Principal Regulations. This schedule </w:t>
      </w:r>
      <w:r w:rsidR="00C63724" w:rsidRPr="009E24EB">
        <w:rPr>
          <w:sz w:val="24"/>
          <w:szCs w:val="24"/>
        </w:rPr>
        <w:t>is n</w:t>
      </w:r>
      <w:r w:rsidRPr="009E24EB">
        <w:rPr>
          <w:sz w:val="24"/>
          <w:szCs w:val="24"/>
        </w:rPr>
        <w:t xml:space="preserve">o longer </w:t>
      </w:r>
      <w:r w:rsidR="00C63724" w:rsidRPr="009E24EB">
        <w:rPr>
          <w:sz w:val="24"/>
          <w:szCs w:val="24"/>
        </w:rPr>
        <w:t>required as t</w:t>
      </w:r>
      <w:r w:rsidRPr="009E24EB">
        <w:rPr>
          <w:sz w:val="24"/>
          <w:szCs w:val="24"/>
        </w:rPr>
        <w:t>he two items referred to in Schedule 2 (</w:t>
      </w:r>
      <w:proofErr w:type="spellStart"/>
      <w:r w:rsidR="005A17A9" w:rsidRPr="009E24EB">
        <w:rPr>
          <w:sz w:val="24"/>
          <w:szCs w:val="24"/>
        </w:rPr>
        <w:t>S</w:t>
      </w:r>
      <w:r w:rsidRPr="009E24EB">
        <w:rPr>
          <w:sz w:val="24"/>
          <w:szCs w:val="24"/>
        </w:rPr>
        <w:t>omatropin</w:t>
      </w:r>
      <w:proofErr w:type="spellEnd"/>
      <w:r w:rsidRPr="009E24EB">
        <w:rPr>
          <w:sz w:val="24"/>
          <w:szCs w:val="24"/>
        </w:rPr>
        <w:t xml:space="preserve"> and a glucose indicator) </w:t>
      </w:r>
      <w:r w:rsidR="00C63724" w:rsidRPr="009E24EB">
        <w:rPr>
          <w:sz w:val="24"/>
          <w:szCs w:val="24"/>
        </w:rPr>
        <w:t>are now r</w:t>
      </w:r>
      <w:r w:rsidRPr="009E24EB">
        <w:rPr>
          <w:sz w:val="24"/>
          <w:szCs w:val="24"/>
        </w:rPr>
        <w:t>eferred to by name in the relevant evaluation category</w:t>
      </w:r>
      <w:r w:rsidR="00C63724" w:rsidRPr="009E24EB">
        <w:rPr>
          <w:sz w:val="24"/>
          <w:szCs w:val="24"/>
        </w:rPr>
        <w:t>.</w:t>
      </w:r>
    </w:p>
    <w:p w14:paraId="2587E098" w14:textId="2C07C70A" w:rsidR="000D4E4D" w:rsidRPr="009E24EB" w:rsidRDefault="000D4E4D" w:rsidP="00663AEE">
      <w:pPr>
        <w:pStyle w:val="Dot1"/>
        <w:numPr>
          <w:ilvl w:val="0"/>
          <w:numId w:val="0"/>
        </w:numPr>
        <w:rPr>
          <w:rFonts w:ascii="Times New Roman" w:hAnsi="Times New Roman" w:cs="Times New Roman"/>
          <w:b/>
          <w:sz w:val="24"/>
          <w:szCs w:val="24"/>
        </w:rPr>
      </w:pPr>
      <w:r w:rsidRPr="009E24EB">
        <w:rPr>
          <w:b/>
        </w:rPr>
        <w:br w:type="page"/>
      </w:r>
    </w:p>
    <w:p w14:paraId="68BFF2D2" w14:textId="77777777" w:rsidR="00440F0A" w:rsidRPr="009E24EB" w:rsidRDefault="00440F0A" w:rsidP="00440F0A">
      <w:pPr>
        <w:pStyle w:val="PlainParagraph"/>
        <w:spacing w:after="0" w:line="240" w:lineRule="auto"/>
        <w:jc w:val="center"/>
        <w:rPr>
          <w:rFonts w:ascii="Times New Roman" w:hAnsi="Times New Roman" w:cs="Times New Roman"/>
          <w:i/>
          <w:sz w:val="24"/>
          <w:szCs w:val="24"/>
        </w:rPr>
      </w:pPr>
      <w:r w:rsidRPr="009E24EB">
        <w:rPr>
          <w:rFonts w:ascii="Times New Roman" w:hAnsi="Times New Roman" w:cs="Times New Roman"/>
          <w:b/>
          <w:sz w:val="24"/>
          <w:szCs w:val="24"/>
        </w:rPr>
        <w:lastRenderedPageBreak/>
        <w:t>Statement of Compatibility with Human Rights</w:t>
      </w:r>
      <w:r w:rsidRPr="009E24EB">
        <w:rPr>
          <w:rFonts w:ascii="Times New Roman" w:hAnsi="Times New Roman" w:cs="Times New Roman"/>
          <w:i/>
          <w:sz w:val="24"/>
          <w:szCs w:val="24"/>
        </w:rPr>
        <w:t xml:space="preserve"> </w:t>
      </w:r>
    </w:p>
    <w:p w14:paraId="26D346B2" w14:textId="77777777" w:rsidR="003F0D47" w:rsidRPr="009E24EB" w:rsidRDefault="003F0D47" w:rsidP="00440F0A">
      <w:pPr>
        <w:pStyle w:val="PlainParagraph"/>
        <w:spacing w:after="280"/>
        <w:jc w:val="center"/>
        <w:rPr>
          <w:rFonts w:ascii="Times New Roman" w:hAnsi="Times New Roman" w:cs="Times New Roman"/>
          <w:i/>
          <w:sz w:val="24"/>
          <w:szCs w:val="24"/>
          <w:u w:val="single"/>
        </w:rPr>
      </w:pPr>
      <w:r w:rsidRPr="009E24EB">
        <w:rPr>
          <w:rFonts w:ascii="Times New Roman" w:hAnsi="Times New Roman" w:cs="Times New Roman"/>
          <w:i/>
          <w:sz w:val="24"/>
          <w:szCs w:val="24"/>
        </w:rPr>
        <w:t>Prepared in accordance with Part 3 of the Human Rights (Parliamentary Scrutiny) Act 2011</w:t>
      </w:r>
    </w:p>
    <w:p w14:paraId="124BDD6E" w14:textId="2D108615" w:rsidR="00440F0A" w:rsidRPr="009E24EB" w:rsidRDefault="00440F0A" w:rsidP="00440F0A">
      <w:pPr>
        <w:jc w:val="center"/>
        <w:rPr>
          <w:i/>
        </w:rPr>
      </w:pPr>
      <w:r w:rsidRPr="009E24EB">
        <w:rPr>
          <w:i/>
        </w:rPr>
        <w:t xml:space="preserve">National Health (Pharmaceuticals and Vaccines—Cost Recovery) Amendment (2020 Measures No. </w:t>
      </w:r>
      <w:r w:rsidR="00DD5AA3" w:rsidRPr="009E24EB">
        <w:rPr>
          <w:i/>
        </w:rPr>
        <w:t>2</w:t>
      </w:r>
      <w:r w:rsidRPr="009E24EB">
        <w:rPr>
          <w:i/>
        </w:rPr>
        <w:t>) Regulations 2020</w:t>
      </w:r>
    </w:p>
    <w:p w14:paraId="037A725F" w14:textId="77777777" w:rsidR="0085389A" w:rsidRPr="009E24EB" w:rsidRDefault="0085389A" w:rsidP="00440F0A">
      <w:pPr>
        <w:jc w:val="center"/>
        <w:rPr>
          <w:i/>
        </w:rPr>
      </w:pPr>
    </w:p>
    <w:p w14:paraId="0B825CD7" w14:textId="04F256DE" w:rsidR="003F0D47" w:rsidRPr="009E24EB" w:rsidRDefault="003F0D47" w:rsidP="00440F0A">
      <w:pPr>
        <w:rPr>
          <w:szCs w:val="24"/>
        </w:rPr>
      </w:pPr>
      <w:r w:rsidRPr="009E24EB">
        <w:rPr>
          <w:szCs w:val="24"/>
        </w:rPr>
        <w:t xml:space="preserve">The </w:t>
      </w:r>
      <w:r w:rsidR="00440F0A" w:rsidRPr="009E24EB">
        <w:rPr>
          <w:i/>
        </w:rPr>
        <w:t>National Health (Pharmaceuticals and Vaccines—Cost Recovery</w:t>
      </w:r>
      <w:r w:rsidR="00DD5AA3" w:rsidRPr="009E24EB">
        <w:rPr>
          <w:i/>
        </w:rPr>
        <w:t>) Amendment (2020 Measures No. 2</w:t>
      </w:r>
      <w:r w:rsidR="00440F0A" w:rsidRPr="009E24EB">
        <w:rPr>
          <w:i/>
        </w:rPr>
        <w:t xml:space="preserve">) Regulations 2020 </w:t>
      </w:r>
      <w:r w:rsidR="004015EB" w:rsidRPr="009E24EB">
        <w:t>(the</w:t>
      </w:r>
      <w:r w:rsidR="00AE28DE" w:rsidRPr="009E24EB">
        <w:t xml:space="preserve"> Amendment</w:t>
      </w:r>
      <w:r w:rsidR="005578B2" w:rsidRPr="009E24EB">
        <w:t xml:space="preserve"> Regulations</w:t>
      </w:r>
      <w:r w:rsidR="004015EB" w:rsidRPr="009E24EB">
        <w:t>)</w:t>
      </w:r>
      <w:r w:rsidR="00440F0A" w:rsidRPr="009E24EB">
        <w:rPr>
          <w:i/>
        </w:rPr>
        <w:t xml:space="preserve"> </w:t>
      </w:r>
      <w:r w:rsidR="005578B2" w:rsidRPr="009E24EB">
        <w:t>are</w:t>
      </w:r>
      <w:r w:rsidRPr="009E24EB">
        <w:rPr>
          <w:szCs w:val="24"/>
        </w:rPr>
        <w:t xml:space="preserve"> compatible with the human rights and freedoms recognised or declared in the international instruments listed in section 3 of the </w:t>
      </w:r>
      <w:r w:rsidRPr="009E24EB">
        <w:rPr>
          <w:i/>
          <w:szCs w:val="24"/>
        </w:rPr>
        <w:t>Human Rights (Parliamentary Scrutiny) Act 2011</w:t>
      </w:r>
      <w:r w:rsidRPr="009E24EB">
        <w:rPr>
          <w:szCs w:val="24"/>
        </w:rPr>
        <w:t>.</w:t>
      </w:r>
    </w:p>
    <w:p w14:paraId="1B7A4408" w14:textId="77777777" w:rsidR="00BD4584" w:rsidRPr="009E24EB" w:rsidRDefault="00BD4584" w:rsidP="00BD4584">
      <w:pPr>
        <w:rPr>
          <w:b/>
          <w:szCs w:val="24"/>
        </w:rPr>
      </w:pPr>
    </w:p>
    <w:p w14:paraId="23304BAB" w14:textId="307BE12D" w:rsidR="003F0D47" w:rsidRPr="009E24EB" w:rsidRDefault="003F0D47" w:rsidP="00BD4584">
      <w:pPr>
        <w:rPr>
          <w:b/>
          <w:szCs w:val="24"/>
        </w:rPr>
      </w:pPr>
      <w:r w:rsidRPr="009E24EB">
        <w:rPr>
          <w:b/>
          <w:szCs w:val="24"/>
        </w:rPr>
        <w:t>Overview of the Regulations</w:t>
      </w:r>
    </w:p>
    <w:p w14:paraId="5A670E8F" w14:textId="22FB3DC7" w:rsidR="00BD4584" w:rsidRPr="009E24EB" w:rsidRDefault="00D8359A" w:rsidP="00BD4584">
      <w:pPr>
        <w:tabs>
          <w:tab w:val="left" w:pos="1701"/>
          <w:tab w:val="right" w:pos="9072"/>
        </w:tabs>
        <w:ind w:right="91"/>
        <w:outlineLvl w:val="2"/>
      </w:pPr>
      <w:r w:rsidRPr="009E24EB">
        <w:t xml:space="preserve">The Amendment Regulations would implement part of a 2020-21 Budget </w:t>
      </w:r>
      <w:r w:rsidR="00BD4584" w:rsidRPr="009E24EB">
        <w:t>measure, which</w:t>
      </w:r>
      <w:r w:rsidRPr="009E24EB">
        <w:t xml:space="preserve"> include</w:t>
      </w:r>
      <w:r w:rsidR="00BD4584" w:rsidRPr="009E24EB">
        <w:t>s</w:t>
      </w:r>
      <w:r w:rsidRPr="009E24EB">
        <w:t xml:space="preserve"> revised Pharmaceutical Benefits Scheme (PBS) processes and fees.</w:t>
      </w:r>
      <w:r w:rsidRPr="009E24EB" w:rsidDel="004F7F9A">
        <w:t xml:space="preserve"> </w:t>
      </w:r>
    </w:p>
    <w:p w14:paraId="0024A76E" w14:textId="77777777" w:rsidR="00BD4584" w:rsidRPr="009E24EB" w:rsidRDefault="00BD4584" w:rsidP="00BD4584">
      <w:pPr>
        <w:tabs>
          <w:tab w:val="left" w:pos="1701"/>
          <w:tab w:val="right" w:pos="9072"/>
        </w:tabs>
        <w:ind w:right="91"/>
        <w:outlineLvl w:val="2"/>
      </w:pPr>
    </w:p>
    <w:p w14:paraId="21959D8A" w14:textId="77777777" w:rsidR="00BD4584" w:rsidRPr="009E24EB" w:rsidRDefault="003F0D47" w:rsidP="00BD4584">
      <w:pPr>
        <w:tabs>
          <w:tab w:val="left" w:pos="1701"/>
          <w:tab w:val="right" w:pos="9072"/>
        </w:tabs>
        <w:ind w:right="91"/>
        <w:outlineLvl w:val="2"/>
      </w:pPr>
      <w:r w:rsidRPr="009E24EB">
        <w:rPr>
          <w:szCs w:val="24"/>
        </w:rPr>
        <w:t xml:space="preserve">The </w:t>
      </w:r>
      <w:r w:rsidR="00AE28DE" w:rsidRPr="009E24EB">
        <w:rPr>
          <w:szCs w:val="24"/>
        </w:rPr>
        <w:t>Amendment</w:t>
      </w:r>
      <w:r w:rsidR="005578B2" w:rsidRPr="009E24EB">
        <w:rPr>
          <w:szCs w:val="24"/>
        </w:rPr>
        <w:t xml:space="preserve"> Regulations are made under section 140 of the </w:t>
      </w:r>
      <w:r w:rsidR="005578B2" w:rsidRPr="009E24EB">
        <w:rPr>
          <w:i/>
          <w:szCs w:val="24"/>
        </w:rPr>
        <w:t>National Health Act 1953</w:t>
      </w:r>
      <w:r w:rsidR="005578B2" w:rsidRPr="009E24EB">
        <w:rPr>
          <w:szCs w:val="24"/>
        </w:rPr>
        <w:t xml:space="preserve"> (the Act). Section 140 provides that the </w:t>
      </w:r>
      <w:r w:rsidR="00DC26EA" w:rsidRPr="009E24EB">
        <w:rPr>
          <w:szCs w:val="24"/>
        </w:rPr>
        <w:t xml:space="preserve">Governor-General may make regulations, not inconsistent with the Act, prescribing all </w:t>
      </w:r>
      <w:r w:rsidR="00A046BC" w:rsidRPr="009E24EB">
        <w:rPr>
          <w:szCs w:val="24"/>
        </w:rPr>
        <w:t>matters, which</w:t>
      </w:r>
      <w:r w:rsidR="00DC26EA" w:rsidRPr="009E24EB">
        <w:rPr>
          <w:szCs w:val="24"/>
        </w:rPr>
        <w:t xml:space="preserve"> by th</w:t>
      </w:r>
      <w:r w:rsidR="008E7478" w:rsidRPr="009E24EB">
        <w:rPr>
          <w:szCs w:val="24"/>
        </w:rPr>
        <w:t>e</w:t>
      </w:r>
      <w:r w:rsidR="00DC26EA" w:rsidRPr="009E24EB">
        <w:rPr>
          <w:szCs w:val="24"/>
        </w:rPr>
        <w:t xml:space="preserve"> Act are required or permitted to be prescribed, or which are necessary or convenient to be prescribed for carrying out or giving effect to the Act. Subsection 99YBA(2) of the Act further provides that regulations may make provision in relation to matters including the prescribing of fees, the making of applications, and exemptions from the prescribed fees, in relation to services provided by the Commonwealth under section 9B or Part VII of the Act.</w:t>
      </w:r>
      <w:r w:rsidR="004015EB" w:rsidRPr="009E24EB">
        <w:rPr>
          <w:szCs w:val="24"/>
        </w:rPr>
        <w:t xml:space="preserve"> </w:t>
      </w:r>
    </w:p>
    <w:p w14:paraId="5B26AFFF" w14:textId="77777777" w:rsidR="00BD4584" w:rsidRPr="009E24EB" w:rsidRDefault="00BD4584" w:rsidP="00BD4584">
      <w:pPr>
        <w:tabs>
          <w:tab w:val="left" w:pos="1701"/>
          <w:tab w:val="right" w:pos="9072"/>
        </w:tabs>
        <w:ind w:right="91"/>
        <w:outlineLvl w:val="2"/>
      </w:pPr>
    </w:p>
    <w:p w14:paraId="2AEACFA5" w14:textId="2A8F6BC8" w:rsidR="00D8359A" w:rsidRPr="009E24EB" w:rsidRDefault="00AE28DE" w:rsidP="00BD4584">
      <w:pPr>
        <w:tabs>
          <w:tab w:val="left" w:pos="1701"/>
          <w:tab w:val="right" w:pos="9072"/>
        </w:tabs>
        <w:ind w:right="91"/>
        <w:outlineLvl w:val="2"/>
      </w:pPr>
      <w:r w:rsidRPr="009E24EB">
        <w:rPr>
          <w:szCs w:val="24"/>
        </w:rPr>
        <w:t>The Amendment</w:t>
      </w:r>
      <w:r w:rsidR="00DC26EA" w:rsidRPr="009E24EB">
        <w:rPr>
          <w:szCs w:val="24"/>
        </w:rPr>
        <w:t xml:space="preserve"> Regulations amend the </w:t>
      </w:r>
      <w:r w:rsidR="00DC26EA" w:rsidRPr="009E24EB">
        <w:rPr>
          <w:i/>
          <w:iCs/>
          <w:szCs w:val="24"/>
        </w:rPr>
        <w:t xml:space="preserve">National Health (Pharmaceuticals and Vaccines—Cost Recovery) Regulations 2009 </w:t>
      </w:r>
      <w:r w:rsidR="00DC26EA" w:rsidRPr="009E24EB">
        <w:rPr>
          <w:szCs w:val="24"/>
        </w:rPr>
        <w:t>(the Principal Regulations)</w:t>
      </w:r>
      <w:r w:rsidR="00DC26EA" w:rsidRPr="009E24EB">
        <w:rPr>
          <w:i/>
          <w:iCs/>
          <w:szCs w:val="24"/>
        </w:rPr>
        <w:t xml:space="preserve">. </w:t>
      </w:r>
      <w:r w:rsidRPr="009E24EB">
        <w:rPr>
          <w:szCs w:val="24"/>
        </w:rPr>
        <w:t>The Amendment</w:t>
      </w:r>
      <w:r w:rsidR="00DC26EA" w:rsidRPr="009E24EB">
        <w:rPr>
          <w:szCs w:val="24"/>
        </w:rPr>
        <w:t xml:space="preserve"> Regulations </w:t>
      </w:r>
      <w:r w:rsidR="008E7478" w:rsidRPr="009E24EB">
        <w:rPr>
          <w:szCs w:val="24"/>
        </w:rPr>
        <w:t xml:space="preserve">provide for </w:t>
      </w:r>
      <w:r w:rsidR="00DC26EA" w:rsidRPr="009E24EB">
        <w:rPr>
          <w:szCs w:val="24"/>
        </w:rPr>
        <w:t>fees for services provided by the Commonwealth in relation to an exercise of power by the Minister under section 9B or Part VII of the Act:</w:t>
      </w:r>
    </w:p>
    <w:p w14:paraId="6ABFD2EC" w14:textId="77777777" w:rsidR="00D8359A" w:rsidRPr="009E24EB" w:rsidRDefault="00DC26EA" w:rsidP="00D8359A">
      <w:pPr>
        <w:pStyle w:val="ListParagraph"/>
        <w:numPr>
          <w:ilvl w:val="0"/>
          <w:numId w:val="35"/>
        </w:numPr>
        <w:shd w:val="clear" w:color="auto" w:fill="FFFFFF"/>
        <w:spacing w:before="120" w:after="120"/>
        <w:rPr>
          <w:szCs w:val="24"/>
          <w:lang w:val="en-US"/>
        </w:rPr>
      </w:pPr>
      <w:r w:rsidRPr="009E24EB">
        <w:rPr>
          <w:szCs w:val="24"/>
        </w:rPr>
        <w:t>The Minister’s powers under section 9B of the Act broadly relate to the National Immunisation Program (NIP).</w:t>
      </w:r>
    </w:p>
    <w:p w14:paraId="7796AA9B" w14:textId="28FF71DC" w:rsidR="00DC26EA" w:rsidRPr="009E24EB" w:rsidRDefault="00DC26EA" w:rsidP="00BD4584">
      <w:pPr>
        <w:pStyle w:val="ListParagraph"/>
        <w:numPr>
          <w:ilvl w:val="0"/>
          <w:numId w:val="35"/>
        </w:numPr>
        <w:shd w:val="clear" w:color="auto" w:fill="FFFFFF"/>
        <w:spacing w:before="120"/>
        <w:ind w:left="714" w:hanging="357"/>
        <w:rPr>
          <w:szCs w:val="24"/>
          <w:lang w:val="en-US"/>
        </w:rPr>
      </w:pPr>
      <w:r w:rsidRPr="009E24EB">
        <w:rPr>
          <w:szCs w:val="24"/>
        </w:rPr>
        <w:t xml:space="preserve">The Minister’s powers under Part VII broadly concern the listing process for applications </w:t>
      </w:r>
      <w:r w:rsidR="00E0007A" w:rsidRPr="009E24EB">
        <w:rPr>
          <w:szCs w:val="24"/>
        </w:rPr>
        <w:t>for pharmaceuticals to be included</w:t>
      </w:r>
      <w:r w:rsidRPr="009E24EB">
        <w:rPr>
          <w:szCs w:val="24"/>
        </w:rPr>
        <w:t xml:space="preserve"> in the Pharmaceutical Benefits Scheme (PBS).</w:t>
      </w:r>
    </w:p>
    <w:p w14:paraId="7BCC72C7" w14:textId="77777777" w:rsidR="00BD4584" w:rsidRPr="009E24EB" w:rsidRDefault="00BD4584" w:rsidP="00BD4584">
      <w:pPr>
        <w:rPr>
          <w:b/>
          <w:szCs w:val="24"/>
        </w:rPr>
      </w:pPr>
    </w:p>
    <w:p w14:paraId="6542FEBF" w14:textId="04E5B7E5" w:rsidR="003F0D47" w:rsidRPr="009E24EB" w:rsidRDefault="003F0D47" w:rsidP="00BD4584">
      <w:pPr>
        <w:rPr>
          <w:b/>
          <w:szCs w:val="24"/>
        </w:rPr>
      </w:pPr>
      <w:r w:rsidRPr="009E24EB">
        <w:rPr>
          <w:b/>
          <w:szCs w:val="24"/>
        </w:rPr>
        <w:t>Human rights implications</w:t>
      </w:r>
    </w:p>
    <w:p w14:paraId="5633C7B1" w14:textId="03A0769A" w:rsidR="003F0D47" w:rsidRPr="009E24EB" w:rsidRDefault="003F0D47" w:rsidP="00BD4584">
      <w:pPr>
        <w:pStyle w:val="Default"/>
      </w:pPr>
      <w:r w:rsidRPr="009E24EB">
        <w:t>The</w:t>
      </w:r>
      <w:r w:rsidR="00677F6B" w:rsidRPr="009E24EB">
        <w:t xml:space="preserve"> </w:t>
      </w:r>
      <w:r w:rsidR="00AE28DE" w:rsidRPr="009E24EB">
        <w:t>Amendment</w:t>
      </w:r>
      <w:r w:rsidR="00DC26EA" w:rsidRPr="009E24EB">
        <w:t xml:space="preserve"> Regulations </w:t>
      </w:r>
      <w:r w:rsidRPr="009E24EB">
        <w:t>engage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64B9BC12" w14:textId="77777777" w:rsidR="00BD4584" w:rsidRPr="009E24EB" w:rsidRDefault="00BD4584" w:rsidP="00BD4584">
      <w:pPr>
        <w:pStyle w:val="Default"/>
      </w:pPr>
    </w:p>
    <w:p w14:paraId="26B77D91" w14:textId="493DD8FA" w:rsidR="00DC4F41" w:rsidRPr="009E24EB" w:rsidRDefault="003F0D47" w:rsidP="00BD4584">
      <w:pPr>
        <w:pStyle w:val="Default"/>
        <w:rPr>
          <w:color w:val="FF0000"/>
        </w:rPr>
      </w:pPr>
      <w:r w:rsidRPr="009E24EB">
        <w:t xml:space="preserve">The PBS and NIP are benefit </w:t>
      </w:r>
      <w:r w:rsidR="00DD5AA3" w:rsidRPr="009E24EB">
        <w:t>schemes, which</w:t>
      </w:r>
      <w:r w:rsidRPr="009E24EB">
        <w:t xml:space="preserve"> assist with advancement of this human right by providing subsidised access by patients to medicines. </w:t>
      </w:r>
      <w:r w:rsidR="00A9604E" w:rsidRPr="009E24EB">
        <w:t>In addition, all</w:t>
      </w:r>
      <w:r w:rsidR="008A0E82" w:rsidRPr="009E24EB">
        <w:t xml:space="preserve">owing the Commonwealth to </w:t>
      </w:r>
      <w:r w:rsidR="00CD5D9C" w:rsidRPr="009E24EB">
        <w:t>r</w:t>
      </w:r>
      <w:r w:rsidR="00A9604E" w:rsidRPr="009E24EB">
        <w:t>ecover its cos</w:t>
      </w:r>
      <w:r w:rsidR="008A0E82" w:rsidRPr="009E24EB">
        <w:t xml:space="preserve">ts associated with PBS listing and </w:t>
      </w:r>
      <w:r w:rsidR="00A9604E" w:rsidRPr="009E24EB">
        <w:t>improv</w:t>
      </w:r>
      <w:r w:rsidR="008A0E82" w:rsidRPr="009E24EB">
        <w:t>ing the efficiency of</w:t>
      </w:r>
      <w:r w:rsidR="00A9604E" w:rsidRPr="009E24EB">
        <w:t xml:space="preserve"> process</w:t>
      </w:r>
      <w:r w:rsidR="008A0E82" w:rsidRPr="009E24EB">
        <w:t>es</w:t>
      </w:r>
      <w:r w:rsidR="00A9604E" w:rsidRPr="009E24EB">
        <w:t xml:space="preserve">, aids in creating a viable and well-functioning PBS. This in turn assists Australians to more easily access necessary medicines which, in turn, promotes the various rights to health in the Conventions.  </w:t>
      </w:r>
    </w:p>
    <w:p w14:paraId="1F28D1EA" w14:textId="77777777" w:rsidR="00BD4584" w:rsidRPr="009E24EB" w:rsidRDefault="00BD4584" w:rsidP="00BD4584">
      <w:pPr>
        <w:pStyle w:val="Default"/>
        <w:rPr>
          <w:b/>
          <w:bCs/>
        </w:rPr>
      </w:pPr>
    </w:p>
    <w:p w14:paraId="33FE410F" w14:textId="7B524B89" w:rsidR="003F0D47" w:rsidRPr="009E24EB" w:rsidRDefault="003F0D47" w:rsidP="00BD4584">
      <w:pPr>
        <w:pStyle w:val="Default"/>
      </w:pPr>
      <w:r w:rsidRPr="009E24EB">
        <w:rPr>
          <w:b/>
          <w:bCs/>
        </w:rPr>
        <w:t>Conclusion</w:t>
      </w:r>
    </w:p>
    <w:p w14:paraId="3C12AEA5" w14:textId="77777777" w:rsidR="003F0D47" w:rsidRPr="009E24EB" w:rsidRDefault="003F0D47" w:rsidP="003F0D47">
      <w:pPr>
        <w:rPr>
          <w:szCs w:val="24"/>
        </w:rPr>
      </w:pPr>
      <w:r w:rsidRPr="009E24EB">
        <w:rPr>
          <w:szCs w:val="24"/>
        </w:rPr>
        <w:t xml:space="preserve">This Legislative Instrument is compatible with human rights. Human rights continue to be protected by retaining on the PBS </w:t>
      </w:r>
      <w:r w:rsidR="00677F6B" w:rsidRPr="009E24EB">
        <w:rPr>
          <w:szCs w:val="24"/>
        </w:rPr>
        <w:t xml:space="preserve">and NIP </w:t>
      </w:r>
      <w:r w:rsidRPr="009E24EB">
        <w:rPr>
          <w:szCs w:val="24"/>
        </w:rPr>
        <w:t xml:space="preserve">clinically important medicines </w:t>
      </w:r>
      <w:r w:rsidR="00677F6B" w:rsidRPr="009E24EB">
        <w:rPr>
          <w:szCs w:val="24"/>
        </w:rPr>
        <w:t xml:space="preserve">or vaccines </w:t>
      </w:r>
      <w:r w:rsidRPr="009E24EB">
        <w:rPr>
          <w:szCs w:val="24"/>
        </w:rPr>
        <w:t xml:space="preserve">and </w:t>
      </w:r>
      <w:r w:rsidRPr="009E24EB">
        <w:rPr>
          <w:szCs w:val="24"/>
        </w:rPr>
        <w:lastRenderedPageBreak/>
        <w:t>placing them in formularies that ensure the most cost effective pricing for supply of each medicine to Australians.</w:t>
      </w:r>
    </w:p>
    <w:p w14:paraId="33C2D3BF" w14:textId="77777777" w:rsidR="003F0D47" w:rsidRPr="009E24EB" w:rsidRDefault="003F0D47" w:rsidP="003F0D47">
      <w:pPr>
        <w:rPr>
          <w:szCs w:val="24"/>
        </w:rPr>
      </w:pPr>
    </w:p>
    <w:p w14:paraId="54421E20" w14:textId="77777777" w:rsidR="003F0D47" w:rsidRPr="009E24EB" w:rsidRDefault="003F0D47" w:rsidP="003F0D47">
      <w:pPr>
        <w:rPr>
          <w:rFonts w:eastAsia="Calibri"/>
          <w:szCs w:val="24"/>
          <w:lang w:eastAsia="en-US"/>
        </w:rPr>
      </w:pPr>
    </w:p>
    <w:p w14:paraId="078AA65E" w14:textId="77777777" w:rsidR="003F0D47" w:rsidRPr="009E24EB" w:rsidRDefault="003F0D47" w:rsidP="003F0D47">
      <w:pPr>
        <w:rPr>
          <w:rFonts w:eastAsia="Calibri"/>
          <w:szCs w:val="24"/>
          <w:lang w:eastAsia="en-US"/>
        </w:rPr>
      </w:pPr>
    </w:p>
    <w:p w14:paraId="6D1D1779" w14:textId="77777777" w:rsidR="003F0D47" w:rsidRPr="009E24EB" w:rsidRDefault="003F0D47" w:rsidP="003F0D47">
      <w:pPr>
        <w:spacing w:before="120" w:after="120" w:line="276" w:lineRule="auto"/>
        <w:jc w:val="center"/>
        <w:rPr>
          <w:rFonts w:eastAsia="Calibri"/>
          <w:b/>
          <w:szCs w:val="24"/>
          <w:lang w:eastAsia="en-US"/>
        </w:rPr>
      </w:pPr>
      <w:r w:rsidRPr="009E24EB">
        <w:rPr>
          <w:rFonts w:eastAsia="Calibri"/>
          <w:b/>
          <w:szCs w:val="24"/>
          <w:lang w:eastAsia="en-US"/>
        </w:rPr>
        <w:t>The Hon Greg Hunt MP</w:t>
      </w:r>
    </w:p>
    <w:p w14:paraId="5FF065B7" w14:textId="260307DB" w:rsidR="003F0D47" w:rsidRDefault="003F0D47" w:rsidP="00DC26EA">
      <w:pPr>
        <w:spacing w:before="120" w:after="120" w:line="276" w:lineRule="auto"/>
        <w:jc w:val="center"/>
        <w:rPr>
          <w:b/>
          <w:szCs w:val="24"/>
        </w:rPr>
      </w:pPr>
      <w:r w:rsidRPr="009E24EB">
        <w:rPr>
          <w:rFonts w:eastAsia="Calibri"/>
          <w:b/>
          <w:szCs w:val="24"/>
          <w:lang w:eastAsia="en-US"/>
        </w:rPr>
        <w:t>Minister for Health</w:t>
      </w:r>
    </w:p>
    <w:p w14:paraId="247B1152" w14:textId="77777777" w:rsidR="000D4E4D" w:rsidRDefault="000D4E4D" w:rsidP="00F77A08">
      <w:pPr>
        <w:autoSpaceDE w:val="0"/>
        <w:autoSpaceDN w:val="0"/>
        <w:adjustRightInd w:val="0"/>
        <w:spacing w:after="120"/>
        <w:rPr>
          <w:b/>
          <w:szCs w:val="24"/>
        </w:rPr>
      </w:pPr>
    </w:p>
    <w:sectPr w:rsidR="000D4E4D" w:rsidSect="000D4E4D">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F520" w14:textId="77777777" w:rsidR="00ED5ED7" w:rsidRDefault="00ED5ED7">
      <w:r>
        <w:separator/>
      </w:r>
    </w:p>
  </w:endnote>
  <w:endnote w:type="continuationSeparator" w:id="0">
    <w:p w14:paraId="65B466EF" w14:textId="77777777" w:rsidR="00ED5ED7" w:rsidRDefault="00ED5ED7">
      <w:r>
        <w:continuationSeparator/>
      </w:r>
    </w:p>
  </w:endnote>
  <w:endnote w:type="continuationNotice" w:id="1">
    <w:p w14:paraId="5B3B49D2" w14:textId="77777777" w:rsidR="00ED5ED7" w:rsidRDefault="00ED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057111"/>
      <w:docPartObj>
        <w:docPartGallery w:val="Page Numbers (Bottom of Page)"/>
        <w:docPartUnique/>
      </w:docPartObj>
    </w:sdtPr>
    <w:sdtEndPr>
      <w:rPr>
        <w:rFonts w:ascii="Times New Roman" w:hAnsi="Times New Roman" w:cs="Times New Roman"/>
        <w:noProof/>
        <w:sz w:val="20"/>
        <w:szCs w:val="20"/>
      </w:rPr>
    </w:sdtEndPr>
    <w:sdtContent>
      <w:p w14:paraId="295817D6" w14:textId="3A89CA45" w:rsidR="00ED5ED7" w:rsidRPr="005B41F8" w:rsidRDefault="00ED5ED7" w:rsidP="005B41F8">
        <w:pPr>
          <w:pStyle w:val="Footer"/>
          <w:jc w:val="center"/>
          <w:rPr>
            <w:rFonts w:ascii="Times New Roman" w:hAnsi="Times New Roman" w:cs="Times New Roman"/>
            <w:sz w:val="20"/>
            <w:szCs w:val="20"/>
          </w:rPr>
        </w:pPr>
        <w:r w:rsidRPr="00946A00">
          <w:rPr>
            <w:rFonts w:ascii="Times New Roman" w:hAnsi="Times New Roman" w:cs="Times New Roman"/>
            <w:sz w:val="20"/>
            <w:szCs w:val="20"/>
          </w:rPr>
          <w:fldChar w:fldCharType="begin"/>
        </w:r>
        <w:r w:rsidRPr="00946A00">
          <w:rPr>
            <w:rFonts w:ascii="Times New Roman" w:hAnsi="Times New Roman" w:cs="Times New Roman"/>
            <w:sz w:val="20"/>
            <w:szCs w:val="20"/>
          </w:rPr>
          <w:instrText xml:space="preserve"> PAGE   \* MERGEFORMAT </w:instrText>
        </w:r>
        <w:r w:rsidRPr="00946A00">
          <w:rPr>
            <w:rFonts w:ascii="Times New Roman" w:hAnsi="Times New Roman" w:cs="Times New Roman"/>
            <w:sz w:val="20"/>
            <w:szCs w:val="20"/>
          </w:rPr>
          <w:fldChar w:fldCharType="separate"/>
        </w:r>
        <w:r w:rsidR="009E24EB">
          <w:rPr>
            <w:rFonts w:ascii="Times New Roman" w:hAnsi="Times New Roman" w:cs="Times New Roman"/>
            <w:noProof/>
            <w:sz w:val="20"/>
            <w:szCs w:val="20"/>
          </w:rPr>
          <w:t>21</w:t>
        </w:r>
        <w:r w:rsidRPr="00946A0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A30A" w14:textId="77777777" w:rsidR="00ED5ED7" w:rsidRDefault="00ED5ED7">
      <w:r>
        <w:separator/>
      </w:r>
    </w:p>
  </w:footnote>
  <w:footnote w:type="continuationSeparator" w:id="0">
    <w:p w14:paraId="2A7EBDD4" w14:textId="77777777" w:rsidR="00ED5ED7" w:rsidRDefault="00ED5ED7">
      <w:r>
        <w:continuationSeparator/>
      </w:r>
    </w:p>
  </w:footnote>
  <w:footnote w:type="continuationNotice" w:id="1">
    <w:p w14:paraId="08059AB9" w14:textId="77777777" w:rsidR="00ED5ED7" w:rsidRDefault="00ED5E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8B54160"/>
    <w:multiLevelType w:val="hybridMultilevel"/>
    <w:tmpl w:val="95C4F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00E2ACF"/>
    <w:multiLevelType w:val="hybridMultilevel"/>
    <w:tmpl w:val="14E4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2057B5"/>
    <w:multiLevelType w:val="hybridMultilevel"/>
    <w:tmpl w:val="EC24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993D17"/>
    <w:multiLevelType w:val="hybridMultilevel"/>
    <w:tmpl w:val="081C915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76362B1"/>
    <w:multiLevelType w:val="hybridMultilevel"/>
    <w:tmpl w:val="DF3EFF0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4"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15:restartNumberingAfterBreak="0">
    <w:nsid w:val="2829678C"/>
    <w:multiLevelType w:val="hybridMultilevel"/>
    <w:tmpl w:val="8A4E413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8"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9"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0"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185774D"/>
    <w:multiLevelType w:val="hybridMultilevel"/>
    <w:tmpl w:val="0F1E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366A2D14"/>
    <w:multiLevelType w:val="hybridMultilevel"/>
    <w:tmpl w:val="62164520"/>
    <w:lvl w:ilvl="0" w:tplc="496AFA0E">
      <w:start w:val="1"/>
      <w:numFmt w:val="decimal"/>
      <w:lvlText w:val="%1."/>
      <w:lvlJc w:val="left"/>
      <w:pPr>
        <w:tabs>
          <w:tab w:val="num" w:pos="357"/>
        </w:tabs>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6B32781"/>
    <w:multiLevelType w:val="hybridMultilevel"/>
    <w:tmpl w:val="EAA69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C879A4"/>
    <w:multiLevelType w:val="hybridMultilevel"/>
    <w:tmpl w:val="B142A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7885D25"/>
    <w:multiLevelType w:val="hybridMultilevel"/>
    <w:tmpl w:val="39ACE8F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E560EB2"/>
    <w:multiLevelType w:val="hybridMultilevel"/>
    <w:tmpl w:val="E774D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76300F"/>
    <w:multiLevelType w:val="hybridMultilevel"/>
    <w:tmpl w:val="60E8F83C"/>
    <w:lvl w:ilvl="0" w:tplc="0246780A">
      <w:start w:val="1"/>
      <w:numFmt w:val="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4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9" w15:restartNumberingAfterBreak="0">
    <w:nsid w:val="5E3A3348"/>
    <w:multiLevelType w:val="hybridMultilevel"/>
    <w:tmpl w:val="29DE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6" w15:restartNumberingAfterBreak="0">
    <w:nsid w:val="7ADB659C"/>
    <w:multiLevelType w:val="hybridMultilevel"/>
    <w:tmpl w:val="59E2C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8"/>
  </w:num>
  <w:num w:numId="3">
    <w:abstractNumId w:val="14"/>
  </w:num>
  <w:num w:numId="4">
    <w:abstractNumId w:val="22"/>
  </w:num>
  <w:num w:numId="5">
    <w:abstractNumId w:val="13"/>
  </w:num>
  <w:num w:numId="6">
    <w:abstractNumId w:val="53"/>
  </w:num>
  <w:num w:numId="7">
    <w:abstractNumId w:val="57"/>
  </w:num>
  <w:num w:numId="8">
    <w:abstractNumId w:val="3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num>
  <w:num w:numId="20">
    <w:abstractNumId w:val="27"/>
  </w:num>
  <w:num w:numId="21">
    <w:abstractNumId w:val="48"/>
  </w:num>
  <w:num w:numId="22">
    <w:abstractNumId w:val="23"/>
  </w:num>
  <w:num w:numId="23">
    <w:abstractNumId w:val="55"/>
  </w:num>
  <w:num w:numId="24">
    <w:abstractNumId w:val="20"/>
  </w:num>
  <w:num w:numId="25">
    <w:abstractNumId w:val="15"/>
  </w:num>
  <w:num w:numId="26">
    <w:abstractNumId w:val="29"/>
  </w:num>
  <w:num w:numId="27">
    <w:abstractNumId w:val="10"/>
  </w:num>
  <w:num w:numId="28">
    <w:abstractNumId w:val="24"/>
  </w:num>
  <w:num w:numId="29">
    <w:abstractNumId w:val="25"/>
  </w:num>
  <w:num w:numId="30">
    <w:abstractNumId w:val="45"/>
  </w:num>
  <w:num w:numId="31">
    <w:abstractNumId w:val="39"/>
  </w:num>
  <w:num w:numId="32">
    <w:abstractNumId w:val="37"/>
  </w:num>
  <w:num w:numId="33">
    <w:abstractNumId w:val="21"/>
  </w:num>
  <w:num w:numId="34">
    <w:abstractNumId w:val="41"/>
  </w:num>
  <w:num w:numId="35">
    <w:abstractNumId w:val="16"/>
  </w:num>
  <w:num w:numId="36">
    <w:abstractNumId w:val="26"/>
  </w:num>
  <w:num w:numId="37">
    <w:abstractNumId w:val="12"/>
  </w:num>
  <w:num w:numId="38">
    <w:abstractNumId w:val="31"/>
  </w:num>
  <w:num w:numId="39">
    <w:abstractNumId w:val="19"/>
  </w:num>
  <w:num w:numId="40">
    <w:abstractNumId w:val="18"/>
  </w:num>
  <w:num w:numId="41">
    <w:abstractNumId w:val="34"/>
  </w:num>
  <w:num w:numId="42">
    <w:abstractNumId w:val="56"/>
  </w:num>
  <w:num w:numId="43">
    <w:abstractNumId w:val="40"/>
  </w:num>
  <w:num w:numId="44">
    <w:abstractNumId w:val="17"/>
  </w:num>
  <w:num w:numId="45">
    <w:abstractNumId w:val="49"/>
  </w:num>
  <w:num w:numId="46">
    <w:abstractNumId w:val="46"/>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readOnly" w:enforcement="0"/>
  <w:defaultTabStop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CA173C"/>
    <w:rsid w:val="00000465"/>
    <w:rsid w:val="00000B18"/>
    <w:rsid w:val="000016C5"/>
    <w:rsid w:val="00003405"/>
    <w:rsid w:val="000047A8"/>
    <w:rsid w:val="000054DB"/>
    <w:rsid w:val="00005F06"/>
    <w:rsid w:val="00007CD1"/>
    <w:rsid w:val="0001107B"/>
    <w:rsid w:val="00012F01"/>
    <w:rsid w:val="00014A05"/>
    <w:rsid w:val="00014C6F"/>
    <w:rsid w:val="00021730"/>
    <w:rsid w:val="000237B9"/>
    <w:rsid w:val="00026B97"/>
    <w:rsid w:val="000301A1"/>
    <w:rsid w:val="00034ED9"/>
    <w:rsid w:val="00043D1B"/>
    <w:rsid w:val="00050291"/>
    <w:rsid w:val="0005057B"/>
    <w:rsid w:val="000505AA"/>
    <w:rsid w:val="00050C42"/>
    <w:rsid w:val="00051788"/>
    <w:rsid w:val="000545DF"/>
    <w:rsid w:val="00056813"/>
    <w:rsid w:val="00056825"/>
    <w:rsid w:val="00062C2A"/>
    <w:rsid w:val="00065A3C"/>
    <w:rsid w:val="00065BE3"/>
    <w:rsid w:val="00066305"/>
    <w:rsid w:val="00067249"/>
    <w:rsid w:val="000677B5"/>
    <w:rsid w:val="00070A64"/>
    <w:rsid w:val="00081E8B"/>
    <w:rsid w:val="00086738"/>
    <w:rsid w:val="00086B95"/>
    <w:rsid w:val="00097DFB"/>
    <w:rsid w:val="000A0F9F"/>
    <w:rsid w:val="000A6EA4"/>
    <w:rsid w:val="000B60A1"/>
    <w:rsid w:val="000D421A"/>
    <w:rsid w:val="000D4E4D"/>
    <w:rsid w:val="000E0308"/>
    <w:rsid w:val="000E110E"/>
    <w:rsid w:val="000E3389"/>
    <w:rsid w:val="000E7B7A"/>
    <w:rsid w:val="000F04E1"/>
    <w:rsid w:val="000F370E"/>
    <w:rsid w:val="00103411"/>
    <w:rsid w:val="001054BC"/>
    <w:rsid w:val="0011343D"/>
    <w:rsid w:val="00121F73"/>
    <w:rsid w:val="00127DB8"/>
    <w:rsid w:val="00131ED8"/>
    <w:rsid w:val="00133CBD"/>
    <w:rsid w:val="00137A06"/>
    <w:rsid w:val="00141170"/>
    <w:rsid w:val="00143E21"/>
    <w:rsid w:val="0015247B"/>
    <w:rsid w:val="00154BDF"/>
    <w:rsid w:val="001636A2"/>
    <w:rsid w:val="00164D53"/>
    <w:rsid w:val="00165DAF"/>
    <w:rsid w:val="00171FF7"/>
    <w:rsid w:val="00175CFD"/>
    <w:rsid w:val="00186572"/>
    <w:rsid w:val="00190DA8"/>
    <w:rsid w:val="00195069"/>
    <w:rsid w:val="001A0FF1"/>
    <w:rsid w:val="001A427B"/>
    <w:rsid w:val="001A6226"/>
    <w:rsid w:val="001A63D4"/>
    <w:rsid w:val="001B1E39"/>
    <w:rsid w:val="001C0768"/>
    <w:rsid w:val="001C4C6C"/>
    <w:rsid w:val="001C4CDD"/>
    <w:rsid w:val="001C6C95"/>
    <w:rsid w:val="001D0122"/>
    <w:rsid w:val="001D3B7B"/>
    <w:rsid w:val="001D446B"/>
    <w:rsid w:val="001E5097"/>
    <w:rsid w:val="001E757C"/>
    <w:rsid w:val="001F3CFC"/>
    <w:rsid w:val="001F4535"/>
    <w:rsid w:val="001F4E5D"/>
    <w:rsid w:val="002026C7"/>
    <w:rsid w:val="0021487B"/>
    <w:rsid w:val="0022219E"/>
    <w:rsid w:val="00223CD4"/>
    <w:rsid w:val="002347C8"/>
    <w:rsid w:val="00237887"/>
    <w:rsid w:val="00240118"/>
    <w:rsid w:val="002430A3"/>
    <w:rsid w:val="002458AE"/>
    <w:rsid w:val="00260505"/>
    <w:rsid w:val="00260A05"/>
    <w:rsid w:val="0027662B"/>
    <w:rsid w:val="00280D13"/>
    <w:rsid w:val="002820AC"/>
    <w:rsid w:val="00282490"/>
    <w:rsid w:val="00284709"/>
    <w:rsid w:val="0028712C"/>
    <w:rsid w:val="00295F57"/>
    <w:rsid w:val="00296BF4"/>
    <w:rsid w:val="002A011D"/>
    <w:rsid w:val="002A216B"/>
    <w:rsid w:val="002A43E6"/>
    <w:rsid w:val="002A4B65"/>
    <w:rsid w:val="002A67CF"/>
    <w:rsid w:val="002B52E2"/>
    <w:rsid w:val="002C1B5F"/>
    <w:rsid w:val="002D186F"/>
    <w:rsid w:val="002D1C95"/>
    <w:rsid w:val="002E2B47"/>
    <w:rsid w:val="002F1041"/>
    <w:rsid w:val="00304FDF"/>
    <w:rsid w:val="00306EC8"/>
    <w:rsid w:val="003079C3"/>
    <w:rsid w:val="00310C3E"/>
    <w:rsid w:val="003131CB"/>
    <w:rsid w:val="00320CF6"/>
    <w:rsid w:val="00344BA1"/>
    <w:rsid w:val="0035146E"/>
    <w:rsid w:val="00352939"/>
    <w:rsid w:val="00352C72"/>
    <w:rsid w:val="00353BBA"/>
    <w:rsid w:val="00354E4F"/>
    <w:rsid w:val="00355B0E"/>
    <w:rsid w:val="00362C1C"/>
    <w:rsid w:val="00375C06"/>
    <w:rsid w:val="00377BBD"/>
    <w:rsid w:val="00382276"/>
    <w:rsid w:val="00382CE9"/>
    <w:rsid w:val="00390B8C"/>
    <w:rsid w:val="003973B7"/>
    <w:rsid w:val="0039749E"/>
    <w:rsid w:val="003979FF"/>
    <w:rsid w:val="003A3FD2"/>
    <w:rsid w:val="003A4BD8"/>
    <w:rsid w:val="003A5E15"/>
    <w:rsid w:val="003C2EA4"/>
    <w:rsid w:val="003C452F"/>
    <w:rsid w:val="003C7AC4"/>
    <w:rsid w:val="003D3E1E"/>
    <w:rsid w:val="003D4146"/>
    <w:rsid w:val="003F0D47"/>
    <w:rsid w:val="003F3ECB"/>
    <w:rsid w:val="003F7620"/>
    <w:rsid w:val="00400E09"/>
    <w:rsid w:val="004015EB"/>
    <w:rsid w:val="00403080"/>
    <w:rsid w:val="0040665C"/>
    <w:rsid w:val="00414194"/>
    <w:rsid w:val="00416427"/>
    <w:rsid w:val="00421379"/>
    <w:rsid w:val="00424E1C"/>
    <w:rsid w:val="00425388"/>
    <w:rsid w:val="004406DF"/>
    <w:rsid w:val="00440F0A"/>
    <w:rsid w:val="00442B3A"/>
    <w:rsid w:val="004522B9"/>
    <w:rsid w:val="00460F6D"/>
    <w:rsid w:val="00473585"/>
    <w:rsid w:val="00476CA9"/>
    <w:rsid w:val="00480BAD"/>
    <w:rsid w:val="004A02D8"/>
    <w:rsid w:val="004B2859"/>
    <w:rsid w:val="004B4A5D"/>
    <w:rsid w:val="004B574C"/>
    <w:rsid w:val="004B71BD"/>
    <w:rsid w:val="004B7340"/>
    <w:rsid w:val="004C67AA"/>
    <w:rsid w:val="004D3BF2"/>
    <w:rsid w:val="004D5783"/>
    <w:rsid w:val="004E02FA"/>
    <w:rsid w:val="004E324F"/>
    <w:rsid w:val="004E3DB9"/>
    <w:rsid w:val="004E48F8"/>
    <w:rsid w:val="004F2D3F"/>
    <w:rsid w:val="004F3BFE"/>
    <w:rsid w:val="004F430A"/>
    <w:rsid w:val="004F5701"/>
    <w:rsid w:val="004F6901"/>
    <w:rsid w:val="005033D9"/>
    <w:rsid w:val="00515DE6"/>
    <w:rsid w:val="0052019A"/>
    <w:rsid w:val="00520A6A"/>
    <w:rsid w:val="00521E0B"/>
    <w:rsid w:val="005342BF"/>
    <w:rsid w:val="005343C1"/>
    <w:rsid w:val="00537F84"/>
    <w:rsid w:val="00540465"/>
    <w:rsid w:val="00542062"/>
    <w:rsid w:val="00543760"/>
    <w:rsid w:val="005578B2"/>
    <w:rsid w:val="0056195E"/>
    <w:rsid w:val="00562634"/>
    <w:rsid w:val="00574091"/>
    <w:rsid w:val="00581994"/>
    <w:rsid w:val="00581D23"/>
    <w:rsid w:val="00583403"/>
    <w:rsid w:val="00586B35"/>
    <w:rsid w:val="00591B25"/>
    <w:rsid w:val="0059305B"/>
    <w:rsid w:val="00596AB4"/>
    <w:rsid w:val="00596D35"/>
    <w:rsid w:val="005A12EC"/>
    <w:rsid w:val="005A17A9"/>
    <w:rsid w:val="005A363D"/>
    <w:rsid w:val="005A75CF"/>
    <w:rsid w:val="005B1CA4"/>
    <w:rsid w:val="005B41F8"/>
    <w:rsid w:val="005B4AA4"/>
    <w:rsid w:val="005C04E6"/>
    <w:rsid w:val="005C04F2"/>
    <w:rsid w:val="005C0B0C"/>
    <w:rsid w:val="005C65A5"/>
    <w:rsid w:val="005D50C9"/>
    <w:rsid w:val="005D5B26"/>
    <w:rsid w:val="005E11E0"/>
    <w:rsid w:val="00600E02"/>
    <w:rsid w:val="00601FA1"/>
    <w:rsid w:val="006158AC"/>
    <w:rsid w:val="006202F2"/>
    <w:rsid w:val="00620827"/>
    <w:rsid w:val="00623B6F"/>
    <w:rsid w:val="006251BF"/>
    <w:rsid w:val="00627A6D"/>
    <w:rsid w:val="006300F0"/>
    <w:rsid w:val="00634961"/>
    <w:rsid w:val="0064356D"/>
    <w:rsid w:val="00643D2C"/>
    <w:rsid w:val="0064667D"/>
    <w:rsid w:val="00663AEE"/>
    <w:rsid w:val="00663FFF"/>
    <w:rsid w:val="0066445A"/>
    <w:rsid w:val="0067007B"/>
    <w:rsid w:val="00673FBA"/>
    <w:rsid w:val="00674EF0"/>
    <w:rsid w:val="00675AAF"/>
    <w:rsid w:val="00677F6B"/>
    <w:rsid w:val="00683ED5"/>
    <w:rsid w:val="00684821"/>
    <w:rsid w:val="0068726D"/>
    <w:rsid w:val="00691D00"/>
    <w:rsid w:val="006A0D1E"/>
    <w:rsid w:val="006A3E47"/>
    <w:rsid w:val="006A7F6C"/>
    <w:rsid w:val="006B3ADE"/>
    <w:rsid w:val="006B67CD"/>
    <w:rsid w:val="006B7365"/>
    <w:rsid w:val="006C0241"/>
    <w:rsid w:val="006C07C3"/>
    <w:rsid w:val="006C18C9"/>
    <w:rsid w:val="006C1CB6"/>
    <w:rsid w:val="006C6235"/>
    <w:rsid w:val="006D208A"/>
    <w:rsid w:val="006D5BA2"/>
    <w:rsid w:val="006D7525"/>
    <w:rsid w:val="006D7EC9"/>
    <w:rsid w:val="006E0D46"/>
    <w:rsid w:val="006E3466"/>
    <w:rsid w:val="006E5B0E"/>
    <w:rsid w:val="006E5D89"/>
    <w:rsid w:val="006F3361"/>
    <w:rsid w:val="006F34BA"/>
    <w:rsid w:val="007002C8"/>
    <w:rsid w:val="00703CD5"/>
    <w:rsid w:val="007047B9"/>
    <w:rsid w:val="00716578"/>
    <w:rsid w:val="00717308"/>
    <w:rsid w:val="00722744"/>
    <w:rsid w:val="00724DB2"/>
    <w:rsid w:val="007308F4"/>
    <w:rsid w:val="00750B2C"/>
    <w:rsid w:val="00752C43"/>
    <w:rsid w:val="00752F6C"/>
    <w:rsid w:val="0075328E"/>
    <w:rsid w:val="00757D3F"/>
    <w:rsid w:val="00764DE3"/>
    <w:rsid w:val="0076756C"/>
    <w:rsid w:val="007766F8"/>
    <w:rsid w:val="00776F5E"/>
    <w:rsid w:val="00797987"/>
    <w:rsid w:val="007A2B63"/>
    <w:rsid w:val="007A338B"/>
    <w:rsid w:val="007A54D9"/>
    <w:rsid w:val="007B60C3"/>
    <w:rsid w:val="007B6C2C"/>
    <w:rsid w:val="007C5E6C"/>
    <w:rsid w:val="007D729A"/>
    <w:rsid w:val="007F1D22"/>
    <w:rsid w:val="007F20E6"/>
    <w:rsid w:val="007F5DC1"/>
    <w:rsid w:val="00801D55"/>
    <w:rsid w:val="00803A75"/>
    <w:rsid w:val="008043B5"/>
    <w:rsid w:val="008149CB"/>
    <w:rsid w:val="0081596C"/>
    <w:rsid w:val="008214AF"/>
    <w:rsid w:val="0082608A"/>
    <w:rsid w:val="00827550"/>
    <w:rsid w:val="00833B53"/>
    <w:rsid w:val="0084518A"/>
    <w:rsid w:val="0085389A"/>
    <w:rsid w:val="008561F7"/>
    <w:rsid w:val="00857C39"/>
    <w:rsid w:val="008609B1"/>
    <w:rsid w:val="008679D0"/>
    <w:rsid w:val="00872499"/>
    <w:rsid w:val="00880139"/>
    <w:rsid w:val="00881970"/>
    <w:rsid w:val="0088342C"/>
    <w:rsid w:val="00883EEF"/>
    <w:rsid w:val="00886940"/>
    <w:rsid w:val="008876D2"/>
    <w:rsid w:val="008902E0"/>
    <w:rsid w:val="008933AC"/>
    <w:rsid w:val="0089641E"/>
    <w:rsid w:val="008A0E82"/>
    <w:rsid w:val="008A5548"/>
    <w:rsid w:val="008A7C59"/>
    <w:rsid w:val="008B3176"/>
    <w:rsid w:val="008B5F6F"/>
    <w:rsid w:val="008D12E4"/>
    <w:rsid w:val="008D135B"/>
    <w:rsid w:val="008D26EF"/>
    <w:rsid w:val="008D3B2B"/>
    <w:rsid w:val="008E35A9"/>
    <w:rsid w:val="008E41F8"/>
    <w:rsid w:val="008E4A4F"/>
    <w:rsid w:val="008E7478"/>
    <w:rsid w:val="008F3A94"/>
    <w:rsid w:val="008F6B5D"/>
    <w:rsid w:val="008F7AD5"/>
    <w:rsid w:val="00900C97"/>
    <w:rsid w:val="00904115"/>
    <w:rsid w:val="00904B87"/>
    <w:rsid w:val="009075E5"/>
    <w:rsid w:val="0090782F"/>
    <w:rsid w:val="0091674D"/>
    <w:rsid w:val="00917B1C"/>
    <w:rsid w:val="00925B9B"/>
    <w:rsid w:val="00926859"/>
    <w:rsid w:val="0093199E"/>
    <w:rsid w:val="009319D5"/>
    <w:rsid w:val="009333F0"/>
    <w:rsid w:val="00935658"/>
    <w:rsid w:val="0093724B"/>
    <w:rsid w:val="00944180"/>
    <w:rsid w:val="00945CD7"/>
    <w:rsid w:val="00945D77"/>
    <w:rsid w:val="00946A00"/>
    <w:rsid w:val="009511F5"/>
    <w:rsid w:val="00952373"/>
    <w:rsid w:val="00962E16"/>
    <w:rsid w:val="009647EB"/>
    <w:rsid w:val="00966DBC"/>
    <w:rsid w:val="00974C55"/>
    <w:rsid w:val="00975436"/>
    <w:rsid w:val="009772DB"/>
    <w:rsid w:val="00981E64"/>
    <w:rsid w:val="00982D68"/>
    <w:rsid w:val="00990580"/>
    <w:rsid w:val="00995813"/>
    <w:rsid w:val="009A7E7C"/>
    <w:rsid w:val="009B7F75"/>
    <w:rsid w:val="009C3A08"/>
    <w:rsid w:val="009C7E90"/>
    <w:rsid w:val="009D2711"/>
    <w:rsid w:val="009D4C2B"/>
    <w:rsid w:val="009E24EB"/>
    <w:rsid w:val="009E4B1B"/>
    <w:rsid w:val="009E68BB"/>
    <w:rsid w:val="009F0700"/>
    <w:rsid w:val="009F172A"/>
    <w:rsid w:val="009F55EB"/>
    <w:rsid w:val="009F678F"/>
    <w:rsid w:val="009F6E11"/>
    <w:rsid w:val="009F7C8F"/>
    <w:rsid w:val="009F7EA8"/>
    <w:rsid w:val="00A046BC"/>
    <w:rsid w:val="00A1189C"/>
    <w:rsid w:val="00A13084"/>
    <w:rsid w:val="00A16FDA"/>
    <w:rsid w:val="00A17F3A"/>
    <w:rsid w:val="00A26DB8"/>
    <w:rsid w:val="00A42666"/>
    <w:rsid w:val="00A42927"/>
    <w:rsid w:val="00A43551"/>
    <w:rsid w:val="00A439F3"/>
    <w:rsid w:val="00A44B27"/>
    <w:rsid w:val="00A4569D"/>
    <w:rsid w:val="00A47DE9"/>
    <w:rsid w:val="00A50538"/>
    <w:rsid w:val="00A55C5C"/>
    <w:rsid w:val="00A57013"/>
    <w:rsid w:val="00A6602E"/>
    <w:rsid w:val="00A7074A"/>
    <w:rsid w:val="00A72270"/>
    <w:rsid w:val="00A80F6C"/>
    <w:rsid w:val="00A90865"/>
    <w:rsid w:val="00A90B72"/>
    <w:rsid w:val="00A95037"/>
    <w:rsid w:val="00A9604E"/>
    <w:rsid w:val="00AA05EF"/>
    <w:rsid w:val="00AA45E5"/>
    <w:rsid w:val="00AA51FE"/>
    <w:rsid w:val="00AA6E9A"/>
    <w:rsid w:val="00AA72B4"/>
    <w:rsid w:val="00AA7A5B"/>
    <w:rsid w:val="00AB6123"/>
    <w:rsid w:val="00AC0812"/>
    <w:rsid w:val="00AC1D38"/>
    <w:rsid w:val="00AC600A"/>
    <w:rsid w:val="00AC6CC0"/>
    <w:rsid w:val="00AE1F6A"/>
    <w:rsid w:val="00AE2869"/>
    <w:rsid w:val="00AE28DE"/>
    <w:rsid w:val="00AE3A25"/>
    <w:rsid w:val="00AF1FE5"/>
    <w:rsid w:val="00AF5B6B"/>
    <w:rsid w:val="00B02F0C"/>
    <w:rsid w:val="00B03F07"/>
    <w:rsid w:val="00B041EC"/>
    <w:rsid w:val="00B0537C"/>
    <w:rsid w:val="00B15A77"/>
    <w:rsid w:val="00B22E3E"/>
    <w:rsid w:val="00B40569"/>
    <w:rsid w:val="00B51507"/>
    <w:rsid w:val="00B54FE2"/>
    <w:rsid w:val="00B55595"/>
    <w:rsid w:val="00B61B0C"/>
    <w:rsid w:val="00B6569A"/>
    <w:rsid w:val="00B70243"/>
    <w:rsid w:val="00B702FF"/>
    <w:rsid w:val="00B765DC"/>
    <w:rsid w:val="00B808C6"/>
    <w:rsid w:val="00B86E35"/>
    <w:rsid w:val="00B92AF0"/>
    <w:rsid w:val="00B92E27"/>
    <w:rsid w:val="00BA1ECD"/>
    <w:rsid w:val="00BA55BA"/>
    <w:rsid w:val="00BB3F92"/>
    <w:rsid w:val="00BC2ACF"/>
    <w:rsid w:val="00BC5541"/>
    <w:rsid w:val="00BD0168"/>
    <w:rsid w:val="00BD1C9E"/>
    <w:rsid w:val="00BD3E5E"/>
    <w:rsid w:val="00BD4584"/>
    <w:rsid w:val="00BD480F"/>
    <w:rsid w:val="00BE7207"/>
    <w:rsid w:val="00BF0729"/>
    <w:rsid w:val="00BF0A43"/>
    <w:rsid w:val="00BF1B89"/>
    <w:rsid w:val="00BF234A"/>
    <w:rsid w:val="00BF72CC"/>
    <w:rsid w:val="00C04BE1"/>
    <w:rsid w:val="00C07097"/>
    <w:rsid w:val="00C12A83"/>
    <w:rsid w:val="00C14979"/>
    <w:rsid w:val="00C14B32"/>
    <w:rsid w:val="00C15019"/>
    <w:rsid w:val="00C23DED"/>
    <w:rsid w:val="00C27167"/>
    <w:rsid w:val="00C315E7"/>
    <w:rsid w:val="00C31B6F"/>
    <w:rsid w:val="00C418CF"/>
    <w:rsid w:val="00C4589F"/>
    <w:rsid w:val="00C45CF0"/>
    <w:rsid w:val="00C468CB"/>
    <w:rsid w:val="00C51C3A"/>
    <w:rsid w:val="00C51D21"/>
    <w:rsid w:val="00C53681"/>
    <w:rsid w:val="00C53AF7"/>
    <w:rsid w:val="00C601E8"/>
    <w:rsid w:val="00C63724"/>
    <w:rsid w:val="00C73C55"/>
    <w:rsid w:val="00C758BE"/>
    <w:rsid w:val="00C75AAB"/>
    <w:rsid w:val="00C84FB2"/>
    <w:rsid w:val="00C907D4"/>
    <w:rsid w:val="00C925C5"/>
    <w:rsid w:val="00C92FFC"/>
    <w:rsid w:val="00C93B53"/>
    <w:rsid w:val="00C970DD"/>
    <w:rsid w:val="00CA173C"/>
    <w:rsid w:val="00CA254B"/>
    <w:rsid w:val="00CA39BB"/>
    <w:rsid w:val="00CA420C"/>
    <w:rsid w:val="00CA5FB3"/>
    <w:rsid w:val="00CB017F"/>
    <w:rsid w:val="00CB0681"/>
    <w:rsid w:val="00CB2669"/>
    <w:rsid w:val="00CB6E29"/>
    <w:rsid w:val="00CD2BBB"/>
    <w:rsid w:val="00CD41FC"/>
    <w:rsid w:val="00CD5C4B"/>
    <w:rsid w:val="00CD5D9C"/>
    <w:rsid w:val="00CE00E7"/>
    <w:rsid w:val="00CE1D9D"/>
    <w:rsid w:val="00CE4770"/>
    <w:rsid w:val="00CF48E0"/>
    <w:rsid w:val="00D018D3"/>
    <w:rsid w:val="00D0687C"/>
    <w:rsid w:val="00D108C1"/>
    <w:rsid w:val="00D120E1"/>
    <w:rsid w:val="00D12B6E"/>
    <w:rsid w:val="00D134E9"/>
    <w:rsid w:val="00D21DCC"/>
    <w:rsid w:val="00D24C7A"/>
    <w:rsid w:val="00D3260E"/>
    <w:rsid w:val="00D3543D"/>
    <w:rsid w:val="00D35954"/>
    <w:rsid w:val="00D373F7"/>
    <w:rsid w:val="00D421C9"/>
    <w:rsid w:val="00D539B1"/>
    <w:rsid w:val="00D55152"/>
    <w:rsid w:val="00D606AA"/>
    <w:rsid w:val="00D60E25"/>
    <w:rsid w:val="00D61587"/>
    <w:rsid w:val="00D635D2"/>
    <w:rsid w:val="00D649DB"/>
    <w:rsid w:val="00D6537E"/>
    <w:rsid w:val="00D70574"/>
    <w:rsid w:val="00D7186D"/>
    <w:rsid w:val="00D732A9"/>
    <w:rsid w:val="00D75E0C"/>
    <w:rsid w:val="00D76400"/>
    <w:rsid w:val="00D800BC"/>
    <w:rsid w:val="00D83527"/>
    <w:rsid w:val="00D8359A"/>
    <w:rsid w:val="00D85755"/>
    <w:rsid w:val="00D86B79"/>
    <w:rsid w:val="00D909EB"/>
    <w:rsid w:val="00D90EB4"/>
    <w:rsid w:val="00D97003"/>
    <w:rsid w:val="00DA3CEC"/>
    <w:rsid w:val="00DA61E5"/>
    <w:rsid w:val="00DC26EA"/>
    <w:rsid w:val="00DC4F41"/>
    <w:rsid w:val="00DC6638"/>
    <w:rsid w:val="00DD2247"/>
    <w:rsid w:val="00DD371A"/>
    <w:rsid w:val="00DD5AA3"/>
    <w:rsid w:val="00DD5B52"/>
    <w:rsid w:val="00DD6453"/>
    <w:rsid w:val="00DF20DD"/>
    <w:rsid w:val="00DF53D7"/>
    <w:rsid w:val="00DF5AB0"/>
    <w:rsid w:val="00E0007A"/>
    <w:rsid w:val="00E00A17"/>
    <w:rsid w:val="00E0193B"/>
    <w:rsid w:val="00E01B17"/>
    <w:rsid w:val="00E02AC4"/>
    <w:rsid w:val="00E03201"/>
    <w:rsid w:val="00E036E1"/>
    <w:rsid w:val="00E05CDC"/>
    <w:rsid w:val="00E10CFF"/>
    <w:rsid w:val="00E115A5"/>
    <w:rsid w:val="00E16690"/>
    <w:rsid w:val="00E2059F"/>
    <w:rsid w:val="00E22FFB"/>
    <w:rsid w:val="00E26369"/>
    <w:rsid w:val="00E27C62"/>
    <w:rsid w:val="00E3004D"/>
    <w:rsid w:val="00E32C64"/>
    <w:rsid w:val="00E3341E"/>
    <w:rsid w:val="00E71165"/>
    <w:rsid w:val="00E71CE8"/>
    <w:rsid w:val="00E74253"/>
    <w:rsid w:val="00E82F47"/>
    <w:rsid w:val="00E95A42"/>
    <w:rsid w:val="00E95FC6"/>
    <w:rsid w:val="00E979E4"/>
    <w:rsid w:val="00EA4C9A"/>
    <w:rsid w:val="00EA76CA"/>
    <w:rsid w:val="00EB2985"/>
    <w:rsid w:val="00EB2BD8"/>
    <w:rsid w:val="00EB54E4"/>
    <w:rsid w:val="00EB62C9"/>
    <w:rsid w:val="00EB77B3"/>
    <w:rsid w:val="00EB7C62"/>
    <w:rsid w:val="00EC1039"/>
    <w:rsid w:val="00EC11B1"/>
    <w:rsid w:val="00EC3F20"/>
    <w:rsid w:val="00EC4CFB"/>
    <w:rsid w:val="00EC5E07"/>
    <w:rsid w:val="00ED5ED7"/>
    <w:rsid w:val="00EE4E30"/>
    <w:rsid w:val="00EF3D6E"/>
    <w:rsid w:val="00EF7308"/>
    <w:rsid w:val="00F10F57"/>
    <w:rsid w:val="00F14C4F"/>
    <w:rsid w:val="00F165C6"/>
    <w:rsid w:val="00F165DA"/>
    <w:rsid w:val="00F24A53"/>
    <w:rsid w:val="00F30D47"/>
    <w:rsid w:val="00F31AB2"/>
    <w:rsid w:val="00F3349D"/>
    <w:rsid w:val="00F37163"/>
    <w:rsid w:val="00F378C5"/>
    <w:rsid w:val="00F42447"/>
    <w:rsid w:val="00F45235"/>
    <w:rsid w:val="00F52A7A"/>
    <w:rsid w:val="00F52A80"/>
    <w:rsid w:val="00F52B1A"/>
    <w:rsid w:val="00F6181B"/>
    <w:rsid w:val="00F624AA"/>
    <w:rsid w:val="00F6408E"/>
    <w:rsid w:val="00F65867"/>
    <w:rsid w:val="00F65F46"/>
    <w:rsid w:val="00F70D08"/>
    <w:rsid w:val="00F75E3A"/>
    <w:rsid w:val="00F76C83"/>
    <w:rsid w:val="00F76DEA"/>
    <w:rsid w:val="00F77A08"/>
    <w:rsid w:val="00F835F6"/>
    <w:rsid w:val="00F85C24"/>
    <w:rsid w:val="00F925A1"/>
    <w:rsid w:val="00F930BE"/>
    <w:rsid w:val="00FA5069"/>
    <w:rsid w:val="00FA5BB2"/>
    <w:rsid w:val="00FB2064"/>
    <w:rsid w:val="00FB75B2"/>
    <w:rsid w:val="00FD0F4D"/>
    <w:rsid w:val="00FD11C9"/>
    <w:rsid w:val="00FD219E"/>
    <w:rsid w:val="00FE005B"/>
    <w:rsid w:val="00FE1297"/>
    <w:rsid w:val="00FE4A01"/>
    <w:rsid w:val="00FF0BC2"/>
    <w:rsid w:val="00FF406E"/>
    <w:rsid w:val="00FF425C"/>
    <w:rsid w:val="00FF7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55D981"/>
  <w15:docId w15:val="{E5BEEE2C-0252-48B0-A526-A484FC52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3C"/>
    <w:rPr>
      <w:sz w:val="24"/>
    </w:rPr>
  </w:style>
  <w:style w:type="paragraph" w:styleId="Heading1">
    <w:name w:val="heading 1"/>
    <w:aliases w:val="H1"/>
    <w:basedOn w:val="HeadingBase"/>
    <w:next w:val="NumberLevel1"/>
    <w:link w:val="Heading1Char"/>
    <w:uiPriority w:val="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9"/>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9"/>
    <w:qFormat/>
    <w:rsid w:val="00AA7A5B"/>
    <w:pPr>
      <w:keepNext/>
      <w:keepLines/>
      <w:outlineLvl w:val="3"/>
    </w:pPr>
    <w:rPr>
      <w:bCs/>
      <w:i/>
      <w:szCs w:val="28"/>
    </w:rPr>
  </w:style>
  <w:style w:type="paragraph" w:styleId="Heading5">
    <w:name w:val="heading 5"/>
    <w:aliases w:val="H5"/>
    <w:basedOn w:val="HeadingBase"/>
    <w:next w:val="NumberLevel1"/>
    <w:link w:val="Heading5Char"/>
    <w:uiPriority w:val="9"/>
    <w:qFormat/>
    <w:rsid w:val="00AA7A5B"/>
    <w:pPr>
      <w:keepNext/>
      <w:keepLines/>
      <w:outlineLvl w:val="4"/>
    </w:pPr>
    <w:rPr>
      <w:b/>
      <w:bCs/>
      <w:iCs/>
      <w:sz w:val="18"/>
      <w:szCs w:val="26"/>
    </w:rPr>
  </w:style>
  <w:style w:type="paragraph" w:styleId="Heading6">
    <w:name w:val="heading 6"/>
    <w:basedOn w:val="Normal"/>
    <w:next w:val="Normal"/>
    <w:link w:val="Heading6Char"/>
    <w:uiPriority w:val="9"/>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qFormat/>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unhideWhenUsed/>
    <w:qFormat/>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link w:val="EndnoteTextChar"/>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rsid w:val="008F3A94"/>
    <w:rPr>
      <w:rFonts w:ascii="Arial" w:hAnsi="Arial" w:cs="Arial"/>
      <w:b w:val="0"/>
      <w:i w:val="0"/>
      <w:sz w:val="22"/>
      <w:vertAlign w:val="superscript"/>
    </w:rPr>
  </w:style>
  <w:style w:type="character" w:styleId="EndnoteReference">
    <w:name w:val="endnote reference"/>
    <w:basedOn w:val="DefaultParagraphFont"/>
    <w:rsid w:val="008F3A94"/>
    <w:rPr>
      <w:rFonts w:ascii="Arial" w:hAnsi="Arial" w:cs="Arial"/>
      <w:b w:val="0"/>
      <w:i w:val="0"/>
      <w:sz w:val="22"/>
      <w:vertAlign w:val="superscript"/>
    </w:rPr>
  </w:style>
  <w:style w:type="character" w:styleId="PageNumber">
    <w:name w:val="page number"/>
    <w:basedOn w:val="DefaultParagraphFont"/>
    <w:rsid w:val="008F3A94"/>
    <w:rPr>
      <w:rFonts w:ascii="Arial" w:hAnsi="Arial" w:cs="Arial"/>
      <w:b w:val="0"/>
      <w:i w:val="0"/>
      <w:sz w:val="16"/>
    </w:rPr>
  </w:style>
  <w:style w:type="character" w:styleId="Hyperlink">
    <w:name w:val="Hyperlink"/>
    <w:basedOn w:val="DefaultParagraphFont"/>
    <w:rsid w:val="008F3A94"/>
    <w:rPr>
      <w:rFonts w:ascii="Arial" w:hAnsi="Arial" w:cs="Arial"/>
      <w:color w:val="0000FF"/>
      <w:u w:val="single" w:color="0000FF"/>
    </w:rPr>
  </w:style>
  <w:style w:type="paragraph" w:styleId="TOC1">
    <w:name w:val="toc 1"/>
    <w:next w:val="Normal"/>
    <w:autoRedefine/>
    <w:uiPriority w:val="39"/>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9"/>
    <w:rsid w:val="008F3A94"/>
    <w:pPr>
      <w:pBdr>
        <w:bottom w:val="none" w:sz="0" w:space="0" w:color="auto"/>
      </w:pBdr>
      <w:spacing w:before="60"/>
    </w:pPr>
    <w:rPr>
      <w:b w:val="0"/>
    </w:rPr>
  </w:style>
  <w:style w:type="paragraph" w:styleId="TOC3">
    <w:name w:val="toc 3"/>
    <w:basedOn w:val="TOC2"/>
    <w:next w:val="Normal"/>
    <w:autoRedefine/>
    <w:uiPriority w:val="39"/>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59"/>
    <w:rsid w:val="00442B3A"/>
    <w:rPr>
      <w:rFonts w:ascii="Arial" w:hAnsi="Arial"/>
    </w:rPr>
    <w:tblPr/>
    <w:tcPr>
      <w:vAlign w:val="center"/>
    </w:tcPr>
  </w:style>
  <w:style w:type="paragraph" w:styleId="TOC4">
    <w:name w:val="toc 4"/>
    <w:basedOn w:val="Normal"/>
    <w:next w:val="Normal"/>
    <w:autoRedefine/>
    <w:uiPriority w:val="39"/>
    <w:rsid w:val="008F3A94"/>
    <w:pPr>
      <w:ind w:left="660"/>
    </w:pPr>
  </w:style>
  <w:style w:type="paragraph" w:styleId="TOC5">
    <w:name w:val="toc 5"/>
    <w:basedOn w:val="Normal"/>
    <w:next w:val="Normal"/>
    <w:autoRedefine/>
    <w:uiPriority w:val="39"/>
    <w:rsid w:val="008F3A94"/>
    <w:pPr>
      <w:ind w:left="880"/>
    </w:pPr>
  </w:style>
  <w:style w:type="numbering" w:styleId="111111">
    <w:name w:val="Outline List 2"/>
    <w:basedOn w:val="NoList"/>
    <w:unhideWhenUsed/>
    <w:rsid w:val="008F3A94"/>
    <w:pPr>
      <w:numPr>
        <w:numId w:val="6"/>
      </w:numPr>
    </w:pPr>
  </w:style>
  <w:style w:type="numbering" w:styleId="1ai">
    <w:name w:val="Outline List 1"/>
    <w:basedOn w:val="NoList"/>
    <w:unhideWhenUsed/>
    <w:rsid w:val="008F3A94"/>
    <w:pPr>
      <w:numPr>
        <w:numId w:val="7"/>
      </w:numPr>
    </w:pPr>
  </w:style>
  <w:style w:type="numbering" w:styleId="ArticleSection">
    <w:name w:val="Outline List 3"/>
    <w:basedOn w:val="NoList"/>
    <w:unhideWhenUsed/>
    <w:rsid w:val="008F3A94"/>
    <w:pPr>
      <w:numPr>
        <w:numId w:val="8"/>
      </w:numPr>
    </w:pPr>
  </w:style>
  <w:style w:type="paragraph" w:styleId="BalloonText">
    <w:name w:val="Balloon Text"/>
    <w:basedOn w:val="Normal"/>
    <w:link w:val="BalloonTextChar"/>
    <w:uiPriority w:val="99"/>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nhideWhenUsed/>
    <w:rsid w:val="008F3A94"/>
    <w:pPr>
      <w:spacing w:after="120"/>
      <w:ind w:left="1440" w:right="1440"/>
    </w:pPr>
  </w:style>
  <w:style w:type="paragraph" w:styleId="BodyText">
    <w:name w:val="Body Text"/>
    <w:basedOn w:val="Normal"/>
    <w:link w:val="BodyTextChar"/>
    <w:unhideWhenUsed/>
    <w:rsid w:val="008F3A94"/>
    <w:pPr>
      <w:spacing w:after="120"/>
    </w:pPr>
  </w:style>
  <w:style w:type="paragraph" w:styleId="BodyText2">
    <w:name w:val="Body Text 2"/>
    <w:basedOn w:val="Normal"/>
    <w:link w:val="BodyText2Char"/>
    <w:unhideWhenUsed/>
    <w:rsid w:val="008F3A94"/>
    <w:pPr>
      <w:spacing w:after="120" w:line="480" w:lineRule="auto"/>
    </w:pPr>
  </w:style>
  <w:style w:type="paragraph" w:styleId="BodyText3">
    <w:name w:val="Body Text 3"/>
    <w:basedOn w:val="Normal"/>
    <w:link w:val="BodyText3Char"/>
    <w:unhideWhenUsed/>
    <w:rsid w:val="008F3A94"/>
    <w:pPr>
      <w:spacing w:after="120"/>
    </w:pPr>
    <w:rPr>
      <w:sz w:val="16"/>
      <w:szCs w:val="16"/>
    </w:rPr>
  </w:style>
  <w:style w:type="paragraph" w:styleId="BodyTextFirstIndent">
    <w:name w:val="Body Text First Indent"/>
    <w:basedOn w:val="BodyText"/>
    <w:link w:val="BodyTextFirstIndentChar"/>
    <w:rsid w:val="008F3A94"/>
    <w:pPr>
      <w:ind w:firstLine="210"/>
    </w:pPr>
  </w:style>
  <w:style w:type="paragraph" w:styleId="BodyTextIndent">
    <w:name w:val="Body Text Indent"/>
    <w:basedOn w:val="Normal"/>
    <w:link w:val="BodyTextIndentChar"/>
    <w:unhideWhenUsed/>
    <w:rsid w:val="008F3A94"/>
    <w:pPr>
      <w:spacing w:after="120"/>
      <w:ind w:left="283"/>
    </w:pPr>
  </w:style>
  <w:style w:type="paragraph" w:styleId="BodyTextFirstIndent2">
    <w:name w:val="Body Text First Indent 2"/>
    <w:basedOn w:val="BodyTextIndent"/>
    <w:link w:val="BodyTextFirstIndent2Char"/>
    <w:unhideWhenUsed/>
    <w:rsid w:val="008F3A94"/>
    <w:pPr>
      <w:ind w:firstLine="210"/>
    </w:pPr>
  </w:style>
  <w:style w:type="paragraph" w:styleId="BodyTextIndent2">
    <w:name w:val="Body Text Indent 2"/>
    <w:basedOn w:val="Normal"/>
    <w:link w:val="BodyTextIndent2Char"/>
    <w:unhideWhenUsed/>
    <w:rsid w:val="008F3A94"/>
    <w:pPr>
      <w:spacing w:after="120" w:line="480" w:lineRule="auto"/>
      <w:ind w:left="283"/>
    </w:pPr>
  </w:style>
  <w:style w:type="paragraph" w:styleId="BodyTextIndent3">
    <w:name w:val="Body Text Indent 3"/>
    <w:basedOn w:val="Normal"/>
    <w:link w:val="BodyTextIndent3Char"/>
    <w:unhideWhenUsed/>
    <w:rsid w:val="008F3A94"/>
    <w:pPr>
      <w:spacing w:after="120"/>
      <w:ind w:left="283"/>
    </w:pPr>
    <w:rPr>
      <w:sz w:val="16"/>
      <w:szCs w:val="16"/>
    </w:rPr>
  </w:style>
  <w:style w:type="paragraph" w:styleId="Caption">
    <w:name w:val="caption"/>
    <w:basedOn w:val="Normal"/>
    <w:next w:val="Normal"/>
    <w:unhideWhenUsed/>
    <w:qFormat/>
    <w:rsid w:val="008F3A94"/>
    <w:rPr>
      <w:b/>
      <w:bCs/>
      <w:sz w:val="20"/>
    </w:rPr>
  </w:style>
  <w:style w:type="paragraph" w:styleId="Closing">
    <w:name w:val="Closing"/>
    <w:basedOn w:val="Normal"/>
    <w:link w:val="ClosingChar"/>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8F3A94"/>
  </w:style>
  <w:style w:type="paragraph" w:styleId="DocumentMap">
    <w:name w:val="Document Map"/>
    <w:basedOn w:val="Normal"/>
    <w:link w:val="DocumentMapChar"/>
    <w:unhideWhenUsed/>
    <w:rsid w:val="008F3A94"/>
    <w:rPr>
      <w:rFonts w:ascii="Tahoma" w:hAnsi="Tahoma" w:cs="Tahoma"/>
      <w:sz w:val="16"/>
      <w:szCs w:val="16"/>
    </w:rPr>
  </w:style>
  <w:style w:type="paragraph" w:styleId="E-mailSignature">
    <w:name w:val="E-mail Signature"/>
    <w:basedOn w:val="Normal"/>
    <w:link w:val="E-mailSignatureChar"/>
    <w:unhideWhenUsed/>
    <w:rsid w:val="008F3A94"/>
  </w:style>
  <w:style w:type="character" w:styleId="Emphasis">
    <w:name w:val="Emphasis"/>
    <w:basedOn w:val="DefaultParagraphFont"/>
    <w:qFormat/>
    <w:rsid w:val="008F3A94"/>
    <w:rPr>
      <w:i/>
      <w:iCs/>
    </w:rPr>
  </w:style>
  <w:style w:type="paragraph" w:styleId="EnvelopeAddress">
    <w:name w:val="envelope address"/>
    <w:basedOn w:val="Normal"/>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customStyle="1" w:styleId="GridTable1Light1">
    <w:name w:val="Grid Table 1 Light1"/>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nhideWhenUsed/>
    <w:rsid w:val="008F3A94"/>
  </w:style>
  <w:style w:type="paragraph" w:styleId="HTMLAddress">
    <w:name w:val="HTML Address"/>
    <w:basedOn w:val="Normal"/>
    <w:link w:val="HTMLAddressChar"/>
    <w:unhideWhenUsed/>
    <w:rsid w:val="008F3A94"/>
    <w:rPr>
      <w:i/>
      <w:iCs/>
    </w:rPr>
  </w:style>
  <w:style w:type="character" w:styleId="HTMLCite">
    <w:name w:val="HTML Cite"/>
    <w:basedOn w:val="DefaultParagraphFont"/>
    <w:unhideWhenUsed/>
    <w:rsid w:val="008F3A94"/>
    <w:rPr>
      <w:i/>
      <w:iCs/>
    </w:rPr>
  </w:style>
  <w:style w:type="character" w:styleId="HTMLCode">
    <w:name w:val="HTML Code"/>
    <w:basedOn w:val="DefaultParagraphFont"/>
    <w:unhideWhenUsed/>
    <w:rsid w:val="008F3A94"/>
    <w:rPr>
      <w:rFonts w:ascii="Courier New" w:hAnsi="Courier New" w:cs="Courier New"/>
      <w:sz w:val="20"/>
      <w:szCs w:val="20"/>
    </w:rPr>
  </w:style>
  <w:style w:type="character" w:styleId="HTMLDefinition">
    <w:name w:val="HTML Definition"/>
    <w:basedOn w:val="DefaultParagraphFont"/>
    <w:unhideWhenUsed/>
    <w:rsid w:val="008F3A94"/>
    <w:rPr>
      <w:i/>
      <w:iCs/>
    </w:rPr>
  </w:style>
  <w:style w:type="character" w:styleId="HTMLKeyboard">
    <w:name w:val="HTML Keyboard"/>
    <w:basedOn w:val="DefaultParagraphFont"/>
    <w:unhideWhenUsed/>
    <w:rsid w:val="008F3A94"/>
    <w:rPr>
      <w:rFonts w:ascii="Courier New" w:hAnsi="Courier New" w:cs="Courier New"/>
      <w:sz w:val="20"/>
      <w:szCs w:val="20"/>
    </w:rPr>
  </w:style>
  <w:style w:type="paragraph" w:styleId="HTMLPreformatted">
    <w:name w:val="HTML Preformatted"/>
    <w:basedOn w:val="Normal"/>
    <w:link w:val="HTMLPreformattedChar"/>
    <w:unhideWhenUsed/>
    <w:rsid w:val="008F3A94"/>
    <w:rPr>
      <w:rFonts w:ascii="Courier New" w:hAnsi="Courier New" w:cs="Courier New"/>
      <w:sz w:val="20"/>
    </w:rPr>
  </w:style>
  <w:style w:type="character" w:styleId="HTMLSample">
    <w:name w:val="HTML Sample"/>
    <w:basedOn w:val="DefaultParagraphFont"/>
    <w:unhideWhenUsed/>
    <w:rsid w:val="008F3A94"/>
    <w:rPr>
      <w:rFonts w:ascii="Courier New" w:hAnsi="Courier New" w:cs="Courier New"/>
    </w:rPr>
  </w:style>
  <w:style w:type="character" w:styleId="HTMLTypewriter">
    <w:name w:val="HTML Typewriter"/>
    <w:basedOn w:val="DefaultParagraphFont"/>
    <w:unhideWhenUsed/>
    <w:rsid w:val="008F3A94"/>
    <w:rPr>
      <w:rFonts w:ascii="Courier New" w:hAnsi="Courier New" w:cs="Courier New"/>
      <w:sz w:val="20"/>
      <w:szCs w:val="20"/>
    </w:rPr>
  </w:style>
  <w:style w:type="character" w:styleId="HTMLVariable">
    <w:name w:val="HTML Variable"/>
    <w:basedOn w:val="DefaultParagraphFont"/>
    <w:unhideWhenUsed/>
    <w:rsid w:val="008F3A94"/>
    <w:rPr>
      <w:i/>
      <w:iCs/>
    </w:rPr>
  </w:style>
  <w:style w:type="paragraph" w:styleId="Index1">
    <w:name w:val="index 1"/>
    <w:basedOn w:val="Normal"/>
    <w:next w:val="Normal"/>
    <w:autoRedefine/>
    <w:unhideWhenUsed/>
    <w:rsid w:val="008F3A94"/>
    <w:pPr>
      <w:ind w:left="220" w:hanging="220"/>
    </w:pPr>
  </w:style>
  <w:style w:type="paragraph" w:styleId="Index2">
    <w:name w:val="index 2"/>
    <w:basedOn w:val="Normal"/>
    <w:next w:val="Normal"/>
    <w:autoRedefine/>
    <w:unhideWhenUsed/>
    <w:rsid w:val="008F3A94"/>
    <w:pPr>
      <w:ind w:left="440" w:hanging="220"/>
    </w:pPr>
  </w:style>
  <w:style w:type="paragraph" w:styleId="Index3">
    <w:name w:val="index 3"/>
    <w:basedOn w:val="Normal"/>
    <w:next w:val="Normal"/>
    <w:autoRedefine/>
    <w:unhideWhenUsed/>
    <w:rsid w:val="008F3A94"/>
    <w:pPr>
      <w:ind w:left="660" w:hanging="220"/>
    </w:pPr>
  </w:style>
  <w:style w:type="paragraph" w:styleId="Index4">
    <w:name w:val="index 4"/>
    <w:basedOn w:val="Normal"/>
    <w:next w:val="Normal"/>
    <w:autoRedefine/>
    <w:unhideWhenUsed/>
    <w:rsid w:val="008F3A94"/>
    <w:pPr>
      <w:ind w:left="880" w:hanging="220"/>
    </w:pPr>
  </w:style>
  <w:style w:type="paragraph" w:styleId="Index5">
    <w:name w:val="index 5"/>
    <w:basedOn w:val="Normal"/>
    <w:next w:val="Normal"/>
    <w:autoRedefine/>
    <w:unhideWhenUsed/>
    <w:rsid w:val="008F3A94"/>
    <w:pPr>
      <w:ind w:left="1100" w:hanging="220"/>
    </w:pPr>
  </w:style>
  <w:style w:type="paragraph" w:styleId="Index6">
    <w:name w:val="index 6"/>
    <w:basedOn w:val="Normal"/>
    <w:next w:val="Normal"/>
    <w:autoRedefine/>
    <w:unhideWhenUsed/>
    <w:rsid w:val="008F3A94"/>
    <w:pPr>
      <w:ind w:left="1320" w:hanging="220"/>
    </w:pPr>
  </w:style>
  <w:style w:type="paragraph" w:styleId="Index7">
    <w:name w:val="index 7"/>
    <w:basedOn w:val="Normal"/>
    <w:next w:val="Normal"/>
    <w:autoRedefine/>
    <w:unhideWhenUsed/>
    <w:rsid w:val="008F3A94"/>
    <w:pPr>
      <w:ind w:left="1540" w:hanging="220"/>
    </w:pPr>
  </w:style>
  <w:style w:type="paragraph" w:styleId="Index8">
    <w:name w:val="index 8"/>
    <w:basedOn w:val="Normal"/>
    <w:next w:val="Normal"/>
    <w:autoRedefine/>
    <w:unhideWhenUsed/>
    <w:rsid w:val="008F3A94"/>
    <w:pPr>
      <w:ind w:left="1760" w:hanging="220"/>
    </w:pPr>
  </w:style>
  <w:style w:type="paragraph" w:styleId="Index9">
    <w:name w:val="index 9"/>
    <w:basedOn w:val="Normal"/>
    <w:next w:val="Normal"/>
    <w:autoRedefine/>
    <w:unhideWhenUsed/>
    <w:rsid w:val="008F3A94"/>
    <w:pPr>
      <w:ind w:left="1980" w:hanging="220"/>
    </w:pPr>
  </w:style>
  <w:style w:type="paragraph" w:styleId="IndexHeading">
    <w:name w:val="index heading"/>
    <w:basedOn w:val="Normal"/>
    <w:next w:val="Index1"/>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8F3A94"/>
  </w:style>
  <w:style w:type="paragraph" w:styleId="List">
    <w:name w:val="List"/>
    <w:basedOn w:val="Normal"/>
    <w:unhideWhenUsed/>
    <w:rsid w:val="008F3A94"/>
    <w:pPr>
      <w:ind w:left="283" w:hanging="283"/>
      <w:contextualSpacing/>
    </w:pPr>
  </w:style>
  <w:style w:type="paragraph" w:styleId="List2">
    <w:name w:val="List 2"/>
    <w:basedOn w:val="Normal"/>
    <w:unhideWhenUsed/>
    <w:rsid w:val="008F3A94"/>
    <w:pPr>
      <w:ind w:left="566" w:hanging="283"/>
      <w:contextualSpacing/>
    </w:pPr>
  </w:style>
  <w:style w:type="paragraph" w:styleId="List3">
    <w:name w:val="List 3"/>
    <w:basedOn w:val="Normal"/>
    <w:unhideWhenUsed/>
    <w:rsid w:val="008F3A94"/>
    <w:pPr>
      <w:ind w:left="849" w:hanging="283"/>
      <w:contextualSpacing/>
    </w:pPr>
  </w:style>
  <w:style w:type="paragraph" w:styleId="List4">
    <w:name w:val="List 4"/>
    <w:basedOn w:val="Normal"/>
    <w:rsid w:val="008F3A94"/>
    <w:pPr>
      <w:ind w:left="1132" w:hanging="283"/>
      <w:contextualSpacing/>
    </w:pPr>
  </w:style>
  <w:style w:type="paragraph" w:styleId="List5">
    <w:name w:val="List 5"/>
    <w:basedOn w:val="Normal"/>
    <w:rsid w:val="008F3A94"/>
    <w:pPr>
      <w:ind w:left="1415" w:hanging="283"/>
      <w:contextualSpacing/>
    </w:pPr>
  </w:style>
  <w:style w:type="paragraph" w:styleId="ListBullet">
    <w:name w:val="List Bullet"/>
    <w:basedOn w:val="Normal"/>
    <w:unhideWhenUsed/>
    <w:rsid w:val="008F3A94"/>
    <w:pPr>
      <w:numPr>
        <w:numId w:val="9"/>
      </w:numPr>
      <w:contextualSpacing/>
    </w:pPr>
  </w:style>
  <w:style w:type="paragraph" w:styleId="ListBullet2">
    <w:name w:val="List Bullet 2"/>
    <w:basedOn w:val="Normal"/>
    <w:unhideWhenUsed/>
    <w:rsid w:val="008F3A94"/>
    <w:pPr>
      <w:numPr>
        <w:numId w:val="10"/>
      </w:numPr>
      <w:contextualSpacing/>
    </w:pPr>
  </w:style>
  <w:style w:type="paragraph" w:styleId="ListBullet3">
    <w:name w:val="List Bullet 3"/>
    <w:basedOn w:val="Normal"/>
    <w:unhideWhenUsed/>
    <w:rsid w:val="008F3A94"/>
    <w:pPr>
      <w:numPr>
        <w:numId w:val="11"/>
      </w:numPr>
      <w:contextualSpacing/>
    </w:pPr>
  </w:style>
  <w:style w:type="paragraph" w:styleId="ListBullet4">
    <w:name w:val="List Bullet 4"/>
    <w:basedOn w:val="Normal"/>
    <w:unhideWhenUsed/>
    <w:rsid w:val="008F3A94"/>
    <w:pPr>
      <w:numPr>
        <w:numId w:val="12"/>
      </w:numPr>
      <w:contextualSpacing/>
    </w:pPr>
  </w:style>
  <w:style w:type="paragraph" w:styleId="ListBullet5">
    <w:name w:val="List Bullet 5"/>
    <w:basedOn w:val="Normal"/>
    <w:unhideWhenUsed/>
    <w:rsid w:val="008F3A94"/>
    <w:pPr>
      <w:numPr>
        <w:numId w:val="13"/>
      </w:numPr>
      <w:contextualSpacing/>
    </w:pPr>
  </w:style>
  <w:style w:type="paragraph" w:styleId="ListContinue">
    <w:name w:val="List Continue"/>
    <w:basedOn w:val="Normal"/>
    <w:unhideWhenUsed/>
    <w:rsid w:val="008F3A94"/>
    <w:pPr>
      <w:spacing w:after="120"/>
      <w:ind w:left="283"/>
      <w:contextualSpacing/>
    </w:pPr>
  </w:style>
  <w:style w:type="paragraph" w:styleId="ListContinue2">
    <w:name w:val="List Continue 2"/>
    <w:basedOn w:val="Normal"/>
    <w:unhideWhenUsed/>
    <w:rsid w:val="008F3A94"/>
    <w:pPr>
      <w:spacing w:after="120"/>
      <w:ind w:left="566"/>
      <w:contextualSpacing/>
    </w:pPr>
  </w:style>
  <w:style w:type="paragraph" w:styleId="ListContinue3">
    <w:name w:val="List Continue 3"/>
    <w:basedOn w:val="Normal"/>
    <w:unhideWhenUsed/>
    <w:rsid w:val="008F3A94"/>
    <w:pPr>
      <w:spacing w:after="120"/>
      <w:ind w:left="849"/>
      <w:contextualSpacing/>
    </w:pPr>
  </w:style>
  <w:style w:type="paragraph" w:styleId="ListContinue4">
    <w:name w:val="List Continue 4"/>
    <w:basedOn w:val="Normal"/>
    <w:unhideWhenUsed/>
    <w:rsid w:val="008F3A94"/>
    <w:pPr>
      <w:spacing w:after="120"/>
      <w:ind w:left="1132"/>
      <w:contextualSpacing/>
    </w:pPr>
  </w:style>
  <w:style w:type="paragraph" w:styleId="ListContinue5">
    <w:name w:val="List Continue 5"/>
    <w:basedOn w:val="Normal"/>
    <w:unhideWhenUsed/>
    <w:rsid w:val="008F3A94"/>
    <w:pPr>
      <w:spacing w:after="120"/>
      <w:ind w:left="1415"/>
      <w:contextualSpacing/>
    </w:pPr>
  </w:style>
  <w:style w:type="paragraph" w:styleId="ListNumber">
    <w:name w:val="List Number"/>
    <w:basedOn w:val="Normal"/>
    <w:qFormat/>
    <w:rsid w:val="008F3A94"/>
    <w:pPr>
      <w:numPr>
        <w:numId w:val="14"/>
      </w:numPr>
      <w:contextualSpacing/>
    </w:pPr>
  </w:style>
  <w:style w:type="paragraph" w:styleId="ListNumber2">
    <w:name w:val="List Number 2"/>
    <w:basedOn w:val="Normal"/>
    <w:rsid w:val="008F3A94"/>
    <w:pPr>
      <w:numPr>
        <w:numId w:val="15"/>
      </w:numPr>
      <w:contextualSpacing/>
    </w:pPr>
  </w:style>
  <w:style w:type="paragraph" w:styleId="ListNumber3">
    <w:name w:val="List Number 3"/>
    <w:basedOn w:val="Normal"/>
    <w:rsid w:val="008F3A94"/>
    <w:pPr>
      <w:numPr>
        <w:numId w:val="16"/>
      </w:numPr>
      <w:contextualSpacing/>
    </w:pPr>
  </w:style>
  <w:style w:type="paragraph" w:styleId="ListNumber4">
    <w:name w:val="List Number 4"/>
    <w:basedOn w:val="Normal"/>
    <w:rsid w:val="008F3A94"/>
    <w:pPr>
      <w:numPr>
        <w:numId w:val="17"/>
      </w:numPr>
      <w:contextualSpacing/>
    </w:pPr>
  </w:style>
  <w:style w:type="paragraph" w:styleId="ListNumber5">
    <w:name w:val="List Number 5"/>
    <w:basedOn w:val="Normal"/>
    <w:rsid w:val="008F3A94"/>
    <w:pPr>
      <w:numPr>
        <w:numId w:val="18"/>
      </w:numPr>
      <w:contextualSpacing/>
    </w:p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8F3A94"/>
    <w:pPr>
      <w:ind w:left="720"/>
    </w:pPr>
  </w:style>
  <w:style w:type="table" w:customStyle="1" w:styleId="ListTable1Light1">
    <w:name w:val="List Table 1 Light1"/>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unhideWhenUsed/>
    <w:rsid w:val="008F3A94"/>
    <w:rPr>
      <w:szCs w:val="24"/>
    </w:rPr>
  </w:style>
  <w:style w:type="paragraph" w:styleId="NormalIndent">
    <w:name w:val="Normal Indent"/>
    <w:basedOn w:val="Normal"/>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1">
    <w:name w:val="Plain Table 1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link w:val="SalutationChar"/>
    <w:rsid w:val="008F3A94"/>
  </w:style>
  <w:style w:type="paragraph" w:styleId="Signature">
    <w:name w:val="Signature"/>
    <w:basedOn w:val="Normal"/>
    <w:link w:val="SignatureChar"/>
    <w:unhideWhenUsed/>
    <w:rsid w:val="008F3A94"/>
    <w:pPr>
      <w:ind w:left="4252"/>
    </w:pPr>
  </w:style>
  <w:style w:type="character" w:styleId="Strong">
    <w:name w:val="Strong"/>
    <w:basedOn w:val="DefaultParagraphFont"/>
    <w:qFormat/>
    <w:rsid w:val="008F3A94"/>
    <w:rPr>
      <w:b/>
      <w:bCs/>
    </w:rPr>
  </w:style>
  <w:style w:type="paragraph" w:styleId="Subtitle">
    <w:name w:val="Subtitle"/>
    <w:basedOn w:val="Normal"/>
    <w:next w:val="Normal"/>
    <w:link w:val="SubtitleChar"/>
    <w:qFormat/>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rsid w:val="008F3A94"/>
    <w:pPr>
      <w:ind w:left="220" w:hanging="220"/>
    </w:pPr>
  </w:style>
  <w:style w:type="paragraph" w:styleId="TableofFigures">
    <w:name w:val="table of figures"/>
    <w:basedOn w:val="Normal"/>
    <w:next w:val="Normal"/>
    <w:unhideWhenUsed/>
    <w:rsid w:val="008F3A94"/>
  </w:style>
  <w:style w:type="table" w:styleId="TableProfessional">
    <w:name w:val="Table Professional"/>
    <w:basedOn w:val="TableNormal"/>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9"/>
    <w:unhideWhenUsed/>
    <w:rsid w:val="008F3A94"/>
    <w:pPr>
      <w:ind w:left="1100"/>
    </w:pPr>
  </w:style>
  <w:style w:type="paragraph" w:styleId="TOC7">
    <w:name w:val="toc 7"/>
    <w:basedOn w:val="Normal"/>
    <w:next w:val="Normal"/>
    <w:autoRedefine/>
    <w:uiPriority w:val="39"/>
    <w:unhideWhenUsed/>
    <w:rsid w:val="008F3A94"/>
    <w:pPr>
      <w:ind w:left="1320"/>
    </w:pPr>
  </w:style>
  <w:style w:type="paragraph" w:styleId="TOC8">
    <w:name w:val="toc 8"/>
    <w:basedOn w:val="Normal"/>
    <w:next w:val="Normal"/>
    <w:autoRedefine/>
    <w:uiPriority w:val="39"/>
    <w:unhideWhenUsed/>
    <w:rsid w:val="008F3A94"/>
    <w:pPr>
      <w:ind w:left="1540"/>
    </w:pPr>
  </w:style>
  <w:style w:type="paragraph" w:styleId="TOC9">
    <w:name w:val="toc 9"/>
    <w:basedOn w:val="Normal"/>
    <w:next w:val="Normal"/>
    <w:autoRedefine/>
    <w:uiPriority w:val="39"/>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9"/>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2E2B47"/>
    <w:rPr>
      <w:rFonts w:ascii="Arial" w:hAnsi="Arial" w:cs="Arial"/>
      <w:b/>
      <w:bCs/>
      <w:i/>
      <w:szCs w:val="26"/>
    </w:rPr>
  </w:style>
  <w:style w:type="character" w:customStyle="1" w:styleId="Heading4Char">
    <w:name w:val="Heading 4 Char"/>
    <w:aliases w:val="H4 Char"/>
    <w:basedOn w:val="DefaultParagraphFont"/>
    <w:link w:val="Heading4"/>
    <w:uiPriority w:val="9"/>
    <w:rsid w:val="002E2B47"/>
    <w:rPr>
      <w:rFonts w:ascii="Arial" w:hAnsi="Arial" w:cs="Arial"/>
      <w:bCs/>
      <w:i/>
      <w:szCs w:val="28"/>
    </w:rPr>
  </w:style>
  <w:style w:type="character" w:customStyle="1" w:styleId="Heading5Char">
    <w:name w:val="Heading 5 Char"/>
    <w:aliases w:val="H5 Char"/>
    <w:basedOn w:val="DefaultParagraphFont"/>
    <w:link w:val="Heading5"/>
    <w:uiPriority w:val="9"/>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BodyTextChar">
    <w:name w:val="Body Text Char"/>
    <w:basedOn w:val="DefaultParagraphFont"/>
    <w:link w:val="BodyText"/>
    <w:rsid w:val="00CA173C"/>
    <w:rPr>
      <w:rFonts w:ascii="Arial" w:hAnsi="Arial" w:cs="Arial"/>
      <w:sz w:val="22"/>
      <w:szCs w:val="22"/>
    </w:rPr>
  </w:style>
  <w:style w:type="paragraph" w:customStyle="1" w:styleId="Default">
    <w:name w:val="Default"/>
    <w:rsid w:val="00CA173C"/>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rsid w:val="00946A00"/>
    <w:rPr>
      <w:rFonts w:ascii="Arial" w:hAnsi="Arial" w:cs="Arial"/>
      <w:sz w:val="16"/>
      <w:szCs w:val="22"/>
    </w:rPr>
  </w:style>
  <w:style w:type="paragraph" w:customStyle="1" w:styleId="ActHead3">
    <w:name w:val="ActHead 3"/>
    <w:aliases w:val="d"/>
    <w:basedOn w:val="Normal"/>
    <w:next w:val="Normal"/>
    <w:qFormat/>
    <w:rsid w:val="00DD6453"/>
    <w:pPr>
      <w:keepNext/>
      <w:keepLines/>
      <w:spacing w:before="240"/>
      <w:ind w:left="1134" w:hanging="1134"/>
      <w:outlineLvl w:val="2"/>
    </w:pPr>
    <w:rPr>
      <w:b/>
      <w:kern w:val="28"/>
      <w:sz w:val="28"/>
    </w:rPr>
  </w:style>
  <w:style w:type="paragraph" w:customStyle="1" w:styleId="ActHead5">
    <w:name w:val="ActHead 5"/>
    <w:aliases w:val="s"/>
    <w:basedOn w:val="Normal"/>
    <w:next w:val="subsection"/>
    <w:link w:val="ActHead5Char"/>
    <w:qFormat/>
    <w:rsid w:val="00DD6453"/>
    <w:pPr>
      <w:keepNext/>
      <w:keepLines/>
      <w:spacing w:before="280"/>
      <w:ind w:left="1134" w:hanging="1134"/>
      <w:outlineLvl w:val="4"/>
    </w:pPr>
    <w:rPr>
      <w:b/>
      <w:kern w:val="28"/>
    </w:rPr>
  </w:style>
  <w:style w:type="character" w:customStyle="1" w:styleId="CharDivNo">
    <w:name w:val="CharDivNo"/>
    <w:basedOn w:val="DefaultParagraphFont"/>
    <w:uiPriority w:val="1"/>
    <w:qFormat/>
    <w:rsid w:val="00DD6453"/>
  </w:style>
  <w:style w:type="character" w:customStyle="1" w:styleId="CharDivText">
    <w:name w:val="CharDivText"/>
    <w:basedOn w:val="DefaultParagraphFont"/>
    <w:uiPriority w:val="1"/>
    <w:qFormat/>
    <w:rsid w:val="00DD6453"/>
  </w:style>
  <w:style w:type="character" w:customStyle="1" w:styleId="CharSectno">
    <w:name w:val="CharSectno"/>
    <w:basedOn w:val="DefaultParagraphFont"/>
    <w:qFormat/>
    <w:rsid w:val="00DD6453"/>
  </w:style>
  <w:style w:type="paragraph" w:customStyle="1" w:styleId="subsection">
    <w:name w:val="subsection"/>
    <w:aliases w:val="ss"/>
    <w:basedOn w:val="Normal"/>
    <w:link w:val="subsectionChar"/>
    <w:rsid w:val="00DD6453"/>
    <w:pPr>
      <w:tabs>
        <w:tab w:val="right" w:pos="1021"/>
      </w:tabs>
      <w:spacing w:before="180"/>
      <w:ind w:left="1134" w:hanging="1134"/>
    </w:pPr>
    <w:rPr>
      <w:sz w:val="22"/>
    </w:rPr>
  </w:style>
  <w:style w:type="paragraph" w:customStyle="1" w:styleId="Item">
    <w:name w:val="Item"/>
    <w:aliases w:val="i"/>
    <w:basedOn w:val="Normal"/>
    <w:next w:val="ItemHead"/>
    <w:rsid w:val="00DD6453"/>
    <w:pPr>
      <w:keepLines/>
      <w:spacing w:before="80"/>
      <w:ind w:left="709"/>
    </w:pPr>
    <w:rPr>
      <w:sz w:val="22"/>
    </w:rPr>
  </w:style>
  <w:style w:type="paragraph" w:customStyle="1" w:styleId="ItemHead">
    <w:name w:val="ItemHead"/>
    <w:aliases w:val="ih"/>
    <w:basedOn w:val="Normal"/>
    <w:next w:val="Item"/>
    <w:rsid w:val="00DD6453"/>
    <w:pPr>
      <w:keepNext/>
      <w:keepLines/>
      <w:spacing w:before="220"/>
      <w:ind w:left="709" w:hanging="709"/>
    </w:pPr>
    <w:rPr>
      <w:rFonts w:ascii="Arial" w:hAnsi="Arial"/>
      <w:b/>
      <w:kern w:val="28"/>
    </w:rPr>
  </w:style>
  <w:style w:type="paragraph" w:customStyle="1" w:styleId="notedraft">
    <w:name w:val="note(draft)"/>
    <w:aliases w:val="nd"/>
    <w:basedOn w:val="Normal"/>
    <w:rsid w:val="00DD6453"/>
    <w:pPr>
      <w:spacing w:before="240"/>
      <w:ind w:left="284" w:hanging="284"/>
    </w:pPr>
    <w:rPr>
      <w:i/>
    </w:rPr>
  </w:style>
  <w:style w:type="paragraph" w:customStyle="1" w:styleId="paragraphsub">
    <w:name w:val="paragraph(sub)"/>
    <w:aliases w:val="aa"/>
    <w:basedOn w:val="Normal"/>
    <w:rsid w:val="00DD6453"/>
    <w:pPr>
      <w:tabs>
        <w:tab w:val="right" w:pos="1985"/>
      </w:tabs>
      <w:spacing w:before="40"/>
      <w:ind w:left="2098" w:hanging="2098"/>
    </w:pPr>
    <w:rPr>
      <w:sz w:val="22"/>
    </w:rPr>
  </w:style>
  <w:style w:type="paragraph" w:customStyle="1" w:styleId="paragraph">
    <w:name w:val="paragraph"/>
    <w:aliases w:val="a"/>
    <w:basedOn w:val="Normal"/>
    <w:link w:val="paragraphChar"/>
    <w:rsid w:val="00DD6453"/>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DD6453"/>
    <w:rPr>
      <w:sz w:val="22"/>
    </w:rPr>
  </w:style>
  <w:style w:type="character" w:customStyle="1" w:styleId="ActHead5Char">
    <w:name w:val="ActHead 5 Char"/>
    <w:aliases w:val="s Char"/>
    <w:link w:val="ActHead5"/>
    <w:rsid w:val="00DD6453"/>
    <w:rPr>
      <w:b/>
      <w:kern w:val="28"/>
      <w:sz w:val="24"/>
    </w:rPr>
  </w:style>
  <w:style w:type="character" w:customStyle="1" w:styleId="paragraphChar">
    <w:name w:val="paragraph Char"/>
    <w:aliases w:val="a Char"/>
    <w:link w:val="paragraph"/>
    <w:rsid w:val="00DD6453"/>
    <w:rPr>
      <w:sz w:val="22"/>
    </w:rPr>
  </w:style>
  <w:style w:type="paragraph" w:customStyle="1" w:styleId="Definition">
    <w:name w:val="Definition"/>
    <w:aliases w:val="dd"/>
    <w:basedOn w:val="Normal"/>
    <w:link w:val="DefinitionChar"/>
    <w:rsid w:val="009E4B1B"/>
    <w:pPr>
      <w:spacing w:before="180"/>
      <w:ind w:left="1134"/>
    </w:pPr>
    <w:rPr>
      <w:rFonts w:eastAsiaTheme="minorHAnsi"/>
      <w:sz w:val="22"/>
      <w:szCs w:val="22"/>
    </w:rPr>
  </w:style>
  <w:style w:type="character" w:customStyle="1" w:styleId="CommentTextChar">
    <w:name w:val="Comment Text Char"/>
    <w:basedOn w:val="DefaultParagraphFont"/>
    <w:link w:val="CommentText"/>
    <w:uiPriority w:val="99"/>
    <w:rsid w:val="00A95037"/>
  </w:style>
  <w:style w:type="paragraph" w:customStyle="1" w:styleId="dot10">
    <w:name w:val="dot1"/>
    <w:basedOn w:val="Normal"/>
    <w:rsid w:val="00DC26EA"/>
    <w:pPr>
      <w:spacing w:before="100" w:beforeAutospacing="1" w:after="100" w:afterAutospacing="1"/>
    </w:pPr>
    <w:rPr>
      <w:szCs w:val="24"/>
    </w:rPr>
  </w:style>
  <w:style w:type="paragraph" w:customStyle="1" w:styleId="Bodycopy">
    <w:name w:val="Body copy"/>
    <w:basedOn w:val="Normal"/>
    <w:rsid w:val="00E3341E"/>
    <w:rPr>
      <w:rFonts w:ascii="Calibri" w:eastAsiaTheme="minorHAnsi" w:hAnsi="Calibri" w:cs="Calibri"/>
      <w:color w:val="000000"/>
      <w:sz w:val="20"/>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7308F4"/>
    <w:rPr>
      <w:sz w:val="24"/>
    </w:rPr>
  </w:style>
  <w:style w:type="paragraph" w:styleId="Revision">
    <w:name w:val="Revision"/>
    <w:hidden/>
    <w:uiPriority w:val="99"/>
    <w:semiHidden/>
    <w:rsid w:val="002A011D"/>
    <w:rPr>
      <w:sz w:val="24"/>
    </w:rPr>
  </w:style>
  <w:style w:type="character" w:customStyle="1" w:styleId="HeaderChar">
    <w:name w:val="Header Char"/>
    <w:basedOn w:val="DefaultParagraphFont"/>
    <w:link w:val="Header"/>
    <w:rsid w:val="004E3DB9"/>
    <w:rPr>
      <w:rFonts w:ascii="Arial" w:hAnsi="Arial" w:cs="Arial"/>
      <w:szCs w:val="22"/>
    </w:rPr>
  </w:style>
  <w:style w:type="character" w:customStyle="1" w:styleId="Heading6Char">
    <w:name w:val="Heading 6 Char"/>
    <w:basedOn w:val="DefaultParagraphFont"/>
    <w:link w:val="Heading6"/>
    <w:uiPriority w:val="9"/>
    <w:rsid w:val="004E3DB9"/>
    <w:rPr>
      <w:rFonts w:asciiTheme="minorHAnsi" w:eastAsiaTheme="minorEastAsia" w:hAnsiTheme="minorHAnsi" w:cstheme="minorBidi"/>
      <w:b/>
      <w:bCs/>
      <w:sz w:val="24"/>
    </w:rPr>
  </w:style>
  <w:style w:type="character" w:customStyle="1" w:styleId="Heading7Char">
    <w:name w:val="Heading 7 Char"/>
    <w:basedOn w:val="DefaultParagraphFont"/>
    <w:link w:val="Heading7"/>
    <w:uiPriority w:val="9"/>
    <w:rsid w:val="004E3DB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4E3DB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4E3DB9"/>
    <w:rPr>
      <w:rFonts w:asciiTheme="majorHAnsi" w:eastAsiaTheme="majorEastAsia" w:hAnsiTheme="majorHAnsi" w:cstheme="majorBidi"/>
      <w:sz w:val="24"/>
    </w:rPr>
  </w:style>
  <w:style w:type="character" w:customStyle="1" w:styleId="OPCCharBase">
    <w:name w:val="OPCCharBase"/>
    <w:uiPriority w:val="1"/>
    <w:qFormat/>
    <w:rsid w:val="004E3DB9"/>
  </w:style>
  <w:style w:type="paragraph" w:customStyle="1" w:styleId="OPCParaBase">
    <w:name w:val="OPCParaBase"/>
    <w:qFormat/>
    <w:rsid w:val="004E3DB9"/>
    <w:pPr>
      <w:spacing w:line="260" w:lineRule="atLeast"/>
    </w:pPr>
    <w:rPr>
      <w:sz w:val="22"/>
    </w:rPr>
  </w:style>
  <w:style w:type="paragraph" w:customStyle="1" w:styleId="ShortT">
    <w:name w:val="ShortT"/>
    <w:basedOn w:val="OPCParaBase"/>
    <w:next w:val="Normal"/>
    <w:qFormat/>
    <w:rsid w:val="004E3DB9"/>
    <w:pPr>
      <w:spacing w:line="240" w:lineRule="auto"/>
    </w:pPr>
    <w:rPr>
      <w:b/>
      <w:sz w:val="40"/>
    </w:rPr>
  </w:style>
  <w:style w:type="paragraph" w:customStyle="1" w:styleId="ActHead1">
    <w:name w:val="ActHead 1"/>
    <w:aliases w:val="c"/>
    <w:basedOn w:val="OPCParaBase"/>
    <w:next w:val="Normal"/>
    <w:qFormat/>
    <w:rsid w:val="004E3D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3DB9"/>
    <w:pPr>
      <w:keepNext/>
      <w:keepLines/>
      <w:spacing w:before="280" w:line="240" w:lineRule="auto"/>
      <w:ind w:left="1134" w:hanging="1134"/>
      <w:outlineLvl w:val="1"/>
    </w:pPr>
    <w:rPr>
      <w:b/>
      <w:kern w:val="28"/>
      <w:sz w:val="32"/>
    </w:rPr>
  </w:style>
  <w:style w:type="paragraph" w:customStyle="1" w:styleId="ActHead4">
    <w:name w:val="ActHead 4"/>
    <w:aliases w:val="sd"/>
    <w:basedOn w:val="OPCParaBase"/>
    <w:next w:val="ActHead5"/>
    <w:qFormat/>
    <w:rsid w:val="004E3DB9"/>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4E3D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3D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3D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3D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3DB9"/>
  </w:style>
  <w:style w:type="paragraph" w:customStyle="1" w:styleId="Blocks">
    <w:name w:val="Blocks"/>
    <w:aliases w:val="bb"/>
    <w:basedOn w:val="OPCParaBase"/>
    <w:qFormat/>
    <w:rsid w:val="004E3DB9"/>
    <w:pPr>
      <w:spacing w:line="240" w:lineRule="auto"/>
    </w:pPr>
    <w:rPr>
      <w:sz w:val="24"/>
    </w:rPr>
  </w:style>
  <w:style w:type="paragraph" w:customStyle="1" w:styleId="BoxText">
    <w:name w:val="BoxText"/>
    <w:aliases w:val="bt"/>
    <w:basedOn w:val="OPCParaBase"/>
    <w:qFormat/>
    <w:rsid w:val="004E3D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3DB9"/>
    <w:rPr>
      <w:b/>
    </w:rPr>
  </w:style>
  <w:style w:type="paragraph" w:customStyle="1" w:styleId="BoxHeadItalic">
    <w:name w:val="BoxHeadItalic"/>
    <w:aliases w:val="bhi"/>
    <w:basedOn w:val="BoxText"/>
    <w:next w:val="BoxStep"/>
    <w:qFormat/>
    <w:rsid w:val="004E3DB9"/>
    <w:rPr>
      <w:i/>
    </w:rPr>
  </w:style>
  <w:style w:type="paragraph" w:customStyle="1" w:styleId="BoxList">
    <w:name w:val="BoxList"/>
    <w:aliases w:val="bl"/>
    <w:basedOn w:val="BoxText"/>
    <w:qFormat/>
    <w:rsid w:val="004E3DB9"/>
    <w:pPr>
      <w:ind w:left="1559" w:hanging="425"/>
    </w:pPr>
  </w:style>
  <w:style w:type="paragraph" w:customStyle="1" w:styleId="BoxNote">
    <w:name w:val="BoxNote"/>
    <w:aliases w:val="bn"/>
    <w:basedOn w:val="BoxText"/>
    <w:qFormat/>
    <w:rsid w:val="004E3DB9"/>
    <w:pPr>
      <w:tabs>
        <w:tab w:val="left" w:pos="1985"/>
      </w:tabs>
      <w:spacing w:before="122" w:line="198" w:lineRule="exact"/>
      <w:ind w:left="2948" w:hanging="1814"/>
    </w:pPr>
    <w:rPr>
      <w:sz w:val="18"/>
    </w:rPr>
  </w:style>
  <w:style w:type="paragraph" w:customStyle="1" w:styleId="BoxPara">
    <w:name w:val="BoxPara"/>
    <w:aliases w:val="bp"/>
    <w:basedOn w:val="BoxText"/>
    <w:qFormat/>
    <w:rsid w:val="004E3DB9"/>
    <w:pPr>
      <w:tabs>
        <w:tab w:val="right" w:pos="2268"/>
      </w:tabs>
      <w:ind w:left="2552" w:hanging="1418"/>
    </w:pPr>
  </w:style>
  <w:style w:type="paragraph" w:customStyle="1" w:styleId="BoxStep">
    <w:name w:val="BoxStep"/>
    <w:aliases w:val="bs"/>
    <w:basedOn w:val="BoxText"/>
    <w:qFormat/>
    <w:rsid w:val="004E3DB9"/>
    <w:pPr>
      <w:ind w:left="1985" w:hanging="851"/>
    </w:pPr>
  </w:style>
  <w:style w:type="character" w:customStyle="1" w:styleId="CharAmPartNo">
    <w:name w:val="CharAmPartNo"/>
    <w:basedOn w:val="OPCCharBase"/>
    <w:qFormat/>
    <w:rsid w:val="004E3DB9"/>
  </w:style>
  <w:style w:type="character" w:customStyle="1" w:styleId="CharAmPartText">
    <w:name w:val="CharAmPartText"/>
    <w:basedOn w:val="OPCCharBase"/>
    <w:qFormat/>
    <w:rsid w:val="004E3DB9"/>
  </w:style>
  <w:style w:type="character" w:customStyle="1" w:styleId="CharAmSchNo">
    <w:name w:val="CharAmSchNo"/>
    <w:basedOn w:val="OPCCharBase"/>
    <w:qFormat/>
    <w:rsid w:val="004E3DB9"/>
  </w:style>
  <w:style w:type="character" w:customStyle="1" w:styleId="CharAmSchText">
    <w:name w:val="CharAmSchText"/>
    <w:basedOn w:val="OPCCharBase"/>
    <w:qFormat/>
    <w:rsid w:val="004E3DB9"/>
  </w:style>
  <w:style w:type="character" w:customStyle="1" w:styleId="CharBoldItalic">
    <w:name w:val="CharBoldItalic"/>
    <w:basedOn w:val="OPCCharBase"/>
    <w:uiPriority w:val="1"/>
    <w:qFormat/>
    <w:rsid w:val="004E3DB9"/>
    <w:rPr>
      <w:b/>
      <w:i/>
    </w:rPr>
  </w:style>
  <w:style w:type="character" w:customStyle="1" w:styleId="CharChapNo">
    <w:name w:val="CharChapNo"/>
    <w:basedOn w:val="OPCCharBase"/>
    <w:uiPriority w:val="1"/>
    <w:qFormat/>
    <w:rsid w:val="004E3DB9"/>
  </w:style>
  <w:style w:type="character" w:customStyle="1" w:styleId="CharChapText">
    <w:name w:val="CharChapText"/>
    <w:basedOn w:val="OPCCharBase"/>
    <w:uiPriority w:val="1"/>
    <w:qFormat/>
    <w:rsid w:val="004E3DB9"/>
  </w:style>
  <w:style w:type="character" w:customStyle="1" w:styleId="CharItalic">
    <w:name w:val="CharItalic"/>
    <w:basedOn w:val="OPCCharBase"/>
    <w:uiPriority w:val="1"/>
    <w:qFormat/>
    <w:rsid w:val="004E3DB9"/>
    <w:rPr>
      <w:i/>
    </w:rPr>
  </w:style>
  <w:style w:type="character" w:customStyle="1" w:styleId="CharPartNo">
    <w:name w:val="CharPartNo"/>
    <w:basedOn w:val="OPCCharBase"/>
    <w:uiPriority w:val="1"/>
    <w:qFormat/>
    <w:rsid w:val="004E3DB9"/>
  </w:style>
  <w:style w:type="character" w:customStyle="1" w:styleId="CharPartText">
    <w:name w:val="CharPartText"/>
    <w:basedOn w:val="OPCCharBase"/>
    <w:uiPriority w:val="1"/>
    <w:qFormat/>
    <w:rsid w:val="004E3DB9"/>
  </w:style>
  <w:style w:type="character" w:customStyle="1" w:styleId="CharSubdNo">
    <w:name w:val="CharSubdNo"/>
    <w:basedOn w:val="OPCCharBase"/>
    <w:uiPriority w:val="1"/>
    <w:qFormat/>
    <w:rsid w:val="004E3DB9"/>
  </w:style>
  <w:style w:type="character" w:customStyle="1" w:styleId="CharSubdText">
    <w:name w:val="CharSubdText"/>
    <w:basedOn w:val="OPCCharBase"/>
    <w:uiPriority w:val="1"/>
    <w:qFormat/>
    <w:rsid w:val="004E3DB9"/>
  </w:style>
  <w:style w:type="paragraph" w:customStyle="1" w:styleId="CTA--">
    <w:name w:val="CTA --"/>
    <w:basedOn w:val="OPCParaBase"/>
    <w:next w:val="Normal"/>
    <w:rsid w:val="004E3DB9"/>
    <w:pPr>
      <w:spacing w:before="60" w:line="240" w:lineRule="atLeast"/>
      <w:ind w:left="142" w:hanging="142"/>
    </w:pPr>
    <w:rPr>
      <w:sz w:val="20"/>
    </w:rPr>
  </w:style>
  <w:style w:type="paragraph" w:customStyle="1" w:styleId="CTA-">
    <w:name w:val="CTA -"/>
    <w:basedOn w:val="OPCParaBase"/>
    <w:rsid w:val="004E3DB9"/>
    <w:pPr>
      <w:spacing w:before="60" w:line="240" w:lineRule="atLeast"/>
      <w:ind w:left="85" w:hanging="85"/>
    </w:pPr>
    <w:rPr>
      <w:sz w:val="20"/>
    </w:rPr>
  </w:style>
  <w:style w:type="paragraph" w:customStyle="1" w:styleId="CTA---">
    <w:name w:val="CTA ---"/>
    <w:basedOn w:val="OPCParaBase"/>
    <w:next w:val="Normal"/>
    <w:rsid w:val="004E3DB9"/>
    <w:pPr>
      <w:spacing w:before="60" w:line="240" w:lineRule="atLeast"/>
      <w:ind w:left="198" w:hanging="198"/>
    </w:pPr>
    <w:rPr>
      <w:sz w:val="20"/>
    </w:rPr>
  </w:style>
  <w:style w:type="paragraph" w:customStyle="1" w:styleId="CTA----">
    <w:name w:val="CTA ----"/>
    <w:basedOn w:val="OPCParaBase"/>
    <w:next w:val="Normal"/>
    <w:rsid w:val="004E3DB9"/>
    <w:pPr>
      <w:spacing w:before="60" w:line="240" w:lineRule="atLeast"/>
      <w:ind w:left="255" w:hanging="255"/>
    </w:pPr>
    <w:rPr>
      <w:sz w:val="20"/>
    </w:rPr>
  </w:style>
  <w:style w:type="paragraph" w:customStyle="1" w:styleId="CTA1a">
    <w:name w:val="CTA 1(a)"/>
    <w:basedOn w:val="OPCParaBase"/>
    <w:rsid w:val="004E3DB9"/>
    <w:pPr>
      <w:tabs>
        <w:tab w:val="right" w:pos="414"/>
      </w:tabs>
      <w:spacing w:before="40" w:line="240" w:lineRule="atLeast"/>
      <w:ind w:left="675" w:hanging="675"/>
    </w:pPr>
    <w:rPr>
      <w:sz w:val="20"/>
    </w:rPr>
  </w:style>
  <w:style w:type="paragraph" w:customStyle="1" w:styleId="CTA1ai">
    <w:name w:val="CTA 1(a)(i)"/>
    <w:basedOn w:val="OPCParaBase"/>
    <w:rsid w:val="004E3DB9"/>
    <w:pPr>
      <w:tabs>
        <w:tab w:val="right" w:pos="1004"/>
      </w:tabs>
      <w:spacing w:before="40" w:line="240" w:lineRule="atLeast"/>
      <w:ind w:left="1253" w:hanging="1253"/>
    </w:pPr>
    <w:rPr>
      <w:sz w:val="20"/>
    </w:rPr>
  </w:style>
  <w:style w:type="paragraph" w:customStyle="1" w:styleId="CTA2a">
    <w:name w:val="CTA 2(a)"/>
    <w:basedOn w:val="OPCParaBase"/>
    <w:rsid w:val="004E3DB9"/>
    <w:pPr>
      <w:tabs>
        <w:tab w:val="right" w:pos="482"/>
      </w:tabs>
      <w:spacing w:before="40" w:line="240" w:lineRule="atLeast"/>
      <w:ind w:left="748" w:hanging="748"/>
    </w:pPr>
    <w:rPr>
      <w:sz w:val="20"/>
    </w:rPr>
  </w:style>
  <w:style w:type="paragraph" w:customStyle="1" w:styleId="CTA2ai">
    <w:name w:val="CTA 2(a)(i)"/>
    <w:basedOn w:val="OPCParaBase"/>
    <w:rsid w:val="004E3DB9"/>
    <w:pPr>
      <w:tabs>
        <w:tab w:val="right" w:pos="1089"/>
      </w:tabs>
      <w:spacing w:before="40" w:line="240" w:lineRule="atLeast"/>
      <w:ind w:left="1327" w:hanging="1327"/>
    </w:pPr>
    <w:rPr>
      <w:sz w:val="20"/>
    </w:rPr>
  </w:style>
  <w:style w:type="paragraph" w:customStyle="1" w:styleId="CTA3a">
    <w:name w:val="CTA 3(a)"/>
    <w:basedOn w:val="OPCParaBase"/>
    <w:rsid w:val="004E3DB9"/>
    <w:pPr>
      <w:tabs>
        <w:tab w:val="right" w:pos="556"/>
      </w:tabs>
      <w:spacing w:before="40" w:line="240" w:lineRule="atLeast"/>
      <w:ind w:left="805" w:hanging="805"/>
    </w:pPr>
    <w:rPr>
      <w:sz w:val="20"/>
    </w:rPr>
  </w:style>
  <w:style w:type="paragraph" w:customStyle="1" w:styleId="CTA3ai">
    <w:name w:val="CTA 3(a)(i)"/>
    <w:basedOn w:val="OPCParaBase"/>
    <w:rsid w:val="004E3DB9"/>
    <w:pPr>
      <w:tabs>
        <w:tab w:val="right" w:pos="1140"/>
      </w:tabs>
      <w:spacing w:before="40" w:line="240" w:lineRule="atLeast"/>
      <w:ind w:left="1361" w:hanging="1361"/>
    </w:pPr>
    <w:rPr>
      <w:sz w:val="20"/>
    </w:rPr>
  </w:style>
  <w:style w:type="paragraph" w:customStyle="1" w:styleId="CTA4a">
    <w:name w:val="CTA 4(a)"/>
    <w:basedOn w:val="OPCParaBase"/>
    <w:rsid w:val="004E3DB9"/>
    <w:pPr>
      <w:tabs>
        <w:tab w:val="right" w:pos="624"/>
      </w:tabs>
      <w:spacing w:before="40" w:line="240" w:lineRule="atLeast"/>
      <w:ind w:left="873" w:hanging="873"/>
    </w:pPr>
    <w:rPr>
      <w:sz w:val="20"/>
    </w:rPr>
  </w:style>
  <w:style w:type="paragraph" w:customStyle="1" w:styleId="CTA4ai">
    <w:name w:val="CTA 4(a)(i)"/>
    <w:basedOn w:val="OPCParaBase"/>
    <w:rsid w:val="004E3DB9"/>
    <w:pPr>
      <w:tabs>
        <w:tab w:val="right" w:pos="1213"/>
      </w:tabs>
      <w:spacing w:before="40" w:line="240" w:lineRule="atLeast"/>
      <w:ind w:left="1452" w:hanging="1452"/>
    </w:pPr>
    <w:rPr>
      <w:sz w:val="20"/>
    </w:rPr>
  </w:style>
  <w:style w:type="paragraph" w:customStyle="1" w:styleId="CTACAPS">
    <w:name w:val="CTA CAPS"/>
    <w:basedOn w:val="OPCParaBase"/>
    <w:rsid w:val="004E3DB9"/>
    <w:pPr>
      <w:spacing w:before="60" w:line="240" w:lineRule="atLeast"/>
    </w:pPr>
    <w:rPr>
      <w:sz w:val="20"/>
    </w:rPr>
  </w:style>
  <w:style w:type="paragraph" w:customStyle="1" w:styleId="CTAright">
    <w:name w:val="CTA right"/>
    <w:basedOn w:val="OPCParaBase"/>
    <w:rsid w:val="004E3DB9"/>
    <w:pPr>
      <w:spacing w:before="60" w:line="240" w:lineRule="auto"/>
      <w:jc w:val="right"/>
    </w:pPr>
    <w:rPr>
      <w:sz w:val="20"/>
    </w:rPr>
  </w:style>
  <w:style w:type="paragraph" w:customStyle="1" w:styleId="ETAsubitem">
    <w:name w:val="ETA(subitem)"/>
    <w:basedOn w:val="OPCParaBase"/>
    <w:rsid w:val="004E3DB9"/>
    <w:pPr>
      <w:tabs>
        <w:tab w:val="right" w:pos="340"/>
      </w:tabs>
      <w:spacing w:before="60" w:line="240" w:lineRule="auto"/>
      <w:ind w:left="454" w:hanging="454"/>
    </w:pPr>
    <w:rPr>
      <w:sz w:val="20"/>
    </w:rPr>
  </w:style>
  <w:style w:type="paragraph" w:customStyle="1" w:styleId="ETApara">
    <w:name w:val="ETA(para)"/>
    <w:basedOn w:val="OPCParaBase"/>
    <w:rsid w:val="004E3DB9"/>
    <w:pPr>
      <w:tabs>
        <w:tab w:val="right" w:pos="754"/>
      </w:tabs>
      <w:spacing w:before="60" w:line="240" w:lineRule="auto"/>
      <w:ind w:left="828" w:hanging="828"/>
    </w:pPr>
    <w:rPr>
      <w:sz w:val="20"/>
    </w:rPr>
  </w:style>
  <w:style w:type="paragraph" w:customStyle="1" w:styleId="ETAsubpara">
    <w:name w:val="ETA(subpara)"/>
    <w:basedOn w:val="OPCParaBase"/>
    <w:rsid w:val="004E3DB9"/>
    <w:pPr>
      <w:tabs>
        <w:tab w:val="right" w:pos="1083"/>
      </w:tabs>
      <w:spacing w:before="60" w:line="240" w:lineRule="auto"/>
      <w:ind w:left="1191" w:hanging="1191"/>
    </w:pPr>
    <w:rPr>
      <w:sz w:val="20"/>
    </w:rPr>
  </w:style>
  <w:style w:type="paragraph" w:customStyle="1" w:styleId="ETAsub-subpara">
    <w:name w:val="ETA(sub-subpara)"/>
    <w:basedOn w:val="OPCParaBase"/>
    <w:rsid w:val="004E3DB9"/>
    <w:pPr>
      <w:tabs>
        <w:tab w:val="right" w:pos="1412"/>
      </w:tabs>
      <w:spacing w:before="60" w:line="240" w:lineRule="auto"/>
      <w:ind w:left="1525" w:hanging="1525"/>
    </w:pPr>
    <w:rPr>
      <w:sz w:val="20"/>
    </w:rPr>
  </w:style>
  <w:style w:type="paragraph" w:customStyle="1" w:styleId="Formula">
    <w:name w:val="Formula"/>
    <w:basedOn w:val="OPCParaBase"/>
    <w:rsid w:val="004E3DB9"/>
    <w:pPr>
      <w:spacing w:line="240" w:lineRule="auto"/>
      <w:ind w:left="1134"/>
    </w:pPr>
    <w:rPr>
      <w:sz w:val="20"/>
    </w:rPr>
  </w:style>
  <w:style w:type="paragraph" w:customStyle="1" w:styleId="House">
    <w:name w:val="House"/>
    <w:basedOn w:val="OPCParaBase"/>
    <w:rsid w:val="004E3DB9"/>
    <w:pPr>
      <w:spacing w:line="240" w:lineRule="auto"/>
    </w:pPr>
    <w:rPr>
      <w:sz w:val="28"/>
    </w:rPr>
  </w:style>
  <w:style w:type="paragraph" w:customStyle="1" w:styleId="LongT">
    <w:name w:val="LongT"/>
    <w:basedOn w:val="OPCParaBase"/>
    <w:rsid w:val="004E3DB9"/>
    <w:pPr>
      <w:spacing w:line="240" w:lineRule="auto"/>
    </w:pPr>
    <w:rPr>
      <w:b/>
      <w:sz w:val="32"/>
    </w:rPr>
  </w:style>
  <w:style w:type="paragraph" w:customStyle="1" w:styleId="notemargin">
    <w:name w:val="note(margin)"/>
    <w:aliases w:val="nm"/>
    <w:basedOn w:val="OPCParaBase"/>
    <w:rsid w:val="004E3DB9"/>
    <w:pPr>
      <w:tabs>
        <w:tab w:val="left" w:pos="709"/>
      </w:tabs>
      <w:spacing w:before="122" w:line="198" w:lineRule="exact"/>
      <w:ind w:left="709" w:hanging="709"/>
    </w:pPr>
    <w:rPr>
      <w:sz w:val="18"/>
    </w:rPr>
  </w:style>
  <w:style w:type="paragraph" w:customStyle="1" w:styleId="noteToPara">
    <w:name w:val="noteToPara"/>
    <w:aliases w:val="ntp"/>
    <w:basedOn w:val="OPCParaBase"/>
    <w:rsid w:val="004E3DB9"/>
    <w:pPr>
      <w:spacing w:before="122" w:line="198" w:lineRule="exact"/>
      <w:ind w:left="2353" w:hanging="709"/>
    </w:pPr>
    <w:rPr>
      <w:sz w:val="18"/>
    </w:rPr>
  </w:style>
  <w:style w:type="paragraph" w:customStyle="1" w:styleId="noteParlAmend">
    <w:name w:val="note(ParlAmend)"/>
    <w:aliases w:val="npp"/>
    <w:basedOn w:val="OPCParaBase"/>
    <w:next w:val="ParlAmend"/>
    <w:rsid w:val="004E3DB9"/>
    <w:pPr>
      <w:spacing w:line="240" w:lineRule="auto"/>
      <w:jc w:val="right"/>
    </w:pPr>
    <w:rPr>
      <w:rFonts w:ascii="Arial" w:hAnsi="Arial"/>
      <w:b/>
      <w:i/>
    </w:rPr>
  </w:style>
  <w:style w:type="paragraph" w:customStyle="1" w:styleId="Page1">
    <w:name w:val="Page1"/>
    <w:basedOn w:val="OPCParaBase"/>
    <w:rsid w:val="004E3DB9"/>
    <w:pPr>
      <w:spacing w:before="5600" w:line="240" w:lineRule="auto"/>
    </w:pPr>
    <w:rPr>
      <w:b/>
      <w:sz w:val="32"/>
    </w:rPr>
  </w:style>
  <w:style w:type="paragraph" w:customStyle="1" w:styleId="PageBreak">
    <w:name w:val="PageBreak"/>
    <w:aliases w:val="pb"/>
    <w:basedOn w:val="OPCParaBase"/>
    <w:rsid w:val="004E3DB9"/>
    <w:pPr>
      <w:spacing w:line="240" w:lineRule="auto"/>
    </w:pPr>
    <w:rPr>
      <w:sz w:val="20"/>
    </w:rPr>
  </w:style>
  <w:style w:type="paragraph" w:customStyle="1" w:styleId="paragraphsub-sub">
    <w:name w:val="paragraph(sub-sub)"/>
    <w:aliases w:val="aaa"/>
    <w:basedOn w:val="OPCParaBase"/>
    <w:rsid w:val="004E3DB9"/>
    <w:pPr>
      <w:tabs>
        <w:tab w:val="right" w:pos="2722"/>
      </w:tabs>
      <w:spacing w:before="40" w:line="240" w:lineRule="auto"/>
      <w:ind w:left="2835" w:hanging="2835"/>
    </w:pPr>
  </w:style>
  <w:style w:type="paragraph" w:customStyle="1" w:styleId="ParlAmend">
    <w:name w:val="ParlAmend"/>
    <w:aliases w:val="pp"/>
    <w:basedOn w:val="OPCParaBase"/>
    <w:rsid w:val="004E3DB9"/>
    <w:pPr>
      <w:spacing w:before="240" w:line="240" w:lineRule="atLeast"/>
      <w:ind w:hanging="567"/>
    </w:pPr>
    <w:rPr>
      <w:sz w:val="24"/>
    </w:rPr>
  </w:style>
  <w:style w:type="paragraph" w:customStyle="1" w:styleId="Penalty">
    <w:name w:val="Penalty"/>
    <w:basedOn w:val="OPCParaBase"/>
    <w:rsid w:val="004E3DB9"/>
    <w:pPr>
      <w:tabs>
        <w:tab w:val="left" w:pos="2977"/>
      </w:tabs>
      <w:spacing w:before="180" w:line="240" w:lineRule="auto"/>
      <w:ind w:left="1985" w:hanging="851"/>
    </w:pPr>
  </w:style>
  <w:style w:type="paragraph" w:customStyle="1" w:styleId="Portfolio">
    <w:name w:val="Portfolio"/>
    <w:basedOn w:val="OPCParaBase"/>
    <w:rsid w:val="004E3DB9"/>
    <w:pPr>
      <w:spacing w:line="240" w:lineRule="auto"/>
    </w:pPr>
    <w:rPr>
      <w:i/>
      <w:sz w:val="20"/>
    </w:rPr>
  </w:style>
  <w:style w:type="paragraph" w:customStyle="1" w:styleId="Preamble">
    <w:name w:val="Preamble"/>
    <w:basedOn w:val="OPCParaBase"/>
    <w:next w:val="Normal"/>
    <w:rsid w:val="004E3D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3DB9"/>
    <w:pPr>
      <w:spacing w:line="240" w:lineRule="auto"/>
    </w:pPr>
    <w:rPr>
      <w:i/>
      <w:sz w:val="20"/>
    </w:rPr>
  </w:style>
  <w:style w:type="paragraph" w:customStyle="1" w:styleId="Session">
    <w:name w:val="Session"/>
    <w:basedOn w:val="OPCParaBase"/>
    <w:rsid w:val="004E3DB9"/>
    <w:pPr>
      <w:spacing w:line="240" w:lineRule="auto"/>
    </w:pPr>
    <w:rPr>
      <w:sz w:val="28"/>
    </w:rPr>
  </w:style>
  <w:style w:type="paragraph" w:customStyle="1" w:styleId="Sponsor">
    <w:name w:val="Sponsor"/>
    <w:basedOn w:val="OPCParaBase"/>
    <w:rsid w:val="004E3DB9"/>
    <w:pPr>
      <w:spacing w:line="240" w:lineRule="auto"/>
    </w:pPr>
    <w:rPr>
      <w:i/>
    </w:rPr>
  </w:style>
  <w:style w:type="paragraph" w:customStyle="1" w:styleId="Subitem">
    <w:name w:val="Subitem"/>
    <w:aliases w:val="iss"/>
    <w:basedOn w:val="OPCParaBase"/>
    <w:rsid w:val="004E3DB9"/>
    <w:pPr>
      <w:spacing w:before="180" w:line="240" w:lineRule="auto"/>
      <w:ind w:left="709" w:hanging="709"/>
    </w:pPr>
  </w:style>
  <w:style w:type="paragraph" w:customStyle="1" w:styleId="SubitemHead">
    <w:name w:val="SubitemHead"/>
    <w:aliases w:val="issh"/>
    <w:basedOn w:val="OPCParaBase"/>
    <w:rsid w:val="004E3D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3DB9"/>
    <w:pPr>
      <w:spacing w:before="40" w:line="240" w:lineRule="auto"/>
      <w:ind w:left="1134"/>
    </w:pPr>
  </w:style>
  <w:style w:type="paragraph" w:customStyle="1" w:styleId="SubsectionHead">
    <w:name w:val="SubsectionHead"/>
    <w:aliases w:val="ssh"/>
    <w:basedOn w:val="OPCParaBase"/>
    <w:next w:val="subsection"/>
    <w:rsid w:val="004E3DB9"/>
    <w:pPr>
      <w:keepNext/>
      <w:keepLines/>
      <w:spacing w:before="240" w:line="240" w:lineRule="auto"/>
      <w:ind w:left="1134"/>
    </w:pPr>
    <w:rPr>
      <w:i/>
    </w:rPr>
  </w:style>
  <w:style w:type="paragraph" w:customStyle="1" w:styleId="Tablea">
    <w:name w:val="Table(a)"/>
    <w:aliases w:val="ta"/>
    <w:basedOn w:val="OPCParaBase"/>
    <w:rsid w:val="004E3DB9"/>
    <w:pPr>
      <w:spacing w:before="60" w:line="240" w:lineRule="auto"/>
      <w:ind w:left="284" w:hanging="284"/>
    </w:pPr>
    <w:rPr>
      <w:sz w:val="20"/>
    </w:rPr>
  </w:style>
  <w:style w:type="paragraph" w:customStyle="1" w:styleId="TableAA">
    <w:name w:val="Table(AA)"/>
    <w:aliases w:val="taaa"/>
    <w:basedOn w:val="OPCParaBase"/>
    <w:rsid w:val="004E3D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3DB9"/>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4E3DB9"/>
    <w:pPr>
      <w:spacing w:before="60" w:line="240" w:lineRule="atLeast"/>
    </w:pPr>
    <w:rPr>
      <w:sz w:val="20"/>
    </w:rPr>
  </w:style>
  <w:style w:type="paragraph" w:customStyle="1" w:styleId="TLPBoxTextnote">
    <w:name w:val="TLPBoxText(note"/>
    <w:aliases w:val="right)"/>
    <w:basedOn w:val="OPCParaBase"/>
    <w:rsid w:val="004E3D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3DB9"/>
    <w:pPr>
      <w:numPr>
        <w:numId w:val="3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3DB9"/>
    <w:pPr>
      <w:spacing w:before="122" w:line="198" w:lineRule="exact"/>
      <w:ind w:left="1985" w:hanging="851"/>
      <w:jc w:val="right"/>
    </w:pPr>
    <w:rPr>
      <w:sz w:val="18"/>
    </w:rPr>
  </w:style>
  <w:style w:type="paragraph" w:customStyle="1" w:styleId="TLPTableBullet">
    <w:name w:val="TLPTableBullet"/>
    <w:aliases w:val="ttb"/>
    <w:basedOn w:val="OPCParaBase"/>
    <w:rsid w:val="004E3DB9"/>
    <w:pPr>
      <w:spacing w:line="240" w:lineRule="exact"/>
      <w:ind w:left="284" w:hanging="284"/>
    </w:pPr>
    <w:rPr>
      <w:sz w:val="20"/>
    </w:rPr>
  </w:style>
  <w:style w:type="paragraph" w:customStyle="1" w:styleId="TofSectsGroupHeading">
    <w:name w:val="TofSects(GroupHeading)"/>
    <w:basedOn w:val="OPCParaBase"/>
    <w:next w:val="TofSectsSection"/>
    <w:rsid w:val="004E3DB9"/>
    <w:pPr>
      <w:keepLines/>
      <w:spacing w:before="240" w:after="120" w:line="240" w:lineRule="auto"/>
      <w:ind w:left="794"/>
    </w:pPr>
    <w:rPr>
      <w:b/>
      <w:kern w:val="28"/>
      <w:sz w:val="20"/>
    </w:rPr>
  </w:style>
  <w:style w:type="paragraph" w:customStyle="1" w:styleId="TofSectsHeading">
    <w:name w:val="TofSects(Heading)"/>
    <w:basedOn w:val="OPCParaBase"/>
    <w:rsid w:val="004E3DB9"/>
    <w:pPr>
      <w:spacing w:before="240" w:after="120" w:line="240" w:lineRule="auto"/>
    </w:pPr>
    <w:rPr>
      <w:b/>
      <w:sz w:val="24"/>
    </w:rPr>
  </w:style>
  <w:style w:type="paragraph" w:customStyle="1" w:styleId="TofSectsSection">
    <w:name w:val="TofSects(Section)"/>
    <w:basedOn w:val="OPCParaBase"/>
    <w:rsid w:val="004E3DB9"/>
    <w:pPr>
      <w:keepLines/>
      <w:spacing w:before="40" w:line="240" w:lineRule="auto"/>
      <w:ind w:left="1588" w:hanging="794"/>
    </w:pPr>
    <w:rPr>
      <w:kern w:val="28"/>
      <w:sz w:val="18"/>
    </w:rPr>
  </w:style>
  <w:style w:type="paragraph" w:customStyle="1" w:styleId="TofSectsSubdiv">
    <w:name w:val="TofSects(Subdiv)"/>
    <w:basedOn w:val="OPCParaBase"/>
    <w:rsid w:val="004E3DB9"/>
    <w:pPr>
      <w:keepLines/>
      <w:spacing w:before="80" w:line="240" w:lineRule="auto"/>
      <w:ind w:left="1588" w:hanging="794"/>
    </w:pPr>
    <w:rPr>
      <w:kern w:val="28"/>
    </w:rPr>
  </w:style>
  <w:style w:type="paragraph" w:customStyle="1" w:styleId="WRStyle">
    <w:name w:val="WR Style"/>
    <w:aliases w:val="WR"/>
    <w:basedOn w:val="OPCParaBase"/>
    <w:rsid w:val="004E3DB9"/>
    <w:pPr>
      <w:spacing w:before="240" w:line="240" w:lineRule="auto"/>
      <w:ind w:left="284" w:hanging="284"/>
    </w:pPr>
    <w:rPr>
      <w:b/>
      <w:i/>
      <w:kern w:val="28"/>
      <w:sz w:val="24"/>
    </w:rPr>
  </w:style>
  <w:style w:type="paragraph" w:customStyle="1" w:styleId="notepara">
    <w:name w:val="note(para)"/>
    <w:aliases w:val="na"/>
    <w:basedOn w:val="OPCParaBase"/>
    <w:rsid w:val="004E3DB9"/>
    <w:pPr>
      <w:spacing w:before="40" w:line="198" w:lineRule="exact"/>
      <w:ind w:left="2354" w:hanging="369"/>
    </w:pPr>
    <w:rPr>
      <w:sz w:val="18"/>
    </w:rPr>
  </w:style>
  <w:style w:type="table" w:customStyle="1" w:styleId="CFlag">
    <w:name w:val="CFlag"/>
    <w:basedOn w:val="TableNormal"/>
    <w:uiPriority w:val="99"/>
    <w:rsid w:val="004E3DB9"/>
    <w:tblPr/>
  </w:style>
  <w:style w:type="character" w:customStyle="1" w:styleId="BalloonTextChar">
    <w:name w:val="Balloon Text Char"/>
    <w:basedOn w:val="DefaultParagraphFont"/>
    <w:link w:val="BalloonText"/>
    <w:uiPriority w:val="99"/>
    <w:rsid w:val="004E3DB9"/>
    <w:rPr>
      <w:rFonts w:ascii="Tahoma" w:hAnsi="Tahoma" w:cs="Tahoma"/>
      <w:sz w:val="16"/>
      <w:szCs w:val="16"/>
    </w:rPr>
  </w:style>
  <w:style w:type="paragraph" w:customStyle="1" w:styleId="InstNo">
    <w:name w:val="InstNo"/>
    <w:basedOn w:val="OPCParaBase"/>
    <w:next w:val="Normal"/>
    <w:rsid w:val="004E3DB9"/>
    <w:rPr>
      <w:b/>
      <w:sz w:val="28"/>
      <w:szCs w:val="32"/>
    </w:rPr>
  </w:style>
  <w:style w:type="paragraph" w:customStyle="1" w:styleId="LegislationMadeUnder">
    <w:name w:val="LegislationMadeUnder"/>
    <w:basedOn w:val="OPCParaBase"/>
    <w:next w:val="Normal"/>
    <w:rsid w:val="004E3DB9"/>
    <w:rPr>
      <w:i/>
      <w:sz w:val="32"/>
      <w:szCs w:val="32"/>
    </w:rPr>
  </w:style>
  <w:style w:type="paragraph" w:customStyle="1" w:styleId="SignCoverPageEnd">
    <w:name w:val="SignCoverPageEnd"/>
    <w:basedOn w:val="OPCParaBase"/>
    <w:next w:val="Normal"/>
    <w:rsid w:val="004E3D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3DB9"/>
    <w:pPr>
      <w:pBdr>
        <w:top w:val="single" w:sz="4" w:space="1" w:color="auto"/>
      </w:pBdr>
      <w:spacing w:before="360"/>
      <w:ind w:right="397"/>
      <w:jc w:val="both"/>
    </w:pPr>
  </w:style>
  <w:style w:type="paragraph" w:customStyle="1" w:styleId="NotesHeading1">
    <w:name w:val="NotesHeading 1"/>
    <w:basedOn w:val="OPCParaBase"/>
    <w:next w:val="Normal"/>
    <w:rsid w:val="004E3DB9"/>
    <w:rPr>
      <w:b/>
      <w:sz w:val="28"/>
      <w:szCs w:val="28"/>
    </w:rPr>
  </w:style>
  <w:style w:type="paragraph" w:customStyle="1" w:styleId="NotesHeading2">
    <w:name w:val="NotesHeading 2"/>
    <w:basedOn w:val="OPCParaBase"/>
    <w:next w:val="Normal"/>
    <w:rsid w:val="004E3DB9"/>
    <w:rPr>
      <w:b/>
      <w:sz w:val="28"/>
      <w:szCs w:val="28"/>
    </w:rPr>
  </w:style>
  <w:style w:type="paragraph" w:customStyle="1" w:styleId="ENotesText">
    <w:name w:val="ENotesText"/>
    <w:aliases w:val="Ent"/>
    <w:basedOn w:val="OPCParaBase"/>
    <w:next w:val="Normal"/>
    <w:rsid w:val="004E3DB9"/>
    <w:pPr>
      <w:spacing w:before="120"/>
    </w:pPr>
  </w:style>
  <w:style w:type="paragraph" w:customStyle="1" w:styleId="CompiledActNo">
    <w:name w:val="CompiledActNo"/>
    <w:basedOn w:val="OPCParaBase"/>
    <w:next w:val="Normal"/>
    <w:rsid w:val="004E3DB9"/>
    <w:rPr>
      <w:b/>
      <w:sz w:val="24"/>
      <w:szCs w:val="24"/>
    </w:rPr>
  </w:style>
  <w:style w:type="paragraph" w:customStyle="1" w:styleId="CompiledMadeUnder">
    <w:name w:val="CompiledMadeUnder"/>
    <w:basedOn w:val="OPCParaBase"/>
    <w:next w:val="Normal"/>
    <w:rsid w:val="004E3DB9"/>
    <w:rPr>
      <w:i/>
      <w:sz w:val="24"/>
      <w:szCs w:val="24"/>
    </w:rPr>
  </w:style>
  <w:style w:type="paragraph" w:customStyle="1" w:styleId="Paragraphsub-sub-sub">
    <w:name w:val="Paragraph(sub-sub-sub)"/>
    <w:aliases w:val="aaaa"/>
    <w:basedOn w:val="OPCParaBase"/>
    <w:rsid w:val="004E3D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3D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3D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3D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3D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3DB9"/>
    <w:pPr>
      <w:spacing w:before="60"/>
    </w:pPr>
    <w:rPr>
      <w:rFonts w:eastAsiaTheme="minorHAnsi" w:cs="Arial"/>
      <w:sz w:val="20"/>
      <w:szCs w:val="22"/>
      <w:lang w:eastAsia="en-US"/>
    </w:rPr>
  </w:style>
  <w:style w:type="paragraph" w:customStyle="1" w:styleId="NoteToSubpara">
    <w:name w:val="NoteToSubpara"/>
    <w:aliases w:val="nts"/>
    <w:basedOn w:val="OPCParaBase"/>
    <w:rsid w:val="004E3DB9"/>
    <w:pPr>
      <w:spacing w:before="40" w:line="198" w:lineRule="exact"/>
      <w:ind w:left="2835" w:hanging="709"/>
    </w:pPr>
    <w:rPr>
      <w:sz w:val="18"/>
    </w:rPr>
  </w:style>
  <w:style w:type="paragraph" w:customStyle="1" w:styleId="ENoteTableHeading">
    <w:name w:val="ENoteTableHeading"/>
    <w:aliases w:val="enth"/>
    <w:basedOn w:val="OPCParaBase"/>
    <w:rsid w:val="004E3DB9"/>
    <w:pPr>
      <w:keepNext/>
      <w:spacing w:before="60" w:line="240" w:lineRule="atLeast"/>
    </w:pPr>
    <w:rPr>
      <w:rFonts w:ascii="Arial" w:hAnsi="Arial"/>
      <w:b/>
      <w:sz w:val="16"/>
    </w:rPr>
  </w:style>
  <w:style w:type="paragraph" w:customStyle="1" w:styleId="ENoteTTi">
    <w:name w:val="ENoteTTi"/>
    <w:aliases w:val="entti"/>
    <w:basedOn w:val="OPCParaBase"/>
    <w:rsid w:val="004E3DB9"/>
    <w:pPr>
      <w:keepNext/>
      <w:spacing w:before="60" w:line="240" w:lineRule="atLeast"/>
      <w:ind w:left="170"/>
    </w:pPr>
    <w:rPr>
      <w:sz w:val="16"/>
    </w:rPr>
  </w:style>
  <w:style w:type="paragraph" w:customStyle="1" w:styleId="ENotesHeading1">
    <w:name w:val="ENotesHeading 1"/>
    <w:aliases w:val="Enh1"/>
    <w:basedOn w:val="OPCParaBase"/>
    <w:next w:val="Normal"/>
    <w:rsid w:val="004E3DB9"/>
    <w:pPr>
      <w:spacing w:before="120"/>
      <w:outlineLvl w:val="1"/>
    </w:pPr>
    <w:rPr>
      <w:b/>
      <w:sz w:val="28"/>
      <w:szCs w:val="28"/>
    </w:rPr>
  </w:style>
  <w:style w:type="paragraph" w:customStyle="1" w:styleId="ENotesHeading2">
    <w:name w:val="ENotesHeading 2"/>
    <w:aliases w:val="Enh2"/>
    <w:basedOn w:val="OPCParaBase"/>
    <w:next w:val="Normal"/>
    <w:rsid w:val="004E3DB9"/>
    <w:pPr>
      <w:spacing w:before="120" w:after="120"/>
      <w:outlineLvl w:val="2"/>
    </w:pPr>
    <w:rPr>
      <w:b/>
      <w:sz w:val="24"/>
      <w:szCs w:val="28"/>
    </w:rPr>
  </w:style>
  <w:style w:type="paragraph" w:customStyle="1" w:styleId="ENoteTTIndentHeading">
    <w:name w:val="ENoteTTIndentHeading"/>
    <w:aliases w:val="enTTHi"/>
    <w:basedOn w:val="OPCParaBase"/>
    <w:rsid w:val="004E3D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3DB9"/>
    <w:pPr>
      <w:spacing w:before="60" w:line="240" w:lineRule="atLeast"/>
    </w:pPr>
    <w:rPr>
      <w:sz w:val="16"/>
    </w:rPr>
  </w:style>
  <w:style w:type="paragraph" w:customStyle="1" w:styleId="MadeunderText">
    <w:name w:val="MadeunderText"/>
    <w:basedOn w:val="OPCParaBase"/>
    <w:next w:val="Normal"/>
    <w:rsid w:val="004E3DB9"/>
    <w:pPr>
      <w:spacing w:before="240"/>
    </w:pPr>
    <w:rPr>
      <w:sz w:val="24"/>
      <w:szCs w:val="24"/>
    </w:rPr>
  </w:style>
  <w:style w:type="paragraph" w:customStyle="1" w:styleId="ENotesHeading3">
    <w:name w:val="ENotesHeading 3"/>
    <w:aliases w:val="Enh3"/>
    <w:basedOn w:val="OPCParaBase"/>
    <w:next w:val="Normal"/>
    <w:rsid w:val="004E3DB9"/>
    <w:pPr>
      <w:keepNext/>
      <w:spacing w:before="120" w:line="240" w:lineRule="auto"/>
      <w:outlineLvl w:val="4"/>
    </w:pPr>
    <w:rPr>
      <w:b/>
      <w:szCs w:val="24"/>
    </w:rPr>
  </w:style>
  <w:style w:type="character" w:customStyle="1" w:styleId="CharSubPartTextCASA">
    <w:name w:val="CharSubPartText(CASA)"/>
    <w:basedOn w:val="OPCCharBase"/>
    <w:uiPriority w:val="1"/>
    <w:rsid w:val="004E3DB9"/>
  </w:style>
  <w:style w:type="character" w:customStyle="1" w:styleId="CharSubPartNoCASA">
    <w:name w:val="CharSubPartNo(CASA)"/>
    <w:basedOn w:val="OPCCharBase"/>
    <w:uiPriority w:val="1"/>
    <w:rsid w:val="004E3DB9"/>
  </w:style>
  <w:style w:type="paragraph" w:customStyle="1" w:styleId="ENoteTTIndentHeadingSub">
    <w:name w:val="ENoteTTIndentHeadingSub"/>
    <w:aliases w:val="enTTHis"/>
    <w:basedOn w:val="OPCParaBase"/>
    <w:rsid w:val="004E3DB9"/>
    <w:pPr>
      <w:keepNext/>
      <w:spacing w:before="60" w:line="240" w:lineRule="atLeast"/>
      <w:ind w:left="340"/>
    </w:pPr>
    <w:rPr>
      <w:b/>
      <w:sz w:val="16"/>
    </w:rPr>
  </w:style>
  <w:style w:type="paragraph" w:customStyle="1" w:styleId="ENoteTTiSub">
    <w:name w:val="ENoteTTiSub"/>
    <w:aliases w:val="enttis"/>
    <w:basedOn w:val="OPCParaBase"/>
    <w:rsid w:val="004E3DB9"/>
    <w:pPr>
      <w:keepNext/>
      <w:spacing w:before="60" w:line="240" w:lineRule="atLeast"/>
      <w:ind w:left="340"/>
    </w:pPr>
    <w:rPr>
      <w:sz w:val="16"/>
    </w:rPr>
  </w:style>
  <w:style w:type="paragraph" w:customStyle="1" w:styleId="SubDivisionMigration">
    <w:name w:val="SubDivisionMigration"/>
    <w:aliases w:val="sdm"/>
    <w:basedOn w:val="OPCParaBase"/>
    <w:rsid w:val="004E3D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3DB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E3DB9"/>
    <w:pPr>
      <w:spacing w:before="122" w:line="240" w:lineRule="auto"/>
      <w:ind w:left="1985" w:hanging="851"/>
    </w:pPr>
    <w:rPr>
      <w:sz w:val="18"/>
    </w:rPr>
  </w:style>
  <w:style w:type="paragraph" w:customStyle="1" w:styleId="FreeForm">
    <w:name w:val="FreeForm"/>
    <w:rsid w:val="004E3DB9"/>
    <w:rPr>
      <w:rFonts w:ascii="Arial" w:eastAsiaTheme="minorHAnsi" w:hAnsi="Arial" w:cstheme="minorBidi"/>
      <w:sz w:val="22"/>
      <w:lang w:eastAsia="en-US"/>
    </w:rPr>
  </w:style>
  <w:style w:type="paragraph" w:customStyle="1" w:styleId="SOText">
    <w:name w:val="SO Text"/>
    <w:aliases w:val="sot"/>
    <w:link w:val="SOTextChar"/>
    <w:rsid w:val="004E3D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E3DB9"/>
    <w:rPr>
      <w:rFonts w:eastAsiaTheme="minorHAnsi" w:cstheme="minorBidi"/>
      <w:sz w:val="22"/>
      <w:lang w:eastAsia="en-US"/>
    </w:rPr>
  </w:style>
  <w:style w:type="paragraph" w:customStyle="1" w:styleId="SOTextNote">
    <w:name w:val="SO TextNote"/>
    <w:aliases w:val="sont"/>
    <w:basedOn w:val="SOText"/>
    <w:qFormat/>
    <w:rsid w:val="004E3DB9"/>
    <w:pPr>
      <w:spacing w:before="122" w:line="198" w:lineRule="exact"/>
      <w:ind w:left="1843" w:hanging="709"/>
    </w:pPr>
    <w:rPr>
      <w:sz w:val="18"/>
    </w:rPr>
  </w:style>
  <w:style w:type="paragraph" w:customStyle="1" w:styleId="SOPara">
    <w:name w:val="SO Para"/>
    <w:aliases w:val="soa"/>
    <w:basedOn w:val="SOText"/>
    <w:link w:val="SOParaChar"/>
    <w:qFormat/>
    <w:rsid w:val="004E3DB9"/>
    <w:pPr>
      <w:tabs>
        <w:tab w:val="right" w:pos="1786"/>
      </w:tabs>
      <w:spacing w:before="40"/>
      <w:ind w:left="2070" w:hanging="936"/>
    </w:pPr>
  </w:style>
  <w:style w:type="character" w:customStyle="1" w:styleId="SOParaChar">
    <w:name w:val="SO Para Char"/>
    <w:aliases w:val="soa Char"/>
    <w:basedOn w:val="DefaultParagraphFont"/>
    <w:link w:val="SOPara"/>
    <w:rsid w:val="004E3DB9"/>
    <w:rPr>
      <w:rFonts w:eastAsiaTheme="minorHAnsi" w:cstheme="minorBidi"/>
      <w:sz w:val="22"/>
      <w:lang w:eastAsia="en-US"/>
    </w:rPr>
  </w:style>
  <w:style w:type="paragraph" w:customStyle="1" w:styleId="FileName">
    <w:name w:val="FileName"/>
    <w:basedOn w:val="Normal"/>
    <w:rsid w:val="004E3DB9"/>
    <w:pPr>
      <w:spacing w:line="260" w:lineRule="atLeast"/>
    </w:pPr>
    <w:rPr>
      <w:rFonts w:eastAsiaTheme="minorHAnsi" w:cstheme="minorBidi"/>
      <w:sz w:val="22"/>
      <w:lang w:eastAsia="en-US"/>
    </w:rPr>
  </w:style>
  <w:style w:type="paragraph" w:customStyle="1" w:styleId="TableHeading">
    <w:name w:val="TableHeading"/>
    <w:aliases w:val="th"/>
    <w:basedOn w:val="OPCParaBase"/>
    <w:next w:val="Tabletext0"/>
    <w:rsid w:val="004E3DB9"/>
    <w:pPr>
      <w:keepNext/>
      <w:spacing w:before="60" w:line="240" w:lineRule="atLeast"/>
    </w:pPr>
    <w:rPr>
      <w:b/>
      <w:sz w:val="20"/>
    </w:rPr>
  </w:style>
  <w:style w:type="paragraph" w:customStyle="1" w:styleId="SOHeadBold">
    <w:name w:val="SO HeadBold"/>
    <w:aliases w:val="sohb"/>
    <w:basedOn w:val="SOText"/>
    <w:next w:val="SOText"/>
    <w:link w:val="SOHeadBoldChar"/>
    <w:qFormat/>
    <w:rsid w:val="004E3DB9"/>
    <w:rPr>
      <w:b/>
    </w:rPr>
  </w:style>
  <w:style w:type="character" w:customStyle="1" w:styleId="SOHeadBoldChar">
    <w:name w:val="SO HeadBold Char"/>
    <w:aliases w:val="sohb Char"/>
    <w:basedOn w:val="DefaultParagraphFont"/>
    <w:link w:val="SOHeadBold"/>
    <w:rsid w:val="004E3D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E3DB9"/>
    <w:rPr>
      <w:i/>
    </w:rPr>
  </w:style>
  <w:style w:type="character" w:customStyle="1" w:styleId="SOHeadItalicChar">
    <w:name w:val="SO HeadItalic Char"/>
    <w:aliases w:val="sohi Char"/>
    <w:basedOn w:val="DefaultParagraphFont"/>
    <w:link w:val="SOHeadItalic"/>
    <w:rsid w:val="004E3DB9"/>
    <w:rPr>
      <w:rFonts w:eastAsiaTheme="minorHAnsi" w:cstheme="minorBidi"/>
      <w:i/>
      <w:sz w:val="22"/>
      <w:lang w:eastAsia="en-US"/>
    </w:rPr>
  </w:style>
  <w:style w:type="paragraph" w:customStyle="1" w:styleId="SOBullet">
    <w:name w:val="SO Bullet"/>
    <w:aliases w:val="sotb"/>
    <w:basedOn w:val="SOText"/>
    <w:link w:val="SOBulletChar"/>
    <w:qFormat/>
    <w:rsid w:val="004E3DB9"/>
    <w:pPr>
      <w:ind w:left="1559" w:hanging="425"/>
    </w:pPr>
  </w:style>
  <w:style w:type="character" w:customStyle="1" w:styleId="SOBulletChar">
    <w:name w:val="SO Bullet Char"/>
    <w:aliases w:val="sotb Char"/>
    <w:basedOn w:val="DefaultParagraphFont"/>
    <w:link w:val="SOBullet"/>
    <w:rsid w:val="004E3DB9"/>
    <w:rPr>
      <w:rFonts w:eastAsiaTheme="minorHAnsi" w:cstheme="minorBidi"/>
      <w:sz w:val="22"/>
      <w:lang w:eastAsia="en-US"/>
    </w:rPr>
  </w:style>
  <w:style w:type="paragraph" w:customStyle="1" w:styleId="SOBulletNote">
    <w:name w:val="SO BulletNote"/>
    <w:aliases w:val="sonb"/>
    <w:basedOn w:val="SOTextNote"/>
    <w:link w:val="SOBulletNoteChar"/>
    <w:qFormat/>
    <w:rsid w:val="004E3DB9"/>
    <w:pPr>
      <w:tabs>
        <w:tab w:val="left" w:pos="1560"/>
      </w:tabs>
      <w:ind w:left="2268" w:hanging="1134"/>
    </w:pPr>
  </w:style>
  <w:style w:type="character" w:customStyle="1" w:styleId="SOBulletNoteChar">
    <w:name w:val="SO BulletNote Char"/>
    <w:aliases w:val="sonb Char"/>
    <w:basedOn w:val="DefaultParagraphFont"/>
    <w:link w:val="SOBulletNote"/>
    <w:rsid w:val="004E3DB9"/>
    <w:rPr>
      <w:rFonts w:eastAsiaTheme="minorHAnsi" w:cstheme="minorBidi"/>
      <w:sz w:val="18"/>
      <w:lang w:eastAsia="en-US"/>
    </w:rPr>
  </w:style>
  <w:style w:type="paragraph" w:customStyle="1" w:styleId="SOText2">
    <w:name w:val="SO Text2"/>
    <w:aliases w:val="sot2"/>
    <w:basedOn w:val="Normal"/>
    <w:next w:val="SOText"/>
    <w:link w:val="SOText2Char"/>
    <w:rsid w:val="004E3DB9"/>
    <w:pPr>
      <w:pBdr>
        <w:top w:val="single" w:sz="6" w:space="5" w:color="auto"/>
        <w:left w:val="single" w:sz="6" w:space="5" w:color="auto"/>
        <w:bottom w:val="single" w:sz="6" w:space="5" w:color="auto"/>
        <w:right w:val="single" w:sz="6" w:space="5" w:color="auto"/>
      </w:pBdr>
      <w:spacing w:before="40"/>
      <w:ind w:left="1134"/>
    </w:pPr>
    <w:rPr>
      <w:rFonts w:eastAsiaTheme="minorHAnsi" w:cstheme="minorBidi"/>
      <w:sz w:val="22"/>
      <w:lang w:eastAsia="en-US"/>
    </w:rPr>
  </w:style>
  <w:style w:type="character" w:customStyle="1" w:styleId="SOText2Char">
    <w:name w:val="SO Text2 Char"/>
    <w:aliases w:val="sot2 Char"/>
    <w:basedOn w:val="DefaultParagraphFont"/>
    <w:link w:val="SOText2"/>
    <w:rsid w:val="004E3DB9"/>
    <w:rPr>
      <w:rFonts w:eastAsiaTheme="minorHAnsi" w:cstheme="minorBidi"/>
      <w:sz w:val="22"/>
      <w:lang w:eastAsia="en-US"/>
    </w:rPr>
  </w:style>
  <w:style w:type="paragraph" w:customStyle="1" w:styleId="SubPartCASA">
    <w:name w:val="SubPart(CASA)"/>
    <w:aliases w:val="csp"/>
    <w:basedOn w:val="OPCParaBase"/>
    <w:next w:val="ActHead3"/>
    <w:rsid w:val="004E3DB9"/>
    <w:pPr>
      <w:keepNext/>
      <w:keepLines/>
      <w:spacing w:before="280"/>
      <w:ind w:left="1134" w:hanging="1134"/>
      <w:outlineLvl w:val="1"/>
    </w:pPr>
    <w:rPr>
      <w:b/>
      <w:kern w:val="28"/>
      <w:sz w:val="32"/>
    </w:rPr>
  </w:style>
  <w:style w:type="character" w:customStyle="1" w:styleId="notetextChar">
    <w:name w:val="note(text) Char"/>
    <w:aliases w:val="n Char"/>
    <w:basedOn w:val="DefaultParagraphFont"/>
    <w:link w:val="notetext"/>
    <w:rsid w:val="004E3DB9"/>
    <w:rPr>
      <w:sz w:val="18"/>
    </w:rPr>
  </w:style>
  <w:style w:type="paragraph" w:customStyle="1" w:styleId="Transitional">
    <w:name w:val="Transitional"/>
    <w:aliases w:val="tr"/>
    <w:basedOn w:val="ItemHead"/>
    <w:next w:val="Item"/>
    <w:rsid w:val="004E3DB9"/>
  </w:style>
  <w:style w:type="character" w:customStyle="1" w:styleId="charlegsubtitle1">
    <w:name w:val="charlegsubtitle1"/>
    <w:basedOn w:val="DefaultParagraphFont"/>
    <w:rsid w:val="004E3DB9"/>
    <w:rPr>
      <w:rFonts w:ascii="Arial" w:hAnsi="Arial" w:cs="Arial" w:hint="default"/>
      <w:b/>
      <w:bCs/>
      <w:sz w:val="28"/>
      <w:szCs w:val="28"/>
    </w:rPr>
  </w:style>
  <w:style w:type="character" w:customStyle="1" w:styleId="FootnoteTextChar">
    <w:name w:val="Footnote Text Char"/>
    <w:basedOn w:val="DefaultParagraphFont"/>
    <w:link w:val="FootnoteText"/>
    <w:rsid w:val="004E3DB9"/>
    <w:rPr>
      <w:rFonts w:ascii="Arial" w:hAnsi="Arial" w:cs="Arial"/>
      <w:sz w:val="18"/>
    </w:rPr>
  </w:style>
  <w:style w:type="character" w:customStyle="1" w:styleId="EndnoteTextChar">
    <w:name w:val="Endnote Text Char"/>
    <w:basedOn w:val="DefaultParagraphFont"/>
    <w:link w:val="EndnoteText"/>
    <w:rsid w:val="004E3DB9"/>
    <w:rPr>
      <w:rFonts w:ascii="Arial" w:hAnsi="Arial" w:cs="Arial"/>
      <w:sz w:val="18"/>
    </w:rPr>
  </w:style>
  <w:style w:type="character" w:customStyle="1" w:styleId="MacroTextChar">
    <w:name w:val="Macro Text Char"/>
    <w:basedOn w:val="DefaultParagraphFont"/>
    <w:link w:val="MacroText"/>
    <w:rsid w:val="004E3DB9"/>
    <w:rPr>
      <w:rFonts w:ascii="Courier New" w:hAnsi="Courier New" w:cs="Courier New"/>
    </w:rPr>
  </w:style>
  <w:style w:type="character" w:customStyle="1" w:styleId="TitleChar">
    <w:name w:val="Title Char"/>
    <w:basedOn w:val="DefaultParagraphFont"/>
    <w:link w:val="Title"/>
    <w:rsid w:val="004E3DB9"/>
    <w:rPr>
      <w:rFonts w:asciiTheme="majorHAnsi" w:eastAsiaTheme="majorEastAsia" w:hAnsiTheme="majorHAnsi" w:cstheme="majorBidi"/>
      <w:b/>
      <w:bCs/>
      <w:kern w:val="28"/>
      <w:sz w:val="32"/>
      <w:szCs w:val="32"/>
    </w:rPr>
  </w:style>
  <w:style w:type="character" w:customStyle="1" w:styleId="ClosingChar">
    <w:name w:val="Closing Char"/>
    <w:basedOn w:val="DefaultParagraphFont"/>
    <w:link w:val="Closing"/>
    <w:rsid w:val="004E3DB9"/>
    <w:rPr>
      <w:sz w:val="24"/>
    </w:rPr>
  </w:style>
  <w:style w:type="character" w:customStyle="1" w:styleId="SignatureChar">
    <w:name w:val="Signature Char"/>
    <w:basedOn w:val="DefaultParagraphFont"/>
    <w:link w:val="Signature"/>
    <w:rsid w:val="004E3DB9"/>
    <w:rPr>
      <w:sz w:val="24"/>
    </w:rPr>
  </w:style>
  <w:style w:type="character" w:customStyle="1" w:styleId="BodyTextIndentChar">
    <w:name w:val="Body Text Indent Char"/>
    <w:basedOn w:val="DefaultParagraphFont"/>
    <w:link w:val="BodyTextIndent"/>
    <w:rsid w:val="004E3DB9"/>
    <w:rPr>
      <w:sz w:val="24"/>
    </w:rPr>
  </w:style>
  <w:style w:type="character" w:customStyle="1" w:styleId="MessageHeaderChar">
    <w:name w:val="Message Header Char"/>
    <w:basedOn w:val="DefaultParagraphFont"/>
    <w:link w:val="MessageHeader"/>
    <w:rsid w:val="004E3DB9"/>
    <w:rPr>
      <w:rFonts w:asciiTheme="majorHAnsi" w:eastAsiaTheme="majorEastAsia" w:hAnsiTheme="majorHAnsi" w:cstheme="majorBidi"/>
      <w:sz w:val="24"/>
      <w:szCs w:val="24"/>
      <w:shd w:val="pct20" w:color="auto" w:fill="auto"/>
    </w:rPr>
  </w:style>
  <w:style w:type="character" w:customStyle="1" w:styleId="SubtitleChar">
    <w:name w:val="Subtitle Char"/>
    <w:basedOn w:val="DefaultParagraphFont"/>
    <w:link w:val="Subtitle"/>
    <w:rsid w:val="004E3DB9"/>
    <w:rPr>
      <w:rFonts w:asciiTheme="majorHAnsi" w:eastAsiaTheme="majorEastAsia" w:hAnsiTheme="majorHAnsi" w:cstheme="majorBidi"/>
      <w:sz w:val="24"/>
      <w:szCs w:val="24"/>
    </w:rPr>
  </w:style>
  <w:style w:type="character" w:customStyle="1" w:styleId="SalutationChar">
    <w:name w:val="Salutation Char"/>
    <w:basedOn w:val="DefaultParagraphFont"/>
    <w:link w:val="Salutation"/>
    <w:rsid w:val="004E3DB9"/>
    <w:rPr>
      <w:sz w:val="24"/>
    </w:rPr>
  </w:style>
  <w:style w:type="character" w:customStyle="1" w:styleId="DateChar">
    <w:name w:val="Date Char"/>
    <w:basedOn w:val="DefaultParagraphFont"/>
    <w:link w:val="Date"/>
    <w:rsid w:val="004E3DB9"/>
    <w:rPr>
      <w:sz w:val="24"/>
    </w:rPr>
  </w:style>
  <w:style w:type="character" w:customStyle="1" w:styleId="BodyTextFirstIndentChar">
    <w:name w:val="Body Text First Indent Char"/>
    <w:basedOn w:val="BodyTextChar"/>
    <w:link w:val="BodyTextFirstIndent"/>
    <w:rsid w:val="004E3DB9"/>
    <w:rPr>
      <w:rFonts w:ascii="Arial" w:hAnsi="Arial" w:cs="Arial"/>
      <w:sz w:val="24"/>
      <w:szCs w:val="22"/>
    </w:rPr>
  </w:style>
  <w:style w:type="character" w:customStyle="1" w:styleId="BodyTextFirstIndent2Char">
    <w:name w:val="Body Text First Indent 2 Char"/>
    <w:basedOn w:val="BodyTextIndentChar"/>
    <w:link w:val="BodyTextFirstIndent2"/>
    <w:rsid w:val="004E3DB9"/>
    <w:rPr>
      <w:sz w:val="24"/>
    </w:rPr>
  </w:style>
  <w:style w:type="character" w:customStyle="1" w:styleId="BodyText2Char">
    <w:name w:val="Body Text 2 Char"/>
    <w:basedOn w:val="DefaultParagraphFont"/>
    <w:link w:val="BodyText2"/>
    <w:rsid w:val="004E3DB9"/>
    <w:rPr>
      <w:sz w:val="24"/>
    </w:rPr>
  </w:style>
  <w:style w:type="character" w:customStyle="1" w:styleId="BodyText3Char">
    <w:name w:val="Body Text 3 Char"/>
    <w:basedOn w:val="DefaultParagraphFont"/>
    <w:link w:val="BodyText3"/>
    <w:rsid w:val="004E3DB9"/>
    <w:rPr>
      <w:sz w:val="16"/>
      <w:szCs w:val="16"/>
    </w:rPr>
  </w:style>
  <w:style w:type="character" w:customStyle="1" w:styleId="BodyTextIndent2Char">
    <w:name w:val="Body Text Indent 2 Char"/>
    <w:basedOn w:val="DefaultParagraphFont"/>
    <w:link w:val="BodyTextIndent2"/>
    <w:rsid w:val="004E3DB9"/>
    <w:rPr>
      <w:sz w:val="24"/>
    </w:rPr>
  </w:style>
  <w:style w:type="character" w:customStyle="1" w:styleId="BodyTextIndent3Char">
    <w:name w:val="Body Text Indent 3 Char"/>
    <w:basedOn w:val="DefaultParagraphFont"/>
    <w:link w:val="BodyTextIndent3"/>
    <w:rsid w:val="004E3DB9"/>
    <w:rPr>
      <w:sz w:val="16"/>
      <w:szCs w:val="16"/>
    </w:rPr>
  </w:style>
  <w:style w:type="character" w:customStyle="1" w:styleId="DocumentMapChar">
    <w:name w:val="Document Map Char"/>
    <w:basedOn w:val="DefaultParagraphFont"/>
    <w:link w:val="DocumentMap"/>
    <w:rsid w:val="004E3DB9"/>
    <w:rPr>
      <w:rFonts w:ascii="Tahoma" w:hAnsi="Tahoma" w:cs="Tahoma"/>
      <w:sz w:val="16"/>
      <w:szCs w:val="16"/>
    </w:rPr>
  </w:style>
  <w:style w:type="character" w:customStyle="1" w:styleId="PlainTextChar">
    <w:name w:val="Plain Text Char"/>
    <w:basedOn w:val="DefaultParagraphFont"/>
    <w:link w:val="PlainText"/>
    <w:rsid w:val="004E3DB9"/>
    <w:rPr>
      <w:rFonts w:ascii="Courier New" w:hAnsi="Courier New" w:cs="Courier New"/>
    </w:rPr>
  </w:style>
  <w:style w:type="character" w:customStyle="1" w:styleId="E-mailSignatureChar">
    <w:name w:val="E-mail Signature Char"/>
    <w:basedOn w:val="DefaultParagraphFont"/>
    <w:link w:val="E-mailSignature"/>
    <w:rsid w:val="004E3DB9"/>
    <w:rPr>
      <w:sz w:val="24"/>
    </w:rPr>
  </w:style>
  <w:style w:type="character" w:customStyle="1" w:styleId="HTMLAddressChar">
    <w:name w:val="HTML Address Char"/>
    <w:basedOn w:val="DefaultParagraphFont"/>
    <w:link w:val="HTMLAddress"/>
    <w:rsid w:val="004E3DB9"/>
    <w:rPr>
      <w:i/>
      <w:iCs/>
      <w:sz w:val="24"/>
    </w:rPr>
  </w:style>
  <w:style w:type="character" w:customStyle="1" w:styleId="HTMLPreformattedChar">
    <w:name w:val="HTML Preformatted Char"/>
    <w:basedOn w:val="DefaultParagraphFont"/>
    <w:link w:val="HTMLPreformatted"/>
    <w:rsid w:val="004E3DB9"/>
    <w:rPr>
      <w:rFonts w:ascii="Courier New" w:hAnsi="Courier New" w:cs="Courier New"/>
    </w:rPr>
  </w:style>
  <w:style w:type="character" w:customStyle="1" w:styleId="CommentSubjectChar">
    <w:name w:val="Comment Subject Char"/>
    <w:basedOn w:val="CommentTextChar"/>
    <w:link w:val="CommentSubject"/>
    <w:rsid w:val="004E3DB9"/>
    <w:rPr>
      <w:b/>
      <w:bCs/>
    </w:rPr>
  </w:style>
  <w:style w:type="character" w:customStyle="1" w:styleId="DefinitionChar">
    <w:name w:val="Definition Char"/>
    <w:aliases w:val="dd Char"/>
    <w:link w:val="Definition"/>
    <w:rsid w:val="004E3DB9"/>
    <w:rPr>
      <w:rFonts w:eastAsiaTheme="minorHAnsi"/>
      <w:sz w:val="22"/>
      <w:szCs w:val="22"/>
    </w:rPr>
  </w:style>
  <w:style w:type="paragraph" w:customStyle="1" w:styleId="Body">
    <w:name w:val="Body"/>
    <w:aliases w:val="b"/>
    <w:basedOn w:val="OPCParaBase"/>
    <w:rsid w:val="004E3DB9"/>
    <w:pPr>
      <w:spacing w:before="240" w:line="240" w:lineRule="auto"/>
    </w:pPr>
    <w:rPr>
      <w:sz w:val="24"/>
    </w:rPr>
  </w:style>
  <w:style w:type="paragraph" w:customStyle="1" w:styleId="BodyNum">
    <w:name w:val="BodyNum"/>
    <w:aliases w:val="b1"/>
    <w:basedOn w:val="OPCParaBase"/>
    <w:rsid w:val="004E3DB9"/>
    <w:pPr>
      <w:numPr>
        <w:numId w:val="33"/>
      </w:numPr>
      <w:spacing w:before="240" w:line="240" w:lineRule="auto"/>
    </w:pPr>
    <w:rPr>
      <w:sz w:val="24"/>
    </w:rPr>
  </w:style>
  <w:style w:type="paragraph" w:customStyle="1" w:styleId="BodyPara">
    <w:name w:val="BodyPara"/>
    <w:aliases w:val="ba"/>
    <w:basedOn w:val="OPCParaBase"/>
    <w:rsid w:val="004E3DB9"/>
    <w:pPr>
      <w:numPr>
        <w:ilvl w:val="1"/>
        <w:numId w:val="33"/>
      </w:numPr>
      <w:spacing w:before="240" w:line="240" w:lineRule="auto"/>
    </w:pPr>
    <w:rPr>
      <w:sz w:val="24"/>
    </w:rPr>
  </w:style>
  <w:style w:type="paragraph" w:customStyle="1" w:styleId="BodyParaBullet">
    <w:name w:val="BodyParaBullet"/>
    <w:aliases w:val="bpb"/>
    <w:basedOn w:val="OPCParaBase"/>
    <w:rsid w:val="004E3DB9"/>
    <w:pPr>
      <w:numPr>
        <w:ilvl w:val="2"/>
        <w:numId w:val="33"/>
      </w:numPr>
      <w:tabs>
        <w:tab w:val="left" w:pos="2160"/>
      </w:tabs>
      <w:spacing w:before="240" w:line="240" w:lineRule="auto"/>
    </w:pPr>
    <w:rPr>
      <w:sz w:val="24"/>
    </w:rPr>
  </w:style>
  <w:style w:type="paragraph" w:customStyle="1" w:styleId="BodySubPara">
    <w:name w:val="BodySubPara"/>
    <w:aliases w:val="bi"/>
    <w:basedOn w:val="OPCParaBase"/>
    <w:rsid w:val="004E3DB9"/>
    <w:pPr>
      <w:numPr>
        <w:ilvl w:val="3"/>
        <w:numId w:val="33"/>
      </w:numPr>
      <w:spacing w:before="240" w:line="240" w:lineRule="auto"/>
    </w:pPr>
    <w:rPr>
      <w:sz w:val="24"/>
    </w:rPr>
  </w:style>
  <w:style w:type="numbering" w:customStyle="1" w:styleId="OPCBodyList">
    <w:name w:val="OPCBodyList"/>
    <w:uiPriority w:val="99"/>
    <w:rsid w:val="004E3DB9"/>
    <w:pPr>
      <w:numPr>
        <w:numId w:val="33"/>
      </w:numPr>
    </w:pPr>
  </w:style>
  <w:style w:type="paragraph" w:customStyle="1" w:styleId="Head1">
    <w:name w:val="Head 1"/>
    <w:aliases w:val="1"/>
    <w:basedOn w:val="OPCParaBase"/>
    <w:next w:val="BodyNum"/>
    <w:rsid w:val="004E3DB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E3DB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E3DB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E3DB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E3DB9"/>
    <w:pPr>
      <w:keepNext/>
      <w:spacing w:before="240" w:after="60" w:line="240" w:lineRule="auto"/>
      <w:outlineLvl w:val="4"/>
    </w:pPr>
    <w:rPr>
      <w:rFonts w:ascii="Arial" w:hAnsi="Arial"/>
      <w:b/>
      <w:i/>
      <w:kern w:val="28"/>
    </w:rPr>
  </w:style>
  <w:style w:type="paragraph" w:customStyle="1" w:styleId="2ndRd">
    <w:name w:val="2ndRd"/>
    <w:basedOn w:val="OPCParaBase"/>
    <w:rsid w:val="004E3DB9"/>
    <w:pPr>
      <w:spacing w:line="240" w:lineRule="auto"/>
    </w:pPr>
    <w:rPr>
      <w:sz w:val="20"/>
    </w:rPr>
  </w:style>
  <w:style w:type="paragraph" w:customStyle="1" w:styleId="ActNoP1">
    <w:name w:val="ActNoP1"/>
    <w:basedOn w:val="OPCParaBase"/>
    <w:rsid w:val="004E3DB9"/>
    <w:pPr>
      <w:spacing w:before="800" w:line="240" w:lineRule="auto"/>
    </w:pPr>
    <w:rPr>
      <w:b/>
      <w:sz w:val="28"/>
    </w:rPr>
  </w:style>
  <w:style w:type="paragraph" w:customStyle="1" w:styleId="AssentBk">
    <w:name w:val="AssentBk"/>
    <w:basedOn w:val="OPCParaBase"/>
    <w:rsid w:val="004E3DB9"/>
    <w:pPr>
      <w:spacing w:line="240" w:lineRule="auto"/>
    </w:pPr>
    <w:rPr>
      <w:sz w:val="20"/>
    </w:rPr>
  </w:style>
  <w:style w:type="paragraph" w:customStyle="1" w:styleId="AssentDt">
    <w:name w:val="AssentDt"/>
    <w:basedOn w:val="OPCParaBase"/>
    <w:rsid w:val="004E3DB9"/>
    <w:pPr>
      <w:spacing w:line="240" w:lineRule="auto"/>
    </w:pPr>
    <w:rPr>
      <w:sz w:val="20"/>
    </w:rPr>
  </w:style>
  <w:style w:type="paragraph" w:customStyle="1" w:styleId="p1LinesAfter">
    <w:name w:val="p1LinesAfter"/>
    <w:basedOn w:val="OPCParaBase"/>
    <w:rsid w:val="004E3DB9"/>
    <w:pPr>
      <w:pBdr>
        <w:top w:val="single" w:sz="12" w:space="0" w:color="auto"/>
      </w:pBdr>
      <w:spacing w:line="240" w:lineRule="auto"/>
    </w:pPr>
    <w:rPr>
      <w:b/>
      <w:sz w:val="28"/>
    </w:rPr>
  </w:style>
  <w:style w:type="paragraph" w:customStyle="1" w:styleId="p1LinesBef">
    <w:name w:val="p1LinesBef"/>
    <w:basedOn w:val="OPCParaBase"/>
    <w:rsid w:val="004E3DB9"/>
    <w:pPr>
      <w:pBdr>
        <w:bottom w:val="single" w:sz="6" w:space="0" w:color="auto"/>
      </w:pBdr>
      <w:spacing w:before="400" w:line="240" w:lineRule="auto"/>
    </w:pPr>
    <w:rPr>
      <w:b/>
      <w:sz w:val="28"/>
    </w:rPr>
  </w:style>
  <w:style w:type="paragraph" w:customStyle="1" w:styleId="UpdateDate">
    <w:name w:val="UpdateDate"/>
    <w:basedOn w:val="OPCParaBase"/>
    <w:rsid w:val="004E3DB9"/>
    <w:pPr>
      <w:spacing w:before="240"/>
    </w:pPr>
    <w:rPr>
      <w:sz w:val="24"/>
    </w:rPr>
  </w:style>
  <w:style w:type="paragraph" w:customStyle="1" w:styleId="Autotext">
    <w:name w:val="Autotext"/>
    <w:basedOn w:val="OPCParaBase"/>
    <w:rsid w:val="004E3DB9"/>
    <w:pPr>
      <w:spacing w:line="240" w:lineRule="auto"/>
      <w:outlineLvl w:val="0"/>
    </w:pPr>
    <w:rPr>
      <w:color w:val="FF0000"/>
      <w:position w:val="6"/>
      <w:sz w:val="16"/>
    </w:rPr>
  </w:style>
  <w:style w:type="paragraph" w:customStyle="1" w:styleId="ClerkBlock">
    <w:name w:val="ClerkBlock"/>
    <w:basedOn w:val="OPCParaBase"/>
    <w:rsid w:val="004E3DB9"/>
    <w:pPr>
      <w:spacing w:line="200" w:lineRule="atLeast"/>
      <w:ind w:right="3827"/>
    </w:pPr>
    <w:rPr>
      <w:sz w:val="20"/>
    </w:rPr>
  </w:style>
  <w:style w:type="paragraph" w:customStyle="1" w:styleId="ScalePlusRef">
    <w:name w:val="ScalePlusRef"/>
    <w:basedOn w:val="OPCParaBase"/>
    <w:rsid w:val="004E3DB9"/>
    <w:pPr>
      <w:spacing w:line="240" w:lineRule="auto"/>
    </w:pPr>
    <w:rPr>
      <w:sz w:val="18"/>
    </w:rPr>
  </w:style>
  <w:style w:type="paragraph" w:customStyle="1" w:styleId="MessageNotice">
    <w:name w:val="MessageNotice"/>
    <w:aliases w:val="mn"/>
    <w:basedOn w:val="OPCParaBase"/>
    <w:rsid w:val="004E3DB9"/>
    <w:pPr>
      <w:tabs>
        <w:tab w:val="left" w:pos="0"/>
      </w:tabs>
      <w:suppressAutoHyphens/>
      <w:jc w:val="both"/>
    </w:pPr>
    <w:rPr>
      <w:spacing w:val="-3"/>
      <w:sz w:val="28"/>
    </w:rPr>
  </w:style>
  <w:style w:type="paragraph" w:customStyle="1" w:styleId="Page1Pam">
    <w:name w:val="Page1Pam"/>
    <w:basedOn w:val="OPCParaBase"/>
    <w:next w:val="ShortT"/>
    <w:rsid w:val="004E3DB9"/>
    <w:pPr>
      <w:spacing w:before="1600" w:line="240" w:lineRule="auto"/>
    </w:pPr>
  </w:style>
  <w:style w:type="paragraph" w:customStyle="1" w:styleId="Pa12">
    <w:name w:val="Pa12"/>
    <w:basedOn w:val="Normal"/>
    <w:next w:val="Normal"/>
    <w:uiPriority w:val="99"/>
    <w:rsid w:val="004E3DB9"/>
    <w:pPr>
      <w:widowControl w:val="0"/>
      <w:autoSpaceDE w:val="0"/>
      <w:autoSpaceDN w:val="0"/>
      <w:adjustRightInd w:val="0"/>
      <w:spacing w:after="160" w:line="241" w:lineRule="atLeast"/>
    </w:pPr>
    <w:rPr>
      <w:rFonts w:ascii="Univers" w:eastAsia="SimSun" w:hAnsi="Univers" w:cs="Univers"/>
      <w:szCs w:val="24"/>
      <w:lang w:val="en-US" w:eastAsia="en-US"/>
    </w:rPr>
  </w:style>
  <w:style w:type="paragraph" w:customStyle="1" w:styleId="ListBulletlvl3">
    <w:name w:val="List Bullet lvl 3"/>
    <w:basedOn w:val="ListBullet"/>
    <w:qFormat/>
    <w:rsid w:val="004E3DB9"/>
    <w:pPr>
      <w:numPr>
        <w:ilvl w:val="2"/>
        <w:numId w:val="46"/>
      </w:numPr>
      <w:spacing w:before="120" w:after="120"/>
      <w:ind w:left="1077" w:hanging="357"/>
      <w:contextualSpacing w:val="0"/>
    </w:pPr>
    <w:rPr>
      <w:rFonts w:ascii="Calibri" w:eastAsia="Calibri" w:hAnsi="Calibri"/>
      <w:sz w:val="22"/>
      <w:szCs w:val="22"/>
      <w:lang w:eastAsia="en-US"/>
    </w:rPr>
  </w:style>
  <w:style w:type="paragraph" w:customStyle="1" w:styleId="ListBulletlvl4">
    <w:name w:val="List Bullet lvl 4"/>
    <w:basedOn w:val="ListBullet"/>
    <w:qFormat/>
    <w:rsid w:val="004E3DB9"/>
    <w:pPr>
      <w:numPr>
        <w:ilvl w:val="3"/>
        <w:numId w:val="46"/>
      </w:numPr>
      <w:spacing w:before="120" w:after="120"/>
      <w:contextualSpacing w:val="0"/>
    </w:pPr>
    <w:rPr>
      <w:rFonts w:ascii="Calibri" w:eastAsia="Calibri" w:hAnsi="Calibri"/>
      <w:sz w:val="22"/>
      <w:szCs w:val="22"/>
      <w:lang w:eastAsia="en-US"/>
    </w:rPr>
  </w:style>
  <w:style w:type="paragraph" w:customStyle="1" w:styleId="ListBulletlvl5">
    <w:name w:val="List Bullet lvl 5"/>
    <w:basedOn w:val="ListBullet"/>
    <w:qFormat/>
    <w:rsid w:val="004E3DB9"/>
    <w:pPr>
      <w:numPr>
        <w:ilvl w:val="4"/>
        <w:numId w:val="46"/>
      </w:numPr>
      <w:spacing w:before="120" w:after="120"/>
      <w:contextualSpacing w:val="0"/>
    </w:pPr>
    <w:rPr>
      <w:rFonts w:ascii="Calibri" w:eastAsia="Calibri" w:hAnsi="Calibri"/>
      <w:sz w:val="22"/>
      <w:szCs w:val="22"/>
      <w:lang w:eastAsia="en-US"/>
    </w:rPr>
  </w:style>
  <w:style w:type="paragraph" w:customStyle="1" w:styleId="ListBulletlvl6">
    <w:name w:val="List Bullet lvl 6"/>
    <w:basedOn w:val="ListBullet"/>
    <w:qFormat/>
    <w:rsid w:val="004E3DB9"/>
    <w:pPr>
      <w:numPr>
        <w:ilvl w:val="5"/>
        <w:numId w:val="46"/>
      </w:numPr>
      <w:spacing w:before="120" w:after="120"/>
      <w:contextualSpacing w:val="0"/>
    </w:pPr>
    <w:rPr>
      <w:rFonts w:ascii="Calibri" w:eastAsia="Calibri" w:hAnsi="Calibri"/>
      <w:sz w:val="22"/>
      <w:szCs w:val="22"/>
      <w:lang w:eastAsia="en-US"/>
    </w:rPr>
  </w:style>
  <w:style w:type="paragraph" w:customStyle="1" w:styleId="ListBulletlvl7">
    <w:name w:val="List Bullet lvl 7"/>
    <w:basedOn w:val="ListBullet"/>
    <w:qFormat/>
    <w:rsid w:val="004E3DB9"/>
    <w:pPr>
      <w:numPr>
        <w:ilvl w:val="6"/>
        <w:numId w:val="46"/>
      </w:numPr>
      <w:spacing w:before="120" w:after="120"/>
      <w:contextualSpacing w:val="0"/>
    </w:pPr>
    <w:rPr>
      <w:rFonts w:ascii="Calibri" w:eastAsia="Calibri" w:hAnsi="Calibri"/>
      <w:sz w:val="22"/>
      <w:szCs w:val="22"/>
      <w:lang w:eastAsia="en-US"/>
    </w:rPr>
  </w:style>
  <w:style w:type="paragraph" w:customStyle="1" w:styleId="ListBulletlvl8">
    <w:name w:val="List Bullet lvl 8"/>
    <w:basedOn w:val="ListBullet"/>
    <w:qFormat/>
    <w:rsid w:val="004E3DB9"/>
    <w:pPr>
      <w:numPr>
        <w:ilvl w:val="7"/>
        <w:numId w:val="46"/>
      </w:numPr>
      <w:spacing w:before="120" w:after="120"/>
      <w:contextualSpacing w:val="0"/>
    </w:pPr>
    <w:rPr>
      <w:rFonts w:ascii="Calibri" w:eastAsia="Calibri" w:hAnsi="Calibri"/>
      <w:sz w:val="22"/>
      <w:szCs w:val="22"/>
      <w:lang w:eastAsia="en-US"/>
    </w:rPr>
  </w:style>
  <w:style w:type="paragraph" w:customStyle="1" w:styleId="ListBulletlvl9">
    <w:name w:val="List Bullet lvl 9"/>
    <w:basedOn w:val="ListBullet"/>
    <w:qFormat/>
    <w:rsid w:val="004E3DB9"/>
    <w:pPr>
      <w:numPr>
        <w:ilvl w:val="8"/>
        <w:numId w:val="46"/>
      </w:numPr>
      <w:spacing w:before="120" w:after="120"/>
      <w:contextualSpacing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9718">
      <w:bodyDiv w:val="1"/>
      <w:marLeft w:val="0"/>
      <w:marRight w:val="0"/>
      <w:marTop w:val="0"/>
      <w:marBottom w:val="0"/>
      <w:divBdr>
        <w:top w:val="none" w:sz="0" w:space="0" w:color="auto"/>
        <w:left w:val="none" w:sz="0" w:space="0" w:color="auto"/>
        <w:bottom w:val="none" w:sz="0" w:space="0" w:color="auto"/>
        <w:right w:val="none" w:sz="0" w:space="0" w:color="auto"/>
      </w:divBdr>
    </w:div>
    <w:div w:id="695808452">
      <w:bodyDiv w:val="1"/>
      <w:marLeft w:val="0"/>
      <w:marRight w:val="0"/>
      <w:marTop w:val="0"/>
      <w:marBottom w:val="0"/>
      <w:divBdr>
        <w:top w:val="none" w:sz="0" w:space="0" w:color="auto"/>
        <w:left w:val="none" w:sz="0" w:space="0" w:color="auto"/>
        <w:bottom w:val="none" w:sz="0" w:space="0" w:color="auto"/>
        <w:right w:val="none" w:sz="0" w:space="0" w:color="auto"/>
      </w:divBdr>
    </w:div>
    <w:div w:id="960377758">
      <w:bodyDiv w:val="1"/>
      <w:marLeft w:val="0"/>
      <w:marRight w:val="0"/>
      <w:marTop w:val="0"/>
      <w:marBottom w:val="0"/>
      <w:divBdr>
        <w:top w:val="none" w:sz="0" w:space="0" w:color="auto"/>
        <w:left w:val="none" w:sz="0" w:space="0" w:color="auto"/>
        <w:bottom w:val="none" w:sz="0" w:space="0" w:color="auto"/>
        <w:right w:val="none" w:sz="0" w:space="0" w:color="auto"/>
      </w:divBdr>
      <w:divsChild>
        <w:div w:id="1302535922">
          <w:marLeft w:val="0"/>
          <w:marRight w:val="0"/>
          <w:marTop w:val="0"/>
          <w:marBottom w:val="0"/>
          <w:divBdr>
            <w:top w:val="none" w:sz="0" w:space="0" w:color="auto"/>
            <w:left w:val="none" w:sz="0" w:space="0" w:color="auto"/>
            <w:bottom w:val="none" w:sz="0" w:space="0" w:color="auto"/>
            <w:right w:val="none" w:sz="0" w:space="0" w:color="auto"/>
          </w:divBdr>
          <w:divsChild>
            <w:div w:id="1859467393">
              <w:marLeft w:val="0"/>
              <w:marRight w:val="0"/>
              <w:marTop w:val="0"/>
              <w:marBottom w:val="0"/>
              <w:divBdr>
                <w:top w:val="none" w:sz="0" w:space="0" w:color="auto"/>
                <w:left w:val="none" w:sz="0" w:space="0" w:color="auto"/>
                <w:bottom w:val="none" w:sz="0" w:space="0" w:color="auto"/>
                <w:right w:val="none" w:sz="0" w:space="0" w:color="auto"/>
              </w:divBdr>
              <w:divsChild>
                <w:div w:id="1698315208">
                  <w:marLeft w:val="0"/>
                  <w:marRight w:val="0"/>
                  <w:marTop w:val="0"/>
                  <w:marBottom w:val="0"/>
                  <w:divBdr>
                    <w:top w:val="none" w:sz="0" w:space="0" w:color="auto"/>
                    <w:left w:val="none" w:sz="0" w:space="0" w:color="auto"/>
                    <w:bottom w:val="none" w:sz="0" w:space="0" w:color="auto"/>
                    <w:right w:val="none" w:sz="0" w:space="0" w:color="auto"/>
                  </w:divBdr>
                  <w:divsChild>
                    <w:div w:id="1051885486">
                      <w:marLeft w:val="0"/>
                      <w:marRight w:val="0"/>
                      <w:marTop w:val="0"/>
                      <w:marBottom w:val="0"/>
                      <w:divBdr>
                        <w:top w:val="none" w:sz="0" w:space="0" w:color="auto"/>
                        <w:left w:val="none" w:sz="0" w:space="0" w:color="auto"/>
                        <w:bottom w:val="none" w:sz="0" w:space="0" w:color="auto"/>
                        <w:right w:val="none" w:sz="0" w:space="0" w:color="auto"/>
                      </w:divBdr>
                      <w:divsChild>
                        <w:div w:id="1647587780">
                          <w:marLeft w:val="0"/>
                          <w:marRight w:val="0"/>
                          <w:marTop w:val="0"/>
                          <w:marBottom w:val="0"/>
                          <w:divBdr>
                            <w:top w:val="none" w:sz="0" w:space="0" w:color="auto"/>
                            <w:left w:val="none" w:sz="0" w:space="0" w:color="auto"/>
                            <w:bottom w:val="none" w:sz="0" w:space="0" w:color="auto"/>
                            <w:right w:val="none" w:sz="0" w:space="0" w:color="auto"/>
                          </w:divBdr>
                          <w:divsChild>
                            <w:div w:id="2090543606">
                              <w:marLeft w:val="0"/>
                              <w:marRight w:val="0"/>
                              <w:marTop w:val="0"/>
                              <w:marBottom w:val="0"/>
                              <w:divBdr>
                                <w:top w:val="none" w:sz="0" w:space="0" w:color="auto"/>
                                <w:left w:val="none" w:sz="0" w:space="0" w:color="auto"/>
                                <w:bottom w:val="none" w:sz="0" w:space="0" w:color="auto"/>
                                <w:right w:val="none" w:sz="0" w:space="0" w:color="auto"/>
                              </w:divBdr>
                              <w:divsChild>
                                <w:div w:id="240912531">
                                  <w:marLeft w:val="0"/>
                                  <w:marRight w:val="0"/>
                                  <w:marTop w:val="0"/>
                                  <w:marBottom w:val="0"/>
                                  <w:divBdr>
                                    <w:top w:val="none" w:sz="0" w:space="0" w:color="auto"/>
                                    <w:left w:val="none" w:sz="0" w:space="0" w:color="auto"/>
                                    <w:bottom w:val="none" w:sz="0" w:space="0" w:color="auto"/>
                                    <w:right w:val="none" w:sz="0" w:space="0" w:color="auto"/>
                                  </w:divBdr>
                                  <w:divsChild>
                                    <w:div w:id="311762306">
                                      <w:marLeft w:val="0"/>
                                      <w:marRight w:val="0"/>
                                      <w:marTop w:val="0"/>
                                      <w:marBottom w:val="0"/>
                                      <w:divBdr>
                                        <w:top w:val="none" w:sz="0" w:space="0" w:color="auto"/>
                                        <w:left w:val="none" w:sz="0" w:space="0" w:color="auto"/>
                                        <w:bottom w:val="none" w:sz="0" w:space="0" w:color="auto"/>
                                        <w:right w:val="none" w:sz="0" w:space="0" w:color="auto"/>
                                      </w:divBdr>
                                      <w:divsChild>
                                        <w:div w:id="1388340912">
                                          <w:marLeft w:val="0"/>
                                          <w:marRight w:val="0"/>
                                          <w:marTop w:val="0"/>
                                          <w:marBottom w:val="0"/>
                                          <w:divBdr>
                                            <w:top w:val="none" w:sz="0" w:space="0" w:color="auto"/>
                                            <w:left w:val="none" w:sz="0" w:space="0" w:color="auto"/>
                                            <w:bottom w:val="none" w:sz="0" w:space="0" w:color="auto"/>
                                            <w:right w:val="none" w:sz="0" w:space="0" w:color="auto"/>
                                          </w:divBdr>
                                          <w:divsChild>
                                            <w:div w:id="1254241062">
                                              <w:marLeft w:val="0"/>
                                              <w:marRight w:val="0"/>
                                              <w:marTop w:val="0"/>
                                              <w:marBottom w:val="0"/>
                                              <w:divBdr>
                                                <w:top w:val="none" w:sz="0" w:space="0" w:color="auto"/>
                                                <w:left w:val="none" w:sz="0" w:space="0" w:color="auto"/>
                                                <w:bottom w:val="none" w:sz="0" w:space="0" w:color="auto"/>
                                                <w:right w:val="none" w:sz="0" w:space="0" w:color="auto"/>
                                              </w:divBdr>
                                              <w:divsChild>
                                                <w:div w:id="1011563186">
                                                  <w:marLeft w:val="0"/>
                                                  <w:marRight w:val="0"/>
                                                  <w:marTop w:val="0"/>
                                                  <w:marBottom w:val="0"/>
                                                  <w:divBdr>
                                                    <w:top w:val="none" w:sz="0" w:space="0" w:color="auto"/>
                                                    <w:left w:val="none" w:sz="0" w:space="0" w:color="auto"/>
                                                    <w:bottom w:val="none" w:sz="0" w:space="0" w:color="auto"/>
                                                    <w:right w:val="none" w:sz="0" w:space="0" w:color="auto"/>
                                                  </w:divBdr>
                                                  <w:divsChild>
                                                    <w:div w:id="1102064671">
                                                      <w:marLeft w:val="0"/>
                                                      <w:marRight w:val="0"/>
                                                      <w:marTop w:val="0"/>
                                                      <w:marBottom w:val="0"/>
                                                      <w:divBdr>
                                                        <w:top w:val="none" w:sz="0" w:space="0" w:color="auto"/>
                                                        <w:left w:val="none" w:sz="0" w:space="0" w:color="auto"/>
                                                        <w:bottom w:val="none" w:sz="0" w:space="0" w:color="auto"/>
                                                        <w:right w:val="none" w:sz="0" w:space="0" w:color="auto"/>
                                                      </w:divBdr>
                                                      <w:divsChild>
                                                        <w:div w:id="13004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C3DDEAF5-A0F4-4722-8B66-0FC49455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AE70A-B07C-4AEE-AB59-5DC33234C2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40D957-E2FA-464C-99A8-B4579589DEAF"/>
    <ds:schemaRef ds:uri="http://www.w3.org/XML/1998/namespace"/>
    <ds:schemaRef ds:uri="http://purl.org/dc/dcmitype/"/>
  </ds:schemaRefs>
</ds:datastoreItem>
</file>

<file path=customXml/itemProps4.xml><?xml version="1.0" encoding="utf-8"?>
<ds:datastoreItem xmlns:ds="http://schemas.openxmlformats.org/officeDocument/2006/customXml" ds:itemID="{FD941237-3A2E-4DFC-A82C-EA3B3345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7836</Words>
  <Characters>44086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51819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Chenoweth, Jack</dc:creator>
  <cp:lastModifiedBy>NG, Jason</cp:lastModifiedBy>
  <cp:revision>3</cp:revision>
  <cp:lastPrinted>2019-03-21T05:01:00Z</cp:lastPrinted>
  <dcterms:created xsi:type="dcterms:W3CDTF">2020-11-26T23:36:00Z</dcterms:created>
  <dcterms:modified xsi:type="dcterms:W3CDTF">2020-11-27T00:13:00Z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39455971</vt:lpwstr>
  </property>
  <property fmtid="{D5CDD505-2E9C-101B-9397-08002B2CF9AE}" pid="3" name="ContentTypeId">
    <vt:lpwstr>0x010100266966F133664895A6EE3632470D45F500F51ACEB2B9F6A04288F37A857CC41924</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heckforsharepointfields">
    <vt:lpwstr>True</vt:lpwstr>
  </property>
  <property fmtid="{D5CDD505-2E9C-101B-9397-08002B2CF9AE}" pid="7" name="Template Filename">
    <vt:lpwstr/>
  </property>
</Properties>
</file>