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3FF1B" w14:textId="48301829"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 xml:space="preserve">EXPLANATORY </w:t>
      </w:r>
      <w:r w:rsidR="00C01289">
        <w:rPr>
          <w:rFonts w:ascii="Times New Roman" w:hAnsi="Times New Roman"/>
          <w:sz w:val="24"/>
          <w:szCs w:val="24"/>
        </w:rPr>
        <w:t>STATEMENT</w:t>
      </w:r>
    </w:p>
    <w:p w14:paraId="57737B74" w14:textId="68587003" w:rsidR="00F109D4" w:rsidRDefault="00DE0CE5" w:rsidP="003C7907">
      <w:pPr>
        <w:jc w:val="center"/>
        <w:rPr>
          <w:i/>
        </w:rPr>
      </w:pPr>
      <w:r>
        <w:rPr>
          <w:i/>
        </w:rPr>
        <w:t>Coronavirus Economic Response Package (Payments and Benefits) Act 2020</w:t>
      </w:r>
    </w:p>
    <w:p w14:paraId="04540369" w14:textId="3B3F75F2" w:rsidR="00F109D4" w:rsidRPr="00503E44" w:rsidRDefault="00F7441F" w:rsidP="00AA1689">
      <w:pPr>
        <w:tabs>
          <w:tab w:val="left" w:pos="1418"/>
        </w:tabs>
        <w:spacing w:before="0"/>
        <w:jc w:val="center"/>
        <w:rPr>
          <w:i/>
        </w:rPr>
      </w:pPr>
      <w:r w:rsidRPr="00505536">
        <w:rPr>
          <w:i/>
        </w:rPr>
        <w:t>Coronavirus Economic Response Package (Payments and Benefits) Amendment Rules (</w:t>
      </w:r>
      <w:r w:rsidR="00505536" w:rsidRPr="00505536">
        <w:rPr>
          <w:i/>
        </w:rPr>
        <w:t>No. 9</w:t>
      </w:r>
      <w:r w:rsidRPr="00505536">
        <w:rPr>
          <w:i/>
        </w:rPr>
        <w:t>) 2020</w:t>
      </w:r>
    </w:p>
    <w:p w14:paraId="261386B2" w14:textId="28936539" w:rsidR="00F109D4" w:rsidRDefault="00C55D29" w:rsidP="00647BB7">
      <w:r w:rsidRPr="00503E44">
        <w:t xml:space="preserve">Section </w:t>
      </w:r>
      <w:r w:rsidR="00DE0CE5">
        <w:t>20</w:t>
      </w:r>
      <w:r w:rsidR="005E4BAC">
        <w:t xml:space="preserve"> </w:t>
      </w:r>
      <w:r w:rsidR="00F109D4" w:rsidRPr="00503E44">
        <w:t xml:space="preserve">of the </w:t>
      </w:r>
      <w:r w:rsidR="00DE0CE5" w:rsidRPr="006152FD">
        <w:rPr>
          <w:i/>
        </w:rPr>
        <w:t>Coronavirus Economic Response Package (Payments and Benefits) Act 2020</w:t>
      </w:r>
      <w:r w:rsidR="00F109D4" w:rsidRPr="00503E44">
        <w:t xml:space="preserve"> (the Act) provides that the </w:t>
      </w:r>
      <w:r w:rsidR="00DE0CE5">
        <w:t>Treasurer</w:t>
      </w:r>
      <w:r w:rsidR="00F109D4" w:rsidRPr="00503E44">
        <w:t xml:space="preserve"> may make </w:t>
      </w:r>
      <w:r w:rsidR="00DE0CE5">
        <w:t>rules</w:t>
      </w:r>
      <w:r w:rsidR="00F109D4" w:rsidRPr="00503E44">
        <w:t xml:space="preserve"> prescribing matters required or permitted by the Act to be prescribed, or necessary or convenient to be prescribed for carrying out or giving effect to the Act.</w:t>
      </w:r>
    </w:p>
    <w:p w14:paraId="355F4AFB" w14:textId="2D9CD2D2" w:rsidR="006152FD" w:rsidRDefault="006152FD" w:rsidP="00647BB7">
      <w:pPr>
        <w:rPr>
          <w:color w:val="000000"/>
          <w:shd w:val="clear" w:color="auto" w:fill="FFFFFF"/>
        </w:rPr>
      </w:pPr>
      <w:r>
        <w:rPr>
          <w:color w:val="000000"/>
          <w:shd w:val="clear" w:color="auto" w:fill="FFFFFF"/>
        </w:rPr>
        <w:t>The object of the Act is to provide financial support to entities to assist with the impact of the Coronavirus known as COVID-19. In particular, the Act establishes a framework for the Treasurer to make rules about one or more kinds of payments to an entity.</w:t>
      </w:r>
    </w:p>
    <w:p w14:paraId="6D3B322B" w14:textId="6EA70B4C" w:rsidR="001126EA" w:rsidRPr="001126EA" w:rsidRDefault="006152FD" w:rsidP="006152FD">
      <w:pPr>
        <w:pStyle w:val="bullet0"/>
        <w:shd w:val="clear" w:color="auto" w:fill="FFFFFF"/>
        <w:spacing w:before="240" w:beforeAutospacing="0" w:after="120" w:afterAutospacing="0"/>
        <w:rPr>
          <w:color w:val="000000"/>
        </w:rPr>
      </w:pPr>
      <w:r>
        <w:rPr>
          <w:color w:val="000000"/>
        </w:rPr>
        <w:t>As part of the 2020-21 Budget, the Australian Government announced</w:t>
      </w:r>
      <w:r w:rsidR="002F49C7">
        <w:rPr>
          <w:color w:val="000000"/>
        </w:rPr>
        <w:t xml:space="preserve"> </w:t>
      </w:r>
      <w:r w:rsidR="002F49C7">
        <w:t xml:space="preserve">the </w:t>
      </w:r>
      <w:proofErr w:type="spellStart"/>
      <w:r w:rsidR="002F49C7">
        <w:t>JobMaker</w:t>
      </w:r>
      <w:proofErr w:type="spellEnd"/>
      <w:r w:rsidR="002F49C7">
        <w:t xml:space="preserve"> </w:t>
      </w:r>
      <w:r w:rsidR="00746136">
        <w:t xml:space="preserve">Hiring Credit </w:t>
      </w:r>
      <w:r w:rsidR="009B226A">
        <w:t xml:space="preserve">payment </w:t>
      </w:r>
      <w:r w:rsidR="002F49C7">
        <w:t>which will support businesses to hire additional employees</w:t>
      </w:r>
      <w:r w:rsidR="001126EA">
        <w:t xml:space="preserve"> where they otherwise may not have done so</w:t>
      </w:r>
      <w:r w:rsidR="002F49C7">
        <w:t xml:space="preserve"> and expand their organisation to</w:t>
      </w:r>
      <w:r w:rsidR="001126EA">
        <w:t xml:space="preserve"> provide </w:t>
      </w:r>
      <w:r w:rsidR="002F49C7" w:rsidRPr="002005A5">
        <w:t>young people</w:t>
      </w:r>
      <w:r w:rsidR="001126EA">
        <w:t xml:space="preserve"> with</w:t>
      </w:r>
      <w:r w:rsidR="002F49C7" w:rsidRPr="002005A5">
        <w:t xml:space="preserve"> access</w:t>
      </w:r>
      <w:r w:rsidR="001126EA">
        <w:t xml:space="preserve"> to</w:t>
      </w:r>
      <w:r w:rsidR="002F49C7" w:rsidRPr="002005A5">
        <w:t xml:space="preserve"> new </w:t>
      </w:r>
      <w:r w:rsidR="002F49C7">
        <w:t>employment</w:t>
      </w:r>
      <w:r w:rsidR="002F49C7" w:rsidRPr="002005A5">
        <w:t xml:space="preserve"> opportunities as the economy recovers from </w:t>
      </w:r>
      <w:r w:rsidR="002F49C7">
        <w:t>the Coronavirus</w:t>
      </w:r>
      <w:r w:rsidR="002F49C7">
        <w:rPr>
          <w:color w:val="000000"/>
        </w:rPr>
        <w:t>.</w:t>
      </w:r>
    </w:p>
    <w:p w14:paraId="73B56C7C" w14:textId="3AB0BDB9" w:rsidR="006152FD" w:rsidRDefault="00E428A7" w:rsidP="006152FD">
      <w:pPr>
        <w:pStyle w:val="bullet0"/>
        <w:shd w:val="clear" w:color="auto" w:fill="FFFFFF"/>
        <w:spacing w:before="240" w:beforeAutospacing="0" w:after="120" w:afterAutospacing="0"/>
        <w:rPr>
          <w:color w:val="000000"/>
        </w:rPr>
      </w:pPr>
      <w:r>
        <w:rPr>
          <w:color w:val="000000"/>
        </w:rPr>
        <w:t xml:space="preserve">The </w:t>
      </w:r>
      <w:r w:rsidR="00F7441F" w:rsidRPr="00F7441F">
        <w:rPr>
          <w:color w:val="000000"/>
        </w:rPr>
        <w:t>Corona</w:t>
      </w:r>
      <w:r w:rsidR="00F7441F" w:rsidRPr="00505536">
        <w:rPr>
          <w:color w:val="000000"/>
        </w:rPr>
        <w:t>virus Economic Response Package (Payments and Benefits) Amendment Rules (</w:t>
      </w:r>
      <w:r w:rsidR="00505536" w:rsidRPr="00505536">
        <w:rPr>
          <w:color w:val="000000"/>
        </w:rPr>
        <w:t>No. 9</w:t>
      </w:r>
      <w:r w:rsidR="00F7441F" w:rsidRPr="00505536">
        <w:rPr>
          <w:color w:val="000000"/>
        </w:rPr>
        <w:t xml:space="preserve">) 2020 </w:t>
      </w:r>
      <w:r>
        <w:rPr>
          <w:color w:val="000000"/>
        </w:rPr>
        <w:t>(</w:t>
      </w:r>
      <w:r>
        <w:rPr>
          <w:color w:val="000000"/>
          <w:shd w:val="clear" w:color="auto" w:fill="FFFFFF"/>
        </w:rPr>
        <w:t>Amending</w:t>
      </w:r>
      <w:r w:rsidR="000A5439">
        <w:rPr>
          <w:color w:val="000000"/>
          <w:shd w:val="clear" w:color="auto" w:fill="FFFFFF"/>
        </w:rPr>
        <w:t xml:space="preserve"> </w:t>
      </w:r>
      <w:r>
        <w:rPr>
          <w:color w:val="000000"/>
          <w:shd w:val="clear" w:color="auto" w:fill="FFFFFF"/>
        </w:rPr>
        <w:t>Rules</w:t>
      </w:r>
      <w:r w:rsidR="000A5439">
        <w:rPr>
          <w:color w:val="000000"/>
          <w:shd w:val="clear" w:color="auto" w:fill="FFFFFF"/>
        </w:rPr>
        <w:t xml:space="preserve"> No. 9</w:t>
      </w:r>
      <w:r>
        <w:rPr>
          <w:color w:val="000000"/>
        </w:rPr>
        <w:t xml:space="preserve">) amend </w:t>
      </w:r>
      <w:r w:rsidR="006152FD">
        <w:rPr>
          <w:color w:val="000000"/>
        </w:rPr>
        <w:t>the </w:t>
      </w:r>
      <w:r w:rsidR="006152FD">
        <w:rPr>
          <w:i/>
          <w:iCs/>
          <w:color w:val="000000"/>
        </w:rPr>
        <w:t>Coronavirus Economic Response Package (Payments and Benefits) Rules 2020</w:t>
      </w:r>
      <w:r w:rsidR="006152FD">
        <w:rPr>
          <w:color w:val="000000"/>
        </w:rPr>
        <w:t> (the</w:t>
      </w:r>
      <w:r>
        <w:rPr>
          <w:color w:val="000000"/>
        </w:rPr>
        <w:t xml:space="preserve"> </w:t>
      </w:r>
      <w:r w:rsidR="006152FD">
        <w:rPr>
          <w:color w:val="000000"/>
        </w:rPr>
        <w:t xml:space="preserve">Rules) </w:t>
      </w:r>
      <w:r>
        <w:rPr>
          <w:color w:val="000000"/>
        </w:rPr>
        <w:t xml:space="preserve">to </w:t>
      </w:r>
      <w:r w:rsidR="006152FD">
        <w:rPr>
          <w:color w:val="000000"/>
        </w:rPr>
        <w:t xml:space="preserve">establish the </w:t>
      </w:r>
      <w:proofErr w:type="spellStart"/>
      <w:r w:rsidR="002F49C7">
        <w:rPr>
          <w:color w:val="000000"/>
        </w:rPr>
        <w:t>JobMaker</w:t>
      </w:r>
      <w:proofErr w:type="spellEnd"/>
      <w:r w:rsidR="006152FD">
        <w:rPr>
          <w:color w:val="000000"/>
        </w:rPr>
        <w:t xml:space="preserve"> </w:t>
      </w:r>
      <w:r w:rsidR="00EA3AA7">
        <w:rPr>
          <w:color w:val="000000"/>
        </w:rPr>
        <w:t>scheme</w:t>
      </w:r>
      <w:r w:rsidR="006152FD">
        <w:rPr>
          <w:color w:val="000000"/>
        </w:rPr>
        <w:t xml:space="preserve"> and specify details about the </w:t>
      </w:r>
      <w:r w:rsidR="00EA3AA7">
        <w:rPr>
          <w:color w:val="000000"/>
        </w:rPr>
        <w:t>scheme</w:t>
      </w:r>
      <w:r w:rsidR="006152FD">
        <w:rPr>
          <w:color w:val="000000"/>
        </w:rPr>
        <w:t>, including:</w:t>
      </w:r>
    </w:p>
    <w:p w14:paraId="1EF2CA0A" w14:textId="26385B0C" w:rsidR="006152FD" w:rsidRPr="00587677" w:rsidRDefault="006152FD" w:rsidP="00EC5901">
      <w:pPr>
        <w:pStyle w:val="Dotpoint"/>
        <w:numPr>
          <w:ilvl w:val="0"/>
          <w:numId w:val="14"/>
        </w:numPr>
        <w:spacing w:before="120" w:after="120"/>
        <w:ind w:left="714" w:hanging="357"/>
      </w:pPr>
      <w:r>
        <w:t xml:space="preserve">the start and end date of the </w:t>
      </w:r>
      <w:r w:rsidR="00EA3AA7">
        <w:t>scheme</w:t>
      </w:r>
      <w:r>
        <w:t>;</w:t>
      </w:r>
    </w:p>
    <w:p w14:paraId="633DA9F0" w14:textId="38003878" w:rsidR="006152FD" w:rsidRDefault="006152FD" w:rsidP="00EC5901">
      <w:pPr>
        <w:pStyle w:val="Dotpoint"/>
        <w:numPr>
          <w:ilvl w:val="0"/>
          <w:numId w:val="14"/>
        </w:numPr>
        <w:spacing w:before="120" w:after="120"/>
        <w:ind w:left="714" w:hanging="357"/>
      </w:pPr>
      <w:r>
        <w:t>when an employer or business is entitled to a payment;</w:t>
      </w:r>
    </w:p>
    <w:p w14:paraId="4FAD40E4" w14:textId="33CA8351" w:rsidR="006152FD" w:rsidRDefault="006152FD" w:rsidP="00EC5901">
      <w:pPr>
        <w:pStyle w:val="Dotpoint"/>
        <w:numPr>
          <w:ilvl w:val="0"/>
          <w:numId w:val="14"/>
        </w:numPr>
        <w:spacing w:before="120" w:after="120"/>
        <w:ind w:left="714" w:hanging="357"/>
      </w:pPr>
      <w:r>
        <w:t>the amount and timing of a payment; and</w:t>
      </w:r>
    </w:p>
    <w:p w14:paraId="237006E1" w14:textId="7D821D97" w:rsidR="002C226C" w:rsidRPr="006152FD" w:rsidRDefault="006152FD" w:rsidP="00EC5901">
      <w:pPr>
        <w:pStyle w:val="Dotpoint"/>
        <w:numPr>
          <w:ilvl w:val="0"/>
          <w:numId w:val="14"/>
        </w:numPr>
        <w:spacing w:before="120" w:after="120"/>
        <w:ind w:left="714" w:hanging="357"/>
      </w:pPr>
      <w:proofErr w:type="gramStart"/>
      <w:r>
        <w:t>other</w:t>
      </w:r>
      <w:proofErr w:type="gramEnd"/>
      <w:r>
        <w:t xml:space="preserve"> matters relevant to the administration of the payment.</w:t>
      </w:r>
    </w:p>
    <w:p w14:paraId="680256DD" w14:textId="04E11F19" w:rsidR="00EA3AA7" w:rsidRDefault="004D21FE" w:rsidP="002C226C">
      <w:r>
        <w:t>T</w:t>
      </w:r>
      <w:r w:rsidR="00EA3AA7">
        <w:t xml:space="preserve">he amount of the </w:t>
      </w:r>
      <w:proofErr w:type="spellStart"/>
      <w:r w:rsidR="00EA3AA7">
        <w:t>JobMaker</w:t>
      </w:r>
      <w:proofErr w:type="spellEnd"/>
      <w:r w:rsidR="00EA3AA7">
        <w:t xml:space="preserve"> </w:t>
      </w:r>
      <w:r w:rsidR="002E6333">
        <w:t>Hiring Credit</w:t>
      </w:r>
      <w:r w:rsidR="00EA3AA7">
        <w:t xml:space="preserve"> </w:t>
      </w:r>
      <w:r w:rsidR="009B226A">
        <w:t xml:space="preserve">payment </w:t>
      </w:r>
      <w:r w:rsidR="00EA3AA7">
        <w:t>depends on the age of the eligible employee when they commence employment with the entity</w:t>
      </w:r>
      <w:r w:rsidR="002E6333">
        <w:t xml:space="preserve">. An entity may receive up to </w:t>
      </w:r>
      <w:r w:rsidR="00EA3AA7">
        <w:t xml:space="preserve">$200 </w:t>
      </w:r>
      <w:r w:rsidR="002E6333">
        <w:t xml:space="preserve">per week </w:t>
      </w:r>
      <w:r w:rsidR="00EA3AA7">
        <w:t xml:space="preserve">for each eligible </w:t>
      </w:r>
      <w:r w:rsidR="002E6333">
        <w:t xml:space="preserve">additional </w:t>
      </w:r>
      <w:r w:rsidR="00EA3AA7">
        <w:t>employee aged 16 to 29 years and</w:t>
      </w:r>
      <w:r w:rsidR="002E6333">
        <w:t xml:space="preserve"> up to</w:t>
      </w:r>
      <w:r w:rsidR="00EA3AA7">
        <w:t xml:space="preserve"> $100 </w:t>
      </w:r>
      <w:r w:rsidR="002E6333">
        <w:t xml:space="preserve">per week </w:t>
      </w:r>
      <w:r w:rsidR="00EA3AA7">
        <w:t xml:space="preserve">for each eligible </w:t>
      </w:r>
      <w:r w:rsidR="002E6333">
        <w:t xml:space="preserve">additional </w:t>
      </w:r>
      <w:r w:rsidR="00EA3AA7">
        <w:t xml:space="preserve">employee aged 30 to 35 years. </w:t>
      </w:r>
    </w:p>
    <w:p w14:paraId="4E4751AC" w14:textId="0F0FF548" w:rsidR="00D76B56" w:rsidRDefault="00D76B56" w:rsidP="00D76B56">
      <w:pPr>
        <w:pStyle w:val="Bullet"/>
        <w:numPr>
          <w:ilvl w:val="0"/>
          <w:numId w:val="0"/>
        </w:numPr>
        <w:spacing w:before="0" w:after="160" w:line="252" w:lineRule="auto"/>
        <w:rPr>
          <w:b/>
          <w:bCs/>
          <w:sz w:val="20"/>
        </w:rPr>
      </w:pPr>
      <w:r>
        <w:t xml:space="preserve">The </w:t>
      </w:r>
      <w:proofErr w:type="spellStart"/>
      <w:r w:rsidR="00A22264">
        <w:t>JobMa</w:t>
      </w:r>
      <w:r>
        <w:t>ker</w:t>
      </w:r>
      <w:proofErr w:type="spellEnd"/>
      <w:r>
        <w:t xml:space="preserve"> Hiring Credit payment is targeted at younger people </w:t>
      </w:r>
      <w:r w:rsidR="00623AA0">
        <w:t xml:space="preserve">as they have been </w:t>
      </w:r>
      <w:proofErr w:type="gramStart"/>
      <w:r w:rsidR="00623AA0">
        <w:t>disproportionately</w:t>
      </w:r>
      <w:proofErr w:type="gramEnd"/>
      <w:r w:rsidR="00623AA0">
        <w:t xml:space="preserve"> impacted by </w:t>
      </w:r>
      <w:r>
        <w:t>the COVID-19 pandemic.</w:t>
      </w:r>
    </w:p>
    <w:p w14:paraId="31362FAA" w14:textId="77777777" w:rsidR="002F0D1C" w:rsidRDefault="002F0D1C" w:rsidP="002F0D1C">
      <w:pPr>
        <w:rPr>
          <w:szCs w:val="24"/>
        </w:rPr>
      </w:pPr>
      <w:r>
        <w:t xml:space="preserve">As at October 2020 and compared to March 2020: </w:t>
      </w:r>
    </w:p>
    <w:p w14:paraId="06CF4E06" w14:textId="4B477236" w:rsidR="002F0D1C" w:rsidRDefault="002F0D1C" w:rsidP="006A48B4">
      <w:pPr>
        <w:pStyle w:val="Dotpoint"/>
        <w:numPr>
          <w:ilvl w:val="0"/>
          <w:numId w:val="14"/>
        </w:numPr>
        <w:spacing w:before="120" w:after="120"/>
        <w:ind w:left="714" w:hanging="357"/>
        <w:rPr>
          <w:rFonts w:ascii="Calibri" w:hAnsi="Calibri" w:cs="Calibri"/>
          <w:sz w:val="22"/>
          <w:szCs w:val="22"/>
          <w:lang w:eastAsia="en-US"/>
        </w:rPr>
      </w:pPr>
      <w:r>
        <w:t>youth employment (aged 15 to 34 years) ha</w:t>
      </w:r>
      <w:r w:rsidR="007D5922">
        <w:t>d</w:t>
      </w:r>
      <w:r>
        <w:t xml:space="preserve"> fallen by 210,000 (or 4.2 per cent) and the youth unemployment rate stood at 10.6 per cent for those aged 15 to 34 years and 15.6 per cent for those aged 15 to 24 years, compared to 7.0 pe</w:t>
      </w:r>
      <w:r w:rsidR="002B6D82">
        <w:t>r cent for the whole population; and</w:t>
      </w:r>
    </w:p>
    <w:p w14:paraId="59F0F7AC" w14:textId="0EF55816" w:rsidR="002F0D1C" w:rsidRDefault="002F0D1C" w:rsidP="006A48B4">
      <w:pPr>
        <w:pStyle w:val="Dotpoint"/>
        <w:numPr>
          <w:ilvl w:val="0"/>
          <w:numId w:val="14"/>
        </w:numPr>
        <w:spacing w:before="120" w:after="120"/>
        <w:ind w:left="714" w:hanging="357"/>
        <w:rPr>
          <w:sz w:val="20"/>
        </w:rPr>
      </w:pPr>
      <w:proofErr w:type="gramStart"/>
      <w:r>
        <w:t>employment</w:t>
      </w:r>
      <w:proofErr w:type="gramEnd"/>
      <w:r>
        <w:t xml:space="preserve"> for those aged 35 and over ha</w:t>
      </w:r>
      <w:r w:rsidR="007D5922">
        <w:t>d</w:t>
      </w:r>
      <w:r>
        <w:t xml:space="preserve"> fallen by 13,200 persons (down 0.2 per cent)</w:t>
      </w:r>
      <w:r w:rsidR="002B6D82">
        <w:t>.</w:t>
      </w:r>
    </w:p>
    <w:p w14:paraId="0C5A63DE" w14:textId="75410EFE" w:rsidR="002F0D1C" w:rsidRDefault="002F0D1C" w:rsidP="002F0D1C">
      <w:pPr>
        <w:pStyle w:val="Dash"/>
        <w:numPr>
          <w:ilvl w:val="0"/>
          <w:numId w:val="0"/>
        </w:numPr>
        <w:spacing w:before="0"/>
      </w:pPr>
      <w:r>
        <w:lastRenderedPageBreak/>
        <w:t>While the 15 to 34 year old cohort represent</w:t>
      </w:r>
      <w:r w:rsidR="007D5922">
        <w:t>ed</w:t>
      </w:r>
      <w:r>
        <w:t xml:space="preserve"> around 40 per cent of those that are employed, it accounts for around 95 per cent of the total fall in employment over this period. </w:t>
      </w:r>
    </w:p>
    <w:p w14:paraId="02B60216" w14:textId="77777777" w:rsidR="002F0D1C" w:rsidRDefault="002F0D1C" w:rsidP="002F0D1C">
      <w:pPr>
        <w:pStyle w:val="Bullet"/>
        <w:numPr>
          <w:ilvl w:val="0"/>
          <w:numId w:val="0"/>
        </w:numPr>
        <w:spacing w:before="0"/>
      </w:pPr>
      <w:r>
        <w:t>The experience from past recessions shows that it takes a particularly long time for youth employment to recover. It took nearly 10 years after the early 1990s recession to get the unemployment rate to return to pre-recession levels and it took 15 years to get employment for young people back to where it started.</w:t>
      </w:r>
    </w:p>
    <w:p w14:paraId="1B7AAF94" w14:textId="77777777" w:rsidR="002F0D1C" w:rsidRDefault="002F0D1C" w:rsidP="002F0D1C">
      <w:pPr>
        <w:pStyle w:val="Bullet"/>
        <w:numPr>
          <w:ilvl w:val="0"/>
          <w:numId w:val="0"/>
        </w:numPr>
        <w:spacing w:before="0"/>
      </w:pPr>
      <w:r>
        <w:t xml:space="preserve">In addition to the significant number of young people who have lost employment this year, there are large numbers of young people entering the labour force each year who are likely to struggle to access employment in the current climate. For example, job advertisements for graduate positions and internships have fallen 29 per cent in the year-to-September 2020 (Burning Glass Technologies 2020). </w:t>
      </w:r>
    </w:p>
    <w:p w14:paraId="4CAE9357" w14:textId="77777777" w:rsidR="002F0D1C" w:rsidRDefault="002F0D1C" w:rsidP="002F0D1C">
      <w:pPr>
        <w:pStyle w:val="Bullet"/>
        <w:numPr>
          <w:ilvl w:val="0"/>
          <w:numId w:val="0"/>
        </w:numPr>
        <w:spacing w:before="0" w:after="160" w:line="252" w:lineRule="auto"/>
        <w:rPr>
          <w:b/>
          <w:bCs/>
        </w:rPr>
      </w:pPr>
      <w:r>
        <w:t xml:space="preserve">Young people have a larger share of working years ahead of them. The long-term economic costs of becoming disconnected from the labour market is, therefore, much greater for young people. </w:t>
      </w:r>
    </w:p>
    <w:p w14:paraId="60574187" w14:textId="77777777" w:rsidR="002F0D1C" w:rsidRDefault="002F0D1C" w:rsidP="002F0D1C">
      <w:pPr>
        <w:pStyle w:val="Dotpoint"/>
        <w:tabs>
          <w:tab w:val="clear" w:pos="360"/>
        </w:tabs>
        <w:ind w:left="0" w:firstLine="0"/>
        <w:rPr>
          <w:b/>
          <w:bCs/>
        </w:rPr>
      </w:pPr>
      <w:r>
        <w:t>Older workers will also generally have more substantial work experience to support them finding re</w:t>
      </w:r>
      <w:r>
        <w:noBreakHyphen/>
        <w:t>employment.</w:t>
      </w:r>
    </w:p>
    <w:p w14:paraId="0E79B87B" w14:textId="4A0870AB" w:rsidR="002F0D1C" w:rsidRDefault="002F0D1C" w:rsidP="002F0D1C">
      <w:r>
        <w:t xml:space="preserve">Expanding employment </w:t>
      </w:r>
      <w:r w:rsidR="008C45B9">
        <w:t>opportunities</w:t>
      </w:r>
      <w:r>
        <w:t xml:space="preserve"> will reduce the ‘scarring effects’ of an extended period of unemployment for people that have lost employment or are yet to gain employment. There are direct impacts for the individual through long-term reductions in earnings and employment outcomes as well as negative health and social impacts. There are broader economic losses in terms of human capital, lower levels of income, consumption and productivity.</w:t>
      </w:r>
    </w:p>
    <w:p w14:paraId="38E2E0C5" w14:textId="11086378" w:rsidR="00C01289" w:rsidRDefault="00C01289" w:rsidP="001F207E">
      <w:r>
        <w:t xml:space="preserve">A four week public consultation was undertaken on the draft Rules. </w:t>
      </w:r>
      <w:r w:rsidR="00F96BBC">
        <w:t xml:space="preserve">Feedback received during consultation </w:t>
      </w:r>
      <w:r w:rsidR="00EB03F7">
        <w:t xml:space="preserve">broadly </w:t>
      </w:r>
      <w:r w:rsidR="00F96BBC">
        <w:t xml:space="preserve">supported the </w:t>
      </w:r>
      <w:r w:rsidR="00B955C6">
        <w:t>proposed amendments</w:t>
      </w:r>
      <w:r w:rsidR="001F207E">
        <w:t>, although some concerns were raised around complexity for small businesses. C</w:t>
      </w:r>
      <w:r w:rsidR="00F96BBC">
        <w:t xml:space="preserve">hanges </w:t>
      </w:r>
      <w:r w:rsidR="001F207E">
        <w:t xml:space="preserve">have been made in response to this feedback to </w:t>
      </w:r>
      <w:r w:rsidR="00F96BBC">
        <w:t xml:space="preserve">clarify </w:t>
      </w:r>
      <w:r w:rsidR="00EB03F7">
        <w:t xml:space="preserve">certain </w:t>
      </w:r>
      <w:r w:rsidR="00F96BBC">
        <w:t>provisions and</w:t>
      </w:r>
      <w:r w:rsidR="00EB03F7">
        <w:t xml:space="preserve"> to </w:t>
      </w:r>
      <w:r w:rsidR="00F82224">
        <w:t xml:space="preserve">reduce complexity </w:t>
      </w:r>
      <w:r w:rsidR="007F3D7F">
        <w:t xml:space="preserve">where </w:t>
      </w:r>
      <w:r w:rsidR="00EB03F7">
        <w:t xml:space="preserve">possible. </w:t>
      </w:r>
      <w:r w:rsidR="003E5ABB">
        <w:t>While some complexity in the provisions is unavoidable</w:t>
      </w:r>
      <w:r w:rsidR="00EB03F7">
        <w:t>, in particular in relation to the ‘</w:t>
      </w:r>
      <w:proofErr w:type="spellStart"/>
      <w:r w:rsidR="00EB03F7">
        <w:t>additionality</w:t>
      </w:r>
      <w:proofErr w:type="spellEnd"/>
      <w:r w:rsidR="00EB03F7">
        <w:t>’ requirements</w:t>
      </w:r>
      <w:r w:rsidR="00D76B56">
        <w:t xml:space="preserve">, much of </w:t>
      </w:r>
      <w:r w:rsidR="00162E1B">
        <w:t xml:space="preserve">the </w:t>
      </w:r>
      <w:r w:rsidR="003E5ABB">
        <w:t xml:space="preserve">practical implications </w:t>
      </w:r>
      <w:r w:rsidR="00D76B56">
        <w:t xml:space="preserve">will be resolved through the Australian Taxation Office’s </w:t>
      </w:r>
      <w:r w:rsidR="008C45B9">
        <w:t xml:space="preserve">proposed </w:t>
      </w:r>
      <w:r w:rsidR="00D76B56">
        <w:t>administration of the scheme.</w:t>
      </w:r>
    </w:p>
    <w:p w14:paraId="0DC49F48" w14:textId="4347AEE8" w:rsidR="00CC4E5A" w:rsidRDefault="00CC4E5A" w:rsidP="002C226C">
      <w:r>
        <w:rPr>
          <w:color w:val="000000"/>
          <w:shd w:val="clear" w:color="auto" w:fill="FFFFFF"/>
        </w:rPr>
        <w:t>An exemption from Regulation Impact Statement requirements was granted by the Prime Minister as there were urgent and unforeseen events.</w:t>
      </w:r>
    </w:p>
    <w:p w14:paraId="1BC49D1D" w14:textId="08A697E7" w:rsidR="00C37E05" w:rsidRDefault="00D76634" w:rsidP="002C226C">
      <w:r>
        <w:t>The Act specifies no conditions that must be met before the power to</w:t>
      </w:r>
      <w:r w:rsidR="00107629">
        <w:t xml:space="preserve"> </w:t>
      </w:r>
      <w:r w:rsidR="0048466C">
        <w:t>make</w:t>
      </w:r>
      <w:r w:rsidR="00107629">
        <w:t xml:space="preserve"> the </w:t>
      </w:r>
      <w:r w:rsidR="007279D2">
        <w:rPr>
          <w:color w:val="000000"/>
          <w:shd w:val="clear" w:color="auto" w:fill="FFFFFF"/>
        </w:rPr>
        <w:t xml:space="preserve">Amending Rules No. 9 </w:t>
      </w:r>
      <w:r>
        <w:t>can be exercised.</w:t>
      </w:r>
    </w:p>
    <w:p w14:paraId="4209C80F" w14:textId="2A9C4B6E" w:rsidR="002C226C" w:rsidRDefault="002C226C" w:rsidP="002C226C">
      <w:r>
        <w:t xml:space="preserve">Details of the </w:t>
      </w:r>
      <w:r w:rsidR="00E428A7">
        <w:t xml:space="preserve">Amending </w:t>
      </w:r>
      <w:r w:rsidR="00107629">
        <w:t>Rules</w:t>
      </w:r>
      <w:r w:rsidR="00EB2AEF">
        <w:t xml:space="preserve"> </w:t>
      </w:r>
      <w:r w:rsidR="000A5439">
        <w:t>No. 9</w:t>
      </w:r>
      <w:r w:rsidR="00EB2AEF">
        <w:t xml:space="preserve"> are set out in</w:t>
      </w:r>
      <w:r>
        <w:t xml:space="preserve"> </w:t>
      </w:r>
      <w:r w:rsidRPr="00317816">
        <w:rPr>
          <w:u w:val="single"/>
        </w:rPr>
        <w:t>Attachment</w:t>
      </w:r>
      <w:r w:rsidR="00EB2AEF">
        <w:rPr>
          <w:u w:val="single"/>
        </w:rPr>
        <w:t xml:space="preserve"> </w:t>
      </w:r>
      <w:r w:rsidR="00DE0CE5">
        <w:rPr>
          <w:u w:val="single"/>
        </w:rPr>
        <w:t>A</w:t>
      </w:r>
    </w:p>
    <w:p w14:paraId="0C4CC227" w14:textId="66A7804B" w:rsidR="002C226C" w:rsidRDefault="002C226C" w:rsidP="00647BB7">
      <w:r>
        <w:t>The</w:t>
      </w:r>
      <w:r w:rsidR="00E428A7">
        <w:t xml:space="preserve"> Amending</w:t>
      </w:r>
      <w:r w:rsidRPr="00D3322F">
        <w:t xml:space="preserve"> </w:t>
      </w:r>
      <w:r w:rsidR="00A61BB2">
        <w:t>Rules</w:t>
      </w:r>
      <w:r>
        <w:t xml:space="preserve"> </w:t>
      </w:r>
      <w:r w:rsidR="000A5439">
        <w:t>No. 9</w:t>
      </w:r>
      <w:r>
        <w:t xml:space="preserve"> are</w:t>
      </w:r>
      <w:r w:rsidRPr="00D3322F">
        <w:t xml:space="preserve"> a legislative instrument for the purposes of the</w:t>
      </w:r>
      <w:r w:rsidRPr="00322524">
        <w:t xml:space="preserve"> </w:t>
      </w:r>
      <w:r w:rsidRPr="00D3322F">
        <w:rPr>
          <w:i/>
        </w:rPr>
        <w:t>Legislation Act 2003</w:t>
      </w:r>
      <w:r w:rsidRPr="00D3322F">
        <w:t>.</w:t>
      </w:r>
    </w:p>
    <w:p w14:paraId="77C1141A" w14:textId="09DC9C1C" w:rsidR="009143A0" w:rsidRPr="00647BB7" w:rsidRDefault="00F109D4" w:rsidP="00647BB7">
      <w:pPr>
        <w:rPr>
          <w:i/>
        </w:rPr>
      </w:pPr>
      <w:r w:rsidRPr="00503E44">
        <w:t>The</w:t>
      </w:r>
      <w:r w:rsidR="00E428A7">
        <w:t xml:space="preserve"> Amending</w:t>
      </w:r>
      <w:r w:rsidRPr="00503E44">
        <w:t xml:space="preserve"> </w:t>
      </w:r>
      <w:r w:rsidR="00A61BB2">
        <w:t>Rules</w:t>
      </w:r>
      <w:r w:rsidRPr="00503E44">
        <w:t xml:space="preserve"> </w:t>
      </w:r>
      <w:r w:rsidR="000A5439">
        <w:t>No. 9</w:t>
      </w:r>
      <w:r w:rsidRPr="00503E44">
        <w:t xml:space="preserve"> commenced </w:t>
      </w:r>
      <w:r w:rsidR="00897D43">
        <w:t xml:space="preserve">immediately after </w:t>
      </w:r>
      <w:r w:rsidR="00D76634">
        <w:t xml:space="preserve">registration. </w:t>
      </w:r>
    </w:p>
    <w:p w14:paraId="5D430A61" w14:textId="28AFB196" w:rsidR="00EA4DD8" w:rsidRDefault="00EA4DD8" w:rsidP="00EA4DD8">
      <w:pPr>
        <w:pageBreakBefore/>
        <w:jc w:val="right"/>
        <w:rPr>
          <w:b/>
          <w:u w:val="single"/>
        </w:rPr>
      </w:pPr>
      <w:r w:rsidRPr="007B335E">
        <w:rPr>
          <w:b/>
          <w:u w:val="single"/>
        </w:rPr>
        <w:lastRenderedPageBreak/>
        <w:t xml:space="preserve">ATTACHMENT </w:t>
      </w:r>
      <w:r w:rsidR="00DE0CE5">
        <w:rPr>
          <w:b/>
          <w:u w:val="single"/>
        </w:rPr>
        <w:t>A</w:t>
      </w:r>
    </w:p>
    <w:p w14:paraId="6FF21F13" w14:textId="26FEC1A5" w:rsidR="00EA4DD8" w:rsidRDefault="00EA4DD8" w:rsidP="00EA4DD8">
      <w:pPr>
        <w:ind w:right="91"/>
        <w:rPr>
          <w:b/>
          <w:bCs/>
          <w:szCs w:val="24"/>
          <w:u w:val="single"/>
        </w:rPr>
      </w:pPr>
      <w:r>
        <w:rPr>
          <w:b/>
          <w:bCs/>
          <w:u w:val="single"/>
        </w:rPr>
        <w:t xml:space="preserve">Details of the </w:t>
      </w:r>
      <w:r w:rsidR="00746822" w:rsidRPr="00505536">
        <w:rPr>
          <w:b/>
          <w:i/>
          <w:u w:val="single"/>
        </w:rPr>
        <w:t>Coronavirus Economic Response Package (Payments and Benefits) Amendment Rules (</w:t>
      </w:r>
      <w:r w:rsidR="00505536" w:rsidRPr="00505536">
        <w:rPr>
          <w:b/>
          <w:i/>
          <w:u w:val="single"/>
        </w:rPr>
        <w:t>No. 9</w:t>
      </w:r>
      <w:r w:rsidR="00746822" w:rsidRPr="00505536">
        <w:rPr>
          <w:b/>
          <w:i/>
          <w:u w:val="single"/>
        </w:rPr>
        <w:t>) 2020</w:t>
      </w:r>
    </w:p>
    <w:p w14:paraId="369F1510" w14:textId="65C7FA92" w:rsidR="00EA4DD8" w:rsidRDefault="00EA4DD8" w:rsidP="00EA4DD8">
      <w:pPr>
        <w:rPr>
          <w:rFonts w:ascii="Calibri" w:hAnsi="Calibri"/>
          <w:sz w:val="22"/>
          <w:szCs w:val="22"/>
          <w:u w:val="single"/>
          <w:lang w:eastAsia="en-US"/>
        </w:rPr>
      </w:pPr>
      <w:r>
        <w:rPr>
          <w:u w:val="single"/>
        </w:rPr>
        <w:t xml:space="preserve">Section 1 – Name of the </w:t>
      </w:r>
      <w:r w:rsidR="00DE0CE5">
        <w:rPr>
          <w:u w:val="single"/>
        </w:rPr>
        <w:t>Instrument</w:t>
      </w:r>
    </w:p>
    <w:p w14:paraId="0FF7D5B7" w14:textId="67440FDA" w:rsidR="00EA4DD8" w:rsidRDefault="00EA4DD8" w:rsidP="00EA4DD8">
      <w:r>
        <w:t xml:space="preserve">This section provides that the name of the </w:t>
      </w:r>
      <w:r w:rsidR="00DE746A">
        <w:t>i</w:t>
      </w:r>
      <w:r w:rsidR="00DE0CE5">
        <w:t>nstrument</w:t>
      </w:r>
      <w:r>
        <w:t xml:space="preserve"> is the </w:t>
      </w:r>
      <w:r w:rsidR="00746822" w:rsidRPr="00505536">
        <w:rPr>
          <w:i/>
        </w:rPr>
        <w:t>Coronavirus Economic Response Package (Payments and Benefits) Amendment Rules (</w:t>
      </w:r>
      <w:r w:rsidR="00505536" w:rsidRPr="00505536">
        <w:rPr>
          <w:i/>
        </w:rPr>
        <w:t>No. 9</w:t>
      </w:r>
      <w:r w:rsidR="00746822" w:rsidRPr="00505536">
        <w:rPr>
          <w:i/>
        </w:rPr>
        <w:t>) 2020</w:t>
      </w:r>
      <w:r w:rsidRPr="00505536">
        <w:rPr>
          <w:i/>
        </w:rPr>
        <w:t xml:space="preserve"> </w:t>
      </w:r>
      <w:r>
        <w:t>(</w:t>
      </w:r>
      <w:r w:rsidR="00E428A7">
        <w:rPr>
          <w:color w:val="000000"/>
          <w:shd w:val="clear" w:color="auto" w:fill="FFFFFF"/>
        </w:rPr>
        <w:t>Amending</w:t>
      </w:r>
      <w:r w:rsidR="000A5439">
        <w:rPr>
          <w:color w:val="000000"/>
          <w:shd w:val="clear" w:color="auto" w:fill="FFFFFF"/>
        </w:rPr>
        <w:t xml:space="preserve"> </w:t>
      </w:r>
      <w:r w:rsidR="0020620F">
        <w:rPr>
          <w:color w:val="000000"/>
          <w:shd w:val="clear" w:color="auto" w:fill="FFFFFF"/>
        </w:rPr>
        <w:t>Rules</w:t>
      </w:r>
      <w:r w:rsidR="000A5439">
        <w:rPr>
          <w:color w:val="000000"/>
          <w:shd w:val="clear" w:color="auto" w:fill="FFFFFF"/>
        </w:rPr>
        <w:t xml:space="preserve"> No. 9</w:t>
      </w:r>
      <w:r>
        <w:t>).</w:t>
      </w:r>
    </w:p>
    <w:p w14:paraId="31CE8B39" w14:textId="77777777" w:rsidR="00EA4DD8" w:rsidRDefault="00EA4DD8" w:rsidP="00EA4DD8">
      <w:pPr>
        <w:ind w:right="91"/>
        <w:rPr>
          <w:u w:val="single"/>
        </w:rPr>
      </w:pPr>
      <w:r>
        <w:rPr>
          <w:u w:val="single"/>
        </w:rPr>
        <w:t>Section 2 – Commencement</w:t>
      </w:r>
    </w:p>
    <w:p w14:paraId="5BBFD6F5" w14:textId="7187378C" w:rsidR="00EA4DD8" w:rsidRDefault="00EA4DD8" w:rsidP="00EA4DD8">
      <w:pPr>
        <w:ind w:right="91"/>
      </w:pPr>
      <w:r>
        <w:t>Schedule 1</w:t>
      </w:r>
      <w:r w:rsidR="00D76634">
        <w:t xml:space="preserve"> to the</w:t>
      </w:r>
      <w:r w:rsidR="00E428A7">
        <w:t xml:space="preserve"> Amending</w:t>
      </w:r>
      <w:r w:rsidR="00D76634">
        <w:t xml:space="preserve"> </w:t>
      </w:r>
      <w:r w:rsidR="0020620F">
        <w:t>Rules</w:t>
      </w:r>
      <w:r w:rsidR="00D76634">
        <w:t xml:space="preserve"> </w:t>
      </w:r>
      <w:r w:rsidR="000A5439">
        <w:t>No. 9</w:t>
      </w:r>
      <w:r w:rsidR="00D76634">
        <w:t xml:space="preserve"> commence </w:t>
      </w:r>
      <w:r w:rsidR="00897D43">
        <w:t xml:space="preserve">immediately after </w:t>
      </w:r>
      <w:r w:rsidRPr="00D76634">
        <w:t xml:space="preserve">the instrument is registered </w:t>
      </w:r>
      <w:r>
        <w:t>on the Federal Register of Legislation.</w:t>
      </w:r>
    </w:p>
    <w:p w14:paraId="69A65941" w14:textId="77777777" w:rsidR="00EA4DD8" w:rsidRDefault="00EA4DD8" w:rsidP="00EA4DD8">
      <w:pPr>
        <w:ind w:right="91"/>
        <w:rPr>
          <w:u w:val="single"/>
        </w:rPr>
      </w:pPr>
      <w:r>
        <w:rPr>
          <w:u w:val="single"/>
        </w:rPr>
        <w:t>Section 3 – Authority</w:t>
      </w:r>
    </w:p>
    <w:p w14:paraId="2DBB142A" w14:textId="4D0C68D8" w:rsidR="00EA4DD8" w:rsidRDefault="00EA4DD8" w:rsidP="00EA4DD8">
      <w:pPr>
        <w:ind w:right="91"/>
      </w:pPr>
      <w:r>
        <w:t xml:space="preserve">The </w:t>
      </w:r>
      <w:r w:rsidR="00E428A7">
        <w:t xml:space="preserve">Amending </w:t>
      </w:r>
      <w:r w:rsidR="0020620F">
        <w:t>Rules</w:t>
      </w:r>
      <w:r>
        <w:t xml:space="preserve"> </w:t>
      </w:r>
      <w:r w:rsidR="000A5439">
        <w:t>No. 9</w:t>
      </w:r>
      <w:r>
        <w:t xml:space="preserve"> are made under the </w:t>
      </w:r>
      <w:r w:rsidR="00DE0CE5">
        <w:rPr>
          <w:i/>
        </w:rPr>
        <w:t>Coronavirus Economic Response Package (Payments and Benefits) Act 2020</w:t>
      </w:r>
      <w:r>
        <w:t xml:space="preserve"> (the Act).</w:t>
      </w:r>
    </w:p>
    <w:p w14:paraId="7D016B44" w14:textId="6924CC02" w:rsidR="00EA4DD8" w:rsidRDefault="00EA4DD8" w:rsidP="00EA4DD8">
      <w:pPr>
        <w:ind w:right="91"/>
        <w:rPr>
          <w:u w:val="single"/>
        </w:rPr>
      </w:pPr>
      <w:r>
        <w:rPr>
          <w:u w:val="single"/>
        </w:rPr>
        <w:t>Section 4 – Schedule</w:t>
      </w:r>
    </w:p>
    <w:p w14:paraId="3A7D1201" w14:textId="77777777" w:rsidR="00EA4DD8" w:rsidRDefault="00EA4DD8" w:rsidP="00EA4DD8">
      <w:pPr>
        <w:spacing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191C6297" w14:textId="77777777" w:rsidR="00DE0CE5" w:rsidRDefault="00EA4DD8" w:rsidP="00DE0CE5">
      <w:pPr>
        <w:spacing w:after="0"/>
        <w:ind w:right="91"/>
        <w:rPr>
          <w:color w:val="FF0000"/>
          <w:u w:val="single"/>
        </w:rPr>
      </w:pPr>
      <w:r>
        <w:rPr>
          <w:u w:val="single"/>
        </w:rPr>
        <w:t xml:space="preserve">Schedule 1 – Amendments </w:t>
      </w:r>
    </w:p>
    <w:p w14:paraId="0692C925" w14:textId="22057381" w:rsidR="009E688D" w:rsidRDefault="009E688D" w:rsidP="009E688D">
      <w:pPr>
        <w:pStyle w:val="Heading3"/>
      </w:pPr>
      <w:proofErr w:type="spellStart"/>
      <w:r>
        <w:t>JobMaker</w:t>
      </w:r>
      <w:proofErr w:type="spellEnd"/>
      <w:r>
        <w:t xml:space="preserve"> Hiring Credit</w:t>
      </w:r>
      <w:r w:rsidR="008D4ABF">
        <w:t xml:space="preserve"> </w:t>
      </w:r>
      <w:r w:rsidR="006128E8">
        <w:t>payment</w:t>
      </w:r>
    </w:p>
    <w:p w14:paraId="55A420FD" w14:textId="1DBA1E14" w:rsidR="007C18AF" w:rsidRDefault="007C18AF" w:rsidP="007C18AF">
      <w:pPr>
        <w:pStyle w:val="base-text-paragraph"/>
        <w:ind w:left="0"/>
      </w:pPr>
      <w:r>
        <w:t xml:space="preserve">Schedule 1 to the Amending Rules No. 9 amends the </w:t>
      </w:r>
      <w:r w:rsidRPr="00505536">
        <w:rPr>
          <w:i/>
        </w:rPr>
        <w:t xml:space="preserve">Coronavirus Economic Response Package (Payments and Benefits) </w:t>
      </w:r>
      <w:r>
        <w:rPr>
          <w:i/>
        </w:rPr>
        <w:t xml:space="preserve">Rules </w:t>
      </w:r>
      <w:r w:rsidRPr="00505536">
        <w:rPr>
          <w:i/>
        </w:rPr>
        <w:t>2020</w:t>
      </w:r>
      <w:r>
        <w:t xml:space="preserve"> (the Rules) to establish the </w:t>
      </w:r>
      <w:proofErr w:type="spellStart"/>
      <w:r w:rsidR="002D446C">
        <w:t>JobMaker</w:t>
      </w:r>
      <w:proofErr w:type="spellEnd"/>
      <w:r w:rsidR="002D446C">
        <w:t xml:space="preserve"> scheme</w:t>
      </w:r>
      <w:r w:rsidR="0002601C">
        <w:t>. Th</w:t>
      </w:r>
      <w:r w:rsidR="002E7EE9">
        <w:t>e</w:t>
      </w:r>
      <w:r w:rsidR="009272C7">
        <w:t xml:space="preserve"> </w:t>
      </w:r>
      <w:proofErr w:type="spellStart"/>
      <w:r w:rsidR="009272C7">
        <w:t>JobMaker</w:t>
      </w:r>
      <w:proofErr w:type="spellEnd"/>
      <w:r w:rsidR="002E7EE9">
        <w:t xml:space="preserve"> scheme makes</w:t>
      </w:r>
      <w:r w:rsidR="002D446C">
        <w:t xml:space="preserve"> the </w:t>
      </w:r>
      <w:r>
        <w:t>‘</w:t>
      </w:r>
      <w:proofErr w:type="spellStart"/>
      <w:r>
        <w:t>JobMaker</w:t>
      </w:r>
      <w:proofErr w:type="spellEnd"/>
      <w:r>
        <w:t xml:space="preserve"> Hiring Credit’</w:t>
      </w:r>
      <w:r w:rsidR="005724BE">
        <w:t xml:space="preserve"> payment</w:t>
      </w:r>
      <w:r w:rsidR="002D446C">
        <w:t xml:space="preserve"> </w:t>
      </w:r>
      <w:r w:rsidR="00B54B87">
        <w:t>available</w:t>
      </w:r>
      <w:r>
        <w:t xml:space="preserve"> to</w:t>
      </w:r>
      <w:r w:rsidR="00B54B87">
        <w:t xml:space="preserve"> qualifying employers to</w:t>
      </w:r>
      <w:r>
        <w:t xml:space="preserve"> encourage job creation in the economic recovery from the impacts of the Coronavirus</w:t>
      </w:r>
      <w:r w:rsidR="00B54B87">
        <w:t xml:space="preserve"> known as COVID-19</w:t>
      </w:r>
      <w:r>
        <w:t xml:space="preserve">. The scheme </w:t>
      </w:r>
      <w:r w:rsidR="00144D0A">
        <w:t>encourages employers to engage</w:t>
      </w:r>
      <w:r>
        <w:t xml:space="preserve"> </w:t>
      </w:r>
      <w:r w:rsidR="00AE524E">
        <w:t xml:space="preserve">individuals </w:t>
      </w:r>
      <w:r>
        <w:t xml:space="preserve">aged 16 to 35 years </w:t>
      </w:r>
      <w:r w:rsidR="00144D0A">
        <w:t xml:space="preserve">for </w:t>
      </w:r>
      <w:r w:rsidR="000A569F">
        <w:t>long term</w:t>
      </w:r>
      <w:r>
        <w:t xml:space="preserve"> employment.</w:t>
      </w:r>
    </w:p>
    <w:p w14:paraId="42AEBC5D" w14:textId="11586A1C" w:rsidR="007C18AF" w:rsidRDefault="007C18AF" w:rsidP="007C18AF">
      <w:pPr>
        <w:pStyle w:val="base-text-paragraph"/>
        <w:ind w:left="0"/>
      </w:pPr>
      <w:r>
        <w:t xml:space="preserve">The </w:t>
      </w:r>
      <w:proofErr w:type="spellStart"/>
      <w:r>
        <w:t>JobMaker</w:t>
      </w:r>
      <w:proofErr w:type="spellEnd"/>
      <w:r>
        <w:t xml:space="preserve"> </w:t>
      </w:r>
      <w:r w:rsidR="0029584A">
        <w:t xml:space="preserve">scheme </w:t>
      </w:r>
      <w:r>
        <w:t xml:space="preserve">was announced on </w:t>
      </w:r>
      <w:r w:rsidR="00D67B55">
        <w:t>6 October 2020</w:t>
      </w:r>
      <w:r>
        <w:t>.</w:t>
      </w:r>
    </w:p>
    <w:p w14:paraId="588C5708" w14:textId="6FD82A76" w:rsidR="007C18AF" w:rsidRDefault="007C18AF" w:rsidP="007C18AF">
      <w:pPr>
        <w:tabs>
          <w:tab w:val="left" w:pos="2835"/>
        </w:tabs>
        <w:ind w:right="91"/>
        <w:rPr>
          <w:color w:val="000000" w:themeColor="text1"/>
        </w:rPr>
      </w:pPr>
      <w:r w:rsidRPr="00066CAB">
        <w:rPr>
          <w:color w:val="000000" w:themeColor="text1"/>
        </w:rPr>
        <w:t xml:space="preserve">All legislative references in this </w:t>
      </w:r>
      <w:r>
        <w:rPr>
          <w:color w:val="000000" w:themeColor="text1"/>
        </w:rPr>
        <w:t xml:space="preserve">attachment are to </w:t>
      </w:r>
      <w:r w:rsidR="00B14E8C">
        <w:rPr>
          <w:color w:val="000000" w:themeColor="text1"/>
        </w:rPr>
        <w:t xml:space="preserve">the </w:t>
      </w:r>
      <w:r>
        <w:rPr>
          <w:color w:val="000000" w:themeColor="text1"/>
        </w:rPr>
        <w:t xml:space="preserve">Amending Rules No. 9 </w:t>
      </w:r>
      <w:r w:rsidRPr="00066CAB">
        <w:rPr>
          <w:color w:val="000000" w:themeColor="text1"/>
        </w:rPr>
        <w:t xml:space="preserve">unless otherwise stated. </w:t>
      </w:r>
    </w:p>
    <w:p w14:paraId="0345EB43" w14:textId="64DE4AB6" w:rsidR="006A5005" w:rsidRPr="002C1608" w:rsidRDefault="00C25050" w:rsidP="006A5005">
      <w:pPr>
        <w:tabs>
          <w:tab w:val="left" w:pos="2835"/>
        </w:tabs>
        <w:ind w:right="91"/>
        <w:rPr>
          <w:color w:val="000000" w:themeColor="text1"/>
          <w:szCs w:val="24"/>
        </w:rPr>
      </w:pPr>
      <w:r>
        <w:rPr>
          <w:color w:val="000000" w:themeColor="text1"/>
        </w:rPr>
        <w:t xml:space="preserve">Item 1 of Schedule 1 inserts a number of definitions into subsection 4(1) </w:t>
      </w:r>
      <w:r w:rsidR="00783379">
        <w:rPr>
          <w:color w:val="000000" w:themeColor="text1"/>
        </w:rPr>
        <w:t xml:space="preserve">of the Rules </w:t>
      </w:r>
      <w:r w:rsidR="00C356E6">
        <w:rPr>
          <w:color w:val="000000" w:themeColor="text1"/>
        </w:rPr>
        <w:t xml:space="preserve">for </w:t>
      </w:r>
      <w:r>
        <w:rPr>
          <w:color w:val="000000" w:themeColor="text1"/>
        </w:rPr>
        <w:t xml:space="preserve">key terms used in the </w:t>
      </w:r>
      <w:proofErr w:type="spellStart"/>
      <w:r w:rsidR="00783379">
        <w:rPr>
          <w:color w:val="000000" w:themeColor="text1"/>
        </w:rPr>
        <w:t>JobMaker</w:t>
      </w:r>
      <w:proofErr w:type="spellEnd"/>
      <w:r w:rsidR="00783379">
        <w:rPr>
          <w:color w:val="000000" w:themeColor="text1"/>
        </w:rPr>
        <w:t xml:space="preserve"> scheme</w:t>
      </w:r>
      <w:r>
        <w:rPr>
          <w:color w:val="000000" w:themeColor="text1"/>
        </w:rPr>
        <w:t xml:space="preserve">. </w:t>
      </w:r>
      <w:r w:rsidRPr="002C1608">
        <w:rPr>
          <w:color w:val="000000" w:themeColor="text1"/>
          <w:szCs w:val="24"/>
        </w:rPr>
        <w:t>Details of these terms are provided in their relevant sections below.</w:t>
      </w:r>
      <w:r w:rsidR="00B14F6F" w:rsidRPr="002C1608">
        <w:rPr>
          <w:color w:val="000000" w:themeColor="text1"/>
          <w:szCs w:val="24"/>
        </w:rPr>
        <w:t xml:space="preserve"> </w:t>
      </w:r>
      <w:r w:rsidR="006A5005" w:rsidRPr="002C1608">
        <w:rPr>
          <w:color w:val="000000" w:themeColor="text1"/>
          <w:szCs w:val="24"/>
        </w:rPr>
        <w:t xml:space="preserve">Subsection 4(2) of the Rules already provides that </w:t>
      </w:r>
      <w:r w:rsidR="006A5005" w:rsidRPr="002C1608">
        <w:rPr>
          <w:color w:val="000000"/>
          <w:szCs w:val="24"/>
          <w:shd w:val="clear" w:color="auto" w:fill="FFFFFF"/>
        </w:rPr>
        <w:t>where an e</w:t>
      </w:r>
      <w:r w:rsidR="00CB615D" w:rsidRPr="002C1608">
        <w:rPr>
          <w:color w:val="000000"/>
          <w:szCs w:val="24"/>
          <w:shd w:val="clear" w:color="auto" w:fill="FFFFFF"/>
        </w:rPr>
        <w:t>xpression is not defined in subsection 4(1) of the Rules but that</w:t>
      </w:r>
      <w:r w:rsidR="006A5005" w:rsidRPr="002C1608">
        <w:rPr>
          <w:color w:val="000000"/>
          <w:szCs w:val="24"/>
          <w:shd w:val="clear" w:color="auto" w:fill="FFFFFF"/>
        </w:rPr>
        <w:t xml:space="preserve"> expression is defined in the </w:t>
      </w:r>
      <w:r w:rsidR="006A5005" w:rsidRPr="002C1608">
        <w:rPr>
          <w:i/>
          <w:iCs/>
          <w:color w:val="000000"/>
          <w:szCs w:val="24"/>
          <w:shd w:val="clear" w:color="auto" w:fill="FFFFFF"/>
        </w:rPr>
        <w:t>Income Tax Assessment Act 1997</w:t>
      </w:r>
      <w:r w:rsidR="002C1608" w:rsidRPr="002C1608">
        <w:rPr>
          <w:i/>
          <w:iCs/>
          <w:color w:val="000000"/>
          <w:szCs w:val="24"/>
          <w:shd w:val="clear" w:color="auto" w:fill="FFFFFF"/>
        </w:rPr>
        <w:t xml:space="preserve"> (</w:t>
      </w:r>
      <w:r w:rsidR="002C1608" w:rsidRPr="002C1608">
        <w:rPr>
          <w:color w:val="000000"/>
          <w:szCs w:val="24"/>
        </w:rPr>
        <w:t>ITAA 1997)</w:t>
      </w:r>
      <w:r w:rsidR="00CB615D" w:rsidRPr="002C1608">
        <w:rPr>
          <w:color w:val="000000"/>
          <w:szCs w:val="24"/>
          <w:shd w:val="clear" w:color="auto" w:fill="FFFFFF"/>
        </w:rPr>
        <w:t xml:space="preserve">, the expression </w:t>
      </w:r>
      <w:r w:rsidR="006A5005" w:rsidRPr="002C1608">
        <w:rPr>
          <w:color w:val="000000"/>
          <w:szCs w:val="24"/>
          <w:shd w:val="clear" w:color="auto" w:fill="FFFFFF"/>
        </w:rPr>
        <w:t>has the same meaning in this instrument as it has in that Act.</w:t>
      </w:r>
    </w:p>
    <w:p w14:paraId="317A11E3" w14:textId="43E30A25" w:rsidR="006A5005" w:rsidRPr="007C18AF" w:rsidRDefault="006A5005" w:rsidP="007C18AF">
      <w:pPr>
        <w:tabs>
          <w:tab w:val="left" w:pos="2835"/>
        </w:tabs>
        <w:ind w:right="91"/>
        <w:rPr>
          <w:color w:val="000000" w:themeColor="text1"/>
        </w:rPr>
      </w:pPr>
    </w:p>
    <w:p w14:paraId="442431BC" w14:textId="22E3A706" w:rsidR="009E688D" w:rsidRDefault="009E688D" w:rsidP="007C18AF">
      <w:pPr>
        <w:pStyle w:val="Heading3"/>
      </w:pPr>
      <w:r>
        <w:lastRenderedPageBreak/>
        <w:t xml:space="preserve">Entitlement to the </w:t>
      </w:r>
      <w:proofErr w:type="spellStart"/>
      <w:r>
        <w:t>JobMaker</w:t>
      </w:r>
      <w:proofErr w:type="spellEnd"/>
      <w:r>
        <w:t xml:space="preserve"> Hiring Credit</w:t>
      </w:r>
      <w:r w:rsidR="008D4ABF">
        <w:t xml:space="preserve"> </w:t>
      </w:r>
      <w:r w:rsidR="006128E8">
        <w:t>payment</w:t>
      </w:r>
    </w:p>
    <w:p w14:paraId="5A7BB11B" w14:textId="7C115806" w:rsidR="00FC2C98" w:rsidRDefault="00EB3718" w:rsidP="00451143">
      <w:pPr>
        <w:pStyle w:val="base-text-paragraph"/>
        <w:ind w:left="0"/>
        <w:rPr>
          <w:color w:val="000000"/>
          <w:shd w:val="clear" w:color="auto" w:fill="FFFFFF"/>
        </w:rPr>
      </w:pPr>
      <w:r>
        <w:rPr>
          <w:color w:val="000000"/>
          <w:shd w:val="clear" w:color="auto" w:fill="FFFFFF"/>
        </w:rPr>
        <w:t xml:space="preserve">Division 2 sets outs the </w:t>
      </w:r>
      <w:r w:rsidR="001E7859">
        <w:rPr>
          <w:color w:val="000000"/>
          <w:shd w:val="clear" w:color="auto" w:fill="FFFFFF"/>
        </w:rPr>
        <w:t xml:space="preserve">circumstances in which </w:t>
      </w:r>
      <w:r>
        <w:rPr>
          <w:color w:val="000000"/>
          <w:shd w:val="clear" w:color="auto" w:fill="FFFFFF"/>
        </w:rPr>
        <w:t xml:space="preserve">an employer with eligible employees is entitled to the </w:t>
      </w:r>
      <w:proofErr w:type="spellStart"/>
      <w:r>
        <w:rPr>
          <w:color w:val="000000"/>
          <w:shd w:val="clear" w:color="auto" w:fill="FFFFFF"/>
        </w:rPr>
        <w:t>JobMaker</w:t>
      </w:r>
      <w:proofErr w:type="spellEnd"/>
      <w:r>
        <w:rPr>
          <w:color w:val="000000"/>
          <w:shd w:val="clear" w:color="auto" w:fill="FFFFFF"/>
        </w:rPr>
        <w:t xml:space="preserve"> </w:t>
      </w:r>
      <w:r w:rsidR="00717D2D">
        <w:rPr>
          <w:color w:val="000000"/>
          <w:shd w:val="clear" w:color="auto" w:fill="FFFFFF"/>
        </w:rPr>
        <w:t xml:space="preserve">Hiring Credit </w:t>
      </w:r>
      <w:r>
        <w:rPr>
          <w:color w:val="000000"/>
          <w:shd w:val="clear" w:color="auto" w:fill="FFFFFF"/>
        </w:rPr>
        <w:t>payment.</w:t>
      </w:r>
      <w:r w:rsidR="00451143">
        <w:rPr>
          <w:color w:val="000000"/>
          <w:shd w:val="clear" w:color="auto" w:fill="FFFFFF"/>
        </w:rPr>
        <w:t xml:space="preserve"> </w:t>
      </w:r>
      <w:r w:rsidR="00FC2C98">
        <w:rPr>
          <w:color w:val="000000"/>
          <w:shd w:val="clear" w:color="auto" w:fill="FFFFFF"/>
        </w:rPr>
        <w:t xml:space="preserve">In general terms, an employer is entitled to a </w:t>
      </w:r>
      <w:proofErr w:type="spellStart"/>
      <w:r w:rsidR="00FC2C98">
        <w:rPr>
          <w:color w:val="000000"/>
          <w:shd w:val="clear" w:color="auto" w:fill="FFFFFF"/>
        </w:rPr>
        <w:t>JobMaker</w:t>
      </w:r>
      <w:proofErr w:type="spellEnd"/>
      <w:r w:rsidR="00FC2C98">
        <w:rPr>
          <w:color w:val="000000"/>
          <w:shd w:val="clear" w:color="auto" w:fill="FFFFFF"/>
        </w:rPr>
        <w:t xml:space="preserve"> </w:t>
      </w:r>
      <w:r w:rsidR="00DB0477">
        <w:rPr>
          <w:color w:val="000000"/>
          <w:shd w:val="clear" w:color="auto" w:fill="FFFFFF"/>
        </w:rPr>
        <w:t>H</w:t>
      </w:r>
      <w:r w:rsidR="00FC2C98">
        <w:rPr>
          <w:color w:val="000000"/>
          <w:shd w:val="clear" w:color="auto" w:fill="FFFFFF"/>
        </w:rPr>
        <w:t xml:space="preserve">iring </w:t>
      </w:r>
      <w:r w:rsidR="00DB0477">
        <w:rPr>
          <w:color w:val="000000"/>
          <w:shd w:val="clear" w:color="auto" w:fill="FFFFFF"/>
        </w:rPr>
        <w:t xml:space="preserve">Credit </w:t>
      </w:r>
      <w:r w:rsidR="00FC2C98">
        <w:rPr>
          <w:color w:val="000000"/>
          <w:shd w:val="clear" w:color="auto" w:fill="FFFFFF"/>
        </w:rPr>
        <w:t>payment for a period if:</w:t>
      </w:r>
    </w:p>
    <w:p w14:paraId="4FBB0E04" w14:textId="35A4B7B9" w:rsidR="00FC2C98" w:rsidRDefault="00741134" w:rsidP="00C25050">
      <w:pPr>
        <w:pStyle w:val="Dotpoint"/>
        <w:numPr>
          <w:ilvl w:val="0"/>
          <w:numId w:val="14"/>
        </w:numPr>
      </w:pPr>
      <w:r>
        <w:t xml:space="preserve">the period is a </w:t>
      </w:r>
      <w:proofErr w:type="spellStart"/>
      <w:r>
        <w:t>JobMaker</w:t>
      </w:r>
      <w:proofErr w:type="spellEnd"/>
      <w:r>
        <w:t xml:space="preserve"> period</w:t>
      </w:r>
      <w:r w:rsidR="00F86494">
        <w:t>;</w:t>
      </w:r>
    </w:p>
    <w:p w14:paraId="34BA542F" w14:textId="6A1B98B4" w:rsidR="009E688D" w:rsidRDefault="00F86494" w:rsidP="00C25050">
      <w:pPr>
        <w:pStyle w:val="Dotpoint"/>
        <w:numPr>
          <w:ilvl w:val="0"/>
          <w:numId w:val="14"/>
        </w:numPr>
      </w:pPr>
      <w:r>
        <w:t xml:space="preserve">the employer qualifies for the </w:t>
      </w:r>
      <w:proofErr w:type="spellStart"/>
      <w:r>
        <w:t>JobMaker</w:t>
      </w:r>
      <w:proofErr w:type="spellEnd"/>
      <w:r w:rsidR="00346254">
        <w:t xml:space="preserve"> </w:t>
      </w:r>
      <w:r>
        <w:t>scheme for the period;</w:t>
      </w:r>
    </w:p>
    <w:p w14:paraId="3FBE114D" w14:textId="653C946C" w:rsidR="00E63CD9" w:rsidRDefault="00E63CD9" w:rsidP="00C25050">
      <w:pPr>
        <w:pStyle w:val="Dotpoint"/>
        <w:numPr>
          <w:ilvl w:val="0"/>
          <w:numId w:val="14"/>
        </w:numPr>
      </w:pPr>
      <w:r>
        <w:t xml:space="preserve">the employer is not disqualified for the </w:t>
      </w:r>
      <w:proofErr w:type="spellStart"/>
      <w:r>
        <w:t>JobMaker</w:t>
      </w:r>
      <w:proofErr w:type="spellEnd"/>
      <w:r>
        <w:t xml:space="preserve"> scheme for the period;</w:t>
      </w:r>
    </w:p>
    <w:p w14:paraId="3481579D" w14:textId="53B87360" w:rsidR="00F86494" w:rsidRDefault="00ED5850" w:rsidP="00C25050">
      <w:pPr>
        <w:pStyle w:val="Dotpoint"/>
        <w:numPr>
          <w:ilvl w:val="0"/>
          <w:numId w:val="14"/>
        </w:numPr>
      </w:pPr>
      <w:r>
        <w:t>t</w:t>
      </w:r>
      <w:r w:rsidR="00896AA3">
        <w:t>he employer has one or</w:t>
      </w:r>
      <w:r w:rsidR="00F86494">
        <w:t xml:space="preserve"> more eligible </w:t>
      </w:r>
      <w:r w:rsidR="002507B5">
        <w:t xml:space="preserve">additional </w:t>
      </w:r>
      <w:r w:rsidR="00F86494">
        <w:t>employees for the period;</w:t>
      </w:r>
    </w:p>
    <w:p w14:paraId="3D603768" w14:textId="1B9ECFC2" w:rsidR="00ED5850" w:rsidRDefault="00ED5850" w:rsidP="00C25050">
      <w:pPr>
        <w:pStyle w:val="Dotpoint"/>
        <w:numPr>
          <w:ilvl w:val="0"/>
          <w:numId w:val="14"/>
        </w:numPr>
      </w:pPr>
      <w:r>
        <w:t xml:space="preserve">the employer has </w:t>
      </w:r>
      <w:r w:rsidR="003D1FD7">
        <w:t>a</w:t>
      </w:r>
      <w:r>
        <w:t xml:space="preserve"> headcount increase for the period;</w:t>
      </w:r>
    </w:p>
    <w:p w14:paraId="0FFEB65B" w14:textId="7A1B116C" w:rsidR="00ED5850" w:rsidRDefault="00ED5850" w:rsidP="00C25050">
      <w:pPr>
        <w:pStyle w:val="Dotpoint"/>
        <w:numPr>
          <w:ilvl w:val="0"/>
          <w:numId w:val="14"/>
        </w:numPr>
      </w:pPr>
      <w:r>
        <w:t xml:space="preserve">the employer has </w:t>
      </w:r>
      <w:r w:rsidR="003D1FD7">
        <w:t>a</w:t>
      </w:r>
      <w:r>
        <w:t xml:space="preserve"> payroll increase for the period;</w:t>
      </w:r>
    </w:p>
    <w:p w14:paraId="7CC4024F" w14:textId="0F13BD9D" w:rsidR="00173EA0" w:rsidRDefault="00ED5850" w:rsidP="00C25050">
      <w:pPr>
        <w:pStyle w:val="Dotpoint"/>
        <w:numPr>
          <w:ilvl w:val="0"/>
          <w:numId w:val="14"/>
        </w:numPr>
      </w:pPr>
      <w:r>
        <w:t xml:space="preserve">the </w:t>
      </w:r>
      <w:r w:rsidR="00EB3718">
        <w:t xml:space="preserve">employer has notified the Commissioner </w:t>
      </w:r>
      <w:r w:rsidR="005821F2">
        <w:t xml:space="preserve">of Taxation (Commissioner) </w:t>
      </w:r>
      <w:r w:rsidR="00EB3718">
        <w:t>of its electi</w:t>
      </w:r>
      <w:r w:rsidR="00173EA0">
        <w:t>on to participate in the scheme;</w:t>
      </w:r>
    </w:p>
    <w:p w14:paraId="3B10C604" w14:textId="6055D4DB" w:rsidR="00ED5850" w:rsidRPr="00FC2C98" w:rsidRDefault="00346254" w:rsidP="00C25050">
      <w:pPr>
        <w:pStyle w:val="Dotpoint"/>
        <w:numPr>
          <w:ilvl w:val="0"/>
          <w:numId w:val="14"/>
        </w:numPr>
      </w:pPr>
      <w:r>
        <w:t>t</w:t>
      </w:r>
      <w:r w:rsidR="001514C0">
        <w:t xml:space="preserve">he employer has given </w:t>
      </w:r>
      <w:r w:rsidR="00173EA0">
        <w:t>information about the entitlement</w:t>
      </w:r>
      <w:r w:rsidR="00EB3718">
        <w:t xml:space="preserve"> </w:t>
      </w:r>
      <w:r w:rsidR="001514C0">
        <w:t>for the period to the Commissioner in accordance with the reporting requirements determined by the Commissioner</w:t>
      </w:r>
      <w:r w:rsidR="007E1023">
        <w:t>;</w:t>
      </w:r>
      <w:r w:rsidR="0027637C">
        <w:t xml:space="preserve"> and</w:t>
      </w:r>
    </w:p>
    <w:p w14:paraId="57360360" w14:textId="1AC5F039" w:rsidR="007E1023" w:rsidRDefault="00346254" w:rsidP="0027637C">
      <w:pPr>
        <w:pStyle w:val="Dotpoint"/>
        <w:numPr>
          <w:ilvl w:val="0"/>
          <w:numId w:val="14"/>
        </w:numPr>
      </w:pPr>
      <w:proofErr w:type="gramStart"/>
      <w:r>
        <w:t>t</w:t>
      </w:r>
      <w:r w:rsidR="007E1023">
        <w:t>he</w:t>
      </w:r>
      <w:proofErr w:type="gramEnd"/>
      <w:r w:rsidR="007E1023">
        <w:t xml:space="preserve"> employer is not entitled to a </w:t>
      </w:r>
      <w:proofErr w:type="spellStart"/>
      <w:r w:rsidR="007E1023">
        <w:t>JobKeeper</w:t>
      </w:r>
      <w:proofErr w:type="spellEnd"/>
      <w:r w:rsidR="007E1023">
        <w:t xml:space="preserve"> payment for an individual for a fortnight that begins during the period</w:t>
      </w:r>
      <w:r w:rsidR="0027637C">
        <w:t>.</w:t>
      </w:r>
      <w:r w:rsidR="007E1023">
        <w:t xml:space="preserve"> </w:t>
      </w:r>
    </w:p>
    <w:p w14:paraId="73C79702" w14:textId="77777777" w:rsidR="00E8482A" w:rsidRDefault="003E0A6A" w:rsidP="003E0A6A">
      <w:pPr>
        <w:pStyle w:val="Heading4"/>
        <w:rPr>
          <w:i w:val="0"/>
        </w:rPr>
      </w:pPr>
      <w:r>
        <w:rPr>
          <w:i w:val="0"/>
        </w:rPr>
        <w:t>Each of these requirements is described in greater detail below</w:t>
      </w:r>
      <w:r w:rsidR="00E8482A">
        <w:rPr>
          <w:i w:val="0"/>
        </w:rPr>
        <w:t>.</w:t>
      </w:r>
    </w:p>
    <w:p w14:paraId="003D443F" w14:textId="194A8A6F" w:rsidR="003E0A6A" w:rsidRDefault="00E8482A" w:rsidP="003E0A6A">
      <w:pPr>
        <w:pStyle w:val="Heading4"/>
        <w:rPr>
          <w:i w:val="0"/>
        </w:rPr>
      </w:pPr>
      <w:r>
        <w:rPr>
          <w:i w:val="0"/>
        </w:rPr>
        <w:t>T</w:t>
      </w:r>
      <w:r w:rsidR="003E0A6A">
        <w:rPr>
          <w:i w:val="0"/>
        </w:rPr>
        <w:t>here are</w:t>
      </w:r>
      <w:r>
        <w:rPr>
          <w:i w:val="0"/>
        </w:rPr>
        <w:t xml:space="preserve"> also</w:t>
      </w:r>
      <w:r w:rsidR="003E0A6A" w:rsidDel="00B40F61">
        <w:rPr>
          <w:i w:val="0"/>
        </w:rPr>
        <w:t xml:space="preserve"> </w:t>
      </w:r>
      <w:r w:rsidR="003E0A6A">
        <w:rPr>
          <w:i w:val="0"/>
        </w:rPr>
        <w:t xml:space="preserve">provisions in the Act that </w:t>
      </w:r>
      <w:r w:rsidR="00B40F61">
        <w:rPr>
          <w:i w:val="0"/>
        </w:rPr>
        <w:t xml:space="preserve">may </w:t>
      </w:r>
      <w:r w:rsidR="003E0A6A">
        <w:rPr>
          <w:i w:val="0"/>
        </w:rPr>
        <w:t>affect whether</w:t>
      </w:r>
      <w:r>
        <w:rPr>
          <w:i w:val="0"/>
        </w:rPr>
        <w:t xml:space="preserve"> an entity is entitled to a </w:t>
      </w:r>
      <w:proofErr w:type="spellStart"/>
      <w:r>
        <w:rPr>
          <w:i w:val="0"/>
        </w:rPr>
        <w:t>JobM</w:t>
      </w:r>
      <w:r w:rsidR="003E0A6A">
        <w:rPr>
          <w:i w:val="0"/>
        </w:rPr>
        <w:t>aker</w:t>
      </w:r>
      <w:proofErr w:type="spellEnd"/>
      <w:r w:rsidR="003E0A6A">
        <w:rPr>
          <w:i w:val="0"/>
        </w:rPr>
        <w:t xml:space="preserve"> Hiring Credit payment</w:t>
      </w:r>
      <w:r w:rsidR="00A75401">
        <w:rPr>
          <w:i w:val="0"/>
        </w:rPr>
        <w:t>,</w:t>
      </w:r>
      <w:r w:rsidR="003E0A6A">
        <w:rPr>
          <w:i w:val="0"/>
        </w:rPr>
        <w:t xml:space="preserve"> such as </w:t>
      </w:r>
      <w:r>
        <w:rPr>
          <w:i w:val="0"/>
        </w:rPr>
        <w:t>the requirements relating to</w:t>
      </w:r>
      <w:r w:rsidR="003E0A6A">
        <w:rPr>
          <w:i w:val="0"/>
        </w:rPr>
        <w:t xml:space="preserve"> record keeping</w:t>
      </w:r>
      <w:r>
        <w:rPr>
          <w:i w:val="0"/>
        </w:rPr>
        <w:t xml:space="preserve"> (section 14)</w:t>
      </w:r>
      <w:r w:rsidR="003E0A6A">
        <w:rPr>
          <w:i w:val="0"/>
        </w:rPr>
        <w:t xml:space="preserve"> and contrived scheme</w:t>
      </w:r>
      <w:r>
        <w:rPr>
          <w:i w:val="0"/>
        </w:rPr>
        <w:t>s (section 19)</w:t>
      </w:r>
      <w:r w:rsidR="003E0A6A">
        <w:rPr>
          <w:i w:val="0"/>
        </w:rPr>
        <w:t>.</w:t>
      </w:r>
    </w:p>
    <w:p w14:paraId="71E10C67" w14:textId="37BE8578" w:rsidR="001B216E" w:rsidRDefault="006C0DFC" w:rsidP="00CF473F">
      <w:pPr>
        <w:pStyle w:val="base-text-paragraph"/>
        <w:ind w:left="0"/>
        <w:rPr>
          <w:sz w:val="22"/>
        </w:rPr>
      </w:pPr>
      <w:r>
        <w:t xml:space="preserve">These </w:t>
      </w:r>
      <w:r w:rsidR="002B2E3F">
        <w:t xml:space="preserve">provisions ensure the integrity of the </w:t>
      </w:r>
      <w:proofErr w:type="spellStart"/>
      <w:r w:rsidR="00A75401">
        <w:t>JobMaker</w:t>
      </w:r>
      <w:proofErr w:type="spellEnd"/>
      <w:r w:rsidR="00A75401">
        <w:t xml:space="preserve"> </w:t>
      </w:r>
      <w:r w:rsidR="002B2E3F">
        <w:t>scheme by requiring</w:t>
      </w:r>
      <w:r>
        <w:t xml:space="preserve"> entities </w:t>
      </w:r>
      <w:r w:rsidR="002B2E3F">
        <w:t xml:space="preserve">to </w:t>
      </w:r>
      <w:r>
        <w:t xml:space="preserve">maintain sufficient records to substantiate their claim and prevent both employers and employees from entering into arrangements for the sole or dominant purpose of obtaining the </w:t>
      </w:r>
      <w:proofErr w:type="spellStart"/>
      <w:r>
        <w:t>JobMaker</w:t>
      </w:r>
      <w:proofErr w:type="spellEnd"/>
      <w:r>
        <w:t xml:space="preserve"> Hiring Credit payment.</w:t>
      </w:r>
      <w:r w:rsidR="009C342F">
        <w:t xml:space="preserve"> These general provisions are supported by a specific rule inserted by the Amending Rules No. 9 which disqualifies an employer from accessing the </w:t>
      </w:r>
      <w:proofErr w:type="spellStart"/>
      <w:r w:rsidR="009C342F">
        <w:t>JobMaker</w:t>
      </w:r>
      <w:proofErr w:type="spellEnd"/>
      <w:r w:rsidR="009C342F">
        <w:t xml:space="preserve"> scheme where they have terminated the employment, or reduced the ordinary hours of work, of an existing employee in certain circumstances. This </w:t>
      </w:r>
      <w:r w:rsidR="00B10243">
        <w:t xml:space="preserve">disqualification </w:t>
      </w:r>
      <w:r w:rsidR="00C9542C">
        <w:t>rule</w:t>
      </w:r>
      <w:r w:rsidR="009C342F">
        <w:t xml:space="preserve"> is explained in further detail below.</w:t>
      </w:r>
    </w:p>
    <w:p w14:paraId="4205ED64" w14:textId="68C5ED5D" w:rsidR="00937B9F" w:rsidRDefault="00937B9F" w:rsidP="00C7483E">
      <w:pPr>
        <w:pStyle w:val="Heading4"/>
      </w:pPr>
      <w:proofErr w:type="spellStart"/>
      <w:r>
        <w:t>JobMaker</w:t>
      </w:r>
      <w:proofErr w:type="spellEnd"/>
      <w:r>
        <w:t xml:space="preserve"> period</w:t>
      </w:r>
      <w:r w:rsidR="00FC5D17">
        <w:t>s</w:t>
      </w:r>
    </w:p>
    <w:p w14:paraId="66A8D823" w14:textId="3131DC70" w:rsidR="00937B9F" w:rsidRDefault="00937B9F" w:rsidP="00937B9F">
      <w:r>
        <w:rPr>
          <w:color w:val="000000"/>
          <w:shd w:val="clear" w:color="auto" w:fill="FFFFFF"/>
        </w:rPr>
        <w:t xml:space="preserve">Entitlement to a </w:t>
      </w:r>
      <w:proofErr w:type="spellStart"/>
      <w:r>
        <w:rPr>
          <w:color w:val="000000"/>
          <w:shd w:val="clear" w:color="auto" w:fill="FFFFFF"/>
        </w:rPr>
        <w:t>JobMaker</w:t>
      </w:r>
      <w:proofErr w:type="spellEnd"/>
      <w:r>
        <w:rPr>
          <w:color w:val="000000"/>
          <w:shd w:val="clear" w:color="auto" w:fill="FFFFFF"/>
        </w:rPr>
        <w:t xml:space="preserve"> </w:t>
      </w:r>
      <w:r w:rsidR="0058440A">
        <w:rPr>
          <w:color w:val="000000"/>
          <w:shd w:val="clear" w:color="auto" w:fill="FFFFFF"/>
        </w:rPr>
        <w:t xml:space="preserve">Hiring Credit </w:t>
      </w:r>
      <w:r>
        <w:rPr>
          <w:color w:val="000000"/>
          <w:shd w:val="clear" w:color="auto" w:fill="FFFFFF"/>
        </w:rPr>
        <w:t xml:space="preserve">payment is assessed in relation to </w:t>
      </w:r>
      <w:r w:rsidR="005821F2">
        <w:t>three</w:t>
      </w:r>
      <w:r w:rsidR="00F07096">
        <w:noBreakHyphen/>
      </w:r>
      <w:r>
        <w:t>month period</w:t>
      </w:r>
      <w:r w:rsidR="002C6D78">
        <w:t xml:space="preserve">s known as </w:t>
      </w:r>
      <w:r w:rsidR="00A34044">
        <w:t>‘</w:t>
      </w:r>
      <w:proofErr w:type="spellStart"/>
      <w:r>
        <w:t>JobMaker</w:t>
      </w:r>
      <w:proofErr w:type="spellEnd"/>
      <w:r>
        <w:t xml:space="preserve"> period</w:t>
      </w:r>
      <w:r w:rsidR="002C6D78">
        <w:t>s</w:t>
      </w:r>
      <w:r w:rsidR="00A34044">
        <w:t>’</w:t>
      </w:r>
      <w:r>
        <w:t xml:space="preserve">. </w:t>
      </w:r>
      <w:r w:rsidR="00F0779A">
        <w:t xml:space="preserve">The </w:t>
      </w:r>
      <w:proofErr w:type="spellStart"/>
      <w:r w:rsidR="00F0779A">
        <w:t>JobMaker</w:t>
      </w:r>
      <w:proofErr w:type="spellEnd"/>
      <w:r w:rsidR="00F0779A">
        <w:t xml:space="preserve"> </w:t>
      </w:r>
      <w:r w:rsidR="002C6D78">
        <w:t>scheme commences on 7 </w:t>
      </w:r>
      <w:r w:rsidR="00F0779A">
        <w:t xml:space="preserve">October 2020 and ends on 6 October 2022, with each period being </w:t>
      </w:r>
      <w:r w:rsidR="00A8662F">
        <w:t>3 </w:t>
      </w:r>
      <w:r w:rsidR="00F0779A">
        <w:t>months. Accordingly, e</w:t>
      </w:r>
      <w:r>
        <w:t>ach of the following is</w:t>
      </w:r>
      <w:r w:rsidR="001514C0">
        <w:t xml:space="preserve"> a</w:t>
      </w:r>
      <w:r>
        <w:t xml:space="preserve"> </w:t>
      </w:r>
      <w:proofErr w:type="spellStart"/>
      <w:r>
        <w:t>JobMaker</w:t>
      </w:r>
      <w:proofErr w:type="spellEnd"/>
      <w:r>
        <w:t xml:space="preserve"> </w:t>
      </w:r>
      <w:r w:rsidR="00896AA3">
        <w:t>period</w:t>
      </w:r>
      <w:r w:rsidR="00957172">
        <w:t xml:space="preserve"> (inclusive)</w:t>
      </w:r>
      <w:r w:rsidR="001514C0">
        <w:t>:</w:t>
      </w:r>
    </w:p>
    <w:p w14:paraId="78C9ABA0" w14:textId="567AA183" w:rsidR="00F0779A" w:rsidRDefault="00F0779A" w:rsidP="00CB615D">
      <w:pPr>
        <w:pStyle w:val="Dotpoint"/>
        <w:numPr>
          <w:ilvl w:val="0"/>
          <w:numId w:val="14"/>
        </w:numPr>
      </w:pPr>
      <w:r>
        <w:t>7 October 2020 to 6 January 2021</w:t>
      </w:r>
      <w:r w:rsidR="00DB1AA7">
        <w:t>;</w:t>
      </w:r>
    </w:p>
    <w:p w14:paraId="7E6C059D" w14:textId="032E0BE6" w:rsidR="00F0779A" w:rsidRDefault="00F0779A" w:rsidP="00CB615D">
      <w:pPr>
        <w:pStyle w:val="Dotpoint"/>
        <w:numPr>
          <w:ilvl w:val="0"/>
          <w:numId w:val="14"/>
        </w:numPr>
      </w:pPr>
      <w:r>
        <w:lastRenderedPageBreak/>
        <w:t>7 January 2021 to 6 April 2021</w:t>
      </w:r>
      <w:r w:rsidR="00DB1AA7">
        <w:t>;</w:t>
      </w:r>
    </w:p>
    <w:p w14:paraId="217A9C25" w14:textId="039E9D43" w:rsidR="00F0779A" w:rsidRDefault="00F0779A" w:rsidP="00CB615D">
      <w:pPr>
        <w:pStyle w:val="Dotpoint"/>
        <w:numPr>
          <w:ilvl w:val="0"/>
          <w:numId w:val="14"/>
        </w:numPr>
      </w:pPr>
      <w:r>
        <w:t>7 April 2021 to 6 July 2021</w:t>
      </w:r>
      <w:r w:rsidR="002C6D78">
        <w:t>;</w:t>
      </w:r>
    </w:p>
    <w:p w14:paraId="389F917C" w14:textId="7703D247" w:rsidR="00F0779A" w:rsidRDefault="00F0779A" w:rsidP="00CB615D">
      <w:pPr>
        <w:pStyle w:val="Dotpoint"/>
        <w:numPr>
          <w:ilvl w:val="0"/>
          <w:numId w:val="14"/>
        </w:numPr>
      </w:pPr>
      <w:r>
        <w:t>7 July 2021 to 6 Oc</w:t>
      </w:r>
      <w:r w:rsidR="002C6D78">
        <w:t>tober 2021</w:t>
      </w:r>
      <w:r w:rsidR="0005371C">
        <w:t>;</w:t>
      </w:r>
    </w:p>
    <w:p w14:paraId="51E54BFE" w14:textId="7AC11AF0" w:rsidR="00F0779A" w:rsidRDefault="00F0779A" w:rsidP="00CB615D">
      <w:pPr>
        <w:pStyle w:val="Dotpoint"/>
        <w:numPr>
          <w:ilvl w:val="0"/>
          <w:numId w:val="14"/>
        </w:numPr>
      </w:pPr>
      <w:r>
        <w:t>7 October 2021 to 6 January 2022</w:t>
      </w:r>
      <w:r w:rsidR="0005371C">
        <w:t>;</w:t>
      </w:r>
    </w:p>
    <w:p w14:paraId="64A13DB7" w14:textId="12185B82" w:rsidR="00F0779A" w:rsidRDefault="00F0779A" w:rsidP="00CB615D">
      <w:pPr>
        <w:pStyle w:val="Dotpoint"/>
        <w:numPr>
          <w:ilvl w:val="0"/>
          <w:numId w:val="14"/>
        </w:numPr>
      </w:pPr>
      <w:r>
        <w:t>7 January 2022 to 6 April 2022</w:t>
      </w:r>
      <w:r w:rsidR="0005371C">
        <w:t>;</w:t>
      </w:r>
    </w:p>
    <w:p w14:paraId="18C98BA5" w14:textId="4BE83E3E" w:rsidR="00F0779A" w:rsidRDefault="00F0779A" w:rsidP="00CB615D">
      <w:pPr>
        <w:pStyle w:val="Dotpoint"/>
        <w:numPr>
          <w:ilvl w:val="0"/>
          <w:numId w:val="14"/>
        </w:numPr>
      </w:pPr>
      <w:r>
        <w:t>7 April 2022 to 6 July 2022;</w:t>
      </w:r>
      <w:r w:rsidR="00456807">
        <w:t xml:space="preserve"> and</w:t>
      </w:r>
    </w:p>
    <w:p w14:paraId="06FEFD94" w14:textId="3856AD0F" w:rsidR="00F0779A" w:rsidRDefault="00F0779A" w:rsidP="00CB615D">
      <w:pPr>
        <w:pStyle w:val="Dotpoint"/>
        <w:numPr>
          <w:ilvl w:val="0"/>
          <w:numId w:val="14"/>
        </w:numPr>
      </w:pPr>
      <w:r>
        <w:t>7 July 2022 to 6 October 2022.</w:t>
      </w:r>
    </w:p>
    <w:p w14:paraId="60A2135D" w14:textId="081180B6" w:rsidR="002507B5" w:rsidRDefault="002507B5" w:rsidP="000B63ED">
      <w:pPr>
        <w:pStyle w:val="Heading4"/>
      </w:pPr>
      <w:r>
        <w:t>Participation</w:t>
      </w:r>
      <w:r w:rsidR="00AF1461">
        <w:t xml:space="preserve"> and</w:t>
      </w:r>
      <w:r w:rsidR="0020090E">
        <w:t xml:space="preserve"> general</w:t>
      </w:r>
      <w:r w:rsidR="00AF1461">
        <w:t xml:space="preserve"> notification requirements</w:t>
      </w:r>
      <w:r w:rsidR="000B63ED">
        <w:t xml:space="preserve"> in the </w:t>
      </w:r>
      <w:proofErr w:type="spellStart"/>
      <w:r w:rsidR="000B63ED">
        <w:t>JobMaker</w:t>
      </w:r>
      <w:proofErr w:type="spellEnd"/>
      <w:r w:rsidR="000B63ED">
        <w:t xml:space="preserve"> scheme</w:t>
      </w:r>
    </w:p>
    <w:p w14:paraId="2282C7B7" w14:textId="5A14B0C7" w:rsidR="00C06269" w:rsidRDefault="005821F2" w:rsidP="00C06269">
      <w:pPr>
        <w:pStyle w:val="Dotpoint"/>
        <w:tabs>
          <w:tab w:val="clear" w:pos="360"/>
        </w:tabs>
        <w:ind w:left="0" w:firstLine="0"/>
      </w:pPr>
      <w:r>
        <w:t xml:space="preserve">To be entitled to the </w:t>
      </w:r>
      <w:proofErr w:type="spellStart"/>
      <w:r>
        <w:t>JobMaker</w:t>
      </w:r>
      <w:proofErr w:type="spellEnd"/>
      <w:r w:rsidR="00957172">
        <w:t xml:space="preserve"> Hiring Credit</w:t>
      </w:r>
      <w:r>
        <w:t xml:space="preserve"> payment in relation to a </w:t>
      </w:r>
      <w:proofErr w:type="spellStart"/>
      <w:r>
        <w:t>JobMaker</w:t>
      </w:r>
      <w:proofErr w:type="spellEnd"/>
      <w:r>
        <w:t xml:space="preserve"> period, </w:t>
      </w:r>
      <w:r w:rsidR="00691A4A">
        <w:t xml:space="preserve">an </w:t>
      </w:r>
      <w:r w:rsidR="003A01CF">
        <w:t>entity</w:t>
      </w:r>
      <w:r>
        <w:t xml:space="preserve"> must have notified the Commissioner </w:t>
      </w:r>
      <w:r w:rsidR="00AF1461">
        <w:t xml:space="preserve">in the approved form </w:t>
      </w:r>
      <w:r>
        <w:t>of its election to participate in the scheme</w:t>
      </w:r>
      <w:r w:rsidR="0018442D">
        <w:t>. This notification must be provided</w:t>
      </w:r>
      <w:r>
        <w:t xml:space="preserve"> by the end of the </w:t>
      </w:r>
      <w:r w:rsidR="000743D2">
        <w:t xml:space="preserve">first </w:t>
      </w:r>
      <w:r>
        <w:t xml:space="preserve">period </w:t>
      </w:r>
      <w:r w:rsidR="00103FC2">
        <w:t xml:space="preserve">the entity </w:t>
      </w:r>
      <w:r w:rsidR="000743D2">
        <w:t>wishes to receive an entitlement for</w:t>
      </w:r>
      <w:r w:rsidR="00103FC2">
        <w:t xml:space="preserve"> </w:t>
      </w:r>
      <w:proofErr w:type="spellStart"/>
      <w:r w:rsidR="00103FC2">
        <w:t>JobMaker</w:t>
      </w:r>
      <w:proofErr w:type="spellEnd"/>
      <w:r>
        <w:t>.</w:t>
      </w:r>
      <w:r w:rsidR="00AF1461">
        <w:t xml:space="preserve"> </w:t>
      </w:r>
      <w:r w:rsidR="00C06269">
        <w:t xml:space="preserve">Once an entity has notified the Commissioner of its election to participate for a period, the election also applies for any subsequent period. </w:t>
      </w:r>
    </w:p>
    <w:p w14:paraId="43694089" w14:textId="2C5082F5" w:rsidR="002740A5" w:rsidRDefault="00AF1461" w:rsidP="005821F2">
      <w:pPr>
        <w:pStyle w:val="Dotpoint"/>
        <w:tabs>
          <w:tab w:val="clear" w:pos="360"/>
        </w:tabs>
        <w:ind w:left="0" w:firstLine="0"/>
      </w:pPr>
      <w:r>
        <w:t xml:space="preserve">For </w:t>
      </w:r>
      <w:r w:rsidR="002D4C4F">
        <w:t>example,</w:t>
      </w:r>
      <w:r w:rsidR="00C06269">
        <w:t xml:space="preserve"> to participate in </w:t>
      </w:r>
      <w:r>
        <w:t>the</w:t>
      </w:r>
      <w:r w:rsidR="00C06269">
        <w:t xml:space="preserve"> second</w:t>
      </w:r>
      <w:r>
        <w:t xml:space="preserve"> </w:t>
      </w:r>
      <w:proofErr w:type="spellStart"/>
      <w:r>
        <w:t>JobMaker</w:t>
      </w:r>
      <w:proofErr w:type="spellEnd"/>
      <w:r>
        <w:t xml:space="preserve"> period of 7 </w:t>
      </w:r>
      <w:r w:rsidR="00C06269">
        <w:t>January 2021 </w:t>
      </w:r>
      <w:r w:rsidR="00CA2C4E">
        <w:t xml:space="preserve">to </w:t>
      </w:r>
      <w:r w:rsidR="00516CB9">
        <w:t>6 </w:t>
      </w:r>
      <w:r w:rsidR="00C06269">
        <w:t xml:space="preserve">April </w:t>
      </w:r>
      <w:r w:rsidR="00CA2C4E">
        <w:t>2021, the</w:t>
      </w:r>
      <w:r>
        <w:t xml:space="preserve"> notice must be provided</w:t>
      </w:r>
      <w:r w:rsidR="00CA2C4E">
        <w:t xml:space="preserve"> to the Commissioner</w:t>
      </w:r>
      <w:r>
        <w:t xml:space="preserve"> by 6 </w:t>
      </w:r>
      <w:r w:rsidR="00C06269">
        <w:t xml:space="preserve">April </w:t>
      </w:r>
      <w:r>
        <w:t>2021.</w:t>
      </w:r>
      <w:r w:rsidR="00C06269">
        <w:t xml:space="preserve"> This could include a notice that was given before 7 January 2021 in relation to the first period. </w:t>
      </w:r>
    </w:p>
    <w:p w14:paraId="21AD9F70" w14:textId="1B53922D" w:rsidR="00651AEF" w:rsidRDefault="005821F2" w:rsidP="005821F2">
      <w:pPr>
        <w:pStyle w:val="Dotpoint"/>
        <w:tabs>
          <w:tab w:val="clear" w:pos="360"/>
        </w:tabs>
        <w:ind w:left="0" w:firstLine="0"/>
      </w:pPr>
      <w:r>
        <w:t xml:space="preserve">The </w:t>
      </w:r>
      <w:r w:rsidR="003A01CF">
        <w:t>entity</w:t>
      </w:r>
      <w:r>
        <w:t xml:space="preserve"> must also </w:t>
      </w:r>
      <w:r w:rsidR="00E17223">
        <w:t xml:space="preserve">comply with all reporting obligations of the scheme as determined </w:t>
      </w:r>
      <w:r w:rsidR="008D173F">
        <w:t xml:space="preserve">by </w:t>
      </w:r>
      <w:r w:rsidR="00E17223">
        <w:t>the Commission</w:t>
      </w:r>
      <w:r w:rsidR="008D173F">
        <w:t xml:space="preserve">er. A legislative instrument issued by the Commissioner may specify the types of information that must be reported, the timing of that reporting and how the entity is required to provide that information to the </w:t>
      </w:r>
      <w:r w:rsidR="003A01CF">
        <w:t>Commissioner</w:t>
      </w:r>
      <w:r w:rsidR="001B347A">
        <w:t>.</w:t>
      </w:r>
      <w:r w:rsidR="00D44F29">
        <w:t xml:space="preserve"> </w:t>
      </w:r>
    </w:p>
    <w:p w14:paraId="3A361426" w14:textId="40E6DDEB" w:rsidR="001B347A" w:rsidRDefault="00983615" w:rsidP="005821F2">
      <w:pPr>
        <w:pStyle w:val="Dotpoint"/>
        <w:tabs>
          <w:tab w:val="clear" w:pos="360"/>
        </w:tabs>
        <w:ind w:left="0" w:firstLine="0"/>
      </w:pPr>
      <w:r>
        <w:t>The reporting requirements specified by the</w:t>
      </w:r>
      <w:r w:rsidR="00D44F29">
        <w:t xml:space="preserve"> Commissioner will </w:t>
      </w:r>
      <w:r>
        <w:t xml:space="preserve">include </w:t>
      </w:r>
      <w:r w:rsidR="00D44F29">
        <w:t xml:space="preserve">information </w:t>
      </w:r>
      <w:r>
        <w:t xml:space="preserve">required by </w:t>
      </w:r>
      <w:r w:rsidR="00CA2C4E">
        <w:t xml:space="preserve">the Commissioner to calculate the entity’s entitlement for a period. </w:t>
      </w:r>
      <w:r w:rsidR="00C8639F">
        <w:t xml:space="preserve">This will </w:t>
      </w:r>
      <w:r w:rsidR="00D44F29">
        <w:t xml:space="preserve">include the details of employees that have commenced or ceased employment during a </w:t>
      </w:r>
      <w:proofErr w:type="spellStart"/>
      <w:r w:rsidR="00D44F29">
        <w:t>JobMaker</w:t>
      </w:r>
      <w:proofErr w:type="spellEnd"/>
      <w:r w:rsidR="00D44F29">
        <w:t xml:space="preserve"> period and the </w:t>
      </w:r>
      <w:r w:rsidR="00CA2C4E">
        <w:t xml:space="preserve">entity’s payroll amount. </w:t>
      </w:r>
      <w:r w:rsidR="005F3C25">
        <w:t>The</w:t>
      </w:r>
      <w:r w:rsidR="00C8639F">
        <w:t xml:space="preserve"> Commissioner will </w:t>
      </w:r>
      <w:r w:rsidR="005F3C25">
        <w:t xml:space="preserve">also </w:t>
      </w:r>
      <w:r w:rsidR="00C8639F">
        <w:t xml:space="preserve">specify that the information must be provided through the </w:t>
      </w:r>
      <w:r w:rsidR="00CA2C4E">
        <w:t>single touch payroll</w:t>
      </w:r>
      <w:r w:rsidR="00C8639F">
        <w:t xml:space="preserve"> reporting regime</w:t>
      </w:r>
      <w:r w:rsidR="00CA2C4E">
        <w:t xml:space="preserve">. </w:t>
      </w:r>
    </w:p>
    <w:p w14:paraId="513679D6" w14:textId="77777777" w:rsidR="001865CE" w:rsidRDefault="00AF1461" w:rsidP="005821F2">
      <w:pPr>
        <w:pStyle w:val="Dotpoint"/>
        <w:tabs>
          <w:tab w:val="clear" w:pos="360"/>
        </w:tabs>
        <w:ind w:left="0" w:firstLine="0"/>
      </w:pPr>
      <w:r>
        <w:t xml:space="preserve">An </w:t>
      </w:r>
      <w:r w:rsidR="003A01CF">
        <w:t>entity</w:t>
      </w:r>
      <w:r>
        <w:t xml:space="preserve"> cannot participate in the </w:t>
      </w:r>
      <w:proofErr w:type="spellStart"/>
      <w:r>
        <w:t>JobMaker</w:t>
      </w:r>
      <w:proofErr w:type="spellEnd"/>
      <w:r>
        <w:t xml:space="preserve"> scheme if they are entitled to receive a </w:t>
      </w:r>
      <w:proofErr w:type="spellStart"/>
      <w:r>
        <w:t>JobKeeper</w:t>
      </w:r>
      <w:proofErr w:type="spellEnd"/>
      <w:r>
        <w:t xml:space="preserve"> payment in respect of an individual for a </w:t>
      </w:r>
      <w:proofErr w:type="spellStart"/>
      <w:r>
        <w:t>JobKeeper</w:t>
      </w:r>
      <w:proofErr w:type="spellEnd"/>
      <w:r>
        <w:t xml:space="preserve"> fortnight that begins during the </w:t>
      </w:r>
      <w:proofErr w:type="spellStart"/>
      <w:r>
        <w:t>JobMaker</w:t>
      </w:r>
      <w:proofErr w:type="spellEnd"/>
      <w:r>
        <w:t xml:space="preserve"> period. This </w:t>
      </w:r>
      <w:r w:rsidR="00CA1FC1">
        <w:t xml:space="preserve">ensures </w:t>
      </w:r>
      <w:r>
        <w:t>that an entity cannot participate in both</w:t>
      </w:r>
      <w:r w:rsidR="00AC79AC">
        <w:t xml:space="preserve"> the</w:t>
      </w:r>
      <w:r>
        <w:t xml:space="preserve"> </w:t>
      </w:r>
      <w:proofErr w:type="spellStart"/>
      <w:r>
        <w:t>JobKeeper</w:t>
      </w:r>
      <w:proofErr w:type="spellEnd"/>
      <w:r>
        <w:t xml:space="preserve"> </w:t>
      </w:r>
      <w:r w:rsidR="00AC79AC">
        <w:t xml:space="preserve">scheme </w:t>
      </w:r>
      <w:r>
        <w:t xml:space="preserve">and </w:t>
      </w:r>
      <w:proofErr w:type="spellStart"/>
      <w:r>
        <w:t>JobMaker</w:t>
      </w:r>
      <w:proofErr w:type="spellEnd"/>
      <w:r>
        <w:t xml:space="preserve"> </w:t>
      </w:r>
      <w:r w:rsidR="00AC79AC">
        <w:t xml:space="preserve">scheme </w:t>
      </w:r>
      <w:r>
        <w:t>simultaneously</w:t>
      </w:r>
      <w:r w:rsidR="00376166">
        <w:t xml:space="preserve">. </w:t>
      </w:r>
    </w:p>
    <w:p w14:paraId="28F24015" w14:textId="6594F146" w:rsidR="00AF1461" w:rsidRDefault="00376166" w:rsidP="005821F2">
      <w:pPr>
        <w:pStyle w:val="Dotpoint"/>
        <w:tabs>
          <w:tab w:val="clear" w:pos="360"/>
        </w:tabs>
        <w:ind w:left="0" w:firstLine="0"/>
      </w:pPr>
      <w:r>
        <w:t xml:space="preserve">The prohibition on </w:t>
      </w:r>
      <w:proofErr w:type="spellStart"/>
      <w:r>
        <w:t>JobKeeper</w:t>
      </w:r>
      <w:proofErr w:type="spellEnd"/>
      <w:r>
        <w:t xml:space="preserve"> fortnights that begin during a </w:t>
      </w:r>
      <w:proofErr w:type="spellStart"/>
      <w:r>
        <w:t>JobMaker</w:t>
      </w:r>
      <w:proofErr w:type="spellEnd"/>
      <w:r>
        <w:t xml:space="preserve"> period allows an entity to have a single </w:t>
      </w:r>
      <w:proofErr w:type="spellStart"/>
      <w:r>
        <w:t>JobKeeper</w:t>
      </w:r>
      <w:proofErr w:type="spellEnd"/>
      <w:r>
        <w:t xml:space="preserve"> fortnight end at the start of a </w:t>
      </w:r>
      <w:proofErr w:type="spellStart"/>
      <w:r>
        <w:t>JobMaker</w:t>
      </w:r>
      <w:proofErr w:type="spellEnd"/>
      <w:r>
        <w:t xml:space="preserve"> period</w:t>
      </w:r>
      <w:r w:rsidR="00554EA8">
        <w:t xml:space="preserve">. Permitting this overlap allows </w:t>
      </w:r>
      <w:r>
        <w:t xml:space="preserve">an entity to cease </w:t>
      </w:r>
      <w:r w:rsidR="00CA1FC1">
        <w:t xml:space="preserve">its participation in the </w:t>
      </w:r>
      <w:proofErr w:type="spellStart"/>
      <w:r w:rsidR="00CA1FC1">
        <w:t>JobKeeper</w:t>
      </w:r>
      <w:proofErr w:type="spellEnd"/>
      <w:r w:rsidR="00CA1FC1">
        <w:t xml:space="preserve"> scheme </w:t>
      </w:r>
      <w:r>
        <w:t xml:space="preserve">and begin its participation in the </w:t>
      </w:r>
      <w:proofErr w:type="spellStart"/>
      <w:r>
        <w:t>JobMaker</w:t>
      </w:r>
      <w:proofErr w:type="spellEnd"/>
      <w:r>
        <w:t xml:space="preserve"> scheme without requiring a ‘gap’ between the two schemes.</w:t>
      </w:r>
      <w:r w:rsidR="00554EA8">
        <w:t xml:space="preserve"> Preventing a </w:t>
      </w:r>
      <w:proofErr w:type="spellStart"/>
      <w:r w:rsidR="00554EA8">
        <w:t>JobKeeper</w:t>
      </w:r>
      <w:proofErr w:type="spellEnd"/>
      <w:r w:rsidR="00554EA8">
        <w:t xml:space="preserve"> fortnight from starting in a </w:t>
      </w:r>
      <w:proofErr w:type="spellStart"/>
      <w:r w:rsidR="00554EA8">
        <w:lastRenderedPageBreak/>
        <w:t>JobMaker</w:t>
      </w:r>
      <w:proofErr w:type="spellEnd"/>
      <w:r w:rsidR="00554EA8">
        <w:t xml:space="preserve"> period ensures that any such overlap is </w:t>
      </w:r>
      <w:r w:rsidR="00410CDB">
        <w:t xml:space="preserve">always </w:t>
      </w:r>
      <w:r w:rsidR="00554EA8">
        <w:t xml:space="preserve">limited to a part of a single </w:t>
      </w:r>
      <w:proofErr w:type="spellStart"/>
      <w:r w:rsidR="00554EA8">
        <w:t>JobKeeper</w:t>
      </w:r>
      <w:proofErr w:type="spellEnd"/>
      <w:r w:rsidR="00554EA8">
        <w:t xml:space="preserve"> fortnight</w:t>
      </w:r>
      <w:r w:rsidR="00410CDB">
        <w:t xml:space="preserve">. </w:t>
      </w:r>
      <w:r w:rsidR="006058D9">
        <w:t>This reflects that any transition between the two schemes must be limited and temporary in nature.</w:t>
      </w:r>
    </w:p>
    <w:p w14:paraId="02A037FF" w14:textId="6CCC6D64" w:rsidR="000B0B31" w:rsidRDefault="00B11A7A" w:rsidP="00F91110">
      <w:pPr>
        <w:pStyle w:val="Dotpoint"/>
        <w:tabs>
          <w:tab w:val="clear" w:pos="360"/>
        </w:tabs>
        <w:ind w:left="0" w:firstLine="0"/>
      </w:pPr>
      <w:r>
        <w:t xml:space="preserve">An entity that transitions from the </w:t>
      </w:r>
      <w:proofErr w:type="spellStart"/>
      <w:r>
        <w:t>JobKeeper</w:t>
      </w:r>
      <w:proofErr w:type="spellEnd"/>
      <w:r>
        <w:t xml:space="preserve"> scheme to the </w:t>
      </w:r>
      <w:proofErr w:type="spellStart"/>
      <w:r>
        <w:t>JobMaker</w:t>
      </w:r>
      <w:proofErr w:type="spellEnd"/>
      <w:r>
        <w:t xml:space="preserve"> scheme </w:t>
      </w:r>
      <w:r w:rsidR="0088237F">
        <w:t>can</w:t>
      </w:r>
      <w:r>
        <w:t xml:space="preserve"> employ an eligible employee during a </w:t>
      </w:r>
      <w:proofErr w:type="spellStart"/>
      <w:r>
        <w:t>JobMaker</w:t>
      </w:r>
      <w:proofErr w:type="spellEnd"/>
      <w:r>
        <w:t xml:space="preserve"> period for which the entity is not entitled to receive a payment under the </w:t>
      </w:r>
      <w:proofErr w:type="spellStart"/>
      <w:r>
        <w:t>JobMaker</w:t>
      </w:r>
      <w:proofErr w:type="spellEnd"/>
      <w:r>
        <w:t xml:space="preserve"> </w:t>
      </w:r>
      <w:r w:rsidR="0088237F">
        <w:t>scheme</w:t>
      </w:r>
      <w:r>
        <w:t xml:space="preserve">. </w:t>
      </w:r>
    </w:p>
    <w:p w14:paraId="1E496212" w14:textId="77777777" w:rsidR="007D5922" w:rsidRDefault="00B11A7A" w:rsidP="005821F2">
      <w:pPr>
        <w:pStyle w:val="Dotpoint"/>
        <w:tabs>
          <w:tab w:val="clear" w:pos="360"/>
        </w:tabs>
        <w:ind w:left="0" w:firstLine="0"/>
      </w:pPr>
      <w:r>
        <w:t xml:space="preserve">For example, </w:t>
      </w:r>
      <w:r w:rsidR="000B0B31">
        <w:t>an</w:t>
      </w:r>
      <w:r>
        <w:t xml:space="preserve"> entity </w:t>
      </w:r>
      <w:r w:rsidR="000B0B31">
        <w:t xml:space="preserve">that receives </w:t>
      </w:r>
      <w:proofErr w:type="spellStart"/>
      <w:r>
        <w:t>JobKeeper</w:t>
      </w:r>
      <w:proofErr w:type="spellEnd"/>
      <w:r>
        <w:t xml:space="preserve"> payments for their existing employees up until </w:t>
      </w:r>
      <w:r w:rsidR="000B0B31">
        <w:t xml:space="preserve">the </w:t>
      </w:r>
      <w:proofErr w:type="spellStart"/>
      <w:r w:rsidR="000B0B31">
        <w:t>JobKeeper</w:t>
      </w:r>
      <w:proofErr w:type="spellEnd"/>
      <w:r w:rsidR="000B0B31">
        <w:t xml:space="preserve"> fortnight ending on 3 January 2021 could </w:t>
      </w:r>
      <w:r w:rsidR="00E8393D">
        <w:t xml:space="preserve">have </w:t>
      </w:r>
      <w:r w:rsidR="000B0B31">
        <w:t>employ</w:t>
      </w:r>
      <w:r w:rsidR="00E8393D">
        <w:t>ed</w:t>
      </w:r>
      <w:r w:rsidR="000B0B31">
        <w:t xml:space="preserve"> an individual who </w:t>
      </w:r>
      <w:r w:rsidR="006F32EA">
        <w:t xml:space="preserve">is </w:t>
      </w:r>
      <w:r w:rsidR="000B0B31">
        <w:t xml:space="preserve">an eligible employee under the </w:t>
      </w:r>
      <w:proofErr w:type="spellStart"/>
      <w:r w:rsidR="000B0B31">
        <w:t>JobMaker</w:t>
      </w:r>
      <w:proofErr w:type="spellEnd"/>
      <w:r w:rsidR="000B0B31">
        <w:t xml:space="preserve"> scheme on 1 December</w:t>
      </w:r>
      <w:r w:rsidR="008C45B9">
        <w:t> </w:t>
      </w:r>
      <w:r w:rsidR="000B0B31">
        <w:t xml:space="preserve">2020. </w:t>
      </w:r>
      <w:r w:rsidR="00E8393D">
        <w:t>T</w:t>
      </w:r>
      <w:r>
        <w:t xml:space="preserve">he entity </w:t>
      </w:r>
      <w:r w:rsidR="000B0B31">
        <w:t xml:space="preserve">would not be entitled to receive </w:t>
      </w:r>
      <w:r w:rsidR="00CE6212">
        <w:t xml:space="preserve">the </w:t>
      </w:r>
      <w:proofErr w:type="spellStart"/>
      <w:r w:rsidR="00CE6212">
        <w:t>JobMaker</w:t>
      </w:r>
      <w:proofErr w:type="spellEnd"/>
      <w:r w:rsidR="00CE6212">
        <w:t xml:space="preserve"> Hiring Credit payment </w:t>
      </w:r>
      <w:r w:rsidR="00165E29">
        <w:t xml:space="preserve">for </w:t>
      </w:r>
      <w:r w:rsidR="000B0B31">
        <w:t xml:space="preserve">the </w:t>
      </w:r>
      <w:proofErr w:type="spellStart"/>
      <w:r w:rsidR="000B0B31">
        <w:t>JobMaker</w:t>
      </w:r>
      <w:proofErr w:type="spellEnd"/>
      <w:r w:rsidR="000B0B31">
        <w:t xml:space="preserve"> period of 7 October 2020 to 6</w:t>
      </w:r>
      <w:r w:rsidR="008B0439">
        <w:t> </w:t>
      </w:r>
      <w:r w:rsidR="000B0B31">
        <w:t xml:space="preserve">January 2021. </w:t>
      </w:r>
    </w:p>
    <w:p w14:paraId="53EDB80A" w14:textId="4445CCA7" w:rsidR="007D5922" w:rsidRDefault="008B0439" w:rsidP="005821F2">
      <w:pPr>
        <w:pStyle w:val="Dotpoint"/>
        <w:tabs>
          <w:tab w:val="clear" w:pos="360"/>
        </w:tabs>
        <w:ind w:left="0" w:firstLine="0"/>
      </w:pPr>
      <w:r>
        <w:t xml:space="preserve">However, assuming the </w:t>
      </w:r>
      <w:r w:rsidR="003B7EA6">
        <w:t xml:space="preserve">entity’s </w:t>
      </w:r>
      <w:r w:rsidR="0093236A">
        <w:t xml:space="preserve">last </w:t>
      </w:r>
      <w:proofErr w:type="spellStart"/>
      <w:r w:rsidR="0093236A">
        <w:t>JobKeeper</w:t>
      </w:r>
      <w:proofErr w:type="spellEnd"/>
      <w:r w:rsidR="0093236A">
        <w:t xml:space="preserve"> fortnight </w:t>
      </w:r>
      <w:r w:rsidR="003B7EA6">
        <w:t xml:space="preserve">ended </w:t>
      </w:r>
      <w:r w:rsidR="0093236A">
        <w:t>on 3 January</w:t>
      </w:r>
      <w:r w:rsidR="003B7EA6">
        <w:t xml:space="preserve"> 2021</w:t>
      </w:r>
      <w:r w:rsidR="0093236A">
        <w:t xml:space="preserve">, the entity could </w:t>
      </w:r>
      <w:r>
        <w:t xml:space="preserve">become </w:t>
      </w:r>
      <w:r w:rsidR="00A357F9">
        <w:t xml:space="preserve">entitled to receive the </w:t>
      </w:r>
      <w:proofErr w:type="spellStart"/>
      <w:r w:rsidR="00A357F9">
        <w:t>JobMaker</w:t>
      </w:r>
      <w:proofErr w:type="spellEnd"/>
      <w:r w:rsidR="00A357F9">
        <w:t xml:space="preserve"> Hiring Credit payment </w:t>
      </w:r>
      <w:r>
        <w:t xml:space="preserve">from the </w:t>
      </w:r>
      <w:proofErr w:type="spellStart"/>
      <w:r>
        <w:t>JobMaker</w:t>
      </w:r>
      <w:proofErr w:type="spellEnd"/>
      <w:r>
        <w:t xml:space="preserve"> period starting on 7</w:t>
      </w:r>
      <w:r w:rsidR="002041F8">
        <w:t> </w:t>
      </w:r>
      <w:r>
        <w:t xml:space="preserve">January 2021. The eligible employee </w:t>
      </w:r>
      <w:r w:rsidR="00B131C6">
        <w:t xml:space="preserve">who commenced employment </w:t>
      </w:r>
      <w:r>
        <w:t>on 1</w:t>
      </w:r>
      <w:r w:rsidR="00D97C85">
        <w:t> </w:t>
      </w:r>
      <w:r>
        <w:t>December</w:t>
      </w:r>
      <w:r w:rsidR="00B131C6">
        <w:t xml:space="preserve"> 2020</w:t>
      </w:r>
      <w:r>
        <w:t xml:space="preserve"> would be </w:t>
      </w:r>
      <w:r w:rsidR="00D97C85">
        <w:t xml:space="preserve">taken into account in working out the entity’s entitlement from that </w:t>
      </w:r>
      <w:r w:rsidR="00F952BB">
        <w:t xml:space="preserve">later </w:t>
      </w:r>
      <w:r w:rsidR="00D97C85">
        <w:t>time</w:t>
      </w:r>
      <w:r>
        <w:t xml:space="preserve">. </w:t>
      </w:r>
    </w:p>
    <w:p w14:paraId="1C8479FB" w14:textId="44C90B58" w:rsidR="00B11A7A" w:rsidRDefault="00FA67CC" w:rsidP="005821F2">
      <w:pPr>
        <w:pStyle w:val="Dotpoint"/>
        <w:tabs>
          <w:tab w:val="clear" w:pos="360"/>
        </w:tabs>
        <w:ind w:left="0" w:firstLine="0"/>
      </w:pPr>
      <w:r>
        <w:t xml:space="preserve">However, </w:t>
      </w:r>
      <w:r w:rsidR="005912C2">
        <w:t xml:space="preserve">the employee will cease to provide the entity with an entitlement to the </w:t>
      </w:r>
      <w:proofErr w:type="spellStart"/>
      <w:r w:rsidR="005912C2">
        <w:t>JobMaker</w:t>
      </w:r>
      <w:proofErr w:type="spellEnd"/>
      <w:r w:rsidR="005912C2">
        <w:t xml:space="preserve"> Hiring Credit payment from </w:t>
      </w:r>
      <w:r w:rsidR="00A45970">
        <w:t>1 </w:t>
      </w:r>
      <w:r w:rsidR="005912C2">
        <w:t xml:space="preserve">December 2021, as </w:t>
      </w:r>
      <w:r w:rsidR="00B17D9D">
        <w:t xml:space="preserve">entitlement to receive </w:t>
      </w:r>
      <w:r w:rsidR="005912C2">
        <w:t xml:space="preserve">payments </w:t>
      </w:r>
      <w:r w:rsidR="00B17D9D">
        <w:t xml:space="preserve">relating to an </w:t>
      </w:r>
      <w:r w:rsidR="005912C2">
        <w:t xml:space="preserve">eligible employee </w:t>
      </w:r>
      <w:r w:rsidR="00B17D9D">
        <w:t xml:space="preserve">ceases </w:t>
      </w:r>
      <w:r w:rsidR="005912C2">
        <w:t>12</w:t>
      </w:r>
      <w:r w:rsidR="00D90B97">
        <w:t> </w:t>
      </w:r>
      <w:r w:rsidR="005912C2">
        <w:t>months after they commence employment</w:t>
      </w:r>
      <w:r w:rsidR="002761A6">
        <w:t>.</w:t>
      </w:r>
    </w:p>
    <w:p w14:paraId="129EFA81" w14:textId="6171B393" w:rsidR="009E688D" w:rsidRPr="009E688D" w:rsidRDefault="00391455" w:rsidP="00C7483E">
      <w:pPr>
        <w:pStyle w:val="Heading3"/>
      </w:pPr>
      <w:r>
        <w:t>E</w:t>
      </w:r>
      <w:r w:rsidR="002507B5">
        <w:t>mployer must be a qualifying entity</w:t>
      </w:r>
    </w:p>
    <w:p w14:paraId="73CEC932" w14:textId="65F4A8A6" w:rsidR="00D67B55" w:rsidRDefault="00620994" w:rsidP="009E688D">
      <w:pPr>
        <w:pStyle w:val="base-text-paragraph"/>
        <w:ind w:left="0"/>
        <w:rPr>
          <w:color w:val="000000"/>
          <w:shd w:val="clear" w:color="auto" w:fill="FFFFFF"/>
        </w:rPr>
      </w:pPr>
      <w:r>
        <w:rPr>
          <w:color w:val="000000"/>
          <w:shd w:val="clear" w:color="auto" w:fill="FFFFFF"/>
        </w:rPr>
        <w:t xml:space="preserve">The </w:t>
      </w:r>
      <w:proofErr w:type="spellStart"/>
      <w:r>
        <w:rPr>
          <w:color w:val="000000"/>
          <w:shd w:val="clear" w:color="auto" w:fill="FFFFFF"/>
        </w:rPr>
        <w:t>JobMaker</w:t>
      </w:r>
      <w:proofErr w:type="spellEnd"/>
      <w:r>
        <w:rPr>
          <w:color w:val="000000"/>
          <w:shd w:val="clear" w:color="auto" w:fill="FFFFFF"/>
        </w:rPr>
        <w:t xml:space="preserve"> </w:t>
      </w:r>
      <w:r w:rsidR="00896AA3">
        <w:rPr>
          <w:color w:val="000000"/>
          <w:shd w:val="clear" w:color="auto" w:fill="FFFFFF"/>
        </w:rPr>
        <w:t>Hiring C</w:t>
      </w:r>
      <w:r>
        <w:rPr>
          <w:color w:val="000000"/>
          <w:shd w:val="clear" w:color="auto" w:fill="FFFFFF"/>
        </w:rPr>
        <w:t xml:space="preserve">redit </w:t>
      </w:r>
      <w:r w:rsidR="00DA7BFB">
        <w:rPr>
          <w:color w:val="000000"/>
          <w:shd w:val="clear" w:color="auto" w:fill="FFFFFF"/>
        </w:rPr>
        <w:t xml:space="preserve">payment </w:t>
      </w:r>
      <w:r w:rsidR="003A01CF">
        <w:rPr>
          <w:color w:val="000000"/>
          <w:shd w:val="clear" w:color="auto" w:fill="FFFFFF"/>
        </w:rPr>
        <w:t>is only available to qualifying entities</w:t>
      </w:r>
      <w:r>
        <w:rPr>
          <w:color w:val="000000"/>
          <w:shd w:val="clear" w:color="auto" w:fill="FFFFFF"/>
        </w:rPr>
        <w:t>.</w:t>
      </w:r>
      <w:r w:rsidR="00314EFA">
        <w:rPr>
          <w:color w:val="000000"/>
          <w:shd w:val="clear" w:color="auto" w:fill="FFFFFF"/>
        </w:rPr>
        <w:t xml:space="preserve"> An </w:t>
      </w:r>
      <w:r w:rsidR="00451143">
        <w:rPr>
          <w:color w:val="000000"/>
          <w:shd w:val="clear" w:color="auto" w:fill="FFFFFF"/>
        </w:rPr>
        <w:t>entity</w:t>
      </w:r>
      <w:r w:rsidR="00314EFA">
        <w:rPr>
          <w:color w:val="000000"/>
          <w:shd w:val="clear" w:color="auto" w:fill="FFFFFF"/>
        </w:rPr>
        <w:t xml:space="preserve"> </w:t>
      </w:r>
      <w:r w:rsidR="003A01CF">
        <w:rPr>
          <w:color w:val="000000"/>
          <w:shd w:val="clear" w:color="auto" w:fill="FFFFFF"/>
        </w:rPr>
        <w:t>is a qualifying entity</w:t>
      </w:r>
      <w:r w:rsidR="00314EFA">
        <w:rPr>
          <w:color w:val="000000"/>
          <w:shd w:val="clear" w:color="auto" w:fill="FFFFFF"/>
        </w:rPr>
        <w:t xml:space="preserve"> </w:t>
      </w:r>
      <w:r w:rsidR="00896AA3">
        <w:rPr>
          <w:color w:val="000000"/>
          <w:shd w:val="clear" w:color="auto" w:fill="FFFFFF"/>
        </w:rPr>
        <w:t>in respect of</w:t>
      </w:r>
      <w:r w:rsidR="00314EFA">
        <w:rPr>
          <w:color w:val="000000"/>
          <w:shd w:val="clear" w:color="auto" w:fill="FFFFFF"/>
        </w:rPr>
        <w:t xml:space="preserve"> a </w:t>
      </w:r>
      <w:proofErr w:type="spellStart"/>
      <w:r w:rsidR="00876B2F">
        <w:rPr>
          <w:color w:val="000000"/>
          <w:shd w:val="clear" w:color="auto" w:fill="FFFFFF"/>
        </w:rPr>
        <w:t>JobMaker</w:t>
      </w:r>
      <w:proofErr w:type="spellEnd"/>
      <w:r w:rsidR="00876B2F">
        <w:rPr>
          <w:color w:val="000000"/>
          <w:shd w:val="clear" w:color="auto" w:fill="FFFFFF"/>
        </w:rPr>
        <w:t xml:space="preserve"> </w:t>
      </w:r>
      <w:r w:rsidR="00896AA3">
        <w:rPr>
          <w:color w:val="000000"/>
          <w:shd w:val="clear" w:color="auto" w:fill="FFFFFF"/>
        </w:rPr>
        <w:t>period</w:t>
      </w:r>
      <w:r w:rsidR="00314EFA">
        <w:rPr>
          <w:color w:val="000000"/>
          <w:shd w:val="clear" w:color="auto" w:fill="FFFFFF"/>
        </w:rPr>
        <w:t xml:space="preserve"> if:</w:t>
      </w:r>
    </w:p>
    <w:p w14:paraId="49632957" w14:textId="778BC25C" w:rsidR="00314EFA" w:rsidRPr="00AB0CC3" w:rsidRDefault="001865CE" w:rsidP="00C25050">
      <w:pPr>
        <w:pStyle w:val="Dotpoint"/>
        <w:numPr>
          <w:ilvl w:val="0"/>
          <w:numId w:val="14"/>
        </w:numPr>
      </w:pPr>
      <w:r>
        <w:t>From the time the entity elected to participate in the scheme</w:t>
      </w:r>
      <w:r w:rsidR="004A077E">
        <w:t>, the entity satisfies any one of the following requirements</w:t>
      </w:r>
      <w:r w:rsidR="00E17223">
        <w:t>:</w:t>
      </w:r>
    </w:p>
    <w:p w14:paraId="5BB0EC28" w14:textId="0798A9F0" w:rsidR="00543C2F" w:rsidRPr="00557589" w:rsidRDefault="004A077E" w:rsidP="00557589">
      <w:pPr>
        <w:pStyle w:val="Dotpoint"/>
        <w:numPr>
          <w:ilvl w:val="0"/>
          <w:numId w:val="6"/>
        </w:numPr>
        <w:ind w:left="1134"/>
      </w:pPr>
      <w:r>
        <w:t xml:space="preserve">it </w:t>
      </w:r>
      <w:r w:rsidR="00543C2F" w:rsidRPr="00557589">
        <w:t>carries on a business in Australia; or</w:t>
      </w:r>
    </w:p>
    <w:p w14:paraId="41716ABB" w14:textId="07DF4467" w:rsidR="00543C2F" w:rsidRPr="00557589" w:rsidRDefault="004A077E" w:rsidP="00557589">
      <w:pPr>
        <w:pStyle w:val="Dotpoint"/>
        <w:numPr>
          <w:ilvl w:val="0"/>
          <w:numId w:val="6"/>
        </w:numPr>
        <w:ind w:left="1134"/>
      </w:pPr>
      <w:r>
        <w:t xml:space="preserve">it </w:t>
      </w:r>
      <w:r w:rsidR="00876B2F">
        <w:t>is</w:t>
      </w:r>
      <w:r w:rsidR="00876B2F" w:rsidRPr="00557589">
        <w:t xml:space="preserve"> </w:t>
      </w:r>
      <w:r w:rsidR="00144DC3" w:rsidRPr="00557589">
        <w:t>a non</w:t>
      </w:r>
      <w:r w:rsidR="00144DC3" w:rsidRPr="00557589">
        <w:noBreakHyphen/>
        <w:t>profit body pursuing its objectives principally in Australia; or</w:t>
      </w:r>
    </w:p>
    <w:p w14:paraId="3CBF1C88" w14:textId="3E2A4512" w:rsidR="00144DC3" w:rsidRDefault="004A077E" w:rsidP="00E17223">
      <w:pPr>
        <w:pStyle w:val="Dotpoint"/>
        <w:numPr>
          <w:ilvl w:val="0"/>
          <w:numId w:val="6"/>
        </w:numPr>
        <w:ind w:left="1134"/>
      </w:pPr>
      <w:r>
        <w:t xml:space="preserve">it </w:t>
      </w:r>
      <w:r w:rsidR="00144DC3" w:rsidRPr="00557589">
        <w:t xml:space="preserve">is a deductible gift recipient that is, or operates, a public fund covered by item 9.1.1 or 9.1.2 of the table in subsection 30-80(1) of the </w:t>
      </w:r>
      <w:r w:rsidR="0043114E" w:rsidRPr="0043114E">
        <w:t>ITAA 1997</w:t>
      </w:r>
      <w:r w:rsidR="0043114E">
        <w:rPr>
          <w:i/>
        </w:rPr>
        <w:t xml:space="preserve"> </w:t>
      </w:r>
      <w:r w:rsidR="00144DC3" w:rsidRPr="00557589">
        <w:t>(international affairs deductible gift recipients)</w:t>
      </w:r>
      <w:r w:rsidR="00876B2F">
        <w:t>; and</w:t>
      </w:r>
    </w:p>
    <w:p w14:paraId="5586A502" w14:textId="06D921CD" w:rsidR="004A077E" w:rsidRDefault="004A077E" w:rsidP="00D40978">
      <w:pPr>
        <w:pStyle w:val="Dotpoint"/>
        <w:numPr>
          <w:ilvl w:val="0"/>
          <w:numId w:val="14"/>
        </w:numPr>
      </w:pPr>
      <w:r>
        <w:t xml:space="preserve">From the time the entity elected to participate in the scheme, the entity both: </w:t>
      </w:r>
    </w:p>
    <w:p w14:paraId="0A88FD6E" w14:textId="38C415D7" w:rsidR="00876B2F" w:rsidRDefault="00876B2F" w:rsidP="00876B2F">
      <w:pPr>
        <w:pStyle w:val="Dotpoint"/>
        <w:numPr>
          <w:ilvl w:val="0"/>
          <w:numId w:val="6"/>
        </w:numPr>
        <w:ind w:left="1134"/>
      </w:pPr>
      <w:r>
        <w:t>has an ABN; and</w:t>
      </w:r>
    </w:p>
    <w:p w14:paraId="446F1B5C" w14:textId="77777777" w:rsidR="00876B2F" w:rsidRDefault="00876B2F" w:rsidP="00876B2F">
      <w:pPr>
        <w:pStyle w:val="Dotpoint"/>
        <w:numPr>
          <w:ilvl w:val="0"/>
          <w:numId w:val="6"/>
        </w:numPr>
        <w:ind w:left="1134"/>
      </w:pPr>
      <w:r>
        <w:t>is registered as a withholder in accordance with section 16-141, 16-142 or 16-146 in Schedule 1 to the Taxation Administration Act 1953; and</w:t>
      </w:r>
    </w:p>
    <w:p w14:paraId="3F43E16B" w14:textId="18C803B3" w:rsidR="004403F5" w:rsidRPr="00AD55F2" w:rsidRDefault="001865CE" w:rsidP="001865CE">
      <w:pPr>
        <w:pStyle w:val="Dotpoint"/>
        <w:numPr>
          <w:ilvl w:val="0"/>
          <w:numId w:val="14"/>
        </w:numPr>
      </w:pPr>
      <w:proofErr w:type="gramStart"/>
      <w:r>
        <w:t>at</w:t>
      </w:r>
      <w:proofErr w:type="gramEnd"/>
      <w:r>
        <w:t xml:space="preserve"> the time the entity gives information to the Commissioner about its entitlement for the period, the entity </w:t>
      </w:r>
      <w:r w:rsidR="00AD55F2" w:rsidRPr="00AD55F2">
        <w:t xml:space="preserve">does not have any outstanding income tax </w:t>
      </w:r>
      <w:r w:rsidR="009A648E">
        <w:t xml:space="preserve">returns </w:t>
      </w:r>
      <w:r w:rsidR="00AD55F2" w:rsidRPr="00AD55F2">
        <w:t xml:space="preserve">or GST returns that </w:t>
      </w:r>
      <w:r w:rsidR="009A648E">
        <w:t xml:space="preserve">the entity was required to lodge </w:t>
      </w:r>
      <w:r w:rsidR="00AD55F2" w:rsidRPr="00AD55F2">
        <w:t>in the 2 years</w:t>
      </w:r>
      <w:r w:rsidR="00CD439F">
        <w:t xml:space="preserve"> prior to the end of the </w:t>
      </w:r>
      <w:proofErr w:type="spellStart"/>
      <w:r w:rsidR="00CD439F">
        <w:t>JobMaker</w:t>
      </w:r>
      <w:proofErr w:type="spellEnd"/>
      <w:r w:rsidR="00CD439F">
        <w:t xml:space="preserve"> period</w:t>
      </w:r>
      <w:r w:rsidR="00876B2F">
        <w:t>.</w:t>
      </w:r>
    </w:p>
    <w:p w14:paraId="70047DD2" w14:textId="2462F470" w:rsidR="005F3C25" w:rsidRDefault="005F3C25" w:rsidP="00B14F6F">
      <w:pPr>
        <w:pStyle w:val="Heading4"/>
      </w:pPr>
      <w:r>
        <w:rPr>
          <w:i w:val="0"/>
        </w:rPr>
        <w:lastRenderedPageBreak/>
        <w:t xml:space="preserve">As noted above, the </w:t>
      </w:r>
      <w:r w:rsidRPr="005F3C25">
        <w:rPr>
          <w:i w:val="0"/>
        </w:rPr>
        <w:t xml:space="preserve">Commissioner will also specify that the information </w:t>
      </w:r>
      <w:r>
        <w:rPr>
          <w:i w:val="0"/>
        </w:rPr>
        <w:t xml:space="preserve">that must be provided in relation to an entity’s entitlement is to be provided </w:t>
      </w:r>
      <w:r w:rsidRPr="005F3C25">
        <w:rPr>
          <w:i w:val="0"/>
        </w:rPr>
        <w:t>through the single touch payroll reporting regime.</w:t>
      </w:r>
      <w:r>
        <w:rPr>
          <w:i w:val="0"/>
        </w:rPr>
        <w:t xml:space="preserve"> This will mean that entities must be enrolled in single touch payroll reporting in order to qualify for the </w:t>
      </w:r>
      <w:proofErr w:type="spellStart"/>
      <w:r>
        <w:rPr>
          <w:i w:val="0"/>
        </w:rPr>
        <w:t>JobMaker</w:t>
      </w:r>
      <w:proofErr w:type="spellEnd"/>
      <w:r>
        <w:rPr>
          <w:i w:val="0"/>
        </w:rPr>
        <w:t xml:space="preserve"> scheme.</w:t>
      </w:r>
    </w:p>
    <w:p w14:paraId="352E30C0" w14:textId="0D3CC955" w:rsidR="00840534" w:rsidRPr="00B14F6F" w:rsidRDefault="00840534" w:rsidP="00B14F6F">
      <w:pPr>
        <w:pStyle w:val="Heading4"/>
      </w:pPr>
      <w:r w:rsidRPr="00B14F6F">
        <w:t>Carrying on a business or pursuing objectives as a non-profit body</w:t>
      </w:r>
      <w:r w:rsidR="00FD18FA" w:rsidRPr="00B14F6F">
        <w:t xml:space="preserve"> or certain public funds</w:t>
      </w:r>
    </w:p>
    <w:p w14:paraId="2FB22F5E" w14:textId="383B8563" w:rsidR="00407CB8" w:rsidRDefault="00407CB8" w:rsidP="00FD18FA">
      <w:r>
        <w:t xml:space="preserve">To be a qualifying entity, the entity must be </w:t>
      </w:r>
      <w:r w:rsidR="007042EB">
        <w:t xml:space="preserve">either </w:t>
      </w:r>
      <w:r>
        <w:t>carrying on a business, be a non-profit body that pursues its objectives principally in Australia</w:t>
      </w:r>
      <w:r w:rsidR="00BD61B2">
        <w:t>,</w:t>
      </w:r>
      <w:r>
        <w:t xml:space="preserve"> or be a </w:t>
      </w:r>
      <w:r>
        <w:rPr>
          <w:color w:val="000000"/>
          <w:szCs w:val="24"/>
        </w:rPr>
        <w:t>public fund</w:t>
      </w:r>
      <w:r w:rsidRPr="00FD18FA">
        <w:rPr>
          <w:color w:val="000000"/>
          <w:szCs w:val="24"/>
        </w:rPr>
        <w:t xml:space="preserve"> covered by items 9.1.1 or 9.1.2 of the table in subsection 30-80(1) of the ITAA 1997</w:t>
      </w:r>
      <w:r>
        <w:rPr>
          <w:color w:val="000000"/>
          <w:szCs w:val="24"/>
        </w:rPr>
        <w:t xml:space="preserve"> (international affairs deductible gift recipients). </w:t>
      </w:r>
    </w:p>
    <w:p w14:paraId="61F56AC2" w14:textId="34A3B863" w:rsidR="000B74AC" w:rsidRDefault="00840534" w:rsidP="000B74AC">
      <w:r w:rsidRPr="00CB615D">
        <w:t>The term ‘business’ is defined in section 995-1 of the </w:t>
      </w:r>
      <w:r w:rsidR="0013033F" w:rsidRPr="0013033F">
        <w:rPr>
          <w:iCs/>
        </w:rPr>
        <w:t>ITAA 1997</w:t>
      </w:r>
      <w:r w:rsidRPr="00CB615D">
        <w:t>. As noted in the dictionary for the Rules, the term ‘non-profit body’ takes the same meaning as given to the term in section 23-15 of the </w:t>
      </w:r>
      <w:r w:rsidRPr="00840534">
        <w:rPr>
          <w:i/>
          <w:iCs/>
        </w:rPr>
        <w:t>A New Tax System (G</w:t>
      </w:r>
      <w:r w:rsidR="00F15E2C">
        <w:rPr>
          <w:i/>
          <w:iCs/>
        </w:rPr>
        <w:t>oods and Services Tax)</w:t>
      </w:r>
      <w:r w:rsidR="00F37681">
        <w:rPr>
          <w:i/>
          <w:iCs/>
        </w:rPr>
        <w:t xml:space="preserve"> </w:t>
      </w:r>
      <w:r w:rsidR="00F15E2C">
        <w:rPr>
          <w:i/>
          <w:iCs/>
        </w:rPr>
        <w:t>Act</w:t>
      </w:r>
      <w:r w:rsidR="008C45B9">
        <w:rPr>
          <w:i/>
          <w:iCs/>
        </w:rPr>
        <w:t> </w:t>
      </w:r>
      <w:r w:rsidR="00F15E2C">
        <w:rPr>
          <w:i/>
          <w:iCs/>
        </w:rPr>
        <w:t>1999.</w:t>
      </w:r>
    </w:p>
    <w:p w14:paraId="74CEE989" w14:textId="5B2C6310" w:rsidR="00FD18FA" w:rsidRPr="000B74AC" w:rsidRDefault="00407CB8" w:rsidP="000B74AC">
      <w:r w:rsidRPr="00FD18FA">
        <w:rPr>
          <w:color w:val="000000"/>
          <w:szCs w:val="24"/>
        </w:rPr>
        <w:t xml:space="preserve">Items 9.1.1 and 9.1.2 of the table in subsection 30-80(1) of the ITAA 1997 broadly apply to public funds that are declared to be developing country relief funds </w:t>
      </w:r>
      <w:r w:rsidR="00041A77">
        <w:rPr>
          <w:color w:val="000000"/>
          <w:szCs w:val="24"/>
        </w:rPr>
        <w:t>or</w:t>
      </w:r>
      <w:r w:rsidR="00041A77" w:rsidRPr="00FD18FA">
        <w:rPr>
          <w:color w:val="000000"/>
          <w:szCs w:val="24"/>
        </w:rPr>
        <w:t xml:space="preserve"> </w:t>
      </w:r>
      <w:r w:rsidR="00041A77">
        <w:rPr>
          <w:color w:val="000000"/>
          <w:szCs w:val="24"/>
        </w:rPr>
        <w:t>developed</w:t>
      </w:r>
      <w:r w:rsidRPr="00FD18FA">
        <w:rPr>
          <w:color w:val="000000"/>
          <w:szCs w:val="24"/>
        </w:rPr>
        <w:t xml:space="preserve"> country disaster relief funds</w:t>
      </w:r>
      <w:r w:rsidR="000B74AC">
        <w:rPr>
          <w:color w:val="000000"/>
          <w:szCs w:val="24"/>
        </w:rPr>
        <w:t>.</w:t>
      </w:r>
    </w:p>
    <w:p w14:paraId="239EA73F" w14:textId="50E149AF" w:rsidR="00FE46D3" w:rsidRPr="00B14F6F" w:rsidRDefault="00FE46D3" w:rsidP="00B14F6F">
      <w:pPr>
        <w:pStyle w:val="Heading4"/>
      </w:pPr>
      <w:r w:rsidRPr="00B14F6F">
        <w:t>ABN</w:t>
      </w:r>
      <w:r w:rsidR="00105884">
        <w:t xml:space="preserve"> registration</w:t>
      </w:r>
      <w:r w:rsidRPr="00B14F6F">
        <w:t>, withholding</w:t>
      </w:r>
      <w:r w:rsidR="00105884">
        <w:t xml:space="preserve"> obligations</w:t>
      </w:r>
      <w:r w:rsidRPr="00B14F6F">
        <w:t xml:space="preserve"> and tax </w:t>
      </w:r>
      <w:proofErr w:type="spellStart"/>
      <w:r w:rsidRPr="00B14F6F">
        <w:t>lodgments</w:t>
      </w:r>
      <w:proofErr w:type="spellEnd"/>
      <w:r w:rsidR="00105884">
        <w:t xml:space="preserve"> up to date</w:t>
      </w:r>
    </w:p>
    <w:p w14:paraId="4DD26FFF" w14:textId="6DD4957D" w:rsidR="000B74AC" w:rsidRDefault="00BF08ED" w:rsidP="00FE46D3">
      <w:pPr>
        <w:shd w:val="clear" w:color="auto" w:fill="FFFFFF"/>
        <w:spacing w:before="120" w:after="120"/>
        <w:rPr>
          <w:color w:val="000000"/>
          <w:szCs w:val="24"/>
        </w:rPr>
      </w:pPr>
      <w:r>
        <w:rPr>
          <w:color w:val="000000"/>
          <w:szCs w:val="24"/>
        </w:rPr>
        <w:t>To provide for efficien</w:t>
      </w:r>
      <w:r w:rsidR="00831B85">
        <w:rPr>
          <w:color w:val="000000"/>
          <w:szCs w:val="24"/>
        </w:rPr>
        <w:t>t administration of the scheme</w:t>
      </w:r>
      <w:r w:rsidR="000B74AC">
        <w:rPr>
          <w:color w:val="000000"/>
          <w:szCs w:val="24"/>
        </w:rPr>
        <w:t xml:space="preserve">, at the time they </w:t>
      </w:r>
      <w:r w:rsidR="00041A77">
        <w:rPr>
          <w:color w:val="000000"/>
          <w:szCs w:val="24"/>
        </w:rPr>
        <w:t xml:space="preserve">elect </w:t>
      </w:r>
      <w:r w:rsidR="000B74AC">
        <w:rPr>
          <w:color w:val="000000"/>
          <w:szCs w:val="24"/>
        </w:rPr>
        <w:t xml:space="preserve">to participate in the </w:t>
      </w:r>
      <w:proofErr w:type="spellStart"/>
      <w:r w:rsidR="000B74AC">
        <w:rPr>
          <w:color w:val="000000"/>
          <w:szCs w:val="24"/>
        </w:rPr>
        <w:t>JobMaker</w:t>
      </w:r>
      <w:proofErr w:type="spellEnd"/>
      <w:r w:rsidR="000B74AC">
        <w:rPr>
          <w:color w:val="000000"/>
          <w:szCs w:val="24"/>
        </w:rPr>
        <w:t xml:space="preserve"> scheme the entity must have an ABN and</w:t>
      </w:r>
      <w:r w:rsidR="00FE46D3">
        <w:rPr>
          <w:color w:val="000000"/>
          <w:szCs w:val="24"/>
        </w:rPr>
        <w:t xml:space="preserve"> be registered </w:t>
      </w:r>
      <w:r w:rsidR="00105884">
        <w:rPr>
          <w:color w:val="000000"/>
          <w:szCs w:val="24"/>
        </w:rPr>
        <w:t>to withhold Pay As You Go</w:t>
      </w:r>
      <w:r w:rsidR="00831B85">
        <w:rPr>
          <w:color w:val="000000"/>
          <w:szCs w:val="24"/>
        </w:rPr>
        <w:t xml:space="preserve">. </w:t>
      </w:r>
    </w:p>
    <w:p w14:paraId="0463AE1D" w14:textId="02A25872" w:rsidR="00FC281D" w:rsidRDefault="000B74AC" w:rsidP="00FC281D">
      <w:pPr>
        <w:shd w:val="clear" w:color="auto" w:fill="FFFFFF"/>
        <w:spacing w:before="120" w:after="120"/>
        <w:rPr>
          <w:color w:val="000000"/>
          <w:szCs w:val="24"/>
        </w:rPr>
      </w:pPr>
      <w:r>
        <w:rPr>
          <w:color w:val="000000"/>
          <w:szCs w:val="24"/>
        </w:rPr>
        <w:t>A</w:t>
      </w:r>
      <w:r w:rsidR="00831B85">
        <w:rPr>
          <w:color w:val="000000"/>
          <w:szCs w:val="24"/>
        </w:rPr>
        <w:t>t the time the entity provides information to the Commissioner about their entitlement under the scheme</w:t>
      </w:r>
      <w:r w:rsidR="00352AD0">
        <w:rPr>
          <w:color w:val="000000"/>
          <w:szCs w:val="24"/>
        </w:rPr>
        <w:t xml:space="preserve"> for a </w:t>
      </w:r>
      <w:proofErr w:type="spellStart"/>
      <w:r w:rsidR="00352AD0">
        <w:rPr>
          <w:color w:val="000000"/>
          <w:szCs w:val="24"/>
        </w:rPr>
        <w:t>JobMaker</w:t>
      </w:r>
      <w:proofErr w:type="spellEnd"/>
      <w:r w:rsidR="00352AD0">
        <w:rPr>
          <w:color w:val="000000"/>
          <w:szCs w:val="24"/>
        </w:rPr>
        <w:t xml:space="preserve"> period</w:t>
      </w:r>
      <w:r>
        <w:rPr>
          <w:color w:val="000000"/>
          <w:szCs w:val="24"/>
        </w:rPr>
        <w:t>, the entity must not</w:t>
      </w:r>
      <w:r w:rsidR="00831B85">
        <w:rPr>
          <w:color w:val="000000"/>
          <w:szCs w:val="24"/>
        </w:rPr>
        <w:t xml:space="preserve"> </w:t>
      </w:r>
      <w:r w:rsidR="00FE46D3">
        <w:rPr>
          <w:color w:val="000000"/>
          <w:szCs w:val="24"/>
        </w:rPr>
        <w:t xml:space="preserve">have </w:t>
      </w:r>
      <w:r>
        <w:rPr>
          <w:color w:val="000000"/>
          <w:szCs w:val="24"/>
        </w:rPr>
        <w:t>any</w:t>
      </w:r>
      <w:r w:rsidR="00FE46D3">
        <w:rPr>
          <w:color w:val="000000"/>
          <w:szCs w:val="24"/>
        </w:rPr>
        <w:t xml:space="preserve"> outst</w:t>
      </w:r>
      <w:r w:rsidR="00BF08ED">
        <w:rPr>
          <w:color w:val="000000"/>
          <w:szCs w:val="24"/>
        </w:rPr>
        <w:t xml:space="preserve">anding income tax or </w:t>
      </w:r>
      <w:r w:rsidR="00105884">
        <w:rPr>
          <w:color w:val="000000"/>
          <w:szCs w:val="24"/>
        </w:rPr>
        <w:t xml:space="preserve">business activity statement </w:t>
      </w:r>
      <w:proofErr w:type="spellStart"/>
      <w:r w:rsidR="00105884">
        <w:rPr>
          <w:color w:val="000000"/>
          <w:szCs w:val="24"/>
        </w:rPr>
        <w:t>lodgments</w:t>
      </w:r>
      <w:proofErr w:type="spellEnd"/>
      <w:r w:rsidR="00BF08ED">
        <w:rPr>
          <w:color w:val="000000"/>
          <w:szCs w:val="24"/>
        </w:rPr>
        <w:t xml:space="preserve"> </w:t>
      </w:r>
      <w:r w:rsidR="00FE46D3">
        <w:rPr>
          <w:color w:val="000000"/>
          <w:szCs w:val="24"/>
        </w:rPr>
        <w:t xml:space="preserve">that </w:t>
      </w:r>
      <w:r w:rsidR="00B71706">
        <w:rPr>
          <w:color w:val="000000"/>
          <w:szCs w:val="24"/>
        </w:rPr>
        <w:t xml:space="preserve">were required to be lodged </w:t>
      </w:r>
      <w:r w:rsidR="00FE46D3">
        <w:rPr>
          <w:color w:val="000000"/>
          <w:szCs w:val="24"/>
        </w:rPr>
        <w:t xml:space="preserve">in the two years before </w:t>
      </w:r>
      <w:r w:rsidR="00352AD0">
        <w:rPr>
          <w:color w:val="000000"/>
          <w:szCs w:val="24"/>
        </w:rPr>
        <w:t xml:space="preserve">the end of the </w:t>
      </w:r>
      <w:proofErr w:type="spellStart"/>
      <w:r w:rsidR="00352AD0">
        <w:rPr>
          <w:color w:val="000000"/>
          <w:szCs w:val="24"/>
        </w:rPr>
        <w:t>JobMaker</w:t>
      </w:r>
      <w:proofErr w:type="spellEnd"/>
      <w:r w:rsidR="00352AD0">
        <w:rPr>
          <w:color w:val="000000"/>
          <w:szCs w:val="24"/>
        </w:rPr>
        <w:t xml:space="preserve"> period</w:t>
      </w:r>
      <w:r w:rsidR="00FE46D3">
        <w:rPr>
          <w:color w:val="000000"/>
          <w:szCs w:val="24"/>
        </w:rPr>
        <w:t>.</w:t>
      </w:r>
      <w:r w:rsidR="000F7668">
        <w:rPr>
          <w:color w:val="000000"/>
          <w:szCs w:val="24"/>
        </w:rPr>
        <w:t xml:space="preserve"> This means that an entity </w:t>
      </w:r>
      <w:r w:rsidR="00A22264">
        <w:rPr>
          <w:color w:val="000000"/>
          <w:szCs w:val="24"/>
        </w:rPr>
        <w:t>c</w:t>
      </w:r>
      <w:r w:rsidR="000F7668">
        <w:rPr>
          <w:color w:val="000000"/>
          <w:szCs w:val="24"/>
        </w:rPr>
        <w:t xml:space="preserve">an rectify any </w:t>
      </w:r>
      <w:proofErr w:type="spellStart"/>
      <w:r w:rsidR="000F7668">
        <w:rPr>
          <w:color w:val="000000"/>
          <w:szCs w:val="24"/>
        </w:rPr>
        <w:t>lodgments</w:t>
      </w:r>
      <w:proofErr w:type="spellEnd"/>
      <w:r w:rsidR="000F7668">
        <w:rPr>
          <w:color w:val="000000"/>
          <w:szCs w:val="24"/>
        </w:rPr>
        <w:t xml:space="preserve"> </w:t>
      </w:r>
      <w:r w:rsidR="001B3441">
        <w:rPr>
          <w:color w:val="000000"/>
          <w:szCs w:val="24"/>
        </w:rPr>
        <w:t xml:space="preserve">that were outstanding at the end </w:t>
      </w:r>
      <w:r w:rsidR="000F7668">
        <w:rPr>
          <w:color w:val="000000"/>
          <w:szCs w:val="24"/>
        </w:rPr>
        <w:t>of the period before they provide</w:t>
      </w:r>
      <w:r w:rsidR="001E4C18">
        <w:rPr>
          <w:color w:val="000000"/>
          <w:szCs w:val="24"/>
        </w:rPr>
        <w:t xml:space="preserve"> the required</w:t>
      </w:r>
      <w:r w:rsidR="000F7668">
        <w:rPr>
          <w:color w:val="000000"/>
          <w:szCs w:val="24"/>
        </w:rPr>
        <w:t xml:space="preserve"> information to the Commissioner</w:t>
      </w:r>
      <w:r w:rsidR="00265F2D">
        <w:rPr>
          <w:color w:val="000000"/>
          <w:szCs w:val="24"/>
        </w:rPr>
        <w:t xml:space="preserve"> in relation to the period</w:t>
      </w:r>
      <w:r w:rsidR="000F7668">
        <w:rPr>
          <w:color w:val="000000"/>
          <w:szCs w:val="24"/>
        </w:rPr>
        <w:t>.</w:t>
      </w:r>
    </w:p>
    <w:p w14:paraId="5D3BEE4B" w14:textId="3CBB85AC" w:rsidR="00FC281D" w:rsidRPr="00FC281D" w:rsidRDefault="00FC281D" w:rsidP="00FC281D">
      <w:pPr>
        <w:pStyle w:val="Heading4"/>
      </w:pPr>
      <w:r w:rsidRPr="00FC281D">
        <w:t xml:space="preserve">Exclusions </w:t>
      </w:r>
    </w:p>
    <w:p w14:paraId="58B183A0" w14:textId="7E0915A7" w:rsidR="00D71274" w:rsidRPr="00451143" w:rsidRDefault="00FC281D" w:rsidP="00451143">
      <w:pPr>
        <w:pStyle w:val="base-text-paragraph"/>
        <w:ind w:left="0"/>
        <w:rPr>
          <w:color w:val="000000"/>
          <w:shd w:val="clear" w:color="auto" w:fill="FFFFFF"/>
        </w:rPr>
      </w:pPr>
      <w:r>
        <w:rPr>
          <w:color w:val="000000"/>
          <w:shd w:val="clear" w:color="auto" w:fill="FFFFFF"/>
        </w:rPr>
        <w:t>An</w:t>
      </w:r>
      <w:r w:rsidR="00451143">
        <w:rPr>
          <w:color w:val="000000"/>
          <w:shd w:val="clear" w:color="auto" w:fill="FFFFFF"/>
        </w:rPr>
        <w:t xml:space="preserve"> </w:t>
      </w:r>
      <w:r w:rsidR="003A01CF">
        <w:rPr>
          <w:color w:val="000000"/>
          <w:shd w:val="clear" w:color="auto" w:fill="FFFFFF"/>
        </w:rPr>
        <w:t>entity</w:t>
      </w:r>
      <w:r w:rsidR="00451143">
        <w:rPr>
          <w:color w:val="000000"/>
          <w:shd w:val="clear" w:color="auto" w:fill="FFFFFF"/>
        </w:rPr>
        <w:t xml:space="preserve"> is excluded from being a qualifying entity if any of </w:t>
      </w:r>
      <w:r w:rsidR="00380D83" w:rsidRPr="00451143">
        <w:rPr>
          <w:color w:val="000000"/>
          <w:shd w:val="clear" w:color="auto" w:fill="FFFFFF"/>
        </w:rPr>
        <w:t>the following applies:</w:t>
      </w:r>
    </w:p>
    <w:p w14:paraId="53EE221C" w14:textId="68C61278" w:rsidR="00275421" w:rsidRDefault="00275421" w:rsidP="00451143">
      <w:pPr>
        <w:pStyle w:val="Dotpoint"/>
        <w:numPr>
          <w:ilvl w:val="0"/>
          <w:numId w:val="14"/>
        </w:numPr>
      </w:pPr>
      <w:r>
        <w:t xml:space="preserve">it </w:t>
      </w:r>
      <w:r w:rsidR="00451143">
        <w:t>is an entity that has</w:t>
      </w:r>
      <w:r>
        <w:t xml:space="preserve"> been subject to the levy imposed by the </w:t>
      </w:r>
      <w:r w:rsidRPr="00451143">
        <w:rPr>
          <w:i/>
        </w:rPr>
        <w:t>Major Bank Levy Act 2017</w:t>
      </w:r>
      <w:r w:rsidRPr="00451143">
        <w:t xml:space="preserve"> </w:t>
      </w:r>
      <w:r>
        <w:t xml:space="preserve">for any quarter ending before </w:t>
      </w:r>
      <w:r w:rsidR="00451143">
        <w:t>1 October 2020</w:t>
      </w:r>
      <w:r>
        <w:t>, or it was a member of a consolidated group and another member of the group had been subject to the levy;</w:t>
      </w:r>
    </w:p>
    <w:p w14:paraId="719F810F" w14:textId="546AD3A1" w:rsidR="00275421" w:rsidRDefault="00275421" w:rsidP="00451143">
      <w:pPr>
        <w:pStyle w:val="Dotpoint"/>
        <w:numPr>
          <w:ilvl w:val="0"/>
          <w:numId w:val="14"/>
        </w:numPr>
      </w:pPr>
      <w:r>
        <w:t>it is a</w:t>
      </w:r>
      <w:r w:rsidR="007E44C6">
        <w:t>n Australian government agency, local governing body or a wholly</w:t>
      </w:r>
      <w:r w:rsidR="007E44C6">
        <w:noBreakHyphen/>
      </w:r>
      <w:r w:rsidR="004403F5">
        <w:t xml:space="preserve">owned entity of </w:t>
      </w:r>
      <w:r w:rsidR="007E44C6">
        <w:t>those</w:t>
      </w:r>
      <w:r w:rsidR="004403F5">
        <w:t xml:space="preserve">; </w:t>
      </w:r>
    </w:p>
    <w:p w14:paraId="4F30E535" w14:textId="7E31C784" w:rsidR="004403F5" w:rsidRDefault="00A51F4D" w:rsidP="00451143">
      <w:pPr>
        <w:pStyle w:val="Dotpoint"/>
        <w:numPr>
          <w:ilvl w:val="0"/>
          <w:numId w:val="14"/>
        </w:numPr>
      </w:pPr>
      <w:r>
        <w:t xml:space="preserve">it is </w:t>
      </w:r>
      <w:r w:rsidR="004403F5">
        <w:t>a sovereign entity; or</w:t>
      </w:r>
    </w:p>
    <w:p w14:paraId="3D34B3E3" w14:textId="2927ADA3" w:rsidR="00314EFA" w:rsidRDefault="00275421" w:rsidP="00451143">
      <w:pPr>
        <w:pStyle w:val="Dotpoint"/>
        <w:numPr>
          <w:ilvl w:val="0"/>
          <w:numId w:val="14"/>
        </w:numPr>
      </w:pPr>
      <w:proofErr w:type="gramStart"/>
      <w:r>
        <w:t>at</w:t>
      </w:r>
      <w:proofErr w:type="gramEnd"/>
      <w:r>
        <w:t xml:space="preserve"> any time in the </w:t>
      </w:r>
      <w:proofErr w:type="spellStart"/>
      <w:r w:rsidR="0063712C">
        <w:t>JobMaker</w:t>
      </w:r>
      <w:proofErr w:type="spellEnd"/>
      <w:r w:rsidR="0063712C">
        <w:t xml:space="preserve"> period</w:t>
      </w:r>
      <w:r>
        <w:t>, a provisional liquidator or liquidator has been appointed to the business or a trustee in bankruptcy had been appointed to the individual’s property.</w:t>
      </w:r>
    </w:p>
    <w:p w14:paraId="28CAE45E" w14:textId="7EFE45C5" w:rsidR="005A6B15" w:rsidRPr="005A6B15" w:rsidRDefault="005A6B15" w:rsidP="005A6B15">
      <w:pPr>
        <w:shd w:val="clear" w:color="auto" w:fill="FFFFFF"/>
        <w:spacing w:after="120"/>
        <w:rPr>
          <w:color w:val="000000"/>
        </w:rPr>
      </w:pPr>
      <w:r w:rsidRPr="005A6B15">
        <w:rPr>
          <w:color w:val="000000"/>
        </w:rPr>
        <w:lastRenderedPageBreak/>
        <w:t xml:space="preserve">Each of these exclusions is described in more detail below. </w:t>
      </w:r>
    </w:p>
    <w:p w14:paraId="1DD8DA26" w14:textId="2C57364D" w:rsidR="00840534" w:rsidRPr="00B14F6F" w:rsidRDefault="00427C63" w:rsidP="00B14F6F">
      <w:pPr>
        <w:pStyle w:val="Heading4"/>
      </w:pPr>
      <w:r>
        <w:t>Entities subject to the m</w:t>
      </w:r>
      <w:r w:rsidR="00840534" w:rsidRPr="00B14F6F">
        <w:t>ajor bank levy</w:t>
      </w:r>
    </w:p>
    <w:p w14:paraId="2335A0B9" w14:textId="723CFDBC" w:rsidR="00840534" w:rsidRDefault="00840534" w:rsidP="00840534">
      <w:pPr>
        <w:shd w:val="clear" w:color="auto" w:fill="FFFFFF"/>
        <w:spacing w:after="120"/>
        <w:rPr>
          <w:color w:val="000000"/>
          <w:szCs w:val="24"/>
        </w:rPr>
      </w:pPr>
      <w:r>
        <w:rPr>
          <w:color w:val="000000"/>
        </w:rPr>
        <w:t xml:space="preserve">A qualifying entity cannot be an employer that was subject to the major bank levy in a quarter ending </w:t>
      </w:r>
      <w:r w:rsidR="00504A03">
        <w:rPr>
          <w:color w:val="000000"/>
        </w:rPr>
        <w:t>on or before 30 September</w:t>
      </w:r>
      <w:r>
        <w:rPr>
          <w:color w:val="000000"/>
        </w:rPr>
        <w:t xml:space="preserve"> 2020. The major bank levy is imposed by the </w:t>
      </w:r>
      <w:r>
        <w:rPr>
          <w:i/>
          <w:iCs/>
          <w:color w:val="000000"/>
        </w:rPr>
        <w:t>Major Bank Levy Act 2017</w:t>
      </w:r>
      <w:r>
        <w:rPr>
          <w:color w:val="000000"/>
        </w:rPr>
        <w:t> and is payable by authorised deposit-taking institutions with total liabilities of more than $100 billion on a quarterly basis.</w:t>
      </w:r>
    </w:p>
    <w:p w14:paraId="5B63A688" w14:textId="3DE02B50" w:rsidR="00840534" w:rsidRDefault="00EE1981" w:rsidP="00840534">
      <w:pPr>
        <w:shd w:val="clear" w:color="auto" w:fill="FFFFFF"/>
        <w:spacing w:after="120"/>
        <w:rPr>
          <w:color w:val="000000"/>
        </w:rPr>
      </w:pPr>
      <w:r>
        <w:rPr>
          <w:color w:val="000000"/>
        </w:rPr>
        <w:t xml:space="preserve">In addition, </w:t>
      </w:r>
      <w:r w:rsidR="00840534">
        <w:rPr>
          <w:color w:val="000000"/>
        </w:rPr>
        <w:t>an employer is not a qualifying entity if the major bank levy was imposed on another member of a consolidated group that it is a member of for any quarter ending before 1 March 2020. For example, if an employer is a small bank that is part of a consolidated group that includes an authorised deposit</w:t>
      </w:r>
      <w:r w:rsidR="00840534">
        <w:rPr>
          <w:color w:val="000000"/>
        </w:rPr>
        <w:noBreakHyphen/>
        <w:t>taking institution that is subject to the major bank levy, then the small bank cannot be a qualifying employer.</w:t>
      </w:r>
    </w:p>
    <w:p w14:paraId="18F89AA2" w14:textId="5FF80912" w:rsidR="00840534" w:rsidRPr="00105884" w:rsidRDefault="00427C63" w:rsidP="00105884">
      <w:pPr>
        <w:pStyle w:val="Heading4"/>
      </w:pPr>
      <w:r>
        <w:t>G</w:t>
      </w:r>
      <w:r w:rsidR="00840534" w:rsidRPr="00105884">
        <w:t>overnment entities</w:t>
      </w:r>
    </w:p>
    <w:p w14:paraId="1450E98F" w14:textId="51F55EF5" w:rsidR="00840534" w:rsidRDefault="00840534" w:rsidP="00840534">
      <w:pPr>
        <w:shd w:val="clear" w:color="auto" w:fill="FFFFFF"/>
        <w:spacing w:after="120"/>
        <w:rPr>
          <w:color w:val="000000"/>
          <w:szCs w:val="24"/>
        </w:rPr>
      </w:pPr>
      <w:r>
        <w:rPr>
          <w:color w:val="000000"/>
        </w:rPr>
        <w:t xml:space="preserve">An Australian government agency is not a qualifying </w:t>
      </w:r>
      <w:r w:rsidR="005A6B15">
        <w:rPr>
          <w:color w:val="000000"/>
        </w:rPr>
        <w:t>entity</w:t>
      </w:r>
      <w:r>
        <w:rPr>
          <w:color w:val="000000"/>
        </w:rPr>
        <w:t xml:space="preserve"> for the purposes of the </w:t>
      </w:r>
      <w:proofErr w:type="spellStart"/>
      <w:r w:rsidR="003C39DB">
        <w:rPr>
          <w:color w:val="000000"/>
        </w:rPr>
        <w:t>JobMaker</w:t>
      </w:r>
      <w:proofErr w:type="spellEnd"/>
      <w:r w:rsidR="003C39DB">
        <w:rPr>
          <w:color w:val="000000"/>
        </w:rPr>
        <w:t xml:space="preserve"> scheme</w:t>
      </w:r>
      <w:r>
        <w:rPr>
          <w:color w:val="000000"/>
        </w:rPr>
        <w:t>. ‘Australian government agency’ is defined in section 995-1 of the </w:t>
      </w:r>
      <w:r w:rsidR="0013033F" w:rsidRPr="0013033F">
        <w:rPr>
          <w:iCs/>
          <w:color w:val="000000"/>
        </w:rPr>
        <w:t>ITAA 1997</w:t>
      </w:r>
      <w:r>
        <w:rPr>
          <w:color w:val="000000"/>
        </w:rPr>
        <w:t xml:space="preserve"> as the Commonwealth, a State or a Territory or an authority of the Commonwealth, of a State or of a Territory. A ‘local governing body’, which is also defined in that Act, is also excluded from being a qualifying employer for the purposes of </w:t>
      </w:r>
      <w:proofErr w:type="spellStart"/>
      <w:r w:rsidR="003C39DB">
        <w:rPr>
          <w:color w:val="000000"/>
        </w:rPr>
        <w:t>JobMaker</w:t>
      </w:r>
      <w:proofErr w:type="spellEnd"/>
      <w:r w:rsidR="003C39DB">
        <w:rPr>
          <w:color w:val="000000"/>
        </w:rPr>
        <w:t xml:space="preserve"> scheme</w:t>
      </w:r>
      <w:r>
        <w:rPr>
          <w:color w:val="000000"/>
        </w:rPr>
        <w:t>.</w:t>
      </w:r>
    </w:p>
    <w:p w14:paraId="7F1CC8F8" w14:textId="1B0A41BA" w:rsidR="00840534" w:rsidRDefault="00840534" w:rsidP="00840534">
      <w:pPr>
        <w:shd w:val="clear" w:color="auto" w:fill="FFFFFF"/>
        <w:spacing w:after="120"/>
        <w:rPr>
          <w:color w:val="000000"/>
        </w:rPr>
      </w:pPr>
      <w:r>
        <w:rPr>
          <w:color w:val="000000"/>
        </w:rPr>
        <w:t xml:space="preserve">An entity that is wholly-owned by an Australian government agency or a local governing body is not a qualifying </w:t>
      </w:r>
      <w:r w:rsidR="005A6B15">
        <w:rPr>
          <w:color w:val="000000"/>
        </w:rPr>
        <w:t>entity</w:t>
      </w:r>
      <w:r>
        <w:rPr>
          <w:color w:val="000000"/>
        </w:rPr>
        <w:t xml:space="preserve"> for the purposes of </w:t>
      </w:r>
      <w:r w:rsidR="009E44B4">
        <w:rPr>
          <w:color w:val="000000"/>
        </w:rPr>
        <w:t xml:space="preserve">the </w:t>
      </w:r>
      <w:proofErr w:type="spellStart"/>
      <w:r>
        <w:rPr>
          <w:color w:val="000000"/>
        </w:rPr>
        <w:t>JobMaker</w:t>
      </w:r>
      <w:proofErr w:type="spellEnd"/>
      <w:r>
        <w:rPr>
          <w:color w:val="000000"/>
        </w:rPr>
        <w:t xml:space="preserve"> scheme.</w:t>
      </w:r>
    </w:p>
    <w:p w14:paraId="3D780C16" w14:textId="73157418" w:rsidR="00E377FF" w:rsidRDefault="00E377FF" w:rsidP="00840534">
      <w:pPr>
        <w:shd w:val="clear" w:color="auto" w:fill="FFFFFF"/>
        <w:spacing w:after="120"/>
        <w:rPr>
          <w:color w:val="000000"/>
        </w:rPr>
      </w:pPr>
      <w:r>
        <w:rPr>
          <w:color w:val="000000"/>
        </w:rPr>
        <w:t>Australian u</w:t>
      </w:r>
      <w:r w:rsidR="002070B7">
        <w:rPr>
          <w:color w:val="000000"/>
        </w:rPr>
        <w:t xml:space="preserve">niversities </w:t>
      </w:r>
      <w:r w:rsidR="00434B9E">
        <w:rPr>
          <w:color w:val="000000"/>
        </w:rPr>
        <w:t>may participate</w:t>
      </w:r>
      <w:r>
        <w:rPr>
          <w:color w:val="000000"/>
        </w:rPr>
        <w:t xml:space="preserve"> in the </w:t>
      </w:r>
      <w:proofErr w:type="spellStart"/>
      <w:r>
        <w:rPr>
          <w:color w:val="000000"/>
        </w:rPr>
        <w:t>JobMaker</w:t>
      </w:r>
      <w:proofErr w:type="spellEnd"/>
      <w:r>
        <w:rPr>
          <w:color w:val="000000"/>
        </w:rPr>
        <w:t xml:space="preserve"> </w:t>
      </w:r>
      <w:r w:rsidR="002070B7">
        <w:rPr>
          <w:color w:val="000000"/>
        </w:rPr>
        <w:t>Hiring</w:t>
      </w:r>
      <w:r w:rsidR="005A6B15">
        <w:rPr>
          <w:color w:val="000000"/>
        </w:rPr>
        <w:t xml:space="preserve"> Credit</w:t>
      </w:r>
      <w:r w:rsidR="002070B7">
        <w:rPr>
          <w:color w:val="000000"/>
        </w:rPr>
        <w:t xml:space="preserve"> </w:t>
      </w:r>
      <w:r>
        <w:rPr>
          <w:color w:val="000000"/>
        </w:rPr>
        <w:t>scheme</w:t>
      </w:r>
      <w:r w:rsidR="001A7B49">
        <w:rPr>
          <w:color w:val="000000"/>
        </w:rPr>
        <w:t>.</w:t>
      </w:r>
    </w:p>
    <w:p w14:paraId="6848C35D" w14:textId="319A1A1C" w:rsidR="00F12E63" w:rsidRPr="00AA7781" w:rsidRDefault="00840534" w:rsidP="00C82109">
      <w:pPr>
        <w:shd w:val="clear" w:color="auto" w:fill="FFFFFF"/>
        <w:spacing w:after="120"/>
        <w:rPr>
          <w:bCs/>
          <w:color w:val="000000"/>
          <w:szCs w:val="24"/>
        </w:rPr>
      </w:pPr>
      <w:r w:rsidRPr="00AA7781">
        <w:rPr>
          <w:color w:val="000000"/>
        </w:rPr>
        <w:t xml:space="preserve">A sovereign entity is not a qualifying employer for the purposes of </w:t>
      </w:r>
      <w:proofErr w:type="spellStart"/>
      <w:r w:rsidR="00FF71CF" w:rsidRPr="00AA7781">
        <w:rPr>
          <w:bCs/>
          <w:color w:val="000000"/>
          <w:szCs w:val="24"/>
        </w:rPr>
        <w:t>JobMaker</w:t>
      </w:r>
      <w:proofErr w:type="spellEnd"/>
      <w:r w:rsidR="00FF71CF" w:rsidRPr="00AA7781">
        <w:rPr>
          <w:bCs/>
          <w:color w:val="000000"/>
          <w:szCs w:val="24"/>
        </w:rPr>
        <w:t xml:space="preserve"> Hiring Credit</w:t>
      </w:r>
      <w:r w:rsidRPr="00AA7781">
        <w:rPr>
          <w:bCs/>
          <w:color w:val="000000"/>
          <w:szCs w:val="24"/>
        </w:rPr>
        <w:t xml:space="preserve"> payment. The term ‘sovereign entity’ takes its meaning from the </w:t>
      </w:r>
      <w:r w:rsidR="0013033F" w:rsidRPr="00AA7781">
        <w:rPr>
          <w:bCs/>
          <w:iCs/>
          <w:color w:val="000000"/>
          <w:szCs w:val="24"/>
        </w:rPr>
        <w:t>ITAA 1997</w:t>
      </w:r>
      <w:r w:rsidR="0013033F" w:rsidRPr="00AA7781">
        <w:rPr>
          <w:bCs/>
          <w:i/>
          <w:iCs/>
          <w:color w:val="000000"/>
          <w:szCs w:val="24"/>
        </w:rPr>
        <w:t xml:space="preserve"> </w:t>
      </w:r>
      <w:r w:rsidRPr="00AA7781">
        <w:rPr>
          <w:bCs/>
          <w:color w:val="000000"/>
          <w:szCs w:val="24"/>
        </w:rPr>
        <w:t>and, generally, includes a body politic of a foreign count</w:t>
      </w:r>
      <w:r w:rsidR="00434B9E" w:rsidRPr="00AA7781">
        <w:rPr>
          <w:bCs/>
          <w:color w:val="000000"/>
          <w:szCs w:val="24"/>
        </w:rPr>
        <w:t>ry or</w:t>
      </w:r>
      <w:r w:rsidR="00F12E63" w:rsidRPr="00AA7781">
        <w:rPr>
          <w:bCs/>
          <w:color w:val="000000"/>
          <w:szCs w:val="24"/>
        </w:rPr>
        <w:t xml:space="preserve"> a foreign government agency. </w:t>
      </w:r>
      <w:r w:rsidR="005E2B94">
        <w:rPr>
          <w:color w:val="000000"/>
        </w:rPr>
        <w:t>However, w</w:t>
      </w:r>
      <w:r w:rsidR="00F12E63" w:rsidRPr="00AA7781">
        <w:rPr>
          <w:color w:val="000000"/>
        </w:rPr>
        <w:t xml:space="preserve">holly-owned resident subsidiaries of </w:t>
      </w:r>
      <w:r w:rsidR="00E377FF" w:rsidRPr="00AA7781">
        <w:rPr>
          <w:bCs/>
          <w:color w:val="000000"/>
          <w:szCs w:val="24"/>
        </w:rPr>
        <w:t xml:space="preserve">a </w:t>
      </w:r>
      <w:r w:rsidRPr="00AA7781">
        <w:rPr>
          <w:bCs/>
          <w:color w:val="000000"/>
          <w:szCs w:val="24"/>
        </w:rPr>
        <w:t>body politic of a foreign country or foreign government agency</w:t>
      </w:r>
      <w:r w:rsidR="00E377FF" w:rsidRPr="00AA7781">
        <w:rPr>
          <w:bCs/>
          <w:color w:val="000000"/>
          <w:szCs w:val="24"/>
        </w:rPr>
        <w:t xml:space="preserve"> </w:t>
      </w:r>
      <w:r w:rsidR="005A6B15" w:rsidRPr="00AA7781">
        <w:rPr>
          <w:bCs/>
          <w:color w:val="000000"/>
          <w:szCs w:val="24"/>
        </w:rPr>
        <w:t>may</w:t>
      </w:r>
      <w:r w:rsidR="005E2B94">
        <w:rPr>
          <w:bCs/>
          <w:color w:val="000000"/>
          <w:szCs w:val="24"/>
        </w:rPr>
        <w:t xml:space="preserve"> </w:t>
      </w:r>
      <w:r w:rsidR="00E377FF" w:rsidRPr="00AA7781">
        <w:rPr>
          <w:bCs/>
          <w:color w:val="000000"/>
          <w:szCs w:val="24"/>
        </w:rPr>
        <w:t xml:space="preserve">be </w:t>
      </w:r>
      <w:r w:rsidR="005A6B15" w:rsidRPr="00AA7781">
        <w:rPr>
          <w:bCs/>
          <w:color w:val="000000"/>
          <w:szCs w:val="24"/>
        </w:rPr>
        <w:t>a qualifying entity</w:t>
      </w:r>
      <w:r w:rsidR="00E377FF" w:rsidRPr="00AA7781">
        <w:rPr>
          <w:bCs/>
          <w:color w:val="000000"/>
          <w:szCs w:val="24"/>
        </w:rPr>
        <w:t>.</w:t>
      </w:r>
    </w:p>
    <w:p w14:paraId="3397E1BD" w14:textId="65F7FB0C" w:rsidR="00840534" w:rsidRPr="002070B7" w:rsidRDefault="00840534" w:rsidP="002070B7">
      <w:pPr>
        <w:pStyle w:val="Heading4"/>
      </w:pPr>
      <w:r w:rsidRPr="002070B7">
        <w:t>Liquidators and bankruptcy</w:t>
      </w:r>
    </w:p>
    <w:p w14:paraId="6B935770" w14:textId="1BC9897D" w:rsidR="00CB615D" w:rsidRPr="00840534" w:rsidRDefault="00840534" w:rsidP="00F46876">
      <w:pPr>
        <w:shd w:val="clear" w:color="auto" w:fill="FFFFFF"/>
        <w:spacing w:after="120"/>
        <w:rPr>
          <w:color w:val="000000"/>
        </w:rPr>
      </w:pPr>
      <w:r>
        <w:rPr>
          <w:color w:val="000000"/>
        </w:rPr>
        <w:t xml:space="preserve">For the purposes of </w:t>
      </w:r>
      <w:proofErr w:type="spellStart"/>
      <w:r>
        <w:rPr>
          <w:color w:val="000000"/>
        </w:rPr>
        <w:t>JobMaker</w:t>
      </w:r>
      <w:proofErr w:type="spellEnd"/>
      <w:r>
        <w:rPr>
          <w:color w:val="000000"/>
        </w:rPr>
        <w:t xml:space="preserve"> scheme, an employer is not a qualifying entity </w:t>
      </w:r>
      <w:r w:rsidR="00C565BB">
        <w:rPr>
          <w:color w:val="000000"/>
        </w:rPr>
        <w:t xml:space="preserve">for one or more </w:t>
      </w:r>
      <w:proofErr w:type="spellStart"/>
      <w:r w:rsidR="00C565BB">
        <w:rPr>
          <w:color w:val="000000"/>
        </w:rPr>
        <w:t>JobMaker</w:t>
      </w:r>
      <w:proofErr w:type="spellEnd"/>
      <w:r w:rsidR="00C565BB">
        <w:rPr>
          <w:color w:val="000000"/>
        </w:rPr>
        <w:t xml:space="preserve"> periods</w:t>
      </w:r>
      <w:r>
        <w:rPr>
          <w:color w:val="000000"/>
        </w:rPr>
        <w:t xml:space="preserve"> if </w:t>
      </w:r>
      <w:r w:rsidR="00F46876">
        <w:rPr>
          <w:color w:val="000000"/>
        </w:rPr>
        <w:t>at any</w:t>
      </w:r>
      <w:r w:rsidR="00A96987">
        <w:rPr>
          <w:color w:val="000000"/>
        </w:rPr>
        <w:t xml:space="preserve"> </w:t>
      </w:r>
      <w:r w:rsidR="00F46876">
        <w:rPr>
          <w:color w:val="000000"/>
        </w:rPr>
        <w:t xml:space="preserve">time during the period </w:t>
      </w:r>
      <w:r>
        <w:rPr>
          <w:color w:val="000000"/>
        </w:rPr>
        <w:t xml:space="preserve">a liquidator or trustee in bankruptcy </w:t>
      </w:r>
      <w:r w:rsidR="00F46876">
        <w:rPr>
          <w:color w:val="000000"/>
        </w:rPr>
        <w:t xml:space="preserve">has been </w:t>
      </w:r>
      <w:r>
        <w:rPr>
          <w:color w:val="000000"/>
        </w:rPr>
        <w:t>appointed</w:t>
      </w:r>
      <w:r w:rsidR="00F46876">
        <w:rPr>
          <w:color w:val="000000"/>
        </w:rPr>
        <w:t xml:space="preserve">. </w:t>
      </w:r>
      <w:r>
        <w:rPr>
          <w:color w:val="000000"/>
        </w:rPr>
        <w:t xml:space="preserve">This reflects that the </w:t>
      </w:r>
      <w:proofErr w:type="spellStart"/>
      <w:r>
        <w:rPr>
          <w:color w:val="000000"/>
        </w:rPr>
        <w:t>JobMaker</w:t>
      </w:r>
      <w:proofErr w:type="spellEnd"/>
      <w:r>
        <w:rPr>
          <w:color w:val="000000"/>
        </w:rPr>
        <w:t xml:space="preserve"> Hiring Credit payment is intended to </w:t>
      </w:r>
      <w:r w:rsidR="008C45B9">
        <w:rPr>
          <w:color w:val="000000"/>
        </w:rPr>
        <w:t>incentivise new hires within</w:t>
      </w:r>
      <w:r>
        <w:rPr>
          <w:color w:val="000000"/>
        </w:rPr>
        <w:t xml:space="preserve"> entities as they recover from the </w:t>
      </w:r>
      <w:r w:rsidR="002070B7">
        <w:rPr>
          <w:color w:val="000000"/>
        </w:rPr>
        <w:t>impacts of the Coronavirus</w:t>
      </w:r>
      <w:r w:rsidR="00B05E8A">
        <w:rPr>
          <w:color w:val="000000"/>
        </w:rPr>
        <w:t xml:space="preserve"> by encouraging the employment of young </w:t>
      </w:r>
      <w:proofErr w:type="spellStart"/>
      <w:r w:rsidR="00B05E8A">
        <w:rPr>
          <w:color w:val="000000"/>
        </w:rPr>
        <w:t>JobSeekers</w:t>
      </w:r>
      <w:proofErr w:type="spellEnd"/>
      <w:r>
        <w:rPr>
          <w:color w:val="000000"/>
        </w:rPr>
        <w:t>.</w:t>
      </w:r>
      <w:r w:rsidR="00F46876" w:rsidRPr="00F46876">
        <w:rPr>
          <w:color w:val="000000"/>
        </w:rPr>
        <w:t xml:space="preserve"> </w:t>
      </w:r>
      <w:r w:rsidR="00F46876">
        <w:rPr>
          <w:color w:val="000000"/>
        </w:rPr>
        <w:t xml:space="preserve">Consistent with the approach taken under the </w:t>
      </w:r>
      <w:proofErr w:type="spellStart"/>
      <w:r w:rsidR="00F46876">
        <w:rPr>
          <w:color w:val="000000"/>
        </w:rPr>
        <w:t>JobKeeper</w:t>
      </w:r>
      <w:proofErr w:type="spellEnd"/>
      <w:r w:rsidR="00F46876">
        <w:rPr>
          <w:color w:val="000000"/>
        </w:rPr>
        <w:t xml:space="preserve"> scheme, the reference to ‘has been appointed’ applies to appointments that were made during the period, or that continue to apply during the period. It </w:t>
      </w:r>
      <w:r w:rsidR="00E627DD">
        <w:rPr>
          <w:color w:val="000000"/>
        </w:rPr>
        <w:t xml:space="preserve">does not </w:t>
      </w:r>
      <w:r w:rsidR="00F46876">
        <w:rPr>
          <w:color w:val="000000"/>
        </w:rPr>
        <w:t>capture historical appointments that are no longer in place.</w:t>
      </w:r>
    </w:p>
    <w:p w14:paraId="363D5782" w14:textId="5FEE030E" w:rsidR="00BE75CF" w:rsidRDefault="00B05E8A" w:rsidP="000D0CA6">
      <w:pPr>
        <w:pStyle w:val="Heading3"/>
      </w:pPr>
      <w:r>
        <w:t>Disqualification of employers</w:t>
      </w:r>
    </w:p>
    <w:p w14:paraId="03898064" w14:textId="46612A0A" w:rsidR="001F2DBB" w:rsidRDefault="001F2DBB" w:rsidP="003B25A6">
      <w:pPr>
        <w:pStyle w:val="base-text-paragraph"/>
        <w:ind w:left="0"/>
      </w:pPr>
      <w:r>
        <w:t xml:space="preserve">Despite satisfying the requirements for being a qualifying entity, an </w:t>
      </w:r>
      <w:r w:rsidR="000F107B">
        <w:t xml:space="preserve">entity may be separately disqualified for the </w:t>
      </w:r>
      <w:proofErr w:type="spellStart"/>
      <w:r w:rsidR="000F107B">
        <w:t>JobMaker</w:t>
      </w:r>
      <w:proofErr w:type="spellEnd"/>
      <w:r w:rsidR="000F107B">
        <w:t xml:space="preserve"> scheme for a period if: </w:t>
      </w:r>
    </w:p>
    <w:p w14:paraId="18969C60" w14:textId="310D8793" w:rsidR="000F107B" w:rsidRDefault="00841F24" w:rsidP="00CF473F">
      <w:pPr>
        <w:pStyle w:val="Dotpoint"/>
        <w:numPr>
          <w:ilvl w:val="0"/>
          <w:numId w:val="14"/>
        </w:numPr>
      </w:pPr>
      <w:r>
        <w:lastRenderedPageBreak/>
        <w:t xml:space="preserve">at or before the end of the period, the entity terminates the employment, or reduces the ordinary hours of work, of an employee; and </w:t>
      </w:r>
    </w:p>
    <w:p w14:paraId="6F16DD2E" w14:textId="4AF75F9B" w:rsidR="00841F24" w:rsidRDefault="00841F24" w:rsidP="00CF473F">
      <w:pPr>
        <w:pStyle w:val="Dotpoint"/>
        <w:numPr>
          <w:ilvl w:val="0"/>
          <w:numId w:val="14"/>
        </w:numPr>
      </w:pPr>
      <w:proofErr w:type="gramStart"/>
      <w:r>
        <w:t>the</w:t>
      </w:r>
      <w:proofErr w:type="gramEnd"/>
      <w:r>
        <w:t xml:space="preserve"> termination or reduction is done as part of a scheme for the sole or dominant purpose of the entity obtaining, or increasing the amount of, the </w:t>
      </w:r>
      <w:proofErr w:type="spellStart"/>
      <w:r>
        <w:t>JobMaker</w:t>
      </w:r>
      <w:proofErr w:type="spellEnd"/>
      <w:r>
        <w:t xml:space="preserve"> Hiring Credit payment. </w:t>
      </w:r>
    </w:p>
    <w:p w14:paraId="5952436A" w14:textId="4BA6CF18" w:rsidR="003B25A6" w:rsidRDefault="00B82A94" w:rsidP="00A842BB">
      <w:pPr>
        <w:pStyle w:val="base-text-paragraph"/>
        <w:ind w:left="0"/>
      </w:pPr>
      <w:r>
        <w:t xml:space="preserve">This provision denies access to the </w:t>
      </w:r>
      <w:proofErr w:type="spellStart"/>
      <w:r>
        <w:t>JobMaker</w:t>
      </w:r>
      <w:proofErr w:type="spellEnd"/>
      <w:r>
        <w:t xml:space="preserve"> Hiring Credit for an employer who </w:t>
      </w:r>
      <w:r w:rsidR="00C10590">
        <w:t xml:space="preserve">enters into </w:t>
      </w:r>
      <w:r w:rsidR="00041A77">
        <w:t>an</w:t>
      </w:r>
      <w:r w:rsidR="00C10590">
        <w:t xml:space="preserve"> arrangement to artificially inflate</w:t>
      </w:r>
      <w:r w:rsidR="003B25A6">
        <w:t xml:space="preserve"> their employee headcount and/or payroll for a </w:t>
      </w:r>
      <w:proofErr w:type="spellStart"/>
      <w:r w:rsidR="003B25A6">
        <w:t>JobMaker</w:t>
      </w:r>
      <w:proofErr w:type="spellEnd"/>
      <w:r w:rsidR="003B25A6">
        <w:t xml:space="preserve"> period</w:t>
      </w:r>
      <w:r w:rsidR="00A842BB">
        <w:t>. T</w:t>
      </w:r>
      <w:r w:rsidR="003B25A6">
        <w:t xml:space="preserve">erminating, or reducing the hours of, an existing employee </w:t>
      </w:r>
      <w:r w:rsidR="00A842BB">
        <w:t xml:space="preserve">could be done as part of a scheme that was entered into to facilitate greater access to the </w:t>
      </w:r>
      <w:proofErr w:type="spellStart"/>
      <w:r w:rsidR="00A842BB">
        <w:t>JobMaker</w:t>
      </w:r>
      <w:proofErr w:type="spellEnd"/>
      <w:r w:rsidR="00A842BB">
        <w:t xml:space="preserve"> Hiring Credit by hiring </w:t>
      </w:r>
      <w:r w:rsidR="00141DA9">
        <w:t>other employees</w:t>
      </w:r>
      <w:r w:rsidR="00C10590">
        <w:t xml:space="preserve">. This could be done to </w:t>
      </w:r>
      <w:r w:rsidR="00141DA9">
        <w:t xml:space="preserve">increase the number of eligible employees or </w:t>
      </w:r>
      <w:r w:rsidR="00C10590">
        <w:t>demonstrate</w:t>
      </w:r>
      <w:r w:rsidR="006405BD">
        <w:t xml:space="preserve"> a</w:t>
      </w:r>
      <w:r w:rsidR="00C10590">
        <w:t xml:space="preserve"> headcount increase despite</w:t>
      </w:r>
      <w:r w:rsidR="003B25A6">
        <w:t xml:space="preserve"> </w:t>
      </w:r>
      <w:r w:rsidR="00C10590">
        <w:t xml:space="preserve">there being no </w:t>
      </w:r>
      <w:r w:rsidR="003B25A6">
        <w:t>substantive increase in th</w:t>
      </w:r>
      <w:r w:rsidR="00C10590">
        <w:t>eir overall employment levels.</w:t>
      </w:r>
    </w:p>
    <w:p w14:paraId="3B3EC5FC" w14:textId="071B4C78" w:rsidR="00723379" w:rsidRDefault="00723379" w:rsidP="00A842BB">
      <w:pPr>
        <w:pStyle w:val="base-text-paragraph"/>
        <w:ind w:left="0"/>
      </w:pPr>
      <w:r>
        <w:t xml:space="preserve">Generally, this rule would not apply to an arrangement voluntarily entered into by the employee whose employment was terminated or whose ordinary hours of work were reduced. This is because such arrangements would usually be for some other purpose (such as facilitating the needs or preferences of the employee). However, the arrangements could be </w:t>
      </w:r>
      <w:r w:rsidR="008C45B9">
        <w:t>in</w:t>
      </w:r>
      <w:r>
        <w:t xml:space="preserve"> scope of the rule if they were not truly voluntary (for example, because the employee was manipulated or coerced into agreeing to them</w:t>
      </w:r>
      <w:r w:rsidR="0059424E">
        <w:t>)</w:t>
      </w:r>
      <w:r>
        <w:t>.</w:t>
      </w:r>
    </w:p>
    <w:p w14:paraId="6FF21F6E" w14:textId="5D1EE481" w:rsidR="00EC5FC3" w:rsidRDefault="005A195E" w:rsidP="00C10590">
      <w:pPr>
        <w:pStyle w:val="base-text-paragraph"/>
        <w:ind w:left="0"/>
      </w:pPr>
      <w:r>
        <w:t>This provision complements the general rule in section 19 of the Act</w:t>
      </w:r>
      <w:r w:rsidR="00246B08">
        <w:t xml:space="preserve"> that applies to </w:t>
      </w:r>
      <w:r>
        <w:t xml:space="preserve">contrived schemes. However, in contrast to that </w:t>
      </w:r>
      <w:r w:rsidR="00246B08">
        <w:t xml:space="preserve">general </w:t>
      </w:r>
      <w:r>
        <w:t xml:space="preserve">rule (which denies specific entitlements arising from a contrived scheme), an employer who is disqualified under this specific rule loses all entitlements to the </w:t>
      </w:r>
      <w:proofErr w:type="spellStart"/>
      <w:r>
        <w:t>JobMaker</w:t>
      </w:r>
      <w:proofErr w:type="spellEnd"/>
      <w:r>
        <w:t xml:space="preserve"> Hiring Credit payment </w:t>
      </w:r>
      <w:r w:rsidR="00801F6E">
        <w:t xml:space="preserve">for any </w:t>
      </w:r>
      <w:proofErr w:type="spellStart"/>
      <w:r w:rsidR="00801F6E">
        <w:t>JobMaker</w:t>
      </w:r>
      <w:proofErr w:type="spellEnd"/>
      <w:r w:rsidR="00801F6E">
        <w:t xml:space="preserve"> period that ends after </w:t>
      </w:r>
      <w:r w:rsidR="002D4714">
        <w:t xml:space="preserve">the termination or reduction in hours occurred. </w:t>
      </w:r>
      <w:r w:rsidR="00801F6E">
        <w:t>This will include a period in which the termination or reduction occurred, as well as any subsequent periods</w:t>
      </w:r>
      <w:r w:rsidR="002D4714">
        <w:t xml:space="preserve">. </w:t>
      </w:r>
    </w:p>
    <w:p w14:paraId="43F1216F" w14:textId="618F516E" w:rsidR="003B25A6" w:rsidRDefault="003B25A6" w:rsidP="003B25A6">
      <w:pPr>
        <w:pStyle w:val="base-text-paragraph"/>
        <w:ind w:left="0"/>
      </w:pPr>
      <w:r>
        <w:t xml:space="preserve">In addition to losing access to the hiring credit under the </w:t>
      </w:r>
      <w:r w:rsidR="00134836">
        <w:t xml:space="preserve">general </w:t>
      </w:r>
      <w:r>
        <w:t xml:space="preserve">anti-avoidance provisions, employers who take adverse action against an older employee in order to benefit from the scheme </w:t>
      </w:r>
      <w:r w:rsidR="00E57188">
        <w:t xml:space="preserve">may also be </w:t>
      </w:r>
      <w:r>
        <w:t xml:space="preserve">acting unlawfully under </w:t>
      </w:r>
      <w:r w:rsidRPr="00353C08">
        <w:t xml:space="preserve">the </w:t>
      </w:r>
      <w:r w:rsidRPr="009A6687">
        <w:rPr>
          <w:i/>
        </w:rPr>
        <w:t>Age Discrimination Act 2004</w:t>
      </w:r>
      <w:r w:rsidRPr="00353C08">
        <w:t xml:space="preserve"> and the </w:t>
      </w:r>
      <w:r w:rsidRPr="009A6687">
        <w:rPr>
          <w:i/>
        </w:rPr>
        <w:t>Fair Work Act 2009</w:t>
      </w:r>
      <w:r w:rsidR="00E57188">
        <w:t xml:space="preserve">. Those Acts </w:t>
      </w:r>
      <w:r w:rsidRPr="00353C08">
        <w:t>make it unlawful for an employer to discriminate against an employee on the grounds of the employee’s age</w:t>
      </w:r>
      <w:r>
        <w:t xml:space="preserve"> by dismissing them, altering the terms and conditions of their employment or subjecting the employee to any other detriment</w:t>
      </w:r>
      <w:r w:rsidRPr="00353C08">
        <w:t>.</w:t>
      </w:r>
    </w:p>
    <w:p w14:paraId="149C76B2" w14:textId="77777777" w:rsidR="003B25A6" w:rsidRDefault="003B25A6" w:rsidP="003B25A6">
      <w:pPr>
        <w:pStyle w:val="Heading4"/>
        <w:spacing w:after="120"/>
        <w:ind w:left="720"/>
        <w:rPr>
          <w:b/>
          <w:i w:val="0"/>
          <w:sz w:val="22"/>
          <w:u w:val="single"/>
        </w:rPr>
      </w:pPr>
      <w:r w:rsidRPr="009A6687">
        <w:rPr>
          <w:b/>
          <w:i w:val="0"/>
          <w:sz w:val="22"/>
          <w:u w:val="single"/>
        </w:rPr>
        <w:t>Example 1</w:t>
      </w:r>
      <w:r>
        <w:rPr>
          <w:b/>
          <w:i w:val="0"/>
          <w:sz w:val="22"/>
          <w:u w:val="single"/>
        </w:rPr>
        <w:t xml:space="preserve">.1 – a scheme which inflates headcount </w:t>
      </w:r>
    </w:p>
    <w:p w14:paraId="51823632" w14:textId="1DAC524F" w:rsidR="003B25A6" w:rsidRPr="009A6687" w:rsidRDefault="003B25A6" w:rsidP="003B25A6">
      <w:pPr>
        <w:pStyle w:val="base-text-paragraph"/>
        <w:rPr>
          <w:sz w:val="22"/>
        </w:rPr>
      </w:pPr>
      <w:r w:rsidRPr="009A6687">
        <w:rPr>
          <w:sz w:val="22"/>
        </w:rPr>
        <w:t>Oscar is 53 years old and has been employed by Titan Co for 14 months. Oscar’s hours can vary depending on the shifts he is allocated each fo</w:t>
      </w:r>
      <w:r w:rsidR="00B15827">
        <w:rPr>
          <w:sz w:val="22"/>
        </w:rPr>
        <w:t>rtnight but he typically works four</w:t>
      </w:r>
      <w:r w:rsidRPr="009A6687">
        <w:rPr>
          <w:sz w:val="22"/>
        </w:rPr>
        <w:t xml:space="preserve"> days per week and an average of 26 hours per week.</w:t>
      </w:r>
    </w:p>
    <w:p w14:paraId="0B660A76" w14:textId="77777777" w:rsidR="003B25A6" w:rsidRPr="009A6687" w:rsidRDefault="003B25A6" w:rsidP="003B25A6">
      <w:pPr>
        <w:pStyle w:val="base-text-paragraph"/>
        <w:rPr>
          <w:sz w:val="22"/>
        </w:rPr>
      </w:pPr>
      <w:r w:rsidRPr="009A6687">
        <w:rPr>
          <w:sz w:val="22"/>
        </w:rPr>
        <w:t>On 10 October 2020, Titan Co hires Bella. Bella is 26 years old and satisfies the other requirements to be an eligible additional employee.</w:t>
      </w:r>
    </w:p>
    <w:p w14:paraId="64AC12BA" w14:textId="77777777" w:rsidR="003B25A6" w:rsidRPr="00742C22" w:rsidRDefault="003B25A6" w:rsidP="003B25A6">
      <w:pPr>
        <w:pStyle w:val="base-text-paragraph"/>
        <w:rPr>
          <w:sz w:val="22"/>
        </w:rPr>
      </w:pPr>
      <w:r w:rsidRPr="009A6687">
        <w:rPr>
          <w:sz w:val="22"/>
        </w:rPr>
        <w:t>On 17 October 2020, Titan Co provides Oscar with his roster for the fortnight which shows Oscar has not been allocated any shifts in the coming fortnight</w:t>
      </w:r>
      <w:r>
        <w:rPr>
          <w:sz w:val="22"/>
        </w:rPr>
        <w:t xml:space="preserve">. </w:t>
      </w:r>
      <w:r w:rsidRPr="008151B4">
        <w:rPr>
          <w:sz w:val="22"/>
        </w:rPr>
        <w:t xml:space="preserve">Oscar does not </w:t>
      </w:r>
      <w:r w:rsidRPr="00742C22">
        <w:rPr>
          <w:sz w:val="22"/>
        </w:rPr>
        <w:t xml:space="preserve">get allocated any shifts for the remainder of the </w:t>
      </w:r>
      <w:proofErr w:type="spellStart"/>
      <w:r w:rsidRPr="00742C22">
        <w:rPr>
          <w:sz w:val="22"/>
        </w:rPr>
        <w:t>JobMaker</w:t>
      </w:r>
      <w:proofErr w:type="spellEnd"/>
      <w:r w:rsidRPr="00742C22">
        <w:rPr>
          <w:sz w:val="22"/>
        </w:rPr>
        <w:t xml:space="preserve"> period.</w:t>
      </w:r>
    </w:p>
    <w:p w14:paraId="38575CD0" w14:textId="77777777" w:rsidR="003B25A6" w:rsidRPr="008151B4" w:rsidRDefault="003B25A6" w:rsidP="003B25A6">
      <w:pPr>
        <w:pStyle w:val="base-text-paragraph"/>
        <w:rPr>
          <w:sz w:val="22"/>
        </w:rPr>
      </w:pPr>
      <w:r w:rsidRPr="00742C22">
        <w:rPr>
          <w:sz w:val="22"/>
        </w:rPr>
        <w:t xml:space="preserve">Titan Co instead </w:t>
      </w:r>
      <w:r w:rsidRPr="00E37576">
        <w:rPr>
          <w:sz w:val="22"/>
        </w:rPr>
        <w:t xml:space="preserve">allocates Bella similar shifts </w:t>
      </w:r>
      <w:r>
        <w:rPr>
          <w:sz w:val="22"/>
        </w:rPr>
        <w:t>to those previously worked by Oscar. To offset the fact that Bella is receiving the wages that Oscar would have ordinarily received in the period, Titan Co increases the wages of its managing director, Douglas, who is also employed as an employee of Titan Co.</w:t>
      </w:r>
    </w:p>
    <w:p w14:paraId="0A9058FA" w14:textId="1806424E" w:rsidR="003B25A6" w:rsidRDefault="003B25A6" w:rsidP="003B25A6">
      <w:pPr>
        <w:pStyle w:val="base-text-paragraph"/>
        <w:rPr>
          <w:sz w:val="22"/>
        </w:rPr>
      </w:pPr>
      <w:r w:rsidRPr="008151B4">
        <w:rPr>
          <w:sz w:val="22"/>
        </w:rPr>
        <w:lastRenderedPageBreak/>
        <w:t>T</w:t>
      </w:r>
      <w:r>
        <w:rPr>
          <w:sz w:val="22"/>
        </w:rPr>
        <w:t>itan</w:t>
      </w:r>
      <w:r w:rsidRPr="008151B4">
        <w:rPr>
          <w:sz w:val="22"/>
        </w:rPr>
        <w:t xml:space="preserve"> Co submits a claim</w:t>
      </w:r>
      <w:r w:rsidRPr="00742C22">
        <w:rPr>
          <w:sz w:val="22"/>
        </w:rPr>
        <w:t xml:space="preserve"> to the Commissioner for the </w:t>
      </w:r>
      <w:proofErr w:type="spellStart"/>
      <w:r w:rsidRPr="00742C22">
        <w:rPr>
          <w:sz w:val="22"/>
        </w:rPr>
        <w:t>JobMaker</w:t>
      </w:r>
      <w:proofErr w:type="spellEnd"/>
      <w:r w:rsidRPr="00742C22">
        <w:rPr>
          <w:sz w:val="22"/>
        </w:rPr>
        <w:t xml:space="preserve"> Hiring Credit payment</w:t>
      </w:r>
      <w:r w:rsidR="00B15827">
        <w:rPr>
          <w:sz w:val="22"/>
        </w:rPr>
        <w:t xml:space="preserve"> for the first </w:t>
      </w:r>
      <w:proofErr w:type="spellStart"/>
      <w:r w:rsidR="00B15827">
        <w:rPr>
          <w:sz w:val="22"/>
        </w:rPr>
        <w:t>JobMaker</w:t>
      </w:r>
      <w:proofErr w:type="spellEnd"/>
      <w:r w:rsidR="00B15827">
        <w:rPr>
          <w:sz w:val="22"/>
        </w:rPr>
        <w:t xml:space="preserve"> period</w:t>
      </w:r>
      <w:r>
        <w:rPr>
          <w:sz w:val="22"/>
        </w:rPr>
        <w:t>. In doing so, Titan Co claims that Oscar is still an employee and that, as a result, employing Bella has caused Titan Co to have a headcount increase for the period. Titan Co also claims that it has had a payroll increase for the period because of the additional amount of wages it has paid to Douglas.</w:t>
      </w:r>
    </w:p>
    <w:p w14:paraId="5EB23840" w14:textId="7FB35FE1" w:rsidR="003B25A6" w:rsidRPr="00742C22" w:rsidRDefault="003B25A6" w:rsidP="003B25A6">
      <w:pPr>
        <w:pStyle w:val="base-text-paragraph"/>
        <w:rPr>
          <w:sz w:val="22"/>
        </w:rPr>
      </w:pPr>
      <w:r w:rsidRPr="00742C22">
        <w:rPr>
          <w:sz w:val="22"/>
        </w:rPr>
        <w:t xml:space="preserve">The Commissioner calculates Titan </w:t>
      </w:r>
      <w:proofErr w:type="spellStart"/>
      <w:r w:rsidRPr="00742C22">
        <w:rPr>
          <w:sz w:val="22"/>
        </w:rPr>
        <w:t>Co’s</w:t>
      </w:r>
      <w:proofErr w:type="spellEnd"/>
      <w:r w:rsidRPr="00742C22">
        <w:rPr>
          <w:sz w:val="22"/>
        </w:rPr>
        <w:t xml:space="preserve"> entitlement for the period </w:t>
      </w:r>
      <w:r>
        <w:rPr>
          <w:sz w:val="22"/>
        </w:rPr>
        <w:t xml:space="preserve">based on this information </w:t>
      </w:r>
      <w:r w:rsidRPr="008151B4">
        <w:rPr>
          <w:sz w:val="22"/>
        </w:rPr>
        <w:t xml:space="preserve">and pays </w:t>
      </w:r>
      <w:r>
        <w:rPr>
          <w:sz w:val="22"/>
        </w:rPr>
        <w:t>an</w:t>
      </w:r>
      <w:r w:rsidRPr="008151B4">
        <w:rPr>
          <w:sz w:val="22"/>
        </w:rPr>
        <w:t xml:space="preserve"> amount</w:t>
      </w:r>
      <w:r>
        <w:rPr>
          <w:sz w:val="22"/>
        </w:rPr>
        <w:t xml:space="preserve"> of the </w:t>
      </w:r>
      <w:proofErr w:type="spellStart"/>
      <w:r>
        <w:rPr>
          <w:sz w:val="22"/>
        </w:rPr>
        <w:t>JobMaker</w:t>
      </w:r>
      <w:proofErr w:type="spellEnd"/>
      <w:r>
        <w:rPr>
          <w:sz w:val="22"/>
        </w:rPr>
        <w:t xml:space="preserve"> Hiring Credit payment</w:t>
      </w:r>
      <w:r w:rsidRPr="00742C22">
        <w:rPr>
          <w:sz w:val="22"/>
        </w:rPr>
        <w:t xml:space="preserve"> to Titan</w:t>
      </w:r>
      <w:r w:rsidR="00B15827">
        <w:rPr>
          <w:sz w:val="22"/>
        </w:rPr>
        <w:t> </w:t>
      </w:r>
      <w:r w:rsidRPr="00742C22">
        <w:rPr>
          <w:sz w:val="22"/>
        </w:rPr>
        <w:t>Co.</w:t>
      </w:r>
    </w:p>
    <w:p w14:paraId="75A3AB3E" w14:textId="0347887A" w:rsidR="001614F8" w:rsidRDefault="003B25A6" w:rsidP="003B25A6">
      <w:pPr>
        <w:pStyle w:val="base-text-paragraph"/>
        <w:rPr>
          <w:sz w:val="22"/>
        </w:rPr>
      </w:pPr>
      <w:r>
        <w:rPr>
          <w:sz w:val="22"/>
        </w:rPr>
        <w:t>A short time</w:t>
      </w:r>
      <w:r w:rsidRPr="00742C22">
        <w:rPr>
          <w:sz w:val="22"/>
        </w:rPr>
        <w:t xml:space="preserve"> after paying the </w:t>
      </w:r>
      <w:proofErr w:type="spellStart"/>
      <w:r w:rsidRPr="00742C22">
        <w:rPr>
          <w:sz w:val="22"/>
        </w:rPr>
        <w:t>JobMaker</w:t>
      </w:r>
      <w:proofErr w:type="spellEnd"/>
      <w:r w:rsidRPr="00742C22">
        <w:rPr>
          <w:sz w:val="22"/>
        </w:rPr>
        <w:t xml:space="preserve"> Hiring Credit payment to Titan Co, the Commissioner reviews Titan </w:t>
      </w:r>
      <w:proofErr w:type="spellStart"/>
      <w:r w:rsidRPr="00742C22">
        <w:rPr>
          <w:sz w:val="22"/>
        </w:rPr>
        <w:t>Co’s</w:t>
      </w:r>
      <w:proofErr w:type="spellEnd"/>
      <w:r w:rsidRPr="00742C22">
        <w:rPr>
          <w:sz w:val="22"/>
        </w:rPr>
        <w:t xml:space="preserve"> entitlement to the </w:t>
      </w:r>
      <w:proofErr w:type="spellStart"/>
      <w:r w:rsidRPr="00742C22">
        <w:rPr>
          <w:sz w:val="22"/>
        </w:rPr>
        <w:t>Job</w:t>
      </w:r>
      <w:r w:rsidR="00A22264">
        <w:rPr>
          <w:sz w:val="22"/>
        </w:rPr>
        <w:t>Ma</w:t>
      </w:r>
      <w:r w:rsidRPr="00742C22">
        <w:rPr>
          <w:sz w:val="22"/>
        </w:rPr>
        <w:t>ker</w:t>
      </w:r>
      <w:proofErr w:type="spellEnd"/>
      <w:r w:rsidRPr="00742C22">
        <w:rPr>
          <w:sz w:val="22"/>
        </w:rPr>
        <w:t xml:space="preserve"> Hiring Credit payment</w:t>
      </w:r>
      <w:r>
        <w:rPr>
          <w:sz w:val="22"/>
        </w:rPr>
        <w:t xml:space="preserve">. The Commissioner identifies that Titan Co reduced Oscar’s hours and made additional payments to Douglas </w:t>
      </w:r>
      <w:r w:rsidRPr="00484ED7">
        <w:rPr>
          <w:sz w:val="22"/>
        </w:rPr>
        <w:t xml:space="preserve">for the sole or dominant purpose of obtaining the </w:t>
      </w:r>
      <w:proofErr w:type="spellStart"/>
      <w:r w:rsidRPr="00484ED7">
        <w:rPr>
          <w:sz w:val="22"/>
        </w:rPr>
        <w:t>Job</w:t>
      </w:r>
      <w:r w:rsidR="00A22264">
        <w:rPr>
          <w:sz w:val="22"/>
        </w:rPr>
        <w:t>M</w:t>
      </w:r>
      <w:r w:rsidRPr="00484ED7">
        <w:rPr>
          <w:sz w:val="22"/>
        </w:rPr>
        <w:t>aker</w:t>
      </w:r>
      <w:proofErr w:type="spellEnd"/>
      <w:r w:rsidRPr="00484ED7">
        <w:rPr>
          <w:sz w:val="22"/>
        </w:rPr>
        <w:t xml:space="preserve"> Hiring Credit payment </w:t>
      </w:r>
      <w:r w:rsidR="003E1D98">
        <w:rPr>
          <w:sz w:val="22"/>
        </w:rPr>
        <w:t>in relation to</w:t>
      </w:r>
      <w:r w:rsidRPr="00484ED7">
        <w:rPr>
          <w:sz w:val="22"/>
        </w:rPr>
        <w:t xml:space="preserve"> Bella. </w:t>
      </w:r>
    </w:p>
    <w:p w14:paraId="7624C963" w14:textId="1BCD0154" w:rsidR="003B25A6" w:rsidRPr="00742C22" w:rsidRDefault="003B25A6" w:rsidP="003B25A6">
      <w:pPr>
        <w:pStyle w:val="base-text-paragraph"/>
        <w:rPr>
          <w:sz w:val="22"/>
        </w:rPr>
      </w:pPr>
      <w:r>
        <w:rPr>
          <w:sz w:val="22"/>
        </w:rPr>
        <w:t xml:space="preserve">The Commissioner therefore determines </w:t>
      </w:r>
      <w:r w:rsidRPr="00742C22">
        <w:rPr>
          <w:sz w:val="22"/>
        </w:rPr>
        <w:t xml:space="preserve">that Titan Co was </w:t>
      </w:r>
      <w:r w:rsidR="001614F8">
        <w:rPr>
          <w:sz w:val="22"/>
        </w:rPr>
        <w:t xml:space="preserve">disqualified from the </w:t>
      </w:r>
      <w:proofErr w:type="spellStart"/>
      <w:r w:rsidRPr="00742C22">
        <w:rPr>
          <w:sz w:val="22"/>
        </w:rPr>
        <w:t>JobMaker</w:t>
      </w:r>
      <w:proofErr w:type="spellEnd"/>
      <w:r w:rsidR="001614F8">
        <w:rPr>
          <w:sz w:val="22"/>
        </w:rPr>
        <w:t xml:space="preserve"> scheme for the period, and for all subsequent periods. </w:t>
      </w:r>
    </w:p>
    <w:p w14:paraId="38F9B7B3" w14:textId="0B865545" w:rsidR="00BE75CF" w:rsidRDefault="003B25A6" w:rsidP="00CF473F">
      <w:pPr>
        <w:pStyle w:val="base-text-paragraph"/>
      </w:pPr>
      <w:r w:rsidRPr="00AC2BAF">
        <w:rPr>
          <w:sz w:val="22"/>
        </w:rPr>
        <w:t xml:space="preserve">Titan Co is liable to repay all amounts of </w:t>
      </w:r>
      <w:proofErr w:type="spellStart"/>
      <w:r w:rsidRPr="00AC2BAF">
        <w:rPr>
          <w:sz w:val="22"/>
        </w:rPr>
        <w:t>JobMaker</w:t>
      </w:r>
      <w:proofErr w:type="spellEnd"/>
      <w:r w:rsidRPr="00AC2BAF">
        <w:rPr>
          <w:sz w:val="22"/>
        </w:rPr>
        <w:t xml:space="preserve"> Hiring Credit payment that it received in the period. </w:t>
      </w:r>
      <w:r>
        <w:rPr>
          <w:sz w:val="22"/>
        </w:rPr>
        <w:t xml:space="preserve">Titan Co is also subject to general interest charges in relation to the overpayment of </w:t>
      </w:r>
      <w:r w:rsidR="004A52AD">
        <w:rPr>
          <w:sz w:val="22"/>
        </w:rPr>
        <w:t xml:space="preserve">the </w:t>
      </w:r>
      <w:proofErr w:type="spellStart"/>
      <w:r w:rsidR="004A52AD">
        <w:rPr>
          <w:sz w:val="22"/>
        </w:rPr>
        <w:t>JobMaker</w:t>
      </w:r>
      <w:proofErr w:type="spellEnd"/>
      <w:r w:rsidR="004A52AD">
        <w:rPr>
          <w:sz w:val="22"/>
        </w:rPr>
        <w:t xml:space="preserve"> Hiring Credit payment that it received</w:t>
      </w:r>
      <w:r>
        <w:rPr>
          <w:sz w:val="22"/>
        </w:rPr>
        <w:t>.</w:t>
      </w:r>
    </w:p>
    <w:p w14:paraId="76788909" w14:textId="16183018" w:rsidR="000D0CA6" w:rsidRDefault="00391455" w:rsidP="000D0CA6">
      <w:pPr>
        <w:pStyle w:val="Heading3"/>
      </w:pPr>
      <w:r>
        <w:t>E</w:t>
      </w:r>
      <w:r w:rsidR="002507B5">
        <w:t>mployer must have e</w:t>
      </w:r>
      <w:r w:rsidR="000D0CA6">
        <w:t>ligible additional employee</w:t>
      </w:r>
      <w:r w:rsidR="002507B5">
        <w:t>s</w:t>
      </w:r>
    </w:p>
    <w:p w14:paraId="4F43ECA6" w14:textId="4E8175A3" w:rsidR="00772972" w:rsidRDefault="000D0CA6" w:rsidP="000D0CA6">
      <w:pPr>
        <w:pStyle w:val="base-text-paragraph"/>
        <w:ind w:left="0"/>
      </w:pPr>
      <w:r>
        <w:t xml:space="preserve">Under the </w:t>
      </w:r>
      <w:proofErr w:type="spellStart"/>
      <w:r>
        <w:t>JobMaker</w:t>
      </w:r>
      <w:proofErr w:type="spellEnd"/>
      <w:r>
        <w:t xml:space="preserve"> scheme, qualifying entities </w:t>
      </w:r>
      <w:r w:rsidR="00E9621E">
        <w:t xml:space="preserve">can </w:t>
      </w:r>
      <w:r>
        <w:t xml:space="preserve">only receive the </w:t>
      </w:r>
      <w:r w:rsidR="00E9621E">
        <w:t xml:space="preserve">payment </w:t>
      </w:r>
      <w:r>
        <w:t xml:space="preserve">for a </w:t>
      </w:r>
      <w:proofErr w:type="spellStart"/>
      <w:r w:rsidR="006F1961">
        <w:t>JobMaker</w:t>
      </w:r>
      <w:proofErr w:type="spellEnd"/>
      <w:r>
        <w:t xml:space="preserve"> period in respect of eligible additional employees. </w:t>
      </w:r>
    </w:p>
    <w:p w14:paraId="092E2525" w14:textId="6BCDD5B8" w:rsidR="000D0CA6" w:rsidRDefault="00772972" w:rsidP="000D0CA6">
      <w:pPr>
        <w:pStyle w:val="base-text-paragraph"/>
        <w:ind w:left="0"/>
      </w:pPr>
      <w:r>
        <w:t>A</w:t>
      </w:r>
      <w:r w:rsidR="000D0CA6">
        <w:t>n eligible additional employee is an individual who:</w:t>
      </w:r>
    </w:p>
    <w:p w14:paraId="4A53AE1E" w14:textId="22B58071" w:rsidR="000D0CA6" w:rsidRDefault="000D0CA6" w:rsidP="000D0CA6">
      <w:pPr>
        <w:pStyle w:val="Dotpoint"/>
        <w:numPr>
          <w:ilvl w:val="0"/>
          <w:numId w:val="14"/>
        </w:numPr>
      </w:pPr>
      <w:r>
        <w:t xml:space="preserve">was employed by the </w:t>
      </w:r>
      <w:r w:rsidR="00C539CA">
        <w:t xml:space="preserve">qualifying </w:t>
      </w:r>
      <w:r>
        <w:t xml:space="preserve">entity at any time during the </w:t>
      </w:r>
      <w:proofErr w:type="spellStart"/>
      <w:r w:rsidR="006F1961">
        <w:t>JobMaker</w:t>
      </w:r>
      <w:proofErr w:type="spellEnd"/>
      <w:r>
        <w:t xml:space="preserve"> period;</w:t>
      </w:r>
    </w:p>
    <w:p w14:paraId="074B9F27" w14:textId="09F72299" w:rsidR="000D0CA6" w:rsidRDefault="000D0CA6" w:rsidP="000D0CA6">
      <w:pPr>
        <w:pStyle w:val="Dotpoint"/>
        <w:numPr>
          <w:ilvl w:val="0"/>
          <w:numId w:val="14"/>
        </w:numPr>
      </w:pPr>
      <w:r>
        <w:t>commenced employment between 7 October 202</w:t>
      </w:r>
      <w:r w:rsidR="00C539CA">
        <w:t>0 and 6 October 2021</w:t>
      </w:r>
      <w:r>
        <w:t>;</w:t>
      </w:r>
    </w:p>
    <w:p w14:paraId="7B253E02" w14:textId="6A4B6897" w:rsidR="000D0CA6" w:rsidRDefault="000D0CA6" w:rsidP="000D0CA6">
      <w:pPr>
        <w:pStyle w:val="Dotpoint"/>
        <w:numPr>
          <w:ilvl w:val="0"/>
          <w:numId w:val="14"/>
        </w:numPr>
      </w:pPr>
      <w:r>
        <w:t>was aged between 16 and 35 years at the time they</w:t>
      </w:r>
      <w:r w:rsidR="008C16DC">
        <w:t xml:space="preserve"> </w:t>
      </w:r>
      <w:r>
        <w:t xml:space="preserve">commenced </w:t>
      </w:r>
      <w:r w:rsidR="00041A77">
        <w:t xml:space="preserve">their current </w:t>
      </w:r>
      <w:r>
        <w:t>employment</w:t>
      </w:r>
      <w:r w:rsidR="008C16DC">
        <w:t xml:space="preserve"> with the entity</w:t>
      </w:r>
      <w:r>
        <w:t>;</w:t>
      </w:r>
    </w:p>
    <w:p w14:paraId="39CE73EF" w14:textId="76DE68A1" w:rsidR="00EF2C6D" w:rsidRDefault="00EF2C6D" w:rsidP="00EF2C6D">
      <w:pPr>
        <w:pStyle w:val="Dotpoint"/>
        <w:numPr>
          <w:ilvl w:val="0"/>
          <w:numId w:val="6"/>
        </w:numPr>
        <w:ind w:left="1134"/>
      </w:pPr>
      <w:r>
        <w:t>employers are eligible for the ‘higher rate’ for individuals aged 16 to 29 (inclusive) at the commencement of their employment; and</w:t>
      </w:r>
    </w:p>
    <w:p w14:paraId="3E42D363" w14:textId="4D60D0B7" w:rsidR="00EF2C6D" w:rsidRDefault="004E10AA" w:rsidP="00EF2C6D">
      <w:pPr>
        <w:pStyle w:val="Dotpoint"/>
        <w:numPr>
          <w:ilvl w:val="0"/>
          <w:numId w:val="6"/>
        </w:numPr>
        <w:ind w:left="1134"/>
      </w:pPr>
      <w:r>
        <w:t>e</w:t>
      </w:r>
      <w:r w:rsidR="00EF2C6D">
        <w:t>mployers are eligible for the ‘lower rate’ for individuals aged 30 to 35 (inclusive) at the commencement of their employment;</w:t>
      </w:r>
    </w:p>
    <w:p w14:paraId="563A49B2" w14:textId="6222B4E5" w:rsidR="000D0CA6" w:rsidRDefault="000D0CA6" w:rsidP="000D0CA6">
      <w:pPr>
        <w:pStyle w:val="Dotpoint"/>
        <w:numPr>
          <w:ilvl w:val="0"/>
          <w:numId w:val="14"/>
        </w:numPr>
      </w:pPr>
      <w:r>
        <w:t>has worked</w:t>
      </w:r>
      <w:r w:rsidR="003B5915">
        <w:t xml:space="preserve"> or has been paid for</w:t>
      </w:r>
      <w:r>
        <w:t xml:space="preserve"> an average of 20 hours a week for </w:t>
      </w:r>
      <w:r w:rsidR="00014F3D">
        <w:t xml:space="preserve">the time </w:t>
      </w:r>
      <w:r>
        <w:t xml:space="preserve">the individual was employed by the </w:t>
      </w:r>
      <w:r w:rsidR="00C539CA">
        <w:t xml:space="preserve">qualifying </w:t>
      </w:r>
      <w:r>
        <w:t xml:space="preserve">entity during the </w:t>
      </w:r>
      <w:proofErr w:type="spellStart"/>
      <w:r w:rsidR="006F1961">
        <w:t>JobMaker</w:t>
      </w:r>
      <w:proofErr w:type="spellEnd"/>
      <w:r>
        <w:t xml:space="preserve"> period; </w:t>
      </w:r>
    </w:p>
    <w:p w14:paraId="152A1FD0" w14:textId="77777777" w:rsidR="000D0CA6" w:rsidRDefault="000D0CA6" w:rsidP="000D0CA6">
      <w:pPr>
        <w:pStyle w:val="Dotpoint"/>
        <w:numPr>
          <w:ilvl w:val="0"/>
          <w:numId w:val="14"/>
        </w:numPr>
      </w:pPr>
      <w:r>
        <w:t>meets the pre-employment conditions;</w:t>
      </w:r>
    </w:p>
    <w:p w14:paraId="0C13227E" w14:textId="77777777" w:rsidR="000D0CA6" w:rsidRDefault="000D0CA6" w:rsidP="000D0CA6">
      <w:pPr>
        <w:pStyle w:val="Dotpoint"/>
        <w:numPr>
          <w:ilvl w:val="0"/>
          <w:numId w:val="14"/>
        </w:numPr>
      </w:pPr>
      <w:r>
        <w:t>meets the notice requirement; and</w:t>
      </w:r>
    </w:p>
    <w:p w14:paraId="551EEA87" w14:textId="77777777" w:rsidR="000D0CA6" w:rsidRDefault="000D0CA6" w:rsidP="000D0CA6">
      <w:pPr>
        <w:pStyle w:val="Dotpoint"/>
        <w:numPr>
          <w:ilvl w:val="0"/>
          <w:numId w:val="14"/>
        </w:numPr>
      </w:pPr>
      <w:proofErr w:type="gramStart"/>
      <w:r>
        <w:t>is</w:t>
      </w:r>
      <w:proofErr w:type="gramEnd"/>
      <w:r>
        <w:t xml:space="preserve"> not excluded as an eligible additional employee.</w:t>
      </w:r>
    </w:p>
    <w:p w14:paraId="63059644" w14:textId="77264732" w:rsidR="00CF473F" w:rsidRDefault="006F4FCC" w:rsidP="000D0CA6">
      <w:pPr>
        <w:pStyle w:val="Dotpoint"/>
        <w:tabs>
          <w:tab w:val="clear" w:pos="360"/>
        </w:tabs>
        <w:ind w:left="0" w:firstLine="0"/>
      </w:pPr>
      <w:r>
        <w:lastRenderedPageBreak/>
        <w:t>The requirement that an employee must commence employment between 7</w:t>
      </w:r>
      <w:r w:rsidR="008C45B9">
        <w:t> </w:t>
      </w:r>
      <w:r>
        <w:t>October</w:t>
      </w:r>
      <w:r w:rsidR="008C45B9">
        <w:t> </w:t>
      </w:r>
      <w:r>
        <w:t xml:space="preserve">2020 and 6 October 2021 means that </w:t>
      </w:r>
      <w:r w:rsidR="00C97C77">
        <w:t xml:space="preserve">the </w:t>
      </w:r>
      <w:proofErr w:type="spellStart"/>
      <w:r w:rsidR="00C97C77">
        <w:t>JobMaker</w:t>
      </w:r>
      <w:proofErr w:type="spellEnd"/>
      <w:r w:rsidR="00C97C77">
        <w:t xml:space="preserve"> H</w:t>
      </w:r>
      <w:r>
        <w:t xml:space="preserve">iring </w:t>
      </w:r>
      <w:r w:rsidR="00C97C77">
        <w:t>C</w:t>
      </w:r>
      <w:r>
        <w:t>redit</w:t>
      </w:r>
      <w:r w:rsidR="00C97C77">
        <w:t xml:space="preserve"> payment is </w:t>
      </w:r>
      <w:r>
        <w:t xml:space="preserve">available for </w:t>
      </w:r>
      <w:r w:rsidR="007762A3">
        <w:t>additional</w:t>
      </w:r>
      <w:r>
        <w:t xml:space="preserve"> employment</w:t>
      </w:r>
      <w:r w:rsidR="002405DC">
        <w:t xml:space="preserve"> that occur</w:t>
      </w:r>
      <w:r w:rsidR="007762A3">
        <w:t>s</w:t>
      </w:r>
      <w:r w:rsidR="002405DC">
        <w:t xml:space="preserve"> within</w:t>
      </w:r>
      <w:r>
        <w:t xml:space="preserve"> this 12 month period</w:t>
      </w:r>
      <w:r w:rsidR="002405DC">
        <w:t>.</w:t>
      </w:r>
      <w:r>
        <w:t xml:space="preserve"> </w:t>
      </w:r>
    </w:p>
    <w:p w14:paraId="3B2F5F1C" w14:textId="77777777" w:rsidR="009445F3" w:rsidRDefault="002A79D4" w:rsidP="000D0CA6">
      <w:pPr>
        <w:pStyle w:val="Dotpoint"/>
        <w:tabs>
          <w:tab w:val="clear" w:pos="360"/>
        </w:tabs>
        <w:ind w:left="0" w:firstLine="0"/>
      </w:pPr>
      <w:r>
        <w:t xml:space="preserve">The 20 hour per week requirement ensures that the </w:t>
      </w:r>
      <w:proofErr w:type="spellStart"/>
      <w:r>
        <w:t>JobMaker</w:t>
      </w:r>
      <w:proofErr w:type="spellEnd"/>
      <w:r>
        <w:t xml:space="preserve"> Hiring Credit payment additional employment that is substantial. </w:t>
      </w:r>
    </w:p>
    <w:p w14:paraId="2E4BCFE4" w14:textId="1633C96F" w:rsidR="009445F3" w:rsidRDefault="009445F3" w:rsidP="000D0CA6">
      <w:pPr>
        <w:pStyle w:val="Dotpoint"/>
        <w:tabs>
          <w:tab w:val="clear" w:pos="360"/>
        </w:tabs>
        <w:ind w:left="0" w:firstLine="0"/>
      </w:pPr>
      <w:r>
        <w:t xml:space="preserve">The requirement can be satisfied in relation to the hours that an employee actually worked during a period, or the hours for which they were paid during the period. These apply as alternatives </w:t>
      </w:r>
      <w:r w:rsidR="00B74304">
        <w:t xml:space="preserve">and the employer can choose which one to </w:t>
      </w:r>
      <w:r w:rsidR="003839C3">
        <w:t>use</w:t>
      </w:r>
      <w:r w:rsidR="00B74304">
        <w:t>. Including hours for which an employee was paid is intended to allow employers to use existing information in their payroll systems relating to employees who are paid on an hourly basis.</w:t>
      </w:r>
    </w:p>
    <w:p w14:paraId="12E7CDB5" w14:textId="3827A092" w:rsidR="002A79D4" w:rsidRDefault="002A79D4" w:rsidP="000D0CA6">
      <w:pPr>
        <w:pStyle w:val="Dotpoint"/>
        <w:tabs>
          <w:tab w:val="clear" w:pos="360"/>
        </w:tabs>
        <w:ind w:left="0" w:firstLine="0"/>
      </w:pPr>
      <w:r>
        <w:t xml:space="preserve">The 20 hour average applies in relation to the number of whole weeks that an employee was employed in a period. While the hours that an individual worked during a part week count towards whether an employee has met this threshold, the threshold itself is only based on the number of full weeks that the employee was employed. For example, if an employee </w:t>
      </w:r>
      <w:r w:rsidR="006214CC">
        <w:t xml:space="preserve">was </w:t>
      </w:r>
      <w:r>
        <w:t xml:space="preserve">employed for </w:t>
      </w:r>
      <w:r w:rsidR="006214CC">
        <w:t>38 days in a period</w:t>
      </w:r>
      <w:r>
        <w:t xml:space="preserve"> </w:t>
      </w:r>
      <w:r w:rsidR="006214CC">
        <w:t>because they commenced or terminated their employment during the period, the 20 hour threshold would be based on the five full weeks that they were employed. The employer would be required to demonstrate 100 hours of work or for which the employee was paid over the period.</w:t>
      </w:r>
    </w:p>
    <w:p w14:paraId="1E182412" w14:textId="5BC36FB4" w:rsidR="000D0CA6" w:rsidRDefault="000D0CA6" w:rsidP="000D0CA6">
      <w:pPr>
        <w:pStyle w:val="Dotpoint"/>
        <w:tabs>
          <w:tab w:val="clear" w:pos="360"/>
        </w:tabs>
        <w:ind w:left="0" w:firstLine="0"/>
      </w:pPr>
      <w:r w:rsidRPr="003A3A45">
        <w:t xml:space="preserve">The pre-employment condition is that </w:t>
      </w:r>
      <w:r>
        <w:t xml:space="preserve">for at least 28 </w:t>
      </w:r>
      <w:r w:rsidR="00401683">
        <w:t xml:space="preserve">consecutive days </w:t>
      </w:r>
      <w:r>
        <w:t xml:space="preserve">of the 84 days (i.e. for 4 out of 12 weeks) immediately before the commencement of employment of the individual, the individual was receiving </w:t>
      </w:r>
      <w:r w:rsidR="000A40E3">
        <w:t xml:space="preserve">at least one of </w:t>
      </w:r>
      <w:r>
        <w:t xml:space="preserve">the following payments under the </w:t>
      </w:r>
      <w:r w:rsidR="006779BD" w:rsidRPr="00D91762">
        <w:rPr>
          <w:i/>
        </w:rPr>
        <w:t>Social Security Act 1991</w:t>
      </w:r>
      <w:r>
        <w:t>:</w:t>
      </w:r>
    </w:p>
    <w:p w14:paraId="1F2C9704" w14:textId="77777777" w:rsidR="000D0CA6" w:rsidRDefault="000D0CA6" w:rsidP="000D0CA6">
      <w:pPr>
        <w:pStyle w:val="Dotpoint"/>
        <w:numPr>
          <w:ilvl w:val="0"/>
          <w:numId w:val="14"/>
        </w:numPr>
      </w:pPr>
      <w:r>
        <w:t xml:space="preserve">parenting payment; </w:t>
      </w:r>
    </w:p>
    <w:p w14:paraId="0CAA2B14" w14:textId="04A72BA7" w:rsidR="000D0CA6" w:rsidRDefault="000D0CA6" w:rsidP="000D0CA6">
      <w:pPr>
        <w:pStyle w:val="Dotpoint"/>
        <w:numPr>
          <w:ilvl w:val="0"/>
          <w:numId w:val="14"/>
        </w:numPr>
      </w:pPr>
      <w:r>
        <w:t>youth allowance (except if the individual was receiving th</w:t>
      </w:r>
      <w:r w:rsidR="00134F66">
        <w:t>i</w:t>
      </w:r>
      <w:r>
        <w:t>s payment on the basis that they were undertaking full time study or was a new apprentice); or</w:t>
      </w:r>
    </w:p>
    <w:p w14:paraId="774361B3" w14:textId="77777777" w:rsidR="000D0CA6" w:rsidRDefault="000D0CA6" w:rsidP="000D0CA6">
      <w:pPr>
        <w:pStyle w:val="Dotpoint"/>
        <w:numPr>
          <w:ilvl w:val="0"/>
          <w:numId w:val="14"/>
        </w:numPr>
      </w:pPr>
      <w:proofErr w:type="spellStart"/>
      <w:r>
        <w:t>JobSeeker</w:t>
      </w:r>
      <w:proofErr w:type="spellEnd"/>
      <w:r>
        <w:t xml:space="preserve"> payment.</w:t>
      </w:r>
    </w:p>
    <w:p w14:paraId="49B07412" w14:textId="10DC04A4" w:rsidR="00772972" w:rsidRDefault="000D0CA6" w:rsidP="000D0CA6">
      <w:pPr>
        <w:pStyle w:val="Dotpoint"/>
        <w:tabs>
          <w:tab w:val="clear" w:pos="360"/>
        </w:tabs>
        <w:ind w:left="0" w:firstLine="0"/>
      </w:pPr>
      <w:r>
        <w:t xml:space="preserve">The policy </w:t>
      </w:r>
      <w:r w:rsidR="00772972">
        <w:t>intent</w:t>
      </w:r>
      <w:r>
        <w:t xml:space="preserve"> of the </w:t>
      </w:r>
      <w:proofErr w:type="spellStart"/>
      <w:r>
        <w:t>JobMaker</w:t>
      </w:r>
      <w:proofErr w:type="spellEnd"/>
      <w:r>
        <w:t xml:space="preserve"> scheme is to encourage </w:t>
      </w:r>
      <w:r w:rsidR="00C975F3">
        <w:t xml:space="preserve">additional </w:t>
      </w:r>
      <w:r>
        <w:t xml:space="preserve">employment by providing a </w:t>
      </w:r>
      <w:r w:rsidR="00400D29">
        <w:t xml:space="preserve">payment </w:t>
      </w:r>
      <w:r>
        <w:t xml:space="preserve">to qualifying entities who hire eligible additional employees. </w:t>
      </w:r>
    </w:p>
    <w:p w14:paraId="395B3946" w14:textId="1C4B0A32" w:rsidR="00EF0ABF" w:rsidRDefault="002B75D1" w:rsidP="000D0CA6">
      <w:pPr>
        <w:pStyle w:val="Dotpoint"/>
        <w:tabs>
          <w:tab w:val="clear" w:pos="360"/>
        </w:tabs>
        <w:ind w:left="0" w:firstLine="0"/>
      </w:pPr>
      <w:r>
        <w:t>A</w:t>
      </w:r>
      <w:r w:rsidR="000D0CA6">
        <w:t xml:space="preserve">n individual </w:t>
      </w:r>
      <w:r>
        <w:t xml:space="preserve">who </w:t>
      </w:r>
      <w:r w:rsidR="000D0CA6">
        <w:t xml:space="preserve">received a nil payment for a time (for example, due to </w:t>
      </w:r>
      <w:r w:rsidR="00042A6F" w:rsidRPr="00042A6F">
        <w:t>waiting period, nil rate period or a suspension that would generally be lifted</w:t>
      </w:r>
      <w:r w:rsidR="000D0CA6">
        <w:t xml:space="preserve">), </w:t>
      </w:r>
      <w:r>
        <w:t xml:space="preserve">can meet </w:t>
      </w:r>
      <w:r w:rsidR="000D0CA6">
        <w:t>the pre-employment condition</w:t>
      </w:r>
      <w:r w:rsidR="00D91762">
        <w:t xml:space="preserve"> </w:t>
      </w:r>
      <w:r>
        <w:t>by including days in respect of which they received the nil rate</w:t>
      </w:r>
      <w:r w:rsidR="000D0CA6">
        <w:t xml:space="preserve">. </w:t>
      </w:r>
    </w:p>
    <w:p w14:paraId="6F07FC25" w14:textId="73A1380F" w:rsidR="000D0CA6" w:rsidRDefault="000D0CA6" w:rsidP="000D0CA6">
      <w:pPr>
        <w:pStyle w:val="Dotpoint"/>
        <w:tabs>
          <w:tab w:val="clear" w:pos="360"/>
        </w:tabs>
        <w:ind w:left="0" w:firstLine="0"/>
      </w:pPr>
      <w:r>
        <w:t xml:space="preserve">However, the number of days </w:t>
      </w:r>
      <w:r w:rsidR="002B75D1">
        <w:t>in respect of which they received the nil rate</w:t>
      </w:r>
      <w:r w:rsidR="00EF0ABF">
        <w:t xml:space="preserve">, or a combination of </w:t>
      </w:r>
      <w:r w:rsidR="006B2B3D">
        <w:t>days paid and nil payment days</w:t>
      </w:r>
      <w:r w:rsidR="001E1654">
        <w:t>,</w:t>
      </w:r>
      <w:r w:rsidR="002B75D1">
        <w:t xml:space="preserve"> </w:t>
      </w:r>
      <w:r>
        <w:t xml:space="preserve">must still </w:t>
      </w:r>
      <w:r w:rsidR="002B75D1">
        <w:t xml:space="preserve">be </w:t>
      </w:r>
      <w:r>
        <w:t xml:space="preserve">at least 28 </w:t>
      </w:r>
      <w:r w:rsidR="002F3AB3">
        <w:t xml:space="preserve">consecutive </w:t>
      </w:r>
      <w:r w:rsidR="00103FC2">
        <w:t xml:space="preserve">days </w:t>
      </w:r>
      <w:r>
        <w:t>out of the 84 days immediately preceding their employment by the entity.</w:t>
      </w:r>
    </w:p>
    <w:p w14:paraId="20611BD8" w14:textId="77777777" w:rsidR="000D0CA6" w:rsidRDefault="000D0CA6" w:rsidP="000D0CA6">
      <w:pPr>
        <w:pStyle w:val="Dotpoint"/>
        <w:tabs>
          <w:tab w:val="clear" w:pos="360"/>
        </w:tabs>
        <w:ind w:left="0" w:firstLine="0"/>
      </w:pPr>
      <w:r>
        <w:t>The notice requirement for an eligible additional employee is that the individual must give written notice to the employer in the approved form that the individual:</w:t>
      </w:r>
    </w:p>
    <w:p w14:paraId="55DF7532" w14:textId="47CB7692" w:rsidR="00A11384" w:rsidRDefault="00A11384" w:rsidP="000D0CA6">
      <w:pPr>
        <w:pStyle w:val="Dotpoint"/>
        <w:numPr>
          <w:ilvl w:val="0"/>
          <w:numId w:val="14"/>
        </w:numPr>
      </w:pPr>
      <w:r>
        <w:lastRenderedPageBreak/>
        <w:t>met one of the applicable age requirement</w:t>
      </w:r>
      <w:r w:rsidR="00134F66">
        <w:t>s</w:t>
      </w:r>
      <w:r>
        <w:t xml:space="preserve"> at the time the</w:t>
      </w:r>
      <w:r w:rsidR="00465C26">
        <w:t>y</w:t>
      </w:r>
      <w:r>
        <w:t xml:space="preserve"> commenced employment (that is, they were either aged between 16 and 29, or between 30</w:t>
      </w:r>
      <w:r w:rsidR="008C45B9">
        <w:t> </w:t>
      </w:r>
      <w:r>
        <w:t xml:space="preserve">and 35);  </w:t>
      </w:r>
    </w:p>
    <w:p w14:paraId="4875DF72" w14:textId="5FC9A583" w:rsidR="000D0CA6" w:rsidRDefault="000D0CA6" w:rsidP="000D0CA6">
      <w:pPr>
        <w:pStyle w:val="Dotpoint"/>
        <w:numPr>
          <w:ilvl w:val="0"/>
          <w:numId w:val="14"/>
        </w:numPr>
      </w:pPr>
      <w:r>
        <w:t>meets the pre-employment condition; and</w:t>
      </w:r>
    </w:p>
    <w:p w14:paraId="6D09F82C" w14:textId="4B7BF27E" w:rsidR="000D0CA6" w:rsidRDefault="000D0CA6" w:rsidP="000D0CA6">
      <w:pPr>
        <w:pStyle w:val="Dotpoint"/>
        <w:numPr>
          <w:ilvl w:val="0"/>
          <w:numId w:val="14"/>
        </w:numPr>
      </w:pPr>
      <w:proofErr w:type="gramStart"/>
      <w:r>
        <w:t>has</w:t>
      </w:r>
      <w:proofErr w:type="gramEnd"/>
      <w:r>
        <w:t xml:space="preserve"> not provided </w:t>
      </w:r>
      <w:r w:rsidR="00CF033F">
        <w:t>such a</w:t>
      </w:r>
      <w:r w:rsidR="00136660">
        <w:t xml:space="preserve"> </w:t>
      </w:r>
      <w:r>
        <w:t>notice to another entity</w:t>
      </w:r>
      <w:r w:rsidR="003D3FF3">
        <w:t xml:space="preserve"> of which they are currently </w:t>
      </w:r>
      <w:r w:rsidR="00BB2791">
        <w:t>an employee</w:t>
      </w:r>
      <w:r>
        <w:t>.</w:t>
      </w:r>
    </w:p>
    <w:p w14:paraId="555ED6E5" w14:textId="55C4A303" w:rsidR="00384D02" w:rsidRDefault="000D0CA6" w:rsidP="000D0CA6">
      <w:pPr>
        <w:pStyle w:val="Dotpoint"/>
        <w:tabs>
          <w:tab w:val="clear" w:pos="360"/>
        </w:tabs>
        <w:ind w:left="0" w:firstLine="0"/>
      </w:pPr>
      <w:r>
        <w:t xml:space="preserve">This notice requirement allows qualifying entities to rely on declarations made by the employee regarding their satisfaction of the pre-employment condition and that they are not nominated by another entity to receive the </w:t>
      </w:r>
      <w:proofErr w:type="spellStart"/>
      <w:r>
        <w:t>JobMaker</w:t>
      </w:r>
      <w:proofErr w:type="spellEnd"/>
      <w:r>
        <w:t xml:space="preserve"> Hiring Credit</w:t>
      </w:r>
      <w:r w:rsidR="00F074CE">
        <w:t xml:space="preserve"> payment</w:t>
      </w:r>
      <w:r>
        <w:t xml:space="preserve">. </w:t>
      </w:r>
      <w:r w:rsidR="00EE2C8B">
        <w:t>As thes</w:t>
      </w:r>
      <w:r w:rsidR="00436304">
        <w:t xml:space="preserve">e </w:t>
      </w:r>
      <w:r>
        <w:t>facts are not expected to be known by the employer</w:t>
      </w:r>
      <w:r w:rsidR="00436304">
        <w:t>, it is appropriate that the employee confi</w:t>
      </w:r>
      <w:r w:rsidR="005928CE">
        <w:t xml:space="preserve">rm </w:t>
      </w:r>
      <w:r w:rsidR="00EE2C8B">
        <w:t xml:space="preserve">that they satisfy the requirements by providing a notice to the </w:t>
      </w:r>
      <w:r w:rsidR="00436304">
        <w:t>employer.</w:t>
      </w:r>
    </w:p>
    <w:p w14:paraId="08BA24CE" w14:textId="07CBE15D" w:rsidR="00F81BCC" w:rsidRDefault="00384D02" w:rsidP="000D0CA6">
      <w:pPr>
        <w:pStyle w:val="Dotpoint"/>
        <w:tabs>
          <w:tab w:val="clear" w:pos="360"/>
        </w:tabs>
        <w:ind w:left="0" w:firstLine="0"/>
      </w:pPr>
      <w:r>
        <w:t>T</w:t>
      </w:r>
      <w:r w:rsidR="000D0CA6">
        <w:t>he notification</w:t>
      </w:r>
      <w:r w:rsidR="002841E8">
        <w:t xml:space="preserve"> can only be given once the employee commences employment with the employer and</w:t>
      </w:r>
      <w:r w:rsidR="000D0CA6">
        <w:t xml:space="preserve"> ceases to have effect once the individual ceases employment with the employer.</w:t>
      </w:r>
      <w:r w:rsidR="003664AB">
        <w:t xml:space="preserve"> This ensures that an employee can provide a further nomination to a new employer if they have ceased employment with an employer that they have already provided the nomination notice to</w:t>
      </w:r>
      <w:r w:rsidR="00A86734">
        <w:t xml:space="preserve">. In order to provide a further notice the </w:t>
      </w:r>
      <w:r w:rsidR="00134F66">
        <w:t xml:space="preserve">individual </w:t>
      </w:r>
      <w:r w:rsidR="00A86734">
        <w:t xml:space="preserve">would again need to </w:t>
      </w:r>
      <w:r w:rsidR="00134F66">
        <w:t xml:space="preserve">meet the </w:t>
      </w:r>
      <w:r w:rsidR="00CB482F">
        <w:t>requirements for being an eligible additional employee</w:t>
      </w:r>
      <w:r w:rsidR="00A86734">
        <w:t xml:space="preserve"> at the time of the later commencement of employment (for example, the age and </w:t>
      </w:r>
      <w:r w:rsidR="00134F66">
        <w:t>pre-employment requirements)</w:t>
      </w:r>
      <w:r w:rsidR="003664AB">
        <w:t xml:space="preserve">. </w:t>
      </w:r>
    </w:p>
    <w:p w14:paraId="08917AF8" w14:textId="34863B6A" w:rsidR="00F81BCC" w:rsidRDefault="003664AB" w:rsidP="000D0CA6">
      <w:pPr>
        <w:pStyle w:val="Dotpoint"/>
        <w:tabs>
          <w:tab w:val="clear" w:pos="360"/>
        </w:tabs>
        <w:ind w:left="0" w:firstLine="0"/>
      </w:pPr>
      <w:r>
        <w:t xml:space="preserve">Under no circumstances are employees </w:t>
      </w:r>
      <w:r w:rsidR="00C026D9">
        <w:t xml:space="preserve">able </w:t>
      </w:r>
      <w:r>
        <w:t xml:space="preserve">to have valid notices with multiple employers at the same time. </w:t>
      </w:r>
      <w:r w:rsidR="00F76F60">
        <w:t>W</w:t>
      </w:r>
      <w:r w:rsidR="00F81BCC">
        <w:t>here an individual has more than one employer, the employee can only give a notice to one of those employers</w:t>
      </w:r>
      <w:r w:rsidR="00142F36">
        <w:t xml:space="preserve"> and that notice will only cease to have effect if the employee ceases employment with that employer. </w:t>
      </w:r>
    </w:p>
    <w:p w14:paraId="3E64F0C2" w14:textId="12CAB980" w:rsidR="004D28EA" w:rsidRDefault="004D28EA" w:rsidP="000D0CA6">
      <w:pPr>
        <w:pStyle w:val="Dotpoint"/>
        <w:tabs>
          <w:tab w:val="clear" w:pos="360"/>
        </w:tabs>
        <w:ind w:left="0" w:firstLine="0"/>
      </w:pPr>
      <w:r>
        <w:t xml:space="preserve">Despite a notice ceasing to have effect from this time, an individual cannot give a further notice to an alternative employer </w:t>
      </w:r>
      <w:r w:rsidR="00863F6F">
        <w:t>that they were already employed by</w:t>
      </w:r>
      <w:r>
        <w:t xml:space="preserve">. This reflects the fact that the requirement about no other notices is tested at the time an individual commences employment. This will prevent an individual transferring their eligible employee status between existing employers, and is appropriate because </w:t>
      </w:r>
      <w:r w:rsidR="00D2198D">
        <w:t xml:space="preserve">the </w:t>
      </w:r>
      <w:r>
        <w:t xml:space="preserve">alternative employer </w:t>
      </w:r>
      <w:r w:rsidR="00D2198D">
        <w:t>would have</w:t>
      </w:r>
      <w:r>
        <w:t xml:space="preserve"> already taken the decision to hire the employee on the basis that they will not be an eligible employee. </w:t>
      </w:r>
    </w:p>
    <w:p w14:paraId="55B76C58" w14:textId="7D5FFE58" w:rsidR="000D0CA6" w:rsidRDefault="000D0CA6" w:rsidP="000D0CA6">
      <w:pPr>
        <w:pStyle w:val="Bullet"/>
        <w:keepNext/>
        <w:numPr>
          <w:ilvl w:val="0"/>
          <w:numId w:val="0"/>
        </w:numPr>
      </w:pPr>
      <w:r>
        <w:t xml:space="preserve">Individuals who provide a false or misleading statement may be liable to criminal and administrative penalties under the </w:t>
      </w:r>
      <w:r w:rsidRPr="005A0526">
        <w:rPr>
          <w:i/>
        </w:rPr>
        <w:t>Taxation Administration Act 1953</w:t>
      </w:r>
      <w:r>
        <w:t xml:space="preserve">. Individuals may also be jointly and severally liable for any overpayments made to an entity under the </w:t>
      </w:r>
      <w:proofErr w:type="spellStart"/>
      <w:r>
        <w:t>JobMaker</w:t>
      </w:r>
      <w:proofErr w:type="spellEnd"/>
      <w:r>
        <w:t xml:space="preserve"> scheme where the overpayment occurred because the entity reasonably relied on a statement that was made by the individual in the approved form (see section 11 of the Act).</w:t>
      </w:r>
    </w:p>
    <w:p w14:paraId="78C45EC1" w14:textId="0A1EBF2F" w:rsidR="000D0CA6" w:rsidRPr="00013877" w:rsidRDefault="000D0CA6" w:rsidP="000D0CA6">
      <w:pPr>
        <w:pStyle w:val="Heading4"/>
      </w:pPr>
      <w:r w:rsidRPr="00013877">
        <w:t>Exclusion</w:t>
      </w:r>
      <w:r w:rsidR="002D7328">
        <w:t>s</w:t>
      </w:r>
      <w:r w:rsidRPr="00013877">
        <w:t xml:space="preserve"> from being an eligible additional employee</w:t>
      </w:r>
    </w:p>
    <w:p w14:paraId="20741CCF" w14:textId="6E6D9FB4" w:rsidR="000D0CA6" w:rsidRDefault="000D0CA6" w:rsidP="000D0CA6">
      <w:pPr>
        <w:pStyle w:val="Dotpoint"/>
        <w:tabs>
          <w:tab w:val="clear" w:pos="360"/>
        </w:tabs>
        <w:ind w:left="0" w:firstLine="0"/>
      </w:pPr>
      <w:r>
        <w:t>An individual is excluded from being an eligible additional employee if the individual is, where applicable, any of the following persons:</w:t>
      </w:r>
    </w:p>
    <w:p w14:paraId="2181ED12" w14:textId="7E94A6B6" w:rsidR="000D0CA6" w:rsidRDefault="000D0CA6" w:rsidP="000D0CA6">
      <w:pPr>
        <w:pStyle w:val="Dotpoint"/>
        <w:numPr>
          <w:ilvl w:val="0"/>
          <w:numId w:val="14"/>
        </w:numPr>
      </w:pPr>
      <w:r>
        <w:t xml:space="preserve">if the entity is a sole trader – </w:t>
      </w:r>
      <w:r w:rsidR="00A8192C">
        <w:t>a relative of the sole trader</w:t>
      </w:r>
      <w:r>
        <w:t>;</w:t>
      </w:r>
    </w:p>
    <w:p w14:paraId="1070840A" w14:textId="4C1A5036" w:rsidR="000D0CA6" w:rsidRDefault="000D0CA6" w:rsidP="000D0CA6">
      <w:pPr>
        <w:pStyle w:val="Dotpoint"/>
        <w:numPr>
          <w:ilvl w:val="0"/>
          <w:numId w:val="14"/>
        </w:numPr>
      </w:pPr>
      <w:r>
        <w:lastRenderedPageBreak/>
        <w:t>if the entity is a partnership – a partner of the partnership</w:t>
      </w:r>
      <w:r w:rsidR="00A43C70">
        <w:t xml:space="preserve"> </w:t>
      </w:r>
      <w:r w:rsidR="00A43C70" w:rsidRPr="005070B2">
        <w:t>or a close associate of a partner in the partnership</w:t>
      </w:r>
      <w:r>
        <w:t>;</w:t>
      </w:r>
    </w:p>
    <w:p w14:paraId="47862576" w14:textId="6CF2F016" w:rsidR="000D0CA6" w:rsidRDefault="000D0CA6" w:rsidP="000D0CA6">
      <w:pPr>
        <w:pStyle w:val="Dotpoint"/>
        <w:numPr>
          <w:ilvl w:val="0"/>
          <w:numId w:val="14"/>
        </w:numPr>
      </w:pPr>
      <w:r>
        <w:t xml:space="preserve">if the entity is a trust </w:t>
      </w:r>
      <w:r w:rsidR="009331B2">
        <w:t>(other than a widely held</w:t>
      </w:r>
      <w:r w:rsidR="009339F2">
        <w:t xml:space="preserve"> unit</w:t>
      </w:r>
      <w:r w:rsidR="009331B2">
        <w:t xml:space="preserve"> trust as defined </w:t>
      </w:r>
      <w:r w:rsidR="009331B2">
        <w:rPr>
          <w:rFonts w:cstheme="minorHAnsi"/>
        </w:rPr>
        <w:t>in section</w:t>
      </w:r>
      <w:r w:rsidR="00027116">
        <w:rPr>
          <w:rFonts w:cstheme="minorHAnsi"/>
        </w:rPr>
        <w:t> </w:t>
      </w:r>
      <w:r w:rsidR="009331B2">
        <w:rPr>
          <w:rFonts w:cstheme="minorHAnsi"/>
        </w:rPr>
        <w:t>272-105 of Schedule 2F to the ITAA 1936</w:t>
      </w:r>
      <w:r w:rsidR="009331B2">
        <w:t>)</w:t>
      </w:r>
      <w:r w:rsidR="002E778E">
        <w:t xml:space="preserve"> </w:t>
      </w:r>
      <w:r>
        <w:t>– the trustee or beneficiary of that trust</w:t>
      </w:r>
      <w:r w:rsidR="00A43C70" w:rsidRPr="005070B2">
        <w:t>,</w:t>
      </w:r>
      <w:r>
        <w:t xml:space="preserve"> or</w:t>
      </w:r>
      <w:r w:rsidR="00A43C70" w:rsidRPr="005070B2">
        <w:t xml:space="preserve"> a close associate of a trustee or a beneficiary of the trust</w:t>
      </w:r>
      <w:r>
        <w:t>; or</w:t>
      </w:r>
    </w:p>
    <w:p w14:paraId="0057F1B1" w14:textId="3EF1791F" w:rsidR="000D0CA6" w:rsidRDefault="000D0CA6" w:rsidP="000D0CA6">
      <w:pPr>
        <w:pStyle w:val="Dotpoint"/>
        <w:numPr>
          <w:ilvl w:val="0"/>
          <w:numId w:val="14"/>
        </w:numPr>
      </w:pPr>
      <w:proofErr w:type="gramStart"/>
      <w:r>
        <w:t>if</w:t>
      </w:r>
      <w:proofErr w:type="gramEnd"/>
      <w:r>
        <w:t xml:space="preserve"> the entity is a company </w:t>
      </w:r>
      <w:r w:rsidR="00FC311E">
        <w:t>(other than a widely-held company</w:t>
      </w:r>
      <w:r w:rsidR="00A240E7">
        <w:t xml:space="preserve"> as defined in subsection 995-1(1) of the ITAA 1997</w:t>
      </w:r>
      <w:r w:rsidR="00FC311E">
        <w:t>)</w:t>
      </w:r>
      <w:r w:rsidR="00FB2974">
        <w:t xml:space="preserve"> </w:t>
      </w:r>
      <w:r>
        <w:t>– a shareholder in the company or a director of the company</w:t>
      </w:r>
      <w:r w:rsidR="00A43C70">
        <w:t xml:space="preserve"> </w:t>
      </w:r>
      <w:r w:rsidR="00A43C70" w:rsidRPr="005070B2">
        <w:t>or a close associate of a shareholder in or a director of the company</w:t>
      </w:r>
      <w:r>
        <w:t>.</w:t>
      </w:r>
    </w:p>
    <w:p w14:paraId="63436CAC" w14:textId="53DF726D" w:rsidR="00E46463" w:rsidRDefault="000D0CA6" w:rsidP="000D0CA6">
      <w:pPr>
        <w:pStyle w:val="Dotpoint"/>
        <w:tabs>
          <w:tab w:val="clear" w:pos="360"/>
        </w:tabs>
        <w:ind w:left="0" w:firstLine="0"/>
      </w:pPr>
      <w:bookmarkStart w:id="0" w:name="BK_S3P7L21C49"/>
      <w:bookmarkEnd w:id="0"/>
      <w:r>
        <w:t>For the purposes of the exclusion, the term ‘</w:t>
      </w:r>
      <w:r w:rsidR="00E46463">
        <w:t>close associate’ is defined in the Amending Rules No. 9 and includes a relative of a partner in a partnership, trustee of a trust or shareholder or director in a company</w:t>
      </w:r>
      <w:r w:rsidR="005156F9">
        <w:t xml:space="preserve">. The </w:t>
      </w:r>
      <w:r w:rsidR="00225E30">
        <w:t>term</w:t>
      </w:r>
      <w:r w:rsidR="005156F9">
        <w:t xml:space="preserve"> also applies on a look-through basis, </w:t>
      </w:r>
      <w:r w:rsidR="00225E30">
        <w:t xml:space="preserve">which allows the exclusion to </w:t>
      </w:r>
      <w:r w:rsidR="005156F9">
        <w:t>disregard</w:t>
      </w:r>
      <w:r w:rsidR="00225E30">
        <w:t xml:space="preserve"> an interposed entity</w:t>
      </w:r>
      <w:r w:rsidR="005156F9">
        <w:t>. For example, where a trust with a corporate trustee is the entity carrying on the business, a person is excluded from being an eligible additional employee of the qualifying entity (the trust), if that person is the child of the director of the company that is the corporate trustee.</w:t>
      </w:r>
    </w:p>
    <w:p w14:paraId="4DDEFAB0" w14:textId="3E35B396" w:rsidR="000D0CA6" w:rsidRDefault="005156F9" w:rsidP="000D0CA6">
      <w:pPr>
        <w:pStyle w:val="Dotpoint"/>
        <w:tabs>
          <w:tab w:val="clear" w:pos="360"/>
        </w:tabs>
        <w:ind w:left="0" w:firstLine="0"/>
      </w:pPr>
      <w:r>
        <w:t>T</w:t>
      </w:r>
      <w:r w:rsidR="000D0CA6">
        <w:t>he term ‘relative’ has the same meaning as in the ITAA 1997. Subsection 995-1</w:t>
      </w:r>
      <w:r w:rsidR="00FB2974">
        <w:t>(1)</w:t>
      </w:r>
      <w:r w:rsidR="000D0CA6">
        <w:t xml:space="preserve"> of the ITAA 1997 defines the relative of a person as:</w:t>
      </w:r>
    </w:p>
    <w:p w14:paraId="7E440CD2" w14:textId="77777777" w:rsidR="000D0CA6" w:rsidRDefault="000D0CA6" w:rsidP="000D0CA6">
      <w:pPr>
        <w:pStyle w:val="Dotpoint"/>
        <w:numPr>
          <w:ilvl w:val="0"/>
          <w:numId w:val="14"/>
        </w:numPr>
      </w:pPr>
      <w:r>
        <w:t>the person’s spouse; or</w:t>
      </w:r>
    </w:p>
    <w:p w14:paraId="13ACE128" w14:textId="77777777" w:rsidR="000D0CA6" w:rsidRDefault="000D0CA6" w:rsidP="000D0CA6">
      <w:pPr>
        <w:pStyle w:val="Dotpoint"/>
        <w:numPr>
          <w:ilvl w:val="0"/>
          <w:numId w:val="14"/>
        </w:numPr>
      </w:pPr>
      <w:r>
        <w:t xml:space="preserve">the </w:t>
      </w:r>
      <w:r w:rsidRPr="000C5646">
        <w:t>parent, grandparent, brother, sister, uncle, aunt, nephew</w:t>
      </w:r>
      <w:r>
        <w:t xml:space="preserve">, niece, lineal descendent or </w:t>
      </w:r>
      <w:r w:rsidRPr="000C5646">
        <w:t>adopted child of that person, or of that person's spouse;</w:t>
      </w:r>
      <w:r>
        <w:t xml:space="preserve"> or</w:t>
      </w:r>
    </w:p>
    <w:p w14:paraId="39A64F3A" w14:textId="2372118E" w:rsidR="00E46463" w:rsidRDefault="000D0CA6" w:rsidP="00BE46B0">
      <w:pPr>
        <w:pStyle w:val="Dotpoint"/>
        <w:numPr>
          <w:ilvl w:val="0"/>
          <w:numId w:val="14"/>
        </w:numPr>
      </w:pPr>
      <w:proofErr w:type="gramStart"/>
      <w:r>
        <w:t>the</w:t>
      </w:r>
      <w:proofErr w:type="gramEnd"/>
      <w:r>
        <w:t xml:space="preserve"> spouse of the </w:t>
      </w:r>
      <w:r w:rsidRPr="000C5646">
        <w:t>parent, grandparent, brother, sister, uncle, aunt, nephew</w:t>
      </w:r>
      <w:r>
        <w:t xml:space="preserve">, niece, lineal descendent or </w:t>
      </w:r>
      <w:r w:rsidRPr="000C5646">
        <w:t xml:space="preserve">adopted child of that person, </w:t>
      </w:r>
      <w:r w:rsidRPr="004164B0">
        <w:t>or of that person's spouse</w:t>
      </w:r>
      <w:r>
        <w:t>.</w:t>
      </w:r>
    </w:p>
    <w:p w14:paraId="2DE65154" w14:textId="347A1204" w:rsidR="000D0CA6" w:rsidRDefault="004164B0" w:rsidP="000D0CA6">
      <w:pPr>
        <w:pStyle w:val="base-text-paragraph"/>
        <w:ind w:left="0"/>
      </w:pPr>
      <w:r>
        <w:t>This</w:t>
      </w:r>
      <w:r w:rsidR="000D0CA6">
        <w:t xml:space="preserve"> </w:t>
      </w:r>
      <w:r w:rsidR="00207809">
        <w:t>provides</w:t>
      </w:r>
      <w:r w:rsidR="00C539CA">
        <w:t xml:space="preserve"> that a qualifying</w:t>
      </w:r>
      <w:r>
        <w:t xml:space="preserve"> entity cannot claim </w:t>
      </w:r>
      <w:r w:rsidR="00DE3869">
        <w:t xml:space="preserve">an amount of </w:t>
      </w:r>
      <w:r>
        <w:t xml:space="preserve">the </w:t>
      </w:r>
      <w:proofErr w:type="spellStart"/>
      <w:r>
        <w:t>JobMaker</w:t>
      </w:r>
      <w:proofErr w:type="spellEnd"/>
      <w:r>
        <w:t xml:space="preserve"> Hiring Credit </w:t>
      </w:r>
      <w:r w:rsidR="00DE3869">
        <w:t xml:space="preserve">payment in relation to </w:t>
      </w:r>
      <w:r>
        <w:t>a person who is related to the entity even if the employee</w:t>
      </w:r>
      <w:r w:rsidR="000D0CA6">
        <w:t xml:space="preserve"> would otherwise meet all </w:t>
      </w:r>
      <w:r w:rsidR="002518E1">
        <w:t>other eligibility requirements.</w:t>
      </w:r>
    </w:p>
    <w:p w14:paraId="769A9618" w14:textId="0E33FA18" w:rsidR="0073735F" w:rsidRDefault="0073735F" w:rsidP="000D0CA6">
      <w:pPr>
        <w:pStyle w:val="base-text-paragraph"/>
        <w:ind w:left="0"/>
      </w:pPr>
      <w:r>
        <w:t>A</w:t>
      </w:r>
      <w:r w:rsidR="005B56F7">
        <w:t>n individual is also excluded from being an eligible additional employee if</w:t>
      </w:r>
      <w:r>
        <w:t>:</w:t>
      </w:r>
    </w:p>
    <w:p w14:paraId="650B2122" w14:textId="0BD6D86B" w:rsidR="0073735F" w:rsidRDefault="005B56F7" w:rsidP="00BE46B0">
      <w:pPr>
        <w:pStyle w:val="Dotpoint"/>
        <w:numPr>
          <w:ilvl w:val="0"/>
          <w:numId w:val="14"/>
        </w:numPr>
      </w:pPr>
      <w:r>
        <w:t xml:space="preserve"> </w:t>
      </w:r>
      <w:r w:rsidR="00BB4ED8">
        <w:t xml:space="preserve">at any time </w:t>
      </w:r>
      <w:r w:rsidR="00E77C49">
        <w:t>between 6 April 2020 and</w:t>
      </w:r>
      <w:r w:rsidR="008F0888">
        <w:t xml:space="preserve"> </w:t>
      </w:r>
      <w:r w:rsidR="00384D02">
        <w:t>6 October 2020</w:t>
      </w:r>
      <w:r w:rsidR="007070C0">
        <w:t xml:space="preserve">, </w:t>
      </w:r>
      <w:r>
        <w:t xml:space="preserve">the individual was </w:t>
      </w:r>
      <w:r w:rsidRPr="005B56F7">
        <w:t>engaged</w:t>
      </w:r>
      <w:r w:rsidR="0076456C">
        <w:t xml:space="preserve">, </w:t>
      </w:r>
      <w:r w:rsidR="00DB55A5">
        <w:t xml:space="preserve">other </w:t>
      </w:r>
      <w:r w:rsidR="008A6471">
        <w:t>than</w:t>
      </w:r>
      <w:r w:rsidR="00DB55A5">
        <w:t xml:space="preserve"> as an </w:t>
      </w:r>
      <w:r w:rsidR="00F23152">
        <w:t>employee</w:t>
      </w:r>
      <w:r w:rsidR="0076456C">
        <w:t xml:space="preserve">, to perform </w:t>
      </w:r>
      <w:r w:rsidR="00BD2752">
        <w:t>a substantially similar role or substantially similar functions or duties</w:t>
      </w:r>
      <w:r w:rsidR="0076456C">
        <w:t xml:space="preserve"> for the entity</w:t>
      </w:r>
      <w:r w:rsidR="00AD499C">
        <w:t xml:space="preserve"> (for example, as a subcontractor)</w:t>
      </w:r>
      <w:r w:rsidR="0073735F">
        <w:t>; or</w:t>
      </w:r>
    </w:p>
    <w:p w14:paraId="0B7C85F1" w14:textId="4C394AFA" w:rsidR="005B56F7" w:rsidRDefault="008C16DC" w:rsidP="00BE46B0">
      <w:pPr>
        <w:pStyle w:val="Dotpoint"/>
        <w:numPr>
          <w:ilvl w:val="0"/>
          <w:numId w:val="14"/>
        </w:numPr>
      </w:pPr>
      <w:proofErr w:type="gramStart"/>
      <w:r>
        <w:t>they</w:t>
      </w:r>
      <w:proofErr w:type="gramEnd"/>
      <w:r>
        <w:t xml:space="preserve"> last commenced employment with the entity 12 months or more before the first day of the period</w:t>
      </w:r>
      <w:r w:rsidR="008F0888">
        <w:t>.</w:t>
      </w:r>
    </w:p>
    <w:p w14:paraId="080DE4A9" w14:textId="4CFE24F2" w:rsidR="00AD3399" w:rsidRDefault="00AD3399" w:rsidP="00BE46B0">
      <w:pPr>
        <w:pStyle w:val="base-text-paragraph"/>
        <w:ind w:left="0"/>
      </w:pPr>
      <w:r>
        <w:t xml:space="preserve">The exclusion </w:t>
      </w:r>
      <w:r w:rsidR="00D2198D">
        <w:t>f</w:t>
      </w:r>
      <w:r>
        <w:t>or</w:t>
      </w:r>
      <w:r w:rsidR="00C03D86">
        <w:t xml:space="preserve"> individual performing substantially similar roles or functions</w:t>
      </w:r>
      <w:r>
        <w:t xml:space="preserve"> prevents an entity from obtaining a benefit from the </w:t>
      </w:r>
      <w:proofErr w:type="spellStart"/>
      <w:r>
        <w:t>JobMaker</w:t>
      </w:r>
      <w:proofErr w:type="spellEnd"/>
      <w:r>
        <w:t xml:space="preserve"> scheme by converting an existing relationship they have with an individual into a</w:t>
      </w:r>
      <w:r w:rsidR="00BD2752">
        <w:t xml:space="preserve"> substantially similar</w:t>
      </w:r>
      <w:r>
        <w:t xml:space="preserve"> employment relationship. This reflects that the </w:t>
      </w:r>
      <w:proofErr w:type="spellStart"/>
      <w:r>
        <w:t>JobMaker</w:t>
      </w:r>
      <w:proofErr w:type="spellEnd"/>
      <w:r>
        <w:t xml:space="preserve"> scheme is intended to apply to additional aggregate employment. </w:t>
      </w:r>
    </w:p>
    <w:p w14:paraId="7E41AD64" w14:textId="39926693" w:rsidR="004321CD" w:rsidRDefault="00AD3399" w:rsidP="004321CD">
      <w:pPr>
        <w:pStyle w:val="base-text-paragraph"/>
        <w:ind w:left="0"/>
      </w:pPr>
      <w:r>
        <w:lastRenderedPageBreak/>
        <w:t xml:space="preserve">The </w:t>
      </w:r>
      <w:r w:rsidR="00C861FE">
        <w:t xml:space="preserve">12 month rule </w:t>
      </w:r>
      <w:r w:rsidR="00FC302E">
        <w:t>assist</w:t>
      </w:r>
      <w:r w:rsidR="00DE0706">
        <w:t>s</w:t>
      </w:r>
      <w:r w:rsidR="00FC302E">
        <w:t xml:space="preserve"> in limiting the payments an employer can receive in relation to a single eligible employee to 12 months. </w:t>
      </w:r>
      <w:r w:rsidR="00DE0706">
        <w:t>The 12 month rule does not apply to the period that includes the 12 month anniversary of the employee commencing employment with the entity, as doing this would p</w:t>
      </w:r>
      <w:r w:rsidR="004321CD">
        <w:t>revent the entity from being able to take account of any part of the period that occurred before the employee’s 12 month anniversary. The part of the period the occurs after the 12 month anniversary is dealt with separately by a further rule (explained below) that limits the total number of days in relation to which an individual eligible employee can be counted in calculating an employer’s entitlement.</w:t>
      </w:r>
    </w:p>
    <w:p w14:paraId="6A805873" w14:textId="0B9EAB14" w:rsidR="000B63ED" w:rsidRDefault="00391455" w:rsidP="000B63ED">
      <w:pPr>
        <w:pStyle w:val="Heading3"/>
      </w:pPr>
      <w:r>
        <w:t>E</w:t>
      </w:r>
      <w:r w:rsidR="000B63ED">
        <w:t xml:space="preserve">mployer must </w:t>
      </w:r>
      <w:r w:rsidR="003D1FD7">
        <w:t>have a</w:t>
      </w:r>
      <w:r w:rsidR="000B63ED">
        <w:t xml:space="preserve"> headcount increase for the </w:t>
      </w:r>
      <w:proofErr w:type="spellStart"/>
      <w:r w:rsidR="000B63ED">
        <w:t>JobMaker</w:t>
      </w:r>
      <w:proofErr w:type="spellEnd"/>
      <w:r w:rsidR="000B63ED">
        <w:t xml:space="preserve"> period</w:t>
      </w:r>
    </w:p>
    <w:p w14:paraId="173F89F4" w14:textId="25EFCF58" w:rsidR="005E0B35" w:rsidRDefault="006C5733" w:rsidP="006C5733">
      <w:pPr>
        <w:pStyle w:val="base-text-paragraph"/>
        <w:ind w:left="0"/>
      </w:pPr>
      <w:r>
        <w:t xml:space="preserve">To be entitled to the </w:t>
      </w:r>
      <w:proofErr w:type="spellStart"/>
      <w:r>
        <w:t>JobMaker</w:t>
      </w:r>
      <w:proofErr w:type="spellEnd"/>
      <w:r>
        <w:t xml:space="preserve"> Hiring Credit payment for a period, </w:t>
      </w:r>
      <w:r w:rsidR="00BD787F">
        <w:t xml:space="preserve">an </w:t>
      </w:r>
      <w:r>
        <w:t xml:space="preserve">entity must </w:t>
      </w:r>
      <w:r w:rsidR="006201F7">
        <w:t xml:space="preserve">have </w:t>
      </w:r>
      <w:r>
        <w:t>created additional employment during the period. Additional employment is measured by reference to the</w:t>
      </w:r>
      <w:r w:rsidR="000E66CF">
        <w:t xml:space="preserve"> number of employees that were employed</w:t>
      </w:r>
      <w:r>
        <w:t xml:space="preserve"> </w:t>
      </w:r>
      <w:r w:rsidR="000E66CF">
        <w:t xml:space="preserve">by </w:t>
      </w:r>
      <w:r>
        <w:t>the entity on 30 September 2020.</w:t>
      </w:r>
    </w:p>
    <w:p w14:paraId="546C67FA" w14:textId="5C6DE002" w:rsidR="005E0B35" w:rsidRDefault="005E0B35" w:rsidP="006C5733">
      <w:pPr>
        <w:pStyle w:val="base-text-paragraph"/>
        <w:ind w:left="0"/>
      </w:pPr>
      <w:r w:rsidRPr="002E6059">
        <w:t>Ensuring</w:t>
      </w:r>
      <w:r w:rsidR="002E6059">
        <w:t xml:space="preserve"> that the</w:t>
      </w:r>
      <w:r>
        <w:t xml:space="preserve"> entity </w:t>
      </w:r>
      <w:r w:rsidR="002E6059">
        <w:t xml:space="preserve">has </w:t>
      </w:r>
      <w:r>
        <w:t>cr</w:t>
      </w:r>
      <w:r w:rsidR="002E6059">
        <w:t>eated additional employment prevents an employer from replacing their existing employees with eligible additional employees</w:t>
      </w:r>
      <w:r w:rsidR="00C8463C">
        <w:t>.</w:t>
      </w:r>
      <w:r w:rsidR="002E6059">
        <w:t xml:space="preserve"> </w:t>
      </w:r>
    </w:p>
    <w:p w14:paraId="308ABB23" w14:textId="5D47CBD0" w:rsidR="00DB1AA7" w:rsidRPr="00045F23" w:rsidRDefault="000B63ED" w:rsidP="000B63ED">
      <w:pPr>
        <w:pStyle w:val="base-text-paragraph"/>
        <w:ind w:left="0"/>
      </w:pPr>
      <w:r>
        <w:t xml:space="preserve">An entity </w:t>
      </w:r>
      <w:r w:rsidR="003D1FD7">
        <w:t>has a</w:t>
      </w:r>
      <w:r>
        <w:t xml:space="preserve"> headcount increase for a period if the number of employees employed by the entity at the end of the last day of the </w:t>
      </w:r>
      <w:proofErr w:type="spellStart"/>
      <w:r w:rsidR="00DB1AA7">
        <w:t>JobMaker</w:t>
      </w:r>
      <w:proofErr w:type="spellEnd"/>
      <w:r w:rsidR="00DB1AA7">
        <w:t xml:space="preserve"> </w:t>
      </w:r>
      <w:r>
        <w:t xml:space="preserve">period </w:t>
      </w:r>
      <w:r w:rsidR="004D56C8">
        <w:t>is greater than</w:t>
      </w:r>
      <w:r>
        <w:t xml:space="preserve"> the entity’s baseline headcount for the period.</w:t>
      </w:r>
      <w:r w:rsidR="004D56C8">
        <w:t xml:space="preserve"> </w:t>
      </w:r>
      <w:r w:rsidR="001B4EC0">
        <w:t xml:space="preserve">This excess or increase in employees in comparison to </w:t>
      </w:r>
      <w:r w:rsidR="006C6523">
        <w:t>baseline</w:t>
      </w:r>
      <w:r w:rsidR="001B4EC0">
        <w:t xml:space="preserve"> headcount is the </w:t>
      </w:r>
      <w:r w:rsidR="001B4EC0" w:rsidRPr="00045F23">
        <w:t>‘</w:t>
      </w:r>
      <w:r w:rsidR="001B4EC0" w:rsidRPr="00D40978">
        <w:t>headcount increase</w:t>
      </w:r>
      <w:r w:rsidR="00174DC7" w:rsidRPr="00D40978">
        <w:t xml:space="preserve"> amount</w:t>
      </w:r>
      <w:r w:rsidR="001B4EC0" w:rsidRPr="00D40978">
        <w:t>’</w:t>
      </w:r>
      <w:r w:rsidR="006C6523" w:rsidRPr="00045F23">
        <w:t>.</w:t>
      </w:r>
    </w:p>
    <w:p w14:paraId="0E2407AF" w14:textId="38663A60" w:rsidR="000F0BB4" w:rsidRDefault="008407DB" w:rsidP="000F0BB4">
      <w:pPr>
        <w:pStyle w:val="Heading4"/>
      </w:pPr>
      <w:r>
        <w:t>T</w:t>
      </w:r>
      <w:r w:rsidR="000F0BB4">
        <w:t xml:space="preserve">he baseline headcount for the first four </w:t>
      </w:r>
      <w:proofErr w:type="spellStart"/>
      <w:r w:rsidR="000F0BB4">
        <w:t>JobMaker</w:t>
      </w:r>
      <w:proofErr w:type="spellEnd"/>
      <w:r w:rsidR="000F0BB4">
        <w:t xml:space="preserve"> periods</w:t>
      </w:r>
    </w:p>
    <w:p w14:paraId="4B745C69" w14:textId="7E7CCFFB" w:rsidR="006045C8" w:rsidRDefault="006045C8" w:rsidP="002F0FDA">
      <w:pPr>
        <w:pStyle w:val="base-text-paragraph"/>
        <w:ind w:left="0"/>
      </w:pPr>
      <w:r>
        <w:t xml:space="preserve">For the first four </w:t>
      </w:r>
      <w:proofErr w:type="spellStart"/>
      <w:r>
        <w:t>JobMaker</w:t>
      </w:r>
      <w:proofErr w:type="spellEnd"/>
      <w:r>
        <w:t xml:space="preserve"> periods (</w:t>
      </w:r>
      <w:r w:rsidRPr="006045C8">
        <w:t>7 October 20</w:t>
      </w:r>
      <w:r>
        <w:t>20 to 6 January 2021, 7 January </w:t>
      </w:r>
      <w:r w:rsidRPr="006045C8">
        <w:t>2021 to 6 April 2021, 7 April 2021 to 6 July 2021, an</w:t>
      </w:r>
      <w:r>
        <w:t xml:space="preserve">d 7 </w:t>
      </w:r>
      <w:r w:rsidR="000C2ED0">
        <w:t>July 2021 to 6 October 2021), the</w:t>
      </w:r>
      <w:r>
        <w:t xml:space="preserve"> entity’s baseline headcount </w:t>
      </w:r>
      <w:r w:rsidR="000C2ED0">
        <w:t>will be</w:t>
      </w:r>
      <w:r>
        <w:t xml:space="preserve"> </w:t>
      </w:r>
      <w:r w:rsidR="00174F61">
        <w:t xml:space="preserve">the </w:t>
      </w:r>
      <w:r>
        <w:t>number of employees employed by the entity at the end of 30 September 2020.</w:t>
      </w:r>
    </w:p>
    <w:p w14:paraId="6F9C73DF" w14:textId="08706B63" w:rsidR="000F0BB4" w:rsidRDefault="008407DB" w:rsidP="000F0BB4">
      <w:pPr>
        <w:pStyle w:val="Heading4"/>
      </w:pPr>
      <w:r>
        <w:t>Increasing</w:t>
      </w:r>
      <w:r w:rsidR="000F0BB4">
        <w:t xml:space="preserve"> the baseline headcount for the fifth and subsequent </w:t>
      </w:r>
      <w:proofErr w:type="spellStart"/>
      <w:r w:rsidR="000F0BB4">
        <w:t>JobMaker</w:t>
      </w:r>
      <w:proofErr w:type="spellEnd"/>
      <w:r w:rsidR="000F0BB4">
        <w:t xml:space="preserve"> periods</w:t>
      </w:r>
    </w:p>
    <w:p w14:paraId="4FAB77CD" w14:textId="18728D90" w:rsidR="000C2ED0" w:rsidRDefault="000C2ED0" w:rsidP="002F0FDA">
      <w:pPr>
        <w:pStyle w:val="base-text-paragraph"/>
        <w:ind w:left="0"/>
      </w:pPr>
      <w:r>
        <w:t>F</w:t>
      </w:r>
      <w:r w:rsidR="006045C8">
        <w:t xml:space="preserve">or the fifth to eighth </w:t>
      </w:r>
      <w:proofErr w:type="spellStart"/>
      <w:r w:rsidR="006045C8">
        <w:t>JobMaker</w:t>
      </w:r>
      <w:proofErr w:type="spellEnd"/>
      <w:r w:rsidR="006045C8">
        <w:t xml:space="preserve"> periods (</w:t>
      </w:r>
      <w:r w:rsidR="006045C8" w:rsidRPr="006045C8">
        <w:t>7 Oc</w:t>
      </w:r>
      <w:r w:rsidR="006045C8">
        <w:t>tober 2021 to 6 January 2022, 7 January </w:t>
      </w:r>
      <w:r w:rsidR="006045C8" w:rsidRPr="006045C8">
        <w:t>2022 to 6 April 2022, 7 April 2022 to 6 July 2022, and 7 July 2022 to 6</w:t>
      </w:r>
      <w:r>
        <w:t> October 2022)</w:t>
      </w:r>
      <w:r w:rsidR="00922F2F">
        <w:t xml:space="preserve"> </w:t>
      </w:r>
      <w:r w:rsidR="006201F7">
        <w:t>the entity will</w:t>
      </w:r>
      <w:r w:rsidR="00922F2F">
        <w:t xml:space="preserve"> need to increase </w:t>
      </w:r>
      <w:r w:rsidR="006201F7">
        <w:t>its</w:t>
      </w:r>
      <w:r w:rsidR="00922F2F">
        <w:t xml:space="preserve"> b</w:t>
      </w:r>
      <w:r w:rsidR="00C34555">
        <w:t xml:space="preserve">aseline headcount by the </w:t>
      </w:r>
      <w:r w:rsidR="00922F2F">
        <w:t>aggregate number of eligible</w:t>
      </w:r>
      <w:r w:rsidR="00937B01">
        <w:t xml:space="preserve"> additional</w:t>
      </w:r>
      <w:r w:rsidR="00922F2F">
        <w:t xml:space="preserve"> employees that the entity was entitled to the </w:t>
      </w:r>
      <w:proofErr w:type="spellStart"/>
      <w:r w:rsidR="00922F2F">
        <w:t>JobMa</w:t>
      </w:r>
      <w:r w:rsidR="00937B01">
        <w:t>ker</w:t>
      </w:r>
      <w:proofErr w:type="spellEnd"/>
      <w:r w:rsidR="00937B01">
        <w:t xml:space="preserve"> Hiring Credit payment for</w:t>
      </w:r>
      <w:r w:rsidR="00922F2F">
        <w:t xml:space="preserve"> the earlier corresponding period</w:t>
      </w:r>
      <w:r w:rsidR="00937B01">
        <w:t xml:space="preserve"> </w:t>
      </w:r>
      <w:r w:rsidR="000A4F44">
        <w:t xml:space="preserve">12 </w:t>
      </w:r>
      <w:r w:rsidR="00937B01">
        <w:t>months prior or the increase of the previous period, whichever is higher</w:t>
      </w:r>
      <w:r w:rsidR="00922F2F">
        <w:t>.</w:t>
      </w:r>
    </w:p>
    <w:p w14:paraId="2B28B7F2" w14:textId="61F6F6A1" w:rsidR="00937B01" w:rsidRDefault="00937B01" w:rsidP="002F0FDA">
      <w:pPr>
        <w:pStyle w:val="base-text-paragraph"/>
        <w:ind w:left="0"/>
      </w:pPr>
      <w:r>
        <w:t xml:space="preserve">The baseline headcount increase means that the entity may only receive the </w:t>
      </w:r>
      <w:proofErr w:type="spellStart"/>
      <w:r>
        <w:t>JobMaker</w:t>
      </w:r>
      <w:proofErr w:type="spellEnd"/>
      <w:r>
        <w:t xml:space="preserve"> Hiring Credit payment in respect of each additional headcount for a period of </w:t>
      </w:r>
      <w:r w:rsidR="00C72277">
        <w:t>12 </w:t>
      </w:r>
      <w:r>
        <w:t xml:space="preserve">months. This ensures that an entity does not have an incentive to separate from an eligible additional employee at the end of </w:t>
      </w:r>
      <w:r w:rsidR="000A4F44">
        <w:t>12 </w:t>
      </w:r>
      <w:r>
        <w:t xml:space="preserve">months and hire a new eligible employee in order to claim for a further </w:t>
      </w:r>
      <w:r w:rsidR="000A4F44">
        <w:t xml:space="preserve">12 </w:t>
      </w:r>
      <w:r>
        <w:t>month period.</w:t>
      </w:r>
    </w:p>
    <w:p w14:paraId="1FEBB8C4" w14:textId="2E270CF4" w:rsidR="00E56EAC" w:rsidRDefault="006045C8" w:rsidP="002F0FDA">
      <w:pPr>
        <w:pStyle w:val="base-text-paragraph"/>
        <w:ind w:left="0"/>
      </w:pPr>
      <w:r>
        <w:t xml:space="preserve">For the </w:t>
      </w:r>
      <w:r w:rsidR="000F0BB4">
        <w:t>fifth</w:t>
      </w:r>
      <w:r>
        <w:t xml:space="preserve"> </w:t>
      </w:r>
      <w:proofErr w:type="spellStart"/>
      <w:r>
        <w:t>JobMaker</w:t>
      </w:r>
      <w:proofErr w:type="spellEnd"/>
      <w:r>
        <w:t xml:space="preserve"> period</w:t>
      </w:r>
      <w:r w:rsidR="000F0BB4">
        <w:t>, the baseline head</w:t>
      </w:r>
      <w:r w:rsidR="00E56EAC">
        <w:t>count increase is worked out as</w:t>
      </w:r>
      <w:r w:rsidR="00B4482B">
        <w:t xml:space="preserve"> the lesser of:</w:t>
      </w:r>
    </w:p>
    <w:p w14:paraId="23429F11" w14:textId="40CE4B06" w:rsidR="00E56EAC" w:rsidRDefault="00B4482B" w:rsidP="00E56EAC">
      <w:pPr>
        <w:pStyle w:val="base-text-paragraph"/>
        <w:numPr>
          <w:ilvl w:val="0"/>
          <w:numId w:val="72"/>
        </w:numPr>
      </w:pPr>
      <w:r>
        <w:t xml:space="preserve">the headcount increase </w:t>
      </w:r>
      <w:r w:rsidR="006C6523">
        <w:t xml:space="preserve">amount </w:t>
      </w:r>
      <w:r>
        <w:t xml:space="preserve">in the first </w:t>
      </w:r>
      <w:proofErr w:type="spellStart"/>
      <w:r>
        <w:t>JobMaker</w:t>
      </w:r>
      <w:proofErr w:type="spellEnd"/>
      <w:r>
        <w:t xml:space="preserve"> period; and</w:t>
      </w:r>
    </w:p>
    <w:p w14:paraId="663DC32F" w14:textId="438EFB64" w:rsidR="00B4482B" w:rsidRDefault="00B4482B" w:rsidP="00B77CB7">
      <w:pPr>
        <w:pStyle w:val="base-text-paragraph"/>
        <w:numPr>
          <w:ilvl w:val="0"/>
          <w:numId w:val="72"/>
        </w:numPr>
      </w:pPr>
      <w:r>
        <w:t xml:space="preserve">the </w:t>
      </w:r>
      <w:r w:rsidR="00B77CB7">
        <w:t xml:space="preserve">total counted days in relation to the headcount increase </w:t>
      </w:r>
      <w:r w:rsidR="006C6523">
        <w:t>amount</w:t>
      </w:r>
      <w:r w:rsidR="00B77CB7">
        <w:t xml:space="preserve"> in the first </w:t>
      </w:r>
      <w:proofErr w:type="spellStart"/>
      <w:r w:rsidR="00B77CB7">
        <w:t>JobMaker</w:t>
      </w:r>
      <w:proofErr w:type="spellEnd"/>
      <w:r w:rsidR="00B77CB7">
        <w:t xml:space="preserve"> period </w:t>
      </w:r>
      <w:r w:rsidR="008A6471">
        <w:t>divided by the total days in the period</w:t>
      </w:r>
      <w:r w:rsidR="003D426C">
        <w:t xml:space="preserve"> and rounded down to </w:t>
      </w:r>
      <w:r w:rsidR="003D426C">
        <w:lastRenderedPageBreak/>
        <w:t>the nearest whole number</w:t>
      </w:r>
      <w:r w:rsidR="00B77CB7">
        <w:t xml:space="preserve"> (</w:t>
      </w:r>
      <w:r w:rsidR="00B77CB7" w:rsidRPr="00B77CB7">
        <w:t xml:space="preserve">the concept of </w:t>
      </w:r>
      <w:r w:rsidR="00592164">
        <w:t>‘</w:t>
      </w:r>
      <w:r w:rsidR="00B77CB7" w:rsidRPr="00D40978">
        <w:t>total counted days</w:t>
      </w:r>
      <w:r w:rsidR="00592164">
        <w:t>’</w:t>
      </w:r>
      <w:r w:rsidR="00B77CB7" w:rsidRPr="00B77CB7">
        <w:t xml:space="preserve"> </w:t>
      </w:r>
      <w:r w:rsidR="008A6471">
        <w:t>is</w:t>
      </w:r>
      <w:r w:rsidR="00B77CB7" w:rsidRPr="00B77CB7">
        <w:t xml:space="preserve"> explained further below</w:t>
      </w:r>
      <w:r w:rsidR="00B77CB7">
        <w:t>).</w:t>
      </w:r>
    </w:p>
    <w:p w14:paraId="2334EA7F" w14:textId="5286E990" w:rsidR="003D426C" w:rsidRDefault="003D426C" w:rsidP="002F0FDA">
      <w:pPr>
        <w:pStyle w:val="base-text-paragraph"/>
        <w:ind w:left="0"/>
      </w:pPr>
      <w:r>
        <w:t xml:space="preserve">Rounding down to the nearest whole number ensures that the headcount increase does </w:t>
      </w:r>
      <w:r w:rsidR="00FB09C4">
        <w:t xml:space="preserve">not </w:t>
      </w:r>
      <w:r>
        <w:t>prevent an entity from demonstrating an increase in headcount in the adjusted period in relation to an employee who started part way through the corresponding period.</w:t>
      </w:r>
    </w:p>
    <w:p w14:paraId="53B09478" w14:textId="2725E6BF" w:rsidR="009F4A7C" w:rsidRDefault="00E56EAC" w:rsidP="002F0FDA">
      <w:pPr>
        <w:pStyle w:val="base-text-paragraph"/>
        <w:ind w:left="0"/>
      </w:pPr>
      <w:r>
        <w:t xml:space="preserve">For the sixth, seventh and eighth </w:t>
      </w:r>
      <w:proofErr w:type="spellStart"/>
      <w:r>
        <w:t>JobMaker</w:t>
      </w:r>
      <w:proofErr w:type="spellEnd"/>
      <w:r>
        <w:t xml:space="preserve"> periods, the baseline headcount increase is </w:t>
      </w:r>
      <w:r w:rsidR="009F4A7C">
        <w:t xml:space="preserve">again </w:t>
      </w:r>
      <w:r w:rsidR="00955385">
        <w:t>calculated with reference to the headcount increase</w:t>
      </w:r>
      <w:r w:rsidR="009F4A7C">
        <w:t xml:space="preserve"> amount, total counted days and </w:t>
      </w:r>
      <w:r w:rsidR="008A6471">
        <w:t>total</w:t>
      </w:r>
      <w:r w:rsidR="009F4A7C">
        <w:t xml:space="preserve"> days</w:t>
      </w:r>
      <w:r w:rsidR="00955385">
        <w:t xml:space="preserve"> in the corresponding period (second, third and fourth periods)</w:t>
      </w:r>
      <w:r w:rsidR="009F4A7C">
        <w:t xml:space="preserve"> as explained above for the fifth period. </w:t>
      </w:r>
    </w:p>
    <w:p w14:paraId="4C314917" w14:textId="29E98427" w:rsidR="009F4A7C" w:rsidRDefault="009F4A7C" w:rsidP="002F0FDA">
      <w:pPr>
        <w:pStyle w:val="base-text-paragraph"/>
        <w:ind w:left="0"/>
      </w:pPr>
      <w:r>
        <w:t xml:space="preserve">However, for these periods, there is an additional step and the entity needs to compare the result from the above calculation with the baseline headcount increase amount for the </w:t>
      </w:r>
      <w:r w:rsidR="006C6523">
        <w:t>previous</w:t>
      </w:r>
      <w:r>
        <w:t xml:space="preserve"> period (the period that ended immediate before the current period). </w:t>
      </w:r>
      <w:r w:rsidR="004E743F">
        <w:t>The entity must take the greater of the above step and this step in working out the baseline headcount increase</w:t>
      </w:r>
      <w:r w:rsidR="005D2207">
        <w:t xml:space="preserve"> amount</w:t>
      </w:r>
      <w:r w:rsidR="004E743F">
        <w:t xml:space="preserve"> for these periods.</w:t>
      </w:r>
      <w:r w:rsidR="00D2198D" w:rsidRPr="00D2198D">
        <w:t xml:space="preserve"> </w:t>
      </w:r>
      <w:r w:rsidR="00D2198D">
        <w:t xml:space="preserve">For example this means that for the </w:t>
      </w:r>
      <w:r w:rsidR="00D5339C">
        <w:t xml:space="preserve">seventh </w:t>
      </w:r>
      <w:r w:rsidR="00D2198D">
        <w:t xml:space="preserve">period the base headcount would be the greater of the increase for the </w:t>
      </w:r>
      <w:r w:rsidR="00D5339C">
        <w:t xml:space="preserve">sixth and seventh </w:t>
      </w:r>
      <w:r w:rsidR="00D2198D">
        <w:t>periods.</w:t>
      </w:r>
    </w:p>
    <w:p w14:paraId="51202578" w14:textId="74120307" w:rsidR="00C519E6" w:rsidRDefault="00C519E6" w:rsidP="00C519E6">
      <w:pPr>
        <w:pStyle w:val="base-text-paragraph"/>
        <w:ind w:left="0"/>
      </w:pPr>
      <w:r>
        <w:t xml:space="preserve">The purpose of the additional step in the sixth, seventh and eighth </w:t>
      </w:r>
      <w:proofErr w:type="spellStart"/>
      <w:r>
        <w:t>JobMaker</w:t>
      </w:r>
      <w:proofErr w:type="spellEnd"/>
      <w:r>
        <w:t xml:space="preserve"> periods i</w:t>
      </w:r>
      <w:r w:rsidR="00D2198D">
        <w:t>s</w:t>
      </w:r>
      <w:r>
        <w:t xml:space="preserve"> </w:t>
      </w:r>
      <w:r w:rsidRPr="00AF0DAB">
        <w:t>to</w:t>
      </w:r>
      <w:r>
        <w:t xml:space="preserve"> </w:t>
      </w:r>
      <w:r w:rsidR="00AF0DAB">
        <w:t xml:space="preserve">provide that the baseline headcount </w:t>
      </w:r>
      <w:r w:rsidR="00000709">
        <w:t xml:space="preserve">only </w:t>
      </w:r>
      <w:r w:rsidR="00AF0DAB">
        <w:t xml:space="preserve">increases by </w:t>
      </w:r>
      <w:r w:rsidR="00000709">
        <w:t xml:space="preserve">any marginal </w:t>
      </w:r>
      <w:r w:rsidR="00AF0DAB">
        <w:t xml:space="preserve">increase in headcount </w:t>
      </w:r>
      <w:r w:rsidR="00000709">
        <w:t xml:space="preserve">over </w:t>
      </w:r>
      <w:r w:rsidR="00AF0DAB">
        <w:t>the corresponding periods.</w:t>
      </w:r>
    </w:p>
    <w:p w14:paraId="1906E0E6" w14:textId="75DB4A92" w:rsidR="00447D06" w:rsidRDefault="00447D06" w:rsidP="00447D06">
      <w:pPr>
        <w:pStyle w:val="base-text-paragraph"/>
        <w:ind w:left="0"/>
      </w:pPr>
      <w:r>
        <w:t xml:space="preserve">After working </w:t>
      </w:r>
      <w:r w:rsidR="0074770D">
        <w:t>out the baseline headcount for the</w:t>
      </w:r>
      <w:r>
        <w:t xml:space="preserve"> </w:t>
      </w:r>
      <w:proofErr w:type="spellStart"/>
      <w:r>
        <w:t>JobMaker</w:t>
      </w:r>
      <w:proofErr w:type="spellEnd"/>
      <w:r>
        <w:t xml:space="preserve"> peri</w:t>
      </w:r>
      <w:r w:rsidR="00B727B9">
        <w:t>od, the entity must compare the baseline headcount for the period</w:t>
      </w:r>
      <w:r>
        <w:t xml:space="preserve"> against the number of employees employed at the end of the </w:t>
      </w:r>
      <w:proofErr w:type="spellStart"/>
      <w:r>
        <w:t>JobMaker</w:t>
      </w:r>
      <w:proofErr w:type="spellEnd"/>
      <w:r>
        <w:t xml:space="preserve"> period</w:t>
      </w:r>
      <w:r w:rsidR="009E683F">
        <w:t xml:space="preserve"> to determine if </w:t>
      </w:r>
      <w:r w:rsidR="00AF0DAB">
        <w:t>it has a</w:t>
      </w:r>
      <w:r w:rsidR="009E683F">
        <w:t xml:space="preserve"> headcount increase </w:t>
      </w:r>
      <w:r w:rsidR="00AF0DAB">
        <w:t xml:space="preserve">in the period and if so, its headcount increase amount for the period. </w:t>
      </w:r>
    </w:p>
    <w:p w14:paraId="47ADA8DA" w14:textId="4BF2D261" w:rsidR="00D3751D" w:rsidRPr="006128E8" w:rsidRDefault="00D3751D" w:rsidP="00A96018">
      <w:pPr>
        <w:pStyle w:val="Heading4"/>
        <w:spacing w:after="120"/>
        <w:ind w:left="720"/>
        <w:rPr>
          <w:b/>
          <w:i w:val="0"/>
          <w:sz w:val="22"/>
          <w:u w:val="single"/>
        </w:rPr>
      </w:pPr>
      <w:r w:rsidRPr="006128E8">
        <w:rPr>
          <w:b/>
          <w:i w:val="0"/>
          <w:sz w:val="22"/>
          <w:u w:val="single"/>
        </w:rPr>
        <w:t xml:space="preserve">Example </w:t>
      </w:r>
      <w:r w:rsidR="006220A1">
        <w:rPr>
          <w:b/>
          <w:i w:val="0"/>
          <w:sz w:val="22"/>
          <w:u w:val="single"/>
        </w:rPr>
        <w:t>2</w:t>
      </w:r>
      <w:r w:rsidR="00B32016" w:rsidRPr="006128E8">
        <w:rPr>
          <w:b/>
          <w:i w:val="0"/>
          <w:sz w:val="22"/>
          <w:u w:val="single"/>
        </w:rPr>
        <w:t>.1</w:t>
      </w:r>
      <w:r w:rsidRPr="006128E8">
        <w:rPr>
          <w:b/>
          <w:i w:val="0"/>
          <w:sz w:val="22"/>
          <w:u w:val="single"/>
        </w:rPr>
        <w:t xml:space="preserve">: Headcount increase for the </w:t>
      </w:r>
      <w:r w:rsidR="0048209D">
        <w:rPr>
          <w:b/>
          <w:i w:val="0"/>
          <w:sz w:val="22"/>
          <w:u w:val="single"/>
        </w:rPr>
        <w:t>first</w:t>
      </w:r>
      <w:r w:rsidR="00DA3F7B" w:rsidRPr="006128E8">
        <w:rPr>
          <w:b/>
          <w:i w:val="0"/>
          <w:sz w:val="22"/>
          <w:u w:val="single"/>
        </w:rPr>
        <w:t xml:space="preserve"> </w:t>
      </w:r>
      <w:proofErr w:type="spellStart"/>
      <w:r w:rsidRPr="006128E8">
        <w:rPr>
          <w:b/>
          <w:i w:val="0"/>
          <w:sz w:val="22"/>
          <w:u w:val="single"/>
        </w:rPr>
        <w:t>JobMaker</w:t>
      </w:r>
      <w:proofErr w:type="spellEnd"/>
      <w:r w:rsidRPr="006128E8">
        <w:rPr>
          <w:b/>
          <w:i w:val="0"/>
          <w:sz w:val="22"/>
          <w:u w:val="single"/>
        </w:rPr>
        <w:t xml:space="preserve"> period</w:t>
      </w:r>
    </w:p>
    <w:p w14:paraId="36958948" w14:textId="2E30E1B0" w:rsidR="00C141AD" w:rsidRDefault="00821391" w:rsidP="00F85EFF">
      <w:pPr>
        <w:spacing w:before="120"/>
        <w:ind w:left="720"/>
        <w:rPr>
          <w:sz w:val="22"/>
        </w:rPr>
      </w:pPr>
      <w:r>
        <w:rPr>
          <w:sz w:val="22"/>
        </w:rPr>
        <w:t>TBT Co</w:t>
      </w:r>
      <w:r w:rsidR="00CF592C">
        <w:rPr>
          <w:sz w:val="22"/>
        </w:rPr>
        <w:t xml:space="preserve"> has elected to participate in the </w:t>
      </w:r>
      <w:proofErr w:type="spellStart"/>
      <w:r w:rsidR="00CF592C">
        <w:rPr>
          <w:sz w:val="22"/>
        </w:rPr>
        <w:t>JobMaker</w:t>
      </w:r>
      <w:proofErr w:type="spellEnd"/>
      <w:r w:rsidR="00CF592C">
        <w:rPr>
          <w:sz w:val="22"/>
        </w:rPr>
        <w:t xml:space="preserve"> scheme. </w:t>
      </w:r>
      <w:r w:rsidR="00C141AD">
        <w:rPr>
          <w:sz w:val="22"/>
        </w:rPr>
        <w:t xml:space="preserve">To be entitled to the </w:t>
      </w:r>
      <w:proofErr w:type="spellStart"/>
      <w:r w:rsidR="00C141AD">
        <w:rPr>
          <w:sz w:val="22"/>
        </w:rPr>
        <w:t>JobMaker</w:t>
      </w:r>
      <w:proofErr w:type="spellEnd"/>
      <w:r w:rsidR="00C141AD">
        <w:rPr>
          <w:sz w:val="22"/>
        </w:rPr>
        <w:t xml:space="preserve"> Hiring Credit payment for the </w:t>
      </w:r>
      <w:r w:rsidR="00CF592C">
        <w:rPr>
          <w:sz w:val="22"/>
        </w:rPr>
        <w:t xml:space="preserve">first </w:t>
      </w:r>
      <w:proofErr w:type="spellStart"/>
      <w:r w:rsidR="00CF592C">
        <w:rPr>
          <w:sz w:val="22"/>
        </w:rPr>
        <w:t>JobMaker</w:t>
      </w:r>
      <w:proofErr w:type="spellEnd"/>
      <w:r w:rsidR="00C141AD">
        <w:rPr>
          <w:sz w:val="22"/>
        </w:rPr>
        <w:t xml:space="preserve"> period</w:t>
      </w:r>
      <w:r w:rsidR="00471BBB">
        <w:rPr>
          <w:sz w:val="22"/>
        </w:rPr>
        <w:t xml:space="preserve"> (between 7</w:t>
      </w:r>
      <w:r w:rsidR="00A91157">
        <w:rPr>
          <w:sz w:val="22"/>
        </w:rPr>
        <w:t> </w:t>
      </w:r>
      <w:r w:rsidR="00471BBB">
        <w:rPr>
          <w:sz w:val="22"/>
        </w:rPr>
        <w:t>October</w:t>
      </w:r>
      <w:r w:rsidR="00A91157">
        <w:rPr>
          <w:sz w:val="22"/>
        </w:rPr>
        <w:t> </w:t>
      </w:r>
      <w:r w:rsidR="00471BBB">
        <w:rPr>
          <w:sz w:val="22"/>
        </w:rPr>
        <w:t>2020 and 6 January 2021)</w:t>
      </w:r>
      <w:r w:rsidR="00C141AD">
        <w:rPr>
          <w:sz w:val="22"/>
        </w:rPr>
        <w:t xml:space="preserve">, </w:t>
      </w:r>
      <w:r>
        <w:rPr>
          <w:sz w:val="22"/>
        </w:rPr>
        <w:t>TBT Co</w:t>
      </w:r>
      <w:r w:rsidR="00C141AD">
        <w:rPr>
          <w:sz w:val="22"/>
        </w:rPr>
        <w:t xml:space="preserve"> must </w:t>
      </w:r>
      <w:r w:rsidR="003D1FD7">
        <w:rPr>
          <w:sz w:val="22"/>
        </w:rPr>
        <w:t>have a</w:t>
      </w:r>
      <w:r w:rsidR="00C141AD">
        <w:rPr>
          <w:sz w:val="22"/>
        </w:rPr>
        <w:t xml:space="preserve"> headcount increase</w:t>
      </w:r>
      <w:r w:rsidR="00D3751D" w:rsidRPr="00B15FC2">
        <w:rPr>
          <w:sz w:val="22"/>
        </w:rPr>
        <w:t>.</w:t>
      </w:r>
      <w:r w:rsidR="00895251" w:rsidRPr="00B15FC2">
        <w:rPr>
          <w:sz w:val="22"/>
        </w:rPr>
        <w:t xml:space="preserve"> </w:t>
      </w:r>
    </w:p>
    <w:p w14:paraId="6736F000" w14:textId="0195220B" w:rsidR="00DA3F7B" w:rsidRDefault="00ED55AB" w:rsidP="00F85EFF">
      <w:pPr>
        <w:spacing w:before="120"/>
        <w:ind w:left="720"/>
        <w:rPr>
          <w:sz w:val="22"/>
        </w:rPr>
      </w:pPr>
      <w:r>
        <w:rPr>
          <w:sz w:val="22"/>
        </w:rPr>
        <w:t>A</w:t>
      </w:r>
      <w:r w:rsidRPr="00B15FC2">
        <w:rPr>
          <w:sz w:val="22"/>
        </w:rPr>
        <w:t xml:space="preserve">t the end of 30 September 2020, </w:t>
      </w:r>
      <w:r w:rsidR="00821391">
        <w:rPr>
          <w:sz w:val="22"/>
        </w:rPr>
        <w:t>TBT Co</w:t>
      </w:r>
      <w:r>
        <w:rPr>
          <w:sz w:val="22"/>
        </w:rPr>
        <w:t xml:space="preserve"> had </w:t>
      </w:r>
      <w:r w:rsidR="003C4BBB">
        <w:rPr>
          <w:sz w:val="22"/>
        </w:rPr>
        <w:t>eight</w:t>
      </w:r>
      <w:r w:rsidR="003C4BBB" w:rsidRPr="00B15FC2">
        <w:rPr>
          <w:sz w:val="22"/>
        </w:rPr>
        <w:t xml:space="preserve"> </w:t>
      </w:r>
      <w:r>
        <w:rPr>
          <w:sz w:val="22"/>
        </w:rPr>
        <w:t>employees.</w:t>
      </w:r>
      <w:r w:rsidR="00DC7F44">
        <w:rPr>
          <w:sz w:val="22"/>
        </w:rPr>
        <w:t xml:space="preserve"> Therefore</w:t>
      </w:r>
      <w:r w:rsidR="00162405">
        <w:rPr>
          <w:sz w:val="22"/>
        </w:rPr>
        <w:t xml:space="preserve"> </w:t>
      </w:r>
      <w:r w:rsidR="00821391">
        <w:rPr>
          <w:sz w:val="22"/>
        </w:rPr>
        <w:t xml:space="preserve">TBT </w:t>
      </w:r>
      <w:proofErr w:type="spellStart"/>
      <w:r w:rsidR="00821391">
        <w:rPr>
          <w:sz w:val="22"/>
        </w:rPr>
        <w:t>Co</w:t>
      </w:r>
      <w:r w:rsidR="007F3897">
        <w:rPr>
          <w:sz w:val="22"/>
        </w:rPr>
        <w:t>’s</w:t>
      </w:r>
      <w:proofErr w:type="spellEnd"/>
      <w:r w:rsidR="00CF592C">
        <w:rPr>
          <w:sz w:val="22"/>
        </w:rPr>
        <w:t xml:space="preserve"> baseline headcount is </w:t>
      </w:r>
      <w:r w:rsidR="00A91157">
        <w:rPr>
          <w:sz w:val="22"/>
        </w:rPr>
        <w:t>eight</w:t>
      </w:r>
      <w:r w:rsidR="00CF592C">
        <w:rPr>
          <w:sz w:val="22"/>
        </w:rPr>
        <w:t xml:space="preserve">. </w:t>
      </w:r>
    </w:p>
    <w:p w14:paraId="253B8682" w14:textId="5568F4A6" w:rsidR="00D66FBF" w:rsidRPr="00B15FC2" w:rsidRDefault="00DC7F44" w:rsidP="00C141AD">
      <w:pPr>
        <w:spacing w:before="120"/>
        <w:ind w:left="720"/>
        <w:rPr>
          <w:sz w:val="22"/>
        </w:rPr>
      </w:pPr>
      <w:r>
        <w:rPr>
          <w:sz w:val="22"/>
        </w:rPr>
        <w:t xml:space="preserve">During the first </w:t>
      </w:r>
      <w:proofErr w:type="spellStart"/>
      <w:r>
        <w:rPr>
          <w:sz w:val="22"/>
        </w:rPr>
        <w:t>JobMaker</w:t>
      </w:r>
      <w:proofErr w:type="spellEnd"/>
      <w:r>
        <w:rPr>
          <w:sz w:val="22"/>
        </w:rPr>
        <w:t xml:space="preserve"> period</w:t>
      </w:r>
      <w:r w:rsidR="007F3897">
        <w:rPr>
          <w:sz w:val="22"/>
        </w:rPr>
        <w:t>,</w:t>
      </w:r>
      <w:r>
        <w:rPr>
          <w:sz w:val="22"/>
        </w:rPr>
        <w:t xml:space="preserve"> </w:t>
      </w:r>
      <w:r w:rsidR="003C4BBB">
        <w:rPr>
          <w:sz w:val="22"/>
        </w:rPr>
        <w:t xml:space="preserve">one </w:t>
      </w:r>
      <w:r w:rsidR="00C141AD">
        <w:rPr>
          <w:sz w:val="22"/>
        </w:rPr>
        <w:t xml:space="preserve">of the </w:t>
      </w:r>
      <w:r w:rsidR="003C4BBB">
        <w:rPr>
          <w:sz w:val="22"/>
        </w:rPr>
        <w:t xml:space="preserve">eight </w:t>
      </w:r>
      <w:r w:rsidR="00C141AD">
        <w:rPr>
          <w:sz w:val="22"/>
        </w:rPr>
        <w:t xml:space="preserve">employees </w:t>
      </w:r>
      <w:r w:rsidR="00B424AB">
        <w:rPr>
          <w:sz w:val="22"/>
        </w:rPr>
        <w:t>voluntarily</w:t>
      </w:r>
      <w:r w:rsidR="00C141AD">
        <w:rPr>
          <w:sz w:val="22"/>
        </w:rPr>
        <w:t xml:space="preserve"> ceased employment and </w:t>
      </w:r>
      <w:r w:rsidR="00821391">
        <w:rPr>
          <w:sz w:val="22"/>
        </w:rPr>
        <w:t>TBT Co</w:t>
      </w:r>
      <w:r w:rsidR="00C141AD">
        <w:rPr>
          <w:sz w:val="22"/>
        </w:rPr>
        <w:t xml:space="preserve"> </w:t>
      </w:r>
      <w:r w:rsidR="00DA3F7B">
        <w:rPr>
          <w:sz w:val="22"/>
        </w:rPr>
        <w:t xml:space="preserve">employed </w:t>
      </w:r>
      <w:r w:rsidR="004E2C13">
        <w:rPr>
          <w:sz w:val="22"/>
        </w:rPr>
        <w:t xml:space="preserve">three </w:t>
      </w:r>
      <w:r w:rsidR="00A16FC5">
        <w:rPr>
          <w:sz w:val="22"/>
        </w:rPr>
        <w:t>new employees during the period.</w:t>
      </w:r>
      <w:r w:rsidR="007F3897">
        <w:rPr>
          <w:sz w:val="22"/>
        </w:rPr>
        <w:t xml:space="preserve"> This meant that at the end of the last day in </w:t>
      </w:r>
      <w:r w:rsidR="00490DE3">
        <w:rPr>
          <w:sz w:val="22"/>
        </w:rPr>
        <w:t xml:space="preserve">the first </w:t>
      </w:r>
      <w:r w:rsidR="007F3897">
        <w:rPr>
          <w:sz w:val="22"/>
        </w:rPr>
        <w:t xml:space="preserve">period, </w:t>
      </w:r>
      <w:r w:rsidR="00821391">
        <w:rPr>
          <w:sz w:val="22"/>
        </w:rPr>
        <w:t>TBT Co</w:t>
      </w:r>
      <w:r w:rsidR="007F3897">
        <w:rPr>
          <w:sz w:val="22"/>
        </w:rPr>
        <w:t xml:space="preserve"> had </w:t>
      </w:r>
      <w:r w:rsidR="004E2C13">
        <w:rPr>
          <w:sz w:val="22"/>
        </w:rPr>
        <w:t xml:space="preserve">ten </w:t>
      </w:r>
      <w:r w:rsidR="007F3897">
        <w:rPr>
          <w:sz w:val="22"/>
        </w:rPr>
        <w:t xml:space="preserve">employees. </w:t>
      </w:r>
    </w:p>
    <w:p w14:paraId="4A017AB9" w14:textId="27AF7178" w:rsidR="00162405" w:rsidRDefault="00821391" w:rsidP="00F85EFF">
      <w:pPr>
        <w:spacing w:before="120"/>
        <w:ind w:left="720"/>
        <w:rPr>
          <w:sz w:val="22"/>
        </w:rPr>
      </w:pPr>
      <w:r>
        <w:rPr>
          <w:sz w:val="22"/>
        </w:rPr>
        <w:t>TBT Co</w:t>
      </w:r>
      <w:r w:rsidR="00905B99">
        <w:rPr>
          <w:sz w:val="22"/>
        </w:rPr>
        <w:t xml:space="preserve"> </w:t>
      </w:r>
      <w:r w:rsidR="00ED55AB">
        <w:rPr>
          <w:sz w:val="22"/>
        </w:rPr>
        <w:t xml:space="preserve">has </w:t>
      </w:r>
      <w:r w:rsidR="00F5500C">
        <w:rPr>
          <w:sz w:val="22"/>
        </w:rPr>
        <w:t>had</w:t>
      </w:r>
      <w:r w:rsidR="00ED55AB">
        <w:rPr>
          <w:sz w:val="22"/>
        </w:rPr>
        <w:t xml:space="preserve"> a </w:t>
      </w:r>
      <w:r w:rsidR="00905B99">
        <w:rPr>
          <w:sz w:val="22"/>
        </w:rPr>
        <w:t xml:space="preserve">headcount </w:t>
      </w:r>
      <w:r w:rsidR="00ED55AB">
        <w:rPr>
          <w:sz w:val="22"/>
        </w:rPr>
        <w:t>increase for the period because at the end of the last day of the period</w:t>
      </w:r>
      <w:r w:rsidR="00F5500C">
        <w:rPr>
          <w:sz w:val="22"/>
        </w:rPr>
        <w:t>,</w:t>
      </w:r>
      <w:r w:rsidR="00ED55AB">
        <w:rPr>
          <w:sz w:val="22"/>
        </w:rPr>
        <w:t xml:space="preserve"> its headcount of </w:t>
      </w:r>
      <w:r w:rsidR="00A91157">
        <w:rPr>
          <w:sz w:val="22"/>
        </w:rPr>
        <w:t>ten</w:t>
      </w:r>
      <w:r w:rsidR="00ED55AB">
        <w:rPr>
          <w:sz w:val="22"/>
        </w:rPr>
        <w:t xml:space="preserve"> exceeds </w:t>
      </w:r>
      <w:r w:rsidR="001C6D55">
        <w:rPr>
          <w:sz w:val="22"/>
        </w:rPr>
        <w:t xml:space="preserve">its </w:t>
      </w:r>
      <w:r w:rsidR="00905B99">
        <w:rPr>
          <w:sz w:val="22"/>
        </w:rPr>
        <w:t>30 September</w:t>
      </w:r>
      <w:r w:rsidR="001C6D55">
        <w:rPr>
          <w:sz w:val="22"/>
        </w:rPr>
        <w:t xml:space="preserve"> </w:t>
      </w:r>
      <w:r w:rsidR="00F5500C">
        <w:rPr>
          <w:sz w:val="22"/>
        </w:rPr>
        <w:t xml:space="preserve">2020 </w:t>
      </w:r>
      <w:r w:rsidR="00ED55AB">
        <w:rPr>
          <w:sz w:val="22"/>
        </w:rPr>
        <w:t>headcount</w:t>
      </w:r>
      <w:r w:rsidR="007F3897">
        <w:rPr>
          <w:sz w:val="22"/>
        </w:rPr>
        <w:t xml:space="preserve"> of </w:t>
      </w:r>
      <w:r w:rsidR="00A91157">
        <w:rPr>
          <w:sz w:val="22"/>
        </w:rPr>
        <w:t>eight</w:t>
      </w:r>
      <w:r w:rsidR="00ED55AB">
        <w:rPr>
          <w:sz w:val="22"/>
        </w:rPr>
        <w:t xml:space="preserve">. </w:t>
      </w:r>
    </w:p>
    <w:p w14:paraId="69BB3976" w14:textId="10A0DF10" w:rsidR="00C141AD" w:rsidRPr="00B15FC2" w:rsidRDefault="00821391" w:rsidP="00F85EFF">
      <w:pPr>
        <w:spacing w:before="120"/>
        <w:ind w:left="720"/>
        <w:rPr>
          <w:sz w:val="22"/>
        </w:rPr>
      </w:pPr>
      <w:r>
        <w:rPr>
          <w:sz w:val="22"/>
        </w:rPr>
        <w:t xml:space="preserve">TBT </w:t>
      </w:r>
      <w:proofErr w:type="spellStart"/>
      <w:r>
        <w:rPr>
          <w:sz w:val="22"/>
        </w:rPr>
        <w:t>Co</w:t>
      </w:r>
      <w:r w:rsidR="00162405">
        <w:rPr>
          <w:sz w:val="22"/>
        </w:rPr>
        <w:t>’s</w:t>
      </w:r>
      <w:proofErr w:type="spellEnd"/>
      <w:r w:rsidR="00162405">
        <w:rPr>
          <w:sz w:val="22"/>
        </w:rPr>
        <w:t xml:space="preserve"> </w:t>
      </w:r>
      <w:r w:rsidR="00ED55AB">
        <w:rPr>
          <w:sz w:val="22"/>
        </w:rPr>
        <w:t xml:space="preserve">headcount increase </w:t>
      </w:r>
      <w:r w:rsidR="000B546E">
        <w:rPr>
          <w:sz w:val="22"/>
        </w:rPr>
        <w:t xml:space="preserve">amount </w:t>
      </w:r>
      <w:r w:rsidR="00162405">
        <w:rPr>
          <w:sz w:val="22"/>
        </w:rPr>
        <w:t>for the first period is</w:t>
      </w:r>
      <w:r w:rsidR="001C6D55">
        <w:rPr>
          <w:sz w:val="22"/>
        </w:rPr>
        <w:t xml:space="preserve"> </w:t>
      </w:r>
      <w:r w:rsidR="00A91157">
        <w:rPr>
          <w:sz w:val="22"/>
        </w:rPr>
        <w:t>two</w:t>
      </w:r>
      <w:r w:rsidR="001C6D55">
        <w:rPr>
          <w:sz w:val="22"/>
        </w:rPr>
        <w:t>.</w:t>
      </w:r>
      <w:r w:rsidR="00C141AD">
        <w:rPr>
          <w:sz w:val="22"/>
        </w:rPr>
        <w:t xml:space="preserve"> </w:t>
      </w:r>
    </w:p>
    <w:p w14:paraId="1956CC1A" w14:textId="3D7DA55C" w:rsidR="00456807" w:rsidRPr="00623182" w:rsidRDefault="007B5ADB" w:rsidP="00A96018">
      <w:pPr>
        <w:pStyle w:val="Heading4"/>
        <w:spacing w:after="120"/>
        <w:ind w:left="720"/>
        <w:rPr>
          <w:b/>
          <w:i w:val="0"/>
          <w:sz w:val="22"/>
          <w:u w:val="single"/>
        </w:rPr>
      </w:pPr>
      <w:r w:rsidRPr="00623182">
        <w:rPr>
          <w:b/>
          <w:i w:val="0"/>
          <w:sz w:val="22"/>
          <w:u w:val="single"/>
        </w:rPr>
        <w:t xml:space="preserve">Example </w:t>
      </w:r>
      <w:r w:rsidR="005F0D55">
        <w:rPr>
          <w:b/>
          <w:i w:val="0"/>
          <w:sz w:val="22"/>
          <w:u w:val="single"/>
        </w:rPr>
        <w:t>2</w:t>
      </w:r>
      <w:r w:rsidRPr="00623182">
        <w:rPr>
          <w:b/>
          <w:i w:val="0"/>
          <w:sz w:val="22"/>
          <w:u w:val="single"/>
        </w:rPr>
        <w:t>.2</w:t>
      </w:r>
      <w:r w:rsidR="00456807" w:rsidRPr="00623182">
        <w:rPr>
          <w:b/>
          <w:i w:val="0"/>
          <w:sz w:val="22"/>
          <w:u w:val="single"/>
        </w:rPr>
        <w:t xml:space="preserve">: Headcount increase for the </w:t>
      </w:r>
      <w:r w:rsidR="00EB4EF3">
        <w:rPr>
          <w:b/>
          <w:i w:val="0"/>
          <w:sz w:val="22"/>
          <w:u w:val="single"/>
        </w:rPr>
        <w:t>sixth</w:t>
      </w:r>
      <w:r w:rsidR="00EB4EF3" w:rsidRPr="00623182">
        <w:rPr>
          <w:b/>
          <w:i w:val="0"/>
          <w:sz w:val="22"/>
          <w:u w:val="single"/>
        </w:rPr>
        <w:t xml:space="preserve"> </w:t>
      </w:r>
      <w:proofErr w:type="spellStart"/>
      <w:r w:rsidR="00456807" w:rsidRPr="00623182">
        <w:rPr>
          <w:b/>
          <w:i w:val="0"/>
          <w:sz w:val="22"/>
          <w:u w:val="single"/>
        </w:rPr>
        <w:t>JobMaker</w:t>
      </w:r>
      <w:proofErr w:type="spellEnd"/>
      <w:r w:rsidR="00456807" w:rsidRPr="00623182">
        <w:rPr>
          <w:b/>
          <w:i w:val="0"/>
          <w:sz w:val="22"/>
          <w:u w:val="single"/>
        </w:rPr>
        <w:t xml:space="preserve"> period</w:t>
      </w:r>
    </w:p>
    <w:p w14:paraId="5AE8F4DC" w14:textId="183D9743" w:rsidR="00F46380" w:rsidRDefault="004528E2" w:rsidP="003E2E01">
      <w:pPr>
        <w:spacing w:before="120"/>
        <w:ind w:left="720"/>
        <w:rPr>
          <w:sz w:val="22"/>
        </w:rPr>
      </w:pPr>
      <w:r>
        <w:rPr>
          <w:sz w:val="22"/>
        </w:rPr>
        <w:t xml:space="preserve">Following on from Example </w:t>
      </w:r>
      <w:r w:rsidR="005F0D55">
        <w:rPr>
          <w:sz w:val="22"/>
        </w:rPr>
        <w:t>2</w:t>
      </w:r>
      <w:r>
        <w:rPr>
          <w:sz w:val="22"/>
        </w:rPr>
        <w:t xml:space="preserve">.1, </w:t>
      </w:r>
      <w:r w:rsidR="00821391">
        <w:rPr>
          <w:sz w:val="22"/>
        </w:rPr>
        <w:t>TBT Co</w:t>
      </w:r>
      <w:r w:rsidR="00456807" w:rsidRPr="00B15FC2">
        <w:rPr>
          <w:sz w:val="22"/>
        </w:rPr>
        <w:t xml:space="preserve"> </w:t>
      </w:r>
      <w:r>
        <w:rPr>
          <w:sz w:val="22"/>
        </w:rPr>
        <w:t>continues to be</w:t>
      </w:r>
      <w:r w:rsidR="00456807" w:rsidRPr="00B15FC2">
        <w:rPr>
          <w:sz w:val="22"/>
        </w:rPr>
        <w:t xml:space="preserve"> a qualifying entity under the </w:t>
      </w:r>
      <w:proofErr w:type="spellStart"/>
      <w:r w:rsidR="00456807" w:rsidRPr="00B15FC2">
        <w:rPr>
          <w:sz w:val="22"/>
        </w:rPr>
        <w:t>JobMaker</w:t>
      </w:r>
      <w:proofErr w:type="spellEnd"/>
      <w:r w:rsidR="00456807" w:rsidRPr="00B15FC2">
        <w:rPr>
          <w:sz w:val="22"/>
        </w:rPr>
        <w:t xml:space="preserve"> scheme</w:t>
      </w:r>
      <w:r w:rsidR="00DA3F7B">
        <w:rPr>
          <w:sz w:val="22"/>
        </w:rPr>
        <w:t xml:space="preserve"> for the </w:t>
      </w:r>
      <w:r w:rsidR="00EB4EF3">
        <w:rPr>
          <w:sz w:val="22"/>
        </w:rPr>
        <w:t xml:space="preserve">sixth </w:t>
      </w:r>
      <w:proofErr w:type="spellStart"/>
      <w:r w:rsidR="00053464">
        <w:rPr>
          <w:sz w:val="22"/>
        </w:rPr>
        <w:t>JobMaker</w:t>
      </w:r>
      <w:proofErr w:type="spellEnd"/>
      <w:r w:rsidR="00DA3F7B">
        <w:rPr>
          <w:sz w:val="22"/>
        </w:rPr>
        <w:t xml:space="preserve"> period</w:t>
      </w:r>
      <w:r w:rsidR="00D37A5A">
        <w:rPr>
          <w:sz w:val="22"/>
        </w:rPr>
        <w:t xml:space="preserve"> (</w:t>
      </w:r>
      <w:r w:rsidR="00456807" w:rsidRPr="00B15FC2">
        <w:rPr>
          <w:sz w:val="22"/>
        </w:rPr>
        <w:t xml:space="preserve">7 </w:t>
      </w:r>
      <w:r w:rsidR="00EB4EF3">
        <w:rPr>
          <w:sz w:val="22"/>
        </w:rPr>
        <w:t xml:space="preserve">January </w:t>
      </w:r>
      <w:r w:rsidR="00623182">
        <w:rPr>
          <w:sz w:val="22"/>
        </w:rPr>
        <w:t>202</w:t>
      </w:r>
      <w:r w:rsidR="00EB4EF3">
        <w:rPr>
          <w:sz w:val="22"/>
        </w:rPr>
        <w:t>2</w:t>
      </w:r>
      <w:r w:rsidR="00623182">
        <w:rPr>
          <w:sz w:val="22"/>
        </w:rPr>
        <w:t xml:space="preserve"> to 6 </w:t>
      </w:r>
      <w:r w:rsidR="00EB4EF3">
        <w:rPr>
          <w:sz w:val="22"/>
        </w:rPr>
        <w:t>April</w:t>
      </w:r>
      <w:r w:rsidR="00EB4EF3" w:rsidRPr="00B15FC2">
        <w:rPr>
          <w:sz w:val="22"/>
        </w:rPr>
        <w:t xml:space="preserve"> </w:t>
      </w:r>
      <w:r w:rsidR="00456807" w:rsidRPr="00B15FC2">
        <w:rPr>
          <w:sz w:val="22"/>
        </w:rPr>
        <w:t>2022</w:t>
      </w:r>
      <w:r w:rsidR="00D37A5A">
        <w:rPr>
          <w:sz w:val="22"/>
        </w:rPr>
        <w:t>).</w:t>
      </w:r>
      <w:r w:rsidR="003E2E01">
        <w:rPr>
          <w:sz w:val="22"/>
        </w:rPr>
        <w:t xml:space="preserve"> </w:t>
      </w:r>
    </w:p>
    <w:p w14:paraId="40860695" w14:textId="3A4B7C61" w:rsidR="00EE5F39" w:rsidRDefault="00821391" w:rsidP="00503559">
      <w:pPr>
        <w:spacing w:before="120"/>
        <w:ind w:left="720"/>
        <w:rPr>
          <w:sz w:val="22"/>
        </w:rPr>
      </w:pPr>
      <w:r>
        <w:rPr>
          <w:sz w:val="22"/>
        </w:rPr>
        <w:t xml:space="preserve">TBT </w:t>
      </w:r>
      <w:proofErr w:type="spellStart"/>
      <w:r>
        <w:rPr>
          <w:sz w:val="22"/>
        </w:rPr>
        <w:t>Co</w:t>
      </w:r>
      <w:r w:rsidR="003E2E01">
        <w:rPr>
          <w:sz w:val="22"/>
        </w:rPr>
        <w:t>’s</w:t>
      </w:r>
      <w:proofErr w:type="spellEnd"/>
      <w:r w:rsidR="003E2E01">
        <w:rPr>
          <w:sz w:val="22"/>
        </w:rPr>
        <w:t xml:space="preserve"> </w:t>
      </w:r>
      <w:r w:rsidR="00930302" w:rsidRPr="00352771">
        <w:rPr>
          <w:sz w:val="22"/>
        </w:rPr>
        <w:t>baseline headcount</w:t>
      </w:r>
      <w:r w:rsidR="00D97E75">
        <w:rPr>
          <w:sz w:val="22"/>
        </w:rPr>
        <w:t xml:space="preserve"> increase</w:t>
      </w:r>
      <w:r w:rsidR="00930302" w:rsidRPr="00352771">
        <w:rPr>
          <w:sz w:val="22"/>
        </w:rPr>
        <w:t xml:space="preserve"> </w:t>
      </w:r>
      <w:r w:rsidR="00C75D7D">
        <w:rPr>
          <w:sz w:val="22"/>
        </w:rPr>
        <w:t xml:space="preserve">amount </w:t>
      </w:r>
      <w:r w:rsidR="00F46380">
        <w:rPr>
          <w:sz w:val="22"/>
        </w:rPr>
        <w:t xml:space="preserve">for the </w:t>
      </w:r>
      <w:r w:rsidR="00EB4EF3">
        <w:rPr>
          <w:sz w:val="22"/>
        </w:rPr>
        <w:t xml:space="preserve">sixth </w:t>
      </w:r>
      <w:proofErr w:type="spellStart"/>
      <w:r w:rsidR="00F46380">
        <w:rPr>
          <w:sz w:val="22"/>
        </w:rPr>
        <w:t>JobMaker</w:t>
      </w:r>
      <w:proofErr w:type="spellEnd"/>
      <w:r w:rsidR="00F46380">
        <w:rPr>
          <w:sz w:val="22"/>
        </w:rPr>
        <w:t xml:space="preserve"> </w:t>
      </w:r>
      <w:r w:rsidR="00352771">
        <w:rPr>
          <w:sz w:val="22"/>
        </w:rPr>
        <w:t>period</w:t>
      </w:r>
      <w:r w:rsidR="00F4409C">
        <w:rPr>
          <w:sz w:val="22"/>
        </w:rPr>
        <w:t xml:space="preserve"> </w:t>
      </w:r>
      <w:r w:rsidR="00EE5F39">
        <w:rPr>
          <w:sz w:val="22"/>
        </w:rPr>
        <w:t>is worked out as</w:t>
      </w:r>
      <w:r w:rsidR="006E0560">
        <w:rPr>
          <w:sz w:val="22"/>
        </w:rPr>
        <w:t xml:space="preserve"> </w:t>
      </w:r>
      <w:r w:rsidR="00EE5F39" w:rsidRPr="006E0560">
        <w:rPr>
          <w:sz w:val="22"/>
        </w:rPr>
        <w:t xml:space="preserve">the </w:t>
      </w:r>
      <w:r w:rsidR="00D97E75">
        <w:rPr>
          <w:sz w:val="22"/>
        </w:rPr>
        <w:t xml:space="preserve">greater of the </w:t>
      </w:r>
      <w:r w:rsidR="00206E7C">
        <w:rPr>
          <w:sz w:val="22"/>
        </w:rPr>
        <w:t xml:space="preserve">baseline </w:t>
      </w:r>
      <w:r w:rsidR="00EE5F39" w:rsidRPr="006E0560">
        <w:rPr>
          <w:sz w:val="22"/>
        </w:rPr>
        <w:t>headcount increase</w:t>
      </w:r>
      <w:r w:rsidR="00AB1A08">
        <w:rPr>
          <w:sz w:val="22"/>
        </w:rPr>
        <w:t xml:space="preserve"> amount</w:t>
      </w:r>
      <w:r w:rsidR="00EE5F39" w:rsidRPr="006E0560">
        <w:rPr>
          <w:sz w:val="22"/>
        </w:rPr>
        <w:t xml:space="preserve"> for the </w:t>
      </w:r>
      <w:r w:rsidR="006E0560">
        <w:rPr>
          <w:sz w:val="22"/>
        </w:rPr>
        <w:t>corresponding period</w:t>
      </w:r>
      <w:r w:rsidR="00206E7C">
        <w:rPr>
          <w:sz w:val="22"/>
        </w:rPr>
        <w:t xml:space="preserve"> </w:t>
      </w:r>
      <w:r w:rsidR="00D97E75">
        <w:rPr>
          <w:sz w:val="22"/>
        </w:rPr>
        <w:t>and the amount</w:t>
      </w:r>
      <w:r w:rsidR="00C75D7D">
        <w:rPr>
          <w:sz w:val="22"/>
        </w:rPr>
        <w:t xml:space="preserve"> by which TBT </w:t>
      </w:r>
      <w:proofErr w:type="spellStart"/>
      <w:r w:rsidR="00C75D7D">
        <w:rPr>
          <w:sz w:val="22"/>
        </w:rPr>
        <w:t>Co’s</w:t>
      </w:r>
      <w:proofErr w:type="spellEnd"/>
      <w:r w:rsidR="00C75D7D">
        <w:rPr>
          <w:sz w:val="22"/>
        </w:rPr>
        <w:t xml:space="preserve"> </w:t>
      </w:r>
      <w:r w:rsidR="00D97E75">
        <w:rPr>
          <w:sz w:val="22"/>
        </w:rPr>
        <w:t xml:space="preserve">baseline headcount was increased </w:t>
      </w:r>
      <w:r w:rsidR="00C75D7D">
        <w:rPr>
          <w:sz w:val="22"/>
        </w:rPr>
        <w:t xml:space="preserve">by </w:t>
      </w:r>
      <w:r w:rsidR="00D97E75">
        <w:rPr>
          <w:sz w:val="22"/>
        </w:rPr>
        <w:t>in the fifth period</w:t>
      </w:r>
      <w:r w:rsidR="006E0560">
        <w:rPr>
          <w:sz w:val="22"/>
        </w:rPr>
        <w:t>.</w:t>
      </w:r>
    </w:p>
    <w:p w14:paraId="57921656" w14:textId="64C2ABF2" w:rsidR="00CA5382" w:rsidRPr="00401683" w:rsidRDefault="006E0560" w:rsidP="006E0560">
      <w:pPr>
        <w:spacing w:before="120"/>
        <w:ind w:left="720"/>
        <w:rPr>
          <w:sz w:val="22"/>
          <w:szCs w:val="22"/>
        </w:rPr>
      </w:pPr>
      <w:r w:rsidRPr="00BA1AD8">
        <w:rPr>
          <w:sz w:val="22"/>
          <w:szCs w:val="22"/>
        </w:rPr>
        <w:lastRenderedPageBreak/>
        <w:t xml:space="preserve">The corresponding period for the </w:t>
      </w:r>
      <w:r w:rsidR="00EB4EF3" w:rsidRPr="00BA1AD8">
        <w:rPr>
          <w:sz w:val="22"/>
          <w:szCs w:val="22"/>
        </w:rPr>
        <w:t xml:space="preserve">sixth </w:t>
      </w:r>
      <w:proofErr w:type="spellStart"/>
      <w:r w:rsidRPr="002034EE">
        <w:rPr>
          <w:sz w:val="22"/>
          <w:szCs w:val="22"/>
        </w:rPr>
        <w:t>JobMaker</w:t>
      </w:r>
      <w:proofErr w:type="spellEnd"/>
      <w:r w:rsidRPr="002034EE">
        <w:rPr>
          <w:sz w:val="22"/>
          <w:szCs w:val="22"/>
        </w:rPr>
        <w:t xml:space="preserve"> period is the</w:t>
      </w:r>
      <w:r w:rsidR="00BD431D" w:rsidRPr="002034EE">
        <w:rPr>
          <w:sz w:val="22"/>
          <w:szCs w:val="22"/>
        </w:rPr>
        <w:t xml:space="preserve"> </w:t>
      </w:r>
      <w:r w:rsidR="00EB4EF3" w:rsidRPr="002034EE">
        <w:rPr>
          <w:sz w:val="22"/>
          <w:szCs w:val="22"/>
        </w:rPr>
        <w:t xml:space="preserve">second </w:t>
      </w:r>
      <w:proofErr w:type="spellStart"/>
      <w:r w:rsidR="00053464" w:rsidRPr="002034EE">
        <w:rPr>
          <w:sz w:val="22"/>
          <w:szCs w:val="22"/>
        </w:rPr>
        <w:t>JobMaker</w:t>
      </w:r>
      <w:proofErr w:type="spellEnd"/>
      <w:r w:rsidR="00053464" w:rsidRPr="002034EE">
        <w:rPr>
          <w:sz w:val="22"/>
          <w:szCs w:val="22"/>
        </w:rPr>
        <w:t xml:space="preserve"> period</w:t>
      </w:r>
      <w:r w:rsidR="004528E2" w:rsidRPr="00060BA7">
        <w:rPr>
          <w:sz w:val="22"/>
          <w:szCs w:val="22"/>
        </w:rPr>
        <w:t xml:space="preserve"> (7 January 2021 to 6 April 2021)</w:t>
      </w:r>
      <w:r w:rsidRPr="00060BA7">
        <w:rPr>
          <w:sz w:val="22"/>
          <w:szCs w:val="22"/>
        </w:rPr>
        <w:t xml:space="preserve">. The baseline headcount for the </w:t>
      </w:r>
      <w:r w:rsidR="00EB4EF3" w:rsidRPr="00B60009">
        <w:rPr>
          <w:sz w:val="22"/>
          <w:szCs w:val="22"/>
        </w:rPr>
        <w:t xml:space="preserve">second </w:t>
      </w:r>
      <w:proofErr w:type="spellStart"/>
      <w:r w:rsidRPr="00AD6566">
        <w:rPr>
          <w:sz w:val="22"/>
          <w:szCs w:val="22"/>
        </w:rPr>
        <w:t>JobMaker</w:t>
      </w:r>
      <w:proofErr w:type="spellEnd"/>
      <w:r w:rsidRPr="00AD6566">
        <w:rPr>
          <w:sz w:val="22"/>
          <w:szCs w:val="22"/>
        </w:rPr>
        <w:t xml:space="preserve"> period was </w:t>
      </w:r>
      <w:r w:rsidR="00A91157" w:rsidRPr="00AD6566">
        <w:rPr>
          <w:sz w:val="22"/>
          <w:szCs w:val="22"/>
        </w:rPr>
        <w:t>eight</w:t>
      </w:r>
      <w:r w:rsidRPr="00162E1B">
        <w:rPr>
          <w:sz w:val="22"/>
          <w:szCs w:val="22"/>
        </w:rPr>
        <w:t xml:space="preserve">. </w:t>
      </w:r>
      <w:r w:rsidR="002F2462" w:rsidRPr="00162E1B">
        <w:rPr>
          <w:sz w:val="22"/>
          <w:szCs w:val="22"/>
        </w:rPr>
        <w:t xml:space="preserve">The baseline headcount increase for the fifth period was </w:t>
      </w:r>
      <w:r w:rsidR="00A91157" w:rsidRPr="00401683">
        <w:rPr>
          <w:sz w:val="22"/>
          <w:szCs w:val="22"/>
        </w:rPr>
        <w:t>two</w:t>
      </w:r>
      <w:r w:rsidR="002F2462" w:rsidRPr="00401683">
        <w:rPr>
          <w:sz w:val="22"/>
          <w:szCs w:val="22"/>
        </w:rPr>
        <w:t>.</w:t>
      </w:r>
    </w:p>
    <w:p w14:paraId="19574EA2" w14:textId="1B4B46A5" w:rsidR="006E0560" w:rsidRPr="00D40978" w:rsidRDefault="00B60DC8" w:rsidP="006E0560">
      <w:pPr>
        <w:spacing w:before="120"/>
        <w:ind w:left="720"/>
        <w:rPr>
          <w:sz w:val="22"/>
          <w:szCs w:val="22"/>
        </w:rPr>
      </w:pPr>
      <w:r w:rsidRPr="007D5922">
        <w:rPr>
          <w:sz w:val="22"/>
          <w:szCs w:val="22"/>
        </w:rPr>
        <w:t xml:space="preserve">TBT </w:t>
      </w:r>
      <w:proofErr w:type="spellStart"/>
      <w:r w:rsidRPr="007D5922">
        <w:rPr>
          <w:sz w:val="22"/>
          <w:szCs w:val="22"/>
        </w:rPr>
        <w:t>Co’s</w:t>
      </w:r>
      <w:proofErr w:type="spellEnd"/>
      <w:r w:rsidRPr="007D5922">
        <w:rPr>
          <w:sz w:val="22"/>
          <w:szCs w:val="22"/>
        </w:rPr>
        <w:t xml:space="preserve"> </w:t>
      </w:r>
      <w:r w:rsidR="00206E7C" w:rsidRPr="007D5922">
        <w:rPr>
          <w:sz w:val="22"/>
          <w:szCs w:val="22"/>
        </w:rPr>
        <w:t xml:space="preserve">baseline </w:t>
      </w:r>
      <w:r w:rsidR="006E0560" w:rsidRPr="00D40978">
        <w:rPr>
          <w:sz w:val="22"/>
          <w:szCs w:val="22"/>
        </w:rPr>
        <w:t xml:space="preserve">headcount increase for </w:t>
      </w:r>
      <w:r w:rsidR="00513505" w:rsidRPr="00D40978">
        <w:rPr>
          <w:sz w:val="22"/>
          <w:szCs w:val="22"/>
        </w:rPr>
        <w:t xml:space="preserve">the </w:t>
      </w:r>
      <w:r w:rsidR="006E0560" w:rsidRPr="00D40978">
        <w:rPr>
          <w:sz w:val="22"/>
          <w:szCs w:val="22"/>
        </w:rPr>
        <w:t xml:space="preserve">corresponding period </w:t>
      </w:r>
      <w:r w:rsidR="00513505" w:rsidRPr="00D40978">
        <w:rPr>
          <w:sz w:val="22"/>
          <w:szCs w:val="22"/>
        </w:rPr>
        <w:t xml:space="preserve">for the sixth period </w:t>
      </w:r>
      <w:r w:rsidR="006E0560" w:rsidRPr="00D40978">
        <w:rPr>
          <w:sz w:val="22"/>
          <w:szCs w:val="22"/>
        </w:rPr>
        <w:t xml:space="preserve">is worked out as the </w:t>
      </w:r>
      <w:r w:rsidR="00637E62" w:rsidRPr="00D40978">
        <w:rPr>
          <w:sz w:val="22"/>
          <w:szCs w:val="22"/>
        </w:rPr>
        <w:t>lesser</w:t>
      </w:r>
      <w:r w:rsidR="006E0560" w:rsidRPr="00D40978">
        <w:rPr>
          <w:sz w:val="22"/>
          <w:szCs w:val="22"/>
        </w:rPr>
        <w:t xml:space="preserve"> of:</w:t>
      </w:r>
    </w:p>
    <w:p w14:paraId="3A1C0ADA" w14:textId="31E1F8B7" w:rsidR="006E0560" w:rsidRPr="00D40978" w:rsidRDefault="006E0560" w:rsidP="006E0560">
      <w:pPr>
        <w:pStyle w:val="ListParagraph"/>
        <w:numPr>
          <w:ilvl w:val="0"/>
          <w:numId w:val="69"/>
        </w:numPr>
        <w:spacing w:before="120"/>
        <w:rPr>
          <w:sz w:val="22"/>
          <w:szCs w:val="22"/>
        </w:rPr>
      </w:pPr>
      <w:r w:rsidRPr="00D40978">
        <w:rPr>
          <w:sz w:val="22"/>
          <w:szCs w:val="22"/>
        </w:rPr>
        <w:t xml:space="preserve">the headcount increase amount for the </w:t>
      </w:r>
      <w:r w:rsidR="00513505" w:rsidRPr="00D40978">
        <w:rPr>
          <w:sz w:val="22"/>
          <w:szCs w:val="22"/>
        </w:rPr>
        <w:t xml:space="preserve">second </w:t>
      </w:r>
      <w:proofErr w:type="spellStart"/>
      <w:r w:rsidR="00513505" w:rsidRPr="00D40978">
        <w:rPr>
          <w:sz w:val="22"/>
          <w:szCs w:val="22"/>
        </w:rPr>
        <w:t>JobMaker</w:t>
      </w:r>
      <w:proofErr w:type="spellEnd"/>
      <w:r w:rsidR="00513505" w:rsidRPr="00D40978">
        <w:rPr>
          <w:sz w:val="22"/>
          <w:szCs w:val="22"/>
        </w:rPr>
        <w:t xml:space="preserve"> </w:t>
      </w:r>
      <w:r w:rsidRPr="00D40978">
        <w:rPr>
          <w:sz w:val="22"/>
          <w:szCs w:val="22"/>
        </w:rPr>
        <w:t>period; and</w:t>
      </w:r>
    </w:p>
    <w:p w14:paraId="60D932DF" w14:textId="53FD2059" w:rsidR="006E0560" w:rsidRPr="00D40978" w:rsidRDefault="00C52CB4" w:rsidP="006E0560">
      <w:pPr>
        <w:pStyle w:val="ListParagraph"/>
        <w:numPr>
          <w:ilvl w:val="0"/>
          <w:numId w:val="69"/>
        </w:numPr>
        <w:spacing w:before="120"/>
        <w:rPr>
          <w:sz w:val="22"/>
          <w:szCs w:val="22"/>
        </w:rPr>
      </w:pPr>
      <w:proofErr w:type="gramStart"/>
      <w:r w:rsidRPr="00D40978">
        <w:rPr>
          <w:sz w:val="22"/>
          <w:szCs w:val="22"/>
        </w:rPr>
        <w:t>the</w:t>
      </w:r>
      <w:proofErr w:type="gramEnd"/>
      <w:r w:rsidR="00637E62" w:rsidRPr="00D40978">
        <w:rPr>
          <w:sz w:val="22"/>
          <w:szCs w:val="22"/>
        </w:rPr>
        <w:t xml:space="preserve"> total counted days </w:t>
      </w:r>
      <w:r w:rsidR="008B1611" w:rsidRPr="00D40978">
        <w:rPr>
          <w:sz w:val="22"/>
          <w:szCs w:val="22"/>
        </w:rPr>
        <w:t>divided by the total days in the period</w:t>
      </w:r>
      <w:r w:rsidR="00637E62" w:rsidRPr="00D40978">
        <w:rPr>
          <w:sz w:val="22"/>
          <w:szCs w:val="22"/>
        </w:rPr>
        <w:t xml:space="preserve"> – this formula </w:t>
      </w:r>
      <w:r w:rsidRPr="00D40978">
        <w:rPr>
          <w:sz w:val="22"/>
          <w:szCs w:val="22"/>
        </w:rPr>
        <w:t>calculates</w:t>
      </w:r>
      <w:r w:rsidR="00637E62" w:rsidRPr="00D40978">
        <w:rPr>
          <w:sz w:val="22"/>
          <w:szCs w:val="22"/>
        </w:rPr>
        <w:t xml:space="preserve"> the proportion of the claim in relation to the headcount increase in the corresponding period </w:t>
      </w:r>
      <w:r w:rsidR="004528E2" w:rsidRPr="00D40978">
        <w:rPr>
          <w:sz w:val="22"/>
          <w:szCs w:val="22"/>
        </w:rPr>
        <w:t>where the maximum payable days has not capped the total counted days</w:t>
      </w:r>
      <w:r w:rsidR="00637E62" w:rsidRPr="00D40978">
        <w:rPr>
          <w:sz w:val="22"/>
          <w:szCs w:val="22"/>
        </w:rPr>
        <w:t>.</w:t>
      </w:r>
    </w:p>
    <w:p w14:paraId="308ADF46" w14:textId="5B746D4C" w:rsidR="001671C3" w:rsidRPr="00D40978" w:rsidRDefault="00821391" w:rsidP="00047C38">
      <w:pPr>
        <w:spacing w:before="120"/>
        <w:ind w:left="720"/>
        <w:rPr>
          <w:sz w:val="22"/>
          <w:szCs w:val="22"/>
        </w:rPr>
      </w:pPr>
      <w:r w:rsidRPr="00D40978">
        <w:rPr>
          <w:sz w:val="22"/>
          <w:szCs w:val="22"/>
        </w:rPr>
        <w:t>TBT Co</w:t>
      </w:r>
      <w:r w:rsidR="00637E62" w:rsidRPr="00D40978">
        <w:rPr>
          <w:sz w:val="22"/>
          <w:szCs w:val="22"/>
        </w:rPr>
        <w:t xml:space="preserve"> applies the formula</w:t>
      </w:r>
      <w:r w:rsidR="00C52CB4" w:rsidRPr="00D40978">
        <w:rPr>
          <w:sz w:val="22"/>
          <w:szCs w:val="22"/>
        </w:rPr>
        <w:t xml:space="preserve"> </w:t>
      </w:r>
      <w:r w:rsidR="00726E20" w:rsidRPr="00D40978">
        <w:rPr>
          <w:sz w:val="22"/>
          <w:szCs w:val="22"/>
        </w:rPr>
        <w:t>using</w:t>
      </w:r>
      <w:r w:rsidR="00637E62" w:rsidRPr="00D40978">
        <w:rPr>
          <w:sz w:val="22"/>
          <w:szCs w:val="22"/>
        </w:rPr>
        <w:t xml:space="preserve"> the following</w:t>
      </w:r>
      <w:r w:rsidR="004528E2" w:rsidRPr="00D40978">
        <w:rPr>
          <w:sz w:val="22"/>
          <w:szCs w:val="22"/>
        </w:rPr>
        <w:t xml:space="preserve"> information</w:t>
      </w:r>
      <w:r w:rsidR="00637E62" w:rsidRPr="00D40978">
        <w:rPr>
          <w:sz w:val="22"/>
          <w:szCs w:val="22"/>
        </w:rPr>
        <w:t>:</w:t>
      </w:r>
    </w:p>
    <w:p w14:paraId="683F0C7E" w14:textId="30CEE2E8" w:rsidR="00623182" w:rsidRPr="00D40978" w:rsidRDefault="00623182" w:rsidP="00D3515F">
      <w:pPr>
        <w:pStyle w:val="ListParagraph"/>
        <w:numPr>
          <w:ilvl w:val="0"/>
          <w:numId w:val="69"/>
        </w:numPr>
        <w:spacing w:before="120"/>
        <w:rPr>
          <w:sz w:val="22"/>
          <w:szCs w:val="22"/>
        </w:rPr>
      </w:pPr>
      <w:r w:rsidRPr="00D40978">
        <w:rPr>
          <w:sz w:val="22"/>
          <w:szCs w:val="22"/>
        </w:rPr>
        <w:t xml:space="preserve">the headcount increase amount for the </w:t>
      </w:r>
      <w:r w:rsidR="00EB4EF3" w:rsidRPr="00D40978">
        <w:rPr>
          <w:sz w:val="22"/>
          <w:szCs w:val="22"/>
        </w:rPr>
        <w:t xml:space="preserve">second </w:t>
      </w:r>
      <w:proofErr w:type="spellStart"/>
      <w:r w:rsidRPr="00D40978">
        <w:rPr>
          <w:sz w:val="22"/>
          <w:szCs w:val="22"/>
        </w:rPr>
        <w:t>JobMaker</w:t>
      </w:r>
      <w:proofErr w:type="spellEnd"/>
      <w:r w:rsidRPr="00D40978">
        <w:rPr>
          <w:sz w:val="22"/>
          <w:szCs w:val="22"/>
        </w:rPr>
        <w:t xml:space="preserve"> period was </w:t>
      </w:r>
      <w:r w:rsidR="00513505" w:rsidRPr="00D40978">
        <w:rPr>
          <w:sz w:val="22"/>
          <w:szCs w:val="22"/>
        </w:rPr>
        <w:t>4</w:t>
      </w:r>
      <w:r w:rsidRPr="00D40978">
        <w:rPr>
          <w:sz w:val="22"/>
          <w:szCs w:val="22"/>
        </w:rPr>
        <w:t>;</w:t>
      </w:r>
    </w:p>
    <w:p w14:paraId="3B4FD414" w14:textId="0BE39954" w:rsidR="00930302" w:rsidRPr="002034EE" w:rsidRDefault="00930302" w:rsidP="00930302">
      <w:pPr>
        <w:pStyle w:val="ListParagraph"/>
        <w:numPr>
          <w:ilvl w:val="0"/>
          <w:numId w:val="68"/>
        </w:numPr>
        <w:spacing w:before="120"/>
        <w:rPr>
          <w:sz w:val="22"/>
          <w:szCs w:val="22"/>
        </w:rPr>
      </w:pPr>
      <w:r w:rsidRPr="00BA1AD8">
        <w:rPr>
          <w:sz w:val="22"/>
          <w:szCs w:val="22"/>
        </w:rPr>
        <w:t xml:space="preserve">total counted days </w:t>
      </w:r>
      <w:r w:rsidR="00623182" w:rsidRPr="00BA1AD8">
        <w:rPr>
          <w:sz w:val="22"/>
          <w:szCs w:val="22"/>
        </w:rPr>
        <w:t xml:space="preserve">for the </w:t>
      </w:r>
      <w:r w:rsidR="00EB4EF3" w:rsidRPr="002034EE">
        <w:rPr>
          <w:sz w:val="22"/>
          <w:szCs w:val="22"/>
        </w:rPr>
        <w:t xml:space="preserve">second </w:t>
      </w:r>
      <w:proofErr w:type="spellStart"/>
      <w:r w:rsidR="00623182" w:rsidRPr="002034EE">
        <w:rPr>
          <w:sz w:val="22"/>
          <w:szCs w:val="22"/>
        </w:rPr>
        <w:t>JobMaker</w:t>
      </w:r>
      <w:proofErr w:type="spellEnd"/>
      <w:r w:rsidR="00623182" w:rsidRPr="002034EE">
        <w:rPr>
          <w:sz w:val="22"/>
          <w:szCs w:val="22"/>
        </w:rPr>
        <w:t xml:space="preserve"> period</w:t>
      </w:r>
      <w:r w:rsidRPr="002034EE">
        <w:rPr>
          <w:sz w:val="22"/>
          <w:szCs w:val="22"/>
        </w:rPr>
        <w:t xml:space="preserve"> was </w:t>
      </w:r>
      <w:r w:rsidR="00513505" w:rsidRPr="002034EE">
        <w:rPr>
          <w:sz w:val="22"/>
          <w:szCs w:val="22"/>
        </w:rPr>
        <w:t>280</w:t>
      </w:r>
      <w:r w:rsidR="00352771" w:rsidRPr="002034EE">
        <w:rPr>
          <w:sz w:val="22"/>
          <w:szCs w:val="22"/>
        </w:rPr>
        <w:t>;</w:t>
      </w:r>
    </w:p>
    <w:p w14:paraId="2973A3CD" w14:textId="1DC5398E" w:rsidR="00546535" w:rsidRPr="00162E1B" w:rsidRDefault="00ED4A22" w:rsidP="00930302">
      <w:pPr>
        <w:pStyle w:val="ListParagraph"/>
        <w:numPr>
          <w:ilvl w:val="0"/>
          <w:numId w:val="68"/>
        </w:numPr>
        <w:spacing w:before="120"/>
        <w:rPr>
          <w:sz w:val="22"/>
          <w:szCs w:val="22"/>
        </w:rPr>
      </w:pPr>
      <w:r w:rsidRPr="00060BA7">
        <w:rPr>
          <w:sz w:val="22"/>
          <w:szCs w:val="22"/>
        </w:rPr>
        <w:t xml:space="preserve">the </w:t>
      </w:r>
      <w:r w:rsidR="008B1611" w:rsidRPr="00060BA7">
        <w:rPr>
          <w:sz w:val="22"/>
          <w:szCs w:val="22"/>
        </w:rPr>
        <w:t>total days in the 6</w:t>
      </w:r>
      <w:r w:rsidR="008B1611" w:rsidRPr="00B60009">
        <w:rPr>
          <w:sz w:val="22"/>
          <w:szCs w:val="22"/>
          <w:vertAlign w:val="superscript"/>
        </w:rPr>
        <w:t>th</w:t>
      </w:r>
      <w:r w:rsidR="008B1611" w:rsidRPr="00AD6566">
        <w:rPr>
          <w:sz w:val="22"/>
          <w:szCs w:val="22"/>
        </w:rPr>
        <w:t xml:space="preserve"> </w:t>
      </w:r>
      <w:proofErr w:type="spellStart"/>
      <w:r w:rsidR="008B1611" w:rsidRPr="00AD6566">
        <w:rPr>
          <w:sz w:val="22"/>
          <w:szCs w:val="22"/>
        </w:rPr>
        <w:t>JobMaker</w:t>
      </w:r>
      <w:proofErr w:type="spellEnd"/>
      <w:r w:rsidR="008B1611" w:rsidRPr="00AD6566">
        <w:rPr>
          <w:sz w:val="22"/>
          <w:szCs w:val="22"/>
        </w:rPr>
        <w:t xml:space="preserve"> period was 90</w:t>
      </w:r>
      <w:r w:rsidR="00CA5382" w:rsidRPr="00AD6566">
        <w:rPr>
          <w:sz w:val="22"/>
          <w:szCs w:val="22"/>
        </w:rPr>
        <w:t>; and</w:t>
      </w:r>
    </w:p>
    <w:p w14:paraId="04BCB8EC" w14:textId="259B355B" w:rsidR="00C52CB4" w:rsidRPr="00D40978" w:rsidRDefault="00C24017" w:rsidP="00C52CB4">
      <w:pPr>
        <w:pStyle w:val="ListParagraph"/>
        <w:numPr>
          <w:ilvl w:val="0"/>
          <w:numId w:val="68"/>
        </w:numPr>
        <w:spacing w:before="120"/>
        <w:rPr>
          <w:sz w:val="22"/>
          <w:szCs w:val="22"/>
        </w:rPr>
      </w:pPr>
      <w:r w:rsidRPr="00401683">
        <w:rPr>
          <w:sz w:val="22"/>
          <w:szCs w:val="22"/>
        </w:rPr>
        <w:t>2</w:t>
      </w:r>
      <w:r w:rsidR="00E47724" w:rsidRPr="00401683">
        <w:rPr>
          <w:sz w:val="22"/>
          <w:szCs w:val="22"/>
        </w:rPr>
        <w:t>80</w:t>
      </w:r>
      <w:r w:rsidR="00C52CB4" w:rsidRPr="00401683">
        <w:rPr>
          <w:sz w:val="22"/>
          <w:szCs w:val="22"/>
        </w:rPr>
        <w:t>/</w:t>
      </w:r>
      <w:r w:rsidR="00ED4A22" w:rsidRPr="00401683">
        <w:rPr>
          <w:sz w:val="22"/>
          <w:szCs w:val="22"/>
        </w:rPr>
        <w:t>90</w:t>
      </w:r>
      <w:r w:rsidR="00C52CB4" w:rsidRPr="00103FC2">
        <w:rPr>
          <w:sz w:val="22"/>
          <w:szCs w:val="22"/>
        </w:rPr>
        <w:t xml:space="preserve">= </w:t>
      </w:r>
      <w:r w:rsidR="00E47724" w:rsidRPr="00103FC2">
        <w:rPr>
          <w:sz w:val="22"/>
          <w:szCs w:val="22"/>
        </w:rPr>
        <w:t>3</w:t>
      </w:r>
      <w:r w:rsidR="00821391" w:rsidRPr="00611530">
        <w:rPr>
          <w:sz w:val="22"/>
          <w:szCs w:val="22"/>
        </w:rPr>
        <w:t>.</w:t>
      </w:r>
      <w:r w:rsidR="00E47724" w:rsidRPr="00611530">
        <w:rPr>
          <w:sz w:val="22"/>
          <w:szCs w:val="22"/>
        </w:rPr>
        <w:t>111</w:t>
      </w:r>
      <w:r w:rsidR="00821391" w:rsidRPr="007D5922">
        <w:rPr>
          <w:sz w:val="22"/>
          <w:szCs w:val="22"/>
        </w:rPr>
        <w:t xml:space="preserve">, rounded </w:t>
      </w:r>
      <w:r w:rsidR="00C72815" w:rsidRPr="007D5922">
        <w:rPr>
          <w:sz w:val="22"/>
          <w:szCs w:val="22"/>
        </w:rPr>
        <w:t xml:space="preserve">down </w:t>
      </w:r>
      <w:r w:rsidR="00821391" w:rsidRPr="00D40978">
        <w:rPr>
          <w:sz w:val="22"/>
          <w:szCs w:val="22"/>
        </w:rPr>
        <w:t xml:space="preserve">to </w:t>
      </w:r>
      <w:r w:rsidR="00841FA2" w:rsidRPr="00D40978">
        <w:rPr>
          <w:sz w:val="22"/>
          <w:szCs w:val="22"/>
        </w:rPr>
        <w:t>3</w:t>
      </w:r>
      <w:r w:rsidR="00CA5382" w:rsidRPr="00D40978">
        <w:rPr>
          <w:sz w:val="22"/>
          <w:szCs w:val="22"/>
        </w:rPr>
        <w:t>.</w:t>
      </w:r>
    </w:p>
    <w:p w14:paraId="2E7A72DA" w14:textId="08C9C286" w:rsidR="004528E2" w:rsidRPr="00D40978" w:rsidRDefault="004528E2" w:rsidP="004528E2">
      <w:pPr>
        <w:spacing w:before="120"/>
        <w:ind w:left="720"/>
        <w:rPr>
          <w:sz w:val="22"/>
          <w:szCs w:val="22"/>
        </w:rPr>
      </w:pPr>
      <w:r w:rsidRPr="00D40978">
        <w:rPr>
          <w:sz w:val="22"/>
          <w:szCs w:val="22"/>
        </w:rPr>
        <w:t xml:space="preserve">Further, TBT </w:t>
      </w:r>
      <w:proofErr w:type="spellStart"/>
      <w:r w:rsidRPr="00D40978">
        <w:rPr>
          <w:sz w:val="22"/>
          <w:szCs w:val="22"/>
        </w:rPr>
        <w:t>Co’s</w:t>
      </w:r>
      <w:proofErr w:type="spellEnd"/>
      <w:r w:rsidRPr="00D40978">
        <w:rPr>
          <w:sz w:val="22"/>
          <w:szCs w:val="22"/>
        </w:rPr>
        <w:t xml:space="preserve"> baseline headcount increase for the sixth </w:t>
      </w:r>
      <w:proofErr w:type="spellStart"/>
      <w:r w:rsidRPr="00D40978">
        <w:rPr>
          <w:sz w:val="22"/>
          <w:szCs w:val="22"/>
        </w:rPr>
        <w:t>JobMaker</w:t>
      </w:r>
      <w:proofErr w:type="spellEnd"/>
      <w:r w:rsidRPr="00D40978">
        <w:rPr>
          <w:sz w:val="22"/>
          <w:szCs w:val="22"/>
        </w:rPr>
        <w:t xml:space="preserve"> period (</w:t>
      </w:r>
      <w:r w:rsidR="009F5A6E" w:rsidRPr="00D40978">
        <w:rPr>
          <w:sz w:val="22"/>
          <w:szCs w:val="22"/>
        </w:rPr>
        <w:t>3</w:t>
      </w:r>
      <w:r w:rsidRPr="00D40978">
        <w:rPr>
          <w:sz w:val="22"/>
          <w:szCs w:val="22"/>
        </w:rPr>
        <w:t xml:space="preserve">) is greater than TBT </w:t>
      </w:r>
      <w:proofErr w:type="spellStart"/>
      <w:r w:rsidRPr="00D40978">
        <w:rPr>
          <w:sz w:val="22"/>
          <w:szCs w:val="22"/>
        </w:rPr>
        <w:t>Co’s</w:t>
      </w:r>
      <w:proofErr w:type="spellEnd"/>
      <w:r w:rsidRPr="00D40978">
        <w:rPr>
          <w:sz w:val="22"/>
          <w:szCs w:val="22"/>
        </w:rPr>
        <w:t xml:space="preserve"> baseline headcount increase amount in the fifth </w:t>
      </w:r>
      <w:proofErr w:type="spellStart"/>
      <w:r w:rsidRPr="00D40978">
        <w:rPr>
          <w:sz w:val="22"/>
          <w:szCs w:val="22"/>
        </w:rPr>
        <w:t>JobMaker</w:t>
      </w:r>
      <w:proofErr w:type="spellEnd"/>
      <w:r w:rsidRPr="00D40978">
        <w:rPr>
          <w:sz w:val="22"/>
          <w:szCs w:val="22"/>
        </w:rPr>
        <w:t xml:space="preserve"> period (2) and therefore TBT </w:t>
      </w:r>
      <w:proofErr w:type="spellStart"/>
      <w:r w:rsidRPr="00D40978">
        <w:rPr>
          <w:sz w:val="22"/>
          <w:szCs w:val="22"/>
        </w:rPr>
        <w:t>Co’s</w:t>
      </w:r>
      <w:proofErr w:type="spellEnd"/>
      <w:r w:rsidRPr="00D40978">
        <w:rPr>
          <w:sz w:val="22"/>
          <w:szCs w:val="22"/>
        </w:rPr>
        <w:t xml:space="preserve"> baseline headcount increase for the sixth </w:t>
      </w:r>
      <w:proofErr w:type="spellStart"/>
      <w:r w:rsidRPr="00D40978">
        <w:rPr>
          <w:sz w:val="22"/>
          <w:szCs w:val="22"/>
        </w:rPr>
        <w:t>JobMaker</w:t>
      </w:r>
      <w:proofErr w:type="spellEnd"/>
      <w:r w:rsidRPr="00D40978">
        <w:rPr>
          <w:sz w:val="22"/>
          <w:szCs w:val="22"/>
        </w:rPr>
        <w:t xml:space="preserve"> period is </w:t>
      </w:r>
      <w:r w:rsidR="00A91157" w:rsidRPr="00D40978">
        <w:rPr>
          <w:sz w:val="22"/>
          <w:szCs w:val="22"/>
        </w:rPr>
        <w:t>three</w:t>
      </w:r>
      <w:r w:rsidRPr="00D40978">
        <w:rPr>
          <w:sz w:val="22"/>
          <w:szCs w:val="22"/>
        </w:rPr>
        <w:t xml:space="preserve">. </w:t>
      </w:r>
    </w:p>
    <w:p w14:paraId="2A94DA48" w14:textId="1766E0FB" w:rsidR="004528E2" w:rsidRPr="00D40978" w:rsidRDefault="004528E2" w:rsidP="004528E2">
      <w:pPr>
        <w:spacing w:before="120"/>
        <w:ind w:left="720"/>
        <w:rPr>
          <w:sz w:val="22"/>
          <w:szCs w:val="22"/>
        </w:rPr>
      </w:pPr>
      <w:r w:rsidRPr="00D40978">
        <w:rPr>
          <w:sz w:val="22"/>
          <w:szCs w:val="22"/>
        </w:rPr>
        <w:t xml:space="preserve">This means that TBT </w:t>
      </w:r>
      <w:proofErr w:type="spellStart"/>
      <w:r w:rsidRPr="00D40978">
        <w:rPr>
          <w:sz w:val="22"/>
          <w:szCs w:val="22"/>
        </w:rPr>
        <w:t>Co’s</w:t>
      </w:r>
      <w:proofErr w:type="spellEnd"/>
      <w:r w:rsidRPr="00D40978">
        <w:rPr>
          <w:sz w:val="22"/>
          <w:szCs w:val="22"/>
        </w:rPr>
        <w:t xml:space="preserve"> baseline headcount for the sixth </w:t>
      </w:r>
      <w:proofErr w:type="spellStart"/>
      <w:r w:rsidRPr="00D40978">
        <w:rPr>
          <w:sz w:val="22"/>
          <w:szCs w:val="22"/>
        </w:rPr>
        <w:t>JobMaker</w:t>
      </w:r>
      <w:proofErr w:type="spellEnd"/>
      <w:r w:rsidRPr="00D40978">
        <w:rPr>
          <w:sz w:val="22"/>
          <w:szCs w:val="22"/>
        </w:rPr>
        <w:t xml:space="preserve"> period is </w:t>
      </w:r>
      <w:r w:rsidR="00B775DE" w:rsidRPr="00D40978">
        <w:rPr>
          <w:sz w:val="22"/>
          <w:szCs w:val="22"/>
        </w:rPr>
        <w:t xml:space="preserve">increased to </w:t>
      </w:r>
      <w:r w:rsidRPr="00D40978">
        <w:rPr>
          <w:sz w:val="22"/>
          <w:szCs w:val="22"/>
        </w:rPr>
        <w:t>11 (</w:t>
      </w:r>
      <w:r w:rsidR="00B775DE" w:rsidRPr="00D40978">
        <w:rPr>
          <w:sz w:val="22"/>
          <w:szCs w:val="22"/>
        </w:rPr>
        <w:t xml:space="preserve">being </w:t>
      </w:r>
      <w:r w:rsidRPr="00D40978">
        <w:rPr>
          <w:sz w:val="22"/>
          <w:szCs w:val="22"/>
        </w:rPr>
        <w:t xml:space="preserve">the 30 September 2020 headcount of </w:t>
      </w:r>
      <w:r w:rsidR="00A91157" w:rsidRPr="00D40978">
        <w:rPr>
          <w:sz w:val="22"/>
          <w:szCs w:val="22"/>
        </w:rPr>
        <w:t>eight</w:t>
      </w:r>
      <w:r w:rsidRPr="00D40978">
        <w:rPr>
          <w:sz w:val="22"/>
          <w:szCs w:val="22"/>
        </w:rPr>
        <w:t xml:space="preserve">, plus the baseline increase amount of </w:t>
      </w:r>
      <w:r w:rsidR="00A91157" w:rsidRPr="00D40978">
        <w:rPr>
          <w:sz w:val="22"/>
          <w:szCs w:val="22"/>
        </w:rPr>
        <w:t>three</w:t>
      </w:r>
      <w:r w:rsidRPr="00D40978">
        <w:rPr>
          <w:sz w:val="22"/>
          <w:szCs w:val="22"/>
        </w:rPr>
        <w:t xml:space="preserve"> as worked out above).</w:t>
      </w:r>
    </w:p>
    <w:p w14:paraId="5D8E9729" w14:textId="29DF77C0" w:rsidR="00FF41B4" w:rsidRPr="00D40978" w:rsidRDefault="00CA5382" w:rsidP="00A7011A">
      <w:pPr>
        <w:spacing w:before="120"/>
        <w:ind w:left="720"/>
        <w:rPr>
          <w:sz w:val="22"/>
          <w:szCs w:val="22"/>
        </w:rPr>
      </w:pPr>
      <w:r w:rsidRPr="00D40978">
        <w:rPr>
          <w:sz w:val="22"/>
          <w:szCs w:val="22"/>
        </w:rPr>
        <w:t xml:space="preserve">At the end of the </w:t>
      </w:r>
      <w:r w:rsidR="00B60DC8" w:rsidRPr="00D40978">
        <w:rPr>
          <w:sz w:val="22"/>
          <w:szCs w:val="22"/>
        </w:rPr>
        <w:t xml:space="preserve">sixth </w:t>
      </w:r>
      <w:proofErr w:type="spellStart"/>
      <w:r w:rsidRPr="00D40978">
        <w:rPr>
          <w:sz w:val="22"/>
          <w:szCs w:val="22"/>
        </w:rPr>
        <w:t>JobMaker</w:t>
      </w:r>
      <w:proofErr w:type="spellEnd"/>
      <w:r w:rsidRPr="00D40978">
        <w:rPr>
          <w:sz w:val="22"/>
          <w:szCs w:val="22"/>
        </w:rPr>
        <w:t xml:space="preserve"> period (6 </w:t>
      </w:r>
      <w:r w:rsidR="00B60DC8" w:rsidRPr="00D40978">
        <w:rPr>
          <w:sz w:val="22"/>
          <w:szCs w:val="22"/>
        </w:rPr>
        <w:t>April </w:t>
      </w:r>
      <w:r w:rsidRPr="00D40978">
        <w:rPr>
          <w:sz w:val="22"/>
          <w:szCs w:val="22"/>
        </w:rPr>
        <w:t xml:space="preserve">2022), </w:t>
      </w:r>
      <w:r w:rsidR="00821391" w:rsidRPr="00D40978">
        <w:rPr>
          <w:sz w:val="22"/>
          <w:szCs w:val="22"/>
        </w:rPr>
        <w:t>TBT Co</w:t>
      </w:r>
      <w:r w:rsidRPr="00D40978">
        <w:rPr>
          <w:sz w:val="22"/>
          <w:szCs w:val="22"/>
        </w:rPr>
        <w:t xml:space="preserve"> had a total of </w:t>
      </w:r>
      <w:r w:rsidR="00A91157" w:rsidRPr="00D40978">
        <w:rPr>
          <w:sz w:val="22"/>
          <w:szCs w:val="22"/>
        </w:rPr>
        <w:t>fourteen</w:t>
      </w:r>
      <w:r w:rsidR="004528E2" w:rsidRPr="00D40978">
        <w:rPr>
          <w:sz w:val="22"/>
          <w:szCs w:val="22"/>
        </w:rPr>
        <w:t> </w:t>
      </w:r>
      <w:r w:rsidRPr="00D40978">
        <w:rPr>
          <w:sz w:val="22"/>
          <w:szCs w:val="22"/>
        </w:rPr>
        <w:t xml:space="preserve">employees. This number is greater than the increased baseline headcount of </w:t>
      </w:r>
      <w:r w:rsidR="00A91157" w:rsidRPr="00D40978">
        <w:rPr>
          <w:sz w:val="22"/>
          <w:szCs w:val="22"/>
        </w:rPr>
        <w:t>eleven</w:t>
      </w:r>
      <w:r w:rsidRPr="00D40978">
        <w:rPr>
          <w:sz w:val="22"/>
          <w:szCs w:val="22"/>
        </w:rPr>
        <w:t xml:space="preserve"> </w:t>
      </w:r>
      <w:r w:rsidR="00B31A8E" w:rsidRPr="00D40978">
        <w:rPr>
          <w:sz w:val="22"/>
          <w:szCs w:val="22"/>
        </w:rPr>
        <w:t xml:space="preserve">(as worked out above) </w:t>
      </w:r>
      <w:r w:rsidRPr="00D40978">
        <w:rPr>
          <w:sz w:val="22"/>
          <w:szCs w:val="22"/>
        </w:rPr>
        <w:t xml:space="preserve">and therefore, </w:t>
      </w:r>
      <w:r w:rsidR="00821391" w:rsidRPr="00D40978">
        <w:rPr>
          <w:sz w:val="22"/>
          <w:szCs w:val="22"/>
        </w:rPr>
        <w:t>TBT Co</w:t>
      </w:r>
      <w:r w:rsidRPr="00D40978">
        <w:rPr>
          <w:sz w:val="22"/>
          <w:szCs w:val="22"/>
        </w:rPr>
        <w:t xml:space="preserve"> has satisfied the </w:t>
      </w:r>
      <w:r w:rsidR="00945292" w:rsidRPr="00D40978">
        <w:rPr>
          <w:sz w:val="22"/>
          <w:szCs w:val="22"/>
        </w:rPr>
        <w:t xml:space="preserve">headcount increase for the </w:t>
      </w:r>
      <w:r w:rsidR="00B60DC8" w:rsidRPr="00D40978">
        <w:rPr>
          <w:sz w:val="22"/>
          <w:szCs w:val="22"/>
        </w:rPr>
        <w:t xml:space="preserve">sixth </w:t>
      </w:r>
      <w:proofErr w:type="spellStart"/>
      <w:r w:rsidR="00945292" w:rsidRPr="00D40978">
        <w:rPr>
          <w:sz w:val="22"/>
          <w:szCs w:val="22"/>
        </w:rPr>
        <w:t>JobMaker</w:t>
      </w:r>
      <w:proofErr w:type="spellEnd"/>
      <w:r w:rsidR="00945292" w:rsidRPr="00D40978">
        <w:rPr>
          <w:sz w:val="22"/>
          <w:szCs w:val="22"/>
        </w:rPr>
        <w:t xml:space="preserve"> period.</w:t>
      </w:r>
    </w:p>
    <w:p w14:paraId="634AF253" w14:textId="4925E947" w:rsidR="000B63ED" w:rsidRDefault="00391455" w:rsidP="000B63ED">
      <w:pPr>
        <w:pStyle w:val="Heading3"/>
      </w:pPr>
      <w:r>
        <w:t>E</w:t>
      </w:r>
      <w:r w:rsidR="000B63ED">
        <w:t xml:space="preserve">mployer must </w:t>
      </w:r>
      <w:r w:rsidR="007A58D4">
        <w:t>have a</w:t>
      </w:r>
      <w:r w:rsidR="000B63ED">
        <w:t xml:space="preserve"> payroll increase for the </w:t>
      </w:r>
      <w:proofErr w:type="spellStart"/>
      <w:r w:rsidR="000B63ED">
        <w:t>JobMaker</w:t>
      </w:r>
      <w:proofErr w:type="spellEnd"/>
      <w:r w:rsidR="000B63ED">
        <w:t xml:space="preserve"> period</w:t>
      </w:r>
    </w:p>
    <w:p w14:paraId="4D3F3950" w14:textId="651D05E1" w:rsidR="000B63ED" w:rsidRDefault="000B63ED" w:rsidP="000B63ED">
      <w:pPr>
        <w:pStyle w:val="base-text-paragraph"/>
        <w:ind w:left="0"/>
      </w:pPr>
      <w:r>
        <w:t xml:space="preserve">An entity satisfies the payroll increase </w:t>
      </w:r>
      <w:r w:rsidR="00FC1C95">
        <w:t>condition</w:t>
      </w:r>
      <w:r>
        <w:t xml:space="preserve"> for a </w:t>
      </w:r>
      <w:proofErr w:type="spellStart"/>
      <w:r w:rsidR="006623E2">
        <w:t>JobMaker</w:t>
      </w:r>
      <w:proofErr w:type="spellEnd"/>
      <w:r w:rsidR="006623E2">
        <w:t xml:space="preserve"> </w:t>
      </w:r>
      <w:r>
        <w:t xml:space="preserve">period if the entity’s total payroll amount for the period </w:t>
      </w:r>
      <w:r w:rsidR="006623E2">
        <w:t>is greater than</w:t>
      </w:r>
      <w:r>
        <w:t xml:space="preserve"> the entity’s baseline payroll for th</w:t>
      </w:r>
      <w:r w:rsidR="00705FA0">
        <w:t>at</w:t>
      </w:r>
      <w:r>
        <w:t xml:space="preserve"> period.</w:t>
      </w:r>
      <w:r w:rsidR="006623E2">
        <w:t xml:space="preserve"> For </w:t>
      </w:r>
      <w:r w:rsidR="004D56C8">
        <w:t xml:space="preserve">the purposes of the </w:t>
      </w:r>
      <w:proofErr w:type="spellStart"/>
      <w:r w:rsidR="004D56C8">
        <w:t>JobMaker</w:t>
      </w:r>
      <w:proofErr w:type="spellEnd"/>
      <w:r w:rsidR="004D56C8">
        <w:t xml:space="preserve"> </w:t>
      </w:r>
      <w:r w:rsidR="00E83FD2">
        <w:t>scheme</w:t>
      </w:r>
      <w:r w:rsidR="006623E2">
        <w:t>:</w:t>
      </w:r>
    </w:p>
    <w:p w14:paraId="0D867FC4" w14:textId="56C531C5" w:rsidR="000B63ED" w:rsidRDefault="00705FA0" w:rsidP="006623E2">
      <w:pPr>
        <w:pStyle w:val="Dotpoint"/>
        <w:numPr>
          <w:ilvl w:val="0"/>
          <w:numId w:val="14"/>
        </w:numPr>
      </w:pPr>
      <w:r>
        <w:t>a</w:t>
      </w:r>
      <w:r w:rsidR="000B63ED">
        <w:t>n entity’s total payroll amount for a</w:t>
      </w:r>
      <w:r w:rsidR="006623E2">
        <w:t xml:space="preserve"> </w:t>
      </w:r>
      <w:proofErr w:type="spellStart"/>
      <w:r w:rsidR="006623E2">
        <w:t>JobMaker</w:t>
      </w:r>
      <w:proofErr w:type="spellEnd"/>
      <w:r w:rsidR="000B63ED">
        <w:t xml:space="preserve"> period is the sum of </w:t>
      </w:r>
      <w:r w:rsidR="006623E2">
        <w:t>payroll</w:t>
      </w:r>
      <w:r w:rsidR="000B63ED">
        <w:t xml:space="preserve"> amounts</w:t>
      </w:r>
      <w:r w:rsidR="006623E2">
        <w:t xml:space="preserve"> (see below)</w:t>
      </w:r>
      <w:r w:rsidR="000B63ED">
        <w:t xml:space="preserve"> for each of the entity’s employees for </w:t>
      </w:r>
      <w:r w:rsidR="00576FB3">
        <w:t>payroll amount</w:t>
      </w:r>
      <w:r w:rsidR="005F513D">
        <w:t>s</w:t>
      </w:r>
      <w:r w:rsidR="00576FB3">
        <w:t xml:space="preserve"> paid </w:t>
      </w:r>
      <w:r>
        <w:t xml:space="preserve">during the </w:t>
      </w:r>
      <w:proofErr w:type="spellStart"/>
      <w:r>
        <w:t>JobMaker</w:t>
      </w:r>
      <w:proofErr w:type="spellEnd"/>
      <w:r>
        <w:t xml:space="preserve"> period; and</w:t>
      </w:r>
    </w:p>
    <w:p w14:paraId="7BE0438A" w14:textId="5ED030D4" w:rsidR="000B63ED" w:rsidRDefault="00705FA0" w:rsidP="006623E2">
      <w:pPr>
        <w:pStyle w:val="Dotpoint"/>
        <w:numPr>
          <w:ilvl w:val="0"/>
          <w:numId w:val="14"/>
        </w:numPr>
      </w:pPr>
      <w:proofErr w:type="gramStart"/>
      <w:r>
        <w:t>a</w:t>
      </w:r>
      <w:r w:rsidR="000B63ED">
        <w:t>n</w:t>
      </w:r>
      <w:proofErr w:type="gramEnd"/>
      <w:r w:rsidR="000B63ED">
        <w:t xml:space="preserve"> entity’s</w:t>
      </w:r>
      <w:r w:rsidR="006623E2">
        <w:t xml:space="preserve"> baseline payroll</w:t>
      </w:r>
      <w:r>
        <w:t xml:space="preserve"> amount</w:t>
      </w:r>
      <w:r w:rsidR="006623E2">
        <w:t xml:space="preserve"> is </w:t>
      </w:r>
      <w:r w:rsidR="001E43D5">
        <w:t xml:space="preserve">the </w:t>
      </w:r>
      <w:r w:rsidR="006623E2">
        <w:t xml:space="preserve">sum of </w:t>
      </w:r>
      <w:r w:rsidR="00517905">
        <w:t xml:space="preserve">the payroll amounts paid during a period comprising the same number of days that ended on </w:t>
      </w:r>
      <w:r w:rsidR="002034EE">
        <w:t>6 October </w:t>
      </w:r>
      <w:r w:rsidR="000B63ED">
        <w:t>2020.</w:t>
      </w:r>
    </w:p>
    <w:p w14:paraId="40ECCB11" w14:textId="7BB5EF77" w:rsidR="001E43D5" w:rsidRDefault="004D56C8" w:rsidP="00807BEE">
      <w:pPr>
        <w:pStyle w:val="base-text-paragraph"/>
        <w:ind w:left="0"/>
      </w:pPr>
      <w:r>
        <w:t>The payroll</w:t>
      </w:r>
      <w:r w:rsidR="005F513D">
        <w:t xml:space="preserve"> increase</w:t>
      </w:r>
      <w:r>
        <w:t xml:space="preserve"> is worked out as t</w:t>
      </w:r>
      <w:r w:rsidR="006A30DA">
        <w:t xml:space="preserve">he excess of the entity’s </w:t>
      </w:r>
      <w:r w:rsidR="00B869D1">
        <w:t xml:space="preserve">total </w:t>
      </w:r>
      <w:r w:rsidR="006A30DA">
        <w:t xml:space="preserve">payroll amount for a </w:t>
      </w:r>
      <w:proofErr w:type="spellStart"/>
      <w:r w:rsidR="006A30DA">
        <w:t>JobMaker</w:t>
      </w:r>
      <w:proofErr w:type="spellEnd"/>
      <w:r w:rsidR="006A30DA">
        <w:t xml:space="preserve"> period </w:t>
      </w:r>
      <w:r>
        <w:t>from</w:t>
      </w:r>
      <w:r w:rsidR="006A30DA">
        <w:t xml:space="preserve"> the base</w:t>
      </w:r>
      <w:r>
        <w:t>line payrol</w:t>
      </w:r>
      <w:r w:rsidR="001B5121">
        <w:t xml:space="preserve">l amount. </w:t>
      </w:r>
    </w:p>
    <w:p w14:paraId="7873A2F6" w14:textId="252CC0CA" w:rsidR="00807BEE" w:rsidRDefault="001B5121" w:rsidP="00807BEE">
      <w:pPr>
        <w:pStyle w:val="base-text-paragraph"/>
        <w:ind w:left="0"/>
      </w:pPr>
      <w:r>
        <w:t>This is used in working</w:t>
      </w:r>
      <w:r w:rsidR="005D79B0">
        <w:t xml:space="preserve"> out the amount of payment</w:t>
      </w:r>
      <w:r w:rsidR="006A30DA">
        <w:t>.</w:t>
      </w:r>
      <w:r w:rsidR="00807BEE">
        <w:t xml:space="preserve"> Where the payroll amount for a </w:t>
      </w:r>
      <w:proofErr w:type="spellStart"/>
      <w:r w:rsidR="00807BEE">
        <w:t>JobMaker</w:t>
      </w:r>
      <w:proofErr w:type="spellEnd"/>
      <w:r w:rsidR="00807BEE">
        <w:t xml:space="preserve"> period is less than or equal to the reference period payroll amount, the </w:t>
      </w:r>
      <w:r w:rsidR="00807BEE">
        <w:lastRenderedPageBreak/>
        <w:t xml:space="preserve">entity may not claim a </w:t>
      </w:r>
      <w:proofErr w:type="spellStart"/>
      <w:r w:rsidR="00807BEE">
        <w:t>JobMaker</w:t>
      </w:r>
      <w:proofErr w:type="spellEnd"/>
      <w:r w:rsidR="00807BEE">
        <w:t xml:space="preserve"> Hiring Credit for that </w:t>
      </w:r>
      <w:proofErr w:type="spellStart"/>
      <w:r w:rsidR="00807BEE">
        <w:t>JobMaker</w:t>
      </w:r>
      <w:proofErr w:type="spellEnd"/>
      <w:r w:rsidR="00807BEE">
        <w:t xml:space="preserve"> period.</w:t>
      </w:r>
      <w:r w:rsidR="00913394">
        <w:t xml:space="preserve"> This reflects that in such cases, the entity has not had a substantive increase in their overall employment levels, irrespective whether it has nominally increased the number of </w:t>
      </w:r>
      <w:r w:rsidR="00DB63B6">
        <w:t xml:space="preserve">its </w:t>
      </w:r>
      <w:r w:rsidR="00913394">
        <w:t xml:space="preserve">employees. </w:t>
      </w:r>
    </w:p>
    <w:p w14:paraId="3D8E7417" w14:textId="373FE367" w:rsidR="001C7060" w:rsidRDefault="00705FA0" w:rsidP="000B63ED">
      <w:pPr>
        <w:pStyle w:val="base-text-paragraph"/>
        <w:ind w:left="0"/>
      </w:pPr>
      <w:r>
        <w:t xml:space="preserve">When comparing the </w:t>
      </w:r>
      <w:r w:rsidR="00056051">
        <w:t>total</w:t>
      </w:r>
      <w:r>
        <w:t xml:space="preserve"> payroll amount</w:t>
      </w:r>
      <w:r w:rsidR="00056051">
        <w:t xml:space="preserve"> and baseline payroll amount</w:t>
      </w:r>
      <w:r>
        <w:t xml:space="preserve"> between the </w:t>
      </w:r>
      <w:proofErr w:type="spellStart"/>
      <w:r>
        <w:t>JobMaker</w:t>
      </w:r>
      <w:proofErr w:type="spellEnd"/>
      <w:r>
        <w:t xml:space="preserve"> period and the reference period, the number of </w:t>
      </w:r>
      <w:r w:rsidR="00102896">
        <w:t xml:space="preserve">days in the </w:t>
      </w:r>
      <w:proofErr w:type="spellStart"/>
      <w:r w:rsidR="00102896">
        <w:t>JobMaker</w:t>
      </w:r>
      <w:proofErr w:type="spellEnd"/>
      <w:r w:rsidR="00102896">
        <w:t xml:space="preserve"> period being tested </w:t>
      </w:r>
      <w:r>
        <w:t xml:space="preserve">will determine the number of </w:t>
      </w:r>
      <w:r w:rsidR="00102896">
        <w:t xml:space="preserve">days </w:t>
      </w:r>
      <w:r w:rsidR="003F72A0">
        <w:t xml:space="preserve">in </w:t>
      </w:r>
      <w:r>
        <w:t>the reference period.</w:t>
      </w:r>
      <w:r w:rsidR="003A398F">
        <w:t xml:space="preserve"> </w:t>
      </w:r>
      <w:r w:rsidR="00102896">
        <w:t xml:space="preserve">Any payments relating to the entity’s pay cycles (e.g. weekly, fortnightly or monthly) that were paid during the </w:t>
      </w:r>
      <w:proofErr w:type="spellStart"/>
      <w:r w:rsidR="00102896">
        <w:t>JobMaker</w:t>
      </w:r>
      <w:proofErr w:type="spellEnd"/>
      <w:r w:rsidR="00102896">
        <w:t xml:space="preserve"> period will count towards the total amounts. </w:t>
      </w:r>
      <w:r w:rsidR="00477407">
        <w:t xml:space="preserve">To ensure that businesses can have regard to their existing pay cycles, it </w:t>
      </w:r>
      <w:r w:rsidR="001F7004">
        <w:t xml:space="preserve">does </w:t>
      </w:r>
      <w:r w:rsidR="008A102E">
        <w:t xml:space="preserve">not matter if </w:t>
      </w:r>
      <w:r w:rsidR="0017001E">
        <w:t xml:space="preserve">all or part of a particular pay cycle occurred </w:t>
      </w:r>
      <w:r w:rsidR="001F7004">
        <w:t xml:space="preserve">outside of the </w:t>
      </w:r>
      <w:proofErr w:type="spellStart"/>
      <w:r w:rsidR="001F7004">
        <w:t>JobMaker</w:t>
      </w:r>
      <w:proofErr w:type="spellEnd"/>
      <w:r w:rsidR="001F7004">
        <w:t xml:space="preserve"> period, so long as </w:t>
      </w:r>
      <w:r w:rsidR="00AD29E2">
        <w:t xml:space="preserve">the related </w:t>
      </w:r>
      <w:r w:rsidR="00331F78">
        <w:t xml:space="preserve">payment was made </w:t>
      </w:r>
      <w:r w:rsidR="001F7004">
        <w:t xml:space="preserve">within the </w:t>
      </w:r>
      <w:proofErr w:type="spellStart"/>
      <w:r w:rsidR="001F7004">
        <w:t>JobMaker</w:t>
      </w:r>
      <w:proofErr w:type="spellEnd"/>
      <w:r w:rsidR="001F7004">
        <w:t xml:space="preserve"> period. </w:t>
      </w:r>
    </w:p>
    <w:p w14:paraId="34CBD10B" w14:textId="368D9EFC" w:rsidR="003842A7" w:rsidRDefault="0067540D" w:rsidP="000B63ED">
      <w:pPr>
        <w:pStyle w:val="base-text-paragraph"/>
        <w:ind w:left="0"/>
      </w:pPr>
      <w:r>
        <w:t xml:space="preserve">As the number of days varies between </w:t>
      </w:r>
      <w:proofErr w:type="spellStart"/>
      <w:r>
        <w:t>JobMaker</w:t>
      </w:r>
      <w:proofErr w:type="spellEnd"/>
      <w:r>
        <w:t xml:space="preserve"> periods, the </w:t>
      </w:r>
      <w:r w:rsidR="001C7060">
        <w:t xml:space="preserve">number of payroll cycles </w:t>
      </w:r>
      <w:r>
        <w:t xml:space="preserve">covered by </w:t>
      </w:r>
      <w:r w:rsidR="001C7060">
        <w:t xml:space="preserve">a reference period may differ from one </w:t>
      </w:r>
      <w:proofErr w:type="spellStart"/>
      <w:r w:rsidR="001C7060">
        <w:t>JobMaker</w:t>
      </w:r>
      <w:proofErr w:type="spellEnd"/>
      <w:r w:rsidR="001C7060">
        <w:t xml:space="preserve"> period to the next.</w:t>
      </w:r>
    </w:p>
    <w:p w14:paraId="19EEEB3F" w14:textId="7CA0F81A" w:rsidR="00D3751D" w:rsidRPr="0048209D" w:rsidRDefault="00D3751D" w:rsidP="00A96018">
      <w:pPr>
        <w:pStyle w:val="Heading4"/>
        <w:spacing w:after="120"/>
        <w:ind w:left="720"/>
        <w:rPr>
          <w:b/>
          <w:i w:val="0"/>
          <w:sz w:val="22"/>
          <w:u w:val="single"/>
        </w:rPr>
      </w:pPr>
      <w:r w:rsidRPr="0048209D">
        <w:rPr>
          <w:b/>
          <w:i w:val="0"/>
          <w:sz w:val="22"/>
          <w:u w:val="single"/>
        </w:rPr>
        <w:t xml:space="preserve">Example </w:t>
      </w:r>
      <w:r w:rsidR="005F0D55">
        <w:rPr>
          <w:b/>
          <w:i w:val="0"/>
          <w:sz w:val="22"/>
          <w:u w:val="single"/>
        </w:rPr>
        <w:t>3</w:t>
      </w:r>
      <w:r w:rsidR="00E05C06" w:rsidRPr="0048209D">
        <w:rPr>
          <w:b/>
          <w:i w:val="0"/>
          <w:sz w:val="22"/>
          <w:u w:val="single"/>
        </w:rPr>
        <w:t>.1</w:t>
      </w:r>
      <w:r w:rsidRPr="0048209D">
        <w:rPr>
          <w:b/>
          <w:i w:val="0"/>
          <w:sz w:val="22"/>
          <w:u w:val="single"/>
        </w:rPr>
        <w:t xml:space="preserve">: Payroll increase for the </w:t>
      </w:r>
      <w:r w:rsidR="0048209D">
        <w:rPr>
          <w:b/>
          <w:i w:val="0"/>
          <w:sz w:val="22"/>
          <w:u w:val="single"/>
        </w:rPr>
        <w:t>first</w:t>
      </w:r>
      <w:r w:rsidR="00C141AD" w:rsidRPr="0048209D">
        <w:rPr>
          <w:b/>
          <w:i w:val="0"/>
          <w:sz w:val="22"/>
          <w:u w:val="single"/>
        </w:rPr>
        <w:t xml:space="preserve"> </w:t>
      </w:r>
      <w:proofErr w:type="spellStart"/>
      <w:r w:rsidRPr="0048209D">
        <w:rPr>
          <w:b/>
          <w:i w:val="0"/>
          <w:sz w:val="22"/>
          <w:u w:val="single"/>
        </w:rPr>
        <w:t>JobMaker</w:t>
      </w:r>
      <w:proofErr w:type="spellEnd"/>
      <w:r w:rsidRPr="0048209D">
        <w:rPr>
          <w:b/>
          <w:i w:val="0"/>
          <w:sz w:val="22"/>
          <w:u w:val="single"/>
        </w:rPr>
        <w:t xml:space="preserve"> period</w:t>
      </w:r>
    </w:p>
    <w:p w14:paraId="7DC38349" w14:textId="7E7F826A" w:rsidR="00D3751D" w:rsidRPr="00B15FC2" w:rsidRDefault="00B32016" w:rsidP="00F85EFF">
      <w:pPr>
        <w:spacing w:before="120"/>
        <w:ind w:left="720"/>
        <w:rPr>
          <w:sz w:val="22"/>
        </w:rPr>
      </w:pPr>
      <w:r>
        <w:rPr>
          <w:sz w:val="22"/>
        </w:rPr>
        <w:t xml:space="preserve">Continuing </w:t>
      </w:r>
      <w:r w:rsidR="004528E2">
        <w:rPr>
          <w:sz w:val="22"/>
        </w:rPr>
        <w:t xml:space="preserve">on </w:t>
      </w:r>
      <w:r>
        <w:rPr>
          <w:sz w:val="22"/>
        </w:rPr>
        <w:t xml:space="preserve">from </w:t>
      </w:r>
      <w:r w:rsidR="004528E2">
        <w:rPr>
          <w:sz w:val="22"/>
        </w:rPr>
        <w:t>E</w:t>
      </w:r>
      <w:r>
        <w:rPr>
          <w:sz w:val="22"/>
        </w:rPr>
        <w:t xml:space="preserve">xample </w:t>
      </w:r>
      <w:r w:rsidR="005F0D55">
        <w:rPr>
          <w:sz w:val="22"/>
        </w:rPr>
        <w:t>2</w:t>
      </w:r>
      <w:r w:rsidR="00E24087">
        <w:rPr>
          <w:sz w:val="22"/>
        </w:rPr>
        <w:t>.1</w:t>
      </w:r>
      <w:r w:rsidR="00015F01">
        <w:rPr>
          <w:sz w:val="22"/>
        </w:rPr>
        <w:t xml:space="preserve">, </w:t>
      </w:r>
      <w:r w:rsidR="00821391">
        <w:rPr>
          <w:sz w:val="22"/>
        </w:rPr>
        <w:t xml:space="preserve">TBT </w:t>
      </w:r>
      <w:proofErr w:type="spellStart"/>
      <w:r w:rsidR="00821391">
        <w:rPr>
          <w:sz w:val="22"/>
        </w:rPr>
        <w:t>Co</w:t>
      </w:r>
      <w:r w:rsidR="00E24087">
        <w:rPr>
          <w:sz w:val="22"/>
        </w:rPr>
        <w:t xml:space="preserve"> </w:t>
      </w:r>
      <w:r w:rsidR="00616E9B" w:rsidRPr="00B15FC2">
        <w:rPr>
          <w:sz w:val="22"/>
        </w:rPr>
        <w:t>operates</w:t>
      </w:r>
      <w:proofErr w:type="spellEnd"/>
      <w:r w:rsidR="00616E9B" w:rsidRPr="00B15FC2">
        <w:rPr>
          <w:sz w:val="22"/>
        </w:rPr>
        <w:t xml:space="preserve"> on a fortnightly pay cycle </w:t>
      </w:r>
      <w:r w:rsidR="00890BCB">
        <w:rPr>
          <w:sz w:val="22"/>
        </w:rPr>
        <w:t xml:space="preserve">that is paid </w:t>
      </w:r>
      <w:r w:rsidR="00616E9B" w:rsidRPr="00B15FC2">
        <w:rPr>
          <w:sz w:val="22"/>
        </w:rPr>
        <w:t>every second Wednesday</w:t>
      </w:r>
      <w:r w:rsidR="00D3751D" w:rsidRPr="00B15FC2">
        <w:rPr>
          <w:sz w:val="22"/>
        </w:rPr>
        <w:t>.</w:t>
      </w:r>
      <w:r w:rsidR="00335276">
        <w:rPr>
          <w:sz w:val="22"/>
        </w:rPr>
        <w:t xml:space="preserve"> There were </w:t>
      </w:r>
      <w:r w:rsidR="00E63FE8">
        <w:rPr>
          <w:sz w:val="22"/>
        </w:rPr>
        <w:t xml:space="preserve">seven </w:t>
      </w:r>
      <w:r w:rsidR="00335276">
        <w:rPr>
          <w:sz w:val="22"/>
        </w:rPr>
        <w:t xml:space="preserve">fortnightly pay cycles paid in </w:t>
      </w:r>
      <w:r w:rsidR="00D3751D" w:rsidRPr="00B15FC2">
        <w:rPr>
          <w:sz w:val="22"/>
        </w:rPr>
        <w:t xml:space="preserve">the first </w:t>
      </w:r>
      <w:proofErr w:type="spellStart"/>
      <w:r w:rsidR="00D3751D" w:rsidRPr="00B15FC2">
        <w:rPr>
          <w:sz w:val="22"/>
        </w:rPr>
        <w:t>JobMaker</w:t>
      </w:r>
      <w:proofErr w:type="spellEnd"/>
      <w:r w:rsidR="00D3751D" w:rsidRPr="00B15FC2">
        <w:rPr>
          <w:sz w:val="22"/>
        </w:rPr>
        <w:t xml:space="preserve"> period of 7 October 2020 to 6</w:t>
      </w:r>
      <w:r w:rsidR="00813352">
        <w:rPr>
          <w:sz w:val="22"/>
        </w:rPr>
        <w:t> </w:t>
      </w:r>
      <w:r w:rsidR="00D3751D" w:rsidRPr="00B15FC2">
        <w:rPr>
          <w:sz w:val="22"/>
        </w:rPr>
        <w:t>Janua</w:t>
      </w:r>
      <w:r w:rsidR="00616E9B" w:rsidRPr="00B15FC2">
        <w:rPr>
          <w:sz w:val="22"/>
        </w:rPr>
        <w:t>ry 20</w:t>
      </w:r>
      <w:r w:rsidR="00E30EE0" w:rsidRPr="00B15FC2">
        <w:rPr>
          <w:sz w:val="22"/>
        </w:rPr>
        <w:t>21</w:t>
      </w:r>
      <w:r w:rsidR="00616E9B" w:rsidRPr="00B15FC2">
        <w:rPr>
          <w:sz w:val="22"/>
        </w:rPr>
        <w:t xml:space="preserve">, </w:t>
      </w:r>
      <w:r w:rsidR="00335276">
        <w:rPr>
          <w:sz w:val="22"/>
        </w:rPr>
        <w:t>w</w:t>
      </w:r>
      <w:r w:rsidR="00FB326E">
        <w:rPr>
          <w:sz w:val="22"/>
        </w:rPr>
        <w:t>i</w:t>
      </w:r>
      <w:r w:rsidR="00335276">
        <w:rPr>
          <w:sz w:val="22"/>
        </w:rPr>
        <w:t xml:space="preserve">th </w:t>
      </w:r>
      <w:r w:rsidR="00616E9B" w:rsidRPr="00B15FC2">
        <w:rPr>
          <w:sz w:val="22"/>
        </w:rPr>
        <w:t xml:space="preserve">the first </w:t>
      </w:r>
      <w:r w:rsidR="00890BCB">
        <w:rPr>
          <w:sz w:val="22"/>
        </w:rPr>
        <w:t xml:space="preserve">fortnightly </w:t>
      </w:r>
      <w:r w:rsidR="00335276">
        <w:rPr>
          <w:sz w:val="22"/>
        </w:rPr>
        <w:t xml:space="preserve">payment made on </w:t>
      </w:r>
      <w:r w:rsidR="00890BCB">
        <w:rPr>
          <w:sz w:val="22"/>
        </w:rPr>
        <w:t xml:space="preserve">14 October 2020, and the final </w:t>
      </w:r>
      <w:r w:rsidR="00335276">
        <w:rPr>
          <w:sz w:val="22"/>
        </w:rPr>
        <w:t xml:space="preserve">payment made </w:t>
      </w:r>
      <w:r w:rsidR="00616E9B" w:rsidRPr="00B15FC2">
        <w:rPr>
          <w:sz w:val="22"/>
        </w:rPr>
        <w:t xml:space="preserve">6 January 2021. </w:t>
      </w:r>
    </w:p>
    <w:tbl>
      <w:tblPr>
        <w:tblStyle w:val="TableGrid"/>
        <w:tblW w:w="0" w:type="auto"/>
        <w:tblInd w:w="988" w:type="dxa"/>
        <w:tblLook w:val="04A0" w:firstRow="1" w:lastRow="0" w:firstColumn="1" w:lastColumn="0" w:noHBand="0" w:noVBand="1"/>
      </w:tblPr>
      <w:tblGrid>
        <w:gridCol w:w="5386"/>
        <w:gridCol w:w="1559"/>
      </w:tblGrid>
      <w:tr w:rsidR="003645A8" w14:paraId="369E8F75" w14:textId="17C27710" w:rsidTr="00BE46B0">
        <w:trPr>
          <w:cantSplit/>
          <w:tblHeader/>
        </w:trPr>
        <w:tc>
          <w:tcPr>
            <w:tcW w:w="5386" w:type="dxa"/>
            <w:vAlign w:val="center"/>
          </w:tcPr>
          <w:p w14:paraId="79465245" w14:textId="020A60F3" w:rsidR="003645A8" w:rsidRPr="00B15FC2" w:rsidRDefault="003645A8" w:rsidP="000E63FC">
            <w:pPr>
              <w:keepNext/>
              <w:spacing w:before="0" w:after="0" w:line="360" w:lineRule="auto"/>
              <w:jc w:val="center"/>
              <w:rPr>
                <w:b/>
                <w:sz w:val="22"/>
              </w:rPr>
            </w:pPr>
            <w:r>
              <w:rPr>
                <w:b/>
                <w:sz w:val="22"/>
              </w:rPr>
              <w:t xml:space="preserve">TBT </w:t>
            </w:r>
            <w:proofErr w:type="spellStart"/>
            <w:r>
              <w:rPr>
                <w:b/>
                <w:sz w:val="22"/>
              </w:rPr>
              <w:t>Co</w:t>
            </w:r>
            <w:r w:rsidRPr="00B15FC2">
              <w:rPr>
                <w:b/>
                <w:sz w:val="22"/>
              </w:rPr>
              <w:t>’s</w:t>
            </w:r>
            <w:proofErr w:type="spellEnd"/>
            <w:r w:rsidRPr="00B15FC2">
              <w:rPr>
                <w:b/>
                <w:sz w:val="22"/>
              </w:rPr>
              <w:t xml:space="preserve"> pay</w:t>
            </w:r>
            <w:r>
              <w:rPr>
                <w:b/>
                <w:sz w:val="22"/>
              </w:rPr>
              <w:t>ments</w:t>
            </w:r>
            <w:r w:rsidRPr="00B15FC2">
              <w:rPr>
                <w:b/>
                <w:sz w:val="22"/>
              </w:rPr>
              <w:t xml:space="preserve"> </w:t>
            </w:r>
            <w:r>
              <w:rPr>
                <w:b/>
                <w:sz w:val="22"/>
              </w:rPr>
              <w:t xml:space="preserve">in the first </w:t>
            </w:r>
            <w:proofErr w:type="spellStart"/>
            <w:r>
              <w:rPr>
                <w:b/>
                <w:sz w:val="22"/>
              </w:rPr>
              <w:t>JobMaker</w:t>
            </w:r>
            <w:proofErr w:type="spellEnd"/>
            <w:r>
              <w:rPr>
                <w:b/>
                <w:sz w:val="22"/>
              </w:rPr>
              <w:t xml:space="preserve"> period (</w:t>
            </w:r>
            <w:r w:rsidRPr="00B15FC2">
              <w:rPr>
                <w:b/>
                <w:sz w:val="22"/>
              </w:rPr>
              <w:t>7</w:t>
            </w:r>
            <w:r>
              <w:rPr>
                <w:b/>
                <w:sz w:val="22"/>
              </w:rPr>
              <w:t> October </w:t>
            </w:r>
            <w:r w:rsidRPr="00B15FC2">
              <w:rPr>
                <w:b/>
                <w:sz w:val="22"/>
              </w:rPr>
              <w:t>2020 and 6 January 2021</w:t>
            </w:r>
            <w:r>
              <w:rPr>
                <w:b/>
                <w:sz w:val="22"/>
              </w:rPr>
              <w:t>)</w:t>
            </w:r>
          </w:p>
        </w:tc>
        <w:tc>
          <w:tcPr>
            <w:tcW w:w="1559" w:type="dxa"/>
            <w:vAlign w:val="center"/>
          </w:tcPr>
          <w:p w14:paraId="6E64EC26" w14:textId="3681C24A" w:rsidR="003645A8" w:rsidRDefault="003645A8" w:rsidP="009A0B8A">
            <w:pPr>
              <w:keepNext/>
              <w:spacing w:before="0" w:after="0" w:line="360" w:lineRule="auto"/>
              <w:jc w:val="center"/>
              <w:rPr>
                <w:b/>
                <w:sz w:val="22"/>
              </w:rPr>
            </w:pPr>
            <w:r>
              <w:rPr>
                <w:b/>
                <w:sz w:val="22"/>
              </w:rPr>
              <w:t>Payroll amount</w:t>
            </w:r>
          </w:p>
        </w:tc>
      </w:tr>
      <w:tr w:rsidR="003645A8" w14:paraId="7675FD3F" w14:textId="45405CD8" w:rsidTr="00BE46B0">
        <w:trPr>
          <w:cantSplit/>
          <w:tblHeader/>
        </w:trPr>
        <w:tc>
          <w:tcPr>
            <w:tcW w:w="5386" w:type="dxa"/>
            <w:vAlign w:val="center"/>
          </w:tcPr>
          <w:p w14:paraId="195F528D" w14:textId="00D62259" w:rsidR="003645A8" w:rsidRPr="00B15FC2" w:rsidRDefault="003645A8" w:rsidP="00F85EFF">
            <w:pPr>
              <w:keepNext/>
              <w:spacing w:before="0" w:after="0" w:line="360" w:lineRule="auto"/>
              <w:jc w:val="center"/>
              <w:rPr>
                <w:sz w:val="22"/>
              </w:rPr>
            </w:pPr>
            <w:r w:rsidRPr="00B15FC2">
              <w:rPr>
                <w:sz w:val="22"/>
              </w:rPr>
              <w:t>14 October 2020</w:t>
            </w:r>
          </w:p>
        </w:tc>
        <w:tc>
          <w:tcPr>
            <w:tcW w:w="1559" w:type="dxa"/>
          </w:tcPr>
          <w:p w14:paraId="2ED175C1" w14:textId="182529D1" w:rsidR="003645A8" w:rsidRPr="009A0B8A" w:rsidRDefault="003645A8" w:rsidP="00F85EFF">
            <w:pPr>
              <w:keepNext/>
              <w:spacing w:before="0" w:after="0" w:line="360" w:lineRule="auto"/>
              <w:jc w:val="center"/>
              <w:rPr>
                <w:sz w:val="22"/>
              </w:rPr>
            </w:pPr>
            <w:r>
              <w:rPr>
                <w:sz w:val="22"/>
              </w:rPr>
              <w:t>$14,000</w:t>
            </w:r>
          </w:p>
        </w:tc>
      </w:tr>
      <w:tr w:rsidR="003645A8" w14:paraId="3DE48D49" w14:textId="73E9D4DD" w:rsidTr="00BE46B0">
        <w:trPr>
          <w:cantSplit/>
          <w:tblHeader/>
        </w:trPr>
        <w:tc>
          <w:tcPr>
            <w:tcW w:w="5386" w:type="dxa"/>
            <w:vAlign w:val="center"/>
          </w:tcPr>
          <w:p w14:paraId="27618201" w14:textId="2F66BC5C" w:rsidR="003645A8" w:rsidRPr="00B15FC2" w:rsidRDefault="003645A8" w:rsidP="00F85EFF">
            <w:pPr>
              <w:keepNext/>
              <w:spacing w:before="0" w:after="0" w:line="360" w:lineRule="auto"/>
              <w:jc w:val="center"/>
              <w:rPr>
                <w:sz w:val="22"/>
              </w:rPr>
            </w:pPr>
            <w:r w:rsidRPr="00B15FC2">
              <w:rPr>
                <w:sz w:val="22"/>
              </w:rPr>
              <w:t>28 October 2020</w:t>
            </w:r>
          </w:p>
        </w:tc>
        <w:tc>
          <w:tcPr>
            <w:tcW w:w="1559" w:type="dxa"/>
          </w:tcPr>
          <w:p w14:paraId="644B3224" w14:textId="3449DF9C" w:rsidR="003645A8" w:rsidRPr="009A0B8A" w:rsidRDefault="003645A8" w:rsidP="00F85EFF">
            <w:pPr>
              <w:keepNext/>
              <w:spacing w:before="0" w:after="0" w:line="360" w:lineRule="auto"/>
              <w:jc w:val="center"/>
              <w:rPr>
                <w:sz w:val="22"/>
              </w:rPr>
            </w:pPr>
            <w:r>
              <w:rPr>
                <w:sz w:val="22"/>
              </w:rPr>
              <w:t>$14,000</w:t>
            </w:r>
          </w:p>
        </w:tc>
      </w:tr>
      <w:tr w:rsidR="003645A8" w14:paraId="3E4C4586" w14:textId="4AC9C656" w:rsidTr="00BE46B0">
        <w:trPr>
          <w:cantSplit/>
          <w:tblHeader/>
        </w:trPr>
        <w:tc>
          <w:tcPr>
            <w:tcW w:w="5386" w:type="dxa"/>
            <w:vAlign w:val="center"/>
          </w:tcPr>
          <w:p w14:paraId="02C80C47" w14:textId="33D0CFC3" w:rsidR="003645A8" w:rsidRPr="00B15FC2" w:rsidRDefault="003645A8" w:rsidP="00F85EFF">
            <w:pPr>
              <w:keepNext/>
              <w:spacing w:before="0" w:after="0" w:line="360" w:lineRule="auto"/>
              <w:jc w:val="center"/>
              <w:rPr>
                <w:sz w:val="22"/>
              </w:rPr>
            </w:pPr>
            <w:r w:rsidRPr="00B15FC2">
              <w:rPr>
                <w:sz w:val="22"/>
              </w:rPr>
              <w:t>11 November 2020</w:t>
            </w:r>
          </w:p>
        </w:tc>
        <w:tc>
          <w:tcPr>
            <w:tcW w:w="1559" w:type="dxa"/>
          </w:tcPr>
          <w:p w14:paraId="0927A9B2" w14:textId="66C29057" w:rsidR="003645A8" w:rsidRPr="009A0B8A" w:rsidRDefault="003645A8" w:rsidP="00F85EFF">
            <w:pPr>
              <w:keepNext/>
              <w:spacing w:before="0" w:after="0" w:line="360" w:lineRule="auto"/>
              <w:jc w:val="center"/>
              <w:rPr>
                <w:sz w:val="22"/>
              </w:rPr>
            </w:pPr>
            <w:r>
              <w:rPr>
                <w:sz w:val="22"/>
              </w:rPr>
              <w:t>$12,500</w:t>
            </w:r>
          </w:p>
        </w:tc>
      </w:tr>
      <w:tr w:rsidR="003645A8" w14:paraId="43506BBE" w14:textId="1629BF1B" w:rsidTr="00BE46B0">
        <w:trPr>
          <w:cantSplit/>
          <w:tblHeader/>
        </w:trPr>
        <w:tc>
          <w:tcPr>
            <w:tcW w:w="5386" w:type="dxa"/>
            <w:vAlign w:val="center"/>
          </w:tcPr>
          <w:p w14:paraId="0DD3DC44" w14:textId="4241DD84" w:rsidR="003645A8" w:rsidRPr="00B15FC2" w:rsidRDefault="003645A8" w:rsidP="00F85EFF">
            <w:pPr>
              <w:keepNext/>
              <w:spacing w:before="0" w:after="0" w:line="360" w:lineRule="auto"/>
              <w:jc w:val="center"/>
              <w:rPr>
                <w:sz w:val="22"/>
              </w:rPr>
            </w:pPr>
            <w:r w:rsidRPr="00B15FC2">
              <w:rPr>
                <w:sz w:val="22"/>
              </w:rPr>
              <w:t>25 November 2020</w:t>
            </w:r>
          </w:p>
        </w:tc>
        <w:tc>
          <w:tcPr>
            <w:tcW w:w="1559" w:type="dxa"/>
          </w:tcPr>
          <w:p w14:paraId="62D1C8CE" w14:textId="50F9AF3F" w:rsidR="003645A8" w:rsidRPr="009A0B8A" w:rsidRDefault="003645A8" w:rsidP="00F85EFF">
            <w:pPr>
              <w:keepNext/>
              <w:spacing w:before="0" w:after="0" w:line="360" w:lineRule="auto"/>
              <w:jc w:val="center"/>
              <w:rPr>
                <w:sz w:val="22"/>
              </w:rPr>
            </w:pPr>
            <w:r>
              <w:rPr>
                <w:sz w:val="22"/>
              </w:rPr>
              <w:t>$15,000</w:t>
            </w:r>
          </w:p>
        </w:tc>
      </w:tr>
      <w:tr w:rsidR="003645A8" w14:paraId="11230E10" w14:textId="3AC1ED71" w:rsidTr="00BE46B0">
        <w:trPr>
          <w:cantSplit/>
          <w:tblHeader/>
        </w:trPr>
        <w:tc>
          <w:tcPr>
            <w:tcW w:w="5386" w:type="dxa"/>
            <w:vAlign w:val="center"/>
          </w:tcPr>
          <w:p w14:paraId="28B0C645" w14:textId="4D66257E" w:rsidR="003645A8" w:rsidRPr="00B15FC2" w:rsidRDefault="003645A8" w:rsidP="00F85EFF">
            <w:pPr>
              <w:keepNext/>
              <w:spacing w:before="0" w:after="0" w:line="360" w:lineRule="auto"/>
              <w:jc w:val="center"/>
              <w:rPr>
                <w:sz w:val="22"/>
              </w:rPr>
            </w:pPr>
            <w:r w:rsidRPr="00B15FC2">
              <w:rPr>
                <w:sz w:val="22"/>
              </w:rPr>
              <w:t>9 December 2020</w:t>
            </w:r>
          </w:p>
        </w:tc>
        <w:tc>
          <w:tcPr>
            <w:tcW w:w="1559" w:type="dxa"/>
          </w:tcPr>
          <w:p w14:paraId="03ED07D5" w14:textId="0B792CAE" w:rsidR="003645A8" w:rsidRPr="009A0B8A" w:rsidRDefault="003645A8" w:rsidP="00F85EFF">
            <w:pPr>
              <w:keepNext/>
              <w:spacing w:before="0" w:after="0" w:line="360" w:lineRule="auto"/>
              <w:jc w:val="center"/>
              <w:rPr>
                <w:sz w:val="22"/>
              </w:rPr>
            </w:pPr>
            <w:r>
              <w:rPr>
                <w:sz w:val="22"/>
              </w:rPr>
              <w:t>$17,000</w:t>
            </w:r>
          </w:p>
        </w:tc>
      </w:tr>
      <w:tr w:rsidR="003645A8" w14:paraId="7FA55AF5" w14:textId="1E6FD6DD" w:rsidTr="00BE46B0">
        <w:trPr>
          <w:cantSplit/>
          <w:tblHeader/>
        </w:trPr>
        <w:tc>
          <w:tcPr>
            <w:tcW w:w="5386" w:type="dxa"/>
            <w:vAlign w:val="center"/>
          </w:tcPr>
          <w:p w14:paraId="754E39BE" w14:textId="4F87C054" w:rsidR="003645A8" w:rsidRPr="00B15FC2" w:rsidRDefault="003645A8" w:rsidP="00F85EFF">
            <w:pPr>
              <w:keepNext/>
              <w:spacing w:before="0" w:after="0" w:line="360" w:lineRule="auto"/>
              <w:jc w:val="center"/>
              <w:rPr>
                <w:sz w:val="22"/>
              </w:rPr>
            </w:pPr>
            <w:r w:rsidRPr="00B15FC2">
              <w:rPr>
                <w:sz w:val="22"/>
              </w:rPr>
              <w:t>23 December 2020</w:t>
            </w:r>
          </w:p>
        </w:tc>
        <w:tc>
          <w:tcPr>
            <w:tcW w:w="1559" w:type="dxa"/>
          </w:tcPr>
          <w:p w14:paraId="4C9DEC24" w14:textId="14E56F60" w:rsidR="003645A8" w:rsidRPr="009A0B8A" w:rsidRDefault="003645A8" w:rsidP="00F85EFF">
            <w:pPr>
              <w:keepNext/>
              <w:spacing w:before="0" w:after="0" w:line="360" w:lineRule="auto"/>
              <w:jc w:val="center"/>
              <w:rPr>
                <w:sz w:val="22"/>
              </w:rPr>
            </w:pPr>
            <w:r>
              <w:rPr>
                <w:sz w:val="22"/>
              </w:rPr>
              <w:t>$17,000</w:t>
            </w:r>
          </w:p>
        </w:tc>
      </w:tr>
      <w:tr w:rsidR="003645A8" w14:paraId="4514BFE3" w14:textId="25A0B784" w:rsidTr="00BE46B0">
        <w:trPr>
          <w:cantSplit/>
          <w:tblHeader/>
        </w:trPr>
        <w:tc>
          <w:tcPr>
            <w:tcW w:w="5386" w:type="dxa"/>
            <w:vAlign w:val="center"/>
          </w:tcPr>
          <w:p w14:paraId="4CA084D5" w14:textId="2A88A0C2" w:rsidR="003645A8" w:rsidRPr="00B15FC2" w:rsidRDefault="003645A8" w:rsidP="00F85EFF">
            <w:pPr>
              <w:keepNext/>
              <w:spacing w:before="0" w:after="0" w:line="360" w:lineRule="auto"/>
              <w:jc w:val="center"/>
              <w:rPr>
                <w:sz w:val="22"/>
              </w:rPr>
            </w:pPr>
            <w:r w:rsidRPr="00B15FC2">
              <w:rPr>
                <w:sz w:val="22"/>
              </w:rPr>
              <w:t>6 January 2021</w:t>
            </w:r>
          </w:p>
        </w:tc>
        <w:tc>
          <w:tcPr>
            <w:tcW w:w="1559" w:type="dxa"/>
          </w:tcPr>
          <w:p w14:paraId="799FC8D3" w14:textId="151675D7" w:rsidR="003645A8" w:rsidRPr="009A0B8A" w:rsidRDefault="003645A8" w:rsidP="00F85EFF">
            <w:pPr>
              <w:keepNext/>
              <w:spacing w:before="0" w:after="0" w:line="360" w:lineRule="auto"/>
              <w:jc w:val="center"/>
              <w:rPr>
                <w:sz w:val="22"/>
              </w:rPr>
            </w:pPr>
            <w:r>
              <w:rPr>
                <w:sz w:val="22"/>
              </w:rPr>
              <w:t>$13,000</w:t>
            </w:r>
          </w:p>
        </w:tc>
      </w:tr>
      <w:tr w:rsidR="009A0B8A" w14:paraId="27414ED7" w14:textId="77777777" w:rsidTr="00D06C8C">
        <w:trPr>
          <w:cantSplit/>
          <w:tblHeader/>
        </w:trPr>
        <w:tc>
          <w:tcPr>
            <w:tcW w:w="5386" w:type="dxa"/>
            <w:vAlign w:val="center"/>
          </w:tcPr>
          <w:p w14:paraId="593FC94B" w14:textId="16B8C8DE" w:rsidR="009A0B8A" w:rsidRPr="009A0B8A" w:rsidRDefault="009A0B8A" w:rsidP="009A0B8A">
            <w:pPr>
              <w:keepNext/>
              <w:spacing w:before="0" w:after="0" w:line="360" w:lineRule="auto"/>
              <w:jc w:val="right"/>
              <w:rPr>
                <w:b/>
                <w:sz w:val="22"/>
              </w:rPr>
            </w:pPr>
            <w:r w:rsidRPr="009A0B8A">
              <w:rPr>
                <w:b/>
                <w:sz w:val="22"/>
              </w:rPr>
              <w:t>Total</w:t>
            </w:r>
            <w:r>
              <w:rPr>
                <w:b/>
                <w:sz w:val="22"/>
              </w:rPr>
              <w:t xml:space="preserve"> payroll amount</w:t>
            </w:r>
            <w:r w:rsidR="00D52C3E">
              <w:rPr>
                <w:b/>
                <w:sz w:val="22"/>
              </w:rPr>
              <w:t xml:space="preserve"> in the first </w:t>
            </w:r>
            <w:proofErr w:type="spellStart"/>
            <w:r w:rsidR="00D52C3E">
              <w:rPr>
                <w:b/>
                <w:sz w:val="22"/>
              </w:rPr>
              <w:t>JobMaker</w:t>
            </w:r>
            <w:proofErr w:type="spellEnd"/>
            <w:r w:rsidR="00D52C3E">
              <w:rPr>
                <w:b/>
                <w:sz w:val="22"/>
              </w:rPr>
              <w:t xml:space="preserve"> period</w:t>
            </w:r>
            <w:r>
              <w:rPr>
                <w:b/>
                <w:sz w:val="22"/>
              </w:rPr>
              <w:t>:</w:t>
            </w:r>
          </w:p>
        </w:tc>
        <w:tc>
          <w:tcPr>
            <w:tcW w:w="1559" w:type="dxa"/>
          </w:tcPr>
          <w:p w14:paraId="7F1A1916" w14:textId="66AF3B6C" w:rsidR="009A0B8A" w:rsidRPr="00141A47" w:rsidRDefault="00141A47" w:rsidP="00F85EFF">
            <w:pPr>
              <w:keepNext/>
              <w:spacing w:before="0" w:after="0" w:line="360" w:lineRule="auto"/>
              <w:jc w:val="center"/>
              <w:rPr>
                <w:b/>
                <w:sz w:val="22"/>
              </w:rPr>
            </w:pPr>
            <w:r>
              <w:rPr>
                <w:b/>
                <w:sz w:val="22"/>
              </w:rPr>
              <w:t>$102,500</w:t>
            </w:r>
          </w:p>
        </w:tc>
      </w:tr>
    </w:tbl>
    <w:p w14:paraId="16D05C90" w14:textId="4F53DE9C" w:rsidR="005D0C7C" w:rsidRDefault="00FB326E" w:rsidP="000E63FC">
      <w:pPr>
        <w:spacing w:before="120"/>
        <w:ind w:left="720"/>
        <w:rPr>
          <w:sz w:val="22"/>
        </w:rPr>
      </w:pPr>
      <w:r>
        <w:rPr>
          <w:sz w:val="22"/>
        </w:rPr>
        <w:t xml:space="preserve">As there </w:t>
      </w:r>
      <w:r w:rsidR="00BE70E6">
        <w:rPr>
          <w:sz w:val="22"/>
        </w:rPr>
        <w:t>were</w:t>
      </w:r>
      <w:r>
        <w:rPr>
          <w:sz w:val="22"/>
        </w:rPr>
        <w:t xml:space="preserve"> 92 days in</w:t>
      </w:r>
      <w:r w:rsidR="00BE70E6">
        <w:rPr>
          <w:sz w:val="22"/>
        </w:rPr>
        <w:t xml:space="preserve"> first </w:t>
      </w:r>
      <w:proofErr w:type="spellStart"/>
      <w:r w:rsidR="00BE70E6">
        <w:rPr>
          <w:sz w:val="22"/>
        </w:rPr>
        <w:t>JobMaker</w:t>
      </w:r>
      <w:proofErr w:type="spellEnd"/>
      <w:r w:rsidR="00BE70E6">
        <w:rPr>
          <w:sz w:val="22"/>
        </w:rPr>
        <w:t xml:space="preserve"> period, the reference period for </w:t>
      </w:r>
      <w:r w:rsidR="00616E9B" w:rsidRPr="00B15FC2">
        <w:rPr>
          <w:sz w:val="22"/>
        </w:rPr>
        <w:t xml:space="preserve">working out the baseline payroll amount </w:t>
      </w:r>
      <w:r w:rsidR="00BE70E6">
        <w:rPr>
          <w:sz w:val="22"/>
        </w:rPr>
        <w:t>is the 92 day period ending on 6 October 2020</w:t>
      </w:r>
      <w:r w:rsidR="005D0C7C">
        <w:rPr>
          <w:sz w:val="22"/>
        </w:rPr>
        <w:t xml:space="preserve"> (which commenced on 7 July 2020)</w:t>
      </w:r>
      <w:r w:rsidR="00BE70E6">
        <w:rPr>
          <w:sz w:val="22"/>
        </w:rPr>
        <w:t xml:space="preserve">. </w:t>
      </w:r>
    </w:p>
    <w:p w14:paraId="0807D10D" w14:textId="5B95040E" w:rsidR="00616E9B" w:rsidRPr="00B15FC2" w:rsidRDefault="00BE70E6" w:rsidP="000E63FC">
      <w:pPr>
        <w:spacing w:before="120"/>
        <w:ind w:left="720"/>
        <w:rPr>
          <w:sz w:val="22"/>
        </w:rPr>
      </w:pPr>
      <w:r>
        <w:rPr>
          <w:sz w:val="22"/>
        </w:rPr>
        <w:t xml:space="preserve">To determine whether </w:t>
      </w:r>
      <w:r w:rsidR="000E63FC">
        <w:rPr>
          <w:sz w:val="22"/>
        </w:rPr>
        <w:t xml:space="preserve">it has had a payroll increase for the first period, the </w:t>
      </w:r>
      <w:r w:rsidR="00616E9B" w:rsidRPr="00B15FC2">
        <w:rPr>
          <w:sz w:val="22"/>
        </w:rPr>
        <w:t>entity sums up the total payroll amounts</w:t>
      </w:r>
      <w:r w:rsidR="000E63FC">
        <w:rPr>
          <w:sz w:val="22"/>
        </w:rPr>
        <w:t xml:space="preserve"> paid in that 92 day reference </w:t>
      </w:r>
      <w:r w:rsidR="005D0C7C">
        <w:rPr>
          <w:sz w:val="22"/>
        </w:rPr>
        <w:t>period.</w:t>
      </w:r>
    </w:p>
    <w:tbl>
      <w:tblPr>
        <w:tblStyle w:val="TableGrid"/>
        <w:tblW w:w="0" w:type="auto"/>
        <w:tblInd w:w="988" w:type="dxa"/>
        <w:tblLook w:val="04A0" w:firstRow="1" w:lastRow="0" w:firstColumn="1" w:lastColumn="0" w:noHBand="0" w:noVBand="1"/>
      </w:tblPr>
      <w:tblGrid>
        <w:gridCol w:w="5386"/>
        <w:gridCol w:w="1559"/>
      </w:tblGrid>
      <w:tr w:rsidR="003645A8" w:rsidRPr="00F85EFF" w14:paraId="62E96339" w14:textId="67541288" w:rsidTr="00CF473F">
        <w:tc>
          <w:tcPr>
            <w:tcW w:w="5386" w:type="dxa"/>
            <w:vAlign w:val="center"/>
          </w:tcPr>
          <w:p w14:paraId="169979C2" w14:textId="7EC975AF" w:rsidR="00E54DE0" w:rsidRDefault="003645A8" w:rsidP="000E63FC">
            <w:pPr>
              <w:keepNext/>
              <w:spacing w:before="0" w:after="0" w:line="360" w:lineRule="auto"/>
              <w:jc w:val="center"/>
              <w:rPr>
                <w:b/>
                <w:sz w:val="22"/>
              </w:rPr>
            </w:pPr>
            <w:r>
              <w:rPr>
                <w:b/>
                <w:sz w:val="22"/>
              </w:rPr>
              <w:lastRenderedPageBreak/>
              <w:t xml:space="preserve">TBT </w:t>
            </w:r>
            <w:proofErr w:type="spellStart"/>
            <w:r>
              <w:rPr>
                <w:b/>
                <w:sz w:val="22"/>
              </w:rPr>
              <w:t>Co</w:t>
            </w:r>
            <w:r w:rsidRPr="00B15FC2">
              <w:rPr>
                <w:b/>
                <w:sz w:val="22"/>
              </w:rPr>
              <w:t>’s</w:t>
            </w:r>
            <w:proofErr w:type="spellEnd"/>
            <w:r w:rsidRPr="00B15FC2">
              <w:rPr>
                <w:b/>
                <w:sz w:val="22"/>
              </w:rPr>
              <w:t xml:space="preserve"> pay</w:t>
            </w:r>
            <w:r>
              <w:rPr>
                <w:b/>
                <w:sz w:val="22"/>
              </w:rPr>
              <w:t xml:space="preserve">ments in the reference period </w:t>
            </w:r>
          </w:p>
          <w:p w14:paraId="51DB3E14" w14:textId="11B4AA4C" w:rsidR="003645A8" w:rsidRPr="00B15FC2" w:rsidRDefault="003645A8" w:rsidP="000E63FC">
            <w:pPr>
              <w:keepNext/>
              <w:spacing w:before="0" w:after="0" w:line="360" w:lineRule="auto"/>
              <w:jc w:val="center"/>
              <w:rPr>
                <w:b/>
                <w:sz w:val="22"/>
              </w:rPr>
            </w:pPr>
            <w:r>
              <w:rPr>
                <w:b/>
                <w:sz w:val="22"/>
              </w:rPr>
              <w:t>(7 July 2020 to 6 October 2020)</w:t>
            </w:r>
          </w:p>
        </w:tc>
        <w:tc>
          <w:tcPr>
            <w:tcW w:w="1559" w:type="dxa"/>
            <w:vAlign w:val="center"/>
          </w:tcPr>
          <w:p w14:paraId="028B415E" w14:textId="5602F565" w:rsidR="003645A8" w:rsidRDefault="003645A8" w:rsidP="009A0B8A">
            <w:pPr>
              <w:keepNext/>
              <w:spacing w:before="0" w:after="0" w:line="360" w:lineRule="auto"/>
              <w:jc w:val="center"/>
              <w:rPr>
                <w:b/>
                <w:sz w:val="22"/>
              </w:rPr>
            </w:pPr>
            <w:r>
              <w:rPr>
                <w:b/>
                <w:sz w:val="22"/>
              </w:rPr>
              <w:t>Payroll amount</w:t>
            </w:r>
          </w:p>
        </w:tc>
      </w:tr>
      <w:tr w:rsidR="003645A8" w:rsidRPr="00F85EFF" w14:paraId="73AF6A47" w14:textId="50617184" w:rsidTr="00CF473F">
        <w:tc>
          <w:tcPr>
            <w:tcW w:w="5386" w:type="dxa"/>
            <w:vAlign w:val="center"/>
          </w:tcPr>
          <w:p w14:paraId="778CE80E" w14:textId="1E0DB986" w:rsidR="003645A8" w:rsidRPr="00F85EFF" w:rsidRDefault="003645A8" w:rsidP="00F85EFF">
            <w:pPr>
              <w:keepNext/>
              <w:spacing w:before="0" w:after="0" w:line="360" w:lineRule="auto"/>
              <w:jc w:val="center"/>
              <w:rPr>
                <w:sz w:val="22"/>
              </w:rPr>
            </w:pPr>
            <w:r w:rsidRPr="00F85EFF">
              <w:rPr>
                <w:sz w:val="22"/>
              </w:rPr>
              <w:t>30 September 2020</w:t>
            </w:r>
          </w:p>
        </w:tc>
        <w:tc>
          <w:tcPr>
            <w:tcW w:w="1559" w:type="dxa"/>
          </w:tcPr>
          <w:p w14:paraId="7FDB6254" w14:textId="4C9A6DDD" w:rsidR="003645A8" w:rsidRPr="009A0B8A" w:rsidRDefault="003645A8" w:rsidP="00F85EFF">
            <w:pPr>
              <w:keepNext/>
              <w:spacing w:before="0" w:after="0" w:line="360" w:lineRule="auto"/>
              <w:jc w:val="center"/>
              <w:rPr>
                <w:sz w:val="22"/>
              </w:rPr>
            </w:pPr>
            <w:r>
              <w:rPr>
                <w:sz w:val="22"/>
              </w:rPr>
              <w:t>$12,500</w:t>
            </w:r>
          </w:p>
        </w:tc>
      </w:tr>
      <w:tr w:rsidR="003645A8" w:rsidRPr="00F85EFF" w14:paraId="3EA8D424" w14:textId="5348AF0A" w:rsidTr="00CF473F">
        <w:tc>
          <w:tcPr>
            <w:tcW w:w="5386" w:type="dxa"/>
            <w:vAlign w:val="center"/>
          </w:tcPr>
          <w:p w14:paraId="5E9614CD" w14:textId="1F5DD386" w:rsidR="003645A8" w:rsidRPr="00F85EFF" w:rsidRDefault="003645A8" w:rsidP="00F85EFF">
            <w:pPr>
              <w:keepNext/>
              <w:spacing w:before="0" w:after="0" w:line="360" w:lineRule="auto"/>
              <w:jc w:val="center"/>
              <w:rPr>
                <w:sz w:val="22"/>
              </w:rPr>
            </w:pPr>
            <w:r w:rsidRPr="00F85EFF">
              <w:rPr>
                <w:sz w:val="22"/>
              </w:rPr>
              <w:t>16 September 2020</w:t>
            </w:r>
          </w:p>
        </w:tc>
        <w:tc>
          <w:tcPr>
            <w:tcW w:w="1559" w:type="dxa"/>
          </w:tcPr>
          <w:p w14:paraId="7E1A5607" w14:textId="73A57C2D" w:rsidR="003645A8" w:rsidRPr="009A0B8A" w:rsidRDefault="003645A8" w:rsidP="00F85EFF">
            <w:pPr>
              <w:keepNext/>
              <w:spacing w:before="0" w:after="0" w:line="360" w:lineRule="auto"/>
              <w:jc w:val="center"/>
              <w:rPr>
                <w:sz w:val="22"/>
              </w:rPr>
            </w:pPr>
            <w:r>
              <w:rPr>
                <w:sz w:val="22"/>
              </w:rPr>
              <w:t>$12,500</w:t>
            </w:r>
          </w:p>
        </w:tc>
      </w:tr>
      <w:tr w:rsidR="003645A8" w:rsidRPr="00F85EFF" w14:paraId="7B32D547" w14:textId="269BFA4C" w:rsidTr="00CF473F">
        <w:tc>
          <w:tcPr>
            <w:tcW w:w="5386" w:type="dxa"/>
            <w:vAlign w:val="center"/>
          </w:tcPr>
          <w:p w14:paraId="2653E2DC" w14:textId="02F00390" w:rsidR="003645A8" w:rsidRPr="00F85EFF" w:rsidRDefault="003645A8" w:rsidP="00F85EFF">
            <w:pPr>
              <w:keepNext/>
              <w:spacing w:before="0" w:after="0" w:line="360" w:lineRule="auto"/>
              <w:jc w:val="center"/>
              <w:rPr>
                <w:sz w:val="22"/>
              </w:rPr>
            </w:pPr>
            <w:r w:rsidRPr="00F85EFF">
              <w:rPr>
                <w:sz w:val="22"/>
              </w:rPr>
              <w:t>2 September 2020</w:t>
            </w:r>
          </w:p>
        </w:tc>
        <w:tc>
          <w:tcPr>
            <w:tcW w:w="1559" w:type="dxa"/>
          </w:tcPr>
          <w:p w14:paraId="5CC6D51C" w14:textId="38F6F2EA" w:rsidR="003645A8" w:rsidRPr="009A0B8A" w:rsidRDefault="003645A8" w:rsidP="00F85EFF">
            <w:pPr>
              <w:keepNext/>
              <w:spacing w:before="0" w:after="0" w:line="360" w:lineRule="auto"/>
              <w:jc w:val="center"/>
              <w:rPr>
                <w:sz w:val="22"/>
              </w:rPr>
            </w:pPr>
            <w:r>
              <w:rPr>
                <w:sz w:val="22"/>
              </w:rPr>
              <w:t>$9,000</w:t>
            </w:r>
          </w:p>
        </w:tc>
      </w:tr>
      <w:tr w:rsidR="003645A8" w:rsidRPr="00F85EFF" w14:paraId="1EACF153" w14:textId="57F0F91A" w:rsidTr="00CF473F">
        <w:tc>
          <w:tcPr>
            <w:tcW w:w="5386" w:type="dxa"/>
            <w:vAlign w:val="center"/>
          </w:tcPr>
          <w:p w14:paraId="23D788EF" w14:textId="78518DA1" w:rsidR="003645A8" w:rsidRPr="00F85EFF" w:rsidRDefault="003645A8" w:rsidP="00F85EFF">
            <w:pPr>
              <w:keepNext/>
              <w:spacing w:before="0" w:after="0" w:line="360" w:lineRule="auto"/>
              <w:jc w:val="center"/>
              <w:rPr>
                <w:sz w:val="22"/>
              </w:rPr>
            </w:pPr>
            <w:r w:rsidRPr="00F85EFF">
              <w:rPr>
                <w:sz w:val="22"/>
              </w:rPr>
              <w:t>19 August 2020</w:t>
            </w:r>
          </w:p>
        </w:tc>
        <w:tc>
          <w:tcPr>
            <w:tcW w:w="1559" w:type="dxa"/>
          </w:tcPr>
          <w:p w14:paraId="7709CA89" w14:textId="635C23E9" w:rsidR="003645A8" w:rsidRPr="009A0B8A" w:rsidRDefault="003645A8" w:rsidP="00F85EFF">
            <w:pPr>
              <w:keepNext/>
              <w:spacing w:before="0" w:after="0" w:line="360" w:lineRule="auto"/>
              <w:jc w:val="center"/>
              <w:rPr>
                <w:sz w:val="22"/>
              </w:rPr>
            </w:pPr>
            <w:r>
              <w:rPr>
                <w:sz w:val="22"/>
              </w:rPr>
              <w:t>$12,000</w:t>
            </w:r>
          </w:p>
        </w:tc>
      </w:tr>
      <w:tr w:rsidR="003645A8" w:rsidRPr="00F85EFF" w14:paraId="4499FEB0" w14:textId="076B89EA" w:rsidTr="00CF473F">
        <w:tc>
          <w:tcPr>
            <w:tcW w:w="5386" w:type="dxa"/>
            <w:vAlign w:val="center"/>
          </w:tcPr>
          <w:p w14:paraId="40EFA501" w14:textId="61F6B5B4" w:rsidR="003645A8" w:rsidRPr="00F85EFF" w:rsidRDefault="003645A8" w:rsidP="00F85EFF">
            <w:pPr>
              <w:keepNext/>
              <w:spacing w:before="0" w:after="0" w:line="360" w:lineRule="auto"/>
              <w:jc w:val="center"/>
              <w:rPr>
                <w:sz w:val="22"/>
              </w:rPr>
            </w:pPr>
            <w:r w:rsidRPr="00F85EFF">
              <w:rPr>
                <w:sz w:val="22"/>
              </w:rPr>
              <w:t>5 August 2020</w:t>
            </w:r>
          </w:p>
        </w:tc>
        <w:tc>
          <w:tcPr>
            <w:tcW w:w="1559" w:type="dxa"/>
          </w:tcPr>
          <w:p w14:paraId="7C15A26B" w14:textId="0D81231A" w:rsidR="003645A8" w:rsidRPr="009A0B8A" w:rsidRDefault="003645A8" w:rsidP="00F85EFF">
            <w:pPr>
              <w:keepNext/>
              <w:spacing w:before="0" w:after="0" w:line="360" w:lineRule="auto"/>
              <w:jc w:val="center"/>
              <w:rPr>
                <w:sz w:val="22"/>
              </w:rPr>
            </w:pPr>
            <w:r>
              <w:rPr>
                <w:sz w:val="22"/>
              </w:rPr>
              <w:t>$15,300</w:t>
            </w:r>
          </w:p>
        </w:tc>
      </w:tr>
      <w:tr w:rsidR="003645A8" w:rsidRPr="00F85EFF" w14:paraId="0123F61E" w14:textId="181425CB" w:rsidTr="00CF473F">
        <w:tc>
          <w:tcPr>
            <w:tcW w:w="5386" w:type="dxa"/>
            <w:vAlign w:val="center"/>
          </w:tcPr>
          <w:p w14:paraId="5D14C705" w14:textId="629BB536" w:rsidR="003645A8" w:rsidRPr="00F85EFF" w:rsidRDefault="003645A8" w:rsidP="00F85EFF">
            <w:pPr>
              <w:keepNext/>
              <w:spacing w:before="0" w:after="0" w:line="360" w:lineRule="auto"/>
              <w:jc w:val="center"/>
              <w:rPr>
                <w:sz w:val="22"/>
              </w:rPr>
            </w:pPr>
            <w:r w:rsidRPr="00F85EFF">
              <w:rPr>
                <w:sz w:val="22"/>
              </w:rPr>
              <w:t>22 July 2020</w:t>
            </w:r>
          </w:p>
        </w:tc>
        <w:tc>
          <w:tcPr>
            <w:tcW w:w="1559" w:type="dxa"/>
          </w:tcPr>
          <w:p w14:paraId="3DD313FC" w14:textId="7FBA0520" w:rsidR="003645A8" w:rsidRPr="009A0B8A" w:rsidRDefault="003645A8" w:rsidP="00F85EFF">
            <w:pPr>
              <w:keepNext/>
              <w:spacing w:before="0" w:after="0" w:line="360" w:lineRule="auto"/>
              <w:jc w:val="center"/>
              <w:rPr>
                <w:sz w:val="22"/>
              </w:rPr>
            </w:pPr>
            <w:r>
              <w:rPr>
                <w:sz w:val="22"/>
              </w:rPr>
              <w:t>$17,000</w:t>
            </w:r>
          </w:p>
        </w:tc>
      </w:tr>
      <w:tr w:rsidR="003645A8" w:rsidRPr="00F85EFF" w14:paraId="3D70FD97" w14:textId="1C5010AE" w:rsidTr="00CF473F">
        <w:tc>
          <w:tcPr>
            <w:tcW w:w="5386" w:type="dxa"/>
            <w:vAlign w:val="center"/>
          </w:tcPr>
          <w:p w14:paraId="7A417D4D" w14:textId="35C693B6" w:rsidR="003645A8" w:rsidRPr="00F85EFF" w:rsidRDefault="003645A8" w:rsidP="00F85EFF">
            <w:pPr>
              <w:keepNext/>
              <w:spacing w:before="0" w:after="0" w:line="360" w:lineRule="auto"/>
              <w:jc w:val="center"/>
              <w:rPr>
                <w:sz w:val="22"/>
              </w:rPr>
            </w:pPr>
            <w:r w:rsidRPr="00F85EFF">
              <w:rPr>
                <w:sz w:val="22"/>
              </w:rPr>
              <w:t>8 July 2020</w:t>
            </w:r>
          </w:p>
        </w:tc>
        <w:tc>
          <w:tcPr>
            <w:tcW w:w="1559" w:type="dxa"/>
          </w:tcPr>
          <w:p w14:paraId="31380B95" w14:textId="051166F0" w:rsidR="003645A8" w:rsidRPr="009A0B8A" w:rsidRDefault="003645A8" w:rsidP="00F85EFF">
            <w:pPr>
              <w:keepNext/>
              <w:spacing w:before="0" w:after="0" w:line="360" w:lineRule="auto"/>
              <w:jc w:val="center"/>
              <w:rPr>
                <w:sz w:val="22"/>
              </w:rPr>
            </w:pPr>
            <w:r>
              <w:rPr>
                <w:sz w:val="22"/>
              </w:rPr>
              <w:t>$10,000</w:t>
            </w:r>
          </w:p>
        </w:tc>
      </w:tr>
      <w:tr w:rsidR="009A0B8A" w:rsidRPr="00F85EFF" w14:paraId="4CEF6212" w14:textId="77777777" w:rsidTr="00D06C8C">
        <w:tc>
          <w:tcPr>
            <w:tcW w:w="5386" w:type="dxa"/>
            <w:vAlign w:val="center"/>
          </w:tcPr>
          <w:p w14:paraId="773F0545" w14:textId="7845F09E" w:rsidR="009A0B8A" w:rsidRPr="00F85EFF" w:rsidRDefault="009A0B8A" w:rsidP="009A0B8A">
            <w:pPr>
              <w:keepNext/>
              <w:spacing w:before="0" w:after="0" w:line="360" w:lineRule="auto"/>
              <w:jc w:val="right"/>
              <w:rPr>
                <w:sz w:val="22"/>
              </w:rPr>
            </w:pPr>
            <w:r w:rsidRPr="009A0B8A">
              <w:rPr>
                <w:b/>
                <w:sz w:val="22"/>
              </w:rPr>
              <w:t>Total</w:t>
            </w:r>
            <w:r>
              <w:rPr>
                <w:b/>
                <w:sz w:val="22"/>
              </w:rPr>
              <w:t xml:space="preserve"> payroll amount</w:t>
            </w:r>
            <w:r w:rsidR="00D52C3E">
              <w:rPr>
                <w:b/>
                <w:sz w:val="22"/>
              </w:rPr>
              <w:t xml:space="preserve"> in </w:t>
            </w:r>
            <w:r w:rsidR="00D06C8C">
              <w:rPr>
                <w:b/>
                <w:sz w:val="22"/>
              </w:rPr>
              <w:t xml:space="preserve">the </w:t>
            </w:r>
            <w:r w:rsidR="00D52C3E">
              <w:rPr>
                <w:b/>
                <w:sz w:val="22"/>
              </w:rPr>
              <w:t>reference period</w:t>
            </w:r>
            <w:r>
              <w:rPr>
                <w:b/>
                <w:sz w:val="22"/>
              </w:rPr>
              <w:t>:</w:t>
            </w:r>
          </w:p>
        </w:tc>
        <w:tc>
          <w:tcPr>
            <w:tcW w:w="1559" w:type="dxa"/>
          </w:tcPr>
          <w:p w14:paraId="47BA30CF" w14:textId="24BB6F80" w:rsidR="009A0B8A" w:rsidRPr="009A0B8A" w:rsidRDefault="00141A47" w:rsidP="00F85EFF">
            <w:pPr>
              <w:keepNext/>
              <w:spacing w:before="0" w:after="0" w:line="360" w:lineRule="auto"/>
              <w:jc w:val="center"/>
              <w:rPr>
                <w:sz w:val="22"/>
              </w:rPr>
            </w:pPr>
            <w:r>
              <w:rPr>
                <w:b/>
                <w:sz w:val="22"/>
              </w:rPr>
              <w:t>$</w:t>
            </w:r>
            <w:r w:rsidR="00115D65">
              <w:rPr>
                <w:b/>
                <w:sz w:val="22"/>
              </w:rPr>
              <w:t>88</w:t>
            </w:r>
            <w:r>
              <w:rPr>
                <w:b/>
                <w:sz w:val="22"/>
              </w:rPr>
              <w:t>,</w:t>
            </w:r>
            <w:r w:rsidR="00B953F1">
              <w:rPr>
                <w:b/>
                <w:sz w:val="22"/>
              </w:rPr>
              <w:t>3</w:t>
            </w:r>
            <w:r>
              <w:rPr>
                <w:b/>
                <w:sz w:val="22"/>
              </w:rPr>
              <w:t>00</w:t>
            </w:r>
          </w:p>
        </w:tc>
      </w:tr>
    </w:tbl>
    <w:p w14:paraId="5110CC1F" w14:textId="3F56D6C5" w:rsidR="00CB6BB8" w:rsidRPr="00B15FC2" w:rsidRDefault="00821391" w:rsidP="00F85EFF">
      <w:pPr>
        <w:spacing w:before="120"/>
        <w:ind w:left="720"/>
        <w:rPr>
          <w:sz w:val="22"/>
        </w:rPr>
      </w:pPr>
      <w:r>
        <w:rPr>
          <w:sz w:val="22"/>
        </w:rPr>
        <w:t>TBT Co</w:t>
      </w:r>
      <w:r w:rsidR="00625110" w:rsidRPr="00B15FC2">
        <w:rPr>
          <w:sz w:val="22"/>
        </w:rPr>
        <w:t xml:space="preserve"> sums up the payroll amounts for the </w:t>
      </w:r>
      <w:proofErr w:type="spellStart"/>
      <w:r w:rsidR="00625110" w:rsidRPr="00B15FC2">
        <w:rPr>
          <w:sz w:val="22"/>
        </w:rPr>
        <w:t>JobMaker</w:t>
      </w:r>
      <w:proofErr w:type="spellEnd"/>
      <w:r w:rsidR="00625110" w:rsidRPr="00B15FC2">
        <w:rPr>
          <w:sz w:val="22"/>
        </w:rPr>
        <w:t xml:space="preserve"> period and compares that to the corresponding reference period.</w:t>
      </w:r>
      <w:r w:rsidR="00F4544C">
        <w:rPr>
          <w:sz w:val="22"/>
        </w:rPr>
        <w:t xml:space="preserve"> </w:t>
      </w:r>
      <w:r>
        <w:rPr>
          <w:sz w:val="22"/>
        </w:rPr>
        <w:t>TBT Co</w:t>
      </w:r>
      <w:r w:rsidR="00F4544C">
        <w:rPr>
          <w:sz w:val="22"/>
        </w:rPr>
        <w:t xml:space="preserve"> </w:t>
      </w:r>
      <w:r w:rsidR="00E779C8">
        <w:rPr>
          <w:sz w:val="22"/>
        </w:rPr>
        <w:t xml:space="preserve">has a </w:t>
      </w:r>
      <w:r w:rsidR="008061D2">
        <w:rPr>
          <w:sz w:val="22"/>
        </w:rPr>
        <w:t>p</w:t>
      </w:r>
      <w:r w:rsidR="00E779C8">
        <w:rPr>
          <w:sz w:val="22"/>
        </w:rPr>
        <w:t xml:space="preserve">ayroll increase of $14,200 for the first </w:t>
      </w:r>
      <w:proofErr w:type="spellStart"/>
      <w:r w:rsidR="00E779C8">
        <w:rPr>
          <w:sz w:val="22"/>
        </w:rPr>
        <w:t>JobMaker</w:t>
      </w:r>
      <w:proofErr w:type="spellEnd"/>
      <w:r w:rsidR="00E779C8">
        <w:rPr>
          <w:sz w:val="22"/>
        </w:rPr>
        <w:t xml:space="preserve"> period</w:t>
      </w:r>
      <w:r w:rsidR="00F4544C">
        <w:rPr>
          <w:sz w:val="22"/>
        </w:rPr>
        <w:t>.</w:t>
      </w:r>
    </w:p>
    <w:p w14:paraId="54749EF4" w14:textId="4D8AC25D" w:rsidR="0004183F" w:rsidRDefault="0004183F" w:rsidP="00596293">
      <w:pPr>
        <w:pStyle w:val="base-text-paragraph"/>
        <w:ind w:left="0"/>
      </w:pPr>
      <w:r>
        <w:t xml:space="preserve">Where an entity </w:t>
      </w:r>
      <w:r w:rsidR="00DB073E">
        <w:t xml:space="preserve">has not made payments in the </w:t>
      </w:r>
      <w:r>
        <w:t>period, the pay</w:t>
      </w:r>
      <w:r w:rsidR="00DB073E">
        <w:t xml:space="preserve">roll amount for that period </w:t>
      </w:r>
      <w:r>
        <w:t>is nil</w:t>
      </w:r>
      <w:r w:rsidR="00596293">
        <w:t xml:space="preserve"> (this </w:t>
      </w:r>
      <w:r w:rsidR="00AB5A61">
        <w:t>c</w:t>
      </w:r>
      <w:r w:rsidR="00596293">
        <w:t>ould occur, for example, if the business was created after 6</w:t>
      </w:r>
      <w:r w:rsidR="00754B55">
        <w:t> </w:t>
      </w:r>
      <w:r w:rsidR="00596293">
        <w:t>October</w:t>
      </w:r>
      <w:r w:rsidR="00754B55">
        <w:t> </w:t>
      </w:r>
      <w:r w:rsidR="00596293">
        <w:t>2020).</w:t>
      </w:r>
    </w:p>
    <w:p w14:paraId="76072280" w14:textId="1A34515C" w:rsidR="006623E2" w:rsidRDefault="006623E2" w:rsidP="000B63ED">
      <w:pPr>
        <w:pStyle w:val="base-text-paragraph"/>
        <w:ind w:left="0"/>
      </w:pPr>
      <w:r>
        <w:t xml:space="preserve">The payroll amount is equivalent to the amount worked out under the concept of the ‘wage condition’ used in the </w:t>
      </w:r>
      <w:proofErr w:type="spellStart"/>
      <w:r>
        <w:t>JobKeeper</w:t>
      </w:r>
      <w:proofErr w:type="spellEnd"/>
      <w:r>
        <w:t xml:space="preserve"> scheme.</w:t>
      </w:r>
      <w:r w:rsidR="00421773">
        <w:t xml:space="preserve"> However, they do not apply only on a fortnightly basis</w:t>
      </w:r>
      <w:r w:rsidR="00F132E5">
        <w:t xml:space="preserve"> as per the </w:t>
      </w:r>
      <w:proofErr w:type="spellStart"/>
      <w:r w:rsidR="00F132E5">
        <w:t>JobKeeper</w:t>
      </w:r>
      <w:proofErr w:type="spellEnd"/>
      <w:r w:rsidR="00F132E5">
        <w:t xml:space="preserve"> scheme</w:t>
      </w:r>
      <w:r w:rsidR="00421773">
        <w:t>.</w:t>
      </w:r>
      <w:r>
        <w:t xml:space="preserve"> </w:t>
      </w:r>
      <w:r w:rsidR="00303ACF">
        <w:t xml:space="preserve">These amounts generally </w:t>
      </w:r>
      <w:r>
        <w:t>include:</w:t>
      </w:r>
    </w:p>
    <w:p w14:paraId="40061A60" w14:textId="2C6C2A69" w:rsidR="006623E2" w:rsidRDefault="00421773" w:rsidP="00421773">
      <w:pPr>
        <w:pStyle w:val="Dotpoint"/>
        <w:numPr>
          <w:ilvl w:val="0"/>
          <w:numId w:val="14"/>
        </w:numPr>
      </w:pPr>
      <w:r>
        <w:t>salary, wages, commission, bonuses and allowances;</w:t>
      </w:r>
    </w:p>
    <w:p w14:paraId="3C4568FD" w14:textId="35D4A4F8" w:rsidR="00421773" w:rsidRDefault="00421773" w:rsidP="00421773">
      <w:pPr>
        <w:pStyle w:val="Dotpoint"/>
        <w:numPr>
          <w:ilvl w:val="0"/>
          <w:numId w:val="14"/>
        </w:numPr>
      </w:pPr>
      <w:r>
        <w:t>amounts withheld under the Pay As You Go withholding regime;</w:t>
      </w:r>
    </w:p>
    <w:p w14:paraId="3AE9F853" w14:textId="4803DA11" w:rsidR="00421773" w:rsidRDefault="00421773" w:rsidP="00421773">
      <w:pPr>
        <w:pStyle w:val="Dotpoint"/>
        <w:numPr>
          <w:ilvl w:val="0"/>
          <w:numId w:val="14"/>
        </w:numPr>
      </w:pPr>
      <w:r>
        <w:t>salary sacrifice superannuation contributions; and</w:t>
      </w:r>
    </w:p>
    <w:p w14:paraId="56D19F0F" w14:textId="5EAB605D" w:rsidR="00421773" w:rsidRPr="000653D7" w:rsidRDefault="00421773" w:rsidP="00421773">
      <w:pPr>
        <w:pStyle w:val="Dotpoint"/>
        <w:numPr>
          <w:ilvl w:val="0"/>
          <w:numId w:val="14"/>
        </w:numPr>
      </w:pPr>
      <w:r>
        <w:rPr>
          <w:szCs w:val="24"/>
        </w:rPr>
        <w:t xml:space="preserve">amounts </w:t>
      </w:r>
      <w:r w:rsidRPr="00796248">
        <w:rPr>
          <w:szCs w:val="24"/>
        </w:rPr>
        <w:t xml:space="preserve">applied or dealt with in any way </w:t>
      </w:r>
      <w:r>
        <w:rPr>
          <w:szCs w:val="24"/>
        </w:rPr>
        <w:t xml:space="preserve">where the employee has agreed for the amount to be so dealt with in return for salary and wages to be reduced </w:t>
      </w:r>
      <w:r w:rsidRPr="00796248">
        <w:rPr>
          <w:szCs w:val="24"/>
        </w:rPr>
        <w:t>–</w:t>
      </w:r>
      <w:r>
        <w:rPr>
          <w:szCs w:val="24"/>
        </w:rPr>
        <w:t xml:space="preserve"> </w:t>
      </w:r>
      <w:r w:rsidRPr="00796248">
        <w:rPr>
          <w:szCs w:val="24"/>
        </w:rPr>
        <w:t xml:space="preserve">generally, this means amounts </w:t>
      </w:r>
      <w:r>
        <w:rPr>
          <w:szCs w:val="24"/>
        </w:rPr>
        <w:t xml:space="preserve">forming </w:t>
      </w:r>
      <w:r w:rsidRPr="00796248">
        <w:rPr>
          <w:szCs w:val="24"/>
        </w:rPr>
        <w:t>part of salary sacrifice arrangement</w:t>
      </w:r>
      <w:r>
        <w:rPr>
          <w:szCs w:val="24"/>
        </w:rPr>
        <w:t>s.</w:t>
      </w:r>
    </w:p>
    <w:p w14:paraId="444CD372" w14:textId="5869F840" w:rsidR="007F4FA9" w:rsidRDefault="00AD6566" w:rsidP="007F4FA9">
      <w:pPr>
        <w:pStyle w:val="base-text-paragraph"/>
        <w:ind w:left="0"/>
      </w:pPr>
      <w:r>
        <w:t xml:space="preserve">These amounts do not include amounts that are the result of an employee’s employment being terminated. An example of an amount of this kind is an </w:t>
      </w:r>
      <w:r w:rsidR="005046A9">
        <w:t xml:space="preserve">‘employment termination payment’ which </w:t>
      </w:r>
      <w:r w:rsidR="007F4FA9">
        <w:t xml:space="preserve">is </w:t>
      </w:r>
      <w:r w:rsidR="005046A9">
        <w:t>taxed on a concessional basis under Division 82</w:t>
      </w:r>
      <w:r w:rsidR="00686A2B">
        <w:t xml:space="preserve"> of the ITAA 1997</w:t>
      </w:r>
      <w:r w:rsidR="005046A9">
        <w:t>. Eligible termination payments are generally payments made to an individual as the result of their employment being terminated, or made to an individual after someone else’s death as a result of the other person’s employment terminating.</w:t>
      </w:r>
    </w:p>
    <w:p w14:paraId="4558B18C" w14:textId="1AD50263" w:rsidR="00356CAC" w:rsidRDefault="007F4FA9" w:rsidP="00FB0E7C">
      <w:pPr>
        <w:pStyle w:val="base-text-paragraph"/>
        <w:ind w:left="0"/>
      </w:pPr>
      <w:r>
        <w:t xml:space="preserve">Payments of this kind cannot be salary or wages because they are </w:t>
      </w:r>
      <w:r w:rsidRPr="007F4FA9">
        <w:t xml:space="preserve">causally related to termination </w:t>
      </w:r>
      <w:r>
        <w:t xml:space="preserve">of employment </w:t>
      </w:r>
      <w:r w:rsidRPr="007F4FA9">
        <w:t xml:space="preserve">rather than </w:t>
      </w:r>
      <w:r>
        <w:t xml:space="preserve">being </w:t>
      </w:r>
      <w:r w:rsidRPr="007F4FA9">
        <w:t>a reward for services rendered</w:t>
      </w:r>
      <w:r>
        <w:t xml:space="preserve">. Not counting these amounts in the </w:t>
      </w:r>
      <w:r w:rsidR="00356CAC">
        <w:t xml:space="preserve">payroll calculations is </w:t>
      </w:r>
      <w:r>
        <w:t xml:space="preserve">also </w:t>
      </w:r>
      <w:r w:rsidR="00356CAC">
        <w:t xml:space="preserve">appropriate because they represent a cost to the employer for the cessation of an individual’s employment. While other payments (such as bonuses) may be paid on an intermittent basis, they generally represent a cost </w:t>
      </w:r>
      <w:r w:rsidR="00940D38">
        <w:t>of ongoing employment.</w:t>
      </w:r>
    </w:p>
    <w:p w14:paraId="5D749629" w14:textId="298EB88A" w:rsidR="009E688D" w:rsidRDefault="009E688D" w:rsidP="000B63ED">
      <w:pPr>
        <w:pStyle w:val="Heading3"/>
      </w:pPr>
      <w:r>
        <w:lastRenderedPageBreak/>
        <w:t xml:space="preserve">Working out the amount of </w:t>
      </w:r>
      <w:proofErr w:type="spellStart"/>
      <w:r>
        <w:t>JobMaker</w:t>
      </w:r>
      <w:proofErr w:type="spellEnd"/>
      <w:r>
        <w:t xml:space="preserve"> Hiring Credit</w:t>
      </w:r>
      <w:r w:rsidR="009460BA">
        <w:t xml:space="preserve"> payment</w:t>
      </w:r>
      <w:r>
        <w:t xml:space="preserve"> for a period</w:t>
      </w:r>
    </w:p>
    <w:p w14:paraId="49ADE17B" w14:textId="216AF7EC" w:rsidR="00924DAB" w:rsidRDefault="006623E2" w:rsidP="009E688D">
      <w:pPr>
        <w:pStyle w:val="base-text-paragraph"/>
        <w:ind w:left="0"/>
      </w:pPr>
      <w:r>
        <w:t xml:space="preserve">The </w:t>
      </w:r>
      <w:proofErr w:type="spellStart"/>
      <w:r>
        <w:t>JobMaker</w:t>
      </w:r>
      <w:proofErr w:type="spellEnd"/>
      <w:r>
        <w:t xml:space="preserve"> Hiring Credit is intended to support entities </w:t>
      </w:r>
      <w:r w:rsidR="00B23248">
        <w:t>in creating</w:t>
      </w:r>
      <w:r>
        <w:t xml:space="preserve"> additional employment. </w:t>
      </w:r>
      <w:r w:rsidR="002507B5">
        <w:t xml:space="preserve">The amount of payment a qualifying entity may receive in relation to a </w:t>
      </w:r>
      <w:proofErr w:type="spellStart"/>
      <w:r>
        <w:t>JobMaker</w:t>
      </w:r>
      <w:proofErr w:type="spellEnd"/>
      <w:r>
        <w:t xml:space="preserve"> </w:t>
      </w:r>
      <w:r w:rsidR="002507B5">
        <w:t>period is worked out as the lesser of</w:t>
      </w:r>
      <w:r w:rsidR="00924DAB">
        <w:t>:</w:t>
      </w:r>
    </w:p>
    <w:p w14:paraId="3CBA543A" w14:textId="27CBA5E0" w:rsidR="00924DAB" w:rsidRDefault="002507B5" w:rsidP="00924DAB">
      <w:pPr>
        <w:pStyle w:val="Dotpoint"/>
        <w:numPr>
          <w:ilvl w:val="0"/>
          <w:numId w:val="14"/>
        </w:numPr>
      </w:pPr>
      <w:r>
        <w:t>the headcount amount</w:t>
      </w:r>
      <w:r w:rsidR="0007361E">
        <w:t xml:space="preserve"> for the period</w:t>
      </w:r>
      <w:r w:rsidR="00924DAB">
        <w:t>;</w:t>
      </w:r>
      <w:r>
        <w:t xml:space="preserve"> and </w:t>
      </w:r>
    </w:p>
    <w:p w14:paraId="6CE4C0B9" w14:textId="4642255C" w:rsidR="00C121F9" w:rsidRDefault="002507B5" w:rsidP="00902438">
      <w:pPr>
        <w:pStyle w:val="Dotpoint"/>
        <w:numPr>
          <w:ilvl w:val="0"/>
          <w:numId w:val="14"/>
        </w:numPr>
      </w:pPr>
      <w:proofErr w:type="gramStart"/>
      <w:r>
        <w:t>the</w:t>
      </w:r>
      <w:proofErr w:type="gramEnd"/>
      <w:r>
        <w:t xml:space="preserve"> payroll amount</w:t>
      </w:r>
      <w:r w:rsidR="0007361E">
        <w:t xml:space="preserve"> for the period</w:t>
      </w:r>
      <w:r>
        <w:t>.</w:t>
      </w:r>
      <w:r w:rsidR="00C121F9">
        <w:t xml:space="preserve"> </w:t>
      </w:r>
    </w:p>
    <w:p w14:paraId="4ABB5D74" w14:textId="1EC6D972" w:rsidR="00E02176" w:rsidRPr="00E02176" w:rsidRDefault="00E02176" w:rsidP="00E02176">
      <w:pPr>
        <w:pStyle w:val="base-text-paragraph"/>
        <w:ind w:left="0"/>
      </w:pPr>
      <w:r>
        <w:t>It is expected that the ATO will establish systems to automate these two calculations for most employers. This is possible because the calculations only rely on inputs relating to start and cessation times, the age of eligible employees at the time they commenced employment, the entity’s basel</w:t>
      </w:r>
      <w:r w:rsidR="004528E2">
        <w:t xml:space="preserve">ine headcount </w:t>
      </w:r>
      <w:r w:rsidR="00B424AB">
        <w:t xml:space="preserve">on 30 September 2020 </w:t>
      </w:r>
      <w:r w:rsidR="004528E2">
        <w:t xml:space="preserve">and </w:t>
      </w:r>
      <w:r w:rsidR="00B424AB">
        <w:t>baseline</w:t>
      </w:r>
      <w:r w:rsidR="004528E2">
        <w:t xml:space="preserve"> payroll on </w:t>
      </w:r>
      <w:r w:rsidR="00B424AB">
        <w:t>6 October</w:t>
      </w:r>
      <w:r>
        <w:t xml:space="preserve"> 2020 and the entity’s headcount and payroll at the end of the period.</w:t>
      </w:r>
    </w:p>
    <w:p w14:paraId="40BE6573" w14:textId="6C88E8D4" w:rsidR="00924DAB" w:rsidRDefault="00924DAB" w:rsidP="00924DAB">
      <w:pPr>
        <w:pStyle w:val="Heading4"/>
      </w:pPr>
      <w:r>
        <w:t>Working out the headcount amount</w:t>
      </w:r>
    </w:p>
    <w:p w14:paraId="2F1A322B" w14:textId="41A9B29E" w:rsidR="00181E47" w:rsidRDefault="006A565F" w:rsidP="009E688D">
      <w:pPr>
        <w:pStyle w:val="base-text-paragraph"/>
        <w:ind w:left="0"/>
      </w:pPr>
      <w:r>
        <w:t xml:space="preserve">Unlike the headcount increase which is worked out on the last day of the </w:t>
      </w:r>
      <w:proofErr w:type="spellStart"/>
      <w:r>
        <w:t>JobMaker</w:t>
      </w:r>
      <w:proofErr w:type="spellEnd"/>
      <w:r>
        <w:t xml:space="preserve"> period, t</w:t>
      </w:r>
      <w:r w:rsidR="0020090E">
        <w:t xml:space="preserve">he headcount amount is worked out on a daily basis for the </w:t>
      </w:r>
      <w:proofErr w:type="spellStart"/>
      <w:r w:rsidR="0020090E">
        <w:t>JobMaker</w:t>
      </w:r>
      <w:proofErr w:type="spellEnd"/>
      <w:r w:rsidR="0020090E">
        <w:t xml:space="preserve"> period</w:t>
      </w:r>
      <w:r>
        <w:t>. This</w:t>
      </w:r>
      <w:r w:rsidR="00181E47">
        <w:t xml:space="preserve"> has been designed to ensure that the scheme recognises periods of partial employment during the period to optimise the maximum amount payable to an employer without requiring the employer to track and claim for the most efficient combination of eligible employees within their headcount for the period</w:t>
      </w:r>
      <w:r w:rsidR="00742F26">
        <w:t>.</w:t>
      </w:r>
    </w:p>
    <w:p w14:paraId="75B8571A" w14:textId="45C302CE" w:rsidR="00181E47" w:rsidRDefault="00A10FD0" w:rsidP="009E688D">
      <w:pPr>
        <w:pStyle w:val="base-text-paragraph"/>
        <w:ind w:left="0"/>
      </w:pPr>
      <w:r>
        <w:t xml:space="preserve">In working out the headcount amount, different calculations apply based on whether an eligible additional employee is aged from 16 to 29, and </w:t>
      </w:r>
      <w:r w:rsidR="0020090E">
        <w:t xml:space="preserve">from </w:t>
      </w:r>
      <w:r>
        <w:t>30 to 35.</w:t>
      </w:r>
      <w:r w:rsidR="00D454D0">
        <w:t xml:space="preserve"> For these two groups, the higher rate of </w:t>
      </w:r>
      <w:r w:rsidR="00DA3F7B">
        <w:t>payment</w:t>
      </w:r>
      <w:r w:rsidR="00D454D0">
        <w:t xml:space="preserve"> is $200 per week, and the lower rate of payment is $100 per week. The headcount amount </w:t>
      </w:r>
      <w:r w:rsidR="0020090E">
        <w:t xml:space="preserve">based on the total counted days in a period </w:t>
      </w:r>
      <w:r w:rsidR="00D454D0">
        <w:t xml:space="preserve">is capped by the maximum payable days </w:t>
      </w:r>
      <w:r w:rsidR="0020090E">
        <w:t>as worked out below</w:t>
      </w:r>
      <w:r w:rsidR="00D454D0">
        <w:t xml:space="preserve">. </w:t>
      </w:r>
    </w:p>
    <w:p w14:paraId="13545F64" w14:textId="2C0B40DB" w:rsidR="00737CA1" w:rsidRDefault="00BB3B7A" w:rsidP="009E688D">
      <w:pPr>
        <w:pStyle w:val="base-text-paragraph"/>
        <w:ind w:left="0"/>
      </w:pPr>
      <w:r>
        <w:t xml:space="preserve">There are </w:t>
      </w:r>
      <w:r w:rsidR="0082249D">
        <w:t>three</w:t>
      </w:r>
      <w:r>
        <w:t xml:space="preserve"> </w:t>
      </w:r>
      <w:r w:rsidR="00FB6350">
        <w:t xml:space="preserve">key </w:t>
      </w:r>
      <w:r w:rsidR="00D65C93">
        <w:t>steps</w:t>
      </w:r>
      <w:r>
        <w:t xml:space="preserve"> in calculating </w:t>
      </w:r>
      <w:r w:rsidR="00B61769">
        <w:t>the headcount amount for a period</w:t>
      </w:r>
      <w:r w:rsidR="00737CA1">
        <w:t>:</w:t>
      </w:r>
    </w:p>
    <w:p w14:paraId="141E7A75" w14:textId="1B8BF279" w:rsidR="00737CA1" w:rsidRDefault="0018405A" w:rsidP="00E808B6">
      <w:pPr>
        <w:pStyle w:val="OutlineNumbered1"/>
      </w:pPr>
      <w:proofErr w:type="gramStart"/>
      <w:r>
        <w:t>co</w:t>
      </w:r>
      <w:r w:rsidR="00A13B0D">
        <w:t>unt</w:t>
      </w:r>
      <w:proofErr w:type="gramEnd"/>
      <w:r w:rsidR="00737CA1">
        <w:t xml:space="preserve"> the number of </w:t>
      </w:r>
      <w:r w:rsidR="00737CA1" w:rsidRPr="00E808B6">
        <w:rPr>
          <w:i/>
        </w:rPr>
        <w:t>higher rate days</w:t>
      </w:r>
      <w:r w:rsidR="00737CA1">
        <w:t xml:space="preserve"> for the </w:t>
      </w:r>
      <w:proofErr w:type="spellStart"/>
      <w:r w:rsidR="00737CA1">
        <w:t>JobMaker</w:t>
      </w:r>
      <w:proofErr w:type="spellEnd"/>
      <w:r w:rsidR="00737CA1">
        <w:t xml:space="preserve"> period</w:t>
      </w:r>
      <w:r w:rsidR="00B61769">
        <w:t xml:space="preserve"> by</w:t>
      </w:r>
      <w:r w:rsidR="00737CA1">
        <w:t xml:space="preserve"> add</w:t>
      </w:r>
      <w:r w:rsidR="00B61769">
        <w:t>ing</w:t>
      </w:r>
      <w:r w:rsidR="00737CA1">
        <w:t xml:space="preserve"> together the number of days each </w:t>
      </w:r>
      <w:r w:rsidR="00C84955">
        <w:t xml:space="preserve">higher rate </w:t>
      </w:r>
      <w:r w:rsidR="00737CA1">
        <w:t xml:space="preserve">eligible additional employee </w:t>
      </w:r>
      <w:r w:rsidR="00C84955">
        <w:t>was employed in the period – these individuals are those who</w:t>
      </w:r>
      <w:r w:rsidR="00737CA1">
        <w:t xml:space="preserve"> </w:t>
      </w:r>
      <w:r w:rsidR="00C84955">
        <w:t>were aged</w:t>
      </w:r>
      <w:r w:rsidR="00737CA1">
        <w:t xml:space="preserve"> 16 to 29 years (inclusive) </w:t>
      </w:r>
      <w:r w:rsidR="00C84955">
        <w:t>at the commencement of their employment</w:t>
      </w:r>
      <w:r w:rsidR="00737CA1">
        <w:t xml:space="preserve">. </w:t>
      </w:r>
    </w:p>
    <w:p w14:paraId="704C9219" w14:textId="5DAB546A" w:rsidR="00737CA1" w:rsidRDefault="0018405A" w:rsidP="00E808B6">
      <w:pPr>
        <w:pStyle w:val="OutlineNumbered1"/>
      </w:pPr>
      <w:proofErr w:type="gramStart"/>
      <w:r>
        <w:t>count</w:t>
      </w:r>
      <w:proofErr w:type="gramEnd"/>
      <w:r w:rsidR="00737CA1">
        <w:t xml:space="preserve"> the number of </w:t>
      </w:r>
      <w:r w:rsidR="00737CA1" w:rsidRPr="00E808B6">
        <w:rPr>
          <w:i/>
        </w:rPr>
        <w:t>lower rate days</w:t>
      </w:r>
      <w:r w:rsidR="00737CA1">
        <w:t xml:space="preserve"> for the </w:t>
      </w:r>
      <w:proofErr w:type="spellStart"/>
      <w:r w:rsidR="00737CA1">
        <w:t>JobMaker</w:t>
      </w:r>
      <w:proofErr w:type="spellEnd"/>
      <w:r w:rsidR="00737CA1">
        <w:t xml:space="preserve"> period</w:t>
      </w:r>
      <w:r w:rsidR="00B61769">
        <w:t xml:space="preserve"> by </w:t>
      </w:r>
      <w:r w:rsidR="00737CA1">
        <w:t>add</w:t>
      </w:r>
      <w:r w:rsidR="00B61769">
        <w:t>ing</w:t>
      </w:r>
      <w:r w:rsidR="00737CA1">
        <w:t xml:space="preserve"> together the number of days each </w:t>
      </w:r>
      <w:r w:rsidR="00C84955">
        <w:t xml:space="preserve">lower rate </w:t>
      </w:r>
      <w:r w:rsidR="00737CA1">
        <w:t xml:space="preserve">eligible additional employee </w:t>
      </w:r>
      <w:r w:rsidR="00C84955">
        <w:t>was employed in the period – these individuals are those who were aged 3</w:t>
      </w:r>
      <w:r w:rsidR="00737CA1">
        <w:t>0 to 35 years (inclusive)</w:t>
      </w:r>
      <w:r w:rsidR="00C84955">
        <w:t xml:space="preserve"> at the commencement of their employment</w:t>
      </w:r>
      <w:r w:rsidR="00737CA1">
        <w:t xml:space="preserve">. </w:t>
      </w:r>
    </w:p>
    <w:p w14:paraId="448DC0BE" w14:textId="251AFB72" w:rsidR="00737CA1" w:rsidRDefault="00A13B0D" w:rsidP="00E808B6">
      <w:pPr>
        <w:pStyle w:val="OutlineNumbered1"/>
      </w:pPr>
      <w:proofErr w:type="gramStart"/>
      <w:r>
        <w:t>count</w:t>
      </w:r>
      <w:proofErr w:type="gramEnd"/>
      <w:r w:rsidR="00737CA1">
        <w:t xml:space="preserve"> the number of </w:t>
      </w:r>
      <w:r w:rsidR="00737CA1" w:rsidRPr="00E808B6">
        <w:rPr>
          <w:i/>
        </w:rPr>
        <w:t>maximum payable days</w:t>
      </w:r>
      <w:r w:rsidR="00737CA1">
        <w:t xml:space="preserve"> for the </w:t>
      </w:r>
      <w:proofErr w:type="spellStart"/>
      <w:r w:rsidR="00737CA1">
        <w:t>JobMaker</w:t>
      </w:r>
      <w:proofErr w:type="spellEnd"/>
      <w:r w:rsidR="00737CA1">
        <w:t xml:space="preserve"> period</w:t>
      </w:r>
      <w:r w:rsidR="0018405A">
        <w:t xml:space="preserve"> by</w:t>
      </w:r>
      <w:r w:rsidR="002070B7">
        <w:t xml:space="preserve"> </w:t>
      </w:r>
      <w:r w:rsidR="00737CA1">
        <w:t>subtract</w:t>
      </w:r>
      <w:r w:rsidR="0018405A">
        <w:t>ing</w:t>
      </w:r>
      <w:r w:rsidR="00737CA1">
        <w:t xml:space="preserve"> the entity’s baseline headcount from the number of employees employed by the entity at the end of the last day of the period, and multiply this by the number of days in the period. For example, for the </w:t>
      </w:r>
      <w:proofErr w:type="spellStart"/>
      <w:r w:rsidR="00737CA1">
        <w:t>JobMaker</w:t>
      </w:r>
      <w:proofErr w:type="spellEnd"/>
      <w:r w:rsidR="00737CA1">
        <w:t xml:space="preserve"> period of 7 October 2020 to 6 January 2021 (dates inclusive), there are 92 days.</w:t>
      </w:r>
    </w:p>
    <w:p w14:paraId="0CECAEAC" w14:textId="27F9E86F" w:rsidR="00471396" w:rsidRDefault="00471396" w:rsidP="0018298B">
      <w:pPr>
        <w:pStyle w:val="base-text-paragraph"/>
        <w:ind w:left="0"/>
      </w:pPr>
      <w:r>
        <w:t xml:space="preserve">For the purposes of calculating the number of higher rate and lower rate days, the entity must disregard any days that the employee was employed after the employee </w:t>
      </w:r>
      <w:r>
        <w:lastRenderedPageBreak/>
        <w:t>has been continuously employed by the entity for more than 12 months. This 12</w:t>
      </w:r>
      <w:r w:rsidR="00752432">
        <w:t> </w:t>
      </w:r>
      <w:r>
        <w:t>month</w:t>
      </w:r>
      <w:r w:rsidR="00AA6BA9">
        <w:t xml:space="preserve"> period</w:t>
      </w:r>
      <w:r>
        <w:t xml:space="preserve"> begins</w:t>
      </w:r>
      <w:r w:rsidRPr="005070B2">
        <w:t xml:space="preserve"> on the day the eligible additional employee last commenced employment with the entity</w:t>
      </w:r>
      <w:r>
        <w:t>.</w:t>
      </w:r>
      <w:r w:rsidR="00C824A0">
        <w:t xml:space="preserve"> This rule only applies in the </w:t>
      </w:r>
      <w:proofErr w:type="spellStart"/>
      <w:r w:rsidR="00C824A0">
        <w:t>JobMaker</w:t>
      </w:r>
      <w:proofErr w:type="spellEnd"/>
      <w:r w:rsidR="00C824A0">
        <w:t xml:space="preserve"> period that includes the 12 month anniversary of the employee commencing employment with the entity. </w:t>
      </w:r>
      <w:r w:rsidR="00EF7FE0">
        <w:t>As noted above, t</w:t>
      </w:r>
      <w:r w:rsidR="00C824A0">
        <w:t xml:space="preserve">he related 12 month rule for eligible employees will ensure that the individual is no longer an eligible employee in any subsequent </w:t>
      </w:r>
      <w:proofErr w:type="spellStart"/>
      <w:r w:rsidR="00C824A0">
        <w:t>JobMaker</w:t>
      </w:r>
      <w:proofErr w:type="spellEnd"/>
      <w:r w:rsidR="00C824A0">
        <w:t xml:space="preserve"> period. </w:t>
      </w:r>
    </w:p>
    <w:p w14:paraId="64AEA0A6" w14:textId="0CBEC087" w:rsidR="00924DAB" w:rsidRDefault="0018298B" w:rsidP="0018298B">
      <w:pPr>
        <w:pStyle w:val="base-text-paragraph"/>
        <w:ind w:left="0"/>
      </w:pPr>
      <w:r>
        <w:t>Where the sum of steps 1 and 2 (</w:t>
      </w:r>
      <w:r w:rsidRPr="000942F9">
        <w:rPr>
          <w:i/>
        </w:rPr>
        <w:t>total counted days</w:t>
      </w:r>
      <w:r>
        <w:t xml:space="preserve">) </w:t>
      </w:r>
      <w:r w:rsidR="004D33A2">
        <w:t xml:space="preserve">is </w:t>
      </w:r>
      <w:r>
        <w:t xml:space="preserve">equal </w:t>
      </w:r>
      <w:r w:rsidR="004D33A2">
        <w:t xml:space="preserve">to </w:t>
      </w:r>
      <w:r>
        <w:t>or less than the maximum payable days for the period</w:t>
      </w:r>
      <w:r w:rsidR="004D33A2">
        <w:t>,</w:t>
      </w:r>
      <w:r>
        <w:t xml:space="preserve"> </w:t>
      </w:r>
      <w:r w:rsidR="00FE713F">
        <w:t>the</w:t>
      </w:r>
      <w:r w:rsidR="00D53C15">
        <w:t xml:space="preserve"> headcount amount</w:t>
      </w:r>
      <w:r w:rsidR="00FE713F">
        <w:t xml:space="preserve"> in a </w:t>
      </w:r>
      <w:proofErr w:type="spellStart"/>
      <w:r w:rsidR="00FE713F">
        <w:t>JobMaker</w:t>
      </w:r>
      <w:proofErr w:type="spellEnd"/>
      <w:r w:rsidR="00FE713F">
        <w:t xml:space="preserve"> period</w:t>
      </w:r>
      <w:r w:rsidR="00D53C15">
        <w:t xml:space="preserve"> is the sum of:</w:t>
      </w:r>
    </w:p>
    <w:p w14:paraId="33DBD10C" w14:textId="5F125FF1" w:rsidR="00D53C15" w:rsidRDefault="00D53C15" w:rsidP="00D53C15">
      <w:pPr>
        <w:pStyle w:val="Dotpoint"/>
        <w:numPr>
          <w:ilvl w:val="0"/>
          <w:numId w:val="14"/>
        </w:numPr>
      </w:pPr>
      <w:r>
        <w:t>the amount derived by m</w:t>
      </w:r>
      <w:r w:rsidRPr="00B5643C">
        <w:t>ultiply</w:t>
      </w:r>
      <w:r>
        <w:t>ing</w:t>
      </w:r>
      <w:r w:rsidRPr="00B5643C">
        <w:t xml:space="preserve"> the higher rate day</w:t>
      </w:r>
      <w:r>
        <w:t>s for the period by $200, dividing</w:t>
      </w:r>
      <w:r w:rsidRPr="00B5643C">
        <w:t xml:space="preserve"> the result by 7 </w:t>
      </w:r>
      <w:r w:rsidR="00E34495">
        <w:t xml:space="preserve">(for the number of days in a week) </w:t>
      </w:r>
      <w:r w:rsidRPr="00B5643C">
        <w:t>a</w:t>
      </w:r>
      <w:r>
        <w:t>nd rounded up to the nearest cent; and</w:t>
      </w:r>
    </w:p>
    <w:p w14:paraId="51A9C315" w14:textId="24BAA14D" w:rsidR="00D53C15" w:rsidRDefault="00D53C15" w:rsidP="00D53C15">
      <w:pPr>
        <w:pStyle w:val="Dotpoint"/>
        <w:numPr>
          <w:ilvl w:val="0"/>
          <w:numId w:val="14"/>
        </w:numPr>
      </w:pPr>
      <w:proofErr w:type="gramStart"/>
      <w:r>
        <w:t>the</w:t>
      </w:r>
      <w:proofErr w:type="gramEnd"/>
      <w:r>
        <w:t xml:space="preserve"> amount derived by m</w:t>
      </w:r>
      <w:r w:rsidRPr="00B5643C">
        <w:t>ultiply</w:t>
      </w:r>
      <w:r>
        <w:t>ing</w:t>
      </w:r>
      <w:r w:rsidRPr="00B5643C">
        <w:t xml:space="preserve"> </w:t>
      </w:r>
      <w:r w:rsidRPr="00D53C15">
        <w:t>the lower rate day</w:t>
      </w:r>
      <w:r>
        <w:t>s for the period by $100, dividing</w:t>
      </w:r>
      <w:r w:rsidRPr="00D53C15">
        <w:t xml:space="preserve"> the result by 7 </w:t>
      </w:r>
      <w:r w:rsidR="00E34495">
        <w:t>(for the number of days in a week) a</w:t>
      </w:r>
      <w:r w:rsidRPr="00D53C15">
        <w:t>nd round</w:t>
      </w:r>
      <w:r>
        <w:t>ed</w:t>
      </w:r>
      <w:r w:rsidRPr="00D53C15">
        <w:t xml:space="preserve"> up to the nearest cent.</w:t>
      </w:r>
    </w:p>
    <w:p w14:paraId="4471CC3E" w14:textId="5A94FB00" w:rsidR="00D53C15" w:rsidDel="00B61769" w:rsidRDefault="0018298B" w:rsidP="00E808B6">
      <w:pPr>
        <w:pStyle w:val="base-text-paragraph"/>
        <w:ind w:left="0"/>
      </w:pPr>
      <w:r>
        <w:t xml:space="preserve">However, if </w:t>
      </w:r>
      <w:r w:rsidR="00FE713F" w:rsidDel="00B61769">
        <w:t xml:space="preserve">the total counted days (sum of the higher rate days and the lower rate days) exceeds the </w:t>
      </w:r>
      <w:r w:rsidR="00E129BC" w:rsidDel="00B61769">
        <w:t xml:space="preserve">cap imposed by the </w:t>
      </w:r>
      <w:r w:rsidR="00FE713F" w:rsidDel="00B61769">
        <w:t xml:space="preserve">maximum payable days, the </w:t>
      </w:r>
      <w:r w:rsidR="00C532EC">
        <w:t>counted days are</w:t>
      </w:r>
      <w:r w:rsidR="00FE713F" w:rsidDel="00B61769">
        <w:t xml:space="preserve"> reduced to the number of maximum payable days by:</w:t>
      </w:r>
    </w:p>
    <w:p w14:paraId="7A603728" w14:textId="4016C12C" w:rsidR="00FE713F" w:rsidDel="00B61769" w:rsidRDefault="00FE713F" w:rsidP="00FE713F">
      <w:pPr>
        <w:pStyle w:val="Dotpoint"/>
        <w:numPr>
          <w:ilvl w:val="0"/>
          <w:numId w:val="14"/>
        </w:numPr>
      </w:pPr>
      <w:r w:rsidDel="00B61769">
        <w:t>reducing the lower rate days; then</w:t>
      </w:r>
    </w:p>
    <w:p w14:paraId="06E177A0" w14:textId="3446EC84" w:rsidR="00FE713F" w:rsidDel="00B61769" w:rsidRDefault="00FE713F" w:rsidP="00FE713F">
      <w:pPr>
        <w:pStyle w:val="Dotpoint"/>
        <w:numPr>
          <w:ilvl w:val="0"/>
          <w:numId w:val="14"/>
        </w:numPr>
      </w:pPr>
      <w:proofErr w:type="gramStart"/>
      <w:r w:rsidDel="00B61769">
        <w:t>reducing</w:t>
      </w:r>
      <w:proofErr w:type="gramEnd"/>
      <w:r w:rsidDel="00B61769">
        <w:t xml:space="preserve"> the higher rate days.</w:t>
      </w:r>
    </w:p>
    <w:p w14:paraId="6763B715" w14:textId="5ECC55FC" w:rsidR="006968B6" w:rsidRDefault="00FE713F" w:rsidP="009E688D">
      <w:pPr>
        <w:pStyle w:val="base-text-paragraph"/>
        <w:ind w:left="0"/>
      </w:pPr>
      <w:r>
        <w:t xml:space="preserve">Accordingly, it is possible for the maximum payable days </w:t>
      </w:r>
      <w:r w:rsidR="00FB4517">
        <w:t>to</w:t>
      </w:r>
      <w:r>
        <w:t xml:space="preserve"> cap</w:t>
      </w:r>
      <w:r w:rsidR="00B90C68">
        <w:t xml:space="preserve"> </w:t>
      </w:r>
      <w:r>
        <w:t xml:space="preserve">the total counted days for a </w:t>
      </w:r>
      <w:proofErr w:type="spellStart"/>
      <w:r>
        <w:t>JobMaker</w:t>
      </w:r>
      <w:proofErr w:type="spellEnd"/>
      <w:r>
        <w:t xml:space="preserve"> period </w:t>
      </w:r>
      <w:r w:rsidR="00B90C68">
        <w:t>to the effect that</w:t>
      </w:r>
      <w:r>
        <w:t xml:space="preserve"> there are only higher rate days </w:t>
      </w:r>
      <w:r w:rsidR="00B90C68">
        <w:t xml:space="preserve">used for the calculation </w:t>
      </w:r>
      <w:r>
        <w:t>and no lower rate days.</w:t>
      </w:r>
      <w:r w:rsidR="00566A2F">
        <w:t xml:space="preserve"> </w:t>
      </w:r>
      <w:r w:rsidR="004D33A2">
        <w:t>After applying the cap imposed by the maximum payable days, the headcount amount is worked out according to the above formula.</w:t>
      </w:r>
    </w:p>
    <w:p w14:paraId="308D46BB" w14:textId="3859F8F8" w:rsidR="006968B6" w:rsidRPr="0048209D" w:rsidRDefault="006968B6" w:rsidP="006968B6">
      <w:pPr>
        <w:pStyle w:val="Heading4"/>
        <w:spacing w:after="120"/>
        <w:ind w:left="720"/>
        <w:rPr>
          <w:b/>
          <w:i w:val="0"/>
          <w:sz w:val="22"/>
          <w:u w:val="single"/>
        </w:rPr>
      </w:pPr>
      <w:r w:rsidRPr="0048209D">
        <w:rPr>
          <w:b/>
          <w:i w:val="0"/>
          <w:sz w:val="22"/>
          <w:u w:val="single"/>
        </w:rPr>
        <w:t xml:space="preserve">Example </w:t>
      </w:r>
      <w:r w:rsidR="005F0D55">
        <w:rPr>
          <w:b/>
          <w:i w:val="0"/>
          <w:sz w:val="22"/>
          <w:u w:val="single"/>
        </w:rPr>
        <w:t>4</w:t>
      </w:r>
      <w:r w:rsidRPr="0048209D">
        <w:rPr>
          <w:b/>
          <w:i w:val="0"/>
          <w:sz w:val="22"/>
          <w:u w:val="single"/>
        </w:rPr>
        <w:t>: Working out the headcount amount</w:t>
      </w:r>
      <w:r w:rsidR="0048209D">
        <w:rPr>
          <w:b/>
          <w:i w:val="0"/>
          <w:sz w:val="22"/>
          <w:u w:val="single"/>
        </w:rPr>
        <w:t xml:space="preserve"> for the first </w:t>
      </w:r>
      <w:proofErr w:type="spellStart"/>
      <w:r w:rsidR="0048209D">
        <w:rPr>
          <w:b/>
          <w:i w:val="0"/>
          <w:sz w:val="22"/>
          <w:u w:val="single"/>
        </w:rPr>
        <w:t>JobMaker</w:t>
      </w:r>
      <w:proofErr w:type="spellEnd"/>
      <w:r w:rsidR="0048209D">
        <w:rPr>
          <w:b/>
          <w:i w:val="0"/>
          <w:sz w:val="22"/>
          <w:u w:val="single"/>
        </w:rPr>
        <w:t xml:space="preserve"> period</w:t>
      </w:r>
    </w:p>
    <w:p w14:paraId="3F590BDC" w14:textId="097C3C41" w:rsidR="00AE25B2" w:rsidRDefault="00AE25B2" w:rsidP="00AE25B2">
      <w:pPr>
        <w:spacing w:before="120"/>
        <w:ind w:left="720"/>
        <w:rPr>
          <w:sz w:val="22"/>
        </w:rPr>
      </w:pPr>
      <w:r>
        <w:rPr>
          <w:sz w:val="22"/>
        </w:rPr>
        <w:t xml:space="preserve">Continuing from </w:t>
      </w:r>
      <w:r w:rsidR="00E63DA6">
        <w:rPr>
          <w:sz w:val="22"/>
        </w:rPr>
        <w:t>E</w:t>
      </w:r>
      <w:r>
        <w:rPr>
          <w:sz w:val="22"/>
        </w:rPr>
        <w:t xml:space="preserve">xample </w:t>
      </w:r>
      <w:r w:rsidR="005F0D55">
        <w:rPr>
          <w:sz w:val="22"/>
        </w:rPr>
        <w:t>2</w:t>
      </w:r>
      <w:r>
        <w:rPr>
          <w:sz w:val="22"/>
        </w:rPr>
        <w:t xml:space="preserve">.1, </w:t>
      </w:r>
      <w:r w:rsidR="000978C8">
        <w:rPr>
          <w:sz w:val="22"/>
        </w:rPr>
        <w:t>during the</w:t>
      </w:r>
      <w:r w:rsidR="00C532EC">
        <w:rPr>
          <w:sz w:val="22"/>
        </w:rPr>
        <w:t xml:space="preserve"> first </w:t>
      </w:r>
      <w:proofErr w:type="spellStart"/>
      <w:r w:rsidR="004528E2">
        <w:rPr>
          <w:sz w:val="22"/>
        </w:rPr>
        <w:t>JobMaker</w:t>
      </w:r>
      <w:proofErr w:type="spellEnd"/>
      <w:r w:rsidR="004528E2">
        <w:rPr>
          <w:sz w:val="22"/>
        </w:rPr>
        <w:t xml:space="preserve"> </w:t>
      </w:r>
      <w:r w:rsidR="00C532EC">
        <w:rPr>
          <w:sz w:val="22"/>
        </w:rPr>
        <w:t xml:space="preserve">period, </w:t>
      </w:r>
      <w:r w:rsidR="00821391">
        <w:rPr>
          <w:sz w:val="22"/>
        </w:rPr>
        <w:t>TBT Co</w:t>
      </w:r>
      <w:r w:rsidR="00C532EC">
        <w:rPr>
          <w:sz w:val="22"/>
        </w:rPr>
        <w:t xml:space="preserve"> </w:t>
      </w:r>
      <w:r w:rsidR="000978C8">
        <w:rPr>
          <w:sz w:val="22"/>
        </w:rPr>
        <w:t xml:space="preserve">employed </w:t>
      </w:r>
      <w:r w:rsidR="00B150BA">
        <w:rPr>
          <w:sz w:val="22"/>
        </w:rPr>
        <w:t>three </w:t>
      </w:r>
      <w:r w:rsidR="00C532EC">
        <w:rPr>
          <w:sz w:val="22"/>
        </w:rPr>
        <w:t>eligible employees</w:t>
      </w:r>
      <w:r w:rsidR="000978C8">
        <w:rPr>
          <w:sz w:val="22"/>
        </w:rPr>
        <w:t xml:space="preserve">, all of whom were still employed at the end of the period. However, TBT Co only had </w:t>
      </w:r>
      <w:r w:rsidR="00C532EC">
        <w:rPr>
          <w:sz w:val="22"/>
        </w:rPr>
        <w:t xml:space="preserve">a </w:t>
      </w:r>
      <w:r w:rsidR="00C51D17">
        <w:rPr>
          <w:sz w:val="22"/>
        </w:rPr>
        <w:t>headcount increase</w:t>
      </w:r>
      <w:r w:rsidR="004B6EB2">
        <w:rPr>
          <w:sz w:val="22"/>
        </w:rPr>
        <w:t xml:space="preserve"> amount</w:t>
      </w:r>
      <w:r w:rsidR="00C51D17">
        <w:rPr>
          <w:sz w:val="22"/>
        </w:rPr>
        <w:t xml:space="preserve"> </w:t>
      </w:r>
      <w:r w:rsidR="000978C8">
        <w:rPr>
          <w:sz w:val="22"/>
        </w:rPr>
        <w:t xml:space="preserve">for the period </w:t>
      </w:r>
      <w:r w:rsidR="00C51D17">
        <w:rPr>
          <w:sz w:val="22"/>
        </w:rPr>
        <w:t>of 2</w:t>
      </w:r>
      <w:r w:rsidR="00C532EC">
        <w:rPr>
          <w:sz w:val="22"/>
        </w:rPr>
        <w:t>.</w:t>
      </w:r>
      <w:r w:rsidR="00C51D17">
        <w:rPr>
          <w:sz w:val="22"/>
        </w:rPr>
        <w:t xml:space="preserve"> </w:t>
      </w:r>
      <w:r w:rsidR="0017751F">
        <w:rPr>
          <w:sz w:val="22"/>
        </w:rPr>
        <w:t xml:space="preserve">This </w:t>
      </w:r>
      <w:r w:rsidR="00AD4D63">
        <w:rPr>
          <w:sz w:val="22"/>
        </w:rPr>
        <w:t xml:space="preserve">was </w:t>
      </w:r>
      <w:r w:rsidR="0017751F">
        <w:rPr>
          <w:sz w:val="22"/>
        </w:rPr>
        <w:t>because there was one</w:t>
      </w:r>
      <w:r w:rsidR="00DD743E">
        <w:rPr>
          <w:sz w:val="22"/>
        </w:rPr>
        <w:t xml:space="preserve"> other</w:t>
      </w:r>
      <w:r w:rsidR="0017751F">
        <w:rPr>
          <w:sz w:val="22"/>
        </w:rPr>
        <w:t xml:space="preserve"> employee who left </w:t>
      </w:r>
      <w:r w:rsidR="00821391">
        <w:rPr>
          <w:sz w:val="22"/>
        </w:rPr>
        <w:t>TBT Co</w:t>
      </w:r>
      <w:r w:rsidR="0017751F">
        <w:rPr>
          <w:sz w:val="22"/>
        </w:rPr>
        <w:t xml:space="preserve"> before the end of the first </w:t>
      </w:r>
      <w:proofErr w:type="spellStart"/>
      <w:r w:rsidR="0017751F">
        <w:rPr>
          <w:sz w:val="22"/>
        </w:rPr>
        <w:t>JobMaker</w:t>
      </w:r>
      <w:proofErr w:type="spellEnd"/>
      <w:r w:rsidR="0017751F">
        <w:rPr>
          <w:sz w:val="22"/>
        </w:rPr>
        <w:t xml:space="preserve"> period.</w:t>
      </w:r>
      <w:r w:rsidR="00C51D17">
        <w:rPr>
          <w:sz w:val="22"/>
        </w:rPr>
        <w:t xml:space="preserve"> </w:t>
      </w:r>
    </w:p>
    <w:p w14:paraId="529267B4" w14:textId="7756F187" w:rsidR="00C51D17" w:rsidRDefault="00C51D17" w:rsidP="00AE25B2">
      <w:pPr>
        <w:spacing w:before="120"/>
        <w:ind w:left="720"/>
        <w:rPr>
          <w:sz w:val="22"/>
        </w:rPr>
      </w:pPr>
      <w:r>
        <w:rPr>
          <w:sz w:val="22"/>
        </w:rPr>
        <w:t xml:space="preserve">During </w:t>
      </w:r>
      <w:r w:rsidR="00166EF9">
        <w:rPr>
          <w:sz w:val="22"/>
        </w:rPr>
        <w:t xml:space="preserve">the first </w:t>
      </w:r>
      <w:proofErr w:type="spellStart"/>
      <w:r w:rsidR="00166EF9">
        <w:rPr>
          <w:sz w:val="22"/>
        </w:rPr>
        <w:t>JobMaker</w:t>
      </w:r>
      <w:proofErr w:type="spellEnd"/>
      <w:r w:rsidR="00166EF9">
        <w:rPr>
          <w:sz w:val="22"/>
        </w:rPr>
        <w:t xml:space="preserve"> </w:t>
      </w:r>
      <w:r>
        <w:rPr>
          <w:sz w:val="22"/>
        </w:rPr>
        <w:t xml:space="preserve">period, </w:t>
      </w:r>
      <w:r w:rsidR="001A7DA1">
        <w:rPr>
          <w:sz w:val="22"/>
        </w:rPr>
        <w:t>two</w:t>
      </w:r>
      <w:r>
        <w:rPr>
          <w:sz w:val="22"/>
        </w:rPr>
        <w:t xml:space="preserve"> of the eligible commenced employment </w:t>
      </w:r>
      <w:r w:rsidR="00E12262">
        <w:rPr>
          <w:sz w:val="22"/>
        </w:rPr>
        <w:t xml:space="preserve">on </w:t>
      </w:r>
      <w:r w:rsidR="008703CA">
        <w:rPr>
          <w:sz w:val="22"/>
        </w:rPr>
        <w:t>1</w:t>
      </w:r>
      <w:r w:rsidR="00AD4D63">
        <w:rPr>
          <w:sz w:val="22"/>
        </w:rPr>
        <w:t> </w:t>
      </w:r>
      <w:r w:rsidR="008703CA">
        <w:rPr>
          <w:sz w:val="22"/>
        </w:rPr>
        <w:t xml:space="preserve">November </w:t>
      </w:r>
      <w:r w:rsidR="00166EF9">
        <w:rPr>
          <w:sz w:val="22"/>
        </w:rPr>
        <w:t>2020</w:t>
      </w:r>
      <w:r w:rsidR="008703CA">
        <w:rPr>
          <w:sz w:val="22"/>
        </w:rPr>
        <w:t xml:space="preserve">. </w:t>
      </w:r>
      <w:r w:rsidR="00AD4D63">
        <w:rPr>
          <w:sz w:val="22"/>
        </w:rPr>
        <w:t xml:space="preserve">These employees were 21 and 26 years old at the time they commenced employment, and were both employed for </w:t>
      </w:r>
      <w:r w:rsidR="008703CA">
        <w:rPr>
          <w:sz w:val="22"/>
        </w:rPr>
        <w:t>67 days in the period</w:t>
      </w:r>
      <w:r w:rsidR="00E12262">
        <w:rPr>
          <w:sz w:val="22"/>
        </w:rPr>
        <w:t>.</w:t>
      </w:r>
    </w:p>
    <w:p w14:paraId="6C724A41" w14:textId="65DA6473" w:rsidR="00E12262" w:rsidRDefault="00E12262" w:rsidP="00AE25B2">
      <w:pPr>
        <w:spacing w:before="120"/>
        <w:ind w:left="720"/>
        <w:rPr>
          <w:sz w:val="22"/>
        </w:rPr>
      </w:pPr>
      <w:r>
        <w:rPr>
          <w:sz w:val="22"/>
        </w:rPr>
        <w:t>The other eligible employee was aged 35 when</w:t>
      </w:r>
      <w:r w:rsidR="00B7665F">
        <w:rPr>
          <w:sz w:val="22"/>
        </w:rPr>
        <w:t xml:space="preserve"> they commenced employment on </w:t>
      </w:r>
      <w:r w:rsidR="00757982">
        <w:rPr>
          <w:sz w:val="22"/>
        </w:rPr>
        <w:t>8</w:t>
      </w:r>
      <w:r w:rsidR="00AD4D63">
        <w:rPr>
          <w:sz w:val="22"/>
        </w:rPr>
        <w:t> </w:t>
      </w:r>
      <w:r w:rsidR="00757982">
        <w:rPr>
          <w:sz w:val="22"/>
        </w:rPr>
        <w:t xml:space="preserve">November </w:t>
      </w:r>
      <w:r w:rsidR="00166EF9">
        <w:rPr>
          <w:sz w:val="22"/>
        </w:rPr>
        <w:t>2020</w:t>
      </w:r>
      <w:r w:rsidR="00757982">
        <w:rPr>
          <w:sz w:val="22"/>
        </w:rPr>
        <w:t xml:space="preserve">. </w:t>
      </w:r>
      <w:r w:rsidR="00AD4D63">
        <w:rPr>
          <w:sz w:val="22"/>
        </w:rPr>
        <w:t xml:space="preserve">This employee was employed for </w:t>
      </w:r>
      <w:r w:rsidR="001A7DA1">
        <w:rPr>
          <w:sz w:val="22"/>
        </w:rPr>
        <w:t>60</w:t>
      </w:r>
      <w:r w:rsidR="00B7665F">
        <w:rPr>
          <w:sz w:val="22"/>
        </w:rPr>
        <w:t xml:space="preserve"> days</w:t>
      </w:r>
      <w:r w:rsidR="00757982">
        <w:rPr>
          <w:sz w:val="22"/>
        </w:rPr>
        <w:t xml:space="preserve"> in the period</w:t>
      </w:r>
      <w:r w:rsidR="00B7665F">
        <w:rPr>
          <w:sz w:val="22"/>
        </w:rPr>
        <w:t>.</w:t>
      </w:r>
    </w:p>
    <w:p w14:paraId="317AACFB" w14:textId="0A0EB629" w:rsidR="0017751F" w:rsidRDefault="0017751F" w:rsidP="00AE25B2">
      <w:pPr>
        <w:spacing w:before="120"/>
        <w:ind w:left="720"/>
        <w:rPr>
          <w:sz w:val="22"/>
        </w:rPr>
      </w:pPr>
      <w:r>
        <w:rPr>
          <w:sz w:val="22"/>
        </w:rPr>
        <w:t xml:space="preserve">For the first </w:t>
      </w:r>
      <w:proofErr w:type="spellStart"/>
      <w:r>
        <w:rPr>
          <w:sz w:val="22"/>
        </w:rPr>
        <w:t>JobMaker</w:t>
      </w:r>
      <w:proofErr w:type="spellEnd"/>
      <w:r>
        <w:rPr>
          <w:sz w:val="22"/>
        </w:rPr>
        <w:t xml:space="preserve"> period:</w:t>
      </w:r>
    </w:p>
    <w:p w14:paraId="282A2A3A" w14:textId="064C783B" w:rsidR="00B7665F" w:rsidRDefault="0017751F" w:rsidP="0017751F">
      <w:pPr>
        <w:pStyle w:val="ListParagraph"/>
        <w:numPr>
          <w:ilvl w:val="0"/>
          <w:numId w:val="68"/>
        </w:numPr>
        <w:spacing w:before="120"/>
        <w:rPr>
          <w:sz w:val="22"/>
        </w:rPr>
      </w:pPr>
      <w:r>
        <w:rPr>
          <w:sz w:val="22"/>
        </w:rPr>
        <w:t>the</w:t>
      </w:r>
      <w:r w:rsidR="00714E98">
        <w:rPr>
          <w:sz w:val="22"/>
        </w:rPr>
        <w:t xml:space="preserve"> </w:t>
      </w:r>
      <w:r w:rsidR="00712986" w:rsidRPr="0017751F">
        <w:rPr>
          <w:i/>
          <w:sz w:val="22"/>
        </w:rPr>
        <w:t>total counted days</w:t>
      </w:r>
      <w:r w:rsidR="00712986">
        <w:rPr>
          <w:sz w:val="22"/>
        </w:rPr>
        <w:t xml:space="preserve"> for the period were </w:t>
      </w:r>
      <w:r>
        <w:rPr>
          <w:sz w:val="22"/>
        </w:rPr>
        <w:t>194</w:t>
      </w:r>
      <w:r w:rsidR="00712986">
        <w:rPr>
          <w:sz w:val="22"/>
        </w:rPr>
        <w:t xml:space="preserve"> (</w:t>
      </w:r>
      <w:r>
        <w:rPr>
          <w:sz w:val="22"/>
        </w:rPr>
        <w:t>134</w:t>
      </w:r>
      <w:r w:rsidR="00E4565E">
        <w:rPr>
          <w:sz w:val="22"/>
        </w:rPr>
        <w:t xml:space="preserve"> </w:t>
      </w:r>
      <w:r w:rsidR="00712986">
        <w:rPr>
          <w:sz w:val="22"/>
        </w:rPr>
        <w:t>higher rate days</w:t>
      </w:r>
      <w:r w:rsidR="00E4565E">
        <w:rPr>
          <w:sz w:val="22"/>
        </w:rPr>
        <w:t xml:space="preserve"> and </w:t>
      </w:r>
      <w:r>
        <w:rPr>
          <w:sz w:val="22"/>
        </w:rPr>
        <w:t>60</w:t>
      </w:r>
      <w:r w:rsidR="00686A2B">
        <w:rPr>
          <w:sz w:val="22"/>
        </w:rPr>
        <w:t> </w:t>
      </w:r>
      <w:r w:rsidR="005856ED">
        <w:rPr>
          <w:sz w:val="22"/>
        </w:rPr>
        <w:t>lower rate days</w:t>
      </w:r>
      <w:r>
        <w:rPr>
          <w:sz w:val="22"/>
        </w:rPr>
        <w:t>); and</w:t>
      </w:r>
    </w:p>
    <w:p w14:paraId="28D46631" w14:textId="3EAD2ADA" w:rsidR="00712986" w:rsidRDefault="0017751F" w:rsidP="0017751F">
      <w:pPr>
        <w:pStyle w:val="ListParagraph"/>
        <w:numPr>
          <w:ilvl w:val="0"/>
          <w:numId w:val="68"/>
        </w:numPr>
        <w:spacing w:before="120"/>
        <w:rPr>
          <w:sz w:val="22"/>
        </w:rPr>
      </w:pPr>
      <w:proofErr w:type="gramStart"/>
      <w:r>
        <w:rPr>
          <w:sz w:val="22"/>
        </w:rPr>
        <w:lastRenderedPageBreak/>
        <w:t>the</w:t>
      </w:r>
      <w:proofErr w:type="gramEnd"/>
      <w:r w:rsidR="00712986">
        <w:rPr>
          <w:sz w:val="22"/>
        </w:rPr>
        <w:t xml:space="preserve"> </w:t>
      </w:r>
      <w:r w:rsidR="00712986" w:rsidRPr="0017751F">
        <w:rPr>
          <w:i/>
          <w:sz w:val="22"/>
        </w:rPr>
        <w:t>maximum days payable</w:t>
      </w:r>
      <w:r w:rsidR="00712986">
        <w:rPr>
          <w:sz w:val="22"/>
        </w:rPr>
        <w:t xml:space="preserve"> </w:t>
      </w:r>
      <w:r>
        <w:rPr>
          <w:sz w:val="22"/>
        </w:rPr>
        <w:t>was</w:t>
      </w:r>
      <w:r w:rsidR="00981A7C">
        <w:rPr>
          <w:sz w:val="22"/>
        </w:rPr>
        <w:t xml:space="preserve"> 184 (</w:t>
      </w:r>
      <w:r w:rsidR="00A724E7">
        <w:rPr>
          <w:sz w:val="22"/>
        </w:rPr>
        <w:t>headcount</w:t>
      </w:r>
      <w:r w:rsidR="00D97633">
        <w:rPr>
          <w:sz w:val="22"/>
        </w:rPr>
        <w:t xml:space="preserve"> increase </w:t>
      </w:r>
      <w:r w:rsidR="004B6EB2">
        <w:rPr>
          <w:sz w:val="22"/>
        </w:rPr>
        <w:t xml:space="preserve">amount </w:t>
      </w:r>
      <w:r w:rsidR="00D97633">
        <w:rPr>
          <w:sz w:val="22"/>
        </w:rPr>
        <w:t>of 2</w:t>
      </w:r>
      <w:r w:rsidR="00686A2B">
        <w:rPr>
          <w:sz w:val="22"/>
        </w:rPr>
        <w:t> </w:t>
      </w:r>
      <w:r w:rsidR="00A724E7">
        <w:rPr>
          <w:sz w:val="22"/>
        </w:rPr>
        <w:t>multiplied by 92 days in the period</w:t>
      </w:r>
      <w:r w:rsidR="00D97633">
        <w:rPr>
          <w:sz w:val="22"/>
        </w:rPr>
        <w:t>)</w:t>
      </w:r>
      <w:r w:rsidR="00A724E7">
        <w:rPr>
          <w:sz w:val="22"/>
        </w:rPr>
        <w:t>.</w:t>
      </w:r>
    </w:p>
    <w:p w14:paraId="50674478" w14:textId="77777777" w:rsidR="004528E2" w:rsidRDefault="004528E2" w:rsidP="004528E2">
      <w:pPr>
        <w:spacing w:before="120"/>
        <w:ind w:left="720"/>
        <w:rPr>
          <w:sz w:val="22"/>
        </w:rPr>
      </w:pPr>
      <w:r>
        <w:rPr>
          <w:sz w:val="22"/>
        </w:rPr>
        <w:t xml:space="preserve">Because TBT </w:t>
      </w:r>
      <w:proofErr w:type="spellStart"/>
      <w:r>
        <w:rPr>
          <w:sz w:val="22"/>
        </w:rPr>
        <w:t>Co’s</w:t>
      </w:r>
      <w:proofErr w:type="spellEnd"/>
      <w:r>
        <w:rPr>
          <w:sz w:val="22"/>
        </w:rPr>
        <w:t xml:space="preserve"> total counted days exceeded its maximum payable days for the </w:t>
      </w:r>
      <w:proofErr w:type="spellStart"/>
      <w:r>
        <w:rPr>
          <w:sz w:val="22"/>
        </w:rPr>
        <w:t>JobMaker</w:t>
      </w:r>
      <w:proofErr w:type="spellEnd"/>
      <w:r>
        <w:rPr>
          <w:sz w:val="22"/>
        </w:rPr>
        <w:t xml:space="preserve"> period, TBT Co must reduce the total counted days to its maximum payable days. To ensure TBT Co obtains the highest payment possible, this is done by reducing its number of lower rate days from 60 to 50. For the purposes of the calculation of the headcount amount for the first </w:t>
      </w:r>
      <w:proofErr w:type="spellStart"/>
      <w:r>
        <w:rPr>
          <w:sz w:val="22"/>
        </w:rPr>
        <w:t>JobMaker</w:t>
      </w:r>
      <w:proofErr w:type="spellEnd"/>
      <w:r>
        <w:rPr>
          <w:sz w:val="22"/>
        </w:rPr>
        <w:t xml:space="preserve"> period, TBT Co has 134 higher rate days and 50 lower rate days.  </w:t>
      </w:r>
    </w:p>
    <w:p w14:paraId="5955754D" w14:textId="59F38A44" w:rsidR="0080403F" w:rsidRDefault="00821391" w:rsidP="0080403F">
      <w:pPr>
        <w:spacing w:before="120"/>
        <w:ind w:left="720"/>
        <w:rPr>
          <w:sz w:val="22"/>
        </w:rPr>
      </w:pPr>
      <w:r>
        <w:rPr>
          <w:sz w:val="22"/>
        </w:rPr>
        <w:t>TBT Co</w:t>
      </w:r>
      <w:r w:rsidR="00AB636F">
        <w:rPr>
          <w:sz w:val="22"/>
        </w:rPr>
        <w:t xml:space="preserve"> </w:t>
      </w:r>
      <w:r w:rsidR="0017751F">
        <w:rPr>
          <w:sz w:val="22"/>
        </w:rPr>
        <w:t>calculates</w:t>
      </w:r>
      <w:r w:rsidR="00AB636F">
        <w:rPr>
          <w:sz w:val="22"/>
        </w:rPr>
        <w:t xml:space="preserve"> its</w:t>
      </w:r>
      <w:r w:rsidR="0080403F">
        <w:rPr>
          <w:sz w:val="22"/>
        </w:rPr>
        <w:t xml:space="preserve"> </w:t>
      </w:r>
      <w:r w:rsidR="00AB636F">
        <w:rPr>
          <w:sz w:val="22"/>
        </w:rPr>
        <w:t>headcount amount</w:t>
      </w:r>
      <w:r w:rsidR="00075AA3">
        <w:rPr>
          <w:sz w:val="22"/>
        </w:rPr>
        <w:t xml:space="preserve"> </w:t>
      </w:r>
      <w:r w:rsidR="0017751F">
        <w:rPr>
          <w:sz w:val="22"/>
        </w:rPr>
        <w:t>as the sum of:</w:t>
      </w:r>
    </w:p>
    <w:p w14:paraId="423F485C" w14:textId="5E208508" w:rsidR="00AB636F" w:rsidRDefault="004528E2" w:rsidP="00737A2E">
      <w:pPr>
        <w:pStyle w:val="ListParagraph"/>
        <w:numPr>
          <w:ilvl w:val="0"/>
          <w:numId w:val="68"/>
        </w:numPr>
        <w:spacing w:before="120"/>
        <w:rPr>
          <w:sz w:val="22"/>
        </w:rPr>
      </w:pPr>
      <w:r>
        <w:rPr>
          <w:sz w:val="22"/>
        </w:rPr>
        <w:t xml:space="preserve">the amount derived from </w:t>
      </w:r>
      <w:r w:rsidR="00737A2E">
        <w:rPr>
          <w:sz w:val="22"/>
        </w:rPr>
        <w:t>multiplying the 134</w:t>
      </w:r>
      <w:r w:rsidR="00AB636F">
        <w:rPr>
          <w:sz w:val="22"/>
        </w:rPr>
        <w:t xml:space="preserve"> higher rate days by $200</w:t>
      </w:r>
      <w:r w:rsidR="00737A2E">
        <w:rPr>
          <w:sz w:val="22"/>
        </w:rPr>
        <w:t>, di</w:t>
      </w:r>
      <w:r w:rsidR="00075AA3">
        <w:rPr>
          <w:sz w:val="22"/>
        </w:rPr>
        <w:t>vide the result by</w:t>
      </w:r>
      <w:r w:rsidR="00AB636F">
        <w:rPr>
          <w:sz w:val="22"/>
        </w:rPr>
        <w:t xml:space="preserve"> 7 and round</w:t>
      </w:r>
      <w:r w:rsidR="00153F01">
        <w:rPr>
          <w:sz w:val="22"/>
        </w:rPr>
        <w:t xml:space="preserve"> up to the nearest cent</w:t>
      </w:r>
      <w:r w:rsidR="00737A2E">
        <w:rPr>
          <w:sz w:val="22"/>
        </w:rPr>
        <w:t>, which is $3,828.58</w:t>
      </w:r>
      <w:r>
        <w:rPr>
          <w:sz w:val="22"/>
        </w:rPr>
        <w:t>;</w:t>
      </w:r>
      <w:r w:rsidR="00737A2E">
        <w:rPr>
          <w:sz w:val="22"/>
        </w:rPr>
        <w:t xml:space="preserve"> and</w:t>
      </w:r>
    </w:p>
    <w:p w14:paraId="3D5A85B9" w14:textId="0F927505" w:rsidR="00AB636F" w:rsidRDefault="004528E2" w:rsidP="00737A2E">
      <w:pPr>
        <w:pStyle w:val="ListParagraph"/>
        <w:numPr>
          <w:ilvl w:val="0"/>
          <w:numId w:val="68"/>
        </w:numPr>
        <w:spacing w:before="120"/>
        <w:rPr>
          <w:sz w:val="22"/>
        </w:rPr>
      </w:pPr>
      <w:proofErr w:type="gramStart"/>
      <w:r>
        <w:rPr>
          <w:sz w:val="22"/>
        </w:rPr>
        <w:t>the</w:t>
      </w:r>
      <w:proofErr w:type="gramEnd"/>
      <w:r>
        <w:rPr>
          <w:sz w:val="22"/>
        </w:rPr>
        <w:t xml:space="preserve"> amount derived from </w:t>
      </w:r>
      <w:r w:rsidR="00737A2E">
        <w:rPr>
          <w:sz w:val="22"/>
        </w:rPr>
        <w:t>multiplying the 50</w:t>
      </w:r>
      <w:r w:rsidR="00AB636F">
        <w:rPr>
          <w:sz w:val="22"/>
        </w:rPr>
        <w:t xml:space="preserve"> lower rate </w:t>
      </w:r>
      <w:r w:rsidR="006A565F">
        <w:rPr>
          <w:sz w:val="22"/>
        </w:rPr>
        <w:t>days</w:t>
      </w:r>
      <w:r w:rsidR="00AB636F">
        <w:rPr>
          <w:sz w:val="22"/>
        </w:rPr>
        <w:t xml:space="preserve"> by $100</w:t>
      </w:r>
      <w:r w:rsidR="00737A2E">
        <w:rPr>
          <w:sz w:val="22"/>
        </w:rPr>
        <w:t>, di</w:t>
      </w:r>
      <w:r w:rsidR="00075AA3">
        <w:rPr>
          <w:sz w:val="22"/>
        </w:rPr>
        <w:t>vide the result</w:t>
      </w:r>
      <w:r w:rsidR="00AB636F">
        <w:rPr>
          <w:sz w:val="22"/>
        </w:rPr>
        <w:t xml:space="preserve"> by 7 </w:t>
      </w:r>
      <w:r w:rsidR="00153F01">
        <w:rPr>
          <w:sz w:val="22"/>
        </w:rPr>
        <w:t>and round up to the nearest cent</w:t>
      </w:r>
      <w:r w:rsidR="00737A2E">
        <w:rPr>
          <w:sz w:val="22"/>
        </w:rPr>
        <w:t>, which is $714.29</w:t>
      </w:r>
      <w:r w:rsidR="00153F01">
        <w:rPr>
          <w:sz w:val="22"/>
        </w:rPr>
        <w:t>.</w:t>
      </w:r>
    </w:p>
    <w:p w14:paraId="2E9C26CE" w14:textId="1C72581B" w:rsidR="00A724E7" w:rsidRPr="00075AA3" w:rsidRDefault="00821391" w:rsidP="002C7CFD">
      <w:pPr>
        <w:spacing w:before="120"/>
        <w:ind w:left="720"/>
        <w:rPr>
          <w:sz w:val="22"/>
        </w:rPr>
      </w:pPr>
      <w:r>
        <w:rPr>
          <w:sz w:val="22"/>
        </w:rPr>
        <w:t xml:space="preserve">TBT </w:t>
      </w:r>
      <w:proofErr w:type="spellStart"/>
      <w:r>
        <w:rPr>
          <w:sz w:val="22"/>
        </w:rPr>
        <w:t>Co</w:t>
      </w:r>
      <w:r w:rsidR="00075AA3" w:rsidRPr="00075AA3">
        <w:rPr>
          <w:sz w:val="22"/>
        </w:rPr>
        <w:t>’s</w:t>
      </w:r>
      <w:proofErr w:type="spellEnd"/>
      <w:r w:rsidR="00075AA3" w:rsidRPr="00075AA3">
        <w:rPr>
          <w:sz w:val="22"/>
        </w:rPr>
        <w:t xml:space="preserve"> headcount </w:t>
      </w:r>
      <w:r w:rsidR="00737A2E">
        <w:rPr>
          <w:sz w:val="22"/>
        </w:rPr>
        <w:t>amount</w:t>
      </w:r>
      <w:r w:rsidR="00075AA3" w:rsidRPr="00075AA3">
        <w:rPr>
          <w:sz w:val="22"/>
        </w:rPr>
        <w:t xml:space="preserve"> </w:t>
      </w:r>
      <w:r w:rsidR="00737A2E">
        <w:rPr>
          <w:sz w:val="22"/>
        </w:rPr>
        <w:t xml:space="preserve">for the first </w:t>
      </w:r>
      <w:proofErr w:type="spellStart"/>
      <w:r w:rsidR="00737A2E">
        <w:rPr>
          <w:sz w:val="22"/>
        </w:rPr>
        <w:t>JobMaker</w:t>
      </w:r>
      <w:proofErr w:type="spellEnd"/>
      <w:r w:rsidR="00737A2E">
        <w:rPr>
          <w:sz w:val="22"/>
        </w:rPr>
        <w:t xml:space="preserve"> period </w:t>
      </w:r>
      <w:r w:rsidR="00D904F0">
        <w:rPr>
          <w:sz w:val="22"/>
        </w:rPr>
        <w:t>(</w:t>
      </w:r>
      <w:r w:rsidR="00737A2E">
        <w:rPr>
          <w:sz w:val="22"/>
        </w:rPr>
        <w:t>between 7</w:t>
      </w:r>
      <w:r w:rsidR="00D15555">
        <w:rPr>
          <w:sz w:val="22"/>
        </w:rPr>
        <w:t> </w:t>
      </w:r>
      <w:r w:rsidR="00737A2E">
        <w:rPr>
          <w:sz w:val="22"/>
        </w:rPr>
        <w:t>October 2020 and 6 January 2021</w:t>
      </w:r>
      <w:r w:rsidR="00D904F0">
        <w:rPr>
          <w:sz w:val="22"/>
        </w:rPr>
        <w:t>)</w:t>
      </w:r>
      <w:r w:rsidR="00737A2E">
        <w:rPr>
          <w:sz w:val="22"/>
        </w:rPr>
        <w:t xml:space="preserve"> </w:t>
      </w:r>
      <w:r w:rsidR="00075AA3">
        <w:rPr>
          <w:sz w:val="22"/>
        </w:rPr>
        <w:t xml:space="preserve">is </w:t>
      </w:r>
      <w:r w:rsidR="00AB636F" w:rsidRPr="00075AA3">
        <w:rPr>
          <w:sz w:val="22"/>
        </w:rPr>
        <w:t>$</w:t>
      </w:r>
      <w:r w:rsidR="00737A2E">
        <w:rPr>
          <w:sz w:val="22"/>
        </w:rPr>
        <w:t>4,542.87.</w:t>
      </w:r>
      <w:r w:rsidR="00153F01" w:rsidRPr="00075AA3">
        <w:rPr>
          <w:sz w:val="22"/>
        </w:rPr>
        <w:t xml:space="preserve"> </w:t>
      </w:r>
    </w:p>
    <w:p w14:paraId="528B9F8A" w14:textId="61FFB358" w:rsidR="00924DAB" w:rsidRDefault="00924DAB" w:rsidP="00924DAB">
      <w:pPr>
        <w:pStyle w:val="Heading4"/>
      </w:pPr>
      <w:r>
        <w:t>Working out the payroll amount</w:t>
      </w:r>
    </w:p>
    <w:p w14:paraId="66907550" w14:textId="43E26CB6" w:rsidR="002507B5" w:rsidRDefault="00F132E5" w:rsidP="009E688D">
      <w:pPr>
        <w:pStyle w:val="base-text-paragraph"/>
        <w:ind w:left="0"/>
      </w:pPr>
      <w:r>
        <w:t xml:space="preserve">The payroll amount is the excess of the </w:t>
      </w:r>
      <w:r w:rsidR="00056051">
        <w:t xml:space="preserve">total </w:t>
      </w:r>
      <w:r>
        <w:t xml:space="preserve">payroll amount for a </w:t>
      </w:r>
      <w:proofErr w:type="spellStart"/>
      <w:r>
        <w:t>JobMaker</w:t>
      </w:r>
      <w:proofErr w:type="spellEnd"/>
      <w:r>
        <w:t xml:space="preserve"> period</w:t>
      </w:r>
      <w:r w:rsidR="009E05F0">
        <w:t xml:space="preserve"> compared to the reference period </w:t>
      </w:r>
      <w:r w:rsidR="006A30DA">
        <w:t>payroll amount</w:t>
      </w:r>
      <w:r>
        <w:t xml:space="preserve"> worked out </w:t>
      </w:r>
      <w:r w:rsidR="006A30DA">
        <w:t>according to</w:t>
      </w:r>
      <w:r>
        <w:t xml:space="preserve"> the payroll increase</w:t>
      </w:r>
      <w:r w:rsidR="00260D64">
        <w:t xml:space="preserve"> condition</w:t>
      </w:r>
      <w:r>
        <w:t>.</w:t>
      </w:r>
    </w:p>
    <w:p w14:paraId="00B03130" w14:textId="18AC727A" w:rsidR="00F132E5" w:rsidRPr="0048209D" w:rsidRDefault="00F132E5" w:rsidP="00A96018">
      <w:pPr>
        <w:pStyle w:val="Heading4"/>
        <w:spacing w:after="120"/>
        <w:ind w:left="720"/>
        <w:rPr>
          <w:b/>
          <w:i w:val="0"/>
          <w:sz w:val="22"/>
          <w:u w:val="single"/>
        </w:rPr>
      </w:pPr>
      <w:r w:rsidRPr="0048209D">
        <w:rPr>
          <w:b/>
          <w:i w:val="0"/>
          <w:sz w:val="22"/>
          <w:u w:val="single"/>
        </w:rPr>
        <w:t xml:space="preserve">Example </w:t>
      </w:r>
      <w:r w:rsidR="005F0D55">
        <w:rPr>
          <w:b/>
          <w:i w:val="0"/>
          <w:sz w:val="22"/>
          <w:u w:val="single"/>
        </w:rPr>
        <w:t>5</w:t>
      </w:r>
      <w:r w:rsidRPr="0048209D">
        <w:rPr>
          <w:b/>
          <w:i w:val="0"/>
          <w:sz w:val="22"/>
          <w:u w:val="single"/>
        </w:rPr>
        <w:t xml:space="preserve">: Working out the </w:t>
      </w:r>
      <w:r w:rsidR="006968B6" w:rsidRPr="0048209D">
        <w:rPr>
          <w:b/>
          <w:i w:val="0"/>
          <w:sz w:val="22"/>
          <w:u w:val="single"/>
        </w:rPr>
        <w:t>payroll amount</w:t>
      </w:r>
      <w:r w:rsidR="00E2560E" w:rsidRPr="0048209D">
        <w:rPr>
          <w:b/>
          <w:i w:val="0"/>
          <w:sz w:val="22"/>
          <w:u w:val="single"/>
        </w:rPr>
        <w:t xml:space="preserve"> and the amount of </w:t>
      </w:r>
      <w:proofErr w:type="spellStart"/>
      <w:r w:rsidR="00E2560E" w:rsidRPr="0048209D">
        <w:rPr>
          <w:b/>
          <w:i w:val="0"/>
          <w:sz w:val="22"/>
          <w:u w:val="single"/>
        </w:rPr>
        <w:t>JobMaker</w:t>
      </w:r>
      <w:proofErr w:type="spellEnd"/>
      <w:r w:rsidR="00E2560E" w:rsidRPr="0048209D">
        <w:rPr>
          <w:b/>
          <w:i w:val="0"/>
          <w:sz w:val="22"/>
          <w:u w:val="single"/>
        </w:rPr>
        <w:t xml:space="preserve"> Hiring Credit payment</w:t>
      </w:r>
      <w:r w:rsidR="0048209D">
        <w:rPr>
          <w:b/>
          <w:i w:val="0"/>
          <w:sz w:val="22"/>
          <w:u w:val="single"/>
        </w:rPr>
        <w:t xml:space="preserve"> for the first </w:t>
      </w:r>
      <w:proofErr w:type="spellStart"/>
      <w:r w:rsidR="0048209D">
        <w:rPr>
          <w:b/>
          <w:i w:val="0"/>
          <w:sz w:val="22"/>
          <w:u w:val="single"/>
        </w:rPr>
        <w:t>JobMaker</w:t>
      </w:r>
      <w:proofErr w:type="spellEnd"/>
      <w:r w:rsidR="0048209D">
        <w:rPr>
          <w:b/>
          <w:i w:val="0"/>
          <w:sz w:val="22"/>
          <w:u w:val="single"/>
        </w:rPr>
        <w:t xml:space="preserve"> period</w:t>
      </w:r>
    </w:p>
    <w:p w14:paraId="747060BB" w14:textId="4E717B6F" w:rsidR="0050172C" w:rsidRDefault="006839D0" w:rsidP="00F85EFF">
      <w:pPr>
        <w:spacing w:before="120"/>
        <w:ind w:left="720"/>
        <w:rPr>
          <w:sz w:val="22"/>
        </w:rPr>
      </w:pPr>
      <w:r>
        <w:rPr>
          <w:sz w:val="22"/>
        </w:rPr>
        <w:t xml:space="preserve">Following on from </w:t>
      </w:r>
      <w:r w:rsidR="00726E20">
        <w:rPr>
          <w:sz w:val="22"/>
        </w:rPr>
        <w:t>E</w:t>
      </w:r>
      <w:r w:rsidR="00656596">
        <w:rPr>
          <w:sz w:val="22"/>
        </w:rPr>
        <w:t>xample</w:t>
      </w:r>
      <w:r w:rsidR="00726E20">
        <w:rPr>
          <w:sz w:val="22"/>
        </w:rPr>
        <w:t>s</w:t>
      </w:r>
      <w:r w:rsidR="00656596">
        <w:rPr>
          <w:sz w:val="22"/>
        </w:rPr>
        <w:t xml:space="preserve"> </w:t>
      </w:r>
      <w:r w:rsidR="005F0D55">
        <w:rPr>
          <w:sz w:val="22"/>
        </w:rPr>
        <w:t>3</w:t>
      </w:r>
      <w:r w:rsidR="00E05C06">
        <w:rPr>
          <w:sz w:val="22"/>
        </w:rPr>
        <w:t>.1</w:t>
      </w:r>
      <w:r w:rsidR="00726E20">
        <w:rPr>
          <w:sz w:val="22"/>
        </w:rPr>
        <w:t xml:space="preserve"> and </w:t>
      </w:r>
      <w:r w:rsidR="005F0D55">
        <w:rPr>
          <w:sz w:val="22"/>
        </w:rPr>
        <w:t>4</w:t>
      </w:r>
      <w:r w:rsidR="00195D41">
        <w:rPr>
          <w:sz w:val="22"/>
        </w:rPr>
        <w:t>,</w:t>
      </w:r>
      <w:r w:rsidR="00656596">
        <w:rPr>
          <w:sz w:val="22"/>
        </w:rPr>
        <w:t xml:space="preserve"> </w:t>
      </w:r>
      <w:r w:rsidR="00821391">
        <w:rPr>
          <w:sz w:val="22"/>
        </w:rPr>
        <w:t>TBT Co</w:t>
      </w:r>
      <w:r w:rsidR="0050172C">
        <w:rPr>
          <w:sz w:val="22"/>
        </w:rPr>
        <w:t xml:space="preserve"> ha</w:t>
      </w:r>
      <w:r w:rsidR="004528E2">
        <w:rPr>
          <w:sz w:val="22"/>
        </w:rPr>
        <w:t>d</w:t>
      </w:r>
      <w:r w:rsidR="0050172C">
        <w:rPr>
          <w:sz w:val="22"/>
        </w:rPr>
        <w:t xml:space="preserve"> </w:t>
      </w:r>
      <w:r w:rsidR="003D1FD7">
        <w:rPr>
          <w:sz w:val="22"/>
        </w:rPr>
        <w:t>a</w:t>
      </w:r>
      <w:r w:rsidR="0050172C">
        <w:rPr>
          <w:sz w:val="22"/>
        </w:rPr>
        <w:t xml:space="preserve"> payroll </w:t>
      </w:r>
      <w:r w:rsidR="00656596">
        <w:rPr>
          <w:sz w:val="22"/>
        </w:rPr>
        <w:t xml:space="preserve">increase </w:t>
      </w:r>
      <w:r w:rsidR="00981E68">
        <w:rPr>
          <w:sz w:val="22"/>
        </w:rPr>
        <w:t xml:space="preserve">because its </w:t>
      </w:r>
      <w:r w:rsidR="004528E2">
        <w:rPr>
          <w:sz w:val="22"/>
        </w:rPr>
        <w:t xml:space="preserve">total </w:t>
      </w:r>
      <w:r w:rsidR="00981E68">
        <w:rPr>
          <w:sz w:val="22"/>
        </w:rPr>
        <w:t xml:space="preserve">payroll amount for the </w:t>
      </w:r>
      <w:r w:rsidR="00F3085C">
        <w:rPr>
          <w:sz w:val="22"/>
        </w:rPr>
        <w:t xml:space="preserve">first </w:t>
      </w:r>
      <w:proofErr w:type="spellStart"/>
      <w:r w:rsidR="00F3085C">
        <w:rPr>
          <w:sz w:val="22"/>
        </w:rPr>
        <w:t>JobMaker</w:t>
      </w:r>
      <w:proofErr w:type="spellEnd"/>
      <w:r w:rsidR="00F3085C">
        <w:rPr>
          <w:sz w:val="22"/>
        </w:rPr>
        <w:t xml:space="preserve"> </w:t>
      </w:r>
      <w:r w:rsidR="0050172C" w:rsidRPr="00E2560E">
        <w:rPr>
          <w:sz w:val="22"/>
        </w:rPr>
        <w:t>period</w:t>
      </w:r>
      <w:r w:rsidR="007F4A6E">
        <w:rPr>
          <w:sz w:val="22"/>
        </w:rPr>
        <w:t xml:space="preserve"> ($104,500)</w:t>
      </w:r>
      <w:r w:rsidR="00981E68">
        <w:rPr>
          <w:sz w:val="22"/>
        </w:rPr>
        <w:t xml:space="preserve"> exceeded its baseline payroll amount </w:t>
      </w:r>
      <w:r w:rsidR="00F3085C">
        <w:rPr>
          <w:sz w:val="22"/>
        </w:rPr>
        <w:t xml:space="preserve">in the corresponding reference period </w:t>
      </w:r>
      <w:r w:rsidR="00195D41">
        <w:rPr>
          <w:sz w:val="22"/>
        </w:rPr>
        <w:t>($88,000)</w:t>
      </w:r>
      <w:r w:rsidR="00981E68" w:rsidRPr="00E2560E">
        <w:rPr>
          <w:sz w:val="22"/>
        </w:rPr>
        <w:t xml:space="preserve"> </w:t>
      </w:r>
      <w:r w:rsidR="00981E68">
        <w:rPr>
          <w:sz w:val="22"/>
        </w:rPr>
        <w:t xml:space="preserve">by </w:t>
      </w:r>
      <w:r w:rsidR="00981E68" w:rsidRPr="00E2560E">
        <w:rPr>
          <w:sz w:val="22"/>
        </w:rPr>
        <w:t>$</w:t>
      </w:r>
      <w:r w:rsidR="00E2560E" w:rsidRPr="00E2560E">
        <w:rPr>
          <w:sz w:val="22"/>
        </w:rPr>
        <w:t>14,</w:t>
      </w:r>
      <w:r w:rsidR="00B953F1">
        <w:rPr>
          <w:sz w:val="22"/>
        </w:rPr>
        <w:t>2</w:t>
      </w:r>
      <w:r w:rsidR="00E2560E" w:rsidRPr="00E2560E">
        <w:rPr>
          <w:sz w:val="22"/>
        </w:rPr>
        <w:t>00</w:t>
      </w:r>
      <w:r w:rsidR="0050172C">
        <w:rPr>
          <w:sz w:val="22"/>
        </w:rPr>
        <w:t>.</w:t>
      </w:r>
    </w:p>
    <w:p w14:paraId="251972BB" w14:textId="61AD70F5" w:rsidR="00F132E5" w:rsidRDefault="007F4A6E" w:rsidP="00F85EFF">
      <w:pPr>
        <w:spacing w:before="120"/>
        <w:ind w:left="720"/>
        <w:rPr>
          <w:sz w:val="22"/>
        </w:rPr>
      </w:pPr>
      <w:r>
        <w:rPr>
          <w:sz w:val="22"/>
        </w:rPr>
        <w:t>The</w:t>
      </w:r>
      <w:r w:rsidR="00981E68" w:rsidRPr="00E2560E">
        <w:rPr>
          <w:sz w:val="22"/>
        </w:rPr>
        <w:t xml:space="preserve"> amount </w:t>
      </w:r>
      <w:r w:rsidR="00E2560E">
        <w:rPr>
          <w:sz w:val="22"/>
        </w:rPr>
        <w:t xml:space="preserve">of the </w:t>
      </w:r>
      <w:proofErr w:type="spellStart"/>
      <w:r w:rsidR="00E2560E">
        <w:rPr>
          <w:sz w:val="22"/>
        </w:rPr>
        <w:t>JobMaker</w:t>
      </w:r>
      <w:proofErr w:type="spellEnd"/>
      <w:r w:rsidR="00E2560E">
        <w:rPr>
          <w:sz w:val="22"/>
        </w:rPr>
        <w:t xml:space="preserve"> Hiring Credit payment </w:t>
      </w:r>
      <w:r w:rsidR="00821391">
        <w:rPr>
          <w:sz w:val="22"/>
        </w:rPr>
        <w:t>TBT Co</w:t>
      </w:r>
      <w:r w:rsidR="00E05C06">
        <w:rPr>
          <w:sz w:val="22"/>
        </w:rPr>
        <w:t xml:space="preserve"> may claim for the first </w:t>
      </w:r>
      <w:proofErr w:type="spellStart"/>
      <w:r w:rsidR="00E05C06">
        <w:rPr>
          <w:sz w:val="22"/>
        </w:rPr>
        <w:t>JobMaker</w:t>
      </w:r>
      <w:proofErr w:type="spellEnd"/>
      <w:r w:rsidR="00E05C06">
        <w:rPr>
          <w:sz w:val="22"/>
        </w:rPr>
        <w:t xml:space="preserve"> period </w:t>
      </w:r>
      <w:r w:rsidR="00E2560E">
        <w:rPr>
          <w:sz w:val="22"/>
        </w:rPr>
        <w:t>is the lesser of:</w:t>
      </w:r>
    </w:p>
    <w:p w14:paraId="363353A5" w14:textId="23CA905E" w:rsidR="007F4A6E" w:rsidRDefault="007F4A6E" w:rsidP="007F4A6E">
      <w:pPr>
        <w:pStyle w:val="ListParagraph"/>
        <w:numPr>
          <w:ilvl w:val="0"/>
          <w:numId w:val="68"/>
        </w:numPr>
        <w:spacing w:before="120"/>
        <w:rPr>
          <w:sz w:val="22"/>
        </w:rPr>
      </w:pPr>
      <w:r>
        <w:rPr>
          <w:sz w:val="22"/>
        </w:rPr>
        <w:t>the headcount amount, $</w:t>
      </w:r>
      <w:r w:rsidR="00737A2E">
        <w:rPr>
          <w:sz w:val="22"/>
        </w:rPr>
        <w:t>4,542.87</w:t>
      </w:r>
      <w:r>
        <w:rPr>
          <w:sz w:val="22"/>
        </w:rPr>
        <w:t>;</w:t>
      </w:r>
      <w:r w:rsidR="00F31512">
        <w:rPr>
          <w:sz w:val="22"/>
        </w:rPr>
        <w:t xml:space="preserve"> </w:t>
      </w:r>
      <w:r>
        <w:rPr>
          <w:sz w:val="22"/>
        </w:rPr>
        <w:t xml:space="preserve">and </w:t>
      </w:r>
    </w:p>
    <w:p w14:paraId="6A1CA80C" w14:textId="53C75A4F" w:rsidR="007F4A6E" w:rsidRDefault="007F4A6E" w:rsidP="007F4A6E">
      <w:pPr>
        <w:pStyle w:val="ListParagraph"/>
        <w:numPr>
          <w:ilvl w:val="0"/>
          <w:numId w:val="68"/>
        </w:numPr>
        <w:spacing w:before="120"/>
        <w:rPr>
          <w:sz w:val="22"/>
        </w:rPr>
      </w:pPr>
      <w:proofErr w:type="gramStart"/>
      <w:r>
        <w:rPr>
          <w:sz w:val="22"/>
        </w:rPr>
        <w:t>the</w:t>
      </w:r>
      <w:proofErr w:type="gramEnd"/>
      <w:r>
        <w:rPr>
          <w:sz w:val="22"/>
        </w:rPr>
        <w:t xml:space="preserve"> payroll amount, $14,</w:t>
      </w:r>
      <w:r w:rsidR="00B953F1">
        <w:rPr>
          <w:sz w:val="22"/>
        </w:rPr>
        <w:t>2</w:t>
      </w:r>
      <w:r>
        <w:rPr>
          <w:sz w:val="22"/>
        </w:rPr>
        <w:t>00.</w:t>
      </w:r>
    </w:p>
    <w:p w14:paraId="0C6E0F8F" w14:textId="7E1EEBA0" w:rsidR="00E2560E" w:rsidRDefault="00821391" w:rsidP="00F85EFF">
      <w:pPr>
        <w:spacing w:before="120"/>
        <w:ind w:left="720"/>
        <w:rPr>
          <w:sz w:val="22"/>
        </w:rPr>
      </w:pPr>
      <w:r>
        <w:rPr>
          <w:sz w:val="22"/>
        </w:rPr>
        <w:t>TBT Co</w:t>
      </w:r>
      <w:r w:rsidR="00E2560E">
        <w:rPr>
          <w:sz w:val="22"/>
        </w:rPr>
        <w:t xml:space="preserve"> claims the </w:t>
      </w:r>
      <w:proofErr w:type="spellStart"/>
      <w:r w:rsidR="00E2560E">
        <w:rPr>
          <w:sz w:val="22"/>
        </w:rPr>
        <w:t>JobMaker</w:t>
      </w:r>
      <w:proofErr w:type="spellEnd"/>
      <w:r w:rsidR="00E2560E">
        <w:rPr>
          <w:sz w:val="22"/>
        </w:rPr>
        <w:t xml:space="preserve"> Hiring Credit in the amount of $</w:t>
      </w:r>
      <w:r w:rsidR="00737A2E">
        <w:rPr>
          <w:sz w:val="22"/>
        </w:rPr>
        <w:t>4,542.87</w:t>
      </w:r>
      <w:r w:rsidR="00E2560E">
        <w:rPr>
          <w:sz w:val="22"/>
        </w:rPr>
        <w:t xml:space="preserve"> for the first </w:t>
      </w:r>
      <w:proofErr w:type="spellStart"/>
      <w:r w:rsidR="00E2560E">
        <w:rPr>
          <w:sz w:val="22"/>
        </w:rPr>
        <w:t>JobMaker</w:t>
      </w:r>
      <w:proofErr w:type="spellEnd"/>
      <w:r w:rsidR="00E2560E">
        <w:rPr>
          <w:sz w:val="22"/>
        </w:rPr>
        <w:t xml:space="preserve"> period </w:t>
      </w:r>
      <w:r w:rsidR="004528E2">
        <w:rPr>
          <w:sz w:val="22"/>
        </w:rPr>
        <w:t>(</w:t>
      </w:r>
      <w:r w:rsidR="00E2560E">
        <w:rPr>
          <w:sz w:val="22"/>
        </w:rPr>
        <w:t>between 7 October 2020 and 6 January 2021</w:t>
      </w:r>
      <w:r w:rsidR="004528E2">
        <w:rPr>
          <w:sz w:val="22"/>
        </w:rPr>
        <w:t>)</w:t>
      </w:r>
      <w:r w:rsidR="00E2560E">
        <w:rPr>
          <w:sz w:val="22"/>
        </w:rPr>
        <w:t>.</w:t>
      </w:r>
    </w:p>
    <w:p w14:paraId="583DBDF0" w14:textId="7710A279" w:rsidR="00A37D38" w:rsidRDefault="00DF3F25" w:rsidP="00A37D38">
      <w:pPr>
        <w:pStyle w:val="Heading3"/>
      </w:pPr>
      <w:r>
        <w:t>Payment by the Commissioner and administration</w:t>
      </w:r>
    </w:p>
    <w:p w14:paraId="04BBCAAC" w14:textId="27EE2896" w:rsidR="00DF3F25" w:rsidRDefault="00DF3F25" w:rsidP="00DE0CE5">
      <w:pPr>
        <w:spacing w:after="200"/>
        <w:ind w:right="91"/>
      </w:pPr>
      <w:r>
        <w:t xml:space="preserve">For a qualifying entity to receive the </w:t>
      </w:r>
      <w:proofErr w:type="spellStart"/>
      <w:r w:rsidR="000C0E0C">
        <w:t>JobMaker</w:t>
      </w:r>
      <w:proofErr w:type="spellEnd"/>
      <w:r w:rsidR="000C0E0C">
        <w:t xml:space="preserve"> </w:t>
      </w:r>
      <w:r>
        <w:t xml:space="preserve">payment, it must meet the entitlement conditions and give the Commissioner information about their entitlement for a </w:t>
      </w:r>
      <w:proofErr w:type="spellStart"/>
      <w:r>
        <w:t>JobMaker</w:t>
      </w:r>
      <w:proofErr w:type="spellEnd"/>
      <w:r>
        <w:t xml:space="preserve"> period in the approved form (i.e. lodge a claim for the </w:t>
      </w:r>
      <w:proofErr w:type="spellStart"/>
      <w:r>
        <w:t>JobMaker</w:t>
      </w:r>
      <w:proofErr w:type="spellEnd"/>
      <w:r>
        <w:t xml:space="preserve"> Hiring Credit</w:t>
      </w:r>
      <w:r w:rsidR="0032746E">
        <w:t xml:space="preserve"> payment for the period</w:t>
      </w:r>
      <w:r>
        <w:t>).</w:t>
      </w:r>
    </w:p>
    <w:p w14:paraId="33BADAF2" w14:textId="77777777" w:rsidR="00902438" w:rsidRDefault="00902438" w:rsidP="00902438">
      <w:pPr>
        <w:pStyle w:val="base-text-paragraph"/>
        <w:ind w:left="0"/>
      </w:pPr>
      <w:r w:rsidRPr="00B5643C">
        <w:t xml:space="preserve">If the Commissioner is satisfied that an entity is entitled </w:t>
      </w:r>
      <w:r>
        <w:t xml:space="preserve">to a </w:t>
      </w:r>
      <w:proofErr w:type="spellStart"/>
      <w:r>
        <w:t>J</w:t>
      </w:r>
      <w:r w:rsidRPr="00B5643C">
        <w:t>ob</w:t>
      </w:r>
      <w:r>
        <w:t>Maker</w:t>
      </w:r>
      <w:proofErr w:type="spellEnd"/>
      <w:r>
        <w:t xml:space="preserve"> Hiring C</w:t>
      </w:r>
      <w:r w:rsidRPr="00B5643C">
        <w:t>redit payment for a period, the Commissioner must</w:t>
      </w:r>
      <w:r>
        <w:t>, as soon as practicable,</w:t>
      </w:r>
      <w:r w:rsidRPr="00B5643C">
        <w:t xml:space="preserve"> pay the </w:t>
      </w:r>
      <w:r>
        <w:t>entity in accordance with Rules</w:t>
      </w:r>
      <w:r w:rsidRPr="00B5643C">
        <w:t xml:space="preserve"> and the Act.</w:t>
      </w:r>
      <w:r>
        <w:t xml:space="preserve"> </w:t>
      </w:r>
    </w:p>
    <w:p w14:paraId="74A17F7C" w14:textId="734CD566" w:rsidR="00DF3F25" w:rsidRDefault="00DF3F25" w:rsidP="00DE0CE5">
      <w:pPr>
        <w:spacing w:after="200"/>
        <w:ind w:right="91"/>
      </w:pPr>
      <w:r>
        <w:lastRenderedPageBreak/>
        <w:t xml:space="preserve">Where the Commissioner has paid the entity </w:t>
      </w:r>
      <w:r w:rsidR="00777E34">
        <w:t xml:space="preserve">for the </w:t>
      </w:r>
      <w:proofErr w:type="spellStart"/>
      <w:r w:rsidR="00777E34">
        <w:t>JobMaker</w:t>
      </w:r>
      <w:proofErr w:type="spellEnd"/>
      <w:r w:rsidR="00777E34">
        <w:t xml:space="preserve"> period</w:t>
      </w:r>
      <w:r>
        <w:t xml:space="preserve"> </w:t>
      </w:r>
      <w:r w:rsidR="00777E34">
        <w:t xml:space="preserve">and that amount is consistent with the </w:t>
      </w:r>
      <w:r w:rsidR="00777E34" w:rsidRPr="00B5643C">
        <w:t>Commissioner being satisfied that the ent</w:t>
      </w:r>
      <w:r w:rsidR="001B126E">
        <w:t xml:space="preserve">ity is entitled to the full amount of </w:t>
      </w:r>
      <w:proofErr w:type="spellStart"/>
      <w:r w:rsidR="00777E34">
        <w:t>JobMaker</w:t>
      </w:r>
      <w:proofErr w:type="spellEnd"/>
      <w:r w:rsidR="00777E34" w:rsidRPr="00B5643C">
        <w:t xml:space="preserve"> </w:t>
      </w:r>
      <w:r w:rsidR="00777E34">
        <w:t>Hiring Credit</w:t>
      </w:r>
      <w:r w:rsidR="00777E34" w:rsidRPr="00B5643C">
        <w:t xml:space="preserve"> </w:t>
      </w:r>
      <w:r w:rsidR="001B126E">
        <w:t xml:space="preserve">payment </w:t>
      </w:r>
      <w:r w:rsidR="00777E34" w:rsidRPr="00B5643C">
        <w:t>for the period</w:t>
      </w:r>
      <w:r w:rsidR="00777E34">
        <w:t xml:space="preserve">, the Commissioner is taken to have given notice </w:t>
      </w:r>
      <w:r w:rsidR="0049529E">
        <w:t xml:space="preserve">of decision </w:t>
      </w:r>
      <w:r w:rsidR="00777E34">
        <w:t>to the entity on the same day the payment is made</w:t>
      </w:r>
      <w:r w:rsidR="0049529E">
        <w:t xml:space="preserve"> unless notice was provided at an earlier time</w:t>
      </w:r>
      <w:r w:rsidR="00777E34">
        <w:t>.</w:t>
      </w:r>
    </w:p>
    <w:p w14:paraId="3710BFA5" w14:textId="016FD11C" w:rsidR="00B06C64" w:rsidRDefault="00B06C64" w:rsidP="00DE0CE5">
      <w:pPr>
        <w:spacing w:after="200"/>
        <w:ind w:right="91"/>
      </w:pPr>
      <w:r>
        <w:t xml:space="preserve">However, if the Commissioner has paid the entity (including of a nil amount) for the </w:t>
      </w:r>
      <w:proofErr w:type="spellStart"/>
      <w:r>
        <w:t>JobMaker</w:t>
      </w:r>
      <w:proofErr w:type="spellEnd"/>
      <w:r>
        <w:t xml:space="preserve"> period and that amount is not consistent with the Commissioner </w:t>
      </w:r>
      <w:r w:rsidRPr="00B5643C">
        <w:t xml:space="preserve">being satisfied that the entity is entitled to </w:t>
      </w:r>
      <w:r w:rsidR="001B126E">
        <w:t>the full amount of the</w:t>
      </w:r>
      <w:r w:rsidRPr="00B5643C">
        <w:t xml:space="preserve"> </w:t>
      </w:r>
      <w:proofErr w:type="spellStart"/>
      <w:r>
        <w:t>JobMaker</w:t>
      </w:r>
      <w:proofErr w:type="spellEnd"/>
      <w:r w:rsidRPr="00B5643C">
        <w:t xml:space="preserve"> </w:t>
      </w:r>
      <w:r>
        <w:t>Hiring Credit</w:t>
      </w:r>
      <w:r w:rsidRPr="00B5643C">
        <w:t xml:space="preserve"> </w:t>
      </w:r>
      <w:r w:rsidR="001B126E">
        <w:t xml:space="preserve">payment </w:t>
      </w:r>
      <w:r w:rsidRPr="00B5643C">
        <w:t>for the period</w:t>
      </w:r>
      <w:r>
        <w:t>, the Commissioner must give</w:t>
      </w:r>
      <w:r w:rsidR="001B126E">
        <w:t xml:space="preserve"> a</w:t>
      </w:r>
      <w:r>
        <w:t xml:space="preserve"> notice to the entity as soon as practicable after the decision is made.</w:t>
      </w:r>
    </w:p>
    <w:p w14:paraId="39B5D319" w14:textId="1451C89C" w:rsidR="00902438" w:rsidRDefault="00902438" w:rsidP="00DE0CE5">
      <w:pPr>
        <w:spacing w:after="200"/>
        <w:ind w:right="91"/>
      </w:pPr>
      <w:r>
        <w:t xml:space="preserve">Where the Commissioner has overpaid an entity a payment, the entity must repay the overpaid amount to the Commissioner under section </w:t>
      </w:r>
      <w:r w:rsidR="001A7B49">
        <w:t>9</w:t>
      </w:r>
      <w:r>
        <w:t xml:space="preserve"> of the Act. This can arise where the entity is not entitled to the whole or part of a payment that is made, or where the entity is paid more than the correct amount. Therefore, the payment itself does not mean that the entity is entitled to the </w:t>
      </w:r>
      <w:proofErr w:type="spellStart"/>
      <w:r>
        <w:t>JobMaker</w:t>
      </w:r>
      <w:proofErr w:type="spellEnd"/>
      <w:r>
        <w:t xml:space="preserve"> scheme.</w:t>
      </w:r>
    </w:p>
    <w:p w14:paraId="0A053894" w14:textId="77777777" w:rsidR="00E424DC" w:rsidRPr="008B5D0A" w:rsidRDefault="00E424DC" w:rsidP="00E424DC">
      <w:pPr>
        <w:pStyle w:val="Heading3"/>
      </w:pPr>
      <w:r>
        <w:t>L</w:t>
      </w:r>
      <w:r w:rsidRPr="00C22462">
        <w:t>ater legislation</w:t>
      </w:r>
    </w:p>
    <w:p w14:paraId="05583E57" w14:textId="627927A4" w:rsidR="00E424DC" w:rsidRDefault="00E424DC" w:rsidP="00E424DC">
      <w:pPr>
        <w:keepLines/>
      </w:pPr>
      <w:r>
        <w:t xml:space="preserve">The operation of the </w:t>
      </w:r>
      <w:proofErr w:type="spellStart"/>
      <w:r>
        <w:t>JobMaker</w:t>
      </w:r>
      <w:proofErr w:type="spellEnd"/>
      <w:r>
        <w:t xml:space="preserve"> scheme will be closely monitored to ensure that it provides an effective </w:t>
      </w:r>
      <w:r w:rsidR="005249ED">
        <w:t>incentive</w:t>
      </w:r>
      <w:r>
        <w:t xml:space="preserve"> to the entities that it is intended to assist in the period of economic recovery from the impacts of the Coronavirus. Compliance with the </w:t>
      </w:r>
      <w:r w:rsidR="00FA0689">
        <w:t xml:space="preserve">requirements for accessing </w:t>
      </w:r>
      <w:r>
        <w:t xml:space="preserve">the </w:t>
      </w:r>
      <w:proofErr w:type="spellStart"/>
      <w:r>
        <w:t>JobMaker</w:t>
      </w:r>
      <w:proofErr w:type="spellEnd"/>
      <w:r>
        <w:t xml:space="preserve"> scheme will also be monitored. </w:t>
      </w:r>
      <w:r w:rsidR="00BF10B7">
        <w:t xml:space="preserve">If </w:t>
      </w:r>
      <w:r>
        <w:t xml:space="preserve">it is determined that changes to the </w:t>
      </w:r>
      <w:proofErr w:type="spellStart"/>
      <w:r>
        <w:t>JobMaker</w:t>
      </w:r>
      <w:proofErr w:type="spellEnd"/>
      <w:r>
        <w:t xml:space="preserve"> scheme are necessary, relevant amendments will be made. Such changes may be necessary, for example, to remove an entitlement from an entity where it is determined that the entity has acted in a way which means that it should not receive or should not continue to receive the </w:t>
      </w:r>
      <w:proofErr w:type="spellStart"/>
      <w:r>
        <w:t>JobMaker</w:t>
      </w:r>
      <w:proofErr w:type="spellEnd"/>
      <w:r>
        <w:t xml:space="preserve"> Hiring Credit</w:t>
      </w:r>
      <w:r w:rsidR="00BF10B7">
        <w:t xml:space="preserve"> payment</w:t>
      </w:r>
      <w:r>
        <w:t xml:space="preserve">. </w:t>
      </w:r>
    </w:p>
    <w:p w14:paraId="57863C19" w14:textId="3EDF25BB" w:rsidR="00AF6E3A" w:rsidRDefault="0031530A" w:rsidP="00992BBF">
      <w:pPr>
        <w:keepLines/>
      </w:pPr>
      <w:r>
        <w:t>A</w:t>
      </w:r>
      <w:r w:rsidR="00E424DC">
        <w:t xml:space="preserve">ny entitlement to </w:t>
      </w:r>
      <w:proofErr w:type="spellStart"/>
      <w:r w:rsidR="00E424DC">
        <w:t>JobMaker</w:t>
      </w:r>
      <w:proofErr w:type="spellEnd"/>
      <w:r w:rsidR="00E424DC">
        <w:t xml:space="preserve"> Hiring Credit</w:t>
      </w:r>
      <w:r w:rsidR="004513DC">
        <w:t xml:space="preserve"> payment</w:t>
      </w:r>
      <w:r w:rsidR="00E424DC">
        <w:t xml:space="preserve"> may be cancelled, revoked, terminated, varied or made subject to conditions by or under later legislation.</w:t>
      </w:r>
    </w:p>
    <w:p w14:paraId="2835ADFB" w14:textId="1E9DF5DB" w:rsidR="00AF6E3A" w:rsidRDefault="00AF6E3A" w:rsidP="00FF754B">
      <w:pPr>
        <w:pStyle w:val="Heading3"/>
      </w:pPr>
      <w:r>
        <w:t xml:space="preserve">Constitutional basis of the </w:t>
      </w:r>
      <w:proofErr w:type="spellStart"/>
      <w:r>
        <w:t>JobMaker</w:t>
      </w:r>
      <w:proofErr w:type="spellEnd"/>
      <w:r>
        <w:t xml:space="preserve"> scheme</w:t>
      </w:r>
    </w:p>
    <w:p w14:paraId="68EEA32C" w14:textId="77777777" w:rsidR="003321E6" w:rsidRPr="00D40978" w:rsidRDefault="003321E6" w:rsidP="003321E6">
      <w:pPr>
        <w:rPr>
          <w:color w:val="000000"/>
          <w:szCs w:val="22"/>
        </w:rPr>
      </w:pPr>
      <w:r w:rsidRPr="00D40978">
        <w:rPr>
          <w:szCs w:val="22"/>
        </w:rPr>
        <w:t xml:space="preserve">The </w:t>
      </w:r>
      <w:r w:rsidRPr="00D40978">
        <w:rPr>
          <w:color w:val="000000"/>
          <w:szCs w:val="22"/>
        </w:rPr>
        <w:t xml:space="preserve">Amending Rules No. 9 include an express statement about the constitutional basis for the </w:t>
      </w:r>
      <w:proofErr w:type="spellStart"/>
      <w:r w:rsidRPr="00D40978">
        <w:rPr>
          <w:color w:val="000000"/>
          <w:szCs w:val="22"/>
        </w:rPr>
        <w:t>JobMaker</w:t>
      </w:r>
      <w:proofErr w:type="spellEnd"/>
      <w:r w:rsidRPr="00D40978">
        <w:rPr>
          <w:color w:val="000000"/>
          <w:szCs w:val="22"/>
        </w:rPr>
        <w:t xml:space="preserve"> scheme. </w:t>
      </w:r>
    </w:p>
    <w:p w14:paraId="25F6C72C" w14:textId="4BDF7EEA" w:rsidR="003321E6" w:rsidRPr="00D40978" w:rsidRDefault="003321E6" w:rsidP="003321E6">
      <w:pPr>
        <w:rPr>
          <w:szCs w:val="22"/>
        </w:rPr>
      </w:pPr>
      <w:r w:rsidRPr="00D40978">
        <w:rPr>
          <w:szCs w:val="22"/>
        </w:rPr>
        <w:t>The Rules rely on</w:t>
      </w:r>
      <w:r w:rsidRPr="00D40978">
        <w:rPr>
          <w:szCs w:val="22"/>
        </w:rPr>
        <w:t>:</w:t>
      </w:r>
    </w:p>
    <w:p w14:paraId="0743A3F3" w14:textId="77777777" w:rsidR="003321E6" w:rsidRPr="00D40978" w:rsidRDefault="003321E6" w:rsidP="003321E6">
      <w:pPr>
        <w:pStyle w:val="ListParagraph"/>
        <w:numPr>
          <w:ilvl w:val="0"/>
          <w:numId w:val="80"/>
        </w:numPr>
        <w:spacing w:before="0" w:after="0"/>
        <w:rPr>
          <w:szCs w:val="22"/>
        </w:rPr>
      </w:pPr>
      <w:r w:rsidRPr="00D40978">
        <w:rPr>
          <w:szCs w:val="22"/>
        </w:rPr>
        <w:t xml:space="preserve">the treaty implementation aspect of the external affairs power (section 51(xxix)); </w:t>
      </w:r>
    </w:p>
    <w:p w14:paraId="48F56743" w14:textId="77777777" w:rsidR="003321E6" w:rsidRPr="00D40978" w:rsidRDefault="003321E6" w:rsidP="003321E6">
      <w:pPr>
        <w:pStyle w:val="ListParagraph"/>
        <w:numPr>
          <w:ilvl w:val="0"/>
          <w:numId w:val="80"/>
        </w:numPr>
        <w:spacing w:before="0" w:after="0"/>
        <w:rPr>
          <w:szCs w:val="22"/>
        </w:rPr>
      </w:pPr>
      <w:r w:rsidRPr="00D40978">
        <w:rPr>
          <w:color w:val="000000"/>
          <w:szCs w:val="22"/>
        </w:rPr>
        <w:t xml:space="preserve">the power with respect to </w:t>
      </w:r>
      <w:r w:rsidRPr="00D40978">
        <w:rPr>
          <w:szCs w:val="22"/>
        </w:rPr>
        <w:t>unemployment</w:t>
      </w:r>
      <w:r w:rsidRPr="00D40978">
        <w:rPr>
          <w:color w:val="000000"/>
          <w:szCs w:val="22"/>
        </w:rPr>
        <w:t xml:space="preserve"> benefits in section 51(</w:t>
      </w:r>
      <w:proofErr w:type="spellStart"/>
      <w:r w:rsidRPr="00D40978">
        <w:rPr>
          <w:color w:val="000000"/>
          <w:szCs w:val="22"/>
        </w:rPr>
        <w:t>xxiiiA</w:t>
      </w:r>
      <w:proofErr w:type="spellEnd"/>
      <w:r w:rsidRPr="00D40978">
        <w:rPr>
          <w:color w:val="000000"/>
          <w:szCs w:val="22"/>
        </w:rPr>
        <w:t>);</w:t>
      </w:r>
    </w:p>
    <w:p w14:paraId="098741D8" w14:textId="77777777" w:rsidR="003321E6" w:rsidRPr="00D40978" w:rsidRDefault="003321E6" w:rsidP="003321E6">
      <w:pPr>
        <w:pStyle w:val="ListParagraph"/>
        <w:numPr>
          <w:ilvl w:val="0"/>
          <w:numId w:val="80"/>
        </w:numPr>
        <w:spacing w:before="0" w:after="0"/>
        <w:rPr>
          <w:szCs w:val="22"/>
        </w:rPr>
      </w:pPr>
      <w:proofErr w:type="gramStart"/>
      <w:r w:rsidRPr="00D40978">
        <w:rPr>
          <w:szCs w:val="22"/>
        </w:rPr>
        <w:t>the</w:t>
      </w:r>
      <w:proofErr w:type="gramEnd"/>
      <w:r w:rsidRPr="00D40978">
        <w:rPr>
          <w:szCs w:val="22"/>
        </w:rPr>
        <w:t xml:space="preserve"> nationhood power.</w:t>
      </w:r>
    </w:p>
    <w:p w14:paraId="02E30D75" w14:textId="77777777" w:rsidR="003321E6" w:rsidRPr="00D40978" w:rsidRDefault="003321E6" w:rsidP="003321E6">
      <w:pPr>
        <w:rPr>
          <w:szCs w:val="22"/>
          <w:lang w:eastAsia="ja-JP"/>
        </w:rPr>
      </w:pPr>
      <w:r w:rsidRPr="00D40978">
        <w:rPr>
          <w:szCs w:val="22"/>
          <w:lang w:eastAsia="ja-JP"/>
        </w:rPr>
        <w:t>Regarding the treaty implementation aspect of the external affairs power, Australia has obligations under the:</w:t>
      </w:r>
    </w:p>
    <w:p w14:paraId="5B87F368" w14:textId="77777777" w:rsidR="003321E6" w:rsidRPr="00D40978" w:rsidRDefault="003321E6" w:rsidP="003321E6">
      <w:pPr>
        <w:pStyle w:val="ListParagraph"/>
        <w:numPr>
          <w:ilvl w:val="0"/>
          <w:numId w:val="80"/>
        </w:numPr>
        <w:spacing w:before="0" w:after="0"/>
        <w:rPr>
          <w:szCs w:val="22"/>
        </w:rPr>
      </w:pPr>
      <w:r w:rsidRPr="00D40978">
        <w:rPr>
          <w:i/>
          <w:iCs/>
          <w:szCs w:val="22"/>
        </w:rPr>
        <w:t>ILO Convention concerning Employment Policy</w:t>
      </w:r>
      <w:r w:rsidRPr="00D40978">
        <w:rPr>
          <w:szCs w:val="22"/>
        </w:rPr>
        <w:t xml:space="preserve"> [1970] ATS 17 (ILO Convention 122) – in particular, Articles 1 and 2;</w:t>
      </w:r>
    </w:p>
    <w:p w14:paraId="0991B594" w14:textId="77777777" w:rsidR="003321E6" w:rsidRPr="00D40978" w:rsidRDefault="003321E6" w:rsidP="003321E6">
      <w:pPr>
        <w:pStyle w:val="ListParagraph"/>
        <w:numPr>
          <w:ilvl w:val="0"/>
          <w:numId w:val="80"/>
        </w:numPr>
        <w:spacing w:before="0" w:after="0"/>
        <w:rPr>
          <w:szCs w:val="22"/>
        </w:rPr>
      </w:pPr>
      <w:r w:rsidRPr="00D40978">
        <w:rPr>
          <w:i/>
          <w:iCs/>
          <w:szCs w:val="22"/>
        </w:rPr>
        <w:lastRenderedPageBreak/>
        <w:t>International Covenant on Economic, Social and Cultural Rights</w:t>
      </w:r>
      <w:r w:rsidRPr="00D40978">
        <w:rPr>
          <w:szCs w:val="22"/>
        </w:rPr>
        <w:t xml:space="preserve"> [1976] ATS 5 (ICESCR) – in particular, Article 6. </w:t>
      </w:r>
    </w:p>
    <w:p w14:paraId="35EF9C3F" w14:textId="77777777" w:rsidR="003321E6" w:rsidRPr="00D40978" w:rsidRDefault="003321E6" w:rsidP="003321E6">
      <w:pPr>
        <w:ind w:left="360"/>
        <w:contextualSpacing/>
        <w:rPr>
          <w:szCs w:val="22"/>
        </w:rPr>
      </w:pPr>
    </w:p>
    <w:p w14:paraId="66039E4C" w14:textId="0CA93C2D" w:rsidR="003321E6" w:rsidRPr="00D40978" w:rsidRDefault="003321E6" w:rsidP="003321E6">
      <w:pPr>
        <w:rPr>
          <w:color w:val="000000"/>
          <w:szCs w:val="22"/>
        </w:rPr>
      </w:pPr>
      <w:r w:rsidRPr="00D40978">
        <w:rPr>
          <w:color w:val="000000"/>
          <w:szCs w:val="22"/>
        </w:rPr>
        <w:t xml:space="preserve">Article 1(1) of ILO Convention 122 obliges Members to pursue ‘an active policy designed to promote full, productive and freely chosen employment.’ Article 1(2) specifies that this policy shall aim to ensure that (among other things) ‘there is work for all who are available for and seeking work’. Article 2 further obliges each State party to ‘take such steps as may be needed, including when appropriate the establishment of programmes’, to achieve the objectives specified in Article 1. </w:t>
      </w:r>
    </w:p>
    <w:p w14:paraId="37BB67CC" w14:textId="09FAA56A" w:rsidR="003321E6" w:rsidRPr="00D40978" w:rsidRDefault="003321E6" w:rsidP="003321E6">
      <w:pPr>
        <w:rPr>
          <w:color w:val="000000"/>
          <w:szCs w:val="22"/>
        </w:rPr>
      </w:pPr>
      <w:r w:rsidRPr="00D40978">
        <w:rPr>
          <w:color w:val="000000"/>
          <w:szCs w:val="22"/>
        </w:rPr>
        <w:t xml:space="preserve">Article 6(1) of the ICESCR recognises the right to </w:t>
      </w:r>
      <w:bookmarkStart w:id="1" w:name="_GoBack"/>
      <w:bookmarkEnd w:id="1"/>
      <w:r w:rsidRPr="00D40978">
        <w:rPr>
          <w:color w:val="000000"/>
          <w:szCs w:val="22"/>
        </w:rPr>
        <w:t xml:space="preserve">work, while Article 6(2) provides that the steps taken by State parties to realise this right ‘shall include technical and vocational guidance and training programmes, policies and techniques to achieve… full and productive employment…’ Article 2(1) obliges State parties to take steps to progressively realise these rights. </w:t>
      </w:r>
    </w:p>
    <w:p w14:paraId="03F8B1C0" w14:textId="0504FE82" w:rsidR="00124A74" w:rsidRDefault="003321E6" w:rsidP="002A7934">
      <w:pPr>
        <w:rPr>
          <w:color w:val="000000"/>
          <w:szCs w:val="24"/>
        </w:rPr>
      </w:pPr>
      <w:r w:rsidRPr="00D40978">
        <w:rPr>
          <w:color w:val="000000"/>
          <w:szCs w:val="22"/>
        </w:rPr>
        <w:t xml:space="preserve">The statement inserted into the rules refers to the obligations that Australia has under these instruments as in force ‘from time to time’. This timing reflects that Australia’s obligations under those instruments may change over time (for example, in the event of an amendment to one of the instruments). The reference to these obligations are not within the scope of section 14 of the </w:t>
      </w:r>
      <w:r w:rsidRPr="00D40978">
        <w:rPr>
          <w:i/>
          <w:iCs/>
          <w:color w:val="000000"/>
          <w:szCs w:val="22"/>
        </w:rPr>
        <w:t>Legislation Act 2003</w:t>
      </w:r>
      <w:r w:rsidRPr="00D40978">
        <w:rPr>
          <w:color w:val="000000"/>
          <w:szCs w:val="22"/>
        </w:rPr>
        <w:t>, which deals with prescribing matters by reference to other instruments. While subsection 20(5) of the Act permits matters contained in an instrument from time to time to be incorporated into the Rules by reference, neither provision is relevant in respect of the statement about constitutional basis. This is because the statement merely describes the obligations that arise under the two instruments – it does not incorporate any part of those instruments into the Rules by reference.</w:t>
      </w:r>
    </w:p>
    <w:p w14:paraId="122D24F7" w14:textId="294C8D7F" w:rsidR="00D2105B" w:rsidRDefault="00D2105B" w:rsidP="00992BBF">
      <w:pPr>
        <w:keepLines/>
      </w:pPr>
    </w:p>
    <w:p w14:paraId="79D51BBF" w14:textId="77777777" w:rsidR="00D2105B" w:rsidRPr="00DE0CE5" w:rsidRDefault="00D2105B" w:rsidP="00D2105B">
      <w:pPr>
        <w:keepLines/>
      </w:pPr>
    </w:p>
    <w:p w14:paraId="7F9679D3" w14:textId="77777777" w:rsidR="00D2105B" w:rsidRPr="00EF6B80" w:rsidRDefault="00D2105B" w:rsidP="00D2105B">
      <w:pPr>
        <w:pageBreakBefore/>
        <w:jc w:val="right"/>
        <w:rPr>
          <w:b/>
          <w:u w:val="single"/>
        </w:rPr>
      </w:pPr>
      <w:r w:rsidRPr="00EF6B80">
        <w:rPr>
          <w:b/>
          <w:u w:val="single"/>
        </w:rPr>
        <w:lastRenderedPageBreak/>
        <w:t>ATTACHMENT B</w:t>
      </w:r>
    </w:p>
    <w:p w14:paraId="4ACC9534" w14:textId="77777777" w:rsidR="00D2105B" w:rsidRPr="00D2105B" w:rsidRDefault="00D2105B" w:rsidP="00D2105B">
      <w:pPr>
        <w:pStyle w:val="Heading3"/>
      </w:pPr>
      <w:r w:rsidRPr="00D2105B">
        <w:t>Statement of Compatibility with Human Rights</w:t>
      </w:r>
    </w:p>
    <w:p w14:paraId="2584C7FB" w14:textId="77777777" w:rsidR="00D2105B" w:rsidRPr="00D2105B" w:rsidRDefault="00D2105B" w:rsidP="00D2105B">
      <w:pPr>
        <w:jc w:val="center"/>
        <w:rPr>
          <w:i/>
        </w:rPr>
      </w:pPr>
      <w:r w:rsidRPr="00D2105B">
        <w:rPr>
          <w:i/>
        </w:rPr>
        <w:t>Prepared in accordance with Part 3 of the Human Rights (Parliamentary Scrutiny) Act 2011</w:t>
      </w:r>
    </w:p>
    <w:p w14:paraId="71F8A4B9" w14:textId="77777777" w:rsidR="00D2105B" w:rsidRPr="00D2105B" w:rsidRDefault="00D2105B" w:rsidP="00D2105B">
      <w:pPr>
        <w:rPr>
          <w:b/>
          <w:kern w:val="28"/>
        </w:rPr>
      </w:pPr>
      <w:r w:rsidRPr="00D2105B">
        <w:rPr>
          <w:b/>
          <w:kern w:val="28"/>
        </w:rPr>
        <w:t xml:space="preserve">Coronavirus Economic Response Package (Payments and Benefits) Amendment Rules (No. 9) 2020 </w:t>
      </w:r>
    </w:p>
    <w:p w14:paraId="6AD4446A" w14:textId="77777777" w:rsidR="00D2105B" w:rsidRPr="00D2105B" w:rsidRDefault="00D2105B" w:rsidP="00D2105B">
      <w:r w:rsidRPr="00D2105B">
        <w:t xml:space="preserve">This Legislative Instrument is compatible with the human rights and freedoms recognised or declared in the international instruments listed in section 3 of the </w:t>
      </w:r>
      <w:r w:rsidRPr="00D2105B">
        <w:rPr>
          <w:i/>
        </w:rPr>
        <w:t>Human Rights (Parliamentary Scrutiny) Act 2011</w:t>
      </w:r>
      <w:r w:rsidRPr="00D2105B">
        <w:t>.</w:t>
      </w:r>
    </w:p>
    <w:p w14:paraId="6C519668" w14:textId="77777777" w:rsidR="00D2105B" w:rsidRPr="00D2105B" w:rsidRDefault="00D2105B" w:rsidP="00D2105B">
      <w:pPr>
        <w:pStyle w:val="Heading3"/>
      </w:pPr>
      <w:r w:rsidRPr="00D2105B">
        <w:t>Overview of the Legislative Instrument</w:t>
      </w:r>
    </w:p>
    <w:p w14:paraId="4FDF00A8" w14:textId="54F6A10A" w:rsidR="000D3C0E" w:rsidRDefault="000D3C0E" w:rsidP="000D3C0E">
      <w:pPr>
        <w:pStyle w:val="bullet0"/>
        <w:shd w:val="clear" w:color="auto" w:fill="FFFFFF"/>
        <w:spacing w:before="240" w:beforeAutospacing="0" w:after="120" w:afterAutospacing="0"/>
        <w:rPr>
          <w:color w:val="000000"/>
        </w:rPr>
      </w:pPr>
      <w:r>
        <w:rPr>
          <w:color w:val="000000"/>
        </w:rPr>
        <w:t xml:space="preserve">The </w:t>
      </w:r>
      <w:r w:rsidRPr="00F7441F">
        <w:rPr>
          <w:color w:val="000000"/>
        </w:rPr>
        <w:t>Corona</w:t>
      </w:r>
      <w:r w:rsidRPr="00505536">
        <w:rPr>
          <w:color w:val="000000"/>
        </w:rPr>
        <w:t>virus Economic Response Package (Payments and Benefits) Amendment Rules (No. 9) 2020</w:t>
      </w:r>
      <w:r>
        <w:rPr>
          <w:color w:val="000000"/>
        </w:rPr>
        <w:t xml:space="preserve"> amend the </w:t>
      </w:r>
      <w:r>
        <w:rPr>
          <w:i/>
          <w:iCs/>
          <w:color w:val="000000"/>
        </w:rPr>
        <w:t>Coronavirus Economic Response Package (Payments and Benefits) Rules 2020</w:t>
      </w:r>
      <w:r>
        <w:rPr>
          <w:color w:val="000000"/>
        </w:rPr>
        <w:t xml:space="preserve"> to establish the </w:t>
      </w:r>
      <w:proofErr w:type="spellStart"/>
      <w:r>
        <w:rPr>
          <w:color w:val="000000"/>
        </w:rPr>
        <w:t>JobMaker</w:t>
      </w:r>
      <w:proofErr w:type="spellEnd"/>
      <w:r>
        <w:rPr>
          <w:color w:val="000000"/>
        </w:rPr>
        <w:t xml:space="preserve"> scheme and specify details about the scheme, including:</w:t>
      </w:r>
    </w:p>
    <w:p w14:paraId="3928FD0E" w14:textId="77777777" w:rsidR="000D3C0E" w:rsidRPr="00587677" w:rsidRDefault="000D3C0E" w:rsidP="000D3C0E">
      <w:pPr>
        <w:pStyle w:val="Dotpoint"/>
        <w:numPr>
          <w:ilvl w:val="0"/>
          <w:numId w:val="14"/>
        </w:numPr>
        <w:spacing w:before="120" w:after="120"/>
        <w:ind w:left="714" w:hanging="357"/>
      </w:pPr>
      <w:r>
        <w:t>the start and end date of the scheme;</w:t>
      </w:r>
    </w:p>
    <w:p w14:paraId="7480DB9F" w14:textId="77777777" w:rsidR="000D3C0E" w:rsidRDefault="000D3C0E" w:rsidP="000D3C0E">
      <w:pPr>
        <w:pStyle w:val="Dotpoint"/>
        <w:numPr>
          <w:ilvl w:val="0"/>
          <w:numId w:val="14"/>
        </w:numPr>
        <w:spacing w:before="120" w:after="120"/>
        <w:ind w:left="714" w:hanging="357"/>
      </w:pPr>
      <w:r>
        <w:t>when an employer or business is entitled to a payment;</w:t>
      </w:r>
    </w:p>
    <w:p w14:paraId="0E76654A" w14:textId="77777777" w:rsidR="000D3C0E" w:rsidRDefault="000D3C0E" w:rsidP="000D3C0E">
      <w:pPr>
        <w:pStyle w:val="Dotpoint"/>
        <w:numPr>
          <w:ilvl w:val="0"/>
          <w:numId w:val="14"/>
        </w:numPr>
        <w:spacing w:before="120" w:after="120"/>
        <w:ind w:left="714" w:hanging="357"/>
      </w:pPr>
      <w:r>
        <w:t>the amount and timing of a payment; and</w:t>
      </w:r>
    </w:p>
    <w:p w14:paraId="11041662" w14:textId="77D6E5DB" w:rsidR="00D2105B" w:rsidRPr="00D2105B" w:rsidRDefault="000D3C0E" w:rsidP="00E957FF">
      <w:pPr>
        <w:pStyle w:val="Dotpoint"/>
        <w:numPr>
          <w:ilvl w:val="0"/>
          <w:numId w:val="14"/>
        </w:numPr>
        <w:spacing w:before="120" w:after="120"/>
        <w:ind w:left="714" w:hanging="357"/>
      </w:pPr>
      <w:proofErr w:type="gramStart"/>
      <w:r>
        <w:t>other</w:t>
      </w:r>
      <w:proofErr w:type="gramEnd"/>
      <w:r>
        <w:t xml:space="preserve"> matters relevant to the administration of the payment.</w:t>
      </w:r>
    </w:p>
    <w:p w14:paraId="64DB7827" w14:textId="77777777" w:rsidR="00D2105B" w:rsidRPr="00D2105B" w:rsidRDefault="00D2105B" w:rsidP="00D2105B">
      <w:pPr>
        <w:pStyle w:val="Heading3"/>
      </w:pPr>
      <w:r w:rsidRPr="00D2105B">
        <w:t>Human rights implications</w:t>
      </w:r>
    </w:p>
    <w:p w14:paraId="529D661B" w14:textId="77777777" w:rsidR="00D2105B" w:rsidRPr="00D2105B" w:rsidRDefault="00D2105B" w:rsidP="00D2105B">
      <w:pPr>
        <w:shd w:val="clear" w:color="auto" w:fill="FFFFFF"/>
        <w:rPr>
          <w:color w:val="000000"/>
          <w:szCs w:val="24"/>
        </w:rPr>
      </w:pPr>
      <w:r w:rsidRPr="00D2105B">
        <w:rPr>
          <w:color w:val="000000"/>
        </w:rPr>
        <w:t xml:space="preserve">The </w:t>
      </w:r>
      <w:r w:rsidRPr="00D2105B">
        <w:rPr>
          <w:i/>
        </w:rPr>
        <w:t xml:space="preserve">Coronavirus Economic Response Package (Payments and Benefits) Amendment Rules (No. 9) 2020 </w:t>
      </w:r>
      <w:r w:rsidRPr="00D2105B">
        <w:rPr>
          <w:color w:val="000000"/>
        </w:rPr>
        <w:t>may engage the following human rights or freedoms:</w:t>
      </w:r>
    </w:p>
    <w:p w14:paraId="7B62EFE6" w14:textId="77777777" w:rsidR="00D2105B" w:rsidRPr="00D2105B" w:rsidRDefault="00D2105B" w:rsidP="00D2105B">
      <w:pPr>
        <w:shd w:val="clear" w:color="auto" w:fill="FFFFFF"/>
        <w:rPr>
          <w:color w:val="000000"/>
          <w:szCs w:val="24"/>
        </w:rPr>
      </w:pPr>
      <w:r w:rsidRPr="00D2105B">
        <w:rPr>
          <w:i/>
          <w:iCs/>
          <w:color w:val="000000"/>
          <w:szCs w:val="24"/>
        </w:rPr>
        <w:t>Right to work</w:t>
      </w:r>
    </w:p>
    <w:p w14:paraId="1D9A3F72" w14:textId="77777777" w:rsidR="00D2105B" w:rsidRPr="00D2105B" w:rsidRDefault="00D2105B" w:rsidP="00D2105B">
      <w:pPr>
        <w:shd w:val="clear" w:color="auto" w:fill="FFFFFF"/>
        <w:rPr>
          <w:color w:val="000000"/>
          <w:szCs w:val="24"/>
        </w:rPr>
      </w:pPr>
      <w:r w:rsidRPr="00D2105B">
        <w:rPr>
          <w:color w:val="000000"/>
          <w:szCs w:val="24"/>
        </w:rPr>
        <w:t>The measure engages the right to work in Article 6 of the International Covenant on Economic, Social and Cultural Rights.</w:t>
      </w:r>
    </w:p>
    <w:p w14:paraId="4180B9AD" w14:textId="77777777" w:rsidR="00D2105B" w:rsidRPr="00D2105B" w:rsidRDefault="00D2105B" w:rsidP="00D2105B">
      <w:pPr>
        <w:shd w:val="clear" w:color="auto" w:fill="FFFFFF"/>
        <w:rPr>
          <w:color w:val="000000"/>
          <w:szCs w:val="24"/>
        </w:rPr>
      </w:pPr>
      <w:r w:rsidRPr="00D2105B">
        <w:rPr>
          <w:color w:val="000000"/>
          <w:szCs w:val="24"/>
        </w:rPr>
        <w:t>Article 6(1) recognises the right to work and obliges States Parties to take appropriate steps to safeguard this right.</w:t>
      </w:r>
    </w:p>
    <w:p w14:paraId="026003B5" w14:textId="58A4B74F" w:rsidR="00D2105B" w:rsidRPr="00D2105B" w:rsidRDefault="00D2105B" w:rsidP="00D2105B">
      <w:pPr>
        <w:shd w:val="clear" w:color="auto" w:fill="FFFFFF"/>
        <w:rPr>
          <w:color w:val="000000"/>
          <w:szCs w:val="24"/>
        </w:rPr>
      </w:pPr>
      <w:r w:rsidRPr="00D2105B">
        <w:rPr>
          <w:color w:val="000000"/>
          <w:szCs w:val="24"/>
        </w:rPr>
        <w:t xml:space="preserve">The </w:t>
      </w:r>
      <w:proofErr w:type="spellStart"/>
      <w:r w:rsidRPr="00D2105B">
        <w:rPr>
          <w:color w:val="000000"/>
          <w:szCs w:val="24"/>
        </w:rPr>
        <w:t>JobMaker</w:t>
      </w:r>
      <w:proofErr w:type="spellEnd"/>
      <w:r w:rsidRPr="00D2105B">
        <w:rPr>
          <w:color w:val="000000"/>
          <w:szCs w:val="24"/>
        </w:rPr>
        <w:t xml:space="preserve"> scheme </w:t>
      </w:r>
      <w:r w:rsidR="00DC0D7E">
        <w:rPr>
          <w:color w:val="000000"/>
          <w:szCs w:val="24"/>
        </w:rPr>
        <w:t>under</w:t>
      </w:r>
      <w:r w:rsidRPr="00D2105B">
        <w:rPr>
          <w:color w:val="000000"/>
          <w:szCs w:val="24"/>
        </w:rPr>
        <w:t xml:space="preserve"> these amendments helps to improve the prospects of individuals getting employment in Australia and/or increasing workforce participation</w:t>
      </w:r>
      <w:r w:rsidR="00DC0D7E">
        <w:rPr>
          <w:color w:val="000000"/>
          <w:szCs w:val="24"/>
        </w:rPr>
        <w:t xml:space="preserve"> and employment</w:t>
      </w:r>
      <w:r w:rsidRPr="00D2105B">
        <w:rPr>
          <w:color w:val="000000"/>
          <w:szCs w:val="24"/>
        </w:rPr>
        <w:t xml:space="preserve"> in Australia by supporting businesses to hire additional employees</w:t>
      </w:r>
      <w:r w:rsidR="00DC0D7E">
        <w:rPr>
          <w:color w:val="000000"/>
          <w:szCs w:val="24"/>
        </w:rPr>
        <w:t>.</w:t>
      </w:r>
      <w:r w:rsidRPr="00D2105B">
        <w:rPr>
          <w:color w:val="000000"/>
          <w:szCs w:val="24"/>
        </w:rPr>
        <w:t xml:space="preserve"> </w:t>
      </w:r>
      <w:r w:rsidR="00DC0D7E">
        <w:rPr>
          <w:color w:val="000000"/>
          <w:szCs w:val="24"/>
        </w:rPr>
        <w:t>The amendments help businesses</w:t>
      </w:r>
      <w:r w:rsidRPr="00D2105B">
        <w:rPr>
          <w:color w:val="000000"/>
          <w:szCs w:val="24"/>
        </w:rPr>
        <w:t xml:space="preserve"> expand their organisation to </w:t>
      </w:r>
      <w:r w:rsidR="00DC0D7E">
        <w:rPr>
          <w:color w:val="000000"/>
          <w:szCs w:val="24"/>
        </w:rPr>
        <w:t>encourage the long term employment of</w:t>
      </w:r>
      <w:r w:rsidR="00DC0D7E" w:rsidRPr="00D2105B">
        <w:rPr>
          <w:color w:val="000000"/>
          <w:szCs w:val="24"/>
        </w:rPr>
        <w:t xml:space="preserve"> </w:t>
      </w:r>
      <w:r w:rsidRPr="00D2105B">
        <w:rPr>
          <w:color w:val="000000"/>
          <w:szCs w:val="24"/>
        </w:rPr>
        <w:t xml:space="preserve">young people </w:t>
      </w:r>
      <w:r w:rsidR="00DC0D7E">
        <w:rPr>
          <w:color w:val="000000"/>
          <w:szCs w:val="24"/>
        </w:rPr>
        <w:t xml:space="preserve">whose employment opportunities have been impacted by the Coronavirus. The </w:t>
      </w:r>
      <w:proofErr w:type="spellStart"/>
      <w:r w:rsidR="002E1FCE">
        <w:rPr>
          <w:color w:val="000000"/>
          <w:szCs w:val="24"/>
        </w:rPr>
        <w:t>JobMaker</w:t>
      </w:r>
      <w:proofErr w:type="spellEnd"/>
      <w:r w:rsidR="002E1FCE">
        <w:rPr>
          <w:color w:val="000000"/>
          <w:szCs w:val="24"/>
        </w:rPr>
        <w:t xml:space="preserve"> scheme </w:t>
      </w:r>
      <w:r w:rsidR="00DC0D7E">
        <w:rPr>
          <w:color w:val="000000"/>
          <w:szCs w:val="24"/>
        </w:rPr>
        <w:t>provide</w:t>
      </w:r>
      <w:r w:rsidR="002E1FCE">
        <w:rPr>
          <w:color w:val="000000"/>
          <w:szCs w:val="24"/>
        </w:rPr>
        <w:t>s</w:t>
      </w:r>
      <w:r w:rsidR="00DC0D7E">
        <w:rPr>
          <w:color w:val="000000"/>
          <w:szCs w:val="24"/>
        </w:rPr>
        <w:t xml:space="preserve"> adequate assistance to businesses </w:t>
      </w:r>
      <w:r w:rsidRPr="00D2105B">
        <w:rPr>
          <w:color w:val="000000"/>
          <w:szCs w:val="24"/>
        </w:rPr>
        <w:t xml:space="preserve">as the economy recovers from the Coronavirus. </w:t>
      </w:r>
    </w:p>
    <w:p w14:paraId="387AF2C6" w14:textId="7409DBF1" w:rsidR="00D2105B" w:rsidRPr="00D2105B" w:rsidRDefault="00D2105B" w:rsidP="00D2105B">
      <w:pPr>
        <w:shd w:val="clear" w:color="auto" w:fill="FFFFFF"/>
        <w:rPr>
          <w:color w:val="000000"/>
          <w:szCs w:val="24"/>
        </w:rPr>
      </w:pPr>
      <w:r w:rsidRPr="00D2105B">
        <w:rPr>
          <w:color w:val="000000"/>
          <w:szCs w:val="24"/>
        </w:rPr>
        <w:t>The measure is compatible with human rights and positively engage</w:t>
      </w:r>
      <w:r w:rsidR="002E1FCE">
        <w:rPr>
          <w:color w:val="000000"/>
          <w:szCs w:val="24"/>
        </w:rPr>
        <w:t>s</w:t>
      </w:r>
      <w:r w:rsidRPr="00D2105B">
        <w:rPr>
          <w:color w:val="000000"/>
          <w:szCs w:val="24"/>
        </w:rPr>
        <w:t xml:space="preserve"> the right to work as the </w:t>
      </w:r>
      <w:proofErr w:type="spellStart"/>
      <w:r w:rsidRPr="00D2105B">
        <w:rPr>
          <w:color w:val="000000"/>
          <w:szCs w:val="24"/>
        </w:rPr>
        <w:t>JobMaker</w:t>
      </w:r>
      <w:proofErr w:type="spellEnd"/>
      <w:r w:rsidRPr="00D2105B">
        <w:rPr>
          <w:color w:val="000000"/>
          <w:szCs w:val="24"/>
        </w:rPr>
        <w:t xml:space="preserve"> scheme is aimed to create new opportunities for work by assisting employers to create jobs for people.</w:t>
      </w:r>
    </w:p>
    <w:p w14:paraId="5FC05C5D" w14:textId="77777777" w:rsidR="00D2105B" w:rsidRPr="00D2105B" w:rsidRDefault="00D2105B" w:rsidP="00D2105B">
      <w:pPr>
        <w:shd w:val="clear" w:color="auto" w:fill="FFFFFF"/>
        <w:rPr>
          <w:color w:val="000000"/>
          <w:szCs w:val="24"/>
        </w:rPr>
      </w:pPr>
      <w:r w:rsidRPr="00D2105B">
        <w:rPr>
          <w:i/>
          <w:iCs/>
          <w:color w:val="000000"/>
          <w:szCs w:val="24"/>
        </w:rPr>
        <w:lastRenderedPageBreak/>
        <w:t>Age</w:t>
      </w:r>
    </w:p>
    <w:p w14:paraId="71A442BC" w14:textId="77777777" w:rsidR="00D2105B" w:rsidRPr="00D2105B" w:rsidRDefault="00D2105B" w:rsidP="00D2105B">
      <w:pPr>
        <w:shd w:val="clear" w:color="auto" w:fill="FFFFFF"/>
        <w:rPr>
          <w:color w:val="000000"/>
          <w:szCs w:val="24"/>
        </w:rPr>
      </w:pPr>
      <w:r w:rsidRPr="00D2105B">
        <w:rPr>
          <w:color w:val="000000"/>
          <w:szCs w:val="24"/>
        </w:rPr>
        <w:t xml:space="preserve">The Amending Rules No. 9 may also engage the rights of equality and non-discrimination contained in Articles 2 and 26 of the International Covenant on Civil and Political Rights in relation to age. This may occur because the Amending Rules No. 9 exclude entitlement to a </w:t>
      </w:r>
      <w:proofErr w:type="spellStart"/>
      <w:r w:rsidRPr="00D2105B">
        <w:rPr>
          <w:color w:val="000000"/>
          <w:szCs w:val="24"/>
        </w:rPr>
        <w:t>JobMaker</w:t>
      </w:r>
      <w:proofErr w:type="spellEnd"/>
      <w:r w:rsidRPr="00D2105B">
        <w:rPr>
          <w:color w:val="000000"/>
          <w:szCs w:val="24"/>
        </w:rPr>
        <w:t xml:space="preserve"> Hiring Credit payment in relation to an employee aged over 35 when they commence employment with an eligible employer. Accordingly, some in the working population cannot obtain the benefit of the </w:t>
      </w:r>
      <w:proofErr w:type="spellStart"/>
      <w:r w:rsidRPr="00D2105B">
        <w:rPr>
          <w:color w:val="000000"/>
          <w:szCs w:val="24"/>
        </w:rPr>
        <w:t>JobMaker</w:t>
      </w:r>
      <w:proofErr w:type="spellEnd"/>
      <w:r w:rsidRPr="00D2105B">
        <w:rPr>
          <w:color w:val="000000"/>
          <w:szCs w:val="24"/>
        </w:rPr>
        <w:t xml:space="preserve"> Hiring Credit payment.</w:t>
      </w:r>
    </w:p>
    <w:p w14:paraId="105D9580" w14:textId="3DB065FB" w:rsidR="00220A97" w:rsidRDefault="003A0A01" w:rsidP="00D2105B">
      <w:pPr>
        <w:shd w:val="clear" w:color="auto" w:fill="FFFFFF"/>
        <w:rPr>
          <w:color w:val="000000"/>
          <w:szCs w:val="24"/>
        </w:rPr>
      </w:pPr>
      <w:r>
        <w:rPr>
          <w:color w:val="000000"/>
          <w:szCs w:val="24"/>
        </w:rPr>
        <w:t>Younger people generally experience</w:t>
      </w:r>
      <w:r w:rsidR="004D545E">
        <w:rPr>
          <w:color w:val="000000"/>
          <w:szCs w:val="24"/>
        </w:rPr>
        <w:t xml:space="preserve"> more</w:t>
      </w:r>
      <w:r>
        <w:rPr>
          <w:color w:val="000000"/>
          <w:szCs w:val="24"/>
        </w:rPr>
        <w:t xml:space="preserve"> barriers to employment due to their lack of work experience, training or skills. </w:t>
      </w:r>
      <w:r w:rsidR="002E1FCE">
        <w:rPr>
          <w:color w:val="000000"/>
          <w:szCs w:val="24"/>
        </w:rPr>
        <w:t xml:space="preserve">Due to the impacts of the Coronavirus, </w:t>
      </w:r>
      <w:r w:rsidR="004D545E">
        <w:rPr>
          <w:color w:val="000000"/>
          <w:szCs w:val="24"/>
        </w:rPr>
        <w:t xml:space="preserve">the period of </w:t>
      </w:r>
      <w:r w:rsidR="002E1FCE">
        <w:rPr>
          <w:color w:val="000000"/>
          <w:szCs w:val="24"/>
        </w:rPr>
        <w:t xml:space="preserve">unemployment has </w:t>
      </w:r>
      <w:r>
        <w:rPr>
          <w:color w:val="000000"/>
          <w:szCs w:val="24"/>
        </w:rPr>
        <w:t xml:space="preserve">further </w:t>
      </w:r>
      <w:r w:rsidR="002E1FCE">
        <w:rPr>
          <w:color w:val="000000"/>
          <w:szCs w:val="24"/>
        </w:rPr>
        <w:t xml:space="preserve">prevented younger people from securing employment </w:t>
      </w:r>
      <w:r w:rsidR="00220A97">
        <w:rPr>
          <w:color w:val="000000"/>
          <w:szCs w:val="24"/>
        </w:rPr>
        <w:t>to</w:t>
      </w:r>
      <w:r w:rsidR="002E1FCE">
        <w:rPr>
          <w:color w:val="000000"/>
          <w:szCs w:val="24"/>
        </w:rPr>
        <w:t xml:space="preserve"> </w:t>
      </w:r>
      <w:r w:rsidR="00220A97">
        <w:rPr>
          <w:color w:val="000000"/>
          <w:szCs w:val="24"/>
        </w:rPr>
        <w:t>gain experience and develop</w:t>
      </w:r>
      <w:r w:rsidR="002E1FCE">
        <w:rPr>
          <w:color w:val="000000"/>
          <w:szCs w:val="24"/>
        </w:rPr>
        <w:t xml:space="preserve"> skills. </w:t>
      </w:r>
    </w:p>
    <w:p w14:paraId="45A1162A" w14:textId="45E78B5E" w:rsidR="00D2105B" w:rsidRPr="00D2105B" w:rsidRDefault="00D2105B" w:rsidP="00D2105B">
      <w:pPr>
        <w:shd w:val="clear" w:color="auto" w:fill="FFFFFF"/>
        <w:rPr>
          <w:color w:val="000000"/>
          <w:szCs w:val="24"/>
        </w:rPr>
      </w:pPr>
      <w:r w:rsidRPr="00D2105B">
        <w:rPr>
          <w:color w:val="000000"/>
          <w:szCs w:val="24"/>
        </w:rPr>
        <w:t xml:space="preserve">Applying the benefit of the </w:t>
      </w:r>
      <w:proofErr w:type="spellStart"/>
      <w:r w:rsidRPr="00D2105B">
        <w:rPr>
          <w:color w:val="000000"/>
          <w:szCs w:val="24"/>
        </w:rPr>
        <w:t>JobMaker</w:t>
      </w:r>
      <w:proofErr w:type="spellEnd"/>
      <w:r w:rsidRPr="00D2105B">
        <w:rPr>
          <w:color w:val="000000"/>
          <w:szCs w:val="24"/>
        </w:rPr>
        <w:t xml:space="preserve"> Hiring Credit payment </w:t>
      </w:r>
      <w:r w:rsidR="00CC54DA">
        <w:rPr>
          <w:color w:val="000000"/>
          <w:szCs w:val="24"/>
        </w:rPr>
        <w:t xml:space="preserve">in respect of </w:t>
      </w:r>
      <w:r w:rsidRPr="00D2105B">
        <w:rPr>
          <w:color w:val="000000"/>
          <w:szCs w:val="24"/>
        </w:rPr>
        <w:t xml:space="preserve">workers who are </w:t>
      </w:r>
      <w:r w:rsidR="002E1FCE">
        <w:rPr>
          <w:color w:val="000000"/>
          <w:szCs w:val="24"/>
        </w:rPr>
        <w:t xml:space="preserve">aged </w:t>
      </w:r>
      <w:r w:rsidRPr="00D2105B">
        <w:rPr>
          <w:color w:val="000000"/>
          <w:szCs w:val="24"/>
        </w:rPr>
        <w:t>between 16 and 35 years old is justified and</w:t>
      </w:r>
      <w:r w:rsidR="002E1FCE">
        <w:rPr>
          <w:color w:val="000000"/>
          <w:szCs w:val="24"/>
        </w:rPr>
        <w:t xml:space="preserve"> is</w:t>
      </w:r>
      <w:r w:rsidRPr="00D2105B">
        <w:rPr>
          <w:color w:val="000000"/>
          <w:szCs w:val="24"/>
        </w:rPr>
        <w:t> rationally connected and proportionate to the objective because it</w:t>
      </w:r>
      <w:r w:rsidR="002E1FCE">
        <w:rPr>
          <w:color w:val="000000"/>
          <w:szCs w:val="24"/>
        </w:rPr>
        <w:t xml:space="preserve"> is designed to relieve the long </w:t>
      </w:r>
      <w:r w:rsidR="00A22264">
        <w:rPr>
          <w:color w:val="000000"/>
          <w:szCs w:val="24"/>
        </w:rPr>
        <w:t>term</w:t>
      </w:r>
      <w:r w:rsidR="00A22264" w:rsidRPr="00D2105B">
        <w:rPr>
          <w:color w:val="000000"/>
          <w:szCs w:val="24"/>
        </w:rPr>
        <w:t xml:space="preserve"> </w:t>
      </w:r>
      <w:r w:rsidR="00A22264">
        <w:rPr>
          <w:color w:val="000000"/>
          <w:szCs w:val="24"/>
        </w:rPr>
        <w:t>consequences</w:t>
      </w:r>
      <w:r w:rsidRPr="00D2105B" w:rsidDel="002E1FCE">
        <w:rPr>
          <w:color w:val="000000"/>
          <w:szCs w:val="24"/>
        </w:rPr>
        <w:t xml:space="preserve"> </w:t>
      </w:r>
      <w:r w:rsidR="002E1FCE">
        <w:rPr>
          <w:color w:val="000000"/>
          <w:szCs w:val="24"/>
        </w:rPr>
        <w:t>of</w:t>
      </w:r>
      <w:r w:rsidRPr="00D2105B">
        <w:rPr>
          <w:color w:val="000000"/>
          <w:szCs w:val="24"/>
        </w:rPr>
        <w:t xml:space="preserve"> </w:t>
      </w:r>
      <w:r w:rsidR="002E1FCE">
        <w:rPr>
          <w:color w:val="000000"/>
          <w:szCs w:val="24"/>
        </w:rPr>
        <w:t xml:space="preserve">prolonged unemployment in </w:t>
      </w:r>
      <w:r w:rsidRPr="00D2105B">
        <w:rPr>
          <w:color w:val="000000"/>
          <w:szCs w:val="24"/>
        </w:rPr>
        <w:t>younger people.</w:t>
      </w:r>
      <w:r w:rsidR="003A0A01">
        <w:rPr>
          <w:color w:val="000000"/>
          <w:szCs w:val="24"/>
        </w:rPr>
        <w:t xml:space="preserve"> Further, the amendments are proportionate to the intended outcome because it creates a two</w:t>
      </w:r>
      <w:r w:rsidR="003A0A01">
        <w:rPr>
          <w:color w:val="000000"/>
          <w:szCs w:val="24"/>
        </w:rPr>
        <w:noBreakHyphen/>
        <w:t>tiered approach for eligible additional employees of an entity aged between 16 to 29 years, and 30 to 35 years. The amendments ensure that the more vulnerable group aged between 16 and 29 years are proportionately supported.</w:t>
      </w:r>
    </w:p>
    <w:p w14:paraId="4FDC2A70" w14:textId="77777777" w:rsidR="00D2105B" w:rsidRPr="00D2105B" w:rsidRDefault="00D2105B" w:rsidP="00D2105B">
      <w:pPr>
        <w:shd w:val="clear" w:color="auto" w:fill="FFFFFF"/>
        <w:rPr>
          <w:color w:val="000000"/>
          <w:szCs w:val="24"/>
        </w:rPr>
      </w:pPr>
      <w:r w:rsidRPr="00D2105B">
        <w:rPr>
          <w:color w:val="000000"/>
          <w:szCs w:val="24"/>
        </w:rPr>
        <w:t>For these reasons, the Amending Rules No. 9 do not unnecessarily restrict the rights of equality and non-discrimination based on age.</w:t>
      </w:r>
    </w:p>
    <w:p w14:paraId="4C54FB14" w14:textId="77777777" w:rsidR="00D2105B" w:rsidRPr="00D2105B" w:rsidRDefault="00D2105B" w:rsidP="00D2105B">
      <w:pPr>
        <w:pStyle w:val="Heading3"/>
      </w:pPr>
      <w:r w:rsidRPr="00D2105B">
        <w:t>Conclusion</w:t>
      </w:r>
    </w:p>
    <w:p w14:paraId="733119C9" w14:textId="77777777" w:rsidR="00D2105B" w:rsidRPr="00D2105B" w:rsidRDefault="00D2105B" w:rsidP="00D2105B">
      <w:pPr>
        <w:shd w:val="clear" w:color="auto" w:fill="FFFFFF"/>
        <w:rPr>
          <w:color w:val="000000"/>
        </w:rPr>
      </w:pPr>
      <w:r w:rsidRPr="00D2105B">
        <w:rPr>
          <w:color w:val="000000"/>
        </w:rPr>
        <w:t>The Amending Rules No. 9 are compatible with human rights.</w:t>
      </w:r>
    </w:p>
    <w:p w14:paraId="3DB726F6" w14:textId="77777777" w:rsidR="00D2105B" w:rsidRPr="00D2105B" w:rsidRDefault="00D2105B" w:rsidP="00D2105B">
      <w:pPr>
        <w:spacing w:before="0" w:after="0"/>
      </w:pPr>
    </w:p>
    <w:p w14:paraId="428DAA1F" w14:textId="77777777" w:rsidR="00D2105B" w:rsidRPr="00EA4DD8" w:rsidRDefault="00D2105B" w:rsidP="00992BBF">
      <w:pPr>
        <w:keepLines/>
      </w:pPr>
    </w:p>
    <w:sectPr w:rsidR="00D2105B"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D427C" w14:textId="77777777" w:rsidR="009B43F3" w:rsidRDefault="009B43F3" w:rsidP="00954679">
      <w:pPr>
        <w:spacing w:before="0" w:after="0"/>
      </w:pPr>
      <w:r>
        <w:separator/>
      </w:r>
    </w:p>
  </w:endnote>
  <w:endnote w:type="continuationSeparator" w:id="0">
    <w:p w14:paraId="613EB706" w14:textId="77777777" w:rsidR="009B43F3" w:rsidRDefault="009B43F3" w:rsidP="00954679">
      <w:pPr>
        <w:spacing w:before="0" w:after="0"/>
      </w:pPr>
      <w:r>
        <w:continuationSeparator/>
      </w:r>
    </w:p>
  </w:endnote>
  <w:endnote w:type="continuationNotice" w:id="1">
    <w:p w14:paraId="2A5DBB0F" w14:textId="77777777" w:rsidR="009B43F3" w:rsidRDefault="009B43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0E6ED2AA" w14:textId="1138372F" w:rsidR="009B43F3" w:rsidRDefault="009B43F3"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843AAE">
              <w:rPr>
                <w:bCs/>
                <w:noProof/>
              </w:rPr>
              <w:t>22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843AAE">
              <w:rPr>
                <w:bCs/>
                <w:noProof/>
              </w:rPr>
              <w:t>25</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A6E42" w14:textId="77777777" w:rsidR="009B43F3" w:rsidRDefault="009B43F3" w:rsidP="00954679">
      <w:pPr>
        <w:spacing w:before="0" w:after="0"/>
      </w:pPr>
      <w:r>
        <w:separator/>
      </w:r>
    </w:p>
  </w:footnote>
  <w:footnote w:type="continuationSeparator" w:id="0">
    <w:p w14:paraId="696DD087" w14:textId="77777777" w:rsidR="009B43F3" w:rsidRDefault="009B43F3" w:rsidP="00954679">
      <w:pPr>
        <w:spacing w:before="0" w:after="0"/>
      </w:pPr>
      <w:r>
        <w:continuationSeparator/>
      </w:r>
    </w:p>
  </w:footnote>
  <w:footnote w:type="continuationNotice" w:id="1">
    <w:p w14:paraId="6D4BB1B9" w14:textId="77777777" w:rsidR="009B43F3" w:rsidRDefault="009B43F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81D"/>
    <w:multiLevelType w:val="hybridMultilevel"/>
    <w:tmpl w:val="109EC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0218F"/>
    <w:multiLevelType w:val="hybridMultilevel"/>
    <w:tmpl w:val="5F64FBF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C2069D1"/>
    <w:multiLevelType w:val="hybridMultilevel"/>
    <w:tmpl w:val="3CCE310E"/>
    <w:lvl w:ilvl="0" w:tplc="6382DC38">
      <w:start w:val="1"/>
      <w:numFmt w:val="decimal"/>
      <w:pStyle w:val="Adviceparanum"/>
      <w:lvlText w:val="%1."/>
      <w:lvlJc w:val="left"/>
      <w:pPr>
        <w:ind w:left="360" w:hanging="360"/>
      </w:pPr>
      <w:rPr>
        <w:rFonts w:ascii="Arial" w:hAnsi="Arial" w:cs="Arial" w:hint="default"/>
        <w:b w:val="0"/>
        <w:color w:val="000000"/>
        <w:sz w:val="20"/>
        <w:szCs w:val="20"/>
      </w:rPr>
    </w:lvl>
    <w:lvl w:ilvl="1" w:tplc="E8FCAEA8">
      <w:start w:val="1"/>
      <w:numFmt w:val="bullet"/>
      <w:pStyle w:val="Advicebulletlis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5D24183"/>
    <w:multiLevelType w:val="hybridMultilevel"/>
    <w:tmpl w:val="0AB62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967CEA"/>
    <w:multiLevelType w:val="multilevel"/>
    <w:tmpl w:val="CA92EA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B9D00C1"/>
    <w:multiLevelType w:val="multilevel"/>
    <w:tmpl w:val="60423286"/>
    <w:name w:val="StandardNumberedList"/>
    <w:lvl w:ilvl="0">
      <w:start w:val="1"/>
      <w:numFmt w:val="decimal"/>
      <w:pStyle w:val="OutlineNumbered1"/>
      <w:lvlText w:val="%1."/>
      <w:lvlJc w:val="left"/>
      <w:pPr>
        <w:tabs>
          <w:tab w:val="num" w:pos="1134"/>
        </w:tabs>
        <w:ind w:left="1134" w:hanging="567"/>
      </w:pPr>
    </w:lvl>
    <w:lvl w:ilvl="1">
      <w:start w:val="1"/>
      <w:numFmt w:val="decimal"/>
      <w:pStyle w:val="OutlineNumbered2"/>
      <w:lvlText w:val="%1.%2."/>
      <w:lvlJc w:val="left"/>
      <w:pPr>
        <w:tabs>
          <w:tab w:val="num" w:pos="1701"/>
        </w:tabs>
        <w:ind w:left="1701" w:hanging="567"/>
      </w:pPr>
    </w:lvl>
    <w:lvl w:ilvl="2">
      <w:start w:val="1"/>
      <w:numFmt w:val="decimal"/>
      <w:pStyle w:val="OutlineNumbered3"/>
      <w:lvlText w:val="%1.%2.%3."/>
      <w:lvlJc w:val="left"/>
      <w:pPr>
        <w:tabs>
          <w:tab w:val="num" w:pos="2268"/>
        </w:tabs>
        <w:ind w:left="2268" w:hanging="567"/>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605536"/>
    <w:multiLevelType w:val="multilevel"/>
    <w:tmpl w:val="6F4C2D5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9" w15:restartNumberingAfterBreak="0">
    <w:nsid w:val="2C7552C0"/>
    <w:multiLevelType w:val="singleLevel"/>
    <w:tmpl w:val="BBF66F10"/>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3C361CC6"/>
    <w:multiLevelType w:val="hybridMultilevel"/>
    <w:tmpl w:val="714AA4FA"/>
    <w:lvl w:ilvl="0" w:tplc="DEF041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BD7996"/>
    <w:multiLevelType w:val="multilevel"/>
    <w:tmpl w:val="3230B8C2"/>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4DC3B37"/>
    <w:multiLevelType w:val="hybridMultilevel"/>
    <w:tmpl w:val="935E207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79C56FB"/>
    <w:multiLevelType w:val="hybridMultilevel"/>
    <w:tmpl w:val="31B8D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7E063BF"/>
    <w:multiLevelType w:val="multilevel"/>
    <w:tmpl w:val="6608B80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7E30C6"/>
    <w:multiLevelType w:val="hybridMultilevel"/>
    <w:tmpl w:val="6AB4DD20"/>
    <w:lvl w:ilvl="0" w:tplc="4D087F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A43C0B"/>
    <w:multiLevelType w:val="multilevel"/>
    <w:tmpl w:val="0784D06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29E601B"/>
    <w:multiLevelType w:val="hybridMultilevel"/>
    <w:tmpl w:val="935E207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74425044"/>
    <w:multiLevelType w:val="hybridMultilevel"/>
    <w:tmpl w:val="1E96BBE2"/>
    <w:lvl w:ilvl="0" w:tplc="01C894C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CD29BD"/>
    <w:multiLevelType w:val="hybridMultilevel"/>
    <w:tmpl w:val="FCC0F94A"/>
    <w:lvl w:ilvl="0" w:tplc="BA388398">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5993B47"/>
    <w:multiLevelType w:val="hybridMultilevel"/>
    <w:tmpl w:val="9B1E519E"/>
    <w:lvl w:ilvl="0" w:tplc="BA388398">
      <w:numFmt w:val="bullet"/>
      <w:lvlText w:val="-"/>
      <w:lvlJc w:val="left"/>
      <w:pPr>
        <w:ind w:left="972" w:hanging="360"/>
      </w:pPr>
      <w:rPr>
        <w:rFonts w:ascii="Times New Roman" w:eastAsia="Times New Roman" w:hAnsi="Times New Roman" w:cs="Times New Roman" w:hint="default"/>
      </w:rPr>
    </w:lvl>
    <w:lvl w:ilvl="1" w:tplc="0C090003">
      <w:start w:val="1"/>
      <w:numFmt w:val="bullet"/>
      <w:lvlText w:val="o"/>
      <w:lvlJc w:val="left"/>
      <w:pPr>
        <w:ind w:left="1692" w:hanging="360"/>
      </w:pPr>
      <w:rPr>
        <w:rFonts w:ascii="Courier New" w:hAnsi="Courier New" w:cs="Courier New" w:hint="default"/>
      </w:rPr>
    </w:lvl>
    <w:lvl w:ilvl="2" w:tplc="0C090005" w:tentative="1">
      <w:start w:val="1"/>
      <w:numFmt w:val="bullet"/>
      <w:lvlText w:val=""/>
      <w:lvlJc w:val="left"/>
      <w:pPr>
        <w:ind w:left="2412" w:hanging="360"/>
      </w:pPr>
      <w:rPr>
        <w:rFonts w:ascii="Wingdings" w:hAnsi="Wingdings" w:hint="default"/>
      </w:rPr>
    </w:lvl>
    <w:lvl w:ilvl="3" w:tplc="0C090001" w:tentative="1">
      <w:start w:val="1"/>
      <w:numFmt w:val="bullet"/>
      <w:lvlText w:val=""/>
      <w:lvlJc w:val="left"/>
      <w:pPr>
        <w:ind w:left="3132" w:hanging="360"/>
      </w:pPr>
      <w:rPr>
        <w:rFonts w:ascii="Symbol" w:hAnsi="Symbol" w:hint="default"/>
      </w:rPr>
    </w:lvl>
    <w:lvl w:ilvl="4" w:tplc="0C090003" w:tentative="1">
      <w:start w:val="1"/>
      <w:numFmt w:val="bullet"/>
      <w:lvlText w:val="o"/>
      <w:lvlJc w:val="left"/>
      <w:pPr>
        <w:ind w:left="3852" w:hanging="360"/>
      </w:pPr>
      <w:rPr>
        <w:rFonts w:ascii="Courier New" w:hAnsi="Courier New" w:cs="Courier New" w:hint="default"/>
      </w:rPr>
    </w:lvl>
    <w:lvl w:ilvl="5" w:tplc="0C090005" w:tentative="1">
      <w:start w:val="1"/>
      <w:numFmt w:val="bullet"/>
      <w:lvlText w:val=""/>
      <w:lvlJc w:val="left"/>
      <w:pPr>
        <w:ind w:left="4572" w:hanging="360"/>
      </w:pPr>
      <w:rPr>
        <w:rFonts w:ascii="Wingdings" w:hAnsi="Wingdings" w:hint="default"/>
      </w:rPr>
    </w:lvl>
    <w:lvl w:ilvl="6" w:tplc="0C090001" w:tentative="1">
      <w:start w:val="1"/>
      <w:numFmt w:val="bullet"/>
      <w:lvlText w:val=""/>
      <w:lvlJc w:val="left"/>
      <w:pPr>
        <w:ind w:left="5292" w:hanging="360"/>
      </w:pPr>
      <w:rPr>
        <w:rFonts w:ascii="Symbol" w:hAnsi="Symbol" w:hint="default"/>
      </w:rPr>
    </w:lvl>
    <w:lvl w:ilvl="7" w:tplc="0C090003" w:tentative="1">
      <w:start w:val="1"/>
      <w:numFmt w:val="bullet"/>
      <w:lvlText w:val="o"/>
      <w:lvlJc w:val="left"/>
      <w:pPr>
        <w:ind w:left="6012" w:hanging="360"/>
      </w:pPr>
      <w:rPr>
        <w:rFonts w:ascii="Courier New" w:hAnsi="Courier New" w:cs="Courier New" w:hint="default"/>
      </w:rPr>
    </w:lvl>
    <w:lvl w:ilvl="8" w:tplc="0C090005" w:tentative="1">
      <w:start w:val="1"/>
      <w:numFmt w:val="bullet"/>
      <w:lvlText w:val=""/>
      <w:lvlJc w:val="left"/>
      <w:pPr>
        <w:ind w:left="6732" w:hanging="360"/>
      </w:pPr>
      <w:rPr>
        <w:rFonts w:ascii="Wingdings" w:hAnsi="Wingdings" w:hint="default"/>
      </w:rPr>
    </w:lvl>
  </w:abstractNum>
  <w:abstractNum w:abstractNumId="21" w15:restartNumberingAfterBreak="0">
    <w:nsid w:val="79272FB1"/>
    <w:multiLevelType w:val="hybridMultilevel"/>
    <w:tmpl w:val="FC1A23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DB55ECE"/>
    <w:multiLevelType w:val="hybridMultilevel"/>
    <w:tmpl w:val="91AAC37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3" w15:restartNumberingAfterBreak="0">
    <w:nsid w:val="7F540FCC"/>
    <w:multiLevelType w:val="hybridMultilevel"/>
    <w:tmpl w:val="1FBA80B4"/>
    <w:lvl w:ilvl="0" w:tplc="E214DD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6"/>
  </w:num>
  <w:num w:numId="4">
    <w:abstractNumId w:val="23"/>
  </w:num>
  <w:num w:numId="5">
    <w:abstractNumId w:val="19"/>
  </w:num>
  <w:num w:numId="6">
    <w:abstractNumId w:val="20"/>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10"/>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15"/>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18"/>
  </w:num>
  <w:num w:numId="47">
    <w:abstractNumId w:val="9"/>
  </w:num>
  <w:num w:numId="48">
    <w:abstractNumId w:val="9"/>
  </w:num>
  <w:num w:numId="49">
    <w:abstractNumId w:val="9"/>
  </w:num>
  <w:num w:numId="50">
    <w:abstractNumId w:val="9"/>
  </w:num>
  <w:num w:numId="51">
    <w:abstractNumId w:val="9"/>
  </w:num>
  <w:num w:numId="52">
    <w:abstractNumId w:val="9"/>
  </w:num>
  <w:num w:numId="53">
    <w:abstractNumId w:val="9"/>
  </w:num>
  <w:num w:numId="54">
    <w:abstractNumId w:val="9"/>
  </w:num>
  <w:num w:numId="55">
    <w:abstractNumId w:val="5"/>
  </w:num>
  <w:num w:numId="56">
    <w:abstractNumId w:val="9"/>
  </w:num>
  <w:num w:numId="57">
    <w:abstractNumId w:val="9"/>
  </w:num>
  <w:num w:numId="58">
    <w:abstractNumId w:val="9"/>
  </w:num>
  <w:num w:numId="59">
    <w:abstractNumId w:val="9"/>
  </w:num>
  <w:num w:numId="60">
    <w:abstractNumId w:val="9"/>
  </w:num>
  <w:num w:numId="61">
    <w:abstractNumId w:val="9"/>
  </w:num>
  <w:num w:numId="62">
    <w:abstractNumId w:val="9"/>
  </w:num>
  <w:num w:numId="63">
    <w:abstractNumId w:val="9"/>
  </w:num>
  <w:num w:numId="64">
    <w:abstractNumId w:val="9"/>
  </w:num>
  <w:num w:numId="65">
    <w:abstractNumId w:val="9"/>
  </w:num>
  <w:num w:numId="66">
    <w:abstractNumId w:val="17"/>
  </w:num>
  <w:num w:numId="67">
    <w:abstractNumId w:val="12"/>
  </w:num>
  <w:num w:numId="68">
    <w:abstractNumId w:val="1"/>
  </w:num>
  <w:num w:numId="69">
    <w:abstractNumId w:val="21"/>
  </w:num>
  <w:num w:numId="70">
    <w:abstractNumId w:val="0"/>
  </w:num>
  <w:num w:numId="71">
    <w:abstractNumId w:val="22"/>
  </w:num>
  <w:num w:numId="72">
    <w:abstractNumId w:val="3"/>
  </w:num>
  <w:num w:numId="73">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num>
  <w:num w:numId="78">
    <w:abstractNumId w:val="8"/>
  </w:num>
  <w:num w:numId="7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lvlOverride w:ilvl="1"/>
    <w:lvlOverride w:ilvl="2"/>
    <w:lvlOverride w:ilvl="3"/>
    <w:lvlOverride w:ilvl="4"/>
    <w:lvlOverride w:ilvl="5"/>
    <w:lvlOverride w:ilvl="6"/>
    <w:lvlOverride w:ilvl="7"/>
    <w:lvlOverride w:ilv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026"/>
    <w:rsid w:val="00000709"/>
    <w:rsid w:val="00002D50"/>
    <w:rsid w:val="00003E94"/>
    <w:rsid w:val="00007854"/>
    <w:rsid w:val="0001315A"/>
    <w:rsid w:val="00013390"/>
    <w:rsid w:val="00013877"/>
    <w:rsid w:val="00013EA7"/>
    <w:rsid w:val="00014F3D"/>
    <w:rsid w:val="000153DD"/>
    <w:rsid w:val="00015513"/>
    <w:rsid w:val="00015F01"/>
    <w:rsid w:val="00016EA2"/>
    <w:rsid w:val="000179E5"/>
    <w:rsid w:val="0002601C"/>
    <w:rsid w:val="0002665B"/>
    <w:rsid w:val="00027116"/>
    <w:rsid w:val="000279E3"/>
    <w:rsid w:val="00030512"/>
    <w:rsid w:val="00032FC6"/>
    <w:rsid w:val="00033DA4"/>
    <w:rsid w:val="00034DF8"/>
    <w:rsid w:val="000378A7"/>
    <w:rsid w:val="00037DD3"/>
    <w:rsid w:val="00037F69"/>
    <w:rsid w:val="0004183F"/>
    <w:rsid w:val="00041A77"/>
    <w:rsid w:val="00042A6F"/>
    <w:rsid w:val="00042D6F"/>
    <w:rsid w:val="00044090"/>
    <w:rsid w:val="00045C2A"/>
    <w:rsid w:val="00045F23"/>
    <w:rsid w:val="00046D39"/>
    <w:rsid w:val="00047C38"/>
    <w:rsid w:val="000524C8"/>
    <w:rsid w:val="00053464"/>
    <w:rsid w:val="0005371C"/>
    <w:rsid w:val="00053B5C"/>
    <w:rsid w:val="00054E31"/>
    <w:rsid w:val="00055322"/>
    <w:rsid w:val="00056051"/>
    <w:rsid w:val="00057AF7"/>
    <w:rsid w:val="00060A26"/>
    <w:rsid w:val="00060BA7"/>
    <w:rsid w:val="00062AD1"/>
    <w:rsid w:val="0006322E"/>
    <w:rsid w:val="000653D7"/>
    <w:rsid w:val="00065EFD"/>
    <w:rsid w:val="00070146"/>
    <w:rsid w:val="0007136E"/>
    <w:rsid w:val="0007196B"/>
    <w:rsid w:val="00072FF8"/>
    <w:rsid w:val="000732E1"/>
    <w:rsid w:val="0007361E"/>
    <w:rsid w:val="000743D2"/>
    <w:rsid w:val="00075AA3"/>
    <w:rsid w:val="00076178"/>
    <w:rsid w:val="00076B55"/>
    <w:rsid w:val="000825D1"/>
    <w:rsid w:val="0008550F"/>
    <w:rsid w:val="00085F4E"/>
    <w:rsid w:val="00086DF9"/>
    <w:rsid w:val="0008763E"/>
    <w:rsid w:val="00090BFF"/>
    <w:rsid w:val="000924E6"/>
    <w:rsid w:val="000942F9"/>
    <w:rsid w:val="00095047"/>
    <w:rsid w:val="00095211"/>
    <w:rsid w:val="000978C8"/>
    <w:rsid w:val="000A3B50"/>
    <w:rsid w:val="000A40E3"/>
    <w:rsid w:val="000A4A74"/>
    <w:rsid w:val="000A4F44"/>
    <w:rsid w:val="000A5439"/>
    <w:rsid w:val="000A554C"/>
    <w:rsid w:val="000A569F"/>
    <w:rsid w:val="000A5AAC"/>
    <w:rsid w:val="000B0B31"/>
    <w:rsid w:val="000B13AF"/>
    <w:rsid w:val="000B312E"/>
    <w:rsid w:val="000B39A1"/>
    <w:rsid w:val="000B4BB5"/>
    <w:rsid w:val="000B5083"/>
    <w:rsid w:val="000B546E"/>
    <w:rsid w:val="000B63ED"/>
    <w:rsid w:val="000B74AC"/>
    <w:rsid w:val="000C0E0C"/>
    <w:rsid w:val="000C10DF"/>
    <w:rsid w:val="000C2E4B"/>
    <w:rsid w:val="000C2ED0"/>
    <w:rsid w:val="000C336A"/>
    <w:rsid w:val="000C4F6E"/>
    <w:rsid w:val="000C5646"/>
    <w:rsid w:val="000C6205"/>
    <w:rsid w:val="000C6935"/>
    <w:rsid w:val="000D0CA6"/>
    <w:rsid w:val="000D15A6"/>
    <w:rsid w:val="000D3C0E"/>
    <w:rsid w:val="000D4505"/>
    <w:rsid w:val="000D5B5C"/>
    <w:rsid w:val="000D7D82"/>
    <w:rsid w:val="000E01C4"/>
    <w:rsid w:val="000E1E2D"/>
    <w:rsid w:val="000E251E"/>
    <w:rsid w:val="000E431E"/>
    <w:rsid w:val="000E4F79"/>
    <w:rsid w:val="000E5516"/>
    <w:rsid w:val="000E63FC"/>
    <w:rsid w:val="000E66CF"/>
    <w:rsid w:val="000E7735"/>
    <w:rsid w:val="000F0BB4"/>
    <w:rsid w:val="000F107B"/>
    <w:rsid w:val="000F14D2"/>
    <w:rsid w:val="000F18FC"/>
    <w:rsid w:val="000F202A"/>
    <w:rsid w:val="000F2C28"/>
    <w:rsid w:val="000F30A4"/>
    <w:rsid w:val="000F342F"/>
    <w:rsid w:val="000F3EA5"/>
    <w:rsid w:val="000F639E"/>
    <w:rsid w:val="000F7668"/>
    <w:rsid w:val="00100070"/>
    <w:rsid w:val="00102896"/>
    <w:rsid w:val="00103FC2"/>
    <w:rsid w:val="00105778"/>
    <w:rsid w:val="00105884"/>
    <w:rsid w:val="00107629"/>
    <w:rsid w:val="001126EA"/>
    <w:rsid w:val="00113B45"/>
    <w:rsid w:val="00113CF7"/>
    <w:rsid w:val="00113F80"/>
    <w:rsid w:val="00115D65"/>
    <w:rsid w:val="00116DE4"/>
    <w:rsid w:val="00116F14"/>
    <w:rsid w:val="00120909"/>
    <w:rsid w:val="00120B8E"/>
    <w:rsid w:val="00124A74"/>
    <w:rsid w:val="00127BCF"/>
    <w:rsid w:val="0013033F"/>
    <w:rsid w:val="0013133F"/>
    <w:rsid w:val="00131E7A"/>
    <w:rsid w:val="00132592"/>
    <w:rsid w:val="00132812"/>
    <w:rsid w:val="00134564"/>
    <w:rsid w:val="00134836"/>
    <w:rsid w:val="00134F66"/>
    <w:rsid w:val="00135AD4"/>
    <w:rsid w:val="00136660"/>
    <w:rsid w:val="0013749E"/>
    <w:rsid w:val="00140BF6"/>
    <w:rsid w:val="0014180C"/>
    <w:rsid w:val="00141825"/>
    <w:rsid w:val="00141A47"/>
    <w:rsid w:val="00141DA9"/>
    <w:rsid w:val="00141F9D"/>
    <w:rsid w:val="00142F36"/>
    <w:rsid w:val="00144265"/>
    <w:rsid w:val="00144D0A"/>
    <w:rsid w:val="00144DC3"/>
    <w:rsid w:val="001454F0"/>
    <w:rsid w:val="00146662"/>
    <w:rsid w:val="001514C0"/>
    <w:rsid w:val="00153F01"/>
    <w:rsid w:val="001614F8"/>
    <w:rsid w:val="00162405"/>
    <w:rsid w:val="00162E1B"/>
    <w:rsid w:val="001658C7"/>
    <w:rsid w:val="00165E29"/>
    <w:rsid w:val="00166CF8"/>
    <w:rsid w:val="00166EF9"/>
    <w:rsid w:val="001671C3"/>
    <w:rsid w:val="0017001E"/>
    <w:rsid w:val="00170EE0"/>
    <w:rsid w:val="00171F64"/>
    <w:rsid w:val="00172C7B"/>
    <w:rsid w:val="00173EA0"/>
    <w:rsid w:val="00174A2B"/>
    <w:rsid w:val="00174AEF"/>
    <w:rsid w:val="00174DC7"/>
    <w:rsid w:val="00174F61"/>
    <w:rsid w:val="0017550E"/>
    <w:rsid w:val="00175A59"/>
    <w:rsid w:val="0017751F"/>
    <w:rsid w:val="00181E47"/>
    <w:rsid w:val="00181F70"/>
    <w:rsid w:val="00182601"/>
    <w:rsid w:val="0018298B"/>
    <w:rsid w:val="00182E27"/>
    <w:rsid w:val="0018405A"/>
    <w:rsid w:val="0018442D"/>
    <w:rsid w:val="001865CE"/>
    <w:rsid w:val="00187D34"/>
    <w:rsid w:val="0019538C"/>
    <w:rsid w:val="0019570D"/>
    <w:rsid w:val="00195D41"/>
    <w:rsid w:val="001A2E48"/>
    <w:rsid w:val="001A51F5"/>
    <w:rsid w:val="001A7A75"/>
    <w:rsid w:val="001A7B49"/>
    <w:rsid w:val="001A7BDF"/>
    <w:rsid w:val="001A7DA1"/>
    <w:rsid w:val="001A7ECE"/>
    <w:rsid w:val="001B126E"/>
    <w:rsid w:val="001B1641"/>
    <w:rsid w:val="001B1B66"/>
    <w:rsid w:val="001B216E"/>
    <w:rsid w:val="001B2364"/>
    <w:rsid w:val="001B2EDD"/>
    <w:rsid w:val="001B3441"/>
    <w:rsid w:val="001B347A"/>
    <w:rsid w:val="001B4EC0"/>
    <w:rsid w:val="001B5121"/>
    <w:rsid w:val="001B7535"/>
    <w:rsid w:val="001C0985"/>
    <w:rsid w:val="001C1584"/>
    <w:rsid w:val="001C1D2C"/>
    <w:rsid w:val="001C3774"/>
    <w:rsid w:val="001C6D55"/>
    <w:rsid w:val="001C7060"/>
    <w:rsid w:val="001C773B"/>
    <w:rsid w:val="001D2C41"/>
    <w:rsid w:val="001D578A"/>
    <w:rsid w:val="001D6848"/>
    <w:rsid w:val="001D7D04"/>
    <w:rsid w:val="001E1654"/>
    <w:rsid w:val="001E1680"/>
    <w:rsid w:val="001E250D"/>
    <w:rsid w:val="001E2813"/>
    <w:rsid w:val="001E43D5"/>
    <w:rsid w:val="001E4C18"/>
    <w:rsid w:val="001E5516"/>
    <w:rsid w:val="001E6A74"/>
    <w:rsid w:val="001E6EFC"/>
    <w:rsid w:val="001E7859"/>
    <w:rsid w:val="001F207E"/>
    <w:rsid w:val="001F2DBB"/>
    <w:rsid w:val="001F3415"/>
    <w:rsid w:val="001F41D0"/>
    <w:rsid w:val="001F6B80"/>
    <w:rsid w:val="001F7004"/>
    <w:rsid w:val="00200425"/>
    <w:rsid w:val="0020090E"/>
    <w:rsid w:val="002034EE"/>
    <w:rsid w:val="00203A6F"/>
    <w:rsid w:val="002041F8"/>
    <w:rsid w:val="002044BE"/>
    <w:rsid w:val="00204B8F"/>
    <w:rsid w:val="0020620F"/>
    <w:rsid w:val="00206AEC"/>
    <w:rsid w:val="00206E7C"/>
    <w:rsid w:val="002070B7"/>
    <w:rsid w:val="00207809"/>
    <w:rsid w:val="00210306"/>
    <w:rsid w:val="00210EDB"/>
    <w:rsid w:val="00211672"/>
    <w:rsid w:val="00217F35"/>
    <w:rsid w:val="00220A97"/>
    <w:rsid w:val="00220F16"/>
    <w:rsid w:val="00222306"/>
    <w:rsid w:val="00223686"/>
    <w:rsid w:val="00223E14"/>
    <w:rsid w:val="00225E30"/>
    <w:rsid w:val="00232BB8"/>
    <w:rsid w:val="00234BDF"/>
    <w:rsid w:val="00235DD1"/>
    <w:rsid w:val="00236F40"/>
    <w:rsid w:val="00237C68"/>
    <w:rsid w:val="002405DC"/>
    <w:rsid w:val="00241720"/>
    <w:rsid w:val="00241F49"/>
    <w:rsid w:val="00243DF3"/>
    <w:rsid w:val="00244BD3"/>
    <w:rsid w:val="00245DD8"/>
    <w:rsid w:val="00245E72"/>
    <w:rsid w:val="00246B08"/>
    <w:rsid w:val="002507B5"/>
    <w:rsid w:val="002518E1"/>
    <w:rsid w:val="00254C5B"/>
    <w:rsid w:val="00255252"/>
    <w:rsid w:val="00260056"/>
    <w:rsid w:val="00260D64"/>
    <w:rsid w:val="00264487"/>
    <w:rsid w:val="00265F2D"/>
    <w:rsid w:val="00272685"/>
    <w:rsid w:val="00273B8A"/>
    <w:rsid w:val="002740A5"/>
    <w:rsid w:val="00274ACC"/>
    <w:rsid w:val="00274AE1"/>
    <w:rsid w:val="00275421"/>
    <w:rsid w:val="002761A6"/>
    <w:rsid w:val="0027637C"/>
    <w:rsid w:val="002767E1"/>
    <w:rsid w:val="002800B2"/>
    <w:rsid w:val="00280803"/>
    <w:rsid w:val="0028107C"/>
    <w:rsid w:val="00281D3B"/>
    <w:rsid w:val="002841E8"/>
    <w:rsid w:val="00285CD1"/>
    <w:rsid w:val="002867B1"/>
    <w:rsid w:val="00291CF6"/>
    <w:rsid w:val="00294231"/>
    <w:rsid w:val="0029584A"/>
    <w:rsid w:val="00295A6E"/>
    <w:rsid w:val="002A01DB"/>
    <w:rsid w:val="002A181B"/>
    <w:rsid w:val="002A2FF7"/>
    <w:rsid w:val="002A61FD"/>
    <w:rsid w:val="002A7934"/>
    <w:rsid w:val="002A79D4"/>
    <w:rsid w:val="002A7E1F"/>
    <w:rsid w:val="002B2E3F"/>
    <w:rsid w:val="002B6322"/>
    <w:rsid w:val="002B6D82"/>
    <w:rsid w:val="002B75D1"/>
    <w:rsid w:val="002C1608"/>
    <w:rsid w:val="002C226C"/>
    <w:rsid w:val="002C4BDB"/>
    <w:rsid w:val="002C6D78"/>
    <w:rsid w:val="002C7CFD"/>
    <w:rsid w:val="002D213F"/>
    <w:rsid w:val="002D3401"/>
    <w:rsid w:val="002D446C"/>
    <w:rsid w:val="002D4714"/>
    <w:rsid w:val="002D4C4F"/>
    <w:rsid w:val="002D58AB"/>
    <w:rsid w:val="002D675B"/>
    <w:rsid w:val="002D7328"/>
    <w:rsid w:val="002E1FCE"/>
    <w:rsid w:val="002E43A2"/>
    <w:rsid w:val="002E5408"/>
    <w:rsid w:val="002E6059"/>
    <w:rsid w:val="002E6333"/>
    <w:rsid w:val="002E778E"/>
    <w:rsid w:val="002E7EE9"/>
    <w:rsid w:val="002F02E3"/>
    <w:rsid w:val="002F0D1C"/>
    <w:rsid w:val="002F0FDA"/>
    <w:rsid w:val="002F2462"/>
    <w:rsid w:val="002F3AB3"/>
    <w:rsid w:val="002F49C7"/>
    <w:rsid w:val="002F7026"/>
    <w:rsid w:val="003039F1"/>
    <w:rsid w:val="00303ACF"/>
    <w:rsid w:val="003041FA"/>
    <w:rsid w:val="003130BD"/>
    <w:rsid w:val="00314EFA"/>
    <w:rsid w:val="0031530A"/>
    <w:rsid w:val="00316064"/>
    <w:rsid w:val="0031670F"/>
    <w:rsid w:val="00316E28"/>
    <w:rsid w:val="003217AB"/>
    <w:rsid w:val="00321F18"/>
    <w:rsid w:val="00322666"/>
    <w:rsid w:val="003232A9"/>
    <w:rsid w:val="0032608E"/>
    <w:rsid w:val="0032746E"/>
    <w:rsid w:val="0033064F"/>
    <w:rsid w:val="00331F78"/>
    <w:rsid w:val="003321E6"/>
    <w:rsid w:val="003336E8"/>
    <w:rsid w:val="00333868"/>
    <w:rsid w:val="003342CD"/>
    <w:rsid w:val="00335042"/>
    <w:rsid w:val="00335276"/>
    <w:rsid w:val="0033557A"/>
    <w:rsid w:val="00336719"/>
    <w:rsid w:val="00337A72"/>
    <w:rsid w:val="0034188D"/>
    <w:rsid w:val="00342BE8"/>
    <w:rsid w:val="0034344A"/>
    <w:rsid w:val="00346254"/>
    <w:rsid w:val="00351EE6"/>
    <w:rsid w:val="00352771"/>
    <w:rsid w:val="00352AD0"/>
    <w:rsid w:val="003533B6"/>
    <w:rsid w:val="003536AD"/>
    <w:rsid w:val="00353C08"/>
    <w:rsid w:val="00356CAC"/>
    <w:rsid w:val="00361F07"/>
    <w:rsid w:val="00362B70"/>
    <w:rsid w:val="00363FC5"/>
    <w:rsid w:val="003645A8"/>
    <w:rsid w:val="003664AB"/>
    <w:rsid w:val="003719A4"/>
    <w:rsid w:val="00374F8B"/>
    <w:rsid w:val="00375CDC"/>
    <w:rsid w:val="00375FBE"/>
    <w:rsid w:val="00376166"/>
    <w:rsid w:val="00376690"/>
    <w:rsid w:val="003771FF"/>
    <w:rsid w:val="00380D83"/>
    <w:rsid w:val="0038154D"/>
    <w:rsid w:val="0038223F"/>
    <w:rsid w:val="003839C3"/>
    <w:rsid w:val="0038408F"/>
    <w:rsid w:val="003842A7"/>
    <w:rsid w:val="00384562"/>
    <w:rsid w:val="00384D02"/>
    <w:rsid w:val="00384FD8"/>
    <w:rsid w:val="00385413"/>
    <w:rsid w:val="0038696A"/>
    <w:rsid w:val="00391455"/>
    <w:rsid w:val="00392BBA"/>
    <w:rsid w:val="0039353E"/>
    <w:rsid w:val="003954FD"/>
    <w:rsid w:val="0039572A"/>
    <w:rsid w:val="00395C1A"/>
    <w:rsid w:val="003A01CF"/>
    <w:rsid w:val="003A0A01"/>
    <w:rsid w:val="003A1400"/>
    <w:rsid w:val="003A1FAF"/>
    <w:rsid w:val="003A32ED"/>
    <w:rsid w:val="003A398F"/>
    <w:rsid w:val="003A3A45"/>
    <w:rsid w:val="003A46FF"/>
    <w:rsid w:val="003A598E"/>
    <w:rsid w:val="003A6348"/>
    <w:rsid w:val="003A79CC"/>
    <w:rsid w:val="003B25A6"/>
    <w:rsid w:val="003B307B"/>
    <w:rsid w:val="003B5915"/>
    <w:rsid w:val="003B61DA"/>
    <w:rsid w:val="003B7EA6"/>
    <w:rsid w:val="003C1C55"/>
    <w:rsid w:val="003C37CD"/>
    <w:rsid w:val="003C39DB"/>
    <w:rsid w:val="003C4BBB"/>
    <w:rsid w:val="003C71D9"/>
    <w:rsid w:val="003C7907"/>
    <w:rsid w:val="003C7DFF"/>
    <w:rsid w:val="003D072A"/>
    <w:rsid w:val="003D0C67"/>
    <w:rsid w:val="003D1FD7"/>
    <w:rsid w:val="003D3FF3"/>
    <w:rsid w:val="003D426C"/>
    <w:rsid w:val="003D60D7"/>
    <w:rsid w:val="003D67B4"/>
    <w:rsid w:val="003E0A6A"/>
    <w:rsid w:val="003E1CE3"/>
    <w:rsid w:val="003E1D98"/>
    <w:rsid w:val="003E2E01"/>
    <w:rsid w:val="003E5ABB"/>
    <w:rsid w:val="003E60DB"/>
    <w:rsid w:val="003E7D43"/>
    <w:rsid w:val="003E7D85"/>
    <w:rsid w:val="003F41A3"/>
    <w:rsid w:val="003F4757"/>
    <w:rsid w:val="003F5E54"/>
    <w:rsid w:val="003F72A0"/>
    <w:rsid w:val="003F76E6"/>
    <w:rsid w:val="00400D29"/>
    <w:rsid w:val="00401683"/>
    <w:rsid w:val="0040531F"/>
    <w:rsid w:val="004062E3"/>
    <w:rsid w:val="00407CB8"/>
    <w:rsid w:val="004109DD"/>
    <w:rsid w:val="00410CDB"/>
    <w:rsid w:val="0041245E"/>
    <w:rsid w:val="00412F92"/>
    <w:rsid w:val="004164B0"/>
    <w:rsid w:val="00420307"/>
    <w:rsid w:val="00421544"/>
    <w:rsid w:val="00421773"/>
    <w:rsid w:val="004220E3"/>
    <w:rsid w:val="0042237E"/>
    <w:rsid w:val="00427726"/>
    <w:rsid w:val="00427C63"/>
    <w:rsid w:val="00430C77"/>
    <w:rsid w:val="0043114E"/>
    <w:rsid w:val="004321CD"/>
    <w:rsid w:val="00432702"/>
    <w:rsid w:val="00433755"/>
    <w:rsid w:val="00434B9E"/>
    <w:rsid w:val="00435780"/>
    <w:rsid w:val="00436304"/>
    <w:rsid w:val="004403F5"/>
    <w:rsid w:val="00442D20"/>
    <w:rsid w:val="00443F64"/>
    <w:rsid w:val="00445883"/>
    <w:rsid w:val="00447D06"/>
    <w:rsid w:val="00450A27"/>
    <w:rsid w:val="00451143"/>
    <w:rsid w:val="004513DC"/>
    <w:rsid w:val="004528E2"/>
    <w:rsid w:val="004541C5"/>
    <w:rsid w:val="00454985"/>
    <w:rsid w:val="0045631B"/>
    <w:rsid w:val="00456807"/>
    <w:rsid w:val="00460E55"/>
    <w:rsid w:val="00462095"/>
    <w:rsid w:val="00462278"/>
    <w:rsid w:val="0046522B"/>
    <w:rsid w:val="004654B3"/>
    <w:rsid w:val="00465C26"/>
    <w:rsid w:val="0047122E"/>
    <w:rsid w:val="00471396"/>
    <w:rsid w:val="00471BBB"/>
    <w:rsid w:val="00473AF5"/>
    <w:rsid w:val="00473C4B"/>
    <w:rsid w:val="004747CA"/>
    <w:rsid w:val="00474FB4"/>
    <w:rsid w:val="0047632E"/>
    <w:rsid w:val="004772B2"/>
    <w:rsid w:val="00477407"/>
    <w:rsid w:val="0048209D"/>
    <w:rsid w:val="00482477"/>
    <w:rsid w:val="00482B81"/>
    <w:rsid w:val="00482D4C"/>
    <w:rsid w:val="0048466C"/>
    <w:rsid w:val="004855E9"/>
    <w:rsid w:val="00490DE3"/>
    <w:rsid w:val="00491010"/>
    <w:rsid w:val="00491511"/>
    <w:rsid w:val="004929BA"/>
    <w:rsid w:val="00494431"/>
    <w:rsid w:val="00495097"/>
    <w:rsid w:val="0049529E"/>
    <w:rsid w:val="00495DDC"/>
    <w:rsid w:val="00497BAB"/>
    <w:rsid w:val="004A077E"/>
    <w:rsid w:val="004A1F9C"/>
    <w:rsid w:val="004A252F"/>
    <w:rsid w:val="004A52AD"/>
    <w:rsid w:val="004A63A7"/>
    <w:rsid w:val="004B0ADA"/>
    <w:rsid w:val="004B18FA"/>
    <w:rsid w:val="004B234F"/>
    <w:rsid w:val="004B291D"/>
    <w:rsid w:val="004B312B"/>
    <w:rsid w:val="004B3918"/>
    <w:rsid w:val="004B3C0F"/>
    <w:rsid w:val="004B49D4"/>
    <w:rsid w:val="004B4DBC"/>
    <w:rsid w:val="004B5C7C"/>
    <w:rsid w:val="004B6EB2"/>
    <w:rsid w:val="004C05E4"/>
    <w:rsid w:val="004C0FA8"/>
    <w:rsid w:val="004C10FB"/>
    <w:rsid w:val="004C3B5F"/>
    <w:rsid w:val="004C5F95"/>
    <w:rsid w:val="004C7B7F"/>
    <w:rsid w:val="004C7D60"/>
    <w:rsid w:val="004D050D"/>
    <w:rsid w:val="004D21FE"/>
    <w:rsid w:val="004D28EA"/>
    <w:rsid w:val="004D33A2"/>
    <w:rsid w:val="004D545E"/>
    <w:rsid w:val="004D56C8"/>
    <w:rsid w:val="004D6422"/>
    <w:rsid w:val="004D74AE"/>
    <w:rsid w:val="004E10AA"/>
    <w:rsid w:val="004E110E"/>
    <w:rsid w:val="004E2389"/>
    <w:rsid w:val="004E2C13"/>
    <w:rsid w:val="004E39E1"/>
    <w:rsid w:val="004E743F"/>
    <w:rsid w:val="004E78EE"/>
    <w:rsid w:val="004F08A2"/>
    <w:rsid w:val="004F1745"/>
    <w:rsid w:val="004F1FE7"/>
    <w:rsid w:val="004F441E"/>
    <w:rsid w:val="004F56D0"/>
    <w:rsid w:val="004F57A7"/>
    <w:rsid w:val="004F57C4"/>
    <w:rsid w:val="004F583F"/>
    <w:rsid w:val="004F6224"/>
    <w:rsid w:val="004F669A"/>
    <w:rsid w:val="00500F40"/>
    <w:rsid w:val="0050172C"/>
    <w:rsid w:val="00503559"/>
    <w:rsid w:val="00503E44"/>
    <w:rsid w:val="005046A9"/>
    <w:rsid w:val="00504A03"/>
    <w:rsid w:val="00505536"/>
    <w:rsid w:val="00511830"/>
    <w:rsid w:val="00512C08"/>
    <w:rsid w:val="00513505"/>
    <w:rsid w:val="00513E23"/>
    <w:rsid w:val="00515283"/>
    <w:rsid w:val="005156F9"/>
    <w:rsid w:val="005163DB"/>
    <w:rsid w:val="00516CB9"/>
    <w:rsid w:val="005171F2"/>
    <w:rsid w:val="00517905"/>
    <w:rsid w:val="00523BCE"/>
    <w:rsid w:val="00524937"/>
    <w:rsid w:val="005249ED"/>
    <w:rsid w:val="0052690B"/>
    <w:rsid w:val="005331B3"/>
    <w:rsid w:val="00533926"/>
    <w:rsid w:val="0053534A"/>
    <w:rsid w:val="00537151"/>
    <w:rsid w:val="005374FE"/>
    <w:rsid w:val="00537E37"/>
    <w:rsid w:val="005405EB"/>
    <w:rsid w:val="0054113B"/>
    <w:rsid w:val="00543C2F"/>
    <w:rsid w:val="00543EB5"/>
    <w:rsid w:val="00546535"/>
    <w:rsid w:val="00552706"/>
    <w:rsid w:val="00554EA8"/>
    <w:rsid w:val="005554F4"/>
    <w:rsid w:val="005561A0"/>
    <w:rsid w:val="0055675D"/>
    <w:rsid w:val="00557589"/>
    <w:rsid w:val="00564084"/>
    <w:rsid w:val="00564C42"/>
    <w:rsid w:val="00564F8B"/>
    <w:rsid w:val="00565045"/>
    <w:rsid w:val="00565AC1"/>
    <w:rsid w:val="00566A2F"/>
    <w:rsid w:val="00566E8F"/>
    <w:rsid w:val="00567771"/>
    <w:rsid w:val="005712ED"/>
    <w:rsid w:val="00571C0F"/>
    <w:rsid w:val="005724BE"/>
    <w:rsid w:val="00573333"/>
    <w:rsid w:val="0057422E"/>
    <w:rsid w:val="00576FB3"/>
    <w:rsid w:val="005821F2"/>
    <w:rsid w:val="0058256F"/>
    <w:rsid w:val="005833BE"/>
    <w:rsid w:val="005843E5"/>
    <w:rsid w:val="0058440A"/>
    <w:rsid w:val="005848DF"/>
    <w:rsid w:val="00584A81"/>
    <w:rsid w:val="005856ED"/>
    <w:rsid w:val="00587677"/>
    <w:rsid w:val="005912C2"/>
    <w:rsid w:val="00592164"/>
    <w:rsid w:val="005928CE"/>
    <w:rsid w:val="00592BCB"/>
    <w:rsid w:val="00592C10"/>
    <w:rsid w:val="00593556"/>
    <w:rsid w:val="00593849"/>
    <w:rsid w:val="00593DC4"/>
    <w:rsid w:val="0059424E"/>
    <w:rsid w:val="00596293"/>
    <w:rsid w:val="00596C0B"/>
    <w:rsid w:val="005A0390"/>
    <w:rsid w:val="005A195E"/>
    <w:rsid w:val="005A2189"/>
    <w:rsid w:val="005A2829"/>
    <w:rsid w:val="005A50D6"/>
    <w:rsid w:val="005A6B15"/>
    <w:rsid w:val="005A6BD7"/>
    <w:rsid w:val="005B1FA1"/>
    <w:rsid w:val="005B2E07"/>
    <w:rsid w:val="005B307E"/>
    <w:rsid w:val="005B559A"/>
    <w:rsid w:val="005B56F7"/>
    <w:rsid w:val="005C0833"/>
    <w:rsid w:val="005C0B34"/>
    <w:rsid w:val="005C3187"/>
    <w:rsid w:val="005C3967"/>
    <w:rsid w:val="005C54B4"/>
    <w:rsid w:val="005C58F4"/>
    <w:rsid w:val="005C5925"/>
    <w:rsid w:val="005C690B"/>
    <w:rsid w:val="005C6B66"/>
    <w:rsid w:val="005D0C7C"/>
    <w:rsid w:val="005D2207"/>
    <w:rsid w:val="005D2C10"/>
    <w:rsid w:val="005D3965"/>
    <w:rsid w:val="005D43EE"/>
    <w:rsid w:val="005D6CE8"/>
    <w:rsid w:val="005D79B0"/>
    <w:rsid w:val="005D7D5A"/>
    <w:rsid w:val="005E0B35"/>
    <w:rsid w:val="005E2B94"/>
    <w:rsid w:val="005E369F"/>
    <w:rsid w:val="005E39EB"/>
    <w:rsid w:val="005E4BAC"/>
    <w:rsid w:val="005F0327"/>
    <w:rsid w:val="005F0D55"/>
    <w:rsid w:val="005F1B6C"/>
    <w:rsid w:val="005F3221"/>
    <w:rsid w:val="005F33CB"/>
    <w:rsid w:val="005F3C25"/>
    <w:rsid w:val="005F4346"/>
    <w:rsid w:val="005F45F5"/>
    <w:rsid w:val="005F513D"/>
    <w:rsid w:val="005F589F"/>
    <w:rsid w:val="0060130D"/>
    <w:rsid w:val="006045C8"/>
    <w:rsid w:val="00604609"/>
    <w:rsid w:val="006058D9"/>
    <w:rsid w:val="00606EF9"/>
    <w:rsid w:val="00611530"/>
    <w:rsid w:val="006125CB"/>
    <w:rsid w:val="006127A2"/>
    <w:rsid w:val="006128E8"/>
    <w:rsid w:val="006133EC"/>
    <w:rsid w:val="006152FD"/>
    <w:rsid w:val="00616E9B"/>
    <w:rsid w:val="006201F7"/>
    <w:rsid w:val="0062056F"/>
    <w:rsid w:val="00620994"/>
    <w:rsid w:val="006214CC"/>
    <w:rsid w:val="00621C43"/>
    <w:rsid w:val="006220A1"/>
    <w:rsid w:val="006230BB"/>
    <w:rsid w:val="00623182"/>
    <w:rsid w:val="00623AA0"/>
    <w:rsid w:val="00625110"/>
    <w:rsid w:val="00627A57"/>
    <w:rsid w:val="00633143"/>
    <w:rsid w:val="0063325D"/>
    <w:rsid w:val="0063689D"/>
    <w:rsid w:val="0063712C"/>
    <w:rsid w:val="00637E62"/>
    <w:rsid w:val="00637FC5"/>
    <w:rsid w:val="006405BD"/>
    <w:rsid w:val="0064129F"/>
    <w:rsid w:val="00643720"/>
    <w:rsid w:val="0064448D"/>
    <w:rsid w:val="00647BB7"/>
    <w:rsid w:val="00650E7E"/>
    <w:rsid w:val="00651AEF"/>
    <w:rsid w:val="00653121"/>
    <w:rsid w:val="0065414B"/>
    <w:rsid w:val="00656596"/>
    <w:rsid w:val="00656F83"/>
    <w:rsid w:val="0066046D"/>
    <w:rsid w:val="006623E2"/>
    <w:rsid w:val="00662953"/>
    <w:rsid w:val="006643B1"/>
    <w:rsid w:val="006645F7"/>
    <w:rsid w:val="00664CF9"/>
    <w:rsid w:val="0066579B"/>
    <w:rsid w:val="00666174"/>
    <w:rsid w:val="00666FCE"/>
    <w:rsid w:val="0066713E"/>
    <w:rsid w:val="00667400"/>
    <w:rsid w:val="006746E4"/>
    <w:rsid w:val="0067540D"/>
    <w:rsid w:val="00675577"/>
    <w:rsid w:val="0067768C"/>
    <w:rsid w:val="006779BD"/>
    <w:rsid w:val="00680297"/>
    <w:rsid w:val="006839D0"/>
    <w:rsid w:val="00684C30"/>
    <w:rsid w:val="00686758"/>
    <w:rsid w:val="00686A2B"/>
    <w:rsid w:val="006873CE"/>
    <w:rsid w:val="0069068A"/>
    <w:rsid w:val="00690E2E"/>
    <w:rsid w:val="00691A4A"/>
    <w:rsid w:val="00693355"/>
    <w:rsid w:val="00693E8A"/>
    <w:rsid w:val="00694AEB"/>
    <w:rsid w:val="006968B6"/>
    <w:rsid w:val="00697EC0"/>
    <w:rsid w:val="006A0786"/>
    <w:rsid w:val="006A20C5"/>
    <w:rsid w:val="006A28EA"/>
    <w:rsid w:val="006A30DA"/>
    <w:rsid w:val="006A48B4"/>
    <w:rsid w:val="006A5005"/>
    <w:rsid w:val="006A565F"/>
    <w:rsid w:val="006A71E1"/>
    <w:rsid w:val="006A761A"/>
    <w:rsid w:val="006A78E9"/>
    <w:rsid w:val="006B2645"/>
    <w:rsid w:val="006B2B3D"/>
    <w:rsid w:val="006B433E"/>
    <w:rsid w:val="006B4B16"/>
    <w:rsid w:val="006B6334"/>
    <w:rsid w:val="006C0DFC"/>
    <w:rsid w:val="006C2A64"/>
    <w:rsid w:val="006C4CF1"/>
    <w:rsid w:val="006C4DD0"/>
    <w:rsid w:val="006C51F2"/>
    <w:rsid w:val="006C5733"/>
    <w:rsid w:val="006C6523"/>
    <w:rsid w:val="006D110A"/>
    <w:rsid w:val="006D22C5"/>
    <w:rsid w:val="006D41AA"/>
    <w:rsid w:val="006D57BE"/>
    <w:rsid w:val="006E0560"/>
    <w:rsid w:val="006E248A"/>
    <w:rsid w:val="006E28C6"/>
    <w:rsid w:val="006E469B"/>
    <w:rsid w:val="006E6978"/>
    <w:rsid w:val="006E72DD"/>
    <w:rsid w:val="006E7B7C"/>
    <w:rsid w:val="006F0C28"/>
    <w:rsid w:val="006F1961"/>
    <w:rsid w:val="006F2D46"/>
    <w:rsid w:val="006F32EA"/>
    <w:rsid w:val="006F3C22"/>
    <w:rsid w:val="006F4FCC"/>
    <w:rsid w:val="007042EB"/>
    <w:rsid w:val="00704DCA"/>
    <w:rsid w:val="00705FA0"/>
    <w:rsid w:val="007061FE"/>
    <w:rsid w:val="007070C0"/>
    <w:rsid w:val="00710017"/>
    <w:rsid w:val="00710E94"/>
    <w:rsid w:val="00711B1E"/>
    <w:rsid w:val="00712986"/>
    <w:rsid w:val="00714AE1"/>
    <w:rsid w:val="00714E98"/>
    <w:rsid w:val="007164C5"/>
    <w:rsid w:val="00717D2D"/>
    <w:rsid w:val="00720179"/>
    <w:rsid w:val="00721A55"/>
    <w:rsid w:val="00723379"/>
    <w:rsid w:val="007259C6"/>
    <w:rsid w:val="00726E20"/>
    <w:rsid w:val="0072744A"/>
    <w:rsid w:val="007279D2"/>
    <w:rsid w:val="00727D8A"/>
    <w:rsid w:val="00731078"/>
    <w:rsid w:val="0073157F"/>
    <w:rsid w:val="00731FEA"/>
    <w:rsid w:val="00732E06"/>
    <w:rsid w:val="00735735"/>
    <w:rsid w:val="00736F61"/>
    <w:rsid w:val="0073735F"/>
    <w:rsid w:val="00737A2E"/>
    <w:rsid w:val="00737CA1"/>
    <w:rsid w:val="00740F89"/>
    <w:rsid w:val="00741134"/>
    <w:rsid w:val="00742253"/>
    <w:rsid w:val="0074245D"/>
    <w:rsid w:val="00742C22"/>
    <w:rsid w:val="00742D7C"/>
    <w:rsid w:val="00742F26"/>
    <w:rsid w:val="00743AB9"/>
    <w:rsid w:val="00743E81"/>
    <w:rsid w:val="0074508C"/>
    <w:rsid w:val="00746136"/>
    <w:rsid w:val="00746822"/>
    <w:rsid w:val="0074770D"/>
    <w:rsid w:val="007508CF"/>
    <w:rsid w:val="00751F35"/>
    <w:rsid w:val="00752432"/>
    <w:rsid w:val="00753393"/>
    <w:rsid w:val="007539DA"/>
    <w:rsid w:val="00753BFE"/>
    <w:rsid w:val="00754B55"/>
    <w:rsid w:val="00757982"/>
    <w:rsid w:val="0076041D"/>
    <w:rsid w:val="0076456C"/>
    <w:rsid w:val="00765A4F"/>
    <w:rsid w:val="007662C7"/>
    <w:rsid w:val="00772972"/>
    <w:rsid w:val="00773EAA"/>
    <w:rsid w:val="007762A3"/>
    <w:rsid w:val="00776306"/>
    <w:rsid w:val="007766AC"/>
    <w:rsid w:val="00777E34"/>
    <w:rsid w:val="007811A8"/>
    <w:rsid w:val="00782996"/>
    <w:rsid w:val="00783379"/>
    <w:rsid w:val="00783C48"/>
    <w:rsid w:val="007875EA"/>
    <w:rsid w:val="00787EB2"/>
    <w:rsid w:val="007943FA"/>
    <w:rsid w:val="00796C7E"/>
    <w:rsid w:val="00797844"/>
    <w:rsid w:val="007A0B20"/>
    <w:rsid w:val="007A48BE"/>
    <w:rsid w:val="007A55A7"/>
    <w:rsid w:val="007A58D4"/>
    <w:rsid w:val="007A5D53"/>
    <w:rsid w:val="007A767B"/>
    <w:rsid w:val="007B03C6"/>
    <w:rsid w:val="007B1F10"/>
    <w:rsid w:val="007B335E"/>
    <w:rsid w:val="007B3C48"/>
    <w:rsid w:val="007B5ADB"/>
    <w:rsid w:val="007B70A4"/>
    <w:rsid w:val="007B7BBE"/>
    <w:rsid w:val="007C0409"/>
    <w:rsid w:val="007C04C1"/>
    <w:rsid w:val="007C18AF"/>
    <w:rsid w:val="007C1D8F"/>
    <w:rsid w:val="007C6106"/>
    <w:rsid w:val="007D10E1"/>
    <w:rsid w:val="007D1EAA"/>
    <w:rsid w:val="007D4973"/>
    <w:rsid w:val="007D5171"/>
    <w:rsid w:val="007D5922"/>
    <w:rsid w:val="007D684D"/>
    <w:rsid w:val="007D6C2C"/>
    <w:rsid w:val="007E018D"/>
    <w:rsid w:val="007E1023"/>
    <w:rsid w:val="007E44C6"/>
    <w:rsid w:val="007E47A3"/>
    <w:rsid w:val="007E7E01"/>
    <w:rsid w:val="007F1958"/>
    <w:rsid w:val="007F1B71"/>
    <w:rsid w:val="007F3897"/>
    <w:rsid w:val="007F3D7F"/>
    <w:rsid w:val="007F4A6E"/>
    <w:rsid w:val="007F4FA9"/>
    <w:rsid w:val="007F5B94"/>
    <w:rsid w:val="008009F5"/>
    <w:rsid w:val="00801F6E"/>
    <w:rsid w:val="00801FC4"/>
    <w:rsid w:val="008025BD"/>
    <w:rsid w:val="00803109"/>
    <w:rsid w:val="00803996"/>
    <w:rsid w:val="0080403F"/>
    <w:rsid w:val="008061D2"/>
    <w:rsid w:val="00807BEE"/>
    <w:rsid w:val="00807E7D"/>
    <w:rsid w:val="00813352"/>
    <w:rsid w:val="00813729"/>
    <w:rsid w:val="008151B4"/>
    <w:rsid w:val="008154B4"/>
    <w:rsid w:val="008176F4"/>
    <w:rsid w:val="00820FF1"/>
    <w:rsid w:val="00821391"/>
    <w:rsid w:val="0082249D"/>
    <w:rsid w:val="00826267"/>
    <w:rsid w:val="00826401"/>
    <w:rsid w:val="008272F5"/>
    <w:rsid w:val="00827DDB"/>
    <w:rsid w:val="0083017A"/>
    <w:rsid w:val="0083056E"/>
    <w:rsid w:val="00831675"/>
    <w:rsid w:val="00831B85"/>
    <w:rsid w:val="00831CB0"/>
    <w:rsid w:val="00836623"/>
    <w:rsid w:val="00840534"/>
    <w:rsid w:val="008407DB"/>
    <w:rsid w:val="00841034"/>
    <w:rsid w:val="00841728"/>
    <w:rsid w:val="00841F24"/>
    <w:rsid w:val="00841FA2"/>
    <w:rsid w:val="00842E07"/>
    <w:rsid w:val="00843AAE"/>
    <w:rsid w:val="0084431E"/>
    <w:rsid w:val="00845FF0"/>
    <w:rsid w:val="00852690"/>
    <w:rsid w:val="0085395C"/>
    <w:rsid w:val="00857B52"/>
    <w:rsid w:val="0086115D"/>
    <w:rsid w:val="00863167"/>
    <w:rsid w:val="00863F6F"/>
    <w:rsid w:val="0086401A"/>
    <w:rsid w:val="00865A9A"/>
    <w:rsid w:val="00866A19"/>
    <w:rsid w:val="008703CA"/>
    <w:rsid w:val="008718A2"/>
    <w:rsid w:val="00874244"/>
    <w:rsid w:val="00874F2E"/>
    <w:rsid w:val="00876B2F"/>
    <w:rsid w:val="00880C4A"/>
    <w:rsid w:val="0088237F"/>
    <w:rsid w:val="00882526"/>
    <w:rsid w:val="00882573"/>
    <w:rsid w:val="0088467C"/>
    <w:rsid w:val="00890BCB"/>
    <w:rsid w:val="00891C6E"/>
    <w:rsid w:val="008931E0"/>
    <w:rsid w:val="00893EB2"/>
    <w:rsid w:val="00894579"/>
    <w:rsid w:val="00895251"/>
    <w:rsid w:val="00896AA3"/>
    <w:rsid w:val="00897D43"/>
    <w:rsid w:val="008A0C83"/>
    <w:rsid w:val="008A102E"/>
    <w:rsid w:val="008A5B67"/>
    <w:rsid w:val="008A6471"/>
    <w:rsid w:val="008B0439"/>
    <w:rsid w:val="008B1611"/>
    <w:rsid w:val="008B76A4"/>
    <w:rsid w:val="008C0DE8"/>
    <w:rsid w:val="008C16DC"/>
    <w:rsid w:val="008C2617"/>
    <w:rsid w:val="008C2A5B"/>
    <w:rsid w:val="008C2C6B"/>
    <w:rsid w:val="008C45B9"/>
    <w:rsid w:val="008C6E74"/>
    <w:rsid w:val="008C706B"/>
    <w:rsid w:val="008C7571"/>
    <w:rsid w:val="008D01B5"/>
    <w:rsid w:val="008D16F7"/>
    <w:rsid w:val="008D173F"/>
    <w:rsid w:val="008D367D"/>
    <w:rsid w:val="008D4ABF"/>
    <w:rsid w:val="008D4C34"/>
    <w:rsid w:val="008D6005"/>
    <w:rsid w:val="008D7573"/>
    <w:rsid w:val="008D7A84"/>
    <w:rsid w:val="008E0F05"/>
    <w:rsid w:val="008E1427"/>
    <w:rsid w:val="008E2D28"/>
    <w:rsid w:val="008E415D"/>
    <w:rsid w:val="008E4ED4"/>
    <w:rsid w:val="008E69A9"/>
    <w:rsid w:val="008F0731"/>
    <w:rsid w:val="008F0888"/>
    <w:rsid w:val="008F25AE"/>
    <w:rsid w:val="008F3E0D"/>
    <w:rsid w:val="008F52EB"/>
    <w:rsid w:val="008F5501"/>
    <w:rsid w:val="008F5EFA"/>
    <w:rsid w:val="00902438"/>
    <w:rsid w:val="00903991"/>
    <w:rsid w:val="009057C3"/>
    <w:rsid w:val="00905B99"/>
    <w:rsid w:val="009061FA"/>
    <w:rsid w:val="00911A49"/>
    <w:rsid w:val="00913394"/>
    <w:rsid w:val="009143A0"/>
    <w:rsid w:val="00915DE1"/>
    <w:rsid w:val="009200BC"/>
    <w:rsid w:val="00921257"/>
    <w:rsid w:val="00921F78"/>
    <w:rsid w:val="0092249A"/>
    <w:rsid w:val="00922C36"/>
    <w:rsid w:val="00922F2F"/>
    <w:rsid w:val="009232C5"/>
    <w:rsid w:val="00923BF7"/>
    <w:rsid w:val="00924DAB"/>
    <w:rsid w:val="009272C7"/>
    <w:rsid w:val="00927404"/>
    <w:rsid w:val="00930302"/>
    <w:rsid w:val="0093236A"/>
    <w:rsid w:val="009331B2"/>
    <w:rsid w:val="009339F2"/>
    <w:rsid w:val="0093426F"/>
    <w:rsid w:val="00934EB4"/>
    <w:rsid w:val="00936902"/>
    <w:rsid w:val="00937B01"/>
    <w:rsid w:val="00937B9F"/>
    <w:rsid w:val="00937EAC"/>
    <w:rsid w:val="00940D38"/>
    <w:rsid w:val="00941A85"/>
    <w:rsid w:val="0094354F"/>
    <w:rsid w:val="009445F3"/>
    <w:rsid w:val="00945292"/>
    <w:rsid w:val="009460BA"/>
    <w:rsid w:val="009465DF"/>
    <w:rsid w:val="00947EA6"/>
    <w:rsid w:val="009509D4"/>
    <w:rsid w:val="009513DE"/>
    <w:rsid w:val="00951F7B"/>
    <w:rsid w:val="00954679"/>
    <w:rsid w:val="00955385"/>
    <w:rsid w:val="00957172"/>
    <w:rsid w:val="00957E3E"/>
    <w:rsid w:val="009610E5"/>
    <w:rsid w:val="00963274"/>
    <w:rsid w:val="00965A7E"/>
    <w:rsid w:val="00967DBD"/>
    <w:rsid w:val="00971494"/>
    <w:rsid w:val="00971D96"/>
    <w:rsid w:val="00973E34"/>
    <w:rsid w:val="009743AD"/>
    <w:rsid w:val="009753E0"/>
    <w:rsid w:val="0097780F"/>
    <w:rsid w:val="00981A7C"/>
    <w:rsid w:val="00981E68"/>
    <w:rsid w:val="00981F57"/>
    <w:rsid w:val="00982161"/>
    <w:rsid w:val="00983615"/>
    <w:rsid w:val="009848DE"/>
    <w:rsid w:val="00985F07"/>
    <w:rsid w:val="00986976"/>
    <w:rsid w:val="00987638"/>
    <w:rsid w:val="009905C0"/>
    <w:rsid w:val="0099133D"/>
    <w:rsid w:val="0099219A"/>
    <w:rsid w:val="00992BBF"/>
    <w:rsid w:val="0099634F"/>
    <w:rsid w:val="009A0B8A"/>
    <w:rsid w:val="009A1DCA"/>
    <w:rsid w:val="009A1E21"/>
    <w:rsid w:val="009A2209"/>
    <w:rsid w:val="009A4E14"/>
    <w:rsid w:val="009A5CA5"/>
    <w:rsid w:val="009A648E"/>
    <w:rsid w:val="009A6687"/>
    <w:rsid w:val="009A730B"/>
    <w:rsid w:val="009B143E"/>
    <w:rsid w:val="009B1880"/>
    <w:rsid w:val="009B1AC2"/>
    <w:rsid w:val="009B226A"/>
    <w:rsid w:val="009B2494"/>
    <w:rsid w:val="009B372C"/>
    <w:rsid w:val="009B43F3"/>
    <w:rsid w:val="009B536E"/>
    <w:rsid w:val="009B6064"/>
    <w:rsid w:val="009B611F"/>
    <w:rsid w:val="009C342F"/>
    <w:rsid w:val="009C4BC0"/>
    <w:rsid w:val="009C5666"/>
    <w:rsid w:val="009C6A1E"/>
    <w:rsid w:val="009C7603"/>
    <w:rsid w:val="009D3459"/>
    <w:rsid w:val="009D5C26"/>
    <w:rsid w:val="009D69F7"/>
    <w:rsid w:val="009D6B03"/>
    <w:rsid w:val="009D7B38"/>
    <w:rsid w:val="009E0079"/>
    <w:rsid w:val="009E05F0"/>
    <w:rsid w:val="009E2F86"/>
    <w:rsid w:val="009E44B4"/>
    <w:rsid w:val="009E4567"/>
    <w:rsid w:val="009E514C"/>
    <w:rsid w:val="009E683F"/>
    <w:rsid w:val="009E688D"/>
    <w:rsid w:val="009E708F"/>
    <w:rsid w:val="009F112C"/>
    <w:rsid w:val="009F186A"/>
    <w:rsid w:val="009F3866"/>
    <w:rsid w:val="009F4A7C"/>
    <w:rsid w:val="009F5A6E"/>
    <w:rsid w:val="009F7439"/>
    <w:rsid w:val="00A0150D"/>
    <w:rsid w:val="00A0232A"/>
    <w:rsid w:val="00A035C3"/>
    <w:rsid w:val="00A039D2"/>
    <w:rsid w:val="00A041BD"/>
    <w:rsid w:val="00A04760"/>
    <w:rsid w:val="00A04969"/>
    <w:rsid w:val="00A04FDD"/>
    <w:rsid w:val="00A05413"/>
    <w:rsid w:val="00A0574D"/>
    <w:rsid w:val="00A109EB"/>
    <w:rsid w:val="00A10FD0"/>
    <w:rsid w:val="00A11384"/>
    <w:rsid w:val="00A12209"/>
    <w:rsid w:val="00A12619"/>
    <w:rsid w:val="00A131CA"/>
    <w:rsid w:val="00A1335A"/>
    <w:rsid w:val="00A13B0D"/>
    <w:rsid w:val="00A146DE"/>
    <w:rsid w:val="00A1601E"/>
    <w:rsid w:val="00A16FC5"/>
    <w:rsid w:val="00A17332"/>
    <w:rsid w:val="00A17D07"/>
    <w:rsid w:val="00A20732"/>
    <w:rsid w:val="00A22264"/>
    <w:rsid w:val="00A240E7"/>
    <w:rsid w:val="00A24C71"/>
    <w:rsid w:val="00A2603A"/>
    <w:rsid w:val="00A2674C"/>
    <w:rsid w:val="00A26792"/>
    <w:rsid w:val="00A279AB"/>
    <w:rsid w:val="00A304D8"/>
    <w:rsid w:val="00A3153C"/>
    <w:rsid w:val="00A324FF"/>
    <w:rsid w:val="00A32553"/>
    <w:rsid w:val="00A32602"/>
    <w:rsid w:val="00A3315D"/>
    <w:rsid w:val="00A34044"/>
    <w:rsid w:val="00A34CC3"/>
    <w:rsid w:val="00A357F9"/>
    <w:rsid w:val="00A36DF3"/>
    <w:rsid w:val="00A37406"/>
    <w:rsid w:val="00A37D38"/>
    <w:rsid w:val="00A37DC4"/>
    <w:rsid w:val="00A403F7"/>
    <w:rsid w:val="00A40578"/>
    <w:rsid w:val="00A42244"/>
    <w:rsid w:val="00A42A16"/>
    <w:rsid w:val="00A4399D"/>
    <w:rsid w:val="00A43C70"/>
    <w:rsid w:val="00A45970"/>
    <w:rsid w:val="00A4684B"/>
    <w:rsid w:val="00A510EF"/>
    <w:rsid w:val="00A51F4D"/>
    <w:rsid w:val="00A526E8"/>
    <w:rsid w:val="00A532DD"/>
    <w:rsid w:val="00A53B4A"/>
    <w:rsid w:val="00A55DFB"/>
    <w:rsid w:val="00A56277"/>
    <w:rsid w:val="00A562D4"/>
    <w:rsid w:val="00A6108C"/>
    <w:rsid w:val="00A6144D"/>
    <w:rsid w:val="00A614B9"/>
    <w:rsid w:val="00A61BB2"/>
    <w:rsid w:val="00A649FE"/>
    <w:rsid w:val="00A64B7F"/>
    <w:rsid w:val="00A66142"/>
    <w:rsid w:val="00A66333"/>
    <w:rsid w:val="00A668E1"/>
    <w:rsid w:val="00A7011A"/>
    <w:rsid w:val="00A70E2E"/>
    <w:rsid w:val="00A724E7"/>
    <w:rsid w:val="00A72F26"/>
    <w:rsid w:val="00A75401"/>
    <w:rsid w:val="00A75E1E"/>
    <w:rsid w:val="00A760CD"/>
    <w:rsid w:val="00A7684C"/>
    <w:rsid w:val="00A80BCF"/>
    <w:rsid w:val="00A8192C"/>
    <w:rsid w:val="00A8369C"/>
    <w:rsid w:val="00A842BB"/>
    <w:rsid w:val="00A856F9"/>
    <w:rsid w:val="00A86129"/>
    <w:rsid w:val="00A8662F"/>
    <w:rsid w:val="00A86734"/>
    <w:rsid w:val="00A86F21"/>
    <w:rsid w:val="00A87DF6"/>
    <w:rsid w:val="00A91157"/>
    <w:rsid w:val="00A9287D"/>
    <w:rsid w:val="00A932AF"/>
    <w:rsid w:val="00A96018"/>
    <w:rsid w:val="00A96987"/>
    <w:rsid w:val="00AA0B4E"/>
    <w:rsid w:val="00AA1689"/>
    <w:rsid w:val="00AA42BC"/>
    <w:rsid w:val="00AA5770"/>
    <w:rsid w:val="00AA6BA9"/>
    <w:rsid w:val="00AA74DB"/>
    <w:rsid w:val="00AA7781"/>
    <w:rsid w:val="00AA7B06"/>
    <w:rsid w:val="00AB0BBF"/>
    <w:rsid w:val="00AB0CC3"/>
    <w:rsid w:val="00AB15DF"/>
    <w:rsid w:val="00AB1A08"/>
    <w:rsid w:val="00AB398C"/>
    <w:rsid w:val="00AB5564"/>
    <w:rsid w:val="00AB5A61"/>
    <w:rsid w:val="00AB636F"/>
    <w:rsid w:val="00AB6E33"/>
    <w:rsid w:val="00AC0138"/>
    <w:rsid w:val="00AC1D15"/>
    <w:rsid w:val="00AC2BAF"/>
    <w:rsid w:val="00AC71DA"/>
    <w:rsid w:val="00AC79AC"/>
    <w:rsid w:val="00AD139C"/>
    <w:rsid w:val="00AD227C"/>
    <w:rsid w:val="00AD28EC"/>
    <w:rsid w:val="00AD29E2"/>
    <w:rsid w:val="00AD3399"/>
    <w:rsid w:val="00AD418B"/>
    <w:rsid w:val="00AD4616"/>
    <w:rsid w:val="00AD499C"/>
    <w:rsid w:val="00AD4D63"/>
    <w:rsid w:val="00AD55F2"/>
    <w:rsid w:val="00AD5AD8"/>
    <w:rsid w:val="00AD63F9"/>
    <w:rsid w:val="00AD6566"/>
    <w:rsid w:val="00AE25B2"/>
    <w:rsid w:val="00AE3DA3"/>
    <w:rsid w:val="00AE4A3B"/>
    <w:rsid w:val="00AE524E"/>
    <w:rsid w:val="00AE58D6"/>
    <w:rsid w:val="00AE7A20"/>
    <w:rsid w:val="00AF0201"/>
    <w:rsid w:val="00AF0DAB"/>
    <w:rsid w:val="00AF1461"/>
    <w:rsid w:val="00AF2B97"/>
    <w:rsid w:val="00AF3C0C"/>
    <w:rsid w:val="00AF444D"/>
    <w:rsid w:val="00AF6E3A"/>
    <w:rsid w:val="00B00019"/>
    <w:rsid w:val="00B00780"/>
    <w:rsid w:val="00B00CAA"/>
    <w:rsid w:val="00B00ED7"/>
    <w:rsid w:val="00B0429E"/>
    <w:rsid w:val="00B0451B"/>
    <w:rsid w:val="00B046C7"/>
    <w:rsid w:val="00B05E8A"/>
    <w:rsid w:val="00B06C64"/>
    <w:rsid w:val="00B07B0C"/>
    <w:rsid w:val="00B10243"/>
    <w:rsid w:val="00B10894"/>
    <w:rsid w:val="00B11A7A"/>
    <w:rsid w:val="00B131C6"/>
    <w:rsid w:val="00B1354E"/>
    <w:rsid w:val="00B149D1"/>
    <w:rsid w:val="00B14E8C"/>
    <w:rsid w:val="00B14F6F"/>
    <w:rsid w:val="00B150BA"/>
    <w:rsid w:val="00B15827"/>
    <w:rsid w:val="00B15E33"/>
    <w:rsid w:val="00B15FC2"/>
    <w:rsid w:val="00B17715"/>
    <w:rsid w:val="00B17D9D"/>
    <w:rsid w:val="00B17FDB"/>
    <w:rsid w:val="00B2003C"/>
    <w:rsid w:val="00B23248"/>
    <w:rsid w:val="00B25563"/>
    <w:rsid w:val="00B26D48"/>
    <w:rsid w:val="00B275D2"/>
    <w:rsid w:val="00B31290"/>
    <w:rsid w:val="00B31A8E"/>
    <w:rsid w:val="00B31BD5"/>
    <w:rsid w:val="00B32016"/>
    <w:rsid w:val="00B33E66"/>
    <w:rsid w:val="00B341E9"/>
    <w:rsid w:val="00B40071"/>
    <w:rsid w:val="00B40F61"/>
    <w:rsid w:val="00B4120D"/>
    <w:rsid w:val="00B424AB"/>
    <w:rsid w:val="00B42EE1"/>
    <w:rsid w:val="00B4482B"/>
    <w:rsid w:val="00B4567C"/>
    <w:rsid w:val="00B47214"/>
    <w:rsid w:val="00B5035D"/>
    <w:rsid w:val="00B54031"/>
    <w:rsid w:val="00B54B87"/>
    <w:rsid w:val="00B55695"/>
    <w:rsid w:val="00B55914"/>
    <w:rsid w:val="00B57E87"/>
    <w:rsid w:val="00B60009"/>
    <w:rsid w:val="00B60DC8"/>
    <w:rsid w:val="00B61769"/>
    <w:rsid w:val="00B61ADE"/>
    <w:rsid w:val="00B6231E"/>
    <w:rsid w:val="00B63777"/>
    <w:rsid w:val="00B67692"/>
    <w:rsid w:val="00B71706"/>
    <w:rsid w:val="00B725A8"/>
    <w:rsid w:val="00B727B9"/>
    <w:rsid w:val="00B7400C"/>
    <w:rsid w:val="00B74304"/>
    <w:rsid w:val="00B74AE6"/>
    <w:rsid w:val="00B7508D"/>
    <w:rsid w:val="00B7665F"/>
    <w:rsid w:val="00B775DE"/>
    <w:rsid w:val="00B77CB7"/>
    <w:rsid w:val="00B8048A"/>
    <w:rsid w:val="00B806ED"/>
    <w:rsid w:val="00B81986"/>
    <w:rsid w:val="00B8293D"/>
    <w:rsid w:val="00B82A94"/>
    <w:rsid w:val="00B84D9A"/>
    <w:rsid w:val="00B859FA"/>
    <w:rsid w:val="00B869D1"/>
    <w:rsid w:val="00B86AAF"/>
    <w:rsid w:val="00B90B73"/>
    <w:rsid w:val="00B90C68"/>
    <w:rsid w:val="00B92478"/>
    <w:rsid w:val="00B92B42"/>
    <w:rsid w:val="00B93EFA"/>
    <w:rsid w:val="00B94ABB"/>
    <w:rsid w:val="00B953F1"/>
    <w:rsid w:val="00B955C6"/>
    <w:rsid w:val="00BA041C"/>
    <w:rsid w:val="00BA1AD8"/>
    <w:rsid w:val="00BA2FF2"/>
    <w:rsid w:val="00BA46F0"/>
    <w:rsid w:val="00BA6188"/>
    <w:rsid w:val="00BB0659"/>
    <w:rsid w:val="00BB0F66"/>
    <w:rsid w:val="00BB2791"/>
    <w:rsid w:val="00BB3B7A"/>
    <w:rsid w:val="00BB4997"/>
    <w:rsid w:val="00BB4ED8"/>
    <w:rsid w:val="00BB7C88"/>
    <w:rsid w:val="00BB7FEF"/>
    <w:rsid w:val="00BC0A69"/>
    <w:rsid w:val="00BC12D7"/>
    <w:rsid w:val="00BC431C"/>
    <w:rsid w:val="00BC4D51"/>
    <w:rsid w:val="00BC614C"/>
    <w:rsid w:val="00BD0950"/>
    <w:rsid w:val="00BD163C"/>
    <w:rsid w:val="00BD2752"/>
    <w:rsid w:val="00BD36AB"/>
    <w:rsid w:val="00BD431D"/>
    <w:rsid w:val="00BD61A2"/>
    <w:rsid w:val="00BD61B2"/>
    <w:rsid w:val="00BD6A8B"/>
    <w:rsid w:val="00BD787F"/>
    <w:rsid w:val="00BE4687"/>
    <w:rsid w:val="00BE46B0"/>
    <w:rsid w:val="00BE484D"/>
    <w:rsid w:val="00BE54D8"/>
    <w:rsid w:val="00BE70E6"/>
    <w:rsid w:val="00BE75CF"/>
    <w:rsid w:val="00BF07F9"/>
    <w:rsid w:val="00BF08ED"/>
    <w:rsid w:val="00BF10B7"/>
    <w:rsid w:val="00BF3CE2"/>
    <w:rsid w:val="00BF43DD"/>
    <w:rsid w:val="00BF4648"/>
    <w:rsid w:val="00BF4805"/>
    <w:rsid w:val="00BF5AAD"/>
    <w:rsid w:val="00BF637E"/>
    <w:rsid w:val="00BF788F"/>
    <w:rsid w:val="00C00E84"/>
    <w:rsid w:val="00C01289"/>
    <w:rsid w:val="00C0137C"/>
    <w:rsid w:val="00C026D9"/>
    <w:rsid w:val="00C03D86"/>
    <w:rsid w:val="00C040A4"/>
    <w:rsid w:val="00C05DC6"/>
    <w:rsid w:val="00C06269"/>
    <w:rsid w:val="00C10590"/>
    <w:rsid w:val="00C11BAA"/>
    <w:rsid w:val="00C121F9"/>
    <w:rsid w:val="00C141AD"/>
    <w:rsid w:val="00C14B64"/>
    <w:rsid w:val="00C16ED1"/>
    <w:rsid w:val="00C1725E"/>
    <w:rsid w:val="00C17FC9"/>
    <w:rsid w:val="00C2020E"/>
    <w:rsid w:val="00C20CAA"/>
    <w:rsid w:val="00C220CA"/>
    <w:rsid w:val="00C23E2F"/>
    <w:rsid w:val="00C24017"/>
    <w:rsid w:val="00C25050"/>
    <w:rsid w:val="00C26FE2"/>
    <w:rsid w:val="00C306F5"/>
    <w:rsid w:val="00C315FD"/>
    <w:rsid w:val="00C316EA"/>
    <w:rsid w:val="00C34555"/>
    <w:rsid w:val="00C356E6"/>
    <w:rsid w:val="00C37E05"/>
    <w:rsid w:val="00C40BEF"/>
    <w:rsid w:val="00C42DCC"/>
    <w:rsid w:val="00C43A70"/>
    <w:rsid w:val="00C45593"/>
    <w:rsid w:val="00C46637"/>
    <w:rsid w:val="00C46F57"/>
    <w:rsid w:val="00C50B0E"/>
    <w:rsid w:val="00C517FE"/>
    <w:rsid w:val="00C519E6"/>
    <w:rsid w:val="00C51D17"/>
    <w:rsid w:val="00C525F9"/>
    <w:rsid w:val="00C52CB4"/>
    <w:rsid w:val="00C532EC"/>
    <w:rsid w:val="00C539CA"/>
    <w:rsid w:val="00C55D29"/>
    <w:rsid w:val="00C565BB"/>
    <w:rsid w:val="00C576F5"/>
    <w:rsid w:val="00C602E4"/>
    <w:rsid w:val="00C60ECB"/>
    <w:rsid w:val="00C62096"/>
    <w:rsid w:val="00C63216"/>
    <w:rsid w:val="00C65891"/>
    <w:rsid w:val="00C65BFE"/>
    <w:rsid w:val="00C67685"/>
    <w:rsid w:val="00C72277"/>
    <w:rsid w:val="00C72815"/>
    <w:rsid w:val="00C73251"/>
    <w:rsid w:val="00C7483E"/>
    <w:rsid w:val="00C75D7D"/>
    <w:rsid w:val="00C80830"/>
    <w:rsid w:val="00C80995"/>
    <w:rsid w:val="00C82109"/>
    <w:rsid w:val="00C824A0"/>
    <w:rsid w:val="00C836AF"/>
    <w:rsid w:val="00C8463C"/>
    <w:rsid w:val="00C84955"/>
    <w:rsid w:val="00C84E73"/>
    <w:rsid w:val="00C861FE"/>
    <w:rsid w:val="00C8639F"/>
    <w:rsid w:val="00C87F74"/>
    <w:rsid w:val="00C92E08"/>
    <w:rsid w:val="00C9375C"/>
    <w:rsid w:val="00C93F01"/>
    <w:rsid w:val="00C9542C"/>
    <w:rsid w:val="00C975F3"/>
    <w:rsid w:val="00C97C77"/>
    <w:rsid w:val="00CA0BE9"/>
    <w:rsid w:val="00CA138D"/>
    <w:rsid w:val="00CA1443"/>
    <w:rsid w:val="00CA1D89"/>
    <w:rsid w:val="00CA1F15"/>
    <w:rsid w:val="00CA1FC1"/>
    <w:rsid w:val="00CA2C4E"/>
    <w:rsid w:val="00CA31AA"/>
    <w:rsid w:val="00CA4627"/>
    <w:rsid w:val="00CA5382"/>
    <w:rsid w:val="00CA58F0"/>
    <w:rsid w:val="00CA6C62"/>
    <w:rsid w:val="00CB2E95"/>
    <w:rsid w:val="00CB4125"/>
    <w:rsid w:val="00CB482F"/>
    <w:rsid w:val="00CB615D"/>
    <w:rsid w:val="00CB6BB8"/>
    <w:rsid w:val="00CB71B4"/>
    <w:rsid w:val="00CC0A6F"/>
    <w:rsid w:val="00CC1C76"/>
    <w:rsid w:val="00CC34C2"/>
    <w:rsid w:val="00CC4493"/>
    <w:rsid w:val="00CC4E5A"/>
    <w:rsid w:val="00CC54DA"/>
    <w:rsid w:val="00CC7641"/>
    <w:rsid w:val="00CD1EB5"/>
    <w:rsid w:val="00CD1F63"/>
    <w:rsid w:val="00CD439F"/>
    <w:rsid w:val="00CD4EBA"/>
    <w:rsid w:val="00CD52C3"/>
    <w:rsid w:val="00CD5481"/>
    <w:rsid w:val="00CD5F40"/>
    <w:rsid w:val="00CD6028"/>
    <w:rsid w:val="00CD65D2"/>
    <w:rsid w:val="00CE01B2"/>
    <w:rsid w:val="00CE2EC2"/>
    <w:rsid w:val="00CE4299"/>
    <w:rsid w:val="00CE4B1D"/>
    <w:rsid w:val="00CE545D"/>
    <w:rsid w:val="00CE6212"/>
    <w:rsid w:val="00CE7781"/>
    <w:rsid w:val="00CF033F"/>
    <w:rsid w:val="00CF3432"/>
    <w:rsid w:val="00CF473F"/>
    <w:rsid w:val="00CF592C"/>
    <w:rsid w:val="00D00233"/>
    <w:rsid w:val="00D01A04"/>
    <w:rsid w:val="00D01F17"/>
    <w:rsid w:val="00D028E7"/>
    <w:rsid w:val="00D0375D"/>
    <w:rsid w:val="00D04E21"/>
    <w:rsid w:val="00D06C8C"/>
    <w:rsid w:val="00D104ED"/>
    <w:rsid w:val="00D13794"/>
    <w:rsid w:val="00D15555"/>
    <w:rsid w:val="00D162AC"/>
    <w:rsid w:val="00D1752E"/>
    <w:rsid w:val="00D1773A"/>
    <w:rsid w:val="00D17ED3"/>
    <w:rsid w:val="00D2105B"/>
    <w:rsid w:val="00D2198D"/>
    <w:rsid w:val="00D22754"/>
    <w:rsid w:val="00D24052"/>
    <w:rsid w:val="00D24336"/>
    <w:rsid w:val="00D24386"/>
    <w:rsid w:val="00D25C92"/>
    <w:rsid w:val="00D273C9"/>
    <w:rsid w:val="00D31575"/>
    <w:rsid w:val="00D34626"/>
    <w:rsid w:val="00D34FB4"/>
    <w:rsid w:val="00D3515F"/>
    <w:rsid w:val="00D3587F"/>
    <w:rsid w:val="00D35D9F"/>
    <w:rsid w:val="00D3662C"/>
    <w:rsid w:val="00D373FF"/>
    <w:rsid w:val="00D3751D"/>
    <w:rsid w:val="00D37A5A"/>
    <w:rsid w:val="00D40978"/>
    <w:rsid w:val="00D4177B"/>
    <w:rsid w:val="00D4257A"/>
    <w:rsid w:val="00D43F55"/>
    <w:rsid w:val="00D44F29"/>
    <w:rsid w:val="00D454D0"/>
    <w:rsid w:val="00D47136"/>
    <w:rsid w:val="00D476D0"/>
    <w:rsid w:val="00D5109E"/>
    <w:rsid w:val="00D52C3E"/>
    <w:rsid w:val="00D5339C"/>
    <w:rsid w:val="00D53C15"/>
    <w:rsid w:val="00D54167"/>
    <w:rsid w:val="00D54B45"/>
    <w:rsid w:val="00D60E5B"/>
    <w:rsid w:val="00D61AC9"/>
    <w:rsid w:val="00D61DF8"/>
    <w:rsid w:val="00D62665"/>
    <w:rsid w:val="00D638CD"/>
    <w:rsid w:val="00D65000"/>
    <w:rsid w:val="00D65C93"/>
    <w:rsid w:val="00D66FBF"/>
    <w:rsid w:val="00D67B55"/>
    <w:rsid w:val="00D70017"/>
    <w:rsid w:val="00D71274"/>
    <w:rsid w:val="00D72F5A"/>
    <w:rsid w:val="00D735D9"/>
    <w:rsid w:val="00D7442B"/>
    <w:rsid w:val="00D75AF2"/>
    <w:rsid w:val="00D76397"/>
    <w:rsid w:val="00D764FA"/>
    <w:rsid w:val="00D76634"/>
    <w:rsid w:val="00D7689C"/>
    <w:rsid w:val="00D76A0C"/>
    <w:rsid w:val="00D76B56"/>
    <w:rsid w:val="00D776D5"/>
    <w:rsid w:val="00D82D38"/>
    <w:rsid w:val="00D82E02"/>
    <w:rsid w:val="00D82E47"/>
    <w:rsid w:val="00D83534"/>
    <w:rsid w:val="00D83761"/>
    <w:rsid w:val="00D85CCB"/>
    <w:rsid w:val="00D87201"/>
    <w:rsid w:val="00D904F0"/>
    <w:rsid w:val="00D90B97"/>
    <w:rsid w:val="00D91762"/>
    <w:rsid w:val="00D93AB2"/>
    <w:rsid w:val="00D9553C"/>
    <w:rsid w:val="00D96555"/>
    <w:rsid w:val="00D97633"/>
    <w:rsid w:val="00D97C85"/>
    <w:rsid w:val="00D97E75"/>
    <w:rsid w:val="00DA269E"/>
    <w:rsid w:val="00DA39BE"/>
    <w:rsid w:val="00DA3F7B"/>
    <w:rsid w:val="00DA76FB"/>
    <w:rsid w:val="00DA7BFB"/>
    <w:rsid w:val="00DB0477"/>
    <w:rsid w:val="00DB073E"/>
    <w:rsid w:val="00DB1AA7"/>
    <w:rsid w:val="00DB2C36"/>
    <w:rsid w:val="00DB3FE0"/>
    <w:rsid w:val="00DB505C"/>
    <w:rsid w:val="00DB55A5"/>
    <w:rsid w:val="00DB63B6"/>
    <w:rsid w:val="00DB6C00"/>
    <w:rsid w:val="00DB74D3"/>
    <w:rsid w:val="00DC0CDE"/>
    <w:rsid w:val="00DC0D7E"/>
    <w:rsid w:val="00DC2E78"/>
    <w:rsid w:val="00DC4D72"/>
    <w:rsid w:val="00DC5935"/>
    <w:rsid w:val="00DC6AC9"/>
    <w:rsid w:val="00DC7F44"/>
    <w:rsid w:val="00DD0055"/>
    <w:rsid w:val="00DD2BF1"/>
    <w:rsid w:val="00DD558D"/>
    <w:rsid w:val="00DD6FAF"/>
    <w:rsid w:val="00DD743E"/>
    <w:rsid w:val="00DE032F"/>
    <w:rsid w:val="00DE049E"/>
    <w:rsid w:val="00DE0706"/>
    <w:rsid w:val="00DE0CE5"/>
    <w:rsid w:val="00DE2612"/>
    <w:rsid w:val="00DE2DE6"/>
    <w:rsid w:val="00DE378C"/>
    <w:rsid w:val="00DE3869"/>
    <w:rsid w:val="00DE746A"/>
    <w:rsid w:val="00DE771C"/>
    <w:rsid w:val="00DF1697"/>
    <w:rsid w:val="00DF254E"/>
    <w:rsid w:val="00DF25F2"/>
    <w:rsid w:val="00DF3F25"/>
    <w:rsid w:val="00DF3F65"/>
    <w:rsid w:val="00E00F9E"/>
    <w:rsid w:val="00E02176"/>
    <w:rsid w:val="00E05C06"/>
    <w:rsid w:val="00E0624D"/>
    <w:rsid w:val="00E06A34"/>
    <w:rsid w:val="00E1019E"/>
    <w:rsid w:val="00E118ED"/>
    <w:rsid w:val="00E12262"/>
    <w:rsid w:val="00E129BC"/>
    <w:rsid w:val="00E134BD"/>
    <w:rsid w:val="00E139D0"/>
    <w:rsid w:val="00E17223"/>
    <w:rsid w:val="00E2008A"/>
    <w:rsid w:val="00E231A0"/>
    <w:rsid w:val="00E24087"/>
    <w:rsid w:val="00E254B6"/>
    <w:rsid w:val="00E2560E"/>
    <w:rsid w:val="00E260D0"/>
    <w:rsid w:val="00E30EE0"/>
    <w:rsid w:val="00E34495"/>
    <w:rsid w:val="00E351D7"/>
    <w:rsid w:val="00E37576"/>
    <w:rsid w:val="00E377FF"/>
    <w:rsid w:val="00E40302"/>
    <w:rsid w:val="00E40644"/>
    <w:rsid w:val="00E4133E"/>
    <w:rsid w:val="00E421DC"/>
    <w:rsid w:val="00E424DC"/>
    <w:rsid w:val="00E428A7"/>
    <w:rsid w:val="00E43910"/>
    <w:rsid w:val="00E439EA"/>
    <w:rsid w:val="00E43F61"/>
    <w:rsid w:val="00E4438C"/>
    <w:rsid w:val="00E4565E"/>
    <w:rsid w:val="00E457F3"/>
    <w:rsid w:val="00E46463"/>
    <w:rsid w:val="00E47724"/>
    <w:rsid w:val="00E505B3"/>
    <w:rsid w:val="00E506D7"/>
    <w:rsid w:val="00E51716"/>
    <w:rsid w:val="00E517E7"/>
    <w:rsid w:val="00E5423F"/>
    <w:rsid w:val="00E54DE0"/>
    <w:rsid w:val="00E56EAC"/>
    <w:rsid w:val="00E57188"/>
    <w:rsid w:val="00E60DAD"/>
    <w:rsid w:val="00E627DD"/>
    <w:rsid w:val="00E62D05"/>
    <w:rsid w:val="00E63CD9"/>
    <w:rsid w:val="00E63DA6"/>
    <w:rsid w:val="00E63FE8"/>
    <w:rsid w:val="00E6536A"/>
    <w:rsid w:val="00E65C37"/>
    <w:rsid w:val="00E66096"/>
    <w:rsid w:val="00E67C75"/>
    <w:rsid w:val="00E71813"/>
    <w:rsid w:val="00E73961"/>
    <w:rsid w:val="00E744F1"/>
    <w:rsid w:val="00E779C8"/>
    <w:rsid w:val="00E77C49"/>
    <w:rsid w:val="00E8060B"/>
    <w:rsid w:val="00E808B6"/>
    <w:rsid w:val="00E82083"/>
    <w:rsid w:val="00E823F9"/>
    <w:rsid w:val="00E83251"/>
    <w:rsid w:val="00E8393D"/>
    <w:rsid w:val="00E83FD2"/>
    <w:rsid w:val="00E8477B"/>
    <w:rsid w:val="00E8482A"/>
    <w:rsid w:val="00E84AFB"/>
    <w:rsid w:val="00E871F6"/>
    <w:rsid w:val="00E9136E"/>
    <w:rsid w:val="00E923E7"/>
    <w:rsid w:val="00E94D8C"/>
    <w:rsid w:val="00E957FF"/>
    <w:rsid w:val="00E9621E"/>
    <w:rsid w:val="00EA3AA7"/>
    <w:rsid w:val="00EA3C88"/>
    <w:rsid w:val="00EA4DD8"/>
    <w:rsid w:val="00EA7E72"/>
    <w:rsid w:val="00EB03F7"/>
    <w:rsid w:val="00EB2AEF"/>
    <w:rsid w:val="00EB3718"/>
    <w:rsid w:val="00EB4EF3"/>
    <w:rsid w:val="00EB7E71"/>
    <w:rsid w:val="00EC0D34"/>
    <w:rsid w:val="00EC5901"/>
    <w:rsid w:val="00EC5FC3"/>
    <w:rsid w:val="00EC6424"/>
    <w:rsid w:val="00EC7BC6"/>
    <w:rsid w:val="00ED18AC"/>
    <w:rsid w:val="00ED220D"/>
    <w:rsid w:val="00ED28EB"/>
    <w:rsid w:val="00ED3A2E"/>
    <w:rsid w:val="00ED3DC9"/>
    <w:rsid w:val="00ED490E"/>
    <w:rsid w:val="00ED4A22"/>
    <w:rsid w:val="00ED55AB"/>
    <w:rsid w:val="00ED5850"/>
    <w:rsid w:val="00ED5D20"/>
    <w:rsid w:val="00EE0B56"/>
    <w:rsid w:val="00EE1981"/>
    <w:rsid w:val="00EE2C8B"/>
    <w:rsid w:val="00EE417F"/>
    <w:rsid w:val="00EE42C5"/>
    <w:rsid w:val="00EE53A0"/>
    <w:rsid w:val="00EE5F39"/>
    <w:rsid w:val="00EE7D60"/>
    <w:rsid w:val="00EF0ABF"/>
    <w:rsid w:val="00EF0C1B"/>
    <w:rsid w:val="00EF11B1"/>
    <w:rsid w:val="00EF202A"/>
    <w:rsid w:val="00EF2C6D"/>
    <w:rsid w:val="00EF44DC"/>
    <w:rsid w:val="00EF6B80"/>
    <w:rsid w:val="00EF7DCC"/>
    <w:rsid w:val="00EF7FE0"/>
    <w:rsid w:val="00F029FA"/>
    <w:rsid w:val="00F06935"/>
    <w:rsid w:val="00F07096"/>
    <w:rsid w:val="00F074CE"/>
    <w:rsid w:val="00F0779A"/>
    <w:rsid w:val="00F07A60"/>
    <w:rsid w:val="00F104B2"/>
    <w:rsid w:val="00F109D4"/>
    <w:rsid w:val="00F1181A"/>
    <w:rsid w:val="00F12E63"/>
    <w:rsid w:val="00F132E5"/>
    <w:rsid w:val="00F15AE2"/>
    <w:rsid w:val="00F15E2C"/>
    <w:rsid w:val="00F15EE9"/>
    <w:rsid w:val="00F222AE"/>
    <w:rsid w:val="00F22F1E"/>
    <w:rsid w:val="00F23152"/>
    <w:rsid w:val="00F24964"/>
    <w:rsid w:val="00F24EB9"/>
    <w:rsid w:val="00F25D08"/>
    <w:rsid w:val="00F2629C"/>
    <w:rsid w:val="00F2753B"/>
    <w:rsid w:val="00F3085C"/>
    <w:rsid w:val="00F31512"/>
    <w:rsid w:val="00F3376B"/>
    <w:rsid w:val="00F33E77"/>
    <w:rsid w:val="00F37681"/>
    <w:rsid w:val="00F37E98"/>
    <w:rsid w:val="00F4309D"/>
    <w:rsid w:val="00F433FE"/>
    <w:rsid w:val="00F4340F"/>
    <w:rsid w:val="00F436D7"/>
    <w:rsid w:val="00F4409C"/>
    <w:rsid w:val="00F441C5"/>
    <w:rsid w:val="00F441DB"/>
    <w:rsid w:val="00F4544C"/>
    <w:rsid w:val="00F45481"/>
    <w:rsid w:val="00F46380"/>
    <w:rsid w:val="00F46876"/>
    <w:rsid w:val="00F47585"/>
    <w:rsid w:val="00F47F3A"/>
    <w:rsid w:val="00F5153B"/>
    <w:rsid w:val="00F51EAA"/>
    <w:rsid w:val="00F51F39"/>
    <w:rsid w:val="00F5500C"/>
    <w:rsid w:val="00F553A3"/>
    <w:rsid w:val="00F5792E"/>
    <w:rsid w:val="00F656D7"/>
    <w:rsid w:val="00F70D33"/>
    <w:rsid w:val="00F71108"/>
    <w:rsid w:val="00F71929"/>
    <w:rsid w:val="00F719CC"/>
    <w:rsid w:val="00F73D0F"/>
    <w:rsid w:val="00F7441F"/>
    <w:rsid w:val="00F76456"/>
    <w:rsid w:val="00F76F60"/>
    <w:rsid w:val="00F77959"/>
    <w:rsid w:val="00F81BCC"/>
    <w:rsid w:val="00F81CDD"/>
    <w:rsid w:val="00F81F5E"/>
    <w:rsid w:val="00F82224"/>
    <w:rsid w:val="00F856DA"/>
    <w:rsid w:val="00F85A96"/>
    <w:rsid w:val="00F85DDD"/>
    <w:rsid w:val="00F85E6F"/>
    <w:rsid w:val="00F85EFF"/>
    <w:rsid w:val="00F86494"/>
    <w:rsid w:val="00F86F2F"/>
    <w:rsid w:val="00F872F4"/>
    <w:rsid w:val="00F87BE4"/>
    <w:rsid w:val="00F91110"/>
    <w:rsid w:val="00F914DA"/>
    <w:rsid w:val="00F921B0"/>
    <w:rsid w:val="00F9230D"/>
    <w:rsid w:val="00F94F97"/>
    <w:rsid w:val="00F950EC"/>
    <w:rsid w:val="00F952BB"/>
    <w:rsid w:val="00F96BBC"/>
    <w:rsid w:val="00F974F0"/>
    <w:rsid w:val="00FA0689"/>
    <w:rsid w:val="00FA094E"/>
    <w:rsid w:val="00FA61B1"/>
    <w:rsid w:val="00FA67CC"/>
    <w:rsid w:val="00FA721D"/>
    <w:rsid w:val="00FB09C4"/>
    <w:rsid w:val="00FB0E7C"/>
    <w:rsid w:val="00FB2974"/>
    <w:rsid w:val="00FB326E"/>
    <w:rsid w:val="00FB4517"/>
    <w:rsid w:val="00FB4774"/>
    <w:rsid w:val="00FB6350"/>
    <w:rsid w:val="00FB6907"/>
    <w:rsid w:val="00FB7628"/>
    <w:rsid w:val="00FB7B55"/>
    <w:rsid w:val="00FB7E02"/>
    <w:rsid w:val="00FC1C95"/>
    <w:rsid w:val="00FC200A"/>
    <w:rsid w:val="00FC2692"/>
    <w:rsid w:val="00FC281D"/>
    <w:rsid w:val="00FC2C98"/>
    <w:rsid w:val="00FC302E"/>
    <w:rsid w:val="00FC311E"/>
    <w:rsid w:val="00FC43D7"/>
    <w:rsid w:val="00FC448C"/>
    <w:rsid w:val="00FC5D17"/>
    <w:rsid w:val="00FD18FA"/>
    <w:rsid w:val="00FD34D1"/>
    <w:rsid w:val="00FE04E4"/>
    <w:rsid w:val="00FE0B79"/>
    <w:rsid w:val="00FE32A0"/>
    <w:rsid w:val="00FE46D3"/>
    <w:rsid w:val="00FE4E2E"/>
    <w:rsid w:val="00FE713F"/>
    <w:rsid w:val="00FE71C9"/>
    <w:rsid w:val="00FE73F9"/>
    <w:rsid w:val="00FE76BE"/>
    <w:rsid w:val="00FE7E22"/>
    <w:rsid w:val="00FF1057"/>
    <w:rsid w:val="00FF1347"/>
    <w:rsid w:val="00FF3E25"/>
    <w:rsid w:val="00FF41B4"/>
    <w:rsid w:val="00FF42A1"/>
    <w:rsid w:val="00FF71CF"/>
    <w:rsid w:val="00FF7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FACBC"/>
  <w15:docId w15:val="{AE04AA29-9F09-45B0-8AD5-C0B3C8B6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C1A"/>
    <w:pPr>
      <w:spacing w:before="240" w:after="240"/>
    </w:pPr>
    <w:rPr>
      <w:sz w:val="24"/>
    </w:rPr>
  </w:style>
  <w:style w:type="paragraph" w:styleId="Heading1">
    <w:name w:val="heading 1"/>
    <w:basedOn w:val="Normal"/>
    <w:next w:val="Normal"/>
    <w:qFormat/>
    <w:rsid w:val="00A12209"/>
    <w:pPr>
      <w:keepNext/>
      <w:spacing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Normal"/>
    <w:next w:val="base-text-paragraph"/>
    <w:qFormat/>
    <w:rsid w:val="00C7483E"/>
    <w:pPr>
      <w:keepNext/>
      <w:tabs>
        <w:tab w:val="left" w:pos="1987"/>
      </w:tabs>
      <w:outlineLvl w:val="3"/>
    </w:pPr>
    <w:rPr>
      <w:i/>
      <w:kern w:val="28"/>
    </w:rPr>
  </w:style>
  <w:style w:type="paragraph" w:styleId="Heading5">
    <w:name w:val="heading 5"/>
    <w:basedOn w:val="Heading4"/>
    <w:next w:val="Normal"/>
    <w:link w:val="Heading5Char"/>
    <w:uiPriority w:val="9"/>
    <w:unhideWhenUsed/>
    <w:qFormat/>
    <w:rsid w:val="00845FF0"/>
    <w:pPr>
      <w:outlineLvl w:val="4"/>
    </w:pPr>
    <w:rPr>
      <w:b/>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link w:val="DotpointChar"/>
    <w:rsid w:val="00392BBA"/>
    <w:pPr>
      <w:tabs>
        <w:tab w:val="num" w:pos="360"/>
        <w:tab w:val="left" w:pos="851"/>
      </w:tabs>
      <w:ind w:left="360" w:hanging="360"/>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ody,Bullet + line,b,b + line,b1,level 1"/>
    <w:basedOn w:val="Normal"/>
    <w:link w:val="BulletChar"/>
    <w:rsid w:val="00E0624D"/>
    <w:pPr>
      <w:numPr>
        <w:numId w:val="2"/>
      </w:numPr>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ody Char,Bullet + line Char,Bulleted Para Char,Number Char,Recommendation Char,b + line Char,b + line Char Char,b Char,b Char Char,b1 Char,level 1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nhideWhenUsed/>
    <w:rsid w:val="005E4BAC"/>
    <w:rPr>
      <w:sz w:val="16"/>
      <w:szCs w:val="16"/>
    </w:rPr>
  </w:style>
  <w:style w:type="paragraph" w:styleId="CommentText">
    <w:name w:val="annotation text"/>
    <w:basedOn w:val="Normal"/>
    <w:link w:val="CommentTextChar"/>
    <w:unhideWhenUsed/>
    <w:rsid w:val="005E4BAC"/>
    <w:rPr>
      <w:sz w:val="20"/>
    </w:rPr>
  </w:style>
  <w:style w:type="character" w:customStyle="1" w:styleId="CommentTextChar">
    <w:name w:val="Comment Text Char"/>
    <w:basedOn w:val="DefaultParagraphFont"/>
    <w:link w:val="CommentText"/>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bullet0">
    <w:name w:val="bullet"/>
    <w:basedOn w:val="Normal"/>
    <w:rsid w:val="006152FD"/>
    <w:pPr>
      <w:spacing w:before="100" w:beforeAutospacing="1" w:after="100" w:afterAutospacing="1"/>
    </w:pPr>
    <w:rPr>
      <w:szCs w:val="24"/>
    </w:rPr>
  </w:style>
  <w:style w:type="paragraph" w:customStyle="1" w:styleId="dash0">
    <w:name w:val="dash"/>
    <w:basedOn w:val="Normal"/>
    <w:rsid w:val="00F70D33"/>
    <w:pPr>
      <w:spacing w:before="100" w:beforeAutospacing="1" w:after="100" w:afterAutospacing="1"/>
    </w:pPr>
    <w:rPr>
      <w:szCs w:val="24"/>
    </w:rPr>
  </w:style>
  <w:style w:type="paragraph" w:customStyle="1" w:styleId="dotpoint0">
    <w:name w:val="dotpoint0"/>
    <w:basedOn w:val="Normal"/>
    <w:rsid w:val="00F70D33"/>
    <w:pPr>
      <w:spacing w:before="100" w:beforeAutospacing="1" w:after="100" w:afterAutospacing="1"/>
    </w:pPr>
    <w:rPr>
      <w:szCs w:val="24"/>
    </w:rPr>
  </w:style>
  <w:style w:type="character" w:customStyle="1" w:styleId="Heading5Char">
    <w:name w:val="Heading 5 Char"/>
    <w:basedOn w:val="DefaultParagraphFont"/>
    <w:link w:val="Heading5"/>
    <w:uiPriority w:val="9"/>
    <w:rsid w:val="00845FF0"/>
    <w:rPr>
      <w:i/>
      <w:kern w:val="28"/>
      <w:sz w:val="24"/>
    </w:rPr>
  </w:style>
  <w:style w:type="paragraph" w:customStyle="1" w:styleId="paragraphsub">
    <w:name w:val="paragraph(sub)"/>
    <w:aliases w:val="aa"/>
    <w:basedOn w:val="Normal"/>
    <w:rsid w:val="00E43910"/>
    <w:pPr>
      <w:tabs>
        <w:tab w:val="right" w:pos="1985"/>
      </w:tabs>
      <w:spacing w:before="40" w:after="0"/>
      <w:ind w:left="2098" w:hanging="2098"/>
    </w:pPr>
    <w:rPr>
      <w:sz w:val="22"/>
    </w:rPr>
  </w:style>
  <w:style w:type="paragraph" w:customStyle="1" w:styleId="paragraph">
    <w:name w:val="paragraph"/>
    <w:aliases w:val="a"/>
    <w:basedOn w:val="Normal"/>
    <w:link w:val="paragraphChar"/>
    <w:rsid w:val="00E43910"/>
    <w:pPr>
      <w:tabs>
        <w:tab w:val="right" w:pos="1531"/>
      </w:tabs>
      <w:spacing w:before="40" w:after="0"/>
      <w:ind w:left="1644" w:hanging="1644"/>
    </w:pPr>
    <w:rPr>
      <w:sz w:val="22"/>
    </w:rPr>
  </w:style>
  <w:style w:type="character" w:customStyle="1" w:styleId="paragraphChar">
    <w:name w:val="paragraph Char"/>
    <w:aliases w:val="a Char"/>
    <w:link w:val="paragraph"/>
    <w:locked/>
    <w:rsid w:val="00E43910"/>
    <w:rPr>
      <w:sz w:val="22"/>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C2020E"/>
    <w:pPr>
      <w:ind w:left="720"/>
      <w:contextualSpacing/>
    </w:pPr>
  </w:style>
  <w:style w:type="paragraph" w:customStyle="1" w:styleId="OutlineNumbered1">
    <w:name w:val="Outline Numbered 1"/>
    <w:basedOn w:val="Normal"/>
    <w:link w:val="OutlineNumbered1Char"/>
    <w:rsid w:val="0005371C"/>
    <w:pPr>
      <w:numPr>
        <w:numId w:val="55"/>
      </w:numPr>
    </w:pPr>
  </w:style>
  <w:style w:type="character" w:customStyle="1" w:styleId="DotpointChar">
    <w:name w:val="Dot point Char"/>
    <w:basedOn w:val="DefaultParagraphFont"/>
    <w:link w:val="Dotpoint"/>
    <w:rsid w:val="0005371C"/>
    <w:rPr>
      <w:sz w:val="24"/>
    </w:rPr>
  </w:style>
  <w:style w:type="character" w:customStyle="1" w:styleId="OutlineNumbered1Char">
    <w:name w:val="Outline Numbered 1 Char"/>
    <w:basedOn w:val="DotpointChar"/>
    <w:link w:val="OutlineNumbered1"/>
    <w:rsid w:val="0005371C"/>
    <w:rPr>
      <w:sz w:val="24"/>
    </w:rPr>
  </w:style>
  <w:style w:type="paragraph" w:customStyle="1" w:styleId="OutlineNumbered2">
    <w:name w:val="Outline Numbered 2"/>
    <w:basedOn w:val="Normal"/>
    <w:link w:val="OutlineNumbered2Char"/>
    <w:rsid w:val="0005371C"/>
    <w:pPr>
      <w:numPr>
        <w:ilvl w:val="1"/>
        <w:numId w:val="55"/>
      </w:numPr>
    </w:pPr>
  </w:style>
  <w:style w:type="character" w:customStyle="1" w:styleId="OutlineNumbered2Char">
    <w:name w:val="Outline Numbered 2 Char"/>
    <w:basedOn w:val="DotpointChar"/>
    <w:link w:val="OutlineNumbered2"/>
    <w:rsid w:val="0005371C"/>
    <w:rPr>
      <w:sz w:val="24"/>
    </w:rPr>
  </w:style>
  <w:style w:type="paragraph" w:customStyle="1" w:styleId="OutlineNumbered3">
    <w:name w:val="Outline Numbered 3"/>
    <w:basedOn w:val="Normal"/>
    <w:link w:val="OutlineNumbered3Char"/>
    <w:rsid w:val="0005371C"/>
    <w:pPr>
      <w:numPr>
        <w:ilvl w:val="2"/>
        <w:numId w:val="55"/>
      </w:numPr>
    </w:pPr>
  </w:style>
  <w:style w:type="character" w:customStyle="1" w:styleId="OutlineNumbered3Char">
    <w:name w:val="Outline Numbered 3 Char"/>
    <w:basedOn w:val="DotpointChar"/>
    <w:link w:val="OutlineNumbered3"/>
    <w:rsid w:val="0005371C"/>
    <w:rPr>
      <w:sz w:val="24"/>
    </w:rPr>
  </w:style>
  <w:style w:type="table" w:styleId="TableGrid">
    <w:name w:val="Table Grid"/>
    <w:basedOn w:val="TableNormal"/>
    <w:uiPriority w:val="59"/>
    <w:rsid w:val="00616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71C9"/>
    <w:rPr>
      <w:sz w:val="24"/>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locked/>
    <w:rsid w:val="00070146"/>
    <w:rPr>
      <w:sz w:val="24"/>
    </w:rPr>
  </w:style>
  <w:style w:type="character" w:customStyle="1" w:styleId="Dot1Char">
    <w:name w:val="Dot1 Char"/>
    <w:aliases w:val="DOT Char"/>
    <w:basedOn w:val="DefaultParagraphFont"/>
    <w:link w:val="Dot1"/>
    <w:uiPriority w:val="2"/>
    <w:locked/>
    <w:rsid w:val="00070146"/>
    <w:rPr>
      <w:rFonts w:ascii="Arial" w:hAnsi="Arial" w:cs="Arial"/>
    </w:rPr>
  </w:style>
  <w:style w:type="paragraph" w:customStyle="1" w:styleId="Dot1">
    <w:name w:val="Dot1"/>
    <w:aliases w:val="DOT"/>
    <w:basedOn w:val="Normal"/>
    <w:link w:val="Dot1Char"/>
    <w:uiPriority w:val="2"/>
    <w:rsid w:val="00070146"/>
    <w:pPr>
      <w:numPr>
        <w:ilvl w:val="1"/>
        <w:numId w:val="78"/>
      </w:numPr>
      <w:spacing w:before="0" w:after="140" w:line="280" w:lineRule="atLeast"/>
    </w:pPr>
    <w:rPr>
      <w:rFonts w:ascii="Arial" w:hAnsi="Arial" w:cs="Arial"/>
      <w:sz w:val="20"/>
    </w:rPr>
  </w:style>
  <w:style w:type="character" w:customStyle="1" w:styleId="AdviceparanumChar">
    <w:name w:val="Advice para num Char"/>
    <w:basedOn w:val="DefaultParagraphFont"/>
    <w:link w:val="Adviceparanum"/>
    <w:locked/>
    <w:rsid w:val="00070146"/>
    <w:rPr>
      <w:rFonts w:ascii="Arial" w:hAnsi="Arial" w:cs="Arial"/>
    </w:rPr>
  </w:style>
  <w:style w:type="paragraph" w:customStyle="1" w:styleId="Adviceparanum">
    <w:name w:val="Advice para num"/>
    <w:basedOn w:val="Normal"/>
    <w:link w:val="AdviceparanumChar"/>
    <w:rsid w:val="00070146"/>
    <w:pPr>
      <w:keepNext/>
      <w:numPr>
        <w:numId w:val="79"/>
      </w:numPr>
      <w:spacing w:after="120" w:line="280" w:lineRule="atLeast"/>
    </w:pPr>
    <w:rPr>
      <w:rFonts w:ascii="Arial" w:hAnsi="Arial" w:cs="Arial"/>
      <w:sz w:val="20"/>
    </w:rPr>
  </w:style>
  <w:style w:type="paragraph" w:customStyle="1" w:styleId="Advicebulletlist">
    <w:name w:val="Advice bullet list"/>
    <w:basedOn w:val="Normal"/>
    <w:uiPriority w:val="99"/>
    <w:rsid w:val="00070146"/>
    <w:pPr>
      <w:keepNext/>
      <w:numPr>
        <w:ilvl w:val="1"/>
        <w:numId w:val="79"/>
      </w:numPr>
      <w:spacing w:after="120" w:line="280" w:lineRule="atLeast"/>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6688">
      <w:bodyDiv w:val="1"/>
      <w:marLeft w:val="0"/>
      <w:marRight w:val="0"/>
      <w:marTop w:val="0"/>
      <w:marBottom w:val="0"/>
      <w:divBdr>
        <w:top w:val="none" w:sz="0" w:space="0" w:color="auto"/>
        <w:left w:val="none" w:sz="0" w:space="0" w:color="auto"/>
        <w:bottom w:val="none" w:sz="0" w:space="0" w:color="auto"/>
        <w:right w:val="none" w:sz="0" w:space="0" w:color="auto"/>
      </w:divBdr>
    </w:div>
    <w:div w:id="222833436">
      <w:bodyDiv w:val="1"/>
      <w:marLeft w:val="0"/>
      <w:marRight w:val="0"/>
      <w:marTop w:val="0"/>
      <w:marBottom w:val="0"/>
      <w:divBdr>
        <w:top w:val="none" w:sz="0" w:space="0" w:color="auto"/>
        <w:left w:val="none" w:sz="0" w:space="0" w:color="auto"/>
        <w:bottom w:val="none" w:sz="0" w:space="0" w:color="auto"/>
        <w:right w:val="none" w:sz="0" w:space="0" w:color="auto"/>
      </w:divBdr>
    </w:div>
    <w:div w:id="231431188">
      <w:bodyDiv w:val="1"/>
      <w:marLeft w:val="0"/>
      <w:marRight w:val="0"/>
      <w:marTop w:val="0"/>
      <w:marBottom w:val="0"/>
      <w:divBdr>
        <w:top w:val="none" w:sz="0" w:space="0" w:color="auto"/>
        <w:left w:val="none" w:sz="0" w:space="0" w:color="auto"/>
        <w:bottom w:val="none" w:sz="0" w:space="0" w:color="auto"/>
        <w:right w:val="none" w:sz="0" w:space="0" w:color="auto"/>
      </w:divBdr>
    </w:div>
    <w:div w:id="384259243">
      <w:bodyDiv w:val="1"/>
      <w:marLeft w:val="0"/>
      <w:marRight w:val="0"/>
      <w:marTop w:val="0"/>
      <w:marBottom w:val="0"/>
      <w:divBdr>
        <w:top w:val="none" w:sz="0" w:space="0" w:color="auto"/>
        <w:left w:val="none" w:sz="0" w:space="0" w:color="auto"/>
        <w:bottom w:val="none" w:sz="0" w:space="0" w:color="auto"/>
        <w:right w:val="none" w:sz="0" w:space="0" w:color="auto"/>
      </w:divBdr>
    </w:div>
    <w:div w:id="449665533">
      <w:bodyDiv w:val="1"/>
      <w:marLeft w:val="0"/>
      <w:marRight w:val="0"/>
      <w:marTop w:val="0"/>
      <w:marBottom w:val="0"/>
      <w:divBdr>
        <w:top w:val="none" w:sz="0" w:space="0" w:color="auto"/>
        <w:left w:val="none" w:sz="0" w:space="0" w:color="auto"/>
        <w:bottom w:val="none" w:sz="0" w:space="0" w:color="auto"/>
        <w:right w:val="none" w:sz="0" w:space="0" w:color="auto"/>
      </w:divBdr>
    </w:div>
    <w:div w:id="624891836">
      <w:bodyDiv w:val="1"/>
      <w:marLeft w:val="0"/>
      <w:marRight w:val="0"/>
      <w:marTop w:val="0"/>
      <w:marBottom w:val="0"/>
      <w:divBdr>
        <w:top w:val="none" w:sz="0" w:space="0" w:color="auto"/>
        <w:left w:val="none" w:sz="0" w:space="0" w:color="auto"/>
        <w:bottom w:val="none" w:sz="0" w:space="0" w:color="auto"/>
        <w:right w:val="none" w:sz="0" w:space="0" w:color="auto"/>
      </w:divBdr>
    </w:div>
    <w:div w:id="826671237">
      <w:bodyDiv w:val="1"/>
      <w:marLeft w:val="0"/>
      <w:marRight w:val="0"/>
      <w:marTop w:val="0"/>
      <w:marBottom w:val="0"/>
      <w:divBdr>
        <w:top w:val="none" w:sz="0" w:space="0" w:color="auto"/>
        <w:left w:val="none" w:sz="0" w:space="0" w:color="auto"/>
        <w:bottom w:val="none" w:sz="0" w:space="0" w:color="auto"/>
        <w:right w:val="none" w:sz="0" w:space="0" w:color="auto"/>
      </w:divBdr>
    </w:div>
    <w:div w:id="888495321">
      <w:bodyDiv w:val="1"/>
      <w:marLeft w:val="0"/>
      <w:marRight w:val="0"/>
      <w:marTop w:val="0"/>
      <w:marBottom w:val="0"/>
      <w:divBdr>
        <w:top w:val="none" w:sz="0" w:space="0" w:color="auto"/>
        <w:left w:val="none" w:sz="0" w:space="0" w:color="auto"/>
        <w:bottom w:val="none" w:sz="0" w:space="0" w:color="auto"/>
        <w:right w:val="none" w:sz="0" w:space="0" w:color="auto"/>
      </w:divBdr>
    </w:div>
    <w:div w:id="1101801053">
      <w:bodyDiv w:val="1"/>
      <w:marLeft w:val="0"/>
      <w:marRight w:val="0"/>
      <w:marTop w:val="0"/>
      <w:marBottom w:val="0"/>
      <w:divBdr>
        <w:top w:val="none" w:sz="0" w:space="0" w:color="auto"/>
        <w:left w:val="none" w:sz="0" w:space="0" w:color="auto"/>
        <w:bottom w:val="none" w:sz="0" w:space="0" w:color="auto"/>
        <w:right w:val="none" w:sz="0" w:space="0" w:color="auto"/>
      </w:divBdr>
    </w:div>
    <w:div w:id="1146437618">
      <w:bodyDiv w:val="1"/>
      <w:marLeft w:val="0"/>
      <w:marRight w:val="0"/>
      <w:marTop w:val="0"/>
      <w:marBottom w:val="0"/>
      <w:divBdr>
        <w:top w:val="none" w:sz="0" w:space="0" w:color="auto"/>
        <w:left w:val="none" w:sz="0" w:space="0" w:color="auto"/>
        <w:bottom w:val="none" w:sz="0" w:space="0" w:color="auto"/>
        <w:right w:val="none" w:sz="0" w:space="0" w:color="auto"/>
      </w:divBdr>
    </w:div>
    <w:div w:id="1171605236">
      <w:bodyDiv w:val="1"/>
      <w:marLeft w:val="0"/>
      <w:marRight w:val="0"/>
      <w:marTop w:val="0"/>
      <w:marBottom w:val="0"/>
      <w:divBdr>
        <w:top w:val="none" w:sz="0" w:space="0" w:color="auto"/>
        <w:left w:val="none" w:sz="0" w:space="0" w:color="auto"/>
        <w:bottom w:val="none" w:sz="0" w:space="0" w:color="auto"/>
        <w:right w:val="none" w:sz="0" w:space="0" w:color="auto"/>
      </w:divBdr>
    </w:div>
    <w:div w:id="1250776652">
      <w:bodyDiv w:val="1"/>
      <w:marLeft w:val="0"/>
      <w:marRight w:val="0"/>
      <w:marTop w:val="0"/>
      <w:marBottom w:val="0"/>
      <w:divBdr>
        <w:top w:val="none" w:sz="0" w:space="0" w:color="auto"/>
        <w:left w:val="none" w:sz="0" w:space="0" w:color="auto"/>
        <w:bottom w:val="none" w:sz="0" w:space="0" w:color="auto"/>
        <w:right w:val="none" w:sz="0" w:space="0" w:color="auto"/>
      </w:divBdr>
    </w:div>
    <w:div w:id="1370034306">
      <w:bodyDiv w:val="1"/>
      <w:marLeft w:val="0"/>
      <w:marRight w:val="0"/>
      <w:marTop w:val="0"/>
      <w:marBottom w:val="0"/>
      <w:divBdr>
        <w:top w:val="none" w:sz="0" w:space="0" w:color="auto"/>
        <w:left w:val="none" w:sz="0" w:space="0" w:color="auto"/>
        <w:bottom w:val="none" w:sz="0" w:space="0" w:color="auto"/>
        <w:right w:val="none" w:sz="0" w:space="0" w:color="auto"/>
      </w:divBdr>
    </w:div>
    <w:div w:id="1606497301">
      <w:bodyDiv w:val="1"/>
      <w:marLeft w:val="0"/>
      <w:marRight w:val="0"/>
      <w:marTop w:val="0"/>
      <w:marBottom w:val="0"/>
      <w:divBdr>
        <w:top w:val="none" w:sz="0" w:space="0" w:color="auto"/>
        <w:left w:val="none" w:sz="0" w:space="0" w:color="auto"/>
        <w:bottom w:val="none" w:sz="0" w:space="0" w:color="auto"/>
        <w:right w:val="none" w:sz="0" w:space="0" w:color="auto"/>
      </w:divBdr>
    </w:div>
    <w:div w:id="1630278500">
      <w:bodyDiv w:val="1"/>
      <w:marLeft w:val="0"/>
      <w:marRight w:val="0"/>
      <w:marTop w:val="0"/>
      <w:marBottom w:val="0"/>
      <w:divBdr>
        <w:top w:val="none" w:sz="0" w:space="0" w:color="auto"/>
        <w:left w:val="none" w:sz="0" w:space="0" w:color="auto"/>
        <w:bottom w:val="none" w:sz="0" w:space="0" w:color="auto"/>
        <w:right w:val="none" w:sz="0" w:space="0" w:color="auto"/>
      </w:divBdr>
    </w:div>
    <w:div w:id="179655667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69897438">
      <w:bodyDiv w:val="1"/>
      <w:marLeft w:val="0"/>
      <w:marRight w:val="0"/>
      <w:marTop w:val="0"/>
      <w:marBottom w:val="0"/>
      <w:divBdr>
        <w:top w:val="none" w:sz="0" w:space="0" w:color="auto"/>
        <w:left w:val="none" w:sz="0" w:space="0" w:color="auto"/>
        <w:bottom w:val="none" w:sz="0" w:space="0" w:color="auto"/>
        <w:right w:val="none" w:sz="0" w:space="0" w:color="auto"/>
      </w:divBdr>
    </w:div>
    <w:div w:id="2098791676">
      <w:bodyDiv w:val="1"/>
      <w:marLeft w:val="0"/>
      <w:marRight w:val="0"/>
      <w:marTop w:val="0"/>
      <w:marBottom w:val="0"/>
      <w:divBdr>
        <w:top w:val="none" w:sz="0" w:space="0" w:color="auto"/>
        <w:left w:val="none" w:sz="0" w:space="0" w:color="auto"/>
        <w:bottom w:val="none" w:sz="0" w:space="0" w:color="auto"/>
        <w:right w:val="none" w:sz="0" w:space="0" w:color="auto"/>
      </w:divBdr>
    </w:div>
    <w:div w:id="210229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3965" ma:contentTypeDescription=" " ma:contentTypeScope="" ma:versionID="8c387d0deb0ba756a145891cc6eed42d">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2020RG-111-16279</_dlc_DocId>
    <_dlc_DocIdUrl xmlns="0f563589-9cf9-4143-b1eb-fb0534803d38">
      <Url>http://tweb/sites/rg/ldp/lmu/_layouts/15/DocIdRedir.aspx?ID=2020RG-111-16279</Url>
      <Description>2020RG-111-16279</Description>
    </_dlc_DocIdUrl>
    <i6880fa62fd2465ea894b48b45824d1c xmlns="9f7bc583-7cbe-45b9-a2bd-8bbb6543b37e">
      <Terms xmlns="http://schemas.microsoft.com/office/infopath/2007/PartnerControls"/>
    </i6880fa62fd2465ea894b48b45824d1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DE90C-BF15-4449-BB4C-AF9947772D20}"/>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3213E02C-858A-4735-9C8F-06ABBE181A69}"/>
</file>

<file path=customXml/itemProps4.xml><?xml version="1.0" encoding="utf-8"?>
<ds:datastoreItem xmlns:ds="http://schemas.openxmlformats.org/officeDocument/2006/customXml" ds:itemID="{46278533-3486-40E5-9013-DD26FD164D39}">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sharepoint/v4"/>
    <ds:schemaRef ds:uri="687b78b0-2ddd-4441-8a8b-c9638c2a1939"/>
    <ds:schemaRef ds:uri="http://www.w3.org/XML/1998/namespace"/>
    <ds:schemaRef ds:uri="http://purl.org/dc/dcmitype/"/>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8782A79A-89CA-4B96-883E-AEF28A62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132</TotalTime>
  <Pages>25</Pages>
  <Words>10457</Words>
  <Characters>53122</Characters>
  <Application>Microsoft Office Word</Application>
  <DocSecurity>0</DocSecurity>
  <Lines>442</Lines>
  <Paragraphs>126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63453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Lai, Tony</dc:creator>
  <cp:lastModifiedBy>Healey, Brian</cp:lastModifiedBy>
  <cp:revision>5</cp:revision>
  <cp:lastPrinted>2020-12-03T04:46:00Z</cp:lastPrinted>
  <dcterms:created xsi:type="dcterms:W3CDTF">2020-12-03T03:03:00Z</dcterms:created>
  <dcterms:modified xsi:type="dcterms:W3CDTF">2020-12-03T05:53:00Z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7;#TSY RA-9236 - Retain as national archives|c6a225b4-6b93-473e-bcbb-6bc6ab25b623</vt:lpwstr>
  </property>
  <property fmtid="{D5CDD505-2E9C-101B-9397-08002B2CF9AE}" pid="5" name="_dlc_DocIdItemGuid">
    <vt:lpwstr>fd712da0-4192-44e0-af6b-46d3cb0817b0</vt:lpwstr>
  </property>
  <property fmtid="{D5CDD505-2E9C-101B-9397-08002B2CF9AE}" pid="6" name="TSYTopic">
    <vt:lpwstr/>
  </property>
  <property fmtid="{D5CDD505-2E9C-101B-9397-08002B2CF9AE}" pid="7" name="RecordPoint_WorkflowType">
    <vt:lpwstr>ActiveSubmitStub</vt:lpwstr>
  </property>
  <property fmtid="{D5CDD505-2E9C-101B-9397-08002B2CF9AE}" pid="8" name="RecordPoint_ActiveItemWebId">
    <vt:lpwstr>{09392e0d-4618-463d-b4d2-50a90b9447cf}</vt:lpwstr>
  </property>
  <property fmtid="{D5CDD505-2E9C-101B-9397-08002B2CF9AE}" pid="9" name="RecordPoint_ActiveItemSiteId">
    <vt:lpwstr>{5b52b9a5-e5b2-4521-8814-a1e24ca2869d}</vt:lpwstr>
  </property>
  <property fmtid="{D5CDD505-2E9C-101B-9397-08002B2CF9AE}" pid="10" name="RecordPoint_ActiveItemListId">
    <vt:lpwstr>{687b78b0-2ddd-4441-8a8b-c9638c2a1939}</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RecordFormat">
    <vt:lpwstr/>
  </property>
  <property fmtid="{D5CDD505-2E9C-101B-9397-08002B2CF9AE}" pid="14" name="RecordPoint_ActiveItemMoved">
    <vt:lpwstr/>
  </property>
  <property fmtid="{D5CDD505-2E9C-101B-9397-08002B2CF9AE}" pid="15" name="RecordPoint_SubmissionCompleted">
    <vt:lpwstr/>
  </property>
  <property fmtid="{D5CDD505-2E9C-101B-9397-08002B2CF9AE}" pid="16" name="RecordPoint_ActiveItemUniqueId">
    <vt:lpwstr>{f2063d69-9b50-4fd3-ac4b-f3581f722fd4}</vt:lpwstr>
  </property>
</Properties>
</file>