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D071A" w14:textId="77777777" w:rsidR="00D46AA7" w:rsidRPr="000F5A04" w:rsidRDefault="00D46AA7" w:rsidP="00D46AA7">
      <w:pPr>
        <w:pStyle w:val="Heading1"/>
        <w:spacing w:line="360" w:lineRule="auto"/>
        <w:rPr>
          <w:szCs w:val="24"/>
        </w:rPr>
      </w:pPr>
      <w:r w:rsidRPr="000F5A04">
        <w:rPr>
          <w:szCs w:val="24"/>
        </w:rPr>
        <w:t>EXPLANATORY STATEMENT</w:t>
      </w:r>
    </w:p>
    <w:p w14:paraId="38366735" w14:textId="77777777" w:rsidR="00D46AA7" w:rsidRPr="000F5A04" w:rsidRDefault="00D46AA7" w:rsidP="00131004">
      <w:pPr>
        <w:pStyle w:val="Heading2"/>
        <w:spacing w:before="60" w:after="240" w:line="360" w:lineRule="auto"/>
        <w:ind w:left="0" w:firstLine="0"/>
        <w:rPr>
          <w:szCs w:val="24"/>
        </w:rPr>
      </w:pPr>
      <w:r w:rsidRPr="000F5A04">
        <w:rPr>
          <w:i/>
          <w:szCs w:val="24"/>
        </w:rPr>
        <w:t>Migration Regulations 1994</w:t>
      </w:r>
    </w:p>
    <w:p w14:paraId="1A223259" w14:textId="77777777" w:rsidR="00D46AA7" w:rsidRPr="000F5A04" w:rsidRDefault="00D46AA7" w:rsidP="00131004">
      <w:pPr>
        <w:spacing w:line="360" w:lineRule="auto"/>
        <w:ind w:hanging="23"/>
        <w:jc w:val="center"/>
        <w:rPr>
          <w:b/>
          <w:sz w:val="24"/>
          <w:szCs w:val="24"/>
        </w:rPr>
      </w:pPr>
      <w:r w:rsidRPr="000F5A04">
        <w:rPr>
          <w:b/>
          <w:sz w:val="24"/>
          <w:szCs w:val="24"/>
        </w:rPr>
        <w:t xml:space="preserve">Migration </w:t>
      </w:r>
      <w:r>
        <w:rPr>
          <w:b/>
          <w:sz w:val="24"/>
          <w:szCs w:val="24"/>
        </w:rPr>
        <w:t xml:space="preserve">Legislation Amendment </w:t>
      </w:r>
      <w:r w:rsidRPr="000F5A04">
        <w:rPr>
          <w:b/>
          <w:sz w:val="24"/>
          <w:szCs w:val="24"/>
        </w:rPr>
        <w:t>(</w:t>
      </w:r>
      <w:r>
        <w:rPr>
          <w:b/>
          <w:sz w:val="24"/>
          <w:szCs w:val="24"/>
        </w:rPr>
        <w:t>Health Workforce Certificates Measures No. 2) Instrument (</w:t>
      </w:r>
      <w:r w:rsidRPr="000F5A04">
        <w:rPr>
          <w:b/>
          <w:sz w:val="24"/>
          <w:szCs w:val="24"/>
        </w:rPr>
        <w:t xml:space="preserve">LIN </w:t>
      </w:r>
      <w:r>
        <w:rPr>
          <w:b/>
          <w:sz w:val="24"/>
          <w:szCs w:val="24"/>
        </w:rPr>
        <w:t>20/274)</w:t>
      </w:r>
      <w:r w:rsidRPr="000F5A04">
        <w:rPr>
          <w:b/>
          <w:sz w:val="24"/>
          <w:szCs w:val="24"/>
        </w:rPr>
        <w:t xml:space="preserve"> 2020</w:t>
      </w:r>
    </w:p>
    <w:p w14:paraId="2CF24EDC" w14:textId="77777777" w:rsidR="00D46AA7" w:rsidRPr="00131004" w:rsidRDefault="00D46AA7" w:rsidP="00131004">
      <w:pPr>
        <w:spacing w:after="240" w:line="360" w:lineRule="auto"/>
        <w:ind w:hanging="23"/>
        <w:jc w:val="center"/>
        <w:rPr>
          <w:i/>
        </w:rPr>
      </w:pPr>
      <w:r w:rsidRPr="00131004">
        <w:rPr>
          <w:i/>
        </w:rPr>
        <w:t>(</w:t>
      </w:r>
      <w:proofErr w:type="spellStart"/>
      <w:r w:rsidRPr="00131004">
        <w:rPr>
          <w:i/>
        </w:rPr>
        <w:t>Subregulations</w:t>
      </w:r>
      <w:proofErr w:type="spellEnd"/>
      <w:r w:rsidRPr="00131004">
        <w:rPr>
          <w:i/>
        </w:rPr>
        <w:t xml:space="preserve"> 2.72(9) and </w:t>
      </w:r>
      <w:proofErr w:type="gramStart"/>
      <w:r w:rsidRPr="00131004">
        <w:rPr>
          <w:i/>
        </w:rPr>
        <w:t>2.72C(</w:t>
      </w:r>
      <w:proofErr w:type="gramEnd"/>
      <w:r w:rsidRPr="00131004">
        <w:rPr>
          <w:i/>
        </w:rPr>
        <w:t>11))</w:t>
      </w:r>
    </w:p>
    <w:p w14:paraId="23FB5FEF" w14:textId="33A0C968" w:rsidR="00DA3351" w:rsidRPr="00131004" w:rsidRDefault="00D46AA7" w:rsidP="00131004">
      <w:pPr>
        <w:pStyle w:val="ListParagraph"/>
        <w:numPr>
          <w:ilvl w:val="0"/>
          <w:numId w:val="2"/>
        </w:numPr>
        <w:spacing w:after="240" w:line="360" w:lineRule="auto"/>
        <w:ind w:left="567" w:hanging="567"/>
        <w:contextualSpacing w:val="0"/>
        <w:rPr>
          <w:sz w:val="22"/>
          <w:szCs w:val="22"/>
        </w:rPr>
      </w:pPr>
      <w:r w:rsidRPr="00131004">
        <w:rPr>
          <w:sz w:val="22"/>
          <w:szCs w:val="22"/>
        </w:rPr>
        <w:t xml:space="preserve">The </w:t>
      </w:r>
      <w:r w:rsidR="00B73479" w:rsidRPr="00131004">
        <w:rPr>
          <w:sz w:val="22"/>
          <w:szCs w:val="22"/>
        </w:rPr>
        <w:t xml:space="preserve">instrument, LIN 20/274, </w:t>
      </w:r>
      <w:r w:rsidRPr="00131004">
        <w:rPr>
          <w:sz w:val="22"/>
          <w:szCs w:val="22"/>
        </w:rPr>
        <w:t xml:space="preserve">is made under </w:t>
      </w:r>
      <w:proofErr w:type="spellStart"/>
      <w:r w:rsidRPr="00131004">
        <w:rPr>
          <w:sz w:val="22"/>
          <w:szCs w:val="22"/>
        </w:rPr>
        <w:t>subregulations</w:t>
      </w:r>
      <w:proofErr w:type="spellEnd"/>
      <w:r w:rsidRPr="00131004">
        <w:rPr>
          <w:sz w:val="22"/>
          <w:szCs w:val="22"/>
        </w:rPr>
        <w:t xml:space="preserve"> 2.72(9) and </w:t>
      </w:r>
      <w:proofErr w:type="gramStart"/>
      <w:r w:rsidRPr="00131004">
        <w:rPr>
          <w:sz w:val="22"/>
          <w:szCs w:val="22"/>
        </w:rPr>
        <w:t>2.72C(</w:t>
      </w:r>
      <w:proofErr w:type="gramEnd"/>
      <w:r w:rsidRPr="00131004">
        <w:rPr>
          <w:sz w:val="22"/>
          <w:szCs w:val="22"/>
        </w:rPr>
        <w:t xml:space="preserve">11) of the </w:t>
      </w:r>
      <w:r w:rsidRPr="00131004">
        <w:rPr>
          <w:i/>
          <w:sz w:val="22"/>
          <w:szCs w:val="22"/>
        </w:rPr>
        <w:t>Migration Regulations 1994</w:t>
      </w:r>
      <w:r w:rsidRPr="00131004">
        <w:rPr>
          <w:sz w:val="22"/>
          <w:szCs w:val="22"/>
        </w:rPr>
        <w:t xml:space="preserve"> (the Regulations).  </w:t>
      </w:r>
    </w:p>
    <w:p w14:paraId="358848DE" w14:textId="2CB7B556" w:rsidR="00DA3351" w:rsidRPr="00131004" w:rsidRDefault="00D46AA7" w:rsidP="00131004">
      <w:pPr>
        <w:pStyle w:val="ListParagraph"/>
        <w:numPr>
          <w:ilvl w:val="0"/>
          <w:numId w:val="2"/>
        </w:numPr>
        <w:spacing w:after="240" w:line="360" w:lineRule="auto"/>
        <w:ind w:left="567" w:hanging="567"/>
        <w:contextualSpacing w:val="0"/>
        <w:rPr>
          <w:sz w:val="22"/>
          <w:szCs w:val="22"/>
        </w:rPr>
      </w:pPr>
      <w:r w:rsidRPr="00131004">
        <w:rPr>
          <w:sz w:val="22"/>
          <w:szCs w:val="22"/>
        </w:rPr>
        <w:t xml:space="preserve">The instrument amends </w:t>
      </w:r>
      <w:r w:rsidRPr="00131004">
        <w:rPr>
          <w:i/>
          <w:sz w:val="22"/>
          <w:szCs w:val="22"/>
        </w:rPr>
        <w:t>Migration (LIN 19/048: Specification of Occupations—Subclass</w:t>
      </w:r>
      <w:r w:rsidR="00F97146">
        <w:rPr>
          <w:i/>
          <w:sz w:val="22"/>
          <w:szCs w:val="22"/>
        </w:rPr>
        <w:t> </w:t>
      </w:r>
      <w:r w:rsidRPr="00131004">
        <w:rPr>
          <w:i/>
          <w:sz w:val="22"/>
          <w:szCs w:val="22"/>
        </w:rPr>
        <w:t>482</w:t>
      </w:r>
      <w:r w:rsidR="00F97146">
        <w:rPr>
          <w:i/>
          <w:sz w:val="22"/>
          <w:szCs w:val="22"/>
        </w:rPr>
        <w:t> </w:t>
      </w:r>
      <w:r w:rsidRPr="00131004">
        <w:rPr>
          <w:i/>
          <w:sz w:val="22"/>
          <w:szCs w:val="22"/>
        </w:rPr>
        <w:t>Visa) Instrument 2019</w:t>
      </w:r>
      <w:r w:rsidRPr="00131004">
        <w:rPr>
          <w:sz w:val="22"/>
          <w:szCs w:val="22"/>
        </w:rPr>
        <w:t xml:space="preserve"> (F2019C00265) and </w:t>
      </w:r>
      <w:r w:rsidRPr="00131004">
        <w:rPr>
          <w:i/>
          <w:sz w:val="22"/>
          <w:szCs w:val="22"/>
        </w:rPr>
        <w:t>Migration (LIN 19/219: Occupations for Subclass</w:t>
      </w:r>
      <w:r w:rsidR="00F97146">
        <w:rPr>
          <w:i/>
          <w:sz w:val="22"/>
          <w:szCs w:val="22"/>
        </w:rPr>
        <w:t> </w:t>
      </w:r>
      <w:r w:rsidRPr="00131004">
        <w:rPr>
          <w:i/>
          <w:sz w:val="22"/>
          <w:szCs w:val="22"/>
        </w:rPr>
        <w:t>494</w:t>
      </w:r>
      <w:r w:rsidR="00F97146">
        <w:rPr>
          <w:i/>
          <w:sz w:val="22"/>
          <w:szCs w:val="22"/>
        </w:rPr>
        <w:t> </w:t>
      </w:r>
      <w:r w:rsidRPr="00131004">
        <w:rPr>
          <w:i/>
          <w:sz w:val="22"/>
          <w:szCs w:val="22"/>
        </w:rPr>
        <w:t>Visa) Instrument 2019</w:t>
      </w:r>
      <w:r w:rsidRPr="00131004">
        <w:rPr>
          <w:sz w:val="22"/>
          <w:szCs w:val="22"/>
        </w:rPr>
        <w:t xml:space="preserve"> (F2019L01403) in accordance with subsection 33(3) of the </w:t>
      </w:r>
      <w:r w:rsidRPr="00131004">
        <w:rPr>
          <w:i/>
          <w:sz w:val="22"/>
          <w:szCs w:val="22"/>
        </w:rPr>
        <w:t>Acts Interpretation Act 1901</w:t>
      </w:r>
      <w:r w:rsidRPr="00131004">
        <w:rPr>
          <w:sz w:val="22"/>
          <w:szCs w:val="22"/>
        </w:rPr>
        <w:t xml:space="preserve"> (the AIA). Subsection 33(3) of the AIA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w:t>
      </w:r>
      <w:proofErr w:type="gramStart"/>
      <w:r w:rsidRPr="00131004">
        <w:rPr>
          <w:sz w:val="22"/>
          <w:szCs w:val="22"/>
        </w:rPr>
        <w:t>instrument</w:t>
      </w:r>
      <w:proofErr w:type="gramEnd"/>
      <w:r w:rsidRPr="00131004">
        <w:rPr>
          <w:sz w:val="22"/>
          <w:szCs w:val="22"/>
        </w:rPr>
        <w:t>.</w:t>
      </w:r>
    </w:p>
    <w:p w14:paraId="2F6627A1" w14:textId="2708CE1A" w:rsidR="00304C1C" w:rsidRPr="00131004" w:rsidRDefault="00DA3351" w:rsidP="00131004">
      <w:pPr>
        <w:pStyle w:val="ListParagraph"/>
        <w:numPr>
          <w:ilvl w:val="0"/>
          <w:numId w:val="2"/>
        </w:numPr>
        <w:spacing w:after="240" w:line="360" w:lineRule="auto"/>
        <w:ind w:left="567" w:hanging="567"/>
        <w:contextualSpacing w:val="0"/>
        <w:rPr>
          <w:sz w:val="22"/>
          <w:szCs w:val="22"/>
        </w:rPr>
      </w:pPr>
      <w:r w:rsidRPr="00131004">
        <w:rPr>
          <w:sz w:val="22"/>
          <w:szCs w:val="22"/>
        </w:rPr>
        <w:t>The instrument</w:t>
      </w:r>
      <w:r w:rsidR="00855AFF" w:rsidRPr="00131004">
        <w:rPr>
          <w:sz w:val="22"/>
          <w:szCs w:val="22"/>
        </w:rPr>
        <w:t xml:space="preserve"> amend</w:t>
      </w:r>
      <w:r w:rsidR="00496CAE" w:rsidRPr="00131004">
        <w:rPr>
          <w:sz w:val="22"/>
          <w:szCs w:val="22"/>
        </w:rPr>
        <w:t>s</w:t>
      </w:r>
      <w:r w:rsidR="00855AFF" w:rsidRPr="00131004">
        <w:rPr>
          <w:sz w:val="22"/>
          <w:szCs w:val="22"/>
        </w:rPr>
        <w:t xml:space="preserve"> </w:t>
      </w:r>
      <w:r w:rsidR="00496CAE" w:rsidRPr="00131004">
        <w:rPr>
          <w:sz w:val="22"/>
          <w:szCs w:val="22"/>
        </w:rPr>
        <w:t xml:space="preserve">LIN 19/048 </w:t>
      </w:r>
      <w:r w:rsidR="00CC2FE5" w:rsidRPr="00131004">
        <w:rPr>
          <w:sz w:val="22"/>
          <w:szCs w:val="22"/>
        </w:rPr>
        <w:t xml:space="preserve">and LIN 19/219 to </w:t>
      </w:r>
      <w:r w:rsidR="00742935" w:rsidRPr="00131004">
        <w:rPr>
          <w:sz w:val="22"/>
          <w:szCs w:val="22"/>
        </w:rPr>
        <w:t>introduce</w:t>
      </w:r>
      <w:r w:rsidR="00CC2FE5" w:rsidRPr="00131004">
        <w:rPr>
          <w:sz w:val="22"/>
          <w:szCs w:val="22"/>
        </w:rPr>
        <w:t xml:space="preserve"> the </w:t>
      </w:r>
      <w:r w:rsidR="00131004">
        <w:rPr>
          <w:sz w:val="22"/>
          <w:szCs w:val="22"/>
        </w:rPr>
        <w:t>H</w:t>
      </w:r>
      <w:r w:rsidR="00CC2FE5" w:rsidRPr="00131004">
        <w:rPr>
          <w:sz w:val="22"/>
          <w:szCs w:val="22"/>
        </w:rPr>
        <w:t xml:space="preserve">ealth </w:t>
      </w:r>
      <w:r w:rsidR="00131004">
        <w:rPr>
          <w:sz w:val="22"/>
          <w:szCs w:val="22"/>
        </w:rPr>
        <w:t>W</w:t>
      </w:r>
      <w:r w:rsidR="00CC2FE5" w:rsidRPr="00131004">
        <w:rPr>
          <w:sz w:val="22"/>
          <w:szCs w:val="22"/>
        </w:rPr>
        <w:t xml:space="preserve">orkforce </w:t>
      </w:r>
      <w:r w:rsidR="00131004">
        <w:rPr>
          <w:sz w:val="22"/>
          <w:szCs w:val="22"/>
        </w:rPr>
        <w:t>E</w:t>
      </w:r>
      <w:r w:rsidR="00CC2FE5" w:rsidRPr="00131004">
        <w:rPr>
          <w:sz w:val="22"/>
          <w:szCs w:val="22"/>
        </w:rPr>
        <w:t xml:space="preserve">xemption </w:t>
      </w:r>
      <w:r w:rsidR="00131004">
        <w:rPr>
          <w:sz w:val="22"/>
          <w:szCs w:val="22"/>
        </w:rPr>
        <w:t>C</w:t>
      </w:r>
      <w:r w:rsidR="00CC2FE5" w:rsidRPr="00131004">
        <w:rPr>
          <w:sz w:val="22"/>
          <w:szCs w:val="22"/>
        </w:rPr>
        <w:t>ertificate</w:t>
      </w:r>
      <w:r w:rsidR="00123C1D" w:rsidRPr="00131004">
        <w:rPr>
          <w:sz w:val="22"/>
          <w:szCs w:val="22"/>
        </w:rPr>
        <w:t xml:space="preserve"> (HWEC)</w:t>
      </w:r>
      <w:r w:rsidR="00DC720D" w:rsidRPr="00131004">
        <w:rPr>
          <w:sz w:val="22"/>
          <w:szCs w:val="22"/>
        </w:rPr>
        <w:t xml:space="preserve">, which is a certificate exempting </w:t>
      </w:r>
      <w:r w:rsidR="00131004">
        <w:rPr>
          <w:sz w:val="22"/>
          <w:szCs w:val="22"/>
        </w:rPr>
        <w:t xml:space="preserve">sponsors who are </w:t>
      </w:r>
      <w:r w:rsidR="00907060" w:rsidRPr="00131004">
        <w:rPr>
          <w:sz w:val="22"/>
          <w:szCs w:val="22"/>
        </w:rPr>
        <w:t xml:space="preserve">hospital </w:t>
      </w:r>
      <w:r w:rsidR="00DC720D" w:rsidRPr="00131004">
        <w:rPr>
          <w:sz w:val="22"/>
          <w:szCs w:val="22"/>
        </w:rPr>
        <w:t xml:space="preserve">employers from the requirement of obtaining a </w:t>
      </w:r>
      <w:r w:rsidR="00131004">
        <w:rPr>
          <w:sz w:val="22"/>
          <w:szCs w:val="22"/>
        </w:rPr>
        <w:t>H</w:t>
      </w:r>
      <w:r w:rsidR="00DC720D" w:rsidRPr="00131004">
        <w:rPr>
          <w:sz w:val="22"/>
          <w:szCs w:val="22"/>
        </w:rPr>
        <w:t xml:space="preserve">ealth </w:t>
      </w:r>
      <w:r w:rsidR="00131004">
        <w:rPr>
          <w:sz w:val="22"/>
          <w:szCs w:val="22"/>
        </w:rPr>
        <w:t>W</w:t>
      </w:r>
      <w:r w:rsidR="00DC720D" w:rsidRPr="00131004">
        <w:rPr>
          <w:sz w:val="22"/>
          <w:szCs w:val="22"/>
        </w:rPr>
        <w:t xml:space="preserve">orkforce </w:t>
      </w:r>
      <w:r w:rsidR="00131004">
        <w:rPr>
          <w:sz w:val="22"/>
          <w:szCs w:val="22"/>
        </w:rPr>
        <w:t>C</w:t>
      </w:r>
      <w:r w:rsidR="00DC720D" w:rsidRPr="00131004">
        <w:rPr>
          <w:sz w:val="22"/>
          <w:szCs w:val="22"/>
        </w:rPr>
        <w:t>ertificate</w:t>
      </w:r>
      <w:r w:rsidR="00123C1D" w:rsidRPr="00131004">
        <w:rPr>
          <w:sz w:val="22"/>
          <w:szCs w:val="22"/>
        </w:rPr>
        <w:t xml:space="preserve"> (HWC)</w:t>
      </w:r>
      <w:r w:rsidR="00DC720D" w:rsidRPr="00131004">
        <w:rPr>
          <w:sz w:val="22"/>
          <w:szCs w:val="22"/>
        </w:rPr>
        <w:t xml:space="preserve"> each time the</w:t>
      </w:r>
      <w:r w:rsidR="00131004">
        <w:rPr>
          <w:sz w:val="22"/>
          <w:szCs w:val="22"/>
        </w:rPr>
        <w:t xml:space="preserve"> sponsor</w:t>
      </w:r>
      <w:r w:rsidR="00DC720D" w:rsidRPr="00131004">
        <w:rPr>
          <w:sz w:val="22"/>
          <w:szCs w:val="22"/>
        </w:rPr>
        <w:t xml:space="preserve"> nominate</w:t>
      </w:r>
      <w:r w:rsidR="00131004">
        <w:rPr>
          <w:sz w:val="22"/>
          <w:szCs w:val="22"/>
        </w:rPr>
        <w:t>s</w:t>
      </w:r>
      <w:r w:rsidR="00DC720D" w:rsidRPr="00131004">
        <w:rPr>
          <w:sz w:val="22"/>
          <w:szCs w:val="22"/>
        </w:rPr>
        <w:t xml:space="preserve"> a </w:t>
      </w:r>
      <w:r w:rsidR="00131004">
        <w:rPr>
          <w:sz w:val="22"/>
          <w:szCs w:val="22"/>
        </w:rPr>
        <w:t>hospital</w:t>
      </w:r>
      <w:r w:rsidR="003822E0">
        <w:rPr>
          <w:sz w:val="22"/>
          <w:szCs w:val="22"/>
        </w:rPr>
        <w:t>-based</w:t>
      </w:r>
      <w:r w:rsidR="00131004">
        <w:rPr>
          <w:sz w:val="22"/>
          <w:szCs w:val="22"/>
        </w:rPr>
        <w:t xml:space="preserve"> </w:t>
      </w:r>
      <w:r w:rsidR="00DC720D" w:rsidRPr="00131004">
        <w:rPr>
          <w:sz w:val="22"/>
          <w:szCs w:val="22"/>
        </w:rPr>
        <w:t xml:space="preserve">position </w:t>
      </w:r>
      <w:r w:rsidR="00AA17F8" w:rsidRPr="00131004">
        <w:rPr>
          <w:sz w:val="22"/>
          <w:szCs w:val="22"/>
        </w:rPr>
        <w:t xml:space="preserve">in one of the following medical occupations: General Practitioner, Resident Medical Officer, </w:t>
      </w:r>
      <w:r w:rsidR="00092DEE" w:rsidRPr="00131004">
        <w:rPr>
          <w:sz w:val="22"/>
          <w:szCs w:val="22"/>
        </w:rPr>
        <w:t xml:space="preserve">or </w:t>
      </w:r>
      <w:r w:rsidR="00AA17F8" w:rsidRPr="00131004">
        <w:rPr>
          <w:sz w:val="22"/>
          <w:szCs w:val="22"/>
        </w:rPr>
        <w:t xml:space="preserve">Medical Practitioner </w:t>
      </w:r>
      <w:r w:rsidR="00F97146">
        <w:rPr>
          <w:sz w:val="22"/>
          <w:szCs w:val="22"/>
        </w:rPr>
        <w:t>(</w:t>
      </w:r>
      <w:r w:rsidR="00AA17F8" w:rsidRPr="00131004">
        <w:rPr>
          <w:sz w:val="22"/>
          <w:szCs w:val="22"/>
        </w:rPr>
        <w:t>not elsewhere classified</w:t>
      </w:r>
      <w:r w:rsidR="00F97146">
        <w:rPr>
          <w:sz w:val="22"/>
          <w:szCs w:val="22"/>
        </w:rPr>
        <w:t>)</w:t>
      </w:r>
      <w:r w:rsidR="00AA17F8" w:rsidRPr="00131004">
        <w:rPr>
          <w:sz w:val="22"/>
          <w:szCs w:val="22"/>
        </w:rPr>
        <w:t>.</w:t>
      </w:r>
      <w:r w:rsidR="00DC720D" w:rsidRPr="00131004">
        <w:rPr>
          <w:sz w:val="22"/>
          <w:szCs w:val="22"/>
        </w:rPr>
        <w:t xml:space="preserve"> </w:t>
      </w:r>
    </w:p>
    <w:p w14:paraId="7D0B0E9F" w14:textId="1EB469DA" w:rsidR="00742935" w:rsidRPr="00131004" w:rsidRDefault="00304C1C" w:rsidP="00131004">
      <w:pPr>
        <w:pStyle w:val="ListParagraph"/>
        <w:numPr>
          <w:ilvl w:val="0"/>
          <w:numId w:val="2"/>
        </w:numPr>
        <w:spacing w:after="240" w:line="360" w:lineRule="auto"/>
        <w:ind w:left="567" w:hanging="567"/>
        <w:contextualSpacing w:val="0"/>
        <w:rPr>
          <w:sz w:val="22"/>
          <w:szCs w:val="22"/>
        </w:rPr>
      </w:pPr>
      <w:r w:rsidRPr="00131004">
        <w:rPr>
          <w:sz w:val="22"/>
          <w:szCs w:val="22"/>
        </w:rPr>
        <w:t>The instrument operates so that a</w:t>
      </w:r>
      <w:r w:rsidR="00131004">
        <w:rPr>
          <w:sz w:val="22"/>
          <w:szCs w:val="22"/>
        </w:rPr>
        <w:t xml:space="preserve"> sponsoring</w:t>
      </w:r>
      <w:r w:rsidR="00DC720D" w:rsidRPr="00131004">
        <w:rPr>
          <w:sz w:val="22"/>
          <w:szCs w:val="22"/>
        </w:rPr>
        <w:t xml:space="preserve"> employer can </w:t>
      </w:r>
      <w:r w:rsidR="00594110" w:rsidRPr="00131004">
        <w:rPr>
          <w:sz w:val="22"/>
          <w:szCs w:val="22"/>
        </w:rPr>
        <w:t>obtain</w:t>
      </w:r>
      <w:r w:rsidR="00DC720D" w:rsidRPr="00131004">
        <w:rPr>
          <w:sz w:val="22"/>
          <w:szCs w:val="22"/>
        </w:rPr>
        <w:t xml:space="preserve"> a</w:t>
      </w:r>
      <w:r w:rsidR="00131004">
        <w:rPr>
          <w:sz w:val="22"/>
          <w:szCs w:val="22"/>
        </w:rPr>
        <w:t xml:space="preserve"> HWEC</w:t>
      </w:r>
      <w:r w:rsidR="00DC720D" w:rsidRPr="00131004">
        <w:rPr>
          <w:sz w:val="22"/>
          <w:szCs w:val="22"/>
        </w:rPr>
        <w:t>, which is valid for 12 months</w:t>
      </w:r>
      <w:r w:rsidR="00422E01">
        <w:rPr>
          <w:sz w:val="22"/>
          <w:szCs w:val="22"/>
        </w:rPr>
        <w:t>. A HW</w:t>
      </w:r>
      <w:r w:rsidR="00090ADB">
        <w:rPr>
          <w:sz w:val="22"/>
          <w:szCs w:val="22"/>
        </w:rPr>
        <w:t>E</w:t>
      </w:r>
      <w:r w:rsidR="00422E01">
        <w:rPr>
          <w:sz w:val="22"/>
          <w:szCs w:val="22"/>
        </w:rPr>
        <w:t>C</w:t>
      </w:r>
      <w:r w:rsidR="003822E0">
        <w:rPr>
          <w:sz w:val="22"/>
          <w:szCs w:val="22"/>
        </w:rPr>
        <w:t xml:space="preserve"> </w:t>
      </w:r>
      <w:r w:rsidR="00090ADB">
        <w:rPr>
          <w:sz w:val="22"/>
          <w:szCs w:val="22"/>
        </w:rPr>
        <w:t>may be utilised</w:t>
      </w:r>
      <w:r w:rsidR="00EA7DE7">
        <w:rPr>
          <w:sz w:val="22"/>
          <w:szCs w:val="22"/>
        </w:rPr>
        <w:t xml:space="preserve"> </w:t>
      </w:r>
      <w:r w:rsidR="00DC720D" w:rsidRPr="00131004">
        <w:rPr>
          <w:sz w:val="22"/>
          <w:szCs w:val="22"/>
        </w:rPr>
        <w:t xml:space="preserve">for multiple nominations </w:t>
      </w:r>
      <w:r w:rsidRPr="00131004">
        <w:rPr>
          <w:sz w:val="22"/>
          <w:szCs w:val="22"/>
        </w:rPr>
        <w:t>for a medical occupation</w:t>
      </w:r>
      <w:r w:rsidR="004E1F11">
        <w:rPr>
          <w:sz w:val="22"/>
          <w:szCs w:val="22"/>
        </w:rPr>
        <w:t xml:space="preserve"> position based</w:t>
      </w:r>
      <w:r w:rsidRPr="00131004">
        <w:rPr>
          <w:sz w:val="22"/>
          <w:szCs w:val="22"/>
        </w:rPr>
        <w:t xml:space="preserve"> in a hospital </w:t>
      </w:r>
      <w:r w:rsidR="00DC720D" w:rsidRPr="00131004">
        <w:rPr>
          <w:sz w:val="22"/>
          <w:szCs w:val="22"/>
        </w:rPr>
        <w:t>during the 12 month period</w:t>
      </w:r>
      <w:r w:rsidR="004E1F11">
        <w:rPr>
          <w:sz w:val="22"/>
          <w:szCs w:val="22"/>
        </w:rPr>
        <w:t xml:space="preserve">. </w:t>
      </w:r>
      <w:r w:rsidR="00DC720D" w:rsidRPr="00131004">
        <w:rPr>
          <w:sz w:val="22"/>
          <w:szCs w:val="22"/>
        </w:rPr>
        <w:t xml:space="preserve">  </w:t>
      </w:r>
      <w:r w:rsidR="00742935" w:rsidRPr="00131004">
        <w:rPr>
          <w:sz w:val="22"/>
          <w:szCs w:val="22"/>
        </w:rPr>
        <w:t>This is intended to reduce the administrative burden for hospital</w:t>
      </w:r>
      <w:r w:rsidR="00090ADB">
        <w:rPr>
          <w:sz w:val="22"/>
          <w:szCs w:val="22"/>
        </w:rPr>
        <w:t xml:space="preserve">-based </w:t>
      </w:r>
      <w:r w:rsidR="00131004">
        <w:rPr>
          <w:sz w:val="22"/>
          <w:szCs w:val="22"/>
        </w:rPr>
        <w:t>sponsors</w:t>
      </w:r>
      <w:r w:rsidR="00742935" w:rsidRPr="00131004">
        <w:rPr>
          <w:sz w:val="22"/>
          <w:szCs w:val="22"/>
        </w:rPr>
        <w:t xml:space="preserve"> </w:t>
      </w:r>
      <w:r w:rsidR="00090ADB">
        <w:rPr>
          <w:sz w:val="22"/>
          <w:szCs w:val="22"/>
        </w:rPr>
        <w:t>so they do not have to</w:t>
      </w:r>
      <w:r w:rsidR="00090ADB" w:rsidRPr="00131004">
        <w:rPr>
          <w:sz w:val="22"/>
          <w:szCs w:val="22"/>
        </w:rPr>
        <w:t xml:space="preserve"> </w:t>
      </w:r>
      <w:r w:rsidR="00742935" w:rsidRPr="00131004">
        <w:rPr>
          <w:sz w:val="22"/>
          <w:szCs w:val="22"/>
        </w:rPr>
        <w:t>obtain</w:t>
      </w:r>
      <w:r w:rsidR="00090ADB">
        <w:rPr>
          <w:sz w:val="22"/>
          <w:szCs w:val="22"/>
        </w:rPr>
        <w:t xml:space="preserve"> </w:t>
      </w:r>
      <w:r w:rsidR="00742935" w:rsidRPr="00131004">
        <w:rPr>
          <w:sz w:val="22"/>
          <w:szCs w:val="22"/>
        </w:rPr>
        <w:t xml:space="preserve">a </w:t>
      </w:r>
      <w:r w:rsidR="00131004">
        <w:rPr>
          <w:sz w:val="22"/>
          <w:szCs w:val="22"/>
        </w:rPr>
        <w:t xml:space="preserve">HWC </w:t>
      </w:r>
      <w:r w:rsidR="00742935" w:rsidRPr="00131004">
        <w:rPr>
          <w:sz w:val="22"/>
          <w:szCs w:val="22"/>
        </w:rPr>
        <w:t xml:space="preserve">each time they wish to nominate a </w:t>
      </w:r>
      <w:r w:rsidR="00907060" w:rsidRPr="00131004">
        <w:rPr>
          <w:sz w:val="22"/>
          <w:szCs w:val="22"/>
        </w:rPr>
        <w:t>prospective employee</w:t>
      </w:r>
      <w:r w:rsidR="00742935" w:rsidRPr="00131004">
        <w:rPr>
          <w:sz w:val="22"/>
          <w:szCs w:val="22"/>
        </w:rPr>
        <w:t xml:space="preserve"> for a hospital-based position</w:t>
      </w:r>
      <w:r w:rsidR="00090ADB">
        <w:rPr>
          <w:sz w:val="22"/>
          <w:szCs w:val="22"/>
        </w:rPr>
        <w:t>.</w:t>
      </w:r>
      <w:r w:rsidR="00742935" w:rsidRPr="00131004">
        <w:rPr>
          <w:sz w:val="22"/>
          <w:szCs w:val="22"/>
        </w:rPr>
        <w:t xml:space="preserve"> </w:t>
      </w:r>
    </w:p>
    <w:p w14:paraId="497A88AC" w14:textId="4B818C86" w:rsidR="00742935" w:rsidRDefault="00CC2FE5" w:rsidP="00EA7DE7">
      <w:pPr>
        <w:pStyle w:val="ListParagraph"/>
        <w:numPr>
          <w:ilvl w:val="0"/>
          <w:numId w:val="2"/>
        </w:numPr>
        <w:spacing w:after="240" w:line="360" w:lineRule="auto"/>
        <w:ind w:left="567" w:hanging="567"/>
        <w:contextualSpacing w:val="0"/>
        <w:rPr>
          <w:sz w:val="22"/>
          <w:szCs w:val="22"/>
        </w:rPr>
      </w:pPr>
      <w:r w:rsidRPr="00131004">
        <w:rPr>
          <w:sz w:val="22"/>
          <w:szCs w:val="22"/>
        </w:rPr>
        <w:t>The purpose of th</w:t>
      </w:r>
      <w:r w:rsidR="00EA7DE7">
        <w:rPr>
          <w:sz w:val="22"/>
          <w:szCs w:val="22"/>
        </w:rPr>
        <w:t>e</w:t>
      </w:r>
      <w:r w:rsidRPr="00131004">
        <w:rPr>
          <w:sz w:val="22"/>
          <w:szCs w:val="22"/>
        </w:rPr>
        <w:t xml:space="preserve"> </w:t>
      </w:r>
      <w:r w:rsidR="007E4EF0" w:rsidRPr="00131004">
        <w:rPr>
          <w:sz w:val="22"/>
          <w:szCs w:val="22"/>
        </w:rPr>
        <w:t>instrument</w:t>
      </w:r>
      <w:r w:rsidRPr="00131004">
        <w:rPr>
          <w:sz w:val="22"/>
          <w:szCs w:val="22"/>
        </w:rPr>
        <w:t xml:space="preserve"> is to </w:t>
      </w:r>
      <w:r w:rsidR="00742935" w:rsidRPr="00131004">
        <w:rPr>
          <w:sz w:val="22"/>
          <w:szCs w:val="22"/>
        </w:rPr>
        <w:t>implement</w:t>
      </w:r>
      <w:r w:rsidRPr="00131004">
        <w:rPr>
          <w:sz w:val="22"/>
          <w:szCs w:val="22"/>
        </w:rPr>
        <w:t xml:space="preserve"> the </w:t>
      </w:r>
      <w:r w:rsidR="00742935" w:rsidRPr="00131004">
        <w:rPr>
          <w:sz w:val="22"/>
          <w:szCs w:val="22"/>
        </w:rPr>
        <w:t>requirement for a</w:t>
      </w:r>
      <w:r w:rsidR="00EA7DE7">
        <w:rPr>
          <w:sz w:val="22"/>
          <w:szCs w:val="22"/>
        </w:rPr>
        <w:t xml:space="preserve"> hospital employer who is a sponsor </w:t>
      </w:r>
      <w:r w:rsidR="00AA17F8" w:rsidRPr="00131004">
        <w:rPr>
          <w:sz w:val="22"/>
          <w:szCs w:val="22"/>
        </w:rPr>
        <w:t xml:space="preserve">to </w:t>
      </w:r>
      <w:r w:rsidR="00EA7DE7">
        <w:rPr>
          <w:sz w:val="22"/>
          <w:szCs w:val="22"/>
        </w:rPr>
        <w:t xml:space="preserve">obtain a current HWEC </w:t>
      </w:r>
      <w:r w:rsidR="00AA17F8" w:rsidRPr="00131004">
        <w:rPr>
          <w:sz w:val="22"/>
          <w:szCs w:val="22"/>
        </w:rPr>
        <w:t xml:space="preserve">for a nomination for a </w:t>
      </w:r>
      <w:r w:rsidR="00742935" w:rsidRPr="00131004">
        <w:rPr>
          <w:sz w:val="22"/>
          <w:szCs w:val="22"/>
        </w:rPr>
        <w:t xml:space="preserve">hospital-based </w:t>
      </w:r>
      <w:r w:rsidR="00AA17F8" w:rsidRPr="00131004">
        <w:rPr>
          <w:sz w:val="22"/>
          <w:szCs w:val="22"/>
        </w:rPr>
        <w:t>position</w:t>
      </w:r>
      <w:r w:rsidR="00EA7DE7">
        <w:rPr>
          <w:sz w:val="22"/>
          <w:szCs w:val="22"/>
        </w:rPr>
        <w:t xml:space="preserve">.  The HWC that was already specified in </w:t>
      </w:r>
      <w:r w:rsidR="00EA7DE7" w:rsidRPr="00131004">
        <w:rPr>
          <w:sz w:val="22"/>
          <w:szCs w:val="22"/>
        </w:rPr>
        <w:t>LIN 19/048 and LIN 19/219</w:t>
      </w:r>
      <w:r w:rsidR="00AA17F8" w:rsidRPr="00131004">
        <w:rPr>
          <w:sz w:val="22"/>
          <w:szCs w:val="22"/>
        </w:rPr>
        <w:t xml:space="preserve"> </w:t>
      </w:r>
      <w:r w:rsidR="00304C1C" w:rsidRPr="00131004">
        <w:rPr>
          <w:sz w:val="22"/>
          <w:szCs w:val="22"/>
        </w:rPr>
        <w:t>continues</w:t>
      </w:r>
      <w:r w:rsidR="00AA17F8" w:rsidRPr="00131004">
        <w:rPr>
          <w:sz w:val="22"/>
          <w:szCs w:val="22"/>
        </w:rPr>
        <w:t xml:space="preserve"> to be required to be</w:t>
      </w:r>
      <w:r w:rsidR="00EA7DE7">
        <w:rPr>
          <w:sz w:val="22"/>
          <w:szCs w:val="22"/>
        </w:rPr>
        <w:t xml:space="preserve"> obtained by a sponsoring</w:t>
      </w:r>
      <w:r w:rsidR="00AA17F8" w:rsidRPr="00131004">
        <w:rPr>
          <w:sz w:val="22"/>
          <w:szCs w:val="22"/>
        </w:rPr>
        <w:t xml:space="preserve"> employer for a nomination for </w:t>
      </w:r>
      <w:r w:rsidR="00742935" w:rsidRPr="00131004">
        <w:rPr>
          <w:sz w:val="22"/>
          <w:szCs w:val="22"/>
        </w:rPr>
        <w:t>non-</w:t>
      </w:r>
      <w:r w:rsidR="00AA17F8" w:rsidRPr="00131004">
        <w:rPr>
          <w:sz w:val="22"/>
          <w:szCs w:val="22"/>
        </w:rPr>
        <w:t>hospital</w:t>
      </w:r>
      <w:r w:rsidR="00742935" w:rsidRPr="00131004">
        <w:rPr>
          <w:sz w:val="22"/>
          <w:szCs w:val="22"/>
        </w:rPr>
        <w:t>-based position</w:t>
      </w:r>
      <w:r w:rsidR="00C4474B">
        <w:rPr>
          <w:sz w:val="22"/>
          <w:szCs w:val="22"/>
        </w:rPr>
        <w:t>s</w:t>
      </w:r>
      <w:r w:rsidR="00AA17F8" w:rsidRPr="00131004">
        <w:rPr>
          <w:sz w:val="22"/>
          <w:szCs w:val="22"/>
        </w:rPr>
        <w:t xml:space="preserve">. </w:t>
      </w:r>
    </w:p>
    <w:p w14:paraId="5FB1D6DF" w14:textId="7C490239" w:rsidR="00AF4BB8" w:rsidRDefault="00AF4BB8" w:rsidP="00EA7DE7">
      <w:pPr>
        <w:pStyle w:val="ListParagraph"/>
        <w:numPr>
          <w:ilvl w:val="0"/>
          <w:numId w:val="2"/>
        </w:numPr>
        <w:spacing w:after="240" w:line="360" w:lineRule="auto"/>
        <w:ind w:left="567" w:hanging="567"/>
        <w:contextualSpacing w:val="0"/>
        <w:rPr>
          <w:sz w:val="22"/>
          <w:szCs w:val="22"/>
        </w:rPr>
      </w:pPr>
      <w:r>
        <w:rPr>
          <w:sz w:val="22"/>
          <w:szCs w:val="22"/>
        </w:rPr>
        <w:t xml:space="preserve">The instrument </w:t>
      </w:r>
      <w:r w:rsidR="00422E01">
        <w:rPr>
          <w:sz w:val="22"/>
          <w:szCs w:val="22"/>
        </w:rPr>
        <w:t xml:space="preserve">also </w:t>
      </w:r>
      <w:r>
        <w:rPr>
          <w:sz w:val="22"/>
          <w:szCs w:val="22"/>
        </w:rPr>
        <w:t>makes changes</w:t>
      </w:r>
      <w:r w:rsidR="00422E01">
        <w:rPr>
          <w:sz w:val="22"/>
          <w:szCs w:val="22"/>
        </w:rPr>
        <w:t xml:space="preserve"> </w:t>
      </w:r>
      <w:r w:rsidR="00A8353F">
        <w:rPr>
          <w:sz w:val="22"/>
          <w:szCs w:val="22"/>
        </w:rPr>
        <w:t>in the following ways</w:t>
      </w:r>
      <w:r>
        <w:rPr>
          <w:sz w:val="22"/>
          <w:szCs w:val="22"/>
        </w:rPr>
        <w:t>:</w:t>
      </w:r>
    </w:p>
    <w:p w14:paraId="703EDD03" w14:textId="1B463342" w:rsidR="00A8353F" w:rsidRDefault="00422E01" w:rsidP="00092D55">
      <w:pPr>
        <w:pStyle w:val="ListParagraph"/>
        <w:numPr>
          <w:ilvl w:val="1"/>
          <w:numId w:val="2"/>
        </w:numPr>
        <w:spacing w:after="120" w:line="360" w:lineRule="auto"/>
        <w:ind w:left="1054" w:hanging="357"/>
        <w:contextualSpacing w:val="0"/>
        <w:rPr>
          <w:sz w:val="22"/>
          <w:szCs w:val="22"/>
        </w:rPr>
      </w:pPr>
      <w:r w:rsidRPr="00422E01">
        <w:rPr>
          <w:sz w:val="22"/>
          <w:szCs w:val="22"/>
        </w:rPr>
        <w:lastRenderedPageBreak/>
        <w:t xml:space="preserve">LIN 19/048 </w:t>
      </w:r>
      <w:r w:rsidR="00A8353F">
        <w:rPr>
          <w:sz w:val="22"/>
          <w:szCs w:val="22"/>
        </w:rPr>
        <w:t>–</w:t>
      </w:r>
      <w:r w:rsidR="00F0743E">
        <w:rPr>
          <w:sz w:val="22"/>
          <w:szCs w:val="22"/>
        </w:rPr>
        <w:t xml:space="preserve"> </w:t>
      </w:r>
    </w:p>
    <w:p w14:paraId="2D8F7613" w14:textId="0A4DA039" w:rsidR="00A8353F" w:rsidRDefault="00A8353F" w:rsidP="00092D55">
      <w:pPr>
        <w:pStyle w:val="ListParagraph"/>
        <w:numPr>
          <w:ilvl w:val="2"/>
          <w:numId w:val="2"/>
        </w:numPr>
        <w:spacing w:before="120" w:line="360" w:lineRule="auto"/>
        <w:ind w:left="1560" w:hanging="357"/>
        <w:contextualSpacing w:val="0"/>
        <w:rPr>
          <w:sz w:val="22"/>
          <w:szCs w:val="22"/>
        </w:rPr>
      </w:pPr>
      <w:proofErr w:type="gramStart"/>
      <w:r>
        <w:rPr>
          <w:sz w:val="22"/>
          <w:szCs w:val="22"/>
        </w:rPr>
        <w:t>s</w:t>
      </w:r>
      <w:r w:rsidR="00422E01" w:rsidRPr="00422E01">
        <w:rPr>
          <w:sz w:val="22"/>
          <w:szCs w:val="22"/>
        </w:rPr>
        <w:t>implifying</w:t>
      </w:r>
      <w:proofErr w:type="gramEnd"/>
      <w:r w:rsidR="00422E01" w:rsidRPr="00422E01">
        <w:rPr>
          <w:sz w:val="22"/>
          <w:szCs w:val="22"/>
        </w:rPr>
        <w:t xml:space="preserve"> the definition of </w:t>
      </w:r>
      <w:r w:rsidR="00F97146">
        <w:rPr>
          <w:sz w:val="22"/>
          <w:szCs w:val="22"/>
        </w:rPr>
        <w:t>HWC</w:t>
      </w:r>
      <w:r w:rsidR="00422E01" w:rsidRPr="00422E01">
        <w:rPr>
          <w:sz w:val="22"/>
          <w:szCs w:val="22"/>
        </w:rPr>
        <w:t xml:space="preserve"> in section 4 of the instrument. The instrument removes paragraph (c) of the definition of </w:t>
      </w:r>
      <w:r>
        <w:rPr>
          <w:sz w:val="22"/>
          <w:szCs w:val="22"/>
        </w:rPr>
        <w:t>HWC</w:t>
      </w:r>
      <w:r w:rsidR="00A0367B">
        <w:rPr>
          <w:sz w:val="22"/>
          <w:szCs w:val="22"/>
        </w:rPr>
        <w:t xml:space="preserve"> </w:t>
      </w:r>
      <w:r w:rsidR="00422E01" w:rsidRPr="00422E01">
        <w:rPr>
          <w:sz w:val="22"/>
          <w:szCs w:val="22"/>
        </w:rPr>
        <w:t>and inserts a new definition of health workforce certifier in section 4 of the instrument, maintaining the same certifiers with one small change</w:t>
      </w:r>
      <w:r>
        <w:rPr>
          <w:sz w:val="22"/>
          <w:szCs w:val="22"/>
        </w:rPr>
        <w:t>;</w:t>
      </w:r>
      <w:r w:rsidR="00422E01" w:rsidRPr="00422E01">
        <w:rPr>
          <w:sz w:val="22"/>
          <w:szCs w:val="22"/>
        </w:rPr>
        <w:t xml:space="preserve"> </w:t>
      </w:r>
    </w:p>
    <w:p w14:paraId="09CDA223" w14:textId="3C178BDB" w:rsidR="00A8353F" w:rsidRDefault="00A8353F" w:rsidP="00092D55">
      <w:pPr>
        <w:pStyle w:val="ListParagraph"/>
        <w:numPr>
          <w:ilvl w:val="2"/>
          <w:numId w:val="2"/>
        </w:numPr>
        <w:spacing w:before="120" w:line="360" w:lineRule="auto"/>
        <w:ind w:left="1560" w:hanging="357"/>
        <w:contextualSpacing w:val="0"/>
        <w:rPr>
          <w:sz w:val="22"/>
          <w:szCs w:val="22"/>
        </w:rPr>
      </w:pPr>
      <w:r>
        <w:rPr>
          <w:sz w:val="22"/>
          <w:szCs w:val="22"/>
        </w:rPr>
        <w:t xml:space="preserve">changing the name of </w:t>
      </w:r>
      <w:r w:rsidR="00422E01" w:rsidRPr="00422E01">
        <w:rPr>
          <w:sz w:val="22"/>
          <w:szCs w:val="22"/>
        </w:rPr>
        <w:t>Rural Health West Ltd from Western Australian Centre for Remote and Rural Medicine Ltd reflecting a change in the organisation’s name (ABN 29 123 188 367)</w:t>
      </w:r>
      <w:r>
        <w:rPr>
          <w:sz w:val="22"/>
          <w:szCs w:val="22"/>
        </w:rPr>
        <w:t>;</w:t>
      </w:r>
      <w:r w:rsidR="00422E01" w:rsidRPr="00422E01">
        <w:rPr>
          <w:sz w:val="22"/>
          <w:szCs w:val="22"/>
        </w:rPr>
        <w:t xml:space="preserve"> </w:t>
      </w:r>
    </w:p>
    <w:p w14:paraId="77B23F79" w14:textId="5F085DE2" w:rsidR="00703FE1" w:rsidRDefault="00A8353F" w:rsidP="00092D55">
      <w:pPr>
        <w:pStyle w:val="ListParagraph"/>
        <w:numPr>
          <w:ilvl w:val="2"/>
          <w:numId w:val="2"/>
        </w:numPr>
        <w:spacing w:before="120" w:line="360" w:lineRule="auto"/>
        <w:ind w:left="1560" w:hanging="357"/>
        <w:contextualSpacing w:val="0"/>
        <w:rPr>
          <w:sz w:val="22"/>
          <w:szCs w:val="22"/>
        </w:rPr>
      </w:pPr>
      <w:proofErr w:type="gramStart"/>
      <w:r>
        <w:rPr>
          <w:sz w:val="22"/>
          <w:szCs w:val="22"/>
        </w:rPr>
        <w:t>removing</w:t>
      </w:r>
      <w:proofErr w:type="gramEnd"/>
      <w:r>
        <w:rPr>
          <w:sz w:val="22"/>
          <w:szCs w:val="22"/>
        </w:rPr>
        <w:t xml:space="preserve"> the </w:t>
      </w:r>
      <w:r w:rsidR="00422E01" w:rsidRPr="00422E01">
        <w:rPr>
          <w:sz w:val="22"/>
          <w:szCs w:val="22"/>
        </w:rPr>
        <w:t>requirements in paragraph (a)</w:t>
      </w:r>
      <w:r w:rsidR="00A0367B">
        <w:rPr>
          <w:sz w:val="22"/>
          <w:szCs w:val="22"/>
        </w:rPr>
        <w:t xml:space="preserve"> of the definition</w:t>
      </w:r>
      <w:r>
        <w:rPr>
          <w:sz w:val="22"/>
          <w:szCs w:val="22"/>
        </w:rPr>
        <w:t xml:space="preserve"> of </w:t>
      </w:r>
      <w:r w:rsidR="00F97146">
        <w:rPr>
          <w:sz w:val="22"/>
          <w:szCs w:val="22"/>
        </w:rPr>
        <w:t>HWC</w:t>
      </w:r>
      <w:r w:rsidR="00A0367B">
        <w:rPr>
          <w:sz w:val="22"/>
          <w:szCs w:val="22"/>
        </w:rPr>
        <w:t>. Similar requirements are added to new subsection 9(2), in relation to HWECs, and subsection 9(3) in relation to HWCs. The differing requirements</w:t>
      </w:r>
      <w:r w:rsidR="00F0743E">
        <w:rPr>
          <w:sz w:val="22"/>
          <w:szCs w:val="22"/>
        </w:rPr>
        <w:t xml:space="preserve"> reflect</w:t>
      </w:r>
      <w:r w:rsidR="00A0367B">
        <w:rPr>
          <w:sz w:val="22"/>
          <w:szCs w:val="22"/>
        </w:rPr>
        <w:t xml:space="preserve"> that HWECs are applicable to hospital-based positons only and HWCs are </w:t>
      </w:r>
      <w:r>
        <w:rPr>
          <w:sz w:val="22"/>
          <w:szCs w:val="22"/>
        </w:rPr>
        <w:t>applicable to</w:t>
      </w:r>
      <w:r w:rsidR="00A0367B">
        <w:rPr>
          <w:sz w:val="22"/>
          <w:szCs w:val="22"/>
        </w:rPr>
        <w:t xml:space="preserve"> non-hospital-based positions.</w:t>
      </w:r>
      <w:r w:rsidR="00422E01" w:rsidRPr="00422E01">
        <w:rPr>
          <w:sz w:val="22"/>
          <w:szCs w:val="22"/>
        </w:rPr>
        <w:t xml:space="preserve"> </w:t>
      </w:r>
    </w:p>
    <w:p w14:paraId="19E5E905" w14:textId="726004F4" w:rsidR="00A8353F" w:rsidRDefault="00703FE1" w:rsidP="00092D55">
      <w:pPr>
        <w:pStyle w:val="ListParagraph"/>
        <w:numPr>
          <w:ilvl w:val="2"/>
          <w:numId w:val="2"/>
        </w:numPr>
        <w:spacing w:before="120" w:line="360" w:lineRule="auto"/>
        <w:ind w:left="1560" w:hanging="357"/>
        <w:contextualSpacing w:val="0"/>
        <w:rPr>
          <w:sz w:val="22"/>
          <w:szCs w:val="22"/>
        </w:rPr>
      </w:pPr>
      <w:proofErr w:type="gramStart"/>
      <w:r>
        <w:rPr>
          <w:sz w:val="22"/>
          <w:szCs w:val="22"/>
        </w:rPr>
        <w:t>requiring</w:t>
      </w:r>
      <w:proofErr w:type="gramEnd"/>
      <w:r>
        <w:rPr>
          <w:sz w:val="22"/>
          <w:szCs w:val="22"/>
        </w:rPr>
        <w:t xml:space="preserve"> </w:t>
      </w:r>
      <w:r w:rsidRPr="0014359F">
        <w:rPr>
          <w:sz w:val="22"/>
          <w:szCs w:val="22"/>
        </w:rPr>
        <w:t>the relevant certif</w:t>
      </w:r>
      <w:r>
        <w:rPr>
          <w:sz w:val="22"/>
          <w:szCs w:val="22"/>
        </w:rPr>
        <w:t>icate to specify the occupation in n</w:t>
      </w:r>
      <w:r w:rsidR="00A0367B" w:rsidRPr="00092D55">
        <w:rPr>
          <w:sz w:val="22"/>
          <w:szCs w:val="22"/>
        </w:rPr>
        <w:t>ew subsections 9(2) and (3)</w:t>
      </w:r>
      <w:r>
        <w:rPr>
          <w:sz w:val="22"/>
          <w:szCs w:val="22"/>
        </w:rPr>
        <w:t xml:space="preserve">.  The consequential change was to remove </w:t>
      </w:r>
      <w:r w:rsidR="00422E01" w:rsidRPr="00092D55">
        <w:rPr>
          <w:sz w:val="22"/>
          <w:szCs w:val="22"/>
        </w:rPr>
        <w:t xml:space="preserve">paragraph (b) of the definition of </w:t>
      </w:r>
      <w:r w:rsidR="00A8353F">
        <w:rPr>
          <w:sz w:val="22"/>
          <w:szCs w:val="22"/>
        </w:rPr>
        <w:t>HWC</w:t>
      </w:r>
      <w:r>
        <w:rPr>
          <w:sz w:val="22"/>
          <w:szCs w:val="22"/>
        </w:rPr>
        <w:t xml:space="preserve"> to avoid repetition</w:t>
      </w:r>
      <w:r w:rsidR="00A8353F">
        <w:rPr>
          <w:sz w:val="22"/>
          <w:szCs w:val="22"/>
        </w:rPr>
        <w:t>;</w:t>
      </w:r>
    </w:p>
    <w:p w14:paraId="20F7C364" w14:textId="011C65CB" w:rsidR="00422E01" w:rsidRPr="00092D55" w:rsidRDefault="00F0743E" w:rsidP="00092D55">
      <w:pPr>
        <w:pStyle w:val="ListParagraph"/>
        <w:numPr>
          <w:ilvl w:val="2"/>
          <w:numId w:val="2"/>
        </w:numPr>
        <w:spacing w:before="120" w:after="240" w:line="360" w:lineRule="auto"/>
        <w:ind w:left="1560" w:hanging="357"/>
        <w:contextualSpacing w:val="0"/>
        <w:rPr>
          <w:sz w:val="22"/>
          <w:szCs w:val="22"/>
        </w:rPr>
      </w:pPr>
      <w:proofErr w:type="gramStart"/>
      <w:r>
        <w:rPr>
          <w:sz w:val="22"/>
          <w:szCs w:val="22"/>
        </w:rPr>
        <w:t>incl</w:t>
      </w:r>
      <w:r w:rsidR="00654BDD">
        <w:rPr>
          <w:sz w:val="22"/>
          <w:szCs w:val="22"/>
        </w:rPr>
        <w:t>uding</w:t>
      </w:r>
      <w:proofErr w:type="gramEnd"/>
      <w:r w:rsidR="00A8353F">
        <w:rPr>
          <w:sz w:val="22"/>
          <w:szCs w:val="22"/>
        </w:rPr>
        <w:t xml:space="preserve"> </w:t>
      </w:r>
      <w:r w:rsidR="00703FE1">
        <w:rPr>
          <w:sz w:val="22"/>
          <w:szCs w:val="22"/>
        </w:rPr>
        <w:t>a</w:t>
      </w:r>
      <w:r w:rsidR="00A0367B" w:rsidRPr="00092D55">
        <w:rPr>
          <w:sz w:val="22"/>
          <w:szCs w:val="22"/>
        </w:rPr>
        <w:t xml:space="preserve"> definition of </w:t>
      </w:r>
      <w:r w:rsidR="00703FE1">
        <w:rPr>
          <w:sz w:val="22"/>
          <w:szCs w:val="22"/>
        </w:rPr>
        <w:t>HWEC in</w:t>
      </w:r>
      <w:r w:rsidR="00654BDD">
        <w:rPr>
          <w:sz w:val="22"/>
          <w:szCs w:val="22"/>
        </w:rPr>
        <w:t>to</w:t>
      </w:r>
      <w:r w:rsidR="00703FE1" w:rsidRPr="0014359F">
        <w:rPr>
          <w:sz w:val="22"/>
          <w:szCs w:val="22"/>
        </w:rPr>
        <w:t xml:space="preserve"> section 4</w:t>
      </w:r>
      <w:r w:rsidR="00703FE1">
        <w:rPr>
          <w:sz w:val="22"/>
          <w:szCs w:val="22"/>
        </w:rPr>
        <w:t xml:space="preserve"> of the instrument.</w:t>
      </w:r>
    </w:p>
    <w:p w14:paraId="7C848654" w14:textId="3979DCCF" w:rsidR="00A8353F" w:rsidRDefault="00A0367B" w:rsidP="00092D55">
      <w:pPr>
        <w:pStyle w:val="ListParagraph"/>
        <w:numPr>
          <w:ilvl w:val="1"/>
          <w:numId w:val="2"/>
        </w:numPr>
        <w:spacing w:before="120" w:line="360" w:lineRule="auto"/>
        <w:contextualSpacing w:val="0"/>
        <w:rPr>
          <w:sz w:val="22"/>
          <w:szCs w:val="22"/>
        </w:rPr>
      </w:pPr>
      <w:r>
        <w:rPr>
          <w:sz w:val="22"/>
          <w:szCs w:val="22"/>
        </w:rPr>
        <w:t xml:space="preserve">LIN 19/219 </w:t>
      </w:r>
      <w:r w:rsidR="00A8353F">
        <w:rPr>
          <w:sz w:val="22"/>
          <w:szCs w:val="22"/>
        </w:rPr>
        <w:t xml:space="preserve">– </w:t>
      </w:r>
    </w:p>
    <w:p w14:paraId="20484B68" w14:textId="64E9A0C4" w:rsidR="00A8353F" w:rsidRDefault="00CB26F6" w:rsidP="00092D55">
      <w:pPr>
        <w:pStyle w:val="ListParagraph"/>
        <w:numPr>
          <w:ilvl w:val="2"/>
          <w:numId w:val="2"/>
        </w:numPr>
        <w:spacing w:before="120" w:line="360" w:lineRule="auto"/>
        <w:ind w:left="1560" w:hanging="426"/>
        <w:contextualSpacing w:val="0"/>
        <w:rPr>
          <w:sz w:val="22"/>
          <w:szCs w:val="22"/>
        </w:rPr>
      </w:pPr>
      <w:proofErr w:type="gramStart"/>
      <w:r>
        <w:rPr>
          <w:sz w:val="22"/>
          <w:szCs w:val="22"/>
        </w:rPr>
        <w:t>inserting</w:t>
      </w:r>
      <w:proofErr w:type="gramEnd"/>
      <w:r>
        <w:rPr>
          <w:sz w:val="22"/>
          <w:szCs w:val="22"/>
        </w:rPr>
        <w:t xml:space="preserve"> definitions of</w:t>
      </w:r>
      <w:r w:rsidR="00703FE1">
        <w:rPr>
          <w:sz w:val="22"/>
          <w:szCs w:val="22"/>
        </w:rPr>
        <w:t xml:space="preserve"> HWC</w:t>
      </w:r>
      <w:r>
        <w:rPr>
          <w:sz w:val="22"/>
          <w:szCs w:val="22"/>
        </w:rPr>
        <w:t xml:space="preserve">, health workforce certifier and </w:t>
      </w:r>
      <w:r w:rsidR="00703FE1">
        <w:rPr>
          <w:sz w:val="22"/>
          <w:szCs w:val="22"/>
        </w:rPr>
        <w:t>HWEC</w:t>
      </w:r>
      <w:r>
        <w:rPr>
          <w:sz w:val="22"/>
          <w:szCs w:val="22"/>
        </w:rPr>
        <w:t xml:space="preserve"> in section 4 of the instrument. The terms were not previously defined. </w:t>
      </w:r>
      <w:r w:rsidR="00742445">
        <w:rPr>
          <w:sz w:val="22"/>
          <w:szCs w:val="22"/>
        </w:rPr>
        <w:t>The</w:t>
      </w:r>
      <w:bookmarkStart w:id="0" w:name="_GoBack"/>
      <w:bookmarkEnd w:id="0"/>
      <w:r w:rsidR="00B6057C">
        <w:rPr>
          <w:sz w:val="22"/>
          <w:szCs w:val="22"/>
        </w:rPr>
        <w:t xml:space="preserve"> list of health workforce certifiers </w:t>
      </w:r>
      <w:r w:rsidR="00F0743E">
        <w:rPr>
          <w:sz w:val="22"/>
          <w:szCs w:val="22"/>
        </w:rPr>
        <w:t>was</w:t>
      </w:r>
      <w:r w:rsidR="00B6057C">
        <w:rPr>
          <w:sz w:val="22"/>
          <w:szCs w:val="22"/>
        </w:rPr>
        <w:t xml:space="preserve"> previously mentioned</w:t>
      </w:r>
      <w:r w:rsidR="00345183">
        <w:rPr>
          <w:sz w:val="22"/>
          <w:szCs w:val="22"/>
        </w:rPr>
        <w:t xml:space="preserve"> in paragraph 5(3)(c);</w:t>
      </w:r>
      <w:r w:rsidR="00B6057C">
        <w:rPr>
          <w:sz w:val="22"/>
          <w:szCs w:val="22"/>
        </w:rPr>
        <w:t xml:space="preserve"> </w:t>
      </w:r>
    </w:p>
    <w:p w14:paraId="71501ED9" w14:textId="36FF6607" w:rsidR="00A8353F" w:rsidRDefault="00A8353F" w:rsidP="00092D55">
      <w:pPr>
        <w:pStyle w:val="ListParagraph"/>
        <w:numPr>
          <w:ilvl w:val="2"/>
          <w:numId w:val="2"/>
        </w:numPr>
        <w:spacing w:before="120" w:line="360" w:lineRule="auto"/>
        <w:ind w:left="1559" w:hanging="425"/>
        <w:contextualSpacing w:val="0"/>
        <w:rPr>
          <w:sz w:val="22"/>
          <w:szCs w:val="22"/>
        </w:rPr>
      </w:pPr>
      <w:r>
        <w:rPr>
          <w:sz w:val="22"/>
          <w:szCs w:val="22"/>
        </w:rPr>
        <w:t xml:space="preserve">repealing </w:t>
      </w:r>
      <w:r w:rsidR="00CB26F6">
        <w:rPr>
          <w:sz w:val="22"/>
          <w:szCs w:val="22"/>
        </w:rPr>
        <w:t>subsection</w:t>
      </w:r>
      <w:r>
        <w:rPr>
          <w:sz w:val="22"/>
          <w:szCs w:val="22"/>
        </w:rPr>
        <w:t>s</w:t>
      </w:r>
      <w:r w:rsidR="00CB26F6">
        <w:rPr>
          <w:sz w:val="22"/>
          <w:szCs w:val="22"/>
        </w:rPr>
        <w:t xml:space="preserve"> 5(2) and (3) and insert</w:t>
      </w:r>
      <w:r>
        <w:rPr>
          <w:sz w:val="22"/>
          <w:szCs w:val="22"/>
        </w:rPr>
        <w:t>ing</w:t>
      </w:r>
      <w:r w:rsidR="00CB26F6">
        <w:rPr>
          <w:sz w:val="22"/>
          <w:szCs w:val="22"/>
        </w:rPr>
        <w:t xml:space="preserve"> new subsections 5(2), (3) and (4)</w:t>
      </w:r>
      <w:r w:rsidR="00703FE1">
        <w:rPr>
          <w:sz w:val="22"/>
          <w:szCs w:val="22"/>
        </w:rPr>
        <w:t xml:space="preserve"> which include the following changes:</w:t>
      </w:r>
    </w:p>
    <w:p w14:paraId="712B56A1" w14:textId="5F068343" w:rsidR="00A8353F" w:rsidRPr="00092D55" w:rsidRDefault="00E9299B" w:rsidP="00092D55">
      <w:pPr>
        <w:pStyle w:val="ListParagraph"/>
        <w:numPr>
          <w:ilvl w:val="0"/>
          <w:numId w:val="5"/>
        </w:numPr>
        <w:spacing w:before="120" w:line="360" w:lineRule="auto"/>
        <w:ind w:left="1985"/>
        <w:contextualSpacing w:val="0"/>
        <w:rPr>
          <w:sz w:val="22"/>
          <w:szCs w:val="22"/>
        </w:rPr>
      </w:pPr>
      <w:r w:rsidRPr="00092D55">
        <w:rPr>
          <w:sz w:val="22"/>
          <w:szCs w:val="22"/>
        </w:rPr>
        <w:t>inclu</w:t>
      </w:r>
      <w:r w:rsidR="00F97146">
        <w:rPr>
          <w:sz w:val="22"/>
          <w:szCs w:val="22"/>
        </w:rPr>
        <w:t>ding</w:t>
      </w:r>
      <w:r w:rsidRPr="00092D55">
        <w:rPr>
          <w:sz w:val="22"/>
          <w:szCs w:val="22"/>
        </w:rPr>
        <w:t xml:space="preserve"> requirements in relation to </w:t>
      </w:r>
      <w:r w:rsidR="00703FE1" w:rsidRPr="00092D55">
        <w:rPr>
          <w:sz w:val="22"/>
          <w:szCs w:val="22"/>
        </w:rPr>
        <w:t>a HWEC</w:t>
      </w:r>
      <w:r w:rsidR="00A8353F" w:rsidRPr="00092D55">
        <w:rPr>
          <w:sz w:val="22"/>
          <w:szCs w:val="22"/>
        </w:rPr>
        <w:t xml:space="preserve"> in new subsection 5(2)</w:t>
      </w:r>
      <w:r w:rsidR="00703FE1" w:rsidRPr="00092D55">
        <w:rPr>
          <w:sz w:val="22"/>
          <w:szCs w:val="22"/>
        </w:rPr>
        <w:t>;</w:t>
      </w:r>
      <w:r w:rsidRPr="00092D55">
        <w:rPr>
          <w:sz w:val="22"/>
          <w:szCs w:val="22"/>
        </w:rPr>
        <w:t xml:space="preserve"> </w:t>
      </w:r>
    </w:p>
    <w:p w14:paraId="4D6060F1" w14:textId="26E43C87" w:rsidR="00703FE1" w:rsidRPr="00092D55" w:rsidRDefault="00703FE1" w:rsidP="00092D55">
      <w:pPr>
        <w:pStyle w:val="ListParagraph"/>
        <w:numPr>
          <w:ilvl w:val="0"/>
          <w:numId w:val="5"/>
        </w:numPr>
        <w:spacing w:before="120" w:after="120" w:line="360" w:lineRule="auto"/>
        <w:ind w:left="1985"/>
        <w:contextualSpacing w:val="0"/>
        <w:rPr>
          <w:sz w:val="22"/>
          <w:szCs w:val="22"/>
        </w:rPr>
      </w:pPr>
      <w:r w:rsidRPr="00092D55">
        <w:rPr>
          <w:sz w:val="22"/>
          <w:szCs w:val="22"/>
        </w:rPr>
        <w:t>clarifying</w:t>
      </w:r>
      <w:r w:rsidR="00E9299B" w:rsidRPr="00092D55">
        <w:rPr>
          <w:sz w:val="22"/>
          <w:szCs w:val="22"/>
        </w:rPr>
        <w:t xml:space="preserve"> the requirements in relation to a </w:t>
      </w:r>
      <w:r w:rsidRPr="00092D55">
        <w:rPr>
          <w:sz w:val="22"/>
          <w:szCs w:val="22"/>
        </w:rPr>
        <w:t>HWC in new subsection 5(3);</w:t>
      </w:r>
    </w:p>
    <w:p w14:paraId="57B3CC1B" w14:textId="513B4261" w:rsidR="00703FE1" w:rsidRPr="00092D55" w:rsidRDefault="00703FE1" w:rsidP="00092D55">
      <w:pPr>
        <w:pStyle w:val="ListParagraph"/>
        <w:numPr>
          <w:ilvl w:val="0"/>
          <w:numId w:val="5"/>
        </w:numPr>
        <w:spacing w:before="120" w:after="240" w:line="360" w:lineRule="auto"/>
        <w:ind w:left="1984" w:hanging="357"/>
        <w:contextualSpacing w:val="0"/>
        <w:rPr>
          <w:sz w:val="22"/>
          <w:szCs w:val="22"/>
        </w:rPr>
      </w:pPr>
      <w:proofErr w:type="gramStart"/>
      <w:r w:rsidRPr="00092D55">
        <w:rPr>
          <w:sz w:val="22"/>
          <w:szCs w:val="22"/>
        </w:rPr>
        <w:t>clarifying</w:t>
      </w:r>
      <w:proofErr w:type="gramEnd"/>
      <w:r w:rsidRPr="00092D55">
        <w:rPr>
          <w:sz w:val="22"/>
          <w:szCs w:val="22"/>
        </w:rPr>
        <w:t xml:space="preserve"> the requirements in relation to a HWEC in new subsection 5(4).</w:t>
      </w:r>
    </w:p>
    <w:p w14:paraId="55725352" w14:textId="21134F17" w:rsidR="007E4EF0" w:rsidRPr="00EA7DE7" w:rsidRDefault="008D0F4D" w:rsidP="00EA7DE7">
      <w:pPr>
        <w:pStyle w:val="ListParagraph"/>
        <w:numPr>
          <w:ilvl w:val="0"/>
          <w:numId w:val="2"/>
        </w:numPr>
        <w:spacing w:after="240" w:line="360" w:lineRule="auto"/>
        <w:ind w:left="567" w:hanging="567"/>
        <w:contextualSpacing w:val="0"/>
        <w:rPr>
          <w:sz w:val="22"/>
          <w:szCs w:val="22"/>
        </w:rPr>
      </w:pPr>
      <w:r w:rsidRPr="00131004">
        <w:rPr>
          <w:sz w:val="22"/>
          <w:szCs w:val="22"/>
        </w:rPr>
        <w:t xml:space="preserve">Consultation was undertaken prior to the making of the instrument with the Department of Health. </w:t>
      </w:r>
    </w:p>
    <w:p w14:paraId="144F6C21" w14:textId="6F505649" w:rsidR="00EA7DE7" w:rsidRDefault="007E4EF0" w:rsidP="00EA7DE7">
      <w:pPr>
        <w:pStyle w:val="ListParagraph"/>
        <w:numPr>
          <w:ilvl w:val="0"/>
          <w:numId w:val="2"/>
        </w:numPr>
        <w:spacing w:after="60" w:line="360" w:lineRule="auto"/>
        <w:ind w:left="567" w:hanging="567"/>
        <w:contextualSpacing w:val="0"/>
        <w:rPr>
          <w:sz w:val="22"/>
          <w:szCs w:val="22"/>
        </w:rPr>
      </w:pPr>
      <w:r w:rsidRPr="00131004">
        <w:rPr>
          <w:sz w:val="22"/>
          <w:szCs w:val="22"/>
        </w:rPr>
        <w:t xml:space="preserve">The instrument commences on 16 December 2020. </w:t>
      </w:r>
      <w:r w:rsidR="008D0F4D" w:rsidRPr="00131004">
        <w:rPr>
          <w:sz w:val="22"/>
          <w:szCs w:val="22"/>
        </w:rPr>
        <w:t xml:space="preserve">The </w:t>
      </w:r>
      <w:r w:rsidR="00742935" w:rsidRPr="00131004">
        <w:rPr>
          <w:sz w:val="22"/>
          <w:szCs w:val="22"/>
        </w:rPr>
        <w:t>amendments to</w:t>
      </w:r>
      <w:r w:rsidR="002B5C20">
        <w:rPr>
          <w:sz w:val="22"/>
          <w:szCs w:val="22"/>
        </w:rPr>
        <w:t>:</w:t>
      </w:r>
      <w:r w:rsidR="00742935" w:rsidRPr="00131004">
        <w:rPr>
          <w:sz w:val="22"/>
          <w:szCs w:val="22"/>
        </w:rPr>
        <w:t xml:space="preserve"> </w:t>
      </w:r>
    </w:p>
    <w:p w14:paraId="57E75F8A" w14:textId="56DA94F8" w:rsidR="00EA7DE7" w:rsidRDefault="00742935" w:rsidP="00EA7DE7">
      <w:pPr>
        <w:pStyle w:val="ListParagraph"/>
        <w:numPr>
          <w:ilvl w:val="1"/>
          <w:numId w:val="2"/>
        </w:numPr>
        <w:spacing w:after="60" w:line="360" w:lineRule="auto"/>
        <w:ind w:left="1134" w:hanging="567"/>
        <w:contextualSpacing w:val="0"/>
        <w:rPr>
          <w:sz w:val="22"/>
          <w:szCs w:val="22"/>
        </w:rPr>
      </w:pPr>
      <w:r w:rsidRPr="00131004">
        <w:rPr>
          <w:sz w:val="22"/>
          <w:szCs w:val="22"/>
        </w:rPr>
        <w:t>LIN 19/048</w:t>
      </w:r>
      <w:r w:rsidR="008D0F4D" w:rsidRPr="00131004">
        <w:rPr>
          <w:sz w:val="22"/>
          <w:szCs w:val="22"/>
        </w:rPr>
        <w:t xml:space="preserve"> appl</w:t>
      </w:r>
      <w:r w:rsidR="005618FE">
        <w:rPr>
          <w:sz w:val="22"/>
          <w:szCs w:val="22"/>
        </w:rPr>
        <w:t>y</w:t>
      </w:r>
      <w:r w:rsidR="008D0F4D" w:rsidRPr="00131004">
        <w:rPr>
          <w:sz w:val="22"/>
          <w:szCs w:val="22"/>
        </w:rPr>
        <w:t xml:space="preserve"> in relation to a nomination made under subsection 140GB(1) of the </w:t>
      </w:r>
      <w:r w:rsidRPr="00131004">
        <w:rPr>
          <w:i/>
          <w:sz w:val="22"/>
          <w:szCs w:val="22"/>
        </w:rPr>
        <w:t xml:space="preserve">Migration </w:t>
      </w:r>
      <w:r w:rsidR="008D0F4D" w:rsidRPr="00131004">
        <w:rPr>
          <w:i/>
          <w:sz w:val="22"/>
          <w:szCs w:val="22"/>
        </w:rPr>
        <w:t xml:space="preserve">Act </w:t>
      </w:r>
      <w:r w:rsidRPr="00131004">
        <w:rPr>
          <w:i/>
          <w:sz w:val="22"/>
          <w:szCs w:val="22"/>
        </w:rPr>
        <w:t>1994</w:t>
      </w:r>
      <w:r w:rsidRPr="00131004">
        <w:rPr>
          <w:sz w:val="22"/>
          <w:szCs w:val="22"/>
        </w:rPr>
        <w:t xml:space="preserve"> </w:t>
      </w:r>
      <w:r w:rsidR="008D0F4D" w:rsidRPr="00131004">
        <w:rPr>
          <w:sz w:val="22"/>
          <w:szCs w:val="22"/>
        </w:rPr>
        <w:t xml:space="preserve">on or after </w:t>
      </w:r>
      <w:r w:rsidRPr="00131004">
        <w:rPr>
          <w:sz w:val="22"/>
          <w:szCs w:val="22"/>
        </w:rPr>
        <w:t>16 December</w:t>
      </w:r>
      <w:r w:rsidR="00EA7DE7">
        <w:rPr>
          <w:sz w:val="22"/>
          <w:szCs w:val="22"/>
        </w:rPr>
        <w:t xml:space="preserve"> 2020; and</w:t>
      </w:r>
    </w:p>
    <w:p w14:paraId="1DF35605" w14:textId="3C859AC2" w:rsidR="007E4EF0" w:rsidRPr="00131004" w:rsidRDefault="00742935" w:rsidP="00EA7DE7">
      <w:pPr>
        <w:pStyle w:val="ListParagraph"/>
        <w:numPr>
          <w:ilvl w:val="1"/>
          <w:numId w:val="2"/>
        </w:numPr>
        <w:spacing w:after="240" w:line="360" w:lineRule="auto"/>
        <w:ind w:left="1134" w:hanging="567"/>
        <w:contextualSpacing w:val="0"/>
        <w:rPr>
          <w:sz w:val="22"/>
          <w:szCs w:val="22"/>
        </w:rPr>
      </w:pPr>
      <w:r w:rsidRPr="00131004">
        <w:rPr>
          <w:sz w:val="22"/>
          <w:szCs w:val="22"/>
        </w:rPr>
        <w:lastRenderedPageBreak/>
        <w:t>LIN 19/219 appl</w:t>
      </w:r>
      <w:r w:rsidR="005618FE">
        <w:rPr>
          <w:sz w:val="22"/>
          <w:szCs w:val="22"/>
        </w:rPr>
        <w:t>y</w:t>
      </w:r>
      <w:r w:rsidRPr="00131004">
        <w:rPr>
          <w:sz w:val="22"/>
          <w:szCs w:val="22"/>
        </w:rPr>
        <w:t xml:space="preserve"> in relation to a nomination made on or after 16</w:t>
      </w:r>
      <w:r w:rsidR="007E4EF0" w:rsidRPr="00131004">
        <w:rPr>
          <w:sz w:val="22"/>
          <w:szCs w:val="22"/>
        </w:rPr>
        <w:t> </w:t>
      </w:r>
      <w:r w:rsidRPr="00131004">
        <w:rPr>
          <w:sz w:val="22"/>
          <w:szCs w:val="22"/>
        </w:rPr>
        <w:t xml:space="preserve">December 2020. </w:t>
      </w:r>
    </w:p>
    <w:p w14:paraId="023E1792" w14:textId="66654B52" w:rsidR="007E4EF0" w:rsidRPr="00131004" w:rsidRDefault="008D0F4D" w:rsidP="00131004">
      <w:pPr>
        <w:pStyle w:val="ListParagraph"/>
        <w:numPr>
          <w:ilvl w:val="0"/>
          <w:numId w:val="2"/>
        </w:numPr>
        <w:spacing w:after="240" w:line="360" w:lineRule="auto"/>
        <w:ind w:left="567" w:hanging="567"/>
        <w:contextualSpacing w:val="0"/>
        <w:rPr>
          <w:sz w:val="22"/>
          <w:szCs w:val="22"/>
        </w:rPr>
      </w:pPr>
      <w:r w:rsidRPr="00131004">
        <w:rPr>
          <w:sz w:val="22"/>
          <w:szCs w:val="22"/>
        </w:rPr>
        <w:t xml:space="preserve">LIN 19/048 </w:t>
      </w:r>
      <w:r w:rsidR="007E4EF0" w:rsidRPr="00131004">
        <w:rPr>
          <w:sz w:val="22"/>
          <w:szCs w:val="22"/>
        </w:rPr>
        <w:t xml:space="preserve">and LIN 19/219 </w:t>
      </w:r>
      <w:r w:rsidRPr="00131004">
        <w:rPr>
          <w:sz w:val="22"/>
          <w:szCs w:val="22"/>
        </w:rPr>
        <w:t>as in force immediately before</w:t>
      </w:r>
      <w:r w:rsidR="007E4EF0" w:rsidRPr="00131004">
        <w:rPr>
          <w:sz w:val="22"/>
          <w:szCs w:val="22"/>
        </w:rPr>
        <w:t xml:space="preserve"> the date of commencement of the instrument</w:t>
      </w:r>
      <w:r w:rsidRPr="00131004">
        <w:rPr>
          <w:sz w:val="22"/>
          <w:szCs w:val="22"/>
        </w:rPr>
        <w:t xml:space="preserve">, continue to apply in relation to an application for approval of a nomination made before </w:t>
      </w:r>
      <w:r w:rsidR="007E4EF0" w:rsidRPr="00131004">
        <w:rPr>
          <w:sz w:val="22"/>
          <w:szCs w:val="22"/>
        </w:rPr>
        <w:t>16 December 2020</w:t>
      </w:r>
      <w:r w:rsidRPr="00131004">
        <w:rPr>
          <w:sz w:val="22"/>
          <w:szCs w:val="22"/>
        </w:rPr>
        <w:t>.</w:t>
      </w:r>
    </w:p>
    <w:p w14:paraId="231AE33B" w14:textId="5F4EBBAB" w:rsidR="007E4EF0" w:rsidRPr="00131004" w:rsidRDefault="008D0F4D" w:rsidP="00131004">
      <w:pPr>
        <w:pStyle w:val="ListParagraph"/>
        <w:numPr>
          <w:ilvl w:val="0"/>
          <w:numId w:val="2"/>
        </w:numPr>
        <w:spacing w:after="240" w:line="360" w:lineRule="auto"/>
        <w:ind w:left="567" w:hanging="567"/>
        <w:contextualSpacing w:val="0"/>
        <w:rPr>
          <w:sz w:val="22"/>
          <w:szCs w:val="22"/>
        </w:rPr>
      </w:pPr>
      <w:r w:rsidRPr="00131004">
        <w:rPr>
          <w:sz w:val="22"/>
          <w:szCs w:val="22"/>
        </w:rPr>
        <w:t>The Office of Best Practice Regulation (OBPR) has advised that a Regulatory Impact Statement is not required (OBPR Reference:</w:t>
      </w:r>
      <w:r w:rsidR="00957212" w:rsidRPr="00131004">
        <w:rPr>
          <w:sz w:val="22"/>
          <w:szCs w:val="22"/>
        </w:rPr>
        <w:t xml:space="preserve"> </w:t>
      </w:r>
      <w:r w:rsidR="00B73479" w:rsidRPr="00131004">
        <w:rPr>
          <w:sz w:val="22"/>
          <w:szCs w:val="22"/>
        </w:rPr>
        <w:t>43170)</w:t>
      </w:r>
      <w:r w:rsidRPr="00131004">
        <w:rPr>
          <w:sz w:val="22"/>
          <w:szCs w:val="22"/>
        </w:rPr>
        <w:t>.</w:t>
      </w:r>
    </w:p>
    <w:p w14:paraId="4719D8C3" w14:textId="77777777" w:rsidR="007A079D" w:rsidRDefault="008D0F4D" w:rsidP="00131004">
      <w:pPr>
        <w:pStyle w:val="ListParagraph"/>
        <w:numPr>
          <w:ilvl w:val="0"/>
          <w:numId w:val="2"/>
        </w:numPr>
        <w:spacing w:after="240" w:line="360" w:lineRule="auto"/>
        <w:ind w:left="567" w:hanging="567"/>
        <w:contextualSpacing w:val="0"/>
        <w:rPr>
          <w:b/>
          <w:sz w:val="22"/>
          <w:szCs w:val="22"/>
        </w:rPr>
        <w:sectPr w:rsidR="007A079D">
          <w:footerReference w:type="default" r:id="rId8"/>
          <w:pgSz w:w="11906" w:h="16838"/>
          <w:pgMar w:top="1440" w:right="1440" w:bottom="1440" w:left="1440" w:header="708" w:footer="708" w:gutter="0"/>
          <w:cols w:space="708"/>
          <w:docGrid w:linePitch="360"/>
        </w:sectPr>
      </w:pPr>
      <w:r w:rsidRPr="00131004">
        <w:rPr>
          <w:sz w:val="22"/>
          <w:szCs w:val="22"/>
        </w:rPr>
        <w:t xml:space="preserve">Under section 42 of the </w:t>
      </w:r>
      <w:r w:rsidRPr="00131004">
        <w:rPr>
          <w:i/>
          <w:sz w:val="22"/>
          <w:szCs w:val="22"/>
        </w:rPr>
        <w:t>Legislation Act 2003</w:t>
      </w:r>
      <w:r w:rsidRPr="00131004">
        <w:rPr>
          <w:sz w:val="22"/>
          <w:szCs w:val="22"/>
        </w:rPr>
        <w:t xml:space="preserve">, the instrument is subject to disallowance and therefore a Statement of Compatibility with Human Rights has been provided at </w:t>
      </w:r>
      <w:r w:rsidRPr="00131004">
        <w:rPr>
          <w:b/>
          <w:sz w:val="22"/>
          <w:szCs w:val="22"/>
          <w:u w:val="single"/>
        </w:rPr>
        <w:t>Attachment</w:t>
      </w:r>
      <w:r w:rsidR="00F97146">
        <w:rPr>
          <w:b/>
          <w:sz w:val="22"/>
          <w:szCs w:val="22"/>
          <w:u w:val="single"/>
        </w:rPr>
        <w:t> </w:t>
      </w:r>
      <w:r w:rsidRPr="00131004">
        <w:rPr>
          <w:b/>
          <w:sz w:val="22"/>
          <w:szCs w:val="22"/>
          <w:u w:val="single"/>
        </w:rPr>
        <w:t>A</w:t>
      </w:r>
      <w:r w:rsidRPr="00131004">
        <w:rPr>
          <w:b/>
          <w:sz w:val="22"/>
          <w:szCs w:val="22"/>
        </w:rPr>
        <w:t>.</w:t>
      </w:r>
    </w:p>
    <w:p w14:paraId="7BFCF0EA" w14:textId="77777777" w:rsidR="007A079D" w:rsidRPr="007A079D" w:rsidRDefault="007A079D" w:rsidP="007A079D">
      <w:pPr>
        <w:spacing w:before="360" w:line="276" w:lineRule="auto"/>
        <w:ind w:left="-23"/>
        <w:jc w:val="both"/>
        <w:rPr>
          <w:b/>
          <w:sz w:val="24"/>
          <w:szCs w:val="24"/>
          <w:u w:val="single"/>
        </w:rPr>
      </w:pPr>
      <w:r w:rsidRPr="007A079D">
        <w:rPr>
          <w:b/>
          <w:sz w:val="24"/>
          <w:u w:val="single"/>
        </w:rPr>
        <w:lastRenderedPageBreak/>
        <w:t xml:space="preserve">Attachment A </w:t>
      </w:r>
    </w:p>
    <w:p w14:paraId="31B330BA" w14:textId="77777777" w:rsidR="007A079D" w:rsidRPr="007A079D" w:rsidRDefault="007A079D" w:rsidP="007A079D">
      <w:pPr>
        <w:spacing w:line="276" w:lineRule="auto"/>
        <w:ind w:left="-23"/>
        <w:jc w:val="center"/>
        <w:rPr>
          <w:b/>
          <w:sz w:val="24"/>
          <w:szCs w:val="24"/>
        </w:rPr>
      </w:pPr>
      <w:r w:rsidRPr="007A079D">
        <w:rPr>
          <w:b/>
          <w:sz w:val="24"/>
          <w:szCs w:val="24"/>
        </w:rPr>
        <w:t>Statement of Compatibility with Human Rights</w:t>
      </w:r>
    </w:p>
    <w:p w14:paraId="426122D1" w14:textId="77777777" w:rsidR="007A079D" w:rsidRPr="007A079D" w:rsidRDefault="007A079D" w:rsidP="007A079D">
      <w:pPr>
        <w:spacing w:line="276" w:lineRule="auto"/>
        <w:ind w:left="-23"/>
        <w:jc w:val="center"/>
        <w:rPr>
          <w:i/>
          <w:sz w:val="24"/>
          <w:szCs w:val="24"/>
        </w:rPr>
      </w:pPr>
    </w:p>
    <w:p w14:paraId="23817E33" w14:textId="77777777" w:rsidR="007A079D" w:rsidRPr="007A079D" w:rsidRDefault="007A079D" w:rsidP="007A079D">
      <w:pPr>
        <w:spacing w:line="276" w:lineRule="auto"/>
        <w:ind w:left="-23"/>
        <w:jc w:val="center"/>
        <w:rPr>
          <w:i/>
          <w:sz w:val="24"/>
          <w:szCs w:val="24"/>
        </w:rPr>
      </w:pPr>
      <w:r w:rsidRPr="007A079D">
        <w:rPr>
          <w:i/>
          <w:sz w:val="24"/>
          <w:szCs w:val="24"/>
        </w:rPr>
        <w:t>Prepared in accordance with Part 3 of the Human Rights (Parliamentary Scrutiny) Act 2011</w:t>
      </w:r>
    </w:p>
    <w:p w14:paraId="39D32EF0" w14:textId="77777777" w:rsidR="007A079D" w:rsidRPr="00912B0B" w:rsidRDefault="007A079D" w:rsidP="007A079D">
      <w:pPr>
        <w:ind w:left="-23"/>
      </w:pPr>
    </w:p>
    <w:p w14:paraId="75BC80CE" w14:textId="77777777" w:rsidR="007A079D" w:rsidRPr="00912B0B" w:rsidRDefault="007A079D" w:rsidP="007A079D">
      <w:pPr>
        <w:pStyle w:val="ShortT"/>
        <w:ind w:left="-23"/>
        <w:rPr>
          <w:bCs/>
          <w:sz w:val="24"/>
          <w:szCs w:val="24"/>
        </w:rPr>
      </w:pPr>
      <w:r w:rsidRPr="00912B0B">
        <w:rPr>
          <w:bCs/>
          <w:sz w:val="24"/>
          <w:szCs w:val="24"/>
        </w:rPr>
        <w:t>Migration Legislation Amendment (Health Workforce Certificates Measures No.2) Instrument (LIN 20/274) 2020</w:t>
      </w:r>
    </w:p>
    <w:p w14:paraId="5BA653F3" w14:textId="77777777" w:rsidR="007A079D" w:rsidRPr="007A079D" w:rsidRDefault="007A079D" w:rsidP="007A079D">
      <w:pPr>
        <w:spacing w:line="276" w:lineRule="auto"/>
        <w:ind w:left="-23"/>
        <w:jc w:val="center"/>
        <w:rPr>
          <w:sz w:val="24"/>
          <w:szCs w:val="24"/>
        </w:rPr>
      </w:pPr>
    </w:p>
    <w:p w14:paraId="16EF6786" w14:textId="77777777" w:rsidR="007A079D" w:rsidRPr="007A079D" w:rsidRDefault="007A079D" w:rsidP="007A079D">
      <w:pPr>
        <w:spacing w:line="276" w:lineRule="auto"/>
        <w:ind w:left="-23" w:right="-472"/>
        <w:rPr>
          <w:sz w:val="24"/>
          <w:szCs w:val="24"/>
        </w:rPr>
      </w:pPr>
      <w:r w:rsidRPr="007A079D">
        <w:rPr>
          <w:sz w:val="24"/>
          <w:szCs w:val="24"/>
        </w:rPr>
        <w:t xml:space="preserve">This disallowable legislative instrument is compatible with the human rights and freedoms recognised or declared in the international instruments listed in section 3 of the </w:t>
      </w:r>
      <w:r w:rsidRPr="007A079D">
        <w:rPr>
          <w:i/>
          <w:sz w:val="24"/>
          <w:szCs w:val="24"/>
        </w:rPr>
        <w:t>Human Rights (Parliamentary Scrutiny) Act 2011</w:t>
      </w:r>
      <w:r w:rsidRPr="007A079D">
        <w:rPr>
          <w:sz w:val="24"/>
          <w:szCs w:val="24"/>
        </w:rPr>
        <w:t>.</w:t>
      </w:r>
    </w:p>
    <w:p w14:paraId="796335C6" w14:textId="77777777" w:rsidR="007A079D" w:rsidRPr="007A079D" w:rsidRDefault="007A079D" w:rsidP="007A079D">
      <w:pPr>
        <w:spacing w:line="276" w:lineRule="auto"/>
        <w:ind w:left="-23"/>
        <w:jc w:val="center"/>
        <w:rPr>
          <w:sz w:val="24"/>
          <w:szCs w:val="24"/>
        </w:rPr>
      </w:pPr>
    </w:p>
    <w:p w14:paraId="6E12F2AD" w14:textId="77777777" w:rsidR="007A079D" w:rsidRPr="007A079D" w:rsidRDefault="007A079D" w:rsidP="007A079D">
      <w:pPr>
        <w:spacing w:line="276" w:lineRule="auto"/>
        <w:ind w:left="-23"/>
        <w:rPr>
          <w:b/>
          <w:sz w:val="24"/>
          <w:szCs w:val="24"/>
        </w:rPr>
      </w:pPr>
      <w:r w:rsidRPr="007A079D">
        <w:rPr>
          <w:b/>
          <w:sz w:val="24"/>
          <w:szCs w:val="24"/>
        </w:rPr>
        <w:t xml:space="preserve">Overview of the Instrument </w:t>
      </w:r>
    </w:p>
    <w:p w14:paraId="67F4B987" w14:textId="77777777" w:rsidR="007A079D" w:rsidRPr="007A079D" w:rsidRDefault="007A079D" w:rsidP="007A079D">
      <w:pPr>
        <w:spacing w:line="276" w:lineRule="auto"/>
        <w:ind w:left="-23"/>
        <w:rPr>
          <w:sz w:val="24"/>
          <w:szCs w:val="24"/>
        </w:rPr>
      </w:pPr>
    </w:p>
    <w:p w14:paraId="327E526D" w14:textId="77777777" w:rsidR="007A079D" w:rsidRPr="007A079D" w:rsidRDefault="007A079D" w:rsidP="007A079D">
      <w:pPr>
        <w:spacing w:line="276" w:lineRule="auto"/>
        <w:ind w:left="-23"/>
        <w:rPr>
          <w:sz w:val="24"/>
          <w:szCs w:val="24"/>
        </w:rPr>
      </w:pPr>
      <w:r w:rsidRPr="007A079D">
        <w:rPr>
          <w:sz w:val="24"/>
          <w:szCs w:val="24"/>
        </w:rPr>
        <w:t xml:space="preserve">The </w:t>
      </w:r>
      <w:r w:rsidRPr="007A079D">
        <w:rPr>
          <w:i/>
          <w:sz w:val="24"/>
          <w:szCs w:val="24"/>
        </w:rPr>
        <w:t>Migration Regulations 1994</w:t>
      </w:r>
      <w:r w:rsidRPr="007A079D">
        <w:rPr>
          <w:sz w:val="24"/>
          <w:szCs w:val="24"/>
        </w:rPr>
        <w:t xml:space="preserve"> set out requirements for the grant of a Temporary Skill Shortage (Subclass 482) visa and the Skilled Employer Sponsored Regional (Skilled) (Subclass 494) visa. One requirement for both visa subclasses is that the applicant be nominated by their employer, in an occupation that appears on one of the skilled occupations lists for the relevant subclass of visa. The occupation lists are specified by instrument LIN 19/048 for the Subclass 482 visa and LIN 19/219 for the Subclass 494 visa. </w:t>
      </w:r>
    </w:p>
    <w:p w14:paraId="332CE608" w14:textId="77777777" w:rsidR="007A079D" w:rsidRPr="007A079D" w:rsidRDefault="007A079D" w:rsidP="007A079D">
      <w:pPr>
        <w:spacing w:line="276" w:lineRule="auto"/>
        <w:ind w:left="-23"/>
        <w:rPr>
          <w:sz w:val="24"/>
          <w:szCs w:val="24"/>
        </w:rPr>
      </w:pPr>
    </w:p>
    <w:p w14:paraId="5C8190DA" w14:textId="77777777" w:rsidR="007A079D" w:rsidRPr="007A079D" w:rsidRDefault="007A079D" w:rsidP="007A079D">
      <w:pPr>
        <w:spacing w:line="276" w:lineRule="auto"/>
        <w:ind w:left="-23"/>
        <w:rPr>
          <w:sz w:val="24"/>
          <w:szCs w:val="24"/>
        </w:rPr>
      </w:pPr>
      <w:r w:rsidRPr="007A079D">
        <w:rPr>
          <w:sz w:val="24"/>
          <w:szCs w:val="24"/>
        </w:rPr>
        <w:t>These instruments also include inapplicability conditions (‘caveats’) for certain occupations for the purpose of nominations, to provide clarification for applications and ensure the integrity of this visa program. Relevantly, the current instruments specify a caveat requiring that a health workforce certificate (HWC) from a Rural Workforce Agency (RWA) be provided when an employer nominates a person for a position in one of the following medical occupations: General Practitioner, Resident Medical Officer, and Medical Practitioner not elsewhere classified.</w:t>
      </w:r>
    </w:p>
    <w:p w14:paraId="719EF420" w14:textId="77777777" w:rsidR="007A079D" w:rsidRPr="007A079D" w:rsidRDefault="007A079D" w:rsidP="007A079D">
      <w:pPr>
        <w:spacing w:line="276" w:lineRule="auto"/>
        <w:ind w:left="-23"/>
        <w:rPr>
          <w:sz w:val="24"/>
          <w:szCs w:val="24"/>
        </w:rPr>
      </w:pPr>
    </w:p>
    <w:p w14:paraId="7A087645" w14:textId="77777777" w:rsidR="007A079D" w:rsidRPr="007A079D" w:rsidRDefault="007A079D" w:rsidP="007A079D">
      <w:pPr>
        <w:spacing w:line="276" w:lineRule="auto"/>
        <w:ind w:left="-23"/>
        <w:rPr>
          <w:sz w:val="24"/>
          <w:szCs w:val="24"/>
        </w:rPr>
      </w:pPr>
      <w:r w:rsidRPr="007A079D">
        <w:rPr>
          <w:sz w:val="24"/>
          <w:szCs w:val="24"/>
        </w:rPr>
        <w:t>RWAs are government-funded, not-for-profit, agencies that aim to attract, recruit and support health professionals needed in rural and remote communities and the certification requirement is aimed at directing overseas-trained doctors away from over-serviced metropolitan and outer metropolitan areas to areas of workforce shortage, especially rural and remote areas.</w:t>
      </w:r>
    </w:p>
    <w:p w14:paraId="31AE1EA4" w14:textId="77777777" w:rsidR="007A079D" w:rsidRPr="00912B0B" w:rsidRDefault="007A079D" w:rsidP="007A079D">
      <w:pPr>
        <w:pStyle w:val="ShortT"/>
        <w:ind w:left="-23"/>
        <w:rPr>
          <w:b w:val="0"/>
          <w:sz w:val="24"/>
          <w:szCs w:val="24"/>
        </w:rPr>
      </w:pPr>
    </w:p>
    <w:p w14:paraId="7FDA50DE" w14:textId="77777777" w:rsidR="007A079D" w:rsidRPr="007A079D" w:rsidRDefault="007A079D" w:rsidP="007A079D">
      <w:pPr>
        <w:spacing w:line="276" w:lineRule="auto"/>
        <w:ind w:left="-23"/>
        <w:rPr>
          <w:sz w:val="24"/>
          <w:szCs w:val="24"/>
        </w:rPr>
      </w:pPr>
      <w:r w:rsidRPr="007A079D">
        <w:rPr>
          <w:sz w:val="24"/>
          <w:szCs w:val="24"/>
        </w:rPr>
        <w:t xml:space="preserve">This instrument (LIN 20/274) amends current instruments LIN 19/048 and LIN 19/219 with the effect of adding a second type of certificate called a “health workforce exemption certificate” (HWEC).  This certificate will be issued by the same authorities and applies to the same occupations as the existing HWC.  A HWEC is valid for 12 months and can be used by the employer for multiple nominations during that period. It is expected that HWECs will be issued for hospital-based positions and this is intended to reduce the administrative burden for hospital employers who currently need to obtain a health workforce certificate each time they wish to nominate a person for a hospital-based position.  This amendment implements policy measures introduced by the Department of Health and recognises that a HWC is currently always issued by RWAs for hospital-based positions. This amendment will allow employers </w:t>
      </w:r>
      <w:r w:rsidRPr="007A079D">
        <w:rPr>
          <w:sz w:val="24"/>
          <w:szCs w:val="24"/>
        </w:rPr>
        <w:lastRenderedPageBreak/>
        <w:t xml:space="preserve">nominating a prospective employee for those medical occupations to provide a HWEC for hospital-based positions and continue to provide a HWC for non-hospital-based positions in order to meet the certification requirement in the caveat.  </w:t>
      </w:r>
    </w:p>
    <w:p w14:paraId="755D45F0" w14:textId="77777777" w:rsidR="007A079D" w:rsidRPr="007A079D" w:rsidRDefault="007A079D" w:rsidP="007A079D">
      <w:pPr>
        <w:spacing w:line="276" w:lineRule="auto"/>
        <w:ind w:left="-23"/>
        <w:rPr>
          <w:sz w:val="24"/>
          <w:szCs w:val="24"/>
        </w:rPr>
      </w:pPr>
    </w:p>
    <w:p w14:paraId="1650FA9B" w14:textId="77777777" w:rsidR="007A079D" w:rsidRPr="007A079D" w:rsidRDefault="007A079D" w:rsidP="007A079D">
      <w:pPr>
        <w:spacing w:line="276" w:lineRule="auto"/>
        <w:ind w:left="-23"/>
        <w:rPr>
          <w:b/>
          <w:sz w:val="24"/>
          <w:szCs w:val="24"/>
        </w:rPr>
      </w:pPr>
      <w:r w:rsidRPr="007A079D">
        <w:rPr>
          <w:b/>
          <w:sz w:val="24"/>
          <w:szCs w:val="24"/>
        </w:rPr>
        <w:t>Human rights implications</w:t>
      </w:r>
    </w:p>
    <w:p w14:paraId="3BAACDDF" w14:textId="77777777" w:rsidR="007A079D" w:rsidRPr="007A079D" w:rsidRDefault="007A079D" w:rsidP="007A079D">
      <w:pPr>
        <w:spacing w:line="276" w:lineRule="auto"/>
        <w:ind w:left="-23"/>
        <w:rPr>
          <w:sz w:val="24"/>
          <w:szCs w:val="24"/>
        </w:rPr>
      </w:pPr>
    </w:p>
    <w:p w14:paraId="22A8BB61" w14:textId="77777777" w:rsidR="007A079D" w:rsidRPr="007A079D" w:rsidRDefault="007A079D" w:rsidP="007A079D">
      <w:pPr>
        <w:spacing w:line="276" w:lineRule="auto"/>
        <w:ind w:left="-23"/>
        <w:rPr>
          <w:sz w:val="24"/>
          <w:szCs w:val="24"/>
        </w:rPr>
      </w:pPr>
      <w:r w:rsidRPr="007A079D">
        <w:rPr>
          <w:sz w:val="24"/>
          <w:szCs w:val="24"/>
        </w:rPr>
        <w:t xml:space="preserve">The measure in this instrument has been assessed against the seven core international human rights treaties.  In aiming to reduce the administrative burden on medical employers, particularly hospitals, in meeting visa requirements when nominating foreign medical professionals, this measure may assist those employers to more quickly commence the employment of such professionals.  As such, this measure may broadly promote the right to work in Article 6 of the </w:t>
      </w:r>
      <w:r w:rsidRPr="007A079D">
        <w:rPr>
          <w:i/>
          <w:sz w:val="24"/>
          <w:szCs w:val="24"/>
        </w:rPr>
        <w:t>International Covenant on Economic, Social and Cultural Rights</w:t>
      </w:r>
      <w:r w:rsidRPr="007A079D">
        <w:rPr>
          <w:bCs/>
          <w:sz w:val="24"/>
          <w:szCs w:val="24"/>
        </w:rPr>
        <w:t xml:space="preserve"> (ICESCR)</w:t>
      </w:r>
      <w:r w:rsidRPr="007A079D">
        <w:rPr>
          <w:sz w:val="24"/>
          <w:szCs w:val="24"/>
        </w:rPr>
        <w:t xml:space="preserve"> of those medical professionals, and the right to health in Article 12 of the ICESCR of the Australian community, by having such staff commence as quickly as possible.</w:t>
      </w:r>
    </w:p>
    <w:p w14:paraId="3E294A23" w14:textId="77777777" w:rsidR="007A079D" w:rsidRPr="007A079D" w:rsidRDefault="007A079D" w:rsidP="007A079D">
      <w:pPr>
        <w:spacing w:line="276" w:lineRule="auto"/>
        <w:ind w:left="-23"/>
        <w:rPr>
          <w:b/>
          <w:sz w:val="24"/>
          <w:szCs w:val="24"/>
        </w:rPr>
      </w:pPr>
    </w:p>
    <w:p w14:paraId="510DE8A5" w14:textId="77777777" w:rsidR="007A079D" w:rsidRPr="007A079D" w:rsidRDefault="007A079D" w:rsidP="007A079D">
      <w:pPr>
        <w:spacing w:line="276" w:lineRule="auto"/>
        <w:ind w:left="-23"/>
        <w:rPr>
          <w:b/>
          <w:sz w:val="24"/>
          <w:szCs w:val="24"/>
        </w:rPr>
      </w:pPr>
      <w:r w:rsidRPr="007A079D">
        <w:rPr>
          <w:b/>
          <w:sz w:val="24"/>
          <w:szCs w:val="24"/>
        </w:rPr>
        <w:t>Conclusion</w:t>
      </w:r>
    </w:p>
    <w:p w14:paraId="1DA2EA2B" w14:textId="77777777" w:rsidR="007A079D" w:rsidRPr="007A079D" w:rsidRDefault="007A079D" w:rsidP="007A079D">
      <w:pPr>
        <w:spacing w:line="276" w:lineRule="auto"/>
        <w:ind w:left="-23"/>
        <w:rPr>
          <w:sz w:val="24"/>
          <w:szCs w:val="24"/>
        </w:rPr>
      </w:pPr>
      <w:r w:rsidRPr="007A079D">
        <w:rPr>
          <w:sz w:val="24"/>
          <w:szCs w:val="24"/>
        </w:rPr>
        <w:t>The legislative instrument is compatible with human rights.</w:t>
      </w:r>
    </w:p>
    <w:p w14:paraId="0DFE4080" w14:textId="77777777" w:rsidR="007A079D" w:rsidRPr="007A079D" w:rsidRDefault="007A079D" w:rsidP="007A079D">
      <w:pPr>
        <w:spacing w:line="276" w:lineRule="auto"/>
        <w:ind w:left="-23"/>
        <w:rPr>
          <w:sz w:val="24"/>
          <w:szCs w:val="24"/>
        </w:rPr>
      </w:pPr>
    </w:p>
    <w:p w14:paraId="6DFD2FE9" w14:textId="77777777" w:rsidR="007A079D" w:rsidRPr="007A079D" w:rsidRDefault="007A079D" w:rsidP="007A079D">
      <w:pPr>
        <w:spacing w:line="276" w:lineRule="auto"/>
        <w:ind w:left="-23"/>
        <w:jc w:val="center"/>
        <w:rPr>
          <w:b/>
          <w:sz w:val="24"/>
          <w:szCs w:val="24"/>
        </w:rPr>
      </w:pPr>
    </w:p>
    <w:p w14:paraId="2523ED71" w14:textId="77777777" w:rsidR="007A079D" w:rsidRPr="007A079D" w:rsidRDefault="007A079D" w:rsidP="007A079D">
      <w:pPr>
        <w:shd w:val="clear" w:color="auto" w:fill="FFFFFF"/>
        <w:spacing w:before="100" w:beforeAutospacing="1" w:after="100" w:afterAutospacing="1" w:line="276" w:lineRule="auto"/>
        <w:ind w:left="-23"/>
        <w:jc w:val="center"/>
        <w:rPr>
          <w:b/>
          <w:bCs/>
          <w:sz w:val="24"/>
          <w:szCs w:val="24"/>
        </w:rPr>
      </w:pPr>
      <w:r w:rsidRPr="007A079D">
        <w:rPr>
          <w:b/>
          <w:bCs/>
          <w:sz w:val="24"/>
          <w:szCs w:val="24"/>
        </w:rPr>
        <w:t xml:space="preserve">The Hon Alan </w:t>
      </w:r>
      <w:proofErr w:type="spellStart"/>
      <w:r w:rsidRPr="007A079D">
        <w:rPr>
          <w:b/>
          <w:bCs/>
          <w:sz w:val="24"/>
          <w:szCs w:val="24"/>
        </w:rPr>
        <w:t>Tudge</w:t>
      </w:r>
      <w:proofErr w:type="spellEnd"/>
      <w:r w:rsidRPr="007A079D">
        <w:rPr>
          <w:b/>
          <w:bCs/>
          <w:sz w:val="24"/>
          <w:szCs w:val="24"/>
        </w:rPr>
        <w:t xml:space="preserve"> MP</w:t>
      </w:r>
    </w:p>
    <w:p w14:paraId="6E58BBD3" w14:textId="77777777" w:rsidR="007A079D" w:rsidRPr="007A079D" w:rsidRDefault="007A079D" w:rsidP="007A079D">
      <w:pPr>
        <w:shd w:val="clear" w:color="auto" w:fill="FFFFFF"/>
        <w:spacing w:before="100" w:beforeAutospacing="1" w:after="100" w:afterAutospacing="1" w:line="276" w:lineRule="auto"/>
        <w:ind w:left="-23"/>
        <w:jc w:val="center"/>
        <w:rPr>
          <w:sz w:val="24"/>
          <w:szCs w:val="24"/>
        </w:rPr>
      </w:pPr>
      <w:r w:rsidRPr="007A079D">
        <w:rPr>
          <w:b/>
          <w:bCs/>
          <w:sz w:val="24"/>
          <w:szCs w:val="24"/>
        </w:rPr>
        <w:t>Minister for Population, Cities and Urban Infrastructure</w:t>
      </w:r>
    </w:p>
    <w:p w14:paraId="5D2A7B32" w14:textId="77777777" w:rsidR="007A079D" w:rsidRPr="007A079D" w:rsidRDefault="007A079D" w:rsidP="007A079D">
      <w:pPr>
        <w:shd w:val="clear" w:color="auto" w:fill="FFFFFF"/>
        <w:spacing w:before="100" w:beforeAutospacing="1" w:after="100" w:afterAutospacing="1" w:line="276" w:lineRule="auto"/>
        <w:ind w:left="-23"/>
        <w:jc w:val="center"/>
        <w:rPr>
          <w:sz w:val="24"/>
          <w:szCs w:val="24"/>
        </w:rPr>
      </w:pPr>
      <w:r w:rsidRPr="007A079D">
        <w:rPr>
          <w:b/>
          <w:bCs/>
          <w:sz w:val="24"/>
          <w:szCs w:val="24"/>
        </w:rPr>
        <w:t>On behalf of the Minister for Immigration, Citizenship, Migrant Services and Multicultural Affairs</w:t>
      </w:r>
    </w:p>
    <w:p w14:paraId="41C51C95" w14:textId="77777777" w:rsidR="007A079D" w:rsidRPr="00912B0B" w:rsidRDefault="007A079D" w:rsidP="007A079D">
      <w:pPr>
        <w:spacing w:line="276" w:lineRule="auto"/>
        <w:ind w:left="-23"/>
      </w:pPr>
    </w:p>
    <w:p w14:paraId="6B2F5072" w14:textId="71D658CE" w:rsidR="008D0F4D" w:rsidRPr="007A079D" w:rsidRDefault="008D0F4D" w:rsidP="007A079D">
      <w:pPr>
        <w:spacing w:after="240" w:line="360" w:lineRule="auto"/>
        <w:rPr>
          <w:sz w:val="22"/>
          <w:szCs w:val="22"/>
        </w:rPr>
      </w:pPr>
    </w:p>
    <w:sectPr w:rsidR="008D0F4D" w:rsidRPr="007A079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4F8B1" w14:textId="77777777" w:rsidR="007E4EF0" w:rsidRDefault="007E4EF0" w:rsidP="007E4EF0">
      <w:r>
        <w:separator/>
      </w:r>
    </w:p>
  </w:endnote>
  <w:endnote w:type="continuationSeparator" w:id="0">
    <w:p w14:paraId="476DA468" w14:textId="77777777" w:rsidR="007E4EF0" w:rsidRDefault="007E4EF0" w:rsidP="007E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E0B4" w14:textId="77777777" w:rsidR="007E4EF0" w:rsidRPr="007E4EF0" w:rsidRDefault="007E4EF0" w:rsidP="007E4EF0">
    <w:pPr>
      <w:pStyle w:val="Footer"/>
      <w:jc w:val="center"/>
      <w:rPr>
        <w:sz w:val="18"/>
        <w:szCs w:val="18"/>
      </w:rPr>
    </w:pPr>
    <w:r w:rsidRPr="007E4EF0">
      <w:rPr>
        <w:sz w:val="18"/>
        <w:szCs w:val="18"/>
      </w:rPr>
      <w:t xml:space="preserve">Explanatory Statement to the </w:t>
    </w:r>
    <w:r w:rsidRPr="007E4EF0">
      <w:rPr>
        <w:i/>
        <w:sz w:val="18"/>
        <w:szCs w:val="18"/>
      </w:rPr>
      <w:t>Migration Legislation Amendment (Health Workforce Certificates Measures No. 2) Instrument (LIN 20/274) 2020</w:t>
    </w:r>
  </w:p>
  <w:p w14:paraId="02622153" w14:textId="77777777" w:rsidR="007E4EF0" w:rsidRDefault="007E4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A5EE" w14:textId="4BEEF067" w:rsidR="007A079D" w:rsidRPr="007E4EF0" w:rsidRDefault="007A079D" w:rsidP="007E4EF0">
    <w:pPr>
      <w:pStyle w:val="Footer"/>
      <w:jc w:val="center"/>
      <w:rPr>
        <w:sz w:val="18"/>
        <w:szCs w:val="18"/>
      </w:rPr>
    </w:pPr>
    <w:r w:rsidRPr="007E4EF0">
      <w:rPr>
        <w:sz w:val="18"/>
        <w:szCs w:val="18"/>
      </w:rPr>
      <w:t>Statement</w:t>
    </w:r>
    <w:r>
      <w:rPr>
        <w:sz w:val="18"/>
        <w:szCs w:val="18"/>
      </w:rPr>
      <w:t xml:space="preserve"> of Compatibility</w:t>
    </w:r>
    <w:r w:rsidRPr="007E4EF0">
      <w:rPr>
        <w:sz w:val="18"/>
        <w:szCs w:val="18"/>
      </w:rPr>
      <w:t xml:space="preserve"> to the </w:t>
    </w:r>
    <w:r w:rsidRPr="007E4EF0">
      <w:rPr>
        <w:i/>
        <w:sz w:val="18"/>
        <w:szCs w:val="18"/>
      </w:rPr>
      <w:t>Migration Legislation Amendment (Health Workforce Certificates Measures No. 2) Instrument (LIN 20/274) 2020</w:t>
    </w:r>
  </w:p>
  <w:p w14:paraId="6C649285" w14:textId="77777777" w:rsidR="007A079D" w:rsidRDefault="007A0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515AE" w14:textId="77777777" w:rsidR="007E4EF0" w:rsidRDefault="007E4EF0" w:rsidP="007E4EF0">
      <w:r>
        <w:separator/>
      </w:r>
    </w:p>
  </w:footnote>
  <w:footnote w:type="continuationSeparator" w:id="0">
    <w:p w14:paraId="247587DD" w14:textId="77777777" w:rsidR="007E4EF0" w:rsidRDefault="007E4EF0" w:rsidP="007E4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25D6"/>
    <w:multiLevelType w:val="hybridMultilevel"/>
    <w:tmpl w:val="D2DA978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 w15:restartNumberingAfterBreak="0">
    <w:nsid w:val="175B3044"/>
    <w:multiLevelType w:val="hybridMultilevel"/>
    <w:tmpl w:val="099AC7A2"/>
    <w:lvl w:ilvl="0" w:tplc="439AE9B4">
      <w:start w:val="1"/>
      <w:numFmt w:val="decimal"/>
      <w:lvlText w:val="%1."/>
      <w:lvlJc w:val="left"/>
      <w:pPr>
        <w:ind w:left="720" w:hanging="360"/>
      </w:pPr>
      <w:rPr>
        <w:b w:val="0"/>
        <w:i w:val="0"/>
      </w:rPr>
    </w:lvl>
    <w:lvl w:ilvl="1" w:tplc="04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BE60A0"/>
    <w:multiLevelType w:val="hybridMultilevel"/>
    <w:tmpl w:val="5DB8C2D0"/>
    <w:lvl w:ilvl="0" w:tplc="0C090015">
      <w:start w:val="1"/>
      <w:numFmt w:val="upperLetter"/>
      <w:lvlText w:val="%1."/>
      <w:lvlJc w:val="left"/>
      <w:pPr>
        <w:ind w:left="2421" w:hanging="360"/>
      </w:pPr>
      <w:rPr>
        <w:rFont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 w15:restartNumberingAfterBreak="0">
    <w:nsid w:val="57180AE0"/>
    <w:multiLevelType w:val="hybridMultilevel"/>
    <w:tmpl w:val="2CB6A4D4"/>
    <w:lvl w:ilvl="0" w:tplc="4346623C">
      <w:start w:val="1"/>
      <w:numFmt w:val="decimal"/>
      <w:lvlText w:val="%1."/>
      <w:lvlJc w:val="left"/>
      <w:pPr>
        <w:ind w:left="337" w:hanging="360"/>
      </w:pPr>
      <w:rPr>
        <w:rFonts w:hint="default"/>
      </w:rPr>
    </w:lvl>
    <w:lvl w:ilvl="1" w:tplc="0C090019" w:tentative="1">
      <w:start w:val="1"/>
      <w:numFmt w:val="lowerLetter"/>
      <w:lvlText w:val="%2."/>
      <w:lvlJc w:val="left"/>
      <w:pPr>
        <w:ind w:left="1057" w:hanging="360"/>
      </w:pPr>
    </w:lvl>
    <w:lvl w:ilvl="2" w:tplc="0C09001B" w:tentative="1">
      <w:start w:val="1"/>
      <w:numFmt w:val="lowerRoman"/>
      <w:lvlText w:val="%3."/>
      <w:lvlJc w:val="right"/>
      <w:pPr>
        <w:ind w:left="1777" w:hanging="180"/>
      </w:pPr>
    </w:lvl>
    <w:lvl w:ilvl="3" w:tplc="0C09000F" w:tentative="1">
      <w:start w:val="1"/>
      <w:numFmt w:val="decimal"/>
      <w:lvlText w:val="%4."/>
      <w:lvlJc w:val="left"/>
      <w:pPr>
        <w:ind w:left="2497" w:hanging="360"/>
      </w:pPr>
    </w:lvl>
    <w:lvl w:ilvl="4" w:tplc="0C090019" w:tentative="1">
      <w:start w:val="1"/>
      <w:numFmt w:val="lowerLetter"/>
      <w:lvlText w:val="%5."/>
      <w:lvlJc w:val="left"/>
      <w:pPr>
        <w:ind w:left="3217" w:hanging="360"/>
      </w:pPr>
    </w:lvl>
    <w:lvl w:ilvl="5" w:tplc="0C09001B" w:tentative="1">
      <w:start w:val="1"/>
      <w:numFmt w:val="lowerRoman"/>
      <w:lvlText w:val="%6."/>
      <w:lvlJc w:val="right"/>
      <w:pPr>
        <w:ind w:left="3937" w:hanging="180"/>
      </w:pPr>
    </w:lvl>
    <w:lvl w:ilvl="6" w:tplc="0C09000F" w:tentative="1">
      <w:start w:val="1"/>
      <w:numFmt w:val="decimal"/>
      <w:lvlText w:val="%7."/>
      <w:lvlJc w:val="left"/>
      <w:pPr>
        <w:ind w:left="4657" w:hanging="360"/>
      </w:pPr>
    </w:lvl>
    <w:lvl w:ilvl="7" w:tplc="0C090019" w:tentative="1">
      <w:start w:val="1"/>
      <w:numFmt w:val="lowerLetter"/>
      <w:lvlText w:val="%8."/>
      <w:lvlJc w:val="left"/>
      <w:pPr>
        <w:ind w:left="5377" w:hanging="360"/>
      </w:pPr>
    </w:lvl>
    <w:lvl w:ilvl="8" w:tplc="0C09001B" w:tentative="1">
      <w:start w:val="1"/>
      <w:numFmt w:val="lowerRoman"/>
      <w:lvlText w:val="%9."/>
      <w:lvlJc w:val="right"/>
      <w:pPr>
        <w:ind w:left="6097" w:hanging="180"/>
      </w:pPr>
    </w:lvl>
  </w:abstractNum>
  <w:abstractNum w:abstractNumId="4" w15:restartNumberingAfterBreak="0">
    <w:nsid w:val="705B29A6"/>
    <w:multiLevelType w:val="hybridMultilevel"/>
    <w:tmpl w:val="303CC9CE"/>
    <w:lvl w:ilvl="0" w:tplc="A226F650">
      <w:start w:val="1"/>
      <w:numFmt w:val="decimal"/>
      <w:lvlText w:val="%1."/>
      <w:lvlJc w:val="left"/>
      <w:pPr>
        <w:ind w:left="337" w:hanging="360"/>
      </w:pPr>
      <w:rPr>
        <w:rFonts w:hint="default"/>
      </w:rPr>
    </w:lvl>
    <w:lvl w:ilvl="1" w:tplc="0C090019">
      <w:start w:val="1"/>
      <w:numFmt w:val="lowerLetter"/>
      <w:lvlText w:val="%2."/>
      <w:lvlJc w:val="left"/>
      <w:pPr>
        <w:ind w:left="1057" w:hanging="360"/>
      </w:pPr>
    </w:lvl>
    <w:lvl w:ilvl="2" w:tplc="0C09001B">
      <w:start w:val="1"/>
      <w:numFmt w:val="lowerRoman"/>
      <w:lvlText w:val="%3."/>
      <w:lvlJc w:val="right"/>
      <w:pPr>
        <w:ind w:left="1777" w:hanging="180"/>
      </w:pPr>
    </w:lvl>
    <w:lvl w:ilvl="3" w:tplc="0C09000F">
      <w:start w:val="1"/>
      <w:numFmt w:val="decimal"/>
      <w:lvlText w:val="%4."/>
      <w:lvlJc w:val="left"/>
      <w:pPr>
        <w:ind w:left="2497" w:hanging="360"/>
      </w:pPr>
    </w:lvl>
    <w:lvl w:ilvl="4" w:tplc="0C090019" w:tentative="1">
      <w:start w:val="1"/>
      <w:numFmt w:val="lowerLetter"/>
      <w:lvlText w:val="%5."/>
      <w:lvlJc w:val="left"/>
      <w:pPr>
        <w:ind w:left="3217" w:hanging="360"/>
      </w:pPr>
    </w:lvl>
    <w:lvl w:ilvl="5" w:tplc="0C09001B" w:tentative="1">
      <w:start w:val="1"/>
      <w:numFmt w:val="lowerRoman"/>
      <w:lvlText w:val="%6."/>
      <w:lvlJc w:val="right"/>
      <w:pPr>
        <w:ind w:left="3937" w:hanging="180"/>
      </w:pPr>
    </w:lvl>
    <w:lvl w:ilvl="6" w:tplc="0C09000F" w:tentative="1">
      <w:start w:val="1"/>
      <w:numFmt w:val="decimal"/>
      <w:lvlText w:val="%7."/>
      <w:lvlJc w:val="left"/>
      <w:pPr>
        <w:ind w:left="4657" w:hanging="360"/>
      </w:pPr>
    </w:lvl>
    <w:lvl w:ilvl="7" w:tplc="0C090019" w:tentative="1">
      <w:start w:val="1"/>
      <w:numFmt w:val="lowerLetter"/>
      <w:lvlText w:val="%8."/>
      <w:lvlJc w:val="left"/>
      <w:pPr>
        <w:ind w:left="5377" w:hanging="360"/>
      </w:pPr>
    </w:lvl>
    <w:lvl w:ilvl="8" w:tplc="0C09001B" w:tentative="1">
      <w:start w:val="1"/>
      <w:numFmt w:val="lowerRoman"/>
      <w:lvlText w:val="%9."/>
      <w:lvlJc w:val="right"/>
      <w:pPr>
        <w:ind w:left="6097"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A7"/>
    <w:rsid w:val="00090ADB"/>
    <w:rsid w:val="00092D55"/>
    <w:rsid w:val="00092DEE"/>
    <w:rsid w:val="00123C1D"/>
    <w:rsid w:val="00131004"/>
    <w:rsid w:val="00235CAF"/>
    <w:rsid w:val="0028699B"/>
    <w:rsid w:val="002B5C20"/>
    <w:rsid w:val="00304C1C"/>
    <w:rsid w:val="00315060"/>
    <w:rsid w:val="00345183"/>
    <w:rsid w:val="003822E0"/>
    <w:rsid w:val="003957BE"/>
    <w:rsid w:val="00422E01"/>
    <w:rsid w:val="0046758E"/>
    <w:rsid w:val="00496CAE"/>
    <w:rsid w:val="004E1F11"/>
    <w:rsid w:val="0051627B"/>
    <w:rsid w:val="005618FE"/>
    <w:rsid w:val="00594110"/>
    <w:rsid w:val="006504E6"/>
    <w:rsid w:val="00654BDD"/>
    <w:rsid w:val="00667CC1"/>
    <w:rsid w:val="006C5A29"/>
    <w:rsid w:val="00703FE1"/>
    <w:rsid w:val="007110EF"/>
    <w:rsid w:val="00726C11"/>
    <w:rsid w:val="007275D9"/>
    <w:rsid w:val="00742445"/>
    <w:rsid w:val="00742935"/>
    <w:rsid w:val="00753161"/>
    <w:rsid w:val="007A079D"/>
    <w:rsid w:val="007E4EF0"/>
    <w:rsid w:val="00855AFF"/>
    <w:rsid w:val="008D0F4D"/>
    <w:rsid w:val="00907060"/>
    <w:rsid w:val="009319C3"/>
    <w:rsid w:val="00945A98"/>
    <w:rsid w:val="00957212"/>
    <w:rsid w:val="00970E09"/>
    <w:rsid w:val="00A0367B"/>
    <w:rsid w:val="00A8353F"/>
    <w:rsid w:val="00AA17F8"/>
    <w:rsid w:val="00AF4BB8"/>
    <w:rsid w:val="00B41887"/>
    <w:rsid w:val="00B6057C"/>
    <w:rsid w:val="00B73479"/>
    <w:rsid w:val="00BB6947"/>
    <w:rsid w:val="00BE186E"/>
    <w:rsid w:val="00C4474B"/>
    <w:rsid w:val="00CB26F6"/>
    <w:rsid w:val="00CC2FE5"/>
    <w:rsid w:val="00D46AA7"/>
    <w:rsid w:val="00DA3351"/>
    <w:rsid w:val="00DC720D"/>
    <w:rsid w:val="00E009DA"/>
    <w:rsid w:val="00E2613F"/>
    <w:rsid w:val="00E9299B"/>
    <w:rsid w:val="00EA7DE7"/>
    <w:rsid w:val="00EC5906"/>
    <w:rsid w:val="00F0743E"/>
    <w:rsid w:val="00F97146"/>
    <w:rsid w:val="00FD3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05AB"/>
  <w15:chartTrackingRefBased/>
  <w15:docId w15:val="{AA712DE6-4151-4F54-A483-4C9ECE74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A7"/>
    <w:pPr>
      <w:spacing w:after="0" w:line="240" w:lineRule="auto"/>
    </w:pPr>
    <w:rPr>
      <w:rFonts w:ascii="Times New Roman" w:eastAsia="Times New Roman" w:hAnsi="Times New Roman" w:cs="Times New Roman"/>
      <w:sz w:val="20"/>
      <w:szCs w:val="20"/>
      <w:lang w:eastAsia="en-AU"/>
    </w:rPr>
  </w:style>
  <w:style w:type="paragraph" w:styleId="Heading1">
    <w:name w:val="heading 1"/>
    <w:aliases w:val="Heading 1 Cab"/>
    <w:basedOn w:val="Normal"/>
    <w:next w:val="Normal"/>
    <w:link w:val="Heading1Char"/>
    <w:uiPriority w:val="4"/>
    <w:qFormat/>
    <w:rsid w:val="00D46AA7"/>
    <w:pPr>
      <w:keepNext/>
      <w:jc w:val="center"/>
      <w:outlineLvl w:val="0"/>
    </w:pPr>
    <w:rPr>
      <w:b/>
      <w:sz w:val="24"/>
      <w:u w:val="single"/>
    </w:rPr>
  </w:style>
  <w:style w:type="paragraph" w:styleId="Heading2">
    <w:name w:val="heading 2"/>
    <w:basedOn w:val="Normal"/>
    <w:next w:val="Normal"/>
    <w:link w:val="Heading2Char"/>
    <w:qFormat/>
    <w:rsid w:val="00D46AA7"/>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4"/>
    <w:rsid w:val="00D46AA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rsid w:val="00D46AA7"/>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List Bullet Cab,CAB - List Bullet,Bullet Point,Bullet point,Bulletr List Paragraph,Content descriptions,FooterText,L,List Bullet 1,List Paragraph2,List Paragraph21,Listeafsnit1,リスト段落"/>
    <w:basedOn w:val="Normal"/>
    <w:link w:val="ListParagraphChar"/>
    <w:uiPriority w:val="34"/>
    <w:qFormat/>
    <w:rsid w:val="00D46AA7"/>
    <w:pPr>
      <w:ind w:left="720"/>
      <w:contextualSpacing/>
    </w:pPr>
  </w:style>
  <w:style w:type="paragraph" w:customStyle="1" w:styleId="CharChar">
    <w:name w:val="Char Char"/>
    <w:basedOn w:val="Normal"/>
    <w:rsid w:val="00D46AA7"/>
    <w:pPr>
      <w:spacing w:before="120" w:after="120"/>
    </w:pPr>
    <w:rPr>
      <w:rFonts w:ascii="Arial" w:hAnsi="Arial"/>
      <w:sz w:val="22"/>
      <w:lang w:eastAsia="en-US"/>
    </w:rPr>
  </w:style>
  <w:style w:type="character" w:styleId="CommentReference">
    <w:name w:val="annotation reference"/>
    <w:basedOn w:val="DefaultParagraphFont"/>
    <w:uiPriority w:val="99"/>
    <w:unhideWhenUsed/>
    <w:rsid w:val="008D0F4D"/>
    <w:rPr>
      <w:sz w:val="16"/>
      <w:szCs w:val="16"/>
    </w:rPr>
  </w:style>
  <w:style w:type="paragraph" w:styleId="CommentText">
    <w:name w:val="annotation text"/>
    <w:basedOn w:val="Normal"/>
    <w:link w:val="CommentTextChar"/>
    <w:uiPriority w:val="99"/>
    <w:unhideWhenUsed/>
    <w:rsid w:val="008D0F4D"/>
  </w:style>
  <w:style w:type="character" w:customStyle="1" w:styleId="CommentTextChar">
    <w:name w:val="Comment Text Char"/>
    <w:basedOn w:val="DefaultParagraphFont"/>
    <w:link w:val="CommentText"/>
    <w:uiPriority w:val="99"/>
    <w:rsid w:val="008D0F4D"/>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D0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F4D"/>
    <w:rPr>
      <w:rFonts w:ascii="Segoe UI" w:eastAsia="Times New Roman" w:hAnsi="Segoe UI" w:cs="Segoe UI"/>
      <w:sz w:val="18"/>
      <w:szCs w:val="18"/>
      <w:lang w:eastAsia="en-AU"/>
    </w:rPr>
  </w:style>
  <w:style w:type="character" w:customStyle="1" w:styleId="ListParagraphChar">
    <w:name w:val="List Paragraph Char"/>
    <w:aliases w:val="List Paragraph1 Char,Recommendation Char,List Paragraph11 Char,List Bullet Cab Char,CAB - List Bullet Char,Bullet Point Char,Bullet point Char,Bulletr List Paragraph Char,Content descriptions Char,FooterText Char,L Char,リスト段落 Char"/>
    <w:basedOn w:val="DefaultParagraphFont"/>
    <w:link w:val="ListParagraph"/>
    <w:uiPriority w:val="34"/>
    <w:locked/>
    <w:rsid w:val="008D0F4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E4EF0"/>
    <w:rPr>
      <w:b/>
      <w:bCs/>
    </w:rPr>
  </w:style>
  <w:style w:type="character" w:customStyle="1" w:styleId="CommentSubjectChar">
    <w:name w:val="Comment Subject Char"/>
    <w:basedOn w:val="CommentTextChar"/>
    <w:link w:val="CommentSubject"/>
    <w:uiPriority w:val="99"/>
    <w:semiHidden/>
    <w:rsid w:val="007E4EF0"/>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7E4EF0"/>
    <w:pPr>
      <w:tabs>
        <w:tab w:val="center" w:pos="4513"/>
        <w:tab w:val="right" w:pos="9026"/>
      </w:tabs>
    </w:pPr>
  </w:style>
  <w:style w:type="character" w:customStyle="1" w:styleId="HeaderChar">
    <w:name w:val="Header Char"/>
    <w:basedOn w:val="DefaultParagraphFont"/>
    <w:link w:val="Header"/>
    <w:uiPriority w:val="99"/>
    <w:rsid w:val="007E4EF0"/>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7E4EF0"/>
    <w:pPr>
      <w:tabs>
        <w:tab w:val="center" w:pos="4513"/>
        <w:tab w:val="right" w:pos="9026"/>
      </w:tabs>
    </w:pPr>
  </w:style>
  <w:style w:type="character" w:customStyle="1" w:styleId="FooterChar">
    <w:name w:val="Footer Char"/>
    <w:basedOn w:val="DefaultParagraphFont"/>
    <w:link w:val="Footer"/>
    <w:uiPriority w:val="99"/>
    <w:rsid w:val="007E4EF0"/>
    <w:rPr>
      <w:rFonts w:ascii="Times New Roman" w:eastAsia="Times New Roman" w:hAnsi="Times New Roman" w:cs="Times New Roman"/>
      <w:sz w:val="20"/>
      <w:szCs w:val="20"/>
      <w:lang w:eastAsia="en-AU"/>
    </w:rPr>
  </w:style>
  <w:style w:type="paragraph" w:styleId="Revision">
    <w:name w:val="Revision"/>
    <w:hidden/>
    <w:uiPriority w:val="99"/>
    <w:semiHidden/>
    <w:rsid w:val="00123C1D"/>
    <w:pPr>
      <w:spacing w:after="0" w:line="240" w:lineRule="auto"/>
    </w:pPr>
    <w:rPr>
      <w:rFonts w:ascii="Times New Roman" w:eastAsia="Times New Roman" w:hAnsi="Times New Roman" w:cs="Times New Roman"/>
      <w:sz w:val="20"/>
      <w:szCs w:val="20"/>
      <w:lang w:eastAsia="en-AU"/>
    </w:rPr>
  </w:style>
  <w:style w:type="paragraph" w:customStyle="1" w:styleId="ShortT">
    <w:name w:val="ShortT"/>
    <w:basedOn w:val="Normal"/>
    <w:next w:val="Normal"/>
    <w:qFormat/>
    <w:rsid w:val="007A079D"/>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8BB2-C356-4C98-9DA8-8A01DB6B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 NGUYEN</dc:creator>
  <cp:keywords/>
  <dc:description/>
  <cp:lastModifiedBy>Jayde KOMINIARSKI</cp:lastModifiedBy>
  <cp:revision>4</cp:revision>
  <cp:lastPrinted>2020-11-13T05:17:00Z</cp:lastPrinted>
  <dcterms:created xsi:type="dcterms:W3CDTF">2020-11-13T05:08:00Z</dcterms:created>
  <dcterms:modified xsi:type="dcterms:W3CDTF">2020-11-13T05:17:00Z</dcterms:modified>
</cp:coreProperties>
</file>