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329" w14:textId="550F250B" w:rsidR="009A6866" w:rsidRPr="009A6866" w:rsidRDefault="009A6866" w:rsidP="009A6866">
      <w:pPr>
        <w:pStyle w:val="Heading6"/>
      </w:pPr>
      <w:r>
        <w:t>Defence Determination, Conditions of service (</w:t>
      </w:r>
      <w:r w:rsidR="00DE652C">
        <w:t>Reserve allowances</w:t>
      </w:r>
      <w:r w:rsidR="152C2DFA">
        <w:t xml:space="preserve"> – transitional provision</w:t>
      </w:r>
      <w:r w:rsidR="00557413">
        <w:t>) Determination 2020</w:t>
      </w:r>
      <w:r>
        <w:t xml:space="preserve"> (No. </w:t>
      </w:r>
      <w:r w:rsidR="3BAB2540">
        <w:t>27</w:t>
      </w:r>
      <w:r>
        <w:t>)</w:t>
      </w:r>
    </w:p>
    <w:p w14:paraId="383649D3" w14:textId="369054F0" w:rsidR="001E51FE" w:rsidRDefault="001E51FE" w:rsidP="00EC45EE">
      <w:pPr>
        <w:pStyle w:val="Sectiontext"/>
        <w:tabs>
          <w:tab w:val="left" w:pos="7380"/>
        </w:tabs>
      </w:pPr>
      <w:r w:rsidRPr="000D4FC9">
        <w:t xml:space="preserve">This Determination </w:t>
      </w:r>
      <w:r w:rsidR="00B87CF0">
        <w:t>is</w:t>
      </w:r>
      <w:r w:rsidRPr="000D4FC9">
        <w:t xml:space="preserve"> made under section 58B of the </w:t>
      </w:r>
      <w:r w:rsidRPr="00D84477">
        <w:rPr>
          <w:i/>
        </w:rPr>
        <w:t>Defence Act 1903</w:t>
      </w:r>
      <w:r w:rsidR="00FA083A">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249698CB"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6AB66849" w14:textId="380AF925" w:rsidR="001E51FE" w:rsidRPr="00A575F1" w:rsidRDefault="001E51FE" w:rsidP="007952E9">
      <w:pPr>
        <w:pStyle w:val="Sectiontext"/>
        <w:rPr>
          <w:snapToGrid w:val="0"/>
        </w:rPr>
      </w:pPr>
      <w:r w:rsidRPr="00A575F1">
        <w:rPr>
          <w:snapToGrid w:val="0"/>
        </w:rPr>
        <w:t>The purpos</w:t>
      </w:r>
      <w:r w:rsidR="00DE652C">
        <w:rPr>
          <w:snapToGrid w:val="0"/>
        </w:rPr>
        <w:t xml:space="preserve">e of this Determination is to provide revised transitional provisions for changes made to reserve allowances under Schedule 2 of </w:t>
      </w:r>
      <w:r w:rsidR="00DE652C">
        <w:rPr>
          <w:rFonts w:cs="Arial"/>
          <w:lang w:eastAsia="en-US"/>
        </w:rPr>
        <w:t>Defence Determination, Conditions of service Amendment Determination 2020 (No. 13) (Determination</w:t>
      </w:r>
      <w:r w:rsidR="002303DE">
        <w:rPr>
          <w:rFonts w:cs="Arial"/>
          <w:lang w:eastAsia="en-US"/>
        </w:rPr>
        <w:t xml:space="preserve"> 2020 (No. 13)</w:t>
      </w:r>
      <w:r w:rsidR="00DE652C">
        <w:rPr>
          <w:rFonts w:cs="Arial"/>
          <w:lang w:eastAsia="en-US"/>
        </w:rPr>
        <w:t>).</w:t>
      </w:r>
      <w:r w:rsidR="00DE652C">
        <w:rPr>
          <w:snapToGrid w:val="0"/>
        </w:rPr>
        <w:t xml:space="preserve"> Transitional provisions were made under Schedule 8 of Determination</w:t>
      </w:r>
      <w:r w:rsidR="002303DE">
        <w:rPr>
          <w:snapToGrid w:val="0"/>
        </w:rPr>
        <w:t xml:space="preserve"> 2020 (No. 13)</w:t>
      </w:r>
      <w:r w:rsidR="00DE652C">
        <w:rPr>
          <w:snapToGrid w:val="0"/>
        </w:rPr>
        <w:t xml:space="preserve">, however they referenced changes made under Schedule 1 instead of Schedule 2 of </w:t>
      </w:r>
      <w:r w:rsidR="002303DE">
        <w:rPr>
          <w:snapToGrid w:val="0"/>
        </w:rPr>
        <w:t>Determination 2020 (No. 13)</w:t>
      </w:r>
      <w:r w:rsidR="00DE652C">
        <w:rPr>
          <w:snapToGrid w:val="0"/>
        </w:rPr>
        <w:t xml:space="preserve">. This </w:t>
      </w:r>
      <w:r w:rsidR="00B87CF0">
        <w:rPr>
          <w:snapToGrid w:val="0"/>
        </w:rPr>
        <w:t xml:space="preserve">error in the schedule reference meant that the </w:t>
      </w:r>
      <w:r w:rsidR="00B17FD6">
        <w:rPr>
          <w:snapToGrid w:val="0"/>
        </w:rPr>
        <w:t xml:space="preserve">criteria provided in the </w:t>
      </w:r>
      <w:r w:rsidR="00B87CF0">
        <w:rPr>
          <w:snapToGrid w:val="0"/>
        </w:rPr>
        <w:t>transitional provisions</w:t>
      </w:r>
      <w:r w:rsidR="00B17FD6">
        <w:rPr>
          <w:snapToGrid w:val="0"/>
        </w:rPr>
        <w:t xml:space="preserve"> could not be met so they did not provide any benefit.</w:t>
      </w:r>
      <w:r w:rsidR="00B87CF0">
        <w:rPr>
          <w:snapToGrid w:val="0"/>
        </w:rPr>
        <w:t xml:space="preserve"> The transitional provisions provided under this Determination </w:t>
      </w:r>
      <w:r w:rsidR="002303DE">
        <w:rPr>
          <w:snapToGrid w:val="0"/>
        </w:rPr>
        <w:t>ensure</w:t>
      </w:r>
      <w:r w:rsidR="00AA75AE">
        <w:rPr>
          <w:snapToGrid w:val="0"/>
        </w:rPr>
        <w:t>s</w:t>
      </w:r>
      <w:r w:rsidR="002303DE">
        <w:rPr>
          <w:snapToGrid w:val="0"/>
        </w:rPr>
        <w:t xml:space="preserve"> that the </w:t>
      </w:r>
      <w:r w:rsidR="00B17FD6">
        <w:rPr>
          <w:snapToGrid w:val="0"/>
        </w:rPr>
        <w:t>criteria can be met and that the benefits are able to be provided to the member</w:t>
      </w:r>
      <w:r w:rsidR="002303DE">
        <w:rPr>
          <w:snapToGrid w:val="0"/>
        </w:rPr>
        <w:t xml:space="preserve">. </w:t>
      </w:r>
      <w:r w:rsidR="00DE652C">
        <w:rPr>
          <w:snapToGrid w:val="0"/>
        </w:rPr>
        <w:t xml:space="preserve"> </w:t>
      </w:r>
    </w:p>
    <w:p w14:paraId="72CBBB6B" w14:textId="77777777" w:rsidR="001E51FE" w:rsidRDefault="001E51FE" w:rsidP="001E51FE">
      <w:pPr>
        <w:pStyle w:val="Sectiontext"/>
        <w:rPr>
          <w:snapToGrid w:val="0"/>
        </w:rPr>
      </w:pPr>
      <w:r>
        <w:rPr>
          <w:snapToGrid w:val="0"/>
        </w:rPr>
        <w:t>Section 1 of this Determination sets out the manner in which this Determination may be cited.</w:t>
      </w:r>
    </w:p>
    <w:p w14:paraId="0CE1DE3A" w14:textId="3FFD92D1" w:rsidR="001E51FE" w:rsidRDefault="001E51FE" w:rsidP="001E51FE">
      <w:pPr>
        <w:pStyle w:val="Sectiontext"/>
      </w:pPr>
      <w:r>
        <w:t xml:space="preserve">Section 2 provides that this instrument commences on </w:t>
      </w:r>
      <w:r w:rsidR="00DE652C" w:rsidRPr="00DE652C">
        <w:t>the day after registration</w:t>
      </w:r>
      <w:r w:rsidRPr="008C4CC5">
        <w:t>.</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522AD3C0" w14:textId="552B6823"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B87CF0">
        <w:rPr>
          <w:i/>
          <w:snapToGrid w:val="0"/>
          <w:u w:val="single"/>
        </w:rPr>
        <w:t>Transitional provisions – Reserve allowances</w:t>
      </w:r>
    </w:p>
    <w:p w14:paraId="62ADCAE4" w14:textId="5B3AE5A1" w:rsidR="00DE652C" w:rsidRDefault="00DE652C" w:rsidP="00DE652C">
      <w:pPr>
        <w:pStyle w:val="Sectiontext"/>
        <w:rPr>
          <w:rFonts w:cs="Arial"/>
          <w:color w:val="000000"/>
        </w:rPr>
      </w:pPr>
      <w:r>
        <w:rPr>
          <w:rFonts w:cs="Arial"/>
          <w:iCs/>
          <w:snapToGrid w:val="0"/>
        </w:rPr>
        <w:t>Section 1 provides a definition of ‘the Determination’, being</w:t>
      </w:r>
      <w:r>
        <w:rPr>
          <w:rFonts w:cs="Arial"/>
          <w:color w:val="000000"/>
        </w:rPr>
        <w:t xml:space="preserve"> Defence Determination 2016/19, Conditions of service, which is incorporated into this Schedule as in force from time to time.</w:t>
      </w:r>
      <w:r w:rsidR="002303DE">
        <w:rPr>
          <w:rFonts w:cs="Arial"/>
          <w:color w:val="000000"/>
        </w:rPr>
        <w:t xml:space="preserve"> It also provides a definition of 'Determination 2020 (No. 13)', being Defence Determination, Conditions of service Amendment Determination 2020 (No. 13).</w:t>
      </w:r>
    </w:p>
    <w:p w14:paraId="404D80E4" w14:textId="06F28BC3" w:rsidR="00DE652C" w:rsidRDefault="00DE652C" w:rsidP="00DE652C">
      <w:pPr>
        <w:pStyle w:val="Sectiontext"/>
        <w:rPr>
          <w:rFonts w:cs="Arial"/>
          <w:color w:val="000000"/>
        </w:rPr>
      </w:pPr>
      <w:r>
        <w:rPr>
          <w:rFonts w:cs="Arial"/>
          <w:color w:val="000000"/>
        </w:rPr>
        <w:t xml:space="preserve">Section 2 affects a member who becomes eligible for the Reserve capability bonus as a consequence of schedule 2 of </w:t>
      </w:r>
      <w:r w:rsidR="002303DE">
        <w:rPr>
          <w:snapToGrid w:val="0"/>
        </w:rPr>
        <w:t>Determination 2020 (No. 13)</w:t>
      </w:r>
      <w:r>
        <w:rPr>
          <w:rFonts w:cs="Arial"/>
          <w:color w:val="000000"/>
        </w:rPr>
        <w:t xml:space="preserve">. Normally, the Reserve Capability bonus is paid based on 12 months’ service from date of the pervious payment. This section sets the start date for their next 12 month period as the day on which the member would have become eligible for the payment had schedule 2 of </w:t>
      </w:r>
      <w:r>
        <w:rPr>
          <w:rFonts w:cs="Arial"/>
          <w:lang w:eastAsia="en-US"/>
        </w:rPr>
        <w:t>Determination 2020 (No. 13)</w:t>
      </w:r>
      <w:r>
        <w:rPr>
          <w:rFonts w:cs="Arial"/>
          <w:color w:val="000000"/>
        </w:rPr>
        <w:t xml:space="preserve"> been in force at the time. This ensure</w:t>
      </w:r>
      <w:r w:rsidR="00AA75AE">
        <w:rPr>
          <w:rFonts w:cs="Arial"/>
          <w:color w:val="000000"/>
        </w:rPr>
        <w:t>s</w:t>
      </w:r>
      <w:r>
        <w:rPr>
          <w:rFonts w:cs="Arial"/>
          <w:color w:val="000000"/>
        </w:rPr>
        <w:t xml:space="preserve"> the member is not being detrimentally affected by the amendment in respect of the payment of their next Reserve capability bonus.</w:t>
      </w:r>
    </w:p>
    <w:p w14:paraId="78569287" w14:textId="5F6C8A8E" w:rsidR="00DE652C" w:rsidRDefault="00DE652C" w:rsidP="00DE652C">
      <w:pPr>
        <w:pStyle w:val="Sectiontext"/>
        <w:rPr>
          <w:rFonts w:cs="Arial"/>
          <w:lang w:eastAsia="en-US"/>
        </w:rPr>
      </w:pPr>
      <w:r>
        <w:rPr>
          <w:rFonts w:cs="Arial"/>
          <w:color w:val="000000"/>
        </w:rPr>
        <w:t>Section 3 make</w:t>
      </w:r>
      <w:r w:rsidR="00AA75AE">
        <w:rPr>
          <w:rFonts w:cs="Arial"/>
          <w:color w:val="000000"/>
        </w:rPr>
        <w:t>s</w:t>
      </w:r>
      <w:r>
        <w:rPr>
          <w:rFonts w:cs="Arial"/>
          <w:color w:val="000000"/>
        </w:rPr>
        <w:t xml:space="preserve"> a payment equivalent to the health support allowance to member who were ineligible for the allowance in the 2019/20 financial year, but would have been eligible had schedule 2 of</w:t>
      </w:r>
      <w:r w:rsidRPr="00DE652C">
        <w:rPr>
          <w:rFonts w:cs="Arial"/>
          <w:lang w:eastAsia="en-US"/>
        </w:rPr>
        <w:t xml:space="preserve"> </w:t>
      </w:r>
      <w:r>
        <w:rPr>
          <w:rFonts w:cs="Arial"/>
          <w:lang w:eastAsia="en-US"/>
        </w:rPr>
        <w:t>Determination 2020 (No. 13)</w:t>
      </w:r>
      <w:r>
        <w:rPr>
          <w:rFonts w:cs="Arial"/>
          <w:color w:val="000000"/>
        </w:rPr>
        <w:t xml:space="preserve"> been in in force that the time. Unlike the Reserve capability bonus, Health support allowance is based on financial years.</w:t>
      </w:r>
      <w:r w:rsidR="00B17FD6">
        <w:rPr>
          <w:rFonts w:cs="Arial"/>
          <w:color w:val="000000"/>
        </w:rPr>
        <w:t xml:space="preserve"> A provision has been included to ensure that any member who received a payment under section 3 of schedule 8 of </w:t>
      </w:r>
      <w:r w:rsidR="00B17FD6">
        <w:rPr>
          <w:rFonts w:cs="Arial"/>
          <w:lang w:eastAsia="en-US"/>
        </w:rPr>
        <w:t>Determination 2020 (No. 13) is not eligible for another payment under this provision.</w:t>
      </w:r>
    </w:p>
    <w:p w14:paraId="42EF37B8" w14:textId="77777777" w:rsidR="007106BB" w:rsidRDefault="007106BB" w:rsidP="007106BB">
      <w:pPr>
        <w:pStyle w:val="Sectiontext"/>
        <w:rPr>
          <w:i/>
          <w:snapToGrid w:val="0"/>
          <w:u w:val="single"/>
        </w:rPr>
      </w:pPr>
      <w:r>
        <w:rPr>
          <w:i/>
          <w:snapToGrid w:val="0"/>
          <w:u w:val="single"/>
        </w:rPr>
        <w:t>Schedule 1</w:t>
      </w:r>
      <w:r>
        <w:rPr>
          <w:rFonts w:cs="Arial"/>
          <w:i/>
          <w:snapToGrid w:val="0"/>
          <w:u w:val="single"/>
        </w:rPr>
        <w:t>—</w:t>
      </w:r>
      <w:r>
        <w:rPr>
          <w:i/>
          <w:snapToGrid w:val="0"/>
          <w:u w:val="single"/>
        </w:rPr>
        <w:t>Transitional provisions – Reserve allowances</w:t>
      </w:r>
    </w:p>
    <w:p w14:paraId="73AC8C21" w14:textId="20851C0C" w:rsidR="1B0BDFBF" w:rsidRPr="00B17FD6" w:rsidRDefault="00B17FD6" w:rsidP="1B0BDFBF">
      <w:pPr>
        <w:spacing w:after="200" w:line="240" w:lineRule="auto"/>
        <w:rPr>
          <w:rFonts w:ascii="Arial" w:eastAsia="Times New Roman" w:hAnsi="Arial" w:cs="Arial"/>
          <w:color w:val="000000"/>
          <w:sz w:val="20"/>
          <w:lang w:eastAsia="en-AU"/>
        </w:rPr>
      </w:pPr>
      <w:r>
        <w:rPr>
          <w:rFonts w:ascii="Arial" w:hAnsi="Arial" w:cs="Arial"/>
          <w:sz w:val="20"/>
        </w:rPr>
        <w:t xml:space="preserve">Section </w:t>
      </w:r>
      <w:r w:rsidR="007106BB">
        <w:rPr>
          <w:rFonts w:ascii="Arial" w:hAnsi="Arial" w:cs="Arial"/>
          <w:sz w:val="20"/>
        </w:rPr>
        <w:t>1</w:t>
      </w:r>
      <w:r>
        <w:rPr>
          <w:rFonts w:ascii="Arial" w:hAnsi="Arial" w:cs="Arial"/>
          <w:sz w:val="20"/>
        </w:rPr>
        <w:t xml:space="preserve"> revokes </w:t>
      </w:r>
      <w:r w:rsidRPr="00B17FD6">
        <w:rPr>
          <w:rFonts w:ascii="Arial" w:eastAsia="Times New Roman" w:hAnsi="Arial" w:cs="Arial"/>
          <w:color w:val="000000"/>
          <w:sz w:val="20"/>
          <w:lang w:eastAsia="en-AU"/>
        </w:rPr>
        <w:t>Defence Determination 2020 (No. 13)</w:t>
      </w:r>
      <w:r>
        <w:rPr>
          <w:rFonts w:ascii="Arial" w:eastAsia="Times New Roman" w:hAnsi="Arial" w:cs="Arial"/>
          <w:color w:val="000000"/>
          <w:sz w:val="20"/>
          <w:lang w:eastAsia="en-AU"/>
        </w:rPr>
        <w:t xml:space="preserve"> as made on 7 July 2020. This revocation ensures that the transitional provisions provided under schedule 8 </w:t>
      </w:r>
      <w:r w:rsidR="00B84EE6">
        <w:rPr>
          <w:rFonts w:ascii="Arial" w:eastAsia="Times New Roman" w:hAnsi="Arial" w:cs="Arial"/>
          <w:color w:val="000000"/>
          <w:sz w:val="20"/>
          <w:lang w:eastAsia="en-AU"/>
        </w:rPr>
        <w:t xml:space="preserve">are not incorrectly applied. Schedules 8 and 9 of </w:t>
      </w:r>
      <w:r w:rsidR="00B84EE6" w:rsidRPr="00B17FD6">
        <w:rPr>
          <w:rFonts w:ascii="Arial" w:eastAsia="Times New Roman" w:hAnsi="Arial" w:cs="Arial"/>
          <w:color w:val="000000"/>
          <w:sz w:val="20"/>
          <w:lang w:eastAsia="en-AU"/>
        </w:rPr>
        <w:t>Defence Determination 2020 (No. 13)</w:t>
      </w:r>
      <w:r w:rsidR="00B84EE6">
        <w:rPr>
          <w:rFonts w:ascii="Arial" w:eastAsia="Times New Roman" w:hAnsi="Arial" w:cs="Arial"/>
          <w:color w:val="000000"/>
          <w:sz w:val="20"/>
          <w:lang w:eastAsia="en-AU"/>
        </w:rPr>
        <w:t xml:space="preserve"> provided transitional provisions which were to be applied on the date of effect of the Determination</w:t>
      </w:r>
      <w:r w:rsidR="00886298">
        <w:rPr>
          <w:rFonts w:ascii="Arial" w:eastAsia="Times New Roman" w:hAnsi="Arial" w:cs="Arial"/>
          <w:color w:val="000000"/>
          <w:sz w:val="20"/>
          <w:lang w:eastAsia="en-AU"/>
        </w:rPr>
        <w:t xml:space="preserve"> and their revocation will have no detrimental effect</w:t>
      </w:r>
      <w:r w:rsidR="00B84EE6">
        <w:rPr>
          <w:rFonts w:ascii="Arial" w:eastAsia="Times New Roman" w:hAnsi="Arial" w:cs="Arial"/>
          <w:color w:val="000000"/>
          <w:sz w:val="20"/>
          <w:lang w:eastAsia="en-AU"/>
        </w:rPr>
        <w:t xml:space="preserve">. </w:t>
      </w:r>
      <w:r w:rsidR="00886298">
        <w:rPr>
          <w:rFonts w:ascii="Arial" w:eastAsia="Times New Roman" w:hAnsi="Arial" w:cs="Arial"/>
          <w:color w:val="000000"/>
          <w:sz w:val="20"/>
          <w:lang w:eastAsia="en-AU"/>
        </w:rPr>
        <w:t xml:space="preserve">The provisions within schedules 1 to 7 of </w:t>
      </w:r>
      <w:r w:rsidR="00886298" w:rsidRPr="00B17FD6">
        <w:rPr>
          <w:rFonts w:ascii="Arial" w:eastAsia="Times New Roman" w:hAnsi="Arial" w:cs="Arial"/>
          <w:color w:val="000000"/>
          <w:sz w:val="20"/>
          <w:lang w:eastAsia="en-AU"/>
        </w:rPr>
        <w:t>Defence Determination 2020 (No. 13)</w:t>
      </w:r>
      <w:r w:rsidR="00886298">
        <w:rPr>
          <w:rFonts w:ascii="Arial" w:eastAsia="Times New Roman" w:hAnsi="Arial" w:cs="Arial"/>
          <w:color w:val="000000"/>
          <w:sz w:val="20"/>
          <w:lang w:eastAsia="en-AU"/>
        </w:rPr>
        <w:t xml:space="preserve"> amended Defence Determination 2016/19, Conditions of service, and commenced on 9 July 2020. As the</w:t>
      </w:r>
      <w:r w:rsidR="00B84EE6">
        <w:rPr>
          <w:rFonts w:ascii="Arial" w:eastAsia="Times New Roman" w:hAnsi="Arial" w:cs="Arial"/>
          <w:color w:val="000000"/>
          <w:sz w:val="20"/>
          <w:lang w:eastAsia="en-AU"/>
        </w:rPr>
        <w:t xml:space="preserve"> </w:t>
      </w:r>
      <w:r w:rsidR="00886298">
        <w:rPr>
          <w:rFonts w:ascii="Arial" w:eastAsia="Times New Roman" w:hAnsi="Arial" w:cs="Arial"/>
          <w:color w:val="000000"/>
          <w:sz w:val="20"/>
          <w:lang w:eastAsia="en-AU"/>
        </w:rPr>
        <w:t xml:space="preserve">provisions within schedules 1 to 7 </w:t>
      </w:r>
      <w:r w:rsidR="00B84EE6">
        <w:rPr>
          <w:rFonts w:ascii="Arial" w:eastAsia="Times New Roman" w:hAnsi="Arial" w:cs="Arial"/>
          <w:color w:val="000000"/>
          <w:sz w:val="20"/>
          <w:lang w:eastAsia="en-AU"/>
        </w:rPr>
        <w:t xml:space="preserve">of </w:t>
      </w:r>
      <w:r w:rsidR="00B84EE6" w:rsidRPr="00B17FD6">
        <w:rPr>
          <w:rFonts w:ascii="Arial" w:eastAsia="Times New Roman" w:hAnsi="Arial" w:cs="Arial"/>
          <w:color w:val="000000"/>
          <w:sz w:val="20"/>
          <w:lang w:eastAsia="en-AU"/>
        </w:rPr>
        <w:t>Defence Determination 2020 (No. 13)</w:t>
      </w:r>
      <w:r w:rsidR="00886298">
        <w:rPr>
          <w:rFonts w:ascii="Arial" w:eastAsia="Times New Roman" w:hAnsi="Arial" w:cs="Arial"/>
          <w:color w:val="000000"/>
          <w:sz w:val="20"/>
          <w:lang w:eastAsia="en-AU"/>
        </w:rPr>
        <w:t xml:space="preserve"> have already commenced the revocation of the determination</w:t>
      </w:r>
      <w:r w:rsidR="00B84EE6">
        <w:rPr>
          <w:rFonts w:ascii="Arial" w:eastAsia="Times New Roman" w:hAnsi="Arial" w:cs="Arial"/>
          <w:color w:val="000000"/>
          <w:sz w:val="20"/>
          <w:lang w:eastAsia="en-AU"/>
        </w:rPr>
        <w:t xml:space="preserve"> does not affect these provisions. </w:t>
      </w:r>
      <w:r>
        <w:rPr>
          <w:rFonts w:ascii="Arial" w:eastAsia="Times New Roman" w:hAnsi="Arial" w:cs="Arial"/>
          <w:color w:val="000000"/>
          <w:sz w:val="20"/>
          <w:lang w:eastAsia="en-AU"/>
        </w:rPr>
        <w:t xml:space="preserve">  </w:t>
      </w:r>
    </w:p>
    <w:p w14:paraId="4C961315" w14:textId="77777777" w:rsidR="007106BB" w:rsidRDefault="007106BB">
      <w:pPr>
        <w:spacing w:line="240" w:lineRule="auto"/>
        <w:rPr>
          <w:rFonts w:ascii="Arial" w:eastAsia="Times New Roman" w:hAnsi="Arial" w:cs="Arial"/>
          <w:b/>
          <w:color w:val="000000"/>
          <w:sz w:val="20"/>
          <w:lang w:eastAsia="en-AU"/>
        </w:rPr>
      </w:pPr>
      <w:r>
        <w:rPr>
          <w:rFonts w:cs="Arial"/>
          <w:b/>
          <w:color w:val="000000"/>
        </w:rPr>
        <w:br w:type="page"/>
      </w:r>
    </w:p>
    <w:p w14:paraId="7E3990D4" w14:textId="2D91C743" w:rsidR="001E51FE" w:rsidRPr="0021243D" w:rsidRDefault="001E51FE" w:rsidP="001E51FE">
      <w:pPr>
        <w:pStyle w:val="Sectiontext"/>
        <w:jc w:val="center"/>
        <w:rPr>
          <w:rFonts w:cs="Arial"/>
          <w:snapToGrid w:val="0"/>
          <w:color w:val="000000"/>
        </w:rPr>
      </w:pPr>
      <w:r w:rsidRPr="0021243D">
        <w:rPr>
          <w:rFonts w:cs="Arial"/>
          <w:b/>
          <w:color w:val="000000"/>
        </w:rPr>
        <w:lastRenderedPageBreak/>
        <w:t>Consultation</w:t>
      </w:r>
    </w:p>
    <w:p w14:paraId="7CCA6474" w14:textId="5A419EC6" w:rsidR="001E51FE" w:rsidRPr="00A575F1" w:rsidRDefault="00DE652C" w:rsidP="00A575F1">
      <w:pPr>
        <w:pStyle w:val="Sectiontext"/>
        <w:rPr>
          <w:snapToGrid w:val="0"/>
        </w:rPr>
      </w:pPr>
      <w:r>
        <w:rPr>
          <w:snapToGrid w:val="0"/>
        </w:rPr>
        <w:t>The changes made by this Determination are technical in nature and t</w:t>
      </w:r>
      <w:r w:rsidR="001E51FE" w:rsidRPr="00A575F1">
        <w:rPr>
          <w:snapToGrid w:val="0"/>
        </w:rPr>
        <w:t>he rule</w:t>
      </w:r>
      <w:r w:rsidR="00EC45EE" w:rsidRPr="00A575F1">
        <w:rPr>
          <w:snapToGrid w:val="0"/>
        </w:rPr>
        <w:t xml:space="preserve"> </w:t>
      </w:r>
      <w:r w:rsidR="001E51FE" w:rsidRPr="00A575F1">
        <w:rPr>
          <w:snapToGrid w:val="0"/>
        </w:rPr>
        <w:t>maker was satisfied that further external consultation was not required</w:t>
      </w:r>
      <w:r w:rsidR="00A575F1">
        <w:rPr>
          <w:snapToGrid w:val="0"/>
        </w:rPr>
        <w:t>.</w:t>
      </w: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footerReference w:type="default" r:id="rId11"/>
          <w:headerReference w:type="first" r:id="rId12"/>
          <w:footerReference w:type="first" r:id="rId13"/>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lastRenderedPageBreak/>
        <w:t xml:space="preserve">This Determination is compatible with the human rights and freedoms recognised or declared in the international instruments listed in section 3 of the </w:t>
      </w:r>
      <w:r w:rsidRPr="006252AD">
        <w:rPr>
          <w:i/>
          <w:snapToGrid w:val="0"/>
        </w:rPr>
        <w:t>Human Rights (Parliamentary Scrutiny) Act 2011</w:t>
      </w:r>
      <w:r w:rsidRPr="00A575F1">
        <w:rPr>
          <w:snapToGrid w:val="0"/>
        </w:rPr>
        <w:t>.</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4A864482" w14:textId="77777777" w:rsidR="005C7693" w:rsidRPr="00A575F1" w:rsidRDefault="005C7693" w:rsidP="005C7693">
      <w:pPr>
        <w:pStyle w:val="Sectiontext"/>
        <w:rPr>
          <w:snapToGrid w:val="0"/>
        </w:rPr>
      </w:pPr>
      <w:r w:rsidRPr="00A575F1">
        <w:rPr>
          <w:snapToGrid w:val="0"/>
        </w:rPr>
        <w:t>The purpos</w:t>
      </w:r>
      <w:r>
        <w:rPr>
          <w:snapToGrid w:val="0"/>
        </w:rPr>
        <w:t xml:space="preserve">e of this Determination is to provide revised transitional provisions for changes made to reserve allowances under Schedule 2 of </w:t>
      </w:r>
      <w:r>
        <w:rPr>
          <w:rFonts w:cs="Arial"/>
          <w:lang w:eastAsia="en-US"/>
        </w:rPr>
        <w:t>Defence Determination, Conditions of service Amendment Determination 2020 (No. 13) (Determination 2020 (No. 13)).</w:t>
      </w:r>
      <w:r>
        <w:rPr>
          <w:snapToGrid w:val="0"/>
        </w:rPr>
        <w:t xml:space="preserve"> Transitional provisions were made under Schedule 8 of Determination 2020 (No. 13), however they referenced changes made under Schedule 1 instead of Schedule 2 of Determination 2020 (No. 13). This error in the schedule reference meant that the transitional provisions had no effect. The transitional provisions provided under this Determination ensure that the provisions have legal effect.  </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03501E52" w14:textId="4FCF2A54" w:rsidR="001E51FE" w:rsidRPr="005C7693" w:rsidRDefault="005C7693" w:rsidP="008417DF">
      <w:pPr>
        <w:spacing w:after="200" w:line="240" w:lineRule="auto"/>
        <w:rPr>
          <w:rFonts w:ascii="Arial" w:hAnsi="Arial" w:cs="Arial"/>
          <w:sz w:val="20"/>
        </w:rPr>
      </w:pPr>
      <w:r w:rsidRPr="005C7693">
        <w:rPr>
          <w:rFonts w:ascii="Arial" w:hAnsi="Arial" w:cs="Arial"/>
          <w:sz w:val="20"/>
        </w:rPr>
        <w:t>This Determination is technical in nature and does not engage any of the applicable rights or freedoms.</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59776BEF" w14:textId="77777777" w:rsidR="001E51FE" w:rsidRPr="00A575F1" w:rsidRDefault="001E51FE" w:rsidP="00A575F1">
      <w:pPr>
        <w:pStyle w:val="Sectiontext"/>
        <w:rPr>
          <w:snapToGrid w:val="0"/>
        </w:rPr>
      </w:pPr>
      <w:r w:rsidRPr="00A575F1">
        <w:rPr>
          <w:snapToGrid w:val="0"/>
        </w:rPr>
        <w:t>This Determination is compatible with human rights because it does not engage any applicable human rights or freedoms.</w:t>
      </w:r>
    </w:p>
    <w:p w14:paraId="1B4769FF" w14:textId="77777777" w:rsidR="001E51FE" w:rsidRPr="00A575F1" w:rsidRDefault="001E51FE" w:rsidP="00A575F1">
      <w:pPr>
        <w:pStyle w:val="Sectiontext"/>
        <w:rPr>
          <w:snapToGrid w:val="0"/>
        </w:rPr>
      </w:pPr>
    </w:p>
    <w:p w14:paraId="1DBA1602" w14:textId="5EF8086C" w:rsidR="001E51FE" w:rsidRPr="00CF0415" w:rsidRDefault="003A4D82" w:rsidP="001E51FE">
      <w:pPr>
        <w:spacing w:after="200"/>
        <w:jc w:val="center"/>
        <w:rPr>
          <w:rFonts w:ascii="Arial" w:hAnsi="Arial" w:cs="Arial"/>
          <w:sz w:val="20"/>
        </w:rPr>
      </w:pPr>
      <w:r>
        <w:rPr>
          <w:rFonts w:ascii="Arial" w:hAnsi="Arial" w:cs="Arial"/>
          <w:sz w:val="20"/>
        </w:rPr>
        <w:t>Fiona</w:t>
      </w:r>
      <w:r w:rsidR="001E51FE" w:rsidRPr="00CF0415">
        <w:rPr>
          <w:rFonts w:ascii="Arial" w:hAnsi="Arial" w:cs="Arial"/>
          <w:sz w:val="20"/>
        </w:rPr>
        <w:t xml:space="preserve"> Louise </w:t>
      </w:r>
      <w:r>
        <w:rPr>
          <w:rFonts w:ascii="Arial" w:hAnsi="Arial" w:cs="Arial"/>
          <w:sz w:val="20"/>
        </w:rPr>
        <w:t>McSpeerin</w:t>
      </w:r>
      <w:r w:rsidR="001E51FE" w:rsidRPr="00CF0415">
        <w:rPr>
          <w:rFonts w:ascii="Arial" w:hAnsi="Arial" w:cs="Arial"/>
          <w:sz w:val="20"/>
        </w:rPr>
        <w:t xml:space="preserve">, </w:t>
      </w:r>
      <w:bookmarkStart w:id="0" w:name="_GoBack"/>
      <w:bookmarkEnd w:id="0"/>
      <w:r w:rsidR="001E51FE" w:rsidRPr="00CF0415">
        <w:rPr>
          <w:rFonts w:ascii="Arial" w:hAnsi="Arial" w:cs="Arial"/>
          <w:sz w:val="20"/>
        </w:rPr>
        <w:t>Assistant Secretary People Policy and Employment Conditions</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first" r:id="rId14"/>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8412B" w14:textId="77777777" w:rsidR="0041000C" w:rsidRDefault="0041000C" w:rsidP="0048364F">
      <w:pPr>
        <w:spacing w:line="240" w:lineRule="auto"/>
      </w:pPr>
      <w:r>
        <w:separator/>
      </w:r>
    </w:p>
  </w:endnote>
  <w:endnote w:type="continuationSeparator" w:id="0">
    <w:p w14:paraId="4F867388" w14:textId="77777777" w:rsidR="0041000C" w:rsidRDefault="0041000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08B3E84F" w:rsidR="00FA083A" w:rsidRDefault="00FA083A">
        <w:pPr>
          <w:pStyle w:val="Footer"/>
          <w:jc w:val="right"/>
        </w:pPr>
        <w:r>
          <w:fldChar w:fldCharType="begin"/>
        </w:r>
        <w:r>
          <w:instrText xml:space="preserve"> PAGE   \* MERGEFORMAT </w:instrText>
        </w:r>
        <w:r>
          <w:fldChar w:fldCharType="separate"/>
        </w:r>
        <w:r w:rsidR="003A4D82">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4B9E207E" w:rsidR="00FA083A" w:rsidRDefault="00FA083A">
        <w:pPr>
          <w:pStyle w:val="Footer"/>
          <w:jc w:val="right"/>
        </w:pPr>
        <w:r>
          <w:fldChar w:fldCharType="begin"/>
        </w:r>
        <w:r>
          <w:instrText xml:space="preserve"> PAGE   \* MERGEFORMAT </w:instrText>
        </w:r>
        <w:r>
          <w:fldChar w:fldCharType="separate"/>
        </w:r>
        <w:r w:rsidR="003A4D82">
          <w:rPr>
            <w:noProof/>
          </w:rPr>
          <w:t>1</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8CBFE" w14:textId="77777777" w:rsidR="0041000C" w:rsidRDefault="0041000C" w:rsidP="0048364F">
      <w:pPr>
        <w:spacing w:line="240" w:lineRule="auto"/>
      </w:pPr>
      <w:r>
        <w:separator/>
      </w:r>
    </w:p>
  </w:footnote>
  <w:footnote w:type="continuationSeparator" w:id="0">
    <w:p w14:paraId="6D3C09C7" w14:textId="77777777" w:rsidR="0041000C" w:rsidRDefault="0041000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9A6866" w:rsidRPr="009A6866" w:rsidRDefault="009A6866" w:rsidP="009A6866">
    <w:pPr>
      <w:pStyle w:val="ActHead6"/>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1E51FE" w:rsidRPr="00B4022B" w:rsidRDefault="001E51FE"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1E51FE" w:rsidRDefault="001E51FE" w:rsidP="001E51FE">
    <w:pPr>
      <w:pStyle w:val="Sectiontext"/>
      <w:jc w:val="center"/>
      <w:rPr>
        <w:i/>
        <w:snapToGrid w:val="0"/>
      </w:rPr>
    </w:pPr>
    <w:r>
      <w:rPr>
        <w:i/>
        <w:snapToGrid w:val="0"/>
      </w:rPr>
      <w:t>Prepared in accordance with Part 3 of the Human Rights (Parliamentary Scrutiny) Act 2011</w:t>
    </w:r>
  </w:p>
  <w:p w14:paraId="16DF27EC" w14:textId="25AF8F73" w:rsidR="001E51FE" w:rsidRPr="009A6866" w:rsidRDefault="009A6866"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3A4D82" w:rsidRPr="003A4D82">
      <w:rPr>
        <w:b/>
        <w:bCs/>
        <w:i/>
        <w:noProof/>
        <w:snapToGrid w:val="0"/>
        <w:lang w:val="en-US"/>
      </w:rPr>
      <w:t>Defence Determination, Conditions of service (Reserve allowances –</w:t>
    </w:r>
    <w:r w:rsidR="003A4D82">
      <w:rPr>
        <w:b/>
        <w:i/>
        <w:noProof/>
        <w:snapToGrid w:val="0"/>
      </w:rPr>
      <w:t xml:space="preserve"> transitional provision) Determination 2020 (No. 27)</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6D5AB4D4">
      <w:start w:val="1"/>
      <w:numFmt w:val="decimal"/>
      <w:pStyle w:val="BodyNum"/>
      <w:lvlText w:val="%1"/>
      <w:lvlJc w:val="left"/>
      <w:pPr>
        <w:tabs>
          <w:tab w:val="num" w:pos="720"/>
        </w:tabs>
        <w:ind w:left="0" w:firstLine="0"/>
      </w:pPr>
      <w:rPr>
        <w:rFonts w:hint="default"/>
      </w:rPr>
    </w:lvl>
    <w:lvl w:ilvl="1" w:tplc="9BD26DDE">
      <w:start w:val="1"/>
      <w:numFmt w:val="lowerLetter"/>
      <w:pStyle w:val="BodyPara"/>
      <w:lvlText w:val="(%2)"/>
      <w:lvlJc w:val="left"/>
      <w:pPr>
        <w:tabs>
          <w:tab w:val="num" w:pos="1440"/>
        </w:tabs>
        <w:ind w:left="1440" w:hanging="720"/>
      </w:pPr>
      <w:rPr>
        <w:rFonts w:hint="default"/>
      </w:rPr>
    </w:lvl>
    <w:lvl w:ilvl="2" w:tplc="71A65120">
      <w:start w:val="1"/>
      <w:numFmt w:val="bullet"/>
      <w:lvlText w:val=""/>
      <w:lvlJc w:val="left"/>
      <w:pPr>
        <w:tabs>
          <w:tab w:val="num" w:pos="1440"/>
        </w:tabs>
        <w:ind w:left="1440" w:hanging="720"/>
      </w:pPr>
      <w:rPr>
        <w:rFonts w:ascii="Symbol" w:hAnsi="Symbol" w:hint="default"/>
      </w:rPr>
    </w:lvl>
    <w:lvl w:ilvl="3" w:tplc="A61610C2">
      <w:start w:val="1"/>
      <w:numFmt w:val="lowerRoman"/>
      <w:lvlText w:val="(%4)"/>
      <w:lvlJc w:val="left"/>
      <w:pPr>
        <w:tabs>
          <w:tab w:val="num" w:pos="2160"/>
        </w:tabs>
        <w:ind w:left="2160" w:hanging="720"/>
      </w:pPr>
      <w:rPr>
        <w:rFonts w:hint="default"/>
      </w:rPr>
    </w:lvl>
    <w:lvl w:ilvl="4" w:tplc="35C2BAEA">
      <w:start w:val="1"/>
      <w:numFmt w:val="lowerLetter"/>
      <w:lvlText w:val="(%5)"/>
      <w:lvlJc w:val="left"/>
      <w:pPr>
        <w:ind w:left="1800" w:hanging="360"/>
      </w:pPr>
      <w:rPr>
        <w:rFonts w:hint="default"/>
      </w:rPr>
    </w:lvl>
    <w:lvl w:ilvl="5" w:tplc="3BBA969E">
      <w:start w:val="1"/>
      <w:numFmt w:val="lowerRoman"/>
      <w:lvlText w:val="(%6)"/>
      <w:lvlJc w:val="left"/>
      <w:pPr>
        <w:ind w:left="2160" w:hanging="360"/>
      </w:pPr>
      <w:rPr>
        <w:rFonts w:hint="default"/>
      </w:rPr>
    </w:lvl>
    <w:lvl w:ilvl="6" w:tplc="B5842782">
      <w:start w:val="1"/>
      <w:numFmt w:val="decimal"/>
      <w:lvlText w:val="%7."/>
      <w:lvlJc w:val="left"/>
      <w:pPr>
        <w:ind w:left="2520" w:hanging="360"/>
      </w:pPr>
      <w:rPr>
        <w:rFonts w:hint="default"/>
      </w:rPr>
    </w:lvl>
    <w:lvl w:ilvl="7" w:tplc="18829F28">
      <w:start w:val="1"/>
      <w:numFmt w:val="lowerLetter"/>
      <w:lvlText w:val="%8."/>
      <w:lvlJc w:val="left"/>
      <w:pPr>
        <w:ind w:left="2880" w:hanging="360"/>
      </w:pPr>
      <w:rPr>
        <w:rFonts w:hint="default"/>
      </w:rPr>
    </w:lvl>
    <w:lvl w:ilvl="8" w:tplc="2C2E6920">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7DF9"/>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03DE"/>
    <w:rsid w:val="00237614"/>
    <w:rsid w:val="00240749"/>
    <w:rsid w:val="002468D7"/>
    <w:rsid w:val="00247E97"/>
    <w:rsid w:val="00256C81"/>
    <w:rsid w:val="00285CDD"/>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97893"/>
    <w:rsid w:val="003A15AC"/>
    <w:rsid w:val="003A4D82"/>
    <w:rsid w:val="003B0627"/>
    <w:rsid w:val="003C5F2B"/>
    <w:rsid w:val="003C7D35"/>
    <w:rsid w:val="003D0BFE"/>
    <w:rsid w:val="003D5700"/>
    <w:rsid w:val="003F506B"/>
    <w:rsid w:val="003F6F52"/>
    <w:rsid w:val="004022CA"/>
    <w:rsid w:val="0041000C"/>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C7693"/>
    <w:rsid w:val="005D1A20"/>
    <w:rsid w:val="005D5EA1"/>
    <w:rsid w:val="005E098C"/>
    <w:rsid w:val="005E1F8D"/>
    <w:rsid w:val="005E317F"/>
    <w:rsid w:val="005E61D3"/>
    <w:rsid w:val="00600219"/>
    <w:rsid w:val="006065DA"/>
    <w:rsid w:val="00606AA4"/>
    <w:rsid w:val="0061058B"/>
    <w:rsid w:val="006252AD"/>
    <w:rsid w:val="00640402"/>
    <w:rsid w:val="00640F78"/>
    <w:rsid w:val="00655D6A"/>
    <w:rsid w:val="00656DE9"/>
    <w:rsid w:val="00672876"/>
    <w:rsid w:val="00677CC2"/>
    <w:rsid w:val="00685F42"/>
    <w:rsid w:val="0069207B"/>
    <w:rsid w:val="00697CB2"/>
    <w:rsid w:val="006A297B"/>
    <w:rsid w:val="006A304E"/>
    <w:rsid w:val="006B7006"/>
    <w:rsid w:val="006C7F8C"/>
    <w:rsid w:val="006D7AB9"/>
    <w:rsid w:val="00700B2C"/>
    <w:rsid w:val="007106BB"/>
    <w:rsid w:val="00713084"/>
    <w:rsid w:val="00717463"/>
    <w:rsid w:val="00720FC2"/>
    <w:rsid w:val="00722E89"/>
    <w:rsid w:val="00724541"/>
    <w:rsid w:val="00731E00"/>
    <w:rsid w:val="007339C7"/>
    <w:rsid w:val="007440B7"/>
    <w:rsid w:val="00747993"/>
    <w:rsid w:val="007634AD"/>
    <w:rsid w:val="007715C9"/>
    <w:rsid w:val="00774EDD"/>
    <w:rsid w:val="007757EC"/>
    <w:rsid w:val="007952E9"/>
    <w:rsid w:val="007A6863"/>
    <w:rsid w:val="007B7E65"/>
    <w:rsid w:val="007C461E"/>
    <w:rsid w:val="007C78B4"/>
    <w:rsid w:val="007E0853"/>
    <w:rsid w:val="007E32B6"/>
    <w:rsid w:val="007E3976"/>
    <w:rsid w:val="007E486B"/>
    <w:rsid w:val="007E7D4A"/>
    <w:rsid w:val="007F48ED"/>
    <w:rsid w:val="007F5E3F"/>
    <w:rsid w:val="00812F45"/>
    <w:rsid w:val="00836FE9"/>
    <w:rsid w:val="0084172C"/>
    <w:rsid w:val="008417DF"/>
    <w:rsid w:val="0085175E"/>
    <w:rsid w:val="00856A31"/>
    <w:rsid w:val="00864A66"/>
    <w:rsid w:val="008754D0"/>
    <w:rsid w:val="00877C69"/>
    <w:rsid w:val="00877D48"/>
    <w:rsid w:val="0088345B"/>
    <w:rsid w:val="00886298"/>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9231A"/>
    <w:rsid w:val="00A93CFA"/>
    <w:rsid w:val="00A95BC7"/>
    <w:rsid w:val="00AA0343"/>
    <w:rsid w:val="00AA75AE"/>
    <w:rsid w:val="00AA78CE"/>
    <w:rsid w:val="00AA7B26"/>
    <w:rsid w:val="00AC767C"/>
    <w:rsid w:val="00AD3467"/>
    <w:rsid w:val="00AD5641"/>
    <w:rsid w:val="00AF33DB"/>
    <w:rsid w:val="00AF6E41"/>
    <w:rsid w:val="00B032D8"/>
    <w:rsid w:val="00B039C8"/>
    <w:rsid w:val="00B05D72"/>
    <w:rsid w:val="00B17FD6"/>
    <w:rsid w:val="00B20990"/>
    <w:rsid w:val="00B23FAF"/>
    <w:rsid w:val="00B33B3C"/>
    <w:rsid w:val="00B40D74"/>
    <w:rsid w:val="00B42649"/>
    <w:rsid w:val="00B46467"/>
    <w:rsid w:val="00B52663"/>
    <w:rsid w:val="00B56DCB"/>
    <w:rsid w:val="00B61728"/>
    <w:rsid w:val="00B770D2"/>
    <w:rsid w:val="00B84EE6"/>
    <w:rsid w:val="00B87CF0"/>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22"/>
    <w:rsid w:val="00CB58EF"/>
    <w:rsid w:val="00CC3872"/>
    <w:rsid w:val="00CE0A93"/>
    <w:rsid w:val="00CF0415"/>
    <w:rsid w:val="00CF0BB2"/>
    <w:rsid w:val="00D12B0D"/>
    <w:rsid w:val="00D13441"/>
    <w:rsid w:val="00D15A4D"/>
    <w:rsid w:val="00D243A3"/>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DE652C"/>
    <w:rsid w:val="00E034DB"/>
    <w:rsid w:val="00E05704"/>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083A"/>
    <w:rsid w:val="00FA420B"/>
    <w:rsid w:val="00FB6AEE"/>
    <w:rsid w:val="00FC3EAC"/>
    <w:rsid w:val="00FF39DE"/>
    <w:rsid w:val="152C2DFA"/>
    <w:rsid w:val="1B0BDFBF"/>
    <w:rsid w:val="26C6BB28"/>
    <w:rsid w:val="3BAB2540"/>
    <w:rsid w:val="78561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9918">
      <w:bodyDiv w:val="1"/>
      <w:marLeft w:val="0"/>
      <w:marRight w:val="0"/>
      <w:marTop w:val="0"/>
      <w:marBottom w:val="0"/>
      <w:divBdr>
        <w:top w:val="none" w:sz="0" w:space="0" w:color="auto"/>
        <w:left w:val="none" w:sz="0" w:space="0" w:color="auto"/>
        <w:bottom w:val="none" w:sz="0" w:space="0" w:color="auto"/>
        <w:right w:val="none" w:sz="0" w:space="0" w:color="auto"/>
      </w:divBdr>
    </w:div>
    <w:div w:id="1135218588">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72CDA"/>
    <w:rsid w:val="00072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d4956981-af34-43b5-9bb9-127b84748104"/>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a6f563f-2bdb-41f3-82d1-8dc8753557f6"/>
    <ds:schemaRef ds:uri="http://www.w3.org/XML/1998/namespace"/>
    <ds:schemaRef ds:uri="http://purl.org/dc/dcmitype/"/>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129FE349-4404-4B57-B784-86ABF507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9</cp:revision>
  <cp:lastPrinted>2020-11-24T00:21:00Z</cp:lastPrinted>
  <dcterms:created xsi:type="dcterms:W3CDTF">2020-11-03T02:36:00Z</dcterms:created>
  <dcterms:modified xsi:type="dcterms:W3CDTF">2020-11-24T00:21:00Z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BN13512971</vt:lpwstr>
  </property>
  <property fmtid="{D5CDD505-2E9C-101B-9397-08002B2CF9AE}" pid="4" name="Objective-Title">
    <vt:lpwstr>2020 Template - Explanatory statement and HRS - stand alone</vt:lpwstr>
  </property>
  <property fmtid="{D5CDD505-2E9C-101B-9397-08002B2CF9AE}" pid="5" name="Objective-Comment">
    <vt:lpwstr/>
  </property>
  <property fmtid="{D5CDD505-2E9C-101B-9397-08002B2CF9AE}" pid="6" name="Objective-CreationStamp">
    <vt:filetime>2020-02-12T03:01:38Z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2020-03-02T23:06:56Z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Templates</vt:lpwstr>
  </property>
  <property fmtid="{D5CDD505-2E9C-101B-9397-08002B2CF9AE}" pid="14" name="Objective-State">
    <vt:lpwstr>Being Edited</vt:lpwstr>
  </property>
  <property fmtid="{D5CDD505-2E9C-101B-9397-08002B2CF9AE}" pid="15" name="Objective-Version">
    <vt:lpwstr>2.7</vt:lpwstr>
  </property>
  <property fmtid="{D5CDD505-2E9C-101B-9397-08002B2CF9AE}" pid="16" name="Objective-VersionNumber">
    <vt:i4>9</vt:i4>
  </property>
  <property fmtid="{D5CDD505-2E9C-101B-9397-08002B2CF9AE}" pid="17" name="Objective-VersionComment">
    <vt:lpwstr>03Mar20 Update</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