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7806B6" w:rsidRDefault="00FA6784" w:rsidP="00FA6784">
      <w:pPr>
        <w:pStyle w:val="H3"/>
        <w:jc w:val="center"/>
        <w:rPr>
          <w:sz w:val="24"/>
          <w:szCs w:val="24"/>
        </w:rPr>
      </w:pPr>
      <w:r w:rsidRPr="007806B6">
        <w:rPr>
          <w:sz w:val="24"/>
          <w:szCs w:val="24"/>
        </w:rPr>
        <w:t>EXPLANATORY STATEMENT</w:t>
      </w:r>
    </w:p>
    <w:p w14:paraId="2412D120" w14:textId="77777777" w:rsidR="00FA6784" w:rsidRPr="007806B6" w:rsidRDefault="00FA6784" w:rsidP="00FA6784">
      <w:pPr>
        <w:jc w:val="center"/>
        <w:rPr>
          <w:sz w:val="22"/>
          <w:szCs w:val="22"/>
        </w:rPr>
      </w:pPr>
    </w:p>
    <w:p w14:paraId="2412D123" w14:textId="77777777" w:rsidR="00FA6784" w:rsidRPr="007806B6" w:rsidRDefault="00FA6784" w:rsidP="00FA6784">
      <w:pPr>
        <w:jc w:val="center"/>
        <w:rPr>
          <w:i/>
          <w:iCs/>
        </w:rPr>
      </w:pPr>
      <w:r w:rsidRPr="007806B6">
        <w:rPr>
          <w:i/>
          <w:iCs/>
        </w:rPr>
        <w:t>Health Insurance Act 1973</w:t>
      </w:r>
    </w:p>
    <w:p w14:paraId="2412D124" w14:textId="77777777" w:rsidR="00A1739A" w:rsidRPr="007806B6" w:rsidRDefault="00A1739A" w:rsidP="00A1739A">
      <w:pPr>
        <w:rPr>
          <w:szCs w:val="24"/>
          <w:u w:val="single"/>
        </w:rPr>
      </w:pPr>
    </w:p>
    <w:p w14:paraId="052E97C1" w14:textId="5A7904B4" w:rsidR="00164A69" w:rsidRPr="007806B6" w:rsidRDefault="00424471" w:rsidP="00424471">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rPr>
      </w:pPr>
      <w:r w:rsidRPr="007806B6">
        <w:rPr>
          <w:i/>
          <w:iCs/>
        </w:rPr>
        <w:t xml:space="preserve">Health Insurance (Section 3C General Medical – Expansion of GP and Allied Health </w:t>
      </w:r>
      <w:r w:rsidR="00175AE3" w:rsidRPr="007806B6">
        <w:rPr>
          <w:i/>
          <w:iCs/>
        </w:rPr>
        <w:t>Chronic Disease Management Services for Care Recipients of a Residential Aged Care Facility</w:t>
      </w:r>
      <w:r w:rsidRPr="007806B6">
        <w:rPr>
          <w:i/>
          <w:iCs/>
        </w:rPr>
        <w:t>) Determination 2020</w:t>
      </w:r>
    </w:p>
    <w:p w14:paraId="03E2448C" w14:textId="77777777" w:rsidR="00424471" w:rsidRPr="007806B6" w:rsidRDefault="00424471" w:rsidP="00424471">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p>
    <w:p w14:paraId="30CCE728" w14:textId="19FE3E09" w:rsidR="00164A69" w:rsidRPr="007806B6"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7806B6">
        <w:rPr>
          <w:color w:val="000000"/>
          <w:shd w:val="clear" w:color="auto" w:fill="FFFFFF"/>
        </w:rPr>
        <w:t xml:space="preserve">Subsection 3C(1) of the </w:t>
      </w:r>
      <w:r w:rsidRPr="007806B6">
        <w:rPr>
          <w:i/>
          <w:color w:val="000000"/>
          <w:shd w:val="clear" w:color="auto" w:fill="FFFFFF"/>
        </w:rPr>
        <w:t>Health Insurance Act 1973</w:t>
      </w:r>
      <w:r w:rsidRPr="007806B6">
        <w:rPr>
          <w:color w:val="000000"/>
          <w:shd w:val="clear" w:color="auto" w:fill="FFFFFF"/>
        </w:rPr>
        <w:t xml:space="preserve"> (the Act) </w:t>
      </w:r>
      <w:r w:rsidR="00477C74" w:rsidRPr="007806B6">
        <w:rPr>
          <w:color w:val="000000"/>
          <w:shd w:val="clear" w:color="auto" w:fill="FFFFFF"/>
        </w:rPr>
        <w:t>provide</w:t>
      </w:r>
      <w:r w:rsidR="002E5708" w:rsidRPr="007806B6">
        <w:rPr>
          <w:color w:val="000000"/>
          <w:shd w:val="clear" w:color="auto" w:fill="FFFFFF"/>
        </w:rPr>
        <w:t>s</w:t>
      </w:r>
      <w:r w:rsidR="00477C74" w:rsidRPr="007806B6">
        <w:rPr>
          <w:color w:val="000000"/>
          <w:shd w:val="clear" w:color="auto" w:fill="FFFFFF"/>
        </w:rPr>
        <w:t xml:space="preserve"> that</w:t>
      </w:r>
      <w:r w:rsidRPr="007806B6">
        <w:rPr>
          <w:color w:val="000000"/>
          <w:shd w:val="clear" w:color="auto" w:fill="FFFFFF"/>
        </w:rPr>
        <w:t xml:space="preserve"> the Minister </w:t>
      </w:r>
      <w:r w:rsidR="00477C74" w:rsidRPr="007806B6">
        <w:rPr>
          <w:color w:val="000000"/>
          <w:shd w:val="clear" w:color="auto" w:fill="FFFFFF"/>
        </w:rPr>
        <w:t>may</w:t>
      </w:r>
      <w:r w:rsidRPr="007806B6">
        <w:rPr>
          <w:color w:val="000000"/>
          <w:shd w:val="clear" w:color="auto" w:fill="FFFFFF"/>
        </w:rPr>
        <w:t xml:space="preserve">, by legislative instrument, determine that a health service not specified in an item in the </w:t>
      </w:r>
      <w:r w:rsidR="003254AA" w:rsidRPr="007806B6">
        <w:rPr>
          <w:color w:val="000000"/>
          <w:shd w:val="clear" w:color="auto" w:fill="FFFFFF"/>
        </w:rPr>
        <w:t>general medical</w:t>
      </w:r>
      <w:r w:rsidRPr="007806B6">
        <w:rPr>
          <w:color w:val="000000"/>
          <w:shd w:val="clear" w:color="auto" w:fill="FFFFFF"/>
        </w:rPr>
        <w:t xml:space="preserve"> services table </w:t>
      </w:r>
      <w:r w:rsidR="00D01D5A" w:rsidRPr="007806B6">
        <w:rPr>
          <w:color w:val="000000"/>
          <w:shd w:val="clear" w:color="auto" w:fill="FFFFFF"/>
        </w:rPr>
        <w:t xml:space="preserve">(the Table) </w:t>
      </w:r>
      <w:r w:rsidRPr="007806B6">
        <w:rPr>
          <w:color w:val="000000"/>
          <w:shd w:val="clear" w:color="auto" w:fill="FFFFFF"/>
        </w:rPr>
        <w:t xml:space="preserve">shall, in specified circumstances and for specified statutory provisions, be treated as if it were specified in the </w:t>
      </w:r>
      <w:r w:rsidR="00D01D5A" w:rsidRPr="007806B6">
        <w:rPr>
          <w:color w:val="000000"/>
          <w:shd w:val="clear" w:color="auto" w:fill="FFFFFF"/>
        </w:rPr>
        <w:t xml:space="preserve">Table. </w:t>
      </w:r>
      <w:r w:rsidRPr="007806B6">
        <w:rPr>
          <w:color w:val="FF0000"/>
          <w:shd w:val="clear" w:color="auto" w:fill="FFFFFF"/>
        </w:rPr>
        <w:t xml:space="preserve">  </w:t>
      </w:r>
    </w:p>
    <w:p w14:paraId="7DB18649" w14:textId="77777777" w:rsidR="00841EDA" w:rsidRPr="007806B6"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77ABEB42" w14:textId="56AF3189" w:rsidR="003254AA" w:rsidRPr="007806B6" w:rsidRDefault="00050623" w:rsidP="003254A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7806B6">
        <w:t xml:space="preserve">The </w:t>
      </w:r>
      <w:r w:rsidR="00D01D5A" w:rsidRPr="007806B6">
        <w:t>Table</w:t>
      </w:r>
      <w:r w:rsidRPr="007806B6">
        <w:t xml:space="preserve"> is set out in the regulations made under subsection 4(1) of the Act</w:t>
      </w:r>
      <w:r w:rsidR="003254AA" w:rsidRPr="007806B6">
        <w:t xml:space="preserve">. The most recent version of the </w:t>
      </w:r>
      <w:r w:rsidR="00994B33" w:rsidRPr="007806B6">
        <w:t>Table</w:t>
      </w:r>
      <w:r w:rsidR="003254AA" w:rsidRPr="007806B6">
        <w:t xml:space="preserve"> is the </w:t>
      </w:r>
      <w:r w:rsidR="003254AA" w:rsidRPr="007806B6">
        <w:rPr>
          <w:i/>
        </w:rPr>
        <w:t>Health Insurance (General Medical Services Table) Regulations (No. 2) 2020</w:t>
      </w:r>
      <w:r w:rsidR="003F0C0F" w:rsidRPr="007806B6">
        <w:t xml:space="preserve"> (GMST)</w:t>
      </w:r>
      <w:r w:rsidR="003254AA" w:rsidRPr="007806B6">
        <w:t>.</w:t>
      </w:r>
    </w:p>
    <w:p w14:paraId="196D37F1" w14:textId="77777777" w:rsidR="003254AA" w:rsidRPr="007806B6" w:rsidRDefault="003254AA" w:rsidP="003254A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4D4B8323" w14:textId="37470603" w:rsidR="008E4682" w:rsidRPr="007806B6" w:rsidRDefault="00A1739A" w:rsidP="004869B0">
      <w:pPr>
        <w:rPr>
          <w:b/>
          <w:szCs w:val="24"/>
          <w:lang w:val="en-US" w:eastAsia="en-US"/>
        </w:rPr>
      </w:pPr>
      <w:r w:rsidRPr="007806B6">
        <w:rPr>
          <w:b/>
          <w:szCs w:val="24"/>
          <w:lang w:val="en-US" w:eastAsia="en-US"/>
        </w:rPr>
        <w:t>Purpose</w:t>
      </w:r>
    </w:p>
    <w:p w14:paraId="18AC6848" w14:textId="04D92B19" w:rsidR="000958C1" w:rsidRPr="007806B6" w:rsidRDefault="000958C1" w:rsidP="000958C1">
      <w:pPr>
        <w:ind w:right="-483"/>
        <w:rPr>
          <w:color w:val="000000"/>
          <w:shd w:val="clear" w:color="auto" w:fill="FFFFFF"/>
        </w:rPr>
      </w:pPr>
      <w:r w:rsidRPr="007806B6">
        <w:rPr>
          <w:color w:val="000000"/>
          <w:shd w:val="clear" w:color="auto" w:fill="FFFFFF"/>
        </w:rPr>
        <w:t>The </w:t>
      </w:r>
      <w:r w:rsidRPr="007806B6">
        <w:rPr>
          <w:i/>
          <w:iCs/>
        </w:rPr>
        <w:t>Health Insurance (Section 3C General Medical – Expansion of GP and Allied Health Chronic Disease Management Services for Care Recipients of a Residential Aged Care Facility) Determination 2020</w:t>
      </w:r>
      <w:r w:rsidRPr="007806B6">
        <w:rPr>
          <w:color w:val="000000"/>
          <w:shd w:val="clear" w:color="auto" w:fill="FFFFFF"/>
        </w:rPr>
        <w:t xml:space="preserve"> (the Determination) prescribes 73 temporary items to allow care recipients of a residential aged care facility to increase the amount of selected Medicare subsidised chronic disease management plan allied health services. The Determination also enables care recipients in residential aged care facilities affected by the </w:t>
      </w:r>
      <w:r w:rsidRPr="007806B6">
        <w:rPr>
          <w:szCs w:val="24"/>
        </w:rPr>
        <w:t>COVID-19 pandemic, or the measures taken to contain its spread,</w:t>
      </w:r>
      <w:r w:rsidRPr="007806B6">
        <w:rPr>
          <w:color w:val="000000"/>
          <w:shd w:val="clear" w:color="auto" w:fill="FFFFFF"/>
        </w:rPr>
        <w:t xml:space="preserve"> to access allied health group services.  </w:t>
      </w:r>
    </w:p>
    <w:p w14:paraId="29294F39" w14:textId="77777777" w:rsidR="000958C1" w:rsidRPr="007806B6" w:rsidRDefault="000958C1" w:rsidP="000958C1">
      <w:pPr>
        <w:ind w:right="-483"/>
        <w:rPr>
          <w:szCs w:val="24"/>
        </w:rPr>
      </w:pPr>
    </w:p>
    <w:p w14:paraId="30D118F9" w14:textId="77777777" w:rsidR="000958C1" w:rsidRPr="007806B6" w:rsidRDefault="000958C1" w:rsidP="000958C1">
      <w:pPr>
        <w:ind w:right="-483"/>
        <w:rPr>
          <w:szCs w:val="24"/>
        </w:rPr>
      </w:pPr>
      <w:r w:rsidRPr="007806B6">
        <w:rPr>
          <w:szCs w:val="24"/>
        </w:rPr>
        <w:t xml:space="preserve">On 1 December 2020, the Australian Government announced that it would invest a further $132.2 million in its response to the Aged Care Royal Commission’s recommendations on COVID-19. This includes $12.1 million for additional individual allied health sessions under the Medicare chronic disease management plans and $15.7 million for allied health group services for care recipients of a residential aged care facility which has been affected by the COVID-19 pandemic or the measures taken to contain its spread. </w:t>
      </w:r>
    </w:p>
    <w:p w14:paraId="60B7C513" w14:textId="77777777" w:rsidR="000958C1" w:rsidRPr="007806B6" w:rsidRDefault="000958C1" w:rsidP="000958C1">
      <w:pPr>
        <w:ind w:right="-483"/>
        <w:rPr>
          <w:szCs w:val="24"/>
        </w:rPr>
      </w:pPr>
    </w:p>
    <w:p w14:paraId="051041B9" w14:textId="77777777" w:rsidR="000958C1" w:rsidRPr="007806B6" w:rsidRDefault="000958C1" w:rsidP="000958C1">
      <w:pPr>
        <w:ind w:right="-483"/>
        <w:rPr>
          <w:szCs w:val="24"/>
        </w:rPr>
      </w:pPr>
      <w:r w:rsidRPr="007806B6">
        <w:rPr>
          <w:szCs w:val="24"/>
        </w:rPr>
        <w:t>This proposal also addresses recommendation three in the special report on aged care and COVID-19 handed to Government on 30 September 2020 by the Royal Commission into Aged Care Quality and Safety. It also extends on the Government’s earlier commitment of $12.4 million to support the mental health and wellbeing of aged care recipients and their families through the Grief and Trauma Response Package.</w:t>
      </w:r>
    </w:p>
    <w:p w14:paraId="5BB60530" w14:textId="77777777" w:rsidR="000958C1" w:rsidRPr="007806B6" w:rsidRDefault="000958C1" w:rsidP="000958C1">
      <w:pPr>
        <w:ind w:right="-483"/>
        <w:rPr>
          <w:szCs w:val="24"/>
        </w:rPr>
      </w:pPr>
    </w:p>
    <w:p w14:paraId="70F1D801" w14:textId="2C8734AC" w:rsidR="000958C1" w:rsidRPr="007806B6" w:rsidRDefault="000958C1" w:rsidP="000958C1">
      <w:pPr>
        <w:ind w:right="-483"/>
        <w:rPr>
          <w:szCs w:val="24"/>
        </w:rPr>
      </w:pPr>
      <w:r w:rsidRPr="007806B6">
        <w:rPr>
          <w:szCs w:val="24"/>
        </w:rPr>
        <w:t>From 10 December 2020 until 30 June 2022,</w:t>
      </w:r>
      <w:r w:rsidRPr="007806B6">
        <w:t xml:space="preserve"> new residential aged care facility MBS items will be available which replicate the existing face to face and telehealth items for allied health chronic disease management plan services, indigenous follow up services for eligible patients who have received a health assessment, and group assessment services. There will also be new temporary residential aged care facility MBS items that permit care recipients to access up to 1</w:t>
      </w:r>
      <w:r w:rsidRPr="007806B6">
        <w:rPr>
          <w:szCs w:val="24"/>
        </w:rPr>
        <w:t xml:space="preserve">0 services per calendar year for selected physical therapy services, including exercise physiology, occupational therapy and physiotherapy. In addition, new temporary face-to-face MBS items will be introduced for care recipients of a </w:t>
      </w:r>
      <w:r w:rsidRPr="007806B6">
        <w:rPr>
          <w:szCs w:val="24"/>
        </w:rPr>
        <w:lastRenderedPageBreak/>
        <w:t xml:space="preserve">residential aged care facility for  longer initial individual allied health chronic disease management services and initial Indigenous follow up services. </w:t>
      </w:r>
    </w:p>
    <w:p w14:paraId="08F888D7" w14:textId="77777777" w:rsidR="000958C1" w:rsidRPr="007806B6" w:rsidRDefault="000958C1" w:rsidP="000958C1">
      <w:pPr>
        <w:ind w:right="-483"/>
        <w:rPr>
          <w:szCs w:val="24"/>
        </w:rPr>
      </w:pPr>
    </w:p>
    <w:p w14:paraId="41A657ED" w14:textId="107D6926" w:rsidR="000958C1" w:rsidRPr="007806B6" w:rsidRDefault="000958C1" w:rsidP="000958C1">
      <w:pPr>
        <w:ind w:right="-483"/>
        <w:rPr>
          <w:szCs w:val="24"/>
        </w:rPr>
      </w:pPr>
      <w:r w:rsidRPr="007806B6">
        <w:rPr>
          <w:szCs w:val="24"/>
        </w:rPr>
        <w:t>The introduction of these new temporary MBS items will align chronic disease management support for care recipients in a residential aged care facility with the support provided to people living in the community. However, s</w:t>
      </w:r>
      <w:r w:rsidRPr="007806B6">
        <w:t>hould a person’s residential aged care subsidy cover the health treatment, it is intended that the aged care provider should remain responsible for the provision of that service.</w:t>
      </w:r>
    </w:p>
    <w:p w14:paraId="71718512" w14:textId="48C018BE" w:rsidR="00783B67" w:rsidRPr="007806B6" w:rsidRDefault="00783B67" w:rsidP="00FF636E">
      <w:pPr>
        <w:ind w:right="-483"/>
        <w:rPr>
          <w:szCs w:val="24"/>
        </w:rPr>
      </w:pPr>
    </w:p>
    <w:p w14:paraId="3FBA30AB" w14:textId="62E16889" w:rsidR="00783B67" w:rsidRPr="007806B6" w:rsidRDefault="00A1739A" w:rsidP="00065460">
      <w:pPr>
        <w:shd w:val="clear" w:color="auto" w:fill="FFFFFF"/>
        <w:rPr>
          <w:szCs w:val="24"/>
        </w:rPr>
      </w:pPr>
      <w:r w:rsidRPr="007806B6">
        <w:rPr>
          <w:b/>
        </w:rPr>
        <w:t>Consultation</w:t>
      </w:r>
      <w:r w:rsidR="00065460" w:rsidRPr="007806B6">
        <w:rPr>
          <w:b/>
        </w:rPr>
        <w:br/>
      </w:r>
      <w:r w:rsidR="00783B67" w:rsidRPr="007806B6">
        <w:rPr>
          <w:szCs w:val="24"/>
        </w:rPr>
        <w:t xml:space="preserve">The Royal Commission into Aged Care Quality and Safety recommended the immediate creation of items under the MBS to facilitate access to additional </w:t>
      </w:r>
      <w:r w:rsidR="002272E5" w:rsidRPr="007806B6">
        <w:rPr>
          <w:szCs w:val="24"/>
        </w:rPr>
        <w:t>health support</w:t>
      </w:r>
      <w:r w:rsidR="00783B67" w:rsidRPr="007806B6">
        <w:rPr>
          <w:szCs w:val="24"/>
        </w:rPr>
        <w:t xml:space="preserve"> for residents of aged care. The Government has received stakeholder advice supporting the expansion of health services for care recipients in a residential aged care facility and this advice was used to inform this</w:t>
      </w:r>
      <w:r w:rsidR="002272E5" w:rsidRPr="007806B6">
        <w:rPr>
          <w:szCs w:val="24"/>
        </w:rPr>
        <w:t xml:space="preserve"> policy</w:t>
      </w:r>
      <w:r w:rsidR="00783B67" w:rsidRPr="007806B6">
        <w:rPr>
          <w:szCs w:val="24"/>
        </w:rPr>
        <w:t>.</w:t>
      </w:r>
    </w:p>
    <w:p w14:paraId="2B44B1E0" w14:textId="77777777" w:rsidR="00783B67" w:rsidRPr="007806B6" w:rsidRDefault="00783B67" w:rsidP="00065460">
      <w:pPr>
        <w:shd w:val="clear" w:color="auto" w:fill="FFFFFF"/>
        <w:rPr>
          <w:szCs w:val="24"/>
        </w:rPr>
      </w:pPr>
    </w:p>
    <w:p w14:paraId="2B87BE5A" w14:textId="77777777" w:rsidR="00783B67" w:rsidRPr="007806B6" w:rsidRDefault="00065460" w:rsidP="00065460">
      <w:pPr>
        <w:shd w:val="clear" w:color="auto" w:fill="FFFFFF"/>
        <w:rPr>
          <w:szCs w:val="24"/>
        </w:rPr>
      </w:pPr>
      <w:r w:rsidRPr="007806B6">
        <w:rPr>
          <w:szCs w:val="24"/>
        </w:rPr>
        <w:t xml:space="preserve">Due to the short timeframe in drafting this legislative instrument to implement the new items, </w:t>
      </w:r>
      <w:r w:rsidR="00783B67" w:rsidRPr="007806B6">
        <w:rPr>
          <w:szCs w:val="24"/>
        </w:rPr>
        <w:t xml:space="preserve">further consultation on the drafting of the legislative instrument was not undertaken </w:t>
      </w:r>
    </w:p>
    <w:p w14:paraId="02264A85" w14:textId="438E4D96" w:rsidR="007708B3" w:rsidRPr="007806B6" w:rsidRDefault="007708B3" w:rsidP="002806A1">
      <w:pPr>
        <w:shd w:val="clear" w:color="auto" w:fill="FFFFFF"/>
        <w:rPr>
          <w:color w:val="000000"/>
          <w:szCs w:val="24"/>
        </w:rPr>
      </w:pPr>
    </w:p>
    <w:p w14:paraId="2412D134" w14:textId="77777777" w:rsidR="00967E51" w:rsidRPr="007806B6" w:rsidRDefault="00A1739A" w:rsidP="000337CB">
      <w:pPr>
        <w:rPr>
          <w:szCs w:val="24"/>
        </w:rPr>
      </w:pPr>
      <w:r w:rsidRPr="007806B6">
        <w:rPr>
          <w:szCs w:val="24"/>
        </w:rPr>
        <w:t xml:space="preserve">Details of the </w:t>
      </w:r>
      <w:r w:rsidR="00574E71" w:rsidRPr="007806B6">
        <w:rPr>
          <w:szCs w:val="24"/>
        </w:rPr>
        <w:t>Determination</w:t>
      </w:r>
      <w:r w:rsidRPr="007806B6">
        <w:rPr>
          <w:szCs w:val="24"/>
        </w:rPr>
        <w:t xml:space="preserve"> are set out in the </w:t>
      </w:r>
      <w:r w:rsidRPr="007806B6">
        <w:rPr>
          <w:szCs w:val="24"/>
          <w:u w:val="single"/>
        </w:rPr>
        <w:t>Attachment</w:t>
      </w:r>
      <w:r w:rsidRPr="007806B6">
        <w:rPr>
          <w:szCs w:val="24"/>
        </w:rPr>
        <w:t>.</w:t>
      </w:r>
    </w:p>
    <w:p w14:paraId="2412D135" w14:textId="08A25B6E" w:rsidR="006C138D" w:rsidRPr="007806B6" w:rsidRDefault="00297AD0" w:rsidP="006C138D">
      <w:pPr>
        <w:tabs>
          <w:tab w:val="left" w:pos="567"/>
        </w:tabs>
        <w:spacing w:before="240"/>
        <w:rPr>
          <w:szCs w:val="24"/>
        </w:rPr>
      </w:pPr>
      <w:r w:rsidRPr="007806B6">
        <w:rPr>
          <w:szCs w:val="24"/>
        </w:rPr>
        <w:t xml:space="preserve">The </w:t>
      </w:r>
      <w:r w:rsidR="00967E51" w:rsidRPr="007806B6">
        <w:rPr>
          <w:szCs w:val="24"/>
        </w:rPr>
        <w:t>Determination</w:t>
      </w:r>
      <w:r w:rsidRPr="007806B6">
        <w:rPr>
          <w:szCs w:val="24"/>
        </w:rPr>
        <w:t xml:space="preserve"> </w:t>
      </w:r>
      <w:r w:rsidR="007524B0" w:rsidRPr="007806B6">
        <w:rPr>
          <w:szCs w:val="24"/>
        </w:rPr>
        <w:t xml:space="preserve">commences </w:t>
      </w:r>
      <w:r w:rsidR="00C63FDC" w:rsidRPr="007806B6">
        <w:rPr>
          <w:szCs w:val="24"/>
        </w:rPr>
        <w:t xml:space="preserve">on </w:t>
      </w:r>
      <w:r w:rsidR="00424471" w:rsidRPr="007806B6">
        <w:rPr>
          <w:szCs w:val="24"/>
        </w:rPr>
        <w:t xml:space="preserve">10 December </w:t>
      </w:r>
      <w:r w:rsidR="00726289" w:rsidRPr="007806B6">
        <w:rPr>
          <w:szCs w:val="24"/>
        </w:rPr>
        <w:t xml:space="preserve">2020. </w:t>
      </w:r>
    </w:p>
    <w:p w14:paraId="2412D136" w14:textId="77777777" w:rsidR="00236DF2" w:rsidRPr="007806B6" w:rsidRDefault="00236DF2" w:rsidP="00574E71">
      <w:pPr>
        <w:rPr>
          <w:szCs w:val="24"/>
        </w:rPr>
      </w:pPr>
    </w:p>
    <w:p w14:paraId="2412D138" w14:textId="65B73875" w:rsidR="00574E71" w:rsidRPr="007806B6" w:rsidRDefault="0002728B" w:rsidP="00DE07E4">
      <w:pPr>
        <w:spacing w:after="200" w:line="276" w:lineRule="auto"/>
        <w:rPr>
          <w:szCs w:val="24"/>
        </w:rPr>
      </w:pPr>
      <w:r w:rsidRPr="007806B6">
        <w:rPr>
          <w:szCs w:val="24"/>
        </w:rPr>
        <w:t>T</w:t>
      </w:r>
      <w:r w:rsidR="00574E71" w:rsidRPr="007806B6">
        <w:rPr>
          <w:szCs w:val="24"/>
        </w:rPr>
        <w:t xml:space="preserve">he Determination is </w:t>
      </w:r>
      <w:r w:rsidR="004417A2" w:rsidRPr="007806B6">
        <w:rPr>
          <w:szCs w:val="24"/>
        </w:rPr>
        <w:t xml:space="preserve">a </w:t>
      </w:r>
      <w:r w:rsidR="00574E71" w:rsidRPr="007806B6">
        <w:rPr>
          <w:szCs w:val="24"/>
        </w:rPr>
        <w:t xml:space="preserve">legislative instrument for the purposes of the </w:t>
      </w:r>
      <w:r w:rsidR="00574E71" w:rsidRPr="007806B6">
        <w:rPr>
          <w:i/>
        </w:rPr>
        <w:t>Legislation Act 2003</w:t>
      </w:r>
      <w:r w:rsidR="00574E71" w:rsidRPr="007806B6">
        <w:rPr>
          <w:szCs w:val="24"/>
        </w:rPr>
        <w:t>.</w:t>
      </w:r>
    </w:p>
    <w:p w14:paraId="2412D139" w14:textId="77777777" w:rsidR="00A1739A" w:rsidRPr="007806B6" w:rsidRDefault="00A1739A" w:rsidP="000337CB">
      <w:pPr>
        <w:ind w:left="6663" w:hanging="3119"/>
        <w:rPr>
          <w:szCs w:val="24"/>
        </w:rPr>
      </w:pPr>
      <w:r w:rsidRPr="007806B6">
        <w:rPr>
          <w:szCs w:val="24"/>
        </w:rPr>
        <w:t xml:space="preserve">           </w:t>
      </w:r>
    </w:p>
    <w:p w14:paraId="2412D13A" w14:textId="77777777" w:rsidR="00A1739A" w:rsidRPr="007806B6" w:rsidRDefault="00A1739A" w:rsidP="000337CB">
      <w:pPr>
        <w:ind w:left="6663" w:hanging="3119"/>
        <w:rPr>
          <w:szCs w:val="24"/>
        </w:rPr>
      </w:pPr>
      <w:r w:rsidRPr="007806B6">
        <w:rPr>
          <w:szCs w:val="24"/>
          <w:u w:val="single"/>
        </w:rPr>
        <w:t>Authority</w:t>
      </w:r>
      <w:r w:rsidR="00967E51" w:rsidRPr="007806B6">
        <w:rPr>
          <w:szCs w:val="24"/>
        </w:rPr>
        <w:t xml:space="preserve">:     Subsection </w:t>
      </w:r>
      <w:r w:rsidRPr="007806B6">
        <w:rPr>
          <w:szCs w:val="24"/>
        </w:rPr>
        <w:t>3</w:t>
      </w:r>
      <w:r w:rsidR="00967E51" w:rsidRPr="007806B6">
        <w:rPr>
          <w:szCs w:val="24"/>
        </w:rPr>
        <w:t>C</w:t>
      </w:r>
      <w:r w:rsidRPr="007806B6">
        <w:rPr>
          <w:szCs w:val="24"/>
        </w:rPr>
        <w:t xml:space="preserve">(1) of the </w:t>
      </w:r>
    </w:p>
    <w:p w14:paraId="2412D13B" w14:textId="0596CD30" w:rsidR="00A1739A" w:rsidRPr="007806B6" w:rsidRDefault="00A1739A" w:rsidP="000337CB">
      <w:pPr>
        <w:tabs>
          <w:tab w:val="left" w:pos="4820"/>
        </w:tabs>
        <w:rPr>
          <w:szCs w:val="24"/>
        </w:rPr>
        <w:sectPr w:rsidR="00A1739A" w:rsidRPr="007806B6" w:rsidSect="00235B6C">
          <w:headerReference w:type="default" r:id="rId11"/>
          <w:pgSz w:w="11906" w:h="16838"/>
          <w:pgMar w:top="1440" w:right="1800" w:bottom="1135" w:left="1800" w:header="708" w:footer="708" w:gutter="0"/>
          <w:pgNumType w:start="1"/>
          <w:cols w:space="708"/>
          <w:docGrid w:linePitch="360"/>
        </w:sectPr>
      </w:pPr>
      <w:r w:rsidRPr="007806B6">
        <w:rPr>
          <w:i/>
          <w:szCs w:val="24"/>
        </w:rPr>
        <w:tab/>
        <w:t>Health Insurance Act 1973</w:t>
      </w:r>
    </w:p>
    <w:p w14:paraId="2412D13D" w14:textId="77777777" w:rsidR="006D5816" w:rsidRPr="007806B6" w:rsidRDefault="006D5816" w:rsidP="000337CB">
      <w:pPr>
        <w:pStyle w:val="BodyText"/>
        <w:jc w:val="right"/>
        <w:rPr>
          <w:szCs w:val="24"/>
        </w:rPr>
      </w:pPr>
      <w:r w:rsidRPr="007806B6">
        <w:rPr>
          <w:szCs w:val="24"/>
        </w:rPr>
        <w:lastRenderedPageBreak/>
        <w:t>ATTACHMENT</w:t>
      </w:r>
    </w:p>
    <w:p w14:paraId="2412D13E" w14:textId="77777777" w:rsidR="006D5816" w:rsidRPr="007806B6" w:rsidRDefault="006D5816" w:rsidP="000337CB">
      <w:pPr>
        <w:pStyle w:val="BodyText"/>
        <w:rPr>
          <w:szCs w:val="24"/>
          <w:u w:val="single"/>
        </w:rPr>
      </w:pPr>
    </w:p>
    <w:p w14:paraId="5B0C808A" w14:textId="42F603B6" w:rsidR="00215191" w:rsidRPr="007806B6" w:rsidRDefault="00A41364" w:rsidP="00186752">
      <w:pPr>
        <w:pStyle w:val="BodyText"/>
        <w:rPr>
          <w:i/>
          <w:iCs/>
          <w:color w:val="FF0000"/>
        </w:rPr>
      </w:pPr>
      <w:r w:rsidRPr="007806B6">
        <w:rPr>
          <w:szCs w:val="24"/>
        </w:rPr>
        <w:t xml:space="preserve">Details of the </w:t>
      </w:r>
      <w:r w:rsidR="00424471" w:rsidRPr="007806B6">
        <w:rPr>
          <w:i/>
          <w:iCs/>
        </w:rPr>
        <w:t xml:space="preserve">Health Insurance (Section 3C General Medical – </w:t>
      </w:r>
      <w:r w:rsidR="006C3F3E" w:rsidRPr="007806B6">
        <w:rPr>
          <w:i/>
          <w:iCs/>
        </w:rPr>
        <w:t>Expansion of GP and Allied Health Chronic Disease Management Services for Care Recipients of a Residential Aged Care Facility) Determination 2020</w:t>
      </w:r>
    </w:p>
    <w:p w14:paraId="7BBEB147" w14:textId="720F9678" w:rsidR="00E70355" w:rsidRPr="007806B6" w:rsidRDefault="00E70355" w:rsidP="000337CB">
      <w:pPr>
        <w:pStyle w:val="BodyText"/>
        <w:rPr>
          <w:b w:val="0"/>
          <w:i/>
          <w:szCs w:val="24"/>
        </w:rPr>
      </w:pPr>
    </w:p>
    <w:p w14:paraId="2412D141" w14:textId="7C34D5F4" w:rsidR="00FE02C2" w:rsidRPr="007806B6" w:rsidRDefault="001B0111" w:rsidP="000337CB">
      <w:pPr>
        <w:pStyle w:val="BodyText"/>
        <w:rPr>
          <w:b w:val="0"/>
          <w:szCs w:val="24"/>
          <w:u w:val="single"/>
        </w:rPr>
      </w:pPr>
      <w:r w:rsidRPr="007806B6">
        <w:rPr>
          <w:b w:val="0"/>
          <w:szCs w:val="24"/>
          <w:u w:val="single"/>
        </w:rPr>
        <w:t>Section 1 – Name</w:t>
      </w:r>
    </w:p>
    <w:p w14:paraId="2412D142" w14:textId="77777777" w:rsidR="00FE02C2" w:rsidRPr="007806B6" w:rsidRDefault="00FE02C2" w:rsidP="000337CB">
      <w:pPr>
        <w:pStyle w:val="BodyText"/>
        <w:rPr>
          <w:b w:val="0"/>
          <w:szCs w:val="24"/>
          <w:u w:val="single"/>
        </w:rPr>
      </w:pPr>
    </w:p>
    <w:p w14:paraId="2412D144" w14:textId="533D2B40" w:rsidR="00F83B6F" w:rsidRPr="007806B6" w:rsidRDefault="00BC7397" w:rsidP="00C67BC7">
      <w:pPr>
        <w:pStyle w:val="BodyText"/>
        <w:rPr>
          <w:iCs/>
          <w:color w:val="FF0000"/>
        </w:rPr>
      </w:pPr>
      <w:r w:rsidRPr="007806B6">
        <w:rPr>
          <w:b w:val="0"/>
          <w:szCs w:val="24"/>
        </w:rPr>
        <w:t>S</w:t>
      </w:r>
      <w:r w:rsidR="00FE02C2" w:rsidRPr="007806B6">
        <w:rPr>
          <w:b w:val="0"/>
          <w:szCs w:val="24"/>
        </w:rPr>
        <w:t xml:space="preserve">ection </w:t>
      </w:r>
      <w:r w:rsidRPr="007806B6">
        <w:rPr>
          <w:b w:val="0"/>
          <w:szCs w:val="24"/>
        </w:rPr>
        <w:t xml:space="preserve">1 </w:t>
      </w:r>
      <w:r w:rsidR="00FE02C2" w:rsidRPr="007806B6">
        <w:rPr>
          <w:b w:val="0"/>
          <w:szCs w:val="24"/>
        </w:rPr>
        <w:t>provides</w:t>
      </w:r>
      <w:r w:rsidR="008B683E" w:rsidRPr="007806B6">
        <w:rPr>
          <w:b w:val="0"/>
          <w:szCs w:val="24"/>
        </w:rPr>
        <w:t xml:space="preserve"> for the </w:t>
      </w:r>
      <w:r w:rsidR="00065460" w:rsidRPr="007806B6">
        <w:rPr>
          <w:b w:val="0"/>
          <w:szCs w:val="24"/>
        </w:rPr>
        <w:t>instrument</w:t>
      </w:r>
      <w:r w:rsidR="00FE02C2" w:rsidRPr="007806B6">
        <w:rPr>
          <w:b w:val="0"/>
          <w:szCs w:val="24"/>
        </w:rPr>
        <w:t xml:space="preserve"> to be referred to as the </w:t>
      </w:r>
      <w:r w:rsidR="00424471" w:rsidRPr="007806B6">
        <w:rPr>
          <w:b w:val="0"/>
          <w:i/>
          <w:szCs w:val="24"/>
        </w:rPr>
        <w:t xml:space="preserve">Health Insurance (Section 3C General Medical – </w:t>
      </w:r>
      <w:r w:rsidR="006C3F3E" w:rsidRPr="007806B6">
        <w:rPr>
          <w:b w:val="0"/>
          <w:i/>
          <w:iCs/>
        </w:rPr>
        <w:t>Expansion of GP and Allied Health Chronic Disease Management Services for Care Recipients of a Residential Aged Care Facility) Determination 2020.</w:t>
      </w:r>
      <w:r w:rsidR="006C3F3E" w:rsidRPr="007806B6">
        <w:rPr>
          <w:i/>
          <w:iCs/>
        </w:rPr>
        <w:t xml:space="preserve"> </w:t>
      </w:r>
    </w:p>
    <w:p w14:paraId="68DAA207" w14:textId="77777777" w:rsidR="00FD602D" w:rsidRPr="007806B6" w:rsidRDefault="00FD602D" w:rsidP="00FD602D"/>
    <w:p w14:paraId="49D1E050" w14:textId="77777777" w:rsidR="007A4089" w:rsidRPr="007806B6" w:rsidRDefault="00FE02C2" w:rsidP="000337CB">
      <w:pPr>
        <w:pStyle w:val="BodyText"/>
        <w:rPr>
          <w:b w:val="0"/>
          <w:szCs w:val="24"/>
          <w:u w:val="single"/>
        </w:rPr>
      </w:pPr>
      <w:r w:rsidRPr="007806B6">
        <w:rPr>
          <w:b w:val="0"/>
          <w:szCs w:val="24"/>
          <w:u w:val="single"/>
        </w:rPr>
        <w:t xml:space="preserve">Section 2 – Commencement </w:t>
      </w:r>
    </w:p>
    <w:p w14:paraId="2DCE2ED0" w14:textId="77777777" w:rsidR="007A4089" w:rsidRPr="007806B6" w:rsidRDefault="007A4089" w:rsidP="000337CB">
      <w:pPr>
        <w:pStyle w:val="BodyText"/>
        <w:rPr>
          <w:b w:val="0"/>
          <w:szCs w:val="24"/>
          <w:u w:val="single"/>
        </w:rPr>
      </w:pPr>
    </w:p>
    <w:p w14:paraId="2412D148" w14:textId="0232F06F" w:rsidR="00510A4F" w:rsidRPr="007806B6" w:rsidRDefault="00510A4F" w:rsidP="000337CB">
      <w:pPr>
        <w:pStyle w:val="BodyText"/>
        <w:rPr>
          <w:b w:val="0"/>
          <w:szCs w:val="24"/>
        </w:rPr>
      </w:pPr>
      <w:r w:rsidRPr="007806B6">
        <w:rPr>
          <w:b w:val="0"/>
          <w:szCs w:val="24"/>
        </w:rPr>
        <w:t xml:space="preserve">Section 2 </w:t>
      </w:r>
      <w:r w:rsidR="00404F11" w:rsidRPr="007806B6">
        <w:rPr>
          <w:b w:val="0"/>
          <w:szCs w:val="24"/>
        </w:rPr>
        <w:t xml:space="preserve">provides that the </w:t>
      </w:r>
      <w:r w:rsidR="00065460" w:rsidRPr="007806B6">
        <w:rPr>
          <w:b w:val="0"/>
          <w:szCs w:val="24"/>
        </w:rPr>
        <w:t>instrument</w:t>
      </w:r>
      <w:r w:rsidR="008B2094" w:rsidRPr="007806B6">
        <w:rPr>
          <w:b w:val="0"/>
          <w:szCs w:val="24"/>
        </w:rPr>
        <w:t xml:space="preserve"> </w:t>
      </w:r>
      <w:r w:rsidR="00404F11" w:rsidRPr="007806B6">
        <w:rPr>
          <w:b w:val="0"/>
          <w:szCs w:val="24"/>
        </w:rPr>
        <w:t xml:space="preserve">commences </w:t>
      </w:r>
      <w:r w:rsidR="00C63FDC" w:rsidRPr="007806B6">
        <w:rPr>
          <w:b w:val="0"/>
          <w:szCs w:val="24"/>
        </w:rPr>
        <w:t xml:space="preserve">on </w:t>
      </w:r>
      <w:r w:rsidR="00424471" w:rsidRPr="007806B6">
        <w:rPr>
          <w:b w:val="0"/>
          <w:szCs w:val="24"/>
        </w:rPr>
        <w:t>10 December</w:t>
      </w:r>
      <w:r w:rsidR="00DD3367" w:rsidRPr="007806B6">
        <w:rPr>
          <w:b w:val="0"/>
          <w:szCs w:val="24"/>
        </w:rPr>
        <w:t xml:space="preserve"> 2020.</w:t>
      </w:r>
    </w:p>
    <w:p w14:paraId="16C03200" w14:textId="77777777" w:rsidR="007E0017" w:rsidRPr="007806B6" w:rsidRDefault="007E0017" w:rsidP="000337CB">
      <w:pPr>
        <w:pStyle w:val="BodyText"/>
        <w:rPr>
          <w:b w:val="0"/>
          <w:szCs w:val="24"/>
        </w:rPr>
      </w:pPr>
    </w:p>
    <w:p w14:paraId="005D5660" w14:textId="77777777" w:rsidR="007A4089" w:rsidRPr="007806B6" w:rsidRDefault="00FE02C2" w:rsidP="000337CB">
      <w:pPr>
        <w:pStyle w:val="BodyText"/>
        <w:rPr>
          <w:b w:val="0"/>
          <w:szCs w:val="24"/>
          <w:u w:val="single"/>
        </w:rPr>
      </w:pPr>
      <w:r w:rsidRPr="007806B6">
        <w:rPr>
          <w:b w:val="0"/>
          <w:szCs w:val="24"/>
          <w:u w:val="single"/>
        </w:rPr>
        <w:t xml:space="preserve">Section 3 – </w:t>
      </w:r>
      <w:r w:rsidR="00E5798A" w:rsidRPr="007806B6">
        <w:rPr>
          <w:b w:val="0"/>
          <w:szCs w:val="24"/>
          <w:u w:val="single"/>
        </w:rPr>
        <w:t>Authority</w:t>
      </w:r>
    </w:p>
    <w:p w14:paraId="53BFA098" w14:textId="77777777" w:rsidR="007A4089" w:rsidRPr="007806B6" w:rsidRDefault="007A4089" w:rsidP="000337CB">
      <w:pPr>
        <w:pStyle w:val="BodyText"/>
        <w:rPr>
          <w:b w:val="0"/>
          <w:szCs w:val="24"/>
          <w:u w:val="single"/>
        </w:rPr>
      </w:pPr>
    </w:p>
    <w:p w14:paraId="2412D14B" w14:textId="423FE940" w:rsidR="00FE02C2" w:rsidRPr="007806B6" w:rsidRDefault="00F83B6F" w:rsidP="000337CB">
      <w:pPr>
        <w:pStyle w:val="BodyText"/>
        <w:rPr>
          <w:b w:val="0"/>
        </w:rPr>
      </w:pPr>
      <w:r w:rsidRPr="007806B6">
        <w:rPr>
          <w:b w:val="0"/>
        </w:rPr>
        <w:t xml:space="preserve">Section 3 provides that the </w:t>
      </w:r>
      <w:r w:rsidR="00065460" w:rsidRPr="007806B6">
        <w:rPr>
          <w:b w:val="0"/>
          <w:szCs w:val="24"/>
        </w:rPr>
        <w:t xml:space="preserve">instrument </w:t>
      </w:r>
      <w:r w:rsidR="00E5798A" w:rsidRPr="007806B6">
        <w:rPr>
          <w:b w:val="0"/>
        </w:rPr>
        <w:t xml:space="preserve">is made under </w:t>
      </w:r>
      <w:r w:rsidR="00367440" w:rsidRPr="007806B6">
        <w:rPr>
          <w:b w:val="0"/>
        </w:rPr>
        <w:t xml:space="preserve">subsection </w:t>
      </w:r>
      <w:r w:rsidR="00E5798A" w:rsidRPr="007806B6">
        <w:rPr>
          <w:b w:val="0"/>
        </w:rPr>
        <w:t xml:space="preserve">3C(1) of the </w:t>
      </w:r>
      <w:r w:rsidR="00E5798A" w:rsidRPr="007806B6">
        <w:rPr>
          <w:b w:val="0"/>
          <w:i/>
        </w:rPr>
        <w:t>Health Insurance Act 1973</w:t>
      </w:r>
      <w:r w:rsidR="00E5798A" w:rsidRPr="007806B6">
        <w:rPr>
          <w:b w:val="0"/>
        </w:rPr>
        <w:t>.</w:t>
      </w:r>
    </w:p>
    <w:p w14:paraId="0DBF1241" w14:textId="77777777" w:rsidR="00E70355" w:rsidRPr="007806B6" w:rsidRDefault="00E70355" w:rsidP="000337CB">
      <w:pPr>
        <w:pStyle w:val="BodyText"/>
        <w:rPr>
          <w:b w:val="0"/>
        </w:rPr>
      </w:pPr>
    </w:p>
    <w:p w14:paraId="566A2676" w14:textId="24AED8EA" w:rsidR="00A1465A" w:rsidRPr="007806B6" w:rsidRDefault="00A1465A" w:rsidP="00424471">
      <w:pPr>
        <w:pStyle w:val="BodyText"/>
        <w:rPr>
          <w:b w:val="0"/>
          <w:szCs w:val="24"/>
          <w:u w:val="single"/>
        </w:rPr>
      </w:pPr>
      <w:r w:rsidRPr="007806B6">
        <w:rPr>
          <w:b w:val="0"/>
          <w:szCs w:val="24"/>
          <w:u w:val="single"/>
        </w:rPr>
        <w:t xml:space="preserve">Section 4 – </w:t>
      </w:r>
      <w:r w:rsidR="00490C02" w:rsidRPr="007806B6">
        <w:rPr>
          <w:b w:val="0"/>
          <w:szCs w:val="24"/>
          <w:u w:val="single"/>
        </w:rPr>
        <w:t>Cessation</w:t>
      </w:r>
    </w:p>
    <w:p w14:paraId="7F3BF6B3" w14:textId="29E9F1B0" w:rsidR="00424471" w:rsidRPr="007806B6" w:rsidRDefault="00424471" w:rsidP="00424471">
      <w:pPr>
        <w:pStyle w:val="BodyText"/>
        <w:rPr>
          <w:b w:val="0"/>
          <w:szCs w:val="24"/>
        </w:rPr>
      </w:pPr>
    </w:p>
    <w:p w14:paraId="0EE9C92D" w14:textId="223C3A13" w:rsidR="00424471" w:rsidRPr="007806B6" w:rsidRDefault="00424471" w:rsidP="00424471">
      <w:pPr>
        <w:pStyle w:val="BodyText"/>
        <w:rPr>
          <w:b w:val="0"/>
          <w:szCs w:val="24"/>
        </w:rPr>
      </w:pPr>
      <w:r w:rsidRPr="007806B6">
        <w:rPr>
          <w:b w:val="0"/>
          <w:szCs w:val="24"/>
        </w:rPr>
        <w:t xml:space="preserve">Section 4 provides that </w:t>
      </w:r>
      <w:r w:rsidR="00490C02" w:rsidRPr="007806B6">
        <w:rPr>
          <w:b w:val="0"/>
          <w:szCs w:val="24"/>
        </w:rPr>
        <w:t>this instrument will cease on 30 June 2022, unless earlier revoked.</w:t>
      </w:r>
    </w:p>
    <w:p w14:paraId="300953D5" w14:textId="3D0B2F41" w:rsidR="00424471" w:rsidRPr="007806B6" w:rsidRDefault="00424471" w:rsidP="00424471">
      <w:pPr>
        <w:pStyle w:val="BodyText"/>
        <w:rPr>
          <w:b w:val="0"/>
          <w:szCs w:val="24"/>
        </w:rPr>
      </w:pPr>
    </w:p>
    <w:p w14:paraId="7120B264" w14:textId="6D812272" w:rsidR="00424471" w:rsidRPr="007806B6" w:rsidRDefault="00424471" w:rsidP="00424471">
      <w:pPr>
        <w:pStyle w:val="BodyText"/>
        <w:rPr>
          <w:szCs w:val="24"/>
          <w:u w:val="single"/>
        </w:rPr>
      </w:pPr>
      <w:r w:rsidRPr="007806B6">
        <w:rPr>
          <w:szCs w:val="24"/>
          <w:u w:val="single"/>
        </w:rPr>
        <w:t xml:space="preserve">Schedule 1 </w:t>
      </w:r>
      <w:r w:rsidR="00490C02" w:rsidRPr="007806B6">
        <w:rPr>
          <w:szCs w:val="24"/>
          <w:u w:val="single"/>
        </w:rPr>
        <w:t>- Amendments</w:t>
      </w:r>
    </w:p>
    <w:p w14:paraId="4567634B" w14:textId="1D09562B" w:rsidR="001B7019" w:rsidRPr="007806B6" w:rsidRDefault="001B7019" w:rsidP="00424471">
      <w:pPr>
        <w:pStyle w:val="BodyText"/>
        <w:rPr>
          <w:b w:val="0"/>
          <w:szCs w:val="24"/>
          <w:u w:val="single"/>
        </w:rPr>
      </w:pPr>
    </w:p>
    <w:p w14:paraId="0A3B7156" w14:textId="29A28767" w:rsidR="00740B7B" w:rsidRPr="007806B6" w:rsidRDefault="00740B7B" w:rsidP="00424471">
      <w:pPr>
        <w:pStyle w:val="BodyText"/>
        <w:rPr>
          <w:szCs w:val="24"/>
          <w:u w:val="single"/>
        </w:rPr>
      </w:pPr>
      <w:r w:rsidRPr="007806B6">
        <w:rPr>
          <w:szCs w:val="24"/>
          <w:u w:val="single"/>
        </w:rPr>
        <w:t>Part 1 – preliminary</w:t>
      </w:r>
    </w:p>
    <w:p w14:paraId="7C12EA12" w14:textId="77777777" w:rsidR="00740B7B" w:rsidRPr="007806B6" w:rsidRDefault="00740B7B" w:rsidP="00424471">
      <w:pPr>
        <w:pStyle w:val="BodyText"/>
        <w:rPr>
          <w:b w:val="0"/>
          <w:szCs w:val="24"/>
          <w:u w:val="single"/>
        </w:rPr>
      </w:pPr>
    </w:p>
    <w:p w14:paraId="4F26DAB7" w14:textId="55318620" w:rsidR="00490C02" w:rsidRPr="007806B6" w:rsidRDefault="00490C02" w:rsidP="00424471">
      <w:pPr>
        <w:pStyle w:val="BodyText"/>
        <w:rPr>
          <w:szCs w:val="24"/>
        </w:rPr>
      </w:pPr>
      <w:r w:rsidRPr="007806B6">
        <w:rPr>
          <w:szCs w:val="24"/>
        </w:rPr>
        <w:t>Section 5 - Definitions</w:t>
      </w:r>
    </w:p>
    <w:p w14:paraId="199D6B17" w14:textId="77777777" w:rsidR="00490C02" w:rsidRPr="007806B6" w:rsidRDefault="00490C02" w:rsidP="00424471">
      <w:pPr>
        <w:pStyle w:val="BodyText"/>
        <w:rPr>
          <w:b w:val="0"/>
          <w:szCs w:val="24"/>
          <w:u w:val="single"/>
        </w:rPr>
      </w:pPr>
    </w:p>
    <w:p w14:paraId="1FE2DE8C" w14:textId="7E804329" w:rsidR="001B7019" w:rsidRPr="007806B6" w:rsidRDefault="00490C02" w:rsidP="00424471">
      <w:pPr>
        <w:pStyle w:val="BodyText"/>
        <w:rPr>
          <w:b w:val="0"/>
          <w:szCs w:val="24"/>
        </w:rPr>
      </w:pPr>
      <w:r w:rsidRPr="007806B6">
        <w:rPr>
          <w:b w:val="0"/>
          <w:szCs w:val="24"/>
        </w:rPr>
        <w:t>Section 5 defines terms used in the Determination</w:t>
      </w:r>
    </w:p>
    <w:p w14:paraId="3C9C5881" w14:textId="1A29E639" w:rsidR="00490C02" w:rsidRPr="007806B6" w:rsidRDefault="00490C02" w:rsidP="00424471">
      <w:pPr>
        <w:pStyle w:val="BodyText"/>
        <w:rPr>
          <w:b w:val="0"/>
          <w:szCs w:val="24"/>
          <w:u w:val="single"/>
        </w:rPr>
      </w:pPr>
    </w:p>
    <w:p w14:paraId="5471D805" w14:textId="6FB4086F" w:rsidR="00490C02" w:rsidRPr="007806B6" w:rsidRDefault="00490C02" w:rsidP="00424471">
      <w:pPr>
        <w:pStyle w:val="BodyText"/>
        <w:rPr>
          <w:szCs w:val="24"/>
        </w:rPr>
      </w:pPr>
      <w:r w:rsidRPr="007806B6">
        <w:rPr>
          <w:szCs w:val="24"/>
        </w:rPr>
        <w:t>Section 6 – Treatment of relevant services</w:t>
      </w:r>
    </w:p>
    <w:p w14:paraId="68B475C5" w14:textId="09570397" w:rsidR="00490C02" w:rsidRPr="007806B6" w:rsidRDefault="00490C02" w:rsidP="00424471">
      <w:pPr>
        <w:pStyle w:val="BodyText"/>
        <w:rPr>
          <w:b w:val="0"/>
          <w:szCs w:val="24"/>
          <w:u w:val="single"/>
        </w:rPr>
      </w:pPr>
    </w:p>
    <w:p w14:paraId="6A316B1B" w14:textId="220800E3" w:rsidR="00490C02" w:rsidRPr="007806B6" w:rsidRDefault="00490C02" w:rsidP="00424471">
      <w:pPr>
        <w:pStyle w:val="BodyText"/>
        <w:rPr>
          <w:b w:val="0"/>
          <w:szCs w:val="24"/>
        </w:rPr>
      </w:pPr>
      <w:r w:rsidRPr="007806B6">
        <w:rPr>
          <w:b w:val="0"/>
          <w:szCs w:val="24"/>
        </w:rPr>
        <w:t xml:space="preserve">Section 6 provides that a clinically relevant service provided in accordance with the Determination shall be treated, for relevant provisions of the </w:t>
      </w:r>
      <w:r w:rsidRPr="007806B6">
        <w:rPr>
          <w:b w:val="0"/>
          <w:i/>
          <w:szCs w:val="24"/>
        </w:rPr>
        <w:t>Health Insurance Act 1973</w:t>
      </w:r>
      <w:r w:rsidRPr="007806B6">
        <w:rPr>
          <w:b w:val="0"/>
          <w:szCs w:val="24"/>
        </w:rPr>
        <w:t xml:space="preserve"> and </w:t>
      </w:r>
      <w:r w:rsidRPr="007806B6">
        <w:rPr>
          <w:b w:val="0"/>
          <w:i/>
          <w:szCs w:val="24"/>
        </w:rPr>
        <w:t>National Health Act 1953</w:t>
      </w:r>
      <w:r w:rsidRPr="007806B6">
        <w:rPr>
          <w:b w:val="0"/>
          <w:szCs w:val="24"/>
        </w:rPr>
        <w:t xml:space="preserve">, and regulations made under those Acts, as if it were both a professional service and a medical service and as if there were an item specified in the Table for the service.   </w:t>
      </w:r>
    </w:p>
    <w:p w14:paraId="2816BC70" w14:textId="4FBD2A90" w:rsidR="00490C02" w:rsidRPr="007806B6" w:rsidRDefault="00490C02" w:rsidP="00424471">
      <w:pPr>
        <w:pStyle w:val="BodyText"/>
        <w:rPr>
          <w:b w:val="0"/>
          <w:szCs w:val="24"/>
        </w:rPr>
      </w:pPr>
    </w:p>
    <w:p w14:paraId="2716A6DD" w14:textId="24DC7255" w:rsidR="00490C02" w:rsidRPr="007806B6" w:rsidRDefault="00490C02" w:rsidP="00424471">
      <w:pPr>
        <w:pStyle w:val="BodyText"/>
        <w:rPr>
          <w:szCs w:val="24"/>
        </w:rPr>
      </w:pPr>
      <w:r w:rsidRPr="007806B6">
        <w:rPr>
          <w:szCs w:val="24"/>
        </w:rPr>
        <w:t>Section 7 - References in this instrument to items include items prescribed under sections 3C and 4 of the Act</w:t>
      </w:r>
    </w:p>
    <w:p w14:paraId="381AF3D5" w14:textId="3578AD19" w:rsidR="00490C02" w:rsidRPr="007806B6" w:rsidRDefault="00490C02" w:rsidP="00424471">
      <w:pPr>
        <w:pStyle w:val="BodyText"/>
        <w:rPr>
          <w:szCs w:val="24"/>
        </w:rPr>
      </w:pPr>
    </w:p>
    <w:p w14:paraId="6F71ECCB" w14:textId="77777777" w:rsidR="00490C02" w:rsidRPr="007806B6" w:rsidRDefault="00490C02" w:rsidP="00490C02">
      <w:pPr>
        <w:pStyle w:val="BodyText"/>
        <w:rPr>
          <w:b w:val="0"/>
          <w:szCs w:val="24"/>
        </w:rPr>
      </w:pPr>
      <w:r w:rsidRPr="007806B6">
        <w:rPr>
          <w:b w:val="0"/>
          <w:szCs w:val="24"/>
        </w:rPr>
        <w:t>Section 7 provides that a reference in this instrument to an item includes a reference to an item:</w:t>
      </w:r>
    </w:p>
    <w:p w14:paraId="009614C5" w14:textId="2F870640" w:rsidR="00490C02" w:rsidRPr="007806B6" w:rsidRDefault="00490C02" w:rsidP="00EB5618">
      <w:pPr>
        <w:pStyle w:val="BodyText"/>
        <w:numPr>
          <w:ilvl w:val="0"/>
          <w:numId w:val="38"/>
        </w:numPr>
        <w:rPr>
          <w:b w:val="0"/>
          <w:szCs w:val="24"/>
        </w:rPr>
      </w:pPr>
      <w:r w:rsidRPr="007806B6">
        <w:rPr>
          <w:b w:val="0"/>
          <w:szCs w:val="24"/>
        </w:rPr>
        <w:t>relating to a health service that, under a determination in force under subsection 3C(1) of the Act;</w:t>
      </w:r>
    </w:p>
    <w:p w14:paraId="18A78822" w14:textId="328B184F" w:rsidR="00490C02" w:rsidRPr="007806B6" w:rsidRDefault="00490C02" w:rsidP="00EB5618">
      <w:pPr>
        <w:pStyle w:val="BodyText"/>
        <w:numPr>
          <w:ilvl w:val="0"/>
          <w:numId w:val="38"/>
        </w:numPr>
        <w:rPr>
          <w:b w:val="0"/>
          <w:szCs w:val="24"/>
        </w:rPr>
      </w:pPr>
      <w:r w:rsidRPr="007806B6">
        <w:rPr>
          <w:b w:val="0"/>
          <w:szCs w:val="24"/>
        </w:rPr>
        <w:t>relating to a professional service that, under the general medical services table in force under section 4 of the Act;</w:t>
      </w:r>
    </w:p>
    <w:p w14:paraId="719555D2" w14:textId="32EDAB3A" w:rsidR="00490C02" w:rsidRPr="007806B6" w:rsidRDefault="00490C02" w:rsidP="00490C02">
      <w:pPr>
        <w:pStyle w:val="BodyText"/>
        <w:rPr>
          <w:b w:val="0"/>
          <w:szCs w:val="24"/>
        </w:rPr>
      </w:pPr>
      <w:r w:rsidRPr="007806B6">
        <w:rPr>
          <w:b w:val="0"/>
          <w:szCs w:val="24"/>
        </w:rPr>
        <w:t xml:space="preserve"> is treated as if there were an item in the Schedule that relates to the service</w:t>
      </w:r>
      <w:r w:rsidR="00565A03" w:rsidRPr="007806B6">
        <w:rPr>
          <w:b w:val="0"/>
          <w:szCs w:val="24"/>
        </w:rPr>
        <w:t>.</w:t>
      </w:r>
    </w:p>
    <w:p w14:paraId="62CEA291" w14:textId="35CA207C" w:rsidR="00565A03" w:rsidRPr="007806B6" w:rsidRDefault="00565A03" w:rsidP="00490C02">
      <w:pPr>
        <w:pStyle w:val="BodyText"/>
        <w:rPr>
          <w:b w:val="0"/>
          <w:szCs w:val="24"/>
        </w:rPr>
      </w:pPr>
    </w:p>
    <w:p w14:paraId="264CF3FD" w14:textId="3F30C895" w:rsidR="00565A03" w:rsidRPr="007806B6" w:rsidRDefault="00565A03" w:rsidP="00490C02">
      <w:pPr>
        <w:pStyle w:val="BodyText"/>
        <w:rPr>
          <w:szCs w:val="24"/>
        </w:rPr>
      </w:pPr>
      <w:r w:rsidRPr="007806B6">
        <w:rPr>
          <w:szCs w:val="24"/>
        </w:rPr>
        <w:t>Section 8 – Effect of election to claim private health insurance for an allied health service</w:t>
      </w:r>
    </w:p>
    <w:p w14:paraId="4D8BD884" w14:textId="43882448" w:rsidR="00565A03" w:rsidRPr="007806B6" w:rsidRDefault="00565A03" w:rsidP="00490C02">
      <w:pPr>
        <w:pStyle w:val="BodyText"/>
        <w:rPr>
          <w:b w:val="0"/>
          <w:szCs w:val="24"/>
        </w:rPr>
      </w:pPr>
      <w:r w:rsidRPr="007806B6">
        <w:rPr>
          <w:b w:val="0"/>
          <w:szCs w:val="24"/>
        </w:rPr>
        <w:t>Section 8 limits a service under an item in Parts 3 to 5 of this instrument from being claimed if a private health insurance benefit has been claimed for the service.</w:t>
      </w:r>
    </w:p>
    <w:p w14:paraId="58E4B4EC" w14:textId="2605806C" w:rsidR="00072285" w:rsidRPr="007806B6" w:rsidRDefault="00072285" w:rsidP="00490C02">
      <w:pPr>
        <w:pStyle w:val="BodyText"/>
        <w:rPr>
          <w:b w:val="0"/>
          <w:szCs w:val="24"/>
        </w:rPr>
      </w:pPr>
    </w:p>
    <w:p w14:paraId="6868A15E" w14:textId="585F6DD7" w:rsidR="00072285" w:rsidRPr="007806B6" w:rsidRDefault="00072285" w:rsidP="00490C02">
      <w:pPr>
        <w:pStyle w:val="BodyText"/>
        <w:rPr>
          <w:szCs w:val="24"/>
        </w:rPr>
      </w:pPr>
      <w:r w:rsidRPr="007806B6">
        <w:rPr>
          <w:szCs w:val="24"/>
        </w:rPr>
        <w:t xml:space="preserve">Section 9 – Limitation on admitted patients </w:t>
      </w:r>
    </w:p>
    <w:p w14:paraId="6005AFF7" w14:textId="7230F2C4" w:rsidR="00072285" w:rsidRPr="007806B6" w:rsidRDefault="00072285" w:rsidP="00490C02">
      <w:pPr>
        <w:pStyle w:val="BodyText"/>
        <w:rPr>
          <w:b w:val="0"/>
          <w:szCs w:val="24"/>
        </w:rPr>
      </w:pPr>
      <w:r w:rsidRPr="007806B6">
        <w:rPr>
          <w:b w:val="0"/>
          <w:szCs w:val="24"/>
        </w:rPr>
        <w:t xml:space="preserve">Section 9 provides that an </w:t>
      </w:r>
      <w:r w:rsidRPr="007806B6">
        <w:rPr>
          <w:b w:val="0"/>
          <w:color w:val="000000"/>
          <w:szCs w:val="22"/>
        </w:rPr>
        <w:t>item in this instrument does not apply to a service performed</w:t>
      </w:r>
      <w:r w:rsidRPr="007806B6">
        <w:rPr>
          <w:b w:val="0"/>
        </w:rPr>
        <w:t xml:space="preserve"> for an </w:t>
      </w:r>
      <w:r w:rsidRPr="007806B6">
        <w:rPr>
          <w:b w:val="0"/>
          <w:color w:val="000000"/>
          <w:szCs w:val="22"/>
        </w:rPr>
        <w:t>admitted patient.</w:t>
      </w:r>
    </w:p>
    <w:p w14:paraId="79F75653" w14:textId="2851CE09" w:rsidR="00565A03" w:rsidRPr="007806B6" w:rsidRDefault="00565A03" w:rsidP="00490C02">
      <w:pPr>
        <w:pStyle w:val="BodyText"/>
        <w:rPr>
          <w:b w:val="0"/>
          <w:szCs w:val="24"/>
        </w:rPr>
      </w:pPr>
    </w:p>
    <w:p w14:paraId="6559E60A" w14:textId="35DB9D4E" w:rsidR="00565A03" w:rsidRPr="007806B6" w:rsidRDefault="00565A03" w:rsidP="00490C02">
      <w:pPr>
        <w:pStyle w:val="BodyText"/>
        <w:rPr>
          <w:szCs w:val="24"/>
          <w:u w:val="single"/>
        </w:rPr>
      </w:pPr>
      <w:r w:rsidRPr="007806B6">
        <w:rPr>
          <w:szCs w:val="24"/>
          <w:u w:val="single"/>
        </w:rPr>
        <w:t>Part 2 – General practice planning and contribution items for care recipients in residential aged care facilities</w:t>
      </w:r>
    </w:p>
    <w:p w14:paraId="0EF160B7" w14:textId="77777777" w:rsidR="00565A03" w:rsidRPr="007806B6" w:rsidRDefault="00565A03" w:rsidP="00490C02">
      <w:pPr>
        <w:pStyle w:val="BodyText"/>
        <w:rPr>
          <w:szCs w:val="24"/>
        </w:rPr>
      </w:pPr>
    </w:p>
    <w:p w14:paraId="38FD7DE1" w14:textId="6B771D33" w:rsidR="00424471" w:rsidRPr="007806B6" w:rsidRDefault="00BC6618" w:rsidP="00424471">
      <w:pPr>
        <w:pStyle w:val="BodyText"/>
        <w:rPr>
          <w:b w:val="0"/>
          <w:szCs w:val="24"/>
        </w:rPr>
      </w:pPr>
      <w:r w:rsidRPr="007806B6">
        <w:rPr>
          <w:b w:val="0"/>
          <w:szCs w:val="24"/>
        </w:rPr>
        <w:t>Part 2 of this determination lists general practice planning and contribution items for care recipients in residential aged care facilities.</w:t>
      </w:r>
    </w:p>
    <w:p w14:paraId="53A82543" w14:textId="12B34372" w:rsidR="00BC6618" w:rsidRPr="007806B6" w:rsidRDefault="00BC6618" w:rsidP="00424471">
      <w:pPr>
        <w:pStyle w:val="BodyText"/>
        <w:rPr>
          <w:b w:val="0"/>
          <w:szCs w:val="24"/>
        </w:rPr>
      </w:pPr>
    </w:p>
    <w:p w14:paraId="211A5ACF" w14:textId="2ADD8571" w:rsidR="00BC6618" w:rsidRPr="007806B6" w:rsidRDefault="00072285" w:rsidP="00424471">
      <w:pPr>
        <w:pStyle w:val="BodyText"/>
        <w:rPr>
          <w:b w:val="0"/>
          <w:szCs w:val="24"/>
        </w:rPr>
      </w:pPr>
      <w:r w:rsidRPr="007806B6">
        <w:rPr>
          <w:b w:val="0"/>
          <w:szCs w:val="24"/>
        </w:rPr>
        <w:t>Section 10</w:t>
      </w:r>
      <w:r w:rsidR="00BC6618" w:rsidRPr="007806B6">
        <w:rPr>
          <w:b w:val="0"/>
          <w:szCs w:val="24"/>
        </w:rPr>
        <w:t xml:space="preserve"> lists general provisions for items</w:t>
      </w:r>
      <w:r w:rsidR="00A66575" w:rsidRPr="007806B6">
        <w:rPr>
          <w:b w:val="0"/>
          <w:szCs w:val="24"/>
        </w:rPr>
        <w:t xml:space="preserve"> in Part 2</w:t>
      </w:r>
      <w:r w:rsidR="00BC6618" w:rsidRPr="007806B6">
        <w:rPr>
          <w:b w:val="0"/>
          <w:szCs w:val="24"/>
        </w:rPr>
        <w:t xml:space="preserve">. </w:t>
      </w:r>
    </w:p>
    <w:p w14:paraId="0910C46E" w14:textId="77777777" w:rsidR="00BC6618" w:rsidRPr="007806B6" w:rsidRDefault="00BC6618" w:rsidP="00424471">
      <w:pPr>
        <w:pStyle w:val="BodyText"/>
        <w:rPr>
          <w:b w:val="0"/>
          <w:szCs w:val="24"/>
        </w:rPr>
      </w:pPr>
    </w:p>
    <w:p w14:paraId="022F1734" w14:textId="2567C2A7" w:rsidR="00BC6618" w:rsidRPr="007806B6" w:rsidRDefault="00072285" w:rsidP="00424471">
      <w:pPr>
        <w:pStyle w:val="BodyText"/>
        <w:rPr>
          <w:b w:val="0"/>
          <w:szCs w:val="24"/>
        </w:rPr>
      </w:pPr>
      <w:r w:rsidRPr="007806B6">
        <w:rPr>
          <w:b w:val="0"/>
          <w:szCs w:val="24"/>
        </w:rPr>
        <w:t>Subsection 10</w:t>
      </w:r>
      <w:r w:rsidR="00BC6618" w:rsidRPr="007806B6">
        <w:rPr>
          <w:b w:val="0"/>
          <w:szCs w:val="24"/>
        </w:rPr>
        <w:t>(1) prescribes that items listed in Part 2 can only be provided by a single practitioner on a single patient</w:t>
      </w:r>
      <w:r w:rsidR="002F5B33" w:rsidRPr="007806B6">
        <w:rPr>
          <w:b w:val="0"/>
          <w:szCs w:val="24"/>
        </w:rPr>
        <w:t xml:space="preserve"> in the course of a personal attendance.</w:t>
      </w:r>
      <w:r w:rsidR="00BC6618" w:rsidRPr="007806B6">
        <w:rPr>
          <w:b w:val="0"/>
          <w:szCs w:val="24"/>
        </w:rPr>
        <w:t xml:space="preserve"> </w:t>
      </w:r>
    </w:p>
    <w:p w14:paraId="72D0BEA7" w14:textId="0B096CAE" w:rsidR="00BC6618" w:rsidRPr="007806B6" w:rsidRDefault="00BC6618" w:rsidP="00424471">
      <w:pPr>
        <w:pStyle w:val="BodyText"/>
        <w:rPr>
          <w:b w:val="0"/>
          <w:szCs w:val="24"/>
        </w:rPr>
      </w:pPr>
    </w:p>
    <w:p w14:paraId="039AFE32" w14:textId="097FAAF7" w:rsidR="00BC6618" w:rsidRPr="007806B6" w:rsidRDefault="00072285" w:rsidP="00424471">
      <w:pPr>
        <w:pStyle w:val="BodyText"/>
        <w:rPr>
          <w:b w:val="0"/>
          <w:szCs w:val="24"/>
        </w:rPr>
      </w:pPr>
      <w:r w:rsidRPr="007806B6">
        <w:rPr>
          <w:b w:val="0"/>
          <w:szCs w:val="24"/>
        </w:rPr>
        <w:t>Subsection 10</w:t>
      </w:r>
      <w:r w:rsidR="00BC6618" w:rsidRPr="007806B6">
        <w:rPr>
          <w:b w:val="0"/>
          <w:szCs w:val="24"/>
        </w:rPr>
        <w:t>(2) prescribes the application of a flag fall amount for services. Providers will receive a flag fall amount plus the standard attendance structure for each patient attendance, if the provider attends to the patient at the residential aged care facility. This amount is intended to reflect the costs doctors incur when providing professional services in residential aged care facilities.</w:t>
      </w:r>
    </w:p>
    <w:p w14:paraId="408FC7A7" w14:textId="7C3FA598" w:rsidR="00BC6618" w:rsidRPr="007806B6" w:rsidRDefault="00BC6618" w:rsidP="00424471">
      <w:pPr>
        <w:pStyle w:val="BodyText"/>
        <w:rPr>
          <w:b w:val="0"/>
          <w:szCs w:val="24"/>
          <w:u w:val="single"/>
        </w:rPr>
      </w:pPr>
    </w:p>
    <w:p w14:paraId="30C0B640" w14:textId="6B7E06E7" w:rsidR="00BC6618" w:rsidRPr="007806B6" w:rsidRDefault="00BC6618" w:rsidP="00424471">
      <w:pPr>
        <w:pStyle w:val="BodyText"/>
        <w:rPr>
          <w:b w:val="0"/>
          <w:szCs w:val="24"/>
        </w:rPr>
      </w:pPr>
      <w:r w:rsidRPr="007806B6">
        <w:rPr>
          <w:b w:val="0"/>
          <w:szCs w:val="24"/>
        </w:rPr>
        <w:t>For the first patient attended by a general practitioner at one residential aged care facility, the fee for the service under item 93469 or 93470 applies plus $66.75.</w:t>
      </w:r>
    </w:p>
    <w:p w14:paraId="421C99FD" w14:textId="0C608142" w:rsidR="00565A03" w:rsidRPr="007806B6" w:rsidRDefault="00565A03" w:rsidP="00424471">
      <w:pPr>
        <w:pStyle w:val="BodyText"/>
        <w:rPr>
          <w:b w:val="0"/>
          <w:szCs w:val="24"/>
        </w:rPr>
      </w:pPr>
    </w:p>
    <w:p w14:paraId="6D4B88FB" w14:textId="7B900FB3" w:rsidR="00BC6618" w:rsidRPr="007806B6" w:rsidRDefault="00BC6618" w:rsidP="00424471">
      <w:pPr>
        <w:pStyle w:val="BodyText"/>
        <w:rPr>
          <w:b w:val="0"/>
          <w:szCs w:val="24"/>
        </w:rPr>
      </w:pPr>
      <w:r w:rsidRPr="007806B6">
        <w:rPr>
          <w:b w:val="0"/>
          <w:szCs w:val="24"/>
        </w:rPr>
        <w:t xml:space="preserve">For the first patient attended by a </w:t>
      </w:r>
      <w:r w:rsidR="00FE1F5A" w:rsidRPr="007806B6">
        <w:rPr>
          <w:b w:val="0"/>
          <w:szCs w:val="24"/>
        </w:rPr>
        <w:t>medical</w:t>
      </w:r>
      <w:r w:rsidRPr="007806B6">
        <w:rPr>
          <w:b w:val="0"/>
          <w:szCs w:val="24"/>
        </w:rPr>
        <w:t xml:space="preserve"> practitioner at one residential aged care facility, the fee for the service under item 93475 or 93479 plus $48.55.</w:t>
      </w:r>
    </w:p>
    <w:p w14:paraId="0FA95D9D" w14:textId="17E354F4" w:rsidR="00BC6618" w:rsidRPr="007806B6" w:rsidRDefault="00BC6618" w:rsidP="00424471">
      <w:pPr>
        <w:pStyle w:val="BodyText"/>
        <w:rPr>
          <w:b w:val="0"/>
          <w:szCs w:val="24"/>
        </w:rPr>
      </w:pPr>
    </w:p>
    <w:p w14:paraId="073ED322" w14:textId="2736E986" w:rsidR="00BC6618" w:rsidRPr="007806B6" w:rsidRDefault="00072285" w:rsidP="00424471">
      <w:pPr>
        <w:pStyle w:val="BodyText"/>
        <w:rPr>
          <w:b w:val="0"/>
          <w:szCs w:val="24"/>
        </w:rPr>
      </w:pPr>
      <w:r w:rsidRPr="007806B6">
        <w:rPr>
          <w:b w:val="0"/>
          <w:szCs w:val="24"/>
        </w:rPr>
        <w:t>Section 11</w:t>
      </w:r>
      <w:r w:rsidR="00BC6618" w:rsidRPr="007806B6">
        <w:rPr>
          <w:b w:val="0"/>
          <w:szCs w:val="24"/>
        </w:rPr>
        <w:t xml:space="preserve"> prescribes the application provisions for contribution to multidisciplinary care plan items for care recipients in residential aged care facilities</w:t>
      </w:r>
      <w:r w:rsidR="00575C83" w:rsidRPr="007806B6">
        <w:rPr>
          <w:b w:val="0"/>
          <w:szCs w:val="24"/>
        </w:rPr>
        <w:t xml:space="preserve">. </w:t>
      </w:r>
    </w:p>
    <w:p w14:paraId="6B964B56" w14:textId="0034191A" w:rsidR="00575C83" w:rsidRPr="007806B6" w:rsidRDefault="00575C83" w:rsidP="00424471">
      <w:pPr>
        <w:pStyle w:val="BodyText"/>
        <w:rPr>
          <w:b w:val="0"/>
          <w:szCs w:val="24"/>
        </w:rPr>
      </w:pPr>
    </w:p>
    <w:p w14:paraId="0AB5121B" w14:textId="06CDEB1A" w:rsidR="00575C83" w:rsidRPr="007806B6" w:rsidRDefault="00072285" w:rsidP="00575C83">
      <w:pPr>
        <w:pStyle w:val="BodyText"/>
        <w:rPr>
          <w:b w:val="0"/>
          <w:szCs w:val="24"/>
        </w:rPr>
      </w:pPr>
      <w:r w:rsidRPr="007806B6">
        <w:rPr>
          <w:b w:val="0"/>
          <w:szCs w:val="24"/>
        </w:rPr>
        <w:t>Subsection 11</w:t>
      </w:r>
      <w:r w:rsidR="00575C83" w:rsidRPr="007806B6">
        <w:rPr>
          <w:b w:val="0"/>
          <w:szCs w:val="24"/>
        </w:rPr>
        <w:t>(1) prescribes that a services under items 93469 and 93475 cannot be provided unless the person with the multidisciplinary care plan suffers from at least one medical condition that:</w:t>
      </w:r>
    </w:p>
    <w:p w14:paraId="5F844337" w14:textId="3164ED2E" w:rsidR="00575C83" w:rsidRPr="007806B6" w:rsidRDefault="00575C83" w:rsidP="00EB5618">
      <w:pPr>
        <w:pStyle w:val="BodyText"/>
        <w:numPr>
          <w:ilvl w:val="0"/>
          <w:numId w:val="40"/>
        </w:numPr>
        <w:rPr>
          <w:b w:val="0"/>
          <w:szCs w:val="24"/>
        </w:rPr>
      </w:pPr>
      <w:r w:rsidRPr="007806B6">
        <w:rPr>
          <w:b w:val="0"/>
          <w:szCs w:val="24"/>
        </w:rPr>
        <w:t xml:space="preserve">has been (or is likely to be) present for at least 6 months; or </w:t>
      </w:r>
    </w:p>
    <w:p w14:paraId="69B3A11B" w14:textId="6E590973" w:rsidR="00575C83" w:rsidRPr="007806B6" w:rsidRDefault="00575C83" w:rsidP="00EB5618">
      <w:pPr>
        <w:pStyle w:val="BodyText"/>
        <w:numPr>
          <w:ilvl w:val="0"/>
          <w:numId w:val="40"/>
        </w:numPr>
        <w:rPr>
          <w:b w:val="0"/>
          <w:szCs w:val="24"/>
        </w:rPr>
      </w:pPr>
      <w:r w:rsidRPr="007806B6">
        <w:rPr>
          <w:b w:val="0"/>
          <w:szCs w:val="24"/>
        </w:rPr>
        <w:t>is terminal.</w:t>
      </w:r>
    </w:p>
    <w:p w14:paraId="68CC75D0" w14:textId="596D6042" w:rsidR="00575C83" w:rsidRPr="007806B6" w:rsidRDefault="00575C83" w:rsidP="00575C83">
      <w:pPr>
        <w:pStyle w:val="BodyText"/>
        <w:rPr>
          <w:b w:val="0"/>
          <w:szCs w:val="24"/>
        </w:rPr>
      </w:pPr>
    </w:p>
    <w:p w14:paraId="54129F77" w14:textId="139C1AD9" w:rsidR="00575C83" w:rsidRPr="007806B6" w:rsidRDefault="00072285" w:rsidP="00575C83">
      <w:pPr>
        <w:pStyle w:val="BodyText"/>
        <w:rPr>
          <w:b w:val="0"/>
          <w:szCs w:val="24"/>
        </w:rPr>
      </w:pPr>
      <w:r w:rsidRPr="007806B6">
        <w:rPr>
          <w:b w:val="0"/>
          <w:szCs w:val="24"/>
        </w:rPr>
        <w:t>Subsection 11</w:t>
      </w:r>
      <w:r w:rsidR="00575C83" w:rsidRPr="007806B6">
        <w:rPr>
          <w:b w:val="0"/>
          <w:szCs w:val="24"/>
        </w:rPr>
        <w:t>(2) prescribes that a service under items 93469 and 93475 cannot be provided if:</w:t>
      </w:r>
    </w:p>
    <w:p w14:paraId="3281A256" w14:textId="77777777" w:rsidR="00575C83" w:rsidRPr="007806B6" w:rsidRDefault="00575C83" w:rsidP="00EB5618">
      <w:pPr>
        <w:pStyle w:val="ListParagraph"/>
        <w:numPr>
          <w:ilvl w:val="0"/>
          <w:numId w:val="43"/>
        </w:numPr>
        <w:spacing w:before="40" w:after="100" w:afterAutospacing="1"/>
        <w:contextualSpacing w:val="0"/>
        <w:rPr>
          <w:color w:val="000000"/>
          <w:szCs w:val="24"/>
        </w:rPr>
      </w:pPr>
      <w:r w:rsidRPr="007806B6">
        <w:rPr>
          <w:color w:val="000000"/>
          <w:szCs w:val="24"/>
        </w:rPr>
        <w:t>the service is associated with a service to which items 235 to 240, 735 to 758,  apply; or</w:t>
      </w:r>
    </w:p>
    <w:p w14:paraId="323D79A3" w14:textId="77777777" w:rsidR="00575C83" w:rsidRPr="007806B6" w:rsidRDefault="00575C83" w:rsidP="00EB5618">
      <w:pPr>
        <w:pStyle w:val="ListParagraph"/>
        <w:numPr>
          <w:ilvl w:val="0"/>
          <w:numId w:val="43"/>
        </w:numPr>
        <w:spacing w:before="40" w:after="80"/>
        <w:contextualSpacing w:val="0"/>
        <w:rPr>
          <w:color w:val="000000"/>
          <w:szCs w:val="24"/>
        </w:rPr>
      </w:pPr>
      <w:r w:rsidRPr="007806B6">
        <w:rPr>
          <w:color w:val="000000"/>
          <w:szCs w:val="24"/>
        </w:rPr>
        <w:t>the person has received a service to which item 229 to 233, 721, 723, 729, 731 or 732, 92024, 92025, 92026, 92027, 92028, 92055, 92056, 92057, 92058, 92059, 92068, 92069, 92070, 92071, 92072, 92099,</w:t>
      </w:r>
      <w:r w:rsidRPr="007806B6">
        <w:rPr>
          <w:szCs w:val="24"/>
        </w:rPr>
        <w:t xml:space="preserve"> </w:t>
      </w:r>
      <w:r w:rsidRPr="007806B6">
        <w:rPr>
          <w:color w:val="000000"/>
          <w:szCs w:val="24"/>
        </w:rPr>
        <w:t>92100, 92101, 92102, 92103 applied in the previous 3 months;</w:t>
      </w:r>
    </w:p>
    <w:p w14:paraId="7B70251F" w14:textId="77777777" w:rsidR="00575C83" w:rsidRPr="007806B6" w:rsidRDefault="00575C83" w:rsidP="00EB5618">
      <w:pPr>
        <w:pStyle w:val="ListParagraph"/>
        <w:numPr>
          <w:ilvl w:val="0"/>
          <w:numId w:val="43"/>
        </w:numPr>
        <w:spacing w:before="40" w:after="80"/>
        <w:contextualSpacing w:val="0"/>
        <w:rPr>
          <w:color w:val="000000"/>
          <w:szCs w:val="24"/>
        </w:rPr>
      </w:pPr>
      <w:r w:rsidRPr="007806B6">
        <w:rPr>
          <w:color w:val="000000"/>
          <w:szCs w:val="24"/>
        </w:rPr>
        <w:t>unless there has been a significant change in the patient’s clinical condition or care circumstances that necessitates the performance of the service for the patient.</w:t>
      </w:r>
    </w:p>
    <w:p w14:paraId="47740F9A" w14:textId="5C807654" w:rsidR="00575C83" w:rsidRPr="007806B6" w:rsidRDefault="00072285" w:rsidP="00575C83">
      <w:pPr>
        <w:pStyle w:val="BodyText"/>
        <w:rPr>
          <w:b w:val="0"/>
          <w:szCs w:val="24"/>
        </w:rPr>
      </w:pPr>
      <w:r w:rsidRPr="007806B6">
        <w:rPr>
          <w:b w:val="0"/>
          <w:szCs w:val="24"/>
        </w:rPr>
        <w:lastRenderedPageBreak/>
        <w:t>Subsection 11</w:t>
      </w:r>
      <w:r w:rsidR="00575C83" w:rsidRPr="007806B6">
        <w:rPr>
          <w:b w:val="0"/>
          <w:szCs w:val="24"/>
        </w:rPr>
        <w:t xml:space="preserve">(3) inserts the definitions of a </w:t>
      </w:r>
      <w:r w:rsidR="00575C83" w:rsidRPr="007806B6">
        <w:rPr>
          <w:b w:val="0"/>
          <w:i/>
          <w:szCs w:val="24"/>
        </w:rPr>
        <w:t>multidisciplinary care plan</w:t>
      </w:r>
      <w:r w:rsidR="00575C83" w:rsidRPr="007806B6">
        <w:rPr>
          <w:b w:val="0"/>
          <w:szCs w:val="24"/>
        </w:rPr>
        <w:t xml:space="preserve"> and a </w:t>
      </w:r>
      <w:r w:rsidR="00575C83" w:rsidRPr="007806B6">
        <w:rPr>
          <w:b w:val="0"/>
          <w:i/>
          <w:szCs w:val="24"/>
        </w:rPr>
        <w:t xml:space="preserve">collaborating provider </w:t>
      </w:r>
      <w:r w:rsidR="00575C83" w:rsidRPr="007806B6">
        <w:rPr>
          <w:b w:val="0"/>
          <w:szCs w:val="24"/>
        </w:rPr>
        <w:t>for items 93469 and 93475.</w:t>
      </w:r>
    </w:p>
    <w:p w14:paraId="00E94F88" w14:textId="0390D8BD" w:rsidR="00575C83" w:rsidRPr="007806B6" w:rsidRDefault="00575C83" w:rsidP="00575C83">
      <w:pPr>
        <w:pStyle w:val="BodyText"/>
        <w:rPr>
          <w:b w:val="0"/>
          <w:szCs w:val="24"/>
        </w:rPr>
      </w:pPr>
    </w:p>
    <w:p w14:paraId="66D77392" w14:textId="01FD6752" w:rsidR="00575C83" w:rsidRPr="007806B6" w:rsidRDefault="00575C83" w:rsidP="00575C83">
      <w:pPr>
        <w:pStyle w:val="BodyText"/>
        <w:rPr>
          <w:b w:val="0"/>
          <w:szCs w:val="24"/>
        </w:rPr>
      </w:pPr>
      <w:r w:rsidRPr="007806B6">
        <w:rPr>
          <w:b w:val="0"/>
          <w:szCs w:val="24"/>
        </w:rPr>
        <w:t>Sec</w:t>
      </w:r>
      <w:r w:rsidR="00072285" w:rsidRPr="007806B6">
        <w:rPr>
          <w:b w:val="0"/>
          <w:szCs w:val="24"/>
        </w:rPr>
        <w:t>tion 12</w:t>
      </w:r>
      <w:r w:rsidRPr="007806B6">
        <w:rPr>
          <w:b w:val="0"/>
          <w:szCs w:val="24"/>
        </w:rPr>
        <w:t xml:space="preserve"> provides applications provisions for health assessment items for care recipients in residential aged care facilities of Aboriginal and Torres Strait Islander descent.</w:t>
      </w:r>
    </w:p>
    <w:p w14:paraId="1689F014" w14:textId="03B62860" w:rsidR="00575C83" w:rsidRPr="007806B6" w:rsidRDefault="00575C83" w:rsidP="00575C83">
      <w:pPr>
        <w:pStyle w:val="BodyText"/>
        <w:rPr>
          <w:b w:val="0"/>
          <w:szCs w:val="24"/>
        </w:rPr>
      </w:pPr>
    </w:p>
    <w:p w14:paraId="7E37A88A" w14:textId="572A0F34" w:rsidR="00575C83" w:rsidRPr="007806B6" w:rsidRDefault="00830787" w:rsidP="00575C83">
      <w:pPr>
        <w:pStyle w:val="BodyText"/>
        <w:rPr>
          <w:b w:val="0"/>
          <w:szCs w:val="24"/>
        </w:rPr>
      </w:pPr>
      <w:r w:rsidRPr="007806B6">
        <w:rPr>
          <w:b w:val="0"/>
          <w:szCs w:val="24"/>
        </w:rPr>
        <w:t>Subsection 12</w:t>
      </w:r>
      <w:r w:rsidR="00575C83" w:rsidRPr="007806B6">
        <w:rPr>
          <w:b w:val="0"/>
          <w:szCs w:val="24"/>
        </w:rPr>
        <w:t>(1) provides that items 93470 and 93479 cannot be claimed if the person has received a service under item 228, 715, 92004, 92011, 92016, or 92023 in the previous 9 months.</w:t>
      </w:r>
    </w:p>
    <w:p w14:paraId="21278240" w14:textId="12FA591C" w:rsidR="00575C83" w:rsidRPr="007806B6" w:rsidRDefault="00575C83" w:rsidP="00575C83">
      <w:pPr>
        <w:pStyle w:val="BodyText"/>
        <w:rPr>
          <w:b w:val="0"/>
          <w:szCs w:val="24"/>
        </w:rPr>
      </w:pPr>
    </w:p>
    <w:p w14:paraId="29395001" w14:textId="1B22473E" w:rsidR="00575C83" w:rsidRPr="007806B6" w:rsidRDefault="00830787" w:rsidP="00575C83">
      <w:pPr>
        <w:pStyle w:val="BodyText"/>
        <w:rPr>
          <w:b w:val="0"/>
          <w:szCs w:val="24"/>
        </w:rPr>
      </w:pPr>
      <w:r w:rsidRPr="007806B6">
        <w:rPr>
          <w:b w:val="0"/>
          <w:szCs w:val="24"/>
        </w:rPr>
        <w:t>Subsection 12</w:t>
      </w:r>
      <w:r w:rsidR="00575C83" w:rsidRPr="007806B6">
        <w:rPr>
          <w:b w:val="0"/>
          <w:szCs w:val="24"/>
        </w:rPr>
        <w:t xml:space="preserve">(2) </w:t>
      </w:r>
      <w:r w:rsidR="004864D2" w:rsidRPr="007806B6">
        <w:rPr>
          <w:b w:val="0"/>
          <w:szCs w:val="24"/>
        </w:rPr>
        <w:t xml:space="preserve">provides that items 93470 and 93479 will be treated as if the items were specified in clause 2.15.14 of the general medical services table. Clause 2.15.14 of the Table specifies restrictions on health assessment services. </w:t>
      </w:r>
    </w:p>
    <w:p w14:paraId="30F603FD" w14:textId="3E3358A4" w:rsidR="004864D2" w:rsidRPr="007806B6" w:rsidRDefault="004864D2" w:rsidP="00575C83">
      <w:pPr>
        <w:pStyle w:val="BodyText"/>
        <w:rPr>
          <w:b w:val="0"/>
          <w:szCs w:val="24"/>
        </w:rPr>
      </w:pPr>
    </w:p>
    <w:p w14:paraId="52DC554F" w14:textId="01175F43" w:rsidR="004864D2" w:rsidRPr="007806B6" w:rsidRDefault="004864D2" w:rsidP="00575C83">
      <w:pPr>
        <w:pStyle w:val="BodyText"/>
        <w:rPr>
          <w:b w:val="0"/>
          <w:szCs w:val="24"/>
        </w:rPr>
      </w:pPr>
      <w:r w:rsidRPr="007806B6">
        <w:rPr>
          <w:b w:val="0"/>
          <w:szCs w:val="24"/>
        </w:rPr>
        <w:t xml:space="preserve">Part 2 lists </w:t>
      </w:r>
      <w:r w:rsidR="00EB5618" w:rsidRPr="007806B6">
        <w:rPr>
          <w:b w:val="0"/>
          <w:szCs w:val="24"/>
        </w:rPr>
        <w:t>two</w:t>
      </w:r>
      <w:r w:rsidRPr="007806B6">
        <w:rPr>
          <w:b w:val="0"/>
          <w:szCs w:val="24"/>
        </w:rPr>
        <w:t xml:space="preserve"> items </w:t>
      </w:r>
      <w:r w:rsidR="00740B9A" w:rsidRPr="007806B6">
        <w:rPr>
          <w:b w:val="0"/>
          <w:szCs w:val="24"/>
        </w:rPr>
        <w:t>(93469</w:t>
      </w:r>
      <w:r w:rsidR="00EB5618" w:rsidRPr="007806B6">
        <w:rPr>
          <w:b w:val="0"/>
          <w:szCs w:val="24"/>
        </w:rPr>
        <w:t xml:space="preserve"> and</w:t>
      </w:r>
      <w:r w:rsidR="00740B9A" w:rsidRPr="007806B6">
        <w:rPr>
          <w:b w:val="0"/>
          <w:szCs w:val="24"/>
        </w:rPr>
        <w:t xml:space="preserve"> 93470</w:t>
      </w:r>
      <w:r w:rsidR="00EB5618" w:rsidRPr="007806B6">
        <w:rPr>
          <w:b w:val="0"/>
          <w:szCs w:val="24"/>
        </w:rPr>
        <w:t xml:space="preserve">) </w:t>
      </w:r>
      <w:r w:rsidR="00740B9A" w:rsidRPr="007806B6">
        <w:rPr>
          <w:b w:val="0"/>
          <w:szCs w:val="24"/>
        </w:rPr>
        <w:t xml:space="preserve">for planning and contribution services by a general practitioner </w:t>
      </w:r>
      <w:r w:rsidR="00EB5618" w:rsidRPr="007806B6">
        <w:rPr>
          <w:b w:val="0"/>
          <w:szCs w:val="24"/>
        </w:rPr>
        <w:t xml:space="preserve">and two items (93475 and 93479) </w:t>
      </w:r>
      <w:r w:rsidR="00740B9A" w:rsidRPr="007806B6">
        <w:rPr>
          <w:b w:val="0"/>
          <w:szCs w:val="24"/>
        </w:rPr>
        <w:t xml:space="preserve">or </w:t>
      </w:r>
      <w:r w:rsidR="00EB5618" w:rsidRPr="007806B6">
        <w:rPr>
          <w:b w:val="0"/>
          <w:szCs w:val="24"/>
        </w:rPr>
        <w:t xml:space="preserve">for planning and contribution services by a </w:t>
      </w:r>
      <w:r w:rsidR="00740B9A" w:rsidRPr="007806B6">
        <w:rPr>
          <w:b w:val="0"/>
          <w:szCs w:val="24"/>
        </w:rPr>
        <w:t xml:space="preserve"> medical practitioner. </w:t>
      </w:r>
    </w:p>
    <w:p w14:paraId="25BF715B" w14:textId="31580ABD" w:rsidR="00565A03" w:rsidRPr="007806B6" w:rsidRDefault="00565A03" w:rsidP="00424471">
      <w:pPr>
        <w:pStyle w:val="BodyText"/>
        <w:rPr>
          <w:b w:val="0"/>
          <w:szCs w:val="24"/>
          <w:u w:val="single"/>
        </w:rPr>
      </w:pPr>
    </w:p>
    <w:p w14:paraId="19A0C7FC" w14:textId="66421C1A" w:rsidR="00565A03" w:rsidRPr="007806B6" w:rsidRDefault="00346F5B" w:rsidP="00424471">
      <w:pPr>
        <w:pStyle w:val="BodyText"/>
        <w:rPr>
          <w:szCs w:val="24"/>
          <w:u w:val="single"/>
        </w:rPr>
      </w:pPr>
      <w:r w:rsidRPr="007806B6">
        <w:rPr>
          <w:szCs w:val="24"/>
          <w:u w:val="single"/>
        </w:rPr>
        <w:t>Part 3 – Chronic disease management allied health items for care recipients in residential aged care facilities</w:t>
      </w:r>
    </w:p>
    <w:p w14:paraId="2D4F5584" w14:textId="42A576B3" w:rsidR="00346F5B" w:rsidRPr="007806B6" w:rsidRDefault="00346F5B" w:rsidP="00424471">
      <w:pPr>
        <w:pStyle w:val="BodyText"/>
        <w:rPr>
          <w:b w:val="0"/>
          <w:szCs w:val="24"/>
        </w:rPr>
      </w:pPr>
      <w:r w:rsidRPr="007806B6">
        <w:rPr>
          <w:b w:val="0"/>
          <w:szCs w:val="24"/>
        </w:rPr>
        <w:t>Part 3 of this determination lists chronic disease management allied health items for care recipients in residential aged care facilities.</w:t>
      </w:r>
    </w:p>
    <w:p w14:paraId="60C79BF3" w14:textId="54BD4F0E" w:rsidR="00346F5B" w:rsidRPr="007806B6" w:rsidRDefault="00346F5B" w:rsidP="00424471">
      <w:pPr>
        <w:pStyle w:val="BodyText"/>
        <w:rPr>
          <w:b w:val="0"/>
          <w:szCs w:val="24"/>
        </w:rPr>
      </w:pPr>
    </w:p>
    <w:p w14:paraId="0583A50F" w14:textId="5372F2DB" w:rsidR="00346F5B" w:rsidRPr="007806B6" w:rsidRDefault="00830787" w:rsidP="00346F5B">
      <w:pPr>
        <w:pStyle w:val="BodyText"/>
        <w:rPr>
          <w:b w:val="0"/>
          <w:szCs w:val="24"/>
        </w:rPr>
      </w:pPr>
      <w:r w:rsidRPr="007806B6">
        <w:rPr>
          <w:b w:val="0"/>
          <w:szCs w:val="24"/>
        </w:rPr>
        <w:t>Section 13</w:t>
      </w:r>
      <w:r w:rsidR="00346F5B" w:rsidRPr="007806B6">
        <w:rPr>
          <w:b w:val="0"/>
          <w:szCs w:val="24"/>
        </w:rPr>
        <w:t xml:space="preserve"> prescribes the application of a flag fall amount for services. Providers will receive a flag fall amount plus the standard attendance structure for each patient attendance, if the provider attends to the patient at the residential aged care facility. This amount is intended to reflect the costs </w:t>
      </w:r>
      <w:r w:rsidRPr="007806B6">
        <w:rPr>
          <w:b w:val="0"/>
          <w:szCs w:val="24"/>
        </w:rPr>
        <w:t xml:space="preserve">allied health practitioners </w:t>
      </w:r>
      <w:r w:rsidR="00346F5B" w:rsidRPr="007806B6">
        <w:rPr>
          <w:b w:val="0"/>
          <w:szCs w:val="24"/>
        </w:rPr>
        <w:t>incur when providing professional services in residential aged care facilities.</w:t>
      </w:r>
    </w:p>
    <w:p w14:paraId="265FE98C" w14:textId="77777777" w:rsidR="00346F5B" w:rsidRPr="007806B6" w:rsidRDefault="00346F5B" w:rsidP="00346F5B">
      <w:pPr>
        <w:pStyle w:val="BodyText"/>
        <w:rPr>
          <w:b w:val="0"/>
          <w:szCs w:val="24"/>
        </w:rPr>
      </w:pPr>
    </w:p>
    <w:p w14:paraId="7D8EB7D4" w14:textId="216FD798" w:rsidR="00346F5B" w:rsidRPr="007806B6" w:rsidRDefault="00346F5B" w:rsidP="00346F5B">
      <w:pPr>
        <w:pStyle w:val="BodyText"/>
        <w:rPr>
          <w:b w:val="0"/>
          <w:szCs w:val="24"/>
        </w:rPr>
      </w:pPr>
      <w:r w:rsidRPr="007806B6">
        <w:rPr>
          <w:b w:val="0"/>
          <w:szCs w:val="24"/>
        </w:rPr>
        <w:t xml:space="preserve">For the first patient attended by an allied health practitioner at one residential aged care facility, the fee for the service under item in Part 3 of this Determination applies plus </w:t>
      </w:r>
      <w:r w:rsidR="00671947" w:rsidRPr="007806B6">
        <w:rPr>
          <w:b w:val="0"/>
          <w:szCs w:val="24"/>
        </w:rPr>
        <w:t>$48.50.</w:t>
      </w:r>
      <w:r w:rsidRPr="007806B6">
        <w:rPr>
          <w:b w:val="0"/>
          <w:szCs w:val="24"/>
        </w:rPr>
        <w:t xml:space="preserve"> The flag fall fee does not apply to a service provided under item 93537 or 93538.</w:t>
      </w:r>
    </w:p>
    <w:p w14:paraId="5A5E334E" w14:textId="3B54F1BD" w:rsidR="00DC6AC4" w:rsidRPr="007806B6" w:rsidRDefault="00DC6AC4" w:rsidP="00346F5B">
      <w:pPr>
        <w:pStyle w:val="BodyText"/>
        <w:rPr>
          <w:b w:val="0"/>
          <w:szCs w:val="24"/>
        </w:rPr>
      </w:pPr>
    </w:p>
    <w:p w14:paraId="44CABC92" w14:textId="385BDA12" w:rsidR="00DC6AC4" w:rsidRPr="007806B6" w:rsidRDefault="00830787" w:rsidP="00346F5B">
      <w:pPr>
        <w:pStyle w:val="BodyText"/>
        <w:rPr>
          <w:b w:val="0"/>
          <w:szCs w:val="24"/>
        </w:rPr>
      </w:pPr>
      <w:r w:rsidRPr="007806B6">
        <w:rPr>
          <w:b w:val="0"/>
          <w:szCs w:val="24"/>
        </w:rPr>
        <w:t xml:space="preserve">Section 14 </w:t>
      </w:r>
      <w:r w:rsidR="00DC6AC4" w:rsidRPr="007806B6">
        <w:rPr>
          <w:b w:val="0"/>
          <w:szCs w:val="24"/>
        </w:rPr>
        <w:t xml:space="preserve">provides claiming limitations for chronic disease management items for care recipients in residential aged care facilities. An item in subgroup 1 or 3 of Group M29 </w:t>
      </w:r>
      <w:r w:rsidRPr="007806B6">
        <w:rPr>
          <w:b w:val="0"/>
          <w:szCs w:val="24"/>
        </w:rPr>
        <w:t xml:space="preserve">or M3 </w:t>
      </w:r>
      <w:r w:rsidR="00DC6AC4" w:rsidRPr="007806B6">
        <w:rPr>
          <w:b w:val="0"/>
          <w:szCs w:val="24"/>
        </w:rPr>
        <w:t>is not applicable more than 5 times in a calendar year (in total for all items). An item subgroup 2 of Group M29 is not applicable more than 5 times in a calendar year (in total for all items). An item in Group M3 or M29 is not applicable more than 10 times in a calendar year (in total for all items).</w:t>
      </w:r>
      <w:r w:rsidRPr="007806B6">
        <w:rPr>
          <w:b w:val="0"/>
          <w:szCs w:val="24"/>
        </w:rPr>
        <w:t xml:space="preserve"> Items in Group M3 are prescribed in the </w:t>
      </w:r>
      <w:r w:rsidRPr="007806B6">
        <w:rPr>
          <w:b w:val="0"/>
          <w:i/>
          <w:szCs w:val="24"/>
        </w:rPr>
        <w:t>Health Insurance (Allied Health Services) Determination 2014.</w:t>
      </w:r>
    </w:p>
    <w:p w14:paraId="4CF86297" w14:textId="746D593C" w:rsidR="00DC6AC4" w:rsidRPr="007806B6" w:rsidRDefault="00DC6AC4" w:rsidP="00346F5B">
      <w:pPr>
        <w:pStyle w:val="BodyText"/>
        <w:rPr>
          <w:b w:val="0"/>
          <w:szCs w:val="24"/>
        </w:rPr>
      </w:pPr>
    </w:p>
    <w:p w14:paraId="3ECD0AA6" w14:textId="02E4BB8F" w:rsidR="00DC6AC4" w:rsidRPr="007806B6" w:rsidRDefault="00DC6AC4" w:rsidP="00346F5B">
      <w:pPr>
        <w:pStyle w:val="BodyText"/>
        <w:rPr>
          <w:b w:val="0"/>
          <w:szCs w:val="24"/>
        </w:rPr>
      </w:pPr>
      <w:r w:rsidRPr="007806B6">
        <w:rPr>
          <w:b w:val="0"/>
          <w:szCs w:val="24"/>
        </w:rPr>
        <w:t xml:space="preserve">Part 3 lists </w:t>
      </w:r>
      <w:r w:rsidR="006A0D81" w:rsidRPr="007806B6">
        <w:rPr>
          <w:b w:val="0"/>
          <w:szCs w:val="24"/>
        </w:rPr>
        <w:t>13</w:t>
      </w:r>
      <w:r w:rsidRPr="007806B6">
        <w:rPr>
          <w:b w:val="0"/>
          <w:szCs w:val="24"/>
        </w:rPr>
        <w:t xml:space="preserve"> items (93501, 93502, 93503</w:t>
      </w:r>
      <w:r w:rsidR="006A0D81" w:rsidRPr="007806B6">
        <w:rPr>
          <w:b w:val="0"/>
          <w:szCs w:val="24"/>
        </w:rPr>
        <w:t>, 93504</w:t>
      </w:r>
      <w:r w:rsidR="006A0D81" w:rsidRPr="007806B6">
        <w:rPr>
          <w:b w:val="0"/>
          <w:sz w:val="22"/>
          <w:szCs w:val="22"/>
        </w:rPr>
        <w:t xml:space="preserve">, </w:t>
      </w:r>
      <w:r w:rsidR="006A0D81" w:rsidRPr="007806B6">
        <w:rPr>
          <w:b w:val="0"/>
          <w:szCs w:val="24"/>
        </w:rPr>
        <w:t xml:space="preserve">93505, 93506, 93507, 93508, 93509, 93510, 93511, 93512 and 93513) </w:t>
      </w:r>
      <w:r w:rsidRPr="007806B6">
        <w:rPr>
          <w:b w:val="0"/>
          <w:szCs w:val="24"/>
        </w:rPr>
        <w:t>for an initial allied health services that is at least 30 minutes in duration</w:t>
      </w:r>
      <w:r w:rsidR="006A0D81" w:rsidRPr="007806B6">
        <w:rPr>
          <w:b w:val="0"/>
          <w:szCs w:val="24"/>
        </w:rPr>
        <w:t>, three physical therapy items (93518, 93519 and 93520) that are at least 20 minutes in duration, 15 items (93524, 93525, 93526, 93527, 93528, 93529, 93530, 93531, 93532, 93533, 93534, 93535, 93536, 93537 and 93538) for a subsequent allied health service that are at least 20 minutes in duration.</w:t>
      </w:r>
    </w:p>
    <w:p w14:paraId="21C4DF9A" w14:textId="0929DBA0" w:rsidR="002305B8" w:rsidRPr="007806B6" w:rsidRDefault="002305B8" w:rsidP="00346F5B">
      <w:pPr>
        <w:pStyle w:val="BodyText"/>
        <w:rPr>
          <w:b w:val="0"/>
          <w:szCs w:val="24"/>
        </w:rPr>
      </w:pPr>
    </w:p>
    <w:p w14:paraId="25DB4046" w14:textId="04ED1AD3" w:rsidR="002305B8" w:rsidRPr="007806B6" w:rsidRDefault="002305B8" w:rsidP="00830787">
      <w:pPr>
        <w:pStyle w:val="BodyText"/>
        <w:keepNext/>
        <w:rPr>
          <w:szCs w:val="24"/>
          <w:u w:val="single"/>
        </w:rPr>
      </w:pPr>
      <w:r w:rsidRPr="007806B6">
        <w:rPr>
          <w:szCs w:val="24"/>
          <w:u w:val="single"/>
        </w:rPr>
        <w:lastRenderedPageBreak/>
        <w:t>Part 4 – Chronic disease management allied health items for care recipients in residential aged care facilities of Aboriginal and Torres Strait Islander descent</w:t>
      </w:r>
    </w:p>
    <w:p w14:paraId="7250495F" w14:textId="05978415" w:rsidR="00346F5B" w:rsidRPr="007806B6" w:rsidRDefault="002305B8" w:rsidP="00830787">
      <w:pPr>
        <w:pStyle w:val="BodyText"/>
        <w:keepNext/>
        <w:rPr>
          <w:b w:val="0"/>
          <w:szCs w:val="24"/>
        </w:rPr>
      </w:pPr>
      <w:r w:rsidRPr="007806B6">
        <w:rPr>
          <w:b w:val="0"/>
          <w:szCs w:val="24"/>
        </w:rPr>
        <w:t>Part 4 of this determination lists chronic disease management allied health items for care recipients in residential aged care facilities of Aboriginal and Torres Strait Islander descent.</w:t>
      </w:r>
    </w:p>
    <w:p w14:paraId="20B2CA7C" w14:textId="491E49AF" w:rsidR="002305B8" w:rsidRPr="007806B6" w:rsidRDefault="002305B8" w:rsidP="00424471">
      <w:pPr>
        <w:pStyle w:val="BodyText"/>
        <w:rPr>
          <w:b w:val="0"/>
          <w:szCs w:val="24"/>
        </w:rPr>
      </w:pPr>
    </w:p>
    <w:p w14:paraId="29FDAA66" w14:textId="64A671E2" w:rsidR="002305B8" w:rsidRPr="007806B6" w:rsidRDefault="002305B8" w:rsidP="00424471">
      <w:pPr>
        <w:pStyle w:val="BodyText"/>
        <w:rPr>
          <w:b w:val="0"/>
          <w:szCs w:val="24"/>
        </w:rPr>
      </w:pPr>
      <w:r w:rsidRPr="007806B6">
        <w:rPr>
          <w:b w:val="0"/>
          <w:szCs w:val="24"/>
        </w:rPr>
        <w:t xml:space="preserve">Section 15 prescribes the application of a flag fall amount for services. Providers will receive a flag fall amount plus the standard attendance structure for each patient attendance, if the provider attends to the patient at the residential aged care facility. This amount is intended to reflect the costs </w:t>
      </w:r>
      <w:r w:rsidR="00830787" w:rsidRPr="007806B6">
        <w:rPr>
          <w:b w:val="0"/>
          <w:szCs w:val="24"/>
        </w:rPr>
        <w:t>allied health practitioners</w:t>
      </w:r>
      <w:r w:rsidRPr="007806B6">
        <w:rPr>
          <w:b w:val="0"/>
          <w:szCs w:val="24"/>
        </w:rPr>
        <w:t xml:space="preserve"> incur when providing professional services in residential aged care facilities.</w:t>
      </w:r>
    </w:p>
    <w:p w14:paraId="6AB37917" w14:textId="52EC9BFF" w:rsidR="00346F5B" w:rsidRPr="007806B6" w:rsidRDefault="00346F5B" w:rsidP="00424471">
      <w:pPr>
        <w:pStyle w:val="BodyText"/>
        <w:rPr>
          <w:b w:val="0"/>
          <w:szCs w:val="24"/>
          <w:u w:val="single"/>
        </w:rPr>
      </w:pPr>
    </w:p>
    <w:p w14:paraId="2BD686D6" w14:textId="2EE8D74D" w:rsidR="002305B8" w:rsidRPr="007806B6" w:rsidRDefault="002305B8" w:rsidP="002305B8">
      <w:pPr>
        <w:pStyle w:val="BodyText"/>
        <w:rPr>
          <w:b w:val="0"/>
          <w:szCs w:val="24"/>
        </w:rPr>
      </w:pPr>
      <w:r w:rsidRPr="007806B6">
        <w:rPr>
          <w:b w:val="0"/>
          <w:szCs w:val="24"/>
        </w:rPr>
        <w:t xml:space="preserve">For the first patient attended by an </w:t>
      </w:r>
      <w:r w:rsidR="007F1FFE" w:rsidRPr="007806B6">
        <w:rPr>
          <w:b w:val="0"/>
          <w:szCs w:val="24"/>
        </w:rPr>
        <w:t xml:space="preserve">eligible </w:t>
      </w:r>
      <w:r w:rsidRPr="007806B6">
        <w:rPr>
          <w:b w:val="0"/>
          <w:szCs w:val="24"/>
        </w:rPr>
        <w:t>allied health practitioner at one residential aged care facility, the fee for the service under item i</w:t>
      </w:r>
      <w:r w:rsidR="007F1FFE" w:rsidRPr="007806B6">
        <w:rPr>
          <w:b w:val="0"/>
          <w:szCs w:val="24"/>
        </w:rPr>
        <w:t>n Part 4</w:t>
      </w:r>
      <w:r w:rsidRPr="007806B6">
        <w:rPr>
          <w:b w:val="0"/>
          <w:szCs w:val="24"/>
        </w:rPr>
        <w:t xml:space="preserve"> of this Determination applies plus </w:t>
      </w:r>
      <w:r w:rsidR="00671947" w:rsidRPr="007806B6">
        <w:rPr>
          <w:b w:val="0"/>
          <w:szCs w:val="24"/>
        </w:rPr>
        <w:t>$48.50</w:t>
      </w:r>
      <w:r w:rsidRPr="007806B6">
        <w:rPr>
          <w:b w:val="0"/>
          <w:szCs w:val="24"/>
        </w:rPr>
        <w:t xml:space="preserve">. The flag fall fee does not apply to a service provided under item </w:t>
      </w:r>
      <w:r w:rsidR="007F1FFE" w:rsidRPr="007806B6">
        <w:rPr>
          <w:b w:val="0"/>
          <w:szCs w:val="24"/>
        </w:rPr>
        <w:t>93592 or 93593</w:t>
      </w:r>
      <w:r w:rsidRPr="007806B6">
        <w:rPr>
          <w:b w:val="0"/>
          <w:szCs w:val="24"/>
        </w:rPr>
        <w:t>.</w:t>
      </w:r>
    </w:p>
    <w:p w14:paraId="071ADDAE" w14:textId="732B9D2E" w:rsidR="004026EF" w:rsidRPr="007806B6" w:rsidRDefault="004026EF" w:rsidP="002305B8">
      <w:pPr>
        <w:pStyle w:val="BodyText"/>
        <w:rPr>
          <w:b w:val="0"/>
          <w:szCs w:val="24"/>
        </w:rPr>
      </w:pPr>
    </w:p>
    <w:p w14:paraId="6B39E825" w14:textId="4D2E945C" w:rsidR="004026EF" w:rsidRPr="007806B6" w:rsidRDefault="004026EF" w:rsidP="002305B8">
      <w:pPr>
        <w:pStyle w:val="BodyText"/>
        <w:rPr>
          <w:b w:val="0"/>
          <w:szCs w:val="24"/>
        </w:rPr>
      </w:pPr>
      <w:r w:rsidRPr="007806B6">
        <w:rPr>
          <w:b w:val="0"/>
          <w:szCs w:val="24"/>
        </w:rPr>
        <w:t>Section 16 provides claiming limitations for chronic disease management items for care recipients in residential aged care facilities of Aboriginal and Torres Strait Islander descent. An item in subgroup 1 or 3 of Group M30</w:t>
      </w:r>
      <w:r w:rsidR="00830787" w:rsidRPr="007806B6">
        <w:rPr>
          <w:b w:val="0"/>
          <w:szCs w:val="24"/>
        </w:rPr>
        <w:t xml:space="preserve"> or M11</w:t>
      </w:r>
      <w:r w:rsidRPr="007806B6">
        <w:rPr>
          <w:b w:val="0"/>
          <w:szCs w:val="24"/>
        </w:rPr>
        <w:t xml:space="preserve"> is not applicable more than 5 times in a calendar year (in total for all items). An item in subgroup 2 of Group M30 is not applicable more than 5 times in a calendar year (in total for all items). An item in Group M11 or M30 is not applicable more than 10 times in a calendar year (in total for all items).</w:t>
      </w:r>
      <w:r w:rsidR="00830787" w:rsidRPr="007806B6">
        <w:rPr>
          <w:sz w:val="18"/>
          <w:szCs w:val="18"/>
        </w:rPr>
        <w:t xml:space="preserve"> </w:t>
      </w:r>
      <w:r w:rsidR="00830787" w:rsidRPr="007806B6">
        <w:rPr>
          <w:b w:val="0"/>
          <w:szCs w:val="24"/>
        </w:rPr>
        <w:t xml:space="preserve">Items in Group M11 are prescribed in the </w:t>
      </w:r>
      <w:r w:rsidR="00830787" w:rsidRPr="007806B6">
        <w:rPr>
          <w:b w:val="0"/>
          <w:i/>
          <w:szCs w:val="24"/>
        </w:rPr>
        <w:t>Health Insurance (Allied Health Services) Determination 2014</w:t>
      </w:r>
      <w:r w:rsidR="00830787" w:rsidRPr="007806B6">
        <w:rPr>
          <w:b w:val="0"/>
          <w:szCs w:val="24"/>
        </w:rPr>
        <w:t>.</w:t>
      </w:r>
    </w:p>
    <w:p w14:paraId="48A079E5" w14:textId="6ED915C5" w:rsidR="004026EF" w:rsidRPr="007806B6" w:rsidRDefault="004026EF" w:rsidP="002305B8">
      <w:pPr>
        <w:pStyle w:val="BodyText"/>
        <w:rPr>
          <w:b w:val="0"/>
          <w:szCs w:val="24"/>
        </w:rPr>
      </w:pPr>
    </w:p>
    <w:p w14:paraId="5A296445" w14:textId="5C29605C" w:rsidR="002305B8" w:rsidRPr="007806B6" w:rsidRDefault="004026EF" w:rsidP="00424471">
      <w:pPr>
        <w:pStyle w:val="BodyText"/>
        <w:rPr>
          <w:b w:val="0"/>
          <w:szCs w:val="24"/>
        </w:rPr>
      </w:pPr>
      <w:r w:rsidRPr="007806B6">
        <w:rPr>
          <w:b w:val="0"/>
          <w:szCs w:val="24"/>
        </w:rPr>
        <w:t xml:space="preserve">Part 4 lists </w:t>
      </w:r>
      <w:r w:rsidR="00671947" w:rsidRPr="007806B6">
        <w:rPr>
          <w:b w:val="0"/>
          <w:szCs w:val="24"/>
        </w:rPr>
        <w:t>13</w:t>
      </w:r>
      <w:r w:rsidRPr="007806B6">
        <w:rPr>
          <w:b w:val="0"/>
          <w:szCs w:val="24"/>
        </w:rPr>
        <w:t xml:space="preserve"> items (</w:t>
      </w:r>
      <w:r w:rsidR="009A3A31" w:rsidRPr="007806B6">
        <w:rPr>
          <w:b w:val="0"/>
          <w:szCs w:val="24"/>
        </w:rPr>
        <w:t>93546</w:t>
      </w:r>
      <w:r w:rsidRPr="007806B6">
        <w:rPr>
          <w:b w:val="0"/>
          <w:szCs w:val="24"/>
        </w:rPr>
        <w:t xml:space="preserve">, 93547, 93548, 93549, 93550, </w:t>
      </w:r>
      <w:r w:rsidR="009A3A31" w:rsidRPr="007806B6">
        <w:rPr>
          <w:b w:val="0"/>
          <w:szCs w:val="24"/>
        </w:rPr>
        <w:t>93551,</w:t>
      </w:r>
      <w:r w:rsidRPr="007806B6">
        <w:rPr>
          <w:b w:val="0"/>
          <w:szCs w:val="24"/>
        </w:rPr>
        <w:t xml:space="preserve"> 93552, 93553, 93554, 93555, 93556, 93557 and 93558) for an initial allied health services that is at least 30 minutes in duration, three physical therapy items (93571, 93572 and 93573) that are at least 20 minutes in duration, </w:t>
      </w:r>
      <w:r w:rsidR="009A3A31" w:rsidRPr="007806B6">
        <w:rPr>
          <w:b w:val="0"/>
          <w:szCs w:val="24"/>
        </w:rPr>
        <w:t>15</w:t>
      </w:r>
      <w:r w:rsidRPr="007806B6">
        <w:rPr>
          <w:b w:val="0"/>
          <w:szCs w:val="24"/>
        </w:rPr>
        <w:t xml:space="preserve"> items (93579, 93580,</w:t>
      </w:r>
      <w:r w:rsidRPr="007806B6">
        <w:rPr>
          <w:rFonts w:eastAsiaTheme="minorHAnsi"/>
          <w:b w:val="0"/>
          <w:sz w:val="22"/>
          <w:szCs w:val="22"/>
          <w:lang w:eastAsia="en-US"/>
        </w:rPr>
        <w:t xml:space="preserve"> </w:t>
      </w:r>
      <w:r w:rsidRPr="007806B6">
        <w:rPr>
          <w:b w:val="0"/>
          <w:szCs w:val="24"/>
        </w:rPr>
        <w:t>93581, 93582, 93583, 93584, 93585, 93586, 93587, 93588, 93589, 93590, 93591, 93592 and 93593)</w:t>
      </w:r>
      <w:r w:rsidR="0007493C" w:rsidRPr="007806B6">
        <w:rPr>
          <w:b w:val="0"/>
          <w:szCs w:val="24"/>
        </w:rPr>
        <w:t xml:space="preserve"> for </w:t>
      </w:r>
      <w:r w:rsidR="00222547" w:rsidRPr="007806B6">
        <w:rPr>
          <w:b w:val="0"/>
          <w:szCs w:val="24"/>
        </w:rPr>
        <w:t>subsequent allied health</w:t>
      </w:r>
      <w:r w:rsidR="0007493C" w:rsidRPr="007806B6">
        <w:rPr>
          <w:b w:val="0"/>
          <w:szCs w:val="24"/>
        </w:rPr>
        <w:t xml:space="preserve"> services that are at least 20 minutes in duration.</w:t>
      </w:r>
    </w:p>
    <w:p w14:paraId="7FF06968" w14:textId="45D8E53E" w:rsidR="00FB48C4" w:rsidRPr="007806B6" w:rsidRDefault="00FB48C4" w:rsidP="00424471">
      <w:pPr>
        <w:pStyle w:val="BodyText"/>
        <w:rPr>
          <w:b w:val="0"/>
          <w:szCs w:val="24"/>
        </w:rPr>
      </w:pPr>
    </w:p>
    <w:p w14:paraId="357DC74C" w14:textId="614DADE3" w:rsidR="002305B8" w:rsidRPr="007806B6" w:rsidRDefault="00FB48C4" w:rsidP="00424471">
      <w:pPr>
        <w:pStyle w:val="BodyText"/>
        <w:rPr>
          <w:szCs w:val="24"/>
          <w:u w:val="single"/>
        </w:rPr>
      </w:pPr>
      <w:r w:rsidRPr="007806B6">
        <w:rPr>
          <w:szCs w:val="24"/>
          <w:u w:val="single"/>
        </w:rPr>
        <w:t>Part 5 – Allied health group items for care recipients in residential aged care facilities</w:t>
      </w:r>
    </w:p>
    <w:p w14:paraId="067E4AA3" w14:textId="21C4DE5A" w:rsidR="00FB48C4" w:rsidRPr="007806B6" w:rsidRDefault="00FB48C4" w:rsidP="00424471">
      <w:pPr>
        <w:pStyle w:val="BodyText"/>
        <w:rPr>
          <w:b w:val="0"/>
          <w:szCs w:val="24"/>
        </w:rPr>
      </w:pPr>
      <w:r w:rsidRPr="007806B6">
        <w:rPr>
          <w:b w:val="0"/>
          <w:szCs w:val="24"/>
        </w:rPr>
        <w:t>Part 5 lists allied health group items for care recipients in residential aged care facilities.</w:t>
      </w:r>
    </w:p>
    <w:p w14:paraId="4D57D95D" w14:textId="156D0D66" w:rsidR="00FB48C4" w:rsidRPr="007806B6" w:rsidRDefault="00FB48C4" w:rsidP="00424471">
      <w:pPr>
        <w:pStyle w:val="BodyText"/>
        <w:rPr>
          <w:b w:val="0"/>
          <w:szCs w:val="24"/>
        </w:rPr>
      </w:pPr>
    </w:p>
    <w:p w14:paraId="69C4FFF4" w14:textId="61A88A9F" w:rsidR="00FB48C4" w:rsidRPr="007806B6" w:rsidRDefault="00830787" w:rsidP="00FB48C4">
      <w:pPr>
        <w:pStyle w:val="BodyText"/>
        <w:rPr>
          <w:b w:val="0"/>
          <w:szCs w:val="24"/>
        </w:rPr>
      </w:pPr>
      <w:r w:rsidRPr="007806B6">
        <w:rPr>
          <w:b w:val="0"/>
          <w:szCs w:val="24"/>
        </w:rPr>
        <w:t>Section 17</w:t>
      </w:r>
      <w:r w:rsidR="00FB48C4" w:rsidRPr="007806B6">
        <w:rPr>
          <w:b w:val="0"/>
          <w:szCs w:val="24"/>
        </w:rPr>
        <w:t xml:space="preserve"> prescribes the application of a flag fall amount for services. Providers will receive a flag fall amount plus the standard attendance structure for each patient attendance, if the provider attends to the patient at the residential aged care facility. This amount is intended to reflect the costs </w:t>
      </w:r>
      <w:r w:rsidRPr="007806B6">
        <w:rPr>
          <w:b w:val="0"/>
          <w:szCs w:val="24"/>
        </w:rPr>
        <w:t xml:space="preserve">allied health practitioners </w:t>
      </w:r>
      <w:r w:rsidR="00FB48C4" w:rsidRPr="007806B6">
        <w:rPr>
          <w:b w:val="0"/>
          <w:szCs w:val="24"/>
        </w:rPr>
        <w:t>incur when providing professional services in residential aged care facilities.</w:t>
      </w:r>
    </w:p>
    <w:p w14:paraId="459C27C8" w14:textId="77777777" w:rsidR="00FB48C4" w:rsidRPr="007806B6" w:rsidRDefault="00FB48C4" w:rsidP="00FB48C4">
      <w:pPr>
        <w:pStyle w:val="BodyText"/>
        <w:rPr>
          <w:b w:val="0"/>
          <w:szCs w:val="24"/>
        </w:rPr>
      </w:pPr>
    </w:p>
    <w:p w14:paraId="13A7CC03" w14:textId="202E7C22" w:rsidR="00FB48C4" w:rsidRPr="007806B6" w:rsidRDefault="00FB48C4" w:rsidP="00FB48C4">
      <w:pPr>
        <w:pStyle w:val="BodyText"/>
        <w:rPr>
          <w:b w:val="0"/>
          <w:szCs w:val="24"/>
        </w:rPr>
      </w:pPr>
      <w:r w:rsidRPr="007806B6">
        <w:rPr>
          <w:b w:val="0"/>
          <w:szCs w:val="24"/>
        </w:rPr>
        <w:t>For the first patient attended by an eligible allied health practitioner at one residential aged care facility, the fee for the service under item in Part 5 of this Determination applies plus $48.50.</w:t>
      </w:r>
    </w:p>
    <w:p w14:paraId="325CF6D9" w14:textId="7DC99331" w:rsidR="00FB48C4" w:rsidRPr="007806B6" w:rsidRDefault="00FB48C4" w:rsidP="00FB48C4">
      <w:pPr>
        <w:pStyle w:val="BodyText"/>
        <w:rPr>
          <w:b w:val="0"/>
          <w:szCs w:val="24"/>
        </w:rPr>
      </w:pPr>
    </w:p>
    <w:p w14:paraId="3920C73F" w14:textId="67E190D1" w:rsidR="00FB48C4" w:rsidRPr="007806B6" w:rsidRDefault="00EA4BFE" w:rsidP="00FB48C4">
      <w:pPr>
        <w:pStyle w:val="BodyText"/>
        <w:rPr>
          <w:b w:val="0"/>
          <w:szCs w:val="24"/>
        </w:rPr>
      </w:pPr>
      <w:r w:rsidRPr="007806B6">
        <w:rPr>
          <w:b w:val="0"/>
          <w:szCs w:val="24"/>
        </w:rPr>
        <w:t>Section 18</w:t>
      </w:r>
      <w:r w:rsidR="00FB48C4" w:rsidRPr="007806B6">
        <w:rPr>
          <w:b w:val="0"/>
          <w:szCs w:val="24"/>
        </w:rPr>
        <w:t xml:space="preserve"> provides claiming limitations for allied health group service items for care recipients in residential aged care facilities. An item in subgroup 1 or 3 of Group M31</w:t>
      </w:r>
      <w:r w:rsidRPr="007806B6">
        <w:rPr>
          <w:b w:val="0"/>
          <w:szCs w:val="24"/>
        </w:rPr>
        <w:t>or 81100, 81110 or 81120 is not applicable more than 1 time</w:t>
      </w:r>
      <w:r w:rsidR="00FB48C4" w:rsidRPr="007806B6">
        <w:rPr>
          <w:b w:val="0"/>
          <w:szCs w:val="24"/>
        </w:rPr>
        <w:t xml:space="preserve"> in a calendar year (in total for all items). An item in subgroup 3 of Group M31</w:t>
      </w:r>
      <w:r w:rsidRPr="007806B6">
        <w:rPr>
          <w:b w:val="0"/>
          <w:szCs w:val="24"/>
        </w:rPr>
        <w:t xml:space="preserve"> or 81105, 81115 or 81125 is not applicable more than 8</w:t>
      </w:r>
      <w:r w:rsidR="00FB48C4" w:rsidRPr="007806B6">
        <w:rPr>
          <w:b w:val="0"/>
          <w:szCs w:val="24"/>
        </w:rPr>
        <w:t xml:space="preserve"> times in a calendar year. An </w:t>
      </w:r>
      <w:r w:rsidRPr="007806B6">
        <w:rPr>
          <w:b w:val="0"/>
          <w:szCs w:val="24"/>
        </w:rPr>
        <w:t xml:space="preserve">item </w:t>
      </w:r>
      <w:r w:rsidR="00FB48C4" w:rsidRPr="007806B6">
        <w:rPr>
          <w:b w:val="0"/>
          <w:szCs w:val="24"/>
        </w:rPr>
        <w:t xml:space="preserve">in </w:t>
      </w:r>
      <w:r w:rsidRPr="007806B6">
        <w:rPr>
          <w:b w:val="0"/>
          <w:szCs w:val="24"/>
        </w:rPr>
        <w:t xml:space="preserve">subgroup 3 of </w:t>
      </w:r>
      <w:r w:rsidR="00FB48C4" w:rsidRPr="007806B6">
        <w:rPr>
          <w:b w:val="0"/>
          <w:szCs w:val="24"/>
        </w:rPr>
        <w:t xml:space="preserve">Group </w:t>
      </w:r>
      <w:r w:rsidRPr="007806B6">
        <w:rPr>
          <w:b w:val="0"/>
          <w:szCs w:val="24"/>
        </w:rPr>
        <w:t>M31</w:t>
      </w:r>
      <w:r w:rsidR="00FB48C4" w:rsidRPr="007806B6">
        <w:rPr>
          <w:b w:val="0"/>
          <w:szCs w:val="24"/>
        </w:rPr>
        <w:t xml:space="preserve"> is not applicable more than </w:t>
      </w:r>
      <w:r w:rsidRPr="007806B6">
        <w:rPr>
          <w:b w:val="0"/>
          <w:szCs w:val="24"/>
        </w:rPr>
        <w:t>2</w:t>
      </w:r>
      <w:r w:rsidR="00FB48C4" w:rsidRPr="007806B6">
        <w:rPr>
          <w:b w:val="0"/>
          <w:szCs w:val="24"/>
        </w:rPr>
        <w:t xml:space="preserve"> times in a calendar year (in total for all items).</w:t>
      </w:r>
      <w:r w:rsidRPr="007806B6">
        <w:rPr>
          <w:sz w:val="18"/>
          <w:szCs w:val="18"/>
        </w:rPr>
        <w:t xml:space="preserve"> </w:t>
      </w:r>
      <w:r w:rsidRPr="007806B6">
        <w:rPr>
          <w:b w:val="0"/>
          <w:szCs w:val="24"/>
        </w:rPr>
        <w:t xml:space="preserve">Items in 81100, 81105, 81110, 81115, 81120 and 81125 are prescribed in the </w:t>
      </w:r>
      <w:r w:rsidRPr="007806B6">
        <w:rPr>
          <w:b w:val="0"/>
          <w:i/>
          <w:szCs w:val="24"/>
        </w:rPr>
        <w:t>Health Insurance (Allied Health Services) Determination 2014.</w:t>
      </w:r>
    </w:p>
    <w:p w14:paraId="789F3609" w14:textId="09DA1718" w:rsidR="00FB48C4" w:rsidRPr="007806B6" w:rsidRDefault="00FB48C4" w:rsidP="00FB48C4">
      <w:pPr>
        <w:pStyle w:val="BodyText"/>
        <w:rPr>
          <w:b w:val="0"/>
          <w:szCs w:val="24"/>
        </w:rPr>
      </w:pPr>
    </w:p>
    <w:p w14:paraId="69A5A848" w14:textId="4CBFE26A" w:rsidR="00FB48C4" w:rsidRPr="007806B6" w:rsidRDefault="00FB48C4" w:rsidP="00FB48C4">
      <w:pPr>
        <w:pStyle w:val="BodyText"/>
        <w:rPr>
          <w:b w:val="0"/>
          <w:szCs w:val="24"/>
        </w:rPr>
      </w:pPr>
      <w:r w:rsidRPr="007806B6">
        <w:rPr>
          <w:b w:val="0"/>
          <w:szCs w:val="24"/>
        </w:rPr>
        <w:lastRenderedPageBreak/>
        <w:t xml:space="preserve">Part 5 lists three assessment </w:t>
      </w:r>
      <w:r w:rsidR="00675664" w:rsidRPr="007806B6">
        <w:rPr>
          <w:b w:val="0"/>
          <w:szCs w:val="24"/>
        </w:rPr>
        <w:t xml:space="preserve">group </w:t>
      </w:r>
      <w:r w:rsidRPr="007806B6">
        <w:rPr>
          <w:b w:val="0"/>
          <w:szCs w:val="24"/>
        </w:rPr>
        <w:t xml:space="preserve">items (93606, 93607 and 93608) for services that are at least 45 minutes in duration, three </w:t>
      </w:r>
      <w:r w:rsidR="00675664" w:rsidRPr="007806B6">
        <w:rPr>
          <w:b w:val="0"/>
          <w:szCs w:val="24"/>
        </w:rPr>
        <w:t xml:space="preserve">allied health group </w:t>
      </w:r>
      <w:r w:rsidRPr="007806B6">
        <w:rPr>
          <w:b w:val="0"/>
          <w:szCs w:val="24"/>
        </w:rPr>
        <w:t xml:space="preserve">items (93613, 93614 and 93615) </w:t>
      </w:r>
      <w:r w:rsidR="00675664" w:rsidRPr="007806B6">
        <w:rPr>
          <w:b w:val="0"/>
          <w:szCs w:val="24"/>
        </w:rPr>
        <w:t xml:space="preserve">for services </w:t>
      </w:r>
      <w:r w:rsidRPr="007806B6">
        <w:rPr>
          <w:b w:val="0"/>
          <w:szCs w:val="24"/>
        </w:rPr>
        <w:t xml:space="preserve">that </w:t>
      </w:r>
      <w:r w:rsidR="00675664" w:rsidRPr="007806B6">
        <w:rPr>
          <w:b w:val="0"/>
          <w:szCs w:val="24"/>
        </w:rPr>
        <w:t>are</w:t>
      </w:r>
      <w:r w:rsidRPr="007806B6">
        <w:rPr>
          <w:b w:val="0"/>
          <w:szCs w:val="24"/>
        </w:rPr>
        <w:t xml:space="preserve"> at least 60 minutes in duration, one physical therapy group items (93620) </w:t>
      </w:r>
      <w:r w:rsidR="00675664" w:rsidRPr="007806B6">
        <w:rPr>
          <w:b w:val="0"/>
          <w:szCs w:val="24"/>
        </w:rPr>
        <w:t xml:space="preserve">for a service </w:t>
      </w:r>
      <w:r w:rsidRPr="007806B6">
        <w:rPr>
          <w:b w:val="0"/>
          <w:szCs w:val="24"/>
        </w:rPr>
        <w:t>that is at least 60 minutes in duration.</w:t>
      </w:r>
    </w:p>
    <w:p w14:paraId="485B3E08" w14:textId="77777777" w:rsidR="002305B8" w:rsidRPr="007806B6" w:rsidRDefault="002305B8" w:rsidP="00424471">
      <w:pPr>
        <w:pStyle w:val="BodyText"/>
        <w:rPr>
          <w:b w:val="0"/>
          <w:szCs w:val="24"/>
          <w:u w:val="single"/>
        </w:rPr>
      </w:pPr>
    </w:p>
    <w:p w14:paraId="25C04767" w14:textId="77777777" w:rsidR="00346F5B" w:rsidRPr="007806B6" w:rsidRDefault="00346F5B" w:rsidP="00424471">
      <w:pPr>
        <w:pStyle w:val="BodyText"/>
        <w:rPr>
          <w:b w:val="0"/>
          <w:szCs w:val="24"/>
          <w:u w:val="single"/>
        </w:rPr>
      </w:pPr>
    </w:p>
    <w:p w14:paraId="3DB231BB" w14:textId="77777777" w:rsidR="00346F5B" w:rsidRPr="007806B6" w:rsidRDefault="00346F5B" w:rsidP="00424471">
      <w:pPr>
        <w:pStyle w:val="BodyText"/>
        <w:rPr>
          <w:b w:val="0"/>
          <w:szCs w:val="24"/>
          <w:u w:val="single"/>
        </w:rPr>
      </w:pPr>
    </w:p>
    <w:p w14:paraId="4BF3B09C" w14:textId="77777777" w:rsidR="00925A8F" w:rsidRPr="007806B6" w:rsidRDefault="00925A8F">
      <w:pPr>
        <w:spacing w:after="200" w:line="276" w:lineRule="auto"/>
        <w:rPr>
          <w:szCs w:val="24"/>
          <w:u w:val="single"/>
        </w:rPr>
      </w:pPr>
      <w:r w:rsidRPr="007806B6">
        <w:rPr>
          <w:szCs w:val="24"/>
          <w:u w:val="single"/>
        </w:rPr>
        <w:br w:type="page"/>
      </w:r>
    </w:p>
    <w:p w14:paraId="2412D14E" w14:textId="79D06D07" w:rsidR="00A17F2C" w:rsidRPr="007806B6" w:rsidRDefault="00A17F2C" w:rsidP="008D136F">
      <w:pPr>
        <w:pStyle w:val="Header"/>
        <w:tabs>
          <w:tab w:val="num" w:pos="1080"/>
        </w:tabs>
        <w:jc w:val="center"/>
        <w:rPr>
          <w:b/>
          <w:sz w:val="28"/>
          <w:szCs w:val="28"/>
        </w:rPr>
      </w:pPr>
      <w:r w:rsidRPr="007806B6">
        <w:rPr>
          <w:b/>
          <w:sz w:val="28"/>
          <w:szCs w:val="28"/>
        </w:rPr>
        <w:lastRenderedPageBreak/>
        <w:t>Statement of Compatibility with Human Rights</w:t>
      </w:r>
    </w:p>
    <w:p w14:paraId="2412D14F" w14:textId="77777777" w:rsidR="00A17F2C" w:rsidRPr="007806B6" w:rsidRDefault="00A17F2C" w:rsidP="000337CB">
      <w:pPr>
        <w:spacing w:before="120" w:after="120"/>
        <w:jc w:val="center"/>
        <w:rPr>
          <w:szCs w:val="24"/>
        </w:rPr>
      </w:pPr>
      <w:r w:rsidRPr="007806B6">
        <w:rPr>
          <w:i/>
          <w:szCs w:val="24"/>
        </w:rPr>
        <w:t>Prepared in accordance with Part 3 of the Human Rights (Parliamentary Scrutiny) Act 2011</w:t>
      </w:r>
    </w:p>
    <w:p w14:paraId="751DE726" w14:textId="77777777" w:rsidR="002A6C77" w:rsidRPr="007806B6" w:rsidRDefault="002A6C77" w:rsidP="000337CB">
      <w:pPr>
        <w:tabs>
          <w:tab w:val="left" w:pos="1418"/>
        </w:tabs>
        <w:ind w:left="851"/>
        <w:jc w:val="center"/>
        <w:rPr>
          <w:b/>
          <w:i/>
          <w:iCs/>
        </w:rPr>
      </w:pPr>
    </w:p>
    <w:p w14:paraId="2F92CFCE" w14:textId="368BD2B9" w:rsidR="001270ED" w:rsidRPr="007806B6" w:rsidRDefault="001270ED" w:rsidP="001270ED">
      <w:pPr>
        <w:ind w:right="84"/>
        <w:jc w:val="center"/>
        <w:rPr>
          <w:szCs w:val="24"/>
        </w:rPr>
      </w:pPr>
      <w:r w:rsidRPr="007806B6">
        <w:rPr>
          <w:i/>
          <w:iCs/>
        </w:rPr>
        <w:t xml:space="preserve">Health Insurance (Section 3C General Medical – </w:t>
      </w:r>
      <w:r w:rsidR="006C3F3E" w:rsidRPr="007806B6">
        <w:rPr>
          <w:i/>
          <w:iCs/>
        </w:rPr>
        <w:t>Expansion of GP and Allied Health Chronic Disease Management Services for Care Recipients of a Residential Aged Care Facility) Determination 2020</w:t>
      </w:r>
    </w:p>
    <w:p w14:paraId="1BF56C38" w14:textId="77777777" w:rsidR="007708B3" w:rsidRPr="007806B6" w:rsidRDefault="007708B3" w:rsidP="000337CB">
      <w:pPr>
        <w:tabs>
          <w:tab w:val="left" w:pos="1418"/>
        </w:tabs>
        <w:ind w:left="851"/>
        <w:jc w:val="center"/>
        <w:rPr>
          <w:b/>
          <w:i/>
          <w:szCs w:val="24"/>
        </w:rPr>
      </w:pPr>
    </w:p>
    <w:p w14:paraId="2412D153" w14:textId="7AFD921D" w:rsidR="00A17F2C" w:rsidRPr="007806B6" w:rsidRDefault="00A17F2C" w:rsidP="000337CB">
      <w:pPr>
        <w:jc w:val="center"/>
        <w:rPr>
          <w:szCs w:val="24"/>
        </w:rPr>
      </w:pPr>
      <w:r w:rsidRPr="007806B6">
        <w:rPr>
          <w:szCs w:val="24"/>
        </w:rPr>
        <w:t xml:space="preserve">This </w:t>
      </w:r>
      <w:r w:rsidR="0046022A" w:rsidRPr="007806B6">
        <w:rPr>
          <w:szCs w:val="24"/>
        </w:rPr>
        <w:t>instrument</w:t>
      </w:r>
      <w:r w:rsidRPr="007806B6">
        <w:rPr>
          <w:szCs w:val="24"/>
        </w:rPr>
        <w:t xml:space="preserve"> is compatible with the human rights and freedoms recognised or declared in the international instruments listed in section 3 of the </w:t>
      </w:r>
      <w:r w:rsidRPr="007806B6">
        <w:rPr>
          <w:i/>
          <w:szCs w:val="24"/>
        </w:rPr>
        <w:t>Human Rights (Parliamentary Scrutiny) Act 2011</w:t>
      </w:r>
      <w:r w:rsidRPr="007806B6">
        <w:rPr>
          <w:szCs w:val="24"/>
        </w:rPr>
        <w:t>.</w:t>
      </w:r>
    </w:p>
    <w:p w14:paraId="7EDA9098" w14:textId="2546BDB2" w:rsidR="006E6BBF" w:rsidRPr="007806B6" w:rsidRDefault="006E6BBF" w:rsidP="008734F5">
      <w:pPr>
        <w:spacing w:before="120" w:after="120"/>
        <w:rPr>
          <w:b/>
          <w:szCs w:val="24"/>
        </w:rPr>
      </w:pPr>
      <w:r w:rsidRPr="007806B6">
        <w:rPr>
          <w:b/>
          <w:szCs w:val="24"/>
        </w:rPr>
        <w:t xml:space="preserve">Overview of the </w:t>
      </w:r>
      <w:r w:rsidR="00B86A9F" w:rsidRPr="007806B6">
        <w:rPr>
          <w:b/>
          <w:szCs w:val="24"/>
        </w:rPr>
        <w:t>Determination</w:t>
      </w:r>
    </w:p>
    <w:p w14:paraId="35656FB1" w14:textId="77777777" w:rsidR="000958C1" w:rsidRPr="007806B6" w:rsidRDefault="000958C1" w:rsidP="000958C1">
      <w:pPr>
        <w:ind w:right="-483"/>
        <w:rPr>
          <w:color w:val="000000"/>
          <w:shd w:val="clear" w:color="auto" w:fill="FFFFFF"/>
        </w:rPr>
      </w:pPr>
      <w:r w:rsidRPr="007806B6">
        <w:rPr>
          <w:color w:val="000000"/>
          <w:shd w:val="clear" w:color="auto" w:fill="FFFFFF"/>
        </w:rPr>
        <w:t>The </w:t>
      </w:r>
      <w:r w:rsidRPr="007806B6">
        <w:rPr>
          <w:i/>
          <w:iCs/>
        </w:rPr>
        <w:t>Health Insurance (Section 3C General Medical – Expansion of GP and Allied Health Chronic Disease Management Services for Care Recipients of a Residential Aged Care Facility) Determination 2020</w:t>
      </w:r>
      <w:r w:rsidRPr="007806B6">
        <w:rPr>
          <w:color w:val="000000"/>
          <w:shd w:val="clear" w:color="auto" w:fill="FFFFFF"/>
        </w:rPr>
        <w:t xml:space="preserve"> (the Determination) prescribes 73 temporary items to allow care recipients of a residential aged care facility to increase the amount of selected Medicare subsidised chronic disease management plan allied health services. The Determination also enables care recipients in residential aged care facilities affected by the </w:t>
      </w:r>
      <w:r w:rsidRPr="007806B6">
        <w:rPr>
          <w:szCs w:val="24"/>
        </w:rPr>
        <w:t>COVID-19 pandemic, or the measures taken to contain its spread,</w:t>
      </w:r>
      <w:r w:rsidRPr="007806B6">
        <w:rPr>
          <w:color w:val="000000"/>
          <w:shd w:val="clear" w:color="auto" w:fill="FFFFFF"/>
        </w:rPr>
        <w:t xml:space="preserve"> to access allied health group services.  </w:t>
      </w:r>
    </w:p>
    <w:p w14:paraId="0F7A9F5D" w14:textId="77777777" w:rsidR="000958C1" w:rsidRPr="007806B6" w:rsidRDefault="000958C1" w:rsidP="000958C1">
      <w:pPr>
        <w:ind w:right="-483"/>
        <w:rPr>
          <w:szCs w:val="24"/>
        </w:rPr>
      </w:pPr>
    </w:p>
    <w:p w14:paraId="6E405FE4" w14:textId="77777777" w:rsidR="000958C1" w:rsidRPr="007806B6" w:rsidRDefault="000958C1" w:rsidP="000958C1">
      <w:pPr>
        <w:ind w:right="-483"/>
        <w:rPr>
          <w:szCs w:val="24"/>
        </w:rPr>
      </w:pPr>
      <w:r w:rsidRPr="007806B6">
        <w:rPr>
          <w:szCs w:val="24"/>
        </w:rPr>
        <w:t xml:space="preserve">On 1 December 2020, the Australian Government announced that it would invest a further $132.2 million in its response to the Aged Care Royal Commission’s recommendations on COVID-19. This includes $12.1 million for additional individual allied health sessions under the Medicare chronic disease management plans and $15.7 million for allied health group services for care recipients of a residential aged care facility which has been affected by the COVID-19 pandemic or the measures taken to contain its spread. </w:t>
      </w:r>
    </w:p>
    <w:p w14:paraId="36AB9501" w14:textId="77777777" w:rsidR="000958C1" w:rsidRPr="007806B6" w:rsidRDefault="000958C1" w:rsidP="000958C1">
      <w:pPr>
        <w:ind w:right="-483"/>
        <w:rPr>
          <w:szCs w:val="24"/>
        </w:rPr>
      </w:pPr>
    </w:p>
    <w:p w14:paraId="6F8025D8" w14:textId="77777777" w:rsidR="000958C1" w:rsidRPr="007806B6" w:rsidRDefault="000958C1" w:rsidP="000958C1">
      <w:pPr>
        <w:ind w:right="-483"/>
        <w:rPr>
          <w:szCs w:val="24"/>
        </w:rPr>
      </w:pPr>
      <w:r w:rsidRPr="007806B6">
        <w:rPr>
          <w:szCs w:val="24"/>
        </w:rPr>
        <w:t>This proposal also addresses recommendation three in the special report on aged care and COVID-19 handed to Government on 30 September 2020 by the Royal Commission into Aged Care Quality and Safety. It also extends on the Government’s earlier commitment of $12.4 million to support the mental health and wellbeing of aged care recipients and their families through the Grief and Trauma Response Package.</w:t>
      </w:r>
    </w:p>
    <w:p w14:paraId="2238D18C" w14:textId="77777777" w:rsidR="000958C1" w:rsidRPr="007806B6" w:rsidRDefault="000958C1" w:rsidP="000958C1">
      <w:pPr>
        <w:ind w:right="-483"/>
        <w:rPr>
          <w:szCs w:val="24"/>
        </w:rPr>
      </w:pPr>
    </w:p>
    <w:p w14:paraId="78CBA7EC" w14:textId="094E4FCD" w:rsidR="000958C1" w:rsidRPr="007806B6" w:rsidRDefault="000958C1" w:rsidP="000958C1">
      <w:pPr>
        <w:ind w:right="-483"/>
        <w:rPr>
          <w:szCs w:val="24"/>
        </w:rPr>
      </w:pPr>
      <w:r w:rsidRPr="007806B6">
        <w:rPr>
          <w:szCs w:val="24"/>
        </w:rPr>
        <w:t>From 10 December 2020 until 30 June 2022,</w:t>
      </w:r>
      <w:r w:rsidRPr="007806B6">
        <w:t xml:space="preserve"> new residential aged care facility MBS items will be available which replicate the existing face to face and telehealth items for allied health chronic disease management plan services, indigenous follow up services for eligible patients who have received a health assessment, and group assessment services. There will also be new temporary residential aged care facility MBS items that permit care recipients to access up to 1</w:t>
      </w:r>
      <w:r w:rsidRPr="007806B6">
        <w:rPr>
          <w:szCs w:val="24"/>
        </w:rPr>
        <w:t xml:space="preserve">0 services per calendar year for selected physical therapy services, including exercise physiology, occupational therapy and physiotherapy. In addition, new temporary face-to-face MBS items will be introduced for care recipients of a residential aged care facility for longer initial individual allied health chronic disease management services and initial Indigenous follow up services. </w:t>
      </w:r>
    </w:p>
    <w:p w14:paraId="37F5EE30" w14:textId="77777777" w:rsidR="000958C1" w:rsidRPr="007806B6" w:rsidRDefault="000958C1" w:rsidP="000958C1">
      <w:pPr>
        <w:ind w:right="-483"/>
        <w:rPr>
          <w:szCs w:val="24"/>
        </w:rPr>
      </w:pPr>
    </w:p>
    <w:p w14:paraId="70BF7F2D" w14:textId="58A575FF" w:rsidR="000958C1" w:rsidRPr="007806B6" w:rsidRDefault="000958C1" w:rsidP="000958C1">
      <w:pPr>
        <w:ind w:right="-483"/>
        <w:rPr>
          <w:szCs w:val="24"/>
        </w:rPr>
      </w:pPr>
      <w:r w:rsidRPr="007806B6">
        <w:rPr>
          <w:szCs w:val="24"/>
        </w:rPr>
        <w:t>The introduction of these new temporary MBS items will align chronic disease management support for care recipients in a residential aged care facility with the support provided to people living in the community. However, s</w:t>
      </w:r>
      <w:r w:rsidRPr="007806B6">
        <w:t>hould a person’s residential aged care subsidy cover the health treatment, it is intended that the aged care provider should remain responsible for the provision of that service.</w:t>
      </w:r>
    </w:p>
    <w:p w14:paraId="7BFF1CBB" w14:textId="77777777" w:rsidR="00BC1E20" w:rsidRPr="007806B6" w:rsidRDefault="00BC1E20" w:rsidP="002A6C77">
      <w:pPr>
        <w:ind w:right="-482"/>
        <w:rPr>
          <w:b/>
          <w:szCs w:val="24"/>
        </w:rPr>
      </w:pPr>
    </w:p>
    <w:p w14:paraId="2412D15C" w14:textId="5CBDE4CB" w:rsidR="00A17F2C" w:rsidRPr="007806B6" w:rsidRDefault="00A17F2C" w:rsidP="00EA4BFE">
      <w:pPr>
        <w:keepNext/>
        <w:ind w:right="-482"/>
        <w:rPr>
          <w:b/>
          <w:szCs w:val="24"/>
        </w:rPr>
      </w:pPr>
      <w:r w:rsidRPr="007806B6">
        <w:rPr>
          <w:b/>
          <w:szCs w:val="24"/>
        </w:rPr>
        <w:lastRenderedPageBreak/>
        <w:t>Human rights implications</w:t>
      </w:r>
    </w:p>
    <w:p w14:paraId="449665F0" w14:textId="2ED3F54B" w:rsidR="00806020" w:rsidRPr="007806B6" w:rsidRDefault="00806020" w:rsidP="00EA4BFE">
      <w:pPr>
        <w:keepNext/>
        <w:spacing w:before="120" w:after="120"/>
        <w:rPr>
          <w:szCs w:val="24"/>
        </w:rPr>
      </w:pPr>
      <w:r w:rsidRPr="007806B6">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7806B6" w:rsidRDefault="00A17F2C" w:rsidP="00806020">
      <w:pPr>
        <w:spacing w:before="120" w:after="120"/>
        <w:rPr>
          <w:i/>
          <w:szCs w:val="24"/>
        </w:rPr>
      </w:pPr>
      <w:r w:rsidRPr="007806B6">
        <w:rPr>
          <w:i/>
          <w:szCs w:val="24"/>
        </w:rPr>
        <w:t>The Right to Health</w:t>
      </w:r>
    </w:p>
    <w:p w14:paraId="2412D15F" w14:textId="77777777" w:rsidR="00A17F2C" w:rsidRPr="007806B6" w:rsidRDefault="00A17F2C" w:rsidP="000337CB">
      <w:pPr>
        <w:spacing w:before="120" w:after="120"/>
        <w:rPr>
          <w:szCs w:val="24"/>
        </w:rPr>
      </w:pPr>
      <w:r w:rsidRPr="007806B6">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7806B6" w:rsidRDefault="00A17F2C" w:rsidP="000337CB">
      <w:pPr>
        <w:spacing w:before="120" w:after="120"/>
        <w:rPr>
          <w:szCs w:val="24"/>
        </w:rPr>
      </w:pPr>
      <w:r w:rsidRPr="007806B6">
        <w:rPr>
          <w:szCs w:val="24"/>
        </w:rPr>
        <w:t xml:space="preserve">The Committee reports that the </w:t>
      </w:r>
      <w:r w:rsidRPr="007806B6">
        <w:rPr>
          <w:i/>
          <w:szCs w:val="24"/>
        </w:rPr>
        <w:t>‘highest attainable standard of health’</w:t>
      </w:r>
      <w:r w:rsidRPr="007806B6">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7806B6" w:rsidRDefault="00A17F2C" w:rsidP="000337CB">
      <w:pPr>
        <w:spacing w:before="120" w:after="120"/>
        <w:rPr>
          <w:i/>
          <w:szCs w:val="24"/>
        </w:rPr>
      </w:pPr>
      <w:r w:rsidRPr="007806B6">
        <w:rPr>
          <w:i/>
          <w:szCs w:val="24"/>
        </w:rPr>
        <w:t xml:space="preserve">The Right to Social Security </w:t>
      </w:r>
    </w:p>
    <w:p w14:paraId="2412D162" w14:textId="77777777" w:rsidR="00A17F2C" w:rsidRPr="007806B6" w:rsidRDefault="00A17F2C" w:rsidP="000337CB">
      <w:pPr>
        <w:spacing w:before="120" w:after="120"/>
        <w:rPr>
          <w:szCs w:val="24"/>
        </w:rPr>
      </w:pPr>
      <w:r w:rsidRPr="007806B6">
        <w:rPr>
          <w:szCs w:val="24"/>
        </w:rPr>
        <w:t>The right to social security is contained in Article 9 of the ICESCR. It requires that a country must, within its maximum available resources, ensure access to a social security scheme that</w:t>
      </w:r>
      <w:r w:rsidR="00BA69CB" w:rsidRPr="007806B6">
        <w:rPr>
          <w:szCs w:val="24"/>
        </w:rPr>
        <w:t xml:space="preserve"> </w:t>
      </w:r>
      <w:r w:rsidRPr="007806B6">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7806B6" w:rsidRDefault="00A17F2C" w:rsidP="000337CB">
      <w:pPr>
        <w:spacing w:before="120" w:after="120"/>
        <w:rPr>
          <w:szCs w:val="24"/>
        </w:rPr>
      </w:pPr>
      <w:r w:rsidRPr="007806B6">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7806B6" w:rsidRDefault="00A17F2C" w:rsidP="000337CB">
      <w:pPr>
        <w:spacing w:before="120" w:after="120"/>
        <w:rPr>
          <w:szCs w:val="24"/>
          <w:u w:val="single"/>
        </w:rPr>
      </w:pPr>
      <w:r w:rsidRPr="007806B6">
        <w:rPr>
          <w:szCs w:val="24"/>
          <w:u w:val="single"/>
        </w:rPr>
        <w:t xml:space="preserve">Analysis </w:t>
      </w:r>
    </w:p>
    <w:p w14:paraId="1A5AB6E9" w14:textId="0B94F202" w:rsidR="00BC1E20" w:rsidRPr="007806B6" w:rsidRDefault="00BC1E20" w:rsidP="00302F5C">
      <w:pPr>
        <w:rPr>
          <w:szCs w:val="24"/>
        </w:rPr>
      </w:pPr>
      <w:r w:rsidRPr="007806B6">
        <w:rPr>
          <w:szCs w:val="24"/>
        </w:rPr>
        <w:t>This instrument advances the right to health and the right to social security by providing care recipients of a r</w:t>
      </w:r>
      <w:r w:rsidR="004C77A8" w:rsidRPr="007806B6">
        <w:rPr>
          <w:szCs w:val="24"/>
        </w:rPr>
        <w:t>es</w:t>
      </w:r>
      <w:r w:rsidR="00922C9B" w:rsidRPr="007806B6">
        <w:rPr>
          <w:szCs w:val="24"/>
        </w:rPr>
        <w:t xml:space="preserve">idential aged care facility with </w:t>
      </w:r>
      <w:r w:rsidR="00B56E6D" w:rsidRPr="007806B6">
        <w:rPr>
          <w:szCs w:val="24"/>
        </w:rPr>
        <w:t>an increase to</w:t>
      </w:r>
      <w:r w:rsidR="00922C9B" w:rsidRPr="007806B6">
        <w:rPr>
          <w:szCs w:val="24"/>
        </w:rPr>
        <w:t xml:space="preserve"> the amount of </w:t>
      </w:r>
      <w:r w:rsidR="00B56E6D" w:rsidRPr="007806B6">
        <w:rPr>
          <w:szCs w:val="24"/>
        </w:rPr>
        <w:t xml:space="preserve">selected </w:t>
      </w:r>
      <w:r w:rsidR="00922C9B" w:rsidRPr="007806B6">
        <w:rPr>
          <w:szCs w:val="24"/>
        </w:rPr>
        <w:t xml:space="preserve">Medicare subsidised chronic disease management plan allied health services and access to allied health group services. </w:t>
      </w:r>
      <w:r w:rsidRPr="007806B6">
        <w:rPr>
          <w:szCs w:val="24"/>
        </w:rPr>
        <w:t xml:space="preserve">This </w:t>
      </w:r>
      <w:r w:rsidR="00922C9B" w:rsidRPr="007806B6">
        <w:rPr>
          <w:szCs w:val="24"/>
        </w:rPr>
        <w:t>will ensure care recipients of a</w:t>
      </w:r>
      <w:r w:rsidRPr="007806B6">
        <w:rPr>
          <w:szCs w:val="24"/>
        </w:rPr>
        <w:t xml:space="preserve"> </w:t>
      </w:r>
      <w:r w:rsidR="00922C9B" w:rsidRPr="007806B6">
        <w:rPr>
          <w:szCs w:val="24"/>
        </w:rPr>
        <w:t>residential aged care facility</w:t>
      </w:r>
      <w:r w:rsidRPr="007806B6">
        <w:rPr>
          <w:szCs w:val="24"/>
        </w:rPr>
        <w:t xml:space="preserve"> receive access to </w:t>
      </w:r>
      <w:r w:rsidR="00B56E6D" w:rsidRPr="007806B6">
        <w:rPr>
          <w:szCs w:val="24"/>
        </w:rPr>
        <w:t>chronic disease management support</w:t>
      </w:r>
      <w:r w:rsidRPr="007806B6">
        <w:rPr>
          <w:szCs w:val="24"/>
        </w:rPr>
        <w:t xml:space="preserve"> under Medicare in the same way as older Australians residing in the community in recognition of the impacts of the COVID-19 pandemic</w:t>
      </w:r>
      <w:r w:rsidR="00922C9B" w:rsidRPr="007806B6">
        <w:rPr>
          <w:szCs w:val="24"/>
        </w:rPr>
        <w:t xml:space="preserve"> and the measures taken to contain its spread. </w:t>
      </w:r>
    </w:p>
    <w:p w14:paraId="2412D166" w14:textId="1973400E" w:rsidR="00A17F2C" w:rsidRPr="007806B6" w:rsidRDefault="00A17F2C" w:rsidP="004B7CB9">
      <w:pPr>
        <w:spacing w:before="120" w:after="120" w:line="276" w:lineRule="auto"/>
        <w:rPr>
          <w:rFonts w:eastAsia="Calibri"/>
          <w:b/>
          <w:szCs w:val="24"/>
          <w:lang w:eastAsia="en-US"/>
        </w:rPr>
      </w:pPr>
      <w:r w:rsidRPr="007806B6">
        <w:rPr>
          <w:rFonts w:eastAsia="Calibri"/>
          <w:b/>
          <w:szCs w:val="24"/>
          <w:lang w:eastAsia="en-US"/>
        </w:rPr>
        <w:t xml:space="preserve">Conclusion </w:t>
      </w:r>
    </w:p>
    <w:p w14:paraId="2412D167" w14:textId="1750AD8F" w:rsidR="00A17F2C" w:rsidRPr="007806B6" w:rsidRDefault="006E6BBF" w:rsidP="000337CB">
      <w:pPr>
        <w:rPr>
          <w:color w:val="FF0000"/>
          <w:szCs w:val="24"/>
        </w:rPr>
      </w:pPr>
      <w:r w:rsidRPr="007806B6">
        <w:rPr>
          <w:szCs w:val="24"/>
        </w:rPr>
        <w:t xml:space="preserve">This </w:t>
      </w:r>
      <w:r w:rsidR="0046022A" w:rsidRPr="007806B6">
        <w:rPr>
          <w:szCs w:val="24"/>
        </w:rPr>
        <w:t>instrument</w:t>
      </w:r>
      <w:r w:rsidRPr="007806B6">
        <w:rPr>
          <w:szCs w:val="24"/>
        </w:rPr>
        <w:t xml:space="preserve"> </w:t>
      </w:r>
      <w:r w:rsidR="00F15284" w:rsidRPr="007806B6">
        <w:rPr>
          <w:szCs w:val="24"/>
        </w:rPr>
        <w:t xml:space="preserve">is compatible with human rights as it </w:t>
      </w:r>
      <w:r w:rsidR="00A353A5" w:rsidRPr="007806B6">
        <w:rPr>
          <w:szCs w:val="24"/>
        </w:rPr>
        <w:t>advances</w:t>
      </w:r>
      <w:r w:rsidR="007C7403" w:rsidRPr="007806B6">
        <w:rPr>
          <w:szCs w:val="24"/>
        </w:rPr>
        <w:t xml:space="preserve"> the </w:t>
      </w:r>
      <w:r w:rsidR="00910EF6" w:rsidRPr="007806B6">
        <w:rPr>
          <w:szCs w:val="24"/>
        </w:rPr>
        <w:t xml:space="preserve">right to health and the right to social security. </w:t>
      </w:r>
    </w:p>
    <w:p w14:paraId="2412D168" w14:textId="77777777" w:rsidR="00F15284" w:rsidRPr="007806B6" w:rsidRDefault="00F15284" w:rsidP="000337CB">
      <w:pPr>
        <w:rPr>
          <w:rFonts w:eastAsia="Calibri"/>
          <w:szCs w:val="24"/>
          <w:lang w:eastAsia="en-US"/>
        </w:rPr>
      </w:pPr>
    </w:p>
    <w:p w14:paraId="75A46380" w14:textId="77777777" w:rsidR="00C67BC7" w:rsidRPr="007806B6" w:rsidRDefault="00C67BC7" w:rsidP="000F2948">
      <w:pPr>
        <w:jc w:val="center"/>
        <w:rPr>
          <w:b/>
          <w:bCs/>
        </w:rPr>
      </w:pPr>
    </w:p>
    <w:p w14:paraId="1A4FB0F3" w14:textId="78ED178C" w:rsidR="001B6095" w:rsidRPr="007806B6" w:rsidRDefault="00020E91" w:rsidP="001B6095">
      <w:pPr>
        <w:shd w:val="clear" w:color="auto" w:fill="FFFFFF"/>
        <w:spacing w:line="240" w:lineRule="atLeast"/>
        <w:ind w:right="-23"/>
        <w:jc w:val="center"/>
        <w:rPr>
          <w:b/>
          <w:szCs w:val="22"/>
        </w:rPr>
      </w:pPr>
      <w:r w:rsidRPr="007806B6">
        <w:rPr>
          <w:b/>
          <w:szCs w:val="22"/>
        </w:rPr>
        <w:t>Paul McBride</w:t>
      </w:r>
    </w:p>
    <w:p w14:paraId="7E442A4C" w14:textId="220FB6CF" w:rsidR="001B6095" w:rsidRPr="007806B6" w:rsidRDefault="00020E91" w:rsidP="001B6095">
      <w:pPr>
        <w:shd w:val="clear" w:color="auto" w:fill="FFFFFF"/>
        <w:spacing w:line="240" w:lineRule="atLeast"/>
        <w:ind w:right="-23"/>
        <w:jc w:val="center"/>
        <w:rPr>
          <w:b/>
          <w:szCs w:val="22"/>
        </w:rPr>
      </w:pPr>
      <w:r w:rsidRPr="007806B6">
        <w:rPr>
          <w:b/>
          <w:szCs w:val="22"/>
        </w:rPr>
        <w:t>First Assistant Secretary</w:t>
      </w:r>
    </w:p>
    <w:p w14:paraId="04E6FE83" w14:textId="77777777" w:rsidR="00020E91" w:rsidRPr="007806B6" w:rsidRDefault="00020E91" w:rsidP="001B6095">
      <w:pPr>
        <w:shd w:val="clear" w:color="auto" w:fill="FFFFFF"/>
        <w:spacing w:line="240" w:lineRule="atLeast"/>
        <w:ind w:right="-23"/>
        <w:jc w:val="center"/>
        <w:rPr>
          <w:b/>
          <w:szCs w:val="22"/>
        </w:rPr>
      </w:pPr>
      <w:r w:rsidRPr="007806B6">
        <w:rPr>
          <w:b/>
          <w:szCs w:val="22"/>
        </w:rPr>
        <w:t xml:space="preserve">Medical Benefits Division </w:t>
      </w:r>
    </w:p>
    <w:p w14:paraId="00443899" w14:textId="77777777" w:rsidR="0043765E" w:rsidRPr="007806B6" w:rsidRDefault="0043765E" w:rsidP="0043765E">
      <w:pPr>
        <w:shd w:val="clear" w:color="auto" w:fill="FFFFFF"/>
        <w:spacing w:line="240" w:lineRule="atLeast"/>
        <w:ind w:right="-23"/>
        <w:jc w:val="center"/>
        <w:rPr>
          <w:b/>
          <w:szCs w:val="22"/>
        </w:rPr>
      </w:pPr>
      <w:r w:rsidRPr="007806B6">
        <w:rPr>
          <w:b/>
          <w:szCs w:val="22"/>
        </w:rPr>
        <w:t>Health Resourcing Group</w:t>
      </w:r>
    </w:p>
    <w:p w14:paraId="2412D16E" w14:textId="1D75709D" w:rsidR="00636C51" w:rsidRPr="00020E91" w:rsidRDefault="000F2948" w:rsidP="001B6095">
      <w:pPr>
        <w:jc w:val="center"/>
        <w:rPr>
          <w:rFonts w:eastAsia="Calibri"/>
          <w:b/>
          <w:szCs w:val="24"/>
          <w:lang w:eastAsia="en-US"/>
        </w:rPr>
      </w:pPr>
      <w:r w:rsidRPr="007806B6">
        <w:rPr>
          <w:b/>
          <w:bCs/>
        </w:rPr>
        <w:t>Department of Health</w:t>
      </w:r>
      <w:bookmarkStart w:id="0" w:name="_GoBack"/>
      <w:bookmarkEnd w:id="0"/>
    </w:p>
    <w:sectPr w:rsidR="00636C51" w:rsidRPr="00020E91"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2C4FB965" w:rsidR="00A1739A" w:rsidRDefault="00A1739A" w:rsidP="00BD6F5F">
    <w:pPr>
      <w:pStyle w:val="Header"/>
      <w:jc w:val="center"/>
    </w:pPr>
    <w:r>
      <w:fldChar w:fldCharType="begin"/>
    </w:r>
    <w:r>
      <w:instrText xml:space="preserve"> PAGE  \* Arabic  \* MERGEFORMAT </w:instrText>
    </w:r>
    <w:r>
      <w:fldChar w:fldCharType="separate"/>
    </w:r>
    <w:r w:rsidR="007806B6">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477C901D" w:rsidR="00E23B6B" w:rsidRDefault="00E23B6B">
        <w:pPr>
          <w:pStyle w:val="Header"/>
          <w:jc w:val="center"/>
        </w:pPr>
        <w:r>
          <w:fldChar w:fldCharType="begin"/>
        </w:r>
        <w:r>
          <w:instrText xml:space="preserve"> PAGE   \* MERGEFORMAT </w:instrText>
        </w:r>
        <w:r>
          <w:fldChar w:fldCharType="separate"/>
        </w:r>
        <w:r w:rsidR="007806B6">
          <w:rPr>
            <w:noProof/>
          </w:rPr>
          <w:t>9</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2C023ACD" w:rsidR="00E23B6B" w:rsidRDefault="00E23B6B">
        <w:pPr>
          <w:pStyle w:val="Header"/>
          <w:jc w:val="center"/>
        </w:pPr>
        <w:r>
          <w:fldChar w:fldCharType="begin"/>
        </w:r>
        <w:r>
          <w:instrText xml:space="preserve"> PAGE   \* MERGEFORMAT </w:instrText>
        </w:r>
        <w:r>
          <w:fldChar w:fldCharType="separate"/>
        </w:r>
        <w:r w:rsidR="007806B6">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FB77B9"/>
    <w:multiLevelType w:val="hybridMultilevel"/>
    <w:tmpl w:val="95C2B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7EB7962"/>
    <w:multiLevelType w:val="hybridMultilevel"/>
    <w:tmpl w:val="8B0EFF38"/>
    <w:lvl w:ilvl="0" w:tplc="DA6CEFD6">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540F20"/>
    <w:multiLevelType w:val="hybridMultilevel"/>
    <w:tmpl w:val="CB26F2A4"/>
    <w:lvl w:ilvl="0" w:tplc="D8304130">
      <w:start w:val="1"/>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DE0FF4"/>
    <w:multiLevelType w:val="hybridMultilevel"/>
    <w:tmpl w:val="90382622"/>
    <w:lvl w:ilvl="0" w:tplc="D8304130">
      <w:start w:val="1"/>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32603B"/>
    <w:multiLevelType w:val="hybridMultilevel"/>
    <w:tmpl w:val="E72C1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7C3F98"/>
    <w:multiLevelType w:val="hybridMultilevel"/>
    <w:tmpl w:val="EC74C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5"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D45249"/>
    <w:multiLevelType w:val="hybridMultilevel"/>
    <w:tmpl w:val="2BF4A714"/>
    <w:lvl w:ilvl="0" w:tplc="01E04E8A">
      <w:start w:val="1"/>
      <w:numFmt w:val="lowerLetter"/>
      <w:lvlText w:val="(%1)"/>
      <w:lvlJc w:val="left"/>
      <w:pPr>
        <w:ind w:left="1854" w:hanging="360"/>
      </w:pPr>
      <w:rPr>
        <w:rFonts w:hint="default"/>
        <w:color w:val="auto"/>
        <w:sz w:val="22"/>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8"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3" w15:restartNumberingAfterBreak="0">
    <w:nsid w:val="6A063FBC"/>
    <w:multiLevelType w:val="hybridMultilevel"/>
    <w:tmpl w:val="3312B5D6"/>
    <w:lvl w:ilvl="0" w:tplc="DE1EC71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561B9E"/>
    <w:multiLevelType w:val="hybridMultilevel"/>
    <w:tmpl w:val="851ABF52"/>
    <w:lvl w:ilvl="0" w:tplc="D8304130">
      <w:start w:val="1"/>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DA2224"/>
    <w:multiLevelType w:val="hybridMultilevel"/>
    <w:tmpl w:val="11983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871C73"/>
    <w:multiLevelType w:val="hybridMultilevel"/>
    <w:tmpl w:val="3DD6C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3"/>
  </w:num>
  <w:num w:numId="4">
    <w:abstractNumId w:val="16"/>
  </w:num>
  <w:num w:numId="5">
    <w:abstractNumId w:val="23"/>
  </w:num>
  <w:num w:numId="6">
    <w:abstractNumId w:val="13"/>
  </w:num>
  <w:num w:numId="7">
    <w:abstractNumId w:val="37"/>
  </w:num>
  <w:num w:numId="8">
    <w:abstractNumId w:val="9"/>
  </w:num>
  <w:num w:numId="9">
    <w:abstractNumId w:val="8"/>
  </w:num>
  <w:num w:numId="10">
    <w:abstractNumId w:val="40"/>
  </w:num>
  <w:num w:numId="11">
    <w:abstractNumId w:val="36"/>
  </w:num>
  <w:num w:numId="12">
    <w:abstractNumId w:val="18"/>
  </w:num>
  <w:num w:numId="13">
    <w:abstractNumId w:val="20"/>
  </w:num>
  <w:num w:numId="14">
    <w:abstractNumId w:val="32"/>
  </w:num>
  <w:num w:numId="15">
    <w:abstractNumId w:val="10"/>
  </w:num>
  <w:num w:numId="16">
    <w:abstractNumId w:val="25"/>
  </w:num>
  <w:num w:numId="17">
    <w:abstractNumId w:val="29"/>
  </w:num>
  <w:num w:numId="18">
    <w:abstractNumId w:val="26"/>
  </w:num>
  <w:num w:numId="19">
    <w:abstractNumId w:val="6"/>
  </w:num>
  <w:num w:numId="20">
    <w:abstractNumId w:val="1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8"/>
  </w:num>
  <w:num w:numId="25">
    <w:abstractNumId w:val="11"/>
  </w:num>
  <w:num w:numId="26">
    <w:abstractNumId w:val="7"/>
  </w:num>
  <w:num w:numId="27">
    <w:abstractNumId w:val="21"/>
  </w:num>
  <w:num w:numId="28">
    <w:abstractNumId w:val="39"/>
  </w:num>
  <w:num w:numId="29">
    <w:abstractNumId w:val="22"/>
  </w:num>
  <w:num w:numId="30">
    <w:abstractNumId w:val="34"/>
  </w:num>
  <w:num w:numId="31">
    <w:abstractNumId w:val="19"/>
  </w:num>
  <w:num w:numId="32">
    <w:abstractNumId w:val="31"/>
  </w:num>
  <w:num w:numId="33">
    <w:abstractNumId w:val="14"/>
  </w:num>
  <w:num w:numId="34">
    <w:abstractNumId w:val="1"/>
  </w:num>
  <w:num w:numId="35">
    <w:abstractNumId w:val="41"/>
  </w:num>
  <w:num w:numId="36">
    <w:abstractNumId w:val="38"/>
  </w:num>
  <w:num w:numId="37">
    <w:abstractNumId w:val="17"/>
  </w:num>
  <w:num w:numId="38">
    <w:abstractNumId w:val="35"/>
  </w:num>
  <w:num w:numId="39">
    <w:abstractNumId w:val="33"/>
  </w:num>
  <w:num w:numId="40">
    <w:abstractNumId w:val="12"/>
  </w:num>
  <w:num w:numId="41">
    <w:abstractNumId w:val="4"/>
  </w:num>
  <w:num w:numId="42">
    <w:abstractNumId w:val="27"/>
  </w:num>
  <w:num w:numId="4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11FA"/>
    <w:rsid w:val="00012B9E"/>
    <w:rsid w:val="000138BC"/>
    <w:rsid w:val="00014639"/>
    <w:rsid w:val="00014737"/>
    <w:rsid w:val="00014B38"/>
    <w:rsid w:val="00014E40"/>
    <w:rsid w:val="00016774"/>
    <w:rsid w:val="000203B4"/>
    <w:rsid w:val="0002094C"/>
    <w:rsid w:val="00020E91"/>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0C05"/>
    <w:rsid w:val="00063242"/>
    <w:rsid w:val="000640CF"/>
    <w:rsid w:val="00064BA4"/>
    <w:rsid w:val="00065460"/>
    <w:rsid w:val="00067F59"/>
    <w:rsid w:val="000710DD"/>
    <w:rsid w:val="0007187A"/>
    <w:rsid w:val="00072285"/>
    <w:rsid w:val="0007236F"/>
    <w:rsid w:val="000727E0"/>
    <w:rsid w:val="00073983"/>
    <w:rsid w:val="00073BC9"/>
    <w:rsid w:val="0007493C"/>
    <w:rsid w:val="00076C34"/>
    <w:rsid w:val="00076FE3"/>
    <w:rsid w:val="00080116"/>
    <w:rsid w:val="00081188"/>
    <w:rsid w:val="00081C37"/>
    <w:rsid w:val="00082D12"/>
    <w:rsid w:val="0009514A"/>
    <w:rsid w:val="000958C1"/>
    <w:rsid w:val="000969EF"/>
    <w:rsid w:val="00096D58"/>
    <w:rsid w:val="000A199B"/>
    <w:rsid w:val="000A31F2"/>
    <w:rsid w:val="000A45BE"/>
    <w:rsid w:val="000A467F"/>
    <w:rsid w:val="000A6FB3"/>
    <w:rsid w:val="000A7B9B"/>
    <w:rsid w:val="000B208E"/>
    <w:rsid w:val="000B3452"/>
    <w:rsid w:val="000B3F2C"/>
    <w:rsid w:val="000C1226"/>
    <w:rsid w:val="000C12EE"/>
    <w:rsid w:val="000C3BA7"/>
    <w:rsid w:val="000C3D8A"/>
    <w:rsid w:val="000C46E6"/>
    <w:rsid w:val="000C4B3D"/>
    <w:rsid w:val="000C4FB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82A"/>
    <w:rsid w:val="000F5E76"/>
    <w:rsid w:val="000F6853"/>
    <w:rsid w:val="001000CE"/>
    <w:rsid w:val="00104751"/>
    <w:rsid w:val="0010617D"/>
    <w:rsid w:val="00106763"/>
    <w:rsid w:val="00107F36"/>
    <w:rsid w:val="0011066E"/>
    <w:rsid w:val="00110D12"/>
    <w:rsid w:val="00113B2E"/>
    <w:rsid w:val="00120766"/>
    <w:rsid w:val="00121189"/>
    <w:rsid w:val="00121A66"/>
    <w:rsid w:val="00121D1B"/>
    <w:rsid w:val="00124CB3"/>
    <w:rsid w:val="00125791"/>
    <w:rsid w:val="001270ED"/>
    <w:rsid w:val="00132087"/>
    <w:rsid w:val="00134B27"/>
    <w:rsid w:val="00135703"/>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56AE2"/>
    <w:rsid w:val="001603DB"/>
    <w:rsid w:val="001641C0"/>
    <w:rsid w:val="00164A69"/>
    <w:rsid w:val="0016646C"/>
    <w:rsid w:val="00167DA1"/>
    <w:rsid w:val="0017187F"/>
    <w:rsid w:val="00174E96"/>
    <w:rsid w:val="00175AE3"/>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19"/>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547"/>
    <w:rsid w:val="002227DF"/>
    <w:rsid w:val="0022342C"/>
    <w:rsid w:val="0022384B"/>
    <w:rsid w:val="00225B50"/>
    <w:rsid w:val="00225D8E"/>
    <w:rsid w:val="002264F4"/>
    <w:rsid w:val="002272E5"/>
    <w:rsid w:val="002305B8"/>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7F7"/>
    <w:rsid w:val="00287AEF"/>
    <w:rsid w:val="00287B08"/>
    <w:rsid w:val="00290B98"/>
    <w:rsid w:val="002944D4"/>
    <w:rsid w:val="00296763"/>
    <w:rsid w:val="0029737E"/>
    <w:rsid w:val="00297AD0"/>
    <w:rsid w:val="002A0CC8"/>
    <w:rsid w:val="002A1E2C"/>
    <w:rsid w:val="002A3243"/>
    <w:rsid w:val="002A5CDF"/>
    <w:rsid w:val="002A68B3"/>
    <w:rsid w:val="002A6C77"/>
    <w:rsid w:val="002B29A4"/>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5B33"/>
    <w:rsid w:val="002F6069"/>
    <w:rsid w:val="002F70B1"/>
    <w:rsid w:val="002F7549"/>
    <w:rsid w:val="00301CE6"/>
    <w:rsid w:val="00301D49"/>
    <w:rsid w:val="003025C7"/>
    <w:rsid w:val="00302F5C"/>
    <w:rsid w:val="00304080"/>
    <w:rsid w:val="0031124D"/>
    <w:rsid w:val="00312ED1"/>
    <w:rsid w:val="00313554"/>
    <w:rsid w:val="00317B55"/>
    <w:rsid w:val="0032155B"/>
    <w:rsid w:val="003239D0"/>
    <w:rsid w:val="00324908"/>
    <w:rsid w:val="003254AA"/>
    <w:rsid w:val="00331752"/>
    <w:rsid w:val="00332AF9"/>
    <w:rsid w:val="003332C9"/>
    <w:rsid w:val="0033493D"/>
    <w:rsid w:val="00337DE1"/>
    <w:rsid w:val="00340BDB"/>
    <w:rsid w:val="00340E39"/>
    <w:rsid w:val="00341145"/>
    <w:rsid w:val="003412CB"/>
    <w:rsid w:val="00345ADE"/>
    <w:rsid w:val="00346F5B"/>
    <w:rsid w:val="00347520"/>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4405"/>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0C0F"/>
    <w:rsid w:val="003F3563"/>
    <w:rsid w:val="003F47FD"/>
    <w:rsid w:val="003F4B52"/>
    <w:rsid w:val="003F73BA"/>
    <w:rsid w:val="003F73F0"/>
    <w:rsid w:val="00401423"/>
    <w:rsid w:val="004026EF"/>
    <w:rsid w:val="00403105"/>
    <w:rsid w:val="00404F11"/>
    <w:rsid w:val="00405890"/>
    <w:rsid w:val="00405EF4"/>
    <w:rsid w:val="00406D7A"/>
    <w:rsid w:val="00411365"/>
    <w:rsid w:val="0041237F"/>
    <w:rsid w:val="00412B6C"/>
    <w:rsid w:val="00413EE5"/>
    <w:rsid w:val="00414613"/>
    <w:rsid w:val="00415B19"/>
    <w:rsid w:val="0041767B"/>
    <w:rsid w:val="00420205"/>
    <w:rsid w:val="00421D5F"/>
    <w:rsid w:val="004225D8"/>
    <w:rsid w:val="00422831"/>
    <w:rsid w:val="00424197"/>
    <w:rsid w:val="00424471"/>
    <w:rsid w:val="00425F40"/>
    <w:rsid w:val="004265AA"/>
    <w:rsid w:val="00426A8D"/>
    <w:rsid w:val="00430861"/>
    <w:rsid w:val="00432D4D"/>
    <w:rsid w:val="00433DCE"/>
    <w:rsid w:val="00434764"/>
    <w:rsid w:val="0043765E"/>
    <w:rsid w:val="00437B1B"/>
    <w:rsid w:val="004405B8"/>
    <w:rsid w:val="004417A2"/>
    <w:rsid w:val="00442F9D"/>
    <w:rsid w:val="00444782"/>
    <w:rsid w:val="00444EDF"/>
    <w:rsid w:val="004456A4"/>
    <w:rsid w:val="00445A6D"/>
    <w:rsid w:val="00446A6B"/>
    <w:rsid w:val="0045189C"/>
    <w:rsid w:val="00451A88"/>
    <w:rsid w:val="004524A0"/>
    <w:rsid w:val="00453B47"/>
    <w:rsid w:val="00456B1D"/>
    <w:rsid w:val="0046022A"/>
    <w:rsid w:val="004636B4"/>
    <w:rsid w:val="004641DC"/>
    <w:rsid w:val="00464AC7"/>
    <w:rsid w:val="00464E2E"/>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64D2"/>
    <w:rsid w:val="004869B0"/>
    <w:rsid w:val="004876DF"/>
    <w:rsid w:val="00490C02"/>
    <w:rsid w:val="004922F1"/>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6953"/>
    <w:rsid w:val="004B7CB9"/>
    <w:rsid w:val="004C10BA"/>
    <w:rsid w:val="004C27EB"/>
    <w:rsid w:val="004C33D9"/>
    <w:rsid w:val="004C357A"/>
    <w:rsid w:val="004C405B"/>
    <w:rsid w:val="004C5B35"/>
    <w:rsid w:val="004C68D1"/>
    <w:rsid w:val="004C6AE7"/>
    <w:rsid w:val="004C72E8"/>
    <w:rsid w:val="004C77A8"/>
    <w:rsid w:val="004D04DF"/>
    <w:rsid w:val="004D1BF4"/>
    <w:rsid w:val="004D480B"/>
    <w:rsid w:val="004D6C6E"/>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46BE"/>
    <w:rsid w:val="00505C67"/>
    <w:rsid w:val="00505F9A"/>
    <w:rsid w:val="00510A4F"/>
    <w:rsid w:val="005119E9"/>
    <w:rsid w:val="00512A65"/>
    <w:rsid w:val="005130BE"/>
    <w:rsid w:val="005140F2"/>
    <w:rsid w:val="0051709B"/>
    <w:rsid w:val="00517CF3"/>
    <w:rsid w:val="0052165A"/>
    <w:rsid w:val="00521802"/>
    <w:rsid w:val="0052430B"/>
    <w:rsid w:val="00525D51"/>
    <w:rsid w:val="00532B56"/>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0DAF"/>
    <w:rsid w:val="00552105"/>
    <w:rsid w:val="0055354D"/>
    <w:rsid w:val="00554543"/>
    <w:rsid w:val="005555B8"/>
    <w:rsid w:val="005567CF"/>
    <w:rsid w:val="005642D9"/>
    <w:rsid w:val="00564C2B"/>
    <w:rsid w:val="00564C37"/>
    <w:rsid w:val="00564D84"/>
    <w:rsid w:val="00565A03"/>
    <w:rsid w:val="00567697"/>
    <w:rsid w:val="00570F2B"/>
    <w:rsid w:val="0057258C"/>
    <w:rsid w:val="00573651"/>
    <w:rsid w:val="00574E71"/>
    <w:rsid w:val="00575C83"/>
    <w:rsid w:val="005811D8"/>
    <w:rsid w:val="00581904"/>
    <w:rsid w:val="00582B3F"/>
    <w:rsid w:val="00583643"/>
    <w:rsid w:val="00585309"/>
    <w:rsid w:val="005857E8"/>
    <w:rsid w:val="005858CB"/>
    <w:rsid w:val="0058699E"/>
    <w:rsid w:val="00586CE9"/>
    <w:rsid w:val="00590B04"/>
    <w:rsid w:val="00592F78"/>
    <w:rsid w:val="00594EB6"/>
    <w:rsid w:val="00595FEF"/>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5F2F27"/>
    <w:rsid w:val="00601165"/>
    <w:rsid w:val="00607971"/>
    <w:rsid w:val="00607C38"/>
    <w:rsid w:val="00611A4E"/>
    <w:rsid w:val="006122C0"/>
    <w:rsid w:val="0061281D"/>
    <w:rsid w:val="00613C46"/>
    <w:rsid w:val="00614085"/>
    <w:rsid w:val="0061641A"/>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333F"/>
    <w:rsid w:val="00656275"/>
    <w:rsid w:val="00657702"/>
    <w:rsid w:val="00661903"/>
    <w:rsid w:val="006619F5"/>
    <w:rsid w:val="006629F9"/>
    <w:rsid w:val="006639F0"/>
    <w:rsid w:val="0066562D"/>
    <w:rsid w:val="0066727B"/>
    <w:rsid w:val="00670998"/>
    <w:rsid w:val="0067180D"/>
    <w:rsid w:val="00671947"/>
    <w:rsid w:val="00672050"/>
    <w:rsid w:val="00673209"/>
    <w:rsid w:val="00673872"/>
    <w:rsid w:val="00674A34"/>
    <w:rsid w:val="00675664"/>
    <w:rsid w:val="00683CBC"/>
    <w:rsid w:val="00685515"/>
    <w:rsid w:val="0068642A"/>
    <w:rsid w:val="00691C31"/>
    <w:rsid w:val="00692C2E"/>
    <w:rsid w:val="00694C76"/>
    <w:rsid w:val="00694F4A"/>
    <w:rsid w:val="006A029B"/>
    <w:rsid w:val="006A0D81"/>
    <w:rsid w:val="006A17A1"/>
    <w:rsid w:val="006A61C5"/>
    <w:rsid w:val="006B0F31"/>
    <w:rsid w:val="006B13BC"/>
    <w:rsid w:val="006B32FE"/>
    <w:rsid w:val="006B3959"/>
    <w:rsid w:val="006B4B58"/>
    <w:rsid w:val="006B6925"/>
    <w:rsid w:val="006C026A"/>
    <w:rsid w:val="006C138D"/>
    <w:rsid w:val="006C3807"/>
    <w:rsid w:val="006C3F3E"/>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4979"/>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289"/>
    <w:rsid w:val="00726CFA"/>
    <w:rsid w:val="0072758A"/>
    <w:rsid w:val="007304D5"/>
    <w:rsid w:val="00730965"/>
    <w:rsid w:val="00733599"/>
    <w:rsid w:val="00733F09"/>
    <w:rsid w:val="00735753"/>
    <w:rsid w:val="00735CCC"/>
    <w:rsid w:val="007368DC"/>
    <w:rsid w:val="007369A3"/>
    <w:rsid w:val="00736AC9"/>
    <w:rsid w:val="00740B7B"/>
    <w:rsid w:val="00740B9A"/>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4454"/>
    <w:rsid w:val="00774ABF"/>
    <w:rsid w:val="00776E17"/>
    <w:rsid w:val="007806B6"/>
    <w:rsid w:val="00782D07"/>
    <w:rsid w:val="00783B6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4C4C"/>
    <w:rsid w:val="007E7ABF"/>
    <w:rsid w:val="007F05BC"/>
    <w:rsid w:val="007F0907"/>
    <w:rsid w:val="007F0D24"/>
    <w:rsid w:val="007F10B5"/>
    <w:rsid w:val="007F1C81"/>
    <w:rsid w:val="007F1FFE"/>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46"/>
    <w:rsid w:val="00825D67"/>
    <w:rsid w:val="00826C1C"/>
    <w:rsid w:val="00830787"/>
    <w:rsid w:val="00832E86"/>
    <w:rsid w:val="00833BAB"/>
    <w:rsid w:val="00833FCC"/>
    <w:rsid w:val="008356E6"/>
    <w:rsid w:val="008360AA"/>
    <w:rsid w:val="00837412"/>
    <w:rsid w:val="00840877"/>
    <w:rsid w:val="0084180A"/>
    <w:rsid w:val="0084197A"/>
    <w:rsid w:val="00841ABD"/>
    <w:rsid w:val="00841EDA"/>
    <w:rsid w:val="00843425"/>
    <w:rsid w:val="00843E62"/>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0A3D"/>
    <w:rsid w:val="008A153F"/>
    <w:rsid w:val="008A54A9"/>
    <w:rsid w:val="008A6188"/>
    <w:rsid w:val="008A79C6"/>
    <w:rsid w:val="008B2094"/>
    <w:rsid w:val="008B28F2"/>
    <w:rsid w:val="008B3178"/>
    <w:rsid w:val="008B3CCC"/>
    <w:rsid w:val="008B444F"/>
    <w:rsid w:val="008B683E"/>
    <w:rsid w:val="008C0EF7"/>
    <w:rsid w:val="008C11A2"/>
    <w:rsid w:val="008C20F7"/>
    <w:rsid w:val="008C5F1C"/>
    <w:rsid w:val="008D06D8"/>
    <w:rsid w:val="008D136F"/>
    <w:rsid w:val="008D176B"/>
    <w:rsid w:val="008D1B01"/>
    <w:rsid w:val="008D25D7"/>
    <w:rsid w:val="008D2A83"/>
    <w:rsid w:val="008D2D7B"/>
    <w:rsid w:val="008D2D98"/>
    <w:rsid w:val="008D44EB"/>
    <w:rsid w:val="008D6051"/>
    <w:rsid w:val="008D7A4F"/>
    <w:rsid w:val="008E08D4"/>
    <w:rsid w:val="008E3E1A"/>
    <w:rsid w:val="008E4039"/>
    <w:rsid w:val="008E4682"/>
    <w:rsid w:val="008E5559"/>
    <w:rsid w:val="008F1AA9"/>
    <w:rsid w:val="008F42A7"/>
    <w:rsid w:val="008F7C5B"/>
    <w:rsid w:val="00901C4E"/>
    <w:rsid w:val="00904502"/>
    <w:rsid w:val="009049C0"/>
    <w:rsid w:val="00906257"/>
    <w:rsid w:val="009069D6"/>
    <w:rsid w:val="00910EF6"/>
    <w:rsid w:val="00912380"/>
    <w:rsid w:val="009124F6"/>
    <w:rsid w:val="00912BC1"/>
    <w:rsid w:val="00913B67"/>
    <w:rsid w:val="0091520D"/>
    <w:rsid w:val="009159EF"/>
    <w:rsid w:val="00915B08"/>
    <w:rsid w:val="00921DD1"/>
    <w:rsid w:val="009225FE"/>
    <w:rsid w:val="00922C9B"/>
    <w:rsid w:val="00923D31"/>
    <w:rsid w:val="00923F94"/>
    <w:rsid w:val="00925A8F"/>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05C4"/>
    <w:rsid w:val="00971039"/>
    <w:rsid w:val="00971B7B"/>
    <w:rsid w:val="00971D3B"/>
    <w:rsid w:val="00972D48"/>
    <w:rsid w:val="00975E68"/>
    <w:rsid w:val="00977A95"/>
    <w:rsid w:val="00982585"/>
    <w:rsid w:val="00983FD9"/>
    <w:rsid w:val="00985DC9"/>
    <w:rsid w:val="00985FA9"/>
    <w:rsid w:val="00987A99"/>
    <w:rsid w:val="009902F7"/>
    <w:rsid w:val="0099448D"/>
    <w:rsid w:val="00994B33"/>
    <w:rsid w:val="00995A06"/>
    <w:rsid w:val="00996BF2"/>
    <w:rsid w:val="009A222A"/>
    <w:rsid w:val="009A26CA"/>
    <w:rsid w:val="009A3A31"/>
    <w:rsid w:val="009A6FE7"/>
    <w:rsid w:val="009B1BCA"/>
    <w:rsid w:val="009B1FD2"/>
    <w:rsid w:val="009B3AEB"/>
    <w:rsid w:val="009B7AE2"/>
    <w:rsid w:val="009C0AC7"/>
    <w:rsid w:val="009C3EB5"/>
    <w:rsid w:val="009C42BD"/>
    <w:rsid w:val="009C444B"/>
    <w:rsid w:val="009D0A00"/>
    <w:rsid w:val="009D0C0E"/>
    <w:rsid w:val="009D3773"/>
    <w:rsid w:val="009D499D"/>
    <w:rsid w:val="009D72AA"/>
    <w:rsid w:val="009D7484"/>
    <w:rsid w:val="009E0078"/>
    <w:rsid w:val="009E14BA"/>
    <w:rsid w:val="009E1CCA"/>
    <w:rsid w:val="009E2AEA"/>
    <w:rsid w:val="009E3183"/>
    <w:rsid w:val="009E36E1"/>
    <w:rsid w:val="009E3783"/>
    <w:rsid w:val="009E3EA3"/>
    <w:rsid w:val="009E3ED4"/>
    <w:rsid w:val="009E7294"/>
    <w:rsid w:val="009F0715"/>
    <w:rsid w:val="009F1615"/>
    <w:rsid w:val="009F4352"/>
    <w:rsid w:val="009F45FE"/>
    <w:rsid w:val="009F4E4E"/>
    <w:rsid w:val="009F6717"/>
    <w:rsid w:val="00A01F6A"/>
    <w:rsid w:val="00A0321B"/>
    <w:rsid w:val="00A045CA"/>
    <w:rsid w:val="00A04DC3"/>
    <w:rsid w:val="00A0597B"/>
    <w:rsid w:val="00A05DAD"/>
    <w:rsid w:val="00A06FB4"/>
    <w:rsid w:val="00A1465A"/>
    <w:rsid w:val="00A14878"/>
    <w:rsid w:val="00A1707B"/>
    <w:rsid w:val="00A1739A"/>
    <w:rsid w:val="00A17694"/>
    <w:rsid w:val="00A17F2C"/>
    <w:rsid w:val="00A2122C"/>
    <w:rsid w:val="00A232B9"/>
    <w:rsid w:val="00A24F4B"/>
    <w:rsid w:val="00A3185E"/>
    <w:rsid w:val="00A33893"/>
    <w:rsid w:val="00A34C9A"/>
    <w:rsid w:val="00A34D89"/>
    <w:rsid w:val="00A353A5"/>
    <w:rsid w:val="00A35ED0"/>
    <w:rsid w:val="00A3611E"/>
    <w:rsid w:val="00A41364"/>
    <w:rsid w:val="00A41F72"/>
    <w:rsid w:val="00A4278E"/>
    <w:rsid w:val="00A4292D"/>
    <w:rsid w:val="00A43D4F"/>
    <w:rsid w:val="00A4441E"/>
    <w:rsid w:val="00A44A25"/>
    <w:rsid w:val="00A54891"/>
    <w:rsid w:val="00A54CA1"/>
    <w:rsid w:val="00A56516"/>
    <w:rsid w:val="00A61670"/>
    <w:rsid w:val="00A62031"/>
    <w:rsid w:val="00A65D80"/>
    <w:rsid w:val="00A66575"/>
    <w:rsid w:val="00A66849"/>
    <w:rsid w:val="00A672A7"/>
    <w:rsid w:val="00A714DD"/>
    <w:rsid w:val="00A73044"/>
    <w:rsid w:val="00A7379C"/>
    <w:rsid w:val="00A73CF1"/>
    <w:rsid w:val="00A75C9A"/>
    <w:rsid w:val="00A835D4"/>
    <w:rsid w:val="00A83947"/>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A76B1"/>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380C"/>
    <w:rsid w:val="00AD7E8E"/>
    <w:rsid w:val="00AE0487"/>
    <w:rsid w:val="00AE0F81"/>
    <w:rsid w:val="00AE2A1A"/>
    <w:rsid w:val="00AE2F5E"/>
    <w:rsid w:val="00AE330D"/>
    <w:rsid w:val="00AE7A51"/>
    <w:rsid w:val="00AF134A"/>
    <w:rsid w:val="00AF3563"/>
    <w:rsid w:val="00AF3BCE"/>
    <w:rsid w:val="00AF421C"/>
    <w:rsid w:val="00AF5C05"/>
    <w:rsid w:val="00AF7622"/>
    <w:rsid w:val="00B00238"/>
    <w:rsid w:val="00B019A9"/>
    <w:rsid w:val="00B03218"/>
    <w:rsid w:val="00B03273"/>
    <w:rsid w:val="00B039EC"/>
    <w:rsid w:val="00B03CDE"/>
    <w:rsid w:val="00B07EFF"/>
    <w:rsid w:val="00B10984"/>
    <w:rsid w:val="00B109B2"/>
    <w:rsid w:val="00B10CF4"/>
    <w:rsid w:val="00B10D67"/>
    <w:rsid w:val="00B110B5"/>
    <w:rsid w:val="00B14C3A"/>
    <w:rsid w:val="00B15781"/>
    <w:rsid w:val="00B167A2"/>
    <w:rsid w:val="00B174E3"/>
    <w:rsid w:val="00B20415"/>
    <w:rsid w:val="00B258F1"/>
    <w:rsid w:val="00B260D8"/>
    <w:rsid w:val="00B2772E"/>
    <w:rsid w:val="00B27A5B"/>
    <w:rsid w:val="00B316E7"/>
    <w:rsid w:val="00B3398C"/>
    <w:rsid w:val="00B34BDE"/>
    <w:rsid w:val="00B34EF9"/>
    <w:rsid w:val="00B352BE"/>
    <w:rsid w:val="00B3578F"/>
    <w:rsid w:val="00B35DAD"/>
    <w:rsid w:val="00B36EB3"/>
    <w:rsid w:val="00B40E17"/>
    <w:rsid w:val="00B41AE8"/>
    <w:rsid w:val="00B445D0"/>
    <w:rsid w:val="00B45C4D"/>
    <w:rsid w:val="00B50E59"/>
    <w:rsid w:val="00B53FF2"/>
    <w:rsid w:val="00B54620"/>
    <w:rsid w:val="00B55CDD"/>
    <w:rsid w:val="00B56E4F"/>
    <w:rsid w:val="00B56E6D"/>
    <w:rsid w:val="00B611D6"/>
    <w:rsid w:val="00B63345"/>
    <w:rsid w:val="00B63A7A"/>
    <w:rsid w:val="00B652B0"/>
    <w:rsid w:val="00B6786B"/>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8AC"/>
    <w:rsid w:val="00BA67DC"/>
    <w:rsid w:val="00BA69CB"/>
    <w:rsid w:val="00BA7C49"/>
    <w:rsid w:val="00BB00BA"/>
    <w:rsid w:val="00BB112B"/>
    <w:rsid w:val="00BB1B81"/>
    <w:rsid w:val="00BB1CDA"/>
    <w:rsid w:val="00BB25B1"/>
    <w:rsid w:val="00BB2CD8"/>
    <w:rsid w:val="00BB4114"/>
    <w:rsid w:val="00BB49CB"/>
    <w:rsid w:val="00BB6375"/>
    <w:rsid w:val="00BC1E20"/>
    <w:rsid w:val="00BC2D71"/>
    <w:rsid w:val="00BC459E"/>
    <w:rsid w:val="00BC4AAE"/>
    <w:rsid w:val="00BC5DCD"/>
    <w:rsid w:val="00BC626B"/>
    <w:rsid w:val="00BC6618"/>
    <w:rsid w:val="00BC7397"/>
    <w:rsid w:val="00BD0628"/>
    <w:rsid w:val="00BD304A"/>
    <w:rsid w:val="00BD7FD9"/>
    <w:rsid w:val="00BE0078"/>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580C"/>
    <w:rsid w:val="00C3661B"/>
    <w:rsid w:val="00C41F6E"/>
    <w:rsid w:val="00C42112"/>
    <w:rsid w:val="00C435EB"/>
    <w:rsid w:val="00C45768"/>
    <w:rsid w:val="00C4692B"/>
    <w:rsid w:val="00C46A0C"/>
    <w:rsid w:val="00C473F7"/>
    <w:rsid w:val="00C501E5"/>
    <w:rsid w:val="00C5100A"/>
    <w:rsid w:val="00C51884"/>
    <w:rsid w:val="00C5444B"/>
    <w:rsid w:val="00C549BC"/>
    <w:rsid w:val="00C54F71"/>
    <w:rsid w:val="00C56251"/>
    <w:rsid w:val="00C5667B"/>
    <w:rsid w:val="00C56A65"/>
    <w:rsid w:val="00C56FE0"/>
    <w:rsid w:val="00C6072B"/>
    <w:rsid w:val="00C6094D"/>
    <w:rsid w:val="00C62733"/>
    <w:rsid w:val="00C62FDC"/>
    <w:rsid w:val="00C63FDC"/>
    <w:rsid w:val="00C67BC7"/>
    <w:rsid w:val="00C724F5"/>
    <w:rsid w:val="00C7263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3830"/>
    <w:rsid w:val="00CB4161"/>
    <w:rsid w:val="00CB43A2"/>
    <w:rsid w:val="00CB6DE1"/>
    <w:rsid w:val="00CB7730"/>
    <w:rsid w:val="00CC12A0"/>
    <w:rsid w:val="00CC26A8"/>
    <w:rsid w:val="00CC4CED"/>
    <w:rsid w:val="00CC6EBB"/>
    <w:rsid w:val="00CD4A21"/>
    <w:rsid w:val="00CE0A6F"/>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0365"/>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6AC4"/>
    <w:rsid w:val="00DC7898"/>
    <w:rsid w:val="00DD19F8"/>
    <w:rsid w:val="00DD1C70"/>
    <w:rsid w:val="00DD3239"/>
    <w:rsid w:val="00DD3367"/>
    <w:rsid w:val="00DE07E4"/>
    <w:rsid w:val="00DE0877"/>
    <w:rsid w:val="00DE0FF8"/>
    <w:rsid w:val="00DE3EBF"/>
    <w:rsid w:val="00DE6D39"/>
    <w:rsid w:val="00DE7345"/>
    <w:rsid w:val="00DE76EB"/>
    <w:rsid w:val="00DF2419"/>
    <w:rsid w:val="00DF40A2"/>
    <w:rsid w:val="00DF51CA"/>
    <w:rsid w:val="00DF5581"/>
    <w:rsid w:val="00DF7501"/>
    <w:rsid w:val="00DF7936"/>
    <w:rsid w:val="00E004EF"/>
    <w:rsid w:val="00E04B6F"/>
    <w:rsid w:val="00E13833"/>
    <w:rsid w:val="00E17001"/>
    <w:rsid w:val="00E17406"/>
    <w:rsid w:val="00E20AE5"/>
    <w:rsid w:val="00E20F00"/>
    <w:rsid w:val="00E21297"/>
    <w:rsid w:val="00E21DF4"/>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BDB"/>
    <w:rsid w:val="00E64C5F"/>
    <w:rsid w:val="00E664F4"/>
    <w:rsid w:val="00E70355"/>
    <w:rsid w:val="00E727A5"/>
    <w:rsid w:val="00E72855"/>
    <w:rsid w:val="00E72E5D"/>
    <w:rsid w:val="00E7377F"/>
    <w:rsid w:val="00E73E91"/>
    <w:rsid w:val="00E74710"/>
    <w:rsid w:val="00E74C1D"/>
    <w:rsid w:val="00E75ACC"/>
    <w:rsid w:val="00E81B2F"/>
    <w:rsid w:val="00E844ED"/>
    <w:rsid w:val="00E85810"/>
    <w:rsid w:val="00E85B0A"/>
    <w:rsid w:val="00E90558"/>
    <w:rsid w:val="00E909CD"/>
    <w:rsid w:val="00E92248"/>
    <w:rsid w:val="00E92BD1"/>
    <w:rsid w:val="00E932D5"/>
    <w:rsid w:val="00E935A1"/>
    <w:rsid w:val="00E93FB6"/>
    <w:rsid w:val="00E94BB6"/>
    <w:rsid w:val="00EA1715"/>
    <w:rsid w:val="00EA2EE8"/>
    <w:rsid w:val="00EA31FD"/>
    <w:rsid w:val="00EA4349"/>
    <w:rsid w:val="00EA4BFE"/>
    <w:rsid w:val="00EA4EE4"/>
    <w:rsid w:val="00EA5A32"/>
    <w:rsid w:val="00EB2F51"/>
    <w:rsid w:val="00EB3BF0"/>
    <w:rsid w:val="00EB4DA6"/>
    <w:rsid w:val="00EB5618"/>
    <w:rsid w:val="00EB601D"/>
    <w:rsid w:val="00EB6CCD"/>
    <w:rsid w:val="00EC0273"/>
    <w:rsid w:val="00EC19AA"/>
    <w:rsid w:val="00EC25BA"/>
    <w:rsid w:val="00ED0AD5"/>
    <w:rsid w:val="00ED1DE2"/>
    <w:rsid w:val="00ED1F31"/>
    <w:rsid w:val="00ED3630"/>
    <w:rsid w:val="00ED7140"/>
    <w:rsid w:val="00ED77E5"/>
    <w:rsid w:val="00EE026E"/>
    <w:rsid w:val="00EE18E5"/>
    <w:rsid w:val="00EE3C59"/>
    <w:rsid w:val="00EE5B70"/>
    <w:rsid w:val="00EE66B6"/>
    <w:rsid w:val="00EE7B48"/>
    <w:rsid w:val="00EF0AFA"/>
    <w:rsid w:val="00EF38E5"/>
    <w:rsid w:val="00EF5C33"/>
    <w:rsid w:val="00EF629C"/>
    <w:rsid w:val="00EF6508"/>
    <w:rsid w:val="00EF6AB8"/>
    <w:rsid w:val="00EF7C6E"/>
    <w:rsid w:val="00F012F4"/>
    <w:rsid w:val="00F01632"/>
    <w:rsid w:val="00F049B4"/>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0869"/>
    <w:rsid w:val="00F31043"/>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3DCA"/>
    <w:rsid w:val="00F95994"/>
    <w:rsid w:val="00FA2611"/>
    <w:rsid w:val="00FA29C9"/>
    <w:rsid w:val="00FA2D81"/>
    <w:rsid w:val="00FA3F17"/>
    <w:rsid w:val="00FA49C5"/>
    <w:rsid w:val="00FA5BD2"/>
    <w:rsid w:val="00FA6175"/>
    <w:rsid w:val="00FA6784"/>
    <w:rsid w:val="00FA7E00"/>
    <w:rsid w:val="00FB1780"/>
    <w:rsid w:val="00FB35C6"/>
    <w:rsid w:val="00FB48C4"/>
    <w:rsid w:val="00FB4C5A"/>
    <w:rsid w:val="00FB5BFA"/>
    <w:rsid w:val="00FB6F79"/>
    <w:rsid w:val="00FC10F6"/>
    <w:rsid w:val="00FC33A2"/>
    <w:rsid w:val="00FC7C25"/>
    <w:rsid w:val="00FD1C2E"/>
    <w:rsid w:val="00FD3574"/>
    <w:rsid w:val="00FD602D"/>
    <w:rsid w:val="00FD60D2"/>
    <w:rsid w:val="00FD6A7D"/>
    <w:rsid w:val="00FD6FC9"/>
    <w:rsid w:val="00FE02C2"/>
    <w:rsid w:val="00FE0598"/>
    <w:rsid w:val="00FE1F5A"/>
    <w:rsid w:val="00FE2D34"/>
    <w:rsid w:val="00FE57D1"/>
    <w:rsid w:val="00FF26F6"/>
    <w:rsid w:val="00FF35E2"/>
    <w:rsid w:val="00FF636E"/>
    <w:rsid w:val="00FF6884"/>
    <w:rsid w:val="00FF748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iPriority w:val="99"/>
    <w:unhideWhenUsed/>
    <w:rsid w:val="003E35A8"/>
    <w:rPr>
      <w:sz w:val="20"/>
    </w:rPr>
  </w:style>
  <w:style w:type="character" w:customStyle="1" w:styleId="CommentTextChar">
    <w:name w:val="Comment Text Char"/>
    <w:basedOn w:val="DefaultParagraphFont"/>
    <w:link w:val="CommentText"/>
    <w:uiPriority w:val="99"/>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6880">
      <w:bodyDiv w:val="1"/>
      <w:marLeft w:val="0"/>
      <w:marRight w:val="0"/>
      <w:marTop w:val="0"/>
      <w:marBottom w:val="0"/>
      <w:divBdr>
        <w:top w:val="none" w:sz="0" w:space="0" w:color="auto"/>
        <w:left w:val="none" w:sz="0" w:space="0" w:color="auto"/>
        <w:bottom w:val="none" w:sz="0" w:space="0" w:color="auto"/>
        <w:right w:val="none" w:sz="0" w:space="0" w:color="auto"/>
      </w:divBdr>
    </w:div>
    <w:div w:id="79372081">
      <w:bodyDiv w:val="1"/>
      <w:marLeft w:val="0"/>
      <w:marRight w:val="0"/>
      <w:marTop w:val="0"/>
      <w:marBottom w:val="0"/>
      <w:divBdr>
        <w:top w:val="none" w:sz="0" w:space="0" w:color="auto"/>
        <w:left w:val="none" w:sz="0" w:space="0" w:color="auto"/>
        <w:bottom w:val="none" w:sz="0" w:space="0" w:color="auto"/>
        <w:right w:val="none" w:sz="0" w:space="0" w:color="auto"/>
      </w:divBdr>
      <w:divsChild>
        <w:div w:id="574515865">
          <w:marLeft w:val="0"/>
          <w:marRight w:val="0"/>
          <w:marTop w:val="0"/>
          <w:marBottom w:val="0"/>
          <w:divBdr>
            <w:top w:val="none" w:sz="0" w:space="0" w:color="auto"/>
            <w:left w:val="none" w:sz="0" w:space="0" w:color="auto"/>
            <w:bottom w:val="none" w:sz="0" w:space="0" w:color="auto"/>
            <w:right w:val="none" w:sz="0" w:space="0" w:color="auto"/>
          </w:divBdr>
          <w:divsChild>
            <w:div w:id="421493646">
              <w:marLeft w:val="0"/>
              <w:marRight w:val="0"/>
              <w:marTop w:val="0"/>
              <w:marBottom w:val="0"/>
              <w:divBdr>
                <w:top w:val="none" w:sz="0" w:space="0" w:color="auto"/>
                <w:left w:val="none" w:sz="0" w:space="0" w:color="auto"/>
                <w:bottom w:val="none" w:sz="0" w:space="0" w:color="auto"/>
                <w:right w:val="none" w:sz="0" w:space="0" w:color="auto"/>
              </w:divBdr>
              <w:divsChild>
                <w:div w:id="1138448818">
                  <w:marLeft w:val="0"/>
                  <w:marRight w:val="0"/>
                  <w:marTop w:val="0"/>
                  <w:marBottom w:val="0"/>
                  <w:divBdr>
                    <w:top w:val="none" w:sz="0" w:space="0" w:color="auto"/>
                    <w:left w:val="none" w:sz="0" w:space="0" w:color="auto"/>
                    <w:bottom w:val="none" w:sz="0" w:space="0" w:color="auto"/>
                    <w:right w:val="none" w:sz="0" w:space="0" w:color="auto"/>
                  </w:divBdr>
                  <w:divsChild>
                    <w:div w:id="444037213">
                      <w:marLeft w:val="0"/>
                      <w:marRight w:val="0"/>
                      <w:marTop w:val="0"/>
                      <w:marBottom w:val="0"/>
                      <w:divBdr>
                        <w:top w:val="none" w:sz="0" w:space="0" w:color="auto"/>
                        <w:left w:val="none" w:sz="0" w:space="0" w:color="auto"/>
                        <w:bottom w:val="none" w:sz="0" w:space="0" w:color="auto"/>
                        <w:right w:val="none" w:sz="0" w:space="0" w:color="auto"/>
                      </w:divBdr>
                      <w:divsChild>
                        <w:div w:id="777019503">
                          <w:marLeft w:val="0"/>
                          <w:marRight w:val="0"/>
                          <w:marTop w:val="0"/>
                          <w:marBottom w:val="0"/>
                          <w:divBdr>
                            <w:top w:val="none" w:sz="0" w:space="0" w:color="auto"/>
                            <w:left w:val="none" w:sz="0" w:space="0" w:color="auto"/>
                            <w:bottom w:val="none" w:sz="0" w:space="0" w:color="auto"/>
                            <w:right w:val="none" w:sz="0" w:space="0" w:color="auto"/>
                          </w:divBdr>
                          <w:divsChild>
                            <w:div w:id="14909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19328427">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965057">
      <w:bodyDiv w:val="1"/>
      <w:marLeft w:val="0"/>
      <w:marRight w:val="0"/>
      <w:marTop w:val="0"/>
      <w:marBottom w:val="0"/>
      <w:divBdr>
        <w:top w:val="none" w:sz="0" w:space="0" w:color="auto"/>
        <w:left w:val="none" w:sz="0" w:space="0" w:color="auto"/>
        <w:bottom w:val="none" w:sz="0" w:space="0" w:color="auto"/>
        <w:right w:val="none" w:sz="0" w:space="0" w:color="auto"/>
      </w:divBdr>
      <w:divsChild>
        <w:div w:id="224416632">
          <w:marLeft w:val="0"/>
          <w:marRight w:val="0"/>
          <w:marTop w:val="0"/>
          <w:marBottom w:val="0"/>
          <w:divBdr>
            <w:top w:val="none" w:sz="0" w:space="0" w:color="auto"/>
            <w:left w:val="none" w:sz="0" w:space="0" w:color="auto"/>
            <w:bottom w:val="none" w:sz="0" w:space="0" w:color="auto"/>
            <w:right w:val="none" w:sz="0" w:space="0" w:color="auto"/>
          </w:divBdr>
          <w:divsChild>
            <w:div w:id="1029453361">
              <w:marLeft w:val="0"/>
              <w:marRight w:val="0"/>
              <w:marTop w:val="0"/>
              <w:marBottom w:val="0"/>
              <w:divBdr>
                <w:top w:val="none" w:sz="0" w:space="0" w:color="auto"/>
                <w:left w:val="none" w:sz="0" w:space="0" w:color="auto"/>
                <w:bottom w:val="none" w:sz="0" w:space="0" w:color="auto"/>
                <w:right w:val="none" w:sz="0" w:space="0" w:color="auto"/>
              </w:divBdr>
              <w:divsChild>
                <w:div w:id="1573658080">
                  <w:marLeft w:val="0"/>
                  <w:marRight w:val="0"/>
                  <w:marTop w:val="0"/>
                  <w:marBottom w:val="0"/>
                  <w:divBdr>
                    <w:top w:val="none" w:sz="0" w:space="0" w:color="auto"/>
                    <w:left w:val="none" w:sz="0" w:space="0" w:color="auto"/>
                    <w:bottom w:val="none" w:sz="0" w:space="0" w:color="auto"/>
                    <w:right w:val="none" w:sz="0" w:space="0" w:color="auto"/>
                  </w:divBdr>
                  <w:divsChild>
                    <w:div w:id="971596205">
                      <w:marLeft w:val="0"/>
                      <w:marRight w:val="0"/>
                      <w:marTop w:val="0"/>
                      <w:marBottom w:val="0"/>
                      <w:divBdr>
                        <w:top w:val="none" w:sz="0" w:space="0" w:color="auto"/>
                        <w:left w:val="none" w:sz="0" w:space="0" w:color="auto"/>
                        <w:bottom w:val="none" w:sz="0" w:space="0" w:color="auto"/>
                        <w:right w:val="none" w:sz="0" w:space="0" w:color="auto"/>
                      </w:divBdr>
                      <w:divsChild>
                        <w:div w:id="589970141">
                          <w:marLeft w:val="0"/>
                          <w:marRight w:val="0"/>
                          <w:marTop w:val="0"/>
                          <w:marBottom w:val="0"/>
                          <w:divBdr>
                            <w:top w:val="none" w:sz="0" w:space="0" w:color="auto"/>
                            <w:left w:val="none" w:sz="0" w:space="0" w:color="auto"/>
                            <w:bottom w:val="none" w:sz="0" w:space="0" w:color="auto"/>
                            <w:right w:val="none" w:sz="0" w:space="0" w:color="auto"/>
                          </w:divBdr>
                          <w:divsChild>
                            <w:div w:id="820659583">
                              <w:marLeft w:val="0"/>
                              <w:marRight w:val="0"/>
                              <w:marTop w:val="0"/>
                              <w:marBottom w:val="0"/>
                              <w:divBdr>
                                <w:top w:val="none" w:sz="0" w:space="0" w:color="auto"/>
                                <w:left w:val="none" w:sz="0" w:space="0" w:color="auto"/>
                                <w:bottom w:val="none" w:sz="0" w:space="0" w:color="auto"/>
                                <w:right w:val="none" w:sz="0" w:space="0" w:color="auto"/>
                              </w:divBdr>
                              <w:divsChild>
                                <w:div w:id="1144078135">
                                  <w:marLeft w:val="0"/>
                                  <w:marRight w:val="0"/>
                                  <w:marTop w:val="0"/>
                                  <w:marBottom w:val="0"/>
                                  <w:divBdr>
                                    <w:top w:val="none" w:sz="0" w:space="0" w:color="auto"/>
                                    <w:left w:val="none" w:sz="0" w:space="0" w:color="auto"/>
                                    <w:bottom w:val="none" w:sz="0" w:space="0" w:color="auto"/>
                                    <w:right w:val="none" w:sz="0" w:space="0" w:color="auto"/>
                                  </w:divBdr>
                                  <w:divsChild>
                                    <w:div w:id="997464011">
                                      <w:marLeft w:val="0"/>
                                      <w:marRight w:val="0"/>
                                      <w:marTop w:val="0"/>
                                      <w:marBottom w:val="0"/>
                                      <w:divBdr>
                                        <w:top w:val="none" w:sz="0" w:space="0" w:color="auto"/>
                                        <w:left w:val="none" w:sz="0" w:space="0" w:color="auto"/>
                                        <w:bottom w:val="none" w:sz="0" w:space="0" w:color="auto"/>
                                        <w:right w:val="none" w:sz="0" w:space="0" w:color="auto"/>
                                      </w:divBdr>
                                      <w:divsChild>
                                        <w:div w:id="624896381">
                                          <w:marLeft w:val="0"/>
                                          <w:marRight w:val="0"/>
                                          <w:marTop w:val="0"/>
                                          <w:marBottom w:val="0"/>
                                          <w:divBdr>
                                            <w:top w:val="none" w:sz="0" w:space="0" w:color="auto"/>
                                            <w:left w:val="none" w:sz="0" w:space="0" w:color="auto"/>
                                            <w:bottom w:val="none" w:sz="0" w:space="0" w:color="auto"/>
                                            <w:right w:val="none" w:sz="0" w:space="0" w:color="auto"/>
                                          </w:divBdr>
                                          <w:divsChild>
                                            <w:div w:id="1846049244">
                                              <w:marLeft w:val="0"/>
                                              <w:marRight w:val="0"/>
                                              <w:marTop w:val="0"/>
                                              <w:marBottom w:val="0"/>
                                              <w:divBdr>
                                                <w:top w:val="none" w:sz="0" w:space="0" w:color="auto"/>
                                                <w:left w:val="none" w:sz="0" w:space="0" w:color="auto"/>
                                                <w:bottom w:val="none" w:sz="0" w:space="0" w:color="auto"/>
                                                <w:right w:val="none" w:sz="0" w:space="0" w:color="auto"/>
                                              </w:divBdr>
                                              <w:divsChild>
                                                <w:div w:id="1066227557">
                                                  <w:marLeft w:val="0"/>
                                                  <w:marRight w:val="0"/>
                                                  <w:marTop w:val="0"/>
                                                  <w:marBottom w:val="0"/>
                                                  <w:divBdr>
                                                    <w:top w:val="none" w:sz="0" w:space="0" w:color="auto"/>
                                                    <w:left w:val="none" w:sz="0" w:space="0" w:color="auto"/>
                                                    <w:bottom w:val="none" w:sz="0" w:space="0" w:color="auto"/>
                                                    <w:right w:val="none" w:sz="0" w:space="0" w:color="auto"/>
                                                  </w:divBdr>
                                                  <w:divsChild>
                                                    <w:div w:id="158815359">
                                                      <w:marLeft w:val="0"/>
                                                      <w:marRight w:val="0"/>
                                                      <w:marTop w:val="0"/>
                                                      <w:marBottom w:val="0"/>
                                                      <w:divBdr>
                                                        <w:top w:val="none" w:sz="0" w:space="0" w:color="auto"/>
                                                        <w:left w:val="none" w:sz="0" w:space="0" w:color="auto"/>
                                                        <w:bottom w:val="none" w:sz="0" w:space="0" w:color="auto"/>
                                                        <w:right w:val="none" w:sz="0" w:space="0" w:color="auto"/>
                                                      </w:divBdr>
                                                      <w:divsChild>
                                                        <w:div w:id="6053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79156424">
      <w:bodyDiv w:val="1"/>
      <w:marLeft w:val="0"/>
      <w:marRight w:val="0"/>
      <w:marTop w:val="0"/>
      <w:marBottom w:val="0"/>
      <w:divBdr>
        <w:top w:val="none" w:sz="0" w:space="0" w:color="auto"/>
        <w:left w:val="none" w:sz="0" w:space="0" w:color="auto"/>
        <w:bottom w:val="none" w:sz="0" w:space="0" w:color="auto"/>
        <w:right w:val="none" w:sz="0" w:space="0" w:color="auto"/>
      </w:divBdr>
      <w:divsChild>
        <w:div w:id="840899187">
          <w:marLeft w:val="0"/>
          <w:marRight w:val="0"/>
          <w:marTop w:val="0"/>
          <w:marBottom w:val="0"/>
          <w:divBdr>
            <w:top w:val="none" w:sz="0" w:space="0" w:color="auto"/>
            <w:left w:val="none" w:sz="0" w:space="0" w:color="auto"/>
            <w:bottom w:val="none" w:sz="0" w:space="0" w:color="auto"/>
            <w:right w:val="none" w:sz="0" w:space="0" w:color="auto"/>
          </w:divBdr>
          <w:divsChild>
            <w:div w:id="642581592">
              <w:marLeft w:val="0"/>
              <w:marRight w:val="0"/>
              <w:marTop w:val="0"/>
              <w:marBottom w:val="0"/>
              <w:divBdr>
                <w:top w:val="none" w:sz="0" w:space="0" w:color="auto"/>
                <w:left w:val="none" w:sz="0" w:space="0" w:color="auto"/>
                <w:bottom w:val="none" w:sz="0" w:space="0" w:color="auto"/>
                <w:right w:val="none" w:sz="0" w:space="0" w:color="auto"/>
              </w:divBdr>
              <w:divsChild>
                <w:div w:id="104349031">
                  <w:marLeft w:val="0"/>
                  <w:marRight w:val="0"/>
                  <w:marTop w:val="0"/>
                  <w:marBottom w:val="0"/>
                  <w:divBdr>
                    <w:top w:val="none" w:sz="0" w:space="0" w:color="auto"/>
                    <w:left w:val="none" w:sz="0" w:space="0" w:color="auto"/>
                    <w:bottom w:val="none" w:sz="0" w:space="0" w:color="auto"/>
                    <w:right w:val="none" w:sz="0" w:space="0" w:color="auto"/>
                  </w:divBdr>
                  <w:divsChild>
                    <w:div w:id="244072593">
                      <w:marLeft w:val="0"/>
                      <w:marRight w:val="0"/>
                      <w:marTop w:val="0"/>
                      <w:marBottom w:val="0"/>
                      <w:divBdr>
                        <w:top w:val="none" w:sz="0" w:space="0" w:color="auto"/>
                        <w:left w:val="none" w:sz="0" w:space="0" w:color="auto"/>
                        <w:bottom w:val="none" w:sz="0" w:space="0" w:color="auto"/>
                        <w:right w:val="none" w:sz="0" w:space="0" w:color="auto"/>
                      </w:divBdr>
                      <w:divsChild>
                        <w:div w:id="110559623">
                          <w:marLeft w:val="0"/>
                          <w:marRight w:val="0"/>
                          <w:marTop w:val="0"/>
                          <w:marBottom w:val="0"/>
                          <w:divBdr>
                            <w:top w:val="none" w:sz="0" w:space="0" w:color="auto"/>
                            <w:left w:val="none" w:sz="0" w:space="0" w:color="auto"/>
                            <w:bottom w:val="none" w:sz="0" w:space="0" w:color="auto"/>
                            <w:right w:val="none" w:sz="0" w:space="0" w:color="auto"/>
                          </w:divBdr>
                          <w:divsChild>
                            <w:div w:id="329063613">
                              <w:marLeft w:val="0"/>
                              <w:marRight w:val="0"/>
                              <w:marTop w:val="0"/>
                              <w:marBottom w:val="0"/>
                              <w:divBdr>
                                <w:top w:val="none" w:sz="0" w:space="0" w:color="auto"/>
                                <w:left w:val="none" w:sz="0" w:space="0" w:color="auto"/>
                                <w:bottom w:val="none" w:sz="0" w:space="0" w:color="auto"/>
                                <w:right w:val="none" w:sz="0" w:space="0" w:color="auto"/>
                              </w:divBdr>
                              <w:divsChild>
                                <w:div w:id="1719355187">
                                  <w:marLeft w:val="0"/>
                                  <w:marRight w:val="0"/>
                                  <w:marTop w:val="0"/>
                                  <w:marBottom w:val="0"/>
                                  <w:divBdr>
                                    <w:top w:val="none" w:sz="0" w:space="0" w:color="auto"/>
                                    <w:left w:val="none" w:sz="0" w:space="0" w:color="auto"/>
                                    <w:bottom w:val="none" w:sz="0" w:space="0" w:color="auto"/>
                                    <w:right w:val="none" w:sz="0" w:space="0" w:color="auto"/>
                                  </w:divBdr>
                                  <w:divsChild>
                                    <w:div w:id="420028481">
                                      <w:marLeft w:val="0"/>
                                      <w:marRight w:val="0"/>
                                      <w:marTop w:val="0"/>
                                      <w:marBottom w:val="0"/>
                                      <w:divBdr>
                                        <w:top w:val="none" w:sz="0" w:space="0" w:color="auto"/>
                                        <w:left w:val="none" w:sz="0" w:space="0" w:color="auto"/>
                                        <w:bottom w:val="none" w:sz="0" w:space="0" w:color="auto"/>
                                        <w:right w:val="none" w:sz="0" w:space="0" w:color="auto"/>
                                      </w:divBdr>
                                      <w:divsChild>
                                        <w:div w:id="1597707192">
                                          <w:marLeft w:val="0"/>
                                          <w:marRight w:val="0"/>
                                          <w:marTop w:val="0"/>
                                          <w:marBottom w:val="0"/>
                                          <w:divBdr>
                                            <w:top w:val="none" w:sz="0" w:space="0" w:color="auto"/>
                                            <w:left w:val="none" w:sz="0" w:space="0" w:color="auto"/>
                                            <w:bottom w:val="none" w:sz="0" w:space="0" w:color="auto"/>
                                            <w:right w:val="none" w:sz="0" w:space="0" w:color="auto"/>
                                          </w:divBdr>
                                          <w:divsChild>
                                            <w:div w:id="1874028800">
                                              <w:marLeft w:val="0"/>
                                              <w:marRight w:val="0"/>
                                              <w:marTop w:val="0"/>
                                              <w:marBottom w:val="0"/>
                                              <w:divBdr>
                                                <w:top w:val="none" w:sz="0" w:space="0" w:color="auto"/>
                                                <w:left w:val="none" w:sz="0" w:space="0" w:color="auto"/>
                                                <w:bottom w:val="none" w:sz="0" w:space="0" w:color="auto"/>
                                                <w:right w:val="none" w:sz="0" w:space="0" w:color="auto"/>
                                              </w:divBdr>
                                              <w:divsChild>
                                                <w:div w:id="720907954">
                                                  <w:marLeft w:val="0"/>
                                                  <w:marRight w:val="0"/>
                                                  <w:marTop w:val="0"/>
                                                  <w:marBottom w:val="0"/>
                                                  <w:divBdr>
                                                    <w:top w:val="none" w:sz="0" w:space="0" w:color="auto"/>
                                                    <w:left w:val="none" w:sz="0" w:space="0" w:color="auto"/>
                                                    <w:bottom w:val="none" w:sz="0" w:space="0" w:color="auto"/>
                                                    <w:right w:val="none" w:sz="0" w:space="0" w:color="auto"/>
                                                  </w:divBdr>
                                                  <w:divsChild>
                                                    <w:div w:id="1965849560">
                                                      <w:marLeft w:val="0"/>
                                                      <w:marRight w:val="0"/>
                                                      <w:marTop w:val="0"/>
                                                      <w:marBottom w:val="0"/>
                                                      <w:divBdr>
                                                        <w:top w:val="none" w:sz="0" w:space="0" w:color="auto"/>
                                                        <w:left w:val="none" w:sz="0" w:space="0" w:color="auto"/>
                                                        <w:bottom w:val="none" w:sz="0" w:space="0" w:color="auto"/>
                                                        <w:right w:val="none" w:sz="0" w:space="0" w:color="auto"/>
                                                      </w:divBdr>
                                                      <w:divsChild>
                                                        <w:div w:id="2013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http://schemas.microsoft.com/office/2006/documentManagement/types"/>
    <ds:schemaRef ds:uri="http://schemas.openxmlformats.org/package/2006/metadata/core-properties"/>
    <ds:schemaRef ds:uri="8bd9498f-fa43-4ae2-8bb2-4c55a71680ad"/>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3E61BE6-6CCE-402C-A630-87681C82C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3351</Words>
  <Characters>19104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7</cp:revision>
  <cp:lastPrinted>2020-12-09T01:55:00Z</cp:lastPrinted>
  <dcterms:created xsi:type="dcterms:W3CDTF">2020-12-09T02:01:00Z</dcterms:created>
  <dcterms:modified xsi:type="dcterms:W3CDTF">2020-12-09T05:55:00Z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