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B8184" w14:textId="77777777" w:rsidR="00D603B2" w:rsidRPr="001A3B30" w:rsidRDefault="00D603B2" w:rsidP="00EE2C91">
      <w:pPr>
        <w:pStyle w:val="NormalExplanatorystatement"/>
        <w:jc w:val="center"/>
        <w:rPr>
          <w:b/>
          <w:u w:val="single"/>
        </w:rPr>
      </w:pPr>
      <w:bookmarkStart w:id="0" w:name="_Toc23425014"/>
      <w:bookmarkEnd w:id="0"/>
      <w:r w:rsidRPr="001A3B30">
        <w:rPr>
          <w:b/>
          <w:u w:val="single"/>
        </w:rPr>
        <w:t>EXPLANATORY STATEMENT</w:t>
      </w:r>
    </w:p>
    <w:p w14:paraId="0F948504" w14:textId="77777777" w:rsidR="00D603B2" w:rsidRPr="00BD12DB" w:rsidRDefault="00D603B2" w:rsidP="00EE2C91">
      <w:pPr>
        <w:pStyle w:val="NormalExplanatorystatement"/>
        <w:jc w:val="center"/>
        <w:rPr>
          <w:u w:val="single"/>
        </w:rPr>
      </w:pPr>
      <w:r w:rsidRPr="00BD12DB">
        <w:rPr>
          <w:u w:val="single"/>
        </w:rPr>
        <w:t>Issued by the authority of the Minister for Industry, Science</w:t>
      </w:r>
      <w:r w:rsidR="00E164BF" w:rsidRPr="00BD12DB">
        <w:rPr>
          <w:u w:val="single"/>
        </w:rPr>
        <w:t xml:space="preserve"> and Technology</w:t>
      </w:r>
    </w:p>
    <w:p w14:paraId="4FBF98AF" w14:textId="77777777" w:rsidR="00D603B2" w:rsidRPr="001A3B30" w:rsidRDefault="00D603B2" w:rsidP="00EE2C91">
      <w:pPr>
        <w:pStyle w:val="NormalExplanatorystatement"/>
        <w:jc w:val="center"/>
        <w:rPr>
          <w:i/>
        </w:rPr>
      </w:pPr>
      <w:r w:rsidRPr="001A3B30">
        <w:rPr>
          <w:i/>
        </w:rPr>
        <w:t>Industry Research and Development Act 1986</w:t>
      </w:r>
    </w:p>
    <w:p w14:paraId="04514E31" w14:textId="77777777" w:rsidR="00D603B2" w:rsidRPr="001A3B30" w:rsidRDefault="00BC2CDD" w:rsidP="00EE2C91">
      <w:pPr>
        <w:pStyle w:val="NormalExplanatorystatement"/>
        <w:jc w:val="center"/>
        <w:rPr>
          <w:i/>
          <w:u w:val="single"/>
        </w:rPr>
      </w:pPr>
      <w:r w:rsidRPr="001A3B30">
        <w:rPr>
          <w:i/>
          <w:u w:val="single"/>
        </w:rPr>
        <w:t>Industry Research and Development (Moon to Mars Program) Instrument 2020</w:t>
      </w:r>
    </w:p>
    <w:p w14:paraId="3E314E65" w14:textId="77777777" w:rsidR="00D603B2" w:rsidRPr="001A3B30" w:rsidRDefault="00D603B2" w:rsidP="00EE2C91">
      <w:pPr>
        <w:pStyle w:val="NormalExplanatorystatement"/>
        <w:rPr>
          <w:b/>
          <w:u w:val="single"/>
        </w:rPr>
      </w:pPr>
      <w:r w:rsidRPr="001A3B30">
        <w:rPr>
          <w:b/>
          <w:u w:val="single"/>
        </w:rPr>
        <w:t>Purpose and Operation</w:t>
      </w:r>
    </w:p>
    <w:p w14:paraId="0499530F" w14:textId="77777777" w:rsidR="00D603B2" w:rsidRPr="001A3B30" w:rsidRDefault="00D603B2" w:rsidP="00EE2C91">
      <w:pPr>
        <w:pStyle w:val="NormalExplanatorystatement"/>
      </w:pPr>
      <w:r w:rsidRPr="001A3B30">
        <w:t xml:space="preserve">Section 33 of the </w:t>
      </w:r>
      <w:r w:rsidRPr="001A3B30">
        <w:rPr>
          <w:i/>
        </w:rPr>
        <w:t>Industry Research and Development Act 1986</w:t>
      </w:r>
      <w:r w:rsidRPr="001A3B30">
        <w:t xml:space="preserve"> (the IR&amp;D Act) provides a mechanism for the Minister to prescribe programs, by disallowable legislative instrument, in relation to industry, innovation, science or research, including in relation to the expenditure of Commonwealth money under such programs. </w:t>
      </w:r>
    </w:p>
    <w:p w14:paraId="09141C2D" w14:textId="77777777" w:rsidR="00D603B2" w:rsidRPr="001A3B30" w:rsidRDefault="00D603B2" w:rsidP="00EE2C91">
      <w:pPr>
        <w:pStyle w:val="NormalExplanatorystatement"/>
      </w:pPr>
      <w:r w:rsidRPr="001A3B30">
        <w:t>The statutory framework provided by s</w:t>
      </w:r>
      <w:r w:rsidR="0099398A">
        <w:t xml:space="preserve">ection </w:t>
      </w:r>
      <w:r w:rsidRPr="001A3B30">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6389A6E3" w14:textId="77777777" w:rsidR="00D603B2" w:rsidRPr="001A3B30" w:rsidRDefault="00D603B2">
      <w:pPr>
        <w:pStyle w:val="NormalExplanatorystatement"/>
      </w:pPr>
      <w:r w:rsidRPr="001A3B30">
        <w:t>Once a program is prescribed by the Minister under s</w:t>
      </w:r>
      <w:r w:rsidR="0099398A">
        <w:t xml:space="preserve">ection </w:t>
      </w:r>
      <w:r w:rsidRPr="001A3B30">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99398A">
        <w:t xml:space="preserve">ection </w:t>
      </w:r>
      <w:r w:rsidRPr="001A3B30">
        <w:t xml:space="preserve">36). </w:t>
      </w:r>
    </w:p>
    <w:p w14:paraId="32D449AD" w14:textId="77777777" w:rsidR="00207277" w:rsidRDefault="00D603B2">
      <w:pPr>
        <w:pStyle w:val="NormalExplanatorystatement"/>
      </w:pPr>
      <w:r w:rsidRPr="007614FD">
        <w:t xml:space="preserve">The purpose of the </w:t>
      </w:r>
      <w:r w:rsidR="00185764" w:rsidRPr="00CD230C">
        <w:rPr>
          <w:i/>
        </w:rPr>
        <w:t>Industry Research and Development (Moon to Mars Program) Instrument 2020</w:t>
      </w:r>
      <w:r w:rsidR="00185764" w:rsidRPr="0012365F" w:rsidDel="00185764">
        <w:t xml:space="preserve"> </w:t>
      </w:r>
      <w:r w:rsidRPr="0012365F">
        <w:t xml:space="preserve">(the Legislative Instrument) is to prescribe the </w:t>
      </w:r>
      <w:r w:rsidR="00E164BF" w:rsidRPr="0012365F">
        <w:t xml:space="preserve">Moon to Mars </w:t>
      </w:r>
      <w:r w:rsidR="00566599">
        <w:t xml:space="preserve">Program </w:t>
      </w:r>
      <w:r w:rsidRPr="0012365F">
        <w:t>(</w:t>
      </w:r>
      <w:r w:rsidR="00F1370D" w:rsidRPr="0012365F">
        <w:t>the </w:t>
      </w:r>
      <w:r w:rsidRPr="0012365F">
        <w:t>Program)</w:t>
      </w:r>
      <w:r w:rsidR="00F67EC0" w:rsidRPr="00CD230C">
        <w:t>.</w:t>
      </w:r>
      <w:r w:rsidR="00436854" w:rsidRPr="0012365F">
        <w:t xml:space="preserve"> </w:t>
      </w:r>
    </w:p>
    <w:p w14:paraId="151B4B51" w14:textId="72FD0185" w:rsidR="003A48A2" w:rsidRPr="00CD230C" w:rsidRDefault="00556377">
      <w:pPr>
        <w:pStyle w:val="NormalExplanatorystatement"/>
      </w:pPr>
      <w:r w:rsidRPr="00CD230C">
        <w:t>F</w:t>
      </w:r>
      <w:r w:rsidR="00D603B2" w:rsidRPr="0012365F">
        <w:t>unding for the Pr</w:t>
      </w:r>
      <w:r w:rsidR="00E164BF" w:rsidRPr="0012365F">
        <w:t xml:space="preserve">ogram </w:t>
      </w:r>
      <w:r w:rsidRPr="00CD230C">
        <w:t xml:space="preserve">was provided </w:t>
      </w:r>
      <w:r w:rsidR="00E164BF" w:rsidRPr="0012365F">
        <w:t xml:space="preserve">through </w:t>
      </w:r>
      <w:r w:rsidR="00D603B2" w:rsidRPr="0012365F">
        <w:t xml:space="preserve">the </w:t>
      </w:r>
      <w:r w:rsidRPr="00CD230C">
        <w:t xml:space="preserve">2019-20 Appropriation Bills. </w:t>
      </w:r>
      <w:r w:rsidR="00E164BF" w:rsidRPr="0012365F">
        <w:t>The Program provides $</w:t>
      </w:r>
      <w:r w:rsidR="00F1370D" w:rsidRPr="0012365F">
        <w:t>150 </w:t>
      </w:r>
      <w:r w:rsidR="00436854" w:rsidRPr="0012365F">
        <w:t>million</w:t>
      </w:r>
      <w:r w:rsidR="00D603B2" w:rsidRPr="0012365F">
        <w:t xml:space="preserve"> </w:t>
      </w:r>
      <w:r w:rsidR="00B56347">
        <w:t xml:space="preserve">over five years from 2020-21 </w:t>
      </w:r>
      <w:r w:rsidR="00D603B2" w:rsidRPr="0012365F">
        <w:t xml:space="preserve">as part of the Australian </w:t>
      </w:r>
      <w:r w:rsidR="00D603B2" w:rsidRPr="00EA2610">
        <w:t xml:space="preserve">Government’s commitment to </w:t>
      </w:r>
      <w:r w:rsidR="003A48A2" w:rsidRPr="00EA2610">
        <w:t xml:space="preserve">support Australian businesses and </w:t>
      </w:r>
      <w:r w:rsidR="00004E03" w:rsidRPr="00EA2610">
        <w:t>organisations</w:t>
      </w:r>
      <w:r w:rsidR="00E95B56">
        <w:t>,</w:t>
      </w:r>
      <w:r w:rsidR="00E95B56" w:rsidRPr="00E95B56">
        <w:t xml:space="preserve"> </w:t>
      </w:r>
      <w:r w:rsidR="00E95B56">
        <w:t>including universities and research institutions</w:t>
      </w:r>
      <w:r w:rsidR="00004E03" w:rsidRPr="00EA2610">
        <w:t xml:space="preserve"> </w:t>
      </w:r>
      <w:r w:rsidR="003A48A2" w:rsidRPr="00EA2610">
        <w:t xml:space="preserve">to </w:t>
      </w:r>
      <w:r w:rsidR="00EA2610" w:rsidRPr="00CD230C">
        <w:t xml:space="preserve">participate in international space supply chains and markets, including </w:t>
      </w:r>
      <w:r w:rsidR="003A48A2" w:rsidRPr="00EA2610">
        <w:t>join</w:t>
      </w:r>
      <w:r w:rsidR="00EA2610" w:rsidRPr="00CD230C">
        <w:t>ing</w:t>
      </w:r>
      <w:r w:rsidR="003A48A2" w:rsidRPr="00EA2610">
        <w:t xml:space="preserve"> </w:t>
      </w:r>
      <w:r w:rsidR="0099398A" w:rsidRPr="00EA2610">
        <w:t>the</w:t>
      </w:r>
      <w:r w:rsidR="0099398A" w:rsidRPr="0012365F">
        <w:t xml:space="preserve"> </w:t>
      </w:r>
      <w:r w:rsidR="003A48A2" w:rsidRPr="0012365F">
        <w:t>N</w:t>
      </w:r>
      <w:r w:rsidR="0099398A" w:rsidRPr="0012365F">
        <w:t xml:space="preserve">ational </w:t>
      </w:r>
      <w:r w:rsidR="003A48A2" w:rsidRPr="0012365F">
        <w:t>A</w:t>
      </w:r>
      <w:r w:rsidR="0099398A" w:rsidRPr="0012365F">
        <w:t xml:space="preserve">eronautics and </w:t>
      </w:r>
      <w:r w:rsidR="003A48A2" w:rsidRPr="0012365F">
        <w:t>S</w:t>
      </w:r>
      <w:r w:rsidR="0099398A" w:rsidRPr="0012365F">
        <w:t xml:space="preserve">pace </w:t>
      </w:r>
      <w:r w:rsidR="003A48A2" w:rsidRPr="0012365F">
        <w:t>A</w:t>
      </w:r>
      <w:r w:rsidR="0099398A" w:rsidRPr="0012365F">
        <w:t>dministration</w:t>
      </w:r>
      <w:r w:rsidR="003A48A2" w:rsidRPr="0012365F">
        <w:t>’s</w:t>
      </w:r>
      <w:r w:rsidR="0099398A" w:rsidRPr="00556377">
        <w:t xml:space="preserve"> (NASA</w:t>
      </w:r>
      <w:r w:rsidR="00085EF2" w:rsidRPr="00556377">
        <w:t>’s</w:t>
      </w:r>
      <w:r w:rsidR="0099398A" w:rsidRPr="00556377">
        <w:t>)</w:t>
      </w:r>
      <w:r w:rsidR="003A48A2" w:rsidRPr="00556377">
        <w:t xml:space="preserve"> inspirational endeavour to go forward to the Moon and then go on to Mars</w:t>
      </w:r>
      <w:r w:rsidR="00F1370D" w:rsidRPr="00556377">
        <w:t xml:space="preserve"> (Moon to Mars campaign)</w:t>
      </w:r>
      <w:r w:rsidR="003A48A2" w:rsidRPr="00556377">
        <w:t>.</w:t>
      </w:r>
      <w:r w:rsidR="00207277" w:rsidRPr="00556377" w:rsidDel="00F1370D">
        <w:t xml:space="preserve"> </w:t>
      </w:r>
    </w:p>
    <w:p w14:paraId="53251141" w14:textId="0A6C81F2" w:rsidR="00007E33" w:rsidRDefault="003A48A2">
      <w:pPr>
        <w:pStyle w:val="NormalExplanatorystatement"/>
      </w:pPr>
      <w:r w:rsidRPr="00372A16">
        <w:t xml:space="preserve">The </w:t>
      </w:r>
      <w:r w:rsidR="003E05FA" w:rsidRPr="00372A16">
        <w:t>Program</w:t>
      </w:r>
      <w:r w:rsidR="003E05FA">
        <w:t xml:space="preserve"> </w:t>
      </w:r>
      <w:r w:rsidR="000A1102">
        <w:t xml:space="preserve">aligns with and contributes to fulfilling the </w:t>
      </w:r>
      <w:r w:rsidR="00475310">
        <w:t>goal</w:t>
      </w:r>
      <w:r w:rsidR="00CE119D">
        <w:t>s</w:t>
      </w:r>
      <w:r w:rsidR="000A1102">
        <w:t xml:space="preserve"> of</w:t>
      </w:r>
      <w:r w:rsidR="009F2A37">
        <w:t xml:space="preserve"> </w:t>
      </w:r>
      <w:r w:rsidR="009B0019" w:rsidRPr="007918F8">
        <w:rPr>
          <w:rStyle w:val="Hyperlink"/>
          <w:color w:val="auto"/>
          <w:u w:val="none"/>
        </w:rPr>
        <w:t>Advancing Space: Australian Civil Space Strategy</w:t>
      </w:r>
      <w:r w:rsidRPr="007918F8">
        <w:rPr>
          <w:rStyle w:val="Hyperlink"/>
          <w:color w:val="auto"/>
          <w:u w:val="none"/>
        </w:rPr>
        <w:t xml:space="preserve"> 2019-2028</w:t>
      </w:r>
      <w:r w:rsidR="008635AD" w:rsidRPr="007918F8">
        <w:t xml:space="preserve"> (the civil space strategy)</w:t>
      </w:r>
      <w:r w:rsidR="00820ED5">
        <w:t xml:space="preserve">, </w:t>
      </w:r>
      <w:r w:rsidR="00820ED5" w:rsidRPr="001A3B30">
        <w:t>a</w:t>
      </w:r>
      <w:r w:rsidR="00820ED5">
        <w:t xml:space="preserve">t the date </w:t>
      </w:r>
      <w:r w:rsidR="00241252">
        <w:t>on</w:t>
      </w:r>
      <w:r w:rsidR="00820ED5">
        <w:t xml:space="preserve"> which this Legislative Instrument commences</w:t>
      </w:r>
      <w:r w:rsidR="004354E0" w:rsidRPr="00372A16">
        <w:t>.</w:t>
      </w:r>
      <w:r w:rsidR="004354E0">
        <w:t xml:space="preserve"> </w:t>
      </w:r>
      <w:r w:rsidR="003B28C8" w:rsidRPr="001A3B30">
        <w:t>Th</w:t>
      </w:r>
      <w:r w:rsidR="003B28C8">
        <w:t>e civil space strategy</w:t>
      </w:r>
      <w:r w:rsidR="003B28C8" w:rsidRPr="001A3B30">
        <w:t xml:space="preserve"> is a policy document that is </w:t>
      </w:r>
      <w:r w:rsidR="003B28C8" w:rsidRPr="001A3B30">
        <w:lastRenderedPageBreak/>
        <w:t>freely available on the Department’s website (</w:t>
      </w:r>
      <w:hyperlink r:id="rId11" w:history="1">
        <w:r w:rsidR="003B28C8" w:rsidRPr="001A3B30">
          <w:rPr>
            <w:rStyle w:val="Hyperlink"/>
            <w:i/>
          </w:rPr>
          <w:t>https://www.industry.gov.au/data-and-publications/australian-civil-space-strategy-2019-2028</w:t>
        </w:r>
      </w:hyperlink>
      <w:r w:rsidR="003B28C8" w:rsidRPr="001A3B30">
        <w:t xml:space="preserve">) and explains the Australian Government’s plan for the </w:t>
      </w:r>
      <w:r w:rsidR="003B28C8" w:rsidRPr="00357639">
        <w:t xml:space="preserve">space sector to 2028. </w:t>
      </w:r>
      <w:r w:rsidR="004354E0" w:rsidRPr="00357639">
        <w:t>The</w:t>
      </w:r>
      <w:r w:rsidR="004354E0">
        <w:t xml:space="preserve"> Program</w:t>
      </w:r>
      <w:r w:rsidRPr="001A3B30">
        <w:t xml:space="preserve"> </w:t>
      </w:r>
      <w:r w:rsidR="00475310">
        <w:t>is consistent with</w:t>
      </w:r>
      <w:r w:rsidRPr="001A3B30">
        <w:t xml:space="preserve"> the National and International pillars </w:t>
      </w:r>
      <w:r w:rsidR="004354E0">
        <w:t>of the civil space strategy by</w:t>
      </w:r>
      <w:r w:rsidRPr="001A3B30">
        <w:t xml:space="preserve"> open</w:t>
      </w:r>
      <w:r w:rsidR="004354E0">
        <w:t>ing</w:t>
      </w:r>
      <w:r w:rsidRPr="001A3B30">
        <w:t xml:space="preserve"> doors for Australian businesses and </w:t>
      </w:r>
      <w:r w:rsidR="00004E03">
        <w:t>organisations</w:t>
      </w:r>
      <w:r w:rsidR="00004E03" w:rsidRPr="001A3B30">
        <w:t xml:space="preserve"> </w:t>
      </w:r>
      <w:r w:rsidRPr="001A3B30">
        <w:t>to access international space supply chains, creat</w:t>
      </w:r>
      <w:r w:rsidR="004354E0">
        <w:t>ing</w:t>
      </w:r>
      <w:r w:rsidRPr="001A3B30">
        <w:t xml:space="preserve"> jobs in Australia and support</w:t>
      </w:r>
      <w:r w:rsidR="004354E0">
        <w:t>ing</w:t>
      </w:r>
      <w:r w:rsidRPr="001A3B30">
        <w:t xml:space="preserve"> the growth of industrie</w:t>
      </w:r>
      <w:bookmarkStart w:id="1" w:name="_GoBack"/>
      <w:bookmarkEnd w:id="1"/>
      <w:r w:rsidRPr="001A3B30">
        <w:t>s across the economy through the development and application of space technologies. Through th</w:t>
      </w:r>
      <w:r w:rsidR="00475310">
        <w:t>is Program</w:t>
      </w:r>
      <w:r w:rsidRPr="001A3B30">
        <w:t xml:space="preserve">, Australian </w:t>
      </w:r>
      <w:r w:rsidR="00F376D4">
        <w:t xml:space="preserve">businesses and </w:t>
      </w:r>
      <w:r w:rsidRPr="001A3B30">
        <w:t xml:space="preserve">organisations will join with NASA and other </w:t>
      </w:r>
      <w:r w:rsidRPr="00207277">
        <w:t>international partners to bring Australian capabilities to space, the Moon</w:t>
      </w:r>
      <w:r w:rsidR="00475310" w:rsidRPr="00207277">
        <w:t xml:space="preserve"> and on to</w:t>
      </w:r>
      <w:r w:rsidRPr="00207277">
        <w:t xml:space="preserve"> Mars</w:t>
      </w:r>
      <w:r w:rsidR="00357639" w:rsidRPr="00207277">
        <w:t xml:space="preserve"> and beyond</w:t>
      </w:r>
      <w:r w:rsidRPr="00207277">
        <w:t>.</w:t>
      </w:r>
      <w:r w:rsidR="00475310" w:rsidRPr="00475310">
        <w:t xml:space="preserve"> </w:t>
      </w:r>
    </w:p>
    <w:p w14:paraId="5013D89B" w14:textId="77777777" w:rsidR="006527A6" w:rsidRDefault="006527A6" w:rsidP="006527A6">
      <w:pPr>
        <w:pStyle w:val="NormalExplanatorystatement"/>
      </w:pPr>
      <w:r w:rsidRPr="002E3909">
        <w:t xml:space="preserve">The Program will be delivered through a mix of </w:t>
      </w:r>
      <w:r w:rsidR="008A7292">
        <w:t xml:space="preserve">grants and procurement </w:t>
      </w:r>
      <w:r w:rsidRPr="002E3909">
        <w:t>processes appropriate to each specific element or component</w:t>
      </w:r>
      <w:r w:rsidR="0006478D">
        <w:t xml:space="preserve">. </w:t>
      </w:r>
    </w:p>
    <w:p w14:paraId="2469A507" w14:textId="77777777" w:rsidR="00941108" w:rsidRPr="00BD12DB" w:rsidRDefault="00941108">
      <w:pPr>
        <w:spacing w:before="240" w:after="240" w:line="276" w:lineRule="auto"/>
        <w:rPr>
          <w:rFonts w:ascii="Times New Roman" w:hAnsi="Times New Roman" w:cs="Times New Roman"/>
          <w:szCs w:val="24"/>
        </w:rPr>
      </w:pPr>
      <w:r w:rsidRPr="00BD12DB">
        <w:rPr>
          <w:rFonts w:ascii="Times New Roman" w:hAnsi="Times New Roman" w:cs="Times New Roman"/>
          <w:szCs w:val="24"/>
        </w:rPr>
        <w:t>Fund</w:t>
      </w:r>
      <w:r w:rsidR="00475310">
        <w:rPr>
          <w:rFonts w:ascii="Times New Roman" w:hAnsi="Times New Roman" w:cs="Times New Roman"/>
          <w:szCs w:val="24"/>
        </w:rPr>
        <w:t>ing</w:t>
      </w:r>
      <w:r w:rsidRPr="00BD12DB">
        <w:rPr>
          <w:rFonts w:ascii="Times New Roman" w:hAnsi="Times New Roman" w:cs="Times New Roman"/>
          <w:szCs w:val="24"/>
        </w:rPr>
        <w:t xml:space="preserve"> will be provided through </w:t>
      </w:r>
      <w:r w:rsidR="00821AD6">
        <w:rPr>
          <w:rFonts w:ascii="Times New Roman" w:hAnsi="Times New Roman" w:cs="Times New Roman"/>
          <w:szCs w:val="24"/>
        </w:rPr>
        <w:t xml:space="preserve">three </w:t>
      </w:r>
      <w:r w:rsidRPr="00BD12DB">
        <w:rPr>
          <w:rFonts w:ascii="Times New Roman" w:hAnsi="Times New Roman" w:cs="Times New Roman"/>
          <w:szCs w:val="24"/>
        </w:rPr>
        <w:t>separate</w:t>
      </w:r>
      <w:r w:rsidR="00643BAF">
        <w:rPr>
          <w:rFonts w:ascii="Times New Roman" w:hAnsi="Times New Roman" w:cs="Times New Roman"/>
          <w:szCs w:val="24"/>
        </w:rPr>
        <w:t xml:space="preserve"> elements</w:t>
      </w:r>
      <w:r w:rsidR="00475310">
        <w:rPr>
          <w:rFonts w:ascii="Times New Roman" w:hAnsi="Times New Roman" w:cs="Times New Roman"/>
          <w:szCs w:val="24"/>
        </w:rPr>
        <w:t xml:space="preserve"> of the Program</w:t>
      </w:r>
      <w:r w:rsidR="00214960">
        <w:rPr>
          <w:rFonts w:ascii="Times New Roman" w:hAnsi="Times New Roman" w:cs="Times New Roman"/>
          <w:szCs w:val="24"/>
        </w:rPr>
        <w:t xml:space="preserve"> as follows</w:t>
      </w:r>
      <w:r w:rsidR="008462FD">
        <w:rPr>
          <w:rFonts w:ascii="Times New Roman" w:hAnsi="Times New Roman" w:cs="Times New Roman"/>
          <w:szCs w:val="24"/>
        </w:rPr>
        <w:t>:</w:t>
      </w:r>
    </w:p>
    <w:p w14:paraId="503C8B03" w14:textId="05FA6880" w:rsidR="00F376D4" w:rsidRPr="00CD230C" w:rsidDel="00311224" w:rsidRDefault="00F376D4" w:rsidP="00F376D4">
      <w:pPr>
        <w:pStyle w:val="ListParagraph"/>
        <w:numPr>
          <w:ilvl w:val="0"/>
          <w:numId w:val="38"/>
        </w:numPr>
        <w:adjustRightInd w:val="0"/>
        <w:snapToGrid w:val="0"/>
        <w:spacing w:after="80" w:line="276" w:lineRule="auto"/>
        <w:ind w:hanging="357"/>
        <w:contextualSpacing w:val="0"/>
        <w:rPr>
          <w:rFonts w:ascii="Times New Roman" w:hAnsi="Times New Roman" w:cs="Times New Roman"/>
          <w:szCs w:val="24"/>
        </w:rPr>
      </w:pPr>
      <w:r w:rsidRPr="006527A6" w:rsidDel="00311224">
        <w:rPr>
          <w:rFonts w:ascii="Times New Roman" w:hAnsi="Times New Roman" w:cs="Times New Roman"/>
          <w:b/>
          <w:color w:val="262626" w:themeColor="text1" w:themeTint="D9"/>
          <w:szCs w:val="24"/>
        </w:rPr>
        <w:t>Trailblazer</w:t>
      </w:r>
      <w:r w:rsidRPr="006527A6" w:rsidDel="00311224">
        <w:rPr>
          <w:rFonts w:ascii="Times New Roman" w:hAnsi="Times New Roman" w:cs="Times New Roman"/>
          <w:color w:val="262626" w:themeColor="text1" w:themeTint="D9"/>
          <w:szCs w:val="24"/>
        </w:rPr>
        <w:t xml:space="preserve">: This element will provide funding through </w:t>
      </w:r>
      <w:r w:rsidRPr="00000F3F" w:rsidDel="00311224">
        <w:rPr>
          <w:rFonts w:ascii="Times New Roman" w:hAnsi="Times New Roman" w:cs="Times New Roman"/>
          <w:color w:val="262626" w:themeColor="text1" w:themeTint="D9"/>
          <w:szCs w:val="24"/>
        </w:rPr>
        <w:t>one or more grants</w:t>
      </w:r>
      <w:r w:rsidRPr="0012365F" w:rsidDel="00311224">
        <w:rPr>
          <w:rFonts w:ascii="Times New Roman" w:hAnsi="Times New Roman" w:cs="Times New Roman"/>
          <w:color w:val="262626" w:themeColor="text1" w:themeTint="D9"/>
          <w:szCs w:val="24"/>
        </w:rPr>
        <w:t xml:space="preserve"> </w:t>
      </w:r>
      <w:r w:rsidRPr="006527A6" w:rsidDel="00311224">
        <w:rPr>
          <w:rFonts w:ascii="Times New Roman" w:hAnsi="Times New Roman" w:cs="Times New Roman"/>
          <w:color w:val="262626" w:themeColor="text1" w:themeTint="D9"/>
          <w:szCs w:val="24"/>
        </w:rPr>
        <w:t xml:space="preserve">to Australian businesses and organisations to develop </w:t>
      </w:r>
      <w:r w:rsidR="00A7390C">
        <w:rPr>
          <w:rFonts w:ascii="Times New Roman" w:hAnsi="Times New Roman" w:cs="Times New Roman"/>
          <w:color w:val="262626" w:themeColor="text1" w:themeTint="D9"/>
          <w:szCs w:val="24"/>
        </w:rPr>
        <w:t>or enhance products, capabilities and services</w:t>
      </w:r>
      <w:r w:rsidRPr="006527A6" w:rsidDel="00311224">
        <w:rPr>
          <w:rFonts w:ascii="Times New Roman" w:hAnsi="Times New Roman" w:cs="Times New Roman"/>
          <w:color w:val="262626" w:themeColor="text1" w:themeTint="D9"/>
          <w:szCs w:val="24"/>
        </w:rPr>
        <w:t xml:space="preserve"> </w:t>
      </w:r>
      <w:r w:rsidR="0018258F">
        <w:rPr>
          <w:rFonts w:ascii="Times New Roman" w:hAnsi="Times New Roman" w:cs="Times New Roman"/>
          <w:color w:val="262626" w:themeColor="text1" w:themeTint="D9"/>
          <w:szCs w:val="24"/>
        </w:rPr>
        <w:t xml:space="preserve">that </w:t>
      </w:r>
      <w:r w:rsidR="00B54B28">
        <w:rPr>
          <w:rFonts w:ascii="Times New Roman" w:hAnsi="Times New Roman" w:cs="Times New Roman"/>
          <w:color w:val="262626" w:themeColor="text1" w:themeTint="D9"/>
          <w:szCs w:val="24"/>
        </w:rPr>
        <w:t>have the</w:t>
      </w:r>
      <w:r w:rsidR="00E35A4B">
        <w:rPr>
          <w:rFonts w:ascii="Times New Roman" w:hAnsi="Times New Roman" w:cs="Times New Roman"/>
          <w:color w:val="262626" w:themeColor="text1" w:themeTint="D9"/>
          <w:szCs w:val="24"/>
        </w:rPr>
        <w:t xml:space="preserve"> </w:t>
      </w:r>
      <w:r w:rsidR="00C55381">
        <w:rPr>
          <w:rFonts w:ascii="Times New Roman" w:hAnsi="Times New Roman" w:cs="Times New Roman"/>
          <w:color w:val="262626" w:themeColor="text1" w:themeTint="D9"/>
          <w:szCs w:val="24"/>
        </w:rPr>
        <w:t>capacity</w:t>
      </w:r>
      <w:r w:rsidR="004027A5">
        <w:rPr>
          <w:rFonts w:ascii="Times New Roman" w:hAnsi="Times New Roman" w:cs="Times New Roman"/>
          <w:color w:val="262626" w:themeColor="text1" w:themeTint="D9"/>
          <w:szCs w:val="24"/>
        </w:rPr>
        <w:t xml:space="preserve"> </w:t>
      </w:r>
      <w:r w:rsidR="00E35A4B">
        <w:rPr>
          <w:rFonts w:ascii="Times New Roman" w:hAnsi="Times New Roman" w:cs="Times New Roman"/>
          <w:color w:val="262626" w:themeColor="text1" w:themeTint="D9"/>
          <w:szCs w:val="24"/>
        </w:rPr>
        <w:t xml:space="preserve">to contribute to </w:t>
      </w:r>
      <w:r w:rsidRPr="006527A6" w:rsidDel="00311224">
        <w:rPr>
          <w:rFonts w:ascii="Times New Roman" w:hAnsi="Times New Roman" w:cs="Times New Roman"/>
          <w:color w:val="262626" w:themeColor="text1" w:themeTint="D9"/>
          <w:szCs w:val="24"/>
        </w:rPr>
        <w:t>NASA’s Moon to Mars campaign.</w:t>
      </w:r>
      <w:r w:rsidR="00C55381">
        <w:rPr>
          <w:rFonts w:ascii="Times New Roman" w:hAnsi="Times New Roman" w:cs="Times New Roman"/>
          <w:color w:val="262626" w:themeColor="text1" w:themeTint="D9"/>
          <w:szCs w:val="24"/>
        </w:rPr>
        <w:t xml:space="preserve"> </w:t>
      </w:r>
    </w:p>
    <w:p w14:paraId="60278F6C" w14:textId="56E1E141" w:rsidR="00311224" w:rsidRPr="006527A6" w:rsidRDefault="00311224" w:rsidP="00311224">
      <w:pPr>
        <w:pStyle w:val="ListParagraph"/>
        <w:numPr>
          <w:ilvl w:val="0"/>
          <w:numId w:val="38"/>
        </w:numPr>
        <w:adjustRightInd w:val="0"/>
        <w:snapToGrid w:val="0"/>
        <w:spacing w:after="80" w:line="276" w:lineRule="auto"/>
        <w:ind w:hanging="357"/>
        <w:contextualSpacing w:val="0"/>
        <w:rPr>
          <w:rFonts w:ascii="Times New Roman" w:hAnsi="Times New Roman" w:cs="Times New Roman"/>
          <w:color w:val="262626" w:themeColor="text1" w:themeTint="D9"/>
          <w:szCs w:val="24"/>
        </w:rPr>
      </w:pPr>
      <w:r w:rsidRPr="006527A6">
        <w:rPr>
          <w:rFonts w:ascii="Times New Roman" w:hAnsi="Times New Roman" w:cs="Times New Roman"/>
          <w:b/>
          <w:color w:val="262626" w:themeColor="text1" w:themeTint="D9"/>
          <w:szCs w:val="24"/>
        </w:rPr>
        <w:t>Demonstrator</w:t>
      </w:r>
      <w:r w:rsidRPr="006527A6">
        <w:rPr>
          <w:rFonts w:ascii="Times New Roman" w:hAnsi="Times New Roman" w:cs="Times New Roman"/>
          <w:color w:val="262626" w:themeColor="text1" w:themeTint="D9"/>
          <w:szCs w:val="24"/>
        </w:rPr>
        <w:t xml:space="preserve">: This element will provide funding through grants to Australian </w:t>
      </w:r>
      <w:r>
        <w:rPr>
          <w:rFonts w:ascii="Times New Roman" w:hAnsi="Times New Roman" w:cs="Times New Roman"/>
          <w:color w:val="262626" w:themeColor="text1" w:themeTint="D9"/>
          <w:szCs w:val="24"/>
        </w:rPr>
        <w:t>businesses</w:t>
      </w:r>
      <w:r w:rsidRPr="006527A6">
        <w:rPr>
          <w:rFonts w:ascii="Times New Roman" w:hAnsi="Times New Roman" w:cs="Times New Roman"/>
          <w:color w:val="262626" w:themeColor="text1" w:themeTint="D9"/>
          <w:szCs w:val="24"/>
        </w:rPr>
        <w:t xml:space="preserve"> and </w:t>
      </w:r>
      <w:r>
        <w:rPr>
          <w:rFonts w:ascii="Times New Roman" w:hAnsi="Times New Roman" w:cs="Times New Roman"/>
          <w:color w:val="262626" w:themeColor="text1" w:themeTint="D9"/>
          <w:szCs w:val="24"/>
        </w:rPr>
        <w:t>organisations</w:t>
      </w:r>
      <w:r w:rsidRPr="006527A6">
        <w:rPr>
          <w:rFonts w:ascii="Times New Roman" w:hAnsi="Times New Roman" w:cs="Times New Roman"/>
          <w:color w:val="262626" w:themeColor="text1" w:themeTint="D9"/>
          <w:szCs w:val="24"/>
        </w:rPr>
        <w:t xml:space="preserve"> for developing demonstrator and pilot projects </w:t>
      </w:r>
      <w:r>
        <w:rPr>
          <w:rFonts w:ascii="Times New Roman" w:hAnsi="Times New Roman" w:cs="Times New Roman"/>
          <w:color w:val="262626" w:themeColor="text1" w:themeTint="D9"/>
          <w:szCs w:val="24"/>
        </w:rPr>
        <w:t xml:space="preserve">that </w:t>
      </w:r>
      <w:r w:rsidRPr="006527A6">
        <w:rPr>
          <w:rFonts w:ascii="Times New Roman" w:hAnsi="Times New Roman" w:cs="Times New Roman"/>
          <w:color w:val="262626" w:themeColor="text1" w:themeTint="D9"/>
          <w:szCs w:val="24"/>
        </w:rPr>
        <w:t xml:space="preserve">showcase Australia’s capabilities and skills to the international space </w:t>
      </w:r>
      <w:r>
        <w:rPr>
          <w:rFonts w:ascii="Times New Roman" w:hAnsi="Times New Roman" w:cs="Times New Roman"/>
          <w:color w:val="262626" w:themeColor="text1" w:themeTint="D9"/>
          <w:szCs w:val="24"/>
        </w:rPr>
        <w:t xml:space="preserve">industry that have the potential to </w:t>
      </w:r>
      <w:r w:rsidR="00D0351F">
        <w:rPr>
          <w:rFonts w:ascii="Times New Roman" w:hAnsi="Times New Roman" w:cs="Times New Roman"/>
          <w:color w:val="262626" w:themeColor="text1" w:themeTint="D9"/>
          <w:szCs w:val="24"/>
        </w:rPr>
        <w:t>support</w:t>
      </w:r>
      <w:r>
        <w:rPr>
          <w:rFonts w:ascii="Times New Roman" w:hAnsi="Times New Roman" w:cs="Times New Roman"/>
          <w:color w:val="262626" w:themeColor="text1" w:themeTint="D9"/>
          <w:szCs w:val="24"/>
        </w:rPr>
        <w:t xml:space="preserve"> NASA’s Moon to Mars campaign</w:t>
      </w:r>
      <w:r w:rsidRPr="006527A6">
        <w:rPr>
          <w:rFonts w:ascii="Times New Roman" w:hAnsi="Times New Roman" w:cs="Times New Roman"/>
          <w:color w:val="262626" w:themeColor="text1" w:themeTint="D9"/>
          <w:szCs w:val="24"/>
        </w:rPr>
        <w:t>.</w:t>
      </w:r>
    </w:p>
    <w:p w14:paraId="03ECB48B" w14:textId="77777777" w:rsidR="00774812" w:rsidRDefault="00BF3023" w:rsidP="00522169">
      <w:pPr>
        <w:pStyle w:val="ListParagraph"/>
        <w:numPr>
          <w:ilvl w:val="0"/>
          <w:numId w:val="38"/>
        </w:numPr>
        <w:adjustRightInd w:val="0"/>
        <w:snapToGrid w:val="0"/>
        <w:spacing w:after="80" w:line="276" w:lineRule="auto"/>
        <w:ind w:hanging="357"/>
        <w:contextualSpacing w:val="0"/>
        <w:jc w:val="both"/>
        <w:rPr>
          <w:rFonts w:ascii="Times New Roman" w:hAnsi="Times New Roman" w:cs="Times New Roman"/>
          <w:color w:val="262626" w:themeColor="text1" w:themeTint="D9"/>
          <w:szCs w:val="24"/>
        </w:rPr>
      </w:pPr>
      <w:r w:rsidRPr="00BD12DB">
        <w:rPr>
          <w:rFonts w:ascii="Times New Roman" w:hAnsi="Times New Roman" w:cs="Times New Roman"/>
          <w:b/>
          <w:color w:val="262626" w:themeColor="text1" w:themeTint="D9"/>
          <w:szCs w:val="24"/>
        </w:rPr>
        <w:t>Supply Chain</w:t>
      </w:r>
      <w:r w:rsidRPr="00BD12DB">
        <w:rPr>
          <w:rFonts w:ascii="Times New Roman" w:hAnsi="Times New Roman" w:cs="Times New Roman"/>
          <w:color w:val="262626" w:themeColor="text1" w:themeTint="D9"/>
          <w:szCs w:val="24"/>
        </w:rPr>
        <w:t xml:space="preserve">: </w:t>
      </w:r>
      <w:r w:rsidR="00850252" w:rsidRPr="00BD12DB">
        <w:rPr>
          <w:rFonts w:ascii="Times New Roman" w:hAnsi="Times New Roman" w:cs="Times New Roman"/>
          <w:color w:val="262626" w:themeColor="text1" w:themeTint="D9"/>
          <w:szCs w:val="24"/>
        </w:rPr>
        <w:t xml:space="preserve">This </w:t>
      </w:r>
      <w:r w:rsidR="00566C72">
        <w:rPr>
          <w:rFonts w:ascii="Times New Roman" w:hAnsi="Times New Roman" w:cs="Times New Roman"/>
          <w:color w:val="262626" w:themeColor="text1" w:themeTint="D9"/>
          <w:szCs w:val="24"/>
        </w:rPr>
        <w:t xml:space="preserve">element </w:t>
      </w:r>
      <w:r w:rsidR="00774812">
        <w:rPr>
          <w:rFonts w:ascii="Times New Roman" w:hAnsi="Times New Roman" w:cs="Times New Roman"/>
          <w:color w:val="262626" w:themeColor="text1" w:themeTint="D9"/>
          <w:szCs w:val="24"/>
        </w:rPr>
        <w:t xml:space="preserve">comprises two components. </w:t>
      </w:r>
    </w:p>
    <w:p w14:paraId="2AD6F869" w14:textId="0148DB63" w:rsidR="00774812" w:rsidRPr="006527A6" w:rsidRDefault="00774812" w:rsidP="00CD230C">
      <w:pPr>
        <w:pStyle w:val="ListParagraph"/>
        <w:numPr>
          <w:ilvl w:val="1"/>
          <w:numId w:val="38"/>
        </w:numPr>
        <w:adjustRightInd w:val="0"/>
        <w:snapToGrid w:val="0"/>
        <w:spacing w:after="80" w:line="276" w:lineRule="auto"/>
        <w:contextualSpacing w:val="0"/>
        <w:rPr>
          <w:rFonts w:ascii="Times New Roman" w:hAnsi="Times New Roman" w:cs="Times New Roman"/>
          <w:color w:val="262626" w:themeColor="text1" w:themeTint="D9"/>
          <w:szCs w:val="24"/>
        </w:rPr>
      </w:pPr>
      <w:r>
        <w:rPr>
          <w:rFonts w:ascii="Times New Roman" w:hAnsi="Times New Roman" w:cs="Times New Roman"/>
          <w:color w:val="262626" w:themeColor="text1" w:themeTint="D9"/>
          <w:szCs w:val="24"/>
        </w:rPr>
        <w:t xml:space="preserve">The </w:t>
      </w:r>
      <w:r w:rsidRPr="0042294A">
        <w:rPr>
          <w:rFonts w:ascii="Times New Roman" w:hAnsi="Times New Roman" w:cs="Times New Roman"/>
          <w:color w:val="262626" w:themeColor="text1" w:themeTint="D9"/>
          <w:szCs w:val="24"/>
        </w:rPr>
        <w:t>Supply Chain Capability component</w:t>
      </w:r>
      <w:r>
        <w:rPr>
          <w:rFonts w:ascii="Times New Roman" w:hAnsi="Times New Roman" w:cs="Times New Roman"/>
          <w:color w:val="262626" w:themeColor="text1" w:themeTint="D9"/>
          <w:szCs w:val="24"/>
        </w:rPr>
        <w:t xml:space="preserve"> </w:t>
      </w:r>
      <w:r w:rsidR="00850252" w:rsidRPr="00BD12DB">
        <w:rPr>
          <w:rFonts w:ascii="Times New Roman" w:hAnsi="Times New Roman" w:cs="Times New Roman"/>
          <w:color w:val="262626" w:themeColor="text1" w:themeTint="D9"/>
          <w:szCs w:val="24"/>
        </w:rPr>
        <w:t xml:space="preserve">will provide funding </w:t>
      </w:r>
      <w:r w:rsidR="006527A6">
        <w:rPr>
          <w:rFonts w:ascii="Times New Roman" w:hAnsi="Times New Roman" w:cs="Times New Roman"/>
          <w:color w:val="262626" w:themeColor="text1" w:themeTint="D9"/>
          <w:szCs w:val="24"/>
        </w:rPr>
        <w:t xml:space="preserve">through grants </w:t>
      </w:r>
      <w:r w:rsidR="00850252" w:rsidRPr="00BD12DB">
        <w:rPr>
          <w:rFonts w:ascii="Times New Roman" w:hAnsi="Times New Roman" w:cs="Times New Roman"/>
          <w:color w:val="262626" w:themeColor="text1" w:themeTint="D9"/>
          <w:szCs w:val="24"/>
        </w:rPr>
        <w:t xml:space="preserve">to </w:t>
      </w:r>
      <w:r w:rsidR="00850252" w:rsidRPr="001A3B30">
        <w:rPr>
          <w:rStyle w:val="CommentReference"/>
          <w:rFonts w:ascii="Times New Roman" w:hAnsi="Times New Roman" w:cs="Times New Roman"/>
          <w:sz w:val="24"/>
          <w:szCs w:val="24"/>
        </w:rPr>
        <w:t xml:space="preserve">Australian </w:t>
      </w:r>
      <w:r w:rsidR="00AB2F47">
        <w:rPr>
          <w:rStyle w:val="CommentReference"/>
          <w:rFonts w:ascii="Times New Roman" w:hAnsi="Times New Roman" w:cs="Times New Roman"/>
          <w:sz w:val="24"/>
          <w:szCs w:val="24"/>
        </w:rPr>
        <w:t>businesses</w:t>
      </w:r>
      <w:r w:rsidR="0013773B">
        <w:rPr>
          <w:rStyle w:val="CommentReference"/>
          <w:rFonts w:ascii="Times New Roman" w:hAnsi="Times New Roman" w:cs="Times New Roman"/>
          <w:sz w:val="24"/>
          <w:szCs w:val="24"/>
        </w:rPr>
        <w:t xml:space="preserve"> and organisations</w:t>
      </w:r>
      <w:r w:rsidR="00AB2F47" w:rsidRPr="00BD12DB" w:rsidDel="00850252">
        <w:rPr>
          <w:rFonts w:ascii="Times New Roman" w:hAnsi="Times New Roman" w:cs="Times New Roman"/>
          <w:color w:val="262626" w:themeColor="text1" w:themeTint="D9"/>
          <w:szCs w:val="24"/>
        </w:rPr>
        <w:t xml:space="preserve"> </w:t>
      </w:r>
      <w:r w:rsidR="00850252" w:rsidRPr="00BD12DB">
        <w:rPr>
          <w:rFonts w:ascii="Times New Roman" w:hAnsi="Times New Roman" w:cs="Times New Roman"/>
          <w:color w:val="262626" w:themeColor="text1" w:themeTint="D9"/>
          <w:szCs w:val="24"/>
        </w:rPr>
        <w:t xml:space="preserve">to </w:t>
      </w:r>
      <w:r w:rsidR="00F376D4">
        <w:rPr>
          <w:rFonts w:ascii="Times New Roman" w:hAnsi="Times New Roman" w:cs="Times New Roman"/>
          <w:color w:val="262626" w:themeColor="text1" w:themeTint="D9"/>
          <w:szCs w:val="24"/>
        </w:rPr>
        <w:t xml:space="preserve">develop </w:t>
      </w:r>
      <w:r w:rsidR="00FF29FC">
        <w:rPr>
          <w:rFonts w:ascii="Times New Roman" w:hAnsi="Times New Roman" w:cs="Times New Roman"/>
          <w:color w:val="262626" w:themeColor="text1" w:themeTint="D9"/>
          <w:szCs w:val="24"/>
        </w:rPr>
        <w:t xml:space="preserve">or enhance </w:t>
      </w:r>
      <w:r w:rsidR="00F376D4">
        <w:rPr>
          <w:rFonts w:ascii="Times New Roman" w:hAnsi="Times New Roman" w:cs="Times New Roman"/>
          <w:color w:val="262626" w:themeColor="text1" w:themeTint="D9"/>
          <w:szCs w:val="24"/>
        </w:rPr>
        <w:t xml:space="preserve">products, capabilities and services that could be sold into international space supply chains and markets. The funding aims to </w:t>
      </w:r>
      <w:r w:rsidR="00850252" w:rsidRPr="006527A6">
        <w:rPr>
          <w:rFonts w:ascii="Times New Roman" w:hAnsi="Times New Roman" w:cs="Times New Roman"/>
          <w:color w:val="262626" w:themeColor="text1" w:themeTint="D9"/>
          <w:szCs w:val="24"/>
        </w:rPr>
        <w:t xml:space="preserve">improve skills, capacity and capabilities that are </w:t>
      </w:r>
      <w:r w:rsidR="00BF3023" w:rsidRPr="006527A6">
        <w:rPr>
          <w:rFonts w:ascii="Times New Roman" w:hAnsi="Times New Roman" w:cs="Times New Roman"/>
          <w:color w:val="262626" w:themeColor="text1" w:themeTint="D9"/>
          <w:szCs w:val="24"/>
        </w:rPr>
        <w:t xml:space="preserve">applicable </w:t>
      </w:r>
      <w:r w:rsidR="00850252" w:rsidRPr="006527A6">
        <w:rPr>
          <w:rFonts w:ascii="Times New Roman" w:hAnsi="Times New Roman" w:cs="Times New Roman"/>
          <w:color w:val="262626" w:themeColor="text1" w:themeTint="D9"/>
          <w:szCs w:val="24"/>
        </w:rPr>
        <w:t xml:space="preserve">to the international </w:t>
      </w:r>
      <w:r w:rsidR="00BF3023" w:rsidRPr="006527A6">
        <w:rPr>
          <w:rFonts w:ascii="Times New Roman" w:hAnsi="Times New Roman" w:cs="Times New Roman"/>
          <w:color w:val="262626" w:themeColor="text1" w:themeTint="D9"/>
          <w:szCs w:val="24"/>
        </w:rPr>
        <w:t>space industry</w:t>
      </w:r>
      <w:r w:rsidR="00280708">
        <w:rPr>
          <w:rFonts w:ascii="Times New Roman" w:hAnsi="Times New Roman" w:cs="Times New Roman"/>
          <w:color w:val="262626" w:themeColor="text1" w:themeTint="D9"/>
          <w:szCs w:val="24"/>
        </w:rPr>
        <w:t xml:space="preserve"> </w:t>
      </w:r>
      <w:r w:rsidR="004053C3">
        <w:rPr>
          <w:rFonts w:ascii="Times New Roman" w:hAnsi="Times New Roman" w:cs="Times New Roman"/>
          <w:color w:val="262626" w:themeColor="text1" w:themeTint="D9"/>
          <w:szCs w:val="24"/>
        </w:rPr>
        <w:t xml:space="preserve">and </w:t>
      </w:r>
      <w:r w:rsidR="00C8185C">
        <w:rPr>
          <w:rFonts w:ascii="Times New Roman" w:hAnsi="Times New Roman" w:cs="Times New Roman"/>
          <w:color w:val="262626" w:themeColor="text1" w:themeTint="D9"/>
          <w:szCs w:val="24"/>
        </w:rPr>
        <w:t xml:space="preserve">that </w:t>
      </w:r>
      <w:r w:rsidR="00593A31">
        <w:rPr>
          <w:rFonts w:ascii="Times New Roman" w:hAnsi="Times New Roman" w:cs="Times New Roman"/>
          <w:color w:val="262626" w:themeColor="text1" w:themeTint="D9"/>
          <w:szCs w:val="24"/>
        </w:rPr>
        <w:t>could be used</w:t>
      </w:r>
      <w:r w:rsidR="00280708">
        <w:rPr>
          <w:rFonts w:ascii="Times New Roman" w:hAnsi="Times New Roman" w:cs="Times New Roman"/>
          <w:color w:val="262626" w:themeColor="text1" w:themeTint="D9"/>
          <w:szCs w:val="24"/>
        </w:rPr>
        <w:t xml:space="preserve"> to </w:t>
      </w:r>
      <w:r w:rsidR="00563561">
        <w:rPr>
          <w:rFonts w:ascii="Times New Roman" w:hAnsi="Times New Roman" w:cs="Times New Roman"/>
          <w:color w:val="262626" w:themeColor="text1" w:themeTint="D9"/>
          <w:szCs w:val="24"/>
        </w:rPr>
        <w:t>support NASA’s Moon to Mars campaign</w:t>
      </w:r>
      <w:r w:rsidRPr="006527A6">
        <w:rPr>
          <w:rFonts w:ascii="Times New Roman" w:hAnsi="Times New Roman" w:cs="Times New Roman"/>
          <w:color w:val="262626" w:themeColor="text1" w:themeTint="D9"/>
          <w:szCs w:val="24"/>
        </w:rPr>
        <w:t>.</w:t>
      </w:r>
      <w:r w:rsidR="00311224">
        <w:rPr>
          <w:rFonts w:ascii="Times New Roman" w:hAnsi="Times New Roman" w:cs="Times New Roman"/>
          <w:color w:val="262626" w:themeColor="text1" w:themeTint="D9"/>
          <w:szCs w:val="24"/>
        </w:rPr>
        <w:t xml:space="preserve"> This </w:t>
      </w:r>
      <w:r w:rsidR="00D322AE">
        <w:rPr>
          <w:rFonts w:ascii="Times New Roman" w:hAnsi="Times New Roman" w:cs="Times New Roman"/>
          <w:color w:val="262626" w:themeColor="text1" w:themeTint="D9"/>
          <w:szCs w:val="24"/>
        </w:rPr>
        <w:t xml:space="preserve">may </w:t>
      </w:r>
      <w:r w:rsidR="00311224">
        <w:rPr>
          <w:rFonts w:ascii="Times New Roman" w:hAnsi="Times New Roman" w:cs="Times New Roman"/>
          <w:color w:val="262626" w:themeColor="text1" w:themeTint="D9"/>
          <w:szCs w:val="24"/>
        </w:rPr>
        <w:t xml:space="preserve">involve grants to </w:t>
      </w:r>
      <w:r w:rsidR="00A764E9">
        <w:rPr>
          <w:rFonts w:ascii="Times New Roman" w:hAnsi="Times New Roman" w:cs="Times New Roman"/>
          <w:color w:val="262626" w:themeColor="text1" w:themeTint="D9"/>
          <w:szCs w:val="24"/>
        </w:rPr>
        <w:t>support the</w:t>
      </w:r>
      <w:r w:rsidR="00F376D4">
        <w:rPr>
          <w:rFonts w:ascii="Times New Roman" w:hAnsi="Times New Roman" w:cs="Times New Roman"/>
          <w:color w:val="262626" w:themeColor="text1" w:themeTint="D9"/>
          <w:szCs w:val="24"/>
        </w:rPr>
        <w:t xml:space="preserve"> </w:t>
      </w:r>
      <w:r w:rsidR="00A764E9">
        <w:rPr>
          <w:rFonts w:ascii="Times New Roman" w:hAnsi="Times New Roman" w:cs="Times New Roman"/>
          <w:color w:val="262626" w:themeColor="text1" w:themeTint="D9"/>
          <w:szCs w:val="24"/>
        </w:rPr>
        <w:t>development and sale of</w:t>
      </w:r>
      <w:r w:rsidR="00F376D4">
        <w:rPr>
          <w:rFonts w:ascii="Times New Roman" w:hAnsi="Times New Roman" w:cs="Times New Roman"/>
          <w:color w:val="262626" w:themeColor="text1" w:themeTint="D9"/>
          <w:szCs w:val="24"/>
        </w:rPr>
        <w:t xml:space="preserve"> Australian products, </w:t>
      </w:r>
      <w:r w:rsidR="00D322AE">
        <w:rPr>
          <w:rFonts w:ascii="Times New Roman" w:hAnsi="Times New Roman" w:cs="Times New Roman"/>
          <w:color w:val="262626" w:themeColor="text1" w:themeTint="D9"/>
          <w:szCs w:val="24"/>
        </w:rPr>
        <w:t xml:space="preserve">capabilities and services into </w:t>
      </w:r>
      <w:r w:rsidR="00F376D4">
        <w:rPr>
          <w:rFonts w:ascii="Times New Roman" w:hAnsi="Times New Roman" w:cs="Times New Roman"/>
          <w:color w:val="262626" w:themeColor="text1" w:themeTint="D9"/>
          <w:szCs w:val="24"/>
        </w:rPr>
        <w:t>national supply chain</w:t>
      </w:r>
      <w:r w:rsidR="00D322AE">
        <w:rPr>
          <w:rFonts w:ascii="Times New Roman" w:hAnsi="Times New Roman" w:cs="Times New Roman"/>
          <w:color w:val="262626" w:themeColor="text1" w:themeTint="D9"/>
          <w:szCs w:val="24"/>
        </w:rPr>
        <w:t>s</w:t>
      </w:r>
      <w:r w:rsidR="00F376D4">
        <w:rPr>
          <w:rFonts w:ascii="Times New Roman" w:hAnsi="Times New Roman" w:cs="Times New Roman"/>
          <w:color w:val="262626" w:themeColor="text1" w:themeTint="D9"/>
          <w:szCs w:val="24"/>
        </w:rPr>
        <w:t xml:space="preserve">, </w:t>
      </w:r>
      <w:r w:rsidR="00311224">
        <w:rPr>
          <w:rFonts w:ascii="Times New Roman" w:hAnsi="Times New Roman" w:cs="Times New Roman"/>
          <w:color w:val="262626" w:themeColor="text1" w:themeTint="D9"/>
          <w:szCs w:val="24"/>
        </w:rPr>
        <w:t xml:space="preserve">with the view </w:t>
      </w:r>
      <w:r w:rsidR="00F376D4">
        <w:rPr>
          <w:rFonts w:ascii="Times New Roman" w:hAnsi="Times New Roman" w:cs="Times New Roman"/>
          <w:color w:val="262626" w:themeColor="text1" w:themeTint="D9"/>
          <w:szCs w:val="24"/>
        </w:rPr>
        <w:t xml:space="preserve">of </w:t>
      </w:r>
      <w:r w:rsidR="00D322AE">
        <w:rPr>
          <w:rFonts w:ascii="Times New Roman" w:hAnsi="Times New Roman" w:cs="Times New Roman"/>
          <w:color w:val="262626" w:themeColor="text1" w:themeTint="D9"/>
          <w:szCs w:val="24"/>
        </w:rPr>
        <w:t>fostering greater Au</w:t>
      </w:r>
      <w:r w:rsidR="00F376D4">
        <w:rPr>
          <w:rFonts w:ascii="Times New Roman" w:hAnsi="Times New Roman" w:cs="Times New Roman"/>
          <w:color w:val="262626" w:themeColor="text1" w:themeTint="D9"/>
          <w:szCs w:val="24"/>
        </w:rPr>
        <w:t xml:space="preserve">stralian space exports </w:t>
      </w:r>
      <w:r w:rsidR="00A764E9">
        <w:rPr>
          <w:rFonts w:ascii="Times New Roman" w:hAnsi="Times New Roman" w:cs="Times New Roman"/>
          <w:color w:val="262626" w:themeColor="text1" w:themeTint="D9"/>
          <w:szCs w:val="24"/>
        </w:rPr>
        <w:t>in</w:t>
      </w:r>
      <w:r w:rsidR="00D322AE">
        <w:rPr>
          <w:rFonts w:ascii="Times New Roman" w:hAnsi="Times New Roman" w:cs="Times New Roman"/>
          <w:color w:val="262626" w:themeColor="text1" w:themeTint="D9"/>
          <w:szCs w:val="24"/>
        </w:rPr>
        <w:t>to</w:t>
      </w:r>
      <w:r w:rsidR="00F376D4">
        <w:rPr>
          <w:rFonts w:ascii="Times New Roman" w:hAnsi="Times New Roman" w:cs="Times New Roman"/>
          <w:color w:val="262626" w:themeColor="text1" w:themeTint="D9"/>
          <w:szCs w:val="24"/>
        </w:rPr>
        <w:t xml:space="preserve"> international </w:t>
      </w:r>
      <w:r w:rsidR="00A764E9">
        <w:rPr>
          <w:rFonts w:ascii="Times New Roman" w:hAnsi="Times New Roman" w:cs="Times New Roman"/>
          <w:color w:val="262626" w:themeColor="text1" w:themeTint="D9"/>
          <w:szCs w:val="24"/>
        </w:rPr>
        <w:t xml:space="preserve">supply chains </w:t>
      </w:r>
      <w:r w:rsidR="00421A8C">
        <w:rPr>
          <w:rFonts w:ascii="Times New Roman" w:hAnsi="Times New Roman" w:cs="Times New Roman"/>
          <w:color w:val="262626" w:themeColor="text1" w:themeTint="D9"/>
          <w:szCs w:val="24"/>
        </w:rPr>
        <w:t xml:space="preserve">and </w:t>
      </w:r>
      <w:r w:rsidR="00F376D4">
        <w:rPr>
          <w:rFonts w:ascii="Times New Roman" w:hAnsi="Times New Roman" w:cs="Times New Roman"/>
          <w:color w:val="262626" w:themeColor="text1" w:themeTint="D9"/>
          <w:szCs w:val="24"/>
        </w:rPr>
        <w:t xml:space="preserve">markets. </w:t>
      </w:r>
    </w:p>
    <w:p w14:paraId="1404ABAA" w14:textId="08F01C39" w:rsidR="00941108" w:rsidRPr="00C318F7" w:rsidRDefault="00774812" w:rsidP="00CD230C">
      <w:pPr>
        <w:pStyle w:val="ListParagraph"/>
        <w:numPr>
          <w:ilvl w:val="1"/>
          <w:numId w:val="38"/>
        </w:numPr>
        <w:adjustRightInd w:val="0"/>
        <w:snapToGrid w:val="0"/>
        <w:spacing w:after="80" w:line="276" w:lineRule="auto"/>
        <w:contextualSpacing w:val="0"/>
        <w:rPr>
          <w:rFonts w:ascii="Times New Roman" w:hAnsi="Times New Roman" w:cs="Times New Roman"/>
          <w:color w:val="262626" w:themeColor="text1" w:themeTint="D9"/>
          <w:szCs w:val="24"/>
        </w:rPr>
      </w:pPr>
      <w:r w:rsidRPr="00C318F7">
        <w:rPr>
          <w:rFonts w:ascii="Times New Roman" w:hAnsi="Times New Roman" w:cs="Times New Roman"/>
          <w:color w:val="262626" w:themeColor="text1" w:themeTint="D9"/>
          <w:szCs w:val="24"/>
        </w:rPr>
        <w:t>The Supply Chain Facilitation component will</w:t>
      </w:r>
      <w:r w:rsidR="003D5B01" w:rsidRPr="00C318F7">
        <w:rPr>
          <w:rFonts w:ascii="Times New Roman" w:hAnsi="Times New Roman" w:cs="Times New Roman"/>
          <w:color w:val="262626" w:themeColor="text1" w:themeTint="D9"/>
          <w:szCs w:val="24"/>
        </w:rPr>
        <w:t xml:space="preserve"> </w:t>
      </w:r>
      <w:r w:rsidR="00F376D4">
        <w:rPr>
          <w:rFonts w:ascii="Times New Roman" w:hAnsi="Times New Roman" w:cs="Times New Roman"/>
          <w:color w:val="262626" w:themeColor="text1" w:themeTint="D9"/>
          <w:szCs w:val="24"/>
        </w:rPr>
        <w:t xml:space="preserve">provide funding to </w:t>
      </w:r>
      <w:r w:rsidR="00A23B89">
        <w:rPr>
          <w:rFonts w:ascii="Times New Roman" w:hAnsi="Times New Roman" w:cs="Times New Roman"/>
          <w:color w:val="262626" w:themeColor="text1" w:themeTint="D9"/>
          <w:szCs w:val="24"/>
        </w:rPr>
        <w:t>facilitate</w:t>
      </w:r>
      <w:r w:rsidR="00EC7FFE">
        <w:rPr>
          <w:rFonts w:ascii="Times New Roman" w:hAnsi="Times New Roman" w:cs="Times New Roman"/>
          <w:color w:val="262626" w:themeColor="text1" w:themeTint="D9"/>
          <w:szCs w:val="24"/>
        </w:rPr>
        <w:t xml:space="preserve"> </w:t>
      </w:r>
      <w:r w:rsidR="00D322AE">
        <w:rPr>
          <w:rFonts w:ascii="Times New Roman" w:hAnsi="Times New Roman" w:cs="Times New Roman"/>
          <w:color w:val="262626" w:themeColor="text1" w:themeTint="D9"/>
          <w:szCs w:val="24"/>
        </w:rPr>
        <w:t xml:space="preserve">the involvement and participation of </w:t>
      </w:r>
      <w:r w:rsidR="00BF3023" w:rsidRPr="00C318F7">
        <w:rPr>
          <w:rFonts w:ascii="Times New Roman" w:hAnsi="Times New Roman" w:cs="Times New Roman"/>
          <w:color w:val="262626" w:themeColor="text1" w:themeTint="D9"/>
          <w:szCs w:val="24"/>
        </w:rPr>
        <w:t xml:space="preserve">Australian </w:t>
      </w:r>
      <w:r w:rsidR="00F376D4">
        <w:rPr>
          <w:rFonts w:ascii="Times New Roman" w:hAnsi="Times New Roman" w:cs="Times New Roman"/>
          <w:color w:val="262626" w:themeColor="text1" w:themeTint="D9"/>
          <w:szCs w:val="24"/>
        </w:rPr>
        <w:t xml:space="preserve">businesses and organisations in </w:t>
      </w:r>
      <w:r w:rsidR="00B77139" w:rsidRPr="00C318F7">
        <w:rPr>
          <w:rStyle w:val="CommentReference"/>
          <w:rFonts w:ascii="Times New Roman" w:hAnsi="Times New Roman" w:cs="Times New Roman"/>
          <w:sz w:val="24"/>
          <w:szCs w:val="24"/>
        </w:rPr>
        <w:t xml:space="preserve">international </w:t>
      </w:r>
      <w:r w:rsidR="00BF3023" w:rsidRPr="00C318F7">
        <w:rPr>
          <w:rStyle w:val="CommentReference"/>
          <w:rFonts w:ascii="Times New Roman" w:hAnsi="Times New Roman" w:cs="Times New Roman"/>
          <w:sz w:val="24"/>
          <w:szCs w:val="24"/>
        </w:rPr>
        <w:t>supply chain</w:t>
      </w:r>
      <w:r w:rsidR="00241C17">
        <w:rPr>
          <w:rStyle w:val="CommentReference"/>
          <w:rFonts w:ascii="Times New Roman" w:hAnsi="Times New Roman" w:cs="Times New Roman"/>
          <w:sz w:val="24"/>
          <w:szCs w:val="24"/>
        </w:rPr>
        <w:t>s,</w:t>
      </w:r>
      <w:r w:rsidR="00D322AE">
        <w:rPr>
          <w:rStyle w:val="CommentReference"/>
          <w:rFonts w:ascii="Times New Roman" w:hAnsi="Times New Roman" w:cs="Times New Roman"/>
          <w:sz w:val="24"/>
          <w:szCs w:val="24"/>
        </w:rPr>
        <w:t xml:space="preserve"> opportunities </w:t>
      </w:r>
      <w:r w:rsidR="00BF3023" w:rsidRPr="00C318F7">
        <w:rPr>
          <w:rStyle w:val="CommentReference"/>
          <w:rFonts w:ascii="Times New Roman" w:hAnsi="Times New Roman" w:cs="Times New Roman"/>
          <w:sz w:val="24"/>
          <w:szCs w:val="24"/>
        </w:rPr>
        <w:t>and networks</w:t>
      </w:r>
      <w:r w:rsidR="00C126B3" w:rsidRPr="00C318F7">
        <w:rPr>
          <w:rStyle w:val="CommentReference"/>
          <w:rFonts w:ascii="Times New Roman" w:hAnsi="Times New Roman" w:cs="Times New Roman"/>
          <w:sz w:val="24"/>
          <w:szCs w:val="24"/>
        </w:rPr>
        <w:t xml:space="preserve"> </w:t>
      </w:r>
      <w:r w:rsidR="00D322AE">
        <w:rPr>
          <w:rStyle w:val="CommentReference"/>
          <w:rFonts w:ascii="Times New Roman" w:hAnsi="Times New Roman" w:cs="Times New Roman"/>
          <w:sz w:val="24"/>
          <w:szCs w:val="24"/>
        </w:rPr>
        <w:t xml:space="preserve">that </w:t>
      </w:r>
      <w:r w:rsidR="00593A31">
        <w:rPr>
          <w:rStyle w:val="CommentReference"/>
          <w:rFonts w:ascii="Times New Roman" w:hAnsi="Times New Roman" w:cs="Times New Roman"/>
          <w:sz w:val="24"/>
          <w:szCs w:val="24"/>
        </w:rPr>
        <w:t>could</w:t>
      </w:r>
      <w:r w:rsidR="004053C3">
        <w:rPr>
          <w:rFonts w:ascii="Times New Roman" w:hAnsi="Times New Roman" w:cs="Times New Roman"/>
          <w:szCs w:val="24"/>
        </w:rPr>
        <w:t xml:space="preserve"> </w:t>
      </w:r>
      <w:r w:rsidR="0042294A" w:rsidRPr="00C318F7">
        <w:rPr>
          <w:rFonts w:ascii="Times New Roman" w:hAnsi="Times New Roman" w:cs="Times New Roman"/>
          <w:szCs w:val="24"/>
        </w:rPr>
        <w:t>support NASA’s Moon to Mars campaign.</w:t>
      </w:r>
      <w:r w:rsidR="0042294A" w:rsidRPr="00C318F7">
        <w:rPr>
          <w:rStyle w:val="CommentReference"/>
          <w:rFonts w:ascii="Times New Roman" w:hAnsi="Times New Roman" w:cs="Times New Roman"/>
          <w:sz w:val="24"/>
          <w:szCs w:val="24"/>
        </w:rPr>
        <w:t xml:space="preserve"> This </w:t>
      </w:r>
      <w:r w:rsidR="0042294A" w:rsidRPr="00C318F7">
        <w:rPr>
          <w:rFonts w:ascii="Times New Roman" w:hAnsi="Times New Roman" w:cs="Times New Roman"/>
          <w:szCs w:val="24"/>
        </w:rPr>
        <w:t xml:space="preserve">component will include delivery through one or more procurements. </w:t>
      </w:r>
      <w:r w:rsidR="00207277" w:rsidRPr="00CD230C">
        <w:rPr>
          <w:rFonts w:ascii="Times New Roman" w:hAnsi="Times New Roman" w:cs="Times New Roman"/>
          <w:szCs w:val="24"/>
        </w:rPr>
        <w:t xml:space="preserve">Spending decisions will be made by </w:t>
      </w:r>
      <w:r w:rsidR="00207277" w:rsidRPr="00C318F7">
        <w:rPr>
          <w:rFonts w:ascii="Times New Roman" w:hAnsi="Times New Roman" w:cs="Times New Roman"/>
          <w:szCs w:val="24"/>
        </w:rPr>
        <w:t>a</w:t>
      </w:r>
      <w:r w:rsidR="00207277" w:rsidRPr="00CD230C">
        <w:rPr>
          <w:rFonts w:ascii="Times New Roman" w:hAnsi="Times New Roman" w:cs="Times New Roman"/>
          <w:szCs w:val="24"/>
        </w:rPr>
        <w:t xml:space="preserve"> delegate of the Accountable Authority.</w:t>
      </w:r>
    </w:p>
    <w:p w14:paraId="32A7CB3D" w14:textId="376BD6F7" w:rsidR="00207277" w:rsidRPr="00CD230C" w:rsidRDefault="00207277">
      <w:pPr>
        <w:pStyle w:val="NormalExplanatorystatement"/>
      </w:pPr>
      <w:r w:rsidRPr="00CD230C">
        <w:t xml:space="preserve">Funding authorised by this Legislative Instrument comes from Program 1.2: Growing Business Investment and Improving Business Capability, Outcome 1. Details are set out in </w:t>
      </w:r>
      <w:r w:rsidR="00BD0B98">
        <w:t xml:space="preserve">the </w:t>
      </w:r>
      <w:r w:rsidR="00BD0B98" w:rsidRPr="00CD230C">
        <w:t>Growing Australia’s Space Industry</w:t>
      </w:r>
      <w:r w:rsidR="00BD0B98">
        <w:rPr>
          <w:i/>
        </w:rPr>
        <w:t xml:space="preserve"> </w:t>
      </w:r>
      <w:r w:rsidR="00BD0B98" w:rsidRPr="00CD230C">
        <w:t>measure</w:t>
      </w:r>
      <w:r w:rsidR="00BD0B98">
        <w:rPr>
          <w:i/>
        </w:rPr>
        <w:t xml:space="preserve"> </w:t>
      </w:r>
      <w:r w:rsidR="00BD0B98">
        <w:t xml:space="preserve">in the </w:t>
      </w:r>
      <w:r w:rsidRPr="00CD230C">
        <w:rPr>
          <w:i/>
        </w:rPr>
        <w:t>Portfolio Additional Estimate</w:t>
      </w:r>
      <w:r w:rsidR="00DC24D8">
        <w:rPr>
          <w:i/>
        </w:rPr>
        <w:t>s</w:t>
      </w:r>
      <w:r w:rsidRPr="00CD230C">
        <w:rPr>
          <w:i/>
        </w:rPr>
        <w:t xml:space="preserve"> Statements 2019-20, </w:t>
      </w:r>
      <w:r w:rsidRPr="00CD230C">
        <w:t>Industry, Science, Energy and Resources portfolio (</w:t>
      </w:r>
      <w:hyperlink r:id="rId12" w:history="1">
        <w:r w:rsidRPr="00CD230C">
          <w:rPr>
            <w:rStyle w:val="Hyperlink"/>
            <w:i/>
          </w:rPr>
          <w:t>https://www.industry.gov.au/about-us/finance-reporting/budget-statements</w:t>
        </w:r>
      </w:hyperlink>
      <w:r w:rsidRPr="00CD230C">
        <w:t>)</w:t>
      </w:r>
      <w:r w:rsidRPr="00CD230C">
        <w:rPr>
          <w:i/>
        </w:rPr>
        <w:t xml:space="preserve"> </w:t>
      </w:r>
      <w:r w:rsidRPr="00CD230C">
        <w:t>at page 38.</w:t>
      </w:r>
    </w:p>
    <w:p w14:paraId="6A2CA8FE" w14:textId="77777777" w:rsidR="001010FB" w:rsidRDefault="001010FB" w:rsidP="00CD230C">
      <w:pPr>
        <w:pStyle w:val="NormalExplanatorystatement"/>
        <w:keepNext/>
        <w:rPr>
          <w:u w:val="single"/>
        </w:rPr>
      </w:pPr>
      <w:r>
        <w:rPr>
          <w:u w:val="single"/>
        </w:rPr>
        <w:lastRenderedPageBreak/>
        <w:t>Procurements under the Program:</w:t>
      </w:r>
    </w:p>
    <w:p w14:paraId="4E5BFD34" w14:textId="77777777" w:rsidR="001010FB" w:rsidRDefault="001010FB" w:rsidP="001010FB">
      <w:pPr>
        <w:spacing w:before="240" w:after="240"/>
        <w:rPr>
          <w:rFonts w:ascii="Times New Roman" w:hAnsi="Times New Roman" w:cs="Times New Roman"/>
          <w:szCs w:val="24"/>
          <w:u w:val="single"/>
        </w:rPr>
      </w:pPr>
      <w:r>
        <w:rPr>
          <w:rFonts w:ascii="Times New Roman" w:hAnsi="Times New Roman" w:cs="Times New Roman"/>
          <w:szCs w:val="24"/>
        </w:rPr>
        <w:t xml:space="preserve">The Supply Chain Facilitation component includes funding </w:t>
      </w:r>
      <w:r w:rsidR="006C0533">
        <w:rPr>
          <w:rFonts w:ascii="Times New Roman" w:hAnsi="Times New Roman" w:cs="Times New Roman"/>
          <w:szCs w:val="24"/>
        </w:rPr>
        <w:t>t</w:t>
      </w:r>
      <w:r>
        <w:rPr>
          <w:rFonts w:ascii="Times New Roman" w:hAnsi="Times New Roman" w:cs="Times New Roman"/>
          <w:szCs w:val="24"/>
        </w:rPr>
        <w:t>hrough procurements on</w:t>
      </w:r>
      <w:r w:rsidRPr="00B458FE">
        <w:rPr>
          <w:rFonts w:ascii="Times New Roman" w:hAnsi="Times New Roman" w:cs="Times New Roman"/>
          <w:szCs w:val="24"/>
        </w:rPr>
        <w:t xml:space="preserve"> AusTender</w:t>
      </w:r>
      <w:r>
        <w:rPr>
          <w:rFonts w:ascii="Times New Roman" w:hAnsi="Times New Roman" w:cs="Times New Roman"/>
          <w:szCs w:val="24"/>
        </w:rPr>
        <w:t xml:space="preserve">, in accordance with the </w:t>
      </w:r>
      <w:r w:rsidRPr="00853A45">
        <w:rPr>
          <w:rFonts w:ascii="Times New Roman" w:hAnsi="Times New Roman" w:cs="Times New Roman"/>
          <w:i/>
          <w:szCs w:val="24"/>
        </w:rPr>
        <w:t>Commonwealth Procurement Rules</w:t>
      </w:r>
      <w:r w:rsidRPr="00853A45">
        <w:rPr>
          <w:rFonts w:ascii="Times New Roman" w:hAnsi="Times New Roman" w:cs="Times New Roman"/>
          <w:szCs w:val="24"/>
        </w:rPr>
        <w:t xml:space="preserve"> (</w:t>
      </w:r>
      <w:hyperlink r:id="rId13" w:history="1">
        <w:r w:rsidR="00853A45" w:rsidRPr="00853A45">
          <w:rPr>
            <w:rStyle w:val="Hyperlink"/>
            <w:rFonts w:ascii="Times New Roman" w:hAnsi="Times New Roman" w:cs="Times New Roman"/>
            <w:i/>
            <w:szCs w:val="24"/>
          </w:rPr>
          <w:t>https://www.finance.gov.au/government/procurement/commonwealth-procurement-rules</w:t>
        </w:r>
      </w:hyperlink>
      <w:r w:rsidRPr="00853A45">
        <w:rPr>
          <w:rFonts w:ascii="Times New Roman" w:hAnsi="Times New Roman" w:cs="Times New Roman"/>
          <w:szCs w:val="24"/>
        </w:rPr>
        <w:t>).</w:t>
      </w:r>
    </w:p>
    <w:p w14:paraId="3A0D8111" w14:textId="77777777" w:rsidR="001010FB" w:rsidRPr="009E5013" w:rsidRDefault="001010FB" w:rsidP="001010FB">
      <w:pPr>
        <w:spacing w:before="240" w:after="240"/>
        <w:rPr>
          <w:rFonts w:ascii="Times New Roman" w:hAnsi="Times New Roman" w:cs="Times New Roman"/>
          <w:szCs w:val="24"/>
        </w:rPr>
      </w:pPr>
      <w:r>
        <w:rPr>
          <w:rFonts w:ascii="Times New Roman" w:hAnsi="Times New Roman" w:cs="Times New Roman"/>
          <w:szCs w:val="24"/>
        </w:rPr>
        <w:t xml:space="preserve">Under the Program, covered procurements will be subject to the </w:t>
      </w:r>
      <w:r>
        <w:rPr>
          <w:rFonts w:ascii="Times New Roman" w:hAnsi="Times New Roman" w:cs="Times New Roman"/>
          <w:i/>
          <w:szCs w:val="24"/>
        </w:rPr>
        <w:t>Government Procurement (Judicial Review) Act 2018.</w:t>
      </w:r>
    </w:p>
    <w:p w14:paraId="331D4676" w14:textId="77777777" w:rsidR="00340CD8" w:rsidRPr="00CD230C" w:rsidRDefault="00340CD8" w:rsidP="00CD230C">
      <w:pPr>
        <w:spacing w:before="240" w:after="240" w:line="276" w:lineRule="auto"/>
      </w:pPr>
      <w:r w:rsidRPr="00A36959">
        <w:rPr>
          <w:rFonts w:ascii="Times New Roman" w:hAnsi="Times New Roman" w:cs="Times New Roman"/>
          <w:szCs w:val="24"/>
          <w:u w:val="single"/>
        </w:rPr>
        <w:t>Grant</w:t>
      </w:r>
      <w:r w:rsidR="00E46C07">
        <w:rPr>
          <w:rFonts w:ascii="Times New Roman" w:hAnsi="Times New Roman" w:cs="Times New Roman"/>
          <w:szCs w:val="24"/>
          <w:u w:val="single"/>
        </w:rPr>
        <w:t>s</w:t>
      </w:r>
      <w:r w:rsidRPr="00A36959">
        <w:rPr>
          <w:rFonts w:ascii="Times New Roman" w:hAnsi="Times New Roman" w:cs="Times New Roman"/>
          <w:szCs w:val="24"/>
          <w:u w:val="single"/>
        </w:rPr>
        <w:t xml:space="preserve"> </w:t>
      </w:r>
      <w:r w:rsidR="006527A6">
        <w:rPr>
          <w:rFonts w:ascii="Times New Roman" w:hAnsi="Times New Roman" w:cs="Times New Roman"/>
          <w:szCs w:val="24"/>
          <w:u w:val="single"/>
        </w:rPr>
        <w:t xml:space="preserve">under </w:t>
      </w:r>
      <w:r w:rsidRPr="00A36959">
        <w:rPr>
          <w:rFonts w:ascii="Times New Roman" w:hAnsi="Times New Roman" w:cs="Times New Roman"/>
          <w:szCs w:val="24"/>
          <w:u w:val="single"/>
        </w:rPr>
        <w:t>the</w:t>
      </w:r>
      <w:r>
        <w:rPr>
          <w:rFonts w:ascii="Times New Roman" w:hAnsi="Times New Roman" w:cs="Times New Roman"/>
          <w:szCs w:val="24"/>
          <w:u w:val="single"/>
        </w:rPr>
        <w:t xml:space="preserve"> Program</w:t>
      </w:r>
      <w:r w:rsidRPr="008F523B">
        <w:rPr>
          <w:rFonts w:ascii="Times New Roman" w:hAnsi="Times New Roman" w:cs="Times New Roman"/>
          <w:szCs w:val="24"/>
        </w:rPr>
        <w:t>:</w:t>
      </w:r>
    </w:p>
    <w:p w14:paraId="0524FC2E" w14:textId="77777777" w:rsidR="0042294A" w:rsidRPr="0042294A" w:rsidRDefault="0042294A" w:rsidP="00CD230C">
      <w:pPr>
        <w:spacing w:before="240" w:after="240" w:line="276" w:lineRule="auto"/>
      </w:pPr>
      <w:r w:rsidRPr="00CD230C">
        <w:rPr>
          <w:rFonts w:ascii="Times New Roman" w:hAnsi="Times New Roman" w:cs="Times New Roman"/>
          <w:szCs w:val="24"/>
        </w:rPr>
        <w:t>Grants will be open to Australian businesses</w:t>
      </w:r>
      <w:r w:rsidR="0013773B">
        <w:rPr>
          <w:rFonts w:ascii="Times New Roman" w:hAnsi="Times New Roman" w:cs="Times New Roman"/>
          <w:szCs w:val="24"/>
        </w:rPr>
        <w:t xml:space="preserve"> and organisations</w:t>
      </w:r>
      <w:r w:rsidRPr="00CD230C">
        <w:rPr>
          <w:rFonts w:ascii="Times New Roman" w:hAnsi="Times New Roman" w:cs="Times New Roman"/>
          <w:szCs w:val="24"/>
        </w:rPr>
        <w:t>. Grant guidelines and progr</w:t>
      </w:r>
      <w:r w:rsidR="006527A6" w:rsidRPr="00FB7B19">
        <w:rPr>
          <w:rFonts w:ascii="Times New Roman" w:hAnsi="Times New Roman" w:cs="Times New Roman"/>
          <w:szCs w:val="24"/>
        </w:rPr>
        <w:t xml:space="preserve">am advice will specify eligibility </w:t>
      </w:r>
      <w:r w:rsidRPr="00CD230C">
        <w:rPr>
          <w:rFonts w:ascii="Times New Roman" w:hAnsi="Times New Roman" w:cs="Times New Roman"/>
          <w:szCs w:val="24"/>
        </w:rPr>
        <w:t xml:space="preserve">for each </w:t>
      </w:r>
      <w:r w:rsidR="006527A6" w:rsidRPr="00FB7B19">
        <w:rPr>
          <w:rFonts w:ascii="Times New Roman" w:hAnsi="Times New Roman" w:cs="Times New Roman"/>
          <w:szCs w:val="24"/>
        </w:rPr>
        <w:t>grant</w:t>
      </w:r>
      <w:r w:rsidRPr="00CD230C">
        <w:rPr>
          <w:rFonts w:ascii="Times New Roman" w:hAnsi="Times New Roman" w:cs="Times New Roman"/>
          <w:szCs w:val="24"/>
        </w:rPr>
        <w:t xml:space="preserve"> opportunity.</w:t>
      </w:r>
      <w:r w:rsidR="00340CD8" w:rsidRPr="00FB7B19">
        <w:rPr>
          <w:rFonts w:ascii="Times New Roman" w:hAnsi="Times New Roman" w:cs="Times New Roman"/>
          <w:szCs w:val="24"/>
        </w:rPr>
        <w:t xml:space="preserve"> </w:t>
      </w:r>
      <w:r w:rsidR="006527A6" w:rsidRPr="00FB7B19">
        <w:rPr>
          <w:rFonts w:ascii="Times New Roman" w:hAnsi="Times New Roman" w:cs="Times New Roman"/>
          <w:szCs w:val="24"/>
        </w:rPr>
        <w:t xml:space="preserve">A </w:t>
      </w:r>
      <w:r w:rsidR="006527A6" w:rsidRPr="00CD230C">
        <w:rPr>
          <w:rFonts w:ascii="Times New Roman" w:hAnsi="Times New Roman" w:cs="Times New Roman"/>
          <w:szCs w:val="24"/>
        </w:rPr>
        <w:t>co-contribution requirement for grants will be set out in grant opportunity guidelines, where appropriate.</w:t>
      </w:r>
    </w:p>
    <w:p w14:paraId="76EB25FB" w14:textId="77777777" w:rsidR="0042294A" w:rsidRPr="001A3B30" w:rsidRDefault="00B1284F" w:rsidP="00CD230C">
      <w:pPr>
        <w:pStyle w:val="NormalExplanatorystatement"/>
      </w:pPr>
      <w:r w:rsidRPr="001A3B30">
        <w:t xml:space="preserve">The Program is administered by the Department in accordance with the </w:t>
      </w:r>
      <w:r w:rsidRPr="001A3B30">
        <w:rPr>
          <w:i/>
        </w:rPr>
        <w:t xml:space="preserve">Commonwealth Grant Rules and Guidelines 2017 </w:t>
      </w:r>
      <w:r w:rsidRPr="001A3B30">
        <w:t>(</w:t>
      </w:r>
      <w:hyperlink r:id="rId14" w:history="1">
        <w:r w:rsidR="00340CD8" w:rsidRPr="002E3909">
          <w:rPr>
            <w:rStyle w:val="Hyperlink"/>
            <w:i/>
          </w:rPr>
          <w:t>https://www.finance.gov.au/government/commonwealth-grants/commonwealth-grants-rules-guidelines</w:t>
        </w:r>
      </w:hyperlink>
      <w:r w:rsidR="00340CD8">
        <w:t xml:space="preserve">). </w:t>
      </w:r>
    </w:p>
    <w:p w14:paraId="361D1402" w14:textId="6FB198A6" w:rsidR="003D5B01" w:rsidRDefault="006527A6">
      <w:pPr>
        <w:spacing w:before="240" w:after="240" w:line="276" w:lineRule="auto"/>
        <w:rPr>
          <w:rFonts w:ascii="Times New Roman" w:hAnsi="Times New Roman" w:cs="Times New Roman"/>
          <w:szCs w:val="24"/>
        </w:rPr>
      </w:pPr>
      <w:r>
        <w:rPr>
          <w:rFonts w:ascii="Times New Roman" w:hAnsi="Times New Roman" w:cs="Times New Roman"/>
          <w:szCs w:val="24"/>
        </w:rPr>
        <w:t xml:space="preserve">Grants under </w:t>
      </w:r>
      <w:r w:rsidR="00566C72">
        <w:rPr>
          <w:rFonts w:ascii="Times New Roman" w:hAnsi="Times New Roman" w:cs="Times New Roman"/>
          <w:szCs w:val="24"/>
        </w:rPr>
        <w:t xml:space="preserve">the </w:t>
      </w:r>
      <w:r w:rsidR="00B1284F" w:rsidRPr="001A3B30">
        <w:rPr>
          <w:rFonts w:ascii="Times New Roman" w:hAnsi="Times New Roman" w:cs="Times New Roman"/>
          <w:szCs w:val="24"/>
        </w:rPr>
        <w:t>Program will be delivered by the Department’s Business Grants Hub. Business Grants Hub is a specialised design, management and delivery body with extensive expertise and capability in delivering similar programs.</w:t>
      </w:r>
    </w:p>
    <w:p w14:paraId="14955417" w14:textId="77777777" w:rsidR="000569AB" w:rsidRPr="008F523B" w:rsidRDefault="0006478D" w:rsidP="007918F8">
      <w:pPr>
        <w:shd w:val="clear" w:color="auto" w:fill="FFFFFF"/>
        <w:spacing w:before="240" w:after="240" w:line="276" w:lineRule="auto"/>
        <w:rPr>
          <w:rFonts w:ascii="Times New Roman" w:hAnsi="Times New Roman" w:cs="Times New Roman"/>
          <w:szCs w:val="24"/>
        </w:rPr>
      </w:pPr>
      <w:r>
        <w:rPr>
          <w:rFonts w:ascii="Times New Roman" w:hAnsi="Times New Roman" w:cs="Times New Roman"/>
          <w:szCs w:val="24"/>
        </w:rPr>
        <w:t xml:space="preserve">Selection processes will be determined within the design phase in line with the </w:t>
      </w:r>
      <w:r w:rsidRPr="0067613A">
        <w:rPr>
          <w:rFonts w:ascii="Times New Roman" w:hAnsi="Times New Roman" w:cs="Times New Roman"/>
          <w:i/>
          <w:szCs w:val="24"/>
        </w:rPr>
        <w:t>Commonwealth Grant Rules and Guidelines</w:t>
      </w:r>
      <w:r w:rsidR="009F4A68">
        <w:rPr>
          <w:rFonts w:ascii="Times New Roman" w:hAnsi="Times New Roman" w:cs="Times New Roman"/>
          <w:i/>
          <w:szCs w:val="24"/>
        </w:rPr>
        <w:t xml:space="preserve"> 2017,</w:t>
      </w:r>
      <w:r w:rsidR="009F4A68" w:rsidRPr="0067613A">
        <w:rPr>
          <w:rFonts w:ascii="Times New Roman" w:hAnsi="Times New Roman" w:cs="Times New Roman"/>
          <w:i/>
          <w:szCs w:val="24"/>
        </w:rPr>
        <w:t xml:space="preserve"> </w:t>
      </w:r>
      <w:r>
        <w:rPr>
          <w:rFonts w:ascii="Times New Roman" w:hAnsi="Times New Roman" w:cs="Times New Roman"/>
          <w:szCs w:val="24"/>
        </w:rPr>
        <w:t xml:space="preserve">and clearly set out for each grant opportunity in </w:t>
      </w:r>
      <w:r w:rsidR="001F00B8">
        <w:rPr>
          <w:rFonts w:ascii="Times New Roman" w:hAnsi="Times New Roman" w:cs="Times New Roman"/>
          <w:szCs w:val="24"/>
        </w:rPr>
        <w:t xml:space="preserve">grant opportunity guidelines. </w:t>
      </w:r>
    </w:p>
    <w:p w14:paraId="3FC7B525" w14:textId="0B3A07BA" w:rsidR="0084037C" w:rsidRPr="001A3B30" w:rsidRDefault="008A7292" w:rsidP="00EE2C91">
      <w:pPr>
        <w:spacing w:before="240" w:after="240" w:line="276" w:lineRule="auto"/>
        <w:rPr>
          <w:rFonts w:ascii="Times New Roman" w:hAnsi="Times New Roman" w:cs="Times New Roman"/>
          <w:szCs w:val="24"/>
        </w:rPr>
      </w:pPr>
      <w:r>
        <w:rPr>
          <w:rFonts w:ascii="Times New Roman" w:hAnsi="Times New Roman" w:cs="Times New Roman"/>
          <w:szCs w:val="24"/>
        </w:rPr>
        <w:t>E</w:t>
      </w:r>
      <w:r w:rsidR="008F523B">
        <w:rPr>
          <w:rFonts w:ascii="Times New Roman" w:hAnsi="Times New Roman" w:cs="Times New Roman"/>
          <w:szCs w:val="24"/>
        </w:rPr>
        <w:t xml:space="preserve">ligibility of </w:t>
      </w:r>
      <w:r w:rsidR="00340CD8">
        <w:rPr>
          <w:rFonts w:ascii="Times New Roman" w:hAnsi="Times New Roman" w:cs="Times New Roman"/>
          <w:szCs w:val="24"/>
        </w:rPr>
        <w:t xml:space="preserve">grant </w:t>
      </w:r>
      <w:r w:rsidR="0084037C" w:rsidRPr="001A3B30">
        <w:rPr>
          <w:rFonts w:ascii="Times New Roman" w:hAnsi="Times New Roman" w:cs="Times New Roman"/>
          <w:szCs w:val="24"/>
        </w:rPr>
        <w:t xml:space="preserve">applications will be assessed </w:t>
      </w:r>
      <w:r w:rsidR="00C14209">
        <w:rPr>
          <w:rFonts w:ascii="Times New Roman" w:hAnsi="Times New Roman" w:cs="Times New Roman"/>
          <w:szCs w:val="24"/>
        </w:rPr>
        <w:t xml:space="preserve">by </w:t>
      </w:r>
      <w:r w:rsidR="00446714">
        <w:rPr>
          <w:rFonts w:ascii="Times New Roman" w:hAnsi="Times New Roman" w:cs="Times New Roman"/>
          <w:szCs w:val="24"/>
        </w:rPr>
        <w:t xml:space="preserve">Business Grants Hub </w:t>
      </w:r>
      <w:r w:rsidR="0084037C" w:rsidRPr="001A3B30">
        <w:rPr>
          <w:rFonts w:ascii="Times New Roman" w:hAnsi="Times New Roman" w:cs="Times New Roman"/>
          <w:szCs w:val="24"/>
        </w:rPr>
        <w:t xml:space="preserve">against the eligibility criteria set out in grant opportunity guidelines. An assessment committee will then consider eligible applications against the assessment criteria. </w:t>
      </w:r>
      <w:r w:rsidR="0084037C" w:rsidRPr="001A3B30" w:rsidDel="00F11CF6">
        <w:rPr>
          <w:rFonts w:ascii="Times New Roman" w:hAnsi="Times New Roman" w:cs="Times New Roman"/>
          <w:szCs w:val="24"/>
        </w:rPr>
        <w:t xml:space="preserve">The eligibility and assessment criteria for each grant opportunity will be available on </w:t>
      </w:r>
      <w:hyperlink r:id="rId15" w:history="1">
        <w:r w:rsidR="0084037C" w:rsidRPr="00C14209" w:rsidDel="00F11CF6">
          <w:rPr>
            <w:rStyle w:val="Hyperlink"/>
            <w:rFonts w:ascii="Times New Roman" w:hAnsi="Times New Roman" w:cs="Times New Roman"/>
            <w:szCs w:val="24"/>
          </w:rPr>
          <w:t>business.gov.au</w:t>
        </w:r>
      </w:hyperlink>
      <w:r w:rsidR="0084037C" w:rsidRPr="001A3B30" w:rsidDel="00F11CF6">
        <w:rPr>
          <w:rFonts w:ascii="Times New Roman" w:hAnsi="Times New Roman" w:cs="Times New Roman"/>
          <w:szCs w:val="24"/>
        </w:rPr>
        <w:t xml:space="preserve">. </w:t>
      </w:r>
      <w:r w:rsidR="0084037C" w:rsidRPr="001A3B30">
        <w:rPr>
          <w:rFonts w:ascii="Times New Roman" w:hAnsi="Times New Roman" w:cs="Times New Roman"/>
          <w:szCs w:val="24"/>
        </w:rPr>
        <w:t xml:space="preserve">The assessment process will include scoring each application out of 100. The committee may comprise representatives from the Australian Government, the Australian Space Agency, and other independent experts. The committee may seek </w:t>
      </w:r>
      <w:r w:rsidR="00787AB7">
        <w:rPr>
          <w:rFonts w:ascii="Times New Roman" w:hAnsi="Times New Roman" w:cs="Times New Roman"/>
          <w:szCs w:val="24"/>
        </w:rPr>
        <w:t>additional advice</w:t>
      </w:r>
      <w:r w:rsidR="00787AB7" w:rsidRPr="001A3B30">
        <w:rPr>
          <w:rFonts w:ascii="Times New Roman" w:hAnsi="Times New Roman" w:cs="Times New Roman"/>
          <w:szCs w:val="24"/>
        </w:rPr>
        <w:t xml:space="preserve"> </w:t>
      </w:r>
      <w:r w:rsidR="0084037C" w:rsidRPr="001A3B30">
        <w:rPr>
          <w:rFonts w:ascii="Times New Roman" w:hAnsi="Times New Roman" w:cs="Times New Roman"/>
          <w:szCs w:val="24"/>
        </w:rPr>
        <w:t xml:space="preserve">from independent </w:t>
      </w:r>
      <w:r w:rsidR="00496418">
        <w:rPr>
          <w:rFonts w:ascii="Times New Roman" w:hAnsi="Times New Roman" w:cs="Times New Roman"/>
          <w:szCs w:val="24"/>
        </w:rPr>
        <w:t xml:space="preserve">technical </w:t>
      </w:r>
      <w:r w:rsidR="0084037C" w:rsidRPr="001A3B30">
        <w:rPr>
          <w:rFonts w:ascii="Times New Roman" w:hAnsi="Times New Roman" w:cs="Times New Roman"/>
          <w:szCs w:val="24"/>
        </w:rPr>
        <w:t xml:space="preserve">experts. </w:t>
      </w:r>
    </w:p>
    <w:p w14:paraId="6B7D2E85" w14:textId="77777777" w:rsidR="0084037C" w:rsidRPr="00207277" w:rsidRDefault="0084037C" w:rsidP="00B64887">
      <w:pPr>
        <w:spacing w:before="240" w:after="240" w:line="276" w:lineRule="auto"/>
        <w:rPr>
          <w:rFonts w:ascii="Times New Roman" w:hAnsi="Times New Roman" w:cs="Times New Roman"/>
          <w:szCs w:val="24"/>
        </w:rPr>
      </w:pPr>
      <w:r w:rsidRPr="001A3B30">
        <w:rPr>
          <w:rFonts w:ascii="Times New Roman" w:hAnsi="Times New Roman" w:cs="Times New Roman"/>
          <w:szCs w:val="24"/>
        </w:rPr>
        <w:t xml:space="preserve">Applications must address the eligibility and assessment criteria, and provide relevant supporting information. The amount of detail and supporting evidence </w:t>
      </w:r>
      <w:r w:rsidR="00BD12DB">
        <w:rPr>
          <w:rFonts w:ascii="Times New Roman" w:hAnsi="Times New Roman" w:cs="Times New Roman"/>
          <w:szCs w:val="24"/>
        </w:rPr>
        <w:t>required will</w:t>
      </w:r>
      <w:r w:rsidRPr="001A3B30">
        <w:rPr>
          <w:rFonts w:ascii="Times New Roman" w:hAnsi="Times New Roman" w:cs="Times New Roman"/>
          <w:szCs w:val="24"/>
        </w:rPr>
        <w:t xml:space="preserve"> be relative to the project size, complexity and funding amount requested. Larger and more complex projects should include more detailed evidence. To be competitive, applications </w:t>
      </w:r>
      <w:r w:rsidRPr="00207277">
        <w:rPr>
          <w:rFonts w:ascii="Times New Roman" w:hAnsi="Times New Roman" w:cs="Times New Roman"/>
          <w:szCs w:val="24"/>
        </w:rPr>
        <w:t>must score highly against each assessment criterion.</w:t>
      </w:r>
    </w:p>
    <w:p w14:paraId="3C6E9B9A" w14:textId="77777777" w:rsidR="0031470B" w:rsidRPr="00CD230C" w:rsidRDefault="0031470B" w:rsidP="00CD230C">
      <w:pPr>
        <w:spacing w:before="240" w:after="240" w:line="276" w:lineRule="auto"/>
        <w:rPr>
          <w:rFonts w:ascii="Times New Roman" w:hAnsi="Times New Roman" w:cs="Times New Roman"/>
          <w:szCs w:val="24"/>
        </w:rPr>
      </w:pPr>
      <w:r w:rsidRPr="00207277">
        <w:rPr>
          <w:rFonts w:ascii="Times New Roman" w:hAnsi="Times New Roman" w:cs="Times New Roman"/>
          <w:szCs w:val="24"/>
        </w:rPr>
        <w:t xml:space="preserve">After considering the applications, the assessment committee will make recommendations to the IR&amp;D Act delegate regarding those applications suitable for funding. The IR&amp;D Act delegate will make the final decision about which grants to approve, taking into consideration the assessment committee’s recommendations, and the availability of grant funds. The IR&amp;D </w:t>
      </w:r>
      <w:r w:rsidRPr="00207277">
        <w:rPr>
          <w:rFonts w:ascii="Times New Roman" w:hAnsi="Times New Roman" w:cs="Times New Roman"/>
          <w:szCs w:val="24"/>
        </w:rPr>
        <w:lastRenderedPageBreak/>
        <w:t>Act delegate will not approve funding if there are insufficient Program funds available across relevant financial years for the Program.</w:t>
      </w:r>
      <w:r w:rsidRPr="00CD230C">
        <w:rPr>
          <w:rFonts w:ascii="Times New Roman" w:hAnsi="Times New Roman" w:cs="Times New Roman"/>
          <w:szCs w:val="24"/>
        </w:rPr>
        <w:t xml:space="preserve"> </w:t>
      </w:r>
    </w:p>
    <w:p w14:paraId="7A544360" w14:textId="77777777" w:rsidR="008010D1" w:rsidRDefault="008010D1">
      <w:pPr>
        <w:pStyle w:val="NormalExplanatorystatement"/>
      </w:pPr>
      <w:r w:rsidRPr="001A3B30">
        <w:t xml:space="preserve">Both successful and unsuccessful applicants will be informed in writing. Unsuccessful applicants have an opportunity to discuss the outcome with the Department, and can submit a new application for the same or similar project </w:t>
      </w:r>
      <w:r w:rsidR="00955B88">
        <w:t>when there are</w:t>
      </w:r>
      <w:r w:rsidRPr="001A3B30">
        <w:t xml:space="preserve"> future funding rounds. Where this occurs, applicants should include new or more information to address the weaknesses identified in their previous application.</w:t>
      </w:r>
    </w:p>
    <w:p w14:paraId="0DA9B150" w14:textId="5FEDFD4E" w:rsidR="0006478D" w:rsidRDefault="0006478D">
      <w:pPr>
        <w:pStyle w:val="NormalExplanatorystatement"/>
      </w:pPr>
      <w:r>
        <w:t xml:space="preserve">There may be instances where there is clear justification to limit grant opportunities to a small number of potential grantees or provide ad hoc grants, due to the context and specialised requirements of the grant activity under question. If used, the Program </w:t>
      </w:r>
      <w:r w:rsidR="00955B88">
        <w:t>d</w:t>
      </w:r>
      <w:r>
        <w:t>elegate</w:t>
      </w:r>
      <w:r w:rsidR="00955B88">
        <w:t xml:space="preserve"> (</w:t>
      </w:r>
      <w:r w:rsidR="009B73C2">
        <w:t>M</w:t>
      </w:r>
      <w:r w:rsidR="00955B88">
        <w:t>anager</w:t>
      </w:r>
      <w:r w:rsidR="009B73C2">
        <w:t>-level,</w:t>
      </w:r>
      <w:r w:rsidR="00955B88">
        <w:t xml:space="preserve"> with responsibility for the Program)</w:t>
      </w:r>
      <w:r>
        <w:t xml:space="preserve"> will document the range of issues considered in determining these selection process, including balancing the nature and needs of potential grantees, maximising access to grants and policy outcome concerns against the advantages and disadvantages, risk analysis, timeliness and cost-effectiveness of the proposed process.</w:t>
      </w:r>
    </w:p>
    <w:p w14:paraId="42041238" w14:textId="77777777" w:rsidR="00E46C07" w:rsidRPr="001A3B30" w:rsidRDefault="00E46C07" w:rsidP="00E46C07">
      <w:pPr>
        <w:spacing w:before="240" w:after="240" w:line="276" w:lineRule="auto"/>
        <w:rPr>
          <w:rFonts w:ascii="Times New Roman" w:hAnsi="Times New Roman" w:cs="Times New Roman"/>
          <w:szCs w:val="24"/>
        </w:rPr>
      </w:pPr>
      <w:r w:rsidRPr="001A3B30">
        <w:rPr>
          <w:rFonts w:ascii="Times New Roman" w:hAnsi="Times New Roman" w:cs="Times New Roman"/>
          <w:szCs w:val="24"/>
        </w:rPr>
        <w:t xml:space="preserve">The Program involves the allocation of finite resources. In addition, there will be a robust </w:t>
      </w:r>
      <w:r w:rsidR="0001138F">
        <w:rPr>
          <w:rFonts w:ascii="Times New Roman" w:hAnsi="Times New Roman" w:cs="Times New Roman"/>
          <w:szCs w:val="24"/>
        </w:rPr>
        <w:t>selection</w:t>
      </w:r>
      <w:r w:rsidRPr="001A3B30">
        <w:rPr>
          <w:rFonts w:ascii="Times New Roman" w:hAnsi="Times New Roman" w:cs="Times New Roman"/>
          <w:szCs w:val="24"/>
        </w:rPr>
        <w:t xml:space="preserve"> process, an enquiry and feedback process, and an existing complaints mechanism for affected applicants. Therefore, external merits review does not apply to decisions about the provision of grants under the Program.  </w:t>
      </w:r>
    </w:p>
    <w:p w14:paraId="313BC51D" w14:textId="77777777" w:rsidR="00324ECA" w:rsidRPr="001A3B30" w:rsidRDefault="008010D1">
      <w:pPr>
        <w:pStyle w:val="NormalExplanatorystatement"/>
      </w:pPr>
      <w:r w:rsidRPr="001A3B30">
        <w:t>Persons who are otherwise affected by decisions or who have complaints about the Program will also have recourse to the Department. The Department investigates any complaints about the Program in accordance with its complaints policy and procedures. If a person is not satisfied with the way the Department handles the complaint, they may lodge a complaint with the Commonwealth Ombudsman.</w:t>
      </w:r>
    </w:p>
    <w:p w14:paraId="5A0EE28F" w14:textId="77777777" w:rsidR="00F376D4" w:rsidRPr="001A3B30" w:rsidRDefault="00F376D4" w:rsidP="00F376D4">
      <w:pPr>
        <w:pStyle w:val="NormalExplanatorystatement"/>
        <w:rPr>
          <w:b/>
          <w:u w:val="single"/>
        </w:rPr>
      </w:pPr>
      <w:r w:rsidRPr="00B31312">
        <w:rPr>
          <w:b/>
          <w:u w:val="single"/>
        </w:rPr>
        <w:t>Trade and commerce power</w:t>
      </w:r>
    </w:p>
    <w:p w14:paraId="08166B15" w14:textId="77777777" w:rsidR="00F376D4" w:rsidRDefault="00F376D4" w:rsidP="00F376D4">
      <w:pPr>
        <w:pStyle w:val="NormalExplanatorystatement"/>
      </w:pPr>
      <w:r>
        <w:t>Paragraph 51(i) of the Constitution empowers the Parliament to make laws with respect to ‘trade and commerce with other countries, and among the States’.</w:t>
      </w:r>
    </w:p>
    <w:p w14:paraId="665E9469" w14:textId="55AF628E" w:rsidR="00702F9C" w:rsidRDefault="00F376D4" w:rsidP="00F376D4">
      <w:pPr>
        <w:pStyle w:val="NormalExplanatorystatement"/>
      </w:pPr>
      <w:r w:rsidRPr="00265F4B">
        <w:t xml:space="preserve">In that regard, the Program prescribed by the Legislative Instrument </w:t>
      </w:r>
      <w:r>
        <w:t>will p</w:t>
      </w:r>
      <w:r w:rsidRPr="00265F4B">
        <w:t>romote trade and commerce with other countries by</w:t>
      </w:r>
      <w:r>
        <w:t xml:space="preserve"> providing funding so that </w:t>
      </w:r>
      <w:r w:rsidRPr="00265F4B">
        <w:t>Australian businesses and organisations</w:t>
      </w:r>
      <w:r>
        <w:t xml:space="preserve"> can showcase their potential to, and participate in, international space supply chains and markets. The Program will allow Australian businesses and organisations to develop and contribute products, capabilities or services to NASA exploration programs, including the Moon to Mars campaign. </w:t>
      </w:r>
      <w:r w:rsidR="003477F9" w:rsidRPr="003477F9">
        <w:t>The Program will also fund businesses and organisations to develop products, capabilities or services that could be sold into international supply chains and markets, and facilitate participation by those Australian businesses and organisations in those supply chains and markets. Doing so is expected to build capability in national, interstate space supply chains so as to promote em</w:t>
      </w:r>
      <w:r w:rsidR="003477F9">
        <w:t>erging Australian space exports.</w:t>
      </w:r>
    </w:p>
    <w:p w14:paraId="557079D4" w14:textId="77777777" w:rsidR="00702F9C" w:rsidRDefault="00702F9C" w:rsidP="00F376D4">
      <w:pPr>
        <w:pStyle w:val="NormalExplanatorystatement"/>
      </w:pPr>
    </w:p>
    <w:p w14:paraId="5D05AA0C" w14:textId="77777777" w:rsidR="00CE210E" w:rsidRPr="001A3B30" w:rsidRDefault="00CE210E">
      <w:pPr>
        <w:pStyle w:val="NormalExplanatorystatement"/>
        <w:rPr>
          <w:b/>
          <w:u w:val="single"/>
        </w:rPr>
      </w:pPr>
      <w:r w:rsidRPr="00FE477E">
        <w:rPr>
          <w:b/>
          <w:u w:val="single"/>
        </w:rPr>
        <w:lastRenderedPageBreak/>
        <w:t>Corporations power</w:t>
      </w:r>
      <w:r w:rsidRPr="001A3B30">
        <w:rPr>
          <w:b/>
          <w:u w:val="single"/>
        </w:rPr>
        <w:t xml:space="preserve"> </w:t>
      </w:r>
    </w:p>
    <w:p w14:paraId="3D597742" w14:textId="77777777" w:rsidR="00FE074A" w:rsidRPr="00464C48" w:rsidRDefault="00FE074A" w:rsidP="00DC24D8">
      <w:pPr>
        <w:spacing w:before="240" w:after="240" w:line="276" w:lineRule="auto"/>
        <w:rPr>
          <w:rFonts w:ascii="Times New Roman" w:hAnsi="Times New Roman" w:cs="Times New Roman"/>
          <w:szCs w:val="24"/>
        </w:rPr>
      </w:pPr>
      <w:r w:rsidRPr="00464C48">
        <w:rPr>
          <w:rFonts w:ascii="Times New Roman" w:hAnsi="Times New Roman" w:cs="Times New Roman"/>
          <w:szCs w:val="24"/>
        </w:rPr>
        <w:t xml:space="preserve">Paragraph 51(xx) of the Constitution empowers the Parliament to make laws with respect to ‘foreign corporations, and trading or financial corporations formed within the limits of the Commonwealth’ (together, constitutional corporations). </w:t>
      </w:r>
    </w:p>
    <w:p w14:paraId="2C410435" w14:textId="77777777" w:rsidR="00FE074A" w:rsidRPr="00E77CEF" w:rsidRDefault="00FE074A" w:rsidP="00DC24D8">
      <w:pPr>
        <w:spacing w:before="240" w:after="240" w:line="276" w:lineRule="auto"/>
        <w:rPr>
          <w:rFonts w:ascii="Times New Roman" w:hAnsi="Times New Roman" w:cs="Times New Roman"/>
          <w:szCs w:val="24"/>
        </w:rPr>
      </w:pPr>
      <w:r w:rsidRPr="00B03A10">
        <w:rPr>
          <w:rFonts w:ascii="Times New Roman" w:hAnsi="Times New Roman" w:cs="Times New Roman"/>
          <w:szCs w:val="24"/>
        </w:rPr>
        <w:t xml:space="preserve">In </w:t>
      </w:r>
      <w:r w:rsidRPr="004423C4">
        <w:rPr>
          <w:rFonts w:ascii="Times New Roman" w:hAnsi="Times New Roman" w:cs="Times New Roman"/>
          <w:i/>
          <w:szCs w:val="24"/>
        </w:rPr>
        <w:t>Williams v Commonwealth</w:t>
      </w:r>
      <w:r w:rsidRPr="004423C4">
        <w:rPr>
          <w:rFonts w:ascii="Times New Roman" w:hAnsi="Times New Roman" w:cs="Times New Roman"/>
          <w:szCs w:val="24"/>
        </w:rPr>
        <w:t xml:space="preserve"> (2014) 252 CLR 416 (</w:t>
      </w:r>
      <w:r w:rsidRPr="004423C4">
        <w:rPr>
          <w:rFonts w:ascii="Times New Roman" w:hAnsi="Times New Roman" w:cs="Times New Roman"/>
          <w:i/>
          <w:szCs w:val="24"/>
        </w:rPr>
        <w:t>Williams No 2</w:t>
      </w:r>
      <w:r w:rsidRPr="004423C4">
        <w:rPr>
          <w:rFonts w:ascii="Times New Roman" w:hAnsi="Times New Roman" w:cs="Times New Roman"/>
          <w:szCs w:val="24"/>
        </w:rPr>
        <w:t xml:space="preserve">), the High Court, considering section 32B of the </w:t>
      </w:r>
      <w:r w:rsidRPr="00E77CEF">
        <w:rPr>
          <w:rFonts w:ascii="Times New Roman" w:hAnsi="Times New Roman" w:cs="Times New Roman"/>
          <w:i/>
          <w:szCs w:val="24"/>
        </w:rPr>
        <w:t>Financial Management and Accountability Act 1997</w:t>
      </w:r>
      <w:r w:rsidRPr="00E77CEF">
        <w:rPr>
          <w:rFonts w:ascii="Times New Roman" w:hAnsi="Times New Roman" w:cs="Times New Roman"/>
          <w:szCs w:val="24"/>
        </w:rPr>
        <w:t xml:space="preserve"> (the FMA Act), held (at [50]) that: </w:t>
      </w:r>
    </w:p>
    <w:p w14:paraId="554B27F0" w14:textId="77777777" w:rsidR="00FE074A" w:rsidRPr="00E77CEF" w:rsidRDefault="00FE074A" w:rsidP="00FE074A">
      <w:pPr>
        <w:shd w:val="clear" w:color="auto" w:fill="FFFFFF"/>
        <w:spacing w:before="240" w:after="240" w:line="240" w:lineRule="auto"/>
        <w:ind w:left="720"/>
        <w:rPr>
          <w:rFonts w:ascii="Times New Roman" w:eastAsia="Times New Roman" w:hAnsi="Times New Roman" w:cs="Times New Roman"/>
          <w:szCs w:val="24"/>
          <w:lang w:val="en-US" w:eastAsia="en-GB"/>
        </w:rPr>
      </w:pPr>
      <w:r w:rsidRPr="00E77CEF">
        <w:rPr>
          <w:rFonts w:ascii="Times New Roman" w:eastAsia="Times New Roman" w:hAnsi="Times New Roman" w:cs="Times New Roman"/>
          <w:szCs w:val="24"/>
          <w:lang w:eastAsia="en-GB"/>
        </w:rPr>
        <w:t xml:space="preserve">A law which gives the Commonwealth the authority to make an agreement or payment of that kind is not a law with respect to trading or financial corporations. The law makes no provision regulating or permitting any act by or on behalf of any corporation. </w:t>
      </w:r>
    </w:p>
    <w:p w14:paraId="3F48155A" w14:textId="77777777" w:rsidR="00FE074A" w:rsidRPr="00464C48" w:rsidRDefault="00FE074A" w:rsidP="00DC24D8">
      <w:pPr>
        <w:spacing w:before="240" w:after="240" w:line="276" w:lineRule="auto"/>
        <w:rPr>
          <w:rFonts w:ascii="Times New Roman" w:hAnsi="Times New Roman" w:cs="Times New Roman"/>
          <w:szCs w:val="24"/>
        </w:rPr>
      </w:pPr>
      <w:r w:rsidRPr="00E77CEF">
        <w:rPr>
          <w:rFonts w:ascii="Times New Roman" w:hAnsi="Times New Roman" w:cs="Times New Roman"/>
          <w:szCs w:val="24"/>
        </w:rPr>
        <w:t xml:space="preserve">However, the relevant provisions of the IR&amp;D Act are substantially different to the provisions considered by the High Court in </w:t>
      </w:r>
      <w:r w:rsidRPr="00E77CEF">
        <w:rPr>
          <w:rFonts w:ascii="Times New Roman" w:hAnsi="Times New Roman" w:cs="Times New Roman"/>
          <w:i/>
          <w:szCs w:val="24"/>
        </w:rPr>
        <w:t>Williams No 2</w:t>
      </w:r>
      <w:r w:rsidRPr="00E77CEF">
        <w:rPr>
          <w:rFonts w:ascii="Times New Roman" w:hAnsi="Times New Roman" w:cs="Times New Roman"/>
          <w:szCs w:val="24"/>
        </w:rPr>
        <w:t xml:space="preserve">. Section 34 of the IR&amp;D Act corresponds to section 32B of the FMA Act considered by the High Court in </w:t>
      </w:r>
      <w:r w:rsidRPr="00E77CEF">
        <w:rPr>
          <w:rFonts w:ascii="Times New Roman" w:hAnsi="Times New Roman" w:cs="Times New Roman"/>
          <w:i/>
          <w:szCs w:val="24"/>
        </w:rPr>
        <w:t>Williams No 2</w:t>
      </w:r>
      <w:r w:rsidRPr="00E77CEF">
        <w:rPr>
          <w:rFonts w:ascii="Times New Roman" w:hAnsi="Times New Roman" w:cs="Times New Roman"/>
          <w:szCs w:val="24"/>
        </w:rPr>
        <w:t>. However, the FMA Act contained no provision in terms equivalent to those of section 35 of the IR&amp;D Act.</w:t>
      </w:r>
      <w:r w:rsidRPr="00464C48">
        <w:rPr>
          <w:rFonts w:ascii="Times New Roman" w:hAnsi="Times New Roman" w:cs="Times New Roman"/>
          <w:szCs w:val="24"/>
        </w:rPr>
        <w:t xml:space="preserve"> </w:t>
      </w:r>
    </w:p>
    <w:p w14:paraId="4B67FE81" w14:textId="77777777" w:rsidR="00FE074A" w:rsidRPr="00464C48" w:rsidRDefault="00FE074A" w:rsidP="00DC24D8">
      <w:pPr>
        <w:spacing w:before="240" w:after="240" w:line="276" w:lineRule="auto"/>
        <w:rPr>
          <w:rFonts w:ascii="Times New Roman" w:hAnsi="Times New Roman" w:cs="Times New Roman"/>
          <w:szCs w:val="24"/>
        </w:rPr>
      </w:pPr>
      <w:r w:rsidRPr="00464C48">
        <w:rPr>
          <w:rFonts w:ascii="Times New Roman" w:hAnsi="Times New Roman" w:cs="Times New Roman"/>
          <w:szCs w:val="24"/>
        </w:rPr>
        <w:t xml:space="preserve">Subsection 35(2) of the IR&amp;D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 </w:t>
      </w:r>
    </w:p>
    <w:p w14:paraId="6F9B6869" w14:textId="77777777" w:rsidR="00FE074A" w:rsidRPr="00464C48" w:rsidRDefault="00FE074A" w:rsidP="00DC24D8">
      <w:pPr>
        <w:spacing w:before="240" w:after="240" w:line="276" w:lineRule="auto"/>
        <w:rPr>
          <w:rFonts w:ascii="Times New Roman" w:hAnsi="Times New Roman" w:cs="Times New Roman"/>
          <w:szCs w:val="24"/>
        </w:rPr>
      </w:pPr>
      <w:r w:rsidRPr="00464C48">
        <w:rPr>
          <w:rFonts w:ascii="Times New Roman" w:hAnsi="Times New Roman" w:cs="Times New Roman"/>
          <w:szCs w:val="24"/>
        </w:rPr>
        <w:t>Further, subsection 35(3) provides that the agreement must provide for circumstances in which the corporation must repay amounts to the Commonwealth.</w:t>
      </w:r>
    </w:p>
    <w:p w14:paraId="38018446" w14:textId="38325C69" w:rsidR="00F54D61" w:rsidRDefault="00FE074A" w:rsidP="00F54D61">
      <w:pPr>
        <w:pStyle w:val="NormalExplanatorystatement"/>
      </w:pPr>
      <w:r w:rsidRPr="004423C4">
        <w:t>Only constitutional corporations will be eligible to receive benefits under the</w:t>
      </w:r>
      <w:r w:rsidRPr="00E77CEF">
        <w:t xml:space="preserve"> </w:t>
      </w:r>
      <w:r w:rsidR="000569AB" w:rsidRPr="00E77CEF">
        <w:t xml:space="preserve">Supply Chain </w:t>
      </w:r>
      <w:r w:rsidR="00311224">
        <w:t xml:space="preserve">Capability component </w:t>
      </w:r>
      <w:r w:rsidR="000569AB" w:rsidRPr="00E77CEF">
        <w:t xml:space="preserve">of the </w:t>
      </w:r>
      <w:r w:rsidRPr="00E77CEF">
        <w:t>Program prescribed by the Legislative Instrument. The benefits conferred by the Program will be directed to assisting those corporations in the conduct of their ordinary activities</w:t>
      </w:r>
      <w:r w:rsidR="00F54D61" w:rsidRPr="00E77CEF">
        <w:t>. In that regard, these funds will be used to assist constitutional corporations to develop and supply products, capabilities or services (that could ultimately be sold into international supply chains) to other</w:t>
      </w:r>
      <w:r w:rsidR="00E8207C">
        <w:t xml:space="preserve">s </w:t>
      </w:r>
      <w:r w:rsidR="00F54D61" w:rsidRPr="00E77CEF">
        <w:t xml:space="preserve">in Australia, including those located within the same state. </w:t>
      </w:r>
      <w:r w:rsidR="005F331C" w:rsidRPr="00E77CEF">
        <w:t xml:space="preserve">The Facilitation component of the Supply Chain element of the Program may also involve </w:t>
      </w:r>
      <w:r w:rsidR="00E46C07" w:rsidRPr="00E77CEF">
        <w:t xml:space="preserve">procurement of goods and services from </w:t>
      </w:r>
      <w:r w:rsidR="00FB7B19" w:rsidRPr="00E77CEF">
        <w:t>foreign</w:t>
      </w:r>
      <w:r w:rsidR="00E46C07" w:rsidRPr="00E77CEF">
        <w:t xml:space="preserve"> </w:t>
      </w:r>
      <w:r w:rsidR="005F331C" w:rsidRPr="00E77CEF">
        <w:t>corporations to assist Australian businesses and organisations to enter international space supply chains.</w:t>
      </w:r>
      <w:r w:rsidR="005F331C" w:rsidRPr="00EB055A">
        <w:t xml:space="preserve"> </w:t>
      </w:r>
    </w:p>
    <w:p w14:paraId="2D3C3C49" w14:textId="77777777" w:rsidR="00F54D61" w:rsidRDefault="00FE074A" w:rsidP="00085EF2">
      <w:pPr>
        <w:pStyle w:val="NormalExplanatorystatement"/>
      </w:pPr>
      <w:r w:rsidRPr="00464C48">
        <w:t>The Program will impose terms and conditions on those corporations under a grant agreement in accordance with section 35 of the IR&amp;D Act, in relation to receipt of benefits under the Program. The terms and conditions will set out what the funding may be used for, and the circumstances in which it must be repaid.</w:t>
      </w:r>
      <w:r w:rsidR="00F54D61" w:rsidRPr="00F54D61">
        <w:t xml:space="preserve"> </w:t>
      </w:r>
    </w:p>
    <w:p w14:paraId="2651231A" w14:textId="77777777" w:rsidR="00CE210E" w:rsidRPr="001A3B30" w:rsidRDefault="00CE210E" w:rsidP="00B64887">
      <w:pPr>
        <w:pStyle w:val="NormalExplanatorystatement"/>
        <w:rPr>
          <w:b/>
          <w:u w:val="single"/>
        </w:rPr>
      </w:pPr>
      <w:r w:rsidRPr="00214960">
        <w:rPr>
          <w:b/>
          <w:u w:val="single"/>
        </w:rPr>
        <w:lastRenderedPageBreak/>
        <w:t>External affairs power</w:t>
      </w:r>
    </w:p>
    <w:p w14:paraId="11BC747D" w14:textId="77777777" w:rsidR="00AF4208" w:rsidRDefault="005A3188" w:rsidP="00B64887">
      <w:pPr>
        <w:pStyle w:val="NormalExplanatorystatement"/>
      </w:pPr>
      <w:r>
        <w:t xml:space="preserve">Paragraph 51(xxix) of the Constitution empowers the Parliament to make laws with respect to ‘external affairs’. The external affairs power supports legislation with respect to places, persons, matters, or things outside the geographical limits of Australia. </w:t>
      </w:r>
    </w:p>
    <w:p w14:paraId="05CDA34D" w14:textId="77777777" w:rsidR="005A3188" w:rsidRDefault="005A3188" w:rsidP="00B64887">
      <w:pPr>
        <w:pStyle w:val="NormalExplanatorystatement"/>
      </w:pPr>
      <w:r>
        <w:t xml:space="preserve">In that regard, funding provided under the Legislative Instrument will facilitate or contribute toward international space projects and other space activities, which will occur outside of Australia. </w:t>
      </w:r>
    </w:p>
    <w:p w14:paraId="3CFE63D1" w14:textId="77777777" w:rsidR="005A3188" w:rsidRPr="001A3B30" w:rsidRDefault="005A3188" w:rsidP="00B64887">
      <w:pPr>
        <w:pStyle w:val="NormalExplanatorystatement"/>
      </w:pPr>
      <w:r>
        <w:t xml:space="preserve">The external affairs power also supports legislation with respect to matters concerning Australia’s relations with other countries. In that regard, funding provided under the Legislative Instrument will enhance Australia’s relations with the United States of America and other international partners by </w:t>
      </w:r>
      <w:r w:rsidR="00B64887">
        <w:t xml:space="preserve">enabling Australia to join and contribute towards </w:t>
      </w:r>
      <w:r>
        <w:t xml:space="preserve">NASA’s Moon to Mars campaign. </w:t>
      </w:r>
    </w:p>
    <w:p w14:paraId="06480E2A" w14:textId="77777777" w:rsidR="00AF4208" w:rsidRDefault="00AF4208" w:rsidP="00AF4208">
      <w:pPr>
        <w:autoSpaceDE w:val="0"/>
        <w:autoSpaceDN w:val="0"/>
        <w:spacing w:after="40" w:line="240" w:lineRule="auto"/>
      </w:pPr>
      <w:r w:rsidRPr="00001B69">
        <w:rPr>
          <w:rFonts w:ascii="Times New Roman" w:hAnsi="Times New Roman" w:cs="Times New Roman"/>
          <w:b/>
          <w:bCs/>
          <w:szCs w:val="24"/>
          <w:u w:val="single"/>
        </w:rPr>
        <w:t>Executive power and express incidental power, including the nationhood aspect</w:t>
      </w:r>
      <w:r>
        <w:rPr>
          <w:rFonts w:ascii="Times New Roman" w:hAnsi="Times New Roman" w:cs="Times New Roman"/>
          <w:b/>
          <w:bCs/>
          <w:szCs w:val="24"/>
          <w:u w:val="single"/>
        </w:rPr>
        <w:t> </w:t>
      </w:r>
    </w:p>
    <w:p w14:paraId="15540E71" w14:textId="77777777" w:rsidR="00AF4208" w:rsidRDefault="00AF4208">
      <w:pPr>
        <w:pStyle w:val="NormalExplanatorystatement"/>
        <w:rPr>
          <w:rFonts w:eastAsia="Times New Roman"/>
          <w:color w:val="000000"/>
          <w:lang w:val="en-US"/>
        </w:rPr>
      </w:pPr>
      <w:r w:rsidRPr="003D725B">
        <w:rPr>
          <w:rFonts w:eastAsia="Times New Roman"/>
          <w:color w:val="000000"/>
          <w:lang w:val="en-US"/>
        </w:rPr>
        <w:t xml:space="preserve">The express incidental power in </w:t>
      </w:r>
      <w:r w:rsidR="00C96B66">
        <w:rPr>
          <w:rFonts w:eastAsia="Times New Roman"/>
          <w:color w:val="000000"/>
          <w:lang w:val="en-US"/>
        </w:rPr>
        <w:t>paragraph</w:t>
      </w:r>
      <w:r w:rsidR="00C96B66" w:rsidRPr="003D725B">
        <w:rPr>
          <w:rFonts w:eastAsia="Times New Roman"/>
          <w:color w:val="000000"/>
          <w:lang w:val="en-US"/>
        </w:rPr>
        <w:t xml:space="preserve"> </w:t>
      </w:r>
      <w:r w:rsidRPr="003D725B">
        <w:rPr>
          <w:rFonts w:eastAsia="Times New Roman"/>
          <w:color w:val="000000"/>
          <w:lang w:val="en-US"/>
        </w:rPr>
        <w:t xml:space="preserve">51(xxxix) of the Constitution empowers the Parliament to make laws with respect to matters incidental to the execution of any power vested in the Parliament, the executive or the courts by the Constitution. </w:t>
      </w:r>
      <w:r w:rsidR="00C96B66">
        <w:rPr>
          <w:rFonts w:eastAsia="Times New Roman"/>
          <w:color w:val="000000"/>
          <w:lang w:val="en-US"/>
        </w:rPr>
        <w:t>That paragraph, together with s</w:t>
      </w:r>
      <w:r w:rsidRPr="003D725B">
        <w:rPr>
          <w:rFonts w:eastAsia="Times New Roman"/>
          <w:color w:val="000000"/>
          <w:lang w:val="en-US"/>
        </w:rPr>
        <w:t>ection 61 of the Constitution supports activities that are peculiarly adapted to the government of a nation and cannot be carried out for the benefit of the nation otherwise than by the Commonwealth.</w:t>
      </w:r>
    </w:p>
    <w:p w14:paraId="54BACCD5" w14:textId="77777777" w:rsidR="005A3188" w:rsidRDefault="005A3188">
      <w:pPr>
        <w:pStyle w:val="NormalExplanatorystatement"/>
      </w:pPr>
      <w:r>
        <w:t xml:space="preserve">In that regard, funding provided under the Legislative Instrument will support the Commonwealth to facilitate </w:t>
      </w:r>
      <w:r w:rsidR="00FC3773">
        <w:t xml:space="preserve">Australian space industry </w:t>
      </w:r>
      <w:r>
        <w:t xml:space="preserve">participation in space activities in a manner that requires national coordination. The Australian Space Agency has partnered with NASA to allow Australian businesses and organisations to participate in its Moon to Mars campaign. The activities that will </w:t>
      </w:r>
      <w:r w:rsidR="00FC3773" w:rsidRPr="001A3B30">
        <w:t xml:space="preserve">address identified skills, capacity and capability gaps </w:t>
      </w:r>
      <w:r w:rsidR="00FC3773">
        <w:t xml:space="preserve">in the Australian space sector and </w:t>
      </w:r>
      <w:r w:rsidR="00F97E1C">
        <w:t>form</w:t>
      </w:r>
      <w:r w:rsidR="00FC3773">
        <w:t xml:space="preserve"> a core</w:t>
      </w:r>
      <w:r w:rsidR="00F97E1C">
        <w:t xml:space="preserve"> part of the Australian Government’s</w:t>
      </w:r>
      <w:r w:rsidR="00F97E1C" w:rsidRPr="00F97E1C">
        <w:t xml:space="preserve"> National Civil Space Priority Areas</w:t>
      </w:r>
      <w:r>
        <w:t xml:space="preserve"> </w:t>
      </w:r>
      <w:r w:rsidR="00F97E1C">
        <w:t>in the</w:t>
      </w:r>
      <w:r>
        <w:t xml:space="preserve"> civil space strategy</w:t>
      </w:r>
      <w:r w:rsidR="00FC3773">
        <w:t>.</w:t>
      </w:r>
    </w:p>
    <w:p w14:paraId="1D50E1AC" w14:textId="77777777" w:rsidR="00CE210E" w:rsidRPr="001A3B30" w:rsidRDefault="00CE210E">
      <w:pPr>
        <w:pStyle w:val="NormalExplanatorystatement"/>
        <w:rPr>
          <w:b/>
          <w:u w:val="single"/>
        </w:rPr>
      </w:pPr>
      <w:r w:rsidRPr="001A3B30">
        <w:rPr>
          <w:b/>
          <w:u w:val="single"/>
        </w:rPr>
        <w:t>Authority</w:t>
      </w:r>
    </w:p>
    <w:p w14:paraId="42EE323D" w14:textId="77777777" w:rsidR="00CE210E" w:rsidRPr="001A3B30" w:rsidRDefault="00CE210E">
      <w:pPr>
        <w:pStyle w:val="NormalExplanatorystatement"/>
      </w:pPr>
      <w:r w:rsidRPr="001A3B30">
        <w:t xml:space="preserve">Section 33 of the </w:t>
      </w:r>
      <w:r w:rsidRPr="001A3B30">
        <w:rPr>
          <w:i/>
        </w:rPr>
        <w:t>Industry Research and Development Act 1986</w:t>
      </w:r>
      <w:r w:rsidRPr="001A3B30">
        <w:t xml:space="preserve"> provides authority for the Legislative Instrument. </w:t>
      </w:r>
    </w:p>
    <w:p w14:paraId="470A3530" w14:textId="77777777" w:rsidR="00CE210E" w:rsidRPr="001A3B30" w:rsidRDefault="00CE210E">
      <w:pPr>
        <w:pStyle w:val="NormalExplanatorystatement"/>
        <w:rPr>
          <w:b/>
          <w:u w:val="single"/>
        </w:rPr>
      </w:pPr>
      <w:r w:rsidRPr="001A3B30">
        <w:rPr>
          <w:b/>
          <w:u w:val="single"/>
        </w:rPr>
        <w:t>Consultation</w:t>
      </w:r>
    </w:p>
    <w:p w14:paraId="6DA742E8" w14:textId="77777777" w:rsidR="0052052A" w:rsidRDefault="00CE210E">
      <w:pPr>
        <w:pStyle w:val="NormalExplanatorystatement"/>
      </w:pPr>
      <w:r w:rsidRPr="001A3B30">
        <w:t xml:space="preserve">In accordance with section 17 of the </w:t>
      </w:r>
      <w:r w:rsidRPr="001A3B30">
        <w:rPr>
          <w:i/>
        </w:rPr>
        <w:t>Legislation Act 2003</w:t>
      </w:r>
      <w:r w:rsidRPr="001A3B30">
        <w:t xml:space="preserve">, </w:t>
      </w:r>
      <w:r w:rsidRPr="0052052A">
        <w:t>the Attorney-General’s Department has been consulted on this Legislative Instrument.</w:t>
      </w:r>
    </w:p>
    <w:p w14:paraId="44BEC1A1" w14:textId="77777777" w:rsidR="00ED5DC6" w:rsidRDefault="00ED5DC6">
      <w:pPr>
        <w:pStyle w:val="NormalExplanatorystatement"/>
      </w:pPr>
      <w:r w:rsidRPr="00C94B53">
        <w:t xml:space="preserve">Consultation on the design of the Program occurred with stakeholders, including potential Program participants, reaching over 550 participants Australia-wide, in February and March 2020. Over 70 submissions were received from government, business, researchers and </w:t>
      </w:r>
      <w:r w:rsidRPr="00C94B53">
        <w:lastRenderedPageBreak/>
        <w:t>individuals. Non-confidential submissions and a summary and response to feedback report is available on the Consultation Hub (</w:t>
      </w:r>
      <w:hyperlink r:id="rId16" w:history="1">
        <w:r w:rsidRPr="00C94B53">
          <w:rPr>
            <w:rStyle w:val="Hyperlink"/>
            <w:i/>
          </w:rPr>
          <w:t>https://consult.industry.gov.au/space/m2m/</w:t>
        </w:r>
      </w:hyperlink>
      <w:r>
        <w:t>).</w:t>
      </w:r>
    </w:p>
    <w:p w14:paraId="6517275C" w14:textId="77777777" w:rsidR="00CE210E" w:rsidRPr="005E368B" w:rsidRDefault="00CE210E">
      <w:pPr>
        <w:pStyle w:val="NormalExplanatorystatement"/>
        <w:rPr>
          <w:b/>
          <w:u w:val="single"/>
        </w:rPr>
      </w:pPr>
      <w:r w:rsidRPr="005E368B">
        <w:rPr>
          <w:b/>
          <w:u w:val="single"/>
        </w:rPr>
        <w:t>Regulatory Impact</w:t>
      </w:r>
    </w:p>
    <w:p w14:paraId="444DE783" w14:textId="77777777" w:rsidR="00A77F5D" w:rsidRDefault="0035749C">
      <w:pPr>
        <w:pStyle w:val="NormalExplanatorystatement"/>
        <w:sectPr w:rsidR="00A77F5D" w:rsidSect="00D603B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08"/>
          <w:docGrid w:linePitch="360"/>
        </w:sectPr>
      </w:pPr>
      <w:r w:rsidRPr="0035749C">
        <w:t xml:space="preserve">It is estimated that the regulatory burden is likely to be minor (OBPR reference </w:t>
      </w:r>
      <w:r w:rsidR="00207277" w:rsidRPr="0035749C">
        <w:t>number</w:t>
      </w:r>
      <w:r w:rsidR="00207277">
        <w:t> </w:t>
      </w:r>
      <w:r w:rsidRPr="0035749C">
        <w:t xml:space="preserve">24686). </w:t>
      </w:r>
    </w:p>
    <w:p w14:paraId="7BB7666D" w14:textId="77777777" w:rsidR="00D603B2" w:rsidRPr="001A3B30" w:rsidRDefault="00D603B2" w:rsidP="00CD230C">
      <w:pPr>
        <w:pStyle w:val="NormalExplanatorystatement"/>
        <w:rPr>
          <w:b/>
          <w:u w:val="single"/>
        </w:rPr>
      </w:pPr>
      <w:r w:rsidRPr="001A3B30">
        <w:rPr>
          <w:b/>
          <w:u w:val="single"/>
        </w:rPr>
        <w:lastRenderedPageBreak/>
        <w:t xml:space="preserve">Details of the </w:t>
      </w:r>
      <w:r w:rsidR="00185764" w:rsidRPr="00AF4463">
        <w:rPr>
          <w:b/>
          <w:i/>
          <w:u w:val="single"/>
        </w:rPr>
        <w:t>Industry Research and Development (Moon to Mars Program) Instrument 2020</w:t>
      </w:r>
      <w:r w:rsidR="00185764" w:rsidRPr="001A3B30" w:rsidDel="00185764">
        <w:rPr>
          <w:b/>
          <w:i/>
          <w:u w:val="single"/>
        </w:rPr>
        <w:t xml:space="preserve"> </w:t>
      </w:r>
    </w:p>
    <w:p w14:paraId="45E15BA2" w14:textId="77777777" w:rsidR="00D603B2" w:rsidRPr="001A3B30" w:rsidRDefault="00D603B2">
      <w:pPr>
        <w:pStyle w:val="NormalExplanatorystatement"/>
        <w:rPr>
          <w:b/>
        </w:rPr>
      </w:pPr>
      <w:r w:rsidRPr="001A3B30">
        <w:rPr>
          <w:b/>
        </w:rPr>
        <w:t xml:space="preserve">Section 1 – </w:t>
      </w:r>
      <w:r w:rsidR="004F0F71">
        <w:rPr>
          <w:b/>
        </w:rPr>
        <w:t xml:space="preserve">Name </w:t>
      </w:r>
    </w:p>
    <w:p w14:paraId="71852F63" w14:textId="77777777" w:rsidR="00D603B2" w:rsidRPr="001A3B30" w:rsidRDefault="00D603B2">
      <w:pPr>
        <w:pStyle w:val="NormalExplanatorystatement"/>
      </w:pPr>
      <w:r w:rsidRPr="001A3B30">
        <w:t xml:space="preserve">This section specifies the name of the Legislative Instrument as the </w:t>
      </w:r>
      <w:r w:rsidR="00185764" w:rsidRPr="001A3B30">
        <w:rPr>
          <w:i/>
        </w:rPr>
        <w:t>Industry Research and Development (Moon to Mars Program) Instrument 2020</w:t>
      </w:r>
      <w:r w:rsidRPr="001A3B30">
        <w:rPr>
          <w:i/>
        </w:rPr>
        <w:t>.</w:t>
      </w:r>
    </w:p>
    <w:p w14:paraId="1D77EB7E" w14:textId="77777777" w:rsidR="00D603B2" w:rsidRPr="001A3B30" w:rsidRDefault="00D603B2">
      <w:pPr>
        <w:pStyle w:val="NormalExplanatorystatement"/>
        <w:rPr>
          <w:b/>
        </w:rPr>
      </w:pPr>
      <w:r w:rsidRPr="001A3B30">
        <w:rPr>
          <w:b/>
        </w:rPr>
        <w:t>Section 2 – Commencement</w:t>
      </w:r>
    </w:p>
    <w:p w14:paraId="1C920470" w14:textId="77777777" w:rsidR="00D603B2" w:rsidRPr="001A3B30" w:rsidRDefault="00D603B2">
      <w:pPr>
        <w:pStyle w:val="NormalExplanatorystatement"/>
      </w:pPr>
      <w:r w:rsidRPr="001A3B30">
        <w:t xml:space="preserve">This section provides that the Legislative Instrument commences on </w:t>
      </w:r>
      <w:r w:rsidRPr="00AF4463">
        <w:t>the day after registration on the Federal Register of Legislation</w:t>
      </w:r>
      <w:r w:rsidRPr="001A3B30">
        <w:t xml:space="preserve">.  </w:t>
      </w:r>
    </w:p>
    <w:p w14:paraId="28C0F0FD" w14:textId="77777777" w:rsidR="00D603B2" w:rsidRPr="001A3B30" w:rsidRDefault="00D603B2">
      <w:pPr>
        <w:pStyle w:val="NormalExplanatorystatement"/>
        <w:rPr>
          <w:b/>
        </w:rPr>
      </w:pPr>
      <w:r w:rsidRPr="001A3B30">
        <w:rPr>
          <w:b/>
        </w:rPr>
        <w:t>Section 3 – Authority</w:t>
      </w:r>
    </w:p>
    <w:p w14:paraId="0CE9EB83" w14:textId="7A737404" w:rsidR="00D603B2" w:rsidRPr="001A3B30" w:rsidRDefault="00D603B2">
      <w:pPr>
        <w:pStyle w:val="NormalExplanatorystatement"/>
      </w:pPr>
      <w:r w:rsidRPr="001A3B30">
        <w:t xml:space="preserve">This section specifies the provision of the </w:t>
      </w:r>
      <w:r w:rsidRPr="001A3B30">
        <w:rPr>
          <w:i/>
        </w:rPr>
        <w:t>Industry, Research and Development Act 1986</w:t>
      </w:r>
      <w:r w:rsidRPr="001A3B30">
        <w:t xml:space="preserve"> (the</w:t>
      </w:r>
      <w:r w:rsidR="00DC24D8">
        <w:t> </w:t>
      </w:r>
      <w:r w:rsidR="00AF68B1">
        <w:t xml:space="preserve">IR&amp;D </w:t>
      </w:r>
      <w:r w:rsidRPr="001A3B30">
        <w:t xml:space="preserve">Act) under which the Legislative Instrument is made. </w:t>
      </w:r>
    </w:p>
    <w:p w14:paraId="04FCACA7" w14:textId="77777777" w:rsidR="00D603B2" w:rsidRPr="001A3B30" w:rsidRDefault="00D603B2">
      <w:pPr>
        <w:pStyle w:val="NormalExplanatorystatement"/>
        <w:rPr>
          <w:b/>
        </w:rPr>
      </w:pPr>
      <w:r w:rsidRPr="001A3B30">
        <w:rPr>
          <w:b/>
        </w:rPr>
        <w:t>Section 4 – Definitions</w:t>
      </w:r>
    </w:p>
    <w:p w14:paraId="6C782EA6" w14:textId="77777777" w:rsidR="005A0CCA" w:rsidRPr="001A3B30" w:rsidRDefault="00D603B2" w:rsidP="00CD230C">
      <w:pPr>
        <w:pStyle w:val="NormalExplanatorystatement"/>
      </w:pPr>
      <w:r w:rsidRPr="001A3B30">
        <w:t xml:space="preserve">This </w:t>
      </w:r>
      <w:r w:rsidR="00007E33">
        <w:t>section</w:t>
      </w:r>
      <w:r w:rsidR="00007E33" w:rsidRPr="001A3B30">
        <w:t xml:space="preserve"> </w:t>
      </w:r>
      <w:r w:rsidRPr="001A3B30">
        <w:t>provides for definitions of terms used in the Legislative Instrument.</w:t>
      </w:r>
    </w:p>
    <w:p w14:paraId="59A2880B" w14:textId="77777777" w:rsidR="00D603B2" w:rsidRPr="001A3B30" w:rsidRDefault="00D603B2">
      <w:pPr>
        <w:pStyle w:val="NormalExplanatorystatement"/>
        <w:rPr>
          <w:b/>
        </w:rPr>
      </w:pPr>
      <w:r w:rsidRPr="001A3B30">
        <w:rPr>
          <w:b/>
        </w:rPr>
        <w:t xml:space="preserve">Section 5 – </w:t>
      </w:r>
      <w:r w:rsidRPr="00AF4463">
        <w:rPr>
          <w:b/>
        </w:rPr>
        <w:t>Prescribed Program</w:t>
      </w:r>
    </w:p>
    <w:p w14:paraId="4B4A0402" w14:textId="77777777" w:rsidR="009C6E4A" w:rsidRDefault="005A0CCA">
      <w:pPr>
        <w:spacing w:before="240" w:after="240" w:line="276" w:lineRule="auto"/>
        <w:rPr>
          <w:rFonts w:ascii="Times New Roman" w:hAnsi="Times New Roman" w:cs="Times New Roman"/>
          <w:szCs w:val="24"/>
        </w:rPr>
      </w:pPr>
      <w:r w:rsidRPr="001A3B30">
        <w:rPr>
          <w:rFonts w:ascii="Times New Roman" w:hAnsi="Times New Roman" w:cs="Times New Roman"/>
          <w:szCs w:val="24"/>
        </w:rPr>
        <w:t>This section prescribes the Moon to Mars Program (the Program) for the purposes of s</w:t>
      </w:r>
      <w:r w:rsidR="00573348">
        <w:rPr>
          <w:rFonts w:ascii="Times New Roman" w:hAnsi="Times New Roman" w:cs="Times New Roman"/>
          <w:szCs w:val="24"/>
        </w:rPr>
        <w:t>ection</w:t>
      </w:r>
      <w:r w:rsidRPr="001A3B30">
        <w:rPr>
          <w:rFonts w:ascii="Times New Roman" w:hAnsi="Times New Roman" w:cs="Times New Roman"/>
          <w:szCs w:val="24"/>
        </w:rPr>
        <w:t xml:space="preserve"> 33 of the </w:t>
      </w:r>
      <w:r w:rsidR="00AF68B1">
        <w:rPr>
          <w:rFonts w:ascii="Times New Roman" w:hAnsi="Times New Roman" w:cs="Times New Roman"/>
          <w:szCs w:val="24"/>
        </w:rPr>
        <w:t xml:space="preserve">IR&amp;D </w:t>
      </w:r>
      <w:r w:rsidRPr="001A3B30">
        <w:rPr>
          <w:rFonts w:ascii="Times New Roman" w:hAnsi="Times New Roman" w:cs="Times New Roman"/>
          <w:szCs w:val="24"/>
        </w:rPr>
        <w:t>Act</w:t>
      </w:r>
      <w:r w:rsidR="00AD4F6D">
        <w:rPr>
          <w:rFonts w:ascii="Times New Roman" w:hAnsi="Times New Roman" w:cs="Times New Roman"/>
          <w:szCs w:val="24"/>
        </w:rPr>
        <w:t xml:space="preserve">. </w:t>
      </w:r>
    </w:p>
    <w:p w14:paraId="71889DC9" w14:textId="677714CD" w:rsidR="00EA2610" w:rsidRDefault="009C6E4A">
      <w:pPr>
        <w:spacing w:before="240" w:after="240" w:line="276" w:lineRule="auto"/>
        <w:rPr>
          <w:rFonts w:ascii="Times New Roman" w:hAnsi="Times New Roman" w:cs="Times New Roman"/>
          <w:szCs w:val="24"/>
        </w:rPr>
      </w:pPr>
      <w:r w:rsidRPr="00CD230C">
        <w:rPr>
          <w:rFonts w:ascii="Times New Roman" w:hAnsi="Times New Roman" w:cs="Times New Roman"/>
          <w:szCs w:val="24"/>
        </w:rPr>
        <w:t xml:space="preserve">The Program provides funding </w:t>
      </w:r>
      <w:r w:rsidR="00E46C07" w:rsidRPr="00CD230C">
        <w:rPr>
          <w:rFonts w:ascii="Times New Roman" w:hAnsi="Times New Roman" w:cs="Times New Roman"/>
          <w:szCs w:val="24"/>
        </w:rPr>
        <w:t xml:space="preserve">for activities that will </w:t>
      </w:r>
      <w:r w:rsidR="00EC7FFE">
        <w:rPr>
          <w:rFonts w:ascii="Times New Roman" w:hAnsi="Times New Roman" w:cs="Times New Roman"/>
          <w:szCs w:val="24"/>
        </w:rPr>
        <w:t>support</w:t>
      </w:r>
      <w:r w:rsidR="00E46C07" w:rsidRPr="00CD230C">
        <w:rPr>
          <w:rFonts w:ascii="Times New Roman" w:hAnsi="Times New Roman" w:cs="Times New Roman"/>
          <w:szCs w:val="24"/>
        </w:rPr>
        <w:t xml:space="preserve"> Australian businesses and </w:t>
      </w:r>
      <w:r w:rsidR="00004E03">
        <w:rPr>
          <w:rFonts w:ascii="Times New Roman" w:hAnsi="Times New Roman" w:cs="Times New Roman"/>
          <w:szCs w:val="24"/>
        </w:rPr>
        <w:t>organisations</w:t>
      </w:r>
      <w:r w:rsidR="00EC7FFE">
        <w:rPr>
          <w:rFonts w:ascii="Times New Roman" w:hAnsi="Times New Roman" w:cs="Times New Roman"/>
          <w:szCs w:val="24"/>
        </w:rPr>
        <w:t>, including universities and research institutions</w:t>
      </w:r>
      <w:r w:rsidR="00821D03">
        <w:rPr>
          <w:rFonts w:ascii="Times New Roman" w:hAnsi="Times New Roman" w:cs="Times New Roman"/>
          <w:szCs w:val="24"/>
        </w:rPr>
        <w:t>,</w:t>
      </w:r>
      <w:r w:rsidR="00E46C07" w:rsidRPr="00CD230C">
        <w:rPr>
          <w:rFonts w:ascii="Times New Roman" w:hAnsi="Times New Roman" w:cs="Times New Roman"/>
          <w:szCs w:val="24"/>
        </w:rPr>
        <w:t xml:space="preserve"> to </w:t>
      </w:r>
      <w:r w:rsidR="00EA2610" w:rsidRPr="00CD230C">
        <w:rPr>
          <w:rFonts w:ascii="Times New Roman" w:hAnsi="Times New Roman" w:cs="Times New Roman"/>
          <w:szCs w:val="24"/>
        </w:rPr>
        <w:t xml:space="preserve">participate in international space supply chains and markets, including joining the National Aeronautics and Space Administration’s (NASA’s) </w:t>
      </w:r>
      <w:r w:rsidR="00EC7FFE">
        <w:rPr>
          <w:rFonts w:ascii="Times New Roman" w:hAnsi="Times New Roman" w:cs="Times New Roman"/>
          <w:szCs w:val="24"/>
        </w:rPr>
        <w:t xml:space="preserve">campaign </w:t>
      </w:r>
      <w:r w:rsidR="00EA2610" w:rsidRPr="00CD230C">
        <w:rPr>
          <w:rFonts w:ascii="Times New Roman" w:hAnsi="Times New Roman" w:cs="Times New Roman"/>
          <w:szCs w:val="24"/>
        </w:rPr>
        <w:t>to go forward to the Moon and then go on to Mar</w:t>
      </w:r>
      <w:r w:rsidR="00EC7FFE">
        <w:rPr>
          <w:rFonts w:ascii="Times New Roman" w:hAnsi="Times New Roman" w:cs="Times New Roman"/>
          <w:szCs w:val="24"/>
        </w:rPr>
        <w:t>s</w:t>
      </w:r>
      <w:r w:rsidR="00EA2610">
        <w:rPr>
          <w:rFonts w:ascii="Times New Roman" w:hAnsi="Times New Roman" w:cs="Times New Roman"/>
          <w:szCs w:val="24"/>
        </w:rPr>
        <w:t>.</w:t>
      </w:r>
    </w:p>
    <w:p w14:paraId="211A18CA" w14:textId="77777777" w:rsidR="00E46C07" w:rsidRDefault="00E46C07">
      <w:pPr>
        <w:spacing w:before="240" w:after="240" w:line="276" w:lineRule="auto"/>
        <w:rPr>
          <w:rFonts w:ascii="Times New Roman" w:hAnsi="Times New Roman" w:cs="Times New Roman"/>
          <w:szCs w:val="24"/>
        </w:rPr>
      </w:pPr>
      <w:r>
        <w:rPr>
          <w:rFonts w:ascii="Times New Roman" w:hAnsi="Times New Roman" w:cs="Times New Roman"/>
          <w:szCs w:val="24"/>
        </w:rPr>
        <w:t xml:space="preserve">Funds will be used to: </w:t>
      </w:r>
    </w:p>
    <w:p w14:paraId="18D7C353" w14:textId="794111C6" w:rsidR="00DE6C8D" w:rsidRPr="00E77CEF" w:rsidRDefault="00DE6C8D" w:rsidP="00DE6C8D">
      <w:pPr>
        <w:pStyle w:val="ListParagraph"/>
        <w:numPr>
          <w:ilvl w:val="0"/>
          <w:numId w:val="48"/>
        </w:numPr>
        <w:adjustRightInd w:val="0"/>
        <w:snapToGrid w:val="0"/>
        <w:spacing w:after="80" w:line="276" w:lineRule="auto"/>
        <w:contextualSpacing w:val="0"/>
        <w:rPr>
          <w:rFonts w:ascii="Times New Roman" w:hAnsi="Times New Roman" w:cs="Times New Roman"/>
          <w:szCs w:val="24"/>
        </w:rPr>
      </w:pPr>
      <w:r w:rsidRPr="00E77CEF">
        <w:rPr>
          <w:rFonts w:ascii="Times New Roman" w:hAnsi="Times New Roman" w:cs="Times New Roman"/>
          <w:color w:val="262626" w:themeColor="text1" w:themeTint="D9"/>
          <w:szCs w:val="24"/>
        </w:rPr>
        <w:t xml:space="preserve">provide support to Australian businesses and organisations to develop </w:t>
      </w:r>
      <w:r w:rsidR="00A7390C">
        <w:rPr>
          <w:rFonts w:ascii="Times New Roman" w:hAnsi="Times New Roman" w:cs="Times New Roman"/>
          <w:color w:val="262626" w:themeColor="text1" w:themeTint="D9"/>
          <w:szCs w:val="24"/>
        </w:rPr>
        <w:t xml:space="preserve">or enhance </w:t>
      </w:r>
      <w:r>
        <w:rPr>
          <w:rFonts w:ascii="Times New Roman" w:hAnsi="Times New Roman" w:cs="Times New Roman"/>
          <w:color w:val="262626" w:themeColor="text1" w:themeTint="D9"/>
          <w:szCs w:val="24"/>
        </w:rPr>
        <w:t>products, capabilities and services</w:t>
      </w:r>
      <w:r w:rsidRPr="00E77CEF">
        <w:rPr>
          <w:rFonts w:ascii="Times New Roman" w:hAnsi="Times New Roman" w:cs="Times New Roman"/>
          <w:color w:val="262626" w:themeColor="text1" w:themeTint="D9"/>
          <w:szCs w:val="24"/>
        </w:rPr>
        <w:t xml:space="preserve"> </w:t>
      </w:r>
      <w:r>
        <w:rPr>
          <w:rFonts w:ascii="Times New Roman" w:hAnsi="Times New Roman" w:cs="Times New Roman"/>
          <w:color w:val="262626" w:themeColor="text1" w:themeTint="D9"/>
          <w:szCs w:val="24"/>
        </w:rPr>
        <w:t xml:space="preserve">that </w:t>
      </w:r>
      <w:r w:rsidR="00764A8D">
        <w:rPr>
          <w:rFonts w:ascii="Times New Roman" w:hAnsi="Times New Roman" w:cs="Times New Roman"/>
          <w:color w:val="262626" w:themeColor="text1" w:themeTint="D9"/>
          <w:szCs w:val="24"/>
        </w:rPr>
        <w:t xml:space="preserve">have the </w:t>
      </w:r>
      <w:r w:rsidR="00116FDD">
        <w:rPr>
          <w:rFonts w:ascii="Times New Roman" w:hAnsi="Times New Roman" w:cs="Times New Roman"/>
          <w:color w:val="262626" w:themeColor="text1" w:themeTint="D9"/>
          <w:szCs w:val="24"/>
        </w:rPr>
        <w:t xml:space="preserve">capacity </w:t>
      </w:r>
      <w:r w:rsidR="00764A8D">
        <w:rPr>
          <w:rFonts w:ascii="Times New Roman" w:hAnsi="Times New Roman" w:cs="Times New Roman"/>
          <w:color w:val="262626" w:themeColor="text1" w:themeTint="D9"/>
          <w:szCs w:val="24"/>
        </w:rPr>
        <w:t xml:space="preserve">to contribute to </w:t>
      </w:r>
      <w:r w:rsidRPr="00E77CEF">
        <w:rPr>
          <w:rFonts w:ascii="Times New Roman" w:hAnsi="Times New Roman" w:cs="Times New Roman"/>
          <w:color w:val="262626" w:themeColor="text1" w:themeTint="D9"/>
          <w:szCs w:val="24"/>
        </w:rPr>
        <w:t xml:space="preserve">NASA’s </w:t>
      </w:r>
      <w:r w:rsidR="00EC7FFE">
        <w:rPr>
          <w:rFonts w:ascii="Times New Roman" w:hAnsi="Times New Roman" w:cs="Times New Roman"/>
          <w:color w:val="262626" w:themeColor="text1" w:themeTint="D9"/>
          <w:szCs w:val="24"/>
        </w:rPr>
        <w:t xml:space="preserve">exploration programs to the </w:t>
      </w:r>
      <w:r w:rsidRPr="00E77CEF">
        <w:rPr>
          <w:rFonts w:ascii="Times New Roman" w:hAnsi="Times New Roman" w:cs="Times New Roman"/>
          <w:color w:val="262626" w:themeColor="text1" w:themeTint="D9"/>
          <w:szCs w:val="24"/>
        </w:rPr>
        <w:t>Moon</w:t>
      </w:r>
      <w:r w:rsidR="00EC7FFE">
        <w:rPr>
          <w:rFonts w:ascii="Times New Roman" w:hAnsi="Times New Roman" w:cs="Times New Roman"/>
          <w:color w:val="262626" w:themeColor="text1" w:themeTint="D9"/>
          <w:szCs w:val="24"/>
        </w:rPr>
        <w:t>,</w:t>
      </w:r>
      <w:r w:rsidRPr="00E77CEF">
        <w:rPr>
          <w:rFonts w:ascii="Times New Roman" w:hAnsi="Times New Roman" w:cs="Times New Roman"/>
          <w:color w:val="262626" w:themeColor="text1" w:themeTint="D9"/>
          <w:szCs w:val="24"/>
        </w:rPr>
        <w:t xml:space="preserve"> Mars </w:t>
      </w:r>
      <w:r w:rsidR="00EC7FFE">
        <w:rPr>
          <w:rFonts w:ascii="Times New Roman" w:hAnsi="Times New Roman" w:cs="Times New Roman"/>
          <w:color w:val="262626" w:themeColor="text1" w:themeTint="D9"/>
          <w:szCs w:val="24"/>
        </w:rPr>
        <w:t>or other celestial bodies</w:t>
      </w:r>
      <w:r w:rsidRPr="00E77CEF">
        <w:rPr>
          <w:rFonts w:ascii="Times New Roman" w:hAnsi="Times New Roman" w:cs="Times New Roman"/>
          <w:color w:val="262626" w:themeColor="text1" w:themeTint="D9"/>
          <w:szCs w:val="24"/>
        </w:rPr>
        <w:t xml:space="preserve"> (</w:t>
      </w:r>
      <w:r w:rsidRPr="00E77CEF">
        <w:rPr>
          <w:rFonts w:ascii="Times New Roman" w:hAnsi="Times New Roman" w:cs="Times New Roman"/>
          <w:szCs w:val="24"/>
        </w:rPr>
        <w:t>Trailblazer)</w:t>
      </w:r>
      <w:r w:rsidR="003477F9">
        <w:rPr>
          <w:rFonts w:ascii="Times New Roman" w:hAnsi="Times New Roman" w:cs="Times New Roman"/>
          <w:szCs w:val="24"/>
        </w:rPr>
        <w:t xml:space="preserve"> </w:t>
      </w:r>
    </w:p>
    <w:p w14:paraId="515CA43E" w14:textId="7C9FDEA3" w:rsidR="00EC7FFE" w:rsidRPr="00E77CEF" w:rsidRDefault="00EC7FFE" w:rsidP="00EC7FFE">
      <w:pPr>
        <w:pStyle w:val="ListParagraph"/>
        <w:numPr>
          <w:ilvl w:val="0"/>
          <w:numId w:val="48"/>
        </w:numPr>
        <w:adjustRightInd w:val="0"/>
        <w:snapToGrid w:val="0"/>
        <w:spacing w:after="80" w:line="276" w:lineRule="auto"/>
        <w:contextualSpacing w:val="0"/>
        <w:rPr>
          <w:rFonts w:ascii="Times New Roman" w:hAnsi="Times New Roman" w:cs="Times New Roman"/>
          <w:color w:val="262626" w:themeColor="text1" w:themeTint="D9"/>
          <w:szCs w:val="24"/>
        </w:rPr>
      </w:pPr>
      <w:r w:rsidRPr="00E77CEF">
        <w:rPr>
          <w:rFonts w:ascii="Times New Roman" w:hAnsi="Times New Roman" w:cs="Times New Roman"/>
          <w:color w:val="262626" w:themeColor="text1" w:themeTint="D9"/>
          <w:szCs w:val="24"/>
        </w:rPr>
        <w:t xml:space="preserve">provide support to Australian businesses and organisations </w:t>
      </w:r>
      <w:r>
        <w:rPr>
          <w:rFonts w:ascii="Times New Roman" w:hAnsi="Times New Roman" w:cs="Times New Roman"/>
          <w:color w:val="262626" w:themeColor="text1" w:themeTint="D9"/>
          <w:szCs w:val="24"/>
        </w:rPr>
        <w:t>to develop</w:t>
      </w:r>
      <w:r w:rsidRPr="00E77CEF">
        <w:rPr>
          <w:rFonts w:ascii="Times New Roman" w:hAnsi="Times New Roman" w:cs="Times New Roman"/>
          <w:color w:val="262626" w:themeColor="text1" w:themeTint="D9"/>
          <w:szCs w:val="24"/>
        </w:rPr>
        <w:t xml:space="preserve"> </w:t>
      </w:r>
      <w:r w:rsidR="00FF29FC">
        <w:rPr>
          <w:rFonts w:ascii="Times New Roman" w:hAnsi="Times New Roman" w:cs="Times New Roman"/>
          <w:color w:val="262626" w:themeColor="text1" w:themeTint="D9"/>
          <w:szCs w:val="24"/>
        </w:rPr>
        <w:t xml:space="preserve">or enhance </w:t>
      </w:r>
      <w:r>
        <w:rPr>
          <w:rFonts w:ascii="Times New Roman" w:hAnsi="Times New Roman" w:cs="Times New Roman"/>
          <w:color w:val="262626" w:themeColor="text1" w:themeTint="D9"/>
          <w:szCs w:val="24"/>
        </w:rPr>
        <w:t>prototypes (</w:t>
      </w:r>
      <w:r w:rsidRPr="00E77CEF">
        <w:rPr>
          <w:rFonts w:ascii="Times New Roman" w:hAnsi="Times New Roman" w:cs="Times New Roman"/>
          <w:color w:val="262626" w:themeColor="text1" w:themeTint="D9"/>
          <w:szCs w:val="24"/>
        </w:rPr>
        <w:t>demonstrator and pilot projects</w:t>
      </w:r>
      <w:r>
        <w:rPr>
          <w:rFonts w:ascii="Times New Roman" w:hAnsi="Times New Roman" w:cs="Times New Roman"/>
          <w:color w:val="262626" w:themeColor="text1" w:themeTint="D9"/>
          <w:szCs w:val="24"/>
        </w:rPr>
        <w:t>)</w:t>
      </w:r>
      <w:r w:rsidRPr="00E77CEF">
        <w:rPr>
          <w:rFonts w:ascii="Times New Roman" w:hAnsi="Times New Roman" w:cs="Times New Roman"/>
          <w:color w:val="262626" w:themeColor="text1" w:themeTint="D9"/>
          <w:szCs w:val="24"/>
        </w:rPr>
        <w:t xml:space="preserve"> that </w:t>
      </w:r>
      <w:r w:rsidR="003477F9">
        <w:rPr>
          <w:rFonts w:ascii="Times New Roman" w:hAnsi="Times New Roman" w:cs="Times New Roman"/>
          <w:color w:val="262626" w:themeColor="text1" w:themeTint="D9"/>
          <w:szCs w:val="24"/>
        </w:rPr>
        <w:t xml:space="preserve">could be sold into international space supply chains and markets if successfully commercialised. In doing so, this funding will support those businesses and organisations to </w:t>
      </w:r>
      <w:r w:rsidRPr="00E77CEF">
        <w:rPr>
          <w:rFonts w:ascii="Times New Roman" w:hAnsi="Times New Roman" w:cs="Times New Roman"/>
          <w:color w:val="262626" w:themeColor="text1" w:themeTint="D9"/>
          <w:szCs w:val="24"/>
        </w:rPr>
        <w:t xml:space="preserve">showcase Australia’s capabilities and skills to the international space industry </w:t>
      </w:r>
      <w:r w:rsidR="00D0351F">
        <w:rPr>
          <w:rFonts w:ascii="Times New Roman" w:hAnsi="Times New Roman" w:cs="Times New Roman"/>
          <w:color w:val="262626" w:themeColor="text1" w:themeTint="D9"/>
          <w:szCs w:val="24"/>
        </w:rPr>
        <w:t>that</w:t>
      </w:r>
      <w:r w:rsidRPr="00E77CEF">
        <w:rPr>
          <w:rFonts w:ascii="Times New Roman" w:hAnsi="Times New Roman" w:cs="Times New Roman"/>
          <w:color w:val="262626" w:themeColor="text1" w:themeTint="D9"/>
          <w:szCs w:val="24"/>
        </w:rPr>
        <w:t xml:space="preserve"> have the potential to </w:t>
      </w:r>
      <w:r w:rsidR="006D597B">
        <w:rPr>
          <w:rFonts w:ascii="Times New Roman" w:hAnsi="Times New Roman" w:cs="Times New Roman"/>
          <w:color w:val="262626" w:themeColor="text1" w:themeTint="D9"/>
          <w:szCs w:val="24"/>
        </w:rPr>
        <w:t>support</w:t>
      </w:r>
      <w:r w:rsidRPr="00E77CEF">
        <w:rPr>
          <w:rFonts w:ascii="Times New Roman" w:hAnsi="Times New Roman" w:cs="Times New Roman"/>
          <w:color w:val="262626" w:themeColor="text1" w:themeTint="D9"/>
          <w:szCs w:val="24"/>
        </w:rPr>
        <w:t xml:space="preserve"> NASA’s </w:t>
      </w:r>
      <w:r>
        <w:rPr>
          <w:rFonts w:ascii="Times New Roman" w:hAnsi="Times New Roman" w:cs="Times New Roman"/>
          <w:color w:val="262626" w:themeColor="text1" w:themeTint="D9"/>
          <w:szCs w:val="24"/>
        </w:rPr>
        <w:t xml:space="preserve">exploration programs to the </w:t>
      </w:r>
      <w:r w:rsidRPr="00E77CEF">
        <w:rPr>
          <w:rFonts w:ascii="Times New Roman" w:hAnsi="Times New Roman" w:cs="Times New Roman"/>
          <w:color w:val="262626" w:themeColor="text1" w:themeTint="D9"/>
          <w:szCs w:val="24"/>
        </w:rPr>
        <w:t>Moon</w:t>
      </w:r>
      <w:r>
        <w:rPr>
          <w:rFonts w:ascii="Times New Roman" w:hAnsi="Times New Roman" w:cs="Times New Roman"/>
          <w:color w:val="262626" w:themeColor="text1" w:themeTint="D9"/>
          <w:szCs w:val="24"/>
        </w:rPr>
        <w:t>,</w:t>
      </w:r>
      <w:r w:rsidRPr="00E77CEF">
        <w:rPr>
          <w:rFonts w:ascii="Times New Roman" w:hAnsi="Times New Roman" w:cs="Times New Roman"/>
          <w:color w:val="262626" w:themeColor="text1" w:themeTint="D9"/>
          <w:szCs w:val="24"/>
        </w:rPr>
        <w:t xml:space="preserve"> Mars </w:t>
      </w:r>
      <w:r>
        <w:rPr>
          <w:rFonts w:ascii="Times New Roman" w:hAnsi="Times New Roman" w:cs="Times New Roman"/>
          <w:color w:val="262626" w:themeColor="text1" w:themeTint="D9"/>
          <w:szCs w:val="24"/>
        </w:rPr>
        <w:t>or other celestial bodies</w:t>
      </w:r>
      <w:r w:rsidRPr="00E77CEF">
        <w:rPr>
          <w:rFonts w:ascii="Times New Roman" w:hAnsi="Times New Roman" w:cs="Times New Roman"/>
          <w:color w:val="262626" w:themeColor="text1" w:themeTint="D9"/>
          <w:szCs w:val="24"/>
        </w:rPr>
        <w:t xml:space="preserve"> </w:t>
      </w:r>
      <w:r w:rsidR="00764A8D" w:rsidRPr="00E77CEF">
        <w:rPr>
          <w:rFonts w:ascii="Times New Roman" w:hAnsi="Times New Roman" w:cs="Times New Roman"/>
          <w:color w:val="262626" w:themeColor="text1" w:themeTint="D9"/>
          <w:szCs w:val="24"/>
        </w:rPr>
        <w:t>(Demonstrator)</w:t>
      </w:r>
      <w:r w:rsidR="003477F9">
        <w:rPr>
          <w:rFonts w:ascii="Times New Roman" w:hAnsi="Times New Roman" w:cs="Times New Roman"/>
          <w:color w:val="262626" w:themeColor="text1" w:themeTint="D9"/>
          <w:szCs w:val="24"/>
        </w:rPr>
        <w:t xml:space="preserve"> </w:t>
      </w:r>
    </w:p>
    <w:p w14:paraId="11B13C21" w14:textId="1C2D1F2F" w:rsidR="0013442F" w:rsidRPr="00E77CEF" w:rsidRDefault="0013442F" w:rsidP="0013442F">
      <w:pPr>
        <w:pStyle w:val="ListParagraph"/>
        <w:numPr>
          <w:ilvl w:val="0"/>
          <w:numId w:val="48"/>
        </w:numPr>
        <w:adjustRightInd w:val="0"/>
        <w:snapToGrid w:val="0"/>
        <w:spacing w:after="80" w:line="276" w:lineRule="auto"/>
        <w:contextualSpacing w:val="0"/>
        <w:rPr>
          <w:rFonts w:ascii="Times New Roman" w:hAnsi="Times New Roman" w:cs="Times New Roman"/>
          <w:szCs w:val="24"/>
        </w:rPr>
      </w:pPr>
      <w:r w:rsidRPr="00E77CEF">
        <w:rPr>
          <w:rFonts w:ascii="Times New Roman" w:hAnsi="Times New Roman" w:cs="Times New Roman"/>
          <w:color w:val="262626" w:themeColor="text1" w:themeTint="D9"/>
          <w:szCs w:val="24"/>
        </w:rPr>
        <w:t xml:space="preserve">provide support to </w:t>
      </w:r>
      <w:r w:rsidRPr="00E77CEF">
        <w:rPr>
          <w:rStyle w:val="CommentReference"/>
          <w:rFonts w:ascii="Times New Roman" w:hAnsi="Times New Roman" w:cs="Times New Roman"/>
          <w:sz w:val="24"/>
          <w:szCs w:val="24"/>
        </w:rPr>
        <w:t>Australian businesses and organisations</w:t>
      </w:r>
      <w:r w:rsidRPr="00E77CEF" w:rsidDel="00850252">
        <w:rPr>
          <w:rFonts w:ascii="Times New Roman" w:hAnsi="Times New Roman" w:cs="Times New Roman"/>
          <w:color w:val="262626" w:themeColor="text1" w:themeTint="D9"/>
          <w:szCs w:val="24"/>
        </w:rPr>
        <w:t xml:space="preserve"> </w:t>
      </w:r>
      <w:r w:rsidRPr="00E77CEF">
        <w:rPr>
          <w:rFonts w:ascii="Times New Roman" w:hAnsi="Times New Roman" w:cs="Times New Roman"/>
          <w:color w:val="262626" w:themeColor="text1" w:themeTint="D9"/>
          <w:szCs w:val="24"/>
        </w:rPr>
        <w:t xml:space="preserve">to </w:t>
      </w:r>
      <w:r>
        <w:rPr>
          <w:rFonts w:ascii="Times New Roman" w:hAnsi="Times New Roman" w:cs="Times New Roman"/>
          <w:color w:val="262626" w:themeColor="text1" w:themeTint="D9"/>
          <w:szCs w:val="24"/>
        </w:rPr>
        <w:t xml:space="preserve">develop </w:t>
      </w:r>
      <w:r w:rsidR="00FF29FC">
        <w:rPr>
          <w:rFonts w:ascii="Times New Roman" w:hAnsi="Times New Roman" w:cs="Times New Roman"/>
          <w:color w:val="262626" w:themeColor="text1" w:themeTint="D9"/>
          <w:szCs w:val="24"/>
        </w:rPr>
        <w:t xml:space="preserve">or enhance </w:t>
      </w:r>
      <w:r>
        <w:rPr>
          <w:rFonts w:ascii="Times New Roman" w:hAnsi="Times New Roman" w:cs="Times New Roman"/>
          <w:color w:val="262626" w:themeColor="text1" w:themeTint="D9"/>
          <w:szCs w:val="24"/>
        </w:rPr>
        <w:t>products, capabilities and services</w:t>
      </w:r>
      <w:r w:rsidR="0038042B">
        <w:rPr>
          <w:rFonts w:ascii="Times New Roman" w:hAnsi="Times New Roman" w:cs="Times New Roman"/>
          <w:color w:val="262626" w:themeColor="text1" w:themeTint="D9"/>
          <w:szCs w:val="24"/>
        </w:rPr>
        <w:t xml:space="preserve"> </w:t>
      </w:r>
      <w:r>
        <w:rPr>
          <w:rFonts w:ascii="Times New Roman" w:hAnsi="Times New Roman" w:cs="Times New Roman"/>
          <w:color w:val="262626" w:themeColor="text1" w:themeTint="D9"/>
          <w:szCs w:val="24"/>
        </w:rPr>
        <w:t xml:space="preserve">that could be sold into international space supply </w:t>
      </w:r>
      <w:r>
        <w:rPr>
          <w:rFonts w:ascii="Times New Roman" w:hAnsi="Times New Roman" w:cs="Times New Roman"/>
          <w:color w:val="262626" w:themeColor="text1" w:themeTint="D9"/>
          <w:szCs w:val="24"/>
        </w:rPr>
        <w:lastRenderedPageBreak/>
        <w:t xml:space="preserve">chains and markets which could be used to </w:t>
      </w:r>
      <w:r w:rsidRPr="00E77CEF">
        <w:rPr>
          <w:rFonts w:ascii="Times New Roman" w:hAnsi="Times New Roman" w:cs="Times New Roman"/>
          <w:color w:val="262626" w:themeColor="text1" w:themeTint="D9"/>
          <w:szCs w:val="24"/>
        </w:rPr>
        <w:t xml:space="preserve">support NASA’s </w:t>
      </w:r>
      <w:r>
        <w:rPr>
          <w:rFonts w:ascii="Times New Roman" w:hAnsi="Times New Roman" w:cs="Times New Roman"/>
          <w:color w:val="262626" w:themeColor="text1" w:themeTint="D9"/>
          <w:szCs w:val="24"/>
        </w:rPr>
        <w:t xml:space="preserve">exploration programs to the </w:t>
      </w:r>
      <w:r w:rsidRPr="00E77CEF">
        <w:rPr>
          <w:rFonts w:ascii="Times New Roman" w:hAnsi="Times New Roman" w:cs="Times New Roman"/>
          <w:color w:val="262626" w:themeColor="text1" w:themeTint="D9"/>
          <w:szCs w:val="24"/>
        </w:rPr>
        <w:t>Moon</w:t>
      </w:r>
      <w:r>
        <w:rPr>
          <w:rFonts w:ascii="Times New Roman" w:hAnsi="Times New Roman" w:cs="Times New Roman"/>
          <w:color w:val="262626" w:themeColor="text1" w:themeTint="D9"/>
          <w:szCs w:val="24"/>
        </w:rPr>
        <w:t>,</w:t>
      </w:r>
      <w:r w:rsidRPr="00E77CEF">
        <w:rPr>
          <w:rFonts w:ascii="Times New Roman" w:hAnsi="Times New Roman" w:cs="Times New Roman"/>
          <w:color w:val="262626" w:themeColor="text1" w:themeTint="D9"/>
          <w:szCs w:val="24"/>
        </w:rPr>
        <w:t xml:space="preserve"> Mars </w:t>
      </w:r>
      <w:r>
        <w:rPr>
          <w:rFonts w:ascii="Times New Roman" w:hAnsi="Times New Roman" w:cs="Times New Roman"/>
          <w:color w:val="262626" w:themeColor="text1" w:themeTint="D9"/>
          <w:szCs w:val="24"/>
        </w:rPr>
        <w:t>or other celestial bodies</w:t>
      </w:r>
      <w:r w:rsidRPr="00E77CEF">
        <w:rPr>
          <w:rFonts w:ascii="Times New Roman" w:hAnsi="Times New Roman" w:cs="Times New Roman"/>
          <w:color w:val="262626" w:themeColor="text1" w:themeTint="D9"/>
          <w:szCs w:val="24"/>
        </w:rPr>
        <w:t xml:space="preserve"> (Supply Chain - capability)</w:t>
      </w:r>
      <w:r>
        <w:rPr>
          <w:rFonts w:ascii="Times New Roman" w:hAnsi="Times New Roman" w:cs="Times New Roman"/>
          <w:color w:val="262626" w:themeColor="text1" w:themeTint="D9"/>
          <w:szCs w:val="24"/>
        </w:rPr>
        <w:t xml:space="preserve"> </w:t>
      </w:r>
    </w:p>
    <w:p w14:paraId="05F0E107" w14:textId="60506FBB" w:rsidR="00B77139" w:rsidRPr="00E77CEF" w:rsidRDefault="007512FE" w:rsidP="00CD230C">
      <w:pPr>
        <w:pStyle w:val="ListParagraph"/>
        <w:numPr>
          <w:ilvl w:val="0"/>
          <w:numId w:val="48"/>
        </w:numPr>
        <w:spacing w:before="240" w:after="240" w:line="276" w:lineRule="auto"/>
        <w:rPr>
          <w:rFonts w:ascii="Times New Roman" w:hAnsi="Times New Roman" w:cs="Times New Roman"/>
          <w:szCs w:val="24"/>
        </w:rPr>
      </w:pPr>
      <w:r w:rsidRPr="00E77CEF">
        <w:rPr>
          <w:rFonts w:ascii="Times New Roman" w:hAnsi="Times New Roman" w:cs="Times New Roman"/>
          <w:color w:val="262626" w:themeColor="text1" w:themeTint="D9"/>
          <w:szCs w:val="24"/>
        </w:rPr>
        <w:t>facilitate</w:t>
      </w:r>
      <w:r w:rsidR="00B77139" w:rsidRPr="00E77CEF">
        <w:rPr>
          <w:rFonts w:ascii="Times New Roman" w:hAnsi="Times New Roman" w:cs="Times New Roman"/>
          <w:color w:val="262626" w:themeColor="text1" w:themeTint="D9"/>
          <w:szCs w:val="24"/>
        </w:rPr>
        <w:t xml:space="preserve"> the </w:t>
      </w:r>
      <w:r w:rsidR="00EC7FFE">
        <w:rPr>
          <w:rFonts w:ascii="Times New Roman" w:hAnsi="Times New Roman" w:cs="Times New Roman"/>
          <w:color w:val="262626" w:themeColor="text1" w:themeTint="D9"/>
          <w:szCs w:val="24"/>
        </w:rPr>
        <w:t>participation of Australian businesses and organisations in</w:t>
      </w:r>
      <w:r w:rsidR="00B77139" w:rsidRPr="00E77CEF">
        <w:rPr>
          <w:rFonts w:ascii="Times New Roman" w:hAnsi="Times New Roman" w:cs="Times New Roman"/>
          <w:color w:val="262626" w:themeColor="text1" w:themeTint="D9"/>
          <w:szCs w:val="24"/>
        </w:rPr>
        <w:t xml:space="preserve"> </w:t>
      </w:r>
      <w:r w:rsidR="00B77139" w:rsidRPr="00E77CEF">
        <w:rPr>
          <w:rStyle w:val="CommentReference"/>
          <w:rFonts w:ascii="Times New Roman" w:hAnsi="Times New Roman" w:cs="Times New Roman"/>
          <w:sz w:val="24"/>
          <w:szCs w:val="24"/>
        </w:rPr>
        <w:t xml:space="preserve">international </w:t>
      </w:r>
      <w:r w:rsidR="00D322AE">
        <w:rPr>
          <w:rStyle w:val="CommentReference"/>
          <w:rFonts w:ascii="Times New Roman" w:hAnsi="Times New Roman" w:cs="Times New Roman"/>
          <w:sz w:val="24"/>
          <w:szCs w:val="24"/>
        </w:rPr>
        <w:t xml:space="preserve">space </w:t>
      </w:r>
      <w:r w:rsidR="00B77139" w:rsidRPr="00E77CEF">
        <w:rPr>
          <w:rStyle w:val="CommentReference"/>
          <w:rFonts w:ascii="Times New Roman" w:hAnsi="Times New Roman" w:cs="Times New Roman"/>
          <w:sz w:val="24"/>
          <w:szCs w:val="24"/>
        </w:rPr>
        <w:t>supply chain</w:t>
      </w:r>
      <w:r w:rsidR="00910E77">
        <w:rPr>
          <w:rStyle w:val="CommentReference"/>
          <w:rFonts w:ascii="Times New Roman" w:hAnsi="Times New Roman" w:cs="Times New Roman"/>
          <w:sz w:val="24"/>
          <w:szCs w:val="24"/>
        </w:rPr>
        <w:t>s</w:t>
      </w:r>
      <w:r w:rsidR="003477F9">
        <w:rPr>
          <w:rStyle w:val="CommentReference"/>
          <w:rFonts w:ascii="Times New Roman" w:hAnsi="Times New Roman" w:cs="Times New Roman"/>
          <w:sz w:val="24"/>
          <w:szCs w:val="24"/>
        </w:rPr>
        <w:t xml:space="preserve"> and markets. This could</w:t>
      </w:r>
      <w:r w:rsidR="00EC7FFE">
        <w:rPr>
          <w:rFonts w:ascii="Times New Roman" w:hAnsi="Times New Roman" w:cs="Times New Roman"/>
          <w:szCs w:val="24"/>
        </w:rPr>
        <w:t xml:space="preserve"> </w:t>
      </w:r>
      <w:r w:rsidR="003477F9">
        <w:rPr>
          <w:rFonts w:ascii="Times New Roman" w:hAnsi="Times New Roman" w:cs="Times New Roman"/>
          <w:szCs w:val="24"/>
        </w:rPr>
        <w:t xml:space="preserve">include supporting Australian businesses and organisations to identify opportunities and develop networks, including </w:t>
      </w:r>
      <w:r w:rsidR="00EC7FFE">
        <w:rPr>
          <w:rFonts w:ascii="Times New Roman" w:hAnsi="Times New Roman" w:cs="Times New Roman"/>
          <w:szCs w:val="24"/>
        </w:rPr>
        <w:t xml:space="preserve">facilitating the delivery of Australian products and services </w:t>
      </w:r>
      <w:r w:rsidR="00B77139" w:rsidRPr="00E77CEF">
        <w:rPr>
          <w:rFonts w:ascii="Times New Roman" w:hAnsi="Times New Roman" w:cs="Times New Roman"/>
          <w:szCs w:val="24"/>
        </w:rPr>
        <w:t>t</w:t>
      </w:r>
      <w:r w:rsidR="00BD2C10" w:rsidRPr="00E77CEF">
        <w:rPr>
          <w:rFonts w:ascii="Times New Roman" w:hAnsi="Times New Roman" w:cs="Times New Roman"/>
          <w:szCs w:val="24"/>
        </w:rPr>
        <w:t xml:space="preserve">hat </w:t>
      </w:r>
      <w:r w:rsidR="00C23C30">
        <w:rPr>
          <w:rFonts w:ascii="Times New Roman" w:hAnsi="Times New Roman" w:cs="Times New Roman"/>
          <w:szCs w:val="24"/>
        </w:rPr>
        <w:t>could</w:t>
      </w:r>
      <w:r w:rsidRPr="00E77CEF">
        <w:rPr>
          <w:rFonts w:ascii="Times New Roman" w:hAnsi="Times New Roman" w:cs="Times New Roman"/>
          <w:szCs w:val="24"/>
        </w:rPr>
        <w:t xml:space="preserve"> </w:t>
      </w:r>
      <w:r w:rsidR="00B77139" w:rsidRPr="00E77CEF">
        <w:rPr>
          <w:rFonts w:ascii="Times New Roman" w:hAnsi="Times New Roman" w:cs="Times New Roman"/>
          <w:szCs w:val="24"/>
        </w:rPr>
        <w:t xml:space="preserve">support NASA’s </w:t>
      </w:r>
      <w:r w:rsidR="00EC7FFE">
        <w:rPr>
          <w:rFonts w:ascii="Times New Roman" w:hAnsi="Times New Roman" w:cs="Times New Roman"/>
          <w:color w:val="262626" w:themeColor="text1" w:themeTint="D9"/>
          <w:szCs w:val="24"/>
        </w:rPr>
        <w:t xml:space="preserve">exploration programs to the </w:t>
      </w:r>
      <w:r w:rsidR="00EC7FFE" w:rsidRPr="00E77CEF">
        <w:rPr>
          <w:rFonts w:ascii="Times New Roman" w:hAnsi="Times New Roman" w:cs="Times New Roman"/>
          <w:color w:val="262626" w:themeColor="text1" w:themeTint="D9"/>
          <w:szCs w:val="24"/>
        </w:rPr>
        <w:t>Moon</w:t>
      </w:r>
      <w:r w:rsidR="00EC7FFE">
        <w:rPr>
          <w:rFonts w:ascii="Times New Roman" w:hAnsi="Times New Roman" w:cs="Times New Roman"/>
          <w:color w:val="262626" w:themeColor="text1" w:themeTint="D9"/>
          <w:szCs w:val="24"/>
        </w:rPr>
        <w:t>,</w:t>
      </w:r>
      <w:r w:rsidR="00EC7FFE" w:rsidRPr="00E77CEF">
        <w:rPr>
          <w:rFonts w:ascii="Times New Roman" w:hAnsi="Times New Roman" w:cs="Times New Roman"/>
          <w:color w:val="262626" w:themeColor="text1" w:themeTint="D9"/>
          <w:szCs w:val="24"/>
        </w:rPr>
        <w:t xml:space="preserve"> Mars </w:t>
      </w:r>
      <w:r w:rsidR="00EC7FFE">
        <w:rPr>
          <w:rFonts w:ascii="Times New Roman" w:hAnsi="Times New Roman" w:cs="Times New Roman"/>
          <w:color w:val="262626" w:themeColor="text1" w:themeTint="D9"/>
          <w:szCs w:val="24"/>
        </w:rPr>
        <w:t>or other celestial bodies</w:t>
      </w:r>
      <w:r w:rsidR="006C4EE1">
        <w:rPr>
          <w:rFonts w:ascii="Times New Roman" w:hAnsi="Times New Roman" w:cs="Times New Roman"/>
          <w:color w:val="262626" w:themeColor="text1" w:themeTint="D9"/>
          <w:szCs w:val="24"/>
        </w:rPr>
        <w:t>,</w:t>
      </w:r>
      <w:r w:rsidR="00EC7FFE" w:rsidRPr="00E77CEF">
        <w:rPr>
          <w:rFonts w:ascii="Times New Roman" w:hAnsi="Times New Roman" w:cs="Times New Roman"/>
          <w:color w:val="262626" w:themeColor="text1" w:themeTint="D9"/>
          <w:szCs w:val="24"/>
        </w:rPr>
        <w:t xml:space="preserve"> </w:t>
      </w:r>
      <w:r w:rsidR="006C4EE1">
        <w:rPr>
          <w:rFonts w:ascii="Times New Roman" w:hAnsi="Times New Roman" w:cs="Times New Roman"/>
          <w:color w:val="262626" w:themeColor="text1" w:themeTint="D9"/>
          <w:szCs w:val="24"/>
        </w:rPr>
        <w:t>into</w:t>
      </w:r>
      <w:r w:rsidR="006C4EE1">
        <w:rPr>
          <w:rFonts w:ascii="Times New Roman" w:hAnsi="Times New Roman" w:cs="Times New Roman"/>
          <w:szCs w:val="24"/>
        </w:rPr>
        <w:t xml:space="preserve"> international space </w:t>
      </w:r>
      <w:r w:rsidR="00C23C30">
        <w:rPr>
          <w:rFonts w:ascii="Times New Roman" w:hAnsi="Times New Roman" w:cs="Times New Roman"/>
          <w:szCs w:val="24"/>
        </w:rPr>
        <w:t xml:space="preserve">supply chains and </w:t>
      </w:r>
      <w:r w:rsidR="006C4EE1">
        <w:rPr>
          <w:rFonts w:ascii="Times New Roman" w:hAnsi="Times New Roman" w:cs="Times New Roman"/>
          <w:szCs w:val="24"/>
        </w:rPr>
        <w:t xml:space="preserve">markets </w:t>
      </w:r>
      <w:r w:rsidR="00B77139" w:rsidRPr="00E77CEF">
        <w:rPr>
          <w:rFonts w:ascii="Times New Roman" w:hAnsi="Times New Roman" w:cs="Times New Roman"/>
          <w:szCs w:val="24"/>
        </w:rPr>
        <w:t>(Supply Chain – facilitation)</w:t>
      </w:r>
      <w:r w:rsidR="00F83A32">
        <w:rPr>
          <w:rFonts w:ascii="Times New Roman" w:hAnsi="Times New Roman" w:cs="Times New Roman"/>
          <w:szCs w:val="24"/>
        </w:rPr>
        <w:t xml:space="preserve"> </w:t>
      </w:r>
    </w:p>
    <w:p w14:paraId="4DEB1C93" w14:textId="77777777" w:rsidR="00D603B2" w:rsidRPr="001A3B30" w:rsidRDefault="00D603B2" w:rsidP="00B64887">
      <w:pPr>
        <w:pStyle w:val="NormalExplanatorystatement"/>
        <w:rPr>
          <w:b/>
        </w:rPr>
      </w:pPr>
      <w:r w:rsidRPr="001A3B30">
        <w:rPr>
          <w:b/>
        </w:rPr>
        <w:t xml:space="preserve">Section 6 – </w:t>
      </w:r>
      <w:r w:rsidRPr="00CE72F4">
        <w:rPr>
          <w:b/>
        </w:rPr>
        <w:t>Specified Legislative Power</w:t>
      </w:r>
    </w:p>
    <w:p w14:paraId="4FB40081" w14:textId="77777777" w:rsidR="00CE72F4" w:rsidRPr="00B372B5" w:rsidRDefault="00D603B2" w:rsidP="00B64887">
      <w:pPr>
        <w:pStyle w:val="NormalExplanatorystatement"/>
        <w:rPr>
          <w:highlight w:val="yellow"/>
        </w:rPr>
      </w:pPr>
      <w:r w:rsidRPr="00CE72F4">
        <w:t>This section specifies that the legislative power in respect of which the Legislative Instrument is made is the power of the Parliament to make laws with respect to</w:t>
      </w:r>
      <w:r w:rsidR="00B372B5">
        <w:t xml:space="preserve"> </w:t>
      </w:r>
      <w:r w:rsidR="00CE72F4" w:rsidRPr="0033255F">
        <w:t>trade and commerce with other countries, and among the States (within the meaning of paragraph 51(i) of the Constitution);</w:t>
      </w:r>
      <w:r w:rsidR="00B372B5">
        <w:t xml:space="preserve"> </w:t>
      </w:r>
      <w:r w:rsidR="00CE72F4" w:rsidRPr="0033255F">
        <w:t>foreign corporations, and trading or financial corporations formed within the limits of the Commonwealth (within the meaning of paragraph 51(xx) of the Constitution);</w:t>
      </w:r>
      <w:r w:rsidR="00B372B5">
        <w:t xml:space="preserve"> </w:t>
      </w:r>
      <w:r w:rsidR="00CE72F4" w:rsidRPr="0033255F">
        <w:t>external affairs (within the meaning of paragraph 51(xxix) of the Constitution</w:t>
      </w:r>
      <w:r w:rsidR="00B372B5">
        <w:t xml:space="preserve">) and </w:t>
      </w:r>
      <w:r w:rsidR="00CE72F4" w:rsidRPr="0033255F">
        <w:t xml:space="preserve">measures that are peculiarly adapted to the </w:t>
      </w:r>
      <w:r w:rsidR="00CE72F4">
        <w:t xml:space="preserve">government of a nation and </w:t>
      </w:r>
      <w:r w:rsidR="00CE72F4" w:rsidRPr="0033255F">
        <w:t>cannot otherwise be carried on for the benefit of the nation</w:t>
      </w:r>
      <w:r w:rsidR="00BC10FD">
        <w:t xml:space="preserve"> other than by the Commonwealth (section 61 and </w:t>
      </w:r>
      <w:r w:rsidR="003C076D">
        <w:t>paragraph 51 </w:t>
      </w:r>
      <w:r w:rsidR="00BC10FD">
        <w:t>(xxxix) of the Constitution)</w:t>
      </w:r>
      <w:r w:rsidR="00CE72F4" w:rsidRPr="0033255F">
        <w:t>.</w:t>
      </w:r>
    </w:p>
    <w:p w14:paraId="47842B2E" w14:textId="77777777" w:rsidR="00490311" w:rsidRDefault="00490311" w:rsidP="0090269A">
      <w:pPr>
        <w:spacing w:before="0" w:after="160" w:line="276" w:lineRule="auto"/>
        <w:rPr>
          <w:rFonts w:ascii="Times New Roman" w:hAnsi="Times New Roman" w:cs="Times New Roman"/>
          <w:b/>
          <w:szCs w:val="24"/>
        </w:rPr>
      </w:pPr>
      <w:r>
        <w:rPr>
          <w:b/>
        </w:rPr>
        <w:br w:type="page"/>
      </w:r>
    </w:p>
    <w:p w14:paraId="34796724" w14:textId="77777777" w:rsidR="00D603B2" w:rsidRPr="00490311" w:rsidRDefault="00D603B2" w:rsidP="00EE2C91">
      <w:pPr>
        <w:pStyle w:val="NormalExplanatorystatement"/>
        <w:jc w:val="center"/>
        <w:rPr>
          <w:b/>
        </w:rPr>
      </w:pPr>
      <w:r w:rsidRPr="00490311">
        <w:rPr>
          <w:b/>
        </w:rPr>
        <w:lastRenderedPageBreak/>
        <w:t>Statement of Compatibility with Human Rights</w:t>
      </w:r>
    </w:p>
    <w:p w14:paraId="3076AB58" w14:textId="77777777" w:rsidR="00D603B2" w:rsidRPr="001A3B30" w:rsidRDefault="00D603B2" w:rsidP="00B64887">
      <w:pPr>
        <w:pStyle w:val="NormalExplanatorystatement"/>
        <w:jc w:val="center"/>
      </w:pPr>
      <w:r w:rsidRPr="001A3B30">
        <w:rPr>
          <w:i/>
        </w:rPr>
        <w:t>Prepared in accordance with Part 3 of the Human Rights (Parliamentary Scrutiny) Act 2011</w:t>
      </w:r>
    </w:p>
    <w:p w14:paraId="53980B96" w14:textId="77777777" w:rsidR="00D603B2" w:rsidRPr="001A3B30" w:rsidRDefault="00185764" w:rsidP="00B64887">
      <w:pPr>
        <w:pStyle w:val="NormalExplanatorystatement"/>
        <w:jc w:val="center"/>
        <w:rPr>
          <w:i/>
        </w:rPr>
      </w:pPr>
      <w:r w:rsidRPr="001A3B30">
        <w:rPr>
          <w:i/>
        </w:rPr>
        <w:t>Industry Research and Development (Moon to Mars Program) Instrument 2020</w:t>
      </w:r>
    </w:p>
    <w:p w14:paraId="0B015150" w14:textId="77777777" w:rsidR="00D603B2" w:rsidRPr="001A3B30" w:rsidRDefault="00D603B2" w:rsidP="00B64887">
      <w:pPr>
        <w:pStyle w:val="NormalExplanatorystatement"/>
        <w:jc w:val="center"/>
      </w:pPr>
      <w:r w:rsidRPr="001A3B30">
        <w:t xml:space="preserve">This Legislative Instrument is compatible with the human rights and freedoms recognised or declared in the international instruments listed in section 3 of the </w:t>
      </w:r>
      <w:r w:rsidRPr="001A3B30">
        <w:rPr>
          <w:i/>
        </w:rPr>
        <w:t>Human Rights (Parliamentary Scrutiny) Act 2011</w:t>
      </w:r>
      <w:r w:rsidRPr="001A3B30">
        <w:t>.</w:t>
      </w:r>
    </w:p>
    <w:p w14:paraId="4C99190B" w14:textId="77777777" w:rsidR="00D603B2" w:rsidRPr="001A3B30" w:rsidRDefault="00D603B2" w:rsidP="00B64887">
      <w:pPr>
        <w:pStyle w:val="NormalExplanatorystatement"/>
        <w:rPr>
          <w:b/>
        </w:rPr>
      </w:pPr>
      <w:r w:rsidRPr="001A3B30">
        <w:rPr>
          <w:b/>
        </w:rPr>
        <w:t>Overview of the Legislative Instrument</w:t>
      </w:r>
    </w:p>
    <w:p w14:paraId="28629091" w14:textId="60B918C7" w:rsidR="001A3B30" w:rsidRPr="00490311" w:rsidRDefault="001A3B30">
      <w:pPr>
        <w:pStyle w:val="NormalExplanatorystatement"/>
      </w:pPr>
      <w:r w:rsidRPr="00490311">
        <w:t>The</w:t>
      </w:r>
      <w:r w:rsidR="00AF68B1">
        <w:t xml:space="preserve"> purpose of the Legislative Instrument is to prescribe the </w:t>
      </w:r>
      <w:r w:rsidRPr="00490311">
        <w:t>Moon to Mars Program (</w:t>
      </w:r>
      <w:r w:rsidR="00E61CB8">
        <w:t>t</w:t>
      </w:r>
      <w:r w:rsidRPr="00490311">
        <w:t>he Program)</w:t>
      </w:r>
      <w:r w:rsidR="00AF68B1">
        <w:t>. The Program</w:t>
      </w:r>
      <w:r w:rsidRPr="00490311">
        <w:t xml:space="preserve"> funds </w:t>
      </w:r>
      <w:r w:rsidR="00E46C07">
        <w:t>activities that will</w:t>
      </w:r>
      <w:r w:rsidRPr="00490311">
        <w:t xml:space="preserve"> accelerate the growth of Australia’s emerging </w:t>
      </w:r>
      <w:r w:rsidR="00E46C07" w:rsidRPr="00490311">
        <w:t>space</w:t>
      </w:r>
      <w:r w:rsidR="00E46C07">
        <w:t xml:space="preserve"> </w:t>
      </w:r>
      <w:r w:rsidRPr="00490311">
        <w:t>sector</w:t>
      </w:r>
      <w:r w:rsidR="00E46C07">
        <w:t xml:space="preserve">, </w:t>
      </w:r>
      <w:r w:rsidR="00E46C07" w:rsidRPr="002E3909">
        <w:t xml:space="preserve">by supporting Australian businesses and </w:t>
      </w:r>
      <w:r w:rsidR="00004E03">
        <w:t>organisations</w:t>
      </w:r>
      <w:r w:rsidR="00E46C07" w:rsidRPr="002E3909">
        <w:t xml:space="preserve"> </w:t>
      </w:r>
      <w:r w:rsidR="00EA2610" w:rsidRPr="00AB765D">
        <w:t>to participate in national and international space supply chains and markets, including joining the</w:t>
      </w:r>
      <w:r w:rsidR="00EA2610" w:rsidRPr="0012365F">
        <w:t xml:space="preserve"> National Aeronautics and Space Administration’s</w:t>
      </w:r>
      <w:r w:rsidR="00EA2610" w:rsidRPr="00556377">
        <w:t xml:space="preserve"> (NASA’s) endeavour to go forward to the Moon and then go on to Mars</w:t>
      </w:r>
      <w:r w:rsidR="00EA2610">
        <w:t>.</w:t>
      </w:r>
      <w:r w:rsidR="00E46C07">
        <w:t xml:space="preserve"> </w:t>
      </w:r>
      <w:r w:rsidRPr="00490311">
        <w:t>It will:</w:t>
      </w:r>
    </w:p>
    <w:p w14:paraId="6850CEC9" w14:textId="77777777" w:rsidR="001A3B30" w:rsidRPr="00490311" w:rsidRDefault="001A3B30" w:rsidP="00B64887">
      <w:pPr>
        <w:pStyle w:val="NormalExplanatorystatement"/>
      </w:pPr>
      <w:r w:rsidRPr="00490311">
        <w:t>•</w:t>
      </w:r>
      <w:r w:rsidRPr="00490311">
        <w:tab/>
        <w:t>support targeted growth and transformation in the space industry</w:t>
      </w:r>
    </w:p>
    <w:p w14:paraId="7F19D320" w14:textId="77777777" w:rsidR="001A3B30" w:rsidRPr="00490311" w:rsidRDefault="001A3B30" w:rsidP="008E1459">
      <w:pPr>
        <w:pStyle w:val="NormalExplanatorystatement"/>
        <w:ind w:left="720" w:hanging="720"/>
      </w:pPr>
      <w:r w:rsidRPr="00490311">
        <w:t>•</w:t>
      </w:r>
      <w:r w:rsidRPr="00490311">
        <w:tab/>
        <w:t xml:space="preserve">align with agreed </w:t>
      </w:r>
      <w:r w:rsidR="00F92075">
        <w:t xml:space="preserve">Australian Government </w:t>
      </w:r>
      <w:r w:rsidRPr="00490311">
        <w:t>priority areas (reflecting national strengths and opportunities)</w:t>
      </w:r>
    </w:p>
    <w:p w14:paraId="1CC5783A" w14:textId="77777777" w:rsidR="001A3B30" w:rsidRPr="00490311" w:rsidRDefault="001A3B30" w:rsidP="00EE2C91">
      <w:pPr>
        <w:pStyle w:val="NormalExplanatorystatement"/>
      </w:pPr>
      <w:r w:rsidRPr="00490311">
        <w:t>•</w:t>
      </w:r>
      <w:r w:rsidRPr="00490311">
        <w:tab/>
        <w:t>leverage investment opportunities</w:t>
      </w:r>
    </w:p>
    <w:p w14:paraId="5EA1F773" w14:textId="77777777" w:rsidR="001A3B30" w:rsidRPr="00490311" w:rsidRDefault="001A3B30" w:rsidP="00B64887">
      <w:pPr>
        <w:pStyle w:val="NormalExplanatorystatement"/>
      </w:pPr>
      <w:r w:rsidRPr="00490311">
        <w:t>•</w:t>
      </w:r>
      <w:r w:rsidRPr="00490311">
        <w:tab/>
        <w:t>produce broader economic benefits and spill-overs beyond the space sector.</w:t>
      </w:r>
    </w:p>
    <w:p w14:paraId="069EE154" w14:textId="51CD6B3F" w:rsidR="001A3B30" w:rsidRPr="00490311" w:rsidRDefault="001A3B30" w:rsidP="00B64887">
      <w:pPr>
        <w:spacing w:before="240" w:after="240" w:line="276" w:lineRule="auto"/>
        <w:rPr>
          <w:rFonts w:ascii="Times New Roman" w:hAnsi="Times New Roman" w:cs="Times New Roman"/>
          <w:szCs w:val="24"/>
        </w:rPr>
      </w:pPr>
      <w:r w:rsidRPr="00490311">
        <w:rPr>
          <w:rFonts w:ascii="Times New Roman" w:hAnsi="Times New Roman" w:cs="Times New Roman"/>
          <w:szCs w:val="24"/>
        </w:rPr>
        <w:t xml:space="preserve">Types of </w:t>
      </w:r>
      <w:r w:rsidR="003D4952">
        <w:rPr>
          <w:rFonts w:ascii="Times New Roman" w:hAnsi="Times New Roman" w:cs="Times New Roman"/>
          <w:szCs w:val="24"/>
        </w:rPr>
        <w:t>activities</w:t>
      </w:r>
      <w:r w:rsidR="003D4952" w:rsidRPr="00490311">
        <w:rPr>
          <w:rFonts w:ascii="Times New Roman" w:hAnsi="Times New Roman" w:cs="Times New Roman"/>
          <w:szCs w:val="24"/>
        </w:rPr>
        <w:t xml:space="preserve"> </w:t>
      </w:r>
      <w:r w:rsidRPr="00490311">
        <w:rPr>
          <w:rFonts w:ascii="Times New Roman" w:hAnsi="Times New Roman" w:cs="Times New Roman"/>
          <w:szCs w:val="24"/>
        </w:rPr>
        <w:t xml:space="preserve">supported by the </w:t>
      </w:r>
      <w:r w:rsidR="00E61CB8">
        <w:rPr>
          <w:rFonts w:ascii="Times New Roman" w:hAnsi="Times New Roman" w:cs="Times New Roman"/>
          <w:szCs w:val="24"/>
        </w:rPr>
        <w:t>Program</w:t>
      </w:r>
      <w:r w:rsidRPr="00490311">
        <w:rPr>
          <w:rFonts w:ascii="Times New Roman" w:hAnsi="Times New Roman" w:cs="Times New Roman"/>
          <w:szCs w:val="24"/>
        </w:rPr>
        <w:t xml:space="preserve"> include</w:t>
      </w:r>
      <w:r w:rsidR="00D003F3">
        <w:rPr>
          <w:rFonts w:ascii="Times New Roman" w:hAnsi="Times New Roman" w:cs="Times New Roman"/>
          <w:szCs w:val="24"/>
        </w:rPr>
        <w:t>,</w:t>
      </w:r>
      <w:r w:rsidRPr="00490311">
        <w:rPr>
          <w:rFonts w:ascii="Times New Roman" w:hAnsi="Times New Roman" w:cs="Times New Roman"/>
          <w:szCs w:val="24"/>
        </w:rPr>
        <w:t xml:space="preserve"> but are not </w:t>
      </w:r>
      <w:r w:rsidR="00D003F3" w:rsidRPr="00490311">
        <w:rPr>
          <w:rFonts w:ascii="Times New Roman" w:hAnsi="Times New Roman" w:cs="Times New Roman"/>
          <w:szCs w:val="24"/>
        </w:rPr>
        <w:t>limited</w:t>
      </w:r>
      <w:r w:rsidR="00D003F3">
        <w:rPr>
          <w:rFonts w:ascii="Times New Roman" w:hAnsi="Times New Roman" w:cs="Times New Roman"/>
          <w:szCs w:val="24"/>
        </w:rPr>
        <w:t xml:space="preserve"> to, support </w:t>
      </w:r>
      <w:r w:rsidRPr="00490311">
        <w:rPr>
          <w:rFonts w:ascii="Times New Roman" w:hAnsi="Times New Roman" w:cs="Times New Roman"/>
          <w:szCs w:val="24"/>
        </w:rPr>
        <w:t>to</w:t>
      </w:r>
      <w:r w:rsidR="00D0762D">
        <w:rPr>
          <w:rFonts w:ascii="Times New Roman" w:hAnsi="Times New Roman" w:cs="Times New Roman"/>
          <w:szCs w:val="24"/>
        </w:rPr>
        <w:t xml:space="preserve"> </w:t>
      </w:r>
      <w:r w:rsidR="00D003F3">
        <w:rPr>
          <w:rFonts w:ascii="Times New Roman" w:hAnsi="Times New Roman" w:cs="Times New Roman"/>
          <w:szCs w:val="24"/>
        </w:rPr>
        <w:t>Australian businesses</w:t>
      </w:r>
      <w:r w:rsidR="00FE66B0">
        <w:rPr>
          <w:rFonts w:ascii="Times New Roman" w:hAnsi="Times New Roman" w:cs="Times New Roman"/>
          <w:szCs w:val="24"/>
        </w:rPr>
        <w:t xml:space="preserve"> and </w:t>
      </w:r>
      <w:r w:rsidR="00D003F3">
        <w:rPr>
          <w:rFonts w:ascii="Times New Roman" w:hAnsi="Times New Roman" w:cs="Times New Roman"/>
          <w:szCs w:val="24"/>
        </w:rPr>
        <w:t xml:space="preserve">organisations to improve space skills, and capabilities; support to facilitate the delivery of Australian space products and services into international </w:t>
      </w:r>
      <w:r w:rsidRPr="00490311">
        <w:rPr>
          <w:rFonts w:ascii="Times New Roman" w:hAnsi="Times New Roman" w:cs="Times New Roman"/>
          <w:szCs w:val="24"/>
        </w:rPr>
        <w:t>supply chains</w:t>
      </w:r>
      <w:r w:rsidR="00D322AE">
        <w:rPr>
          <w:rFonts w:ascii="Times New Roman" w:hAnsi="Times New Roman" w:cs="Times New Roman"/>
          <w:szCs w:val="24"/>
        </w:rPr>
        <w:t xml:space="preserve"> and markets</w:t>
      </w:r>
      <w:r w:rsidR="00D003F3">
        <w:rPr>
          <w:rFonts w:ascii="Times New Roman" w:hAnsi="Times New Roman" w:cs="Times New Roman"/>
          <w:szCs w:val="24"/>
        </w:rPr>
        <w:t xml:space="preserve">; support to develop </w:t>
      </w:r>
      <w:r w:rsidRPr="00490311">
        <w:rPr>
          <w:rFonts w:ascii="Times New Roman" w:hAnsi="Times New Roman" w:cs="Times New Roman"/>
          <w:szCs w:val="24"/>
        </w:rPr>
        <w:t>demonstrat</w:t>
      </w:r>
      <w:r w:rsidR="00D003F3">
        <w:rPr>
          <w:rFonts w:ascii="Times New Roman" w:hAnsi="Times New Roman" w:cs="Times New Roman"/>
          <w:szCs w:val="24"/>
        </w:rPr>
        <w:t>or</w:t>
      </w:r>
      <w:r w:rsidRPr="00490311">
        <w:rPr>
          <w:rFonts w:ascii="Times New Roman" w:hAnsi="Times New Roman" w:cs="Times New Roman"/>
          <w:szCs w:val="24"/>
        </w:rPr>
        <w:t xml:space="preserve"> and pilot projects t</w:t>
      </w:r>
      <w:r w:rsidR="00D003F3">
        <w:rPr>
          <w:rFonts w:ascii="Times New Roman" w:hAnsi="Times New Roman" w:cs="Times New Roman"/>
          <w:szCs w:val="24"/>
        </w:rPr>
        <w:t>hat</w:t>
      </w:r>
      <w:r w:rsidRPr="00490311">
        <w:rPr>
          <w:rFonts w:ascii="Times New Roman" w:hAnsi="Times New Roman" w:cs="Times New Roman"/>
          <w:szCs w:val="24"/>
        </w:rPr>
        <w:t xml:space="preserve"> showcase Australia’s </w:t>
      </w:r>
      <w:r w:rsidR="00D003F3">
        <w:rPr>
          <w:rFonts w:ascii="Times New Roman" w:hAnsi="Times New Roman" w:cs="Times New Roman"/>
          <w:szCs w:val="24"/>
        </w:rPr>
        <w:t xml:space="preserve">capabilities and skills to </w:t>
      </w:r>
      <w:r w:rsidRPr="00490311">
        <w:rPr>
          <w:rFonts w:ascii="Times New Roman" w:hAnsi="Times New Roman" w:cs="Times New Roman"/>
          <w:szCs w:val="24"/>
        </w:rPr>
        <w:t xml:space="preserve">the international space industry, and support for </w:t>
      </w:r>
      <w:r w:rsidR="00DB2094">
        <w:rPr>
          <w:rFonts w:ascii="Times New Roman" w:hAnsi="Times New Roman" w:cs="Times New Roman"/>
          <w:szCs w:val="24"/>
        </w:rPr>
        <w:t xml:space="preserve">the development </w:t>
      </w:r>
      <w:r w:rsidR="00387F74">
        <w:rPr>
          <w:rFonts w:ascii="Times New Roman" w:hAnsi="Times New Roman" w:cs="Times New Roman"/>
          <w:szCs w:val="24"/>
        </w:rPr>
        <w:t xml:space="preserve">or enhancement </w:t>
      </w:r>
      <w:r w:rsidR="00DB2094">
        <w:rPr>
          <w:rFonts w:ascii="Times New Roman" w:hAnsi="Times New Roman" w:cs="Times New Roman"/>
          <w:szCs w:val="24"/>
        </w:rPr>
        <w:t xml:space="preserve">of products, capabilities and services </w:t>
      </w:r>
      <w:r w:rsidRPr="00490311">
        <w:rPr>
          <w:rFonts w:ascii="Times New Roman" w:hAnsi="Times New Roman" w:cs="Times New Roman"/>
          <w:szCs w:val="24"/>
        </w:rPr>
        <w:t xml:space="preserve">that </w:t>
      </w:r>
      <w:r w:rsidR="008E6DC1">
        <w:rPr>
          <w:rFonts w:ascii="Times New Roman" w:hAnsi="Times New Roman" w:cs="Times New Roman"/>
          <w:szCs w:val="24"/>
        </w:rPr>
        <w:t xml:space="preserve">have the potential to </w:t>
      </w:r>
      <w:r w:rsidRPr="00490311">
        <w:rPr>
          <w:rFonts w:ascii="Times New Roman" w:hAnsi="Times New Roman" w:cs="Times New Roman"/>
          <w:szCs w:val="24"/>
        </w:rPr>
        <w:t xml:space="preserve">contribute to </w:t>
      </w:r>
      <w:r w:rsidR="00D003F3">
        <w:rPr>
          <w:rFonts w:ascii="Times New Roman" w:hAnsi="Times New Roman" w:cs="Times New Roman"/>
          <w:szCs w:val="24"/>
        </w:rPr>
        <w:t>NASA</w:t>
      </w:r>
      <w:r w:rsidR="00007E33">
        <w:rPr>
          <w:rFonts w:ascii="Times New Roman" w:hAnsi="Times New Roman" w:cs="Times New Roman"/>
          <w:szCs w:val="24"/>
        </w:rPr>
        <w:t xml:space="preserve">’s </w:t>
      </w:r>
      <w:r w:rsidR="00D322AE">
        <w:rPr>
          <w:rFonts w:ascii="Times New Roman" w:hAnsi="Times New Roman" w:cs="Times New Roman"/>
          <w:szCs w:val="24"/>
        </w:rPr>
        <w:t xml:space="preserve">exploration programs to the </w:t>
      </w:r>
      <w:r w:rsidR="00D003F3">
        <w:rPr>
          <w:rFonts w:ascii="Times New Roman" w:hAnsi="Times New Roman" w:cs="Times New Roman"/>
          <w:szCs w:val="24"/>
        </w:rPr>
        <w:t>Moon</w:t>
      </w:r>
      <w:r w:rsidR="00D322AE">
        <w:rPr>
          <w:rFonts w:ascii="Times New Roman" w:hAnsi="Times New Roman" w:cs="Times New Roman"/>
          <w:szCs w:val="24"/>
        </w:rPr>
        <w:t>,</w:t>
      </w:r>
      <w:r w:rsidR="00D003F3">
        <w:rPr>
          <w:rFonts w:ascii="Times New Roman" w:hAnsi="Times New Roman" w:cs="Times New Roman"/>
          <w:szCs w:val="24"/>
        </w:rPr>
        <w:t xml:space="preserve"> Mars </w:t>
      </w:r>
      <w:r w:rsidR="00A764E9">
        <w:rPr>
          <w:rFonts w:ascii="Times New Roman" w:hAnsi="Times New Roman" w:cs="Times New Roman"/>
          <w:szCs w:val="24"/>
        </w:rPr>
        <w:t xml:space="preserve">or </w:t>
      </w:r>
      <w:r w:rsidR="00D322AE">
        <w:rPr>
          <w:rFonts w:ascii="Times New Roman" w:hAnsi="Times New Roman" w:cs="Times New Roman"/>
          <w:szCs w:val="24"/>
        </w:rPr>
        <w:t>other celestial bodies</w:t>
      </w:r>
      <w:r w:rsidRPr="00490311">
        <w:rPr>
          <w:rFonts w:ascii="Times New Roman" w:hAnsi="Times New Roman" w:cs="Times New Roman"/>
          <w:szCs w:val="24"/>
        </w:rPr>
        <w:t>.</w:t>
      </w:r>
    </w:p>
    <w:p w14:paraId="1837123C" w14:textId="77777777" w:rsidR="00F045FE" w:rsidRPr="001A3B30" w:rsidRDefault="00F045FE" w:rsidP="00B64887">
      <w:pPr>
        <w:spacing w:before="240" w:after="240" w:line="276" w:lineRule="auto"/>
        <w:rPr>
          <w:rFonts w:ascii="Times New Roman" w:hAnsi="Times New Roman" w:cs="Times New Roman"/>
          <w:b/>
          <w:szCs w:val="24"/>
        </w:rPr>
      </w:pPr>
      <w:r w:rsidRPr="001A3B30">
        <w:rPr>
          <w:rFonts w:ascii="Times New Roman" w:hAnsi="Times New Roman" w:cs="Times New Roman"/>
          <w:b/>
          <w:szCs w:val="24"/>
        </w:rPr>
        <w:t>Human rights implications</w:t>
      </w:r>
    </w:p>
    <w:p w14:paraId="13C33C8D" w14:textId="77777777" w:rsidR="00F045FE" w:rsidRPr="001A3B30" w:rsidRDefault="00F045FE" w:rsidP="00B64887">
      <w:pPr>
        <w:spacing w:before="120" w:line="276" w:lineRule="auto"/>
        <w:rPr>
          <w:rFonts w:ascii="Times New Roman" w:hAnsi="Times New Roman" w:cs="Times New Roman"/>
          <w:szCs w:val="24"/>
        </w:rPr>
      </w:pPr>
      <w:r w:rsidRPr="001A3B30">
        <w:rPr>
          <w:rFonts w:ascii="Times New Roman" w:hAnsi="Times New Roman" w:cs="Times New Roman"/>
          <w:szCs w:val="24"/>
        </w:rPr>
        <w:t>This Legislative Instrument does not engage any of the applicable rights or freedoms.</w:t>
      </w:r>
    </w:p>
    <w:p w14:paraId="43F69BE7" w14:textId="77777777" w:rsidR="00F045FE" w:rsidRPr="001A3B30" w:rsidRDefault="00F045FE" w:rsidP="00B64887">
      <w:pPr>
        <w:spacing w:before="240" w:after="240" w:line="276" w:lineRule="auto"/>
        <w:rPr>
          <w:rFonts w:ascii="Times New Roman" w:hAnsi="Times New Roman" w:cs="Times New Roman"/>
          <w:b/>
          <w:szCs w:val="24"/>
        </w:rPr>
      </w:pPr>
      <w:r w:rsidRPr="001A3B30">
        <w:rPr>
          <w:rFonts w:ascii="Times New Roman" w:hAnsi="Times New Roman" w:cs="Times New Roman"/>
          <w:b/>
          <w:szCs w:val="24"/>
        </w:rPr>
        <w:t>Conclusion</w:t>
      </w:r>
    </w:p>
    <w:p w14:paraId="66C7CCF9" w14:textId="77777777" w:rsidR="00F045FE" w:rsidRPr="001A3B30" w:rsidRDefault="00F045FE" w:rsidP="00B64887">
      <w:pPr>
        <w:spacing w:before="120" w:line="276" w:lineRule="auto"/>
        <w:rPr>
          <w:rFonts w:ascii="Times New Roman" w:hAnsi="Times New Roman" w:cs="Times New Roman"/>
          <w:szCs w:val="24"/>
        </w:rPr>
      </w:pPr>
      <w:r w:rsidRPr="001A3B30">
        <w:rPr>
          <w:rFonts w:ascii="Times New Roman" w:hAnsi="Times New Roman" w:cs="Times New Roman"/>
          <w:szCs w:val="24"/>
        </w:rPr>
        <w:t>This Legislative Instrument is compatible with human rights as it does not raise any human rights issues.</w:t>
      </w:r>
    </w:p>
    <w:p w14:paraId="1A0F676B" w14:textId="77777777" w:rsidR="00D603B2" w:rsidRPr="001A3B30" w:rsidRDefault="00E61CB8" w:rsidP="00240F44">
      <w:pPr>
        <w:pStyle w:val="NormalExplanatorystatement"/>
        <w:jc w:val="center"/>
        <w:rPr>
          <w:b/>
        </w:rPr>
      </w:pPr>
      <w:r>
        <w:rPr>
          <w:b/>
        </w:rPr>
        <w:t>T</w:t>
      </w:r>
      <w:r w:rsidR="00D603B2" w:rsidRPr="00490311">
        <w:rPr>
          <w:b/>
        </w:rPr>
        <w:t xml:space="preserve">he Hon Karen Andrews MP </w:t>
      </w:r>
    </w:p>
    <w:p w14:paraId="5BFF2A1E" w14:textId="77777777" w:rsidR="00D603B2" w:rsidRPr="00D603B2" w:rsidRDefault="00D603B2">
      <w:pPr>
        <w:pStyle w:val="NormalExplanatorystatement"/>
        <w:jc w:val="center"/>
      </w:pPr>
      <w:r w:rsidRPr="00490311">
        <w:rPr>
          <w:b/>
        </w:rPr>
        <w:t>Minister for Industry, Science and Technology</w:t>
      </w:r>
    </w:p>
    <w:sectPr w:rsidR="00D603B2" w:rsidRPr="00D603B2" w:rsidSect="00D603B2">
      <w:headerReference w:type="default" r:id="rId23"/>
      <w:footerReference w:type="default" r:id="rId2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E120DB" w16cid:durableId="1E8C7074"/>
  <w16cid:commentId w16cid:paraId="60B62BA0" w16cid:durableId="1E8C70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96DD1" w14:textId="77777777" w:rsidR="00883E4C" w:rsidRDefault="00883E4C" w:rsidP="007240FE">
      <w:pPr>
        <w:spacing w:before="0" w:after="0" w:line="240" w:lineRule="auto"/>
      </w:pPr>
      <w:r>
        <w:separator/>
      </w:r>
    </w:p>
  </w:endnote>
  <w:endnote w:type="continuationSeparator" w:id="0">
    <w:p w14:paraId="5E6842AD" w14:textId="77777777" w:rsidR="00883E4C" w:rsidRDefault="00883E4C" w:rsidP="007240FE">
      <w:pPr>
        <w:spacing w:before="0" w:after="0" w:line="240" w:lineRule="auto"/>
      </w:pPr>
      <w:r>
        <w:continuationSeparator/>
      </w:r>
    </w:p>
  </w:endnote>
  <w:endnote w:type="continuationNotice" w:id="1">
    <w:p w14:paraId="112586E1" w14:textId="77777777" w:rsidR="00883E4C" w:rsidRDefault="00883E4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00040" w14:textId="77777777" w:rsidR="00903701" w:rsidRDefault="009037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B431" w14:textId="5485B543" w:rsidR="00DE6C8D" w:rsidRPr="00903701" w:rsidRDefault="002C7381" w:rsidP="0004626E">
    <w:pPr>
      <w:pStyle w:val="Footer"/>
      <w:tabs>
        <w:tab w:val="clear" w:pos="4513"/>
        <w:tab w:val="center" w:pos="6804"/>
      </w:tabs>
      <w:jc w:val="right"/>
      <w:rPr>
        <w:rFonts w:ascii="Times New Roman" w:hAnsi="Times New Roman" w:cs="Times New Roman"/>
        <w:noProof/>
      </w:rPr>
    </w:pPr>
    <w:sdt>
      <w:sdtPr>
        <w:id w:val="1751377297"/>
        <w:docPartObj>
          <w:docPartGallery w:val="Page Numbers (Bottom of Page)"/>
          <w:docPartUnique/>
        </w:docPartObj>
      </w:sdtPr>
      <w:sdtEndPr>
        <w:rPr>
          <w:rFonts w:ascii="Times New Roman" w:hAnsi="Times New Roman" w:cs="Times New Roman"/>
          <w:noProof/>
        </w:rPr>
      </w:sdtEndPr>
      <w:sdtContent>
        <w:r w:rsidR="00DE6C8D" w:rsidRPr="00903701">
          <w:rPr>
            <w:rFonts w:ascii="Times New Roman" w:hAnsi="Times New Roman" w:cs="Times New Roman"/>
          </w:rPr>
          <w:fldChar w:fldCharType="begin"/>
        </w:r>
        <w:r w:rsidR="00DE6C8D" w:rsidRPr="00903701">
          <w:rPr>
            <w:rFonts w:ascii="Times New Roman" w:hAnsi="Times New Roman" w:cs="Times New Roman"/>
          </w:rPr>
          <w:instrText xml:space="preserve"> PAGE  \* Arabic  \* MERGEFORMAT </w:instrText>
        </w:r>
        <w:r w:rsidR="00DE6C8D" w:rsidRPr="00903701">
          <w:rPr>
            <w:rFonts w:ascii="Times New Roman" w:hAnsi="Times New Roman" w:cs="Times New Roman"/>
          </w:rPr>
          <w:fldChar w:fldCharType="separate"/>
        </w:r>
        <w:r>
          <w:rPr>
            <w:rFonts w:ascii="Times New Roman" w:hAnsi="Times New Roman" w:cs="Times New Roman"/>
            <w:noProof/>
          </w:rPr>
          <w:t>1</w:t>
        </w:r>
        <w:r w:rsidR="00DE6C8D" w:rsidRPr="00903701">
          <w:rPr>
            <w:rFonts w:ascii="Times New Roman" w:hAnsi="Times New Roman" w:cs="Times New Roman"/>
          </w:rPr>
          <w:fldChar w:fldCharType="end"/>
        </w:r>
      </w:sdtContent>
    </w:sdt>
  </w:p>
  <w:p w14:paraId="2887B943" w14:textId="1A7CCA56" w:rsidR="00DE6C8D" w:rsidRPr="0087086F" w:rsidRDefault="00DE6C8D" w:rsidP="0087086F">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0F47A" w14:textId="77777777" w:rsidR="00903701" w:rsidRDefault="009037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19BEE" w14:textId="04701876" w:rsidR="00DE6C8D" w:rsidRPr="00620CDD" w:rsidRDefault="002C7381" w:rsidP="0004626E">
    <w:pPr>
      <w:pStyle w:val="Footer"/>
      <w:tabs>
        <w:tab w:val="clear" w:pos="4513"/>
        <w:tab w:val="center" w:pos="6804"/>
      </w:tabs>
      <w:jc w:val="right"/>
      <w:rPr>
        <w:rFonts w:ascii="Times New Roman" w:hAnsi="Times New Roman" w:cs="Times New Roman"/>
        <w:noProof/>
      </w:rPr>
    </w:pPr>
    <w:sdt>
      <w:sdtPr>
        <w:id w:val="1490128851"/>
        <w:docPartObj>
          <w:docPartGallery w:val="Page Numbers (Bottom of Page)"/>
          <w:docPartUnique/>
        </w:docPartObj>
      </w:sdtPr>
      <w:sdtEndPr>
        <w:rPr>
          <w:rFonts w:ascii="Times New Roman" w:hAnsi="Times New Roman" w:cs="Times New Roman"/>
          <w:noProof/>
        </w:rPr>
      </w:sdtEndPr>
      <w:sdtContent>
        <w:r w:rsidR="00DE6C8D" w:rsidRPr="00620CDD">
          <w:rPr>
            <w:rFonts w:ascii="Times New Roman" w:hAnsi="Times New Roman" w:cs="Times New Roman"/>
          </w:rPr>
          <w:fldChar w:fldCharType="begin"/>
        </w:r>
        <w:r w:rsidR="00DE6C8D" w:rsidRPr="00620CDD">
          <w:rPr>
            <w:rFonts w:ascii="Times New Roman" w:hAnsi="Times New Roman" w:cs="Times New Roman"/>
          </w:rPr>
          <w:instrText xml:space="preserve"> PAGE  \* Arabic  \* MERGEFORMAT </w:instrText>
        </w:r>
        <w:r w:rsidR="00DE6C8D" w:rsidRPr="00620CDD">
          <w:rPr>
            <w:rFonts w:ascii="Times New Roman" w:hAnsi="Times New Roman" w:cs="Times New Roman"/>
          </w:rPr>
          <w:fldChar w:fldCharType="separate"/>
        </w:r>
        <w:r>
          <w:rPr>
            <w:rFonts w:ascii="Times New Roman" w:hAnsi="Times New Roman" w:cs="Times New Roman"/>
            <w:noProof/>
          </w:rPr>
          <w:t>10</w:t>
        </w:r>
        <w:r w:rsidR="00DE6C8D" w:rsidRPr="00620CDD">
          <w:rPr>
            <w:rFonts w:ascii="Times New Roman" w:hAnsi="Times New Roman" w:cs="Times New Roman"/>
          </w:rPr>
          <w:fldChar w:fldCharType="end"/>
        </w:r>
      </w:sdtContent>
    </w:sdt>
  </w:p>
  <w:p w14:paraId="5B672222" w14:textId="406B09E0" w:rsidR="00DE6C8D" w:rsidRPr="0087086F" w:rsidRDefault="00DE6C8D" w:rsidP="0087086F">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F6479" w14:textId="77777777" w:rsidR="00883E4C" w:rsidRDefault="00883E4C" w:rsidP="007240FE">
      <w:pPr>
        <w:spacing w:before="0" w:after="0" w:line="240" w:lineRule="auto"/>
      </w:pPr>
      <w:r>
        <w:separator/>
      </w:r>
    </w:p>
  </w:footnote>
  <w:footnote w:type="continuationSeparator" w:id="0">
    <w:p w14:paraId="2503C1C7" w14:textId="77777777" w:rsidR="00883E4C" w:rsidRDefault="00883E4C" w:rsidP="007240FE">
      <w:pPr>
        <w:spacing w:before="0" w:after="0" w:line="240" w:lineRule="auto"/>
      </w:pPr>
      <w:r>
        <w:continuationSeparator/>
      </w:r>
    </w:p>
  </w:footnote>
  <w:footnote w:type="continuationNotice" w:id="1">
    <w:p w14:paraId="1E79895A" w14:textId="77777777" w:rsidR="00883E4C" w:rsidRDefault="00883E4C">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B4D1" w14:textId="77777777" w:rsidR="00903701" w:rsidRDefault="009037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63EC6" w14:textId="77777777" w:rsidR="00903701" w:rsidRDefault="009037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AA0EC" w14:textId="77777777" w:rsidR="00903701" w:rsidRDefault="009037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44B0E" w14:textId="77777777" w:rsidR="00DE6C8D" w:rsidRPr="007173D4" w:rsidRDefault="00DE6C8D" w:rsidP="00A02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1278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A06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3AE5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52F1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404C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A050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BC14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803066"/>
    <w:lvl w:ilvl="0">
      <w:start w:val="1"/>
      <w:numFmt w:val="bullet"/>
      <w:lvlText w:val="-"/>
      <w:lvlJc w:val="left"/>
      <w:pPr>
        <w:ind w:left="643" w:hanging="360"/>
      </w:pPr>
      <w:rPr>
        <w:rFonts w:ascii="Courier New" w:hAnsi="Courier New" w:hint="default"/>
        <w:color w:val="005677" w:themeColor="accent1"/>
      </w:rPr>
    </w:lvl>
  </w:abstractNum>
  <w:abstractNum w:abstractNumId="8" w15:restartNumberingAfterBreak="0">
    <w:nsid w:val="FFFFFF88"/>
    <w:multiLevelType w:val="singleLevel"/>
    <w:tmpl w:val="85082DC6"/>
    <w:lvl w:ilvl="0">
      <w:start w:val="1"/>
      <w:numFmt w:val="decimal"/>
      <w:lvlText w:val="%1."/>
      <w:lvlJc w:val="left"/>
      <w:pPr>
        <w:ind w:left="360" w:hanging="360"/>
      </w:pPr>
    </w:lvl>
  </w:abstractNum>
  <w:abstractNum w:abstractNumId="9" w15:restartNumberingAfterBreak="0">
    <w:nsid w:val="FFFFFF89"/>
    <w:multiLevelType w:val="singleLevel"/>
    <w:tmpl w:val="C894719A"/>
    <w:lvl w:ilvl="0">
      <w:start w:val="1"/>
      <w:numFmt w:val="bullet"/>
      <w:lvlText w:val=""/>
      <w:lvlJc w:val="left"/>
      <w:pPr>
        <w:ind w:left="360" w:hanging="360"/>
      </w:pPr>
      <w:rPr>
        <w:rFonts w:ascii="Symbol" w:hAnsi="Symbol" w:hint="default"/>
        <w:color w:val="005677" w:themeColor="accent1"/>
      </w:rPr>
    </w:lvl>
  </w:abstractNum>
  <w:abstractNum w:abstractNumId="10"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DC02CA"/>
    <w:multiLevelType w:val="hybridMultilevel"/>
    <w:tmpl w:val="7BE4631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84FC0"/>
    <w:multiLevelType w:val="hybridMultilevel"/>
    <w:tmpl w:val="05F01764"/>
    <w:lvl w:ilvl="0" w:tplc="C360D06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AE5EA8"/>
    <w:multiLevelType w:val="hybridMultilevel"/>
    <w:tmpl w:val="F61AF97E"/>
    <w:lvl w:ilvl="0" w:tplc="F5D44CDA">
      <w:start w:val="1"/>
      <w:numFmt w:val="bullet"/>
      <w:lvlText w:val=""/>
      <w:lvlJc w:val="left"/>
      <w:pPr>
        <w:ind w:left="360" w:hanging="360"/>
      </w:pPr>
      <w:rPr>
        <w:rFonts w:ascii="Wingdings" w:hAnsi="Wingdings" w:hint="default"/>
        <w:color w:val="005677"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4F1DDD"/>
    <w:multiLevelType w:val="hybridMultilevel"/>
    <w:tmpl w:val="32EE5AD6"/>
    <w:lvl w:ilvl="0" w:tplc="80E07CDA">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D12E7"/>
    <w:multiLevelType w:val="multilevel"/>
    <w:tmpl w:val="6E70231E"/>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C14567C"/>
    <w:multiLevelType w:val="hybridMultilevel"/>
    <w:tmpl w:val="38BCCE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0E00DB"/>
    <w:multiLevelType w:val="hybridMultilevel"/>
    <w:tmpl w:val="1402E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4E2756"/>
    <w:multiLevelType w:val="multilevel"/>
    <w:tmpl w:val="31B8B072"/>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4BA2DAB"/>
    <w:multiLevelType w:val="multilevel"/>
    <w:tmpl w:val="407089D0"/>
    <w:lvl w:ilvl="0">
      <w:start w:val="1"/>
      <w:numFmt w:val="bullet"/>
      <w:pStyle w:val="ListBullet"/>
      <w:lvlText w:val=""/>
      <w:lvlJc w:val="left"/>
      <w:pPr>
        <w:ind w:left="360" w:hanging="360"/>
      </w:pPr>
      <w:rPr>
        <w:rFonts w:ascii="Wingdings" w:hAnsi="Wingdings" w:hint="default"/>
        <w:color w:val="005677" w:themeColor="accent1"/>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DE65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B9810A7"/>
    <w:multiLevelType w:val="hybridMultilevel"/>
    <w:tmpl w:val="2A6A8DB6"/>
    <w:lvl w:ilvl="0" w:tplc="F5D44CDA">
      <w:start w:val="1"/>
      <w:numFmt w:val="bullet"/>
      <w:lvlText w:val=""/>
      <w:lvlJc w:val="left"/>
      <w:pPr>
        <w:ind w:left="360" w:hanging="360"/>
      </w:pPr>
      <w:rPr>
        <w:rFonts w:ascii="Wingdings" w:hAnsi="Wingdings" w:hint="default"/>
        <w:color w:val="005677"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D572B6F"/>
    <w:multiLevelType w:val="hybridMultilevel"/>
    <w:tmpl w:val="86EECFF4"/>
    <w:lvl w:ilvl="0" w:tplc="0EF083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1C1266"/>
    <w:multiLevelType w:val="hybridMultilevel"/>
    <w:tmpl w:val="270AFF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5238F7"/>
    <w:multiLevelType w:val="hybridMultilevel"/>
    <w:tmpl w:val="59A468DE"/>
    <w:lvl w:ilvl="0" w:tplc="0F4897F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6A465C"/>
    <w:multiLevelType w:val="multilevel"/>
    <w:tmpl w:val="547A46C0"/>
    <w:lvl w:ilvl="0">
      <w:start w:val="1"/>
      <w:numFmt w:val="decimal"/>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3CA1337A"/>
    <w:multiLevelType w:val="hybridMultilevel"/>
    <w:tmpl w:val="224C1F88"/>
    <w:lvl w:ilvl="0" w:tplc="D270B3B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6E5EC6"/>
    <w:multiLevelType w:val="hybridMultilevel"/>
    <w:tmpl w:val="30D8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E47EEB"/>
    <w:multiLevelType w:val="hybridMultilevel"/>
    <w:tmpl w:val="F7A66560"/>
    <w:lvl w:ilvl="0" w:tplc="F432E60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BB2E92"/>
    <w:multiLevelType w:val="hybridMultilevel"/>
    <w:tmpl w:val="A0AEB60E"/>
    <w:lvl w:ilvl="0" w:tplc="D768652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8EF482A"/>
    <w:multiLevelType w:val="hybridMultilevel"/>
    <w:tmpl w:val="48F410AA"/>
    <w:lvl w:ilvl="0" w:tplc="C9E4EB90">
      <w:start w:val="1"/>
      <w:numFmt w:val="decimal"/>
      <w:pStyle w:val="Table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003F08"/>
    <w:multiLevelType w:val="hybridMultilevel"/>
    <w:tmpl w:val="8D6E56C6"/>
    <w:lvl w:ilvl="0" w:tplc="19BE00BE">
      <w:start w:val="1"/>
      <w:numFmt w:val="bullet"/>
      <w:pStyle w:val="ListParagraph"/>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9D5D1F"/>
    <w:multiLevelType w:val="hybridMultilevel"/>
    <w:tmpl w:val="7E1C9164"/>
    <w:lvl w:ilvl="0" w:tplc="5C4AE6F4">
      <w:start w:val="1"/>
      <w:numFmt w:val="bullet"/>
      <w:pStyle w:val="ListBullet2"/>
      <w:lvlText w:val=""/>
      <w:lvlJc w:val="left"/>
      <w:pPr>
        <w:ind w:left="720" w:hanging="360"/>
      </w:pPr>
      <w:rPr>
        <w:rFonts w:ascii="Wingdings" w:hAnsi="Wingdings" w:hint="default"/>
        <w:color w:val="00567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EE53CB"/>
    <w:multiLevelType w:val="hybridMultilevel"/>
    <w:tmpl w:val="C16CC1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99C49BA"/>
    <w:multiLevelType w:val="hybridMultilevel"/>
    <w:tmpl w:val="55CE2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CF0549"/>
    <w:multiLevelType w:val="hybridMultilevel"/>
    <w:tmpl w:val="0082B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186FFB"/>
    <w:multiLevelType w:val="hybridMultilevel"/>
    <w:tmpl w:val="8190D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5F5606"/>
    <w:multiLevelType w:val="hybridMultilevel"/>
    <w:tmpl w:val="CA5A8F7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ABB303F"/>
    <w:multiLevelType w:val="hybridMultilevel"/>
    <w:tmpl w:val="48125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9"/>
  </w:num>
  <w:num w:numId="15">
    <w:abstractNumId w:val="18"/>
  </w:num>
  <w:num w:numId="16">
    <w:abstractNumId w:val="25"/>
  </w:num>
  <w:num w:numId="17">
    <w:abstractNumId w:val="31"/>
  </w:num>
  <w:num w:numId="18">
    <w:abstractNumId w:val="39"/>
  </w:num>
  <w:num w:numId="19">
    <w:abstractNumId w:val="35"/>
  </w:num>
  <w:num w:numId="20">
    <w:abstractNumId w:val="22"/>
  </w:num>
  <w:num w:numId="21">
    <w:abstractNumId w:val="13"/>
  </w:num>
  <w:num w:numId="22">
    <w:abstractNumId w:val="27"/>
  </w:num>
  <w:num w:numId="23">
    <w:abstractNumId w:val="4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4"/>
  </w:num>
  <w:num w:numId="27">
    <w:abstractNumId w:val="16"/>
  </w:num>
  <w:num w:numId="28">
    <w:abstractNumId w:val="19"/>
  </w:num>
  <w:num w:numId="29">
    <w:abstractNumId w:val="32"/>
  </w:num>
  <w:num w:numId="30">
    <w:abstractNumId w:val="26"/>
  </w:num>
  <w:num w:numId="31">
    <w:abstractNumId w:val="34"/>
  </w:num>
  <w:num w:numId="32">
    <w:abstractNumId w:val="30"/>
  </w:num>
  <w:num w:numId="33">
    <w:abstractNumId w:val="14"/>
  </w:num>
  <w:num w:numId="34">
    <w:abstractNumId w:val="20"/>
  </w:num>
  <w:num w:numId="35">
    <w:abstractNumId w:val="33"/>
  </w:num>
  <w:num w:numId="36">
    <w:abstractNumId w:val="10"/>
  </w:num>
  <w:num w:numId="37">
    <w:abstractNumId w:val="28"/>
  </w:num>
  <w:num w:numId="38">
    <w:abstractNumId w:val="15"/>
  </w:num>
  <w:num w:numId="39">
    <w:abstractNumId w:val="38"/>
  </w:num>
  <w:num w:numId="40">
    <w:abstractNumId w:val="19"/>
  </w:num>
  <w:num w:numId="41">
    <w:abstractNumId w:val="19"/>
  </w:num>
  <w:num w:numId="42">
    <w:abstractNumId w:val="19"/>
  </w:num>
  <w:num w:numId="43">
    <w:abstractNumId w:val="37"/>
  </w:num>
  <w:num w:numId="44">
    <w:abstractNumId w:val="23"/>
  </w:num>
  <w:num w:numId="45">
    <w:abstractNumId w:val="29"/>
  </w:num>
  <w:num w:numId="46">
    <w:abstractNumId w:val="19"/>
  </w:num>
  <w:num w:numId="47">
    <w:abstractNumId w:val="19"/>
  </w:num>
  <w:num w:numId="48">
    <w:abstractNumId w:val="17"/>
  </w:num>
  <w:num w:numId="49">
    <w:abstractNumId w:val="32"/>
  </w:num>
  <w:num w:numId="50">
    <w:abstractNumId w:val="12"/>
  </w:num>
  <w:num w:numId="51">
    <w:abstractNumId w:val="32"/>
  </w:num>
  <w:num w:numId="5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c0szQzsrAwMDY0MjVT0lEKTi0uzszPAykwrQUA1x0kxSwAAAA="/>
  </w:docVars>
  <w:rsids>
    <w:rsidRoot w:val="00BA4498"/>
    <w:rsid w:val="0000020B"/>
    <w:rsid w:val="00000453"/>
    <w:rsid w:val="00000F3F"/>
    <w:rsid w:val="0000124A"/>
    <w:rsid w:val="00001536"/>
    <w:rsid w:val="00001B69"/>
    <w:rsid w:val="00002009"/>
    <w:rsid w:val="00002090"/>
    <w:rsid w:val="00004E03"/>
    <w:rsid w:val="00005B14"/>
    <w:rsid w:val="000066F2"/>
    <w:rsid w:val="00007A20"/>
    <w:rsid w:val="00007E33"/>
    <w:rsid w:val="00010953"/>
    <w:rsid w:val="00010E36"/>
    <w:rsid w:val="0001138F"/>
    <w:rsid w:val="000134ED"/>
    <w:rsid w:val="00014C81"/>
    <w:rsid w:val="000168AA"/>
    <w:rsid w:val="000208BD"/>
    <w:rsid w:val="00020C96"/>
    <w:rsid w:val="000226C2"/>
    <w:rsid w:val="00022CFC"/>
    <w:rsid w:val="0002584D"/>
    <w:rsid w:val="00027442"/>
    <w:rsid w:val="000333C0"/>
    <w:rsid w:val="0004017E"/>
    <w:rsid w:val="00040232"/>
    <w:rsid w:val="00045316"/>
    <w:rsid w:val="000456E2"/>
    <w:rsid w:val="0004626E"/>
    <w:rsid w:val="00052C93"/>
    <w:rsid w:val="000569AB"/>
    <w:rsid w:val="00064768"/>
    <w:rsid w:val="0006478D"/>
    <w:rsid w:val="000671DB"/>
    <w:rsid w:val="00071129"/>
    <w:rsid w:val="0007119F"/>
    <w:rsid w:val="00072B79"/>
    <w:rsid w:val="00075DDD"/>
    <w:rsid w:val="000761F5"/>
    <w:rsid w:val="0007766A"/>
    <w:rsid w:val="000834DB"/>
    <w:rsid w:val="00083880"/>
    <w:rsid w:val="00084622"/>
    <w:rsid w:val="00085EF2"/>
    <w:rsid w:val="00091BEC"/>
    <w:rsid w:val="00095FF7"/>
    <w:rsid w:val="000A0233"/>
    <w:rsid w:val="000A1102"/>
    <w:rsid w:val="000B0B5A"/>
    <w:rsid w:val="000B2E64"/>
    <w:rsid w:val="000B6131"/>
    <w:rsid w:val="000C1C29"/>
    <w:rsid w:val="000C6161"/>
    <w:rsid w:val="000C75FA"/>
    <w:rsid w:val="000C7B7E"/>
    <w:rsid w:val="000D3AD0"/>
    <w:rsid w:val="000D4CA4"/>
    <w:rsid w:val="000D5290"/>
    <w:rsid w:val="000E19AE"/>
    <w:rsid w:val="000E201E"/>
    <w:rsid w:val="000E37C6"/>
    <w:rsid w:val="000F1633"/>
    <w:rsid w:val="000F17F0"/>
    <w:rsid w:val="000F214E"/>
    <w:rsid w:val="000F2BA1"/>
    <w:rsid w:val="000F506C"/>
    <w:rsid w:val="000F5108"/>
    <w:rsid w:val="000F5A3E"/>
    <w:rsid w:val="00100083"/>
    <w:rsid w:val="001010FB"/>
    <w:rsid w:val="001048C2"/>
    <w:rsid w:val="00104DA7"/>
    <w:rsid w:val="00112467"/>
    <w:rsid w:val="00115626"/>
    <w:rsid w:val="00116FDD"/>
    <w:rsid w:val="0012365F"/>
    <w:rsid w:val="0013442F"/>
    <w:rsid w:val="0013531A"/>
    <w:rsid w:val="00136F15"/>
    <w:rsid w:val="0013773B"/>
    <w:rsid w:val="00142AE9"/>
    <w:rsid w:val="001433BF"/>
    <w:rsid w:val="00143A4C"/>
    <w:rsid w:val="00146708"/>
    <w:rsid w:val="00147580"/>
    <w:rsid w:val="00150AAE"/>
    <w:rsid w:val="001523DC"/>
    <w:rsid w:val="00153A22"/>
    <w:rsid w:val="00157609"/>
    <w:rsid w:val="0016391A"/>
    <w:rsid w:val="00165702"/>
    <w:rsid w:val="00172AD9"/>
    <w:rsid w:val="001768A9"/>
    <w:rsid w:val="00180E55"/>
    <w:rsid w:val="0018258F"/>
    <w:rsid w:val="00183D4F"/>
    <w:rsid w:val="00185764"/>
    <w:rsid w:val="00186C44"/>
    <w:rsid w:val="001905EB"/>
    <w:rsid w:val="00191A86"/>
    <w:rsid w:val="00191BA6"/>
    <w:rsid w:val="001A0125"/>
    <w:rsid w:val="001A09CA"/>
    <w:rsid w:val="001A262F"/>
    <w:rsid w:val="001A3B30"/>
    <w:rsid w:val="001A73ED"/>
    <w:rsid w:val="001B0F02"/>
    <w:rsid w:val="001B1DE7"/>
    <w:rsid w:val="001B4295"/>
    <w:rsid w:val="001B7151"/>
    <w:rsid w:val="001B74CE"/>
    <w:rsid w:val="001C3428"/>
    <w:rsid w:val="001C4BB5"/>
    <w:rsid w:val="001C6FC3"/>
    <w:rsid w:val="001D0226"/>
    <w:rsid w:val="001D4A9D"/>
    <w:rsid w:val="001D5625"/>
    <w:rsid w:val="001E4B7A"/>
    <w:rsid w:val="001E7798"/>
    <w:rsid w:val="001F00B8"/>
    <w:rsid w:val="001F18D8"/>
    <w:rsid w:val="001F23CA"/>
    <w:rsid w:val="001F47EC"/>
    <w:rsid w:val="001F58C9"/>
    <w:rsid w:val="00205AB2"/>
    <w:rsid w:val="00207277"/>
    <w:rsid w:val="00210F63"/>
    <w:rsid w:val="0021248F"/>
    <w:rsid w:val="00214960"/>
    <w:rsid w:val="00214F5E"/>
    <w:rsid w:val="002164C0"/>
    <w:rsid w:val="00216FCE"/>
    <w:rsid w:val="00223022"/>
    <w:rsid w:val="0023020C"/>
    <w:rsid w:val="00237E21"/>
    <w:rsid w:val="00240994"/>
    <w:rsid w:val="00240C79"/>
    <w:rsid w:val="00240F44"/>
    <w:rsid w:val="00241252"/>
    <w:rsid w:val="00241C17"/>
    <w:rsid w:val="00242266"/>
    <w:rsid w:val="00245AFC"/>
    <w:rsid w:val="00245BF9"/>
    <w:rsid w:val="002506B3"/>
    <w:rsid w:val="00252A33"/>
    <w:rsid w:val="00254D58"/>
    <w:rsid w:val="0025726A"/>
    <w:rsid w:val="002579FF"/>
    <w:rsid w:val="002606D8"/>
    <w:rsid w:val="00266342"/>
    <w:rsid w:val="00266DCE"/>
    <w:rsid w:val="00267301"/>
    <w:rsid w:val="00277E11"/>
    <w:rsid w:val="00280708"/>
    <w:rsid w:val="0028234E"/>
    <w:rsid w:val="00285006"/>
    <w:rsid w:val="002856C7"/>
    <w:rsid w:val="00287B7A"/>
    <w:rsid w:val="00290423"/>
    <w:rsid w:val="00290BD6"/>
    <w:rsid w:val="0029166A"/>
    <w:rsid w:val="002928B6"/>
    <w:rsid w:val="00294709"/>
    <w:rsid w:val="00297F3F"/>
    <w:rsid w:val="002A10E7"/>
    <w:rsid w:val="002B42EF"/>
    <w:rsid w:val="002B78D7"/>
    <w:rsid w:val="002C4927"/>
    <w:rsid w:val="002C50E9"/>
    <w:rsid w:val="002C71B3"/>
    <w:rsid w:val="002C7381"/>
    <w:rsid w:val="002C76C4"/>
    <w:rsid w:val="002D028C"/>
    <w:rsid w:val="002D2FD6"/>
    <w:rsid w:val="002D3017"/>
    <w:rsid w:val="002E00C8"/>
    <w:rsid w:val="002E1A43"/>
    <w:rsid w:val="002E20EA"/>
    <w:rsid w:val="002E2532"/>
    <w:rsid w:val="002E284B"/>
    <w:rsid w:val="002E2DAD"/>
    <w:rsid w:val="002F2F5F"/>
    <w:rsid w:val="002F45BE"/>
    <w:rsid w:val="0030063B"/>
    <w:rsid w:val="0030086F"/>
    <w:rsid w:val="00301F89"/>
    <w:rsid w:val="00302BFA"/>
    <w:rsid w:val="00303E00"/>
    <w:rsid w:val="00304B6B"/>
    <w:rsid w:val="00310380"/>
    <w:rsid w:val="00310654"/>
    <w:rsid w:val="00311224"/>
    <w:rsid w:val="00311CD2"/>
    <w:rsid w:val="003123D6"/>
    <w:rsid w:val="0031470B"/>
    <w:rsid w:val="003147EB"/>
    <w:rsid w:val="00316A1E"/>
    <w:rsid w:val="00322088"/>
    <w:rsid w:val="0032271B"/>
    <w:rsid w:val="003235C9"/>
    <w:rsid w:val="00324ECA"/>
    <w:rsid w:val="00325A8C"/>
    <w:rsid w:val="00325F32"/>
    <w:rsid w:val="0032677A"/>
    <w:rsid w:val="00331FE9"/>
    <w:rsid w:val="00333619"/>
    <w:rsid w:val="00333BEF"/>
    <w:rsid w:val="00340CD8"/>
    <w:rsid w:val="00342D97"/>
    <w:rsid w:val="003441E7"/>
    <w:rsid w:val="003459A9"/>
    <w:rsid w:val="003477F9"/>
    <w:rsid w:val="00350D0B"/>
    <w:rsid w:val="0035129A"/>
    <w:rsid w:val="00351E19"/>
    <w:rsid w:val="00352C05"/>
    <w:rsid w:val="0035464E"/>
    <w:rsid w:val="003558E0"/>
    <w:rsid w:val="0035749C"/>
    <w:rsid w:val="00357639"/>
    <w:rsid w:val="00363597"/>
    <w:rsid w:val="00364C95"/>
    <w:rsid w:val="00366D1E"/>
    <w:rsid w:val="00367E4F"/>
    <w:rsid w:val="00371F56"/>
    <w:rsid w:val="00372A16"/>
    <w:rsid w:val="00374679"/>
    <w:rsid w:val="00374F14"/>
    <w:rsid w:val="0037696B"/>
    <w:rsid w:val="00376F42"/>
    <w:rsid w:val="0038042B"/>
    <w:rsid w:val="003808AD"/>
    <w:rsid w:val="003809BA"/>
    <w:rsid w:val="003837AF"/>
    <w:rsid w:val="003860DC"/>
    <w:rsid w:val="00387F74"/>
    <w:rsid w:val="00391226"/>
    <w:rsid w:val="003943C1"/>
    <w:rsid w:val="003963C4"/>
    <w:rsid w:val="003A48A2"/>
    <w:rsid w:val="003B1CDF"/>
    <w:rsid w:val="003B28C8"/>
    <w:rsid w:val="003B68E8"/>
    <w:rsid w:val="003C076D"/>
    <w:rsid w:val="003C0E5D"/>
    <w:rsid w:val="003C22C5"/>
    <w:rsid w:val="003C3B7B"/>
    <w:rsid w:val="003C7787"/>
    <w:rsid w:val="003D0F07"/>
    <w:rsid w:val="003D1310"/>
    <w:rsid w:val="003D1A0B"/>
    <w:rsid w:val="003D28E4"/>
    <w:rsid w:val="003D4952"/>
    <w:rsid w:val="003D50A8"/>
    <w:rsid w:val="003D5B01"/>
    <w:rsid w:val="003D7E05"/>
    <w:rsid w:val="003E05FA"/>
    <w:rsid w:val="003E0D69"/>
    <w:rsid w:val="003E33FA"/>
    <w:rsid w:val="003E362B"/>
    <w:rsid w:val="003F6AD9"/>
    <w:rsid w:val="0040074A"/>
    <w:rsid w:val="004027A5"/>
    <w:rsid w:val="00402DE9"/>
    <w:rsid w:val="0040313E"/>
    <w:rsid w:val="004053C3"/>
    <w:rsid w:val="00406CD0"/>
    <w:rsid w:val="00407208"/>
    <w:rsid w:val="004164DF"/>
    <w:rsid w:val="00417D89"/>
    <w:rsid w:val="00421A8C"/>
    <w:rsid w:val="00421FAF"/>
    <w:rsid w:val="0042294A"/>
    <w:rsid w:val="00423879"/>
    <w:rsid w:val="00424634"/>
    <w:rsid w:val="00426C1E"/>
    <w:rsid w:val="004304AF"/>
    <w:rsid w:val="00433F38"/>
    <w:rsid w:val="004346B2"/>
    <w:rsid w:val="004354E0"/>
    <w:rsid w:val="00436854"/>
    <w:rsid w:val="00437258"/>
    <w:rsid w:val="0044093D"/>
    <w:rsid w:val="00441084"/>
    <w:rsid w:val="004417AC"/>
    <w:rsid w:val="004419FE"/>
    <w:rsid w:val="004423C4"/>
    <w:rsid w:val="00443E54"/>
    <w:rsid w:val="00446714"/>
    <w:rsid w:val="00446863"/>
    <w:rsid w:val="004476D3"/>
    <w:rsid w:val="00450860"/>
    <w:rsid w:val="00451A2B"/>
    <w:rsid w:val="00451AFA"/>
    <w:rsid w:val="004523E3"/>
    <w:rsid w:val="00454EA7"/>
    <w:rsid w:val="00464C48"/>
    <w:rsid w:val="00464F1E"/>
    <w:rsid w:val="00465004"/>
    <w:rsid w:val="00471EF7"/>
    <w:rsid w:val="004729ED"/>
    <w:rsid w:val="00473007"/>
    <w:rsid w:val="00475310"/>
    <w:rsid w:val="004765C3"/>
    <w:rsid w:val="004867A7"/>
    <w:rsid w:val="00486FC4"/>
    <w:rsid w:val="00490311"/>
    <w:rsid w:val="00492966"/>
    <w:rsid w:val="00493399"/>
    <w:rsid w:val="004946F7"/>
    <w:rsid w:val="004953D7"/>
    <w:rsid w:val="00496418"/>
    <w:rsid w:val="004B3924"/>
    <w:rsid w:val="004C3712"/>
    <w:rsid w:val="004C3804"/>
    <w:rsid w:val="004C6042"/>
    <w:rsid w:val="004C6F15"/>
    <w:rsid w:val="004D468F"/>
    <w:rsid w:val="004D62D8"/>
    <w:rsid w:val="004E13B2"/>
    <w:rsid w:val="004E2060"/>
    <w:rsid w:val="004E503E"/>
    <w:rsid w:val="004E7520"/>
    <w:rsid w:val="004E756C"/>
    <w:rsid w:val="004F0F71"/>
    <w:rsid w:val="004F16F7"/>
    <w:rsid w:val="004F6B05"/>
    <w:rsid w:val="005005DE"/>
    <w:rsid w:val="005009C1"/>
    <w:rsid w:val="00501BF1"/>
    <w:rsid w:val="00502BA5"/>
    <w:rsid w:val="00515701"/>
    <w:rsid w:val="005173C5"/>
    <w:rsid w:val="00517C9E"/>
    <w:rsid w:val="0052052A"/>
    <w:rsid w:val="00521BC2"/>
    <w:rsid w:val="00522169"/>
    <w:rsid w:val="0052781E"/>
    <w:rsid w:val="00527E00"/>
    <w:rsid w:val="00530BC0"/>
    <w:rsid w:val="00531D6A"/>
    <w:rsid w:val="00532569"/>
    <w:rsid w:val="00535A5B"/>
    <w:rsid w:val="00540192"/>
    <w:rsid w:val="00540939"/>
    <w:rsid w:val="0054266E"/>
    <w:rsid w:val="00542D2B"/>
    <w:rsid w:val="005461F9"/>
    <w:rsid w:val="00550274"/>
    <w:rsid w:val="00550AE9"/>
    <w:rsid w:val="005521F0"/>
    <w:rsid w:val="005544C0"/>
    <w:rsid w:val="0055531E"/>
    <w:rsid w:val="00556377"/>
    <w:rsid w:val="00557497"/>
    <w:rsid w:val="00563561"/>
    <w:rsid w:val="00564FD6"/>
    <w:rsid w:val="00566599"/>
    <w:rsid w:val="00566C72"/>
    <w:rsid w:val="00567516"/>
    <w:rsid w:val="00573348"/>
    <w:rsid w:val="00584E6A"/>
    <w:rsid w:val="005865D4"/>
    <w:rsid w:val="00593A31"/>
    <w:rsid w:val="005947B3"/>
    <w:rsid w:val="00594A2A"/>
    <w:rsid w:val="005A0570"/>
    <w:rsid w:val="005A0CCA"/>
    <w:rsid w:val="005A3188"/>
    <w:rsid w:val="005A573A"/>
    <w:rsid w:val="005B3D11"/>
    <w:rsid w:val="005C1032"/>
    <w:rsid w:val="005C2356"/>
    <w:rsid w:val="005C32D5"/>
    <w:rsid w:val="005D1457"/>
    <w:rsid w:val="005D4D25"/>
    <w:rsid w:val="005E368B"/>
    <w:rsid w:val="005E3EFD"/>
    <w:rsid w:val="005E7483"/>
    <w:rsid w:val="005F331C"/>
    <w:rsid w:val="005F7D5F"/>
    <w:rsid w:val="00606697"/>
    <w:rsid w:val="0061068E"/>
    <w:rsid w:val="00611FE1"/>
    <w:rsid w:val="00615E2A"/>
    <w:rsid w:val="00616ADF"/>
    <w:rsid w:val="00620CDD"/>
    <w:rsid w:val="006240BC"/>
    <w:rsid w:val="006302E4"/>
    <w:rsid w:val="00630B26"/>
    <w:rsid w:val="00633DCA"/>
    <w:rsid w:val="00637BA0"/>
    <w:rsid w:val="00637E33"/>
    <w:rsid w:val="006415D6"/>
    <w:rsid w:val="00642819"/>
    <w:rsid w:val="006432B5"/>
    <w:rsid w:val="00643BAF"/>
    <w:rsid w:val="006527A6"/>
    <w:rsid w:val="00652967"/>
    <w:rsid w:val="00654790"/>
    <w:rsid w:val="00656688"/>
    <w:rsid w:val="00661752"/>
    <w:rsid w:val="00662053"/>
    <w:rsid w:val="00665F76"/>
    <w:rsid w:val="006745EA"/>
    <w:rsid w:val="0067613A"/>
    <w:rsid w:val="00685A1C"/>
    <w:rsid w:val="00692BBD"/>
    <w:rsid w:val="00692F7E"/>
    <w:rsid w:val="006A0094"/>
    <w:rsid w:val="006A1459"/>
    <w:rsid w:val="006A335D"/>
    <w:rsid w:val="006A3AC0"/>
    <w:rsid w:val="006B39E8"/>
    <w:rsid w:val="006B57D3"/>
    <w:rsid w:val="006B64C7"/>
    <w:rsid w:val="006C0533"/>
    <w:rsid w:val="006C228F"/>
    <w:rsid w:val="006C3FA2"/>
    <w:rsid w:val="006C43A5"/>
    <w:rsid w:val="006C4EE1"/>
    <w:rsid w:val="006D3F76"/>
    <w:rsid w:val="006D597B"/>
    <w:rsid w:val="006D5B24"/>
    <w:rsid w:val="006D5B58"/>
    <w:rsid w:val="006E4F05"/>
    <w:rsid w:val="006F31AD"/>
    <w:rsid w:val="006F428F"/>
    <w:rsid w:val="006F726E"/>
    <w:rsid w:val="006F75E5"/>
    <w:rsid w:val="00702F9C"/>
    <w:rsid w:val="00703848"/>
    <w:rsid w:val="00703D5A"/>
    <w:rsid w:val="007072A4"/>
    <w:rsid w:val="00711017"/>
    <w:rsid w:val="00716EFB"/>
    <w:rsid w:val="007200DF"/>
    <w:rsid w:val="007230AC"/>
    <w:rsid w:val="00723F3F"/>
    <w:rsid w:val="007240FE"/>
    <w:rsid w:val="007253B1"/>
    <w:rsid w:val="007257AF"/>
    <w:rsid w:val="00725990"/>
    <w:rsid w:val="0073721D"/>
    <w:rsid w:val="00742DD0"/>
    <w:rsid w:val="00745F03"/>
    <w:rsid w:val="007479B1"/>
    <w:rsid w:val="007501B7"/>
    <w:rsid w:val="007512FE"/>
    <w:rsid w:val="00752DDF"/>
    <w:rsid w:val="00752ED1"/>
    <w:rsid w:val="007610DD"/>
    <w:rsid w:val="007614FD"/>
    <w:rsid w:val="00761E91"/>
    <w:rsid w:val="00763E6E"/>
    <w:rsid w:val="00764A8D"/>
    <w:rsid w:val="0076584C"/>
    <w:rsid w:val="00765BEA"/>
    <w:rsid w:val="00767E5B"/>
    <w:rsid w:val="007734F9"/>
    <w:rsid w:val="00774812"/>
    <w:rsid w:val="00783AF8"/>
    <w:rsid w:val="00783D86"/>
    <w:rsid w:val="00784E27"/>
    <w:rsid w:val="00786DBE"/>
    <w:rsid w:val="00787AB7"/>
    <w:rsid w:val="0079146F"/>
    <w:rsid w:val="007918F8"/>
    <w:rsid w:val="00792B4C"/>
    <w:rsid w:val="00793E4E"/>
    <w:rsid w:val="007948B3"/>
    <w:rsid w:val="00795881"/>
    <w:rsid w:val="00795F82"/>
    <w:rsid w:val="0079651A"/>
    <w:rsid w:val="007A35C3"/>
    <w:rsid w:val="007B03BC"/>
    <w:rsid w:val="007B04BB"/>
    <w:rsid w:val="007B1382"/>
    <w:rsid w:val="007B27ED"/>
    <w:rsid w:val="007B36E4"/>
    <w:rsid w:val="007B3C2B"/>
    <w:rsid w:val="007B7064"/>
    <w:rsid w:val="007B7882"/>
    <w:rsid w:val="007C09A0"/>
    <w:rsid w:val="007C24DF"/>
    <w:rsid w:val="007C282A"/>
    <w:rsid w:val="007C3965"/>
    <w:rsid w:val="007C45D7"/>
    <w:rsid w:val="007C6905"/>
    <w:rsid w:val="007C6E65"/>
    <w:rsid w:val="007D13AC"/>
    <w:rsid w:val="007D6430"/>
    <w:rsid w:val="007E0FD4"/>
    <w:rsid w:val="007E1E88"/>
    <w:rsid w:val="007E4826"/>
    <w:rsid w:val="007E706F"/>
    <w:rsid w:val="007F71C7"/>
    <w:rsid w:val="008003AF"/>
    <w:rsid w:val="008010D1"/>
    <w:rsid w:val="00802870"/>
    <w:rsid w:val="00803A89"/>
    <w:rsid w:val="0080516B"/>
    <w:rsid w:val="00806879"/>
    <w:rsid w:val="008121FA"/>
    <w:rsid w:val="00812A66"/>
    <w:rsid w:val="008171D4"/>
    <w:rsid w:val="00817460"/>
    <w:rsid w:val="00820ED5"/>
    <w:rsid w:val="00821AD6"/>
    <w:rsid w:val="00821D03"/>
    <w:rsid w:val="00822C2E"/>
    <w:rsid w:val="00826B36"/>
    <w:rsid w:val="00830BE5"/>
    <w:rsid w:val="00831A93"/>
    <w:rsid w:val="0083208D"/>
    <w:rsid w:val="00832686"/>
    <w:rsid w:val="008347C8"/>
    <w:rsid w:val="0083735F"/>
    <w:rsid w:val="0084037C"/>
    <w:rsid w:val="00843B7B"/>
    <w:rsid w:val="008462FD"/>
    <w:rsid w:val="00850252"/>
    <w:rsid w:val="00850A88"/>
    <w:rsid w:val="00850F70"/>
    <w:rsid w:val="00853157"/>
    <w:rsid w:val="00853A45"/>
    <w:rsid w:val="0086039E"/>
    <w:rsid w:val="00860A87"/>
    <w:rsid w:val="00862115"/>
    <w:rsid w:val="008635AD"/>
    <w:rsid w:val="00867161"/>
    <w:rsid w:val="0087086F"/>
    <w:rsid w:val="00870CCD"/>
    <w:rsid w:val="00873797"/>
    <w:rsid w:val="008762F8"/>
    <w:rsid w:val="00876DCE"/>
    <w:rsid w:val="0087762E"/>
    <w:rsid w:val="00877A65"/>
    <w:rsid w:val="00880179"/>
    <w:rsid w:val="00883E4C"/>
    <w:rsid w:val="00884EA5"/>
    <w:rsid w:val="0088556F"/>
    <w:rsid w:val="00893414"/>
    <w:rsid w:val="008A00A7"/>
    <w:rsid w:val="008A4B3D"/>
    <w:rsid w:val="008A598E"/>
    <w:rsid w:val="008A5BB6"/>
    <w:rsid w:val="008A7292"/>
    <w:rsid w:val="008B0D46"/>
    <w:rsid w:val="008B36AB"/>
    <w:rsid w:val="008B3944"/>
    <w:rsid w:val="008B509A"/>
    <w:rsid w:val="008B62F1"/>
    <w:rsid w:val="008C081C"/>
    <w:rsid w:val="008D390D"/>
    <w:rsid w:val="008E1459"/>
    <w:rsid w:val="008E6DC1"/>
    <w:rsid w:val="008E71CC"/>
    <w:rsid w:val="008F1D74"/>
    <w:rsid w:val="008F523B"/>
    <w:rsid w:val="008F6762"/>
    <w:rsid w:val="00901678"/>
    <w:rsid w:val="0090269A"/>
    <w:rsid w:val="00903701"/>
    <w:rsid w:val="009076DE"/>
    <w:rsid w:val="00907B75"/>
    <w:rsid w:val="00910158"/>
    <w:rsid w:val="00910D20"/>
    <w:rsid w:val="00910E77"/>
    <w:rsid w:val="00917BBA"/>
    <w:rsid w:val="00926F32"/>
    <w:rsid w:val="009309A2"/>
    <w:rsid w:val="00930AB3"/>
    <w:rsid w:val="00931E3A"/>
    <w:rsid w:val="0093263C"/>
    <w:rsid w:val="00932B03"/>
    <w:rsid w:val="009360C8"/>
    <w:rsid w:val="00941108"/>
    <w:rsid w:val="00941607"/>
    <w:rsid w:val="009426EB"/>
    <w:rsid w:val="00944018"/>
    <w:rsid w:val="009511CA"/>
    <w:rsid w:val="0095137F"/>
    <w:rsid w:val="0095531D"/>
    <w:rsid w:val="00955B88"/>
    <w:rsid w:val="009562A7"/>
    <w:rsid w:val="009571EF"/>
    <w:rsid w:val="009579A5"/>
    <w:rsid w:val="00957C76"/>
    <w:rsid w:val="00957CC7"/>
    <w:rsid w:val="00957FD3"/>
    <w:rsid w:val="0096456E"/>
    <w:rsid w:val="00966AE9"/>
    <w:rsid w:val="00971557"/>
    <w:rsid w:val="0097265D"/>
    <w:rsid w:val="00972795"/>
    <w:rsid w:val="0097461D"/>
    <w:rsid w:val="00980BDA"/>
    <w:rsid w:val="00982394"/>
    <w:rsid w:val="00984236"/>
    <w:rsid w:val="0098428F"/>
    <w:rsid w:val="00985091"/>
    <w:rsid w:val="00990914"/>
    <w:rsid w:val="009914B9"/>
    <w:rsid w:val="0099221C"/>
    <w:rsid w:val="009928D3"/>
    <w:rsid w:val="00993414"/>
    <w:rsid w:val="0099398A"/>
    <w:rsid w:val="00993B20"/>
    <w:rsid w:val="009968C6"/>
    <w:rsid w:val="009969DD"/>
    <w:rsid w:val="009A11D6"/>
    <w:rsid w:val="009A7B79"/>
    <w:rsid w:val="009B0019"/>
    <w:rsid w:val="009B413B"/>
    <w:rsid w:val="009B73C2"/>
    <w:rsid w:val="009C2AC8"/>
    <w:rsid w:val="009C5B80"/>
    <w:rsid w:val="009C6664"/>
    <w:rsid w:val="009C6E4A"/>
    <w:rsid w:val="009C7434"/>
    <w:rsid w:val="009D0AFD"/>
    <w:rsid w:val="009D2D1B"/>
    <w:rsid w:val="009D66A1"/>
    <w:rsid w:val="009E17ED"/>
    <w:rsid w:val="009E1ACA"/>
    <w:rsid w:val="009E2785"/>
    <w:rsid w:val="009E3609"/>
    <w:rsid w:val="009E55DF"/>
    <w:rsid w:val="009F02C8"/>
    <w:rsid w:val="009F2A37"/>
    <w:rsid w:val="009F37FA"/>
    <w:rsid w:val="009F4A68"/>
    <w:rsid w:val="009F6118"/>
    <w:rsid w:val="009F6384"/>
    <w:rsid w:val="00A02542"/>
    <w:rsid w:val="00A03A6B"/>
    <w:rsid w:val="00A20531"/>
    <w:rsid w:val="00A21120"/>
    <w:rsid w:val="00A22602"/>
    <w:rsid w:val="00A23948"/>
    <w:rsid w:val="00A23B89"/>
    <w:rsid w:val="00A24FE8"/>
    <w:rsid w:val="00A35A4D"/>
    <w:rsid w:val="00A36959"/>
    <w:rsid w:val="00A37B01"/>
    <w:rsid w:val="00A40155"/>
    <w:rsid w:val="00A46CCA"/>
    <w:rsid w:val="00A524C0"/>
    <w:rsid w:val="00A53E77"/>
    <w:rsid w:val="00A562AD"/>
    <w:rsid w:val="00A62C76"/>
    <w:rsid w:val="00A63293"/>
    <w:rsid w:val="00A665A1"/>
    <w:rsid w:val="00A734B9"/>
    <w:rsid w:val="00A7390C"/>
    <w:rsid w:val="00A7467F"/>
    <w:rsid w:val="00A74E57"/>
    <w:rsid w:val="00A7605B"/>
    <w:rsid w:val="00A764E9"/>
    <w:rsid w:val="00A77A52"/>
    <w:rsid w:val="00A77F5D"/>
    <w:rsid w:val="00A840D0"/>
    <w:rsid w:val="00A84279"/>
    <w:rsid w:val="00A91AC1"/>
    <w:rsid w:val="00A929F3"/>
    <w:rsid w:val="00A948CC"/>
    <w:rsid w:val="00AA4379"/>
    <w:rsid w:val="00AA6A43"/>
    <w:rsid w:val="00AA6EE3"/>
    <w:rsid w:val="00AA77D9"/>
    <w:rsid w:val="00AA7963"/>
    <w:rsid w:val="00AB0DED"/>
    <w:rsid w:val="00AB2F47"/>
    <w:rsid w:val="00AB74C0"/>
    <w:rsid w:val="00AC2E90"/>
    <w:rsid w:val="00AC603A"/>
    <w:rsid w:val="00AC68E6"/>
    <w:rsid w:val="00AC6FD6"/>
    <w:rsid w:val="00AC7DE5"/>
    <w:rsid w:val="00AD0DE1"/>
    <w:rsid w:val="00AD4F6D"/>
    <w:rsid w:val="00AD68B5"/>
    <w:rsid w:val="00AD6DFD"/>
    <w:rsid w:val="00AD7CA2"/>
    <w:rsid w:val="00AE46DA"/>
    <w:rsid w:val="00AE4CAE"/>
    <w:rsid w:val="00AE5EE0"/>
    <w:rsid w:val="00AE6C08"/>
    <w:rsid w:val="00AF0FEA"/>
    <w:rsid w:val="00AF3517"/>
    <w:rsid w:val="00AF4208"/>
    <w:rsid w:val="00AF4463"/>
    <w:rsid w:val="00AF4808"/>
    <w:rsid w:val="00AF68B1"/>
    <w:rsid w:val="00B02A17"/>
    <w:rsid w:val="00B03A10"/>
    <w:rsid w:val="00B03B27"/>
    <w:rsid w:val="00B07610"/>
    <w:rsid w:val="00B0762B"/>
    <w:rsid w:val="00B1284F"/>
    <w:rsid w:val="00B13925"/>
    <w:rsid w:val="00B1560F"/>
    <w:rsid w:val="00B15FCD"/>
    <w:rsid w:val="00B2002F"/>
    <w:rsid w:val="00B203BA"/>
    <w:rsid w:val="00B26573"/>
    <w:rsid w:val="00B269B4"/>
    <w:rsid w:val="00B26A5F"/>
    <w:rsid w:val="00B26C19"/>
    <w:rsid w:val="00B308AD"/>
    <w:rsid w:val="00B31312"/>
    <w:rsid w:val="00B32E71"/>
    <w:rsid w:val="00B35A2A"/>
    <w:rsid w:val="00B35E0B"/>
    <w:rsid w:val="00B36B64"/>
    <w:rsid w:val="00B372B5"/>
    <w:rsid w:val="00B40051"/>
    <w:rsid w:val="00B40B52"/>
    <w:rsid w:val="00B4183C"/>
    <w:rsid w:val="00B42DEE"/>
    <w:rsid w:val="00B458FE"/>
    <w:rsid w:val="00B464AC"/>
    <w:rsid w:val="00B46DBD"/>
    <w:rsid w:val="00B54B28"/>
    <w:rsid w:val="00B55F04"/>
    <w:rsid w:val="00B561CC"/>
    <w:rsid w:val="00B56347"/>
    <w:rsid w:val="00B61102"/>
    <w:rsid w:val="00B64887"/>
    <w:rsid w:val="00B649E5"/>
    <w:rsid w:val="00B660D6"/>
    <w:rsid w:val="00B708C4"/>
    <w:rsid w:val="00B739E1"/>
    <w:rsid w:val="00B75E80"/>
    <w:rsid w:val="00B76DE4"/>
    <w:rsid w:val="00B77139"/>
    <w:rsid w:val="00B77C6F"/>
    <w:rsid w:val="00B80070"/>
    <w:rsid w:val="00B82143"/>
    <w:rsid w:val="00B926A0"/>
    <w:rsid w:val="00B940F7"/>
    <w:rsid w:val="00B94142"/>
    <w:rsid w:val="00B96714"/>
    <w:rsid w:val="00B96FC4"/>
    <w:rsid w:val="00BA4498"/>
    <w:rsid w:val="00BA7BE7"/>
    <w:rsid w:val="00BB2138"/>
    <w:rsid w:val="00BB3305"/>
    <w:rsid w:val="00BB6EB1"/>
    <w:rsid w:val="00BB7088"/>
    <w:rsid w:val="00BC02EC"/>
    <w:rsid w:val="00BC0EF1"/>
    <w:rsid w:val="00BC10FD"/>
    <w:rsid w:val="00BC18D7"/>
    <w:rsid w:val="00BC233B"/>
    <w:rsid w:val="00BC240C"/>
    <w:rsid w:val="00BC2CDD"/>
    <w:rsid w:val="00BC5E06"/>
    <w:rsid w:val="00BD0214"/>
    <w:rsid w:val="00BD0B98"/>
    <w:rsid w:val="00BD12DB"/>
    <w:rsid w:val="00BD2C10"/>
    <w:rsid w:val="00BE58CF"/>
    <w:rsid w:val="00BF064F"/>
    <w:rsid w:val="00BF1D8F"/>
    <w:rsid w:val="00BF21C1"/>
    <w:rsid w:val="00BF235E"/>
    <w:rsid w:val="00BF2B33"/>
    <w:rsid w:val="00BF2E31"/>
    <w:rsid w:val="00BF3023"/>
    <w:rsid w:val="00BF40E1"/>
    <w:rsid w:val="00BF49BA"/>
    <w:rsid w:val="00BF53C1"/>
    <w:rsid w:val="00BF6C9C"/>
    <w:rsid w:val="00BF7F9E"/>
    <w:rsid w:val="00C01E7C"/>
    <w:rsid w:val="00C029D9"/>
    <w:rsid w:val="00C03289"/>
    <w:rsid w:val="00C0344A"/>
    <w:rsid w:val="00C04997"/>
    <w:rsid w:val="00C11461"/>
    <w:rsid w:val="00C126B3"/>
    <w:rsid w:val="00C14209"/>
    <w:rsid w:val="00C1677A"/>
    <w:rsid w:val="00C171D8"/>
    <w:rsid w:val="00C203AE"/>
    <w:rsid w:val="00C23C30"/>
    <w:rsid w:val="00C26C8D"/>
    <w:rsid w:val="00C27728"/>
    <w:rsid w:val="00C30D28"/>
    <w:rsid w:val="00C318F7"/>
    <w:rsid w:val="00C36CE6"/>
    <w:rsid w:val="00C403AC"/>
    <w:rsid w:val="00C40E01"/>
    <w:rsid w:val="00C423C9"/>
    <w:rsid w:val="00C43635"/>
    <w:rsid w:val="00C43BB1"/>
    <w:rsid w:val="00C45A6B"/>
    <w:rsid w:val="00C45DBB"/>
    <w:rsid w:val="00C520EE"/>
    <w:rsid w:val="00C54FC4"/>
    <w:rsid w:val="00C55381"/>
    <w:rsid w:val="00C55E99"/>
    <w:rsid w:val="00C62135"/>
    <w:rsid w:val="00C632DB"/>
    <w:rsid w:val="00C640D6"/>
    <w:rsid w:val="00C64487"/>
    <w:rsid w:val="00C66D57"/>
    <w:rsid w:val="00C66E4F"/>
    <w:rsid w:val="00C6703E"/>
    <w:rsid w:val="00C676C3"/>
    <w:rsid w:val="00C719CA"/>
    <w:rsid w:val="00C73043"/>
    <w:rsid w:val="00C73642"/>
    <w:rsid w:val="00C77FFB"/>
    <w:rsid w:val="00C8051C"/>
    <w:rsid w:val="00C8185C"/>
    <w:rsid w:val="00C81FD6"/>
    <w:rsid w:val="00C82D77"/>
    <w:rsid w:val="00C832C5"/>
    <w:rsid w:val="00C83949"/>
    <w:rsid w:val="00C847F9"/>
    <w:rsid w:val="00C84BBA"/>
    <w:rsid w:val="00C84F33"/>
    <w:rsid w:val="00C8589B"/>
    <w:rsid w:val="00C85D45"/>
    <w:rsid w:val="00C9054A"/>
    <w:rsid w:val="00C90B40"/>
    <w:rsid w:val="00C9161F"/>
    <w:rsid w:val="00C929F7"/>
    <w:rsid w:val="00C95663"/>
    <w:rsid w:val="00C9583C"/>
    <w:rsid w:val="00C96915"/>
    <w:rsid w:val="00C96B66"/>
    <w:rsid w:val="00C979DF"/>
    <w:rsid w:val="00C97EA1"/>
    <w:rsid w:val="00CA161E"/>
    <w:rsid w:val="00CA2503"/>
    <w:rsid w:val="00CA50CB"/>
    <w:rsid w:val="00CB3AAE"/>
    <w:rsid w:val="00CB599C"/>
    <w:rsid w:val="00CB5E19"/>
    <w:rsid w:val="00CB7934"/>
    <w:rsid w:val="00CC2D45"/>
    <w:rsid w:val="00CC4043"/>
    <w:rsid w:val="00CC59C7"/>
    <w:rsid w:val="00CC7EB3"/>
    <w:rsid w:val="00CD13FF"/>
    <w:rsid w:val="00CD230C"/>
    <w:rsid w:val="00CD39FF"/>
    <w:rsid w:val="00CD3A06"/>
    <w:rsid w:val="00CD54B7"/>
    <w:rsid w:val="00CE119D"/>
    <w:rsid w:val="00CE210E"/>
    <w:rsid w:val="00CE322A"/>
    <w:rsid w:val="00CE481A"/>
    <w:rsid w:val="00CE72F4"/>
    <w:rsid w:val="00CE7963"/>
    <w:rsid w:val="00CF4055"/>
    <w:rsid w:val="00CF436A"/>
    <w:rsid w:val="00CF5194"/>
    <w:rsid w:val="00CF6719"/>
    <w:rsid w:val="00D003F3"/>
    <w:rsid w:val="00D00B6B"/>
    <w:rsid w:val="00D014A7"/>
    <w:rsid w:val="00D0351F"/>
    <w:rsid w:val="00D04A5D"/>
    <w:rsid w:val="00D05FDF"/>
    <w:rsid w:val="00D0762D"/>
    <w:rsid w:val="00D105B6"/>
    <w:rsid w:val="00D105E3"/>
    <w:rsid w:val="00D148D6"/>
    <w:rsid w:val="00D1763F"/>
    <w:rsid w:val="00D223A7"/>
    <w:rsid w:val="00D23918"/>
    <w:rsid w:val="00D23F9F"/>
    <w:rsid w:val="00D246F7"/>
    <w:rsid w:val="00D258A3"/>
    <w:rsid w:val="00D25E1D"/>
    <w:rsid w:val="00D30108"/>
    <w:rsid w:val="00D322AE"/>
    <w:rsid w:val="00D36ACC"/>
    <w:rsid w:val="00D4024A"/>
    <w:rsid w:val="00D41770"/>
    <w:rsid w:val="00D42C39"/>
    <w:rsid w:val="00D458C1"/>
    <w:rsid w:val="00D466C7"/>
    <w:rsid w:val="00D5151A"/>
    <w:rsid w:val="00D554C9"/>
    <w:rsid w:val="00D557FF"/>
    <w:rsid w:val="00D603B2"/>
    <w:rsid w:val="00D62F74"/>
    <w:rsid w:val="00D642D3"/>
    <w:rsid w:val="00D642E5"/>
    <w:rsid w:val="00D656DB"/>
    <w:rsid w:val="00D65EBE"/>
    <w:rsid w:val="00D67187"/>
    <w:rsid w:val="00D671FE"/>
    <w:rsid w:val="00D7020C"/>
    <w:rsid w:val="00D762BD"/>
    <w:rsid w:val="00D769D3"/>
    <w:rsid w:val="00D769F8"/>
    <w:rsid w:val="00D823D6"/>
    <w:rsid w:val="00D828B1"/>
    <w:rsid w:val="00D86D19"/>
    <w:rsid w:val="00D926AE"/>
    <w:rsid w:val="00D93D5C"/>
    <w:rsid w:val="00D93DC7"/>
    <w:rsid w:val="00DA01A5"/>
    <w:rsid w:val="00DB1CC9"/>
    <w:rsid w:val="00DB2094"/>
    <w:rsid w:val="00DB48A5"/>
    <w:rsid w:val="00DB547C"/>
    <w:rsid w:val="00DC067D"/>
    <w:rsid w:val="00DC10C3"/>
    <w:rsid w:val="00DC24D8"/>
    <w:rsid w:val="00DC63A5"/>
    <w:rsid w:val="00DC7D2F"/>
    <w:rsid w:val="00DD15BD"/>
    <w:rsid w:val="00DD570C"/>
    <w:rsid w:val="00DD75C0"/>
    <w:rsid w:val="00DE1A4D"/>
    <w:rsid w:val="00DE1DA5"/>
    <w:rsid w:val="00DE1DED"/>
    <w:rsid w:val="00DE3D00"/>
    <w:rsid w:val="00DE452F"/>
    <w:rsid w:val="00DE6C8D"/>
    <w:rsid w:val="00DF34AB"/>
    <w:rsid w:val="00DF3B4B"/>
    <w:rsid w:val="00DF62E3"/>
    <w:rsid w:val="00E037FB"/>
    <w:rsid w:val="00E06578"/>
    <w:rsid w:val="00E06956"/>
    <w:rsid w:val="00E1092E"/>
    <w:rsid w:val="00E1559A"/>
    <w:rsid w:val="00E164BF"/>
    <w:rsid w:val="00E334DD"/>
    <w:rsid w:val="00E35A4B"/>
    <w:rsid w:val="00E37412"/>
    <w:rsid w:val="00E37760"/>
    <w:rsid w:val="00E416DF"/>
    <w:rsid w:val="00E4335F"/>
    <w:rsid w:val="00E446E5"/>
    <w:rsid w:val="00E46C07"/>
    <w:rsid w:val="00E46D40"/>
    <w:rsid w:val="00E4776B"/>
    <w:rsid w:val="00E4783C"/>
    <w:rsid w:val="00E52F93"/>
    <w:rsid w:val="00E6195F"/>
    <w:rsid w:val="00E61CB8"/>
    <w:rsid w:val="00E7113D"/>
    <w:rsid w:val="00E733FE"/>
    <w:rsid w:val="00E740B7"/>
    <w:rsid w:val="00E76BF9"/>
    <w:rsid w:val="00E77CEF"/>
    <w:rsid w:val="00E8207C"/>
    <w:rsid w:val="00E82E5A"/>
    <w:rsid w:val="00E858D6"/>
    <w:rsid w:val="00E86570"/>
    <w:rsid w:val="00E9050E"/>
    <w:rsid w:val="00E95B56"/>
    <w:rsid w:val="00E95C5E"/>
    <w:rsid w:val="00E967FB"/>
    <w:rsid w:val="00E97C27"/>
    <w:rsid w:val="00EA2610"/>
    <w:rsid w:val="00EA78FC"/>
    <w:rsid w:val="00EB015C"/>
    <w:rsid w:val="00EB055A"/>
    <w:rsid w:val="00EB49C5"/>
    <w:rsid w:val="00EC44F3"/>
    <w:rsid w:val="00EC7FFE"/>
    <w:rsid w:val="00ED4F6A"/>
    <w:rsid w:val="00ED5DC6"/>
    <w:rsid w:val="00ED6068"/>
    <w:rsid w:val="00ED7E89"/>
    <w:rsid w:val="00EE2071"/>
    <w:rsid w:val="00EE2C91"/>
    <w:rsid w:val="00EE368A"/>
    <w:rsid w:val="00EE62F6"/>
    <w:rsid w:val="00EE6C16"/>
    <w:rsid w:val="00EF0CD3"/>
    <w:rsid w:val="00EF11A3"/>
    <w:rsid w:val="00EF1577"/>
    <w:rsid w:val="00EF227A"/>
    <w:rsid w:val="00EF66FF"/>
    <w:rsid w:val="00EF6E4F"/>
    <w:rsid w:val="00F027F1"/>
    <w:rsid w:val="00F045FE"/>
    <w:rsid w:val="00F06694"/>
    <w:rsid w:val="00F11CF6"/>
    <w:rsid w:val="00F1246D"/>
    <w:rsid w:val="00F1370D"/>
    <w:rsid w:val="00F13E3A"/>
    <w:rsid w:val="00F14E1E"/>
    <w:rsid w:val="00F14E32"/>
    <w:rsid w:val="00F15047"/>
    <w:rsid w:val="00F16E70"/>
    <w:rsid w:val="00F172B6"/>
    <w:rsid w:val="00F1750B"/>
    <w:rsid w:val="00F21874"/>
    <w:rsid w:val="00F2362F"/>
    <w:rsid w:val="00F25445"/>
    <w:rsid w:val="00F264F9"/>
    <w:rsid w:val="00F33AAD"/>
    <w:rsid w:val="00F3470A"/>
    <w:rsid w:val="00F366C5"/>
    <w:rsid w:val="00F376D4"/>
    <w:rsid w:val="00F4188F"/>
    <w:rsid w:val="00F458DC"/>
    <w:rsid w:val="00F52680"/>
    <w:rsid w:val="00F527E6"/>
    <w:rsid w:val="00F52D19"/>
    <w:rsid w:val="00F5466C"/>
    <w:rsid w:val="00F54A4E"/>
    <w:rsid w:val="00F54D61"/>
    <w:rsid w:val="00F56D02"/>
    <w:rsid w:val="00F56DB8"/>
    <w:rsid w:val="00F64396"/>
    <w:rsid w:val="00F64FB4"/>
    <w:rsid w:val="00F67EC0"/>
    <w:rsid w:val="00F716D9"/>
    <w:rsid w:val="00F73AF9"/>
    <w:rsid w:val="00F771D2"/>
    <w:rsid w:val="00F8049E"/>
    <w:rsid w:val="00F80D74"/>
    <w:rsid w:val="00F81AE6"/>
    <w:rsid w:val="00F83A32"/>
    <w:rsid w:val="00F84505"/>
    <w:rsid w:val="00F846F1"/>
    <w:rsid w:val="00F86309"/>
    <w:rsid w:val="00F8636F"/>
    <w:rsid w:val="00F92075"/>
    <w:rsid w:val="00F9553E"/>
    <w:rsid w:val="00F97E1C"/>
    <w:rsid w:val="00FA03B8"/>
    <w:rsid w:val="00FA17C4"/>
    <w:rsid w:val="00FA2F1F"/>
    <w:rsid w:val="00FB192E"/>
    <w:rsid w:val="00FB3843"/>
    <w:rsid w:val="00FB43E2"/>
    <w:rsid w:val="00FB7455"/>
    <w:rsid w:val="00FB7A3B"/>
    <w:rsid w:val="00FB7B19"/>
    <w:rsid w:val="00FC12AB"/>
    <w:rsid w:val="00FC196C"/>
    <w:rsid w:val="00FC26BF"/>
    <w:rsid w:val="00FC3773"/>
    <w:rsid w:val="00FC4AFA"/>
    <w:rsid w:val="00FC5768"/>
    <w:rsid w:val="00FC5B1D"/>
    <w:rsid w:val="00FC5B30"/>
    <w:rsid w:val="00FD2958"/>
    <w:rsid w:val="00FE074A"/>
    <w:rsid w:val="00FE3F78"/>
    <w:rsid w:val="00FE477E"/>
    <w:rsid w:val="00FE504E"/>
    <w:rsid w:val="00FE66B0"/>
    <w:rsid w:val="00FE7F14"/>
    <w:rsid w:val="00FF0257"/>
    <w:rsid w:val="00FF29FC"/>
    <w:rsid w:val="00FF3576"/>
    <w:rsid w:val="00FF3F72"/>
    <w:rsid w:val="00FF4A25"/>
    <w:rsid w:val="00FF4E44"/>
    <w:rsid w:val="00FF7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DA5FD7"/>
  <w15:chartTrackingRefBased/>
  <w15:docId w15:val="{1B9B0FE0-ED0D-4633-9094-C817E3B8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194"/>
    <w:pPr>
      <w:spacing w:before="40" w:after="120" w:line="280" w:lineRule="atLeast"/>
    </w:pPr>
    <w:rPr>
      <w:rFonts w:ascii="Calibri" w:hAnsi="Calibri"/>
      <w:sz w:val="24"/>
    </w:rPr>
  </w:style>
  <w:style w:type="paragraph" w:styleId="Heading1">
    <w:name w:val="heading 1"/>
    <w:basedOn w:val="Normal"/>
    <w:next w:val="Normal"/>
    <w:link w:val="Heading1Char"/>
    <w:uiPriority w:val="9"/>
    <w:qFormat/>
    <w:rsid w:val="009D66A1"/>
    <w:pPr>
      <w:keepNext/>
      <w:keepLines/>
      <w:numPr>
        <w:numId w:val="32"/>
      </w:numPr>
      <w:spacing w:before="240"/>
      <w:ind w:hanging="720"/>
      <w:outlineLvl w:val="0"/>
    </w:pPr>
    <w:rPr>
      <w:rFonts w:eastAsiaTheme="majorEastAsia" w:cstheme="majorBidi"/>
      <w:color w:val="005677" w:themeColor="accent1"/>
      <w:sz w:val="28"/>
      <w:szCs w:val="32"/>
    </w:rPr>
  </w:style>
  <w:style w:type="paragraph" w:styleId="Heading2">
    <w:name w:val="heading 2"/>
    <w:basedOn w:val="Normal"/>
    <w:next w:val="Normal"/>
    <w:link w:val="Heading2Char"/>
    <w:uiPriority w:val="9"/>
    <w:unhideWhenUsed/>
    <w:qFormat/>
    <w:rsid w:val="00CF5194"/>
    <w:pPr>
      <w:keepNext/>
      <w:keepLines/>
      <w:numPr>
        <w:ilvl w:val="1"/>
        <w:numId w:val="30"/>
      </w:numPr>
      <w:spacing w:before="240" w:after="240"/>
      <w:outlineLvl w:val="1"/>
    </w:pPr>
    <w:rPr>
      <w:rFonts w:eastAsiaTheme="majorEastAsia" w:cstheme="majorBidi"/>
      <w:color w:val="005677" w:themeColor="accent1"/>
      <w:sz w:val="36"/>
      <w:szCs w:val="26"/>
    </w:rPr>
  </w:style>
  <w:style w:type="paragraph" w:styleId="Heading3">
    <w:name w:val="heading 3"/>
    <w:basedOn w:val="Normal"/>
    <w:next w:val="Normal"/>
    <w:link w:val="Heading3Char"/>
    <w:uiPriority w:val="9"/>
    <w:unhideWhenUsed/>
    <w:qFormat/>
    <w:rsid w:val="008B0D46"/>
    <w:pPr>
      <w:keepNext/>
      <w:keepLines/>
      <w:numPr>
        <w:ilvl w:val="2"/>
        <w:numId w:val="30"/>
      </w:numPr>
      <w:spacing w:after="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numPr>
        <w:ilvl w:val="3"/>
        <w:numId w:val="30"/>
      </w:numPr>
      <w:spacing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numPr>
        <w:ilvl w:val="4"/>
        <w:numId w:val="30"/>
      </w:numPr>
      <w:spacing w:after="0"/>
      <w:outlineLvl w:val="4"/>
    </w:pPr>
    <w:rPr>
      <w:rFonts w:eastAsiaTheme="majorEastAsia" w:cstheme="majorBidi"/>
      <w:b/>
      <w:color w:val="00283E"/>
    </w:rPr>
  </w:style>
  <w:style w:type="paragraph" w:styleId="Heading6">
    <w:name w:val="heading 6"/>
    <w:basedOn w:val="Normal"/>
    <w:next w:val="Normal"/>
    <w:link w:val="Heading6Char"/>
    <w:uiPriority w:val="9"/>
    <w:semiHidden/>
    <w:unhideWhenUsed/>
    <w:rsid w:val="00CF5194"/>
    <w:pPr>
      <w:keepNext/>
      <w:keepLines/>
      <w:numPr>
        <w:ilvl w:val="5"/>
        <w:numId w:val="30"/>
      </w:numPr>
      <w:spacing w:after="0"/>
      <w:outlineLvl w:val="5"/>
    </w:pPr>
    <w:rPr>
      <w:rFonts w:asciiTheme="majorHAnsi" w:eastAsiaTheme="majorEastAsia" w:hAnsiTheme="majorHAnsi" w:cstheme="majorBidi"/>
      <w:color w:val="002A3B" w:themeColor="accent1" w:themeShade="7F"/>
    </w:rPr>
  </w:style>
  <w:style w:type="paragraph" w:styleId="Heading7">
    <w:name w:val="heading 7"/>
    <w:basedOn w:val="Normal"/>
    <w:next w:val="Normal"/>
    <w:link w:val="Heading7Char"/>
    <w:uiPriority w:val="9"/>
    <w:semiHidden/>
    <w:unhideWhenUsed/>
    <w:qFormat/>
    <w:rsid w:val="00CF5194"/>
    <w:pPr>
      <w:keepNext/>
      <w:keepLines/>
      <w:numPr>
        <w:ilvl w:val="6"/>
        <w:numId w:val="30"/>
      </w:numPr>
      <w:spacing w:after="0"/>
      <w:outlineLvl w:val="6"/>
    </w:pPr>
    <w:rPr>
      <w:rFonts w:asciiTheme="majorHAnsi" w:eastAsiaTheme="majorEastAsia" w:hAnsiTheme="majorHAnsi" w:cstheme="majorBidi"/>
      <w:i/>
      <w:iCs/>
      <w:color w:val="002A3B" w:themeColor="accent1" w:themeShade="7F"/>
    </w:rPr>
  </w:style>
  <w:style w:type="paragraph" w:styleId="Heading8">
    <w:name w:val="heading 8"/>
    <w:basedOn w:val="Normal"/>
    <w:next w:val="Normal"/>
    <w:link w:val="Heading8Char"/>
    <w:uiPriority w:val="9"/>
    <w:semiHidden/>
    <w:unhideWhenUsed/>
    <w:qFormat/>
    <w:rsid w:val="00CF5194"/>
    <w:pPr>
      <w:keepNext/>
      <w:keepLines/>
      <w:numPr>
        <w:ilvl w:val="7"/>
        <w:numId w:val="30"/>
      </w:numPr>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5194"/>
    <w:pPr>
      <w:keepNext/>
      <w:keepLines/>
      <w:numPr>
        <w:ilvl w:val="8"/>
        <w:numId w:val="30"/>
      </w:numPr>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A24FE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A24FE8"/>
    <w:rPr>
      <w:rFonts w:ascii="Calibri" w:hAnsi="Calibri"/>
      <w:sz w:val="20"/>
    </w:rPr>
  </w:style>
  <w:style w:type="paragraph" w:styleId="Title">
    <w:name w:val="Title"/>
    <w:basedOn w:val="Normal"/>
    <w:next w:val="Normal"/>
    <w:link w:val="TitleChar"/>
    <w:uiPriority w:val="10"/>
    <w:qFormat/>
    <w:rsid w:val="00F13E3A"/>
    <w:pPr>
      <w:pBdr>
        <w:bottom w:val="single" w:sz="8" w:space="1" w:color="005677" w:themeColor="accent1"/>
      </w:pBdr>
      <w:spacing w:before="240" w:after="240"/>
      <w:contextualSpacing/>
    </w:pPr>
    <w:rPr>
      <w:rFonts w:eastAsiaTheme="majorEastAsia" w:cstheme="majorBidi"/>
      <w:color w:val="005677"/>
      <w:spacing w:val="-10"/>
      <w:kern w:val="28"/>
      <w:sz w:val="44"/>
      <w:szCs w:val="56"/>
    </w:rPr>
  </w:style>
  <w:style w:type="character" w:customStyle="1" w:styleId="TitleChar">
    <w:name w:val="Title Char"/>
    <w:basedOn w:val="DefaultParagraphFont"/>
    <w:link w:val="Title"/>
    <w:uiPriority w:val="10"/>
    <w:rsid w:val="00F13E3A"/>
    <w:rPr>
      <w:rFonts w:ascii="Calibri" w:eastAsiaTheme="majorEastAsia" w:hAnsi="Calibri" w:cstheme="majorBidi"/>
      <w:color w:val="005677"/>
      <w:spacing w:val="-10"/>
      <w:kern w:val="28"/>
      <w:sz w:val="44"/>
      <w:szCs w:val="56"/>
    </w:rPr>
  </w:style>
  <w:style w:type="character" w:customStyle="1" w:styleId="Heading1Char">
    <w:name w:val="Heading 1 Char"/>
    <w:basedOn w:val="DefaultParagraphFont"/>
    <w:link w:val="Heading1"/>
    <w:uiPriority w:val="9"/>
    <w:rsid w:val="009D66A1"/>
    <w:rPr>
      <w:rFonts w:ascii="Calibri" w:eastAsiaTheme="majorEastAsia" w:hAnsi="Calibri" w:cstheme="majorBidi"/>
      <w:color w:val="005677" w:themeColor="accent1"/>
      <w:sz w:val="28"/>
      <w:szCs w:val="32"/>
    </w:rPr>
  </w:style>
  <w:style w:type="character" w:customStyle="1" w:styleId="Heading2Char">
    <w:name w:val="Heading 2 Char"/>
    <w:basedOn w:val="DefaultParagraphFont"/>
    <w:link w:val="Heading2"/>
    <w:uiPriority w:val="9"/>
    <w:rsid w:val="00CF5194"/>
    <w:rPr>
      <w:rFonts w:ascii="Calibri" w:eastAsiaTheme="majorEastAsia" w:hAnsi="Calibri" w:cstheme="majorBidi"/>
      <w:color w:val="005677" w:themeColor="accent1"/>
      <w:sz w:val="36"/>
      <w:szCs w:val="26"/>
    </w:rPr>
  </w:style>
  <w:style w:type="character" w:customStyle="1" w:styleId="Heading3Char">
    <w:name w:val="Heading 3 Char"/>
    <w:basedOn w:val="DefaultParagraphFont"/>
    <w:link w:val="Heading3"/>
    <w:uiPriority w:val="9"/>
    <w:rsid w:val="008B0D46"/>
    <w:rPr>
      <w:rFonts w:ascii="Calibri" w:eastAsiaTheme="majorEastAsia" w:hAnsi="Calibri" w:cstheme="majorBidi"/>
      <w:color w:val="00283E"/>
      <w:sz w:val="36"/>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aliases w:val="Recommendation,L,List Paragraph1,List Paragraph11,List Paragraph2,Bullet point,NFP GP Bulleted List,bullet point list,1 heading,AR bullet 1,Bullet Point,Bullet points,Content descriptions,Bullet Points,Bulleted Para,Bulletr List Paragraph"/>
    <w:basedOn w:val="Normal"/>
    <w:link w:val="ListParagraphChar"/>
    <w:uiPriority w:val="34"/>
    <w:qFormat/>
    <w:rsid w:val="00527E00"/>
    <w:pPr>
      <w:numPr>
        <w:numId w:val="1"/>
      </w:numPr>
      <w:contextualSpacing/>
    </w:pPr>
  </w:style>
  <w:style w:type="paragraph" w:styleId="ListBullet">
    <w:name w:val="List Bullet"/>
    <w:basedOn w:val="ListParagraph"/>
    <w:uiPriority w:val="99"/>
    <w:unhideWhenUsed/>
    <w:rsid w:val="00CF5194"/>
    <w:pPr>
      <w:numPr>
        <w:numId w:val="14"/>
      </w:numPr>
      <w:spacing w:before="60" w:after="60"/>
      <w:contextualSpacing w:val="0"/>
    </w:pPr>
  </w:style>
  <w:style w:type="paragraph" w:styleId="ListBullet2">
    <w:name w:val="List Bullet 2"/>
    <w:basedOn w:val="ListBullet"/>
    <w:uiPriority w:val="99"/>
    <w:unhideWhenUsed/>
    <w:rsid w:val="00CF5194"/>
    <w:pPr>
      <w:numPr>
        <w:numId w:val="31"/>
      </w:numPr>
      <w:spacing w:before="40" w:after="40"/>
      <w:ind w:left="357" w:hanging="357"/>
    </w:pPr>
  </w:style>
  <w:style w:type="paragraph" w:styleId="ListNumber">
    <w:name w:val="List Number"/>
    <w:basedOn w:val="ListParagraph"/>
    <w:uiPriority w:val="99"/>
    <w:unhideWhenUsed/>
    <w:rsid w:val="00F13E3A"/>
    <w:pPr>
      <w:numPr>
        <w:numId w:val="15"/>
      </w:numPr>
      <w:spacing w:before="60" w:after="60"/>
      <w:contextualSpacing w:val="0"/>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3808AD"/>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22"/>
    <w:qFormat/>
    <w:rsid w:val="00DE3D00"/>
    <w:rPr>
      <w:b/>
      <w:bCs/>
    </w:rPr>
  </w:style>
  <w:style w:type="paragraph" w:styleId="TOCHeading">
    <w:name w:val="TOC Heading"/>
    <w:basedOn w:val="Heading2"/>
    <w:next w:val="Normal"/>
    <w:uiPriority w:val="39"/>
    <w:unhideWhenUsed/>
    <w:qFormat/>
    <w:rsid w:val="00EE6C16"/>
  </w:style>
  <w:style w:type="paragraph" w:styleId="TOC1">
    <w:name w:val="toc 1"/>
    <w:basedOn w:val="Normal"/>
    <w:next w:val="Normal"/>
    <w:autoRedefine/>
    <w:uiPriority w:val="39"/>
    <w:unhideWhenUsed/>
    <w:rsid w:val="00EE6C16"/>
    <w:pPr>
      <w:spacing w:after="100"/>
    </w:pPr>
  </w:style>
  <w:style w:type="paragraph" w:styleId="TOC2">
    <w:name w:val="toc 2"/>
    <w:basedOn w:val="Normal"/>
    <w:next w:val="Normal"/>
    <w:autoRedefine/>
    <w:uiPriority w:val="39"/>
    <w:unhideWhenUsed/>
    <w:rsid w:val="00EE6C16"/>
    <w:pPr>
      <w:spacing w:after="100"/>
      <w:ind w:left="220"/>
    </w:pPr>
  </w:style>
  <w:style w:type="paragraph" w:styleId="TOC3">
    <w:name w:val="toc 3"/>
    <w:basedOn w:val="Normal"/>
    <w:next w:val="Normal"/>
    <w:autoRedefine/>
    <w:uiPriority w:val="39"/>
    <w:unhideWhenUsed/>
    <w:rsid w:val="00EE6C16"/>
    <w:pPr>
      <w:spacing w:after="100"/>
      <w:ind w:left="440"/>
    </w:pPr>
  </w:style>
  <w:style w:type="paragraph" w:styleId="Subtitle">
    <w:name w:val="Subtitle"/>
    <w:basedOn w:val="Title"/>
    <w:next w:val="Normal"/>
    <w:link w:val="SubtitleChar"/>
    <w:uiPriority w:val="11"/>
    <w:qFormat/>
    <w:rsid w:val="00EE6C16"/>
    <w:pPr>
      <w:contextualSpacing w:val="0"/>
    </w:pPr>
    <w:rPr>
      <w:color w:val="7F7F7F" w:themeColor="text1" w:themeTint="80"/>
      <w:sz w:val="40"/>
    </w:rPr>
  </w:style>
  <w:style w:type="character" w:customStyle="1" w:styleId="SubtitleChar">
    <w:name w:val="Subtitle Char"/>
    <w:basedOn w:val="DefaultParagraphFont"/>
    <w:link w:val="Subtitle"/>
    <w:uiPriority w:val="11"/>
    <w:rsid w:val="00EE6C16"/>
    <w:rPr>
      <w:rFonts w:ascii="Arial" w:eastAsiaTheme="majorEastAsia" w:hAnsi="Arial" w:cstheme="majorBidi"/>
      <w:color w:val="7F7F7F" w:themeColor="text1" w:themeTint="80"/>
      <w:spacing w:val="-10"/>
      <w:kern w:val="28"/>
      <w:sz w:val="40"/>
      <w:szCs w:val="56"/>
    </w:rPr>
  </w:style>
  <w:style w:type="paragraph" w:customStyle="1" w:styleId="Normalinstructions">
    <w:name w:val="Normal + instructions"/>
    <w:basedOn w:val="Normal"/>
    <w:qFormat/>
    <w:rsid w:val="00C719CA"/>
    <w:pPr>
      <w:shd w:val="clear" w:color="auto" w:fill="DFF3F3" w:themeFill="accent4" w:themeFillTint="33"/>
    </w:pPr>
    <w:rPr>
      <w:rFonts w:eastAsia="Times New Roman" w:cs="Times New Roman"/>
    </w:rPr>
  </w:style>
  <w:style w:type="paragraph" w:customStyle="1" w:styleId="TableHeading">
    <w:name w:val="Table Heading"/>
    <w:basedOn w:val="Normal"/>
    <w:link w:val="TableHeadingChar"/>
    <w:qFormat/>
    <w:rsid w:val="00AF3517"/>
    <w:pPr>
      <w:jc w:val="center"/>
    </w:pPr>
    <w:rPr>
      <w:bCs/>
      <w:color w:val="FFFFFF" w:themeColor="background1"/>
    </w:rPr>
  </w:style>
  <w:style w:type="paragraph" w:customStyle="1" w:styleId="TableSideheading">
    <w:name w:val="Table Side heading"/>
    <w:basedOn w:val="Normal"/>
    <w:qFormat/>
    <w:rsid w:val="00AF3517"/>
    <w:rPr>
      <w:bCs/>
      <w:color w:val="FFFFFF" w:themeColor="background1"/>
    </w:rPr>
  </w:style>
  <w:style w:type="paragraph" w:customStyle="1" w:styleId="TableBody">
    <w:name w:val="Table Body"/>
    <w:basedOn w:val="Normal"/>
    <w:qFormat/>
    <w:rsid w:val="00AF3517"/>
    <w:pPr>
      <w:jc w:val="center"/>
    </w:pPr>
  </w:style>
  <w:style w:type="paragraph" w:customStyle="1" w:styleId="Tablebullet">
    <w:name w:val="Table bullet"/>
    <w:basedOn w:val="TableBody"/>
    <w:qFormat/>
    <w:rsid w:val="00AF3517"/>
    <w:pPr>
      <w:numPr>
        <w:numId w:val="16"/>
      </w:numPr>
      <w:ind w:left="284" w:hanging="284"/>
    </w:pPr>
  </w:style>
  <w:style w:type="paragraph" w:customStyle="1" w:styleId="TableNumber">
    <w:name w:val="Table Number"/>
    <w:basedOn w:val="TableBody"/>
    <w:qFormat/>
    <w:rsid w:val="00AF3517"/>
    <w:pPr>
      <w:numPr>
        <w:numId w:val="17"/>
      </w:numPr>
      <w:ind w:left="284" w:hanging="284"/>
    </w:pPr>
  </w:style>
  <w:style w:type="character" w:customStyle="1" w:styleId="TableHeadingChar">
    <w:name w:val="Table Heading Char"/>
    <w:basedOn w:val="DefaultParagraphFont"/>
    <w:link w:val="TableHeading"/>
    <w:rsid w:val="00AF3517"/>
    <w:rPr>
      <w:rFonts w:ascii="Arial" w:hAnsi="Arial"/>
      <w:bCs/>
      <w:color w:val="FFFFFF" w:themeColor="background1"/>
    </w:rPr>
  </w:style>
  <w:style w:type="paragraph" w:styleId="BalloonText">
    <w:name w:val="Balloon Text"/>
    <w:basedOn w:val="Normal"/>
    <w:link w:val="BalloonTextChar"/>
    <w:uiPriority w:val="99"/>
    <w:semiHidden/>
    <w:unhideWhenUsed/>
    <w:rsid w:val="00AF351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517"/>
    <w:rPr>
      <w:rFonts w:ascii="Segoe UI" w:hAnsi="Segoe UI" w:cs="Segoe UI"/>
      <w:sz w:val="18"/>
      <w:szCs w:val="18"/>
    </w:rPr>
  </w:style>
  <w:style w:type="table" w:customStyle="1" w:styleId="Style1">
    <w:name w:val="Style1"/>
    <w:basedOn w:val="TableList1"/>
    <w:uiPriority w:val="99"/>
    <w:rsid w:val="003E33FA"/>
    <w:pPr>
      <w:spacing w:before="120" w:after="0" w:line="240" w:lineRule="auto"/>
    </w:p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FFFFFF" w:themeFill="background1"/>
    </w:tcPr>
    <w:tblStylePr w:type="firstRow">
      <w:rPr>
        <w:rFonts w:ascii="Arial" w:hAnsi="Arial"/>
        <w:b/>
        <w:bCs/>
        <w:i w:val="0"/>
        <w:iCs/>
        <w:color w:val="FFFFFF" w:themeColor="background1"/>
        <w:sz w:val="22"/>
      </w:rPr>
      <w:tblPr/>
      <w:tcPr>
        <w:tcBorders>
          <w:bottom w:val="single" w:sz="6" w:space="0" w:color="000000"/>
          <w:tl2br w:val="none" w:sz="0" w:space="0" w:color="auto"/>
          <w:tr2bl w:val="none" w:sz="0" w:space="0" w:color="auto"/>
        </w:tcBorders>
        <w:shd w:val="clear" w:color="auto" w:fill="005677"/>
      </w:tcPr>
    </w:tblStylePr>
    <w:tblStylePr w:type="lastRow">
      <w:tblPr/>
      <w:tcPr>
        <w:tcBorders>
          <w:top w:val="single" w:sz="6" w:space="0" w:color="000000"/>
          <w:tl2br w:val="none" w:sz="0" w:space="0" w:color="auto"/>
          <w:tr2bl w:val="none" w:sz="0" w:space="0" w:color="auto"/>
        </w:tcBorders>
      </w:tcPr>
    </w:tblStylePr>
    <w:tblStylePr w:type="band1Horz">
      <w:rPr>
        <w:rFonts w:ascii="Arial" w:hAnsi="Arial"/>
        <w:color w:val="auto"/>
        <w:sz w:val="22"/>
      </w:rPr>
      <w:tblPr/>
      <w:tcPr>
        <w:tcBorders>
          <w:tl2br w:val="none" w:sz="0" w:space="0" w:color="auto"/>
          <w:tr2bl w:val="none" w:sz="0" w:space="0" w:color="auto"/>
        </w:tcBorders>
        <w:shd w:val="clear" w:color="auto" w:fill="FFFFFF" w:themeFill="background1"/>
      </w:tcPr>
    </w:tblStylePr>
    <w:tblStylePr w:type="band2Horz">
      <w:rPr>
        <w:rFonts w:ascii="Arial" w:hAnsi="Arial"/>
        <w:color w:val="auto"/>
        <w:sz w:val="22"/>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D2FD6"/>
    <w:pPr>
      <w:spacing w:before="240" w:after="240"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
    <w:name w:val="Style2"/>
    <w:basedOn w:val="TableGrid1"/>
    <w:uiPriority w:val="99"/>
    <w:rsid w:val="007C6905"/>
    <w:pPr>
      <w:spacing w:after="0" w:line="240" w:lineRule="auto"/>
    </w:pPr>
    <w:rPr>
      <w:rFonts w:ascii="Arial" w:hAnsi="Arial"/>
      <w:sz w:val="20"/>
      <w:szCs w:val="20"/>
      <w:lang w:val="en-GB" w:eastAsia="en-AU"/>
    </w:r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left w:w="57" w:type="dxa"/>
      </w:tblCellMar>
    </w:tblPr>
    <w:tcPr>
      <w:shd w:val="clear" w:color="auto" w:fill="auto"/>
    </w:tcPr>
    <w:tblStylePr w:type="firstRow">
      <w:rPr>
        <w:b/>
        <w:color w:val="FFFFFF" w:themeColor="background1"/>
      </w:rPr>
      <w:tblPr/>
      <w:tcPr>
        <w:shd w:val="clear" w:color="auto" w:fill="005677"/>
      </w:tcPr>
    </w:tblStylePr>
    <w:tblStylePr w:type="lastRow">
      <w:rPr>
        <w:i/>
        <w:iCs/>
      </w:rPr>
      <w:tblPr/>
      <w:tcPr>
        <w:tcBorders>
          <w:tl2br w:val="none" w:sz="0" w:space="0" w:color="auto"/>
          <w:tr2bl w:val="none" w:sz="0" w:space="0" w:color="auto"/>
        </w:tcBorders>
      </w:tcPr>
    </w:tblStylePr>
    <w:tblStylePr w:type="firstCol">
      <w:pPr>
        <w:jc w:val="left"/>
      </w:pPr>
      <w:rPr>
        <w:b/>
        <w:color w:val="FFFFFF" w:themeColor="background1"/>
      </w:rPr>
      <w:tblPr/>
      <w:tcPr>
        <w:shd w:val="clear" w:color="auto" w:fill="005677"/>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D2FD6"/>
    <w:pPr>
      <w:spacing w:before="240" w:after="240"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
    <w:name w:val="Style3"/>
    <w:basedOn w:val="TableNormal"/>
    <w:uiPriority w:val="99"/>
    <w:rsid w:val="003808AD"/>
    <w:pPr>
      <w:spacing w:after="0" w:line="240" w:lineRule="auto"/>
    </w:pPr>
    <w:rPr>
      <w:rFonts w:ascii="Arial"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Col">
      <w:rPr>
        <w:color w:val="FFFFFF" w:themeColor="background1"/>
      </w:rPr>
      <w:tblPr/>
      <w:tcPr>
        <w:shd w:val="clear" w:color="auto" w:fill="005677"/>
      </w:tcPr>
    </w:tblStylePr>
  </w:style>
  <w:style w:type="table" w:customStyle="1" w:styleId="Style4">
    <w:name w:val="Style4"/>
    <w:basedOn w:val="TableGrid1"/>
    <w:uiPriority w:val="99"/>
    <w:rsid w:val="003808AD"/>
    <w:pPr>
      <w:spacing w:after="0" w:line="240" w:lineRule="auto"/>
    </w:pPr>
    <w:rPr>
      <w:rFonts w:ascii="Arial" w:hAnsi="Aria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FFFFFF" w:themeFill="background1"/>
    </w:tcPr>
    <w:tblStylePr w:type="firstRow">
      <w:rPr>
        <w:color w:val="auto"/>
      </w:rPr>
      <w:tblPr/>
      <w:tcPr>
        <w:shd w:val="clear" w:color="auto" w:fill="D9D9D9"/>
      </w:tcPr>
    </w:tblStylePr>
    <w:tblStylePr w:type="lastRow">
      <w:rPr>
        <w:i/>
        <w:iCs/>
      </w:rPr>
      <w:tblPr/>
      <w:tcPr>
        <w:tcBorders>
          <w:tl2br w:val="none" w:sz="0" w:space="0" w:color="auto"/>
          <w:tr2bl w:val="none" w:sz="0" w:space="0" w:color="auto"/>
        </w:tcBorders>
      </w:tcPr>
    </w:tblStylePr>
    <w:tblStylePr w:type="firstCol">
      <w:rPr>
        <w:color w:val="auto"/>
      </w:rPr>
      <w:tblPr/>
      <w:tcPr>
        <w:shd w:val="clear" w:color="auto" w:fill="D9D9D9"/>
      </w:tcPr>
    </w:tblStylePr>
    <w:tblStylePr w:type="lastCol">
      <w:rPr>
        <w:i/>
        <w:iCs/>
      </w:rPr>
      <w:tblPr/>
      <w:tcPr>
        <w:tcBorders>
          <w:tl2br w:val="none" w:sz="0" w:space="0" w:color="auto"/>
          <w:tr2bl w:val="none" w:sz="0" w:space="0" w:color="auto"/>
        </w:tcBorders>
      </w:tcPr>
    </w:tblStylePr>
  </w:style>
  <w:style w:type="table" w:customStyle="1" w:styleId="Style5">
    <w:name w:val="Style5"/>
    <w:basedOn w:val="TableNormal"/>
    <w:uiPriority w:val="99"/>
    <w:rsid w:val="003808A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rPr>
        <w:cantSplit/>
      </w:trPr>
      <w:tcPr>
        <w:shd w:val="clear" w:color="auto" w:fill="D9D9D9"/>
      </w:tcPr>
    </w:tblStylePr>
  </w:style>
  <w:style w:type="table" w:customStyle="1" w:styleId="Style6">
    <w:name w:val="Style6"/>
    <w:basedOn w:val="TableNormal"/>
    <w:uiPriority w:val="99"/>
    <w:rsid w:val="0007766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rPr>
      <w:tblPr/>
      <w:trPr>
        <w:cantSplit/>
      </w:trPr>
      <w:tcPr>
        <w:shd w:val="clear" w:color="auto" w:fill="D9D9D9"/>
      </w:tcPr>
    </w:tblStylePr>
  </w:style>
  <w:style w:type="character" w:customStyle="1" w:styleId="UnresolvedMention">
    <w:name w:val="Unresolved Mention"/>
    <w:basedOn w:val="DefaultParagraphFont"/>
    <w:uiPriority w:val="99"/>
    <w:semiHidden/>
    <w:unhideWhenUsed/>
    <w:rsid w:val="00C520EE"/>
    <w:rPr>
      <w:color w:val="808080"/>
      <w:shd w:val="clear" w:color="auto" w:fill="E6E6E6"/>
    </w:rPr>
  </w:style>
  <w:style w:type="paragraph" w:styleId="CommentText">
    <w:name w:val="annotation text"/>
    <w:basedOn w:val="Normal"/>
    <w:link w:val="CommentTextChar"/>
    <w:uiPriority w:val="99"/>
    <w:unhideWhenUsed/>
    <w:rsid w:val="00C520EE"/>
    <w:pPr>
      <w:spacing w:line="240" w:lineRule="auto"/>
    </w:pPr>
    <w:rPr>
      <w:sz w:val="20"/>
      <w:szCs w:val="20"/>
    </w:rPr>
  </w:style>
  <w:style w:type="character" w:customStyle="1" w:styleId="CommentTextChar">
    <w:name w:val="Comment Text Char"/>
    <w:basedOn w:val="DefaultParagraphFont"/>
    <w:link w:val="CommentText"/>
    <w:uiPriority w:val="99"/>
    <w:rsid w:val="00C520EE"/>
    <w:rPr>
      <w:rFonts w:ascii="Arial" w:hAnsi="Arial"/>
      <w:sz w:val="20"/>
      <w:szCs w:val="20"/>
    </w:rPr>
  </w:style>
  <w:style w:type="character" w:styleId="CommentReference">
    <w:name w:val="annotation reference"/>
    <w:basedOn w:val="DefaultParagraphFont"/>
    <w:rsid w:val="00C520EE"/>
    <w:rPr>
      <w:sz w:val="16"/>
      <w:szCs w:val="16"/>
    </w:rPr>
  </w:style>
  <w:style w:type="paragraph" w:styleId="CommentSubject">
    <w:name w:val="annotation subject"/>
    <w:basedOn w:val="CommentText"/>
    <w:next w:val="CommentText"/>
    <w:link w:val="CommentSubjectChar"/>
    <w:uiPriority w:val="99"/>
    <w:semiHidden/>
    <w:unhideWhenUsed/>
    <w:rsid w:val="003E33FA"/>
    <w:rPr>
      <w:b/>
      <w:bCs/>
    </w:rPr>
  </w:style>
  <w:style w:type="character" w:customStyle="1" w:styleId="CommentSubjectChar">
    <w:name w:val="Comment Subject Char"/>
    <w:basedOn w:val="CommentTextChar"/>
    <w:link w:val="CommentSubject"/>
    <w:uiPriority w:val="99"/>
    <w:semiHidden/>
    <w:rsid w:val="003E33FA"/>
    <w:rPr>
      <w:rFonts w:ascii="Arial" w:hAnsi="Arial"/>
      <w:b/>
      <w:bCs/>
      <w:sz w:val="20"/>
      <w:szCs w:val="20"/>
    </w:rPr>
  </w:style>
  <w:style w:type="character" w:styleId="FollowedHyperlink">
    <w:name w:val="FollowedHyperlink"/>
    <w:basedOn w:val="DefaultParagraphFont"/>
    <w:uiPriority w:val="99"/>
    <w:semiHidden/>
    <w:unhideWhenUsed/>
    <w:rsid w:val="00C43635"/>
    <w:rPr>
      <w:color w:val="7030A0" w:themeColor="followedHyperlink"/>
      <w:u w:val="single"/>
    </w:rPr>
  </w:style>
  <w:style w:type="paragraph" w:customStyle="1" w:styleId="NormalHeaderrow">
    <w:name w:val="Normal + Header row"/>
    <w:basedOn w:val="Normal"/>
    <w:qFormat/>
    <w:rsid w:val="009E55DF"/>
    <w:rPr>
      <w:rFonts w:asciiTheme="minorHAnsi" w:eastAsiaTheme="minorEastAsia" w:hAnsiTheme="minorHAnsi"/>
      <w:color w:val="FFFFFF" w:themeColor="background1"/>
      <w:szCs w:val="24"/>
    </w:rPr>
  </w:style>
  <w:style w:type="paragraph" w:styleId="Revision">
    <w:name w:val="Revision"/>
    <w:hidden/>
    <w:uiPriority w:val="99"/>
    <w:semiHidden/>
    <w:rsid w:val="00803A89"/>
    <w:pPr>
      <w:spacing w:after="0" w:line="240" w:lineRule="auto"/>
    </w:pPr>
    <w:rPr>
      <w:rFonts w:ascii="Calibri" w:hAnsi="Calibri"/>
      <w:sz w:val="24"/>
    </w:rPr>
  </w:style>
  <w:style w:type="character" w:customStyle="1" w:styleId="Heading6Char">
    <w:name w:val="Heading 6 Char"/>
    <w:basedOn w:val="DefaultParagraphFont"/>
    <w:link w:val="Heading6"/>
    <w:uiPriority w:val="9"/>
    <w:semiHidden/>
    <w:rsid w:val="00CF5194"/>
    <w:rPr>
      <w:rFonts w:asciiTheme="majorHAnsi" w:eastAsiaTheme="majorEastAsia" w:hAnsiTheme="majorHAnsi" w:cstheme="majorBidi"/>
      <w:color w:val="002A3B" w:themeColor="accent1" w:themeShade="7F"/>
      <w:sz w:val="24"/>
    </w:rPr>
  </w:style>
  <w:style w:type="character" w:customStyle="1" w:styleId="Heading7Char">
    <w:name w:val="Heading 7 Char"/>
    <w:basedOn w:val="DefaultParagraphFont"/>
    <w:link w:val="Heading7"/>
    <w:uiPriority w:val="9"/>
    <w:semiHidden/>
    <w:rsid w:val="00CF5194"/>
    <w:rPr>
      <w:rFonts w:asciiTheme="majorHAnsi" w:eastAsiaTheme="majorEastAsia" w:hAnsiTheme="majorHAnsi" w:cstheme="majorBidi"/>
      <w:i/>
      <w:iCs/>
      <w:color w:val="002A3B" w:themeColor="accent1" w:themeShade="7F"/>
      <w:sz w:val="24"/>
    </w:rPr>
  </w:style>
  <w:style w:type="character" w:customStyle="1" w:styleId="Heading8Char">
    <w:name w:val="Heading 8 Char"/>
    <w:basedOn w:val="DefaultParagraphFont"/>
    <w:link w:val="Heading8"/>
    <w:uiPriority w:val="9"/>
    <w:semiHidden/>
    <w:rsid w:val="00CF51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5194"/>
    <w:rPr>
      <w:rFonts w:asciiTheme="majorHAnsi" w:eastAsiaTheme="majorEastAsia" w:hAnsiTheme="majorHAnsi" w:cstheme="majorBidi"/>
      <w:i/>
      <w:iCs/>
      <w:color w:val="272727" w:themeColor="text1" w:themeTint="D8"/>
      <w:sz w:val="21"/>
      <w:szCs w:val="21"/>
    </w:rPr>
  </w:style>
  <w:style w:type="table" w:styleId="TableGridLight">
    <w:name w:val="Grid Table Light"/>
    <w:basedOn w:val="TableNormal"/>
    <w:uiPriority w:val="40"/>
    <w:rsid w:val="00C719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04626E"/>
    <w:rPr>
      <w:color w:val="808080"/>
    </w:rPr>
  </w:style>
  <w:style w:type="paragraph" w:customStyle="1" w:styleId="Body">
    <w:name w:val="Body"/>
    <w:rsid w:val="00D603B2"/>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customStyle="1" w:styleId="NormalExplanatorystatement">
    <w:name w:val="Normal + Explanatory statement"/>
    <w:basedOn w:val="Normal"/>
    <w:qFormat/>
    <w:rsid w:val="00007A20"/>
    <w:pPr>
      <w:spacing w:before="240" w:after="240" w:line="276" w:lineRule="auto"/>
    </w:pPr>
    <w:rPr>
      <w:rFonts w:ascii="Times New Roman" w:hAnsi="Times New Roman" w:cs="Times New Roman"/>
      <w:szCs w:val="24"/>
    </w:rPr>
  </w:style>
  <w:style w:type="character" w:customStyle="1" w:styleId="ListParagraphChar">
    <w:name w:val="List Paragraph Char"/>
    <w:aliases w:val="Recommendation Char,L Char,List Paragraph1 Char,List Paragraph11 Char,List Paragraph2 Char,Bullet point Char,NFP GP Bulleted List Char,bullet point list Char,1 heading Char,AR bullet 1 Char,Bullet Point Char,Bullet points Char"/>
    <w:basedOn w:val="DefaultParagraphFont"/>
    <w:link w:val="ListParagraph"/>
    <w:uiPriority w:val="34"/>
    <w:qFormat/>
    <w:locked/>
    <w:rsid w:val="00EE2071"/>
    <w:rPr>
      <w:rFonts w:ascii="Calibri" w:hAnsi="Calibri"/>
      <w:sz w:val="24"/>
    </w:rPr>
  </w:style>
  <w:style w:type="paragraph" w:customStyle="1" w:styleId="paragraph">
    <w:name w:val="paragraph"/>
    <w:aliases w:val="a"/>
    <w:basedOn w:val="Normal"/>
    <w:rsid w:val="00CE72F4"/>
    <w:pPr>
      <w:tabs>
        <w:tab w:val="right" w:pos="1531"/>
      </w:tabs>
      <w:spacing w:after="0" w:line="240" w:lineRule="auto"/>
      <w:ind w:left="1644" w:hanging="1644"/>
    </w:pPr>
    <w:rPr>
      <w:rFonts w:ascii="Times New Roman" w:eastAsia="Times New Roman" w:hAnsi="Times New Roman"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0758">
      <w:bodyDiv w:val="1"/>
      <w:marLeft w:val="0"/>
      <w:marRight w:val="0"/>
      <w:marTop w:val="0"/>
      <w:marBottom w:val="0"/>
      <w:divBdr>
        <w:top w:val="none" w:sz="0" w:space="0" w:color="auto"/>
        <w:left w:val="none" w:sz="0" w:space="0" w:color="auto"/>
        <w:bottom w:val="none" w:sz="0" w:space="0" w:color="auto"/>
        <w:right w:val="none" w:sz="0" w:space="0" w:color="auto"/>
      </w:divBdr>
    </w:div>
    <w:div w:id="178279740">
      <w:bodyDiv w:val="1"/>
      <w:marLeft w:val="0"/>
      <w:marRight w:val="0"/>
      <w:marTop w:val="0"/>
      <w:marBottom w:val="0"/>
      <w:divBdr>
        <w:top w:val="none" w:sz="0" w:space="0" w:color="auto"/>
        <w:left w:val="none" w:sz="0" w:space="0" w:color="auto"/>
        <w:bottom w:val="none" w:sz="0" w:space="0" w:color="auto"/>
        <w:right w:val="none" w:sz="0" w:space="0" w:color="auto"/>
      </w:divBdr>
    </w:div>
    <w:div w:id="192311429">
      <w:bodyDiv w:val="1"/>
      <w:marLeft w:val="0"/>
      <w:marRight w:val="0"/>
      <w:marTop w:val="0"/>
      <w:marBottom w:val="0"/>
      <w:divBdr>
        <w:top w:val="none" w:sz="0" w:space="0" w:color="auto"/>
        <w:left w:val="none" w:sz="0" w:space="0" w:color="auto"/>
        <w:bottom w:val="none" w:sz="0" w:space="0" w:color="auto"/>
        <w:right w:val="none" w:sz="0" w:space="0" w:color="auto"/>
      </w:divBdr>
    </w:div>
    <w:div w:id="453252558">
      <w:bodyDiv w:val="1"/>
      <w:marLeft w:val="0"/>
      <w:marRight w:val="0"/>
      <w:marTop w:val="0"/>
      <w:marBottom w:val="0"/>
      <w:divBdr>
        <w:top w:val="none" w:sz="0" w:space="0" w:color="auto"/>
        <w:left w:val="none" w:sz="0" w:space="0" w:color="auto"/>
        <w:bottom w:val="none" w:sz="0" w:space="0" w:color="auto"/>
        <w:right w:val="none" w:sz="0" w:space="0" w:color="auto"/>
      </w:divBdr>
    </w:div>
    <w:div w:id="509295274">
      <w:bodyDiv w:val="1"/>
      <w:marLeft w:val="0"/>
      <w:marRight w:val="0"/>
      <w:marTop w:val="0"/>
      <w:marBottom w:val="0"/>
      <w:divBdr>
        <w:top w:val="none" w:sz="0" w:space="0" w:color="auto"/>
        <w:left w:val="none" w:sz="0" w:space="0" w:color="auto"/>
        <w:bottom w:val="none" w:sz="0" w:space="0" w:color="auto"/>
        <w:right w:val="none" w:sz="0" w:space="0" w:color="auto"/>
      </w:divBdr>
    </w:div>
    <w:div w:id="997926909">
      <w:bodyDiv w:val="1"/>
      <w:marLeft w:val="0"/>
      <w:marRight w:val="0"/>
      <w:marTop w:val="0"/>
      <w:marBottom w:val="0"/>
      <w:divBdr>
        <w:top w:val="none" w:sz="0" w:space="0" w:color="auto"/>
        <w:left w:val="none" w:sz="0" w:space="0" w:color="auto"/>
        <w:bottom w:val="none" w:sz="0" w:space="0" w:color="auto"/>
        <w:right w:val="none" w:sz="0" w:space="0" w:color="auto"/>
      </w:divBdr>
      <w:divsChild>
        <w:div w:id="590092488">
          <w:marLeft w:val="0"/>
          <w:marRight w:val="0"/>
          <w:marTop w:val="0"/>
          <w:marBottom w:val="0"/>
          <w:divBdr>
            <w:top w:val="none" w:sz="0" w:space="0" w:color="auto"/>
            <w:left w:val="none" w:sz="0" w:space="0" w:color="auto"/>
            <w:bottom w:val="none" w:sz="0" w:space="0" w:color="auto"/>
            <w:right w:val="none" w:sz="0" w:space="0" w:color="auto"/>
          </w:divBdr>
          <w:divsChild>
            <w:div w:id="1416976384">
              <w:marLeft w:val="0"/>
              <w:marRight w:val="0"/>
              <w:marTop w:val="0"/>
              <w:marBottom w:val="0"/>
              <w:divBdr>
                <w:top w:val="none" w:sz="0" w:space="0" w:color="auto"/>
                <w:left w:val="none" w:sz="0" w:space="0" w:color="auto"/>
                <w:bottom w:val="none" w:sz="0" w:space="0" w:color="auto"/>
                <w:right w:val="none" w:sz="0" w:space="0" w:color="auto"/>
              </w:divBdr>
              <w:divsChild>
                <w:div w:id="2073308499">
                  <w:marLeft w:val="0"/>
                  <w:marRight w:val="0"/>
                  <w:marTop w:val="0"/>
                  <w:marBottom w:val="0"/>
                  <w:divBdr>
                    <w:top w:val="none" w:sz="0" w:space="0" w:color="auto"/>
                    <w:left w:val="none" w:sz="0" w:space="0" w:color="auto"/>
                    <w:bottom w:val="none" w:sz="0" w:space="0" w:color="auto"/>
                    <w:right w:val="none" w:sz="0" w:space="0" w:color="auto"/>
                  </w:divBdr>
                  <w:divsChild>
                    <w:div w:id="2079402167">
                      <w:marLeft w:val="0"/>
                      <w:marRight w:val="0"/>
                      <w:marTop w:val="0"/>
                      <w:marBottom w:val="0"/>
                      <w:divBdr>
                        <w:top w:val="none" w:sz="0" w:space="0" w:color="auto"/>
                        <w:left w:val="none" w:sz="0" w:space="0" w:color="auto"/>
                        <w:bottom w:val="none" w:sz="0" w:space="0" w:color="auto"/>
                        <w:right w:val="none" w:sz="0" w:space="0" w:color="auto"/>
                      </w:divBdr>
                      <w:divsChild>
                        <w:div w:id="350842070">
                          <w:marLeft w:val="0"/>
                          <w:marRight w:val="0"/>
                          <w:marTop w:val="0"/>
                          <w:marBottom w:val="0"/>
                          <w:divBdr>
                            <w:top w:val="none" w:sz="0" w:space="0" w:color="auto"/>
                            <w:left w:val="none" w:sz="0" w:space="0" w:color="auto"/>
                            <w:bottom w:val="none" w:sz="0" w:space="0" w:color="auto"/>
                            <w:right w:val="none" w:sz="0" w:space="0" w:color="auto"/>
                          </w:divBdr>
                          <w:divsChild>
                            <w:div w:id="1525316327">
                              <w:marLeft w:val="0"/>
                              <w:marRight w:val="0"/>
                              <w:marTop w:val="0"/>
                              <w:marBottom w:val="0"/>
                              <w:divBdr>
                                <w:top w:val="none" w:sz="0" w:space="0" w:color="auto"/>
                                <w:left w:val="none" w:sz="0" w:space="0" w:color="auto"/>
                                <w:bottom w:val="none" w:sz="0" w:space="0" w:color="auto"/>
                                <w:right w:val="none" w:sz="0" w:space="0" w:color="auto"/>
                              </w:divBdr>
                              <w:divsChild>
                                <w:div w:id="1374187977">
                                  <w:marLeft w:val="0"/>
                                  <w:marRight w:val="0"/>
                                  <w:marTop w:val="0"/>
                                  <w:marBottom w:val="0"/>
                                  <w:divBdr>
                                    <w:top w:val="none" w:sz="0" w:space="0" w:color="auto"/>
                                    <w:left w:val="none" w:sz="0" w:space="0" w:color="auto"/>
                                    <w:bottom w:val="none" w:sz="0" w:space="0" w:color="auto"/>
                                    <w:right w:val="none" w:sz="0" w:space="0" w:color="auto"/>
                                  </w:divBdr>
                                  <w:divsChild>
                                    <w:div w:id="503856558">
                                      <w:marLeft w:val="0"/>
                                      <w:marRight w:val="0"/>
                                      <w:marTop w:val="0"/>
                                      <w:marBottom w:val="0"/>
                                      <w:divBdr>
                                        <w:top w:val="none" w:sz="0" w:space="0" w:color="auto"/>
                                        <w:left w:val="none" w:sz="0" w:space="0" w:color="auto"/>
                                        <w:bottom w:val="none" w:sz="0" w:space="0" w:color="auto"/>
                                        <w:right w:val="none" w:sz="0" w:space="0" w:color="auto"/>
                                      </w:divBdr>
                                      <w:divsChild>
                                        <w:div w:id="1029524896">
                                          <w:marLeft w:val="0"/>
                                          <w:marRight w:val="0"/>
                                          <w:marTop w:val="0"/>
                                          <w:marBottom w:val="0"/>
                                          <w:divBdr>
                                            <w:top w:val="none" w:sz="0" w:space="0" w:color="auto"/>
                                            <w:left w:val="none" w:sz="0" w:space="0" w:color="auto"/>
                                            <w:bottom w:val="none" w:sz="0" w:space="0" w:color="auto"/>
                                            <w:right w:val="none" w:sz="0" w:space="0" w:color="auto"/>
                                          </w:divBdr>
                                          <w:divsChild>
                                            <w:div w:id="138504281">
                                              <w:marLeft w:val="0"/>
                                              <w:marRight w:val="0"/>
                                              <w:marTop w:val="0"/>
                                              <w:marBottom w:val="0"/>
                                              <w:divBdr>
                                                <w:top w:val="none" w:sz="0" w:space="0" w:color="auto"/>
                                                <w:left w:val="none" w:sz="0" w:space="0" w:color="auto"/>
                                                <w:bottom w:val="none" w:sz="0" w:space="0" w:color="auto"/>
                                                <w:right w:val="none" w:sz="0" w:space="0" w:color="auto"/>
                                              </w:divBdr>
                                              <w:divsChild>
                                                <w:div w:id="556088818">
                                                  <w:marLeft w:val="0"/>
                                                  <w:marRight w:val="0"/>
                                                  <w:marTop w:val="0"/>
                                                  <w:marBottom w:val="0"/>
                                                  <w:divBdr>
                                                    <w:top w:val="none" w:sz="0" w:space="0" w:color="auto"/>
                                                    <w:left w:val="none" w:sz="0" w:space="0" w:color="auto"/>
                                                    <w:bottom w:val="none" w:sz="0" w:space="0" w:color="auto"/>
                                                    <w:right w:val="none" w:sz="0" w:space="0" w:color="auto"/>
                                                  </w:divBdr>
                                                  <w:divsChild>
                                                    <w:div w:id="1665738051">
                                                      <w:marLeft w:val="0"/>
                                                      <w:marRight w:val="0"/>
                                                      <w:marTop w:val="0"/>
                                                      <w:marBottom w:val="0"/>
                                                      <w:divBdr>
                                                        <w:top w:val="none" w:sz="0" w:space="0" w:color="auto"/>
                                                        <w:left w:val="none" w:sz="0" w:space="0" w:color="auto"/>
                                                        <w:bottom w:val="none" w:sz="0" w:space="0" w:color="auto"/>
                                                        <w:right w:val="none" w:sz="0" w:space="0" w:color="auto"/>
                                                      </w:divBdr>
                                                      <w:divsChild>
                                                        <w:div w:id="11207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669139">
      <w:bodyDiv w:val="1"/>
      <w:marLeft w:val="0"/>
      <w:marRight w:val="0"/>
      <w:marTop w:val="0"/>
      <w:marBottom w:val="0"/>
      <w:divBdr>
        <w:top w:val="none" w:sz="0" w:space="0" w:color="auto"/>
        <w:left w:val="none" w:sz="0" w:space="0" w:color="auto"/>
        <w:bottom w:val="none" w:sz="0" w:space="0" w:color="auto"/>
        <w:right w:val="none" w:sz="0" w:space="0" w:color="auto"/>
      </w:divBdr>
    </w:div>
    <w:div w:id="1384986350">
      <w:bodyDiv w:val="1"/>
      <w:marLeft w:val="0"/>
      <w:marRight w:val="0"/>
      <w:marTop w:val="0"/>
      <w:marBottom w:val="0"/>
      <w:divBdr>
        <w:top w:val="none" w:sz="0" w:space="0" w:color="auto"/>
        <w:left w:val="none" w:sz="0" w:space="0" w:color="auto"/>
        <w:bottom w:val="none" w:sz="0" w:space="0" w:color="auto"/>
        <w:right w:val="none" w:sz="0" w:space="0" w:color="auto"/>
      </w:divBdr>
    </w:div>
    <w:div w:id="1540044185">
      <w:bodyDiv w:val="1"/>
      <w:marLeft w:val="0"/>
      <w:marRight w:val="0"/>
      <w:marTop w:val="0"/>
      <w:marBottom w:val="0"/>
      <w:divBdr>
        <w:top w:val="none" w:sz="0" w:space="0" w:color="auto"/>
        <w:left w:val="none" w:sz="0" w:space="0" w:color="auto"/>
        <w:bottom w:val="none" w:sz="0" w:space="0" w:color="auto"/>
        <w:right w:val="none" w:sz="0" w:space="0" w:color="auto"/>
      </w:divBdr>
    </w:div>
    <w:div w:id="1614480337">
      <w:bodyDiv w:val="1"/>
      <w:marLeft w:val="0"/>
      <w:marRight w:val="0"/>
      <w:marTop w:val="0"/>
      <w:marBottom w:val="0"/>
      <w:divBdr>
        <w:top w:val="none" w:sz="0" w:space="0" w:color="auto"/>
        <w:left w:val="none" w:sz="0" w:space="0" w:color="auto"/>
        <w:bottom w:val="none" w:sz="0" w:space="0" w:color="auto"/>
        <w:right w:val="none" w:sz="0" w:space="0" w:color="auto"/>
      </w:divBdr>
    </w:div>
    <w:div w:id="1744524320">
      <w:bodyDiv w:val="1"/>
      <w:marLeft w:val="0"/>
      <w:marRight w:val="0"/>
      <w:marTop w:val="0"/>
      <w:marBottom w:val="0"/>
      <w:divBdr>
        <w:top w:val="none" w:sz="0" w:space="0" w:color="auto"/>
        <w:left w:val="none" w:sz="0" w:space="0" w:color="auto"/>
        <w:bottom w:val="none" w:sz="0" w:space="0" w:color="auto"/>
        <w:right w:val="none" w:sz="0" w:space="0" w:color="auto"/>
      </w:divBdr>
      <w:divsChild>
        <w:div w:id="587619250">
          <w:marLeft w:val="0"/>
          <w:marRight w:val="0"/>
          <w:marTop w:val="0"/>
          <w:marBottom w:val="0"/>
          <w:divBdr>
            <w:top w:val="none" w:sz="0" w:space="0" w:color="auto"/>
            <w:left w:val="none" w:sz="0" w:space="0" w:color="auto"/>
            <w:bottom w:val="none" w:sz="0" w:space="0" w:color="auto"/>
            <w:right w:val="none" w:sz="0" w:space="0" w:color="auto"/>
          </w:divBdr>
          <w:divsChild>
            <w:div w:id="1804500638">
              <w:marLeft w:val="0"/>
              <w:marRight w:val="0"/>
              <w:marTop w:val="0"/>
              <w:marBottom w:val="0"/>
              <w:divBdr>
                <w:top w:val="none" w:sz="0" w:space="0" w:color="auto"/>
                <w:left w:val="none" w:sz="0" w:space="0" w:color="auto"/>
                <w:bottom w:val="none" w:sz="0" w:space="0" w:color="auto"/>
                <w:right w:val="none" w:sz="0" w:space="0" w:color="auto"/>
              </w:divBdr>
              <w:divsChild>
                <w:div w:id="186650281">
                  <w:marLeft w:val="0"/>
                  <w:marRight w:val="0"/>
                  <w:marTop w:val="0"/>
                  <w:marBottom w:val="0"/>
                  <w:divBdr>
                    <w:top w:val="none" w:sz="0" w:space="0" w:color="auto"/>
                    <w:left w:val="none" w:sz="0" w:space="0" w:color="auto"/>
                    <w:bottom w:val="none" w:sz="0" w:space="0" w:color="auto"/>
                    <w:right w:val="none" w:sz="0" w:space="0" w:color="auto"/>
                  </w:divBdr>
                  <w:divsChild>
                    <w:div w:id="881553603">
                      <w:marLeft w:val="0"/>
                      <w:marRight w:val="0"/>
                      <w:marTop w:val="0"/>
                      <w:marBottom w:val="0"/>
                      <w:divBdr>
                        <w:top w:val="none" w:sz="0" w:space="0" w:color="auto"/>
                        <w:left w:val="none" w:sz="0" w:space="0" w:color="auto"/>
                        <w:bottom w:val="none" w:sz="0" w:space="0" w:color="auto"/>
                        <w:right w:val="none" w:sz="0" w:space="0" w:color="auto"/>
                      </w:divBdr>
                      <w:divsChild>
                        <w:div w:id="830829444">
                          <w:marLeft w:val="0"/>
                          <w:marRight w:val="0"/>
                          <w:marTop w:val="0"/>
                          <w:marBottom w:val="0"/>
                          <w:divBdr>
                            <w:top w:val="none" w:sz="0" w:space="0" w:color="auto"/>
                            <w:left w:val="none" w:sz="0" w:space="0" w:color="auto"/>
                            <w:bottom w:val="none" w:sz="0" w:space="0" w:color="auto"/>
                            <w:right w:val="none" w:sz="0" w:space="0" w:color="auto"/>
                          </w:divBdr>
                          <w:divsChild>
                            <w:div w:id="67532683">
                              <w:marLeft w:val="0"/>
                              <w:marRight w:val="0"/>
                              <w:marTop w:val="0"/>
                              <w:marBottom w:val="0"/>
                              <w:divBdr>
                                <w:top w:val="none" w:sz="0" w:space="0" w:color="auto"/>
                                <w:left w:val="none" w:sz="0" w:space="0" w:color="auto"/>
                                <w:bottom w:val="none" w:sz="0" w:space="0" w:color="auto"/>
                                <w:right w:val="none" w:sz="0" w:space="0" w:color="auto"/>
                              </w:divBdr>
                              <w:divsChild>
                                <w:div w:id="1116482002">
                                  <w:marLeft w:val="0"/>
                                  <w:marRight w:val="0"/>
                                  <w:marTop w:val="0"/>
                                  <w:marBottom w:val="0"/>
                                  <w:divBdr>
                                    <w:top w:val="none" w:sz="0" w:space="0" w:color="auto"/>
                                    <w:left w:val="none" w:sz="0" w:space="0" w:color="auto"/>
                                    <w:bottom w:val="none" w:sz="0" w:space="0" w:color="auto"/>
                                    <w:right w:val="none" w:sz="0" w:space="0" w:color="auto"/>
                                  </w:divBdr>
                                  <w:divsChild>
                                    <w:div w:id="435710818">
                                      <w:marLeft w:val="0"/>
                                      <w:marRight w:val="0"/>
                                      <w:marTop w:val="0"/>
                                      <w:marBottom w:val="0"/>
                                      <w:divBdr>
                                        <w:top w:val="none" w:sz="0" w:space="0" w:color="auto"/>
                                        <w:left w:val="none" w:sz="0" w:space="0" w:color="auto"/>
                                        <w:bottom w:val="none" w:sz="0" w:space="0" w:color="auto"/>
                                        <w:right w:val="none" w:sz="0" w:space="0" w:color="auto"/>
                                      </w:divBdr>
                                      <w:divsChild>
                                        <w:div w:id="1963879302">
                                          <w:marLeft w:val="0"/>
                                          <w:marRight w:val="0"/>
                                          <w:marTop w:val="0"/>
                                          <w:marBottom w:val="0"/>
                                          <w:divBdr>
                                            <w:top w:val="none" w:sz="0" w:space="0" w:color="auto"/>
                                            <w:left w:val="none" w:sz="0" w:space="0" w:color="auto"/>
                                            <w:bottom w:val="none" w:sz="0" w:space="0" w:color="auto"/>
                                            <w:right w:val="none" w:sz="0" w:space="0" w:color="auto"/>
                                          </w:divBdr>
                                          <w:divsChild>
                                            <w:div w:id="1957250052">
                                              <w:marLeft w:val="0"/>
                                              <w:marRight w:val="0"/>
                                              <w:marTop w:val="0"/>
                                              <w:marBottom w:val="0"/>
                                              <w:divBdr>
                                                <w:top w:val="none" w:sz="0" w:space="0" w:color="auto"/>
                                                <w:left w:val="none" w:sz="0" w:space="0" w:color="auto"/>
                                                <w:bottom w:val="none" w:sz="0" w:space="0" w:color="auto"/>
                                                <w:right w:val="none" w:sz="0" w:space="0" w:color="auto"/>
                                              </w:divBdr>
                                              <w:divsChild>
                                                <w:div w:id="246354985">
                                                  <w:marLeft w:val="0"/>
                                                  <w:marRight w:val="0"/>
                                                  <w:marTop w:val="0"/>
                                                  <w:marBottom w:val="0"/>
                                                  <w:divBdr>
                                                    <w:top w:val="none" w:sz="0" w:space="0" w:color="auto"/>
                                                    <w:left w:val="none" w:sz="0" w:space="0" w:color="auto"/>
                                                    <w:bottom w:val="none" w:sz="0" w:space="0" w:color="auto"/>
                                                    <w:right w:val="none" w:sz="0" w:space="0" w:color="auto"/>
                                                  </w:divBdr>
                                                  <w:divsChild>
                                                    <w:div w:id="1585993447">
                                                      <w:marLeft w:val="0"/>
                                                      <w:marRight w:val="0"/>
                                                      <w:marTop w:val="0"/>
                                                      <w:marBottom w:val="0"/>
                                                      <w:divBdr>
                                                        <w:top w:val="none" w:sz="0" w:space="0" w:color="auto"/>
                                                        <w:left w:val="none" w:sz="0" w:space="0" w:color="auto"/>
                                                        <w:bottom w:val="none" w:sz="0" w:space="0" w:color="auto"/>
                                                        <w:right w:val="none" w:sz="0" w:space="0" w:color="auto"/>
                                                      </w:divBdr>
                                                      <w:divsChild>
                                                        <w:div w:id="6284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ance.gov.au/government/procurement/commonwealth-procurement-rules"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ndustry.gov.au/about-us/finance-reporting/budget-statement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sult.industry.gov.au/space/m2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data-and-publications/australian-civil-space-strategy-2019-2028"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business.gov.au/"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gov.au/government/commonwealth-grants/commonwealth-grants-rules-guidelines" TargetMode="External"/><Relationship Id="rId22" Type="http://schemas.openxmlformats.org/officeDocument/2006/relationships/footer" Target="footer3.xml"/><Relationship Id="rId48" Type="http://schemas.microsoft.com/office/2016/09/relationships/commentsIds" Target="commentsIds.xml"/></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AC3DBB56DE8C459C99BB94AA8874E9" ma:contentTypeVersion="" ma:contentTypeDescription="PDMS Document Site Content Type" ma:contentTypeScope="" ma:versionID="b7f1408b3cc28b4d4d402a3806eb7b37">
  <xsd:schema xmlns:xsd="http://www.w3.org/2001/XMLSchema" xmlns:xs="http://www.w3.org/2001/XMLSchema" xmlns:p="http://schemas.microsoft.com/office/2006/metadata/properties" xmlns:ns2="FAF4686E-D04B-445F-A6C6-641A98C9559F" targetNamespace="http://schemas.microsoft.com/office/2006/metadata/properties" ma:root="true" ma:fieldsID="15c75349c50ea73764454c4ed313141d" ns2:_="">
    <xsd:import namespace="FAF4686E-D04B-445F-A6C6-641A98C9559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4686E-D04B-445F-A6C6-641A98C9559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AF4686E-D04B-445F-A6C6-641A98C955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5965-B73E-4D46-BC4B-CEE7FB9FDDE5}">
  <ds:schemaRefs>
    <ds:schemaRef ds:uri="http://schemas.microsoft.com/sharepoint/v3/contenttype/forms"/>
  </ds:schemaRefs>
</ds:datastoreItem>
</file>

<file path=customXml/itemProps2.xml><?xml version="1.0" encoding="utf-8"?>
<ds:datastoreItem xmlns:ds="http://schemas.openxmlformats.org/officeDocument/2006/customXml" ds:itemID="{25F596D5-5EE9-48C1-84DA-90792CBAC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4686E-D04B-445F-A6C6-641A98C95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F768A-BAD9-4239-BAF3-2DC780053EE6}">
  <ds:schemaRefs>
    <ds:schemaRef ds:uri="http://purl.org/dc/terms/"/>
    <ds:schemaRef ds:uri="http://schemas.openxmlformats.org/package/2006/metadata/core-properties"/>
    <ds:schemaRef ds:uri="http://schemas.microsoft.com/office/2006/documentManagement/types"/>
    <ds:schemaRef ds:uri="FAF4686E-D04B-445F-A6C6-641A98C9559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7E83A54-3867-4EFD-A40F-3CE865A3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3498</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Drafting instructions - Legislative Instrument s 33 of IRD</vt:lpstr>
    </vt:vector>
  </TitlesOfParts>
  <Company>Department of Industry, Innovation and Science</Company>
  <LinksUpToDate>false</LinksUpToDate>
  <CharactersWithSpaces>23397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instructions - Legislative Instrument s 33 of IRD</dc:title>
  <dc:subject/>
  <dc:creator>Industry</dc:creator>
  <cp:keywords/>
  <dc:description/>
  <cp:lastModifiedBy>Musolino, Teddy</cp:lastModifiedBy>
  <cp:revision>2</cp:revision>
  <cp:lastPrinted>2020-11-09T04:44:00Z</cp:lastPrinted>
  <dcterms:created xsi:type="dcterms:W3CDTF">2020-12-09T00:48:00Z</dcterms:created>
  <dcterms:modified xsi:type="dcterms:W3CDTF">2020-12-09T00:48:00Z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Year">
    <vt:lpwstr>918;#2020|6a3660c5-15bd-4052-a0a1-6237663b7600</vt:lpwstr>
  </property>
  <property fmtid="{D5CDD505-2E9C-101B-9397-08002B2CF9AE}" pid="3" name="DocHub_DocumentType">
    <vt:lpwstr>389;#Statement|ae910bea-4712-4caf-9c51-fbe8648fbf7b</vt:lpwstr>
  </property>
  <property fmtid="{D5CDD505-2E9C-101B-9397-08002B2CF9AE}" pid="4" name="DocHub_SecurityClassification">
    <vt:lpwstr>7;#OFFICIAL|6106d03b-a1a0-4e30-9d91-d5e9fb4314f9</vt:lpwstr>
  </property>
  <property fmtid="{D5CDD505-2E9C-101B-9397-08002B2CF9AE}" pid="5" name="ContentTypeId">
    <vt:lpwstr>0x010100266966F133664895A6EE3632470D45F500D4AC3DBB56DE8C459C99BB94AA8874E9</vt:lpwstr>
  </property>
  <property fmtid="{D5CDD505-2E9C-101B-9397-08002B2CF9AE}" pid="6" name="DocHub_Keywords">
    <vt:lpwstr>1457;#MoonToMars|2e48b98d-c49e-4c8e-bc95-b1bb87c89ca2</vt:lpwstr>
  </property>
  <property fmtid="{D5CDD505-2E9C-101B-9397-08002B2CF9AE}" pid="7" name="DocHub_WorkActivity">
    <vt:lpwstr>258;#Legislation and Regulation|6cbc66f5-f4a2-4565-a58b-d5f2d2ac9bd0</vt:lpwstr>
  </property>
  <property fmtid="{D5CDD505-2E9C-101B-9397-08002B2CF9AE}" pid="8" name="_dlc_DocIdItemGuid">
    <vt:lpwstr>86d827e1-e918-44be-b559-e5af3a6cc897</vt:lpwstr>
  </property>
  <property fmtid="{D5CDD505-2E9C-101B-9397-08002B2CF9AE}" pid="9" name="DocHub_BGHProgramLifecyclePhase">
    <vt:lpwstr>20144;#2 - Design|76e3e0c9-05a6-427f-83fa-9e397d0131c3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
  </property>
  <property fmtid="{D5CDD505-2E9C-101B-9397-08002B2CF9AE}" pid="12" name="DocHub_BGHProgramLifecycleTask">
    <vt:lpwstr>28785;#Task 1 - Program Design|7c304e06-24a9-4180-8b77-0f4513b26fa8</vt:lpwstr>
  </property>
  <property fmtid="{D5CDD505-2E9C-101B-9397-08002B2CF9AE}" pid="13" name="DocHub_LegalKeywords">
    <vt:lpwstr/>
  </property>
  <property fmtid="{D5CDD505-2E9C-101B-9397-08002B2CF9AE}" pid="14" name="DocHub_LegalClient">
    <vt:lpwstr>9850;#Australian Space Agency|873f7ef8-52cb-4f74-aa7e-15a83300518e</vt:lpwstr>
  </property>
  <property fmtid="{D5CDD505-2E9C-101B-9397-08002B2CF9AE}" pid="15" name="DocHub_MoonMarsInitiativeSubProgram">
    <vt:lpwstr>1476;#Initiative|fdd50eac-a9f6-48eb-b1f2-48702d78a349</vt:lpwstr>
  </property>
  <property fmtid="{D5CDD505-2E9C-101B-9397-08002B2CF9AE}" pid="16" name="ObjectiveRef">
    <vt:lpwstr>Removed</vt:lpwstr>
  </property>
  <property fmtid="{D5CDD505-2E9C-101B-9397-08002B2CF9AE}" pid="17" name="LeadingLawyers">
    <vt:lpwstr>Removed</vt:lpwstr>
  </property>
  <property fmtid="{D5CDD505-2E9C-101B-9397-08002B2CF9AE}" pid="18" name="checkforsharepointfields">
    <vt:lpwstr>True</vt:lpwstr>
  </property>
  <property fmtid="{D5CDD505-2E9C-101B-9397-08002B2CF9AE}" pid="19" name="Template Filename">
    <vt:lpwstr/>
  </property>
  <property fmtid="{D5CDD505-2E9C-101B-9397-08002B2CF9AE}" pid="20" name="WSFooter">
    <vt:lpwstr>39682393</vt:lpwstr>
  </property>
</Properties>
</file>