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6023" w14:textId="376BBC7D" w:rsidR="002436BD" w:rsidRDefault="002436BD" w:rsidP="00DF7DA0">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 xml:space="preserve">Banking (prudential standard) determination </w:t>
      </w:r>
      <w:r w:rsidRPr="002A2993">
        <w:rPr>
          <w:rFonts w:ascii="Times New Roman" w:hAnsi="Times New Roman"/>
          <w:sz w:val="24"/>
          <w:szCs w:val="24"/>
        </w:rPr>
        <w:t>No</w:t>
      </w:r>
      <w:r w:rsidR="005973BF" w:rsidRPr="002A2993">
        <w:rPr>
          <w:rFonts w:ascii="Times New Roman" w:hAnsi="Times New Roman"/>
          <w:sz w:val="24"/>
          <w:szCs w:val="24"/>
        </w:rPr>
        <w:t>s</w:t>
      </w:r>
      <w:r w:rsidRPr="002A2993">
        <w:rPr>
          <w:rFonts w:ascii="Times New Roman" w:hAnsi="Times New Roman"/>
          <w:sz w:val="24"/>
          <w:szCs w:val="24"/>
        </w:rPr>
        <w:t xml:space="preserve">. </w:t>
      </w:r>
      <w:r w:rsidR="005973BF" w:rsidRPr="002A2993">
        <w:rPr>
          <w:rFonts w:ascii="Times New Roman" w:hAnsi="Times New Roman"/>
          <w:sz w:val="24"/>
          <w:szCs w:val="24"/>
        </w:rPr>
        <w:t xml:space="preserve">5 </w:t>
      </w:r>
      <w:r w:rsidR="00E64B8A" w:rsidRPr="002A2993">
        <w:rPr>
          <w:rFonts w:ascii="Times New Roman" w:hAnsi="Times New Roman"/>
          <w:sz w:val="24"/>
          <w:szCs w:val="24"/>
        </w:rPr>
        <w:t>and</w:t>
      </w:r>
      <w:r w:rsidR="00C30E88" w:rsidRPr="002A2993">
        <w:rPr>
          <w:rFonts w:ascii="Times New Roman" w:hAnsi="Times New Roman"/>
          <w:sz w:val="24"/>
          <w:szCs w:val="24"/>
        </w:rPr>
        <w:t xml:space="preserve"> </w:t>
      </w:r>
      <w:r w:rsidR="005973BF" w:rsidRPr="002A2993">
        <w:rPr>
          <w:rFonts w:ascii="Times New Roman" w:hAnsi="Times New Roman"/>
          <w:sz w:val="24"/>
          <w:szCs w:val="24"/>
        </w:rPr>
        <w:t xml:space="preserve">6 </w:t>
      </w:r>
      <w:r w:rsidRPr="002A2993">
        <w:rPr>
          <w:rFonts w:ascii="Times New Roman" w:hAnsi="Times New Roman"/>
          <w:sz w:val="24"/>
          <w:szCs w:val="24"/>
        </w:rPr>
        <w:t>of 20</w:t>
      </w:r>
      <w:r w:rsidR="00810661" w:rsidRPr="002A2993">
        <w:rPr>
          <w:rFonts w:ascii="Times New Roman" w:hAnsi="Times New Roman"/>
          <w:sz w:val="24"/>
          <w:szCs w:val="24"/>
        </w:rPr>
        <w:t>20</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7EC55166" w14:textId="7C800CFF" w:rsidR="00C30E88" w:rsidRPr="00254671" w:rsidRDefault="00254671" w:rsidP="00C42FED">
      <w:pPr>
        <w:pStyle w:val="ListParagraph"/>
        <w:widowControl w:val="0"/>
        <w:spacing w:after="240"/>
        <w:ind w:left="0"/>
        <w:jc w:val="both"/>
        <w:rPr>
          <w:rFonts w:ascii="Times New Roman" w:hAnsi="Times New Roman"/>
          <w:sz w:val="24"/>
          <w:szCs w:val="24"/>
        </w:rPr>
      </w:pPr>
      <w:r w:rsidRPr="00254671">
        <w:rPr>
          <w:rFonts w:ascii="Times New Roman" w:hAnsi="Times New Roman"/>
          <w:color w:val="000000"/>
          <w:sz w:val="24"/>
          <w:szCs w:val="24"/>
        </w:rPr>
        <w:t>Under subsection 11</w:t>
      </w:r>
      <w:proofErr w:type="gramStart"/>
      <w:r w:rsidRPr="00254671">
        <w:rPr>
          <w:rFonts w:ascii="Times New Roman" w:hAnsi="Times New Roman"/>
          <w:color w:val="000000"/>
          <w:sz w:val="24"/>
          <w:szCs w:val="24"/>
        </w:rPr>
        <w:t>AF(</w:t>
      </w:r>
      <w:proofErr w:type="gramEnd"/>
      <w:r w:rsidRPr="00254671">
        <w:rPr>
          <w:rFonts w:ascii="Times New Roman" w:hAnsi="Times New Roman"/>
          <w:color w:val="000000"/>
          <w:sz w:val="24"/>
          <w:szCs w:val="24"/>
        </w:rPr>
        <w:t xml:space="preserve">1) of the </w:t>
      </w:r>
      <w:r w:rsidRPr="00254671">
        <w:rPr>
          <w:rFonts w:ascii="Times New Roman" w:hAnsi="Times New Roman"/>
          <w:i/>
          <w:color w:val="000000"/>
          <w:sz w:val="24"/>
          <w:szCs w:val="24"/>
        </w:rPr>
        <w:t>Banking Act 1959</w:t>
      </w:r>
      <w:r w:rsidRPr="00254671">
        <w:rPr>
          <w:rFonts w:ascii="Times New Roman" w:hAnsi="Times New Roman"/>
          <w:color w:val="000000"/>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sidRPr="00254671">
        <w:rPr>
          <w:rFonts w:ascii="Times New Roman" w:hAnsi="Times New Roman"/>
          <w:color w:val="000000"/>
          <w:sz w:val="24"/>
          <w:szCs w:val="24"/>
        </w:rPr>
        <w:t>AF(</w:t>
      </w:r>
      <w:proofErr w:type="gramEnd"/>
      <w:r w:rsidRPr="00254671">
        <w:rPr>
          <w:rFonts w:ascii="Times New Roman" w:hAnsi="Times New Roman"/>
          <w:color w:val="000000"/>
          <w:sz w:val="24"/>
          <w:szCs w:val="24"/>
        </w:rPr>
        <w:t>3) of the Act, APRA may, in writing, vary or revoke a prudential standard.</w:t>
      </w:r>
      <w:bookmarkStart w:id="2" w:name="bkAct"/>
      <w:bookmarkStart w:id="3" w:name="bkExplanatory"/>
      <w:bookmarkEnd w:id="2"/>
      <w:bookmarkEnd w:id="3"/>
    </w:p>
    <w:p w14:paraId="4DB507D5" w14:textId="32E6BAD3" w:rsidR="004D4579" w:rsidRPr="007624D6" w:rsidRDefault="002436BD" w:rsidP="00DF7DA0">
      <w:pPr>
        <w:widowControl w:val="0"/>
        <w:spacing w:after="240"/>
        <w:jc w:val="both"/>
        <w:rPr>
          <w:rFonts w:ascii="Times New Roman" w:hAnsi="Times New Roman"/>
          <w:sz w:val="24"/>
          <w:szCs w:val="24"/>
        </w:rPr>
      </w:pPr>
      <w:r w:rsidRPr="00870628">
        <w:rPr>
          <w:rFonts w:ascii="Times New Roman" w:hAnsi="Times New Roman"/>
          <w:sz w:val="24"/>
          <w:szCs w:val="24"/>
        </w:rPr>
        <w:t xml:space="preserve">On </w:t>
      </w:r>
      <w:r w:rsidR="00870628" w:rsidRPr="00870628">
        <w:rPr>
          <w:rFonts w:ascii="Times New Roman" w:hAnsi="Times New Roman"/>
          <w:sz w:val="24"/>
          <w:szCs w:val="24"/>
        </w:rPr>
        <w:t>8</w:t>
      </w:r>
      <w:r w:rsidR="007624D6" w:rsidRPr="00870628">
        <w:rPr>
          <w:rFonts w:ascii="Times New Roman" w:hAnsi="Times New Roman"/>
          <w:sz w:val="24"/>
          <w:szCs w:val="24"/>
        </w:rPr>
        <w:t xml:space="preserve"> </w:t>
      </w:r>
      <w:r w:rsidR="005973BF" w:rsidRPr="00870628">
        <w:rPr>
          <w:rFonts w:ascii="Times New Roman" w:hAnsi="Times New Roman"/>
          <w:sz w:val="24"/>
          <w:szCs w:val="24"/>
        </w:rPr>
        <w:t>December</w:t>
      </w:r>
      <w:r w:rsidR="007624D6" w:rsidRPr="005973BF">
        <w:rPr>
          <w:rFonts w:ascii="Times New Roman" w:hAnsi="Times New Roman"/>
          <w:sz w:val="24"/>
          <w:szCs w:val="24"/>
        </w:rPr>
        <w:t xml:space="preserve"> </w:t>
      </w:r>
      <w:r w:rsidR="00AA530F" w:rsidRPr="005973BF">
        <w:rPr>
          <w:rFonts w:ascii="Times New Roman" w:hAnsi="Times New Roman"/>
          <w:sz w:val="24"/>
          <w:szCs w:val="24"/>
        </w:rPr>
        <w:t>2020</w:t>
      </w:r>
      <w:r w:rsidRPr="007624D6">
        <w:rPr>
          <w:rFonts w:ascii="Times New Roman" w:hAnsi="Times New Roman"/>
          <w:sz w:val="24"/>
          <w:szCs w:val="24"/>
        </w:rPr>
        <w:t xml:space="preserve">, APRA made </w:t>
      </w:r>
      <w:r w:rsidR="004D4579" w:rsidRPr="007624D6">
        <w:rPr>
          <w:rFonts w:ascii="Times New Roman" w:hAnsi="Times New Roman"/>
          <w:sz w:val="24"/>
          <w:szCs w:val="24"/>
        </w:rPr>
        <w:t>the following determinations (the instruments):</w:t>
      </w:r>
    </w:p>
    <w:p w14:paraId="5DAE5B4A" w14:textId="6E4D315E" w:rsidR="00843A5A" w:rsidRDefault="004D4579" w:rsidP="005D57D5">
      <w:pPr>
        <w:pStyle w:val="ListParagraph"/>
        <w:widowControl w:val="0"/>
        <w:numPr>
          <w:ilvl w:val="0"/>
          <w:numId w:val="6"/>
        </w:numPr>
        <w:spacing w:after="240"/>
        <w:jc w:val="both"/>
        <w:rPr>
          <w:rFonts w:ascii="Times New Roman" w:hAnsi="Times New Roman"/>
          <w:sz w:val="24"/>
          <w:szCs w:val="24"/>
        </w:rPr>
      </w:pPr>
      <w:r w:rsidRPr="007624D6">
        <w:rPr>
          <w:rFonts w:ascii="Times New Roman" w:hAnsi="Times New Roman"/>
          <w:sz w:val="24"/>
          <w:szCs w:val="24"/>
        </w:rPr>
        <w:t xml:space="preserve">Banking (prudential standard) determination </w:t>
      </w:r>
      <w:r w:rsidRPr="002A2993">
        <w:rPr>
          <w:rFonts w:ascii="Times New Roman" w:hAnsi="Times New Roman"/>
          <w:sz w:val="24"/>
          <w:szCs w:val="24"/>
        </w:rPr>
        <w:t xml:space="preserve">No. </w:t>
      </w:r>
      <w:r w:rsidR="00913060" w:rsidRPr="002A2993">
        <w:rPr>
          <w:rFonts w:ascii="Times New Roman" w:hAnsi="Times New Roman"/>
          <w:sz w:val="24"/>
          <w:szCs w:val="24"/>
        </w:rPr>
        <w:t>6</w:t>
      </w:r>
      <w:r w:rsidRPr="002A2993">
        <w:rPr>
          <w:rFonts w:ascii="Times New Roman" w:hAnsi="Times New Roman"/>
          <w:sz w:val="24"/>
          <w:szCs w:val="24"/>
        </w:rPr>
        <w:t xml:space="preserve"> of 2020</w:t>
      </w:r>
      <w:r w:rsidR="000A1056" w:rsidRPr="002A2993">
        <w:rPr>
          <w:rFonts w:ascii="Times New Roman" w:hAnsi="Times New Roman"/>
          <w:sz w:val="24"/>
          <w:szCs w:val="24"/>
        </w:rPr>
        <w:t>, commenc</w:t>
      </w:r>
      <w:r w:rsidR="00E378A0" w:rsidRPr="002A2993">
        <w:rPr>
          <w:rFonts w:ascii="Times New Roman" w:hAnsi="Times New Roman"/>
          <w:sz w:val="24"/>
          <w:szCs w:val="24"/>
        </w:rPr>
        <w:t>ing</w:t>
      </w:r>
      <w:r w:rsidR="003F6F5E" w:rsidRPr="002A2993">
        <w:rPr>
          <w:rFonts w:ascii="Times New Roman" w:hAnsi="Times New Roman"/>
          <w:sz w:val="24"/>
          <w:szCs w:val="24"/>
        </w:rPr>
        <w:t xml:space="preserve"> upon registration on the Federal Register of Legislation</w:t>
      </w:r>
      <w:r w:rsidR="000A1056" w:rsidRPr="002A2993">
        <w:rPr>
          <w:rFonts w:ascii="Times New Roman" w:hAnsi="Times New Roman"/>
          <w:sz w:val="24"/>
          <w:szCs w:val="24"/>
        </w:rPr>
        <w:t xml:space="preserve">, </w:t>
      </w:r>
      <w:r w:rsidR="0031077C" w:rsidRPr="002A2993">
        <w:rPr>
          <w:rFonts w:ascii="Times New Roman" w:hAnsi="Times New Roman"/>
          <w:sz w:val="24"/>
          <w:szCs w:val="24"/>
        </w:rPr>
        <w:t>which</w:t>
      </w:r>
    </w:p>
    <w:p w14:paraId="3D1596B4" w14:textId="5BC19F39" w:rsidR="00843A5A" w:rsidRDefault="004D4579" w:rsidP="003F6F5E">
      <w:pPr>
        <w:pStyle w:val="ListParagraph"/>
        <w:widowControl w:val="0"/>
        <w:numPr>
          <w:ilvl w:val="0"/>
          <w:numId w:val="15"/>
        </w:numPr>
        <w:spacing w:after="240"/>
        <w:jc w:val="both"/>
        <w:rPr>
          <w:rFonts w:ascii="Times New Roman" w:hAnsi="Times New Roman"/>
          <w:sz w:val="24"/>
          <w:szCs w:val="24"/>
        </w:rPr>
      </w:pPr>
      <w:r w:rsidRPr="007624D6">
        <w:rPr>
          <w:rFonts w:ascii="Times New Roman" w:hAnsi="Times New Roman"/>
          <w:sz w:val="24"/>
          <w:szCs w:val="24"/>
        </w:rPr>
        <w:t>revokes</w:t>
      </w:r>
      <w:r w:rsidR="00843A5A">
        <w:rPr>
          <w:rFonts w:ascii="Times New Roman" w:hAnsi="Times New Roman"/>
          <w:sz w:val="24"/>
          <w:szCs w:val="24"/>
        </w:rPr>
        <w:t xml:space="preserve">, effective </w:t>
      </w:r>
      <w:r w:rsidR="003F6F5E">
        <w:rPr>
          <w:rFonts w:ascii="Times New Roman" w:hAnsi="Times New Roman"/>
          <w:sz w:val="24"/>
          <w:szCs w:val="24"/>
        </w:rPr>
        <w:t>upon registration</w:t>
      </w:r>
      <w:r w:rsidR="00843A5A">
        <w:rPr>
          <w:rFonts w:ascii="Times New Roman" w:hAnsi="Times New Roman"/>
          <w:sz w:val="24"/>
          <w:szCs w:val="24"/>
        </w:rPr>
        <w:t>,</w:t>
      </w:r>
      <w:r w:rsidR="00935C58">
        <w:rPr>
          <w:rFonts w:ascii="Times New Roman" w:hAnsi="Times New Roman"/>
          <w:sz w:val="24"/>
          <w:szCs w:val="24"/>
        </w:rPr>
        <w:t xml:space="preserve"> Banking (prudential standard) determination No. </w:t>
      </w:r>
      <w:r w:rsidR="00843A5A">
        <w:rPr>
          <w:rFonts w:ascii="Times New Roman" w:hAnsi="Times New Roman"/>
          <w:sz w:val="24"/>
          <w:szCs w:val="24"/>
        </w:rPr>
        <w:t>2</w:t>
      </w:r>
      <w:r w:rsidR="00935C58">
        <w:rPr>
          <w:rFonts w:ascii="Times New Roman" w:hAnsi="Times New Roman"/>
          <w:sz w:val="24"/>
          <w:szCs w:val="24"/>
        </w:rPr>
        <w:t xml:space="preserve"> of 2020</w:t>
      </w:r>
      <w:r w:rsidR="00843A5A">
        <w:rPr>
          <w:rFonts w:ascii="Times New Roman" w:hAnsi="Times New Roman"/>
          <w:sz w:val="24"/>
          <w:szCs w:val="24"/>
        </w:rPr>
        <w:t>, including</w:t>
      </w:r>
      <w:r w:rsidR="004C3512">
        <w:rPr>
          <w:rFonts w:ascii="Times New Roman" w:hAnsi="Times New Roman"/>
          <w:sz w:val="24"/>
          <w:szCs w:val="24"/>
        </w:rPr>
        <w:t xml:space="preserve"> </w:t>
      </w:r>
      <w:r w:rsidRPr="007624D6">
        <w:rPr>
          <w:rFonts w:ascii="Times New Roman" w:hAnsi="Times New Roman"/>
          <w:i/>
          <w:sz w:val="24"/>
          <w:szCs w:val="24"/>
        </w:rPr>
        <w:t>Prudential Standard APS</w:t>
      </w:r>
      <w:r w:rsidR="000E0D8E">
        <w:rPr>
          <w:rFonts w:ascii="Times New Roman" w:hAnsi="Times New Roman"/>
          <w:i/>
          <w:sz w:val="24"/>
          <w:szCs w:val="24"/>
        </w:rPr>
        <w:t> </w:t>
      </w:r>
      <w:r w:rsidR="00935C58">
        <w:rPr>
          <w:rFonts w:ascii="Times New Roman" w:hAnsi="Times New Roman"/>
          <w:i/>
          <w:sz w:val="24"/>
          <w:szCs w:val="24"/>
        </w:rPr>
        <w:t>115</w:t>
      </w:r>
      <w:r w:rsidRPr="007624D6">
        <w:rPr>
          <w:rFonts w:ascii="Times New Roman" w:hAnsi="Times New Roman"/>
          <w:i/>
          <w:sz w:val="24"/>
          <w:szCs w:val="24"/>
        </w:rPr>
        <w:t xml:space="preserve"> Capital Adequacy: Standardised</w:t>
      </w:r>
      <w:r w:rsidR="00FB0521">
        <w:rPr>
          <w:rFonts w:ascii="Times New Roman" w:hAnsi="Times New Roman"/>
          <w:i/>
          <w:sz w:val="24"/>
          <w:szCs w:val="24"/>
        </w:rPr>
        <w:t xml:space="preserve"> Measurement</w:t>
      </w:r>
      <w:r w:rsidRPr="007624D6">
        <w:rPr>
          <w:rFonts w:ascii="Times New Roman" w:hAnsi="Times New Roman"/>
          <w:i/>
          <w:sz w:val="24"/>
          <w:szCs w:val="24"/>
        </w:rPr>
        <w:t xml:space="preserve"> Approach to Operational Risk </w:t>
      </w:r>
      <w:r w:rsidRPr="007624D6">
        <w:rPr>
          <w:rFonts w:ascii="Times New Roman" w:hAnsi="Times New Roman"/>
          <w:sz w:val="24"/>
          <w:szCs w:val="24"/>
        </w:rPr>
        <w:t>made</w:t>
      </w:r>
      <w:r w:rsidR="00E333F0" w:rsidRPr="007624D6">
        <w:rPr>
          <w:rFonts w:ascii="Times New Roman" w:hAnsi="Times New Roman"/>
          <w:sz w:val="24"/>
          <w:szCs w:val="24"/>
        </w:rPr>
        <w:t xml:space="preserve"> </w:t>
      </w:r>
      <w:r w:rsidR="00C47E92">
        <w:rPr>
          <w:rFonts w:ascii="Times New Roman" w:hAnsi="Times New Roman"/>
          <w:sz w:val="24"/>
          <w:szCs w:val="24"/>
        </w:rPr>
        <w:t xml:space="preserve">under </w:t>
      </w:r>
      <w:r w:rsidR="00843A5A">
        <w:rPr>
          <w:rFonts w:ascii="Times New Roman" w:hAnsi="Times New Roman"/>
          <w:sz w:val="24"/>
          <w:szCs w:val="24"/>
        </w:rPr>
        <w:t>that Determination;</w:t>
      </w:r>
    </w:p>
    <w:p w14:paraId="613645EE" w14:textId="77411472" w:rsidR="00843A5A" w:rsidRDefault="00843A5A" w:rsidP="003F6F5E">
      <w:pPr>
        <w:pStyle w:val="ListParagraph"/>
        <w:widowControl w:val="0"/>
        <w:numPr>
          <w:ilvl w:val="0"/>
          <w:numId w:val="15"/>
        </w:numPr>
        <w:spacing w:after="240"/>
        <w:jc w:val="both"/>
        <w:rPr>
          <w:rFonts w:ascii="Times New Roman" w:hAnsi="Times New Roman"/>
          <w:sz w:val="24"/>
          <w:szCs w:val="24"/>
        </w:rPr>
      </w:pPr>
      <w:r>
        <w:rPr>
          <w:rFonts w:ascii="Times New Roman" w:hAnsi="Times New Roman"/>
          <w:sz w:val="24"/>
          <w:szCs w:val="24"/>
        </w:rPr>
        <w:t xml:space="preserve">revokes, effective 1 January 2023, </w:t>
      </w:r>
      <w:r w:rsidR="000A1056" w:rsidRPr="007624D6">
        <w:rPr>
          <w:rFonts w:ascii="Times New Roman" w:hAnsi="Times New Roman"/>
          <w:sz w:val="24"/>
          <w:szCs w:val="24"/>
        </w:rPr>
        <w:t xml:space="preserve">Banking (prudential standard) determination No. </w:t>
      </w:r>
      <w:r>
        <w:rPr>
          <w:rFonts w:ascii="Times New Roman" w:hAnsi="Times New Roman"/>
          <w:sz w:val="24"/>
          <w:szCs w:val="24"/>
        </w:rPr>
        <w:t>8</w:t>
      </w:r>
      <w:r w:rsidR="00FB0521">
        <w:rPr>
          <w:rFonts w:ascii="Times New Roman" w:hAnsi="Times New Roman"/>
          <w:sz w:val="24"/>
          <w:szCs w:val="24"/>
        </w:rPr>
        <w:t xml:space="preserve"> of 20</w:t>
      </w:r>
      <w:r>
        <w:rPr>
          <w:rFonts w:ascii="Times New Roman" w:hAnsi="Times New Roman"/>
          <w:sz w:val="24"/>
          <w:szCs w:val="24"/>
        </w:rPr>
        <w:t>12</w:t>
      </w:r>
      <w:r w:rsidR="00FB0521">
        <w:rPr>
          <w:rFonts w:ascii="Times New Roman" w:hAnsi="Times New Roman"/>
          <w:sz w:val="24"/>
          <w:szCs w:val="24"/>
        </w:rPr>
        <w:t>,</w:t>
      </w:r>
      <w:r>
        <w:rPr>
          <w:rFonts w:ascii="Times New Roman" w:hAnsi="Times New Roman"/>
          <w:sz w:val="24"/>
          <w:szCs w:val="24"/>
        </w:rPr>
        <w:t xml:space="preserve"> including </w:t>
      </w:r>
      <w:r w:rsidRPr="00843A5A">
        <w:rPr>
          <w:rFonts w:ascii="Times New Roman" w:hAnsi="Times New Roman"/>
          <w:i/>
          <w:sz w:val="24"/>
          <w:szCs w:val="24"/>
        </w:rPr>
        <w:t xml:space="preserve">Prudential Standard APS 115 Capital Adequacy: </w:t>
      </w:r>
      <w:r>
        <w:rPr>
          <w:rFonts w:ascii="Times New Roman" w:hAnsi="Times New Roman"/>
          <w:i/>
          <w:sz w:val="24"/>
          <w:szCs w:val="24"/>
        </w:rPr>
        <w:t>Advanced</w:t>
      </w:r>
      <w:r w:rsidRPr="00843A5A">
        <w:rPr>
          <w:rFonts w:ascii="Times New Roman" w:hAnsi="Times New Roman"/>
          <w:i/>
          <w:sz w:val="24"/>
          <w:szCs w:val="24"/>
        </w:rPr>
        <w:t xml:space="preserve"> Measurement Approach</w:t>
      </w:r>
      <w:r>
        <w:rPr>
          <w:rFonts w:ascii="Times New Roman" w:hAnsi="Times New Roman"/>
          <w:i/>
          <w:sz w:val="24"/>
          <w:szCs w:val="24"/>
        </w:rPr>
        <w:t>es</w:t>
      </w:r>
      <w:r w:rsidRPr="00843A5A">
        <w:rPr>
          <w:rFonts w:ascii="Times New Roman" w:hAnsi="Times New Roman"/>
          <w:i/>
          <w:sz w:val="24"/>
          <w:szCs w:val="24"/>
        </w:rPr>
        <w:t xml:space="preserve"> to Operational Risk </w:t>
      </w:r>
      <w:r w:rsidRPr="00843A5A">
        <w:rPr>
          <w:rFonts w:ascii="Times New Roman" w:hAnsi="Times New Roman"/>
          <w:sz w:val="24"/>
          <w:szCs w:val="24"/>
        </w:rPr>
        <w:t xml:space="preserve">made </w:t>
      </w:r>
      <w:r w:rsidR="00C47E92">
        <w:rPr>
          <w:rFonts w:ascii="Times New Roman" w:hAnsi="Times New Roman"/>
          <w:sz w:val="24"/>
          <w:szCs w:val="24"/>
        </w:rPr>
        <w:t xml:space="preserve">under </w:t>
      </w:r>
      <w:r w:rsidRPr="00843A5A">
        <w:rPr>
          <w:rFonts w:ascii="Times New Roman" w:hAnsi="Times New Roman"/>
          <w:sz w:val="24"/>
          <w:szCs w:val="24"/>
        </w:rPr>
        <w:t>that Determination</w:t>
      </w:r>
      <w:r>
        <w:rPr>
          <w:rFonts w:ascii="Times New Roman" w:hAnsi="Times New Roman"/>
          <w:sz w:val="24"/>
          <w:szCs w:val="24"/>
        </w:rPr>
        <w:t>; and</w:t>
      </w:r>
    </w:p>
    <w:p w14:paraId="38BC6AEF" w14:textId="16BA6323" w:rsidR="00C148E1" w:rsidRDefault="00FB0521" w:rsidP="003F6F5E">
      <w:pPr>
        <w:pStyle w:val="ListParagraph"/>
        <w:widowControl w:val="0"/>
        <w:numPr>
          <w:ilvl w:val="0"/>
          <w:numId w:val="15"/>
        </w:numPr>
        <w:spacing w:after="240"/>
        <w:jc w:val="both"/>
        <w:rPr>
          <w:rFonts w:ascii="Times New Roman" w:hAnsi="Times New Roman"/>
          <w:sz w:val="24"/>
          <w:szCs w:val="24"/>
        </w:rPr>
      </w:pPr>
      <w:r>
        <w:rPr>
          <w:rFonts w:ascii="Times New Roman" w:hAnsi="Times New Roman"/>
          <w:sz w:val="24"/>
          <w:szCs w:val="24"/>
        </w:rPr>
        <w:t xml:space="preserve"> determines</w:t>
      </w:r>
      <w:r w:rsidR="00E051C6">
        <w:rPr>
          <w:rFonts w:ascii="Times New Roman" w:hAnsi="Times New Roman"/>
          <w:sz w:val="24"/>
          <w:szCs w:val="24"/>
        </w:rPr>
        <w:t>, effective 1 January 202</w:t>
      </w:r>
      <w:r w:rsidR="00836187">
        <w:rPr>
          <w:rFonts w:ascii="Times New Roman" w:hAnsi="Times New Roman"/>
          <w:sz w:val="24"/>
          <w:szCs w:val="24"/>
        </w:rPr>
        <w:t>2</w:t>
      </w:r>
      <w:r w:rsidR="00E051C6">
        <w:rPr>
          <w:rFonts w:ascii="Times New Roman" w:hAnsi="Times New Roman"/>
          <w:sz w:val="24"/>
          <w:szCs w:val="24"/>
        </w:rPr>
        <w:t>,</w:t>
      </w:r>
      <w:r>
        <w:rPr>
          <w:rFonts w:ascii="Times New Roman" w:hAnsi="Times New Roman"/>
          <w:sz w:val="24"/>
          <w:szCs w:val="24"/>
        </w:rPr>
        <w:t xml:space="preserve"> a new </w:t>
      </w:r>
      <w:r w:rsidRPr="007624D6">
        <w:rPr>
          <w:rFonts w:ascii="Times New Roman" w:hAnsi="Times New Roman"/>
          <w:i/>
          <w:sz w:val="24"/>
          <w:szCs w:val="24"/>
        </w:rPr>
        <w:t>Prudential Standard APS</w:t>
      </w:r>
      <w:r>
        <w:rPr>
          <w:rFonts w:ascii="Times New Roman" w:hAnsi="Times New Roman"/>
          <w:i/>
          <w:sz w:val="24"/>
          <w:szCs w:val="24"/>
        </w:rPr>
        <w:t> 115</w:t>
      </w:r>
      <w:r w:rsidRPr="007624D6">
        <w:rPr>
          <w:rFonts w:ascii="Times New Roman" w:hAnsi="Times New Roman"/>
          <w:i/>
          <w:sz w:val="24"/>
          <w:szCs w:val="24"/>
        </w:rPr>
        <w:t xml:space="preserve"> Capital Adequacy: Standardised</w:t>
      </w:r>
      <w:r>
        <w:rPr>
          <w:rFonts w:ascii="Times New Roman" w:hAnsi="Times New Roman"/>
          <w:i/>
          <w:sz w:val="24"/>
          <w:szCs w:val="24"/>
        </w:rPr>
        <w:t xml:space="preserve"> Measurement</w:t>
      </w:r>
      <w:r w:rsidRPr="007624D6">
        <w:rPr>
          <w:rFonts w:ascii="Times New Roman" w:hAnsi="Times New Roman"/>
          <w:i/>
          <w:sz w:val="24"/>
          <w:szCs w:val="24"/>
        </w:rPr>
        <w:t xml:space="preserve"> Approach to Operational Risk</w:t>
      </w:r>
      <w:r w:rsidR="005D57D5">
        <w:rPr>
          <w:rFonts w:ascii="Times New Roman" w:hAnsi="Times New Roman"/>
          <w:sz w:val="24"/>
          <w:szCs w:val="24"/>
        </w:rPr>
        <w:t>;</w:t>
      </w:r>
    </w:p>
    <w:p w14:paraId="5273B060" w14:textId="24661DF5" w:rsidR="008D41FF" w:rsidRDefault="00C148E1">
      <w:pPr>
        <w:pStyle w:val="ListParagraph"/>
        <w:widowControl w:val="0"/>
        <w:numPr>
          <w:ilvl w:val="0"/>
          <w:numId w:val="6"/>
        </w:numPr>
        <w:spacing w:after="240"/>
        <w:jc w:val="both"/>
        <w:rPr>
          <w:rFonts w:ascii="Times New Roman" w:hAnsi="Times New Roman"/>
          <w:sz w:val="24"/>
          <w:szCs w:val="24"/>
        </w:rPr>
      </w:pPr>
      <w:r w:rsidRPr="00C148E1">
        <w:rPr>
          <w:rFonts w:ascii="Times New Roman" w:hAnsi="Times New Roman"/>
          <w:sz w:val="24"/>
          <w:szCs w:val="24"/>
        </w:rPr>
        <w:t xml:space="preserve">Banking (prudential standard) determination </w:t>
      </w:r>
      <w:r w:rsidRPr="002A2993">
        <w:rPr>
          <w:rFonts w:ascii="Times New Roman" w:hAnsi="Times New Roman"/>
          <w:sz w:val="24"/>
          <w:szCs w:val="24"/>
        </w:rPr>
        <w:t xml:space="preserve">No </w:t>
      </w:r>
      <w:r w:rsidR="00913060" w:rsidRPr="002A2993">
        <w:rPr>
          <w:rFonts w:ascii="Times New Roman" w:hAnsi="Times New Roman"/>
          <w:sz w:val="24"/>
          <w:szCs w:val="24"/>
        </w:rPr>
        <w:t>5</w:t>
      </w:r>
      <w:r w:rsidRPr="002A2993">
        <w:rPr>
          <w:rFonts w:ascii="Times New Roman" w:hAnsi="Times New Roman"/>
          <w:sz w:val="24"/>
          <w:szCs w:val="24"/>
        </w:rPr>
        <w:t xml:space="preserve"> of 2020, commencing </w:t>
      </w:r>
      <w:r w:rsidR="003F6F5E" w:rsidRPr="002A2993">
        <w:rPr>
          <w:rFonts w:ascii="Times New Roman" w:hAnsi="Times New Roman"/>
          <w:sz w:val="24"/>
          <w:szCs w:val="24"/>
        </w:rPr>
        <w:t>upon registration on the Federal Register of Legislation</w:t>
      </w:r>
      <w:r w:rsidRPr="002A2993">
        <w:rPr>
          <w:rFonts w:ascii="Times New Roman" w:hAnsi="Times New Roman"/>
          <w:sz w:val="24"/>
          <w:szCs w:val="24"/>
        </w:rPr>
        <w:t>, which</w:t>
      </w:r>
      <w:r w:rsidR="008D41FF" w:rsidRPr="002A2993">
        <w:rPr>
          <w:rFonts w:ascii="Times New Roman" w:hAnsi="Times New Roman"/>
          <w:sz w:val="24"/>
          <w:szCs w:val="24"/>
        </w:rPr>
        <w:t>:</w:t>
      </w:r>
    </w:p>
    <w:p w14:paraId="1675DC8C" w14:textId="6A24D7C8" w:rsidR="008D41FF" w:rsidRDefault="00C148E1" w:rsidP="003F6F5E">
      <w:pPr>
        <w:pStyle w:val="ListParagraph"/>
        <w:widowControl w:val="0"/>
        <w:numPr>
          <w:ilvl w:val="0"/>
          <w:numId w:val="16"/>
        </w:numPr>
        <w:spacing w:after="240"/>
        <w:jc w:val="both"/>
        <w:rPr>
          <w:rFonts w:ascii="Times New Roman" w:hAnsi="Times New Roman"/>
          <w:sz w:val="24"/>
          <w:szCs w:val="24"/>
        </w:rPr>
      </w:pPr>
      <w:r w:rsidRPr="00C148E1">
        <w:rPr>
          <w:rFonts w:ascii="Times New Roman" w:hAnsi="Times New Roman"/>
          <w:sz w:val="24"/>
          <w:szCs w:val="24"/>
        </w:rPr>
        <w:t>revokes</w:t>
      </w:r>
      <w:r w:rsidR="008D41FF">
        <w:rPr>
          <w:rFonts w:ascii="Times New Roman" w:hAnsi="Times New Roman"/>
          <w:sz w:val="24"/>
          <w:szCs w:val="24"/>
        </w:rPr>
        <w:t>,</w:t>
      </w:r>
      <w:r w:rsidRPr="00C148E1">
        <w:rPr>
          <w:rFonts w:ascii="Times New Roman" w:hAnsi="Times New Roman"/>
          <w:sz w:val="24"/>
          <w:szCs w:val="24"/>
        </w:rPr>
        <w:t xml:space="preserve"> effective </w:t>
      </w:r>
      <w:r w:rsidR="003F6F5E">
        <w:rPr>
          <w:rFonts w:ascii="Times New Roman" w:hAnsi="Times New Roman"/>
          <w:sz w:val="24"/>
          <w:szCs w:val="24"/>
        </w:rPr>
        <w:t>upon registration</w:t>
      </w:r>
      <w:r w:rsidRPr="00C148E1">
        <w:rPr>
          <w:rFonts w:ascii="Times New Roman" w:hAnsi="Times New Roman"/>
          <w:sz w:val="24"/>
          <w:szCs w:val="24"/>
        </w:rPr>
        <w:t>, Banking (prudential standard) determination No. 1 of 2020</w:t>
      </w:r>
      <w:r w:rsidR="008D41FF">
        <w:rPr>
          <w:rFonts w:ascii="Times New Roman" w:hAnsi="Times New Roman"/>
          <w:sz w:val="24"/>
          <w:szCs w:val="24"/>
        </w:rPr>
        <w:t>; and</w:t>
      </w:r>
    </w:p>
    <w:p w14:paraId="06A050DF" w14:textId="31F8CEA6" w:rsidR="005D57D5" w:rsidRPr="003F6F5E" w:rsidRDefault="008D41FF" w:rsidP="00573273">
      <w:pPr>
        <w:pStyle w:val="ListParagraph"/>
        <w:widowControl w:val="0"/>
        <w:numPr>
          <w:ilvl w:val="0"/>
          <w:numId w:val="16"/>
        </w:numPr>
        <w:spacing w:after="240"/>
        <w:jc w:val="both"/>
      </w:pPr>
      <w:r>
        <w:rPr>
          <w:rFonts w:ascii="Times New Roman" w:hAnsi="Times New Roman"/>
          <w:sz w:val="24"/>
          <w:szCs w:val="24"/>
        </w:rPr>
        <w:t xml:space="preserve">revokes, </w:t>
      </w:r>
      <w:r w:rsidRPr="008D41FF">
        <w:rPr>
          <w:rFonts w:ascii="Times New Roman" w:hAnsi="Times New Roman"/>
          <w:sz w:val="24"/>
          <w:szCs w:val="24"/>
        </w:rPr>
        <w:t xml:space="preserve">effective 1 January 2023, Banking (prudential standard) determination No. 7 of 2012, including </w:t>
      </w:r>
      <w:r w:rsidRPr="008D41FF">
        <w:rPr>
          <w:rFonts w:ascii="Times New Roman" w:hAnsi="Times New Roman"/>
          <w:i/>
          <w:sz w:val="24"/>
          <w:szCs w:val="24"/>
        </w:rPr>
        <w:t>Prudential Standard APS 114 Capital Adequacy: Standardised Approach to Operational Risk</w:t>
      </w:r>
      <w:r w:rsidRPr="008D41FF">
        <w:rPr>
          <w:rFonts w:ascii="Times New Roman" w:hAnsi="Times New Roman"/>
          <w:sz w:val="24"/>
          <w:szCs w:val="24"/>
        </w:rPr>
        <w:t xml:space="preserve"> made under that Determination</w:t>
      </w:r>
      <w:r w:rsidR="00E64B8A">
        <w:rPr>
          <w:rFonts w:ascii="Times New Roman" w:hAnsi="Times New Roman"/>
          <w:sz w:val="24"/>
          <w:szCs w:val="24"/>
        </w:rPr>
        <w:t>.</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4FD033D" w14:textId="130D1715" w:rsidR="00A71EDF" w:rsidRDefault="000D5862" w:rsidP="00663606">
      <w:pPr>
        <w:pStyle w:val="Heading"/>
        <w:spacing w:after="240"/>
        <w:rPr>
          <w:rFonts w:ascii="Times New Roman" w:hAnsi="Times New Roman"/>
          <w:b w:val="0"/>
          <w:sz w:val="24"/>
          <w:szCs w:val="24"/>
        </w:rPr>
      </w:pPr>
      <w:r w:rsidRPr="00663606">
        <w:rPr>
          <w:rFonts w:ascii="Times New Roman" w:hAnsi="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sidR="0015432B">
        <w:rPr>
          <w:rFonts w:ascii="Times New Roman" w:hAnsi="Times New Roman"/>
          <w:b w:val="0"/>
          <w:sz w:val="24"/>
          <w:szCs w:val="24"/>
        </w:rPr>
        <w:t xml:space="preserve"> APRA give</w:t>
      </w:r>
      <w:r w:rsidR="005837F8">
        <w:rPr>
          <w:rFonts w:ascii="Times New Roman" w:hAnsi="Times New Roman"/>
          <w:b w:val="0"/>
          <w:sz w:val="24"/>
          <w:szCs w:val="24"/>
        </w:rPr>
        <w:t xml:space="preserve">s effect to its mandate by </w:t>
      </w:r>
      <w:r w:rsidR="00CF7D89">
        <w:rPr>
          <w:rFonts w:ascii="Times New Roman" w:hAnsi="Times New Roman"/>
          <w:b w:val="0"/>
          <w:sz w:val="24"/>
          <w:szCs w:val="24"/>
        </w:rPr>
        <w:t xml:space="preserve">establishing </w:t>
      </w:r>
      <w:r w:rsidR="005837F8">
        <w:rPr>
          <w:rFonts w:ascii="Times New Roman" w:hAnsi="Times New Roman"/>
          <w:b w:val="0"/>
          <w:sz w:val="24"/>
          <w:szCs w:val="24"/>
        </w:rPr>
        <w:t xml:space="preserve">minimum expectations for prudentially regulated financial institutions. The Act </w:t>
      </w:r>
      <w:r w:rsidR="006A2887">
        <w:rPr>
          <w:rFonts w:ascii="Times New Roman" w:hAnsi="Times New Roman"/>
          <w:b w:val="0"/>
          <w:sz w:val="24"/>
          <w:szCs w:val="24"/>
        </w:rPr>
        <w:t>enables</w:t>
      </w:r>
      <w:r w:rsidR="005837F8">
        <w:rPr>
          <w:rFonts w:ascii="Times New Roman" w:hAnsi="Times New Roman"/>
          <w:b w:val="0"/>
          <w:sz w:val="24"/>
          <w:szCs w:val="24"/>
        </w:rPr>
        <w:t xml:space="preserve"> APRA to issue legally binding prudential standards that set out specific prudential requirements with which </w:t>
      </w:r>
      <w:r w:rsidR="006A2887">
        <w:rPr>
          <w:rFonts w:ascii="Times New Roman" w:hAnsi="Times New Roman"/>
          <w:b w:val="0"/>
          <w:sz w:val="24"/>
          <w:szCs w:val="24"/>
        </w:rPr>
        <w:t>ADIs and authorised NOHCs</w:t>
      </w:r>
      <w:r w:rsidR="005837F8">
        <w:rPr>
          <w:rFonts w:ascii="Times New Roman" w:hAnsi="Times New Roman"/>
          <w:b w:val="0"/>
          <w:sz w:val="24"/>
          <w:szCs w:val="24"/>
        </w:rPr>
        <w:t xml:space="preserve"> must comply.</w:t>
      </w:r>
    </w:p>
    <w:p w14:paraId="7A6D9434" w14:textId="4A02F5CD" w:rsidR="00CF7D89" w:rsidRDefault="00A25ED5" w:rsidP="00663606">
      <w:pPr>
        <w:pStyle w:val="Heading"/>
        <w:spacing w:after="240"/>
        <w:rPr>
          <w:rFonts w:ascii="Times New Roman" w:hAnsi="Times New Roman"/>
          <w:b w:val="0"/>
          <w:sz w:val="24"/>
          <w:szCs w:val="24"/>
        </w:rPr>
      </w:pPr>
      <w:r>
        <w:rPr>
          <w:rFonts w:ascii="Times New Roman" w:hAnsi="Times New Roman"/>
          <w:b w:val="0"/>
          <w:sz w:val="24"/>
          <w:szCs w:val="24"/>
        </w:rPr>
        <w:lastRenderedPageBreak/>
        <w:t xml:space="preserve">APRA’s prudential standards </w:t>
      </w:r>
      <w:r w:rsidR="00607931">
        <w:rPr>
          <w:rFonts w:ascii="Times New Roman" w:hAnsi="Times New Roman"/>
          <w:b w:val="0"/>
          <w:sz w:val="24"/>
          <w:szCs w:val="24"/>
        </w:rPr>
        <w:t>are often informed by developments in international standards. In the banking industry, the primary international standard setting body is the Basel Committee on Banking Supervision (Basel Committee).</w:t>
      </w:r>
      <w:r>
        <w:rPr>
          <w:rFonts w:ascii="Times New Roman" w:hAnsi="Times New Roman"/>
          <w:b w:val="0"/>
          <w:sz w:val="24"/>
          <w:szCs w:val="24"/>
        </w:rPr>
        <w:t xml:space="preserve"> As a member of the </w:t>
      </w:r>
      <w:r w:rsidR="00607931">
        <w:rPr>
          <w:rFonts w:ascii="Times New Roman" w:hAnsi="Times New Roman"/>
          <w:b w:val="0"/>
          <w:sz w:val="24"/>
          <w:szCs w:val="24"/>
        </w:rPr>
        <w:t>Basel Committee</w:t>
      </w:r>
      <w:r>
        <w:rPr>
          <w:rFonts w:ascii="Times New Roman" w:hAnsi="Times New Roman"/>
          <w:b w:val="0"/>
          <w:sz w:val="24"/>
          <w:szCs w:val="24"/>
        </w:rPr>
        <w:t>, APRA</w:t>
      </w:r>
      <w:r w:rsidR="00607931">
        <w:rPr>
          <w:rFonts w:ascii="Times New Roman" w:hAnsi="Times New Roman"/>
          <w:b w:val="0"/>
          <w:sz w:val="24"/>
          <w:szCs w:val="24"/>
        </w:rPr>
        <w:t xml:space="preserve">’s prudential </w:t>
      </w:r>
      <w:r w:rsidR="00CF7D89">
        <w:rPr>
          <w:rFonts w:ascii="Times New Roman" w:hAnsi="Times New Roman"/>
          <w:b w:val="0"/>
          <w:sz w:val="24"/>
          <w:szCs w:val="24"/>
        </w:rPr>
        <w:t>requirements are expected to be consistent with those set by the Basel Committee. To facilitate an international level playing-</w:t>
      </w:r>
      <w:r w:rsidR="00F05681">
        <w:rPr>
          <w:rFonts w:ascii="Times New Roman" w:hAnsi="Times New Roman"/>
          <w:b w:val="0"/>
          <w:sz w:val="24"/>
          <w:szCs w:val="24"/>
        </w:rPr>
        <w:t xml:space="preserve">field, APRA is also expected to align its domestic implementation of prudential requirements with the internationally agreed timetables. </w:t>
      </w:r>
    </w:p>
    <w:p w14:paraId="65303977" w14:textId="11BB07F3" w:rsidR="00A25ED5" w:rsidRDefault="00A25ED5" w:rsidP="00692825">
      <w:pPr>
        <w:pStyle w:val="Heading"/>
        <w:spacing w:after="240"/>
        <w:rPr>
          <w:rFonts w:ascii="Times New Roman" w:hAnsi="Times New Roman"/>
          <w:b w:val="0"/>
          <w:sz w:val="24"/>
          <w:szCs w:val="24"/>
        </w:rPr>
      </w:pPr>
      <w:r>
        <w:rPr>
          <w:rFonts w:ascii="Times New Roman" w:hAnsi="Times New Roman"/>
          <w:b w:val="0"/>
          <w:sz w:val="24"/>
          <w:szCs w:val="24"/>
        </w:rPr>
        <w:t>In March 2020</w:t>
      </w:r>
      <w:r w:rsidR="00896F90">
        <w:rPr>
          <w:rFonts w:ascii="Times New Roman" w:hAnsi="Times New Roman"/>
          <w:b w:val="0"/>
          <w:sz w:val="24"/>
          <w:szCs w:val="24"/>
        </w:rPr>
        <w:t xml:space="preserve"> in response to the COVID-19 outbreak</w:t>
      </w:r>
      <w:r>
        <w:rPr>
          <w:rFonts w:ascii="Times New Roman" w:hAnsi="Times New Roman"/>
          <w:b w:val="0"/>
          <w:sz w:val="24"/>
          <w:szCs w:val="24"/>
        </w:rPr>
        <w:t xml:space="preserve">, the Basel Committee announced </w:t>
      </w:r>
      <w:r w:rsidR="0058163B">
        <w:rPr>
          <w:rFonts w:ascii="Times New Roman" w:hAnsi="Times New Roman"/>
          <w:b w:val="0"/>
          <w:sz w:val="24"/>
          <w:szCs w:val="24"/>
        </w:rPr>
        <w:t>the deferral by 12 months</w:t>
      </w:r>
      <w:r>
        <w:rPr>
          <w:rFonts w:ascii="Times New Roman" w:hAnsi="Times New Roman"/>
          <w:b w:val="0"/>
          <w:sz w:val="24"/>
          <w:szCs w:val="24"/>
        </w:rPr>
        <w:t xml:space="preserve"> of the Basel</w:t>
      </w:r>
      <w:r w:rsidR="0058163B">
        <w:rPr>
          <w:rFonts w:ascii="Times New Roman" w:hAnsi="Times New Roman"/>
          <w:b w:val="0"/>
          <w:sz w:val="24"/>
          <w:szCs w:val="24"/>
        </w:rPr>
        <w:t> </w:t>
      </w:r>
      <w:r>
        <w:rPr>
          <w:rFonts w:ascii="Times New Roman" w:hAnsi="Times New Roman"/>
          <w:b w:val="0"/>
          <w:sz w:val="24"/>
          <w:szCs w:val="24"/>
        </w:rPr>
        <w:t>III capital standards</w:t>
      </w:r>
      <w:r w:rsidR="0058163B">
        <w:rPr>
          <w:rFonts w:ascii="Times New Roman" w:hAnsi="Times New Roman"/>
          <w:b w:val="0"/>
          <w:sz w:val="24"/>
          <w:szCs w:val="24"/>
        </w:rPr>
        <w:t>,</w:t>
      </w:r>
      <w:r>
        <w:rPr>
          <w:rFonts w:ascii="Times New Roman" w:hAnsi="Times New Roman"/>
          <w:b w:val="0"/>
          <w:sz w:val="24"/>
          <w:szCs w:val="24"/>
        </w:rPr>
        <w:t xml:space="preserve"> </w:t>
      </w:r>
      <w:r w:rsidR="00F05681">
        <w:rPr>
          <w:rFonts w:ascii="Times New Roman" w:hAnsi="Times New Roman"/>
          <w:b w:val="0"/>
          <w:sz w:val="24"/>
          <w:szCs w:val="24"/>
        </w:rPr>
        <w:t xml:space="preserve">which includes </w:t>
      </w:r>
      <w:r>
        <w:rPr>
          <w:rFonts w:ascii="Times New Roman" w:hAnsi="Times New Roman"/>
          <w:b w:val="0"/>
          <w:sz w:val="24"/>
          <w:szCs w:val="24"/>
        </w:rPr>
        <w:t>capital requirements for</w:t>
      </w:r>
      <w:r w:rsidR="0058163B">
        <w:rPr>
          <w:rFonts w:ascii="Times New Roman" w:hAnsi="Times New Roman"/>
          <w:b w:val="0"/>
          <w:sz w:val="24"/>
          <w:szCs w:val="24"/>
        </w:rPr>
        <w:t xml:space="preserve"> operational risk</w:t>
      </w:r>
      <w:r>
        <w:rPr>
          <w:rFonts w:ascii="Times New Roman" w:hAnsi="Times New Roman"/>
          <w:b w:val="0"/>
          <w:sz w:val="24"/>
          <w:szCs w:val="24"/>
        </w:rPr>
        <w:t>. The revised inte</w:t>
      </w:r>
      <w:r w:rsidR="00F05681">
        <w:rPr>
          <w:rFonts w:ascii="Times New Roman" w:hAnsi="Times New Roman"/>
          <w:b w:val="0"/>
          <w:sz w:val="24"/>
          <w:szCs w:val="24"/>
        </w:rPr>
        <w:t xml:space="preserve">rnational commencement date is </w:t>
      </w:r>
      <w:r w:rsidR="00C42FED">
        <w:rPr>
          <w:rFonts w:ascii="Times New Roman" w:hAnsi="Times New Roman"/>
          <w:b w:val="0"/>
          <w:sz w:val="24"/>
          <w:szCs w:val="24"/>
        </w:rPr>
        <w:t>1 </w:t>
      </w:r>
      <w:r>
        <w:rPr>
          <w:rFonts w:ascii="Times New Roman" w:hAnsi="Times New Roman"/>
          <w:b w:val="0"/>
          <w:sz w:val="24"/>
          <w:szCs w:val="24"/>
        </w:rPr>
        <w:t xml:space="preserve">January 2023. </w:t>
      </w:r>
      <w:r w:rsidR="0058163B">
        <w:rPr>
          <w:rFonts w:ascii="Times New Roman" w:hAnsi="Times New Roman"/>
          <w:b w:val="0"/>
          <w:sz w:val="24"/>
          <w:szCs w:val="24"/>
        </w:rPr>
        <w:t xml:space="preserve">APRA gives effect to operational risk capital requirements through </w:t>
      </w:r>
      <w:r w:rsidR="0058163B" w:rsidRPr="0058163B">
        <w:rPr>
          <w:rFonts w:ascii="Times New Roman" w:hAnsi="Times New Roman"/>
          <w:b w:val="0"/>
          <w:i/>
          <w:sz w:val="24"/>
          <w:szCs w:val="24"/>
        </w:rPr>
        <w:t>Prudential Standard APS 115 Capital Adequacy: Standardised Measurement Approach to Operational Risk</w:t>
      </w:r>
      <w:r w:rsidR="0058163B">
        <w:rPr>
          <w:rFonts w:ascii="Times New Roman" w:hAnsi="Times New Roman"/>
          <w:b w:val="0"/>
          <w:sz w:val="24"/>
          <w:szCs w:val="24"/>
        </w:rPr>
        <w:t xml:space="preserve"> (APS 115).</w:t>
      </w:r>
      <w:r w:rsidR="003F5A8B">
        <w:rPr>
          <w:rFonts w:ascii="Times New Roman" w:hAnsi="Times New Roman"/>
          <w:b w:val="0"/>
          <w:sz w:val="24"/>
          <w:szCs w:val="24"/>
        </w:rPr>
        <w:t xml:space="preserve"> </w:t>
      </w:r>
      <w:r w:rsidR="00692825">
        <w:rPr>
          <w:rFonts w:ascii="Times New Roman" w:hAnsi="Times New Roman"/>
          <w:b w:val="0"/>
          <w:sz w:val="24"/>
          <w:szCs w:val="24"/>
        </w:rPr>
        <w:t>APS 115 requires ADIs to calculate and hold regulatory capital commensurate with their operational risk profile.</w:t>
      </w:r>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40A9D84E" w14:textId="18052F13" w:rsidR="0068499E" w:rsidRPr="002A2993" w:rsidRDefault="00F04E07" w:rsidP="00A71EDF">
      <w:pPr>
        <w:spacing w:after="240"/>
        <w:jc w:val="both"/>
        <w:rPr>
          <w:rFonts w:ascii="Times New Roman" w:hAnsi="Times New Roman"/>
          <w:sz w:val="24"/>
          <w:szCs w:val="24"/>
        </w:rPr>
      </w:pPr>
      <w:r w:rsidRPr="002A2993">
        <w:rPr>
          <w:rFonts w:ascii="Times New Roman" w:hAnsi="Times New Roman"/>
          <w:sz w:val="24"/>
          <w:szCs w:val="24"/>
        </w:rPr>
        <w:t>APS</w:t>
      </w:r>
      <w:r w:rsidR="00896F90" w:rsidRPr="002A2993">
        <w:rPr>
          <w:rFonts w:ascii="Times New Roman" w:hAnsi="Times New Roman"/>
          <w:sz w:val="24"/>
          <w:szCs w:val="24"/>
        </w:rPr>
        <w:t> </w:t>
      </w:r>
      <w:r w:rsidRPr="002A2993">
        <w:rPr>
          <w:rFonts w:ascii="Times New Roman" w:hAnsi="Times New Roman"/>
          <w:sz w:val="24"/>
          <w:szCs w:val="24"/>
        </w:rPr>
        <w:t>115 was revised by Banking (prudential standard) determination No. 2 of 2020, which made a version of APS</w:t>
      </w:r>
      <w:r w:rsidR="00E64B8A" w:rsidRPr="002A2993">
        <w:rPr>
          <w:rFonts w:ascii="Times New Roman" w:hAnsi="Times New Roman"/>
          <w:sz w:val="24"/>
          <w:szCs w:val="24"/>
        </w:rPr>
        <w:t> </w:t>
      </w:r>
      <w:r w:rsidRPr="002A2993">
        <w:rPr>
          <w:rFonts w:ascii="Times New Roman" w:hAnsi="Times New Roman"/>
          <w:sz w:val="24"/>
          <w:szCs w:val="24"/>
        </w:rPr>
        <w:t xml:space="preserve">115 </w:t>
      </w:r>
      <w:r w:rsidR="008D367D" w:rsidRPr="002A2993">
        <w:rPr>
          <w:rFonts w:ascii="Times New Roman" w:hAnsi="Times New Roman"/>
          <w:sz w:val="24"/>
          <w:szCs w:val="24"/>
        </w:rPr>
        <w:t>that</w:t>
      </w:r>
      <w:r w:rsidRPr="002A2993">
        <w:rPr>
          <w:rFonts w:ascii="Times New Roman" w:hAnsi="Times New Roman"/>
          <w:sz w:val="24"/>
          <w:szCs w:val="24"/>
        </w:rPr>
        <w:t xml:space="preserve"> implements the operational risk capital requirements of the Basel</w:t>
      </w:r>
      <w:r w:rsidR="002A2993" w:rsidRPr="002A2993">
        <w:rPr>
          <w:rFonts w:ascii="Times New Roman" w:hAnsi="Times New Roman"/>
          <w:sz w:val="24"/>
          <w:szCs w:val="24"/>
        </w:rPr>
        <w:t> </w:t>
      </w:r>
      <w:r w:rsidRPr="002A2993">
        <w:rPr>
          <w:rFonts w:ascii="Times New Roman" w:hAnsi="Times New Roman"/>
          <w:sz w:val="24"/>
          <w:szCs w:val="24"/>
        </w:rPr>
        <w:t>III capital standards. That determination</w:t>
      </w:r>
      <w:r w:rsidR="008D367D" w:rsidRPr="002A2993">
        <w:rPr>
          <w:rFonts w:ascii="Times New Roman" w:hAnsi="Times New Roman"/>
          <w:sz w:val="24"/>
          <w:szCs w:val="24"/>
        </w:rPr>
        <w:t xml:space="preserve"> was made prior to the announcement by the Basel Committee of the deferral, and was due to commence on 1 </w:t>
      </w:r>
      <w:r w:rsidR="00BC0CE7" w:rsidRPr="002A2993">
        <w:rPr>
          <w:rFonts w:ascii="Times New Roman" w:hAnsi="Times New Roman"/>
          <w:sz w:val="24"/>
          <w:szCs w:val="24"/>
        </w:rPr>
        <w:t>January</w:t>
      </w:r>
      <w:r w:rsidR="008D367D" w:rsidRPr="002A2993">
        <w:rPr>
          <w:rFonts w:ascii="Times New Roman" w:hAnsi="Times New Roman"/>
          <w:sz w:val="24"/>
          <w:szCs w:val="24"/>
        </w:rPr>
        <w:t xml:space="preserve"> 202</w:t>
      </w:r>
      <w:r w:rsidR="00BC0CE7" w:rsidRPr="002A2993">
        <w:rPr>
          <w:rFonts w:ascii="Times New Roman" w:hAnsi="Times New Roman"/>
          <w:sz w:val="24"/>
          <w:szCs w:val="24"/>
        </w:rPr>
        <w:t>1</w:t>
      </w:r>
      <w:r w:rsidR="008D367D" w:rsidRPr="002A2993">
        <w:rPr>
          <w:rFonts w:ascii="Times New Roman" w:hAnsi="Times New Roman"/>
          <w:sz w:val="24"/>
          <w:szCs w:val="24"/>
        </w:rPr>
        <w:t>.</w:t>
      </w:r>
      <w:r w:rsidRPr="002A2993">
        <w:rPr>
          <w:rFonts w:ascii="Times New Roman" w:hAnsi="Times New Roman"/>
          <w:sz w:val="24"/>
          <w:szCs w:val="24"/>
        </w:rPr>
        <w:t xml:space="preserve"> </w:t>
      </w:r>
      <w:r w:rsidR="005F5F48" w:rsidRPr="002A2993">
        <w:rPr>
          <w:rFonts w:ascii="Times New Roman" w:hAnsi="Times New Roman"/>
          <w:sz w:val="24"/>
          <w:szCs w:val="24"/>
        </w:rPr>
        <w:t>APRA has decided to revise the commencement date of the standard from 1 January 2021 for ADIs that use an advanced measurement approach</w:t>
      </w:r>
      <w:r w:rsidR="00BC0CE7" w:rsidRPr="002A2993">
        <w:rPr>
          <w:rFonts w:ascii="Times New Roman" w:hAnsi="Times New Roman"/>
          <w:sz w:val="24"/>
          <w:szCs w:val="24"/>
        </w:rPr>
        <w:t xml:space="preserve"> (AMA ADIs)</w:t>
      </w:r>
      <w:r w:rsidR="005F5F48" w:rsidRPr="002A2993">
        <w:rPr>
          <w:rFonts w:ascii="Times New Roman" w:hAnsi="Times New Roman"/>
          <w:sz w:val="24"/>
          <w:szCs w:val="24"/>
        </w:rPr>
        <w:t xml:space="preserve"> to operational risk</w:t>
      </w:r>
      <w:r w:rsidR="00D64943" w:rsidRPr="002A2993">
        <w:rPr>
          <w:rFonts w:ascii="Times New Roman" w:hAnsi="Times New Roman"/>
          <w:sz w:val="24"/>
          <w:szCs w:val="24"/>
        </w:rPr>
        <w:t>,</w:t>
      </w:r>
      <w:r w:rsidR="005F5F48" w:rsidRPr="002A2993">
        <w:rPr>
          <w:rFonts w:ascii="Times New Roman" w:hAnsi="Times New Roman"/>
          <w:sz w:val="24"/>
          <w:szCs w:val="24"/>
        </w:rPr>
        <w:t xml:space="preserve"> and 1 January 2022 for all other ADIs, to 1 January 202</w:t>
      </w:r>
      <w:r w:rsidR="00BC0CE7" w:rsidRPr="002A2993">
        <w:rPr>
          <w:rFonts w:ascii="Times New Roman" w:hAnsi="Times New Roman"/>
          <w:sz w:val="24"/>
          <w:szCs w:val="24"/>
        </w:rPr>
        <w:t>2 for AMA ADIs on an opt-in basis, and 1 January 2023 for all other ADIs</w:t>
      </w:r>
      <w:r w:rsidR="005F5F48" w:rsidRPr="002A2993">
        <w:rPr>
          <w:rFonts w:ascii="Times New Roman" w:hAnsi="Times New Roman"/>
          <w:sz w:val="24"/>
          <w:szCs w:val="24"/>
        </w:rPr>
        <w:t>.</w:t>
      </w:r>
      <w:r w:rsidR="00BC0CE7" w:rsidRPr="002A2993">
        <w:rPr>
          <w:rFonts w:ascii="Times New Roman" w:hAnsi="Times New Roman"/>
          <w:sz w:val="24"/>
          <w:szCs w:val="24"/>
        </w:rPr>
        <w:t xml:space="preserve"> </w:t>
      </w:r>
      <w:r w:rsidRPr="002A2993">
        <w:rPr>
          <w:rFonts w:ascii="Times New Roman" w:hAnsi="Times New Roman"/>
          <w:sz w:val="24"/>
          <w:szCs w:val="24"/>
        </w:rPr>
        <w:t xml:space="preserve">The purpose of Banking (prudential standard) determination No. </w:t>
      </w:r>
      <w:r w:rsidR="002A2993" w:rsidRPr="002A2993">
        <w:rPr>
          <w:rFonts w:ascii="Times New Roman" w:hAnsi="Times New Roman"/>
          <w:sz w:val="24"/>
          <w:szCs w:val="24"/>
        </w:rPr>
        <w:t>6</w:t>
      </w:r>
      <w:r w:rsidRPr="002A2993">
        <w:rPr>
          <w:rFonts w:ascii="Times New Roman" w:hAnsi="Times New Roman"/>
          <w:sz w:val="24"/>
          <w:szCs w:val="24"/>
        </w:rPr>
        <w:t xml:space="preserve"> of 2020 is to revoke </w:t>
      </w:r>
      <w:r w:rsidR="008D367D" w:rsidRPr="002A2993">
        <w:rPr>
          <w:rFonts w:ascii="Times New Roman" w:hAnsi="Times New Roman"/>
          <w:sz w:val="24"/>
          <w:szCs w:val="24"/>
        </w:rPr>
        <w:t xml:space="preserve">Banking (prudential standard) determination No. 2 of 2020 prior to it commencing. The effect is that the current version of </w:t>
      </w:r>
      <w:r w:rsidRPr="002A2993">
        <w:rPr>
          <w:rFonts w:ascii="Times New Roman" w:hAnsi="Times New Roman"/>
          <w:sz w:val="24"/>
          <w:szCs w:val="24"/>
        </w:rPr>
        <w:t>APS 115</w:t>
      </w:r>
      <w:r w:rsidR="008D367D" w:rsidRPr="002A2993">
        <w:rPr>
          <w:rFonts w:ascii="Times New Roman" w:hAnsi="Times New Roman"/>
          <w:sz w:val="24"/>
          <w:szCs w:val="24"/>
        </w:rPr>
        <w:t xml:space="preserve"> will not be replaced on 1 </w:t>
      </w:r>
      <w:r w:rsidR="00BC0CE7" w:rsidRPr="002A2993">
        <w:rPr>
          <w:rFonts w:ascii="Times New Roman" w:hAnsi="Times New Roman"/>
          <w:sz w:val="24"/>
          <w:szCs w:val="24"/>
        </w:rPr>
        <w:t>January</w:t>
      </w:r>
      <w:r w:rsidR="008D367D" w:rsidRPr="002A2993">
        <w:rPr>
          <w:rFonts w:ascii="Times New Roman" w:hAnsi="Times New Roman"/>
          <w:sz w:val="24"/>
          <w:szCs w:val="24"/>
        </w:rPr>
        <w:t xml:space="preserve"> 2021. It will continue</w:t>
      </w:r>
      <w:r w:rsidRPr="002A2993">
        <w:rPr>
          <w:rFonts w:ascii="Times New Roman" w:hAnsi="Times New Roman"/>
          <w:sz w:val="24"/>
          <w:szCs w:val="24"/>
        </w:rPr>
        <w:t xml:space="preserve"> </w:t>
      </w:r>
      <w:r w:rsidR="008D367D" w:rsidRPr="002A2993">
        <w:rPr>
          <w:rFonts w:ascii="Times New Roman" w:hAnsi="Times New Roman"/>
          <w:sz w:val="24"/>
          <w:szCs w:val="24"/>
        </w:rPr>
        <w:t xml:space="preserve">to have effect </w:t>
      </w:r>
      <w:r w:rsidR="0068499E" w:rsidRPr="002A2993">
        <w:rPr>
          <w:rFonts w:ascii="Times New Roman" w:hAnsi="Times New Roman"/>
          <w:sz w:val="24"/>
          <w:szCs w:val="24"/>
        </w:rPr>
        <w:t xml:space="preserve">until revoked on 1 </w:t>
      </w:r>
      <w:r w:rsidR="00BC0CE7" w:rsidRPr="002A2993">
        <w:rPr>
          <w:rFonts w:ascii="Times New Roman" w:hAnsi="Times New Roman"/>
          <w:sz w:val="24"/>
          <w:szCs w:val="24"/>
        </w:rPr>
        <w:t>January 2022</w:t>
      </w:r>
      <w:r w:rsidR="0068499E" w:rsidRPr="002A2993">
        <w:rPr>
          <w:rFonts w:ascii="Times New Roman" w:hAnsi="Times New Roman"/>
          <w:sz w:val="24"/>
          <w:szCs w:val="24"/>
        </w:rPr>
        <w:t xml:space="preserve">, when it will be replaced </w:t>
      </w:r>
      <w:r w:rsidRPr="002A2993">
        <w:rPr>
          <w:rFonts w:ascii="Times New Roman" w:hAnsi="Times New Roman"/>
          <w:sz w:val="24"/>
          <w:szCs w:val="24"/>
        </w:rPr>
        <w:t>with a new version of APS 115</w:t>
      </w:r>
      <w:r w:rsidR="0068499E" w:rsidRPr="002A2993">
        <w:rPr>
          <w:rFonts w:ascii="Times New Roman" w:hAnsi="Times New Roman"/>
          <w:sz w:val="24"/>
          <w:szCs w:val="24"/>
        </w:rPr>
        <w:t xml:space="preserve"> containing the operational risk capital requirements of the Basel III capital standards</w:t>
      </w:r>
      <w:r w:rsidRPr="002A2993">
        <w:rPr>
          <w:rFonts w:ascii="Times New Roman" w:hAnsi="Times New Roman"/>
          <w:sz w:val="24"/>
          <w:szCs w:val="24"/>
        </w:rPr>
        <w:t xml:space="preserve">. </w:t>
      </w:r>
      <w:r w:rsidR="0068499E" w:rsidRPr="002A2993">
        <w:rPr>
          <w:rFonts w:ascii="Times New Roman" w:hAnsi="Times New Roman"/>
          <w:sz w:val="24"/>
          <w:szCs w:val="24"/>
        </w:rPr>
        <w:t>In this way</w:t>
      </w:r>
      <w:r w:rsidR="008346CE" w:rsidRPr="002A2993">
        <w:rPr>
          <w:rFonts w:ascii="Times New Roman" w:hAnsi="Times New Roman"/>
          <w:sz w:val="24"/>
          <w:szCs w:val="24"/>
        </w:rPr>
        <w:t>,</w:t>
      </w:r>
      <w:r w:rsidR="0068499E" w:rsidRPr="002A2993">
        <w:rPr>
          <w:rFonts w:ascii="Times New Roman" w:hAnsi="Times New Roman"/>
          <w:sz w:val="24"/>
          <w:szCs w:val="24"/>
        </w:rPr>
        <w:t xml:space="preserve"> Banking (prudential standard) determination No. </w:t>
      </w:r>
      <w:r w:rsidR="002A2993" w:rsidRPr="002A2993">
        <w:rPr>
          <w:rFonts w:ascii="Times New Roman" w:hAnsi="Times New Roman"/>
          <w:sz w:val="24"/>
          <w:szCs w:val="24"/>
        </w:rPr>
        <w:t>6</w:t>
      </w:r>
      <w:r w:rsidR="0068499E" w:rsidRPr="002A2993">
        <w:rPr>
          <w:rFonts w:ascii="Times New Roman" w:hAnsi="Times New Roman"/>
          <w:sz w:val="24"/>
          <w:szCs w:val="24"/>
        </w:rPr>
        <w:t xml:space="preserve"> of 2020 </w:t>
      </w:r>
      <w:r w:rsidR="00BC0CE7" w:rsidRPr="002A2993">
        <w:rPr>
          <w:rFonts w:ascii="Times New Roman" w:hAnsi="Times New Roman"/>
          <w:sz w:val="24"/>
          <w:szCs w:val="24"/>
        </w:rPr>
        <w:t xml:space="preserve">gives </w:t>
      </w:r>
      <w:r w:rsidR="0068499E" w:rsidRPr="002A2993">
        <w:rPr>
          <w:rFonts w:ascii="Times New Roman" w:hAnsi="Times New Roman"/>
          <w:sz w:val="24"/>
          <w:szCs w:val="24"/>
        </w:rPr>
        <w:t>effect</w:t>
      </w:r>
      <w:r w:rsidR="00BC0CE7" w:rsidRPr="002A2993">
        <w:rPr>
          <w:rFonts w:ascii="Times New Roman" w:hAnsi="Times New Roman"/>
          <w:sz w:val="24"/>
          <w:szCs w:val="24"/>
        </w:rPr>
        <w:t xml:space="preserve"> to</w:t>
      </w:r>
      <w:r w:rsidR="0068499E" w:rsidRPr="002A2993">
        <w:rPr>
          <w:rFonts w:ascii="Times New Roman" w:hAnsi="Times New Roman"/>
          <w:sz w:val="24"/>
          <w:szCs w:val="24"/>
        </w:rPr>
        <w:t xml:space="preserve"> the </w:t>
      </w:r>
      <w:proofErr w:type="gramStart"/>
      <w:r w:rsidR="0068499E" w:rsidRPr="002A2993">
        <w:rPr>
          <w:rFonts w:ascii="Times New Roman" w:hAnsi="Times New Roman"/>
          <w:sz w:val="24"/>
          <w:szCs w:val="24"/>
        </w:rPr>
        <w:t>12 month</w:t>
      </w:r>
      <w:proofErr w:type="gramEnd"/>
      <w:r w:rsidR="0068499E" w:rsidRPr="002A2993">
        <w:rPr>
          <w:rFonts w:ascii="Times New Roman" w:hAnsi="Times New Roman"/>
          <w:sz w:val="24"/>
          <w:szCs w:val="24"/>
        </w:rPr>
        <w:t xml:space="preserve"> deferral announced by the Basel Committee.</w:t>
      </w:r>
    </w:p>
    <w:p w14:paraId="08F82B4D" w14:textId="006D90FB" w:rsidR="00B7057F" w:rsidRPr="00B7057F" w:rsidRDefault="00B7057F" w:rsidP="00A71EDF">
      <w:pPr>
        <w:spacing w:after="240"/>
        <w:jc w:val="both"/>
        <w:rPr>
          <w:rFonts w:ascii="Times New Roman" w:hAnsi="Times New Roman"/>
          <w:sz w:val="24"/>
          <w:szCs w:val="24"/>
        </w:rPr>
      </w:pPr>
      <w:r w:rsidRPr="002A2993">
        <w:rPr>
          <w:rFonts w:ascii="Times New Roman" w:hAnsi="Times New Roman"/>
          <w:sz w:val="24"/>
          <w:szCs w:val="24"/>
        </w:rPr>
        <w:t>As part of the implementation of the operational risk capital requirements of the Basel</w:t>
      </w:r>
      <w:r w:rsidR="00E64B8A" w:rsidRPr="002A2993">
        <w:rPr>
          <w:rFonts w:ascii="Times New Roman" w:hAnsi="Times New Roman"/>
          <w:sz w:val="24"/>
          <w:szCs w:val="24"/>
        </w:rPr>
        <w:t> </w:t>
      </w:r>
      <w:r w:rsidRPr="002A2993">
        <w:rPr>
          <w:rFonts w:ascii="Times New Roman" w:hAnsi="Times New Roman"/>
          <w:sz w:val="24"/>
          <w:szCs w:val="24"/>
        </w:rPr>
        <w:t xml:space="preserve">III capital standards, </w:t>
      </w:r>
      <w:r w:rsidRPr="002A2993">
        <w:rPr>
          <w:rFonts w:ascii="Times New Roman" w:hAnsi="Times New Roman"/>
          <w:i/>
          <w:sz w:val="24"/>
          <w:szCs w:val="24"/>
        </w:rPr>
        <w:t>Prudential Standard APS</w:t>
      </w:r>
      <w:r w:rsidR="00BC0CE7" w:rsidRPr="002A2993">
        <w:rPr>
          <w:rFonts w:ascii="Times New Roman" w:hAnsi="Times New Roman"/>
          <w:i/>
          <w:sz w:val="24"/>
          <w:szCs w:val="24"/>
        </w:rPr>
        <w:t> </w:t>
      </w:r>
      <w:r w:rsidRPr="002A2993">
        <w:rPr>
          <w:rFonts w:ascii="Times New Roman" w:hAnsi="Times New Roman"/>
          <w:i/>
          <w:sz w:val="24"/>
          <w:szCs w:val="24"/>
        </w:rPr>
        <w:t xml:space="preserve">114 Capital Adequacy: Standardised Approach to Operational Risk, </w:t>
      </w:r>
      <w:r w:rsidRPr="002A2993">
        <w:rPr>
          <w:rFonts w:ascii="Times New Roman" w:hAnsi="Times New Roman"/>
          <w:sz w:val="24"/>
          <w:szCs w:val="24"/>
        </w:rPr>
        <w:t>as made by Banking (prudential standard) determination No. 7 of 2012</w:t>
      </w:r>
      <w:r w:rsidR="00225B2B" w:rsidRPr="002A2993">
        <w:rPr>
          <w:rFonts w:ascii="Times New Roman" w:hAnsi="Times New Roman"/>
          <w:sz w:val="24"/>
          <w:szCs w:val="24"/>
        </w:rPr>
        <w:t xml:space="preserve"> (APS</w:t>
      </w:r>
      <w:r w:rsidR="00BC0CE7" w:rsidRPr="002A2993">
        <w:rPr>
          <w:rFonts w:ascii="Times New Roman" w:hAnsi="Times New Roman"/>
          <w:sz w:val="24"/>
          <w:szCs w:val="24"/>
        </w:rPr>
        <w:t> </w:t>
      </w:r>
      <w:r w:rsidR="00225B2B" w:rsidRPr="002A2993">
        <w:rPr>
          <w:rFonts w:ascii="Times New Roman" w:hAnsi="Times New Roman"/>
          <w:sz w:val="24"/>
          <w:szCs w:val="24"/>
        </w:rPr>
        <w:t>114)</w:t>
      </w:r>
      <w:r w:rsidRPr="002A2993">
        <w:rPr>
          <w:rFonts w:ascii="Times New Roman" w:hAnsi="Times New Roman"/>
          <w:sz w:val="24"/>
          <w:szCs w:val="24"/>
        </w:rPr>
        <w:t>, was to be revoked on 1 J</w:t>
      </w:r>
      <w:r w:rsidR="00BC0CE7" w:rsidRPr="002A2993">
        <w:rPr>
          <w:rFonts w:ascii="Times New Roman" w:hAnsi="Times New Roman"/>
          <w:sz w:val="24"/>
          <w:szCs w:val="24"/>
        </w:rPr>
        <w:t>anuary</w:t>
      </w:r>
      <w:r w:rsidRPr="002A2993">
        <w:rPr>
          <w:rFonts w:ascii="Times New Roman" w:hAnsi="Times New Roman"/>
          <w:sz w:val="24"/>
          <w:szCs w:val="24"/>
        </w:rPr>
        <w:t xml:space="preserve"> 202</w:t>
      </w:r>
      <w:r w:rsidR="00225B2B" w:rsidRPr="002A2993">
        <w:rPr>
          <w:rFonts w:ascii="Times New Roman" w:hAnsi="Times New Roman"/>
          <w:sz w:val="24"/>
          <w:szCs w:val="24"/>
        </w:rPr>
        <w:t>2</w:t>
      </w:r>
      <w:r w:rsidRPr="002A2993">
        <w:rPr>
          <w:rFonts w:ascii="Times New Roman" w:hAnsi="Times New Roman"/>
          <w:sz w:val="24"/>
          <w:szCs w:val="24"/>
        </w:rPr>
        <w:t>.</w:t>
      </w:r>
      <w:r w:rsidR="00225B2B" w:rsidRPr="002A2993">
        <w:rPr>
          <w:rFonts w:ascii="Times New Roman" w:hAnsi="Times New Roman"/>
          <w:sz w:val="24"/>
          <w:szCs w:val="24"/>
        </w:rPr>
        <w:t xml:space="preserve"> The purpose of Banking (prudential standard) determination No</w:t>
      </w:r>
      <w:r w:rsidR="008346CE" w:rsidRPr="002A2993">
        <w:rPr>
          <w:rFonts w:ascii="Times New Roman" w:hAnsi="Times New Roman"/>
          <w:sz w:val="24"/>
          <w:szCs w:val="24"/>
        </w:rPr>
        <w:t>.</w:t>
      </w:r>
      <w:r w:rsidR="00225B2B" w:rsidRPr="002A2993">
        <w:rPr>
          <w:rFonts w:ascii="Times New Roman" w:hAnsi="Times New Roman"/>
          <w:sz w:val="24"/>
          <w:szCs w:val="24"/>
        </w:rPr>
        <w:t xml:space="preserve"> </w:t>
      </w:r>
      <w:r w:rsidR="002A2993" w:rsidRPr="002A2993">
        <w:rPr>
          <w:rFonts w:ascii="Times New Roman" w:hAnsi="Times New Roman"/>
          <w:sz w:val="24"/>
          <w:szCs w:val="24"/>
        </w:rPr>
        <w:t>5</w:t>
      </w:r>
      <w:r w:rsidR="00225B2B" w:rsidRPr="002A2993">
        <w:rPr>
          <w:rFonts w:ascii="Times New Roman" w:hAnsi="Times New Roman"/>
          <w:sz w:val="24"/>
          <w:szCs w:val="24"/>
        </w:rPr>
        <w:t xml:space="preserve"> of 2020 is to revoke the instrument that would have </w:t>
      </w:r>
      <w:proofErr w:type="gramStart"/>
      <w:r w:rsidR="00225B2B" w:rsidRPr="002A2993">
        <w:rPr>
          <w:rFonts w:ascii="Times New Roman" w:hAnsi="Times New Roman"/>
          <w:sz w:val="24"/>
          <w:szCs w:val="24"/>
        </w:rPr>
        <w:t>effected</w:t>
      </w:r>
      <w:proofErr w:type="gramEnd"/>
      <w:r w:rsidR="00225B2B" w:rsidRPr="002A2993">
        <w:rPr>
          <w:rFonts w:ascii="Times New Roman" w:hAnsi="Times New Roman"/>
          <w:sz w:val="24"/>
          <w:szCs w:val="24"/>
        </w:rPr>
        <w:t xml:space="preserve"> that revocation, prior to its commencement, so that </w:t>
      </w:r>
      <w:r w:rsidR="00F763C8" w:rsidRPr="002A2993">
        <w:rPr>
          <w:rFonts w:ascii="Times New Roman" w:hAnsi="Times New Roman"/>
          <w:sz w:val="24"/>
          <w:szCs w:val="24"/>
        </w:rPr>
        <w:t>APS</w:t>
      </w:r>
      <w:r w:rsidR="004C6CCA" w:rsidRPr="002A2993">
        <w:rPr>
          <w:rFonts w:ascii="Times New Roman" w:hAnsi="Times New Roman"/>
          <w:sz w:val="24"/>
          <w:szCs w:val="24"/>
        </w:rPr>
        <w:t> </w:t>
      </w:r>
      <w:r w:rsidR="00F763C8" w:rsidRPr="002A2993">
        <w:rPr>
          <w:rFonts w:ascii="Times New Roman" w:hAnsi="Times New Roman"/>
          <w:sz w:val="24"/>
          <w:szCs w:val="24"/>
        </w:rPr>
        <w:t>114 will now continue in operation until 1 January 2023.</w:t>
      </w:r>
    </w:p>
    <w:p w14:paraId="5CAA7D20" w14:textId="17A221D3" w:rsidR="000B4113" w:rsidRDefault="000B4113" w:rsidP="001D310B">
      <w:pPr>
        <w:rPr>
          <w:rFonts w:ascii="Times New Roman" w:hAnsi="Times New Roman"/>
          <w:sz w:val="24"/>
          <w:szCs w:val="24"/>
        </w:rPr>
      </w:pPr>
      <w:r>
        <w:rPr>
          <w:rFonts w:ascii="Times New Roman" w:hAnsi="Times New Roman"/>
          <w:sz w:val="24"/>
          <w:szCs w:val="24"/>
        </w:rPr>
        <w:t xml:space="preserve">Where </w:t>
      </w:r>
      <w:r w:rsidR="0016033A">
        <w:rPr>
          <w:rFonts w:ascii="Times New Roman" w:hAnsi="Times New Roman"/>
          <w:sz w:val="24"/>
          <w:szCs w:val="24"/>
        </w:rPr>
        <w:t>APS 115</w:t>
      </w:r>
      <w:r w:rsidR="002C6B0C">
        <w:rPr>
          <w:rFonts w:ascii="Times New Roman" w:hAnsi="Times New Roman"/>
          <w:sz w:val="24"/>
          <w:szCs w:val="24"/>
        </w:rPr>
        <w:t xml:space="preserve"> </w:t>
      </w:r>
      <w:r>
        <w:rPr>
          <w:rFonts w:ascii="Times New Roman" w:hAnsi="Times New Roman"/>
          <w:sz w:val="24"/>
          <w:szCs w:val="24"/>
        </w:rPr>
        <w:t>refer</w:t>
      </w:r>
      <w:r w:rsidR="00E64B8A">
        <w:rPr>
          <w:rFonts w:ascii="Times New Roman" w:hAnsi="Times New Roman"/>
          <w:sz w:val="24"/>
          <w:szCs w:val="24"/>
        </w:rPr>
        <w:t>s</w:t>
      </w:r>
      <w:r w:rsidR="00692825">
        <w:rPr>
          <w:rFonts w:ascii="Times New Roman" w:hAnsi="Times New Roman"/>
          <w:sz w:val="24"/>
          <w:szCs w:val="24"/>
        </w:rPr>
        <w:t xml:space="preserve"> to an Act, Regulation, </w:t>
      </w:r>
      <w:r w:rsidRPr="00195547">
        <w:rPr>
          <w:rFonts w:ascii="Times New Roman" w:hAnsi="Times New Roman"/>
          <w:sz w:val="24"/>
          <w:szCs w:val="24"/>
        </w:rPr>
        <w:t>prudential standard</w:t>
      </w:r>
      <w:r w:rsidR="00692825">
        <w:rPr>
          <w:rFonts w:ascii="Times New Roman" w:hAnsi="Times New Roman"/>
          <w:sz w:val="24"/>
          <w:szCs w:val="24"/>
        </w:rPr>
        <w:t xml:space="preserve"> or Australian Accounting Standard</w:t>
      </w:r>
      <w:r w:rsidRPr="00195547">
        <w:rPr>
          <w:rFonts w:ascii="Times New Roman" w:hAnsi="Times New Roman"/>
          <w:sz w:val="24"/>
          <w:szCs w:val="24"/>
        </w:rPr>
        <w:t>,</w:t>
      </w:r>
      <w:r w:rsidR="00A824C6">
        <w:rPr>
          <w:rStyle w:val="FootnoteReference"/>
          <w:rFonts w:ascii="Times New Roman" w:hAnsi="Times New Roman"/>
          <w:sz w:val="24"/>
          <w:szCs w:val="24"/>
        </w:rPr>
        <w:footnoteReference w:id="1"/>
      </w:r>
      <w:r w:rsidRPr="00195547">
        <w:rPr>
          <w:rFonts w:ascii="Times New Roman" w:hAnsi="Times New Roman"/>
          <w:sz w:val="24"/>
          <w:szCs w:val="24"/>
        </w:rPr>
        <w:t xml:space="preserve"> this is a reference to the document as it exists from time to time</w:t>
      </w:r>
      <w:r>
        <w:rPr>
          <w:rFonts w:ascii="Times New Roman" w:hAnsi="Times New Roman"/>
          <w:sz w:val="24"/>
          <w:szCs w:val="24"/>
        </w:rPr>
        <w:t>,</w:t>
      </w:r>
      <w:r w:rsidRPr="00C97AB3">
        <w:t xml:space="preserve"> </w:t>
      </w:r>
      <w:r w:rsidRPr="00C97AB3">
        <w:rPr>
          <w:rFonts w:ascii="Times New Roman" w:hAnsi="Times New Roman"/>
          <w:sz w:val="24"/>
          <w:szCs w:val="24"/>
        </w:rPr>
        <w:t xml:space="preserve">and </w:t>
      </w:r>
      <w:r>
        <w:rPr>
          <w:rFonts w:ascii="Times New Roman" w:hAnsi="Times New Roman"/>
          <w:sz w:val="24"/>
          <w:szCs w:val="24"/>
        </w:rPr>
        <w:t>which is</w:t>
      </w:r>
      <w:r w:rsidRPr="00C97AB3">
        <w:rPr>
          <w:rFonts w:ascii="Times New Roman" w:hAnsi="Times New Roman"/>
          <w:sz w:val="24"/>
          <w:szCs w:val="24"/>
        </w:rPr>
        <w:t xml:space="preserve"> available on the Federal Register of Legislation at </w:t>
      </w:r>
      <w:hyperlink r:id="rId13" w:history="1">
        <w:r w:rsidRPr="00C97AB3">
          <w:rPr>
            <w:rStyle w:val="Hyperlink"/>
            <w:rFonts w:ascii="Times New Roman" w:hAnsi="Times New Roman"/>
            <w:sz w:val="24"/>
            <w:szCs w:val="24"/>
          </w:rPr>
          <w:t>www.legislation.gov.au</w:t>
        </w:r>
      </w:hyperlink>
      <w:r>
        <w:rPr>
          <w:rFonts w:ascii="Times New Roman" w:hAnsi="Times New Roman"/>
          <w:sz w:val="24"/>
          <w:szCs w:val="24"/>
        </w:rPr>
        <w:t xml:space="preserve">. </w:t>
      </w:r>
    </w:p>
    <w:p w14:paraId="752CFDF8" w14:textId="75E7742C" w:rsidR="00A71EDF" w:rsidRDefault="0016033A" w:rsidP="00A71EDF">
      <w:pPr>
        <w:spacing w:after="240"/>
        <w:jc w:val="both"/>
        <w:rPr>
          <w:rFonts w:ascii="Times New Roman" w:hAnsi="Times New Roman"/>
          <w:sz w:val="24"/>
          <w:szCs w:val="24"/>
        </w:rPr>
      </w:pPr>
      <w:r>
        <w:rPr>
          <w:rFonts w:ascii="Times New Roman" w:hAnsi="Times New Roman"/>
          <w:sz w:val="24"/>
          <w:szCs w:val="24"/>
        </w:rPr>
        <w:lastRenderedPageBreak/>
        <w:t xml:space="preserve">APS 115 </w:t>
      </w:r>
      <w:r w:rsidR="004A0949">
        <w:rPr>
          <w:rFonts w:ascii="Times New Roman" w:hAnsi="Times New Roman"/>
          <w:sz w:val="24"/>
          <w:szCs w:val="24"/>
        </w:rPr>
        <w:t>provide</w:t>
      </w:r>
      <w:r w:rsidR="00E64B8A">
        <w:rPr>
          <w:rFonts w:ascii="Times New Roman" w:hAnsi="Times New Roman"/>
          <w:sz w:val="24"/>
          <w:szCs w:val="24"/>
        </w:rPr>
        <w:t>s</w:t>
      </w:r>
      <w:r w:rsidR="004A0949">
        <w:rPr>
          <w:rFonts w:ascii="Times New Roman" w:hAnsi="Times New Roman"/>
          <w:sz w:val="24"/>
          <w:szCs w:val="24"/>
        </w:rPr>
        <w:t xml:space="preserve"> for APRA to exercise various discretions. </w:t>
      </w:r>
      <w:r w:rsidR="004A0949" w:rsidRPr="004A0949">
        <w:rPr>
          <w:rFonts w:ascii="Times New Roman" w:hAnsi="Times New Roman"/>
          <w:sz w:val="24"/>
          <w:szCs w:val="24"/>
        </w:rPr>
        <w:t>Decisions made by APRA exercising those discretions are not subject to merits review. This is because these decisions are preliminary decisions that may facilitate or lead to substantive decisions which are subject to merits review.</w:t>
      </w:r>
    </w:p>
    <w:p w14:paraId="008D8EC3" w14:textId="13005CA6" w:rsidR="00D14060" w:rsidRDefault="006A2887" w:rsidP="00D14060">
      <w:pPr>
        <w:spacing w:after="240"/>
        <w:jc w:val="both"/>
        <w:rPr>
          <w:rFonts w:ascii="Times New Roman" w:hAnsi="Times New Roman"/>
          <w:sz w:val="24"/>
          <w:szCs w:val="24"/>
        </w:rPr>
      </w:pPr>
      <w:r>
        <w:rPr>
          <w:rFonts w:ascii="Times New Roman" w:hAnsi="Times New Roman"/>
          <w:sz w:val="24"/>
          <w:szCs w:val="24"/>
        </w:rPr>
        <w:t>A</w:t>
      </w:r>
      <w:r w:rsidR="00D14060" w:rsidRPr="00D14060">
        <w:rPr>
          <w:rFonts w:ascii="Times New Roman" w:hAnsi="Times New Roman"/>
          <w:sz w:val="24"/>
          <w:szCs w:val="24"/>
        </w:rPr>
        <w:t xml:space="preserve"> breach of a prudential standard is a breach of the </w:t>
      </w:r>
      <w:r w:rsidR="002C6B0C">
        <w:rPr>
          <w:rFonts w:ascii="Times New Roman" w:hAnsi="Times New Roman"/>
          <w:sz w:val="24"/>
          <w:szCs w:val="24"/>
        </w:rPr>
        <w:t>Act</w:t>
      </w:r>
      <w:r w:rsidR="00D14060" w:rsidRPr="00D14060">
        <w:rPr>
          <w:rFonts w:ascii="Times New Roman" w:hAnsi="Times New Roman"/>
          <w:sz w:val="24"/>
          <w:szCs w:val="24"/>
        </w:rPr>
        <w:t xml:space="preserve">, as </w:t>
      </w:r>
      <w:r w:rsidR="002C6B0C">
        <w:rPr>
          <w:rFonts w:ascii="Times New Roman" w:hAnsi="Times New Roman"/>
          <w:sz w:val="24"/>
          <w:szCs w:val="24"/>
        </w:rPr>
        <w:t xml:space="preserve">section </w:t>
      </w:r>
      <w:r w:rsidR="005E120B">
        <w:rPr>
          <w:rFonts w:ascii="Times New Roman" w:hAnsi="Times New Roman"/>
          <w:sz w:val="24"/>
          <w:szCs w:val="24"/>
        </w:rPr>
        <w:t xml:space="preserve">11AG of the </w:t>
      </w:r>
      <w:r w:rsidR="00D14060" w:rsidRPr="00D14060">
        <w:rPr>
          <w:rFonts w:ascii="Times New Roman" w:hAnsi="Times New Roman"/>
          <w:sz w:val="24"/>
          <w:szCs w:val="24"/>
        </w:rPr>
        <w:t xml:space="preserve">Act provides that </w:t>
      </w:r>
      <w:r w:rsidR="002C6B0C">
        <w:rPr>
          <w:rFonts w:ascii="Times New Roman" w:hAnsi="Times New Roman"/>
          <w:sz w:val="24"/>
          <w:szCs w:val="24"/>
        </w:rPr>
        <w:t xml:space="preserve">ADIs </w:t>
      </w:r>
      <w:r w:rsidR="00D14060" w:rsidRPr="00D14060">
        <w:rPr>
          <w:rFonts w:ascii="Times New Roman" w:hAnsi="Times New Roman"/>
          <w:sz w:val="24"/>
          <w:szCs w:val="24"/>
        </w:rPr>
        <w:t xml:space="preserve">must comply with </w:t>
      </w:r>
      <w:r w:rsidR="005E120B">
        <w:rPr>
          <w:rFonts w:ascii="Times New Roman" w:hAnsi="Times New Roman"/>
          <w:sz w:val="24"/>
          <w:szCs w:val="24"/>
        </w:rPr>
        <w:t>prudential</w:t>
      </w:r>
      <w:r w:rsidR="005E120B" w:rsidRPr="00D14060">
        <w:rPr>
          <w:rFonts w:ascii="Times New Roman" w:hAnsi="Times New Roman"/>
          <w:sz w:val="24"/>
          <w:szCs w:val="24"/>
        </w:rPr>
        <w:t xml:space="preserve"> </w:t>
      </w:r>
      <w:r w:rsidR="00D14060" w:rsidRPr="00D14060">
        <w:rPr>
          <w:rFonts w:ascii="Times New Roman" w:hAnsi="Times New Roman"/>
          <w:sz w:val="24"/>
          <w:szCs w:val="24"/>
        </w:rPr>
        <w:t>standard</w:t>
      </w:r>
      <w:r w:rsidR="005E120B">
        <w:rPr>
          <w:rFonts w:ascii="Times New Roman" w:hAnsi="Times New Roman"/>
          <w:sz w:val="24"/>
          <w:szCs w:val="24"/>
        </w:rPr>
        <w:t>s</w:t>
      </w:r>
      <w:r w:rsidR="00D14060" w:rsidRPr="00D14060">
        <w:rPr>
          <w:rFonts w:ascii="Times New Roman" w:hAnsi="Times New Roman"/>
          <w:sz w:val="24"/>
          <w:szCs w:val="24"/>
        </w:rPr>
        <w:t xml:space="preserve">. </w:t>
      </w:r>
      <w:proofErr w:type="gramStart"/>
      <w:r w:rsidR="00D14060" w:rsidRPr="00D14060">
        <w:rPr>
          <w:rFonts w:ascii="Times New Roman" w:hAnsi="Times New Roman"/>
          <w:sz w:val="24"/>
          <w:szCs w:val="24"/>
        </w:rPr>
        <w:t>However</w:t>
      </w:r>
      <w:proofErr w:type="gramEnd"/>
      <w:r w:rsidR="00D14060" w:rsidRPr="00D14060">
        <w:rPr>
          <w:rFonts w:ascii="Times New Roman" w:hAnsi="Times New Roman"/>
          <w:sz w:val="24"/>
          <w:szCs w:val="24"/>
        </w:rPr>
        <w:t xml:space="preserve"> there are no penalties prescribed for breach of </w:t>
      </w:r>
      <w:r w:rsidR="005E120B">
        <w:rPr>
          <w:rFonts w:ascii="Times New Roman" w:hAnsi="Times New Roman"/>
          <w:sz w:val="24"/>
          <w:szCs w:val="24"/>
        </w:rPr>
        <w:t>a</w:t>
      </w:r>
      <w:r w:rsidR="005E120B" w:rsidRPr="00D14060">
        <w:rPr>
          <w:rFonts w:ascii="Times New Roman" w:hAnsi="Times New Roman"/>
          <w:sz w:val="24"/>
          <w:szCs w:val="24"/>
        </w:rPr>
        <w:t xml:space="preserve"> </w:t>
      </w:r>
      <w:r w:rsidR="00D14060" w:rsidRPr="00D14060">
        <w:rPr>
          <w:rFonts w:ascii="Times New Roman" w:hAnsi="Times New Roman"/>
          <w:sz w:val="24"/>
          <w:szCs w:val="24"/>
        </w:rPr>
        <w:t>prudential standard</w:t>
      </w:r>
      <w:r w:rsidR="005E120B">
        <w:rPr>
          <w:rFonts w:ascii="Times New Roman" w:hAnsi="Times New Roman"/>
          <w:sz w:val="24"/>
          <w:szCs w:val="24"/>
        </w:rPr>
        <w:t>.</w:t>
      </w:r>
      <w:r w:rsidR="00D14060" w:rsidRPr="00D14060">
        <w:rPr>
          <w:rFonts w:ascii="Times New Roman" w:hAnsi="Times New Roman"/>
          <w:sz w:val="24"/>
          <w:szCs w:val="24"/>
        </w:rPr>
        <w:t xml:space="preserve"> Instead an </w:t>
      </w:r>
      <w:r>
        <w:rPr>
          <w:rFonts w:ascii="Times New Roman" w:hAnsi="Times New Roman"/>
          <w:sz w:val="24"/>
          <w:szCs w:val="24"/>
        </w:rPr>
        <w:t>ADI</w:t>
      </w:r>
      <w:r w:rsidRPr="00D14060">
        <w:rPr>
          <w:rFonts w:ascii="Times New Roman" w:hAnsi="Times New Roman"/>
          <w:sz w:val="24"/>
          <w:szCs w:val="24"/>
        </w:rPr>
        <w:t xml:space="preserve">’s </w:t>
      </w:r>
      <w:r w:rsidR="00D14060" w:rsidRPr="00D14060">
        <w:rPr>
          <w:rFonts w:ascii="Times New Roman" w:hAnsi="Times New Roman"/>
          <w:sz w:val="24"/>
          <w:szCs w:val="24"/>
        </w:rPr>
        <w:t xml:space="preserve">breach is grounds for APRA to make further, substantive decisions under the </w:t>
      </w:r>
      <w:r w:rsidR="005E120B">
        <w:rPr>
          <w:rFonts w:ascii="Times New Roman" w:hAnsi="Times New Roman"/>
          <w:sz w:val="24"/>
          <w:szCs w:val="24"/>
        </w:rPr>
        <w:t>Act</w:t>
      </w:r>
      <w:r w:rsidR="00D14060" w:rsidRPr="00D14060">
        <w:rPr>
          <w:rFonts w:ascii="Times New Roman" w:hAnsi="Times New Roman"/>
          <w:sz w:val="24"/>
          <w:szCs w:val="24"/>
        </w:rPr>
        <w:t xml:space="preserve"> in relation to the entity. Those decisions are:</w:t>
      </w:r>
    </w:p>
    <w:p w14:paraId="028AB76D" w14:textId="6B3D0846"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 xml:space="preserve">to revoke an authority to carry on banking business </w:t>
      </w:r>
      <w:r w:rsidR="00F03448">
        <w:rPr>
          <w:rFonts w:ascii="Times New Roman" w:hAnsi="Times New Roman"/>
          <w:b w:val="0"/>
          <w:sz w:val="24"/>
          <w:szCs w:val="24"/>
        </w:rPr>
        <w:t xml:space="preserve">under </w:t>
      </w:r>
      <w:r>
        <w:rPr>
          <w:rFonts w:ascii="Times New Roman" w:hAnsi="Times New Roman"/>
          <w:b w:val="0"/>
          <w:sz w:val="24"/>
          <w:szCs w:val="24"/>
        </w:rPr>
        <w:t>section 9A of the Act, and</w:t>
      </w:r>
    </w:p>
    <w:p w14:paraId="1EAB7E62" w14:textId="2ED6301B"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w:t>
      </w:r>
      <w:r w:rsidR="00550E24">
        <w:rPr>
          <w:rFonts w:ascii="Times New Roman" w:hAnsi="Times New Roman"/>
          <w:b w:val="0"/>
          <w:sz w:val="24"/>
          <w:szCs w:val="24"/>
        </w:rPr>
        <w:t xml:space="preserve"> </w:t>
      </w:r>
      <w:r w:rsidR="006A2887">
        <w:rPr>
          <w:rFonts w:ascii="Times New Roman" w:hAnsi="Times New Roman"/>
          <w:b w:val="0"/>
          <w:sz w:val="24"/>
          <w:szCs w:val="24"/>
        </w:rPr>
        <w:t>ADI</w:t>
      </w:r>
      <w:r>
        <w:rPr>
          <w:rFonts w:ascii="Times New Roman" w:hAnsi="Times New Roman"/>
          <w:b w:val="0"/>
          <w:sz w:val="24"/>
          <w:szCs w:val="24"/>
        </w:rPr>
        <w:t>, including a direction to comply with the whole or part of a prudential standard section 11CA of the Act.</w:t>
      </w:r>
    </w:p>
    <w:p w14:paraId="5E2C4E5D" w14:textId="61F2FD05"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 xml:space="preserve">It is only at this stage that an </w:t>
      </w:r>
      <w:r w:rsidR="00F03448">
        <w:rPr>
          <w:rFonts w:ascii="Times New Roman" w:hAnsi="Times New Roman"/>
          <w:sz w:val="24"/>
          <w:szCs w:val="24"/>
        </w:rPr>
        <w:t>ADI</w:t>
      </w:r>
      <w:r w:rsidR="00F03448" w:rsidRPr="00D14060">
        <w:rPr>
          <w:rFonts w:ascii="Times New Roman" w:hAnsi="Times New Roman"/>
          <w:sz w:val="24"/>
          <w:szCs w:val="24"/>
        </w:rPr>
        <w:t xml:space="preserve"> </w:t>
      </w:r>
      <w:r w:rsidRPr="00D14060">
        <w:rPr>
          <w:rFonts w:ascii="Times New Roman" w:hAnsi="Times New Roman"/>
          <w:sz w:val="24"/>
          <w:szCs w:val="24"/>
        </w:rPr>
        <w:t>is exposed to a penalty: loss of licence or imposition of a penalty if it breaches the direction (50</w:t>
      </w:r>
      <w:r w:rsidR="00550E24">
        <w:rPr>
          <w:rFonts w:ascii="Times New Roman" w:hAnsi="Times New Roman"/>
          <w:sz w:val="24"/>
          <w:szCs w:val="24"/>
        </w:rPr>
        <w:t xml:space="preserve"> penalty units each day under section </w:t>
      </w:r>
      <w:r w:rsidRPr="00D14060">
        <w:rPr>
          <w:rFonts w:ascii="Times New Roman" w:hAnsi="Times New Roman"/>
          <w:sz w:val="24"/>
          <w:szCs w:val="24"/>
        </w:rPr>
        <w:t>11CG</w:t>
      </w:r>
      <w:r w:rsidR="00550E24">
        <w:rPr>
          <w:rFonts w:ascii="Times New Roman" w:hAnsi="Times New Roman"/>
          <w:sz w:val="24"/>
          <w:szCs w:val="24"/>
        </w:rPr>
        <w:t xml:space="preserve"> of the Act</w:t>
      </w:r>
      <w:r w:rsidR="00F03448">
        <w:rPr>
          <w:rFonts w:ascii="Times New Roman" w:hAnsi="Times New Roman"/>
          <w:sz w:val="24"/>
          <w:szCs w:val="24"/>
        </w:rPr>
        <w:t>)</w:t>
      </w:r>
      <w:r w:rsidRPr="00D14060">
        <w:rPr>
          <w:rFonts w:ascii="Times New Roman" w:hAnsi="Times New Roman"/>
          <w:sz w:val="24"/>
          <w:szCs w:val="24"/>
        </w:rPr>
        <w:t>. The subsequent substantive decisions of APRA to impose a direction or revoke a licence are subject to merits review. In nearly all cases</w:t>
      </w:r>
      <w:r w:rsidR="00550E24">
        <w:rPr>
          <w:rFonts w:ascii="Times New Roman" w:hAnsi="Times New Roman"/>
          <w:sz w:val="24"/>
          <w:szCs w:val="24"/>
        </w:rPr>
        <w:t>,</w:t>
      </w:r>
      <w:r w:rsidR="00550E24">
        <w:rPr>
          <w:rStyle w:val="FootnoteReference"/>
          <w:rFonts w:ascii="Times New Roman" w:hAnsi="Times New Roman"/>
          <w:sz w:val="24"/>
          <w:szCs w:val="24"/>
        </w:rPr>
        <w:footnoteReference w:id="2"/>
      </w:r>
      <w:r w:rsidRPr="00D14060">
        <w:rPr>
          <w:rFonts w:ascii="Times New Roman" w:hAnsi="Times New Roman"/>
          <w:sz w:val="24"/>
          <w:szCs w:val="24"/>
        </w:rPr>
        <w:t xml:space="preserve"> the decisions are preceded by a full consultation with the regulated entity to raise any concerns they may have in relation to the decision.</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5" w:name="bkPurpose"/>
      <w:bookmarkStart w:id="6" w:name="bkoperation"/>
      <w:bookmarkStart w:id="7" w:name="bkConsultationNo"/>
      <w:bookmarkEnd w:id="5"/>
      <w:bookmarkEnd w:id="6"/>
      <w:bookmarkEnd w:id="7"/>
      <w:r w:rsidRPr="002C6D26">
        <w:rPr>
          <w:rFonts w:ascii="Times New Roman" w:hAnsi="Times New Roman"/>
          <w:sz w:val="24"/>
          <w:szCs w:val="24"/>
        </w:rPr>
        <w:t>Consultation</w:t>
      </w:r>
    </w:p>
    <w:p w14:paraId="013CFFD9" w14:textId="169BD6B4" w:rsidR="00A4704C" w:rsidRDefault="002436BD"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774922">
        <w:rPr>
          <w:rFonts w:ascii="Times New Roman" w:hAnsi="Times New Roman"/>
          <w:b w:val="0"/>
          <w:sz w:val="24"/>
          <w:szCs w:val="24"/>
        </w:rPr>
        <w:t xml:space="preserve">did not engage in any formal public consultation prior to amending the </w:t>
      </w:r>
      <w:r w:rsidR="00D670CB">
        <w:rPr>
          <w:rFonts w:ascii="Times New Roman" w:hAnsi="Times New Roman"/>
          <w:b w:val="0"/>
          <w:sz w:val="24"/>
          <w:szCs w:val="24"/>
        </w:rPr>
        <w:t>prudential standards</w:t>
      </w:r>
      <w:r w:rsidR="00774922" w:rsidRPr="008744AE">
        <w:rPr>
          <w:rFonts w:ascii="Times New Roman" w:hAnsi="Times New Roman"/>
          <w:b w:val="0"/>
          <w:sz w:val="24"/>
          <w:szCs w:val="24"/>
        </w:rPr>
        <w:t>.</w:t>
      </w:r>
      <w:r w:rsidR="00D670CB" w:rsidRPr="008744AE">
        <w:rPr>
          <w:rFonts w:ascii="Times New Roman" w:hAnsi="Times New Roman"/>
          <w:b w:val="0"/>
          <w:sz w:val="24"/>
          <w:szCs w:val="24"/>
        </w:rPr>
        <w:t xml:space="preserve"> </w:t>
      </w:r>
      <w:r w:rsidR="00D670CB" w:rsidRPr="0026634D">
        <w:rPr>
          <w:rFonts w:ascii="Times New Roman" w:hAnsi="Times New Roman"/>
          <w:b w:val="0"/>
          <w:sz w:val="24"/>
          <w:szCs w:val="24"/>
        </w:rPr>
        <w:t xml:space="preserve">The decision-maker is satisfied that no public consultation in this instance was appropriate, given the changes </w:t>
      </w:r>
      <w:r w:rsidR="008744AE">
        <w:rPr>
          <w:rFonts w:ascii="Times New Roman" w:hAnsi="Times New Roman"/>
          <w:b w:val="0"/>
          <w:sz w:val="24"/>
          <w:szCs w:val="24"/>
        </w:rPr>
        <w:t xml:space="preserve">are intended to provide relief to APRA-regulated entities at a time when their resources are more appropriately directed to dealing with the impact of the </w:t>
      </w:r>
      <w:r w:rsidR="0026634D">
        <w:rPr>
          <w:rFonts w:ascii="Times New Roman" w:hAnsi="Times New Roman"/>
          <w:b w:val="0"/>
          <w:sz w:val="24"/>
          <w:szCs w:val="24"/>
        </w:rPr>
        <w:t>COVID</w:t>
      </w:r>
      <w:r w:rsidR="008744AE">
        <w:rPr>
          <w:rFonts w:ascii="Times New Roman" w:hAnsi="Times New Roman"/>
          <w:b w:val="0"/>
          <w:sz w:val="24"/>
          <w:szCs w:val="24"/>
        </w:rPr>
        <w:t>-19 pandemic on their businesses and on the Australian financial system. Furthermore, the deferrals</w:t>
      </w:r>
      <w:r w:rsidR="00D670CB" w:rsidRPr="0026634D">
        <w:rPr>
          <w:rFonts w:ascii="Times New Roman" w:hAnsi="Times New Roman"/>
          <w:b w:val="0"/>
          <w:sz w:val="24"/>
          <w:szCs w:val="24"/>
        </w:rPr>
        <w:t xml:space="preserve"> to commencement dates had been requested by a number of APRA-regulated entities and industry bodies.</w:t>
      </w:r>
      <w:r w:rsidR="008744AE" w:rsidRPr="008744AE" w:rsidDel="008744AE">
        <w:rPr>
          <w:rFonts w:ascii="Times New Roman" w:hAnsi="Times New Roman"/>
          <w:b w:val="0"/>
          <w:sz w:val="24"/>
          <w:szCs w:val="24"/>
        </w:rPr>
        <w:t xml:space="preserve"> </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233A3A3C" w14:textId="3660673E"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The Office of Best Practice Regulation has advised that no Regulatory Impact statement is required as the changes are minor and machinery.</w:t>
      </w:r>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100791F3" w14:textId="11DE882B" w:rsidR="001D2931" w:rsidRDefault="0030506B" w:rsidP="001D310B">
      <w:pPr>
        <w:pStyle w:val="Heading"/>
        <w:spacing w:after="240"/>
        <w:rPr>
          <w:rFonts w:ascii="Times New Roman" w:hAnsi="Times New Roman"/>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1D2931">
        <w:rPr>
          <w:rFonts w:ascii="Times New Roman" w:hAnsi="Times New Roman"/>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C7F7C34" w14:textId="2422EE98" w:rsidR="004B762D" w:rsidRPr="002A2993" w:rsidRDefault="00C96F89" w:rsidP="00FD566F">
      <w:pPr>
        <w:shd w:val="clear" w:color="auto" w:fill="FFFFFF"/>
        <w:spacing w:before="100" w:beforeAutospacing="1" w:after="240"/>
        <w:jc w:val="center"/>
        <w:rPr>
          <w:rFonts w:ascii="Times New Roman" w:hAnsi="Times New Roman"/>
          <w:b/>
          <w:bCs/>
          <w:sz w:val="24"/>
          <w:szCs w:val="24"/>
        </w:rPr>
      </w:pPr>
      <w:r w:rsidRPr="002A2993">
        <w:rPr>
          <w:rFonts w:ascii="Times New Roman" w:hAnsi="Times New Roman"/>
          <w:b/>
          <w:bCs/>
          <w:sz w:val="24"/>
          <w:szCs w:val="24"/>
        </w:rPr>
        <w:t xml:space="preserve">Banking (prudential standard) determination Nos. </w:t>
      </w:r>
      <w:r w:rsidR="002A2993" w:rsidRPr="002A2993">
        <w:rPr>
          <w:rFonts w:ascii="Times New Roman" w:hAnsi="Times New Roman"/>
          <w:b/>
          <w:bCs/>
          <w:sz w:val="24"/>
          <w:szCs w:val="24"/>
        </w:rPr>
        <w:t>5</w:t>
      </w:r>
      <w:r w:rsidR="00E64B8A" w:rsidRPr="002A2993">
        <w:rPr>
          <w:rFonts w:ascii="Times New Roman" w:hAnsi="Times New Roman"/>
          <w:b/>
          <w:bCs/>
          <w:sz w:val="24"/>
          <w:szCs w:val="24"/>
        </w:rPr>
        <w:t xml:space="preserve"> and</w:t>
      </w:r>
      <w:r w:rsidRPr="002A2993">
        <w:rPr>
          <w:rFonts w:ascii="Times New Roman" w:hAnsi="Times New Roman"/>
          <w:b/>
          <w:bCs/>
          <w:sz w:val="24"/>
          <w:szCs w:val="24"/>
        </w:rPr>
        <w:t xml:space="preserve"> </w:t>
      </w:r>
      <w:r w:rsidR="002A2993" w:rsidRPr="002A2993">
        <w:rPr>
          <w:rFonts w:ascii="Times New Roman" w:hAnsi="Times New Roman"/>
          <w:b/>
          <w:bCs/>
          <w:sz w:val="24"/>
          <w:szCs w:val="24"/>
        </w:rPr>
        <w:t>6</w:t>
      </w:r>
      <w:r w:rsidRPr="002A2993">
        <w:rPr>
          <w:rFonts w:ascii="Times New Roman" w:hAnsi="Times New Roman"/>
          <w:b/>
          <w:bCs/>
          <w:sz w:val="24"/>
          <w:szCs w:val="24"/>
        </w:rPr>
        <w:t xml:space="preserve"> of 2020</w:t>
      </w:r>
    </w:p>
    <w:p w14:paraId="35BD42C7" w14:textId="7078971D" w:rsidR="00C96F89" w:rsidRPr="002A2993" w:rsidRDefault="00C96F89" w:rsidP="00C96F89">
      <w:pPr>
        <w:shd w:val="clear" w:color="auto" w:fill="FFFFFF"/>
        <w:spacing w:before="100" w:beforeAutospacing="1" w:after="240"/>
        <w:jc w:val="both"/>
        <w:rPr>
          <w:rFonts w:ascii="Times New Roman" w:hAnsi="Times New Roman"/>
          <w:sz w:val="24"/>
          <w:szCs w:val="24"/>
          <w:lang w:val="en-US"/>
        </w:rPr>
      </w:pPr>
      <w:r w:rsidRPr="002A2993">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2A2993">
        <w:rPr>
          <w:rFonts w:ascii="Times New Roman" w:hAnsi="Times New Roman"/>
          <w:i/>
          <w:iCs/>
          <w:sz w:val="24"/>
          <w:szCs w:val="24"/>
        </w:rPr>
        <w:t>Human Rights (Parliamentary Scrutiny) Act 2011</w:t>
      </w:r>
      <w:r w:rsidRPr="002A2993">
        <w:rPr>
          <w:rFonts w:ascii="Times New Roman" w:hAnsi="Times New Roman"/>
          <w:sz w:val="24"/>
          <w:szCs w:val="24"/>
        </w:rPr>
        <w:t xml:space="preserve"> (HRPS Act).</w:t>
      </w:r>
    </w:p>
    <w:p w14:paraId="38B799D8" w14:textId="5D4A2C52" w:rsidR="00C96F89" w:rsidRPr="002A2993" w:rsidRDefault="00C96F89" w:rsidP="00C96F89">
      <w:pPr>
        <w:shd w:val="clear" w:color="auto" w:fill="FFFFFF"/>
        <w:spacing w:before="100" w:beforeAutospacing="1" w:after="240"/>
        <w:jc w:val="both"/>
        <w:rPr>
          <w:rFonts w:ascii="Times New Roman" w:hAnsi="Times New Roman"/>
          <w:sz w:val="24"/>
          <w:szCs w:val="24"/>
          <w:lang w:val="en-US"/>
        </w:rPr>
      </w:pPr>
      <w:r w:rsidRPr="002A2993">
        <w:rPr>
          <w:rFonts w:ascii="Times New Roman" w:hAnsi="Times New Roman"/>
          <w:b/>
          <w:bCs/>
          <w:sz w:val="24"/>
          <w:szCs w:val="24"/>
        </w:rPr>
        <w:t>Overview of the Legislative Instruments</w:t>
      </w:r>
    </w:p>
    <w:p w14:paraId="0F2E8DDC" w14:textId="537D8317" w:rsidR="003F5A8B" w:rsidRPr="002A2993" w:rsidRDefault="003F5A8B" w:rsidP="003F5A8B">
      <w:pPr>
        <w:spacing w:after="240"/>
        <w:jc w:val="both"/>
        <w:rPr>
          <w:rFonts w:ascii="Times New Roman" w:hAnsi="Times New Roman"/>
          <w:sz w:val="24"/>
          <w:szCs w:val="24"/>
        </w:rPr>
      </w:pPr>
      <w:r w:rsidRPr="002A2993">
        <w:rPr>
          <w:rFonts w:ascii="Times New Roman" w:hAnsi="Times New Roman"/>
          <w:sz w:val="24"/>
          <w:szCs w:val="24"/>
        </w:rPr>
        <w:t xml:space="preserve">The purpose of Banking (prudential standard) determination No. </w:t>
      </w:r>
      <w:r w:rsidR="002A2993" w:rsidRPr="002A2993">
        <w:rPr>
          <w:rFonts w:ascii="Times New Roman" w:hAnsi="Times New Roman"/>
          <w:sz w:val="24"/>
          <w:szCs w:val="24"/>
        </w:rPr>
        <w:t>6</w:t>
      </w:r>
      <w:r w:rsidRPr="002A2993">
        <w:rPr>
          <w:rFonts w:ascii="Times New Roman" w:hAnsi="Times New Roman"/>
          <w:sz w:val="24"/>
          <w:szCs w:val="24"/>
        </w:rPr>
        <w:t xml:space="preserve"> of 2020 is to revoke </w:t>
      </w:r>
      <w:r w:rsidR="00ED39AE" w:rsidRPr="007624D6">
        <w:rPr>
          <w:rFonts w:ascii="Times New Roman" w:hAnsi="Times New Roman"/>
          <w:i/>
          <w:sz w:val="24"/>
          <w:szCs w:val="24"/>
        </w:rPr>
        <w:t>Prudential Standard APS</w:t>
      </w:r>
      <w:r w:rsidR="00ED39AE">
        <w:rPr>
          <w:rFonts w:ascii="Times New Roman" w:hAnsi="Times New Roman"/>
          <w:i/>
          <w:sz w:val="24"/>
          <w:szCs w:val="24"/>
        </w:rPr>
        <w:t> 115</w:t>
      </w:r>
      <w:r w:rsidR="00ED39AE" w:rsidRPr="007624D6">
        <w:rPr>
          <w:rFonts w:ascii="Times New Roman" w:hAnsi="Times New Roman"/>
          <w:i/>
          <w:sz w:val="24"/>
          <w:szCs w:val="24"/>
        </w:rPr>
        <w:t xml:space="preserve"> Capital Adequacy: Standardised</w:t>
      </w:r>
      <w:r w:rsidR="00ED39AE">
        <w:rPr>
          <w:rFonts w:ascii="Times New Roman" w:hAnsi="Times New Roman"/>
          <w:i/>
          <w:sz w:val="24"/>
          <w:szCs w:val="24"/>
        </w:rPr>
        <w:t xml:space="preserve"> Measurement</w:t>
      </w:r>
      <w:r w:rsidR="00ED39AE" w:rsidRPr="007624D6">
        <w:rPr>
          <w:rFonts w:ascii="Times New Roman" w:hAnsi="Times New Roman"/>
          <w:i/>
          <w:sz w:val="24"/>
          <w:szCs w:val="24"/>
        </w:rPr>
        <w:t xml:space="preserve"> Approach to Operational Risk </w:t>
      </w:r>
      <w:r w:rsidR="0049299F">
        <w:rPr>
          <w:rFonts w:ascii="Times New Roman" w:hAnsi="Times New Roman"/>
          <w:sz w:val="24"/>
          <w:szCs w:val="24"/>
        </w:rPr>
        <w:t>(</w:t>
      </w:r>
      <w:r w:rsidRPr="002A2993">
        <w:rPr>
          <w:rFonts w:ascii="Times New Roman" w:hAnsi="Times New Roman"/>
          <w:sz w:val="24"/>
          <w:szCs w:val="24"/>
        </w:rPr>
        <w:t>APS 115</w:t>
      </w:r>
      <w:r w:rsidR="0049299F">
        <w:rPr>
          <w:rFonts w:ascii="Times New Roman" w:hAnsi="Times New Roman"/>
          <w:sz w:val="24"/>
          <w:szCs w:val="24"/>
        </w:rPr>
        <w:t>)</w:t>
      </w:r>
      <w:r w:rsidRPr="002A2993">
        <w:rPr>
          <w:rFonts w:ascii="Times New Roman" w:hAnsi="Times New Roman"/>
          <w:sz w:val="24"/>
          <w:szCs w:val="24"/>
        </w:rPr>
        <w:t xml:space="preserve"> and replace it with a new version of APS 115. The changes to APS 115 revise the commencement date of the standard from 1 January 2021 for ADIs that use an advanced measurement approach to operational risk and 1 January 2022 for all other ADIs, to 1 January 2023. This aligns with the revised international commencement date.</w:t>
      </w:r>
    </w:p>
    <w:p w14:paraId="778D893C" w14:textId="4E0B3405" w:rsidR="004B762D" w:rsidRPr="002A2993" w:rsidRDefault="004B762D" w:rsidP="003F5A8B">
      <w:pPr>
        <w:spacing w:after="240"/>
        <w:jc w:val="both"/>
        <w:rPr>
          <w:rFonts w:ascii="Times New Roman" w:hAnsi="Times New Roman"/>
          <w:sz w:val="24"/>
          <w:szCs w:val="24"/>
        </w:rPr>
      </w:pPr>
      <w:r w:rsidRPr="002A2993">
        <w:rPr>
          <w:rFonts w:ascii="Times New Roman" w:hAnsi="Times New Roman"/>
          <w:sz w:val="24"/>
          <w:szCs w:val="24"/>
        </w:rPr>
        <w:t>The purpose of Banking (prudential standard) determination No</w:t>
      </w:r>
      <w:r w:rsidR="0026634D" w:rsidRPr="002A2993">
        <w:rPr>
          <w:rFonts w:ascii="Times New Roman" w:hAnsi="Times New Roman"/>
          <w:sz w:val="24"/>
          <w:szCs w:val="24"/>
        </w:rPr>
        <w:t>.</w:t>
      </w:r>
      <w:r w:rsidRPr="002A2993">
        <w:rPr>
          <w:rFonts w:ascii="Times New Roman" w:hAnsi="Times New Roman"/>
          <w:sz w:val="24"/>
          <w:szCs w:val="24"/>
        </w:rPr>
        <w:t xml:space="preserve"> </w:t>
      </w:r>
      <w:r w:rsidR="002A2993" w:rsidRPr="002A2993">
        <w:rPr>
          <w:rFonts w:ascii="Times New Roman" w:hAnsi="Times New Roman"/>
          <w:sz w:val="24"/>
          <w:szCs w:val="24"/>
        </w:rPr>
        <w:t>5</w:t>
      </w:r>
      <w:r w:rsidRPr="002A2993">
        <w:rPr>
          <w:rFonts w:ascii="Times New Roman" w:hAnsi="Times New Roman"/>
          <w:sz w:val="24"/>
          <w:szCs w:val="24"/>
        </w:rPr>
        <w:t xml:space="preserve"> of 2020 is to defer the revocation</w:t>
      </w:r>
      <w:r w:rsidR="00B841F1" w:rsidRPr="002A2993">
        <w:rPr>
          <w:rFonts w:ascii="Times New Roman" w:hAnsi="Times New Roman"/>
          <w:sz w:val="24"/>
          <w:szCs w:val="24"/>
        </w:rPr>
        <w:t xml:space="preserve"> of</w:t>
      </w:r>
      <w:r w:rsidR="00EB2A1C">
        <w:rPr>
          <w:rFonts w:ascii="Times New Roman" w:hAnsi="Times New Roman"/>
          <w:sz w:val="24"/>
          <w:szCs w:val="24"/>
        </w:rPr>
        <w:t xml:space="preserve"> </w:t>
      </w:r>
      <w:r w:rsidR="00EB2A1C" w:rsidRPr="008D41FF">
        <w:rPr>
          <w:rFonts w:ascii="Times New Roman" w:hAnsi="Times New Roman"/>
          <w:i/>
          <w:sz w:val="24"/>
          <w:szCs w:val="24"/>
        </w:rPr>
        <w:t>Prudential Standard APS</w:t>
      </w:r>
      <w:r w:rsidR="00EB2A1C">
        <w:rPr>
          <w:rFonts w:ascii="Times New Roman" w:hAnsi="Times New Roman"/>
          <w:i/>
          <w:sz w:val="24"/>
          <w:szCs w:val="24"/>
        </w:rPr>
        <w:t> </w:t>
      </w:r>
      <w:r w:rsidR="00EB2A1C" w:rsidRPr="008D41FF">
        <w:rPr>
          <w:rFonts w:ascii="Times New Roman" w:hAnsi="Times New Roman"/>
          <w:i/>
          <w:sz w:val="24"/>
          <w:szCs w:val="24"/>
        </w:rPr>
        <w:t>114 Capital Adequacy: Standardised Approach to Operational Risk</w:t>
      </w:r>
      <w:r w:rsidR="00B841F1" w:rsidRPr="002A2993">
        <w:rPr>
          <w:rFonts w:ascii="Times New Roman" w:hAnsi="Times New Roman"/>
          <w:sz w:val="24"/>
          <w:szCs w:val="24"/>
        </w:rPr>
        <w:t xml:space="preserve"> </w:t>
      </w:r>
      <w:r w:rsidR="00EB2A1C">
        <w:rPr>
          <w:rFonts w:ascii="Times New Roman" w:hAnsi="Times New Roman"/>
          <w:sz w:val="24"/>
          <w:szCs w:val="24"/>
        </w:rPr>
        <w:t>(</w:t>
      </w:r>
      <w:r w:rsidR="00B841F1" w:rsidRPr="002A2993">
        <w:rPr>
          <w:rFonts w:ascii="Times New Roman" w:hAnsi="Times New Roman"/>
          <w:sz w:val="24"/>
          <w:szCs w:val="24"/>
        </w:rPr>
        <w:t>APS</w:t>
      </w:r>
      <w:r w:rsidR="0026634D" w:rsidRPr="002A2993">
        <w:rPr>
          <w:rFonts w:ascii="Times New Roman" w:hAnsi="Times New Roman"/>
          <w:sz w:val="24"/>
          <w:szCs w:val="24"/>
        </w:rPr>
        <w:t> </w:t>
      </w:r>
      <w:r w:rsidR="00B841F1" w:rsidRPr="002A2993">
        <w:rPr>
          <w:rFonts w:ascii="Times New Roman" w:hAnsi="Times New Roman"/>
          <w:sz w:val="24"/>
          <w:szCs w:val="24"/>
        </w:rPr>
        <w:t>114</w:t>
      </w:r>
      <w:r w:rsidR="00EB2A1C">
        <w:rPr>
          <w:rFonts w:ascii="Times New Roman" w:hAnsi="Times New Roman"/>
          <w:sz w:val="24"/>
          <w:szCs w:val="24"/>
        </w:rPr>
        <w:t>)</w:t>
      </w:r>
      <w:r w:rsidR="00B841F1" w:rsidRPr="002A2993">
        <w:rPr>
          <w:rFonts w:ascii="Times New Roman" w:hAnsi="Times New Roman"/>
          <w:sz w:val="24"/>
          <w:szCs w:val="24"/>
        </w:rPr>
        <w:t xml:space="preserve"> in line with the deferral of the commencement of APS</w:t>
      </w:r>
      <w:r w:rsidR="0026634D" w:rsidRPr="002A2993">
        <w:rPr>
          <w:rFonts w:ascii="Times New Roman" w:hAnsi="Times New Roman"/>
          <w:sz w:val="24"/>
          <w:szCs w:val="24"/>
        </w:rPr>
        <w:t> </w:t>
      </w:r>
      <w:r w:rsidR="00B841F1" w:rsidRPr="002A2993">
        <w:rPr>
          <w:rFonts w:ascii="Times New Roman" w:hAnsi="Times New Roman"/>
          <w:sz w:val="24"/>
          <w:szCs w:val="24"/>
        </w:rPr>
        <w:t>115.</w:t>
      </w:r>
    </w:p>
    <w:p w14:paraId="7AD713F0" w14:textId="2876CABB" w:rsidR="00B841F1" w:rsidRDefault="00573273" w:rsidP="003F5A8B">
      <w:pPr>
        <w:spacing w:after="240"/>
        <w:jc w:val="both"/>
        <w:rPr>
          <w:rFonts w:ascii="Times New Roman" w:hAnsi="Times New Roman"/>
          <w:sz w:val="24"/>
          <w:szCs w:val="24"/>
        </w:rPr>
      </w:pPr>
      <w:r w:rsidRPr="002A2993">
        <w:rPr>
          <w:rFonts w:ascii="Times New Roman" w:hAnsi="Times New Roman"/>
          <w:sz w:val="24"/>
          <w:szCs w:val="24"/>
        </w:rPr>
        <w:t>The</w:t>
      </w:r>
      <w:r w:rsidR="00B841F1" w:rsidRPr="002A2993">
        <w:rPr>
          <w:rFonts w:ascii="Times New Roman" w:hAnsi="Times New Roman"/>
          <w:sz w:val="24"/>
          <w:szCs w:val="24"/>
        </w:rPr>
        <w:t xml:space="preserve"> deferrals relate to prudential standards that are concerned only with imposing financial obligations on APRA-regulated institutions.</w:t>
      </w:r>
    </w:p>
    <w:p w14:paraId="185385E4" w14:textId="5329C08F"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445F053B" w14:textId="282AAEB8" w:rsidR="00B841F1" w:rsidRDefault="00C96F89" w:rsidP="00573273">
      <w:pPr>
        <w:shd w:val="clear" w:color="auto" w:fill="FFFFFF"/>
        <w:spacing w:before="100" w:beforeAutospacing="1" w:after="240"/>
        <w:jc w:val="both"/>
        <w:rPr>
          <w:rFonts w:ascii="Times New Roman" w:hAnsi="Times New Roman"/>
          <w:b/>
          <w:bCs/>
          <w:sz w:val="24"/>
          <w:szCs w:val="24"/>
        </w:rPr>
      </w:pPr>
      <w:r>
        <w:rPr>
          <w:rFonts w:ascii="Times New Roman" w:hAnsi="Times New Roman"/>
          <w:sz w:val="24"/>
          <w:szCs w:val="24"/>
        </w:rPr>
        <w:t>APRA has assessed the instrument</w:t>
      </w:r>
      <w:r w:rsidR="00EF5E30">
        <w:rPr>
          <w:rFonts w:ascii="Times New Roman" w:hAnsi="Times New Roman"/>
          <w:sz w:val="24"/>
          <w:szCs w:val="24"/>
        </w:rPr>
        <w:t>s</w:t>
      </w:r>
      <w:r>
        <w:rPr>
          <w:rFonts w:ascii="Times New Roman" w:hAnsi="Times New Roman"/>
          <w:sz w:val="24"/>
          <w:szCs w:val="24"/>
        </w:rPr>
        <w:t xml:space="preserve"> and is of the view that </w:t>
      </w:r>
      <w:r w:rsidR="00EF5E30">
        <w:rPr>
          <w:rFonts w:ascii="Times New Roman" w:hAnsi="Times New Roman"/>
          <w:sz w:val="24"/>
          <w:szCs w:val="24"/>
        </w:rPr>
        <w:t>they</w:t>
      </w:r>
      <w:r>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D93654">
        <w:rPr>
          <w:rFonts w:ascii="Times New Roman" w:hAnsi="Times New Roman"/>
          <w:sz w:val="24"/>
          <w:szCs w:val="24"/>
        </w:rPr>
        <w:t>s</w:t>
      </w:r>
      <w:r>
        <w:rPr>
          <w:rFonts w:ascii="Times New Roman" w:hAnsi="Times New Roman"/>
          <w:sz w:val="24"/>
          <w:szCs w:val="24"/>
        </w:rPr>
        <w:t xml:space="preserve"> </w:t>
      </w:r>
      <w:r w:rsidR="00D93654">
        <w:rPr>
          <w:rFonts w:ascii="Times New Roman" w:hAnsi="Times New Roman"/>
          <w:sz w:val="24"/>
          <w:szCs w:val="24"/>
        </w:rPr>
        <w:t>are</w:t>
      </w:r>
      <w:r>
        <w:rPr>
          <w:rFonts w:ascii="Times New Roman" w:hAnsi="Times New Roman"/>
          <w:sz w:val="24"/>
          <w:szCs w:val="24"/>
        </w:rPr>
        <w:t xml:space="preserve"> compatible with human rights.</w:t>
      </w:r>
    </w:p>
    <w:p w14:paraId="6CAF8253" w14:textId="0E0DD989"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Conclusion</w:t>
      </w:r>
    </w:p>
    <w:p w14:paraId="2427AC61" w14:textId="00EFF95A" w:rsidR="00C96F89" w:rsidRDefault="00C96F89" w:rsidP="00C96F89">
      <w:pPr>
        <w:spacing w:after="240"/>
        <w:jc w:val="both"/>
        <w:rPr>
          <w:rFonts w:ascii="Times New Roman" w:hAnsi="Times New Roman"/>
          <w:sz w:val="24"/>
          <w:szCs w:val="24"/>
        </w:rPr>
      </w:pPr>
      <w:r>
        <w:rPr>
          <w:rFonts w:ascii="Times New Roman" w:hAnsi="Times New Roman"/>
          <w:sz w:val="24"/>
          <w:szCs w:val="24"/>
        </w:rPr>
        <w:t>The instrument</w:t>
      </w:r>
      <w:r w:rsidR="00D93654">
        <w:rPr>
          <w:rFonts w:ascii="Times New Roman" w:hAnsi="Times New Roman"/>
          <w:sz w:val="24"/>
          <w:szCs w:val="24"/>
        </w:rPr>
        <w:t>s</w:t>
      </w:r>
      <w:r>
        <w:rPr>
          <w:rFonts w:ascii="Times New Roman" w:hAnsi="Times New Roman"/>
          <w:sz w:val="24"/>
          <w:szCs w:val="24"/>
        </w:rPr>
        <w:t xml:space="preserve"> </w:t>
      </w:r>
      <w:r w:rsidR="00D93654">
        <w:rPr>
          <w:rFonts w:ascii="Times New Roman" w:hAnsi="Times New Roman"/>
          <w:sz w:val="24"/>
          <w:szCs w:val="24"/>
        </w:rPr>
        <w:t>are</w:t>
      </w:r>
      <w:r>
        <w:rPr>
          <w:rFonts w:ascii="Times New Roman" w:hAnsi="Times New Roman"/>
          <w:sz w:val="24"/>
          <w:szCs w:val="24"/>
        </w:rPr>
        <w:t xml:space="preserve"> compatible with human rights as </w:t>
      </w:r>
      <w:r w:rsidR="00D93654">
        <w:rPr>
          <w:rFonts w:ascii="Times New Roman" w:hAnsi="Times New Roman"/>
          <w:sz w:val="24"/>
          <w:szCs w:val="24"/>
        </w:rPr>
        <w:t>they do</w:t>
      </w:r>
      <w:r>
        <w:rPr>
          <w:rFonts w:ascii="Times New Roman" w:hAnsi="Times New Roman"/>
          <w:sz w:val="24"/>
          <w:szCs w:val="24"/>
        </w:rPr>
        <w:t xml:space="preserve"> not raise any human rights issues.</w:t>
      </w:r>
    </w:p>
    <w:sectPr w:rsidR="00C96F89"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C698" w14:textId="77777777" w:rsidR="00F5607A" w:rsidRDefault="00F5607A" w:rsidP="00DF7DA0">
      <w:r>
        <w:separator/>
      </w:r>
    </w:p>
  </w:endnote>
  <w:endnote w:type="continuationSeparator" w:id="0">
    <w:p w14:paraId="4C7EACEE" w14:textId="77777777" w:rsidR="00F5607A" w:rsidRDefault="00F5607A"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804857">
          <w:rPr>
            <w:rFonts w:ascii="Times New Roman" w:hAnsi="Times New Roman"/>
            <w:bCs/>
            <w:noProof/>
            <w:sz w:val="24"/>
            <w:szCs w:val="24"/>
          </w:rPr>
          <w:t>2</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03F4" w14:textId="77777777" w:rsidR="00F5607A" w:rsidRDefault="00F5607A" w:rsidP="00DF7DA0">
      <w:r>
        <w:separator/>
      </w:r>
    </w:p>
  </w:footnote>
  <w:footnote w:type="continuationSeparator" w:id="0">
    <w:p w14:paraId="66747387" w14:textId="77777777" w:rsidR="00F5607A" w:rsidRDefault="00F5607A" w:rsidP="00DF7DA0">
      <w:r>
        <w:continuationSeparator/>
      </w:r>
    </w:p>
  </w:footnote>
  <w:footnote w:id="1">
    <w:p w14:paraId="4F4B7E3D" w14:textId="4A3F7FB1" w:rsidR="00A824C6" w:rsidRPr="00A824C6" w:rsidRDefault="00A824C6">
      <w:pPr>
        <w:pStyle w:val="FootnoteText"/>
        <w:rPr>
          <w:rFonts w:ascii="Times New Roman" w:hAnsi="Times New Roman"/>
        </w:rPr>
      </w:pPr>
      <w:r w:rsidRPr="00A824C6">
        <w:rPr>
          <w:rStyle w:val="FootnoteReference"/>
          <w:rFonts w:ascii="Times New Roman" w:hAnsi="Times New Roman"/>
        </w:rPr>
        <w:footnoteRef/>
      </w:r>
      <w:r w:rsidRPr="00A824C6">
        <w:rPr>
          <w:rFonts w:ascii="Times New Roman" w:hAnsi="Times New Roman"/>
        </w:rPr>
        <w:t xml:space="preserve"> Australian </w:t>
      </w:r>
      <w:r>
        <w:rPr>
          <w:rFonts w:ascii="Times New Roman" w:hAnsi="Times New Roman"/>
        </w:rPr>
        <w:t xml:space="preserve">Accounting Standards is defined in </w:t>
      </w:r>
      <w:r w:rsidRPr="00A824C6">
        <w:rPr>
          <w:rFonts w:ascii="Times New Roman" w:hAnsi="Times New Roman"/>
          <w:i/>
        </w:rPr>
        <w:t>Prudential Standard APS 001 Definitions</w:t>
      </w:r>
      <w:r>
        <w:rPr>
          <w:rFonts w:ascii="Times New Roman" w:hAnsi="Times New Roman"/>
        </w:rPr>
        <w:t xml:space="preserve"> as the Australian Accounting Standards issued by the Australian Accounting Standards Board as may be amended from time to time. </w:t>
      </w:r>
    </w:p>
  </w:footnote>
  <w:footnote w:id="2">
    <w:p w14:paraId="5E6F47BE" w14:textId="231217E7" w:rsidR="00550E24" w:rsidRDefault="00550E24" w:rsidP="00550E24">
      <w:pPr>
        <w:pStyle w:val="FootnoteText"/>
        <w:jc w:val="both"/>
      </w:pPr>
      <w:r w:rsidRPr="00550E24">
        <w:rPr>
          <w:rStyle w:val="FootnoteReference"/>
          <w:rFonts w:ascii="Times New Roman" w:hAnsi="Times New Roman"/>
        </w:rPr>
        <w:footnoteRef/>
      </w:r>
      <w:r w:rsidRPr="00550E24">
        <w:rPr>
          <w:rFonts w:ascii="Times New Roman" w:hAnsi="Times New Roman"/>
        </w:rPr>
        <w:t xml:space="preserve"> The Act specifically provide that APRA does not need to consult where APRA is satisfied that doing so could result in a delay in revocation that would be contrary to the national interest or the interests of depositors with the body corporate (</w:t>
      </w:r>
      <w:r w:rsidR="00DF6815">
        <w:rPr>
          <w:rFonts w:ascii="Times New Roman" w:hAnsi="Times New Roman"/>
        </w:rPr>
        <w:t xml:space="preserve">subsection </w:t>
      </w:r>
      <w:r w:rsidRPr="00550E24">
        <w:rPr>
          <w:rFonts w:ascii="Times New Roman" w:hAnsi="Times New Roman"/>
        </w:rPr>
        <w:t>9</w:t>
      </w:r>
      <w:proofErr w:type="gramStart"/>
      <w:r w:rsidRPr="00550E24">
        <w:rPr>
          <w:rFonts w:ascii="Times New Roman" w:hAnsi="Times New Roman"/>
        </w:rPr>
        <w:t>A(</w:t>
      </w:r>
      <w:proofErr w:type="gramEnd"/>
      <w:r w:rsidRPr="00550E24">
        <w:rPr>
          <w:rFonts w:ascii="Times New Roman" w:hAnsi="Times New Roman"/>
        </w:rPr>
        <w:t xml:space="preserve">4) </w:t>
      </w:r>
      <w:r w:rsidR="00DF6815">
        <w:rPr>
          <w:rFonts w:ascii="Times New Roman" w:hAnsi="Times New Roman"/>
        </w:rPr>
        <w:t xml:space="preserve">of the </w:t>
      </w:r>
      <w:r w:rsidRPr="00550E24">
        <w:rPr>
          <w:rFonts w:ascii="Times New Roman" w:hAnsi="Times New Roman"/>
        </w:rPr>
        <w:t>Act)</w:t>
      </w:r>
      <w:r w:rsidR="00F03448">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8"/>
  </w:num>
  <w:num w:numId="5">
    <w:abstractNumId w:val="11"/>
  </w:num>
  <w:num w:numId="6">
    <w:abstractNumId w:val="6"/>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3"/>
  </w:num>
  <w:num w:numId="13">
    <w:abstractNumId w:val="2"/>
  </w:num>
  <w:num w:numId="14">
    <w:abstractNumId w:val="14"/>
  </w:num>
  <w:num w:numId="15">
    <w:abstractNumId w:val="7"/>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3D3A"/>
    <w:rsid w:val="000163DA"/>
    <w:rsid w:val="00024376"/>
    <w:rsid w:val="000253FE"/>
    <w:rsid w:val="000401FC"/>
    <w:rsid w:val="00046A6F"/>
    <w:rsid w:val="000603CD"/>
    <w:rsid w:val="00082F34"/>
    <w:rsid w:val="000A1056"/>
    <w:rsid w:val="000B4113"/>
    <w:rsid w:val="000B6A84"/>
    <w:rsid w:val="000D5862"/>
    <w:rsid w:val="000D614D"/>
    <w:rsid w:val="000D6E3B"/>
    <w:rsid w:val="000E0D8E"/>
    <w:rsid w:val="000E20E2"/>
    <w:rsid w:val="000E369C"/>
    <w:rsid w:val="000E6CBC"/>
    <w:rsid w:val="00100E9E"/>
    <w:rsid w:val="001204F5"/>
    <w:rsid w:val="001214C9"/>
    <w:rsid w:val="001316D4"/>
    <w:rsid w:val="00140681"/>
    <w:rsid w:val="0015432B"/>
    <w:rsid w:val="00155C61"/>
    <w:rsid w:val="0016033A"/>
    <w:rsid w:val="0016350D"/>
    <w:rsid w:val="00176C66"/>
    <w:rsid w:val="00181B0B"/>
    <w:rsid w:val="00182FA1"/>
    <w:rsid w:val="0019411E"/>
    <w:rsid w:val="00195547"/>
    <w:rsid w:val="001A34FC"/>
    <w:rsid w:val="001A5C6E"/>
    <w:rsid w:val="001C1476"/>
    <w:rsid w:val="001C4686"/>
    <w:rsid w:val="001C768E"/>
    <w:rsid w:val="001D2931"/>
    <w:rsid w:val="001D310B"/>
    <w:rsid w:val="001D450C"/>
    <w:rsid w:val="001E08DA"/>
    <w:rsid w:val="001F1893"/>
    <w:rsid w:val="00200775"/>
    <w:rsid w:val="002065D8"/>
    <w:rsid w:val="002074F6"/>
    <w:rsid w:val="00210223"/>
    <w:rsid w:val="00223ADB"/>
    <w:rsid w:val="00225B2B"/>
    <w:rsid w:val="00225DA1"/>
    <w:rsid w:val="00230508"/>
    <w:rsid w:val="00236383"/>
    <w:rsid w:val="002436BD"/>
    <w:rsid w:val="00246723"/>
    <w:rsid w:val="00246D8E"/>
    <w:rsid w:val="002510AD"/>
    <w:rsid w:val="00254671"/>
    <w:rsid w:val="00260347"/>
    <w:rsid w:val="0026634D"/>
    <w:rsid w:val="002717A9"/>
    <w:rsid w:val="002718E3"/>
    <w:rsid w:val="00293739"/>
    <w:rsid w:val="002A2993"/>
    <w:rsid w:val="002A66B3"/>
    <w:rsid w:val="002A73BD"/>
    <w:rsid w:val="002B19D6"/>
    <w:rsid w:val="002B4F91"/>
    <w:rsid w:val="002C322D"/>
    <w:rsid w:val="002C6B0C"/>
    <w:rsid w:val="002D2F9E"/>
    <w:rsid w:val="002E0198"/>
    <w:rsid w:val="00302E64"/>
    <w:rsid w:val="0030506B"/>
    <w:rsid w:val="0031077C"/>
    <w:rsid w:val="00331B77"/>
    <w:rsid w:val="00334842"/>
    <w:rsid w:val="00334DD1"/>
    <w:rsid w:val="00354CB8"/>
    <w:rsid w:val="00360F60"/>
    <w:rsid w:val="003811BB"/>
    <w:rsid w:val="00381AC2"/>
    <w:rsid w:val="003866AD"/>
    <w:rsid w:val="003A4AD9"/>
    <w:rsid w:val="003B12B6"/>
    <w:rsid w:val="003B385B"/>
    <w:rsid w:val="003B60C0"/>
    <w:rsid w:val="003D5032"/>
    <w:rsid w:val="003E22BA"/>
    <w:rsid w:val="003F5A8B"/>
    <w:rsid w:val="003F6F5E"/>
    <w:rsid w:val="0040175E"/>
    <w:rsid w:val="00406A52"/>
    <w:rsid w:val="004110B6"/>
    <w:rsid w:val="00415E6F"/>
    <w:rsid w:val="00422164"/>
    <w:rsid w:val="004262B9"/>
    <w:rsid w:val="00443A02"/>
    <w:rsid w:val="0045565C"/>
    <w:rsid w:val="00457C57"/>
    <w:rsid w:val="00462C7E"/>
    <w:rsid w:val="00470375"/>
    <w:rsid w:val="0049299F"/>
    <w:rsid w:val="004A0949"/>
    <w:rsid w:val="004B762D"/>
    <w:rsid w:val="004C0AA9"/>
    <w:rsid w:val="004C3512"/>
    <w:rsid w:val="004C3D07"/>
    <w:rsid w:val="004C48D5"/>
    <w:rsid w:val="004C6CCA"/>
    <w:rsid w:val="004D4579"/>
    <w:rsid w:val="004D51FA"/>
    <w:rsid w:val="004D55F9"/>
    <w:rsid w:val="004E0023"/>
    <w:rsid w:val="004E2008"/>
    <w:rsid w:val="00527BF9"/>
    <w:rsid w:val="00550E24"/>
    <w:rsid w:val="0056141D"/>
    <w:rsid w:val="00563DEC"/>
    <w:rsid w:val="00564B46"/>
    <w:rsid w:val="00573273"/>
    <w:rsid w:val="005774C2"/>
    <w:rsid w:val="0058163B"/>
    <w:rsid w:val="005837F8"/>
    <w:rsid w:val="00585AAA"/>
    <w:rsid w:val="005865C9"/>
    <w:rsid w:val="005973BF"/>
    <w:rsid w:val="005B616F"/>
    <w:rsid w:val="005B6265"/>
    <w:rsid w:val="005D57D5"/>
    <w:rsid w:val="005D6A67"/>
    <w:rsid w:val="005E120B"/>
    <w:rsid w:val="005E4984"/>
    <w:rsid w:val="005E5910"/>
    <w:rsid w:val="005F13AB"/>
    <w:rsid w:val="005F1EA0"/>
    <w:rsid w:val="005F1FCB"/>
    <w:rsid w:val="005F5F48"/>
    <w:rsid w:val="00607931"/>
    <w:rsid w:val="00613CBF"/>
    <w:rsid w:val="00616A26"/>
    <w:rsid w:val="00622480"/>
    <w:rsid w:val="006315F1"/>
    <w:rsid w:val="00647D58"/>
    <w:rsid w:val="00653754"/>
    <w:rsid w:val="00657678"/>
    <w:rsid w:val="00660970"/>
    <w:rsid w:val="00663606"/>
    <w:rsid w:val="00682504"/>
    <w:rsid w:val="00682865"/>
    <w:rsid w:val="0068499E"/>
    <w:rsid w:val="00684F73"/>
    <w:rsid w:val="00692825"/>
    <w:rsid w:val="00694691"/>
    <w:rsid w:val="00697007"/>
    <w:rsid w:val="006A2887"/>
    <w:rsid w:val="006A307C"/>
    <w:rsid w:val="006A3972"/>
    <w:rsid w:val="006B093F"/>
    <w:rsid w:val="006B47D1"/>
    <w:rsid w:val="006B7141"/>
    <w:rsid w:val="006C051B"/>
    <w:rsid w:val="006D3918"/>
    <w:rsid w:val="006E1027"/>
    <w:rsid w:val="006F74E9"/>
    <w:rsid w:val="007031F4"/>
    <w:rsid w:val="007049CF"/>
    <w:rsid w:val="00707E47"/>
    <w:rsid w:val="007368AD"/>
    <w:rsid w:val="007428D4"/>
    <w:rsid w:val="007470AC"/>
    <w:rsid w:val="00747A74"/>
    <w:rsid w:val="00747AFF"/>
    <w:rsid w:val="007518EF"/>
    <w:rsid w:val="0075455C"/>
    <w:rsid w:val="007548D7"/>
    <w:rsid w:val="007624D6"/>
    <w:rsid w:val="00774922"/>
    <w:rsid w:val="00785CDC"/>
    <w:rsid w:val="00795B00"/>
    <w:rsid w:val="00796561"/>
    <w:rsid w:val="007A16FA"/>
    <w:rsid w:val="007D436D"/>
    <w:rsid w:val="007D54D3"/>
    <w:rsid w:val="007E260A"/>
    <w:rsid w:val="007E3847"/>
    <w:rsid w:val="007E4B2A"/>
    <w:rsid w:val="00804857"/>
    <w:rsid w:val="00810661"/>
    <w:rsid w:val="00814176"/>
    <w:rsid w:val="00824626"/>
    <w:rsid w:val="00830F66"/>
    <w:rsid w:val="008346CE"/>
    <w:rsid w:val="00836187"/>
    <w:rsid w:val="00843A5A"/>
    <w:rsid w:val="008535A0"/>
    <w:rsid w:val="00867F26"/>
    <w:rsid w:val="00870628"/>
    <w:rsid w:val="008744AE"/>
    <w:rsid w:val="00876BA0"/>
    <w:rsid w:val="00885B6E"/>
    <w:rsid w:val="00885F41"/>
    <w:rsid w:val="00896F90"/>
    <w:rsid w:val="008A16E2"/>
    <w:rsid w:val="008B5649"/>
    <w:rsid w:val="008C0C2E"/>
    <w:rsid w:val="008C7C30"/>
    <w:rsid w:val="008C7C92"/>
    <w:rsid w:val="008D367D"/>
    <w:rsid w:val="008D41FF"/>
    <w:rsid w:val="008E033E"/>
    <w:rsid w:val="008E767D"/>
    <w:rsid w:val="008F4EC0"/>
    <w:rsid w:val="008F78A6"/>
    <w:rsid w:val="00913060"/>
    <w:rsid w:val="00914714"/>
    <w:rsid w:val="00927091"/>
    <w:rsid w:val="00932EFA"/>
    <w:rsid w:val="00935C58"/>
    <w:rsid w:val="00957291"/>
    <w:rsid w:val="009669EA"/>
    <w:rsid w:val="00967D16"/>
    <w:rsid w:val="00970F2F"/>
    <w:rsid w:val="00985082"/>
    <w:rsid w:val="009904EF"/>
    <w:rsid w:val="009927BF"/>
    <w:rsid w:val="00995B88"/>
    <w:rsid w:val="0099752A"/>
    <w:rsid w:val="009A2C39"/>
    <w:rsid w:val="009B35A0"/>
    <w:rsid w:val="009C0CF5"/>
    <w:rsid w:val="009C1DC7"/>
    <w:rsid w:val="009C5368"/>
    <w:rsid w:val="009D7882"/>
    <w:rsid w:val="009E0B92"/>
    <w:rsid w:val="009E5FC9"/>
    <w:rsid w:val="00A00614"/>
    <w:rsid w:val="00A14B46"/>
    <w:rsid w:val="00A16420"/>
    <w:rsid w:val="00A25ED5"/>
    <w:rsid w:val="00A279AF"/>
    <w:rsid w:val="00A334AA"/>
    <w:rsid w:val="00A338DC"/>
    <w:rsid w:val="00A4133B"/>
    <w:rsid w:val="00A46ADB"/>
    <w:rsid w:val="00A4704C"/>
    <w:rsid w:val="00A573C7"/>
    <w:rsid w:val="00A6325C"/>
    <w:rsid w:val="00A63A2B"/>
    <w:rsid w:val="00A71EDF"/>
    <w:rsid w:val="00A824C6"/>
    <w:rsid w:val="00A84C3C"/>
    <w:rsid w:val="00A871FD"/>
    <w:rsid w:val="00A9040D"/>
    <w:rsid w:val="00A91DB5"/>
    <w:rsid w:val="00A94110"/>
    <w:rsid w:val="00AA1C32"/>
    <w:rsid w:val="00AA530F"/>
    <w:rsid w:val="00AC2517"/>
    <w:rsid w:val="00AC61D6"/>
    <w:rsid w:val="00AC7A56"/>
    <w:rsid w:val="00AE4B9E"/>
    <w:rsid w:val="00B04B20"/>
    <w:rsid w:val="00B16B16"/>
    <w:rsid w:val="00B52ACD"/>
    <w:rsid w:val="00B53143"/>
    <w:rsid w:val="00B53BF2"/>
    <w:rsid w:val="00B64B2E"/>
    <w:rsid w:val="00B66C55"/>
    <w:rsid w:val="00B67FEE"/>
    <w:rsid w:val="00B7057F"/>
    <w:rsid w:val="00B76505"/>
    <w:rsid w:val="00B841F1"/>
    <w:rsid w:val="00B85B6E"/>
    <w:rsid w:val="00B93FA3"/>
    <w:rsid w:val="00BB1678"/>
    <w:rsid w:val="00BB37AD"/>
    <w:rsid w:val="00BC0CE7"/>
    <w:rsid w:val="00BF2953"/>
    <w:rsid w:val="00C1226A"/>
    <w:rsid w:val="00C148E1"/>
    <w:rsid w:val="00C16C41"/>
    <w:rsid w:val="00C302FA"/>
    <w:rsid w:val="00C30E88"/>
    <w:rsid w:val="00C40731"/>
    <w:rsid w:val="00C42FED"/>
    <w:rsid w:val="00C47E92"/>
    <w:rsid w:val="00C61AFD"/>
    <w:rsid w:val="00C63563"/>
    <w:rsid w:val="00C73A82"/>
    <w:rsid w:val="00C8253A"/>
    <w:rsid w:val="00C91041"/>
    <w:rsid w:val="00C94088"/>
    <w:rsid w:val="00C948AA"/>
    <w:rsid w:val="00C96F89"/>
    <w:rsid w:val="00C97AB3"/>
    <w:rsid w:val="00CA14B8"/>
    <w:rsid w:val="00CA6CB3"/>
    <w:rsid w:val="00CB384A"/>
    <w:rsid w:val="00CB7B07"/>
    <w:rsid w:val="00CC4A3B"/>
    <w:rsid w:val="00CD1947"/>
    <w:rsid w:val="00CD432A"/>
    <w:rsid w:val="00CE1BB4"/>
    <w:rsid w:val="00CF1D43"/>
    <w:rsid w:val="00CF7D89"/>
    <w:rsid w:val="00D05FA9"/>
    <w:rsid w:val="00D1077E"/>
    <w:rsid w:val="00D14060"/>
    <w:rsid w:val="00D17ABC"/>
    <w:rsid w:val="00D249EB"/>
    <w:rsid w:val="00D4126D"/>
    <w:rsid w:val="00D413ED"/>
    <w:rsid w:val="00D4263D"/>
    <w:rsid w:val="00D57590"/>
    <w:rsid w:val="00D64906"/>
    <w:rsid w:val="00D64943"/>
    <w:rsid w:val="00D66255"/>
    <w:rsid w:val="00D670CB"/>
    <w:rsid w:val="00D70D21"/>
    <w:rsid w:val="00D81CC2"/>
    <w:rsid w:val="00D87E36"/>
    <w:rsid w:val="00D918F4"/>
    <w:rsid w:val="00D93654"/>
    <w:rsid w:val="00DA3888"/>
    <w:rsid w:val="00DA54B4"/>
    <w:rsid w:val="00DE1130"/>
    <w:rsid w:val="00DE6ED3"/>
    <w:rsid w:val="00DF524E"/>
    <w:rsid w:val="00DF6815"/>
    <w:rsid w:val="00DF7DA0"/>
    <w:rsid w:val="00E014C5"/>
    <w:rsid w:val="00E051C6"/>
    <w:rsid w:val="00E0553E"/>
    <w:rsid w:val="00E1150C"/>
    <w:rsid w:val="00E15497"/>
    <w:rsid w:val="00E16789"/>
    <w:rsid w:val="00E179FF"/>
    <w:rsid w:val="00E201A8"/>
    <w:rsid w:val="00E22458"/>
    <w:rsid w:val="00E333F0"/>
    <w:rsid w:val="00E36930"/>
    <w:rsid w:val="00E378A0"/>
    <w:rsid w:val="00E50299"/>
    <w:rsid w:val="00E52DFE"/>
    <w:rsid w:val="00E64B8A"/>
    <w:rsid w:val="00E74E53"/>
    <w:rsid w:val="00E754E3"/>
    <w:rsid w:val="00E758B5"/>
    <w:rsid w:val="00E83E80"/>
    <w:rsid w:val="00E90C89"/>
    <w:rsid w:val="00E91CB2"/>
    <w:rsid w:val="00E94B30"/>
    <w:rsid w:val="00E978ED"/>
    <w:rsid w:val="00EA7309"/>
    <w:rsid w:val="00EA770D"/>
    <w:rsid w:val="00EB04F7"/>
    <w:rsid w:val="00EB2A1C"/>
    <w:rsid w:val="00EB4963"/>
    <w:rsid w:val="00EC5653"/>
    <w:rsid w:val="00EC5C25"/>
    <w:rsid w:val="00ED39AE"/>
    <w:rsid w:val="00ED59AE"/>
    <w:rsid w:val="00ED5DAD"/>
    <w:rsid w:val="00EF1CBC"/>
    <w:rsid w:val="00EF5E30"/>
    <w:rsid w:val="00F03448"/>
    <w:rsid w:val="00F04E07"/>
    <w:rsid w:val="00F05681"/>
    <w:rsid w:val="00F30C81"/>
    <w:rsid w:val="00F436BC"/>
    <w:rsid w:val="00F5607A"/>
    <w:rsid w:val="00F570B3"/>
    <w:rsid w:val="00F73CEF"/>
    <w:rsid w:val="00F763C8"/>
    <w:rsid w:val="00F7706D"/>
    <w:rsid w:val="00F87C4C"/>
    <w:rsid w:val="00FA0B81"/>
    <w:rsid w:val="00FA37B6"/>
    <w:rsid w:val="00FA5345"/>
    <w:rsid w:val="00FB0521"/>
    <w:rsid w:val="00FC76F2"/>
    <w:rsid w:val="00FD5004"/>
    <w:rsid w:val="00FD566F"/>
    <w:rsid w:val="00FD728F"/>
    <w:rsid w:val="00FE6E9D"/>
    <w:rsid w:val="00FF321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136</Value>
      <Value>24</Value>
      <Value>134</Value>
      <Value>19</Value>
      <Value>93</Value>
      <Value>10</Value>
      <Value>234</Value>
      <Value>158</Value>
      <Value>83</Value>
      <Value>229</Value>
      <Value>4</Value>
      <Value>185</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5 and 6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5JENXJJSCC7A-445999044-11372</_dlc_DocId>
    <_dlc_DocIdUrl xmlns="814d62cb-2db6-4c25-ab62-b9075facbc11">
      <Url>https://im/teams/LEGAL/_layouts/15/DocIdRedir.aspx?ID=5JENXJJSCC7A-445999044-11372</Url>
      <Description>5JENXJJSCC7A-445999044-11372</Description>
    </_dlc_DocIdUrl>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6AD1B70D-A6A8-4556-B7C1-F94206C4A61B}">
  <ds:schemaRefs>
    <ds:schemaRef ds:uri="http://purl.org/dc/elements/1.1/"/>
    <ds:schemaRef ds:uri="814d62cb-2db6-4c25-ab62-b9075facbc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A413AD4D-20D9-4BEC-8897-2FA087A7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147A0B-3F0B-4B44-9852-5FD4B74E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4</Pages>
  <Words>1513</Words>
  <Characters>8401</Characters>
  <Application>Microsoft Office Word</Application>
  <DocSecurity>0</DocSecurity>
  <Lines>144</Lines>
  <Paragraphs>53</Paragraphs>
  <ScaleCrop>false</ScaleCrop>
  <HeadingPairs>
    <vt:vector size="2" baseType="variant">
      <vt:variant>
        <vt:lpstr>Title</vt:lpstr>
      </vt:variant>
      <vt:variant>
        <vt:i4>1</vt:i4>
      </vt:variant>
    </vt:vector>
  </HeadingPairs>
  <TitlesOfParts>
    <vt:vector size="1" baseType="lpstr">
      <vt:lpstr>ES - prudential standard deferral</vt:lpstr>
    </vt:vector>
  </TitlesOfParts>
  <Company>APRA</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5 and 6 of 2020</dc:title>
  <dc:creator>Sullivan, David</dc:creator>
  <cp:keywords>[SEC=OFFICIAL]</cp:keywords>
  <cp:lastModifiedBy>Michalis, Toni</cp:lastModifiedBy>
  <cp:revision>2</cp:revision>
  <cp:lastPrinted>2020-01-09T02:14:00Z</cp:lastPrinted>
  <dcterms:created xsi:type="dcterms:W3CDTF">2020-12-08T23:08:00Z</dcterms:created>
  <dcterms:modified xsi:type="dcterms:W3CDTF">2020-12-08T23:08:00Z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216457DB386243E0825CCD50534706DDA7A935CF</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21ED1FDBCD7D4344A20D6AFD8053454A</vt:lpwstr>
  </property>
  <property fmtid="{D5CDD505-2E9C-101B-9397-08002B2CF9AE}" pid="16" name="PM_OriginationTimeStamp">
    <vt:lpwstr>2020-12-08T23:08:22Z</vt:lpwstr>
  </property>
  <property fmtid="{D5CDD505-2E9C-101B-9397-08002B2CF9AE}" pid="17" name="PM_Hash_Version">
    <vt:lpwstr>2018.0</vt:lpwstr>
  </property>
  <property fmtid="{D5CDD505-2E9C-101B-9397-08002B2CF9AE}" pid="18" name="PM_Hash_Salt_Prev">
    <vt:lpwstr>948AA19D20B58436FB956785A8B860E4</vt:lpwstr>
  </property>
  <property fmtid="{D5CDD505-2E9C-101B-9397-08002B2CF9AE}" pid="19" name="PM_Hash_Salt">
    <vt:lpwstr>520043FC5BE526A47F04986076AFAC07</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4" name="APRAYear">
    <vt:lpwstr>229;#2020|29ca90e3-c619-4296-b1bf-6e33e4d24a28</vt:lpwstr>
  </property>
  <property fmtid="{D5CDD505-2E9C-101B-9397-08002B2CF9AE}" pid="25" name="APRAIndustry">
    <vt:lpwstr/>
  </property>
  <property fmtid="{D5CDD505-2E9C-101B-9397-08002B2CF9AE}" pid="26" name="APRAPRSG">
    <vt:lpwstr/>
  </property>
  <property fmtid="{D5CDD505-2E9C-101B-9397-08002B2CF9AE}" pid="27" name="_dlc_DocIdItemGuid">
    <vt:lpwstr>a4573b64-d997-4f35-bb6b-8c8fccdf75b3</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136;#Prudential policy development|4cf81ba0-32a2-4f8f-8216-9e632903331b;#10;#Registration|390476ce-d76d-4e8d-905f-28e32d2df127;#109;#Statutory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{a4573b64-d997-4f35-bb6b-8c8fccdf75b3}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