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C702" w14:textId="77777777" w:rsidR="00A668EF" w:rsidRPr="00DC5E86" w:rsidRDefault="00A668EF" w:rsidP="00EF5414">
      <w:pPr>
        <w:spacing w:after="120"/>
        <w:contextualSpacing/>
        <w:jc w:val="center"/>
        <w:rPr>
          <w:rFonts w:ascii="Times New Roman" w:hAnsi="Times New Roman"/>
          <w:sz w:val="24"/>
          <w:szCs w:val="24"/>
        </w:rPr>
      </w:pPr>
      <w:r w:rsidRPr="00DC5E86">
        <w:rPr>
          <w:rFonts w:ascii="Times New Roman" w:hAnsi="Times New Roman"/>
          <w:b/>
          <w:sz w:val="24"/>
          <w:szCs w:val="24"/>
          <w:u w:val="single"/>
        </w:rPr>
        <w:t>EXPLANATORY STATEMENT</w:t>
      </w:r>
    </w:p>
    <w:p w14:paraId="25C09682" w14:textId="77777777" w:rsidR="00A668EF" w:rsidRPr="00DC5E86" w:rsidRDefault="00A668EF" w:rsidP="00EF5414">
      <w:pPr>
        <w:spacing w:after="120"/>
        <w:contextualSpacing/>
        <w:rPr>
          <w:rFonts w:ascii="Times New Roman" w:hAnsi="Times New Roman"/>
          <w:b/>
          <w:color w:val="000000" w:themeColor="text1"/>
          <w:sz w:val="24"/>
          <w:szCs w:val="24"/>
        </w:rPr>
      </w:pPr>
    </w:p>
    <w:p w14:paraId="685AB996" w14:textId="77777777" w:rsidR="00A668EF" w:rsidRPr="00DC5E86" w:rsidRDefault="00A668EF" w:rsidP="00EF5414">
      <w:pPr>
        <w:spacing w:after="120"/>
        <w:contextualSpacing/>
        <w:jc w:val="center"/>
        <w:rPr>
          <w:rFonts w:ascii="Times New Roman" w:hAnsi="Times New Roman"/>
          <w:b/>
          <w:color w:val="000000" w:themeColor="text1"/>
          <w:sz w:val="24"/>
          <w:szCs w:val="24"/>
        </w:rPr>
      </w:pPr>
      <w:r w:rsidRPr="00DC5E86">
        <w:rPr>
          <w:rFonts w:ascii="Times New Roman" w:hAnsi="Times New Roman"/>
          <w:b/>
          <w:color w:val="000000" w:themeColor="text1"/>
          <w:sz w:val="24"/>
          <w:szCs w:val="24"/>
        </w:rPr>
        <w:t>Issued by the Authority of the Minister for Finance</w:t>
      </w:r>
    </w:p>
    <w:p w14:paraId="7B8EB0D1" w14:textId="77777777" w:rsidR="00A668EF" w:rsidRPr="00DC5E86" w:rsidRDefault="00A668EF" w:rsidP="00EF5414">
      <w:pPr>
        <w:tabs>
          <w:tab w:val="left" w:pos="1701"/>
        </w:tabs>
        <w:spacing w:after="120"/>
        <w:contextualSpacing/>
        <w:jc w:val="center"/>
        <w:rPr>
          <w:rFonts w:ascii="Times New Roman" w:hAnsi="Times New Roman"/>
          <w:sz w:val="24"/>
          <w:szCs w:val="24"/>
        </w:rPr>
      </w:pPr>
    </w:p>
    <w:p w14:paraId="2C222F66" w14:textId="77777777" w:rsidR="00A668EF" w:rsidRPr="00DC5E86" w:rsidRDefault="00A668EF" w:rsidP="00EF5414">
      <w:pPr>
        <w:spacing w:after="120"/>
        <w:contextualSpacing/>
        <w:jc w:val="center"/>
        <w:rPr>
          <w:rFonts w:ascii="Times New Roman" w:hAnsi="Times New Roman"/>
          <w:i/>
          <w:sz w:val="24"/>
          <w:szCs w:val="24"/>
        </w:rPr>
      </w:pPr>
      <w:r w:rsidRPr="00DC5E86">
        <w:rPr>
          <w:rFonts w:ascii="Times New Roman" w:hAnsi="Times New Roman"/>
          <w:i/>
          <w:sz w:val="24"/>
          <w:szCs w:val="24"/>
        </w:rPr>
        <w:t>Financial Framework (Supplementary Powers) Act 1997</w:t>
      </w:r>
    </w:p>
    <w:p w14:paraId="36811E11" w14:textId="77777777" w:rsidR="00A668EF" w:rsidRPr="00DC5E86" w:rsidRDefault="00A668EF" w:rsidP="00EF5414">
      <w:pPr>
        <w:tabs>
          <w:tab w:val="left" w:pos="1701"/>
        </w:tabs>
        <w:spacing w:after="120"/>
        <w:contextualSpacing/>
        <w:jc w:val="center"/>
        <w:rPr>
          <w:rFonts w:ascii="Times New Roman" w:hAnsi="Times New Roman"/>
          <w:sz w:val="24"/>
          <w:szCs w:val="24"/>
        </w:rPr>
      </w:pPr>
    </w:p>
    <w:p w14:paraId="126B4CFE" w14:textId="77777777" w:rsidR="00A668EF" w:rsidRPr="00DC5E86" w:rsidRDefault="00A668EF" w:rsidP="00EF5414">
      <w:pPr>
        <w:tabs>
          <w:tab w:val="left" w:pos="1701"/>
        </w:tabs>
        <w:spacing w:after="120"/>
        <w:contextualSpacing/>
        <w:jc w:val="center"/>
        <w:rPr>
          <w:rFonts w:ascii="Times New Roman" w:hAnsi="Times New Roman"/>
          <w:i/>
          <w:sz w:val="24"/>
          <w:szCs w:val="24"/>
        </w:rPr>
      </w:pPr>
      <w:r w:rsidRPr="00DC5E86">
        <w:rPr>
          <w:rFonts w:ascii="Times New Roman" w:hAnsi="Times New Roman"/>
          <w:i/>
          <w:sz w:val="24"/>
          <w:szCs w:val="24"/>
        </w:rPr>
        <w:t xml:space="preserve">Financial Framework (Supplementary Powers) Amendment </w:t>
      </w:r>
    </w:p>
    <w:p w14:paraId="39756572" w14:textId="77777777" w:rsidR="00A668EF" w:rsidRPr="00DC5E86" w:rsidRDefault="00A668EF" w:rsidP="00EF5414">
      <w:pPr>
        <w:tabs>
          <w:tab w:val="left" w:pos="1701"/>
        </w:tabs>
        <w:spacing w:after="120"/>
        <w:contextualSpacing/>
        <w:jc w:val="center"/>
        <w:rPr>
          <w:rFonts w:ascii="Times New Roman" w:hAnsi="Times New Roman"/>
          <w:i/>
          <w:sz w:val="24"/>
          <w:szCs w:val="24"/>
        </w:rPr>
      </w:pPr>
      <w:r w:rsidRPr="00DC5E86">
        <w:rPr>
          <w:rFonts w:ascii="Times New Roman" w:hAnsi="Times New Roman"/>
          <w:i/>
          <w:sz w:val="24"/>
          <w:szCs w:val="24"/>
        </w:rPr>
        <w:t>(</w:t>
      </w:r>
      <w:r w:rsidR="00DD6862">
        <w:rPr>
          <w:rFonts w:ascii="Times New Roman" w:hAnsi="Times New Roman"/>
          <w:i/>
          <w:sz w:val="24"/>
          <w:szCs w:val="24"/>
        </w:rPr>
        <w:t>Industry, Science, Energy and Resources M</w:t>
      </w:r>
      <w:r w:rsidRPr="00DC5E86">
        <w:rPr>
          <w:rFonts w:ascii="Times New Roman" w:hAnsi="Times New Roman"/>
          <w:i/>
          <w:sz w:val="24"/>
          <w:szCs w:val="24"/>
        </w:rPr>
        <w:t xml:space="preserve">easures No. </w:t>
      </w:r>
      <w:r w:rsidR="00DD6862">
        <w:rPr>
          <w:rFonts w:ascii="Times New Roman" w:hAnsi="Times New Roman"/>
          <w:i/>
          <w:sz w:val="24"/>
          <w:szCs w:val="24"/>
        </w:rPr>
        <w:t>2</w:t>
      </w:r>
      <w:r w:rsidRPr="00DC5E86">
        <w:rPr>
          <w:rFonts w:ascii="Times New Roman" w:hAnsi="Times New Roman"/>
          <w:i/>
          <w:sz w:val="24"/>
          <w:szCs w:val="24"/>
        </w:rPr>
        <w:t>) Regulations 2020</w:t>
      </w:r>
    </w:p>
    <w:p w14:paraId="67C19097" w14:textId="77777777" w:rsidR="00A668EF" w:rsidRPr="00DC5E86" w:rsidRDefault="00A668EF" w:rsidP="00EF5414">
      <w:pPr>
        <w:spacing w:after="120"/>
        <w:contextualSpacing/>
        <w:rPr>
          <w:rFonts w:ascii="Times New Roman" w:hAnsi="Times New Roman"/>
          <w:sz w:val="24"/>
          <w:szCs w:val="24"/>
        </w:rPr>
      </w:pPr>
    </w:p>
    <w:p w14:paraId="07D4EA51" w14:textId="77777777" w:rsidR="00A668EF" w:rsidRPr="00DC5E86" w:rsidRDefault="00A668EF" w:rsidP="00EF5414">
      <w:pPr>
        <w:spacing w:after="120"/>
        <w:contextualSpacing/>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Financial Framework (Supplementary Powers) Act 1997</w:t>
      </w:r>
      <w:r w:rsidRPr="00DC5E86">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DC5E86">
        <w:rPr>
          <w:rFonts w:ascii="Times New Roman" w:hAnsi="Times New Roman"/>
          <w:i/>
          <w:sz w:val="24"/>
          <w:szCs w:val="24"/>
        </w:rPr>
        <w:t xml:space="preserve">Financial Framework (Supplementary Powers) Regulations 1997 </w:t>
      </w:r>
      <w:r w:rsidRPr="00DC5E86">
        <w:rPr>
          <w:rFonts w:ascii="Times New Roman" w:hAnsi="Times New Roman"/>
          <w:sz w:val="24"/>
          <w:szCs w:val="24"/>
        </w:rPr>
        <w:t>(the Principal Regulations). The</w:t>
      </w:r>
      <w:r w:rsidR="002430BF" w:rsidRPr="00DC5E86">
        <w:rPr>
          <w:rFonts w:ascii="Times New Roman" w:hAnsi="Times New Roman"/>
          <w:sz w:val="24"/>
          <w:szCs w:val="24"/>
        </w:rPr>
        <w:t xml:space="preserve"> powers in the</w:t>
      </w:r>
      <w:r w:rsidRPr="00DC5E86">
        <w:rPr>
          <w:rFonts w:ascii="Times New Roman" w:hAnsi="Times New Roman"/>
          <w:sz w:val="24"/>
          <w:szCs w:val="24"/>
        </w:rPr>
        <w:t xml:space="preserve"> FF(SP) Act </w:t>
      </w:r>
      <w:r w:rsidR="002430BF" w:rsidRPr="00DC5E86">
        <w:rPr>
          <w:rFonts w:ascii="Times New Roman" w:hAnsi="Times New Roman"/>
          <w:sz w:val="24"/>
          <w:szCs w:val="24"/>
        </w:rPr>
        <w:t>to make, vary or administer arrangements or grants may be exercised on behalf of the Commonwealth by</w:t>
      </w:r>
      <w:r w:rsidRPr="00DC5E86">
        <w:rPr>
          <w:rFonts w:ascii="Times New Roman" w:hAnsi="Times New Roman"/>
          <w:sz w:val="24"/>
          <w:szCs w:val="24"/>
        </w:rPr>
        <w:t xml:space="preserve"> Ministers and the accountable authorities of non</w:t>
      </w:r>
      <w:r w:rsidRPr="00DC5E86">
        <w:rPr>
          <w:rFonts w:ascii="Times New Roman" w:hAnsi="Times New Roman"/>
          <w:sz w:val="24"/>
          <w:szCs w:val="24"/>
        </w:rPr>
        <w:noBreakHyphen/>
        <w:t xml:space="preserve">corporate Commonwealth entities, as defined under section 12 of the </w:t>
      </w:r>
      <w:r w:rsidRPr="00DC5E86">
        <w:rPr>
          <w:rFonts w:ascii="Times New Roman" w:hAnsi="Times New Roman"/>
          <w:i/>
          <w:sz w:val="24"/>
          <w:szCs w:val="24"/>
        </w:rPr>
        <w:t>Public Governance, Performance and Accountability Act 2013</w:t>
      </w:r>
      <w:r w:rsidRPr="00DC5E86">
        <w:rPr>
          <w:rFonts w:ascii="Times New Roman" w:hAnsi="Times New Roman"/>
          <w:sz w:val="24"/>
          <w:szCs w:val="24"/>
        </w:rPr>
        <w:t xml:space="preserve">. </w:t>
      </w:r>
    </w:p>
    <w:p w14:paraId="0E2DE9C4" w14:textId="77777777" w:rsidR="00A668EF" w:rsidRPr="00DC5E86" w:rsidRDefault="00A668EF" w:rsidP="00EF5414">
      <w:pPr>
        <w:contextualSpacing/>
        <w:rPr>
          <w:rFonts w:ascii="Times New Roman" w:hAnsi="Times New Roman"/>
          <w:sz w:val="24"/>
          <w:szCs w:val="24"/>
        </w:rPr>
      </w:pPr>
    </w:p>
    <w:p w14:paraId="126DAA7F" w14:textId="77777777" w:rsidR="00A668EF" w:rsidRPr="00DC5E86" w:rsidRDefault="00A668EF" w:rsidP="00EF5414">
      <w:pPr>
        <w:pStyle w:val="ParaNumbering"/>
        <w:tabs>
          <w:tab w:val="clear" w:pos="360"/>
          <w:tab w:val="clear" w:pos="567"/>
        </w:tabs>
        <w:spacing w:after="0" w:line="240" w:lineRule="auto"/>
        <w:contextualSpacing/>
        <w:rPr>
          <w:szCs w:val="24"/>
        </w:rPr>
      </w:pPr>
      <w:r w:rsidRPr="00DC5E86">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43276A6" w14:textId="77777777" w:rsidR="00A668EF" w:rsidRPr="00DC5E86" w:rsidRDefault="00A668EF" w:rsidP="00EF5414">
      <w:pPr>
        <w:contextualSpacing/>
        <w:rPr>
          <w:rFonts w:ascii="Times New Roman" w:hAnsi="Times New Roman"/>
          <w:sz w:val="24"/>
          <w:szCs w:val="24"/>
        </w:rPr>
      </w:pPr>
    </w:p>
    <w:p w14:paraId="6EFE6DBB" w14:textId="77777777" w:rsidR="00A668EF" w:rsidRPr="00DC5E86" w:rsidRDefault="00A668EF" w:rsidP="00EF5414">
      <w:pPr>
        <w:ind w:right="-46"/>
        <w:rPr>
          <w:rFonts w:ascii="Times New Roman" w:hAnsi="Times New Roman"/>
          <w:sz w:val="24"/>
          <w:szCs w:val="24"/>
        </w:rPr>
      </w:pPr>
      <w:r w:rsidRPr="00DC5E86">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31C49E50" w14:textId="77777777" w:rsidR="00A668EF" w:rsidRPr="00DC5E86" w:rsidRDefault="00A668EF" w:rsidP="00EF5414">
      <w:pPr>
        <w:ind w:right="-46"/>
        <w:rPr>
          <w:rFonts w:ascii="Times New Roman" w:hAnsi="Times New Roman"/>
          <w:sz w:val="24"/>
          <w:szCs w:val="24"/>
        </w:rPr>
      </w:pPr>
    </w:p>
    <w:p w14:paraId="5EFA34CF" w14:textId="77777777" w:rsidR="00A668EF" w:rsidRPr="00DC5E86" w:rsidRDefault="00A668EF" w:rsidP="00EF5414">
      <w:pPr>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Financial Framework (Supplementary Powers) Amendment (</w:t>
      </w:r>
      <w:r w:rsidR="00DD6862">
        <w:rPr>
          <w:rFonts w:ascii="Times New Roman" w:hAnsi="Times New Roman"/>
          <w:i/>
          <w:sz w:val="24"/>
          <w:szCs w:val="24"/>
        </w:rPr>
        <w:t>Industry, Science, Energy and Resources</w:t>
      </w:r>
      <w:r w:rsidRPr="00DC5E86">
        <w:rPr>
          <w:rFonts w:ascii="Times New Roman" w:hAnsi="Times New Roman"/>
          <w:i/>
          <w:sz w:val="24"/>
          <w:szCs w:val="24"/>
        </w:rPr>
        <w:t xml:space="preserve"> Measures No. </w:t>
      </w:r>
      <w:r w:rsidR="00DD6862">
        <w:rPr>
          <w:rFonts w:ascii="Times New Roman" w:hAnsi="Times New Roman"/>
          <w:i/>
          <w:sz w:val="24"/>
          <w:szCs w:val="24"/>
        </w:rPr>
        <w:t>2</w:t>
      </w:r>
      <w:r w:rsidRPr="00DC5E86">
        <w:rPr>
          <w:rFonts w:ascii="Times New Roman" w:hAnsi="Times New Roman"/>
          <w:i/>
          <w:sz w:val="24"/>
          <w:szCs w:val="24"/>
        </w:rPr>
        <w:t>) Regulations 2020</w:t>
      </w:r>
      <w:r w:rsidRPr="00DC5E86">
        <w:rPr>
          <w:rFonts w:ascii="Times New Roman" w:hAnsi="Times New Roman"/>
          <w:sz w:val="24"/>
          <w:szCs w:val="24"/>
        </w:rPr>
        <w:t xml:space="preserve"> (the Regulations) amend Schedule 1AB to the Principal Regulations to establish legislative authority for government spending on certain activities </w:t>
      </w:r>
      <w:r w:rsidR="00B1380B" w:rsidRPr="00DC5E86">
        <w:rPr>
          <w:rFonts w:ascii="Times New Roman" w:hAnsi="Times New Roman"/>
          <w:sz w:val="24"/>
          <w:szCs w:val="24"/>
        </w:rPr>
        <w:t>that</w:t>
      </w:r>
      <w:r w:rsidR="000E2E06" w:rsidRPr="00DC5E86">
        <w:rPr>
          <w:rFonts w:ascii="Times New Roman" w:hAnsi="Times New Roman"/>
          <w:sz w:val="24"/>
          <w:szCs w:val="24"/>
        </w:rPr>
        <w:t xml:space="preserve"> will be </w:t>
      </w:r>
      <w:r w:rsidRPr="00DC5E86">
        <w:rPr>
          <w:rFonts w:ascii="Times New Roman" w:hAnsi="Times New Roman"/>
          <w:sz w:val="24"/>
          <w:szCs w:val="24"/>
        </w:rPr>
        <w:t xml:space="preserve">administered by the Department of </w:t>
      </w:r>
      <w:r w:rsidR="00DD6862">
        <w:rPr>
          <w:rFonts w:ascii="Times New Roman" w:hAnsi="Times New Roman"/>
          <w:sz w:val="24"/>
          <w:szCs w:val="24"/>
        </w:rPr>
        <w:t>Industry, Science, Energy and Resources</w:t>
      </w:r>
      <w:r w:rsidRPr="00DC5E86">
        <w:rPr>
          <w:rFonts w:ascii="Times New Roman" w:hAnsi="Times New Roman"/>
          <w:sz w:val="24"/>
          <w:szCs w:val="24"/>
        </w:rPr>
        <w:t>.</w:t>
      </w:r>
    </w:p>
    <w:p w14:paraId="3FC8C98F" w14:textId="77777777" w:rsidR="00A668EF" w:rsidRPr="00DC5E86" w:rsidRDefault="00A668EF" w:rsidP="00EF5414">
      <w:pPr>
        <w:rPr>
          <w:rFonts w:ascii="Times New Roman" w:hAnsi="Times New Roman"/>
          <w:sz w:val="24"/>
          <w:szCs w:val="24"/>
        </w:rPr>
      </w:pPr>
    </w:p>
    <w:p w14:paraId="14E93D0E" w14:textId="77777777" w:rsidR="00A668EF" w:rsidRPr="00DC5E86" w:rsidRDefault="00A668EF" w:rsidP="00EF5414">
      <w:pPr>
        <w:rPr>
          <w:rFonts w:ascii="Times New Roman" w:hAnsi="Times New Roman"/>
          <w:sz w:val="24"/>
          <w:szCs w:val="24"/>
        </w:rPr>
      </w:pPr>
      <w:r w:rsidRPr="00DC5E86">
        <w:rPr>
          <w:rFonts w:ascii="Times New Roman" w:hAnsi="Times New Roman"/>
          <w:sz w:val="24"/>
          <w:szCs w:val="24"/>
        </w:rPr>
        <w:t xml:space="preserve">Funding </w:t>
      </w:r>
      <w:r w:rsidR="000E2E06" w:rsidRPr="00DC5E86">
        <w:rPr>
          <w:rFonts w:ascii="Times New Roman" w:hAnsi="Times New Roman"/>
          <w:sz w:val="24"/>
          <w:szCs w:val="24"/>
        </w:rPr>
        <w:t>will be</w:t>
      </w:r>
      <w:r w:rsidRPr="00DC5E86">
        <w:rPr>
          <w:rFonts w:ascii="Times New Roman" w:hAnsi="Times New Roman"/>
          <w:sz w:val="24"/>
          <w:szCs w:val="24"/>
        </w:rPr>
        <w:t xml:space="preserve"> provided for:</w:t>
      </w:r>
    </w:p>
    <w:p w14:paraId="52D80E36" w14:textId="4FC13DCD" w:rsidR="00DD6862" w:rsidRDefault="00DD6862" w:rsidP="000B1D30">
      <w:pPr>
        <w:pStyle w:val="ListParagraph"/>
        <w:numPr>
          <w:ilvl w:val="0"/>
          <w:numId w:val="14"/>
        </w:numPr>
        <w:rPr>
          <w:rFonts w:cs="Times New Roman"/>
          <w:iCs/>
          <w:szCs w:val="24"/>
        </w:rPr>
      </w:pPr>
      <w:r>
        <w:rPr>
          <w:rFonts w:cs="Times New Roman"/>
          <w:iCs/>
          <w:szCs w:val="24"/>
        </w:rPr>
        <w:t>the Powering Communities Program</w:t>
      </w:r>
      <w:r w:rsidR="00500CA3">
        <w:rPr>
          <w:rFonts w:cs="Times New Roman"/>
          <w:iCs/>
          <w:szCs w:val="24"/>
        </w:rPr>
        <w:t>, which will provide grants to not-for-profit community organisations to improve their energy efficiency practices and technologies leading to a reduction in</w:t>
      </w:r>
      <w:r w:rsidR="007E35C0">
        <w:rPr>
          <w:rFonts w:cs="Times New Roman"/>
          <w:iCs/>
          <w:szCs w:val="24"/>
        </w:rPr>
        <w:t xml:space="preserve"> energy use, improvement in energy productivity and delivery of carbon abatement</w:t>
      </w:r>
      <w:r w:rsidR="00500CA3">
        <w:rPr>
          <w:rFonts w:cs="Times New Roman"/>
          <w:iCs/>
          <w:szCs w:val="24"/>
        </w:rPr>
        <w:t xml:space="preserve"> ($12 million over three years from 2020-21); </w:t>
      </w:r>
    </w:p>
    <w:p w14:paraId="436CCB7F" w14:textId="2037EDB0" w:rsidR="00713D5F" w:rsidRPr="007E4E27" w:rsidRDefault="00713D5F" w:rsidP="000B1D30">
      <w:pPr>
        <w:pStyle w:val="ListParagraph"/>
        <w:numPr>
          <w:ilvl w:val="0"/>
          <w:numId w:val="14"/>
        </w:numPr>
        <w:rPr>
          <w:rFonts w:cs="Times New Roman"/>
          <w:iCs/>
          <w:szCs w:val="24"/>
        </w:rPr>
      </w:pPr>
      <w:r w:rsidRPr="66592093">
        <w:rPr>
          <w:rFonts w:cs="Times New Roman"/>
        </w:rPr>
        <w:t>the Building Energy Efficiency Program, which aims to reduce energy use, improve energy productivity and deliver carbon abatement in buildings</w:t>
      </w:r>
      <w:r>
        <w:rPr>
          <w:rFonts w:cs="Times New Roman"/>
        </w:rPr>
        <w:t xml:space="preserve">, </w:t>
      </w:r>
      <w:r w:rsidRPr="66592093">
        <w:rPr>
          <w:rFonts w:cs="Times New Roman"/>
        </w:rPr>
        <w:t>through the provision of information</w:t>
      </w:r>
      <w:r>
        <w:rPr>
          <w:rFonts w:cs="Times New Roman"/>
        </w:rPr>
        <w:t xml:space="preserve">, tools, training resources, </w:t>
      </w:r>
      <w:r w:rsidRPr="66592093">
        <w:rPr>
          <w:rFonts w:cs="Times New Roman"/>
        </w:rPr>
        <w:t xml:space="preserve">assessments </w:t>
      </w:r>
      <w:r>
        <w:rPr>
          <w:rFonts w:cs="Times New Roman"/>
        </w:rPr>
        <w:t xml:space="preserve">and ratings </w:t>
      </w:r>
      <w:r w:rsidRPr="66592093">
        <w:rPr>
          <w:rFonts w:cs="Times New Roman"/>
        </w:rPr>
        <w:t>relating to building energy efficiency</w:t>
      </w:r>
      <w:r>
        <w:rPr>
          <w:rFonts w:cs="Times New Roman"/>
        </w:rPr>
        <w:t>, energy performance</w:t>
      </w:r>
      <w:r w:rsidRPr="66592093">
        <w:rPr>
          <w:rFonts w:cs="Times New Roman"/>
        </w:rPr>
        <w:t xml:space="preserve"> and efficiency of heating, ventilation and air conditioning systems in buildings </w:t>
      </w:r>
      <w:r w:rsidRPr="00C02EF9">
        <w:rPr>
          <w:rFonts w:cs="Times New Roman"/>
        </w:rPr>
        <w:t>(</w:t>
      </w:r>
      <w:r w:rsidRPr="00C02EF9">
        <w:t>$39.1 million over five years from 2020-21</w:t>
      </w:r>
      <w:r w:rsidRPr="00C02EF9">
        <w:rPr>
          <w:rFonts w:cs="Times New Roman"/>
        </w:rPr>
        <w:t>);</w:t>
      </w:r>
    </w:p>
    <w:p w14:paraId="1CA63435" w14:textId="2F0DA607" w:rsidR="007E4E27" w:rsidRPr="007E4E27" w:rsidRDefault="007E4E27" w:rsidP="000B1D30">
      <w:pPr>
        <w:pStyle w:val="ListParagraph"/>
        <w:numPr>
          <w:ilvl w:val="0"/>
          <w:numId w:val="14"/>
        </w:numPr>
        <w:rPr>
          <w:rFonts w:cs="Times New Roman"/>
          <w:iCs/>
          <w:szCs w:val="24"/>
        </w:rPr>
      </w:pPr>
      <w:r>
        <w:rPr>
          <w:rFonts w:cs="Times New Roman"/>
        </w:rPr>
        <w:t xml:space="preserve">the Technology Co-Investment Fund to support activities that reduce energy use, improve energy productivity and deliver carbon abatement in the industrial, transport and agricultural sectors, including through industrial and energy productivity </w:t>
      </w:r>
      <w:r>
        <w:rPr>
          <w:rFonts w:cs="Times New Roman"/>
        </w:rPr>
        <w:lastRenderedPageBreak/>
        <w:t>benchmarking, improving transport fuel efficiency, increasing soil carbon and reducing livestock emissions ($20.1 million over six years from 2020-21); and</w:t>
      </w:r>
    </w:p>
    <w:p w14:paraId="39A71969" w14:textId="7CA9BA66" w:rsidR="007E4E27" w:rsidRPr="007048FD" w:rsidRDefault="007048FD" w:rsidP="000B1D30">
      <w:pPr>
        <w:pStyle w:val="ListParagraph"/>
        <w:numPr>
          <w:ilvl w:val="0"/>
          <w:numId w:val="14"/>
        </w:numPr>
        <w:rPr>
          <w:rFonts w:cs="Times New Roman"/>
          <w:iCs/>
          <w:szCs w:val="24"/>
        </w:rPr>
      </w:pPr>
      <w:r>
        <w:rPr>
          <w:rFonts w:cs="Times New Roman"/>
        </w:rPr>
        <w:t xml:space="preserve">the Hydrogen Export Hub Program, which will support the development of hydrogen production, hydrogen demand and hydrogen export supply chains, and hydrogen </w:t>
      </w:r>
      <w:r w:rsidRPr="007048FD">
        <w:rPr>
          <w:rFonts w:cs="Times New Roman"/>
        </w:rPr>
        <w:t>safety ($73.9 million over six years from 2019-20)</w:t>
      </w:r>
      <w:r>
        <w:rPr>
          <w:rFonts w:cs="Times New Roman"/>
        </w:rPr>
        <w:t>.</w:t>
      </w:r>
    </w:p>
    <w:p w14:paraId="45A61C70" w14:textId="77777777" w:rsidR="00FC35C1" w:rsidRPr="00DC5E86" w:rsidRDefault="00FC35C1" w:rsidP="00FC35C1">
      <w:pPr>
        <w:ind w:right="-46"/>
        <w:rPr>
          <w:rFonts w:ascii="Times New Roman" w:hAnsi="Times New Roman"/>
          <w:iCs/>
          <w:sz w:val="24"/>
          <w:szCs w:val="24"/>
        </w:rPr>
      </w:pPr>
    </w:p>
    <w:p w14:paraId="109DC0F8" w14:textId="77777777" w:rsidR="00A668EF" w:rsidRPr="00DC5E86" w:rsidRDefault="00A668EF" w:rsidP="00EF5414">
      <w:pPr>
        <w:pStyle w:val="ParaNumbering"/>
        <w:tabs>
          <w:tab w:val="clear" w:pos="360"/>
          <w:tab w:val="clear" w:pos="567"/>
        </w:tabs>
        <w:spacing w:after="0" w:line="240" w:lineRule="auto"/>
        <w:contextualSpacing/>
        <w:rPr>
          <w:bCs/>
          <w:color w:val="000000" w:themeColor="text1"/>
          <w:szCs w:val="24"/>
        </w:rPr>
      </w:pPr>
      <w:r w:rsidRPr="00DC5E86">
        <w:rPr>
          <w:rFonts w:eastAsia="Calibri"/>
          <w:iCs/>
          <w:szCs w:val="24"/>
          <w:lang w:eastAsia="en-AU"/>
        </w:rPr>
        <w:t>Details o</w:t>
      </w:r>
      <w:r w:rsidRPr="00DC5E86">
        <w:rPr>
          <w:color w:val="000000" w:themeColor="text1"/>
          <w:szCs w:val="24"/>
        </w:rPr>
        <w:t xml:space="preserve">f the Regulations are set out at </w:t>
      </w:r>
      <w:r w:rsidRPr="00DC5E86">
        <w:rPr>
          <w:color w:val="000000" w:themeColor="text1"/>
          <w:szCs w:val="24"/>
          <w:u w:val="single"/>
        </w:rPr>
        <w:t>Attachment A</w:t>
      </w:r>
      <w:r w:rsidRPr="00DC5E86">
        <w:rPr>
          <w:color w:val="000000" w:themeColor="text1"/>
          <w:szCs w:val="24"/>
        </w:rPr>
        <w:t xml:space="preserve">. A </w:t>
      </w:r>
      <w:r w:rsidRPr="00DC5E86">
        <w:rPr>
          <w:bCs/>
          <w:color w:val="000000" w:themeColor="text1"/>
          <w:szCs w:val="24"/>
        </w:rPr>
        <w:t xml:space="preserve">Statement of Compatibility with Human Rights is at </w:t>
      </w:r>
      <w:r w:rsidRPr="00DC5E86">
        <w:rPr>
          <w:bCs/>
          <w:color w:val="000000" w:themeColor="text1"/>
          <w:szCs w:val="24"/>
          <w:u w:val="single"/>
        </w:rPr>
        <w:t>Attachment B</w:t>
      </w:r>
      <w:r w:rsidRPr="00DC5E86">
        <w:rPr>
          <w:bCs/>
          <w:color w:val="000000" w:themeColor="text1"/>
          <w:szCs w:val="24"/>
        </w:rPr>
        <w:t xml:space="preserve">. </w:t>
      </w:r>
    </w:p>
    <w:p w14:paraId="0F009A20" w14:textId="77777777" w:rsidR="00A668EF" w:rsidRPr="00DC5E86" w:rsidRDefault="00A668EF" w:rsidP="00EF5414">
      <w:pPr>
        <w:pStyle w:val="ParaNumbering"/>
        <w:tabs>
          <w:tab w:val="clear" w:pos="360"/>
          <w:tab w:val="clear" w:pos="567"/>
        </w:tabs>
        <w:spacing w:after="120" w:line="240" w:lineRule="auto"/>
        <w:contextualSpacing/>
        <w:rPr>
          <w:bCs/>
          <w:color w:val="000000" w:themeColor="text1"/>
          <w:szCs w:val="24"/>
        </w:rPr>
      </w:pPr>
    </w:p>
    <w:p w14:paraId="252581A9" w14:textId="77777777" w:rsidR="00A668EF" w:rsidRPr="00DC5E86" w:rsidRDefault="00A668EF" w:rsidP="00EF5414">
      <w:pPr>
        <w:pStyle w:val="ParaNumbering"/>
        <w:tabs>
          <w:tab w:val="clear" w:pos="360"/>
          <w:tab w:val="clear" w:pos="567"/>
        </w:tabs>
        <w:spacing w:after="0" w:line="240" w:lineRule="auto"/>
        <w:contextualSpacing/>
        <w:rPr>
          <w:color w:val="000000" w:themeColor="text1"/>
          <w:szCs w:val="24"/>
        </w:rPr>
      </w:pPr>
      <w:r w:rsidRPr="00DC5E86">
        <w:rPr>
          <w:color w:val="000000" w:themeColor="text1"/>
          <w:szCs w:val="24"/>
        </w:rPr>
        <w:t>The Regulations are a legislative instrument for the purposes of the</w:t>
      </w:r>
      <w:r w:rsidRPr="00DC5E86">
        <w:rPr>
          <w:i/>
          <w:color w:val="000000" w:themeColor="text1"/>
          <w:szCs w:val="24"/>
        </w:rPr>
        <w:t xml:space="preserve"> Legislation Act 2003. </w:t>
      </w:r>
      <w:r w:rsidRPr="00DC5E86">
        <w:rPr>
          <w:color w:val="000000" w:themeColor="text1"/>
          <w:szCs w:val="24"/>
        </w:rPr>
        <w:t xml:space="preserve">The Regulations commence on the day after the instrument is registered on the Federal Register of Legislation. </w:t>
      </w:r>
    </w:p>
    <w:p w14:paraId="2AEC078A" w14:textId="77777777" w:rsidR="00A668EF" w:rsidRPr="00DC5E86" w:rsidRDefault="00A668EF" w:rsidP="00EF5414">
      <w:pPr>
        <w:spacing w:after="120"/>
        <w:contextualSpacing/>
        <w:rPr>
          <w:rFonts w:ascii="Times New Roman" w:hAnsi="Times New Roman"/>
          <w:b/>
          <w:bCs/>
          <w:sz w:val="24"/>
          <w:szCs w:val="24"/>
        </w:rPr>
      </w:pPr>
    </w:p>
    <w:p w14:paraId="3BE9F620" w14:textId="77777777" w:rsidR="00A668EF" w:rsidRPr="00DC5E86" w:rsidRDefault="00A668EF" w:rsidP="00EF5414">
      <w:pPr>
        <w:spacing w:after="200" w:line="276" w:lineRule="auto"/>
        <w:rPr>
          <w:rFonts w:ascii="Times New Roman" w:hAnsi="Times New Roman"/>
          <w:b/>
          <w:bCs/>
          <w:sz w:val="24"/>
          <w:szCs w:val="24"/>
        </w:rPr>
      </w:pPr>
      <w:r w:rsidRPr="00DC5E86">
        <w:rPr>
          <w:rFonts w:ascii="Times New Roman" w:hAnsi="Times New Roman"/>
          <w:b/>
          <w:bCs/>
          <w:sz w:val="24"/>
          <w:szCs w:val="24"/>
        </w:rPr>
        <w:t>Consultation</w:t>
      </w:r>
    </w:p>
    <w:p w14:paraId="1993FDEC" w14:textId="77777777" w:rsidR="00A668EF" w:rsidRPr="00DC5E86" w:rsidRDefault="00A668EF" w:rsidP="00EF5414">
      <w:pPr>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In accordance with section 17 of the </w:t>
      </w:r>
      <w:r w:rsidRPr="00DC5E86">
        <w:rPr>
          <w:rFonts w:ascii="Times New Roman" w:hAnsi="Times New Roman"/>
          <w:i/>
          <w:iCs/>
          <w:color w:val="000000" w:themeColor="text1"/>
          <w:sz w:val="24"/>
          <w:szCs w:val="24"/>
        </w:rPr>
        <w:t>Legislation Act 2003</w:t>
      </w:r>
      <w:r w:rsidRPr="00DC5E86">
        <w:rPr>
          <w:rFonts w:ascii="Times New Roman" w:hAnsi="Times New Roman"/>
          <w:color w:val="000000" w:themeColor="text1"/>
          <w:sz w:val="24"/>
          <w:szCs w:val="24"/>
        </w:rPr>
        <w:t xml:space="preserve">, consultation has taken place with the Department of </w:t>
      </w:r>
      <w:r w:rsidR="00293C06">
        <w:rPr>
          <w:rFonts w:ascii="Times New Roman" w:hAnsi="Times New Roman"/>
          <w:sz w:val="24"/>
          <w:szCs w:val="24"/>
        </w:rPr>
        <w:t>Industry, Science, Energy and Resources</w:t>
      </w:r>
      <w:r w:rsidRPr="00DC5E86">
        <w:rPr>
          <w:rFonts w:ascii="Times New Roman" w:hAnsi="Times New Roman"/>
          <w:color w:val="000000" w:themeColor="text1"/>
          <w:sz w:val="24"/>
          <w:szCs w:val="24"/>
        </w:rPr>
        <w:t>.</w:t>
      </w:r>
    </w:p>
    <w:p w14:paraId="5D810779" w14:textId="77777777" w:rsidR="00A668EF" w:rsidRPr="00DC5E86" w:rsidRDefault="00A668EF" w:rsidP="00EF5414">
      <w:pPr>
        <w:contextualSpacing/>
        <w:rPr>
          <w:rFonts w:ascii="Times New Roman" w:hAnsi="Times New Roman"/>
          <w:color w:val="000000" w:themeColor="text1"/>
          <w:sz w:val="24"/>
          <w:szCs w:val="24"/>
        </w:rPr>
      </w:pPr>
    </w:p>
    <w:p w14:paraId="3A088466" w14:textId="77777777" w:rsidR="00A668EF" w:rsidRPr="00DC5E86" w:rsidRDefault="00A668EF" w:rsidP="00EF5414">
      <w:pPr>
        <w:spacing w:after="120"/>
        <w:contextualSpacing/>
        <w:rPr>
          <w:rFonts w:ascii="Times New Roman" w:hAnsi="Times New Roman"/>
          <w:iCs/>
          <w:sz w:val="24"/>
          <w:szCs w:val="24"/>
        </w:rPr>
      </w:pPr>
      <w:r w:rsidRPr="00DC5E86">
        <w:rPr>
          <w:rFonts w:ascii="Times New Roman" w:hAnsi="Times New Roman"/>
          <w:iCs/>
          <w:sz w:val="24"/>
          <w:szCs w:val="24"/>
        </w:rPr>
        <w:t>A regulation impact statement is not required as the Regulations only apply to non</w:t>
      </w:r>
      <w:r w:rsidRPr="00DC5E86">
        <w:rPr>
          <w:rFonts w:ascii="Times New Roman" w:hAnsi="Times New Roman"/>
          <w:iCs/>
          <w:sz w:val="24"/>
          <w:szCs w:val="24"/>
        </w:rPr>
        <w:noBreakHyphen/>
        <w:t xml:space="preserve">corporate Commonwealth entities and do not adversely affect the private sector. </w:t>
      </w:r>
    </w:p>
    <w:p w14:paraId="73CC15EB" w14:textId="77777777" w:rsidR="00B044BA" w:rsidRPr="00DC5E86" w:rsidRDefault="00A668EF" w:rsidP="00EF5414">
      <w:pPr>
        <w:spacing w:after="160" w:line="259" w:lineRule="auto"/>
        <w:rPr>
          <w:rFonts w:ascii="Times New Roman" w:hAnsi="Times New Roman"/>
          <w:iCs/>
          <w:sz w:val="24"/>
          <w:szCs w:val="24"/>
        </w:rPr>
      </w:pPr>
      <w:r w:rsidRPr="00DC5E86">
        <w:rPr>
          <w:rFonts w:ascii="Times New Roman" w:hAnsi="Times New Roman"/>
          <w:iCs/>
          <w:sz w:val="24"/>
          <w:szCs w:val="24"/>
        </w:rPr>
        <w:br w:type="page"/>
      </w:r>
    </w:p>
    <w:p w14:paraId="7771C28B" w14:textId="77777777" w:rsidR="006818C0" w:rsidRPr="00DC5E86" w:rsidRDefault="006818C0" w:rsidP="00EF5414">
      <w:pPr>
        <w:spacing w:after="120"/>
        <w:contextualSpacing/>
        <w:rPr>
          <w:rFonts w:ascii="Times New Roman" w:hAnsi="Times New Roman"/>
          <w:color w:val="000000" w:themeColor="text1"/>
          <w:sz w:val="24"/>
          <w:szCs w:val="24"/>
        </w:rPr>
        <w:sectPr w:rsidR="006818C0" w:rsidRPr="00DC5E86" w:rsidSect="004D676F">
          <w:headerReference w:type="default" r:id="rId13"/>
          <w:headerReference w:type="first" r:id="rId14"/>
          <w:pgSz w:w="11906" w:h="16838"/>
          <w:pgMar w:top="1418" w:right="1440" w:bottom="1332" w:left="1440" w:header="709" w:footer="709" w:gutter="0"/>
          <w:pgNumType w:start="1"/>
          <w:cols w:space="708"/>
          <w:titlePg/>
          <w:docGrid w:linePitch="360"/>
        </w:sectPr>
      </w:pPr>
    </w:p>
    <w:p w14:paraId="6241372B" w14:textId="77777777" w:rsidR="00AC5AD9" w:rsidRPr="00DC5E86" w:rsidRDefault="00AC5AD9" w:rsidP="00EF5414">
      <w:pPr>
        <w:spacing w:after="120"/>
        <w:contextualSpacing/>
        <w:rPr>
          <w:rFonts w:ascii="Times New Roman" w:hAnsi="Times New Roman"/>
          <w:b/>
          <w:bCs/>
          <w:i/>
          <w:color w:val="000000" w:themeColor="text1"/>
          <w:sz w:val="24"/>
          <w:szCs w:val="24"/>
          <w:u w:val="single"/>
        </w:rPr>
      </w:pPr>
      <w:r w:rsidRPr="00DC5E86">
        <w:rPr>
          <w:rFonts w:ascii="Times New Roman" w:hAnsi="Times New Roman"/>
          <w:b/>
          <w:bCs/>
          <w:color w:val="000000" w:themeColor="text1"/>
          <w:sz w:val="24"/>
          <w:szCs w:val="24"/>
          <w:u w:val="single"/>
        </w:rPr>
        <w:lastRenderedPageBreak/>
        <w:t xml:space="preserve">Details of the </w:t>
      </w:r>
      <w:r w:rsidRPr="00DC5E86">
        <w:rPr>
          <w:rFonts w:ascii="Times New Roman" w:hAnsi="Times New Roman"/>
          <w:b/>
          <w:bCs/>
          <w:i/>
          <w:color w:val="000000" w:themeColor="text1"/>
          <w:sz w:val="24"/>
          <w:szCs w:val="24"/>
          <w:u w:val="single"/>
        </w:rPr>
        <w:t xml:space="preserve">Financial Framework (Supplementary Powers) Amendment </w:t>
      </w:r>
      <w:r w:rsidRPr="00DC5E86">
        <w:rPr>
          <w:rFonts w:ascii="Times New Roman" w:hAnsi="Times New Roman"/>
          <w:b/>
          <w:bCs/>
          <w:i/>
          <w:color w:val="000000" w:themeColor="text1"/>
          <w:sz w:val="24"/>
          <w:szCs w:val="24"/>
          <w:u w:val="single"/>
        </w:rPr>
        <w:br/>
        <w:t>(</w:t>
      </w:r>
      <w:r w:rsidR="00293C06">
        <w:rPr>
          <w:rFonts w:ascii="Times New Roman" w:hAnsi="Times New Roman"/>
          <w:b/>
          <w:bCs/>
          <w:i/>
          <w:color w:val="000000" w:themeColor="text1"/>
          <w:sz w:val="24"/>
          <w:szCs w:val="24"/>
          <w:u w:val="single"/>
        </w:rPr>
        <w:t>Industry, Science, Energy and Resources</w:t>
      </w:r>
      <w:r w:rsidRPr="00DC5E86">
        <w:rPr>
          <w:rFonts w:ascii="Times New Roman" w:hAnsi="Times New Roman"/>
          <w:b/>
          <w:bCs/>
          <w:i/>
          <w:color w:val="000000" w:themeColor="text1"/>
          <w:sz w:val="24"/>
          <w:szCs w:val="24"/>
          <w:u w:val="single"/>
        </w:rPr>
        <w:t xml:space="preserve"> Measures </w:t>
      </w:r>
      <w:r w:rsidR="00603DE4" w:rsidRPr="00DC5E86">
        <w:rPr>
          <w:rFonts w:ascii="Times New Roman" w:hAnsi="Times New Roman"/>
          <w:b/>
          <w:bCs/>
          <w:i/>
          <w:color w:val="000000" w:themeColor="text1"/>
          <w:sz w:val="24"/>
          <w:szCs w:val="24"/>
          <w:u w:val="single"/>
        </w:rPr>
        <w:t xml:space="preserve">No. </w:t>
      </w:r>
      <w:r w:rsidR="00293C06">
        <w:rPr>
          <w:rFonts w:ascii="Times New Roman" w:hAnsi="Times New Roman"/>
          <w:b/>
          <w:bCs/>
          <w:i/>
          <w:color w:val="000000" w:themeColor="text1"/>
          <w:sz w:val="24"/>
          <w:szCs w:val="24"/>
          <w:u w:val="single"/>
        </w:rPr>
        <w:t>2</w:t>
      </w:r>
      <w:r w:rsidRPr="00DC5E86">
        <w:rPr>
          <w:rFonts w:ascii="Times New Roman" w:hAnsi="Times New Roman"/>
          <w:b/>
          <w:bCs/>
          <w:i/>
          <w:color w:val="000000" w:themeColor="text1"/>
          <w:sz w:val="24"/>
          <w:szCs w:val="24"/>
          <w:u w:val="single"/>
        </w:rPr>
        <w:t>) Regulations 2020</w:t>
      </w:r>
    </w:p>
    <w:p w14:paraId="7AEE6361" w14:textId="77777777" w:rsidR="00AC5AD9" w:rsidRPr="00DC5E86" w:rsidRDefault="00AC5AD9" w:rsidP="00EF5414">
      <w:pPr>
        <w:spacing w:after="120"/>
        <w:contextualSpacing/>
        <w:rPr>
          <w:rFonts w:ascii="Times New Roman" w:hAnsi="Times New Roman"/>
          <w:color w:val="000000" w:themeColor="text1"/>
          <w:sz w:val="24"/>
          <w:szCs w:val="24"/>
          <w:u w:val="single"/>
        </w:rPr>
      </w:pPr>
    </w:p>
    <w:p w14:paraId="26677C9F"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Section 1 – Name </w:t>
      </w:r>
    </w:p>
    <w:p w14:paraId="6B24A751" w14:textId="77777777" w:rsidR="00AC5AD9" w:rsidRPr="00DC5E86" w:rsidRDefault="00AC5AD9" w:rsidP="00EF5414">
      <w:pPr>
        <w:spacing w:after="120"/>
        <w:contextualSpacing/>
        <w:rPr>
          <w:rFonts w:ascii="Times New Roman" w:hAnsi="Times New Roman"/>
          <w:color w:val="000000" w:themeColor="text1"/>
          <w:sz w:val="24"/>
          <w:szCs w:val="24"/>
        </w:rPr>
      </w:pPr>
    </w:p>
    <w:p w14:paraId="7833BA2B"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title of the Regulations </w:t>
      </w:r>
      <w:r w:rsidRPr="00DC5E86">
        <w:rPr>
          <w:rFonts w:ascii="Times New Roman" w:hAnsi="Times New Roman"/>
          <w:sz w:val="24"/>
          <w:szCs w:val="24"/>
        </w:rPr>
        <w:t>is</w:t>
      </w:r>
      <w:r w:rsidRPr="00DC5E86">
        <w:rPr>
          <w:rFonts w:ascii="Times New Roman" w:hAnsi="Times New Roman"/>
          <w:color w:val="000000" w:themeColor="text1"/>
          <w:sz w:val="24"/>
          <w:szCs w:val="24"/>
        </w:rPr>
        <w:t xml:space="preserve"> the </w:t>
      </w:r>
      <w:r w:rsidRPr="00DC5E86">
        <w:rPr>
          <w:rFonts w:ascii="Times New Roman" w:hAnsi="Times New Roman"/>
          <w:bCs/>
          <w:i/>
          <w:sz w:val="24"/>
          <w:szCs w:val="24"/>
        </w:rPr>
        <w:t>Financial Framework (Supplementary Powers) Amendment (</w:t>
      </w:r>
      <w:r w:rsidR="00293C06">
        <w:rPr>
          <w:rFonts w:ascii="Times New Roman" w:hAnsi="Times New Roman"/>
          <w:bCs/>
          <w:i/>
          <w:sz w:val="24"/>
          <w:szCs w:val="24"/>
        </w:rPr>
        <w:t>Industry, Science, Energy and Resources</w:t>
      </w:r>
      <w:r w:rsidRPr="00DC5E86">
        <w:rPr>
          <w:rFonts w:ascii="Times New Roman" w:hAnsi="Times New Roman"/>
          <w:bCs/>
          <w:i/>
          <w:sz w:val="24"/>
          <w:szCs w:val="24"/>
        </w:rPr>
        <w:t xml:space="preserve"> Measures</w:t>
      </w:r>
      <w:r w:rsidR="00293C06">
        <w:rPr>
          <w:rFonts w:ascii="Times New Roman" w:hAnsi="Times New Roman"/>
          <w:bCs/>
          <w:i/>
          <w:sz w:val="24"/>
          <w:szCs w:val="24"/>
        </w:rPr>
        <w:t> </w:t>
      </w:r>
      <w:r w:rsidR="00603DE4" w:rsidRPr="00DC5E86">
        <w:rPr>
          <w:rFonts w:ascii="Times New Roman" w:hAnsi="Times New Roman"/>
          <w:bCs/>
          <w:i/>
          <w:sz w:val="24"/>
          <w:szCs w:val="24"/>
        </w:rPr>
        <w:t xml:space="preserve">No. </w:t>
      </w:r>
      <w:r w:rsidR="00293C06">
        <w:rPr>
          <w:rFonts w:ascii="Times New Roman" w:hAnsi="Times New Roman"/>
          <w:bCs/>
          <w:i/>
          <w:sz w:val="24"/>
          <w:szCs w:val="24"/>
        </w:rPr>
        <w:t>2</w:t>
      </w:r>
      <w:r w:rsidRPr="00DC5E86">
        <w:rPr>
          <w:rFonts w:ascii="Times New Roman" w:hAnsi="Times New Roman"/>
          <w:bCs/>
          <w:i/>
          <w:sz w:val="24"/>
          <w:szCs w:val="24"/>
        </w:rPr>
        <w:t>) Regulations 2020</w:t>
      </w:r>
      <w:r w:rsidRPr="00DC5E86">
        <w:rPr>
          <w:rFonts w:ascii="Times New Roman" w:hAnsi="Times New Roman"/>
          <w:bCs/>
          <w:sz w:val="24"/>
          <w:szCs w:val="24"/>
        </w:rPr>
        <w:t>.</w:t>
      </w:r>
    </w:p>
    <w:p w14:paraId="737A0B9D" w14:textId="77777777" w:rsidR="00AC5AD9" w:rsidRPr="00DC5E86" w:rsidRDefault="00AC5AD9" w:rsidP="00EF5414">
      <w:pPr>
        <w:spacing w:after="120"/>
        <w:contextualSpacing/>
        <w:rPr>
          <w:rFonts w:ascii="Times New Roman" w:hAnsi="Times New Roman"/>
          <w:color w:val="000000" w:themeColor="text1"/>
          <w:sz w:val="24"/>
          <w:szCs w:val="24"/>
        </w:rPr>
      </w:pPr>
    </w:p>
    <w:p w14:paraId="2C1C79F3"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Section 2 – Commencement </w:t>
      </w:r>
    </w:p>
    <w:p w14:paraId="5B7F391D" w14:textId="77777777" w:rsidR="00AC5AD9" w:rsidRPr="00DC5E86" w:rsidRDefault="00AC5AD9" w:rsidP="00EF5414">
      <w:pPr>
        <w:spacing w:after="120"/>
        <w:contextualSpacing/>
        <w:rPr>
          <w:rFonts w:ascii="Times New Roman" w:hAnsi="Times New Roman"/>
          <w:color w:val="000000" w:themeColor="text1"/>
          <w:sz w:val="24"/>
          <w:szCs w:val="24"/>
        </w:rPr>
      </w:pPr>
    </w:p>
    <w:p w14:paraId="3ABF0592"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4D458B6E" w14:textId="77777777" w:rsidR="00AC5AD9" w:rsidRPr="00DC5E86" w:rsidRDefault="00AC5AD9" w:rsidP="00EF5414">
      <w:pPr>
        <w:spacing w:after="120"/>
        <w:contextualSpacing/>
        <w:rPr>
          <w:rFonts w:ascii="Times New Roman" w:hAnsi="Times New Roman"/>
          <w:color w:val="000000" w:themeColor="text1"/>
          <w:sz w:val="24"/>
          <w:szCs w:val="24"/>
        </w:rPr>
      </w:pPr>
    </w:p>
    <w:p w14:paraId="0002C931" w14:textId="77777777" w:rsidR="00AC5AD9" w:rsidRPr="00DC5E86" w:rsidRDefault="00AC5AD9" w:rsidP="00EF5414">
      <w:pPr>
        <w:spacing w:after="120"/>
        <w:contextualSpacing/>
        <w:rPr>
          <w:rFonts w:ascii="Times New Roman" w:hAnsi="Times New Roman"/>
          <w:b/>
          <w:i/>
          <w:color w:val="000000" w:themeColor="text1"/>
          <w:sz w:val="24"/>
          <w:szCs w:val="24"/>
        </w:rPr>
      </w:pPr>
      <w:r w:rsidRPr="00DC5E86">
        <w:rPr>
          <w:rFonts w:ascii="Times New Roman" w:hAnsi="Times New Roman"/>
          <w:b/>
          <w:color w:val="000000" w:themeColor="text1"/>
          <w:sz w:val="24"/>
          <w:szCs w:val="24"/>
        </w:rPr>
        <w:t>Section 3 – Authority</w:t>
      </w:r>
      <w:r w:rsidRPr="00DC5E86">
        <w:rPr>
          <w:rFonts w:ascii="Times New Roman" w:hAnsi="Times New Roman"/>
          <w:b/>
          <w:i/>
          <w:color w:val="000000" w:themeColor="text1"/>
          <w:sz w:val="24"/>
          <w:szCs w:val="24"/>
        </w:rPr>
        <w:t xml:space="preserve"> </w:t>
      </w:r>
    </w:p>
    <w:p w14:paraId="05ED0232" w14:textId="77777777" w:rsidR="00AC5AD9" w:rsidRPr="00DC5E86" w:rsidRDefault="00AC5AD9" w:rsidP="00EF5414">
      <w:pPr>
        <w:spacing w:after="120"/>
        <w:contextualSpacing/>
        <w:rPr>
          <w:rFonts w:ascii="Times New Roman" w:hAnsi="Times New Roman"/>
          <w:color w:val="000000" w:themeColor="text1"/>
          <w:sz w:val="24"/>
          <w:szCs w:val="24"/>
        </w:rPr>
      </w:pPr>
    </w:p>
    <w:p w14:paraId="7079DDC7"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Regulations are made under the </w:t>
      </w:r>
      <w:r w:rsidRPr="00DC5E86">
        <w:rPr>
          <w:rFonts w:ascii="Times New Roman" w:hAnsi="Times New Roman"/>
          <w:i/>
          <w:color w:val="000000" w:themeColor="text1"/>
          <w:sz w:val="24"/>
          <w:szCs w:val="24"/>
        </w:rPr>
        <w:t xml:space="preserve">Financial </w:t>
      </w:r>
      <w:r w:rsidRPr="00DC5E86">
        <w:rPr>
          <w:rFonts w:ascii="Times New Roman" w:hAnsi="Times New Roman"/>
          <w:bCs/>
          <w:i/>
          <w:sz w:val="24"/>
          <w:szCs w:val="24"/>
        </w:rPr>
        <w:t xml:space="preserve">Framework (Supplementary Powers) </w:t>
      </w:r>
      <w:r w:rsidRPr="00DC5E86">
        <w:rPr>
          <w:rFonts w:ascii="Times New Roman" w:hAnsi="Times New Roman"/>
          <w:i/>
          <w:color w:val="000000" w:themeColor="text1"/>
          <w:sz w:val="24"/>
          <w:szCs w:val="24"/>
        </w:rPr>
        <w:t>Act 1997</w:t>
      </w:r>
      <w:r w:rsidRPr="00DC5E86">
        <w:rPr>
          <w:rFonts w:ascii="Times New Roman" w:hAnsi="Times New Roman"/>
          <w:color w:val="000000" w:themeColor="text1"/>
          <w:sz w:val="24"/>
          <w:szCs w:val="24"/>
        </w:rPr>
        <w:t>.</w:t>
      </w:r>
    </w:p>
    <w:p w14:paraId="0E3E0A03" w14:textId="77777777" w:rsidR="00AC5AD9" w:rsidRPr="00DC5E86" w:rsidRDefault="00AC5AD9" w:rsidP="00EF5414">
      <w:pPr>
        <w:spacing w:after="120"/>
        <w:contextualSpacing/>
        <w:rPr>
          <w:rFonts w:ascii="Times New Roman" w:hAnsi="Times New Roman"/>
          <w:color w:val="000000" w:themeColor="text1"/>
          <w:sz w:val="24"/>
          <w:szCs w:val="24"/>
        </w:rPr>
      </w:pPr>
    </w:p>
    <w:p w14:paraId="7D12D30D" w14:textId="77777777" w:rsidR="00AC5AD9" w:rsidRPr="00DC5E86" w:rsidRDefault="00AC5AD9" w:rsidP="00EF5414">
      <w:pPr>
        <w:spacing w:after="120"/>
        <w:contextualSpacing/>
        <w:rPr>
          <w:rFonts w:ascii="Times New Roman" w:hAnsi="Times New Roman"/>
          <w:b/>
          <w:i/>
          <w:color w:val="000000" w:themeColor="text1"/>
          <w:sz w:val="24"/>
          <w:szCs w:val="24"/>
        </w:rPr>
      </w:pPr>
      <w:r w:rsidRPr="00DC5E86">
        <w:rPr>
          <w:rFonts w:ascii="Times New Roman" w:hAnsi="Times New Roman"/>
          <w:b/>
          <w:color w:val="000000" w:themeColor="text1"/>
          <w:sz w:val="24"/>
          <w:szCs w:val="24"/>
        </w:rPr>
        <w:t>Section 4 – Schedules</w:t>
      </w:r>
      <w:r w:rsidRPr="00DC5E86">
        <w:rPr>
          <w:rFonts w:ascii="Times New Roman" w:hAnsi="Times New Roman"/>
          <w:b/>
          <w:i/>
          <w:color w:val="000000" w:themeColor="text1"/>
          <w:sz w:val="24"/>
          <w:szCs w:val="24"/>
        </w:rPr>
        <w:t xml:space="preserve"> </w:t>
      </w:r>
    </w:p>
    <w:p w14:paraId="5637A23E" w14:textId="77777777" w:rsidR="00AC5AD9" w:rsidRPr="00DC5E86" w:rsidRDefault="00AC5AD9" w:rsidP="00EF5414">
      <w:pPr>
        <w:spacing w:after="120"/>
        <w:contextualSpacing/>
        <w:rPr>
          <w:rFonts w:ascii="Times New Roman" w:hAnsi="Times New Roman"/>
          <w:color w:val="000000" w:themeColor="text1"/>
          <w:sz w:val="24"/>
          <w:szCs w:val="24"/>
        </w:rPr>
      </w:pPr>
    </w:p>
    <w:p w14:paraId="2F57FC91"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w:t>
      </w:r>
      <w:r w:rsidRPr="00DC5E86">
        <w:rPr>
          <w:rFonts w:ascii="Times New Roman" w:hAnsi="Times New Roman"/>
          <w:i/>
          <w:color w:val="000000" w:themeColor="text1"/>
          <w:sz w:val="24"/>
          <w:szCs w:val="24"/>
        </w:rPr>
        <w:t xml:space="preserve">Financial </w:t>
      </w:r>
      <w:r w:rsidRPr="00DC5E86">
        <w:rPr>
          <w:rFonts w:ascii="Times New Roman" w:hAnsi="Times New Roman"/>
          <w:bCs/>
          <w:i/>
          <w:sz w:val="24"/>
          <w:szCs w:val="24"/>
        </w:rPr>
        <w:t xml:space="preserve">Framework (Supplementary Powers) </w:t>
      </w:r>
      <w:r w:rsidRPr="00DC5E86">
        <w:rPr>
          <w:rFonts w:ascii="Times New Roman" w:hAnsi="Times New Roman"/>
          <w:i/>
          <w:color w:val="000000" w:themeColor="text1"/>
          <w:sz w:val="24"/>
          <w:szCs w:val="24"/>
        </w:rPr>
        <w:t>Regulations 1997</w:t>
      </w:r>
      <w:r w:rsidRPr="00DC5E86">
        <w:rPr>
          <w:rFonts w:ascii="Times New Roman" w:hAnsi="Times New Roman"/>
          <w:color w:val="000000" w:themeColor="text1"/>
          <w:sz w:val="24"/>
          <w:szCs w:val="24"/>
        </w:rPr>
        <w:t xml:space="preserve"> are amended as set out in the Schedule to the Regulations. </w:t>
      </w:r>
    </w:p>
    <w:p w14:paraId="5D810A8F" w14:textId="77777777" w:rsidR="00AC5AD9" w:rsidRPr="00DC5E86" w:rsidRDefault="00AC5AD9" w:rsidP="00EF5414">
      <w:pPr>
        <w:spacing w:after="120"/>
        <w:contextualSpacing/>
        <w:rPr>
          <w:rFonts w:ascii="Times New Roman" w:hAnsi="Times New Roman"/>
          <w:color w:val="000000" w:themeColor="text1"/>
          <w:sz w:val="24"/>
          <w:szCs w:val="24"/>
        </w:rPr>
      </w:pPr>
    </w:p>
    <w:p w14:paraId="3A7EFF85"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Schedule 1 – Amendments</w:t>
      </w:r>
    </w:p>
    <w:p w14:paraId="351D568D" w14:textId="77777777" w:rsidR="00AC5AD9" w:rsidRPr="00DC5E86" w:rsidRDefault="00AC5AD9" w:rsidP="00EF5414">
      <w:pPr>
        <w:rPr>
          <w:rFonts w:ascii="Times New Roman" w:hAnsi="Times New Roman"/>
          <w:color w:val="000000" w:themeColor="text1"/>
          <w:sz w:val="24"/>
          <w:szCs w:val="24"/>
        </w:rPr>
      </w:pPr>
    </w:p>
    <w:p w14:paraId="418E32C5" w14:textId="77777777" w:rsidR="00BA6F0D" w:rsidRPr="00DC5E86" w:rsidRDefault="00BA6F0D" w:rsidP="00EF5414">
      <w:pPr>
        <w:tabs>
          <w:tab w:val="left" w:pos="936"/>
        </w:tabs>
        <w:rPr>
          <w:rFonts w:ascii="Times New Roman" w:hAnsi="Times New Roman"/>
          <w:b/>
          <w:i/>
          <w:color w:val="000000" w:themeColor="text1"/>
          <w:sz w:val="24"/>
          <w:szCs w:val="24"/>
        </w:rPr>
      </w:pPr>
      <w:r w:rsidRPr="00DC5E86">
        <w:rPr>
          <w:rFonts w:ascii="Times New Roman" w:hAnsi="Times New Roman"/>
          <w:b/>
          <w:i/>
          <w:color w:val="000000" w:themeColor="text1"/>
          <w:sz w:val="24"/>
          <w:szCs w:val="24"/>
        </w:rPr>
        <w:t>Financial Framework (Supplementary Powers) Regulations 1997</w:t>
      </w:r>
    </w:p>
    <w:p w14:paraId="073E775A" w14:textId="77777777" w:rsidR="00BA6F0D" w:rsidRPr="00DC5E86" w:rsidRDefault="00BA6F0D" w:rsidP="00EF5414">
      <w:pPr>
        <w:tabs>
          <w:tab w:val="left" w:pos="936"/>
        </w:tabs>
        <w:rPr>
          <w:rFonts w:ascii="Times New Roman" w:hAnsi="Times New Roman"/>
          <w:b/>
          <w:color w:val="000000" w:themeColor="text1"/>
          <w:sz w:val="24"/>
          <w:szCs w:val="24"/>
        </w:rPr>
      </w:pPr>
    </w:p>
    <w:p w14:paraId="02756BA0" w14:textId="77777777" w:rsidR="00F95BFF" w:rsidRPr="00DC5E86" w:rsidRDefault="00F95BFF" w:rsidP="00EF5414">
      <w:pPr>
        <w:tabs>
          <w:tab w:val="left" w:pos="936"/>
        </w:tabs>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Item </w:t>
      </w:r>
      <w:r w:rsidR="00293C06">
        <w:rPr>
          <w:rFonts w:ascii="Times New Roman" w:hAnsi="Times New Roman"/>
          <w:b/>
          <w:color w:val="000000" w:themeColor="text1"/>
          <w:sz w:val="24"/>
          <w:szCs w:val="24"/>
        </w:rPr>
        <w:t>1</w:t>
      </w:r>
      <w:r w:rsidRPr="00DC5E86">
        <w:rPr>
          <w:rFonts w:ascii="Times New Roman" w:hAnsi="Times New Roman"/>
          <w:b/>
          <w:color w:val="000000" w:themeColor="text1"/>
          <w:sz w:val="24"/>
          <w:szCs w:val="24"/>
        </w:rPr>
        <w:t xml:space="preserve"> – In the appropriate position in Part 4 of Schedule 1AB (table)</w:t>
      </w:r>
    </w:p>
    <w:p w14:paraId="6DAE87E1" w14:textId="77777777" w:rsidR="00F95BFF" w:rsidRPr="00DC5E86" w:rsidRDefault="00F95BFF" w:rsidP="00EF5414">
      <w:pPr>
        <w:tabs>
          <w:tab w:val="left" w:pos="936"/>
        </w:tabs>
        <w:rPr>
          <w:rFonts w:ascii="Times New Roman" w:hAnsi="Times New Roman"/>
          <w:color w:val="000000" w:themeColor="text1"/>
          <w:sz w:val="24"/>
          <w:szCs w:val="24"/>
        </w:rPr>
      </w:pPr>
    </w:p>
    <w:p w14:paraId="5B9FA9C4" w14:textId="77777777" w:rsidR="00F95BFF" w:rsidRPr="00DC5E86" w:rsidRDefault="00F95BFF" w:rsidP="00EF5414">
      <w:pPr>
        <w:tabs>
          <w:tab w:val="left" w:pos="936"/>
        </w:tabs>
        <w:rPr>
          <w:rFonts w:ascii="Times New Roman" w:hAnsi="Times New Roman"/>
          <w:color w:val="000000" w:themeColor="text1"/>
          <w:sz w:val="24"/>
          <w:szCs w:val="24"/>
          <w:u w:val="single"/>
        </w:rPr>
      </w:pPr>
      <w:r w:rsidRPr="00DC5E86">
        <w:rPr>
          <w:rFonts w:ascii="Times New Roman" w:hAnsi="Times New Roman"/>
          <w:color w:val="000000" w:themeColor="text1"/>
          <w:sz w:val="24"/>
          <w:szCs w:val="24"/>
        </w:rPr>
        <w:t xml:space="preserve">This item adds </w:t>
      </w:r>
      <w:r w:rsidR="00293C06">
        <w:rPr>
          <w:rFonts w:ascii="Times New Roman" w:hAnsi="Times New Roman"/>
          <w:color w:val="000000" w:themeColor="text1"/>
          <w:sz w:val="24"/>
          <w:szCs w:val="24"/>
        </w:rPr>
        <w:t>four</w:t>
      </w:r>
      <w:r w:rsidR="009B2392" w:rsidRPr="00DC5E86">
        <w:rPr>
          <w:rFonts w:ascii="Times New Roman" w:hAnsi="Times New Roman"/>
          <w:color w:val="000000" w:themeColor="text1"/>
          <w:sz w:val="24"/>
          <w:szCs w:val="24"/>
        </w:rPr>
        <w:t xml:space="preserve"> new table item</w:t>
      </w:r>
      <w:r w:rsidR="00293C06">
        <w:rPr>
          <w:rFonts w:ascii="Times New Roman" w:hAnsi="Times New Roman"/>
          <w:color w:val="000000" w:themeColor="text1"/>
          <w:sz w:val="24"/>
          <w:szCs w:val="24"/>
        </w:rPr>
        <w:t>s</w:t>
      </w:r>
      <w:r w:rsidR="009B2392" w:rsidRPr="00DC5E86">
        <w:rPr>
          <w:rFonts w:ascii="Times New Roman" w:hAnsi="Times New Roman"/>
          <w:color w:val="000000" w:themeColor="text1"/>
          <w:sz w:val="24"/>
          <w:szCs w:val="24"/>
        </w:rPr>
        <w:t xml:space="preserve"> </w:t>
      </w:r>
      <w:r w:rsidRPr="00DC5E86">
        <w:rPr>
          <w:rFonts w:ascii="Times New Roman" w:hAnsi="Times New Roman"/>
          <w:color w:val="000000" w:themeColor="text1"/>
          <w:sz w:val="24"/>
          <w:szCs w:val="24"/>
        </w:rPr>
        <w:t xml:space="preserve">to Part 4 of Schedule 1AB to establish legislative authority for government spending on </w:t>
      </w:r>
      <w:r w:rsidR="00293C06" w:rsidRPr="00DC5E86">
        <w:rPr>
          <w:rFonts w:ascii="Times New Roman" w:hAnsi="Times New Roman"/>
          <w:sz w:val="24"/>
          <w:szCs w:val="24"/>
        </w:rPr>
        <w:t xml:space="preserve">certain activities that will be administered by the Department of </w:t>
      </w:r>
      <w:r w:rsidR="00293C06">
        <w:rPr>
          <w:rFonts w:ascii="Times New Roman" w:hAnsi="Times New Roman"/>
          <w:sz w:val="24"/>
          <w:szCs w:val="24"/>
        </w:rPr>
        <w:t>Industry, Science, Energy and Resources</w:t>
      </w:r>
      <w:r w:rsidR="00293C06" w:rsidRPr="00DC5E86">
        <w:rPr>
          <w:rFonts w:ascii="Times New Roman" w:hAnsi="Times New Roman"/>
          <w:color w:val="000000" w:themeColor="text1"/>
          <w:sz w:val="24"/>
          <w:szCs w:val="24"/>
        </w:rPr>
        <w:t xml:space="preserve"> </w:t>
      </w:r>
      <w:r w:rsidR="00293C06">
        <w:rPr>
          <w:rFonts w:ascii="Times New Roman" w:hAnsi="Times New Roman"/>
          <w:color w:val="000000" w:themeColor="text1"/>
          <w:sz w:val="24"/>
          <w:szCs w:val="24"/>
        </w:rPr>
        <w:t>(</w:t>
      </w:r>
      <w:r w:rsidR="002F4AEB" w:rsidRPr="00DC5E86">
        <w:rPr>
          <w:rFonts w:ascii="Times New Roman" w:hAnsi="Times New Roman"/>
          <w:color w:val="000000" w:themeColor="text1"/>
          <w:sz w:val="24"/>
          <w:szCs w:val="24"/>
        </w:rPr>
        <w:t xml:space="preserve">the </w:t>
      </w:r>
      <w:r w:rsidRPr="00DC5E86">
        <w:rPr>
          <w:rFonts w:ascii="Times New Roman" w:hAnsi="Times New Roman"/>
          <w:color w:val="000000" w:themeColor="text1"/>
          <w:sz w:val="24"/>
          <w:szCs w:val="24"/>
        </w:rPr>
        <w:t>department</w:t>
      </w:r>
      <w:r w:rsidR="00293C06">
        <w:rPr>
          <w:rFonts w:ascii="Times New Roman" w:hAnsi="Times New Roman"/>
          <w:color w:val="000000" w:themeColor="text1"/>
          <w:sz w:val="24"/>
          <w:szCs w:val="24"/>
        </w:rPr>
        <w:t>)</w:t>
      </w:r>
      <w:r w:rsidRPr="00DC5E86">
        <w:rPr>
          <w:rFonts w:ascii="Times New Roman" w:hAnsi="Times New Roman"/>
          <w:color w:val="000000" w:themeColor="text1"/>
          <w:sz w:val="24"/>
          <w:szCs w:val="24"/>
        </w:rPr>
        <w:t>.</w:t>
      </w:r>
    </w:p>
    <w:p w14:paraId="1740ABAF" w14:textId="77777777" w:rsidR="00F95BFF" w:rsidRPr="00DC5E86" w:rsidRDefault="00F95BFF" w:rsidP="00EF5414">
      <w:pPr>
        <w:rPr>
          <w:rFonts w:ascii="Times New Roman" w:hAnsi="Times New Roman"/>
          <w:sz w:val="24"/>
          <w:szCs w:val="24"/>
        </w:rPr>
      </w:pPr>
    </w:p>
    <w:p w14:paraId="27070622" w14:textId="7FC2DF34" w:rsidR="00293C06" w:rsidRDefault="002F4AEB" w:rsidP="000115EE">
      <w:pPr>
        <w:rPr>
          <w:rFonts w:ascii="Times New Roman" w:hAnsi="Times New Roman"/>
          <w:iCs/>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table item</w:t>
      </w:r>
      <w:r w:rsidR="00C53C75">
        <w:rPr>
          <w:rFonts w:ascii="Times New Roman" w:hAnsi="Times New Roman"/>
          <w:b/>
          <w:iCs/>
          <w:sz w:val="24"/>
          <w:szCs w:val="24"/>
        </w:rPr>
        <w:t xml:space="preserve"> 450</w:t>
      </w:r>
      <w:r w:rsidRPr="00DC5E86">
        <w:rPr>
          <w:rFonts w:ascii="Times New Roman" w:hAnsi="Times New Roman"/>
          <w:iCs/>
          <w:sz w:val="24"/>
          <w:szCs w:val="24"/>
        </w:rPr>
        <w:t xml:space="preserve"> establishes legislative authority for government spending on </w:t>
      </w:r>
      <w:r w:rsidR="000115EE" w:rsidRPr="00DC5E86">
        <w:rPr>
          <w:rFonts w:ascii="Times New Roman" w:hAnsi="Times New Roman"/>
          <w:iCs/>
          <w:sz w:val="24"/>
          <w:szCs w:val="24"/>
        </w:rPr>
        <w:t xml:space="preserve">the </w:t>
      </w:r>
      <w:r w:rsidR="00293C06">
        <w:rPr>
          <w:rFonts w:ascii="Times New Roman" w:hAnsi="Times New Roman"/>
          <w:iCs/>
          <w:sz w:val="24"/>
          <w:szCs w:val="24"/>
        </w:rPr>
        <w:t>Powering Communities Program (the program).</w:t>
      </w:r>
    </w:p>
    <w:p w14:paraId="53830A9C" w14:textId="77777777" w:rsidR="00293C06" w:rsidRDefault="00293C06" w:rsidP="000115EE">
      <w:pPr>
        <w:rPr>
          <w:rFonts w:ascii="Times New Roman" w:hAnsi="Times New Roman"/>
          <w:iCs/>
          <w:sz w:val="24"/>
          <w:szCs w:val="24"/>
        </w:rPr>
      </w:pPr>
    </w:p>
    <w:p w14:paraId="653AEEB7" w14:textId="77777777" w:rsidR="00320B93" w:rsidRDefault="00320B93" w:rsidP="00293C06">
      <w:pPr>
        <w:rPr>
          <w:rFonts w:ascii="Times New Roman" w:hAnsi="Times New Roman"/>
          <w:iCs/>
          <w:sz w:val="24"/>
          <w:szCs w:val="24"/>
        </w:rPr>
      </w:pPr>
      <w:r>
        <w:rPr>
          <w:rFonts w:ascii="Times New Roman" w:hAnsi="Times New Roman"/>
          <w:iCs/>
          <w:sz w:val="24"/>
          <w:szCs w:val="24"/>
        </w:rPr>
        <w:t xml:space="preserve">The program is part of the Government’s $1.9 billion investment package in future technologies to lower greenhouse gas emissions, which would support jobs, cut costs for households and improve the reliability of Australia’s energy supply. The package was jointly announced by the Prime Minister, the Hon Scott Morrison MP, and the Minister for Energy and Emissions Reduction, the Hon Angus Taylor MP, on 17 September 2020 (media release is available at </w:t>
      </w:r>
      <w:r w:rsidRPr="00320B93">
        <w:rPr>
          <w:rFonts w:ascii="Times New Roman" w:hAnsi="Times New Roman"/>
          <w:iCs/>
          <w:sz w:val="24"/>
          <w:szCs w:val="24"/>
          <w:u w:val="single"/>
        </w:rPr>
        <w:t>https://www.pm.gov.au/media/investment-new-energy-technologies</w:t>
      </w:r>
      <w:r>
        <w:rPr>
          <w:rFonts w:ascii="Times New Roman" w:hAnsi="Times New Roman"/>
          <w:iCs/>
          <w:sz w:val="24"/>
          <w:szCs w:val="24"/>
        </w:rPr>
        <w:t>).</w:t>
      </w:r>
    </w:p>
    <w:p w14:paraId="20E4DFD6" w14:textId="77777777" w:rsidR="00320B93" w:rsidRDefault="00320B93" w:rsidP="00293C06">
      <w:pPr>
        <w:rPr>
          <w:rFonts w:ascii="Times New Roman" w:hAnsi="Times New Roman"/>
          <w:iCs/>
          <w:sz w:val="24"/>
          <w:szCs w:val="24"/>
        </w:rPr>
      </w:pPr>
    </w:p>
    <w:p w14:paraId="076BEA2A" w14:textId="64F82998" w:rsidR="00293C06" w:rsidRPr="00293C06" w:rsidRDefault="00293C06" w:rsidP="00293C06">
      <w:pPr>
        <w:rPr>
          <w:rFonts w:ascii="Times New Roman" w:hAnsi="Times New Roman"/>
          <w:iCs/>
          <w:sz w:val="24"/>
          <w:szCs w:val="24"/>
        </w:rPr>
      </w:pPr>
      <w:r w:rsidRPr="00293C06">
        <w:rPr>
          <w:rFonts w:ascii="Times New Roman" w:hAnsi="Times New Roman"/>
          <w:iCs/>
          <w:sz w:val="24"/>
          <w:szCs w:val="24"/>
        </w:rPr>
        <w:t>The program will provide grant</w:t>
      </w:r>
      <w:r w:rsidR="00511C28">
        <w:rPr>
          <w:rFonts w:ascii="Times New Roman" w:hAnsi="Times New Roman"/>
          <w:iCs/>
          <w:sz w:val="24"/>
          <w:szCs w:val="24"/>
        </w:rPr>
        <w:t xml:space="preserve"> funding </w:t>
      </w:r>
      <w:r w:rsidRPr="00293C06">
        <w:rPr>
          <w:rFonts w:ascii="Times New Roman" w:hAnsi="Times New Roman"/>
          <w:iCs/>
          <w:sz w:val="24"/>
          <w:szCs w:val="24"/>
        </w:rPr>
        <w:t xml:space="preserve">to support not-for-profit community organisations improve their energy efficiency practices and technologies and better manage energy </w:t>
      </w:r>
      <w:r w:rsidR="00A4525E">
        <w:rPr>
          <w:rFonts w:ascii="Times New Roman" w:hAnsi="Times New Roman"/>
          <w:iCs/>
          <w:sz w:val="24"/>
          <w:szCs w:val="24"/>
        </w:rPr>
        <w:t>use</w:t>
      </w:r>
      <w:r w:rsidR="00A4525E" w:rsidRPr="00293C06">
        <w:rPr>
          <w:rFonts w:ascii="Times New Roman" w:hAnsi="Times New Roman"/>
          <w:iCs/>
          <w:sz w:val="24"/>
          <w:szCs w:val="24"/>
        </w:rPr>
        <w:t xml:space="preserve"> </w:t>
      </w:r>
      <w:r w:rsidRPr="00293C06">
        <w:rPr>
          <w:rFonts w:ascii="Times New Roman" w:hAnsi="Times New Roman"/>
          <w:iCs/>
          <w:sz w:val="24"/>
          <w:szCs w:val="24"/>
        </w:rPr>
        <w:t>to adjust to rising energy prices through:</w:t>
      </w:r>
    </w:p>
    <w:p w14:paraId="5203036E" w14:textId="1F608802" w:rsidR="00293C06" w:rsidRPr="00293C06" w:rsidRDefault="00293C06" w:rsidP="00293C06">
      <w:pPr>
        <w:pStyle w:val="ListParagraph"/>
        <w:numPr>
          <w:ilvl w:val="0"/>
          <w:numId w:val="19"/>
        </w:numPr>
        <w:ind w:right="57"/>
        <w:contextualSpacing w:val="0"/>
        <w:rPr>
          <w:rFonts w:cs="Times New Roman"/>
          <w:color w:val="000000"/>
          <w:szCs w:val="24"/>
        </w:rPr>
      </w:pPr>
      <w:r w:rsidRPr="00293C06">
        <w:rPr>
          <w:rFonts w:cs="Times New Roman"/>
          <w:color w:val="000000"/>
          <w:szCs w:val="24"/>
        </w:rPr>
        <w:t xml:space="preserve">upgrading equipment to reduce energy </w:t>
      </w:r>
      <w:r w:rsidR="00A4525E">
        <w:rPr>
          <w:rFonts w:cs="Times New Roman"/>
          <w:color w:val="000000"/>
          <w:szCs w:val="24"/>
        </w:rPr>
        <w:t>use</w:t>
      </w:r>
      <w:r w:rsidRPr="00293C06">
        <w:rPr>
          <w:rFonts w:cs="Times New Roman"/>
          <w:color w:val="000000"/>
          <w:szCs w:val="24"/>
        </w:rPr>
        <w:t>;</w:t>
      </w:r>
    </w:p>
    <w:p w14:paraId="58A77950" w14:textId="77777777" w:rsidR="00293C06" w:rsidRPr="00293C06" w:rsidRDefault="00293C06" w:rsidP="00293C06">
      <w:pPr>
        <w:pStyle w:val="ListParagraph"/>
        <w:numPr>
          <w:ilvl w:val="0"/>
          <w:numId w:val="19"/>
        </w:numPr>
        <w:ind w:right="57"/>
        <w:contextualSpacing w:val="0"/>
        <w:rPr>
          <w:rFonts w:cs="Times New Roman"/>
          <w:color w:val="000000"/>
          <w:szCs w:val="24"/>
        </w:rPr>
      </w:pPr>
      <w:r w:rsidRPr="00293C06">
        <w:rPr>
          <w:rFonts w:cs="Times New Roman"/>
          <w:color w:val="000000"/>
          <w:szCs w:val="24"/>
        </w:rPr>
        <w:t>undertaking energy management activities and assessments, such as energy systems assessments and feasibility studies;</w:t>
      </w:r>
    </w:p>
    <w:p w14:paraId="2BE5D08C" w14:textId="77777777" w:rsidR="00293C06" w:rsidRPr="00293C06" w:rsidRDefault="00293C06" w:rsidP="00293C06">
      <w:pPr>
        <w:pStyle w:val="ListParagraph"/>
        <w:numPr>
          <w:ilvl w:val="0"/>
          <w:numId w:val="19"/>
        </w:numPr>
        <w:ind w:right="57"/>
        <w:contextualSpacing w:val="0"/>
        <w:rPr>
          <w:rFonts w:cs="Times New Roman"/>
          <w:color w:val="000000"/>
          <w:szCs w:val="24"/>
        </w:rPr>
      </w:pPr>
      <w:r w:rsidRPr="00293C06">
        <w:rPr>
          <w:rFonts w:cs="Times New Roman"/>
          <w:color w:val="000000"/>
          <w:szCs w:val="24"/>
        </w:rPr>
        <w:lastRenderedPageBreak/>
        <w:t>investing in energy monitoring and management systems; and</w:t>
      </w:r>
    </w:p>
    <w:p w14:paraId="2A7E6693" w14:textId="77777777" w:rsidR="00293C06" w:rsidRPr="00293C06" w:rsidRDefault="00293C06" w:rsidP="00293C06">
      <w:pPr>
        <w:pStyle w:val="ListParagraph"/>
        <w:numPr>
          <w:ilvl w:val="0"/>
          <w:numId w:val="19"/>
        </w:numPr>
        <w:ind w:right="57"/>
        <w:contextualSpacing w:val="0"/>
        <w:rPr>
          <w:rFonts w:cs="Times New Roman"/>
          <w:color w:val="000000"/>
          <w:szCs w:val="24"/>
        </w:rPr>
      </w:pPr>
      <w:r w:rsidRPr="00293C06">
        <w:rPr>
          <w:rFonts w:cs="Times New Roman"/>
          <w:color w:val="000000"/>
          <w:szCs w:val="24"/>
        </w:rPr>
        <w:t>investing in on-site renewable energy and solar-connected batteries.</w:t>
      </w:r>
    </w:p>
    <w:p w14:paraId="4E31D577" w14:textId="77777777" w:rsidR="00293C06" w:rsidRPr="004E07B5" w:rsidRDefault="00293C06" w:rsidP="00293C06">
      <w:pPr>
        <w:pStyle w:val="ListParagraph"/>
        <w:spacing w:before="120"/>
        <w:ind w:left="567"/>
        <w:rPr>
          <w:rFonts w:cs="Times New Roman"/>
        </w:rPr>
      </w:pPr>
    </w:p>
    <w:p w14:paraId="68D71BAE" w14:textId="77777777" w:rsidR="00293C06" w:rsidRPr="0076245A" w:rsidRDefault="00293C06" w:rsidP="0076245A">
      <w:pPr>
        <w:rPr>
          <w:rFonts w:ascii="Times New Roman" w:hAnsi="Times New Roman"/>
          <w:iCs/>
          <w:sz w:val="24"/>
          <w:szCs w:val="24"/>
        </w:rPr>
      </w:pPr>
      <w:r w:rsidRPr="0076245A">
        <w:rPr>
          <w:rFonts w:ascii="Times New Roman" w:hAnsi="Times New Roman"/>
          <w:iCs/>
          <w:sz w:val="24"/>
          <w:szCs w:val="24"/>
        </w:rPr>
        <w:t>Grants w</w:t>
      </w:r>
      <w:r w:rsidR="0076245A">
        <w:rPr>
          <w:rFonts w:ascii="Times New Roman" w:hAnsi="Times New Roman"/>
          <w:iCs/>
          <w:sz w:val="24"/>
          <w:szCs w:val="24"/>
        </w:rPr>
        <w:t>ill</w:t>
      </w:r>
      <w:r w:rsidRPr="0076245A">
        <w:rPr>
          <w:rFonts w:ascii="Times New Roman" w:hAnsi="Times New Roman"/>
          <w:iCs/>
          <w:sz w:val="24"/>
          <w:szCs w:val="24"/>
        </w:rPr>
        <w:t xml:space="preserve"> be available in each federal electorate to support activities such as:</w:t>
      </w:r>
    </w:p>
    <w:p w14:paraId="1F4DE02B" w14:textId="2952332B" w:rsidR="00293C06" w:rsidRPr="0076245A" w:rsidRDefault="00293C06" w:rsidP="0076245A">
      <w:pPr>
        <w:pStyle w:val="ListParagraph"/>
        <w:numPr>
          <w:ilvl w:val="0"/>
          <w:numId w:val="19"/>
        </w:numPr>
        <w:ind w:right="57"/>
        <w:contextualSpacing w:val="0"/>
        <w:rPr>
          <w:rFonts w:cs="Times New Roman"/>
          <w:color w:val="000000"/>
          <w:szCs w:val="24"/>
        </w:rPr>
      </w:pPr>
      <w:r w:rsidRPr="0076245A">
        <w:rPr>
          <w:rFonts w:cs="Times New Roman"/>
          <w:color w:val="000000"/>
          <w:szCs w:val="24"/>
        </w:rPr>
        <w:t xml:space="preserve">equipment upgrades that reduce energy </w:t>
      </w:r>
      <w:r w:rsidR="00A4525E">
        <w:rPr>
          <w:rFonts w:cs="Times New Roman"/>
          <w:color w:val="000000"/>
          <w:szCs w:val="24"/>
        </w:rPr>
        <w:t>use</w:t>
      </w:r>
      <w:r w:rsidRPr="0076245A">
        <w:rPr>
          <w:rFonts w:cs="Times New Roman"/>
          <w:color w:val="000000"/>
          <w:szCs w:val="24"/>
        </w:rPr>
        <w:t>;</w:t>
      </w:r>
    </w:p>
    <w:p w14:paraId="099D9210" w14:textId="77777777" w:rsidR="00293C06" w:rsidRPr="0076245A" w:rsidRDefault="00293C06" w:rsidP="0076245A">
      <w:pPr>
        <w:pStyle w:val="ListParagraph"/>
        <w:numPr>
          <w:ilvl w:val="0"/>
          <w:numId w:val="19"/>
        </w:numPr>
        <w:ind w:right="57"/>
        <w:contextualSpacing w:val="0"/>
        <w:rPr>
          <w:rFonts w:cs="Times New Roman"/>
          <w:color w:val="000000"/>
          <w:szCs w:val="24"/>
        </w:rPr>
      </w:pPr>
      <w:r w:rsidRPr="0076245A">
        <w:rPr>
          <w:rFonts w:cs="Times New Roman"/>
          <w:color w:val="000000"/>
          <w:szCs w:val="24"/>
        </w:rPr>
        <w:t>energy generation projects such as installing solar panels or battery storage;</w:t>
      </w:r>
    </w:p>
    <w:p w14:paraId="7CF92B61" w14:textId="77777777" w:rsidR="00293C06" w:rsidRPr="0076245A" w:rsidRDefault="00293C06" w:rsidP="0076245A">
      <w:pPr>
        <w:pStyle w:val="ListParagraph"/>
        <w:numPr>
          <w:ilvl w:val="0"/>
          <w:numId w:val="19"/>
        </w:numPr>
        <w:ind w:right="57"/>
        <w:contextualSpacing w:val="0"/>
        <w:rPr>
          <w:rFonts w:cs="Times New Roman"/>
          <w:color w:val="000000"/>
          <w:szCs w:val="24"/>
        </w:rPr>
      </w:pPr>
      <w:r w:rsidRPr="0076245A">
        <w:rPr>
          <w:rFonts w:cs="Times New Roman"/>
          <w:color w:val="000000"/>
          <w:szCs w:val="24"/>
        </w:rPr>
        <w:t xml:space="preserve">investment in </w:t>
      </w:r>
      <w:r w:rsidR="0040439F" w:rsidRPr="00DC2827">
        <w:rPr>
          <w:rFonts w:cs="Times New Roman"/>
          <w:color w:val="000000"/>
          <w:szCs w:val="24"/>
        </w:rPr>
        <w:t>energy monitoring and</w:t>
      </w:r>
      <w:r w:rsidR="0040439F">
        <w:rPr>
          <w:rFonts w:cs="Times New Roman"/>
          <w:color w:val="000000"/>
          <w:szCs w:val="24"/>
        </w:rPr>
        <w:t xml:space="preserve"> </w:t>
      </w:r>
      <w:r w:rsidRPr="0076245A">
        <w:rPr>
          <w:rFonts w:cs="Times New Roman"/>
          <w:color w:val="000000"/>
          <w:szCs w:val="24"/>
        </w:rPr>
        <w:t>management systems to better manage energy use;</w:t>
      </w:r>
    </w:p>
    <w:p w14:paraId="7E021196" w14:textId="77777777" w:rsidR="00293C06" w:rsidRPr="0076245A" w:rsidRDefault="00293C06" w:rsidP="0076245A">
      <w:pPr>
        <w:pStyle w:val="ListParagraph"/>
        <w:numPr>
          <w:ilvl w:val="0"/>
          <w:numId w:val="19"/>
        </w:numPr>
        <w:ind w:right="57"/>
        <w:contextualSpacing w:val="0"/>
        <w:rPr>
          <w:rFonts w:cs="Times New Roman"/>
          <w:color w:val="000000"/>
          <w:szCs w:val="24"/>
        </w:rPr>
      </w:pPr>
      <w:r w:rsidRPr="0076245A">
        <w:rPr>
          <w:rFonts w:cs="Times New Roman"/>
          <w:color w:val="000000"/>
          <w:szCs w:val="24"/>
        </w:rPr>
        <w:t xml:space="preserve">completion of energy systems assessments according to </w:t>
      </w:r>
      <w:r w:rsidR="002015E5">
        <w:rPr>
          <w:rFonts w:cs="Times New Roman"/>
          <w:color w:val="000000"/>
          <w:szCs w:val="24"/>
        </w:rPr>
        <w:t>relevant</w:t>
      </w:r>
      <w:r w:rsidR="002015E5" w:rsidRPr="0076245A">
        <w:rPr>
          <w:rFonts w:cs="Times New Roman"/>
          <w:color w:val="000000"/>
          <w:szCs w:val="24"/>
        </w:rPr>
        <w:t xml:space="preserve"> </w:t>
      </w:r>
      <w:r w:rsidRPr="0076245A">
        <w:rPr>
          <w:rFonts w:cs="Times New Roman"/>
          <w:color w:val="000000"/>
          <w:szCs w:val="24"/>
        </w:rPr>
        <w:t xml:space="preserve">Australian </w:t>
      </w:r>
      <w:r w:rsidR="002015E5">
        <w:rPr>
          <w:rFonts w:cs="Times New Roman"/>
          <w:color w:val="000000"/>
          <w:szCs w:val="24"/>
        </w:rPr>
        <w:t>s</w:t>
      </w:r>
      <w:r w:rsidR="002015E5" w:rsidRPr="0076245A">
        <w:rPr>
          <w:rFonts w:cs="Times New Roman"/>
          <w:color w:val="000000"/>
          <w:szCs w:val="24"/>
        </w:rPr>
        <w:t>tandard</w:t>
      </w:r>
      <w:r w:rsidR="002015E5">
        <w:rPr>
          <w:rFonts w:cs="Times New Roman"/>
          <w:color w:val="000000"/>
          <w:szCs w:val="24"/>
        </w:rPr>
        <w:t>s</w:t>
      </w:r>
      <w:r w:rsidRPr="0076245A">
        <w:rPr>
          <w:rFonts w:cs="Times New Roman"/>
          <w:color w:val="000000"/>
          <w:szCs w:val="24"/>
        </w:rPr>
        <w:t>; and</w:t>
      </w:r>
    </w:p>
    <w:p w14:paraId="30699051" w14:textId="77777777" w:rsidR="00293C06" w:rsidRPr="0076245A" w:rsidRDefault="00293C06" w:rsidP="0076245A">
      <w:pPr>
        <w:pStyle w:val="ListParagraph"/>
        <w:numPr>
          <w:ilvl w:val="0"/>
          <w:numId w:val="19"/>
        </w:numPr>
        <w:ind w:right="57"/>
        <w:contextualSpacing w:val="0"/>
        <w:rPr>
          <w:rFonts w:cs="Times New Roman"/>
          <w:color w:val="000000"/>
          <w:szCs w:val="24"/>
        </w:rPr>
      </w:pPr>
      <w:r w:rsidRPr="0076245A">
        <w:rPr>
          <w:rFonts w:cs="Times New Roman"/>
          <w:color w:val="000000"/>
          <w:szCs w:val="24"/>
        </w:rPr>
        <w:t>feasibility studies to investigate energy efficiency opportunities.</w:t>
      </w:r>
    </w:p>
    <w:p w14:paraId="5CD251C2" w14:textId="77777777" w:rsidR="00293C06" w:rsidRDefault="00293C06" w:rsidP="00293C06">
      <w:pPr>
        <w:pStyle w:val="ListParagraph"/>
        <w:spacing w:before="120"/>
        <w:ind w:left="567"/>
        <w:rPr>
          <w:rFonts w:cs="Times New Roman"/>
        </w:rPr>
      </w:pPr>
    </w:p>
    <w:p w14:paraId="0B97739E" w14:textId="77777777" w:rsidR="00293C06" w:rsidRPr="0040439F" w:rsidRDefault="0040439F" w:rsidP="0040439F">
      <w:pPr>
        <w:rPr>
          <w:rFonts w:ascii="Times New Roman" w:hAnsi="Times New Roman"/>
          <w:iCs/>
          <w:sz w:val="24"/>
          <w:szCs w:val="24"/>
        </w:rPr>
      </w:pPr>
      <w:r>
        <w:rPr>
          <w:rFonts w:ascii="Times New Roman" w:hAnsi="Times New Roman"/>
          <w:iCs/>
          <w:sz w:val="24"/>
          <w:szCs w:val="24"/>
        </w:rPr>
        <w:t>A</w:t>
      </w:r>
      <w:r w:rsidR="00293C06" w:rsidRPr="0040439F">
        <w:rPr>
          <w:rFonts w:ascii="Times New Roman" w:hAnsi="Times New Roman"/>
          <w:iCs/>
          <w:sz w:val="24"/>
          <w:szCs w:val="24"/>
        </w:rPr>
        <w:t>ctivities and equipment</w:t>
      </w:r>
      <w:r>
        <w:rPr>
          <w:rFonts w:ascii="Times New Roman" w:hAnsi="Times New Roman"/>
          <w:iCs/>
          <w:sz w:val="24"/>
          <w:szCs w:val="24"/>
        </w:rPr>
        <w:t xml:space="preserve">, which will be supported through grant funding, </w:t>
      </w:r>
      <w:r w:rsidR="00293C06" w:rsidRPr="0040439F">
        <w:rPr>
          <w:rFonts w:ascii="Times New Roman" w:hAnsi="Times New Roman"/>
          <w:iCs/>
          <w:sz w:val="24"/>
          <w:szCs w:val="24"/>
        </w:rPr>
        <w:t xml:space="preserve">will </w:t>
      </w:r>
      <w:r>
        <w:rPr>
          <w:rFonts w:ascii="Times New Roman" w:hAnsi="Times New Roman"/>
          <w:iCs/>
          <w:sz w:val="24"/>
          <w:szCs w:val="24"/>
        </w:rPr>
        <w:t>be</w:t>
      </w:r>
      <w:r w:rsidR="00293C06" w:rsidRPr="0040439F">
        <w:rPr>
          <w:rFonts w:ascii="Times New Roman" w:hAnsi="Times New Roman"/>
          <w:iCs/>
          <w:sz w:val="24"/>
          <w:szCs w:val="24"/>
        </w:rPr>
        <w:t xml:space="preserve"> those that:</w:t>
      </w:r>
    </w:p>
    <w:p w14:paraId="4C3B3CB4" w14:textId="77777777" w:rsidR="00293C06" w:rsidRPr="0040439F" w:rsidRDefault="00293C06" w:rsidP="001356C6">
      <w:pPr>
        <w:pStyle w:val="ListParagraph"/>
        <w:numPr>
          <w:ilvl w:val="0"/>
          <w:numId w:val="19"/>
        </w:numPr>
        <w:ind w:right="57"/>
        <w:contextualSpacing w:val="0"/>
        <w:rPr>
          <w:rFonts w:cs="Times New Roman"/>
          <w:color w:val="000000"/>
          <w:szCs w:val="24"/>
        </w:rPr>
      </w:pPr>
      <w:r w:rsidRPr="0040439F">
        <w:rPr>
          <w:rFonts w:cs="Times New Roman"/>
          <w:color w:val="000000"/>
          <w:szCs w:val="24"/>
        </w:rPr>
        <w:t xml:space="preserve">have a high probability of resulting in energy </w:t>
      </w:r>
      <w:r w:rsidR="0040439F" w:rsidRPr="0040439F">
        <w:rPr>
          <w:rFonts w:cs="Times New Roman"/>
          <w:color w:val="000000"/>
          <w:szCs w:val="24"/>
        </w:rPr>
        <w:t>bill savings in most situations</w:t>
      </w:r>
      <w:r w:rsidR="0036449D">
        <w:rPr>
          <w:rFonts w:cs="Times New Roman"/>
          <w:color w:val="000000"/>
          <w:szCs w:val="24"/>
        </w:rPr>
        <w:t>,</w:t>
      </w:r>
      <w:r w:rsidRPr="0040439F">
        <w:rPr>
          <w:rFonts w:cs="Times New Roman"/>
          <w:color w:val="000000"/>
          <w:szCs w:val="24"/>
        </w:rPr>
        <w:t xml:space="preserve"> or</w:t>
      </w:r>
      <w:r w:rsidR="0040439F" w:rsidRPr="0040439F">
        <w:rPr>
          <w:rFonts w:cs="Times New Roman"/>
          <w:color w:val="000000"/>
          <w:szCs w:val="24"/>
        </w:rPr>
        <w:t xml:space="preserve"> </w:t>
      </w:r>
      <w:r w:rsidRPr="0040439F">
        <w:rPr>
          <w:rFonts w:cs="Times New Roman"/>
          <w:color w:val="000000"/>
          <w:szCs w:val="24"/>
        </w:rPr>
        <w:t xml:space="preserve">relate to medium </w:t>
      </w:r>
      <w:r w:rsidR="0036449D">
        <w:rPr>
          <w:rFonts w:cs="Times New Roman"/>
          <w:color w:val="000000"/>
          <w:szCs w:val="24"/>
        </w:rPr>
        <w:t>to</w:t>
      </w:r>
      <w:r w:rsidRPr="0040439F">
        <w:rPr>
          <w:rFonts w:cs="Times New Roman"/>
          <w:color w:val="000000"/>
          <w:szCs w:val="24"/>
        </w:rPr>
        <w:t xml:space="preserve"> high energy use functions for community groups; and </w:t>
      </w:r>
    </w:p>
    <w:p w14:paraId="1794AA19" w14:textId="77777777" w:rsidR="00293C06" w:rsidRPr="0040439F" w:rsidRDefault="00293C06" w:rsidP="0040439F">
      <w:pPr>
        <w:pStyle w:val="ListParagraph"/>
        <w:numPr>
          <w:ilvl w:val="0"/>
          <w:numId w:val="19"/>
        </w:numPr>
        <w:ind w:right="57"/>
        <w:contextualSpacing w:val="0"/>
        <w:rPr>
          <w:rFonts w:cs="Times New Roman"/>
          <w:color w:val="000000"/>
          <w:szCs w:val="24"/>
        </w:rPr>
      </w:pPr>
      <w:r w:rsidRPr="0040439F">
        <w:rPr>
          <w:rFonts w:cs="Times New Roman"/>
          <w:color w:val="000000"/>
          <w:szCs w:val="24"/>
        </w:rPr>
        <w:t>are directly related to the work of the community organisation or the building that the community organisation occupies, with the permission of the building owner.</w:t>
      </w:r>
    </w:p>
    <w:p w14:paraId="3D4E395B" w14:textId="77777777" w:rsidR="00293C06" w:rsidRPr="004E07B5" w:rsidRDefault="00293C06" w:rsidP="00293C06">
      <w:pPr>
        <w:pStyle w:val="ListParagraph"/>
        <w:spacing w:before="120"/>
        <w:ind w:left="993"/>
        <w:rPr>
          <w:rFonts w:eastAsia="Calibri" w:cs="Times New Roman"/>
        </w:rPr>
      </w:pPr>
    </w:p>
    <w:p w14:paraId="7CFB1B57" w14:textId="77777777" w:rsidR="00DC6252" w:rsidRDefault="0036449D" w:rsidP="00DC6252">
      <w:pPr>
        <w:rPr>
          <w:rFonts w:ascii="Times New Roman" w:hAnsi="Times New Roman"/>
          <w:iCs/>
          <w:sz w:val="24"/>
          <w:szCs w:val="24"/>
        </w:rPr>
      </w:pPr>
      <w:r>
        <w:rPr>
          <w:rFonts w:ascii="Times New Roman" w:hAnsi="Times New Roman"/>
          <w:iCs/>
          <w:sz w:val="24"/>
          <w:szCs w:val="24"/>
        </w:rPr>
        <w:t>Grant f</w:t>
      </w:r>
      <w:r w:rsidR="00293C06" w:rsidRPr="0036449D">
        <w:rPr>
          <w:rFonts w:ascii="Times New Roman" w:hAnsi="Times New Roman"/>
          <w:iCs/>
          <w:sz w:val="24"/>
          <w:szCs w:val="24"/>
        </w:rPr>
        <w:t xml:space="preserve">unding of $10.2 million </w:t>
      </w:r>
      <w:r>
        <w:rPr>
          <w:rFonts w:ascii="Times New Roman" w:hAnsi="Times New Roman"/>
          <w:iCs/>
          <w:sz w:val="24"/>
          <w:szCs w:val="24"/>
        </w:rPr>
        <w:t xml:space="preserve">in </w:t>
      </w:r>
      <w:r w:rsidR="007654BA">
        <w:rPr>
          <w:rFonts w:ascii="Times New Roman" w:hAnsi="Times New Roman"/>
          <w:iCs/>
          <w:sz w:val="24"/>
          <w:szCs w:val="24"/>
        </w:rPr>
        <w:t>2021</w:t>
      </w:r>
      <w:r>
        <w:rPr>
          <w:rFonts w:ascii="Times New Roman" w:hAnsi="Times New Roman"/>
          <w:iCs/>
          <w:sz w:val="24"/>
          <w:szCs w:val="24"/>
        </w:rPr>
        <w:t>-</w:t>
      </w:r>
      <w:r w:rsidR="007654BA">
        <w:rPr>
          <w:rFonts w:ascii="Times New Roman" w:hAnsi="Times New Roman"/>
          <w:iCs/>
          <w:sz w:val="24"/>
          <w:szCs w:val="24"/>
        </w:rPr>
        <w:t xml:space="preserve">22 </w:t>
      </w:r>
      <w:r w:rsidR="00293C06" w:rsidRPr="0036449D">
        <w:rPr>
          <w:rFonts w:ascii="Times New Roman" w:hAnsi="Times New Roman"/>
          <w:iCs/>
          <w:sz w:val="24"/>
          <w:szCs w:val="24"/>
        </w:rPr>
        <w:t xml:space="preserve">will be offered under a closed non-competitive grant opportunity. </w:t>
      </w:r>
      <w:r w:rsidR="0079736E">
        <w:rPr>
          <w:rFonts w:ascii="Times New Roman" w:hAnsi="Times New Roman"/>
          <w:iCs/>
          <w:sz w:val="24"/>
          <w:szCs w:val="24"/>
        </w:rPr>
        <w:t>An equal amount of funding</w:t>
      </w:r>
      <w:r w:rsidR="00DC2827">
        <w:rPr>
          <w:rFonts w:ascii="Times New Roman" w:hAnsi="Times New Roman"/>
          <w:iCs/>
          <w:sz w:val="24"/>
          <w:szCs w:val="24"/>
        </w:rPr>
        <w:t xml:space="preserve"> </w:t>
      </w:r>
      <w:r w:rsidR="00293C06" w:rsidRPr="0036449D">
        <w:rPr>
          <w:rFonts w:ascii="Times New Roman" w:hAnsi="Times New Roman"/>
          <w:iCs/>
          <w:sz w:val="24"/>
          <w:szCs w:val="24"/>
        </w:rPr>
        <w:t>will be available in every federal electorate, from which a maximum number of 12 grants</w:t>
      </w:r>
      <w:r>
        <w:rPr>
          <w:rFonts w:ascii="Times New Roman" w:hAnsi="Times New Roman"/>
          <w:iCs/>
          <w:sz w:val="24"/>
          <w:szCs w:val="24"/>
        </w:rPr>
        <w:t xml:space="preserve"> (</w:t>
      </w:r>
      <w:r w:rsidR="0079736E">
        <w:rPr>
          <w:rFonts w:ascii="Times New Roman" w:hAnsi="Times New Roman"/>
          <w:iCs/>
          <w:sz w:val="24"/>
          <w:szCs w:val="24"/>
        </w:rPr>
        <w:t xml:space="preserve">of </w:t>
      </w:r>
      <w:r>
        <w:rPr>
          <w:rFonts w:ascii="Times New Roman" w:hAnsi="Times New Roman"/>
          <w:iCs/>
          <w:sz w:val="24"/>
          <w:szCs w:val="24"/>
        </w:rPr>
        <w:t xml:space="preserve">between </w:t>
      </w:r>
      <w:r w:rsidR="00293C06" w:rsidRPr="0036449D">
        <w:rPr>
          <w:rFonts w:ascii="Times New Roman" w:hAnsi="Times New Roman"/>
          <w:iCs/>
          <w:sz w:val="24"/>
          <w:szCs w:val="24"/>
        </w:rPr>
        <w:t>$5,000</w:t>
      </w:r>
      <w:r>
        <w:rPr>
          <w:rFonts w:ascii="Times New Roman" w:hAnsi="Times New Roman"/>
          <w:iCs/>
          <w:sz w:val="24"/>
          <w:szCs w:val="24"/>
        </w:rPr>
        <w:t xml:space="preserve"> to $12,000)</w:t>
      </w:r>
      <w:r w:rsidR="00293C06" w:rsidRPr="0036449D">
        <w:rPr>
          <w:rFonts w:ascii="Times New Roman" w:hAnsi="Times New Roman"/>
          <w:iCs/>
          <w:sz w:val="24"/>
          <w:szCs w:val="24"/>
        </w:rPr>
        <w:t xml:space="preserve"> can be awarded, with no co</w:t>
      </w:r>
      <w:r>
        <w:rPr>
          <w:rFonts w:ascii="Times New Roman" w:hAnsi="Times New Roman"/>
          <w:iCs/>
          <w:sz w:val="24"/>
          <w:szCs w:val="24"/>
        </w:rPr>
        <w:noBreakHyphen/>
      </w:r>
      <w:r w:rsidR="00293C06" w:rsidRPr="0036449D">
        <w:rPr>
          <w:rFonts w:ascii="Times New Roman" w:hAnsi="Times New Roman"/>
          <w:iCs/>
          <w:sz w:val="24"/>
          <w:szCs w:val="24"/>
        </w:rPr>
        <w:t>contributions required.</w:t>
      </w:r>
      <w:r w:rsidR="00DC2827">
        <w:rPr>
          <w:rFonts w:ascii="Times New Roman" w:hAnsi="Times New Roman"/>
          <w:iCs/>
          <w:sz w:val="24"/>
          <w:szCs w:val="24"/>
        </w:rPr>
        <w:t xml:space="preserve"> </w:t>
      </w:r>
      <w:r w:rsidR="00293C06" w:rsidRPr="0036449D">
        <w:rPr>
          <w:rFonts w:ascii="Times New Roman" w:hAnsi="Times New Roman"/>
          <w:iCs/>
          <w:sz w:val="24"/>
          <w:szCs w:val="24"/>
        </w:rPr>
        <w:t xml:space="preserve">Members of Parliament will </w:t>
      </w:r>
      <w:r w:rsidR="0079736E">
        <w:rPr>
          <w:rFonts w:ascii="Times New Roman" w:hAnsi="Times New Roman"/>
          <w:iCs/>
          <w:sz w:val="24"/>
          <w:szCs w:val="24"/>
        </w:rPr>
        <w:t xml:space="preserve">be strongly encouraged to consult their community to </w:t>
      </w:r>
      <w:r w:rsidR="00293C06" w:rsidRPr="0036449D">
        <w:rPr>
          <w:rFonts w:ascii="Times New Roman" w:hAnsi="Times New Roman"/>
          <w:iCs/>
          <w:sz w:val="24"/>
          <w:szCs w:val="24"/>
        </w:rPr>
        <w:t xml:space="preserve">identify </w:t>
      </w:r>
      <w:r w:rsidR="0079736E">
        <w:rPr>
          <w:rFonts w:ascii="Times New Roman" w:hAnsi="Times New Roman"/>
          <w:iCs/>
          <w:sz w:val="24"/>
          <w:szCs w:val="24"/>
        </w:rPr>
        <w:t>and nominate</w:t>
      </w:r>
      <w:r w:rsidR="00DC2827">
        <w:rPr>
          <w:rFonts w:ascii="Times New Roman" w:hAnsi="Times New Roman"/>
          <w:iCs/>
          <w:sz w:val="24"/>
          <w:szCs w:val="24"/>
        </w:rPr>
        <w:t xml:space="preserve"> </w:t>
      </w:r>
      <w:r w:rsidR="00293C06" w:rsidRPr="0036449D">
        <w:rPr>
          <w:rFonts w:ascii="Times New Roman" w:hAnsi="Times New Roman"/>
          <w:iCs/>
          <w:sz w:val="24"/>
          <w:szCs w:val="24"/>
        </w:rPr>
        <w:t>projects in their electorate</w:t>
      </w:r>
      <w:r w:rsidR="00DC6252">
        <w:rPr>
          <w:rFonts w:ascii="Times New Roman" w:hAnsi="Times New Roman"/>
          <w:iCs/>
          <w:sz w:val="24"/>
          <w:szCs w:val="24"/>
        </w:rPr>
        <w:t>s</w:t>
      </w:r>
      <w:r w:rsidR="00293C06" w:rsidRPr="0036449D">
        <w:rPr>
          <w:rFonts w:ascii="Times New Roman" w:hAnsi="Times New Roman"/>
          <w:iCs/>
          <w:sz w:val="24"/>
          <w:szCs w:val="24"/>
        </w:rPr>
        <w:t xml:space="preserve"> that support the objectives of the program and are consistent with the </w:t>
      </w:r>
      <w:r w:rsidR="00DC6252">
        <w:rPr>
          <w:rFonts w:ascii="Times New Roman" w:hAnsi="Times New Roman"/>
          <w:iCs/>
          <w:sz w:val="24"/>
          <w:szCs w:val="24"/>
        </w:rPr>
        <w:t xml:space="preserve">eligibility </w:t>
      </w:r>
      <w:r w:rsidR="00293C06" w:rsidRPr="0036449D">
        <w:rPr>
          <w:rFonts w:ascii="Times New Roman" w:hAnsi="Times New Roman"/>
          <w:iCs/>
          <w:sz w:val="24"/>
          <w:szCs w:val="24"/>
        </w:rPr>
        <w:t xml:space="preserve">criteria for applicants and projects </w:t>
      </w:r>
      <w:r w:rsidR="00DC6252">
        <w:rPr>
          <w:rFonts w:ascii="Times New Roman" w:hAnsi="Times New Roman"/>
          <w:iCs/>
          <w:sz w:val="24"/>
          <w:szCs w:val="24"/>
        </w:rPr>
        <w:t xml:space="preserve">as </w:t>
      </w:r>
      <w:r w:rsidR="00293C06" w:rsidRPr="0036449D">
        <w:rPr>
          <w:rFonts w:ascii="Times New Roman" w:hAnsi="Times New Roman"/>
          <w:iCs/>
          <w:sz w:val="24"/>
          <w:szCs w:val="24"/>
        </w:rPr>
        <w:t xml:space="preserve">set out in the </w:t>
      </w:r>
      <w:r w:rsidR="00DC6252">
        <w:rPr>
          <w:rFonts w:ascii="Times New Roman" w:hAnsi="Times New Roman"/>
          <w:iCs/>
          <w:sz w:val="24"/>
          <w:szCs w:val="24"/>
        </w:rPr>
        <w:t xml:space="preserve">grant opportunity </w:t>
      </w:r>
      <w:r w:rsidR="00293C06" w:rsidRPr="0036449D">
        <w:rPr>
          <w:rFonts w:ascii="Times New Roman" w:hAnsi="Times New Roman"/>
          <w:iCs/>
          <w:sz w:val="24"/>
          <w:szCs w:val="24"/>
        </w:rPr>
        <w:t xml:space="preserve">guidelines which will be </w:t>
      </w:r>
      <w:r w:rsidR="00DC6252">
        <w:rPr>
          <w:rFonts w:ascii="Times New Roman" w:hAnsi="Times New Roman"/>
          <w:iCs/>
          <w:sz w:val="24"/>
          <w:szCs w:val="24"/>
        </w:rPr>
        <w:t xml:space="preserve">made </w:t>
      </w:r>
      <w:r w:rsidR="00293C06" w:rsidRPr="0036449D">
        <w:rPr>
          <w:rFonts w:ascii="Times New Roman" w:hAnsi="Times New Roman"/>
          <w:iCs/>
          <w:sz w:val="24"/>
          <w:szCs w:val="24"/>
        </w:rPr>
        <w:t xml:space="preserve">publicly available. These </w:t>
      </w:r>
      <w:r w:rsidR="0079736E">
        <w:rPr>
          <w:rFonts w:ascii="Times New Roman" w:hAnsi="Times New Roman"/>
          <w:iCs/>
          <w:sz w:val="24"/>
          <w:szCs w:val="24"/>
        </w:rPr>
        <w:t xml:space="preserve">project proponents </w:t>
      </w:r>
      <w:r w:rsidR="00293C06" w:rsidRPr="0036449D">
        <w:rPr>
          <w:rFonts w:ascii="Times New Roman" w:hAnsi="Times New Roman"/>
          <w:iCs/>
          <w:sz w:val="24"/>
          <w:szCs w:val="24"/>
        </w:rPr>
        <w:t xml:space="preserve">will be invited </w:t>
      </w:r>
      <w:r w:rsidR="00DC6252">
        <w:rPr>
          <w:rFonts w:ascii="Times New Roman" w:hAnsi="Times New Roman"/>
          <w:iCs/>
          <w:sz w:val="24"/>
          <w:szCs w:val="24"/>
        </w:rPr>
        <w:t>to submit a grant</w:t>
      </w:r>
      <w:r w:rsidR="00293C06" w:rsidRPr="0036449D">
        <w:rPr>
          <w:rFonts w:ascii="Times New Roman" w:hAnsi="Times New Roman"/>
          <w:iCs/>
          <w:sz w:val="24"/>
          <w:szCs w:val="24"/>
        </w:rPr>
        <w:t xml:space="preserve"> application to AusIndustry</w:t>
      </w:r>
      <w:r w:rsidR="00DC6252">
        <w:rPr>
          <w:rFonts w:ascii="Times New Roman" w:hAnsi="Times New Roman"/>
          <w:iCs/>
          <w:sz w:val="24"/>
          <w:szCs w:val="24"/>
        </w:rPr>
        <w:t>,</w:t>
      </w:r>
      <w:r w:rsidR="00293C06" w:rsidRPr="0036449D">
        <w:rPr>
          <w:rFonts w:ascii="Times New Roman" w:hAnsi="Times New Roman"/>
          <w:iCs/>
          <w:sz w:val="24"/>
          <w:szCs w:val="24"/>
        </w:rPr>
        <w:t xml:space="preserve"> </w:t>
      </w:r>
      <w:r w:rsidR="00DC6252">
        <w:rPr>
          <w:rFonts w:ascii="Times New Roman" w:hAnsi="Times New Roman"/>
          <w:iCs/>
          <w:sz w:val="24"/>
          <w:szCs w:val="24"/>
        </w:rPr>
        <w:t>a division within the d</w:t>
      </w:r>
      <w:r w:rsidR="00293C06" w:rsidRPr="0036449D">
        <w:rPr>
          <w:rFonts w:ascii="Times New Roman" w:hAnsi="Times New Roman"/>
          <w:iCs/>
          <w:sz w:val="24"/>
          <w:szCs w:val="24"/>
        </w:rPr>
        <w:t>epartment</w:t>
      </w:r>
      <w:r w:rsidR="00DC6252">
        <w:rPr>
          <w:rFonts w:ascii="Times New Roman" w:hAnsi="Times New Roman"/>
          <w:iCs/>
          <w:sz w:val="24"/>
          <w:szCs w:val="24"/>
        </w:rPr>
        <w:t xml:space="preserve"> which </w:t>
      </w:r>
      <w:r w:rsidR="00293C06" w:rsidRPr="00DC6252">
        <w:rPr>
          <w:rFonts w:ascii="Times New Roman" w:hAnsi="Times New Roman"/>
          <w:iCs/>
          <w:sz w:val="24"/>
          <w:szCs w:val="24"/>
        </w:rPr>
        <w:t xml:space="preserve">administers the Business Grants Hub. </w:t>
      </w:r>
    </w:p>
    <w:p w14:paraId="4854DD27" w14:textId="77777777" w:rsidR="00DC6252" w:rsidRDefault="00DC6252" w:rsidP="00DC6252">
      <w:pPr>
        <w:rPr>
          <w:rFonts w:ascii="Times New Roman" w:hAnsi="Times New Roman"/>
          <w:iCs/>
          <w:sz w:val="24"/>
          <w:szCs w:val="24"/>
        </w:rPr>
      </w:pPr>
    </w:p>
    <w:p w14:paraId="7AB50771" w14:textId="77777777" w:rsidR="00DC6252" w:rsidRPr="00DC6252" w:rsidRDefault="0079736E" w:rsidP="00DC6252">
      <w:pPr>
        <w:rPr>
          <w:rFonts w:ascii="Times New Roman" w:hAnsi="Times New Roman"/>
          <w:iCs/>
          <w:sz w:val="24"/>
          <w:szCs w:val="24"/>
        </w:rPr>
      </w:pPr>
      <w:r>
        <w:rPr>
          <w:rFonts w:ascii="Times New Roman" w:hAnsi="Times New Roman"/>
          <w:iCs/>
          <w:sz w:val="24"/>
          <w:szCs w:val="24"/>
        </w:rPr>
        <w:t xml:space="preserve">Not-for-profit community organisations eligible for nomination by their local Member of Parliament will include </w:t>
      </w:r>
      <w:r w:rsidR="00DC6252" w:rsidRPr="00DC6252">
        <w:rPr>
          <w:rFonts w:ascii="Times New Roman" w:hAnsi="Times New Roman"/>
          <w:iCs/>
          <w:sz w:val="24"/>
          <w:szCs w:val="24"/>
        </w:rPr>
        <w:t>Men’s Sheds, community owned kindergartens, welfare centres, community centres, women’s associations, community owned childcare centres, community football and netball clubs, Scout or Guide groups, Aboriginal or Torres Strait Islander community groups</w:t>
      </w:r>
      <w:r w:rsidR="00ED0355">
        <w:rPr>
          <w:rFonts w:ascii="Times New Roman" w:hAnsi="Times New Roman"/>
          <w:iCs/>
          <w:sz w:val="24"/>
          <w:szCs w:val="24"/>
        </w:rPr>
        <w:t>,</w:t>
      </w:r>
      <w:r w:rsidR="00DC6252" w:rsidRPr="00DC6252">
        <w:rPr>
          <w:rFonts w:ascii="Times New Roman" w:hAnsi="Times New Roman"/>
          <w:iCs/>
          <w:sz w:val="24"/>
          <w:szCs w:val="24"/>
        </w:rPr>
        <w:t xml:space="preserve"> and surf life</w:t>
      </w:r>
      <w:r w:rsidR="00ED0355">
        <w:rPr>
          <w:rFonts w:ascii="Times New Roman" w:hAnsi="Times New Roman"/>
          <w:iCs/>
          <w:sz w:val="24"/>
          <w:szCs w:val="24"/>
        </w:rPr>
        <w:t xml:space="preserve"> </w:t>
      </w:r>
      <w:r w:rsidR="00DC6252" w:rsidRPr="00DC6252">
        <w:rPr>
          <w:rFonts w:ascii="Times New Roman" w:hAnsi="Times New Roman"/>
          <w:iCs/>
          <w:sz w:val="24"/>
          <w:szCs w:val="24"/>
        </w:rPr>
        <w:t>saving clubs.</w:t>
      </w:r>
    </w:p>
    <w:p w14:paraId="0DEB77EF" w14:textId="77777777" w:rsidR="00DC6252" w:rsidRPr="00ED0355" w:rsidRDefault="00DC6252" w:rsidP="00ED0355">
      <w:pPr>
        <w:rPr>
          <w:rFonts w:ascii="Times New Roman" w:hAnsi="Times New Roman"/>
          <w:iCs/>
          <w:sz w:val="24"/>
          <w:szCs w:val="24"/>
        </w:rPr>
      </w:pPr>
    </w:p>
    <w:p w14:paraId="1D64C54C" w14:textId="77777777" w:rsidR="002B6BED" w:rsidRDefault="00143064" w:rsidP="002B6BED">
      <w:pPr>
        <w:rPr>
          <w:rFonts w:ascii="Times New Roman" w:hAnsi="Times New Roman"/>
          <w:iCs/>
          <w:sz w:val="24"/>
          <w:szCs w:val="24"/>
        </w:rPr>
      </w:pPr>
      <w:r>
        <w:rPr>
          <w:rFonts w:ascii="Times New Roman" w:hAnsi="Times New Roman"/>
          <w:iCs/>
          <w:sz w:val="24"/>
          <w:szCs w:val="24"/>
        </w:rPr>
        <w:t xml:space="preserve">The </w:t>
      </w:r>
      <w:r w:rsidR="00DC2827">
        <w:rPr>
          <w:rFonts w:ascii="Times New Roman" w:hAnsi="Times New Roman"/>
          <w:iCs/>
          <w:sz w:val="24"/>
          <w:szCs w:val="24"/>
        </w:rPr>
        <w:t>d</w:t>
      </w:r>
      <w:r w:rsidR="00C459D1">
        <w:rPr>
          <w:rFonts w:ascii="Times New Roman" w:hAnsi="Times New Roman"/>
          <w:iCs/>
          <w:sz w:val="24"/>
          <w:szCs w:val="24"/>
        </w:rPr>
        <w:t>epartmen</w:t>
      </w:r>
      <w:r w:rsidR="001E4513">
        <w:rPr>
          <w:rFonts w:ascii="Times New Roman" w:hAnsi="Times New Roman"/>
          <w:iCs/>
          <w:sz w:val="24"/>
          <w:szCs w:val="24"/>
        </w:rPr>
        <w:t>t</w:t>
      </w:r>
      <w:r w:rsidR="00C459D1">
        <w:rPr>
          <w:rFonts w:ascii="Times New Roman" w:hAnsi="Times New Roman"/>
          <w:iCs/>
          <w:sz w:val="24"/>
          <w:szCs w:val="24"/>
        </w:rPr>
        <w:t xml:space="preserve"> will manage and have policy responsibility for the program. The Business Grants Hub within the department will deliver the grants</w:t>
      </w:r>
      <w:r w:rsidR="00C463F3">
        <w:rPr>
          <w:rFonts w:ascii="Times New Roman" w:hAnsi="Times New Roman"/>
          <w:iCs/>
          <w:sz w:val="24"/>
          <w:szCs w:val="24"/>
        </w:rPr>
        <w:t xml:space="preserve">, </w:t>
      </w:r>
      <w:r w:rsidR="00320B93">
        <w:rPr>
          <w:rFonts w:ascii="Times New Roman" w:hAnsi="Times New Roman"/>
          <w:iCs/>
          <w:sz w:val="24"/>
          <w:szCs w:val="24"/>
        </w:rPr>
        <w:t>in accordance</w:t>
      </w:r>
      <w:r w:rsidR="00320B93" w:rsidRPr="00DC6252">
        <w:rPr>
          <w:rFonts w:ascii="Times New Roman" w:hAnsi="Times New Roman"/>
          <w:iCs/>
          <w:sz w:val="24"/>
          <w:szCs w:val="24"/>
        </w:rPr>
        <w:t xml:space="preserve"> with the </w:t>
      </w:r>
      <w:r w:rsidR="00320B93" w:rsidRPr="002B6BED">
        <w:rPr>
          <w:rFonts w:ascii="Times New Roman" w:hAnsi="Times New Roman"/>
          <w:i/>
          <w:iCs/>
          <w:sz w:val="24"/>
          <w:szCs w:val="24"/>
        </w:rPr>
        <w:t>Commonwealth Grants Rules and Guidelines 2017</w:t>
      </w:r>
      <w:r w:rsidR="00320B93" w:rsidRPr="00DC6252">
        <w:rPr>
          <w:rFonts w:ascii="Times New Roman" w:hAnsi="Times New Roman"/>
          <w:iCs/>
          <w:sz w:val="24"/>
          <w:szCs w:val="24"/>
        </w:rPr>
        <w:t>.</w:t>
      </w:r>
      <w:r w:rsidR="00320B93">
        <w:rPr>
          <w:rFonts w:ascii="Times New Roman" w:hAnsi="Times New Roman"/>
          <w:iCs/>
          <w:sz w:val="24"/>
          <w:szCs w:val="24"/>
        </w:rPr>
        <w:t xml:space="preserve"> A</w:t>
      </w:r>
      <w:r w:rsidR="00293C06" w:rsidRPr="00DC6252">
        <w:rPr>
          <w:rFonts w:ascii="Times New Roman" w:hAnsi="Times New Roman"/>
          <w:iCs/>
          <w:sz w:val="24"/>
          <w:szCs w:val="24"/>
        </w:rPr>
        <w:t>pplications will be assessed against the program eligibility criteria</w:t>
      </w:r>
      <w:r w:rsidR="00C463F3">
        <w:rPr>
          <w:rFonts w:ascii="Times New Roman" w:hAnsi="Times New Roman"/>
          <w:iCs/>
          <w:sz w:val="24"/>
          <w:szCs w:val="24"/>
        </w:rPr>
        <w:t>. D</w:t>
      </w:r>
      <w:r w:rsidR="002B6BED" w:rsidRPr="002B6BED">
        <w:rPr>
          <w:rFonts w:ascii="Times New Roman" w:hAnsi="Times New Roman"/>
          <w:iCs/>
          <w:sz w:val="24"/>
          <w:szCs w:val="24"/>
        </w:rPr>
        <w:t xml:space="preserve">ecisions about the award of grants </w:t>
      </w:r>
      <w:r w:rsidR="002B6BED">
        <w:rPr>
          <w:rFonts w:ascii="Times New Roman" w:hAnsi="Times New Roman"/>
          <w:iCs/>
          <w:sz w:val="24"/>
          <w:szCs w:val="24"/>
        </w:rPr>
        <w:t>will be made by a</w:t>
      </w:r>
      <w:r w:rsidR="002B6BED" w:rsidRPr="002B6BED">
        <w:rPr>
          <w:rFonts w:ascii="Times New Roman" w:hAnsi="Times New Roman"/>
          <w:iCs/>
          <w:sz w:val="24"/>
          <w:szCs w:val="24"/>
        </w:rPr>
        <w:t xml:space="preserve"> delegate of the Minister for Energy and Emissions Reduction</w:t>
      </w:r>
      <w:r w:rsidR="002B6BED">
        <w:rPr>
          <w:rFonts w:ascii="Times New Roman" w:hAnsi="Times New Roman"/>
          <w:iCs/>
          <w:sz w:val="24"/>
          <w:szCs w:val="24"/>
        </w:rPr>
        <w:t xml:space="preserve">, an official of </w:t>
      </w:r>
      <w:r w:rsidR="00C463F3">
        <w:rPr>
          <w:rFonts w:ascii="Times New Roman" w:hAnsi="Times New Roman"/>
          <w:iCs/>
          <w:sz w:val="24"/>
          <w:szCs w:val="24"/>
        </w:rPr>
        <w:t>the department</w:t>
      </w:r>
      <w:r w:rsidR="002B6BED" w:rsidRPr="002B6BED">
        <w:rPr>
          <w:rFonts w:ascii="Times New Roman" w:hAnsi="Times New Roman"/>
          <w:iCs/>
          <w:sz w:val="24"/>
          <w:szCs w:val="24"/>
        </w:rPr>
        <w:t>.</w:t>
      </w:r>
    </w:p>
    <w:p w14:paraId="3DF1B44D" w14:textId="77777777" w:rsidR="002B6BED" w:rsidRDefault="002B6BED" w:rsidP="002B6BED">
      <w:pPr>
        <w:rPr>
          <w:rFonts w:ascii="Times New Roman" w:hAnsi="Times New Roman"/>
          <w:iCs/>
          <w:sz w:val="24"/>
          <w:szCs w:val="24"/>
        </w:rPr>
      </w:pPr>
    </w:p>
    <w:p w14:paraId="7C9EB095" w14:textId="77777777" w:rsidR="002B6BED" w:rsidRDefault="002B6BED" w:rsidP="002B6BED">
      <w:pPr>
        <w:rPr>
          <w:rFonts w:ascii="Times New Roman" w:hAnsi="Times New Roman"/>
          <w:iCs/>
          <w:sz w:val="24"/>
          <w:szCs w:val="24"/>
        </w:rPr>
      </w:pPr>
      <w:r w:rsidRPr="002B6BED">
        <w:rPr>
          <w:rFonts w:ascii="Times New Roman" w:hAnsi="Times New Roman"/>
          <w:iCs/>
          <w:sz w:val="24"/>
          <w:szCs w:val="24"/>
        </w:rPr>
        <w:t xml:space="preserve">Information about the program and how applicants can assess their eligibility to apply will be available </w:t>
      </w:r>
      <w:r>
        <w:rPr>
          <w:rFonts w:ascii="Times New Roman" w:hAnsi="Times New Roman"/>
          <w:iCs/>
          <w:sz w:val="24"/>
          <w:szCs w:val="24"/>
        </w:rPr>
        <w:t>at</w:t>
      </w:r>
      <w:r w:rsidRPr="002B6BED">
        <w:rPr>
          <w:rFonts w:ascii="Times New Roman" w:hAnsi="Times New Roman"/>
          <w:iCs/>
          <w:sz w:val="24"/>
          <w:szCs w:val="24"/>
        </w:rPr>
        <w:t xml:space="preserve"> </w:t>
      </w:r>
      <w:r w:rsidRPr="002B6BED">
        <w:rPr>
          <w:rFonts w:ascii="Times New Roman" w:hAnsi="Times New Roman"/>
          <w:iCs/>
          <w:sz w:val="24"/>
          <w:szCs w:val="24"/>
          <w:u w:val="single"/>
        </w:rPr>
        <w:t>www.business.gov.au</w:t>
      </w:r>
      <w:r w:rsidRPr="002B6BED">
        <w:rPr>
          <w:rFonts w:ascii="Times New Roman" w:hAnsi="Times New Roman"/>
          <w:iCs/>
          <w:sz w:val="24"/>
          <w:szCs w:val="24"/>
        </w:rPr>
        <w:t xml:space="preserve">, once </w:t>
      </w:r>
      <w:r>
        <w:rPr>
          <w:rFonts w:ascii="Times New Roman" w:hAnsi="Times New Roman"/>
          <w:iCs/>
          <w:sz w:val="24"/>
          <w:szCs w:val="24"/>
        </w:rPr>
        <w:t xml:space="preserve">grant opportunity </w:t>
      </w:r>
      <w:r w:rsidRPr="002B6BED">
        <w:rPr>
          <w:rFonts w:ascii="Times New Roman" w:hAnsi="Times New Roman"/>
          <w:iCs/>
          <w:sz w:val="24"/>
          <w:szCs w:val="24"/>
        </w:rPr>
        <w:t xml:space="preserve">guidelines are published. General information on the program will also be available </w:t>
      </w:r>
      <w:r>
        <w:rPr>
          <w:rFonts w:ascii="Times New Roman" w:hAnsi="Times New Roman"/>
          <w:iCs/>
          <w:sz w:val="24"/>
          <w:szCs w:val="24"/>
        </w:rPr>
        <w:t>at</w:t>
      </w:r>
      <w:r w:rsidRPr="002B6BED">
        <w:rPr>
          <w:rFonts w:ascii="Times New Roman" w:hAnsi="Times New Roman"/>
          <w:iCs/>
          <w:sz w:val="24"/>
          <w:szCs w:val="24"/>
        </w:rPr>
        <w:t xml:space="preserve"> </w:t>
      </w:r>
      <w:r w:rsidRPr="002B6BED">
        <w:rPr>
          <w:rFonts w:ascii="Times New Roman" w:hAnsi="Times New Roman"/>
          <w:iCs/>
          <w:sz w:val="24"/>
          <w:szCs w:val="24"/>
          <w:u w:val="single"/>
        </w:rPr>
        <w:t>www.energy.gov.au</w:t>
      </w:r>
      <w:r w:rsidRPr="002B6BED">
        <w:rPr>
          <w:rFonts w:ascii="Times New Roman" w:hAnsi="Times New Roman"/>
          <w:iCs/>
          <w:sz w:val="24"/>
          <w:szCs w:val="24"/>
        </w:rPr>
        <w:t xml:space="preserve">. Information about the grant opportunity and grants that have been awarded under the program will be published on GrantConnect at </w:t>
      </w:r>
      <w:r w:rsidRPr="002B6BED">
        <w:rPr>
          <w:rFonts w:ascii="Times New Roman" w:hAnsi="Times New Roman"/>
          <w:iCs/>
          <w:sz w:val="24"/>
          <w:szCs w:val="24"/>
          <w:u w:val="single"/>
        </w:rPr>
        <w:t>www.grants.gov.au</w:t>
      </w:r>
      <w:r w:rsidRPr="002B6BED">
        <w:rPr>
          <w:rFonts w:ascii="Times New Roman" w:hAnsi="Times New Roman"/>
          <w:iCs/>
          <w:sz w:val="24"/>
          <w:szCs w:val="24"/>
        </w:rPr>
        <w:t xml:space="preserve">. </w:t>
      </w:r>
    </w:p>
    <w:p w14:paraId="6EE93053" w14:textId="77777777" w:rsidR="002B6BED" w:rsidRDefault="002B6BED" w:rsidP="002B6BED">
      <w:pPr>
        <w:rPr>
          <w:rFonts w:ascii="Times New Roman" w:hAnsi="Times New Roman"/>
          <w:iCs/>
          <w:sz w:val="24"/>
          <w:szCs w:val="24"/>
        </w:rPr>
      </w:pPr>
    </w:p>
    <w:p w14:paraId="02EFC516" w14:textId="77777777" w:rsidR="002B6BED" w:rsidRPr="002B6BED" w:rsidRDefault="002B6BED" w:rsidP="002B6BED">
      <w:pPr>
        <w:rPr>
          <w:rFonts w:ascii="Times New Roman" w:hAnsi="Times New Roman"/>
          <w:iCs/>
          <w:sz w:val="24"/>
          <w:szCs w:val="24"/>
        </w:rPr>
      </w:pPr>
      <w:r>
        <w:rPr>
          <w:rFonts w:ascii="Times New Roman" w:hAnsi="Times New Roman"/>
          <w:iCs/>
          <w:sz w:val="24"/>
          <w:szCs w:val="24"/>
        </w:rPr>
        <w:t xml:space="preserve">Independent merits </w:t>
      </w:r>
      <w:r w:rsidRPr="002B6BED">
        <w:rPr>
          <w:rFonts w:ascii="Times New Roman" w:hAnsi="Times New Roman"/>
          <w:iCs/>
          <w:sz w:val="24"/>
          <w:szCs w:val="24"/>
        </w:rPr>
        <w:t xml:space="preserve">review of </w:t>
      </w:r>
      <w:r>
        <w:rPr>
          <w:rFonts w:ascii="Times New Roman" w:hAnsi="Times New Roman"/>
          <w:iCs/>
          <w:sz w:val="24"/>
          <w:szCs w:val="24"/>
        </w:rPr>
        <w:t>funding decisions made in connection with the</w:t>
      </w:r>
      <w:r w:rsidRPr="002B6BED">
        <w:rPr>
          <w:rFonts w:ascii="Times New Roman" w:hAnsi="Times New Roman"/>
          <w:iCs/>
          <w:sz w:val="24"/>
          <w:szCs w:val="24"/>
        </w:rPr>
        <w:t xml:space="preserve"> program </w:t>
      </w:r>
      <w:r>
        <w:rPr>
          <w:rFonts w:ascii="Times New Roman" w:hAnsi="Times New Roman"/>
          <w:iCs/>
          <w:sz w:val="24"/>
          <w:szCs w:val="24"/>
        </w:rPr>
        <w:t xml:space="preserve">is </w:t>
      </w:r>
      <w:r w:rsidRPr="002B6BED">
        <w:rPr>
          <w:rFonts w:ascii="Times New Roman" w:hAnsi="Times New Roman"/>
          <w:iCs/>
          <w:sz w:val="24"/>
          <w:szCs w:val="24"/>
        </w:rPr>
        <w:t xml:space="preserve">not </w:t>
      </w:r>
      <w:r>
        <w:rPr>
          <w:rFonts w:ascii="Times New Roman" w:hAnsi="Times New Roman"/>
          <w:iCs/>
          <w:sz w:val="24"/>
          <w:szCs w:val="24"/>
        </w:rPr>
        <w:t>considered</w:t>
      </w:r>
      <w:r w:rsidRPr="002B6BED">
        <w:rPr>
          <w:rFonts w:ascii="Times New Roman" w:hAnsi="Times New Roman"/>
          <w:iCs/>
          <w:sz w:val="24"/>
          <w:szCs w:val="24"/>
        </w:rPr>
        <w:t xml:space="preserve"> appropriate because these decisions relate to the allocation of finite resources between competing applicants, and any decision to overturn an allocation that has already been made to a party would be affected by overturning the original decision. The </w:t>
      </w:r>
      <w:r w:rsidRPr="002B6BED">
        <w:rPr>
          <w:rFonts w:ascii="Times New Roman" w:hAnsi="Times New Roman"/>
          <w:iCs/>
          <w:sz w:val="24"/>
          <w:szCs w:val="24"/>
        </w:rPr>
        <w:lastRenderedPageBreak/>
        <w:t xml:space="preserve">Administrative Review Council has recognised that it is justifiable to exclude merits review in relation to decisions of this nature (see paragraphs 4.11 to 4.19 of the guide, </w:t>
      </w:r>
      <w:r w:rsidRPr="002B6BED">
        <w:rPr>
          <w:rFonts w:ascii="Times New Roman" w:hAnsi="Times New Roman"/>
          <w:i/>
          <w:iCs/>
          <w:sz w:val="24"/>
          <w:szCs w:val="24"/>
        </w:rPr>
        <w:t>What decisions should be subject to merit review?</w:t>
      </w:r>
      <w:r w:rsidRPr="002B6BED">
        <w:rPr>
          <w:rFonts w:ascii="Times New Roman" w:hAnsi="Times New Roman"/>
          <w:iCs/>
          <w:sz w:val="24"/>
          <w:szCs w:val="24"/>
        </w:rPr>
        <w:t>).</w:t>
      </w:r>
    </w:p>
    <w:p w14:paraId="436883E1" w14:textId="77777777" w:rsidR="002B6BED" w:rsidRPr="002B6BED" w:rsidRDefault="002B6BED" w:rsidP="002B6BED">
      <w:pPr>
        <w:rPr>
          <w:rFonts w:ascii="Times New Roman" w:hAnsi="Times New Roman"/>
          <w:iCs/>
          <w:sz w:val="24"/>
          <w:szCs w:val="24"/>
        </w:rPr>
      </w:pPr>
    </w:p>
    <w:p w14:paraId="1B9832FF" w14:textId="029E1311" w:rsidR="002B6BED" w:rsidRPr="002B6BED" w:rsidRDefault="002B6BED" w:rsidP="002B6BED">
      <w:pPr>
        <w:rPr>
          <w:rFonts w:ascii="Times New Roman" w:hAnsi="Times New Roman"/>
          <w:iCs/>
          <w:sz w:val="24"/>
          <w:szCs w:val="24"/>
        </w:rPr>
      </w:pPr>
      <w:r w:rsidRPr="002B6BED">
        <w:rPr>
          <w:rFonts w:ascii="Times New Roman" w:hAnsi="Times New Roman"/>
          <w:iCs/>
          <w:sz w:val="24"/>
          <w:szCs w:val="24"/>
        </w:rPr>
        <w:t>In addition, the review and audit process undertaken by the Australian National Audit Office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8E92C77" w14:textId="77777777" w:rsidR="002B6BED" w:rsidRPr="002B6BED" w:rsidRDefault="002B6BED" w:rsidP="002B6BED">
      <w:pPr>
        <w:rPr>
          <w:rFonts w:ascii="Times New Roman" w:hAnsi="Times New Roman"/>
          <w:iCs/>
          <w:sz w:val="24"/>
          <w:szCs w:val="24"/>
        </w:rPr>
      </w:pPr>
    </w:p>
    <w:p w14:paraId="645BA42D" w14:textId="5A3F15DC" w:rsidR="002B6BED" w:rsidRDefault="002B6BED" w:rsidP="002B6BED">
      <w:pPr>
        <w:rPr>
          <w:rFonts w:ascii="Times New Roman" w:hAnsi="Times New Roman"/>
          <w:iCs/>
          <w:sz w:val="24"/>
          <w:szCs w:val="24"/>
        </w:rPr>
      </w:pPr>
      <w:r w:rsidRPr="002B6BED">
        <w:rPr>
          <w:rFonts w:ascii="Times New Roman" w:hAnsi="Times New Roman"/>
          <w:iCs/>
          <w:sz w:val="24"/>
          <w:szCs w:val="24"/>
        </w:rPr>
        <w:t xml:space="preserve">Further, the right of review under section 75(v) of the Constitution and review under section 39B of the </w:t>
      </w:r>
      <w:r w:rsidRPr="00BC5604">
        <w:rPr>
          <w:rFonts w:ascii="Times New Roman" w:hAnsi="Times New Roman"/>
          <w:i/>
          <w:iCs/>
          <w:sz w:val="24"/>
          <w:szCs w:val="24"/>
        </w:rPr>
        <w:t>Judiciary Act 1903</w:t>
      </w:r>
      <w:r w:rsidRPr="002B6BED">
        <w:rPr>
          <w:rFonts w:ascii="Times New Roman" w:hAnsi="Times New Roman"/>
          <w:iCs/>
          <w:sz w:val="24"/>
          <w:szCs w:val="24"/>
        </w:rPr>
        <w:t xml:space="preserve"> may be available. Persons affected by spending decisions would also have recourse to the Commonwealth Ombudsman where appropriate. </w:t>
      </w:r>
    </w:p>
    <w:p w14:paraId="2AB62F1C" w14:textId="77777777" w:rsidR="00BC5604" w:rsidRDefault="00BC5604" w:rsidP="002B6BED">
      <w:pPr>
        <w:rPr>
          <w:rFonts w:ascii="Times New Roman" w:hAnsi="Times New Roman"/>
          <w:iCs/>
          <w:sz w:val="24"/>
          <w:szCs w:val="24"/>
        </w:rPr>
      </w:pPr>
    </w:p>
    <w:p w14:paraId="2A3A1A11" w14:textId="7B9D597F" w:rsidR="00067AA7" w:rsidRDefault="00BC5604" w:rsidP="00D6347E">
      <w:pPr>
        <w:rPr>
          <w:rFonts w:ascii="Times New Roman" w:hAnsi="Times New Roman"/>
          <w:iCs/>
          <w:sz w:val="24"/>
          <w:szCs w:val="24"/>
        </w:rPr>
      </w:pPr>
      <w:r w:rsidRPr="00D6347E">
        <w:rPr>
          <w:rFonts w:ascii="Times New Roman" w:hAnsi="Times New Roman"/>
          <w:iCs/>
          <w:sz w:val="24"/>
          <w:szCs w:val="24"/>
        </w:rPr>
        <w:t xml:space="preserve">The activities </w:t>
      </w:r>
      <w:r w:rsidR="00D6347E">
        <w:rPr>
          <w:rFonts w:ascii="Times New Roman" w:hAnsi="Times New Roman"/>
          <w:iCs/>
          <w:sz w:val="24"/>
          <w:szCs w:val="24"/>
        </w:rPr>
        <w:t>which will</w:t>
      </w:r>
      <w:r w:rsidRPr="00D6347E">
        <w:rPr>
          <w:rFonts w:ascii="Times New Roman" w:hAnsi="Times New Roman"/>
          <w:iCs/>
          <w:sz w:val="24"/>
          <w:szCs w:val="24"/>
        </w:rPr>
        <w:t xml:space="preserve"> be supported under the program </w:t>
      </w:r>
      <w:r w:rsidR="00C459D1">
        <w:rPr>
          <w:rFonts w:ascii="Times New Roman" w:hAnsi="Times New Roman"/>
          <w:iCs/>
          <w:sz w:val="24"/>
          <w:szCs w:val="24"/>
        </w:rPr>
        <w:t xml:space="preserve">reflect </w:t>
      </w:r>
      <w:r w:rsidRPr="00D6347E">
        <w:rPr>
          <w:rFonts w:ascii="Times New Roman" w:hAnsi="Times New Roman"/>
          <w:iCs/>
          <w:sz w:val="24"/>
          <w:szCs w:val="24"/>
        </w:rPr>
        <w:t xml:space="preserve">those supported </w:t>
      </w:r>
      <w:r w:rsidR="00C459D1">
        <w:rPr>
          <w:rFonts w:ascii="Times New Roman" w:hAnsi="Times New Roman"/>
          <w:iCs/>
          <w:sz w:val="24"/>
          <w:szCs w:val="24"/>
        </w:rPr>
        <w:t xml:space="preserve">for community organisations </w:t>
      </w:r>
      <w:r w:rsidRPr="00D6347E">
        <w:rPr>
          <w:rFonts w:ascii="Times New Roman" w:hAnsi="Times New Roman"/>
          <w:iCs/>
          <w:sz w:val="24"/>
          <w:szCs w:val="24"/>
        </w:rPr>
        <w:t xml:space="preserve">under the Energy Efficient Communities (EEC) Program. The EEC Program, </w:t>
      </w:r>
      <w:r w:rsidR="00780C74">
        <w:rPr>
          <w:rFonts w:ascii="Times New Roman" w:hAnsi="Times New Roman"/>
          <w:iCs/>
          <w:sz w:val="24"/>
          <w:szCs w:val="24"/>
        </w:rPr>
        <w:t xml:space="preserve">which was </w:t>
      </w:r>
      <w:r w:rsidRPr="00D6347E">
        <w:rPr>
          <w:rFonts w:ascii="Times New Roman" w:hAnsi="Times New Roman"/>
          <w:iCs/>
          <w:sz w:val="24"/>
          <w:szCs w:val="24"/>
        </w:rPr>
        <w:t xml:space="preserve">announced in February 2019 as part of the </w:t>
      </w:r>
      <w:r w:rsidR="00067AA7">
        <w:rPr>
          <w:rFonts w:ascii="Times New Roman" w:hAnsi="Times New Roman"/>
          <w:iCs/>
          <w:sz w:val="24"/>
          <w:szCs w:val="24"/>
        </w:rPr>
        <w:t xml:space="preserve">Government’s </w:t>
      </w:r>
      <w:r w:rsidRPr="00D6347E">
        <w:rPr>
          <w:rFonts w:ascii="Times New Roman" w:hAnsi="Times New Roman"/>
          <w:iCs/>
          <w:sz w:val="24"/>
          <w:szCs w:val="24"/>
        </w:rPr>
        <w:t xml:space="preserve">Climate Solutions Package, offered </w:t>
      </w:r>
      <w:r w:rsidR="00067AA7" w:rsidRPr="00D6347E">
        <w:rPr>
          <w:rFonts w:ascii="Times New Roman" w:hAnsi="Times New Roman"/>
          <w:iCs/>
          <w:sz w:val="24"/>
          <w:szCs w:val="24"/>
        </w:rPr>
        <w:t>grant</w:t>
      </w:r>
      <w:r w:rsidR="00067AA7">
        <w:rPr>
          <w:rFonts w:ascii="Times New Roman" w:hAnsi="Times New Roman"/>
          <w:iCs/>
          <w:sz w:val="24"/>
          <w:szCs w:val="24"/>
        </w:rPr>
        <w:t xml:space="preserve"> funding of</w:t>
      </w:r>
      <w:r w:rsidR="00067AA7" w:rsidRPr="00D6347E">
        <w:rPr>
          <w:rFonts w:ascii="Times New Roman" w:hAnsi="Times New Roman"/>
          <w:iCs/>
          <w:sz w:val="24"/>
          <w:szCs w:val="24"/>
        </w:rPr>
        <w:t xml:space="preserve"> </w:t>
      </w:r>
      <w:r w:rsidRPr="00D6347E">
        <w:rPr>
          <w:rFonts w:ascii="Times New Roman" w:hAnsi="Times New Roman"/>
          <w:iCs/>
          <w:sz w:val="24"/>
          <w:szCs w:val="24"/>
        </w:rPr>
        <w:t xml:space="preserve">$40 million to assist businesses and community groups to improve </w:t>
      </w:r>
      <w:r w:rsidR="00067AA7">
        <w:rPr>
          <w:rFonts w:ascii="Times New Roman" w:hAnsi="Times New Roman"/>
          <w:iCs/>
          <w:sz w:val="24"/>
          <w:szCs w:val="24"/>
        </w:rPr>
        <w:t xml:space="preserve">their </w:t>
      </w:r>
      <w:r w:rsidRPr="00D6347E">
        <w:rPr>
          <w:rFonts w:ascii="Times New Roman" w:hAnsi="Times New Roman"/>
          <w:iCs/>
          <w:sz w:val="24"/>
          <w:szCs w:val="24"/>
        </w:rPr>
        <w:t xml:space="preserve">energy efficiency practices and technologies and better manage energy </w:t>
      </w:r>
      <w:r w:rsidR="00A4525E">
        <w:rPr>
          <w:rFonts w:ascii="Times New Roman" w:hAnsi="Times New Roman"/>
          <w:iCs/>
          <w:sz w:val="24"/>
          <w:szCs w:val="24"/>
        </w:rPr>
        <w:t>use</w:t>
      </w:r>
      <w:r w:rsidR="00A4525E" w:rsidRPr="00D6347E">
        <w:rPr>
          <w:rFonts w:ascii="Times New Roman" w:hAnsi="Times New Roman"/>
          <w:iCs/>
          <w:sz w:val="24"/>
          <w:szCs w:val="24"/>
        </w:rPr>
        <w:t xml:space="preserve"> </w:t>
      </w:r>
      <w:r w:rsidRPr="00D6347E">
        <w:rPr>
          <w:rFonts w:ascii="Times New Roman" w:hAnsi="Times New Roman"/>
          <w:iCs/>
          <w:sz w:val="24"/>
          <w:szCs w:val="24"/>
        </w:rPr>
        <w:t xml:space="preserve">to reduce their power bills. </w:t>
      </w:r>
    </w:p>
    <w:p w14:paraId="1206D04D" w14:textId="77777777" w:rsidR="00067AA7" w:rsidRDefault="00067AA7" w:rsidP="00D6347E">
      <w:pPr>
        <w:rPr>
          <w:rFonts w:ascii="Times New Roman" w:hAnsi="Times New Roman"/>
          <w:iCs/>
          <w:sz w:val="24"/>
          <w:szCs w:val="24"/>
        </w:rPr>
      </w:pPr>
    </w:p>
    <w:p w14:paraId="2A71D072" w14:textId="77777777" w:rsidR="00BC5604" w:rsidRPr="00D6347E" w:rsidRDefault="00BC5604" w:rsidP="00D6347E">
      <w:pPr>
        <w:rPr>
          <w:rFonts w:ascii="Times New Roman" w:hAnsi="Times New Roman"/>
          <w:iCs/>
          <w:sz w:val="24"/>
          <w:szCs w:val="24"/>
        </w:rPr>
      </w:pPr>
      <w:r w:rsidRPr="00D6347E">
        <w:rPr>
          <w:rFonts w:ascii="Times New Roman" w:hAnsi="Times New Roman"/>
          <w:iCs/>
          <w:sz w:val="24"/>
          <w:szCs w:val="24"/>
        </w:rPr>
        <w:t>Grants under the EEC Program could be used</w:t>
      </w:r>
      <w:r w:rsidR="00E01EF3">
        <w:rPr>
          <w:rFonts w:ascii="Times New Roman" w:hAnsi="Times New Roman"/>
          <w:iCs/>
          <w:sz w:val="24"/>
          <w:szCs w:val="24"/>
        </w:rPr>
        <w:t xml:space="preserve"> by community organisations</w:t>
      </w:r>
      <w:r w:rsidRPr="00D6347E">
        <w:rPr>
          <w:rFonts w:ascii="Times New Roman" w:hAnsi="Times New Roman"/>
          <w:iCs/>
          <w:sz w:val="24"/>
          <w:szCs w:val="24"/>
        </w:rPr>
        <w:t xml:space="preserve"> for:</w:t>
      </w:r>
    </w:p>
    <w:p w14:paraId="6B568146" w14:textId="7F6C82A3" w:rsidR="00BC5604" w:rsidRPr="00E01EF3" w:rsidRDefault="00BC5604" w:rsidP="00067AA7">
      <w:pPr>
        <w:pStyle w:val="ListParagraph"/>
        <w:numPr>
          <w:ilvl w:val="0"/>
          <w:numId w:val="19"/>
        </w:numPr>
        <w:ind w:right="57"/>
        <w:contextualSpacing w:val="0"/>
        <w:rPr>
          <w:rFonts w:cs="Times New Roman"/>
          <w:color w:val="000000"/>
          <w:szCs w:val="24"/>
        </w:rPr>
      </w:pPr>
      <w:r w:rsidRPr="00E01EF3">
        <w:rPr>
          <w:rFonts w:cs="Times New Roman"/>
          <w:color w:val="000000"/>
          <w:szCs w:val="24"/>
        </w:rPr>
        <w:t xml:space="preserve">equipment upgrades that reduce energy </w:t>
      </w:r>
      <w:r w:rsidR="00A4525E">
        <w:rPr>
          <w:rFonts w:cs="Times New Roman"/>
          <w:color w:val="000000"/>
          <w:szCs w:val="24"/>
        </w:rPr>
        <w:t>use</w:t>
      </w:r>
      <w:r w:rsidRPr="00E01EF3">
        <w:rPr>
          <w:rFonts w:cs="Times New Roman"/>
          <w:color w:val="000000"/>
          <w:szCs w:val="24"/>
        </w:rPr>
        <w:t>;</w:t>
      </w:r>
    </w:p>
    <w:p w14:paraId="70AA4ECA" w14:textId="77777777" w:rsidR="00BC5604" w:rsidRPr="00E01EF3" w:rsidRDefault="00BC5604" w:rsidP="00067AA7">
      <w:pPr>
        <w:pStyle w:val="ListParagraph"/>
        <w:numPr>
          <w:ilvl w:val="0"/>
          <w:numId w:val="19"/>
        </w:numPr>
        <w:ind w:right="57"/>
        <w:contextualSpacing w:val="0"/>
        <w:rPr>
          <w:rFonts w:cs="Times New Roman"/>
          <w:color w:val="000000"/>
          <w:szCs w:val="24"/>
        </w:rPr>
      </w:pPr>
      <w:r w:rsidRPr="00E01EF3">
        <w:rPr>
          <w:rFonts w:cs="Times New Roman"/>
          <w:color w:val="000000"/>
          <w:szCs w:val="24"/>
        </w:rPr>
        <w:t>energy and emissions monitoring and management systems to better manage energy use;</w:t>
      </w:r>
    </w:p>
    <w:p w14:paraId="509D9F08" w14:textId="77777777" w:rsidR="00BC5604" w:rsidRPr="00E01EF3" w:rsidRDefault="00BC5604" w:rsidP="00067AA7">
      <w:pPr>
        <w:pStyle w:val="ListParagraph"/>
        <w:numPr>
          <w:ilvl w:val="0"/>
          <w:numId w:val="19"/>
        </w:numPr>
        <w:ind w:right="57"/>
        <w:contextualSpacing w:val="0"/>
        <w:rPr>
          <w:rFonts w:cs="Times New Roman"/>
          <w:color w:val="000000"/>
          <w:szCs w:val="24"/>
        </w:rPr>
      </w:pPr>
      <w:r w:rsidRPr="00E01EF3">
        <w:rPr>
          <w:rFonts w:cs="Times New Roman"/>
          <w:color w:val="000000"/>
          <w:szCs w:val="24"/>
        </w:rPr>
        <w:t xml:space="preserve">energy systems assessments according to </w:t>
      </w:r>
      <w:r w:rsidR="002015E5">
        <w:rPr>
          <w:rFonts w:cs="Times New Roman"/>
          <w:color w:val="000000"/>
          <w:szCs w:val="24"/>
        </w:rPr>
        <w:t>relevant</w:t>
      </w:r>
      <w:r w:rsidR="002015E5" w:rsidRPr="00E01EF3">
        <w:rPr>
          <w:rFonts w:cs="Times New Roman"/>
          <w:color w:val="000000"/>
          <w:szCs w:val="24"/>
        </w:rPr>
        <w:t xml:space="preserve"> </w:t>
      </w:r>
      <w:r w:rsidRPr="00E01EF3">
        <w:rPr>
          <w:rFonts w:cs="Times New Roman"/>
          <w:color w:val="000000"/>
          <w:szCs w:val="24"/>
        </w:rPr>
        <w:t xml:space="preserve">Australian </w:t>
      </w:r>
      <w:r w:rsidR="002015E5">
        <w:rPr>
          <w:rFonts w:cs="Times New Roman"/>
          <w:color w:val="000000"/>
          <w:szCs w:val="24"/>
        </w:rPr>
        <w:t>s</w:t>
      </w:r>
      <w:r w:rsidRPr="00E01EF3">
        <w:rPr>
          <w:rFonts w:cs="Times New Roman"/>
          <w:color w:val="000000"/>
          <w:szCs w:val="24"/>
        </w:rPr>
        <w:t>tandard</w:t>
      </w:r>
      <w:r w:rsidR="002015E5">
        <w:rPr>
          <w:rFonts w:cs="Times New Roman"/>
          <w:color w:val="000000"/>
          <w:szCs w:val="24"/>
        </w:rPr>
        <w:t>s</w:t>
      </w:r>
      <w:r w:rsidRPr="00E01EF3">
        <w:rPr>
          <w:rFonts w:cs="Times New Roman"/>
          <w:color w:val="000000"/>
          <w:szCs w:val="24"/>
        </w:rPr>
        <w:t xml:space="preserve"> or feasibility studies to investigate energy savings opportunities; and</w:t>
      </w:r>
    </w:p>
    <w:p w14:paraId="49EAD54A" w14:textId="77777777" w:rsidR="00BC5604" w:rsidRPr="00E01EF3" w:rsidRDefault="00BC5604" w:rsidP="00067AA7">
      <w:pPr>
        <w:pStyle w:val="ListParagraph"/>
        <w:numPr>
          <w:ilvl w:val="0"/>
          <w:numId w:val="19"/>
        </w:numPr>
        <w:ind w:right="57"/>
        <w:contextualSpacing w:val="0"/>
        <w:rPr>
          <w:rFonts w:cs="Times New Roman"/>
          <w:color w:val="000000"/>
          <w:szCs w:val="24"/>
        </w:rPr>
      </w:pPr>
      <w:r w:rsidRPr="00E01EF3">
        <w:rPr>
          <w:rFonts w:cs="Times New Roman"/>
          <w:color w:val="000000"/>
          <w:szCs w:val="24"/>
        </w:rPr>
        <w:t>energy generation and storage projects including solar photovol</w:t>
      </w:r>
      <w:r w:rsidR="00E01EF3">
        <w:rPr>
          <w:rFonts w:cs="Times New Roman"/>
          <w:color w:val="000000"/>
          <w:szCs w:val="24"/>
        </w:rPr>
        <w:t>taics (PV) and batteries</w:t>
      </w:r>
      <w:r w:rsidRPr="00E01EF3">
        <w:rPr>
          <w:rFonts w:cs="Times New Roman"/>
          <w:color w:val="000000"/>
          <w:szCs w:val="24"/>
        </w:rPr>
        <w:t>.</w:t>
      </w:r>
    </w:p>
    <w:p w14:paraId="51055A7D" w14:textId="77777777" w:rsidR="00BC5604" w:rsidRPr="004C3182" w:rsidRDefault="00BC5604" w:rsidP="00BC5604">
      <w:pPr>
        <w:pStyle w:val="ListParagraph"/>
        <w:spacing w:before="120"/>
        <w:ind w:left="567"/>
        <w:rPr>
          <w:rFonts w:eastAsia="Calibri" w:cs="Times New Roman"/>
        </w:rPr>
      </w:pPr>
    </w:p>
    <w:p w14:paraId="556D48BF" w14:textId="77777777" w:rsidR="00BC5604" w:rsidRPr="00625081" w:rsidRDefault="00BC5604" w:rsidP="00625081">
      <w:pPr>
        <w:rPr>
          <w:rFonts w:ascii="Times New Roman" w:hAnsi="Times New Roman"/>
          <w:iCs/>
          <w:sz w:val="24"/>
          <w:szCs w:val="24"/>
        </w:rPr>
      </w:pPr>
      <w:r w:rsidRPr="00E01EF3">
        <w:rPr>
          <w:rFonts w:ascii="Times New Roman" w:hAnsi="Times New Roman"/>
          <w:iCs/>
          <w:sz w:val="24"/>
          <w:szCs w:val="24"/>
        </w:rPr>
        <w:t>For the EEC Program</w:t>
      </w:r>
      <w:r w:rsidR="00E01EF3">
        <w:rPr>
          <w:rFonts w:ascii="Times New Roman" w:hAnsi="Times New Roman"/>
          <w:iCs/>
          <w:sz w:val="24"/>
          <w:szCs w:val="24"/>
        </w:rPr>
        <w:t>,</w:t>
      </w:r>
      <w:r w:rsidRPr="00E01EF3">
        <w:rPr>
          <w:rFonts w:ascii="Times New Roman" w:hAnsi="Times New Roman"/>
          <w:iCs/>
          <w:sz w:val="24"/>
          <w:szCs w:val="24"/>
        </w:rPr>
        <w:t xml:space="preserve"> the department consulted with state and territory jurisdictions, industry bodies and energy efficiency experts. </w:t>
      </w:r>
      <w:r w:rsidR="00017F96" w:rsidRPr="00625081">
        <w:rPr>
          <w:rFonts w:ascii="Times New Roman" w:hAnsi="Times New Roman"/>
          <w:iCs/>
          <w:sz w:val="24"/>
          <w:szCs w:val="24"/>
        </w:rPr>
        <w:t xml:space="preserve">Feedback was that </w:t>
      </w:r>
      <w:r w:rsidR="00116408" w:rsidRPr="00625081">
        <w:rPr>
          <w:rFonts w:ascii="Times New Roman" w:hAnsi="Times New Roman"/>
          <w:iCs/>
          <w:sz w:val="24"/>
          <w:szCs w:val="24"/>
        </w:rPr>
        <w:t xml:space="preserve">the </w:t>
      </w:r>
      <w:r w:rsidR="00017F96" w:rsidRPr="00625081">
        <w:rPr>
          <w:rFonts w:ascii="Times New Roman" w:hAnsi="Times New Roman"/>
          <w:iCs/>
          <w:sz w:val="24"/>
          <w:szCs w:val="24"/>
        </w:rPr>
        <w:t xml:space="preserve">measures proposed for the </w:t>
      </w:r>
      <w:r w:rsidRPr="00625081">
        <w:rPr>
          <w:rFonts w:ascii="Times New Roman" w:hAnsi="Times New Roman"/>
          <w:iCs/>
          <w:sz w:val="24"/>
          <w:szCs w:val="24"/>
        </w:rPr>
        <w:t>community sector were generally appropriate since the major energy use</w:t>
      </w:r>
      <w:r w:rsidR="00116408" w:rsidRPr="00625081">
        <w:rPr>
          <w:rFonts w:ascii="Times New Roman" w:hAnsi="Times New Roman"/>
          <w:iCs/>
          <w:sz w:val="24"/>
          <w:szCs w:val="24"/>
        </w:rPr>
        <w:t xml:space="preserve"> was associated with h</w:t>
      </w:r>
      <w:r w:rsidRPr="00625081">
        <w:rPr>
          <w:rFonts w:ascii="Times New Roman" w:hAnsi="Times New Roman"/>
          <w:iCs/>
          <w:sz w:val="24"/>
          <w:szCs w:val="24"/>
        </w:rPr>
        <w:t xml:space="preserve">eating, cooling and lighting. </w:t>
      </w:r>
    </w:p>
    <w:p w14:paraId="5C8CB155" w14:textId="77777777" w:rsidR="00116408" w:rsidRDefault="00116408" w:rsidP="00BC5604">
      <w:pPr>
        <w:rPr>
          <w:rFonts w:ascii="Times New Roman" w:hAnsi="Times New Roman"/>
        </w:rPr>
      </w:pPr>
    </w:p>
    <w:p w14:paraId="1C7C03F1" w14:textId="77777777" w:rsidR="00A4525E" w:rsidRDefault="00A4525E" w:rsidP="00A4525E">
      <w:pPr>
        <w:rPr>
          <w:rFonts w:ascii="Times New Roman" w:eastAsiaTheme="minorHAnsi" w:hAnsi="Times New Roman"/>
          <w:sz w:val="24"/>
          <w:szCs w:val="24"/>
        </w:rPr>
      </w:pPr>
      <w:r>
        <w:rPr>
          <w:rFonts w:ascii="Times New Roman" w:hAnsi="Times New Roman"/>
          <w:sz w:val="24"/>
          <w:szCs w:val="24"/>
        </w:rPr>
        <w:t xml:space="preserve">The department consulted with a smaller group of stakeholders on proposed eligible activities under the current program in early November 2020. These stakeholders were selected due to their expertise and understanding of renewable energy generation and energy efficiency measures covering a wide range of technologies and applications including in the community sector. </w:t>
      </w:r>
    </w:p>
    <w:p w14:paraId="62C70D53" w14:textId="48ACC7BA" w:rsidR="002B6BED" w:rsidRDefault="00A4525E" w:rsidP="002B6BED">
      <w:pPr>
        <w:rPr>
          <w:rFonts w:ascii="Times New Roman" w:hAnsi="Times New Roman"/>
          <w:iCs/>
          <w:sz w:val="24"/>
          <w:szCs w:val="24"/>
        </w:rPr>
      </w:pPr>
      <w:r w:rsidRPr="00116408" w:rsidDel="00A4525E">
        <w:rPr>
          <w:rFonts w:ascii="Times New Roman" w:hAnsi="Times New Roman"/>
          <w:iCs/>
          <w:sz w:val="24"/>
          <w:szCs w:val="24"/>
        </w:rPr>
        <w:t xml:space="preserve"> </w:t>
      </w:r>
    </w:p>
    <w:p w14:paraId="09572563" w14:textId="77777777" w:rsidR="000F7C1F" w:rsidRPr="000F7C1F" w:rsidRDefault="000F7C1F" w:rsidP="000F7C1F">
      <w:pPr>
        <w:rPr>
          <w:rFonts w:ascii="Times New Roman" w:hAnsi="Times New Roman"/>
          <w:iCs/>
          <w:sz w:val="24"/>
          <w:szCs w:val="24"/>
        </w:rPr>
      </w:pPr>
      <w:r w:rsidRPr="000F7C1F">
        <w:rPr>
          <w:rFonts w:ascii="Times New Roman" w:hAnsi="Times New Roman"/>
          <w:iCs/>
          <w:sz w:val="24"/>
          <w:szCs w:val="24"/>
        </w:rPr>
        <w:t>Funding of $52.2 million over five years</w:t>
      </w:r>
      <w:r>
        <w:rPr>
          <w:rFonts w:ascii="Times New Roman" w:hAnsi="Times New Roman"/>
          <w:iCs/>
          <w:sz w:val="24"/>
          <w:szCs w:val="24"/>
        </w:rPr>
        <w:t xml:space="preserve"> from 2020-21</w:t>
      </w:r>
      <w:r w:rsidRPr="000F7C1F">
        <w:rPr>
          <w:rFonts w:ascii="Times New Roman" w:hAnsi="Times New Roman"/>
          <w:iCs/>
          <w:sz w:val="24"/>
          <w:szCs w:val="24"/>
        </w:rPr>
        <w:t xml:space="preserve"> was included in the 2020-21 Budget under the measure ‘JobMaker Plan – investment</w:t>
      </w:r>
      <w:r>
        <w:rPr>
          <w:rFonts w:ascii="Times New Roman" w:hAnsi="Times New Roman"/>
          <w:iCs/>
          <w:sz w:val="24"/>
          <w:szCs w:val="24"/>
        </w:rPr>
        <w:t xml:space="preserve"> </w:t>
      </w:r>
      <w:r w:rsidRPr="000F7C1F">
        <w:rPr>
          <w:rFonts w:ascii="Times New Roman" w:hAnsi="Times New Roman"/>
          <w:iCs/>
          <w:sz w:val="24"/>
          <w:szCs w:val="24"/>
        </w:rPr>
        <w:t>in new energy technologies’</w:t>
      </w:r>
      <w:r w:rsidR="00FC0FA0">
        <w:rPr>
          <w:rFonts w:ascii="Times New Roman" w:hAnsi="Times New Roman"/>
          <w:iCs/>
          <w:sz w:val="24"/>
          <w:szCs w:val="24"/>
        </w:rPr>
        <w:t xml:space="preserve">, including </w:t>
      </w:r>
      <w:r w:rsidR="005E1339">
        <w:rPr>
          <w:rFonts w:ascii="Times New Roman" w:hAnsi="Times New Roman"/>
          <w:iCs/>
          <w:sz w:val="24"/>
          <w:szCs w:val="24"/>
        </w:rPr>
        <w:t xml:space="preserve">funding </w:t>
      </w:r>
      <w:r w:rsidR="00CD56EF">
        <w:rPr>
          <w:rFonts w:ascii="Times New Roman" w:hAnsi="Times New Roman"/>
          <w:iCs/>
          <w:sz w:val="24"/>
          <w:szCs w:val="24"/>
        </w:rPr>
        <w:t xml:space="preserve">for the program </w:t>
      </w:r>
      <w:r w:rsidR="005E1339">
        <w:rPr>
          <w:rFonts w:ascii="Times New Roman" w:hAnsi="Times New Roman"/>
          <w:iCs/>
          <w:sz w:val="24"/>
          <w:szCs w:val="24"/>
        </w:rPr>
        <w:t xml:space="preserve">of </w:t>
      </w:r>
      <w:r w:rsidR="003E0BA0">
        <w:rPr>
          <w:rFonts w:ascii="Times New Roman" w:hAnsi="Times New Roman"/>
          <w:iCs/>
          <w:sz w:val="24"/>
          <w:szCs w:val="24"/>
        </w:rPr>
        <w:t>$12 million over three years from 2020</w:t>
      </w:r>
      <w:r w:rsidR="00CD56EF">
        <w:rPr>
          <w:rFonts w:ascii="Times New Roman" w:hAnsi="Times New Roman"/>
          <w:iCs/>
          <w:sz w:val="24"/>
          <w:szCs w:val="24"/>
        </w:rPr>
        <w:noBreakHyphen/>
      </w:r>
      <w:r w:rsidR="003E0BA0">
        <w:rPr>
          <w:rFonts w:ascii="Times New Roman" w:hAnsi="Times New Roman"/>
          <w:iCs/>
          <w:sz w:val="24"/>
          <w:szCs w:val="24"/>
        </w:rPr>
        <w:t xml:space="preserve">21. </w:t>
      </w:r>
      <w:r w:rsidRPr="000F7C1F">
        <w:rPr>
          <w:rFonts w:ascii="Times New Roman" w:hAnsi="Times New Roman"/>
          <w:iCs/>
          <w:sz w:val="24"/>
          <w:szCs w:val="24"/>
        </w:rPr>
        <w:t>Details</w:t>
      </w:r>
      <w:r w:rsidR="00610919">
        <w:rPr>
          <w:rFonts w:ascii="Times New Roman" w:hAnsi="Times New Roman"/>
          <w:iCs/>
          <w:sz w:val="24"/>
          <w:szCs w:val="24"/>
        </w:rPr>
        <w:t> </w:t>
      </w:r>
      <w:r w:rsidRPr="000F7C1F">
        <w:rPr>
          <w:rFonts w:ascii="Times New Roman" w:hAnsi="Times New Roman"/>
          <w:iCs/>
          <w:sz w:val="24"/>
          <w:szCs w:val="24"/>
        </w:rPr>
        <w:t>are</w:t>
      </w:r>
      <w:r w:rsidR="00CD56EF">
        <w:rPr>
          <w:rFonts w:ascii="Times New Roman" w:hAnsi="Times New Roman"/>
          <w:iCs/>
          <w:sz w:val="24"/>
          <w:szCs w:val="24"/>
        </w:rPr>
        <w:t> </w:t>
      </w:r>
      <w:r w:rsidRPr="000F7C1F">
        <w:rPr>
          <w:rFonts w:ascii="Times New Roman" w:hAnsi="Times New Roman"/>
          <w:iCs/>
          <w:sz w:val="24"/>
          <w:szCs w:val="24"/>
        </w:rPr>
        <w:t xml:space="preserve">set out in </w:t>
      </w:r>
      <w:r w:rsidRPr="00610919">
        <w:rPr>
          <w:rFonts w:ascii="Times New Roman" w:hAnsi="Times New Roman"/>
          <w:i/>
          <w:iCs/>
          <w:sz w:val="24"/>
          <w:szCs w:val="24"/>
        </w:rPr>
        <w:t>Budget 2020-21, Budget Measures, Budget Paper No. 2 2020-21</w:t>
      </w:r>
      <w:r w:rsidRPr="000F7C1F">
        <w:rPr>
          <w:rFonts w:ascii="Times New Roman" w:hAnsi="Times New Roman"/>
          <w:iCs/>
          <w:sz w:val="24"/>
          <w:szCs w:val="24"/>
        </w:rPr>
        <w:t xml:space="preserve"> at pages 118 </w:t>
      </w:r>
      <w:r w:rsidR="00610919">
        <w:rPr>
          <w:rFonts w:ascii="Times New Roman" w:hAnsi="Times New Roman"/>
          <w:iCs/>
          <w:sz w:val="24"/>
          <w:szCs w:val="24"/>
        </w:rPr>
        <w:t>to</w:t>
      </w:r>
      <w:r w:rsidRPr="000F7C1F">
        <w:rPr>
          <w:rFonts w:ascii="Times New Roman" w:hAnsi="Times New Roman"/>
          <w:iCs/>
          <w:sz w:val="24"/>
          <w:szCs w:val="24"/>
        </w:rPr>
        <w:t xml:space="preserve"> 119. </w:t>
      </w:r>
    </w:p>
    <w:p w14:paraId="6F420095" w14:textId="77777777" w:rsidR="003E0BA0" w:rsidRDefault="003E0BA0" w:rsidP="000F7C1F">
      <w:pPr>
        <w:rPr>
          <w:rFonts w:ascii="Times New Roman" w:hAnsi="Times New Roman"/>
          <w:iCs/>
          <w:sz w:val="24"/>
          <w:szCs w:val="24"/>
        </w:rPr>
      </w:pPr>
    </w:p>
    <w:p w14:paraId="521D481E" w14:textId="77777777" w:rsidR="000F7C1F" w:rsidRDefault="000F7C1F" w:rsidP="000F7C1F">
      <w:pPr>
        <w:rPr>
          <w:rFonts w:ascii="Times New Roman" w:hAnsi="Times New Roman"/>
          <w:iCs/>
          <w:sz w:val="24"/>
          <w:szCs w:val="24"/>
        </w:rPr>
      </w:pPr>
      <w:r w:rsidRPr="000F7C1F">
        <w:rPr>
          <w:rFonts w:ascii="Times New Roman" w:hAnsi="Times New Roman"/>
          <w:iCs/>
          <w:sz w:val="24"/>
          <w:szCs w:val="24"/>
        </w:rPr>
        <w:t xml:space="preserve">Funding for this item will come from Program 3.1: Supporting </w:t>
      </w:r>
      <w:r w:rsidR="005E1339">
        <w:rPr>
          <w:rFonts w:ascii="Times New Roman" w:hAnsi="Times New Roman"/>
          <w:iCs/>
          <w:sz w:val="24"/>
          <w:szCs w:val="24"/>
        </w:rPr>
        <w:t>R</w:t>
      </w:r>
      <w:r w:rsidRPr="000F7C1F">
        <w:rPr>
          <w:rFonts w:ascii="Times New Roman" w:hAnsi="Times New Roman"/>
          <w:iCs/>
          <w:sz w:val="24"/>
          <w:szCs w:val="24"/>
        </w:rPr>
        <w:t xml:space="preserve">eliable, </w:t>
      </w:r>
      <w:r w:rsidR="005E1339">
        <w:rPr>
          <w:rFonts w:ascii="Times New Roman" w:hAnsi="Times New Roman"/>
          <w:iCs/>
          <w:sz w:val="24"/>
          <w:szCs w:val="24"/>
        </w:rPr>
        <w:t>S</w:t>
      </w:r>
      <w:r w:rsidRPr="000F7C1F">
        <w:rPr>
          <w:rFonts w:ascii="Times New Roman" w:hAnsi="Times New Roman"/>
          <w:iCs/>
          <w:sz w:val="24"/>
          <w:szCs w:val="24"/>
        </w:rPr>
        <w:t xml:space="preserve">ecure and </w:t>
      </w:r>
      <w:r w:rsidR="005E1339">
        <w:rPr>
          <w:rFonts w:ascii="Times New Roman" w:hAnsi="Times New Roman"/>
          <w:iCs/>
          <w:sz w:val="24"/>
          <w:szCs w:val="24"/>
        </w:rPr>
        <w:t>Affordable E</w:t>
      </w:r>
      <w:r w:rsidRPr="000F7C1F">
        <w:rPr>
          <w:rFonts w:ascii="Times New Roman" w:hAnsi="Times New Roman"/>
          <w:iCs/>
          <w:sz w:val="24"/>
          <w:szCs w:val="24"/>
        </w:rPr>
        <w:t xml:space="preserve">nergy, which is part of Outcome 3. Details are set out in the </w:t>
      </w:r>
      <w:r w:rsidRPr="005E1339">
        <w:rPr>
          <w:rFonts w:ascii="Times New Roman" w:hAnsi="Times New Roman"/>
          <w:i/>
          <w:iCs/>
          <w:sz w:val="24"/>
          <w:szCs w:val="24"/>
        </w:rPr>
        <w:t>Portfolio Budget Statements 2020-21, Budget Related Paper No. 1.9, Industry, Science, Energy and Resources Portfolio</w:t>
      </w:r>
      <w:r w:rsidRPr="000F7C1F">
        <w:rPr>
          <w:rFonts w:ascii="Times New Roman" w:hAnsi="Times New Roman"/>
          <w:iCs/>
          <w:sz w:val="24"/>
          <w:szCs w:val="24"/>
        </w:rPr>
        <w:t xml:space="preserve"> at page 70.</w:t>
      </w:r>
    </w:p>
    <w:p w14:paraId="486487A1" w14:textId="77777777" w:rsidR="00CD56EF" w:rsidRDefault="00CD56EF" w:rsidP="000F7C1F">
      <w:pPr>
        <w:rPr>
          <w:rFonts w:ascii="Times New Roman" w:hAnsi="Times New Roman"/>
          <w:iCs/>
          <w:sz w:val="24"/>
          <w:szCs w:val="24"/>
        </w:rPr>
      </w:pPr>
    </w:p>
    <w:p w14:paraId="53B4186F" w14:textId="77777777" w:rsidR="00CD56EF" w:rsidRDefault="00CD56EF" w:rsidP="00CD56EF">
      <w:pPr>
        <w:rPr>
          <w:rFonts w:ascii="Times New Roman" w:hAnsi="Times New Roman"/>
          <w:iCs/>
          <w:sz w:val="24"/>
          <w:szCs w:val="24"/>
        </w:rPr>
      </w:pPr>
      <w:r w:rsidRPr="00CD56EF">
        <w:rPr>
          <w:rFonts w:ascii="Times New Roman" w:hAnsi="Times New Roman"/>
          <w:iCs/>
          <w:sz w:val="24"/>
          <w:szCs w:val="24"/>
        </w:rPr>
        <w:t xml:space="preserve">Noting that it is not a comprehensive statement of relevant constitutional considerations, the objective of </w:t>
      </w:r>
      <w:r>
        <w:rPr>
          <w:rFonts w:ascii="Times New Roman" w:hAnsi="Times New Roman"/>
          <w:iCs/>
          <w:sz w:val="24"/>
          <w:szCs w:val="24"/>
        </w:rPr>
        <w:t xml:space="preserve">the </w:t>
      </w:r>
      <w:r w:rsidRPr="00CD56EF">
        <w:rPr>
          <w:rFonts w:ascii="Times New Roman" w:hAnsi="Times New Roman"/>
          <w:iCs/>
          <w:sz w:val="24"/>
          <w:szCs w:val="24"/>
        </w:rPr>
        <w:t>item</w:t>
      </w:r>
      <w:r>
        <w:rPr>
          <w:rFonts w:ascii="Times New Roman" w:hAnsi="Times New Roman"/>
          <w:iCs/>
          <w:sz w:val="24"/>
          <w:szCs w:val="24"/>
        </w:rPr>
        <w:t xml:space="preserve"> </w:t>
      </w:r>
      <w:r w:rsidRPr="00CD56EF">
        <w:rPr>
          <w:rFonts w:ascii="Times New Roman" w:hAnsi="Times New Roman"/>
          <w:iCs/>
          <w:sz w:val="24"/>
          <w:szCs w:val="24"/>
        </w:rPr>
        <w:t>references the external affairs power (s</w:t>
      </w:r>
      <w:r>
        <w:rPr>
          <w:rFonts w:ascii="Times New Roman" w:hAnsi="Times New Roman"/>
          <w:iCs/>
          <w:sz w:val="24"/>
          <w:szCs w:val="24"/>
        </w:rPr>
        <w:t>ection</w:t>
      </w:r>
      <w:r w:rsidRPr="00CD56EF">
        <w:rPr>
          <w:rFonts w:ascii="Times New Roman" w:hAnsi="Times New Roman"/>
          <w:iCs/>
          <w:sz w:val="24"/>
          <w:szCs w:val="24"/>
        </w:rPr>
        <w:t> 51(xxix)</w:t>
      </w:r>
      <w:r>
        <w:rPr>
          <w:rFonts w:ascii="Times New Roman" w:hAnsi="Times New Roman"/>
          <w:iCs/>
          <w:sz w:val="24"/>
          <w:szCs w:val="24"/>
        </w:rPr>
        <w:t>)</w:t>
      </w:r>
      <w:r w:rsidRPr="00CD56EF">
        <w:rPr>
          <w:rFonts w:ascii="Times New Roman" w:hAnsi="Times New Roman"/>
          <w:iCs/>
          <w:sz w:val="24"/>
          <w:szCs w:val="24"/>
        </w:rPr>
        <w:t xml:space="preserve"> of the Constitution).</w:t>
      </w:r>
    </w:p>
    <w:p w14:paraId="3F1A3836" w14:textId="77777777" w:rsidR="00CD56EF" w:rsidRPr="00CD56EF" w:rsidRDefault="00CD56EF" w:rsidP="00CD56EF">
      <w:pPr>
        <w:rPr>
          <w:rFonts w:ascii="Times New Roman" w:hAnsi="Times New Roman"/>
          <w:iCs/>
          <w:sz w:val="24"/>
          <w:szCs w:val="24"/>
        </w:rPr>
      </w:pPr>
    </w:p>
    <w:p w14:paraId="6BEB39F2" w14:textId="77777777" w:rsidR="00CD56EF" w:rsidRDefault="00CD56EF" w:rsidP="00CD56EF">
      <w:pPr>
        <w:rPr>
          <w:rFonts w:ascii="Times New Roman" w:hAnsi="Times New Roman"/>
          <w:iCs/>
          <w:sz w:val="24"/>
          <w:szCs w:val="24"/>
        </w:rPr>
      </w:pPr>
      <w:r w:rsidRPr="00CD56EF">
        <w:rPr>
          <w:rFonts w:ascii="Times New Roman" w:hAnsi="Times New Roman"/>
          <w:iCs/>
          <w:sz w:val="24"/>
          <w:szCs w:val="24"/>
        </w:rPr>
        <w:t>The external affairs power supports legislation implementing Australia’s obligations under international treaties to which it is a party.</w:t>
      </w:r>
    </w:p>
    <w:p w14:paraId="3A1AD9F2" w14:textId="77777777" w:rsidR="00CD56EF" w:rsidRPr="00CD56EF" w:rsidRDefault="00CD56EF" w:rsidP="00CD56EF">
      <w:pPr>
        <w:rPr>
          <w:rFonts w:ascii="Times New Roman" w:hAnsi="Times New Roman"/>
          <w:iCs/>
          <w:sz w:val="24"/>
          <w:szCs w:val="24"/>
        </w:rPr>
      </w:pPr>
    </w:p>
    <w:p w14:paraId="3327FB72" w14:textId="77777777" w:rsidR="00CD56EF" w:rsidRDefault="00CD56EF" w:rsidP="00CD56EF">
      <w:pPr>
        <w:rPr>
          <w:rFonts w:ascii="Times New Roman" w:hAnsi="Times New Roman"/>
          <w:iCs/>
          <w:sz w:val="24"/>
          <w:szCs w:val="24"/>
        </w:rPr>
      </w:pPr>
      <w:r w:rsidRPr="00CD56EF">
        <w:rPr>
          <w:rFonts w:ascii="Times New Roman" w:hAnsi="Times New Roman"/>
          <w:iCs/>
          <w:sz w:val="24"/>
          <w:szCs w:val="24"/>
        </w:rPr>
        <w:t xml:space="preserve">The </w:t>
      </w:r>
      <w:r w:rsidRPr="00CD56EF">
        <w:rPr>
          <w:rFonts w:ascii="Times New Roman" w:hAnsi="Times New Roman"/>
          <w:i/>
          <w:iCs/>
          <w:sz w:val="24"/>
          <w:szCs w:val="24"/>
        </w:rPr>
        <w:t>United Nations Framework Convention on Climate Change</w:t>
      </w:r>
      <w:r w:rsidRPr="00CD56EF">
        <w:rPr>
          <w:rFonts w:ascii="Times New Roman" w:hAnsi="Times New Roman"/>
          <w:iCs/>
          <w:sz w:val="24"/>
          <w:szCs w:val="24"/>
        </w:rPr>
        <w:t xml:space="preserve"> [1994] ATS 2 (</w:t>
      </w:r>
      <w:r>
        <w:rPr>
          <w:rFonts w:ascii="Times New Roman" w:hAnsi="Times New Roman"/>
          <w:iCs/>
          <w:sz w:val="24"/>
          <w:szCs w:val="24"/>
        </w:rPr>
        <w:t xml:space="preserve">the </w:t>
      </w:r>
      <w:r w:rsidRPr="00CD56EF">
        <w:rPr>
          <w:rFonts w:ascii="Times New Roman" w:hAnsi="Times New Roman"/>
          <w:iCs/>
          <w:sz w:val="24"/>
          <w:szCs w:val="24"/>
        </w:rPr>
        <w:t xml:space="preserve">UNFCCC) includes a range of obligations on Australia to take domestic actions that reduce Australia’s emissions of greenhouse gases. </w:t>
      </w:r>
    </w:p>
    <w:p w14:paraId="1FE618C9" w14:textId="77777777" w:rsidR="00CD56EF" w:rsidRPr="00CD56EF" w:rsidRDefault="00CD56EF" w:rsidP="00CD56EF">
      <w:pPr>
        <w:rPr>
          <w:rFonts w:ascii="Times New Roman" w:hAnsi="Times New Roman"/>
          <w:iCs/>
          <w:sz w:val="24"/>
          <w:szCs w:val="24"/>
        </w:rPr>
      </w:pPr>
      <w:r w:rsidRPr="00CD56EF">
        <w:rPr>
          <w:rFonts w:ascii="Times New Roman" w:hAnsi="Times New Roman"/>
          <w:iCs/>
          <w:sz w:val="24"/>
          <w:szCs w:val="24"/>
        </w:rPr>
        <w:t xml:space="preserve"> </w:t>
      </w:r>
    </w:p>
    <w:p w14:paraId="59519EBA" w14:textId="77777777" w:rsidR="00CD56EF" w:rsidRPr="00CD56EF" w:rsidRDefault="00CD56EF" w:rsidP="00CD56EF">
      <w:pPr>
        <w:rPr>
          <w:rFonts w:ascii="Times New Roman" w:hAnsi="Times New Roman"/>
          <w:iCs/>
          <w:sz w:val="24"/>
          <w:szCs w:val="24"/>
        </w:rPr>
      </w:pPr>
      <w:r w:rsidRPr="00CD56EF">
        <w:rPr>
          <w:rFonts w:ascii="Times New Roman" w:hAnsi="Times New Roman"/>
          <w:iCs/>
          <w:sz w:val="24"/>
          <w:szCs w:val="24"/>
        </w:rPr>
        <w:t>The UNFCCC relevantly provides that Australia shall:</w:t>
      </w:r>
    </w:p>
    <w:p w14:paraId="2B4318E4" w14:textId="77777777" w:rsidR="00CD56EF" w:rsidRPr="00CD56EF" w:rsidRDefault="00CD56EF" w:rsidP="00CD56EF">
      <w:pPr>
        <w:pStyle w:val="ListParagraph"/>
        <w:numPr>
          <w:ilvl w:val="0"/>
          <w:numId w:val="19"/>
        </w:numPr>
        <w:ind w:right="57"/>
        <w:contextualSpacing w:val="0"/>
        <w:rPr>
          <w:rFonts w:cs="Times New Roman"/>
          <w:color w:val="000000"/>
          <w:szCs w:val="24"/>
        </w:rPr>
      </w:pPr>
      <w:r w:rsidRPr="00CD56EF">
        <w:rPr>
          <w:rFonts w:cs="Times New Roman"/>
          <w:color w:val="000000"/>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481EBC11" w14:textId="77777777" w:rsidR="00CD56EF" w:rsidRPr="00CD56EF" w:rsidRDefault="00CD56EF" w:rsidP="00CD56EF">
      <w:pPr>
        <w:pStyle w:val="ListParagraph"/>
        <w:numPr>
          <w:ilvl w:val="0"/>
          <w:numId w:val="19"/>
        </w:numPr>
        <w:ind w:right="57"/>
        <w:contextualSpacing w:val="0"/>
        <w:rPr>
          <w:rFonts w:cs="Times New Roman"/>
          <w:color w:val="000000"/>
          <w:szCs w:val="24"/>
        </w:rPr>
      </w:pPr>
      <w:r w:rsidRPr="00CD56EF">
        <w:rPr>
          <w:rFonts w:cs="Times New Roman"/>
          <w:color w:val="000000"/>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14:paraId="5E21BED3" w14:textId="77777777" w:rsidR="00CD56EF" w:rsidRPr="00CD56EF" w:rsidRDefault="00CD56EF" w:rsidP="00CD56EF">
      <w:pPr>
        <w:pStyle w:val="ListParagraph"/>
        <w:numPr>
          <w:ilvl w:val="0"/>
          <w:numId w:val="19"/>
        </w:numPr>
        <w:ind w:right="57"/>
        <w:contextualSpacing w:val="0"/>
        <w:rPr>
          <w:rFonts w:cs="Times New Roman"/>
          <w:color w:val="000000"/>
          <w:szCs w:val="24"/>
        </w:rPr>
      </w:pPr>
      <w:r w:rsidRPr="00CD56EF">
        <w:rPr>
          <w:rFonts w:cs="Times New Roman"/>
          <w:color w:val="000000"/>
          <w:szCs w:val="24"/>
        </w:rPr>
        <w:t>adopt national policies and take corresponding measures on the mitigation of climate change, by limiting its anthropogenic emissions of greenhouse gases and protecting and enhancing its greenhouse gas sinks and reservoirs (Article 4.2(a)).</w:t>
      </w:r>
    </w:p>
    <w:p w14:paraId="4FA29F02" w14:textId="77777777" w:rsidR="00CD56EF" w:rsidRPr="00CD56EF" w:rsidRDefault="00CD56EF" w:rsidP="00CD56EF">
      <w:pPr>
        <w:pStyle w:val="ListParagraph"/>
        <w:ind w:right="57"/>
        <w:contextualSpacing w:val="0"/>
        <w:rPr>
          <w:rFonts w:cs="Times New Roman"/>
          <w:color w:val="000000"/>
          <w:szCs w:val="24"/>
        </w:rPr>
      </w:pPr>
    </w:p>
    <w:p w14:paraId="2CBB0152" w14:textId="77777777" w:rsidR="00CD56EF" w:rsidRDefault="00CD56EF" w:rsidP="008336DB">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Kyoto Protocol to the United Nations Framework Convention on Climate Change</w:t>
      </w:r>
      <w:r w:rsidRPr="008336DB">
        <w:rPr>
          <w:rFonts w:ascii="Times New Roman" w:hAnsi="Times New Roman"/>
          <w:iCs/>
          <w:sz w:val="24"/>
          <w:szCs w:val="24"/>
        </w:rPr>
        <w:t xml:space="preserve"> [2008] ATS 2 also includes obligations on Australia to take action to reduce emissions, such as Article 10(b). Article 10(b) imposes obligations to formulate, implement and report upon climate change mitigation and adaptation programs.</w:t>
      </w:r>
    </w:p>
    <w:p w14:paraId="1D2E685B" w14:textId="77777777" w:rsidR="008336DB" w:rsidRPr="008336DB" w:rsidRDefault="008336DB" w:rsidP="008336DB">
      <w:pPr>
        <w:rPr>
          <w:rFonts w:ascii="Times New Roman" w:hAnsi="Times New Roman"/>
          <w:iCs/>
          <w:sz w:val="24"/>
          <w:szCs w:val="24"/>
        </w:rPr>
      </w:pPr>
    </w:p>
    <w:p w14:paraId="18661C10" w14:textId="77777777" w:rsidR="00CD56EF" w:rsidRPr="008336DB" w:rsidRDefault="00CD56EF" w:rsidP="008336DB">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Paris Agreement</w:t>
      </w:r>
      <w:r w:rsidRPr="008336DB">
        <w:rPr>
          <w:rFonts w:ascii="Times New Roman" w:hAnsi="Times New Roman"/>
          <w:iCs/>
          <w:sz w:val="24"/>
          <w:szCs w:val="24"/>
        </w:rPr>
        <w:t xml:space="preserve"> [2016] ATS 24 was entered into by the parties to the UNFCCC to enhance its implementation. Under the Paris Agreement, Australia has a ‘nationally determined contribution’ of a 2030 emissions reduction target of 26 to 28 per cent below 2005 levels. Relevantly, Article 4.2 of the Paris Agreement provides that ‘[e]ach Party shall prepare, communicate and maintain successive nationally determined contributions that it intends to achieve. Parties shall pursue domestic mitigation measures, with the aim of achieving the objectives of such contributions’. </w:t>
      </w:r>
    </w:p>
    <w:p w14:paraId="204F63B6" w14:textId="77777777" w:rsidR="008336DB" w:rsidRDefault="008336DB" w:rsidP="008336DB">
      <w:pPr>
        <w:rPr>
          <w:rFonts w:ascii="Times New Roman" w:hAnsi="Times New Roman"/>
          <w:iCs/>
          <w:sz w:val="24"/>
          <w:szCs w:val="24"/>
        </w:rPr>
      </w:pPr>
    </w:p>
    <w:p w14:paraId="20B1050D" w14:textId="036E1A6E" w:rsidR="00293C06" w:rsidRDefault="00CD56EF" w:rsidP="000115EE">
      <w:pPr>
        <w:rPr>
          <w:rFonts w:ascii="Times New Roman" w:hAnsi="Times New Roman"/>
          <w:iCs/>
          <w:sz w:val="24"/>
          <w:szCs w:val="24"/>
        </w:rPr>
      </w:pPr>
      <w:r w:rsidRPr="008336DB">
        <w:rPr>
          <w:rFonts w:ascii="Times New Roman" w:hAnsi="Times New Roman"/>
          <w:iCs/>
          <w:sz w:val="24"/>
          <w:szCs w:val="24"/>
        </w:rPr>
        <w:t xml:space="preserve">Under the </w:t>
      </w:r>
      <w:r w:rsidR="008336DB">
        <w:rPr>
          <w:rFonts w:ascii="Times New Roman" w:hAnsi="Times New Roman"/>
          <w:iCs/>
          <w:sz w:val="24"/>
          <w:szCs w:val="24"/>
        </w:rPr>
        <w:t>program</w:t>
      </w:r>
      <w:r w:rsidRPr="008336DB">
        <w:rPr>
          <w:rFonts w:ascii="Times New Roman" w:hAnsi="Times New Roman"/>
          <w:iCs/>
          <w:sz w:val="24"/>
          <w:szCs w:val="24"/>
        </w:rPr>
        <w:t>, community organisations w</w:t>
      </w:r>
      <w:r w:rsidR="008336DB">
        <w:rPr>
          <w:rFonts w:ascii="Times New Roman" w:hAnsi="Times New Roman"/>
          <w:iCs/>
          <w:sz w:val="24"/>
          <w:szCs w:val="24"/>
        </w:rPr>
        <w:t>ill</w:t>
      </w:r>
      <w:r w:rsidRPr="008336DB">
        <w:rPr>
          <w:rFonts w:ascii="Times New Roman" w:hAnsi="Times New Roman"/>
          <w:iCs/>
          <w:sz w:val="24"/>
          <w:szCs w:val="24"/>
        </w:rPr>
        <w:t xml:space="preserve"> be funded</w:t>
      </w:r>
      <w:r w:rsidR="00E45461" w:rsidRPr="00821916">
        <w:rPr>
          <w:rFonts w:ascii="Times New Roman" w:hAnsi="Times New Roman"/>
          <w:iCs/>
          <w:sz w:val="24"/>
          <w:szCs w:val="24"/>
        </w:rPr>
        <w:t xml:space="preserve"> to improve energy efficiency practices and better manage energy </w:t>
      </w:r>
      <w:r w:rsidR="00A4525E">
        <w:rPr>
          <w:rFonts w:ascii="Times New Roman" w:hAnsi="Times New Roman"/>
          <w:iCs/>
          <w:sz w:val="24"/>
          <w:szCs w:val="24"/>
        </w:rPr>
        <w:t>use</w:t>
      </w:r>
      <w:r w:rsidR="00821916">
        <w:rPr>
          <w:rFonts w:ascii="Times New Roman" w:hAnsi="Times New Roman"/>
          <w:iCs/>
          <w:sz w:val="24"/>
          <w:szCs w:val="24"/>
        </w:rPr>
        <w:t>,</w:t>
      </w:r>
      <w:r w:rsidRPr="008336DB">
        <w:rPr>
          <w:rFonts w:ascii="Times New Roman" w:hAnsi="Times New Roman"/>
          <w:iCs/>
          <w:sz w:val="24"/>
          <w:szCs w:val="24"/>
        </w:rPr>
        <w:t xml:space="preserve"> which will deliver carbon abatement through reduced greenhouse gas emissions. This will result from the upgraded equipment which reduces energy </w:t>
      </w:r>
      <w:r w:rsidR="00A4525E">
        <w:rPr>
          <w:rFonts w:ascii="Times New Roman" w:hAnsi="Times New Roman"/>
          <w:iCs/>
          <w:sz w:val="24"/>
          <w:szCs w:val="24"/>
        </w:rPr>
        <w:t>use</w:t>
      </w:r>
      <w:r w:rsidR="00A4525E" w:rsidRPr="008336DB">
        <w:rPr>
          <w:rFonts w:ascii="Times New Roman" w:hAnsi="Times New Roman"/>
          <w:iCs/>
          <w:sz w:val="24"/>
          <w:szCs w:val="24"/>
        </w:rPr>
        <w:t xml:space="preserve"> </w:t>
      </w:r>
      <w:r w:rsidRPr="008336DB">
        <w:rPr>
          <w:rFonts w:ascii="Times New Roman" w:hAnsi="Times New Roman"/>
          <w:iCs/>
          <w:sz w:val="24"/>
          <w:szCs w:val="24"/>
        </w:rPr>
        <w:t>and actions in response to energy management activities funded under the program. The reduced energy use supported by the program will therefore contribute to Australia’s obligations to reduce greenhouse gas emissions under these treaties.</w:t>
      </w:r>
    </w:p>
    <w:p w14:paraId="31F89E71" w14:textId="7E1C5CD9" w:rsidR="00713D5F" w:rsidRDefault="00713D5F" w:rsidP="000115EE">
      <w:pPr>
        <w:rPr>
          <w:rFonts w:ascii="Times New Roman" w:hAnsi="Times New Roman"/>
          <w:iCs/>
          <w:sz w:val="24"/>
          <w:szCs w:val="24"/>
        </w:rPr>
      </w:pPr>
    </w:p>
    <w:p w14:paraId="62A9FC89" w14:textId="5B4594C7" w:rsidR="00713D5F" w:rsidRDefault="00713D5F" w:rsidP="00713D5F">
      <w:pPr>
        <w:rPr>
          <w:rFonts w:ascii="Times New Roman" w:hAnsi="Times New Roman"/>
          <w:iCs/>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table item</w:t>
      </w:r>
      <w:r>
        <w:rPr>
          <w:rFonts w:ascii="Times New Roman" w:hAnsi="Times New Roman"/>
          <w:b/>
          <w:iCs/>
          <w:sz w:val="24"/>
          <w:szCs w:val="24"/>
        </w:rPr>
        <w:t xml:space="preserve"> 451</w:t>
      </w:r>
      <w:r w:rsidRPr="00DC5E86">
        <w:rPr>
          <w:rFonts w:ascii="Times New Roman" w:hAnsi="Times New Roman"/>
          <w:iCs/>
          <w:sz w:val="24"/>
          <w:szCs w:val="24"/>
        </w:rPr>
        <w:t xml:space="preserve"> establishes legislative authority for government spending on the </w:t>
      </w:r>
      <w:r>
        <w:rPr>
          <w:rFonts w:ascii="Times New Roman" w:hAnsi="Times New Roman"/>
          <w:iCs/>
          <w:sz w:val="24"/>
          <w:szCs w:val="24"/>
        </w:rPr>
        <w:t>Building Energy Efficiency Program (the program).</w:t>
      </w:r>
    </w:p>
    <w:p w14:paraId="2E49F002" w14:textId="77777777" w:rsidR="00713D5F" w:rsidRDefault="00713D5F" w:rsidP="00713D5F">
      <w:pPr>
        <w:rPr>
          <w:rFonts w:ascii="Times New Roman" w:hAnsi="Times New Roman"/>
          <w:iCs/>
          <w:sz w:val="24"/>
          <w:szCs w:val="24"/>
        </w:rPr>
      </w:pPr>
    </w:p>
    <w:p w14:paraId="65894734" w14:textId="77777777" w:rsidR="00713D5F" w:rsidRDefault="00713D5F" w:rsidP="00713D5F">
      <w:pPr>
        <w:rPr>
          <w:rFonts w:ascii="Times New Roman" w:hAnsi="Times New Roman"/>
          <w:iCs/>
          <w:sz w:val="24"/>
          <w:szCs w:val="24"/>
        </w:rPr>
      </w:pPr>
      <w:r>
        <w:rPr>
          <w:rFonts w:ascii="Times New Roman" w:hAnsi="Times New Roman"/>
          <w:iCs/>
          <w:sz w:val="24"/>
          <w:szCs w:val="24"/>
        </w:rPr>
        <w:lastRenderedPageBreak/>
        <w:t>Building energy efficiency provides one of the least cost abatement options to support Australia’s greenhouse gas emissions reduction efforts, delivering up to 45 million tonnes in emissions reductions by 2030. Australian households are responsible for around 24 per cent of Australia’s electricity use and 12 per cent of Australia’s greenhouse gas emissions. The commercial building sector is responsible for around 25 per cent of Australia’s electricity use and 10 per cent of Australia’s greenhouse gas emissions.</w:t>
      </w:r>
    </w:p>
    <w:p w14:paraId="5E7D84DC" w14:textId="77777777" w:rsidR="00713D5F" w:rsidRDefault="00713D5F" w:rsidP="00713D5F">
      <w:pPr>
        <w:rPr>
          <w:rFonts w:ascii="Times New Roman" w:hAnsi="Times New Roman"/>
          <w:iCs/>
          <w:sz w:val="24"/>
          <w:szCs w:val="24"/>
        </w:rPr>
      </w:pPr>
    </w:p>
    <w:p w14:paraId="105EC624" w14:textId="77777777" w:rsidR="00713D5F" w:rsidRDefault="00713D5F" w:rsidP="00713D5F">
      <w:pPr>
        <w:rPr>
          <w:rFonts w:ascii="Times New Roman" w:hAnsi="Times New Roman"/>
          <w:iCs/>
          <w:sz w:val="24"/>
          <w:szCs w:val="24"/>
        </w:rPr>
      </w:pPr>
      <w:r>
        <w:rPr>
          <w:rFonts w:ascii="Times New Roman" w:hAnsi="Times New Roman"/>
          <w:iCs/>
          <w:sz w:val="24"/>
          <w:szCs w:val="24"/>
        </w:rPr>
        <w:t xml:space="preserve">The program is part of the Government’s $1.9 billion investment package in future technologies to lower greenhouse gas emissions, which would support jobs, cut costs for households and improve the reliability of Australia’s energy supply. The package was jointly announced by the Prime Minister, the Hon Scott Morrison MP, and the Minister for Energy and Emissions Reduction, the Hon Angus Taylor MP, on 17 September 2020 (media release is available at </w:t>
      </w:r>
      <w:r w:rsidRPr="008439B8">
        <w:rPr>
          <w:rFonts w:ascii="Times New Roman" w:hAnsi="Times New Roman"/>
          <w:iCs/>
          <w:sz w:val="24"/>
          <w:szCs w:val="24"/>
          <w:u w:val="single"/>
        </w:rPr>
        <w:t>https://www.pm.gov.au/media/investment-new-energy-technologies</w:t>
      </w:r>
      <w:r>
        <w:rPr>
          <w:rFonts w:ascii="Times New Roman" w:hAnsi="Times New Roman"/>
          <w:iCs/>
          <w:sz w:val="24"/>
          <w:szCs w:val="24"/>
        </w:rPr>
        <w:t xml:space="preserve">). </w:t>
      </w:r>
    </w:p>
    <w:p w14:paraId="1EE3FADE" w14:textId="77777777" w:rsidR="00713D5F" w:rsidRDefault="00713D5F" w:rsidP="00713D5F">
      <w:pPr>
        <w:rPr>
          <w:rFonts w:ascii="Times New Roman" w:hAnsi="Times New Roman"/>
          <w:iCs/>
          <w:sz w:val="24"/>
          <w:szCs w:val="24"/>
        </w:rPr>
      </w:pPr>
    </w:p>
    <w:p w14:paraId="2B1BDB6F" w14:textId="77777777" w:rsidR="00713D5F" w:rsidRDefault="00713D5F" w:rsidP="00713D5F">
      <w:pPr>
        <w:rPr>
          <w:rFonts w:ascii="Times New Roman" w:hAnsi="Times New Roman"/>
          <w:iCs/>
          <w:sz w:val="24"/>
          <w:szCs w:val="24"/>
        </w:rPr>
      </w:pPr>
      <w:r>
        <w:rPr>
          <w:rFonts w:ascii="Times New Roman" w:hAnsi="Times New Roman"/>
          <w:iCs/>
          <w:sz w:val="24"/>
          <w:szCs w:val="24"/>
        </w:rPr>
        <w:t xml:space="preserve">The program will address information barriers in relation to energy efficiency identified in the </w:t>
      </w:r>
      <w:r w:rsidRPr="0091649A">
        <w:rPr>
          <w:rFonts w:ascii="Times New Roman" w:hAnsi="Times New Roman"/>
          <w:i/>
          <w:iCs/>
          <w:sz w:val="24"/>
          <w:szCs w:val="24"/>
        </w:rPr>
        <w:t>Report of the Expert Panel examining additional sources of low cost abatement</w:t>
      </w:r>
      <w:r>
        <w:rPr>
          <w:rFonts w:ascii="Times New Roman" w:hAnsi="Times New Roman"/>
          <w:iCs/>
          <w:sz w:val="24"/>
          <w:szCs w:val="24"/>
        </w:rPr>
        <w:t xml:space="preserve"> (the King Review) – </w:t>
      </w:r>
      <w:r w:rsidRPr="003A279A">
        <w:rPr>
          <w:rFonts w:ascii="Times New Roman" w:hAnsi="Times New Roman"/>
          <w:iCs/>
          <w:sz w:val="24"/>
          <w:szCs w:val="24"/>
        </w:rPr>
        <w:t>recommendations 8.2, 8.3,</w:t>
      </w:r>
      <w:r w:rsidRPr="00B7568B">
        <w:rPr>
          <w:rFonts w:ascii="Times New Roman" w:hAnsi="Times New Roman"/>
          <w:iCs/>
          <w:sz w:val="24"/>
          <w:szCs w:val="24"/>
        </w:rPr>
        <w:t xml:space="preserve"> 8.4 and 8.5</w:t>
      </w:r>
      <w:r>
        <w:rPr>
          <w:rFonts w:ascii="Times New Roman" w:hAnsi="Times New Roman"/>
          <w:iCs/>
          <w:sz w:val="24"/>
          <w:szCs w:val="24"/>
        </w:rPr>
        <w:t xml:space="preserve">. The King Review is available at </w:t>
      </w:r>
      <w:r w:rsidRPr="003A279A">
        <w:rPr>
          <w:rFonts w:ascii="Times New Roman" w:hAnsi="Times New Roman"/>
          <w:iCs/>
          <w:sz w:val="24"/>
          <w:szCs w:val="24"/>
          <w:u w:val="single"/>
        </w:rPr>
        <w:t>https://www.industry.gov.au/data-and-publications/examining-additional-sources-of-low-cost-abatement-expert-panel-report</w:t>
      </w:r>
      <w:r>
        <w:rPr>
          <w:rFonts w:ascii="Times New Roman" w:hAnsi="Times New Roman"/>
          <w:iCs/>
          <w:sz w:val="24"/>
          <w:szCs w:val="24"/>
        </w:rPr>
        <w:t xml:space="preserve">. </w:t>
      </w:r>
    </w:p>
    <w:p w14:paraId="66BE016C" w14:textId="77777777" w:rsidR="00713D5F" w:rsidRDefault="00713D5F" w:rsidP="00713D5F">
      <w:pPr>
        <w:rPr>
          <w:rFonts w:ascii="Times New Roman" w:hAnsi="Times New Roman"/>
          <w:iCs/>
          <w:sz w:val="24"/>
          <w:szCs w:val="24"/>
        </w:rPr>
      </w:pPr>
    </w:p>
    <w:p w14:paraId="22496CBF" w14:textId="77777777" w:rsidR="00713D5F" w:rsidRPr="008B05F8" w:rsidRDefault="00713D5F" w:rsidP="00713D5F">
      <w:pPr>
        <w:rPr>
          <w:rFonts w:ascii="Times New Roman" w:hAnsi="Times New Roman"/>
          <w:iCs/>
          <w:sz w:val="24"/>
          <w:szCs w:val="24"/>
        </w:rPr>
      </w:pPr>
      <w:r>
        <w:rPr>
          <w:rFonts w:ascii="Times New Roman" w:hAnsi="Times New Roman"/>
          <w:iCs/>
          <w:sz w:val="24"/>
          <w:szCs w:val="24"/>
        </w:rPr>
        <w:t xml:space="preserve">The Government’s investment package in future technologies supports actions under the first </w:t>
      </w:r>
      <w:r w:rsidRPr="00FA3213">
        <w:rPr>
          <w:rFonts w:ascii="Times New Roman" w:hAnsi="Times New Roman"/>
          <w:i/>
          <w:iCs/>
          <w:sz w:val="24"/>
          <w:szCs w:val="24"/>
        </w:rPr>
        <w:t>Low Emissions Technology Statement</w:t>
      </w:r>
      <w:r>
        <w:rPr>
          <w:rFonts w:ascii="Times New Roman" w:hAnsi="Times New Roman"/>
          <w:iCs/>
          <w:sz w:val="24"/>
          <w:szCs w:val="24"/>
        </w:rPr>
        <w:t xml:space="preserve"> (the Statement) in the </w:t>
      </w:r>
      <w:r w:rsidRPr="00454854">
        <w:rPr>
          <w:rFonts w:ascii="Times New Roman" w:hAnsi="Times New Roman"/>
          <w:i/>
          <w:iCs/>
          <w:sz w:val="24"/>
          <w:szCs w:val="24"/>
        </w:rPr>
        <w:t>Technology Investment Roadmap</w:t>
      </w:r>
      <w:r>
        <w:rPr>
          <w:rFonts w:ascii="Times New Roman" w:hAnsi="Times New Roman"/>
          <w:iCs/>
          <w:sz w:val="24"/>
          <w:szCs w:val="24"/>
        </w:rPr>
        <w:t xml:space="preserve"> (the Roadmap)</w:t>
      </w:r>
      <w:r w:rsidRPr="008B05F8">
        <w:rPr>
          <w:rFonts w:ascii="Times New Roman" w:hAnsi="Times New Roman"/>
          <w:iCs/>
          <w:sz w:val="24"/>
          <w:szCs w:val="24"/>
        </w:rPr>
        <w:t>,</w:t>
      </w:r>
      <w:r>
        <w:rPr>
          <w:rFonts w:ascii="Times New Roman" w:hAnsi="Times New Roman"/>
          <w:iCs/>
          <w:sz w:val="24"/>
          <w:szCs w:val="24"/>
        </w:rPr>
        <w:t xml:space="preserve"> which was prepared with advice from the Ministerial Reference Panel chaired by Australia’s Chief Scientist, Dr Alan Finkel AO. The Statement is available at </w:t>
      </w:r>
      <w:r w:rsidRPr="00454854">
        <w:rPr>
          <w:rFonts w:ascii="Times New Roman" w:hAnsi="Times New Roman"/>
          <w:iCs/>
          <w:sz w:val="24"/>
          <w:szCs w:val="24"/>
          <w:u w:val="single"/>
        </w:rPr>
        <w:t>https://www.industry.gov.au/data-and-publications/technology-investment-roadmap-first-low-emissions-technology-statement-2020</w:t>
      </w:r>
      <w:r>
        <w:rPr>
          <w:rFonts w:ascii="Times New Roman" w:hAnsi="Times New Roman"/>
          <w:iCs/>
          <w:sz w:val="24"/>
          <w:szCs w:val="24"/>
        </w:rPr>
        <w:t>.</w:t>
      </w:r>
      <w:r w:rsidRPr="008B05F8">
        <w:rPr>
          <w:rFonts w:ascii="Times New Roman" w:hAnsi="Times New Roman"/>
          <w:iCs/>
          <w:sz w:val="24"/>
          <w:szCs w:val="24"/>
        </w:rPr>
        <w:t xml:space="preserve"> The discussion paper for the Roadmap, which </w:t>
      </w:r>
      <w:r>
        <w:rPr>
          <w:rFonts w:ascii="Times New Roman" w:hAnsi="Times New Roman"/>
          <w:iCs/>
          <w:sz w:val="24"/>
          <w:szCs w:val="24"/>
        </w:rPr>
        <w:t>informed the Statement</w:t>
      </w:r>
      <w:r w:rsidRPr="008B05F8">
        <w:rPr>
          <w:rFonts w:ascii="Times New Roman" w:hAnsi="Times New Roman"/>
          <w:iCs/>
          <w:sz w:val="24"/>
          <w:szCs w:val="24"/>
        </w:rPr>
        <w:t xml:space="preserve">, is available at </w:t>
      </w:r>
      <w:hyperlink r:id="rId15" w:history="1">
        <w:r w:rsidRPr="008B05F8">
          <w:rPr>
            <w:rFonts w:ascii="Times New Roman" w:hAnsi="Times New Roman"/>
            <w:iCs/>
            <w:sz w:val="24"/>
            <w:szCs w:val="24"/>
            <w:u w:val="single"/>
          </w:rPr>
          <w:t>https://consult.industry.gov.au/climate-change/technology-investment-roadmap</w:t>
        </w:r>
      </w:hyperlink>
      <w:r w:rsidRPr="008B05F8">
        <w:rPr>
          <w:rFonts w:ascii="Times New Roman" w:hAnsi="Times New Roman"/>
          <w:iCs/>
          <w:sz w:val="24"/>
          <w:szCs w:val="24"/>
        </w:rPr>
        <w:t>.</w:t>
      </w:r>
    </w:p>
    <w:p w14:paraId="75DD8D10" w14:textId="77777777" w:rsidR="00713D5F" w:rsidRDefault="00713D5F" w:rsidP="00713D5F">
      <w:pPr>
        <w:rPr>
          <w:rFonts w:ascii="Times New Roman" w:hAnsi="Times New Roman"/>
          <w:iCs/>
          <w:sz w:val="24"/>
          <w:szCs w:val="24"/>
        </w:rPr>
      </w:pPr>
    </w:p>
    <w:p w14:paraId="4F79890F" w14:textId="148B718A" w:rsidR="00713D5F" w:rsidRDefault="00713D5F" w:rsidP="00713D5F">
      <w:pPr>
        <w:rPr>
          <w:rFonts w:ascii="Times New Roman" w:hAnsi="Times New Roman"/>
          <w:iCs/>
          <w:sz w:val="24"/>
          <w:szCs w:val="24"/>
        </w:rPr>
      </w:pPr>
      <w:r>
        <w:rPr>
          <w:rFonts w:ascii="Times New Roman" w:hAnsi="Times New Roman"/>
          <w:iCs/>
          <w:sz w:val="24"/>
          <w:szCs w:val="24"/>
        </w:rPr>
        <w:t xml:space="preserve">The program will also support the implementation of the former Council of Australian Governments (COAG) Energy Council’s </w:t>
      </w:r>
      <w:r w:rsidRPr="00B641BB">
        <w:rPr>
          <w:rFonts w:ascii="Times New Roman" w:hAnsi="Times New Roman"/>
          <w:i/>
          <w:iCs/>
          <w:sz w:val="24"/>
          <w:szCs w:val="24"/>
        </w:rPr>
        <w:t>Trajectory for Low Energy Buildings</w:t>
      </w:r>
      <w:r>
        <w:rPr>
          <w:rFonts w:ascii="Times New Roman" w:hAnsi="Times New Roman"/>
          <w:iCs/>
          <w:sz w:val="24"/>
          <w:szCs w:val="24"/>
        </w:rPr>
        <w:t xml:space="preserve"> and its Addendum (the Trajectory), a roadmap which was agreed by Energy Ministers in 2019 to deliver a range of energy effient improvements for both new and existing buildings. The Trajectory is available at </w:t>
      </w:r>
      <w:r w:rsidRPr="00527E40">
        <w:rPr>
          <w:rFonts w:ascii="Times New Roman" w:hAnsi="Times New Roman"/>
          <w:iCs/>
          <w:sz w:val="24"/>
          <w:szCs w:val="24"/>
          <w:u w:val="single"/>
        </w:rPr>
        <w:t>http://coagenergycouncil.gov.au/publications/trajectory-low-energy-buildings</w:t>
      </w:r>
      <w:r>
        <w:rPr>
          <w:rFonts w:ascii="Times New Roman" w:hAnsi="Times New Roman"/>
          <w:iCs/>
          <w:sz w:val="24"/>
          <w:szCs w:val="24"/>
        </w:rPr>
        <w:t>.</w:t>
      </w:r>
    </w:p>
    <w:p w14:paraId="048BF42C" w14:textId="77777777" w:rsidR="00713D5F" w:rsidRDefault="00713D5F" w:rsidP="00713D5F">
      <w:pPr>
        <w:rPr>
          <w:rFonts w:ascii="Times New Roman" w:hAnsi="Times New Roman"/>
          <w:iCs/>
          <w:sz w:val="24"/>
          <w:szCs w:val="24"/>
        </w:rPr>
      </w:pPr>
    </w:p>
    <w:p w14:paraId="0822E8CC" w14:textId="77777777" w:rsidR="00713D5F" w:rsidRDefault="00713D5F" w:rsidP="00713D5F">
      <w:pPr>
        <w:rPr>
          <w:rFonts w:ascii="Times New Roman" w:hAnsi="Times New Roman"/>
          <w:iCs/>
          <w:sz w:val="24"/>
          <w:szCs w:val="24"/>
        </w:rPr>
      </w:pPr>
      <w:r w:rsidRPr="00527E40">
        <w:rPr>
          <w:rFonts w:ascii="Times New Roman" w:hAnsi="Times New Roman"/>
          <w:iCs/>
          <w:sz w:val="24"/>
          <w:szCs w:val="24"/>
        </w:rPr>
        <w:t xml:space="preserve">The objective of the </w:t>
      </w:r>
      <w:r>
        <w:rPr>
          <w:rFonts w:ascii="Times New Roman" w:hAnsi="Times New Roman"/>
          <w:iCs/>
          <w:sz w:val="24"/>
          <w:szCs w:val="24"/>
        </w:rPr>
        <w:t>program i</w:t>
      </w:r>
      <w:r w:rsidRPr="00527E40">
        <w:rPr>
          <w:rFonts w:ascii="Times New Roman" w:hAnsi="Times New Roman"/>
          <w:iCs/>
          <w:sz w:val="24"/>
          <w:szCs w:val="24"/>
        </w:rPr>
        <w:t>s to reduce energy use, improve energy efficiency and energy productivity</w:t>
      </w:r>
      <w:r>
        <w:rPr>
          <w:rFonts w:ascii="Times New Roman" w:hAnsi="Times New Roman"/>
          <w:iCs/>
          <w:sz w:val="24"/>
          <w:szCs w:val="24"/>
        </w:rPr>
        <w:t xml:space="preserve"> </w:t>
      </w:r>
      <w:r w:rsidRPr="00527E40">
        <w:rPr>
          <w:rFonts w:ascii="Times New Roman" w:hAnsi="Times New Roman"/>
          <w:iCs/>
          <w:sz w:val="24"/>
          <w:szCs w:val="24"/>
        </w:rPr>
        <w:t xml:space="preserve">(which essentially means doing more using the same or less energy), and </w:t>
      </w:r>
      <w:r>
        <w:rPr>
          <w:rFonts w:ascii="Times New Roman" w:hAnsi="Times New Roman"/>
          <w:iCs/>
          <w:sz w:val="24"/>
          <w:szCs w:val="24"/>
        </w:rPr>
        <w:t>deliver carbon abatement in buildings</w:t>
      </w:r>
      <w:r w:rsidRPr="00527E40">
        <w:rPr>
          <w:rFonts w:ascii="Times New Roman" w:hAnsi="Times New Roman"/>
          <w:iCs/>
          <w:sz w:val="24"/>
          <w:szCs w:val="24"/>
        </w:rPr>
        <w:t xml:space="preserve">. This will result from actions </w:t>
      </w:r>
      <w:r>
        <w:rPr>
          <w:rFonts w:ascii="Times New Roman" w:hAnsi="Times New Roman"/>
          <w:iCs/>
          <w:sz w:val="24"/>
          <w:szCs w:val="24"/>
        </w:rPr>
        <w:t>being taken</w:t>
      </w:r>
      <w:r w:rsidRPr="00527E40">
        <w:rPr>
          <w:rFonts w:ascii="Times New Roman" w:hAnsi="Times New Roman"/>
          <w:iCs/>
          <w:sz w:val="24"/>
          <w:szCs w:val="24"/>
        </w:rPr>
        <w:t xml:space="preserve"> in response to the building energy efficiency information, </w:t>
      </w:r>
      <w:r>
        <w:rPr>
          <w:rFonts w:ascii="Times New Roman" w:hAnsi="Times New Roman"/>
          <w:iCs/>
          <w:sz w:val="24"/>
          <w:szCs w:val="24"/>
        </w:rPr>
        <w:t xml:space="preserve">training resources, </w:t>
      </w:r>
      <w:r w:rsidRPr="00527E40">
        <w:rPr>
          <w:rFonts w:ascii="Times New Roman" w:hAnsi="Times New Roman"/>
          <w:iCs/>
          <w:sz w:val="24"/>
          <w:szCs w:val="24"/>
        </w:rPr>
        <w:t>rat</w:t>
      </w:r>
      <w:r>
        <w:rPr>
          <w:rFonts w:ascii="Times New Roman" w:hAnsi="Times New Roman"/>
          <w:iCs/>
          <w:sz w:val="24"/>
          <w:szCs w:val="24"/>
        </w:rPr>
        <w:t>ings and tools funded under the p</w:t>
      </w:r>
      <w:r w:rsidRPr="00527E40">
        <w:rPr>
          <w:rFonts w:ascii="Times New Roman" w:hAnsi="Times New Roman"/>
          <w:iCs/>
          <w:sz w:val="24"/>
          <w:szCs w:val="24"/>
        </w:rPr>
        <w:t xml:space="preserve">rogram. </w:t>
      </w:r>
      <w:r w:rsidRPr="0091649A">
        <w:rPr>
          <w:rFonts w:ascii="Times New Roman" w:hAnsi="Times New Roman"/>
          <w:iCs/>
          <w:sz w:val="24"/>
          <w:szCs w:val="24"/>
        </w:rPr>
        <w:t>The target group</w:t>
      </w:r>
      <w:r>
        <w:rPr>
          <w:rFonts w:ascii="Times New Roman" w:hAnsi="Times New Roman"/>
          <w:iCs/>
          <w:sz w:val="24"/>
          <w:szCs w:val="24"/>
        </w:rPr>
        <w:t xml:space="preserve"> for the program </w:t>
      </w:r>
      <w:r w:rsidRPr="0091649A">
        <w:rPr>
          <w:rFonts w:ascii="Times New Roman" w:hAnsi="Times New Roman"/>
          <w:iCs/>
          <w:sz w:val="24"/>
          <w:szCs w:val="24"/>
        </w:rPr>
        <w:t xml:space="preserve">is industry (including builders, designers and managers of both residential and commercial buildings) and consumers (including building owners). </w:t>
      </w:r>
    </w:p>
    <w:p w14:paraId="3E497F0D" w14:textId="77777777" w:rsidR="00713D5F" w:rsidRDefault="00713D5F" w:rsidP="00713D5F">
      <w:pPr>
        <w:rPr>
          <w:rFonts w:ascii="Times New Roman" w:hAnsi="Times New Roman"/>
          <w:iCs/>
          <w:sz w:val="24"/>
          <w:szCs w:val="24"/>
        </w:rPr>
      </w:pPr>
    </w:p>
    <w:p w14:paraId="249BDE41" w14:textId="77777777" w:rsidR="00713D5F" w:rsidRDefault="00713D5F" w:rsidP="00713D5F">
      <w:pPr>
        <w:rPr>
          <w:rFonts w:ascii="Times New Roman" w:hAnsi="Times New Roman"/>
          <w:iCs/>
          <w:sz w:val="24"/>
          <w:szCs w:val="24"/>
        </w:rPr>
      </w:pPr>
      <w:r>
        <w:rPr>
          <w:rFonts w:ascii="Times New Roman" w:hAnsi="Times New Roman"/>
          <w:iCs/>
          <w:sz w:val="24"/>
          <w:szCs w:val="24"/>
        </w:rPr>
        <w:t>The program will support the following activities:</w:t>
      </w:r>
    </w:p>
    <w:p w14:paraId="0AAA36DD" w14:textId="77777777" w:rsidR="00713D5F" w:rsidRDefault="00713D5F" w:rsidP="00713D5F">
      <w:pPr>
        <w:pStyle w:val="ListParagraph"/>
        <w:numPr>
          <w:ilvl w:val="0"/>
          <w:numId w:val="19"/>
        </w:numPr>
        <w:ind w:right="57"/>
        <w:contextualSpacing w:val="0"/>
        <w:rPr>
          <w:rFonts w:cs="Times New Roman"/>
        </w:rPr>
      </w:pPr>
      <w:r w:rsidRPr="66592093">
        <w:rPr>
          <w:rFonts w:cs="Times New Roman"/>
        </w:rPr>
        <w:t>d</w:t>
      </w:r>
      <w:r>
        <w:t xml:space="preserve">evelopment of best practice information, training resources and tools to improve the energy efficiency and performance of residential and commercial buildings, which will </w:t>
      </w:r>
      <w:r w:rsidRPr="66592093">
        <w:rPr>
          <w:rFonts w:cs="Times New Roman"/>
        </w:rPr>
        <w:t>enable greater consumer choice and increase skills in the industry;</w:t>
      </w:r>
    </w:p>
    <w:p w14:paraId="3F076832" w14:textId="77777777" w:rsidR="00713D5F" w:rsidRPr="00724E9C" w:rsidRDefault="00713D5F" w:rsidP="00713D5F">
      <w:pPr>
        <w:pStyle w:val="ListParagraph"/>
        <w:numPr>
          <w:ilvl w:val="1"/>
          <w:numId w:val="19"/>
        </w:numPr>
        <w:ind w:left="1276" w:right="57" w:hanging="567"/>
        <w:contextualSpacing w:val="0"/>
        <w:rPr>
          <w:rFonts w:cs="Times New Roman"/>
        </w:rPr>
      </w:pPr>
      <w:r w:rsidRPr="66592093">
        <w:rPr>
          <w:rFonts w:cs="Times New Roman"/>
          <w:color w:val="000000"/>
        </w:rPr>
        <w:t>This will include new zero energy ready house plans and analysis, whole</w:t>
      </w:r>
      <w:r w:rsidRPr="66592093">
        <w:rPr>
          <w:rFonts w:cs="Times New Roman"/>
          <w:color w:val="000000"/>
        </w:rPr>
        <w:noBreakHyphen/>
        <w:t>of</w:t>
      </w:r>
      <w:r w:rsidRPr="00724E9C">
        <w:rPr>
          <w:rFonts w:cs="Times New Roman"/>
          <w:color w:val="000000"/>
          <w:szCs w:val="24"/>
        </w:rPr>
        <w:noBreakHyphen/>
      </w:r>
      <w:r w:rsidRPr="66592093">
        <w:rPr>
          <w:rFonts w:cs="Times New Roman"/>
          <w:color w:val="000000"/>
        </w:rPr>
        <w:t>home energy rating tools</w:t>
      </w:r>
      <w:r>
        <w:rPr>
          <w:rFonts w:cs="Times New Roman"/>
          <w:color w:val="000000"/>
        </w:rPr>
        <w:t xml:space="preserve"> for new and existing residential buildings</w:t>
      </w:r>
      <w:r w:rsidRPr="66592093">
        <w:rPr>
          <w:rFonts w:cs="Times New Roman"/>
          <w:color w:val="000000"/>
        </w:rPr>
        <w:t xml:space="preserve">, </w:t>
      </w:r>
      <w:r w:rsidRPr="66592093">
        <w:rPr>
          <w:rFonts w:cs="Times New Roman"/>
          <w:color w:val="000000"/>
        </w:rPr>
        <w:lastRenderedPageBreak/>
        <w:t>information materials to support energy efficient precincts, and the rollout of associated training resources. Th</w:t>
      </w:r>
      <w:r>
        <w:rPr>
          <w:rFonts w:cs="Times New Roman"/>
          <w:color w:val="000000"/>
        </w:rPr>
        <w:t>ese information resources and energy rating tools</w:t>
      </w:r>
      <w:r w:rsidRPr="66592093">
        <w:rPr>
          <w:rFonts w:cs="Times New Roman"/>
          <w:color w:val="000000"/>
        </w:rPr>
        <w:t xml:space="preserve"> will connect industry to training opportunities</w:t>
      </w:r>
      <w:r w:rsidRPr="66592093" w:rsidDel="0085362C">
        <w:rPr>
          <w:rFonts w:cs="Times New Roman"/>
          <w:color w:val="000000"/>
        </w:rPr>
        <w:t xml:space="preserve"> </w:t>
      </w:r>
      <w:r>
        <w:rPr>
          <w:rFonts w:cs="Times New Roman"/>
          <w:color w:val="000000"/>
        </w:rPr>
        <w:t>being developed and implemented by industry sectors,</w:t>
      </w:r>
      <w:r w:rsidRPr="66592093">
        <w:rPr>
          <w:rFonts w:cs="Times New Roman"/>
          <w:color w:val="000000"/>
        </w:rPr>
        <w:t xml:space="preserve"> and build on successful online platforms such as Your Home </w:t>
      </w:r>
      <w:r w:rsidRPr="66592093">
        <w:t>(</w:t>
      </w:r>
      <w:r w:rsidRPr="66592093">
        <w:rPr>
          <w:u w:val="single"/>
        </w:rPr>
        <w:t>yourhome.gov.au</w:t>
      </w:r>
      <w:r w:rsidRPr="66592093">
        <w:t>)</w:t>
      </w:r>
      <w:r w:rsidRPr="66592093">
        <w:rPr>
          <w:rFonts w:cs="Times New Roman"/>
          <w:color w:val="000000"/>
        </w:rPr>
        <w:t>. The department will deliver this program activity.</w:t>
      </w:r>
    </w:p>
    <w:p w14:paraId="1A350A94" w14:textId="77777777" w:rsidR="00713D5F" w:rsidRDefault="00713D5F" w:rsidP="00713D5F">
      <w:pPr>
        <w:pStyle w:val="ListParagraph"/>
        <w:numPr>
          <w:ilvl w:val="0"/>
          <w:numId w:val="19"/>
        </w:numPr>
        <w:ind w:right="57"/>
        <w:contextualSpacing w:val="0"/>
        <w:rPr>
          <w:rFonts w:cs="Times New Roman"/>
        </w:rPr>
      </w:pPr>
      <w:r w:rsidRPr="66592093">
        <w:rPr>
          <w:rFonts w:cs="Times New Roman"/>
        </w:rPr>
        <w:t>expansion of the National Australian Built Environment Rating System (NABERS);</w:t>
      </w:r>
    </w:p>
    <w:p w14:paraId="7FE37D05" w14:textId="77777777" w:rsidR="00713D5F" w:rsidRDefault="00713D5F" w:rsidP="00713D5F">
      <w:pPr>
        <w:pStyle w:val="ListParagraph"/>
        <w:numPr>
          <w:ilvl w:val="1"/>
          <w:numId w:val="19"/>
        </w:numPr>
        <w:ind w:left="1276" w:right="57" w:hanging="567"/>
        <w:contextualSpacing w:val="0"/>
        <w:rPr>
          <w:rFonts w:cs="Times New Roman"/>
        </w:rPr>
      </w:pPr>
      <w:r w:rsidRPr="66592093">
        <w:rPr>
          <w:rFonts w:cs="Times New Roman"/>
        </w:rPr>
        <w:t>NABERS (</w:t>
      </w:r>
      <w:r w:rsidRPr="66592093">
        <w:rPr>
          <w:u w:val="single"/>
        </w:rPr>
        <w:t>nabers.gov.au</w:t>
      </w:r>
      <w:r>
        <w:t xml:space="preserve">) </w:t>
      </w:r>
      <w:r w:rsidRPr="66592093">
        <w:rPr>
          <w:rFonts w:cs="Times New Roman"/>
        </w:rPr>
        <w:t>is a national voluntary rating system that measures the environmental performance of Australian buildings, tenancies and homes, including energy efficiency. Energy rating tools are available for office buildings, hotels, shopping centres, data centres, apartment buildings and public hospitals. NABERS will be expanded to suitable building types in other sectors such as residential aged care and retirement living, retail stores, schools, and industrial buildings (for example, warehouses). NABERS is administered by the NSW Department of Planning, Industry and Environment (DPIE), with oversight provided by an intergovernmental steering committee chaired by the Australian Government. The DPIE will deliver this program activity.</w:t>
      </w:r>
    </w:p>
    <w:p w14:paraId="55401DEE" w14:textId="77777777" w:rsidR="00713D5F" w:rsidRDefault="00713D5F" w:rsidP="00713D5F">
      <w:pPr>
        <w:pStyle w:val="ListParagraph"/>
        <w:numPr>
          <w:ilvl w:val="0"/>
          <w:numId w:val="19"/>
        </w:numPr>
        <w:ind w:right="57"/>
        <w:contextualSpacing w:val="0"/>
        <w:rPr>
          <w:rFonts w:cs="Times New Roman"/>
        </w:rPr>
      </w:pPr>
      <w:r>
        <w:rPr>
          <w:rFonts w:cs="Times New Roman"/>
        </w:rPr>
        <w:t>d</w:t>
      </w:r>
      <w:r w:rsidRPr="00AA4E9D">
        <w:rPr>
          <w:rFonts w:cs="Times New Roman"/>
        </w:rPr>
        <w:t>evelopment of a voluntary energy performance certification to cover the remaining 15 per cent of building</w:t>
      </w:r>
      <w:r>
        <w:rPr>
          <w:rFonts w:cs="Times New Roman"/>
        </w:rPr>
        <w:t>s</w:t>
      </w:r>
      <w:r w:rsidRPr="00AA4E9D">
        <w:rPr>
          <w:rFonts w:cs="Times New Roman"/>
        </w:rPr>
        <w:t xml:space="preserve"> not covered by NABERS rating tool</w:t>
      </w:r>
      <w:r>
        <w:rPr>
          <w:rFonts w:cs="Times New Roman"/>
        </w:rPr>
        <w:t>s;</w:t>
      </w:r>
    </w:p>
    <w:p w14:paraId="17C909B5" w14:textId="77777777" w:rsidR="00713D5F" w:rsidRPr="00AA4E9D" w:rsidRDefault="00713D5F" w:rsidP="00713D5F">
      <w:pPr>
        <w:pStyle w:val="ListParagraph"/>
        <w:numPr>
          <w:ilvl w:val="1"/>
          <w:numId w:val="19"/>
        </w:numPr>
        <w:ind w:left="1276" w:right="57" w:hanging="567"/>
        <w:contextualSpacing w:val="0"/>
        <w:rPr>
          <w:rFonts w:cs="Times New Roman"/>
        </w:rPr>
      </w:pPr>
      <w:r w:rsidRPr="00AA4E9D">
        <w:rPr>
          <w:rFonts w:cs="Times New Roman"/>
        </w:rPr>
        <w:t xml:space="preserve">While NABERS rating tools work well for sectors such as offices and hotels, there are some sectors where buildings are too variable for a rating tool to be viable. These buildings will be targeted by a voluntary energy performance certification instead. </w:t>
      </w:r>
      <w:r>
        <w:rPr>
          <w:rFonts w:cs="Times New Roman"/>
        </w:rPr>
        <w:t xml:space="preserve">The </w:t>
      </w:r>
      <w:r w:rsidRPr="00AA4E9D">
        <w:rPr>
          <w:rFonts w:cs="Times New Roman"/>
        </w:rPr>
        <w:t xml:space="preserve">DPIE will provide basic energy use information for these building owners, allowing them to establish a baseline understanding and take steps to </w:t>
      </w:r>
      <w:r>
        <w:rPr>
          <w:rFonts w:cs="Times New Roman"/>
        </w:rPr>
        <w:t>reduce their energy use</w:t>
      </w:r>
      <w:r w:rsidRPr="00AA4E9D">
        <w:rPr>
          <w:rFonts w:cs="Times New Roman"/>
        </w:rPr>
        <w:t xml:space="preserve">. </w:t>
      </w:r>
      <w:r>
        <w:rPr>
          <w:rFonts w:cs="Times New Roman"/>
        </w:rPr>
        <w:t xml:space="preserve">The </w:t>
      </w:r>
      <w:r w:rsidRPr="00AA4E9D">
        <w:rPr>
          <w:rFonts w:cs="Times New Roman"/>
        </w:rPr>
        <w:t xml:space="preserve">DPIE will deliver this program activity, with an oversight from the NABERS steering committee. </w:t>
      </w:r>
    </w:p>
    <w:p w14:paraId="16861ADB" w14:textId="77777777" w:rsidR="00713D5F" w:rsidRDefault="00713D5F" w:rsidP="00713D5F">
      <w:pPr>
        <w:pStyle w:val="ListParagraph"/>
        <w:numPr>
          <w:ilvl w:val="0"/>
          <w:numId w:val="19"/>
        </w:numPr>
        <w:ind w:right="57"/>
        <w:contextualSpacing w:val="0"/>
        <w:rPr>
          <w:rFonts w:cs="Times New Roman"/>
        </w:rPr>
      </w:pPr>
      <w:r w:rsidRPr="66592093">
        <w:rPr>
          <w:rFonts w:cs="Times New Roman"/>
        </w:rPr>
        <w:t xml:space="preserve">expansion of the </w:t>
      </w:r>
      <w:r>
        <w:t xml:space="preserve">Nationwide House Energy Rating Scheme (NatHERS) to include </w:t>
      </w:r>
      <w:r w:rsidRPr="66592093">
        <w:rPr>
          <w:rFonts w:cs="Times New Roman"/>
        </w:rPr>
        <w:t>whole-of-home assessments;</w:t>
      </w:r>
    </w:p>
    <w:p w14:paraId="31C0FC95" w14:textId="3F3BD307" w:rsidR="00713D5F" w:rsidRDefault="00713D5F" w:rsidP="00713D5F">
      <w:pPr>
        <w:pStyle w:val="ListParagraph"/>
        <w:numPr>
          <w:ilvl w:val="1"/>
          <w:numId w:val="19"/>
        </w:numPr>
        <w:ind w:left="1276" w:right="57" w:hanging="567"/>
        <w:contextualSpacing w:val="0"/>
        <w:rPr>
          <w:rFonts w:cs="Times New Roman"/>
        </w:rPr>
      </w:pPr>
      <w:r w:rsidRPr="66592093">
        <w:rPr>
          <w:rFonts w:cs="Times New Roman"/>
        </w:rPr>
        <w:t xml:space="preserve">NatHERS </w:t>
      </w:r>
      <w:r>
        <w:t>(</w:t>
      </w:r>
      <w:r w:rsidRPr="66592093">
        <w:rPr>
          <w:u w:val="single"/>
        </w:rPr>
        <w:t>nathers.gov.au</w:t>
      </w:r>
      <w:r>
        <w:t xml:space="preserve">) </w:t>
      </w:r>
      <w:r w:rsidRPr="66592093">
        <w:rPr>
          <w:rFonts w:cs="Times New Roman"/>
        </w:rPr>
        <w:t>is a star rating system (out of ten) that rates the energy efficiency of a new home based on its design. Currently, NatHERS provides an assessment and rating of a home’s thermal performance based on the home’s design,</w:t>
      </w:r>
      <w:r w:rsidR="009D6AD3">
        <w:rPr>
          <w:rFonts w:cs="Times New Roman"/>
        </w:rPr>
        <w:t xml:space="preserve"> </w:t>
      </w:r>
      <w:bookmarkStart w:id="0" w:name="_GoBack"/>
      <w:bookmarkEnd w:id="0"/>
      <w:r w:rsidRPr="66592093">
        <w:rPr>
          <w:rFonts w:cs="Times New Roman"/>
        </w:rPr>
        <w:t>construction materials and the climate where it is being built. NatHERS is one of the pathways in the National Construction Code (NCC) to demonstrate compliance with minimum energy requirements.</w:t>
      </w:r>
    </w:p>
    <w:p w14:paraId="53A69C5F" w14:textId="77777777" w:rsidR="00713D5F" w:rsidRDefault="00713D5F" w:rsidP="00713D5F">
      <w:pPr>
        <w:pStyle w:val="ListParagraph"/>
        <w:numPr>
          <w:ilvl w:val="1"/>
          <w:numId w:val="19"/>
        </w:numPr>
        <w:ind w:left="1276" w:right="57" w:hanging="567"/>
        <w:contextualSpacing w:val="0"/>
        <w:rPr>
          <w:rFonts w:cs="Times New Roman"/>
        </w:rPr>
      </w:pPr>
      <w:r w:rsidRPr="66592093">
        <w:rPr>
          <w:rFonts w:cs="Times New Roman"/>
        </w:rPr>
        <w:t>Expansion of NatHERS to offer information and tools to assess and rate the energy performance of the whole home, including the energy performance of the appliances (heating and cooling appliances, hot water systems, lighting, and pool pumps), will enable least cost compliance with the future changes to energy efficiency provisions for residential buildings in the NCC (expected to commence in 2022). The department will deliver this program activity.</w:t>
      </w:r>
    </w:p>
    <w:p w14:paraId="39C9C3DA" w14:textId="77777777" w:rsidR="00713D5F" w:rsidRPr="003A5A53" w:rsidRDefault="00713D5F" w:rsidP="00713D5F">
      <w:pPr>
        <w:pStyle w:val="ListParagraph"/>
        <w:numPr>
          <w:ilvl w:val="1"/>
          <w:numId w:val="19"/>
        </w:numPr>
        <w:ind w:left="1276" w:right="57" w:hanging="567"/>
        <w:contextualSpacing w:val="0"/>
        <w:rPr>
          <w:rFonts w:cs="Times New Roman"/>
        </w:rPr>
      </w:pPr>
      <w:r w:rsidRPr="66592093">
        <w:rPr>
          <w:rFonts w:cs="Times New Roman"/>
        </w:rPr>
        <w:t>NatHERS is administered by the Australian Government on behalf of Energy Ministers and state and territory governments. NatHERS activities are overseen by a steering committee, which includes representatives from the Australian Government and all state and territory governments. The Australian Building Codes Board is responsible for implementing changes to the NCC, which take effect through state and territory regulations.</w:t>
      </w:r>
    </w:p>
    <w:p w14:paraId="0C6B45C9" w14:textId="77777777" w:rsidR="00713D5F" w:rsidRDefault="00713D5F" w:rsidP="00713D5F">
      <w:pPr>
        <w:pStyle w:val="ListParagraph"/>
        <w:numPr>
          <w:ilvl w:val="0"/>
          <w:numId w:val="19"/>
        </w:numPr>
        <w:ind w:right="57"/>
        <w:contextualSpacing w:val="0"/>
        <w:rPr>
          <w:rFonts w:cs="Times New Roman"/>
        </w:rPr>
      </w:pPr>
      <w:r w:rsidRPr="66592093">
        <w:rPr>
          <w:rFonts w:cs="Times New Roman"/>
        </w:rPr>
        <w:t>delivery of a voluntary home energy rating scheme and energy efficiency disclosure framework for existing homes supported by extension of NatHERS to include existing home assessments</w:t>
      </w:r>
      <w:r>
        <w:t>; and</w:t>
      </w:r>
    </w:p>
    <w:p w14:paraId="0A60DD5B" w14:textId="77777777" w:rsidR="00713D5F" w:rsidRPr="00520D5E" w:rsidRDefault="00713D5F" w:rsidP="00713D5F">
      <w:pPr>
        <w:pStyle w:val="ListParagraph"/>
        <w:numPr>
          <w:ilvl w:val="1"/>
          <w:numId w:val="19"/>
        </w:numPr>
        <w:ind w:left="1276" w:right="57" w:hanging="567"/>
        <w:contextualSpacing w:val="0"/>
        <w:rPr>
          <w:rFonts w:cs="Times New Roman"/>
        </w:rPr>
      </w:pPr>
      <w:r w:rsidRPr="66592093">
        <w:rPr>
          <w:rFonts w:cs="Times New Roman"/>
        </w:rPr>
        <w:lastRenderedPageBreak/>
        <w:t>NatHERS is currently used primarily for rating new homes. There are around nine million existing homes in Australia. Energy Ministers agreed to leverage NatHERS to deliver a home energy rating scheme for existing homes. They also agreed to establish a national framework for energy efficiency disclosure, which outlines the settings for disclosure schemes that can be adopted and implemented by states and territories. The department will deliver this program activity</w:t>
      </w:r>
      <w:r>
        <w:rPr>
          <w:rFonts w:cs="Times New Roman"/>
        </w:rPr>
        <w:t>.</w:t>
      </w:r>
      <w:r w:rsidRPr="66592093">
        <w:rPr>
          <w:rFonts w:cs="Times New Roman"/>
        </w:rPr>
        <w:t xml:space="preserve"> </w:t>
      </w:r>
    </w:p>
    <w:p w14:paraId="41189B6A" w14:textId="77777777" w:rsidR="00713D5F" w:rsidRDefault="00713D5F" w:rsidP="00713D5F">
      <w:pPr>
        <w:pStyle w:val="ListParagraph"/>
        <w:numPr>
          <w:ilvl w:val="0"/>
          <w:numId w:val="19"/>
        </w:numPr>
        <w:ind w:right="57"/>
        <w:contextualSpacing w:val="0"/>
        <w:rPr>
          <w:rFonts w:cs="Times New Roman"/>
        </w:rPr>
      </w:pPr>
      <w:r w:rsidRPr="66592093">
        <w:rPr>
          <w:rFonts w:cs="Times New Roman"/>
        </w:rPr>
        <w:t xml:space="preserve">encouraging building owners to replace old, inefficient heating, ventilation and air conditioning (HVAC) systems. </w:t>
      </w:r>
    </w:p>
    <w:p w14:paraId="680F038D" w14:textId="77777777" w:rsidR="00713D5F" w:rsidRPr="00A9049D" w:rsidRDefault="00713D5F" w:rsidP="00713D5F">
      <w:pPr>
        <w:pStyle w:val="ListParagraph"/>
        <w:numPr>
          <w:ilvl w:val="1"/>
          <w:numId w:val="19"/>
        </w:numPr>
        <w:ind w:left="1276" w:right="57" w:hanging="567"/>
        <w:contextualSpacing w:val="0"/>
        <w:rPr>
          <w:rFonts w:cs="Times New Roman"/>
        </w:rPr>
      </w:pPr>
      <w:r w:rsidRPr="66592093">
        <w:rPr>
          <w:rFonts w:cs="Times New Roman"/>
        </w:rPr>
        <w:t>The department will engage expert engineering firms to provide energy assessments of HVAC systems in a target group of ageing mid-tier buildings. This activity will be targeted at building owners and technicians to support upgrading to more energy efficient systems and encouraging market growth for new HVAC technologies.</w:t>
      </w:r>
    </w:p>
    <w:p w14:paraId="23083475" w14:textId="77777777" w:rsidR="00713D5F" w:rsidRDefault="00713D5F" w:rsidP="00713D5F">
      <w:pPr>
        <w:rPr>
          <w:rFonts w:ascii="Times New Roman" w:hAnsi="Times New Roman"/>
          <w:iCs/>
          <w:sz w:val="24"/>
          <w:szCs w:val="24"/>
        </w:rPr>
      </w:pPr>
    </w:p>
    <w:p w14:paraId="0CD12621" w14:textId="77777777" w:rsidR="00713D5F" w:rsidRDefault="00713D5F" w:rsidP="00713D5F">
      <w:pPr>
        <w:rPr>
          <w:rFonts w:ascii="Times New Roman" w:hAnsi="Times New Roman"/>
          <w:iCs/>
          <w:sz w:val="24"/>
          <w:szCs w:val="24"/>
        </w:rPr>
      </w:pPr>
      <w:r>
        <w:rPr>
          <w:rFonts w:ascii="Times New Roman" w:hAnsi="Times New Roman"/>
          <w:iCs/>
          <w:sz w:val="24"/>
          <w:szCs w:val="24"/>
        </w:rPr>
        <w:t xml:space="preserve">Government spending on the program activities will take the form of </w:t>
      </w:r>
      <w:r w:rsidRPr="00BD2E12">
        <w:rPr>
          <w:rFonts w:ascii="Times New Roman" w:hAnsi="Times New Roman"/>
          <w:iCs/>
          <w:sz w:val="24"/>
          <w:szCs w:val="24"/>
        </w:rPr>
        <w:t>procurement</w:t>
      </w:r>
      <w:r>
        <w:rPr>
          <w:rFonts w:ascii="Times New Roman" w:hAnsi="Times New Roman"/>
          <w:iCs/>
          <w:sz w:val="24"/>
          <w:szCs w:val="24"/>
        </w:rPr>
        <w:t>s of</w:t>
      </w:r>
      <w:r w:rsidRPr="00BD2E12">
        <w:rPr>
          <w:rFonts w:ascii="Times New Roman" w:hAnsi="Times New Roman"/>
          <w:iCs/>
          <w:sz w:val="24"/>
          <w:szCs w:val="24"/>
        </w:rPr>
        <w:t xml:space="preserve"> services</w:t>
      </w:r>
      <w:r>
        <w:rPr>
          <w:rFonts w:ascii="Times New Roman" w:hAnsi="Times New Roman"/>
          <w:iCs/>
          <w:sz w:val="24"/>
          <w:szCs w:val="24"/>
        </w:rPr>
        <w:t xml:space="preserve"> such as</w:t>
      </w:r>
      <w:r w:rsidRPr="00BD2E12">
        <w:rPr>
          <w:rFonts w:ascii="Times New Roman" w:hAnsi="Times New Roman"/>
          <w:iCs/>
          <w:sz w:val="24"/>
          <w:szCs w:val="24"/>
        </w:rPr>
        <w:t xml:space="preserve"> reports and expert advice. Funding for NABERS </w:t>
      </w:r>
      <w:r>
        <w:rPr>
          <w:rFonts w:ascii="Times New Roman" w:hAnsi="Times New Roman"/>
          <w:iCs/>
          <w:sz w:val="24"/>
          <w:szCs w:val="24"/>
        </w:rPr>
        <w:t xml:space="preserve">related activities will be provided </w:t>
      </w:r>
      <w:r w:rsidRPr="00BD2E12">
        <w:rPr>
          <w:rFonts w:ascii="Times New Roman" w:hAnsi="Times New Roman"/>
          <w:iCs/>
          <w:sz w:val="24"/>
          <w:szCs w:val="24"/>
        </w:rPr>
        <w:t xml:space="preserve">to </w:t>
      </w:r>
      <w:r>
        <w:rPr>
          <w:rFonts w:ascii="Times New Roman" w:hAnsi="Times New Roman"/>
          <w:iCs/>
          <w:sz w:val="24"/>
          <w:szCs w:val="24"/>
        </w:rPr>
        <w:t xml:space="preserve">the DPIE as </w:t>
      </w:r>
      <w:r w:rsidRPr="00DA4073">
        <w:rPr>
          <w:rFonts w:ascii="Times New Roman" w:hAnsi="Times New Roman"/>
          <w:iCs/>
          <w:sz w:val="24"/>
          <w:szCs w:val="24"/>
        </w:rPr>
        <w:t>financial assistance provided to a State in accordance with section 96 of the Constitution</w:t>
      </w:r>
      <w:r w:rsidRPr="00BD2E12">
        <w:rPr>
          <w:rFonts w:ascii="Times New Roman" w:hAnsi="Times New Roman"/>
          <w:iCs/>
          <w:sz w:val="24"/>
          <w:szCs w:val="24"/>
        </w:rPr>
        <w:t xml:space="preserve">. </w:t>
      </w:r>
    </w:p>
    <w:p w14:paraId="4EB06740" w14:textId="77777777" w:rsidR="00713D5F" w:rsidRDefault="00713D5F" w:rsidP="00713D5F">
      <w:pPr>
        <w:rPr>
          <w:rFonts w:ascii="Times New Roman" w:hAnsi="Times New Roman"/>
          <w:iCs/>
          <w:sz w:val="24"/>
          <w:szCs w:val="24"/>
        </w:rPr>
      </w:pPr>
    </w:p>
    <w:p w14:paraId="6075E2FB" w14:textId="77777777" w:rsidR="00713D5F" w:rsidRDefault="00713D5F" w:rsidP="00713D5F">
      <w:pPr>
        <w:rPr>
          <w:rFonts w:ascii="Times New Roman" w:hAnsi="Times New Roman"/>
          <w:iCs/>
          <w:sz w:val="24"/>
          <w:szCs w:val="24"/>
        </w:rPr>
      </w:pPr>
      <w:r>
        <w:rPr>
          <w:rFonts w:ascii="Times New Roman" w:hAnsi="Times New Roman"/>
          <w:iCs/>
          <w:sz w:val="24"/>
          <w:szCs w:val="24"/>
        </w:rPr>
        <w:t xml:space="preserve">Procurement methods may involve open tender, limited tender and procurements from existing arrangements, with all activities conducted and reported in accordance with the </w:t>
      </w:r>
      <w:r w:rsidRPr="00F058A7">
        <w:rPr>
          <w:rFonts w:ascii="Times New Roman" w:hAnsi="Times New Roman"/>
          <w:i/>
          <w:iCs/>
          <w:sz w:val="24"/>
          <w:szCs w:val="24"/>
        </w:rPr>
        <w:t>Public Governance, Performance and Accountability Act 2013</w:t>
      </w:r>
      <w:r>
        <w:rPr>
          <w:rFonts w:ascii="Times New Roman" w:hAnsi="Times New Roman"/>
          <w:iCs/>
          <w:sz w:val="24"/>
          <w:szCs w:val="24"/>
        </w:rPr>
        <w:t xml:space="preserve"> and the </w:t>
      </w:r>
      <w:r w:rsidRPr="00F058A7">
        <w:rPr>
          <w:rFonts w:ascii="Times New Roman" w:hAnsi="Times New Roman"/>
          <w:i/>
          <w:iCs/>
          <w:sz w:val="24"/>
          <w:szCs w:val="24"/>
        </w:rPr>
        <w:t>Commonwealth Procurement Rules</w:t>
      </w:r>
      <w:r>
        <w:rPr>
          <w:rFonts w:ascii="Times New Roman" w:hAnsi="Times New Roman"/>
          <w:iCs/>
          <w:sz w:val="24"/>
          <w:szCs w:val="24"/>
        </w:rPr>
        <w:t xml:space="preserve">. Procurement decisions will be made by delegates of the Secretary of the department, and information about </w:t>
      </w:r>
      <w:r w:rsidRPr="00BD2E12">
        <w:rPr>
          <w:rFonts w:ascii="Times New Roman" w:hAnsi="Times New Roman"/>
          <w:iCs/>
          <w:sz w:val="24"/>
          <w:szCs w:val="24"/>
        </w:rPr>
        <w:t>open tender</w:t>
      </w:r>
      <w:r>
        <w:rPr>
          <w:rFonts w:ascii="Times New Roman" w:hAnsi="Times New Roman"/>
          <w:iCs/>
          <w:sz w:val="24"/>
          <w:szCs w:val="24"/>
        </w:rPr>
        <w:t>s</w:t>
      </w:r>
      <w:r w:rsidRPr="00BD2E12">
        <w:rPr>
          <w:rFonts w:ascii="Times New Roman" w:hAnsi="Times New Roman"/>
          <w:iCs/>
          <w:sz w:val="24"/>
          <w:szCs w:val="24"/>
        </w:rPr>
        <w:t xml:space="preserve"> and successful procurements will be available on AusTender (</w:t>
      </w:r>
      <w:hyperlink r:id="rId16">
        <w:r w:rsidRPr="66592093">
          <w:rPr>
            <w:rFonts w:ascii="Times New Roman" w:hAnsi="Times New Roman"/>
            <w:sz w:val="24"/>
            <w:szCs w:val="24"/>
            <w:u w:val="single"/>
          </w:rPr>
          <w:t>www.tenders.gov.au</w:t>
        </w:r>
      </w:hyperlink>
      <w:r w:rsidRPr="66592093">
        <w:rPr>
          <w:rFonts w:ascii="Times New Roman" w:hAnsi="Times New Roman"/>
          <w:sz w:val="24"/>
          <w:szCs w:val="24"/>
        </w:rPr>
        <w:t>).</w:t>
      </w:r>
    </w:p>
    <w:p w14:paraId="2591A422" w14:textId="77777777" w:rsidR="00713D5F" w:rsidRDefault="00713D5F" w:rsidP="00713D5F">
      <w:pPr>
        <w:rPr>
          <w:rFonts w:ascii="Times New Roman" w:hAnsi="Times New Roman"/>
          <w:iCs/>
          <w:sz w:val="24"/>
          <w:szCs w:val="24"/>
        </w:rPr>
      </w:pPr>
    </w:p>
    <w:p w14:paraId="5F5263DF" w14:textId="77777777" w:rsidR="00713D5F" w:rsidRPr="00DC5E86" w:rsidRDefault="00713D5F" w:rsidP="00713D5F">
      <w:pPr>
        <w:pStyle w:val="BoswellMediaHeader"/>
        <w:jc w:val="left"/>
        <w:rPr>
          <w:rFonts w:ascii="Times New Roman" w:hAnsi="Times New Roman"/>
          <w:sz w:val="24"/>
          <w:szCs w:val="24"/>
        </w:rPr>
      </w:pPr>
      <w:r>
        <w:rPr>
          <w:rFonts w:ascii="Times New Roman" w:hAnsi="Times New Roman"/>
          <w:iCs/>
          <w:sz w:val="24"/>
          <w:szCs w:val="24"/>
        </w:rPr>
        <w:t xml:space="preserve">Funding decisions made in connection with the program are not considered suitable for independent merits review, as they are </w:t>
      </w:r>
      <w:r w:rsidRPr="66592093">
        <w:rPr>
          <w:rFonts w:ascii="Times New Roman" w:hAnsi="Times New Roman"/>
          <w:sz w:val="24"/>
          <w:szCs w:val="24"/>
        </w:rPr>
        <w:t xml:space="preserve">decisions relating to the allocation of a finite resource, from which all potential claims for a share of the resource cannot be met. In addition, any funding that has already been allocated to a selected service provider would be affected if the original decision was overturned. The Administrative Review Council has recognised that it is justifiable to exclude merits review in relation to decisions of this nature (see paragraphs 4.11 to 4.19 of the guide, </w:t>
      </w:r>
      <w:r w:rsidRPr="66592093">
        <w:rPr>
          <w:rFonts w:ascii="Times New Roman" w:hAnsi="Times New Roman"/>
          <w:i/>
          <w:sz w:val="24"/>
          <w:szCs w:val="24"/>
        </w:rPr>
        <w:t>What decisions should be subject to merit review?</w:t>
      </w:r>
      <w:r w:rsidRPr="66592093">
        <w:rPr>
          <w:rFonts w:ascii="Times New Roman" w:hAnsi="Times New Roman"/>
          <w:sz w:val="24"/>
          <w:szCs w:val="24"/>
        </w:rPr>
        <w:t>).</w:t>
      </w:r>
    </w:p>
    <w:p w14:paraId="76CE52B3" w14:textId="77777777" w:rsidR="00713D5F" w:rsidRPr="00BD2E12" w:rsidRDefault="00713D5F" w:rsidP="00713D5F">
      <w:pPr>
        <w:rPr>
          <w:rFonts w:ascii="Times New Roman" w:hAnsi="Times New Roman"/>
          <w:iCs/>
          <w:sz w:val="24"/>
          <w:szCs w:val="24"/>
        </w:rPr>
      </w:pPr>
    </w:p>
    <w:p w14:paraId="6447A46C" w14:textId="77777777" w:rsidR="00713D5F" w:rsidRDefault="00713D5F" w:rsidP="00713D5F">
      <w:pPr>
        <w:rPr>
          <w:rFonts w:ascii="Times New Roman" w:hAnsi="Times New Roman"/>
          <w:iCs/>
          <w:sz w:val="24"/>
          <w:szCs w:val="24"/>
        </w:rPr>
      </w:pPr>
      <w:r>
        <w:rPr>
          <w:rFonts w:ascii="Times New Roman" w:hAnsi="Times New Roman"/>
          <w:iCs/>
          <w:sz w:val="24"/>
          <w:szCs w:val="24"/>
        </w:rPr>
        <w:t>C</w:t>
      </w:r>
      <w:r w:rsidRPr="0083300F">
        <w:rPr>
          <w:rFonts w:ascii="Times New Roman" w:hAnsi="Times New Roman"/>
          <w:iCs/>
          <w:sz w:val="24"/>
          <w:szCs w:val="24"/>
        </w:rPr>
        <w:t xml:space="preserve">overed procurements </w:t>
      </w:r>
      <w:r>
        <w:rPr>
          <w:rFonts w:ascii="Times New Roman" w:hAnsi="Times New Roman"/>
          <w:iCs/>
          <w:sz w:val="24"/>
          <w:szCs w:val="24"/>
        </w:rPr>
        <w:t xml:space="preserve">under the program </w:t>
      </w:r>
      <w:r w:rsidRPr="0083300F">
        <w:rPr>
          <w:rFonts w:ascii="Times New Roman" w:hAnsi="Times New Roman"/>
          <w:iCs/>
          <w:sz w:val="24"/>
          <w:szCs w:val="24"/>
        </w:rPr>
        <w:t xml:space="preserve">will be subject to the </w:t>
      </w:r>
      <w:r w:rsidRPr="00A36C03">
        <w:rPr>
          <w:rFonts w:ascii="Times New Roman" w:hAnsi="Times New Roman"/>
          <w:i/>
          <w:iCs/>
          <w:sz w:val="24"/>
          <w:szCs w:val="24"/>
        </w:rPr>
        <w:t>Government Procurement (Judicial Review) Act 2018</w:t>
      </w:r>
      <w:r w:rsidRPr="0083300F">
        <w:rPr>
          <w:rFonts w:ascii="Times New Roman" w:hAnsi="Times New Roman"/>
          <w:iCs/>
          <w:sz w:val="24"/>
          <w:szCs w:val="24"/>
        </w:rPr>
        <w:t>.</w:t>
      </w:r>
    </w:p>
    <w:p w14:paraId="2B7BA5C4" w14:textId="77777777" w:rsidR="00713D5F" w:rsidRPr="0083300F" w:rsidRDefault="00713D5F" w:rsidP="00713D5F">
      <w:pPr>
        <w:rPr>
          <w:rFonts w:ascii="Times New Roman" w:hAnsi="Times New Roman"/>
          <w:iCs/>
          <w:sz w:val="24"/>
          <w:szCs w:val="24"/>
        </w:rPr>
      </w:pPr>
    </w:p>
    <w:p w14:paraId="41932493" w14:textId="77777777" w:rsidR="00713D5F" w:rsidRPr="0083300F" w:rsidRDefault="00713D5F" w:rsidP="00713D5F">
      <w:pPr>
        <w:pStyle w:val="BoswellMediaHeader"/>
        <w:jc w:val="left"/>
        <w:rPr>
          <w:rFonts w:ascii="Times New Roman" w:hAnsi="Times New Roman"/>
          <w:iCs/>
          <w:sz w:val="24"/>
          <w:szCs w:val="24"/>
        </w:rPr>
      </w:pPr>
      <w:r w:rsidRPr="0083300F">
        <w:rPr>
          <w:rFonts w:ascii="Times New Roman" w:hAnsi="Times New Roman"/>
          <w:iCs/>
          <w:sz w:val="24"/>
          <w:szCs w:val="24"/>
        </w:rPr>
        <w:t xml:space="preserve">Persons who are otherwise affected by decisions or who have complaints about the </w:t>
      </w:r>
      <w:r>
        <w:rPr>
          <w:rFonts w:ascii="Times New Roman" w:hAnsi="Times New Roman"/>
          <w:iCs/>
          <w:sz w:val="24"/>
          <w:szCs w:val="24"/>
        </w:rPr>
        <w:t>p</w:t>
      </w:r>
      <w:r w:rsidRPr="0083300F">
        <w:rPr>
          <w:rFonts w:ascii="Times New Roman" w:hAnsi="Times New Roman"/>
          <w:iCs/>
          <w:sz w:val="24"/>
          <w:szCs w:val="24"/>
        </w:rPr>
        <w:t xml:space="preserve">rogram will also have recourse to the </w:t>
      </w:r>
      <w:r>
        <w:rPr>
          <w:rFonts w:ascii="Times New Roman" w:hAnsi="Times New Roman"/>
          <w:iCs/>
          <w:sz w:val="24"/>
          <w:szCs w:val="24"/>
        </w:rPr>
        <w:t>d</w:t>
      </w:r>
      <w:r w:rsidRPr="0083300F">
        <w:rPr>
          <w:rFonts w:ascii="Times New Roman" w:hAnsi="Times New Roman"/>
          <w:iCs/>
          <w:sz w:val="24"/>
          <w:szCs w:val="24"/>
        </w:rPr>
        <w:t>epartment</w:t>
      </w:r>
      <w:r>
        <w:rPr>
          <w:rFonts w:ascii="Times New Roman" w:hAnsi="Times New Roman"/>
          <w:iCs/>
          <w:sz w:val="24"/>
          <w:szCs w:val="24"/>
        </w:rPr>
        <w:t xml:space="preserve">, which will </w:t>
      </w:r>
      <w:r w:rsidRPr="0083300F">
        <w:rPr>
          <w:rFonts w:ascii="Times New Roman" w:hAnsi="Times New Roman"/>
          <w:iCs/>
          <w:sz w:val="24"/>
          <w:szCs w:val="24"/>
        </w:rPr>
        <w:t xml:space="preserve">investigate any complaints about the </w:t>
      </w:r>
      <w:r>
        <w:rPr>
          <w:rFonts w:ascii="Times New Roman" w:hAnsi="Times New Roman"/>
          <w:iCs/>
          <w:sz w:val="24"/>
          <w:szCs w:val="24"/>
        </w:rPr>
        <w:t>p</w:t>
      </w:r>
      <w:r w:rsidRPr="0083300F">
        <w:rPr>
          <w:rFonts w:ascii="Times New Roman" w:hAnsi="Times New Roman"/>
          <w:iCs/>
          <w:sz w:val="24"/>
          <w:szCs w:val="24"/>
        </w:rPr>
        <w:t>rogram in accordance with its complaints policy and procedures (</w:t>
      </w:r>
      <w:r w:rsidRPr="00A36C03">
        <w:rPr>
          <w:rFonts w:ascii="Times New Roman" w:hAnsi="Times New Roman"/>
          <w:iCs/>
          <w:sz w:val="24"/>
          <w:szCs w:val="24"/>
          <w:u w:val="single"/>
        </w:rPr>
        <w:t>www.industry.gov.au/about-us/contact-us/complaints-and-feedback</w:t>
      </w:r>
      <w:r w:rsidRPr="0083300F">
        <w:rPr>
          <w:rFonts w:ascii="Times New Roman" w:hAnsi="Times New Roman"/>
          <w:iCs/>
          <w:sz w:val="24"/>
          <w:szCs w:val="24"/>
        </w:rPr>
        <w:t>). If a person is not satisfied with the way the department handles the complaint, they may lodge a complaint with the Commonwealth Ombudsman.</w:t>
      </w:r>
    </w:p>
    <w:p w14:paraId="44EEE31C" w14:textId="77777777" w:rsidR="00713D5F" w:rsidRDefault="00713D5F" w:rsidP="00713D5F">
      <w:pPr>
        <w:pStyle w:val="BoswellMediaHeader"/>
        <w:jc w:val="left"/>
        <w:rPr>
          <w:rFonts w:ascii="Times New Roman" w:hAnsi="Times New Roman"/>
          <w:iCs/>
          <w:sz w:val="24"/>
          <w:szCs w:val="24"/>
        </w:rPr>
      </w:pPr>
    </w:p>
    <w:p w14:paraId="1B8B7C7F" w14:textId="77777777" w:rsidR="00713D5F" w:rsidRDefault="00713D5F" w:rsidP="00713D5F">
      <w:pPr>
        <w:rPr>
          <w:rFonts w:ascii="Times New Roman" w:hAnsi="Times New Roman"/>
          <w:iCs/>
          <w:sz w:val="24"/>
          <w:szCs w:val="24"/>
        </w:rPr>
      </w:pPr>
      <w:r w:rsidRPr="00AB7AD6">
        <w:rPr>
          <w:rFonts w:ascii="Times New Roman" w:hAnsi="Times New Roman"/>
          <w:iCs/>
          <w:sz w:val="24"/>
          <w:szCs w:val="24"/>
        </w:rPr>
        <w:t xml:space="preserve">Consultation with relevant stakeholders will occur </w:t>
      </w:r>
      <w:r>
        <w:rPr>
          <w:rFonts w:ascii="Times New Roman" w:hAnsi="Times New Roman"/>
          <w:iCs/>
          <w:sz w:val="24"/>
          <w:szCs w:val="24"/>
        </w:rPr>
        <w:t xml:space="preserve">as part of the work on each </w:t>
      </w:r>
      <w:r w:rsidRPr="00AB7AD6">
        <w:rPr>
          <w:rFonts w:ascii="Times New Roman" w:hAnsi="Times New Roman"/>
          <w:iCs/>
          <w:sz w:val="24"/>
          <w:szCs w:val="24"/>
        </w:rPr>
        <w:t xml:space="preserve">program </w:t>
      </w:r>
      <w:r>
        <w:rPr>
          <w:rFonts w:ascii="Times New Roman" w:hAnsi="Times New Roman"/>
          <w:iCs/>
          <w:sz w:val="24"/>
          <w:szCs w:val="24"/>
        </w:rPr>
        <w:t>activity</w:t>
      </w:r>
      <w:r w:rsidRPr="00AB7AD6">
        <w:rPr>
          <w:rFonts w:ascii="Times New Roman" w:hAnsi="Times New Roman"/>
          <w:iCs/>
          <w:sz w:val="24"/>
          <w:szCs w:val="24"/>
        </w:rPr>
        <w:t xml:space="preserve">, including with industry, industry associations, consumer groups and government bodies. Consultation is ongoing for each </w:t>
      </w:r>
      <w:r>
        <w:rPr>
          <w:rFonts w:ascii="Times New Roman" w:hAnsi="Times New Roman"/>
          <w:iCs/>
          <w:sz w:val="24"/>
          <w:szCs w:val="24"/>
        </w:rPr>
        <w:t>program activity</w:t>
      </w:r>
      <w:r w:rsidRPr="00AB7AD6">
        <w:rPr>
          <w:rFonts w:ascii="Times New Roman" w:hAnsi="Times New Roman"/>
          <w:iCs/>
          <w:sz w:val="24"/>
          <w:szCs w:val="24"/>
        </w:rPr>
        <w:t>.</w:t>
      </w:r>
    </w:p>
    <w:p w14:paraId="5133C703" w14:textId="77777777" w:rsidR="00713D5F" w:rsidRPr="00AB7AD6" w:rsidRDefault="00713D5F" w:rsidP="00713D5F">
      <w:pPr>
        <w:rPr>
          <w:rFonts w:ascii="Times New Roman" w:hAnsi="Times New Roman"/>
          <w:iCs/>
          <w:sz w:val="24"/>
          <w:szCs w:val="24"/>
        </w:rPr>
      </w:pPr>
    </w:p>
    <w:p w14:paraId="4A66A4BE" w14:textId="77777777" w:rsidR="00713D5F" w:rsidRDefault="00713D5F" w:rsidP="00713D5F">
      <w:pPr>
        <w:rPr>
          <w:rFonts w:ascii="Times New Roman" w:hAnsi="Times New Roman"/>
          <w:iCs/>
          <w:sz w:val="24"/>
          <w:szCs w:val="24"/>
        </w:rPr>
      </w:pPr>
      <w:r w:rsidRPr="00AB7AD6">
        <w:rPr>
          <w:rFonts w:ascii="Times New Roman" w:hAnsi="Times New Roman"/>
          <w:iCs/>
          <w:sz w:val="24"/>
          <w:szCs w:val="24"/>
        </w:rPr>
        <w:lastRenderedPageBreak/>
        <w:t>Comprehensive stakeholder consultation on the</w:t>
      </w:r>
      <w:r w:rsidRPr="00AB7AD6">
        <w:rPr>
          <w:rFonts w:ascii="Times New Roman" w:hAnsi="Times New Roman"/>
          <w:i/>
          <w:iCs/>
          <w:sz w:val="24"/>
          <w:szCs w:val="24"/>
        </w:rPr>
        <w:t xml:space="preserve"> Trajectory for Low Energy Buildings</w:t>
      </w:r>
      <w:r w:rsidRPr="00AB7AD6">
        <w:rPr>
          <w:rFonts w:ascii="Times New Roman" w:hAnsi="Times New Roman"/>
          <w:iCs/>
          <w:sz w:val="24"/>
          <w:szCs w:val="24"/>
        </w:rPr>
        <w:t xml:space="preserve"> was undertaken </w:t>
      </w:r>
      <w:r>
        <w:rPr>
          <w:rFonts w:ascii="Times New Roman" w:hAnsi="Times New Roman"/>
          <w:iCs/>
          <w:sz w:val="24"/>
          <w:szCs w:val="24"/>
        </w:rPr>
        <w:t>from</w:t>
      </w:r>
      <w:r w:rsidRPr="00AB7AD6">
        <w:rPr>
          <w:rFonts w:ascii="Times New Roman" w:hAnsi="Times New Roman"/>
          <w:iCs/>
          <w:sz w:val="24"/>
          <w:szCs w:val="24"/>
        </w:rPr>
        <w:t xml:space="preserve"> 2017</w:t>
      </w:r>
      <w:r>
        <w:rPr>
          <w:rFonts w:ascii="Times New Roman" w:hAnsi="Times New Roman"/>
          <w:iCs/>
          <w:sz w:val="24"/>
          <w:szCs w:val="24"/>
        </w:rPr>
        <w:t xml:space="preserve"> to </w:t>
      </w:r>
      <w:r w:rsidRPr="00AB7AD6">
        <w:rPr>
          <w:rFonts w:ascii="Times New Roman" w:hAnsi="Times New Roman"/>
          <w:iCs/>
          <w:sz w:val="24"/>
          <w:szCs w:val="24"/>
        </w:rPr>
        <w:t>2019. This include</w:t>
      </w:r>
      <w:r>
        <w:rPr>
          <w:rFonts w:ascii="Times New Roman" w:hAnsi="Times New Roman"/>
          <w:iCs/>
          <w:sz w:val="24"/>
          <w:szCs w:val="24"/>
        </w:rPr>
        <w:t>d s</w:t>
      </w:r>
      <w:r w:rsidRPr="00AB7AD6">
        <w:rPr>
          <w:rFonts w:ascii="Times New Roman" w:hAnsi="Times New Roman"/>
          <w:iCs/>
          <w:sz w:val="24"/>
          <w:szCs w:val="24"/>
        </w:rPr>
        <w:t xml:space="preserve">tate and </w:t>
      </w:r>
      <w:r>
        <w:rPr>
          <w:rFonts w:ascii="Times New Roman" w:hAnsi="Times New Roman"/>
          <w:iCs/>
          <w:sz w:val="24"/>
          <w:szCs w:val="24"/>
        </w:rPr>
        <w:t>t</w:t>
      </w:r>
      <w:r w:rsidRPr="00AB7AD6">
        <w:rPr>
          <w:rFonts w:ascii="Times New Roman" w:hAnsi="Times New Roman"/>
          <w:iCs/>
          <w:sz w:val="24"/>
          <w:szCs w:val="24"/>
        </w:rPr>
        <w:t xml:space="preserve">erritory </w:t>
      </w:r>
      <w:r>
        <w:rPr>
          <w:rFonts w:ascii="Times New Roman" w:hAnsi="Times New Roman"/>
          <w:iCs/>
          <w:sz w:val="24"/>
          <w:szCs w:val="24"/>
        </w:rPr>
        <w:t>g</w:t>
      </w:r>
      <w:r w:rsidRPr="00AB7AD6">
        <w:rPr>
          <w:rFonts w:ascii="Times New Roman" w:hAnsi="Times New Roman"/>
          <w:iCs/>
          <w:sz w:val="24"/>
          <w:szCs w:val="24"/>
        </w:rPr>
        <w:t xml:space="preserve">overnment </w:t>
      </w:r>
      <w:r>
        <w:rPr>
          <w:rFonts w:ascii="Times New Roman" w:hAnsi="Times New Roman"/>
          <w:iCs/>
          <w:sz w:val="24"/>
          <w:szCs w:val="24"/>
        </w:rPr>
        <w:t>o</w:t>
      </w:r>
      <w:r w:rsidRPr="00AB7AD6">
        <w:rPr>
          <w:rFonts w:ascii="Times New Roman" w:hAnsi="Times New Roman"/>
          <w:iCs/>
          <w:sz w:val="24"/>
          <w:szCs w:val="24"/>
        </w:rPr>
        <w:t xml:space="preserve">fficials, and </w:t>
      </w:r>
      <w:r>
        <w:rPr>
          <w:rFonts w:ascii="Times New Roman" w:hAnsi="Times New Roman"/>
          <w:iCs/>
          <w:sz w:val="24"/>
          <w:szCs w:val="24"/>
        </w:rPr>
        <w:t xml:space="preserve">the </w:t>
      </w:r>
      <w:r w:rsidRPr="00AB7AD6">
        <w:rPr>
          <w:rFonts w:ascii="Times New Roman" w:hAnsi="Times New Roman"/>
          <w:iCs/>
          <w:sz w:val="24"/>
          <w:szCs w:val="24"/>
        </w:rPr>
        <w:t xml:space="preserve">Trajectory Stakeholder Reference Group comprising over 500 stakeholders from industry, consumer groups and peak bodies. </w:t>
      </w:r>
    </w:p>
    <w:p w14:paraId="5ECAE104" w14:textId="77777777" w:rsidR="00713D5F" w:rsidRPr="00AB7AD6" w:rsidRDefault="00713D5F" w:rsidP="00713D5F">
      <w:pPr>
        <w:rPr>
          <w:rFonts w:ascii="Times New Roman" w:hAnsi="Times New Roman"/>
          <w:iCs/>
          <w:sz w:val="24"/>
          <w:szCs w:val="24"/>
        </w:rPr>
      </w:pPr>
    </w:p>
    <w:p w14:paraId="2827480C" w14:textId="77777777" w:rsidR="00713D5F" w:rsidRDefault="00713D5F" w:rsidP="00713D5F">
      <w:pPr>
        <w:rPr>
          <w:rFonts w:ascii="Times New Roman" w:hAnsi="Times New Roman"/>
          <w:iCs/>
          <w:sz w:val="24"/>
          <w:szCs w:val="24"/>
        </w:rPr>
      </w:pPr>
      <w:r w:rsidRPr="00AB7AD6">
        <w:rPr>
          <w:rFonts w:ascii="Times New Roman" w:hAnsi="Times New Roman"/>
          <w:iCs/>
          <w:sz w:val="24"/>
          <w:szCs w:val="24"/>
        </w:rPr>
        <w:t>For NatHERS</w:t>
      </w:r>
      <w:r>
        <w:rPr>
          <w:rFonts w:ascii="Times New Roman" w:hAnsi="Times New Roman"/>
          <w:iCs/>
          <w:sz w:val="24"/>
          <w:szCs w:val="24"/>
        </w:rPr>
        <w:t xml:space="preserve"> related program activities,</w:t>
      </w:r>
      <w:r w:rsidRPr="00AB7AD6">
        <w:rPr>
          <w:rFonts w:ascii="Times New Roman" w:hAnsi="Times New Roman"/>
          <w:iCs/>
          <w:sz w:val="24"/>
          <w:szCs w:val="24"/>
        </w:rPr>
        <w:t xml:space="preserve"> industry stakeholders who are part of the NatHERS Stakeholder Consultative Group and Technical Advisory Committee have been engaged regularly since September 2019. </w:t>
      </w:r>
      <w:r>
        <w:rPr>
          <w:rFonts w:ascii="Times New Roman" w:hAnsi="Times New Roman"/>
          <w:iCs/>
          <w:sz w:val="24"/>
          <w:szCs w:val="24"/>
        </w:rPr>
        <w:t xml:space="preserve">In relation to </w:t>
      </w:r>
      <w:r w:rsidRPr="00AB7AD6">
        <w:rPr>
          <w:rFonts w:ascii="Times New Roman" w:hAnsi="Times New Roman"/>
          <w:iCs/>
          <w:sz w:val="24"/>
          <w:szCs w:val="24"/>
        </w:rPr>
        <w:t>NABERS</w:t>
      </w:r>
      <w:r>
        <w:rPr>
          <w:rFonts w:ascii="Times New Roman" w:hAnsi="Times New Roman"/>
          <w:iCs/>
          <w:sz w:val="24"/>
          <w:szCs w:val="24"/>
        </w:rPr>
        <w:t>, the DPIE</w:t>
      </w:r>
      <w:r w:rsidRPr="00AB7AD6">
        <w:rPr>
          <w:rFonts w:ascii="Times New Roman" w:hAnsi="Times New Roman"/>
          <w:iCs/>
          <w:sz w:val="24"/>
          <w:szCs w:val="24"/>
        </w:rPr>
        <w:t xml:space="preserve"> consults via sector</w:t>
      </w:r>
      <w:r>
        <w:rPr>
          <w:rFonts w:ascii="Times New Roman" w:hAnsi="Times New Roman"/>
          <w:iCs/>
          <w:sz w:val="24"/>
          <w:szCs w:val="24"/>
        </w:rPr>
        <w:t xml:space="preserve"> </w:t>
      </w:r>
      <w:r w:rsidRPr="00AB7AD6">
        <w:rPr>
          <w:rFonts w:ascii="Times New Roman" w:hAnsi="Times New Roman"/>
          <w:iCs/>
          <w:sz w:val="24"/>
          <w:szCs w:val="24"/>
        </w:rPr>
        <w:t xml:space="preserve">specific advisory panels when developing new rating tools. </w:t>
      </w:r>
      <w:r>
        <w:rPr>
          <w:rFonts w:ascii="Times New Roman" w:hAnsi="Times New Roman"/>
          <w:iCs/>
          <w:sz w:val="24"/>
          <w:szCs w:val="24"/>
        </w:rPr>
        <w:t xml:space="preserve">Consultation for </w:t>
      </w:r>
      <w:r w:rsidRPr="00AB7AD6">
        <w:rPr>
          <w:rFonts w:ascii="Times New Roman" w:hAnsi="Times New Roman"/>
          <w:iCs/>
          <w:sz w:val="24"/>
          <w:szCs w:val="24"/>
        </w:rPr>
        <w:t xml:space="preserve">Your Home </w:t>
      </w:r>
      <w:r>
        <w:rPr>
          <w:rFonts w:ascii="Times New Roman" w:hAnsi="Times New Roman"/>
          <w:iCs/>
          <w:sz w:val="24"/>
          <w:szCs w:val="24"/>
        </w:rPr>
        <w:t>online platform occurs</w:t>
      </w:r>
      <w:r w:rsidRPr="00AB7AD6">
        <w:rPr>
          <w:rFonts w:ascii="Times New Roman" w:hAnsi="Times New Roman"/>
          <w:iCs/>
          <w:sz w:val="24"/>
          <w:szCs w:val="24"/>
        </w:rPr>
        <w:t xml:space="preserve"> via a stakeholder consultative group.</w:t>
      </w:r>
    </w:p>
    <w:p w14:paraId="0603B5ED" w14:textId="77777777" w:rsidR="00713D5F" w:rsidRDefault="00713D5F" w:rsidP="00713D5F">
      <w:pPr>
        <w:rPr>
          <w:rFonts w:ascii="Times New Roman" w:hAnsi="Times New Roman"/>
          <w:iCs/>
          <w:sz w:val="24"/>
          <w:szCs w:val="24"/>
        </w:rPr>
      </w:pPr>
    </w:p>
    <w:p w14:paraId="5766F61A" w14:textId="5C9C100E" w:rsidR="00713D5F" w:rsidRPr="006A198E" w:rsidRDefault="00713D5F" w:rsidP="00713D5F">
      <w:pPr>
        <w:rPr>
          <w:rFonts w:ascii="Times New Roman" w:hAnsi="Times New Roman"/>
          <w:iCs/>
          <w:sz w:val="24"/>
          <w:szCs w:val="24"/>
        </w:rPr>
      </w:pPr>
      <w:r w:rsidRPr="006A198E">
        <w:rPr>
          <w:rFonts w:ascii="Times New Roman" w:hAnsi="Times New Roman"/>
          <w:iCs/>
          <w:sz w:val="24"/>
          <w:szCs w:val="24"/>
        </w:rPr>
        <w:t>Funding of $52.2 million over five years</w:t>
      </w:r>
      <w:r>
        <w:rPr>
          <w:rFonts w:ascii="Times New Roman" w:hAnsi="Times New Roman"/>
          <w:iCs/>
          <w:sz w:val="24"/>
          <w:szCs w:val="24"/>
        </w:rPr>
        <w:t xml:space="preserve"> from 2020-21</w:t>
      </w:r>
      <w:r w:rsidR="003A5413">
        <w:rPr>
          <w:rFonts w:ascii="Times New Roman" w:hAnsi="Times New Roman"/>
          <w:iCs/>
          <w:sz w:val="24"/>
          <w:szCs w:val="24"/>
        </w:rPr>
        <w:t xml:space="preserve"> </w:t>
      </w:r>
      <w:r w:rsidRPr="006A198E">
        <w:rPr>
          <w:rFonts w:ascii="Times New Roman" w:hAnsi="Times New Roman"/>
          <w:iCs/>
          <w:sz w:val="24"/>
          <w:szCs w:val="24"/>
        </w:rPr>
        <w:t xml:space="preserve">was included in the 2020-21 Budget under the measure ‘JobMaker Plan – investment in new energy technologies’, including $28.2 million over four years </w:t>
      </w:r>
      <w:r>
        <w:rPr>
          <w:rFonts w:ascii="Times New Roman" w:hAnsi="Times New Roman"/>
          <w:iCs/>
          <w:sz w:val="24"/>
          <w:szCs w:val="24"/>
        </w:rPr>
        <w:t>from</w:t>
      </w:r>
      <w:r w:rsidRPr="006A198E">
        <w:rPr>
          <w:rFonts w:ascii="Times New Roman" w:hAnsi="Times New Roman"/>
          <w:iCs/>
          <w:sz w:val="24"/>
          <w:szCs w:val="24"/>
        </w:rPr>
        <w:t xml:space="preserve"> 2021-22 for the </w:t>
      </w:r>
      <w:r>
        <w:rPr>
          <w:rFonts w:ascii="Times New Roman" w:hAnsi="Times New Roman"/>
          <w:iCs/>
          <w:sz w:val="24"/>
          <w:szCs w:val="24"/>
        </w:rPr>
        <w:t>p</w:t>
      </w:r>
      <w:r w:rsidRPr="006A198E">
        <w:rPr>
          <w:rFonts w:ascii="Times New Roman" w:hAnsi="Times New Roman"/>
          <w:iCs/>
          <w:sz w:val="24"/>
          <w:szCs w:val="24"/>
        </w:rPr>
        <w:t xml:space="preserve">rogram. Details are set out in </w:t>
      </w:r>
      <w:r w:rsidRPr="00BF281A">
        <w:rPr>
          <w:rFonts w:ascii="Times New Roman" w:hAnsi="Times New Roman"/>
          <w:i/>
          <w:iCs/>
          <w:sz w:val="24"/>
          <w:szCs w:val="24"/>
        </w:rPr>
        <w:t>Budget 2020-21, Budget Measures, Budget Paper No. 2 2020-21</w:t>
      </w:r>
      <w:r w:rsidRPr="006A198E">
        <w:rPr>
          <w:rFonts w:ascii="Times New Roman" w:hAnsi="Times New Roman"/>
          <w:iCs/>
          <w:sz w:val="24"/>
          <w:szCs w:val="24"/>
        </w:rPr>
        <w:t xml:space="preserve"> at pages 118 </w:t>
      </w:r>
      <w:r>
        <w:rPr>
          <w:rFonts w:ascii="Times New Roman" w:hAnsi="Times New Roman"/>
          <w:iCs/>
          <w:sz w:val="24"/>
          <w:szCs w:val="24"/>
        </w:rPr>
        <w:t>to</w:t>
      </w:r>
      <w:r w:rsidRPr="006A198E">
        <w:rPr>
          <w:rFonts w:ascii="Times New Roman" w:hAnsi="Times New Roman"/>
          <w:iCs/>
          <w:sz w:val="24"/>
          <w:szCs w:val="24"/>
        </w:rPr>
        <w:t xml:space="preserve"> 119. </w:t>
      </w:r>
    </w:p>
    <w:p w14:paraId="23FC1558" w14:textId="77777777" w:rsidR="00713D5F" w:rsidRPr="006A198E" w:rsidRDefault="00713D5F" w:rsidP="00713D5F">
      <w:pPr>
        <w:rPr>
          <w:rFonts w:ascii="Times New Roman" w:hAnsi="Times New Roman"/>
          <w:iCs/>
          <w:sz w:val="24"/>
          <w:szCs w:val="24"/>
        </w:rPr>
      </w:pPr>
    </w:p>
    <w:p w14:paraId="18CB98E7" w14:textId="77777777" w:rsidR="00713D5F" w:rsidRDefault="00713D5F" w:rsidP="00713D5F">
      <w:pPr>
        <w:rPr>
          <w:rFonts w:ascii="Times New Roman" w:hAnsi="Times New Roman"/>
          <w:iCs/>
          <w:sz w:val="24"/>
          <w:szCs w:val="24"/>
        </w:rPr>
      </w:pPr>
      <w:r w:rsidRPr="006A198E">
        <w:rPr>
          <w:rFonts w:ascii="Times New Roman" w:hAnsi="Times New Roman"/>
          <w:iCs/>
          <w:sz w:val="24"/>
          <w:szCs w:val="24"/>
        </w:rPr>
        <w:t xml:space="preserve">Funding of $10.9 million </w:t>
      </w:r>
      <w:r>
        <w:rPr>
          <w:rFonts w:ascii="Times New Roman" w:hAnsi="Times New Roman"/>
          <w:iCs/>
          <w:sz w:val="24"/>
          <w:szCs w:val="24"/>
        </w:rPr>
        <w:t>in</w:t>
      </w:r>
      <w:r w:rsidRPr="006A198E">
        <w:rPr>
          <w:rFonts w:ascii="Times New Roman" w:hAnsi="Times New Roman"/>
          <w:iCs/>
          <w:sz w:val="24"/>
          <w:szCs w:val="24"/>
        </w:rPr>
        <w:t xml:space="preserve"> 2020-21</w:t>
      </w:r>
      <w:r>
        <w:rPr>
          <w:rFonts w:ascii="Times New Roman" w:hAnsi="Times New Roman"/>
          <w:iCs/>
          <w:sz w:val="24"/>
          <w:szCs w:val="24"/>
        </w:rPr>
        <w:t xml:space="preserve"> for the program</w:t>
      </w:r>
      <w:r w:rsidRPr="006A198E">
        <w:rPr>
          <w:rFonts w:ascii="Times New Roman" w:hAnsi="Times New Roman"/>
          <w:iCs/>
          <w:sz w:val="24"/>
          <w:szCs w:val="24"/>
        </w:rPr>
        <w:t xml:space="preserve"> was </w:t>
      </w:r>
      <w:r>
        <w:rPr>
          <w:rFonts w:ascii="Times New Roman" w:hAnsi="Times New Roman"/>
          <w:iCs/>
          <w:sz w:val="24"/>
          <w:szCs w:val="24"/>
        </w:rPr>
        <w:t xml:space="preserve">also </w:t>
      </w:r>
      <w:r w:rsidRPr="006A198E">
        <w:rPr>
          <w:rFonts w:ascii="Times New Roman" w:hAnsi="Times New Roman"/>
          <w:iCs/>
          <w:sz w:val="24"/>
          <w:szCs w:val="24"/>
        </w:rPr>
        <w:t>included in the 2019-20 Mid</w:t>
      </w:r>
      <w:r>
        <w:rPr>
          <w:rFonts w:ascii="Times New Roman" w:hAnsi="Times New Roman"/>
          <w:iCs/>
          <w:sz w:val="24"/>
          <w:szCs w:val="24"/>
        </w:rPr>
        <w:noBreakHyphen/>
      </w:r>
      <w:r w:rsidRPr="006A198E">
        <w:rPr>
          <w:rFonts w:ascii="Times New Roman" w:hAnsi="Times New Roman"/>
          <w:iCs/>
          <w:sz w:val="24"/>
          <w:szCs w:val="24"/>
        </w:rPr>
        <w:t xml:space="preserve">Year Economic and Fiscal Outlook under the measure ‘Energy and Emissions Reductions for Residential and Commercial Buildings’. Details are set out in the </w:t>
      </w:r>
      <w:r w:rsidRPr="00BF281A">
        <w:rPr>
          <w:rFonts w:ascii="Times New Roman" w:hAnsi="Times New Roman"/>
          <w:i/>
          <w:iCs/>
          <w:sz w:val="24"/>
          <w:szCs w:val="24"/>
        </w:rPr>
        <w:t>Mid-Year Economic and Fiscal Outlook 2019-20</w:t>
      </w:r>
      <w:r w:rsidRPr="006A198E">
        <w:rPr>
          <w:rFonts w:ascii="Times New Roman" w:hAnsi="Times New Roman"/>
          <w:iCs/>
          <w:sz w:val="24"/>
          <w:szCs w:val="24"/>
        </w:rPr>
        <w:t>, Appendix A: Policy decisions taken since the 2019 PEFO at page 218.</w:t>
      </w:r>
    </w:p>
    <w:p w14:paraId="55B597C7" w14:textId="77777777" w:rsidR="00713D5F" w:rsidRPr="006A198E" w:rsidRDefault="00713D5F" w:rsidP="00713D5F">
      <w:pPr>
        <w:rPr>
          <w:rFonts w:ascii="Times New Roman" w:hAnsi="Times New Roman"/>
          <w:iCs/>
          <w:sz w:val="24"/>
          <w:szCs w:val="24"/>
        </w:rPr>
      </w:pPr>
    </w:p>
    <w:p w14:paraId="328CA089" w14:textId="77777777" w:rsidR="00713D5F" w:rsidRDefault="00713D5F" w:rsidP="00713D5F">
      <w:pPr>
        <w:rPr>
          <w:rFonts w:ascii="Times New Roman" w:hAnsi="Times New Roman"/>
          <w:iCs/>
          <w:sz w:val="24"/>
          <w:szCs w:val="24"/>
        </w:rPr>
      </w:pPr>
      <w:r w:rsidRPr="000F7C1F">
        <w:rPr>
          <w:rFonts w:ascii="Times New Roman" w:hAnsi="Times New Roman"/>
          <w:iCs/>
          <w:sz w:val="24"/>
          <w:szCs w:val="24"/>
        </w:rPr>
        <w:t xml:space="preserve">Funding for this item will come from Program 3.1: Supporting </w:t>
      </w:r>
      <w:r>
        <w:rPr>
          <w:rFonts w:ascii="Times New Roman" w:hAnsi="Times New Roman"/>
          <w:iCs/>
          <w:sz w:val="24"/>
          <w:szCs w:val="24"/>
        </w:rPr>
        <w:t>R</w:t>
      </w:r>
      <w:r w:rsidRPr="000F7C1F">
        <w:rPr>
          <w:rFonts w:ascii="Times New Roman" w:hAnsi="Times New Roman"/>
          <w:iCs/>
          <w:sz w:val="24"/>
          <w:szCs w:val="24"/>
        </w:rPr>
        <w:t xml:space="preserve">eliable, </w:t>
      </w:r>
      <w:r>
        <w:rPr>
          <w:rFonts w:ascii="Times New Roman" w:hAnsi="Times New Roman"/>
          <w:iCs/>
          <w:sz w:val="24"/>
          <w:szCs w:val="24"/>
        </w:rPr>
        <w:t>S</w:t>
      </w:r>
      <w:r w:rsidRPr="000F7C1F">
        <w:rPr>
          <w:rFonts w:ascii="Times New Roman" w:hAnsi="Times New Roman"/>
          <w:iCs/>
          <w:sz w:val="24"/>
          <w:szCs w:val="24"/>
        </w:rPr>
        <w:t xml:space="preserve">ecure and </w:t>
      </w:r>
      <w:r>
        <w:rPr>
          <w:rFonts w:ascii="Times New Roman" w:hAnsi="Times New Roman"/>
          <w:iCs/>
          <w:sz w:val="24"/>
          <w:szCs w:val="24"/>
        </w:rPr>
        <w:t>Affordable E</w:t>
      </w:r>
      <w:r w:rsidRPr="000F7C1F">
        <w:rPr>
          <w:rFonts w:ascii="Times New Roman" w:hAnsi="Times New Roman"/>
          <w:iCs/>
          <w:sz w:val="24"/>
          <w:szCs w:val="24"/>
        </w:rPr>
        <w:t xml:space="preserve">nergy, which is part of Outcome 3. Details are set out in the </w:t>
      </w:r>
      <w:r w:rsidRPr="005E1339">
        <w:rPr>
          <w:rFonts w:ascii="Times New Roman" w:hAnsi="Times New Roman"/>
          <w:i/>
          <w:iCs/>
          <w:sz w:val="24"/>
          <w:szCs w:val="24"/>
        </w:rPr>
        <w:t>Portfolio Budget Statements 2020-21, Budget Related Paper No. 1.9, Industry, Science, Energy and Resources Portfolio</w:t>
      </w:r>
      <w:r w:rsidRPr="000F7C1F">
        <w:rPr>
          <w:rFonts w:ascii="Times New Roman" w:hAnsi="Times New Roman"/>
          <w:iCs/>
          <w:sz w:val="24"/>
          <w:szCs w:val="24"/>
        </w:rPr>
        <w:t xml:space="preserve"> at page</w:t>
      </w:r>
      <w:r>
        <w:rPr>
          <w:rFonts w:ascii="Times New Roman" w:hAnsi="Times New Roman"/>
          <w:iCs/>
          <w:sz w:val="24"/>
          <w:szCs w:val="24"/>
        </w:rPr>
        <w:t>s</w:t>
      </w:r>
      <w:r w:rsidRPr="000F7C1F">
        <w:rPr>
          <w:rFonts w:ascii="Times New Roman" w:hAnsi="Times New Roman"/>
          <w:iCs/>
          <w:sz w:val="24"/>
          <w:szCs w:val="24"/>
        </w:rPr>
        <w:t xml:space="preserve"> 70</w:t>
      </w:r>
      <w:r>
        <w:rPr>
          <w:rFonts w:ascii="Times New Roman" w:hAnsi="Times New Roman"/>
          <w:iCs/>
          <w:sz w:val="24"/>
          <w:szCs w:val="24"/>
        </w:rPr>
        <w:t xml:space="preserve"> to 71</w:t>
      </w:r>
      <w:r w:rsidRPr="000F7C1F">
        <w:rPr>
          <w:rFonts w:ascii="Times New Roman" w:hAnsi="Times New Roman"/>
          <w:iCs/>
          <w:sz w:val="24"/>
          <w:szCs w:val="24"/>
        </w:rPr>
        <w:t>.</w:t>
      </w:r>
    </w:p>
    <w:p w14:paraId="57F7692E" w14:textId="77777777" w:rsidR="00713D5F" w:rsidRDefault="00713D5F" w:rsidP="00713D5F">
      <w:pPr>
        <w:rPr>
          <w:rFonts w:ascii="Times New Roman" w:hAnsi="Times New Roman"/>
          <w:iCs/>
          <w:sz w:val="24"/>
          <w:szCs w:val="24"/>
        </w:rPr>
      </w:pPr>
    </w:p>
    <w:p w14:paraId="498AF981" w14:textId="77777777" w:rsidR="00713D5F" w:rsidRPr="00487FD1" w:rsidRDefault="00713D5F" w:rsidP="00713D5F">
      <w:pPr>
        <w:rPr>
          <w:rFonts w:ascii="Times New Roman" w:hAnsi="Times New Roman"/>
          <w:sz w:val="24"/>
          <w:szCs w:val="24"/>
          <w:lang w:val="en-GB"/>
        </w:rPr>
      </w:pPr>
      <w:r w:rsidRPr="00CD56EF">
        <w:rPr>
          <w:rFonts w:ascii="Times New Roman" w:hAnsi="Times New Roman"/>
          <w:iCs/>
          <w:sz w:val="24"/>
          <w:szCs w:val="24"/>
        </w:rPr>
        <w:t xml:space="preserve">Noting that it is not a comprehensive statement of relevant constitutional considerations, the objective of </w:t>
      </w:r>
      <w:r>
        <w:rPr>
          <w:rFonts w:ascii="Times New Roman" w:hAnsi="Times New Roman"/>
          <w:iCs/>
          <w:sz w:val="24"/>
          <w:szCs w:val="24"/>
        </w:rPr>
        <w:t xml:space="preserve">the </w:t>
      </w:r>
      <w:r w:rsidRPr="00CD56EF">
        <w:rPr>
          <w:rFonts w:ascii="Times New Roman" w:hAnsi="Times New Roman"/>
          <w:iCs/>
          <w:sz w:val="24"/>
          <w:szCs w:val="24"/>
        </w:rPr>
        <w:t>item</w:t>
      </w:r>
      <w:r>
        <w:rPr>
          <w:rFonts w:ascii="Times New Roman" w:hAnsi="Times New Roman"/>
          <w:iCs/>
          <w:sz w:val="24"/>
          <w:szCs w:val="24"/>
        </w:rPr>
        <w:t xml:space="preserve"> </w:t>
      </w:r>
      <w:r w:rsidRPr="00CD56EF">
        <w:rPr>
          <w:rFonts w:ascii="Times New Roman" w:hAnsi="Times New Roman"/>
          <w:iCs/>
          <w:sz w:val="24"/>
          <w:szCs w:val="24"/>
        </w:rPr>
        <w:t>references</w:t>
      </w:r>
      <w:r w:rsidRPr="00487FD1">
        <w:rPr>
          <w:rFonts w:ascii="Times New Roman" w:hAnsi="Times New Roman"/>
          <w:sz w:val="24"/>
          <w:szCs w:val="24"/>
          <w:lang w:val="en-GB"/>
        </w:rPr>
        <w:t xml:space="preserve"> the following powers </w:t>
      </w:r>
      <w:r>
        <w:rPr>
          <w:rFonts w:ascii="Times New Roman" w:hAnsi="Times New Roman"/>
          <w:sz w:val="24"/>
          <w:szCs w:val="24"/>
          <w:lang w:val="en-GB"/>
        </w:rPr>
        <w:t>of</w:t>
      </w:r>
      <w:r w:rsidRPr="00487FD1">
        <w:rPr>
          <w:rFonts w:ascii="Times New Roman" w:hAnsi="Times New Roman"/>
          <w:sz w:val="24"/>
          <w:szCs w:val="24"/>
          <w:lang w:val="en-GB"/>
        </w:rPr>
        <w:t xml:space="preserve"> the Constitution:</w:t>
      </w:r>
    </w:p>
    <w:p w14:paraId="7392A400" w14:textId="77777777" w:rsidR="00713D5F" w:rsidRPr="00487FD1" w:rsidRDefault="00713D5F" w:rsidP="00713D5F">
      <w:pPr>
        <w:pStyle w:val="ListParagraph"/>
        <w:numPr>
          <w:ilvl w:val="0"/>
          <w:numId w:val="19"/>
        </w:numPr>
        <w:ind w:right="57"/>
        <w:contextualSpacing w:val="0"/>
        <w:rPr>
          <w:rFonts w:cs="Times New Roman"/>
        </w:rPr>
      </w:pPr>
      <w:r w:rsidRPr="00487FD1">
        <w:rPr>
          <w:rFonts w:cs="Times New Roman"/>
        </w:rPr>
        <w:t xml:space="preserve">the external affairs power (section 51(xxix)); </w:t>
      </w:r>
    </w:p>
    <w:p w14:paraId="5BAA818B" w14:textId="77777777" w:rsidR="00713D5F" w:rsidRPr="00487FD1" w:rsidRDefault="00713D5F" w:rsidP="00713D5F">
      <w:pPr>
        <w:pStyle w:val="ListParagraph"/>
        <w:numPr>
          <w:ilvl w:val="0"/>
          <w:numId w:val="19"/>
        </w:numPr>
        <w:ind w:right="57"/>
        <w:contextualSpacing w:val="0"/>
        <w:rPr>
          <w:rFonts w:cs="Times New Roman"/>
        </w:rPr>
      </w:pPr>
      <w:r w:rsidRPr="00487FD1">
        <w:rPr>
          <w:rFonts w:cs="Times New Roman"/>
        </w:rPr>
        <w:t>the power to grant financial assistance to States (section 96); and</w:t>
      </w:r>
    </w:p>
    <w:p w14:paraId="3738A0EA" w14:textId="77777777" w:rsidR="00713D5F" w:rsidRPr="00487FD1" w:rsidRDefault="00713D5F" w:rsidP="00713D5F">
      <w:pPr>
        <w:pStyle w:val="ListParagraph"/>
        <w:numPr>
          <w:ilvl w:val="0"/>
          <w:numId w:val="19"/>
        </w:numPr>
        <w:ind w:right="57"/>
        <w:contextualSpacing w:val="0"/>
        <w:rPr>
          <w:rFonts w:cs="Times New Roman"/>
        </w:rPr>
      </w:pPr>
      <w:r w:rsidRPr="00487FD1">
        <w:rPr>
          <w:rFonts w:cs="Times New Roman"/>
        </w:rPr>
        <w:t>the Territor</w:t>
      </w:r>
      <w:r>
        <w:rPr>
          <w:rFonts w:cs="Times New Roman"/>
        </w:rPr>
        <w:t>ies</w:t>
      </w:r>
      <w:r w:rsidRPr="00487FD1">
        <w:rPr>
          <w:rFonts w:cs="Times New Roman"/>
        </w:rPr>
        <w:t xml:space="preserve"> power (section 122).</w:t>
      </w:r>
    </w:p>
    <w:p w14:paraId="12820EAC" w14:textId="77777777" w:rsidR="00713D5F" w:rsidRPr="00CD56EF" w:rsidRDefault="00713D5F" w:rsidP="00713D5F">
      <w:pPr>
        <w:rPr>
          <w:rFonts w:ascii="Times New Roman" w:hAnsi="Times New Roman"/>
          <w:iCs/>
          <w:sz w:val="24"/>
          <w:szCs w:val="24"/>
        </w:rPr>
      </w:pPr>
    </w:p>
    <w:p w14:paraId="227991E9" w14:textId="77777777" w:rsidR="00713D5F" w:rsidRPr="005D0A9B" w:rsidRDefault="00713D5F" w:rsidP="00713D5F">
      <w:pPr>
        <w:pStyle w:val="BoswellMediaHeader"/>
        <w:jc w:val="left"/>
        <w:rPr>
          <w:rFonts w:ascii="Times New Roman" w:hAnsi="Times New Roman"/>
          <w:i/>
          <w:noProof w:val="0"/>
          <w:sz w:val="24"/>
          <w:u w:val="single"/>
        </w:rPr>
      </w:pPr>
      <w:r w:rsidRPr="005D0A9B">
        <w:rPr>
          <w:rFonts w:ascii="Times New Roman" w:hAnsi="Times New Roman"/>
          <w:i/>
          <w:noProof w:val="0"/>
          <w:sz w:val="24"/>
          <w:u w:val="single"/>
        </w:rPr>
        <w:t>External affairs power</w:t>
      </w:r>
    </w:p>
    <w:p w14:paraId="2CDF5EAE" w14:textId="77777777" w:rsidR="00713D5F" w:rsidRDefault="00713D5F" w:rsidP="00713D5F">
      <w:pPr>
        <w:rPr>
          <w:rFonts w:ascii="Times New Roman" w:hAnsi="Times New Roman"/>
          <w:iCs/>
          <w:sz w:val="24"/>
          <w:szCs w:val="24"/>
        </w:rPr>
      </w:pPr>
    </w:p>
    <w:p w14:paraId="103FF42F" w14:textId="77777777" w:rsidR="00713D5F" w:rsidRDefault="00713D5F" w:rsidP="00713D5F">
      <w:pPr>
        <w:rPr>
          <w:rFonts w:ascii="Times New Roman" w:hAnsi="Times New Roman"/>
          <w:iCs/>
          <w:sz w:val="24"/>
          <w:szCs w:val="24"/>
        </w:rPr>
      </w:pPr>
      <w:r w:rsidRPr="00CD56EF">
        <w:rPr>
          <w:rFonts w:ascii="Times New Roman" w:hAnsi="Times New Roman"/>
          <w:iCs/>
          <w:sz w:val="24"/>
          <w:szCs w:val="24"/>
        </w:rPr>
        <w:t>The external affairs power supports legislation implementing Australia’s obligations under international treaties to which it is a party.</w:t>
      </w:r>
    </w:p>
    <w:p w14:paraId="008760AE" w14:textId="77777777" w:rsidR="00713D5F" w:rsidRPr="00CD56EF" w:rsidRDefault="00713D5F" w:rsidP="00713D5F">
      <w:pPr>
        <w:rPr>
          <w:rFonts w:ascii="Times New Roman" w:hAnsi="Times New Roman"/>
          <w:iCs/>
          <w:sz w:val="24"/>
          <w:szCs w:val="24"/>
        </w:rPr>
      </w:pPr>
    </w:p>
    <w:p w14:paraId="6494B020" w14:textId="77777777" w:rsidR="00713D5F" w:rsidRDefault="00713D5F" w:rsidP="00713D5F">
      <w:pPr>
        <w:rPr>
          <w:rFonts w:ascii="Times New Roman" w:hAnsi="Times New Roman"/>
          <w:iCs/>
          <w:sz w:val="24"/>
          <w:szCs w:val="24"/>
        </w:rPr>
      </w:pPr>
      <w:r w:rsidRPr="00CD56EF">
        <w:rPr>
          <w:rFonts w:ascii="Times New Roman" w:hAnsi="Times New Roman"/>
          <w:iCs/>
          <w:sz w:val="24"/>
          <w:szCs w:val="24"/>
        </w:rPr>
        <w:t xml:space="preserve">The </w:t>
      </w:r>
      <w:r w:rsidRPr="00CD56EF">
        <w:rPr>
          <w:rFonts w:ascii="Times New Roman" w:hAnsi="Times New Roman"/>
          <w:i/>
          <w:iCs/>
          <w:sz w:val="24"/>
          <w:szCs w:val="24"/>
        </w:rPr>
        <w:t>United Nations Framework Convention on Climate Change</w:t>
      </w:r>
      <w:r w:rsidRPr="00CD56EF">
        <w:rPr>
          <w:rFonts w:ascii="Times New Roman" w:hAnsi="Times New Roman"/>
          <w:iCs/>
          <w:sz w:val="24"/>
          <w:szCs w:val="24"/>
        </w:rPr>
        <w:t xml:space="preserve"> [1994] ATS 2 (</w:t>
      </w:r>
      <w:r>
        <w:rPr>
          <w:rFonts w:ascii="Times New Roman" w:hAnsi="Times New Roman"/>
          <w:iCs/>
          <w:sz w:val="24"/>
          <w:szCs w:val="24"/>
        </w:rPr>
        <w:t xml:space="preserve">the </w:t>
      </w:r>
      <w:r w:rsidRPr="00CD56EF">
        <w:rPr>
          <w:rFonts w:ascii="Times New Roman" w:hAnsi="Times New Roman"/>
          <w:iCs/>
          <w:sz w:val="24"/>
          <w:szCs w:val="24"/>
        </w:rPr>
        <w:t xml:space="preserve">UNFCCC) includes a range of obligations on Australia to take domestic actions that reduce Australia’s emissions of greenhouse gases. </w:t>
      </w:r>
    </w:p>
    <w:p w14:paraId="3735AF51" w14:textId="77777777" w:rsidR="00713D5F" w:rsidRPr="00CD56EF" w:rsidRDefault="00713D5F" w:rsidP="00713D5F">
      <w:pPr>
        <w:rPr>
          <w:rFonts w:ascii="Times New Roman" w:hAnsi="Times New Roman"/>
          <w:iCs/>
          <w:sz w:val="24"/>
          <w:szCs w:val="24"/>
        </w:rPr>
      </w:pPr>
      <w:r w:rsidRPr="00CD56EF">
        <w:rPr>
          <w:rFonts w:ascii="Times New Roman" w:hAnsi="Times New Roman"/>
          <w:iCs/>
          <w:sz w:val="24"/>
          <w:szCs w:val="24"/>
        </w:rPr>
        <w:t xml:space="preserve"> </w:t>
      </w:r>
    </w:p>
    <w:p w14:paraId="219386C0" w14:textId="77777777" w:rsidR="00713D5F" w:rsidRPr="00CD56EF" w:rsidRDefault="00713D5F" w:rsidP="00713D5F">
      <w:pPr>
        <w:rPr>
          <w:rFonts w:ascii="Times New Roman" w:hAnsi="Times New Roman"/>
          <w:iCs/>
          <w:sz w:val="24"/>
          <w:szCs w:val="24"/>
        </w:rPr>
      </w:pPr>
      <w:r w:rsidRPr="00CD56EF">
        <w:rPr>
          <w:rFonts w:ascii="Times New Roman" w:hAnsi="Times New Roman"/>
          <w:iCs/>
          <w:sz w:val="24"/>
          <w:szCs w:val="24"/>
        </w:rPr>
        <w:t>The UNFCCC relevantly provides that Australia shall:</w:t>
      </w:r>
    </w:p>
    <w:p w14:paraId="33A542CD" w14:textId="77777777" w:rsidR="00713D5F" w:rsidRPr="00CD56EF" w:rsidRDefault="00713D5F" w:rsidP="00713D5F">
      <w:pPr>
        <w:pStyle w:val="ListParagraph"/>
        <w:numPr>
          <w:ilvl w:val="0"/>
          <w:numId w:val="19"/>
        </w:numPr>
        <w:ind w:right="57"/>
        <w:contextualSpacing w:val="0"/>
        <w:rPr>
          <w:rFonts w:cs="Times New Roman"/>
        </w:rPr>
      </w:pPr>
      <w:r w:rsidRPr="66592093">
        <w:rPr>
          <w:rFonts w:cs="Times New Roman"/>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66007E26" w14:textId="77777777" w:rsidR="00713D5F" w:rsidRPr="00CD56EF" w:rsidRDefault="00713D5F" w:rsidP="00713D5F">
      <w:pPr>
        <w:pStyle w:val="ListParagraph"/>
        <w:numPr>
          <w:ilvl w:val="0"/>
          <w:numId w:val="19"/>
        </w:numPr>
        <w:ind w:right="57"/>
        <w:contextualSpacing w:val="0"/>
        <w:rPr>
          <w:rFonts w:cs="Times New Roman"/>
        </w:rPr>
      </w:pPr>
      <w:r w:rsidRPr="66592093">
        <w:rPr>
          <w:rFonts w:cs="Times New Roman"/>
        </w:rPr>
        <w:t xml:space="preserve">promote and cooperate in the development, application and diffusion of technologies, practices and processes that control, reduce or prevent anthropogenic emissions of </w:t>
      </w:r>
      <w:r w:rsidRPr="66592093">
        <w:rPr>
          <w:rFonts w:cs="Times New Roman"/>
        </w:rPr>
        <w:lastRenderedPageBreak/>
        <w:t>greenhouse gases in all relevant sectors including energy, transport, industry, agriculture, forestry and waste management sectors (Article 4.1(c)); and</w:t>
      </w:r>
    </w:p>
    <w:p w14:paraId="3BF4632D" w14:textId="77777777" w:rsidR="00713D5F" w:rsidRPr="00CD56EF" w:rsidRDefault="00713D5F" w:rsidP="00713D5F">
      <w:pPr>
        <w:pStyle w:val="ListParagraph"/>
        <w:numPr>
          <w:ilvl w:val="0"/>
          <w:numId w:val="19"/>
        </w:numPr>
        <w:ind w:right="57"/>
        <w:contextualSpacing w:val="0"/>
        <w:rPr>
          <w:rFonts w:cs="Times New Roman"/>
        </w:rPr>
      </w:pPr>
      <w:r w:rsidRPr="66592093">
        <w:rPr>
          <w:rFonts w:cs="Times New Roman"/>
        </w:rPr>
        <w:t>adopt national policies and take corresponding measures on the mitigation of climate change, by limiting its anthropogenic emissions of greenhouse gases and protecting and enhancing its greenhouse gas sinks and reservoirs (Article 4.2(a)).</w:t>
      </w:r>
    </w:p>
    <w:p w14:paraId="298D9A5A" w14:textId="77777777" w:rsidR="00713D5F" w:rsidRPr="00CD56EF" w:rsidRDefault="00713D5F" w:rsidP="00713D5F">
      <w:pPr>
        <w:pStyle w:val="ListParagraph"/>
        <w:ind w:right="57"/>
        <w:contextualSpacing w:val="0"/>
        <w:rPr>
          <w:rFonts w:cs="Times New Roman"/>
          <w:color w:val="000000"/>
          <w:szCs w:val="24"/>
        </w:rPr>
      </w:pPr>
    </w:p>
    <w:p w14:paraId="386742D7" w14:textId="77777777" w:rsidR="00713D5F" w:rsidRDefault="00713D5F" w:rsidP="00713D5F">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Kyoto Protocol to the United Nations Framework Convention on Climate Change</w:t>
      </w:r>
      <w:r w:rsidRPr="008336DB">
        <w:rPr>
          <w:rFonts w:ascii="Times New Roman" w:hAnsi="Times New Roman"/>
          <w:iCs/>
          <w:sz w:val="24"/>
          <w:szCs w:val="24"/>
        </w:rPr>
        <w:t xml:space="preserve"> [2008] ATS 2 also includes obligations on Australia to take action to reduce emissions, such as Article 10(b). Article 10(b) imposes obligations to formulate, implement and report upon climate change mitigation and adaptation programs.</w:t>
      </w:r>
    </w:p>
    <w:p w14:paraId="6C7C0B45" w14:textId="77777777" w:rsidR="00713D5F" w:rsidRPr="008336DB" w:rsidRDefault="00713D5F" w:rsidP="00713D5F">
      <w:pPr>
        <w:rPr>
          <w:rFonts w:ascii="Times New Roman" w:hAnsi="Times New Roman"/>
          <w:iCs/>
          <w:sz w:val="24"/>
          <w:szCs w:val="24"/>
        </w:rPr>
      </w:pPr>
    </w:p>
    <w:p w14:paraId="6DC935BF" w14:textId="77777777" w:rsidR="00713D5F" w:rsidRPr="008336DB" w:rsidRDefault="00713D5F" w:rsidP="00713D5F">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Paris Agreement</w:t>
      </w:r>
      <w:r w:rsidRPr="008336DB">
        <w:rPr>
          <w:rFonts w:ascii="Times New Roman" w:hAnsi="Times New Roman"/>
          <w:iCs/>
          <w:sz w:val="24"/>
          <w:szCs w:val="24"/>
        </w:rPr>
        <w:t xml:space="preserve"> [2016] ATS 24 was entered into by the parties to the UNFCCC to enhance its implementation. Under the Paris Agreement, Australia has a ‘nationally determined contribution’ of a 2030 emissions reduction target of 26 to 28 per cent below 2005 levels. Relevantly, Article 4.2 of the Paris Agreement provides that ‘[e]ach Party shall prepare, communicate and maintain successive nationally determined contributions that it intends to achieve. Parties shall pursue domestic mitigation measures, with the aim of achieving the objectives of such contributions’. </w:t>
      </w:r>
    </w:p>
    <w:p w14:paraId="5B1FDEF0" w14:textId="77777777" w:rsidR="00713D5F" w:rsidRDefault="00713D5F" w:rsidP="00713D5F">
      <w:pPr>
        <w:rPr>
          <w:rFonts w:ascii="Times New Roman" w:hAnsi="Times New Roman"/>
          <w:iCs/>
          <w:sz w:val="24"/>
          <w:szCs w:val="24"/>
        </w:rPr>
      </w:pPr>
    </w:p>
    <w:p w14:paraId="70B89572" w14:textId="77777777" w:rsidR="00713D5F" w:rsidRPr="00DA0ED1" w:rsidRDefault="00713D5F" w:rsidP="00713D5F">
      <w:pPr>
        <w:rPr>
          <w:rFonts w:ascii="Times New Roman" w:hAnsi="Times New Roman"/>
          <w:iCs/>
          <w:sz w:val="24"/>
          <w:szCs w:val="24"/>
        </w:rPr>
      </w:pPr>
      <w:r w:rsidRPr="008336DB">
        <w:rPr>
          <w:rFonts w:ascii="Times New Roman" w:hAnsi="Times New Roman"/>
          <w:iCs/>
          <w:sz w:val="24"/>
          <w:szCs w:val="24"/>
        </w:rPr>
        <w:t xml:space="preserve">Under the </w:t>
      </w:r>
      <w:r>
        <w:rPr>
          <w:rFonts w:ascii="Times New Roman" w:hAnsi="Times New Roman"/>
          <w:iCs/>
          <w:sz w:val="24"/>
          <w:szCs w:val="24"/>
        </w:rPr>
        <w:t>program</w:t>
      </w:r>
      <w:r w:rsidRPr="008336DB">
        <w:rPr>
          <w:rFonts w:ascii="Times New Roman" w:hAnsi="Times New Roman"/>
          <w:iCs/>
          <w:sz w:val="24"/>
          <w:szCs w:val="24"/>
        </w:rPr>
        <w:t xml:space="preserve">, </w:t>
      </w:r>
      <w:r w:rsidRPr="00DA0ED1">
        <w:rPr>
          <w:rFonts w:ascii="Times New Roman" w:hAnsi="Times New Roman"/>
          <w:iCs/>
          <w:sz w:val="24"/>
          <w:szCs w:val="24"/>
        </w:rPr>
        <w:t>a broad range of building energy efficiency activities w</w:t>
      </w:r>
      <w:r>
        <w:rPr>
          <w:rFonts w:ascii="Times New Roman" w:hAnsi="Times New Roman"/>
          <w:iCs/>
          <w:sz w:val="24"/>
          <w:szCs w:val="24"/>
        </w:rPr>
        <w:t>ill</w:t>
      </w:r>
      <w:r w:rsidRPr="00DA0ED1">
        <w:rPr>
          <w:rFonts w:ascii="Times New Roman" w:hAnsi="Times New Roman"/>
          <w:iCs/>
          <w:sz w:val="24"/>
          <w:szCs w:val="24"/>
        </w:rPr>
        <w:t xml:space="preserve"> be funded to reduce energy use and improve energy productivity which will deliver carbon abatement through reduced greenhouse gas emissions. This will result from actions in response to the building energy efficiency information, ratings and tools funded under the program. The reduced energy use supported by the program will therefore contribute to Australia’s obligations to reduce greenhouse gas emissions under these treaties. </w:t>
      </w:r>
    </w:p>
    <w:p w14:paraId="744A24B5" w14:textId="77777777" w:rsidR="00713D5F" w:rsidRDefault="00713D5F" w:rsidP="00713D5F">
      <w:pPr>
        <w:rPr>
          <w:rFonts w:ascii="Times New Roman" w:hAnsi="Times New Roman"/>
          <w:iCs/>
          <w:sz w:val="24"/>
          <w:szCs w:val="24"/>
        </w:rPr>
      </w:pPr>
    </w:p>
    <w:p w14:paraId="27193267" w14:textId="77777777" w:rsidR="003A5413" w:rsidRDefault="003A5413" w:rsidP="003A5413">
      <w:pPr>
        <w:pStyle w:val="BoswellMediaHeader"/>
        <w:jc w:val="left"/>
        <w:rPr>
          <w:rFonts w:ascii="Times New Roman" w:hAnsi="Times New Roman"/>
          <w:i/>
          <w:noProof w:val="0"/>
          <w:sz w:val="24"/>
          <w:u w:val="single"/>
        </w:rPr>
      </w:pPr>
      <w:r w:rsidRPr="00BC03A7">
        <w:rPr>
          <w:rFonts w:ascii="Times New Roman" w:hAnsi="Times New Roman"/>
          <w:i/>
          <w:noProof w:val="0"/>
          <w:sz w:val="24"/>
          <w:u w:val="single"/>
        </w:rPr>
        <w:t>Power to grant financial assistance to States</w:t>
      </w:r>
      <w:r>
        <w:rPr>
          <w:rFonts w:ascii="Times New Roman" w:hAnsi="Times New Roman"/>
          <w:i/>
          <w:noProof w:val="0"/>
          <w:sz w:val="24"/>
          <w:u w:val="single"/>
        </w:rPr>
        <w:t xml:space="preserve"> </w:t>
      </w:r>
    </w:p>
    <w:p w14:paraId="0CAF6639" w14:textId="77777777" w:rsidR="003A5413" w:rsidRDefault="003A5413" w:rsidP="003A5413">
      <w:pPr>
        <w:pStyle w:val="BoswellMediaHeader"/>
        <w:jc w:val="left"/>
        <w:rPr>
          <w:rFonts w:ascii="Times New Roman" w:hAnsi="Times New Roman"/>
          <w:i/>
          <w:noProof w:val="0"/>
          <w:sz w:val="24"/>
          <w:u w:val="single"/>
        </w:rPr>
      </w:pPr>
    </w:p>
    <w:p w14:paraId="3FF15327" w14:textId="77777777" w:rsidR="003A5413" w:rsidRDefault="003A5413" w:rsidP="003A5413">
      <w:pPr>
        <w:rPr>
          <w:rFonts w:ascii="Times New Roman" w:hAnsi="Times New Roman"/>
          <w:sz w:val="24"/>
          <w:szCs w:val="24"/>
          <w:lang w:val="en-GB"/>
        </w:rPr>
      </w:pPr>
      <w:r w:rsidRPr="00BC03A7">
        <w:rPr>
          <w:rFonts w:ascii="Times New Roman" w:hAnsi="Times New Roman"/>
          <w:sz w:val="24"/>
          <w:szCs w:val="24"/>
          <w:lang w:val="en-GB"/>
        </w:rPr>
        <w:t xml:space="preserve">Section 96 of the Constitution empowers the Parliament to ‘grant financial assistance to any State on such terms and conditions as the Parliament thinks fit’. </w:t>
      </w:r>
    </w:p>
    <w:p w14:paraId="280FCCB8" w14:textId="77777777" w:rsidR="003A5413" w:rsidRDefault="003A5413" w:rsidP="003A5413">
      <w:pPr>
        <w:rPr>
          <w:rFonts w:ascii="Times New Roman" w:hAnsi="Times New Roman"/>
          <w:sz w:val="24"/>
          <w:szCs w:val="24"/>
          <w:lang w:val="en-GB"/>
        </w:rPr>
      </w:pPr>
    </w:p>
    <w:p w14:paraId="012D889D" w14:textId="3C76AA16" w:rsidR="003A5413" w:rsidRPr="00BC03A7" w:rsidRDefault="003A5413" w:rsidP="003A5413">
      <w:pPr>
        <w:rPr>
          <w:rFonts w:ascii="Times New Roman" w:eastAsiaTheme="minorHAnsi" w:hAnsi="Times New Roman"/>
          <w:sz w:val="24"/>
          <w:szCs w:val="24"/>
          <w:lang w:val="en-GB"/>
        </w:rPr>
      </w:pPr>
      <w:r>
        <w:rPr>
          <w:rFonts w:ascii="Times New Roman" w:hAnsi="Times New Roman"/>
          <w:sz w:val="24"/>
          <w:szCs w:val="24"/>
          <w:lang w:val="en-GB"/>
        </w:rPr>
        <w:t>F</w:t>
      </w:r>
      <w:r w:rsidRPr="00BC03A7">
        <w:rPr>
          <w:rFonts w:ascii="Times New Roman" w:hAnsi="Times New Roman"/>
          <w:sz w:val="24"/>
          <w:szCs w:val="24"/>
          <w:lang w:val="en-GB"/>
        </w:rPr>
        <w:t xml:space="preserve">inancial assistance </w:t>
      </w:r>
      <w:r>
        <w:rPr>
          <w:rFonts w:ascii="Times New Roman" w:hAnsi="Times New Roman"/>
          <w:sz w:val="24"/>
          <w:szCs w:val="24"/>
          <w:lang w:val="en-GB"/>
        </w:rPr>
        <w:t xml:space="preserve">may be </w:t>
      </w:r>
      <w:r w:rsidRPr="00BC03A7">
        <w:rPr>
          <w:rFonts w:ascii="Times New Roman" w:hAnsi="Times New Roman"/>
          <w:sz w:val="24"/>
          <w:szCs w:val="24"/>
          <w:lang w:val="en-GB"/>
        </w:rPr>
        <w:t xml:space="preserve">provided </w:t>
      </w:r>
      <w:r>
        <w:rPr>
          <w:rFonts w:ascii="Times New Roman" w:hAnsi="Times New Roman"/>
          <w:sz w:val="24"/>
          <w:szCs w:val="24"/>
          <w:lang w:val="en-GB"/>
        </w:rPr>
        <w:t>under</w:t>
      </w:r>
      <w:r w:rsidRPr="00BC03A7">
        <w:rPr>
          <w:rFonts w:ascii="Times New Roman" w:hAnsi="Times New Roman"/>
          <w:sz w:val="24"/>
          <w:szCs w:val="24"/>
          <w:lang w:val="en-GB"/>
        </w:rPr>
        <w:t xml:space="preserve"> the program to </w:t>
      </w:r>
      <w:r>
        <w:rPr>
          <w:rFonts w:ascii="Times New Roman" w:hAnsi="Times New Roman"/>
          <w:sz w:val="24"/>
          <w:szCs w:val="24"/>
          <w:lang w:val="en-GB"/>
        </w:rPr>
        <w:t>s</w:t>
      </w:r>
      <w:r w:rsidRPr="00BC03A7">
        <w:rPr>
          <w:rFonts w:ascii="Times New Roman" w:hAnsi="Times New Roman"/>
          <w:sz w:val="24"/>
          <w:szCs w:val="24"/>
          <w:lang w:val="en-GB"/>
        </w:rPr>
        <w:t xml:space="preserve">tate governments. </w:t>
      </w:r>
    </w:p>
    <w:p w14:paraId="4ADE9360" w14:textId="77777777" w:rsidR="003A5413" w:rsidRPr="00BC03A7" w:rsidRDefault="003A5413" w:rsidP="003A5413">
      <w:pPr>
        <w:rPr>
          <w:rFonts w:ascii="Times New Roman" w:hAnsi="Times New Roman"/>
          <w:sz w:val="24"/>
          <w:szCs w:val="24"/>
          <w:lang w:val="en-GB"/>
        </w:rPr>
      </w:pPr>
    </w:p>
    <w:p w14:paraId="57C8A763" w14:textId="77777777" w:rsidR="003A5413" w:rsidRPr="00BC03A7" w:rsidRDefault="003A5413" w:rsidP="003A5413">
      <w:pPr>
        <w:pStyle w:val="BoswellMediaHeader"/>
        <w:jc w:val="left"/>
        <w:rPr>
          <w:rFonts w:ascii="Times New Roman" w:hAnsi="Times New Roman"/>
          <w:i/>
          <w:noProof w:val="0"/>
          <w:sz w:val="24"/>
          <w:u w:val="single"/>
        </w:rPr>
      </w:pPr>
      <w:r w:rsidRPr="00BC03A7">
        <w:rPr>
          <w:rFonts w:ascii="Times New Roman" w:hAnsi="Times New Roman"/>
          <w:i/>
          <w:noProof w:val="0"/>
          <w:sz w:val="24"/>
          <w:u w:val="single"/>
        </w:rPr>
        <w:t>Territories power</w:t>
      </w:r>
    </w:p>
    <w:p w14:paraId="47CA5A47" w14:textId="77777777" w:rsidR="003A5413" w:rsidRPr="00BC03A7" w:rsidRDefault="003A5413" w:rsidP="003A5413">
      <w:pPr>
        <w:rPr>
          <w:rFonts w:ascii="Times New Roman" w:hAnsi="Times New Roman"/>
          <w:iCs/>
          <w:sz w:val="24"/>
          <w:szCs w:val="24"/>
        </w:rPr>
      </w:pPr>
    </w:p>
    <w:p w14:paraId="38F6436A" w14:textId="77777777" w:rsidR="003A5413" w:rsidRPr="00BC03A7" w:rsidRDefault="003A5413" w:rsidP="003A5413">
      <w:pPr>
        <w:rPr>
          <w:rFonts w:ascii="Times New Roman" w:hAnsi="Times New Roman"/>
          <w:sz w:val="24"/>
          <w:szCs w:val="24"/>
          <w:lang w:val="en-GB"/>
        </w:rPr>
      </w:pPr>
      <w:r w:rsidRPr="00BC03A7">
        <w:rPr>
          <w:rFonts w:ascii="Times New Roman" w:hAnsi="Times New Roman"/>
          <w:sz w:val="24"/>
          <w:szCs w:val="24"/>
          <w:lang w:val="en-GB"/>
        </w:rPr>
        <w:t xml:space="preserve">Section 122 of the Constitution empowers the Parliament to ‘make laws for the government of any territory’. </w:t>
      </w:r>
    </w:p>
    <w:p w14:paraId="5A850961" w14:textId="77777777" w:rsidR="003A5413" w:rsidRPr="00BC03A7" w:rsidRDefault="003A5413" w:rsidP="003A5413">
      <w:pPr>
        <w:rPr>
          <w:rFonts w:ascii="Times New Roman" w:hAnsi="Times New Roman"/>
          <w:sz w:val="24"/>
          <w:szCs w:val="24"/>
          <w:lang w:val="en-GB"/>
        </w:rPr>
      </w:pPr>
    </w:p>
    <w:p w14:paraId="3CC5C034" w14:textId="38C1744E" w:rsidR="003A5413" w:rsidRPr="00BC03A7" w:rsidRDefault="003A5413" w:rsidP="003A5413">
      <w:pPr>
        <w:rPr>
          <w:rFonts w:ascii="Times New Roman" w:eastAsiaTheme="minorHAnsi" w:hAnsi="Times New Roman"/>
          <w:sz w:val="24"/>
          <w:szCs w:val="24"/>
          <w:lang w:val="en-GB"/>
        </w:rPr>
      </w:pPr>
      <w:r>
        <w:rPr>
          <w:rFonts w:ascii="Times New Roman" w:hAnsi="Times New Roman"/>
          <w:sz w:val="24"/>
          <w:szCs w:val="24"/>
          <w:lang w:val="en-GB"/>
        </w:rPr>
        <w:t>F</w:t>
      </w:r>
      <w:r w:rsidRPr="00BC03A7">
        <w:rPr>
          <w:rFonts w:ascii="Times New Roman" w:hAnsi="Times New Roman"/>
          <w:sz w:val="24"/>
          <w:szCs w:val="24"/>
          <w:lang w:val="en-GB"/>
        </w:rPr>
        <w:t xml:space="preserve">inancial assistance </w:t>
      </w:r>
      <w:r>
        <w:rPr>
          <w:rFonts w:ascii="Times New Roman" w:hAnsi="Times New Roman"/>
          <w:sz w:val="24"/>
          <w:szCs w:val="24"/>
          <w:lang w:val="en-GB"/>
        </w:rPr>
        <w:t xml:space="preserve">may be </w:t>
      </w:r>
      <w:r w:rsidRPr="00BC03A7">
        <w:rPr>
          <w:rFonts w:ascii="Times New Roman" w:hAnsi="Times New Roman"/>
          <w:sz w:val="24"/>
          <w:szCs w:val="24"/>
          <w:lang w:val="en-GB"/>
        </w:rPr>
        <w:t xml:space="preserve">provided </w:t>
      </w:r>
      <w:r>
        <w:rPr>
          <w:rFonts w:ascii="Times New Roman" w:hAnsi="Times New Roman"/>
          <w:sz w:val="24"/>
          <w:szCs w:val="24"/>
          <w:lang w:val="en-GB"/>
        </w:rPr>
        <w:t>under</w:t>
      </w:r>
      <w:r w:rsidRPr="00BC03A7">
        <w:rPr>
          <w:rFonts w:ascii="Times New Roman" w:hAnsi="Times New Roman"/>
          <w:sz w:val="24"/>
          <w:szCs w:val="24"/>
          <w:lang w:val="en-GB"/>
        </w:rPr>
        <w:t xml:space="preserve"> the pr</w:t>
      </w:r>
      <w:r>
        <w:rPr>
          <w:rFonts w:ascii="Times New Roman" w:hAnsi="Times New Roman"/>
          <w:sz w:val="24"/>
          <w:szCs w:val="24"/>
          <w:lang w:val="en-GB"/>
        </w:rPr>
        <w:t>ogram to t</w:t>
      </w:r>
      <w:r w:rsidRPr="00BC03A7">
        <w:rPr>
          <w:rFonts w:ascii="Times New Roman" w:hAnsi="Times New Roman"/>
          <w:sz w:val="24"/>
          <w:szCs w:val="24"/>
          <w:lang w:val="en-GB"/>
        </w:rPr>
        <w:t xml:space="preserve">erritory governments. </w:t>
      </w:r>
    </w:p>
    <w:p w14:paraId="2122F7DB" w14:textId="0CC8AD3D" w:rsidR="00713D5F" w:rsidRDefault="00713D5F" w:rsidP="000115EE">
      <w:pPr>
        <w:rPr>
          <w:rFonts w:ascii="Times New Roman" w:hAnsi="Times New Roman"/>
          <w:iCs/>
          <w:sz w:val="24"/>
          <w:szCs w:val="24"/>
        </w:rPr>
      </w:pPr>
    </w:p>
    <w:p w14:paraId="78974668" w14:textId="3CCFB845" w:rsidR="007E4E27" w:rsidRPr="00CE69E6" w:rsidRDefault="007E4E27" w:rsidP="007E4E27">
      <w:pPr>
        <w:rPr>
          <w:rFonts w:ascii="Times New Roman" w:hAnsi="Times New Roman"/>
          <w:color w:val="000000" w:themeColor="text1"/>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table item</w:t>
      </w:r>
      <w:r>
        <w:rPr>
          <w:rFonts w:ascii="Times New Roman" w:hAnsi="Times New Roman"/>
          <w:b/>
          <w:iCs/>
          <w:sz w:val="24"/>
          <w:szCs w:val="24"/>
        </w:rPr>
        <w:t xml:space="preserve"> 452 </w:t>
      </w:r>
      <w:r w:rsidRPr="00DC5E86">
        <w:rPr>
          <w:rFonts w:ascii="Times New Roman" w:hAnsi="Times New Roman"/>
          <w:iCs/>
          <w:sz w:val="24"/>
          <w:szCs w:val="24"/>
        </w:rPr>
        <w:t xml:space="preserve">establishes legislative authority for government spending on the </w:t>
      </w:r>
      <w:r>
        <w:rPr>
          <w:rFonts w:ascii="Times New Roman" w:hAnsi="Times New Roman"/>
          <w:iCs/>
          <w:sz w:val="24"/>
          <w:szCs w:val="24"/>
        </w:rPr>
        <w:t xml:space="preserve">Technology Co-Investment Fund (the Fund), which will support activities </w:t>
      </w:r>
      <w:r w:rsidRPr="00CE69E6">
        <w:rPr>
          <w:rFonts w:ascii="Times New Roman" w:hAnsi="Times New Roman"/>
          <w:color w:val="000000" w:themeColor="text1"/>
          <w:sz w:val="24"/>
          <w:szCs w:val="24"/>
        </w:rPr>
        <w:t>that reduce energy use, improve knowledge sharing, i</w:t>
      </w:r>
      <w:r>
        <w:rPr>
          <w:rFonts w:ascii="Times New Roman" w:hAnsi="Times New Roman"/>
          <w:color w:val="000000" w:themeColor="text1"/>
          <w:sz w:val="24"/>
          <w:szCs w:val="24"/>
        </w:rPr>
        <w:t>ncrease</w:t>
      </w:r>
      <w:r w:rsidRPr="00CE69E6">
        <w:rPr>
          <w:rFonts w:ascii="Times New Roman" w:hAnsi="Times New Roman"/>
          <w:color w:val="000000" w:themeColor="text1"/>
          <w:sz w:val="24"/>
          <w:szCs w:val="24"/>
        </w:rPr>
        <w:t xml:space="preserve"> energy productivity (which essentially means doing more using the same or less energy)</w:t>
      </w:r>
      <w:r>
        <w:rPr>
          <w:rFonts w:ascii="Times New Roman" w:hAnsi="Times New Roman"/>
          <w:color w:val="000000" w:themeColor="text1"/>
          <w:sz w:val="24"/>
          <w:szCs w:val="24"/>
        </w:rPr>
        <w:t>,</w:t>
      </w:r>
      <w:r w:rsidRPr="00CE69E6">
        <w:rPr>
          <w:rFonts w:ascii="Times New Roman" w:hAnsi="Times New Roman"/>
          <w:color w:val="000000" w:themeColor="text1"/>
          <w:sz w:val="24"/>
          <w:szCs w:val="24"/>
        </w:rPr>
        <w:t xml:space="preserve"> and deliver carbon abatement in the industrial, transport and agricultural sectors.</w:t>
      </w:r>
    </w:p>
    <w:p w14:paraId="5E74F84B" w14:textId="77777777" w:rsidR="007E4E27" w:rsidRDefault="007E4E27" w:rsidP="007E4E27">
      <w:pPr>
        <w:rPr>
          <w:rFonts w:ascii="Times New Roman" w:hAnsi="Times New Roman"/>
          <w:iCs/>
          <w:sz w:val="24"/>
          <w:szCs w:val="24"/>
        </w:rPr>
      </w:pPr>
    </w:p>
    <w:p w14:paraId="48664078" w14:textId="77777777" w:rsidR="007E4E27" w:rsidRDefault="007E4E27" w:rsidP="007E4E27">
      <w:pPr>
        <w:rPr>
          <w:rFonts w:ascii="Times New Roman" w:hAnsi="Times New Roman"/>
          <w:iCs/>
          <w:sz w:val="24"/>
          <w:szCs w:val="24"/>
        </w:rPr>
      </w:pPr>
      <w:r>
        <w:rPr>
          <w:rFonts w:ascii="Times New Roman" w:hAnsi="Times New Roman"/>
          <w:iCs/>
          <w:sz w:val="24"/>
          <w:szCs w:val="24"/>
        </w:rPr>
        <w:t xml:space="preserve">The Fund is part of the Government’s $1.9 billion investment package in future technologies to lower greenhouse gas emissions, which would support jobs, cut costs for households and improve the reliability of Australia’s energy supply. The package was jointly announced by the Prime Minister, the Hon Scott Morrison MP, and the Minister for Energy and Emissions </w:t>
      </w:r>
      <w:r>
        <w:rPr>
          <w:rFonts w:ascii="Times New Roman" w:hAnsi="Times New Roman"/>
          <w:iCs/>
          <w:sz w:val="24"/>
          <w:szCs w:val="24"/>
        </w:rPr>
        <w:lastRenderedPageBreak/>
        <w:t xml:space="preserve">Reduction, the Hon Angus Taylor MP, on 17 September 2020 (media release is available at </w:t>
      </w:r>
      <w:r w:rsidRPr="00320B93">
        <w:rPr>
          <w:rFonts w:ascii="Times New Roman" w:hAnsi="Times New Roman"/>
          <w:iCs/>
          <w:sz w:val="24"/>
          <w:szCs w:val="24"/>
          <w:u w:val="single"/>
        </w:rPr>
        <w:t>https://www.pm.gov.au/media/investment-new-energy-technologies</w:t>
      </w:r>
      <w:r>
        <w:rPr>
          <w:rFonts w:ascii="Times New Roman" w:hAnsi="Times New Roman"/>
          <w:iCs/>
          <w:sz w:val="24"/>
          <w:szCs w:val="24"/>
        </w:rPr>
        <w:t>).</w:t>
      </w:r>
    </w:p>
    <w:p w14:paraId="15C412AA" w14:textId="77777777" w:rsidR="007E4E27" w:rsidRDefault="007E4E27" w:rsidP="007E4E27">
      <w:pPr>
        <w:rPr>
          <w:rFonts w:ascii="Times New Roman" w:hAnsi="Times New Roman"/>
          <w:iCs/>
          <w:sz w:val="24"/>
          <w:szCs w:val="24"/>
        </w:rPr>
      </w:pPr>
    </w:p>
    <w:p w14:paraId="1E0CB9C9" w14:textId="77777777" w:rsidR="007E4E27" w:rsidRDefault="007E4E27" w:rsidP="007E4E27">
      <w:pPr>
        <w:rPr>
          <w:rFonts w:ascii="Times New Roman" w:hAnsi="Times New Roman"/>
          <w:iCs/>
          <w:sz w:val="24"/>
          <w:szCs w:val="24"/>
        </w:rPr>
      </w:pPr>
      <w:r w:rsidRPr="00CF59B2">
        <w:rPr>
          <w:rFonts w:ascii="Times New Roman" w:hAnsi="Times New Roman"/>
          <w:iCs/>
          <w:sz w:val="24"/>
          <w:szCs w:val="24"/>
        </w:rPr>
        <w:t xml:space="preserve">The Fund is a central element of the </w:t>
      </w:r>
      <w:r>
        <w:rPr>
          <w:rFonts w:ascii="Times New Roman" w:hAnsi="Times New Roman"/>
          <w:iCs/>
          <w:sz w:val="24"/>
          <w:szCs w:val="24"/>
        </w:rPr>
        <w:t xml:space="preserve">Australian Government </w:t>
      </w:r>
      <w:r w:rsidRPr="00CF59B2">
        <w:rPr>
          <w:rFonts w:ascii="Times New Roman" w:hAnsi="Times New Roman"/>
          <w:iCs/>
          <w:sz w:val="24"/>
          <w:szCs w:val="24"/>
        </w:rPr>
        <w:t xml:space="preserve">response to the </w:t>
      </w:r>
      <w:r w:rsidRPr="007A1039">
        <w:rPr>
          <w:rFonts w:ascii="Times New Roman" w:hAnsi="Times New Roman"/>
          <w:i/>
          <w:iCs/>
          <w:sz w:val="24"/>
          <w:szCs w:val="24"/>
        </w:rPr>
        <w:t xml:space="preserve">Final Report of the Expert Panel examining additional sources of low-cost abatement </w:t>
      </w:r>
      <w:r>
        <w:rPr>
          <w:rFonts w:ascii="Times New Roman" w:hAnsi="Times New Roman"/>
          <w:iCs/>
          <w:sz w:val="24"/>
          <w:szCs w:val="24"/>
        </w:rPr>
        <w:t xml:space="preserve">(the </w:t>
      </w:r>
      <w:r w:rsidRPr="00CF59B2">
        <w:rPr>
          <w:rFonts w:ascii="Times New Roman" w:hAnsi="Times New Roman"/>
          <w:iCs/>
          <w:sz w:val="24"/>
          <w:szCs w:val="24"/>
        </w:rPr>
        <w:t>King Review</w:t>
      </w:r>
      <w:r>
        <w:rPr>
          <w:rFonts w:ascii="Times New Roman" w:hAnsi="Times New Roman"/>
          <w:iCs/>
          <w:sz w:val="24"/>
          <w:szCs w:val="24"/>
        </w:rPr>
        <w:t>),</w:t>
      </w:r>
      <w:r w:rsidRPr="00CF59B2">
        <w:rPr>
          <w:rFonts w:ascii="Times New Roman" w:hAnsi="Times New Roman"/>
          <w:iCs/>
          <w:sz w:val="24"/>
          <w:szCs w:val="24"/>
        </w:rPr>
        <w:t xml:space="preserve"> which identified significant barriers that severely limit the capacity for businesses to reduce emissions in sectors such as transport, agriculture and manufacturing. Th</w:t>
      </w:r>
      <w:r>
        <w:rPr>
          <w:rFonts w:ascii="Times New Roman" w:hAnsi="Times New Roman"/>
          <w:iCs/>
          <w:sz w:val="24"/>
          <w:szCs w:val="24"/>
        </w:rPr>
        <w:t>ese barriers include</w:t>
      </w:r>
      <w:r w:rsidRPr="00CF59B2">
        <w:rPr>
          <w:rFonts w:ascii="Times New Roman" w:hAnsi="Times New Roman"/>
          <w:iCs/>
          <w:sz w:val="24"/>
          <w:szCs w:val="24"/>
        </w:rPr>
        <w:t xml:space="preserve"> a lack of knowledge about cost effective abatement activities</w:t>
      </w:r>
      <w:r>
        <w:rPr>
          <w:rFonts w:ascii="Times New Roman" w:hAnsi="Times New Roman"/>
          <w:iCs/>
          <w:sz w:val="24"/>
          <w:szCs w:val="24"/>
        </w:rPr>
        <w:t>;</w:t>
      </w:r>
      <w:r w:rsidRPr="00CF59B2">
        <w:rPr>
          <w:rFonts w:ascii="Times New Roman" w:hAnsi="Times New Roman"/>
          <w:iCs/>
          <w:sz w:val="24"/>
          <w:szCs w:val="24"/>
        </w:rPr>
        <w:t xml:space="preserve"> a lack of knowledge about carbon markets</w:t>
      </w:r>
      <w:r>
        <w:rPr>
          <w:rFonts w:ascii="Times New Roman" w:hAnsi="Times New Roman"/>
          <w:iCs/>
          <w:sz w:val="24"/>
          <w:szCs w:val="24"/>
        </w:rPr>
        <w:t>;</w:t>
      </w:r>
      <w:r w:rsidRPr="00CF59B2">
        <w:rPr>
          <w:rFonts w:ascii="Times New Roman" w:hAnsi="Times New Roman"/>
          <w:iCs/>
          <w:sz w:val="24"/>
          <w:szCs w:val="24"/>
        </w:rPr>
        <w:t xml:space="preserve"> a lack of trust in the parties offering information</w:t>
      </w:r>
      <w:r>
        <w:rPr>
          <w:rFonts w:ascii="Times New Roman" w:hAnsi="Times New Roman"/>
          <w:iCs/>
          <w:sz w:val="24"/>
          <w:szCs w:val="24"/>
        </w:rPr>
        <w:t>;</w:t>
      </w:r>
      <w:r w:rsidRPr="00CF59B2">
        <w:rPr>
          <w:rFonts w:ascii="Times New Roman" w:hAnsi="Times New Roman"/>
          <w:iCs/>
          <w:sz w:val="24"/>
          <w:szCs w:val="24"/>
        </w:rPr>
        <w:t xml:space="preserve"> and a lack of access to carbon markets due to the cost of participation. The King Review also recommended the establishment of a goal-oriented technology co-investment program to accelerate the uptake of transformative, high abatement potential technologies that are not currently cost effective (</w:t>
      </w:r>
      <w:r>
        <w:rPr>
          <w:rFonts w:ascii="Times New Roman" w:hAnsi="Times New Roman"/>
          <w:iCs/>
          <w:sz w:val="24"/>
          <w:szCs w:val="24"/>
        </w:rPr>
        <w:t>r</w:t>
      </w:r>
      <w:r w:rsidRPr="00CF59B2">
        <w:rPr>
          <w:rFonts w:ascii="Times New Roman" w:hAnsi="Times New Roman"/>
          <w:iCs/>
          <w:sz w:val="24"/>
          <w:szCs w:val="24"/>
        </w:rPr>
        <w:t>ecommendation 10.1).</w:t>
      </w:r>
    </w:p>
    <w:p w14:paraId="69400612" w14:textId="77777777" w:rsidR="007E4E27" w:rsidRDefault="007E4E27" w:rsidP="007E4E27">
      <w:pPr>
        <w:rPr>
          <w:rFonts w:ascii="Times New Roman" w:hAnsi="Times New Roman"/>
          <w:iCs/>
          <w:sz w:val="24"/>
          <w:szCs w:val="24"/>
        </w:rPr>
      </w:pPr>
    </w:p>
    <w:p w14:paraId="5835C744" w14:textId="77777777" w:rsidR="007E4E27" w:rsidRPr="008075E3" w:rsidRDefault="007E4E27" w:rsidP="007E4E27">
      <w:pPr>
        <w:rPr>
          <w:rFonts w:ascii="Times New Roman" w:hAnsi="Times New Roman"/>
          <w:iCs/>
          <w:sz w:val="24"/>
          <w:szCs w:val="24"/>
        </w:rPr>
      </w:pPr>
      <w:r>
        <w:rPr>
          <w:rFonts w:ascii="Times New Roman" w:hAnsi="Times New Roman"/>
          <w:iCs/>
          <w:sz w:val="24"/>
          <w:szCs w:val="24"/>
        </w:rPr>
        <w:t>The d</w:t>
      </w:r>
      <w:r w:rsidRPr="008075E3">
        <w:rPr>
          <w:rFonts w:ascii="Times New Roman" w:hAnsi="Times New Roman"/>
          <w:iCs/>
          <w:sz w:val="24"/>
          <w:szCs w:val="24"/>
        </w:rPr>
        <w:t xml:space="preserve">epartment has undertaken preliminary consultation with stakeholders in the early stages of developing the policy proposal for the </w:t>
      </w:r>
      <w:r>
        <w:rPr>
          <w:rFonts w:ascii="Times New Roman" w:hAnsi="Times New Roman"/>
          <w:iCs/>
          <w:sz w:val="24"/>
          <w:szCs w:val="24"/>
        </w:rPr>
        <w:t>Fund</w:t>
      </w:r>
      <w:r w:rsidRPr="008075E3">
        <w:rPr>
          <w:rFonts w:ascii="Times New Roman" w:hAnsi="Times New Roman"/>
          <w:iCs/>
          <w:sz w:val="24"/>
          <w:szCs w:val="24"/>
        </w:rPr>
        <w:t>. During 2019</w:t>
      </w:r>
      <w:r>
        <w:rPr>
          <w:rFonts w:ascii="Times New Roman" w:hAnsi="Times New Roman"/>
          <w:iCs/>
          <w:sz w:val="24"/>
          <w:szCs w:val="24"/>
        </w:rPr>
        <w:t>,</w:t>
      </w:r>
      <w:r w:rsidRPr="008075E3">
        <w:rPr>
          <w:rFonts w:ascii="Times New Roman" w:hAnsi="Times New Roman"/>
          <w:iCs/>
          <w:sz w:val="24"/>
          <w:szCs w:val="24"/>
        </w:rPr>
        <w:t xml:space="preserve"> the King Review conducted targeted consultation with the industrial, manufacturing, transport and agricultur</w:t>
      </w:r>
      <w:r>
        <w:rPr>
          <w:rFonts w:ascii="Times New Roman" w:hAnsi="Times New Roman"/>
          <w:iCs/>
          <w:sz w:val="24"/>
          <w:szCs w:val="24"/>
        </w:rPr>
        <w:t>al</w:t>
      </w:r>
      <w:r w:rsidRPr="008075E3">
        <w:rPr>
          <w:rFonts w:ascii="Times New Roman" w:hAnsi="Times New Roman"/>
          <w:iCs/>
          <w:sz w:val="24"/>
          <w:szCs w:val="24"/>
        </w:rPr>
        <w:t xml:space="preserve"> sectors, and energy efficiency stakeholders. Submissions were received by the King Review from</w:t>
      </w:r>
      <w:r>
        <w:rPr>
          <w:rFonts w:ascii="Times New Roman" w:hAnsi="Times New Roman"/>
          <w:iCs/>
          <w:sz w:val="24"/>
          <w:szCs w:val="24"/>
        </w:rPr>
        <w:t xml:space="preserve"> </w:t>
      </w:r>
      <w:r w:rsidRPr="00DF0EEF">
        <w:rPr>
          <w:rFonts w:ascii="Times New Roman" w:hAnsi="Times New Roman"/>
          <w:iCs/>
          <w:sz w:val="24"/>
          <w:szCs w:val="24"/>
        </w:rPr>
        <w:t>more than 50 industry, research and non-government</w:t>
      </w:r>
      <w:r w:rsidRPr="008075E3">
        <w:rPr>
          <w:rFonts w:ascii="Times New Roman" w:hAnsi="Times New Roman"/>
          <w:iCs/>
          <w:sz w:val="24"/>
          <w:szCs w:val="24"/>
        </w:rPr>
        <w:t xml:space="preserve"> organisations and informed the</w:t>
      </w:r>
      <w:r>
        <w:rPr>
          <w:rFonts w:ascii="Times New Roman" w:hAnsi="Times New Roman"/>
          <w:iCs/>
          <w:sz w:val="24"/>
          <w:szCs w:val="24"/>
        </w:rPr>
        <w:t xml:space="preserve"> review</w:t>
      </w:r>
      <w:r w:rsidRPr="008075E3">
        <w:rPr>
          <w:rFonts w:ascii="Times New Roman" w:hAnsi="Times New Roman"/>
          <w:iCs/>
          <w:sz w:val="24"/>
          <w:szCs w:val="24"/>
        </w:rPr>
        <w:t xml:space="preserve"> recommendations.</w:t>
      </w:r>
      <w:r>
        <w:rPr>
          <w:rFonts w:ascii="Times New Roman" w:hAnsi="Times New Roman"/>
          <w:iCs/>
          <w:sz w:val="24"/>
          <w:szCs w:val="24"/>
        </w:rPr>
        <w:t xml:space="preserve"> Details of consultation for activities to be administered by the department are set out below as part of the description of relevant components of the</w:t>
      </w:r>
      <w:r w:rsidRPr="008075E3">
        <w:rPr>
          <w:rFonts w:ascii="Times New Roman" w:hAnsi="Times New Roman"/>
          <w:iCs/>
          <w:sz w:val="24"/>
          <w:szCs w:val="24"/>
        </w:rPr>
        <w:t xml:space="preserve"> </w:t>
      </w:r>
      <w:r>
        <w:rPr>
          <w:rFonts w:ascii="Times New Roman" w:hAnsi="Times New Roman"/>
          <w:iCs/>
          <w:sz w:val="24"/>
          <w:szCs w:val="24"/>
        </w:rPr>
        <w:t>Fund.</w:t>
      </w:r>
    </w:p>
    <w:p w14:paraId="222A56AB" w14:textId="77777777" w:rsidR="007E4E27" w:rsidRDefault="007E4E27" w:rsidP="007E4E27">
      <w:pPr>
        <w:rPr>
          <w:rFonts w:ascii="Times New Roman" w:hAnsi="Times New Roman"/>
          <w:iCs/>
          <w:sz w:val="24"/>
          <w:szCs w:val="24"/>
        </w:rPr>
      </w:pPr>
    </w:p>
    <w:p w14:paraId="4D4BA53A" w14:textId="0B027E29" w:rsidR="007E4E27" w:rsidRDefault="007E4E27" w:rsidP="007E4E27">
      <w:pPr>
        <w:rPr>
          <w:rFonts w:ascii="Times New Roman" w:hAnsi="Times New Roman"/>
          <w:iCs/>
          <w:sz w:val="24"/>
          <w:szCs w:val="24"/>
        </w:rPr>
      </w:pPr>
      <w:r w:rsidRPr="00F2525D">
        <w:rPr>
          <w:rFonts w:ascii="Times New Roman" w:hAnsi="Times New Roman"/>
          <w:iCs/>
          <w:sz w:val="24"/>
          <w:szCs w:val="24"/>
        </w:rPr>
        <w:t xml:space="preserve">Grant funding will be provided by the Australian Renewable Energy Agency (ARENA) under the </w:t>
      </w:r>
      <w:r w:rsidRPr="00F2525D">
        <w:rPr>
          <w:rFonts w:ascii="Times New Roman" w:hAnsi="Times New Roman"/>
          <w:i/>
          <w:iCs/>
          <w:sz w:val="24"/>
          <w:szCs w:val="24"/>
        </w:rPr>
        <w:t>Australian Renewable Energy Agency Act 2011</w:t>
      </w:r>
      <w:r w:rsidRPr="00F2525D">
        <w:rPr>
          <w:rFonts w:ascii="Times New Roman" w:hAnsi="Times New Roman"/>
          <w:iCs/>
          <w:sz w:val="24"/>
          <w:szCs w:val="24"/>
        </w:rPr>
        <w:t xml:space="preserve"> for some </w:t>
      </w:r>
      <w:r>
        <w:rPr>
          <w:rFonts w:ascii="Times New Roman" w:hAnsi="Times New Roman"/>
          <w:iCs/>
          <w:sz w:val="24"/>
          <w:szCs w:val="24"/>
        </w:rPr>
        <w:t>aspects of the</w:t>
      </w:r>
      <w:r w:rsidRPr="00F2525D">
        <w:rPr>
          <w:rFonts w:ascii="Times New Roman" w:hAnsi="Times New Roman"/>
          <w:iCs/>
          <w:sz w:val="24"/>
          <w:szCs w:val="24"/>
        </w:rPr>
        <w:t xml:space="preserve"> </w:t>
      </w:r>
      <w:r>
        <w:rPr>
          <w:rFonts w:ascii="Times New Roman" w:hAnsi="Times New Roman"/>
          <w:iCs/>
          <w:sz w:val="24"/>
          <w:szCs w:val="24"/>
        </w:rPr>
        <w:t>F</w:t>
      </w:r>
      <w:r w:rsidRPr="00F2525D">
        <w:rPr>
          <w:rFonts w:ascii="Times New Roman" w:hAnsi="Times New Roman"/>
          <w:iCs/>
          <w:sz w:val="24"/>
          <w:szCs w:val="24"/>
        </w:rPr>
        <w:t xml:space="preserve">und, </w:t>
      </w:r>
      <w:r>
        <w:rPr>
          <w:rFonts w:ascii="Times New Roman" w:hAnsi="Times New Roman"/>
          <w:iCs/>
          <w:sz w:val="24"/>
          <w:szCs w:val="24"/>
        </w:rPr>
        <w:t xml:space="preserve">while </w:t>
      </w:r>
      <w:r w:rsidRPr="00F2525D">
        <w:rPr>
          <w:rFonts w:ascii="Times New Roman" w:hAnsi="Times New Roman"/>
          <w:iCs/>
          <w:sz w:val="24"/>
          <w:szCs w:val="24"/>
        </w:rPr>
        <w:t xml:space="preserve">the </w:t>
      </w:r>
      <w:r>
        <w:rPr>
          <w:rFonts w:ascii="Times New Roman" w:hAnsi="Times New Roman"/>
          <w:iCs/>
          <w:sz w:val="24"/>
          <w:szCs w:val="24"/>
        </w:rPr>
        <w:t>d</w:t>
      </w:r>
      <w:r w:rsidRPr="00F2525D">
        <w:rPr>
          <w:rFonts w:ascii="Times New Roman" w:hAnsi="Times New Roman"/>
          <w:iCs/>
          <w:sz w:val="24"/>
          <w:szCs w:val="24"/>
        </w:rPr>
        <w:t xml:space="preserve">epartment will be responsible for </w:t>
      </w:r>
      <w:r>
        <w:rPr>
          <w:rFonts w:ascii="Times New Roman" w:hAnsi="Times New Roman"/>
          <w:iCs/>
          <w:sz w:val="24"/>
          <w:szCs w:val="24"/>
        </w:rPr>
        <w:t>the following</w:t>
      </w:r>
      <w:r w:rsidRPr="00F2525D">
        <w:rPr>
          <w:rFonts w:ascii="Times New Roman" w:hAnsi="Times New Roman"/>
          <w:iCs/>
          <w:sz w:val="24"/>
          <w:szCs w:val="24"/>
        </w:rPr>
        <w:t xml:space="preserve"> </w:t>
      </w:r>
      <w:r>
        <w:rPr>
          <w:rFonts w:ascii="Times New Roman" w:hAnsi="Times New Roman"/>
          <w:iCs/>
          <w:sz w:val="24"/>
          <w:szCs w:val="24"/>
        </w:rPr>
        <w:t xml:space="preserve">components </w:t>
      </w:r>
      <w:r w:rsidRPr="00F2525D">
        <w:rPr>
          <w:rFonts w:ascii="Times New Roman" w:hAnsi="Times New Roman"/>
          <w:iCs/>
          <w:sz w:val="24"/>
          <w:szCs w:val="24"/>
        </w:rPr>
        <w:t xml:space="preserve">to be authorised </w:t>
      </w:r>
      <w:r>
        <w:rPr>
          <w:rFonts w:ascii="Times New Roman" w:hAnsi="Times New Roman"/>
          <w:iCs/>
          <w:sz w:val="24"/>
          <w:szCs w:val="24"/>
        </w:rPr>
        <w:t>through new</w:t>
      </w:r>
      <w:r w:rsidR="00404A43">
        <w:rPr>
          <w:rFonts w:ascii="Times New Roman" w:hAnsi="Times New Roman"/>
          <w:iCs/>
          <w:sz w:val="24"/>
          <w:szCs w:val="24"/>
        </w:rPr>
        <w:t xml:space="preserve"> table </w:t>
      </w:r>
      <w:r>
        <w:rPr>
          <w:rFonts w:ascii="Times New Roman" w:hAnsi="Times New Roman"/>
          <w:iCs/>
          <w:sz w:val="24"/>
          <w:szCs w:val="24"/>
        </w:rPr>
        <w:t>item</w:t>
      </w:r>
      <w:r w:rsidR="00404A43">
        <w:rPr>
          <w:rFonts w:ascii="Times New Roman" w:hAnsi="Times New Roman"/>
          <w:iCs/>
          <w:sz w:val="24"/>
          <w:szCs w:val="24"/>
        </w:rPr>
        <w:t xml:space="preserve"> 452</w:t>
      </w:r>
      <w:r>
        <w:rPr>
          <w:rFonts w:ascii="Times New Roman" w:hAnsi="Times New Roman"/>
          <w:iCs/>
          <w:sz w:val="24"/>
          <w:szCs w:val="24"/>
        </w:rPr>
        <w:t>:</w:t>
      </w:r>
    </w:p>
    <w:p w14:paraId="6A0E8A5E" w14:textId="77777777" w:rsidR="007E4E27" w:rsidRPr="00491F3E" w:rsidRDefault="007E4E27" w:rsidP="007E4E27">
      <w:pPr>
        <w:pStyle w:val="ListParagraph"/>
        <w:numPr>
          <w:ilvl w:val="0"/>
          <w:numId w:val="19"/>
        </w:numPr>
        <w:ind w:right="57"/>
        <w:contextualSpacing w:val="0"/>
        <w:rPr>
          <w:rFonts w:cs="Times New Roman"/>
        </w:rPr>
      </w:pPr>
      <w:r w:rsidRPr="00491F3E">
        <w:rPr>
          <w:rFonts w:cs="Times New Roman"/>
        </w:rPr>
        <w:t xml:space="preserve">industrial </w:t>
      </w:r>
      <w:r>
        <w:rPr>
          <w:rFonts w:cs="Times New Roman"/>
        </w:rPr>
        <w:t xml:space="preserve">and </w:t>
      </w:r>
      <w:r w:rsidRPr="00491F3E">
        <w:rPr>
          <w:rFonts w:cs="Times New Roman"/>
        </w:rPr>
        <w:t>energy productivity benchmarks</w:t>
      </w:r>
      <w:r>
        <w:rPr>
          <w:rFonts w:cs="Times New Roman"/>
        </w:rPr>
        <w:t xml:space="preserve">; </w:t>
      </w:r>
    </w:p>
    <w:p w14:paraId="4ADF325B" w14:textId="77777777" w:rsidR="007E4E27" w:rsidRPr="00491F3E" w:rsidRDefault="007E4E27" w:rsidP="007E4E27">
      <w:pPr>
        <w:pStyle w:val="ListParagraph"/>
        <w:numPr>
          <w:ilvl w:val="0"/>
          <w:numId w:val="19"/>
        </w:numPr>
        <w:ind w:right="57"/>
        <w:contextualSpacing w:val="0"/>
        <w:rPr>
          <w:rFonts w:cs="Times New Roman"/>
        </w:rPr>
      </w:pPr>
      <w:r>
        <w:rPr>
          <w:rFonts w:cs="Times New Roman"/>
        </w:rPr>
        <w:t>transport</w:t>
      </w:r>
      <w:r w:rsidRPr="00491F3E">
        <w:rPr>
          <w:rFonts w:cs="Times New Roman"/>
        </w:rPr>
        <w:t xml:space="preserve"> fuel efficiency;</w:t>
      </w:r>
      <w:r>
        <w:rPr>
          <w:rFonts w:cs="Times New Roman"/>
        </w:rPr>
        <w:t xml:space="preserve"> and</w:t>
      </w:r>
    </w:p>
    <w:p w14:paraId="6F9BB0B6" w14:textId="77777777" w:rsidR="007E4E27" w:rsidRPr="00491F3E" w:rsidRDefault="007E4E27" w:rsidP="007E4E27">
      <w:pPr>
        <w:pStyle w:val="ListParagraph"/>
        <w:numPr>
          <w:ilvl w:val="0"/>
          <w:numId w:val="19"/>
        </w:numPr>
        <w:ind w:right="57"/>
        <w:contextualSpacing w:val="0"/>
        <w:rPr>
          <w:rFonts w:cs="Times New Roman"/>
        </w:rPr>
      </w:pPr>
      <w:r w:rsidRPr="00491F3E">
        <w:rPr>
          <w:rFonts w:cs="Times New Roman"/>
        </w:rPr>
        <w:t>soil carbon and livestock</w:t>
      </w:r>
      <w:r>
        <w:rPr>
          <w:rFonts w:cs="Times New Roman"/>
        </w:rPr>
        <w:t xml:space="preserve"> emissions.</w:t>
      </w:r>
    </w:p>
    <w:p w14:paraId="42D72649" w14:textId="77777777" w:rsidR="007E4E27" w:rsidRDefault="007E4E27" w:rsidP="007E4E27">
      <w:pPr>
        <w:rPr>
          <w:rFonts w:ascii="Times New Roman" w:hAnsi="Times New Roman"/>
          <w:iCs/>
          <w:sz w:val="24"/>
          <w:szCs w:val="24"/>
        </w:rPr>
      </w:pPr>
    </w:p>
    <w:p w14:paraId="52E49536" w14:textId="77777777" w:rsidR="007E4E27" w:rsidRPr="0012102C" w:rsidRDefault="007E4E27" w:rsidP="007E4E27">
      <w:pPr>
        <w:rPr>
          <w:i/>
          <w:sz w:val="24"/>
          <w:szCs w:val="24"/>
          <w:u w:val="single"/>
        </w:rPr>
      </w:pPr>
      <w:r w:rsidRPr="0012102C">
        <w:rPr>
          <w:rFonts w:ascii="Times New Roman" w:hAnsi="Times New Roman"/>
          <w:i/>
          <w:sz w:val="24"/>
          <w:szCs w:val="24"/>
          <w:u w:val="single"/>
        </w:rPr>
        <w:t xml:space="preserve">Industrial </w:t>
      </w:r>
      <w:r w:rsidRPr="0012102C" w:rsidDel="00FD5B46">
        <w:rPr>
          <w:rFonts w:ascii="Times New Roman" w:hAnsi="Times New Roman"/>
          <w:i/>
          <w:sz w:val="24"/>
          <w:szCs w:val="24"/>
          <w:u w:val="single"/>
        </w:rPr>
        <w:t xml:space="preserve">and </w:t>
      </w:r>
      <w:r w:rsidRPr="0012102C">
        <w:rPr>
          <w:rFonts w:ascii="Times New Roman" w:hAnsi="Times New Roman"/>
          <w:i/>
          <w:sz w:val="24"/>
          <w:szCs w:val="24"/>
          <w:u w:val="single"/>
        </w:rPr>
        <w:t>energy productivity benchmarks</w:t>
      </w:r>
      <w:r w:rsidRPr="0012102C">
        <w:rPr>
          <w:i/>
          <w:sz w:val="24"/>
          <w:szCs w:val="24"/>
          <w:u w:val="single"/>
        </w:rPr>
        <w:t xml:space="preserve"> </w:t>
      </w:r>
    </w:p>
    <w:p w14:paraId="263D1887" w14:textId="77777777" w:rsidR="007E4E27" w:rsidRDefault="007E4E27" w:rsidP="007E4E27">
      <w:pPr>
        <w:rPr>
          <w:rFonts w:ascii="Times New Roman" w:hAnsi="Times New Roman"/>
          <w:iCs/>
          <w:sz w:val="24"/>
          <w:szCs w:val="24"/>
        </w:rPr>
      </w:pPr>
    </w:p>
    <w:p w14:paraId="10E2B9B4" w14:textId="77777777" w:rsidR="007E4E27" w:rsidRDefault="007E4E27" w:rsidP="007E4E27">
      <w:pPr>
        <w:rPr>
          <w:rFonts w:ascii="Times New Roman" w:hAnsi="Times New Roman"/>
          <w:iCs/>
          <w:sz w:val="24"/>
          <w:szCs w:val="24"/>
        </w:rPr>
      </w:pPr>
      <w:r w:rsidRPr="0012102C">
        <w:rPr>
          <w:rFonts w:ascii="Times New Roman" w:hAnsi="Times New Roman"/>
          <w:iCs/>
          <w:sz w:val="24"/>
          <w:szCs w:val="24"/>
        </w:rPr>
        <w:t>The industrial and energy productivity benchmarks will enable manufacturi</w:t>
      </w:r>
      <w:r>
        <w:rPr>
          <w:rFonts w:ascii="Times New Roman" w:hAnsi="Times New Roman"/>
          <w:iCs/>
          <w:sz w:val="24"/>
          <w:szCs w:val="24"/>
        </w:rPr>
        <w:t>ng, construction and agricultural</w:t>
      </w:r>
      <w:r w:rsidRPr="0012102C">
        <w:rPr>
          <w:rFonts w:ascii="Times New Roman" w:hAnsi="Times New Roman"/>
          <w:iCs/>
          <w:sz w:val="24"/>
          <w:szCs w:val="24"/>
        </w:rPr>
        <w:t xml:space="preserve"> sectors, as well as gas intensive industrial sectors, to identify energy waste in their processes and facilities, and make changes to save money</w:t>
      </w:r>
      <w:r>
        <w:rPr>
          <w:rFonts w:ascii="Times New Roman" w:hAnsi="Times New Roman"/>
          <w:iCs/>
          <w:sz w:val="24"/>
          <w:szCs w:val="24"/>
        </w:rPr>
        <w:t xml:space="preserve"> and energy</w:t>
      </w:r>
      <w:r w:rsidRPr="0012102C">
        <w:rPr>
          <w:rFonts w:ascii="Times New Roman" w:hAnsi="Times New Roman"/>
          <w:iCs/>
          <w:sz w:val="24"/>
          <w:szCs w:val="24"/>
        </w:rPr>
        <w:t>. The benchmarks will be developed through up to 15 procurement processes</w:t>
      </w:r>
      <w:r>
        <w:rPr>
          <w:rFonts w:ascii="Times New Roman" w:hAnsi="Times New Roman"/>
          <w:iCs/>
          <w:sz w:val="24"/>
          <w:szCs w:val="24"/>
        </w:rPr>
        <w:t xml:space="preserve"> in a </w:t>
      </w:r>
      <w:r w:rsidRPr="0012102C">
        <w:rPr>
          <w:rFonts w:ascii="Times New Roman" w:hAnsi="Times New Roman"/>
          <w:iCs/>
          <w:sz w:val="24"/>
          <w:szCs w:val="24"/>
        </w:rPr>
        <w:t>user friendly, digital format</w:t>
      </w:r>
      <w:r>
        <w:rPr>
          <w:rFonts w:ascii="Times New Roman" w:hAnsi="Times New Roman"/>
          <w:iCs/>
          <w:sz w:val="24"/>
          <w:szCs w:val="24"/>
        </w:rPr>
        <w:t xml:space="preserve">. They will have nationwide coverage, be </w:t>
      </w:r>
      <w:r w:rsidRPr="0012102C">
        <w:rPr>
          <w:rFonts w:ascii="Times New Roman" w:hAnsi="Times New Roman"/>
          <w:iCs/>
          <w:sz w:val="24"/>
          <w:szCs w:val="24"/>
        </w:rPr>
        <w:t xml:space="preserve">freely available </w:t>
      </w:r>
      <w:r>
        <w:rPr>
          <w:rFonts w:ascii="Times New Roman" w:hAnsi="Times New Roman"/>
          <w:iCs/>
          <w:sz w:val="24"/>
          <w:szCs w:val="24"/>
        </w:rPr>
        <w:t>on</w:t>
      </w:r>
      <w:r w:rsidRPr="0012102C">
        <w:rPr>
          <w:rFonts w:ascii="Times New Roman" w:hAnsi="Times New Roman"/>
          <w:iCs/>
          <w:sz w:val="24"/>
          <w:szCs w:val="24"/>
        </w:rPr>
        <w:t xml:space="preserve"> the </w:t>
      </w:r>
      <w:r>
        <w:rPr>
          <w:rFonts w:ascii="Times New Roman" w:hAnsi="Times New Roman"/>
          <w:iCs/>
          <w:sz w:val="24"/>
          <w:szCs w:val="24"/>
        </w:rPr>
        <w:t>departmental</w:t>
      </w:r>
      <w:r w:rsidRPr="0012102C">
        <w:rPr>
          <w:rFonts w:ascii="Times New Roman" w:hAnsi="Times New Roman"/>
          <w:iCs/>
          <w:sz w:val="24"/>
          <w:szCs w:val="24"/>
        </w:rPr>
        <w:t xml:space="preserve"> website</w:t>
      </w:r>
      <w:r>
        <w:rPr>
          <w:rFonts w:ascii="Times New Roman" w:hAnsi="Times New Roman"/>
          <w:iCs/>
          <w:sz w:val="24"/>
          <w:szCs w:val="24"/>
        </w:rPr>
        <w:t>,</w:t>
      </w:r>
      <w:r w:rsidRPr="0012102C">
        <w:rPr>
          <w:rFonts w:ascii="Times New Roman" w:hAnsi="Times New Roman"/>
          <w:iCs/>
          <w:sz w:val="24"/>
          <w:szCs w:val="24"/>
        </w:rPr>
        <w:t xml:space="preserve"> and rely on accessible business information. </w:t>
      </w:r>
      <w:r>
        <w:rPr>
          <w:rFonts w:ascii="Times New Roman" w:hAnsi="Times New Roman"/>
          <w:iCs/>
          <w:sz w:val="24"/>
          <w:szCs w:val="24"/>
        </w:rPr>
        <w:t>F</w:t>
      </w:r>
      <w:r w:rsidRPr="0012102C">
        <w:rPr>
          <w:rFonts w:ascii="Times New Roman" w:hAnsi="Times New Roman"/>
          <w:iCs/>
          <w:sz w:val="24"/>
          <w:szCs w:val="24"/>
        </w:rPr>
        <w:t xml:space="preserve">unding of $5.6 million over four years </w:t>
      </w:r>
      <w:r>
        <w:rPr>
          <w:rFonts w:ascii="Times New Roman" w:hAnsi="Times New Roman"/>
          <w:iCs/>
          <w:sz w:val="24"/>
          <w:szCs w:val="24"/>
        </w:rPr>
        <w:t xml:space="preserve">from </w:t>
      </w:r>
      <w:r w:rsidRPr="0012102C">
        <w:rPr>
          <w:rFonts w:ascii="Times New Roman" w:hAnsi="Times New Roman"/>
          <w:iCs/>
          <w:sz w:val="24"/>
          <w:szCs w:val="24"/>
        </w:rPr>
        <w:t>2020</w:t>
      </w:r>
      <w:r>
        <w:rPr>
          <w:rFonts w:ascii="Times New Roman" w:hAnsi="Times New Roman"/>
          <w:iCs/>
          <w:sz w:val="24"/>
          <w:szCs w:val="24"/>
        </w:rPr>
        <w:noBreakHyphen/>
      </w:r>
      <w:r w:rsidRPr="0012102C">
        <w:rPr>
          <w:rFonts w:ascii="Times New Roman" w:hAnsi="Times New Roman"/>
          <w:iCs/>
          <w:sz w:val="24"/>
          <w:szCs w:val="24"/>
        </w:rPr>
        <w:t>21</w:t>
      </w:r>
      <w:r>
        <w:rPr>
          <w:rFonts w:ascii="Times New Roman" w:hAnsi="Times New Roman"/>
          <w:iCs/>
          <w:sz w:val="24"/>
          <w:szCs w:val="24"/>
        </w:rPr>
        <w:t xml:space="preserve"> will be available for this component, with</w:t>
      </w:r>
      <w:r w:rsidRPr="0012102C">
        <w:rPr>
          <w:rFonts w:ascii="Times New Roman" w:hAnsi="Times New Roman"/>
          <w:iCs/>
          <w:sz w:val="24"/>
          <w:szCs w:val="24"/>
        </w:rPr>
        <w:t xml:space="preserve"> $3.7 million </w:t>
      </w:r>
      <w:r>
        <w:rPr>
          <w:rFonts w:ascii="Times New Roman" w:hAnsi="Times New Roman"/>
          <w:iCs/>
          <w:sz w:val="24"/>
          <w:szCs w:val="24"/>
        </w:rPr>
        <w:t xml:space="preserve">for </w:t>
      </w:r>
      <w:r w:rsidRPr="0012102C">
        <w:rPr>
          <w:rFonts w:ascii="Times New Roman" w:hAnsi="Times New Roman"/>
          <w:iCs/>
          <w:sz w:val="24"/>
          <w:szCs w:val="24"/>
        </w:rPr>
        <w:t>procur</w:t>
      </w:r>
      <w:r>
        <w:rPr>
          <w:rFonts w:ascii="Times New Roman" w:hAnsi="Times New Roman"/>
          <w:iCs/>
          <w:sz w:val="24"/>
          <w:szCs w:val="24"/>
        </w:rPr>
        <w:t>ing</w:t>
      </w:r>
      <w:r w:rsidRPr="0012102C">
        <w:rPr>
          <w:rFonts w:ascii="Times New Roman" w:hAnsi="Times New Roman"/>
          <w:iCs/>
          <w:sz w:val="24"/>
          <w:szCs w:val="24"/>
        </w:rPr>
        <w:t xml:space="preserve"> the benchmarks </w:t>
      </w:r>
      <w:r>
        <w:rPr>
          <w:rFonts w:ascii="Times New Roman" w:hAnsi="Times New Roman"/>
          <w:iCs/>
          <w:sz w:val="24"/>
          <w:szCs w:val="24"/>
        </w:rPr>
        <w:t>and</w:t>
      </w:r>
      <w:r w:rsidRPr="0012102C">
        <w:rPr>
          <w:rFonts w:ascii="Times New Roman" w:hAnsi="Times New Roman"/>
          <w:iCs/>
          <w:sz w:val="24"/>
          <w:szCs w:val="24"/>
        </w:rPr>
        <w:t xml:space="preserve"> $1.9 million </w:t>
      </w:r>
      <w:r>
        <w:rPr>
          <w:rFonts w:ascii="Times New Roman" w:hAnsi="Times New Roman"/>
          <w:iCs/>
          <w:sz w:val="24"/>
          <w:szCs w:val="24"/>
        </w:rPr>
        <w:t>for</w:t>
      </w:r>
      <w:r w:rsidRPr="0012102C">
        <w:rPr>
          <w:rFonts w:ascii="Times New Roman" w:hAnsi="Times New Roman"/>
          <w:iCs/>
          <w:sz w:val="24"/>
          <w:szCs w:val="24"/>
        </w:rPr>
        <w:t xml:space="preserve"> host</w:t>
      </w:r>
      <w:r>
        <w:rPr>
          <w:rFonts w:ascii="Times New Roman" w:hAnsi="Times New Roman"/>
          <w:iCs/>
          <w:sz w:val="24"/>
          <w:szCs w:val="24"/>
        </w:rPr>
        <w:t>ing</w:t>
      </w:r>
      <w:r w:rsidRPr="0012102C">
        <w:rPr>
          <w:rFonts w:ascii="Times New Roman" w:hAnsi="Times New Roman"/>
          <w:iCs/>
          <w:sz w:val="24"/>
          <w:szCs w:val="24"/>
        </w:rPr>
        <w:t xml:space="preserve"> and maintain</w:t>
      </w:r>
      <w:r>
        <w:rPr>
          <w:rFonts w:ascii="Times New Roman" w:hAnsi="Times New Roman"/>
          <w:iCs/>
          <w:sz w:val="24"/>
          <w:szCs w:val="24"/>
        </w:rPr>
        <w:t>ing</w:t>
      </w:r>
      <w:r w:rsidRPr="0012102C">
        <w:rPr>
          <w:rFonts w:ascii="Times New Roman" w:hAnsi="Times New Roman"/>
          <w:iCs/>
          <w:sz w:val="24"/>
          <w:szCs w:val="24"/>
        </w:rPr>
        <w:t xml:space="preserve"> the benchmarks. </w:t>
      </w:r>
    </w:p>
    <w:p w14:paraId="64FAECE1" w14:textId="77777777" w:rsidR="007E4E27" w:rsidRDefault="007E4E27" w:rsidP="007E4E27">
      <w:pPr>
        <w:rPr>
          <w:rFonts w:ascii="Times New Roman" w:hAnsi="Times New Roman"/>
          <w:iCs/>
          <w:sz w:val="24"/>
          <w:szCs w:val="24"/>
        </w:rPr>
      </w:pPr>
    </w:p>
    <w:p w14:paraId="095E6050" w14:textId="77777777" w:rsidR="007E4E27" w:rsidRDefault="007E4E27" w:rsidP="007E4E27">
      <w:pPr>
        <w:rPr>
          <w:rFonts w:ascii="Times New Roman" w:hAnsi="Times New Roman"/>
          <w:iCs/>
          <w:sz w:val="24"/>
          <w:szCs w:val="24"/>
        </w:rPr>
      </w:pPr>
      <w:r>
        <w:rPr>
          <w:rFonts w:ascii="Times New Roman" w:hAnsi="Times New Roman"/>
          <w:iCs/>
          <w:sz w:val="24"/>
          <w:szCs w:val="24"/>
        </w:rPr>
        <w:t xml:space="preserve">All procurement processes to be administered by the department under the Fund will be conducted in accordance with the Commonwealth resource management framework, including the </w:t>
      </w:r>
      <w:r w:rsidRPr="00282000">
        <w:rPr>
          <w:rFonts w:ascii="Times New Roman" w:hAnsi="Times New Roman"/>
          <w:i/>
          <w:iCs/>
          <w:sz w:val="24"/>
          <w:szCs w:val="24"/>
        </w:rPr>
        <w:t>Public Governance, Performance and Accountability Act 2013</w:t>
      </w:r>
      <w:r>
        <w:rPr>
          <w:rFonts w:ascii="Times New Roman" w:hAnsi="Times New Roman"/>
          <w:iCs/>
          <w:sz w:val="24"/>
          <w:szCs w:val="24"/>
        </w:rPr>
        <w:t xml:space="preserve"> and the </w:t>
      </w:r>
      <w:r w:rsidRPr="00282000">
        <w:rPr>
          <w:rFonts w:ascii="Times New Roman" w:hAnsi="Times New Roman"/>
          <w:i/>
          <w:iCs/>
          <w:sz w:val="24"/>
          <w:szCs w:val="24"/>
        </w:rPr>
        <w:t>Commonwealth Procurement Rules</w:t>
      </w:r>
      <w:r>
        <w:rPr>
          <w:rFonts w:ascii="Times New Roman" w:hAnsi="Times New Roman"/>
          <w:iCs/>
          <w:sz w:val="24"/>
          <w:szCs w:val="24"/>
        </w:rPr>
        <w:t xml:space="preserve"> (CPRs). </w:t>
      </w:r>
      <w:r w:rsidRPr="00282000">
        <w:rPr>
          <w:rFonts w:ascii="Times New Roman" w:hAnsi="Times New Roman"/>
          <w:iCs/>
          <w:sz w:val="24"/>
          <w:szCs w:val="24"/>
        </w:rPr>
        <w:t>The procurement method is expected to</w:t>
      </w:r>
      <w:r>
        <w:rPr>
          <w:rFonts w:ascii="Times New Roman" w:hAnsi="Times New Roman"/>
          <w:iCs/>
          <w:sz w:val="24"/>
          <w:szCs w:val="24"/>
        </w:rPr>
        <w:t xml:space="preserve"> be</w:t>
      </w:r>
      <w:r w:rsidRPr="00282000">
        <w:rPr>
          <w:rFonts w:ascii="Times New Roman" w:hAnsi="Times New Roman"/>
          <w:iCs/>
          <w:sz w:val="24"/>
          <w:szCs w:val="24"/>
        </w:rPr>
        <w:t xml:space="preserve"> </w:t>
      </w:r>
      <w:r>
        <w:rPr>
          <w:rFonts w:ascii="Times New Roman" w:hAnsi="Times New Roman"/>
          <w:iCs/>
          <w:sz w:val="24"/>
          <w:szCs w:val="24"/>
        </w:rPr>
        <w:t xml:space="preserve">through either </w:t>
      </w:r>
      <w:r w:rsidRPr="00282000">
        <w:rPr>
          <w:rFonts w:ascii="Times New Roman" w:hAnsi="Times New Roman"/>
          <w:iCs/>
          <w:sz w:val="24"/>
          <w:szCs w:val="24"/>
        </w:rPr>
        <w:t xml:space="preserve">a whole-of-government panel arrangement or </w:t>
      </w:r>
      <w:r>
        <w:rPr>
          <w:rFonts w:ascii="Times New Roman" w:hAnsi="Times New Roman"/>
          <w:iCs/>
          <w:sz w:val="24"/>
          <w:szCs w:val="24"/>
        </w:rPr>
        <w:t>an</w:t>
      </w:r>
      <w:r w:rsidRPr="00282000">
        <w:rPr>
          <w:rFonts w:ascii="Times New Roman" w:hAnsi="Times New Roman"/>
          <w:iCs/>
          <w:sz w:val="24"/>
          <w:szCs w:val="24"/>
        </w:rPr>
        <w:t>other existing panel arrangement. An assessment panel will make recommendations to the relevant delegate</w:t>
      </w:r>
      <w:r>
        <w:rPr>
          <w:rFonts w:ascii="Times New Roman" w:hAnsi="Times New Roman"/>
          <w:iCs/>
          <w:sz w:val="24"/>
          <w:szCs w:val="24"/>
        </w:rPr>
        <w:t xml:space="preserve"> of</w:t>
      </w:r>
      <w:r w:rsidRPr="00282000">
        <w:rPr>
          <w:rFonts w:ascii="Times New Roman" w:hAnsi="Times New Roman"/>
          <w:iCs/>
          <w:sz w:val="24"/>
          <w:szCs w:val="24"/>
        </w:rPr>
        <w:t xml:space="preserve"> the Secretary of the </w:t>
      </w:r>
      <w:r>
        <w:rPr>
          <w:rFonts w:ascii="Times New Roman" w:hAnsi="Times New Roman"/>
          <w:iCs/>
          <w:sz w:val="24"/>
          <w:szCs w:val="24"/>
        </w:rPr>
        <w:t>d</w:t>
      </w:r>
      <w:r w:rsidRPr="00282000">
        <w:rPr>
          <w:rFonts w:ascii="Times New Roman" w:hAnsi="Times New Roman"/>
          <w:iCs/>
          <w:sz w:val="24"/>
          <w:szCs w:val="24"/>
        </w:rPr>
        <w:t>epartment</w:t>
      </w:r>
      <w:r>
        <w:rPr>
          <w:rFonts w:ascii="Times New Roman" w:hAnsi="Times New Roman"/>
          <w:iCs/>
          <w:sz w:val="24"/>
          <w:szCs w:val="24"/>
        </w:rPr>
        <w:t xml:space="preserve">, who will make decisions </w:t>
      </w:r>
      <w:r w:rsidRPr="00282000">
        <w:rPr>
          <w:rFonts w:ascii="Times New Roman" w:hAnsi="Times New Roman"/>
          <w:iCs/>
          <w:sz w:val="24"/>
          <w:szCs w:val="24"/>
        </w:rPr>
        <w:t xml:space="preserve">about successful suppliers to </w:t>
      </w:r>
      <w:r>
        <w:rPr>
          <w:rFonts w:ascii="Times New Roman" w:hAnsi="Times New Roman"/>
          <w:iCs/>
          <w:sz w:val="24"/>
          <w:szCs w:val="24"/>
        </w:rPr>
        <w:t>deliver the benchmarks</w:t>
      </w:r>
      <w:r w:rsidRPr="00282000">
        <w:rPr>
          <w:rFonts w:ascii="Times New Roman" w:hAnsi="Times New Roman"/>
          <w:iCs/>
          <w:sz w:val="24"/>
          <w:szCs w:val="24"/>
        </w:rPr>
        <w:t>. Information regarding the decisions will be made publicly available on AusTender</w:t>
      </w:r>
      <w:r>
        <w:rPr>
          <w:rFonts w:ascii="Times New Roman" w:hAnsi="Times New Roman"/>
          <w:iCs/>
          <w:sz w:val="24"/>
          <w:szCs w:val="24"/>
        </w:rPr>
        <w:t xml:space="preserve"> at </w:t>
      </w:r>
      <w:r w:rsidRPr="00282000">
        <w:rPr>
          <w:rFonts w:ascii="Times New Roman" w:hAnsi="Times New Roman"/>
          <w:iCs/>
          <w:sz w:val="24"/>
          <w:szCs w:val="24"/>
          <w:u w:val="single"/>
        </w:rPr>
        <w:t>www.tenders.gov.au</w:t>
      </w:r>
      <w:r w:rsidRPr="00282000">
        <w:rPr>
          <w:rFonts w:ascii="Times New Roman" w:hAnsi="Times New Roman"/>
          <w:iCs/>
          <w:sz w:val="24"/>
          <w:szCs w:val="24"/>
        </w:rPr>
        <w:t>, in accordance with the requirements under the</w:t>
      </w:r>
      <w:r>
        <w:rPr>
          <w:rFonts w:ascii="Times New Roman" w:hAnsi="Times New Roman"/>
          <w:iCs/>
          <w:sz w:val="24"/>
          <w:szCs w:val="24"/>
        </w:rPr>
        <w:t xml:space="preserve"> CPRs</w:t>
      </w:r>
      <w:r w:rsidRPr="00282000">
        <w:rPr>
          <w:rFonts w:ascii="Times New Roman" w:hAnsi="Times New Roman"/>
          <w:iCs/>
          <w:sz w:val="24"/>
          <w:szCs w:val="24"/>
        </w:rPr>
        <w:t>.</w:t>
      </w:r>
      <w:r>
        <w:rPr>
          <w:rFonts w:ascii="Times New Roman" w:hAnsi="Times New Roman"/>
          <w:iCs/>
          <w:sz w:val="24"/>
          <w:szCs w:val="24"/>
        </w:rPr>
        <w:t xml:space="preserve"> </w:t>
      </w:r>
    </w:p>
    <w:p w14:paraId="04A1981C" w14:textId="77777777" w:rsidR="007E4E27" w:rsidRDefault="007E4E27" w:rsidP="007E4E27">
      <w:pPr>
        <w:rPr>
          <w:rFonts w:ascii="Times New Roman" w:hAnsi="Times New Roman"/>
          <w:iCs/>
          <w:sz w:val="24"/>
          <w:szCs w:val="24"/>
        </w:rPr>
      </w:pPr>
    </w:p>
    <w:p w14:paraId="465522BE" w14:textId="77777777" w:rsidR="007E4E27" w:rsidRPr="001013F4" w:rsidRDefault="007E4E27" w:rsidP="007E4E27">
      <w:pPr>
        <w:autoSpaceDE w:val="0"/>
        <w:autoSpaceDN w:val="0"/>
        <w:adjustRightInd w:val="0"/>
        <w:rPr>
          <w:rFonts w:ascii="Times New Roman" w:hAnsi="Times New Roman"/>
          <w:iCs/>
          <w:sz w:val="24"/>
          <w:szCs w:val="24"/>
        </w:rPr>
      </w:pPr>
      <w:r w:rsidRPr="001013F4">
        <w:rPr>
          <w:rFonts w:ascii="Times New Roman" w:hAnsi="Times New Roman"/>
          <w:iCs/>
          <w:sz w:val="24"/>
          <w:szCs w:val="24"/>
        </w:rPr>
        <w:t xml:space="preserve">The </w:t>
      </w:r>
      <w:r>
        <w:rPr>
          <w:rFonts w:ascii="Times New Roman" w:hAnsi="Times New Roman"/>
          <w:iCs/>
          <w:sz w:val="24"/>
          <w:szCs w:val="24"/>
        </w:rPr>
        <w:t>d</w:t>
      </w:r>
      <w:r w:rsidRPr="001013F4">
        <w:rPr>
          <w:rFonts w:ascii="Times New Roman" w:hAnsi="Times New Roman"/>
          <w:iCs/>
          <w:sz w:val="24"/>
          <w:szCs w:val="24"/>
        </w:rPr>
        <w:t xml:space="preserve">epartment conducted consultation with energy intensive industries and </w:t>
      </w:r>
      <w:r>
        <w:rPr>
          <w:rFonts w:ascii="Times New Roman" w:hAnsi="Times New Roman"/>
          <w:iCs/>
          <w:sz w:val="24"/>
          <w:szCs w:val="24"/>
        </w:rPr>
        <w:t xml:space="preserve">industry bodies as part of the </w:t>
      </w:r>
      <w:r w:rsidRPr="001013F4">
        <w:rPr>
          <w:rFonts w:ascii="Times New Roman" w:hAnsi="Times New Roman"/>
          <w:iCs/>
          <w:sz w:val="24"/>
          <w:szCs w:val="24"/>
        </w:rPr>
        <w:t xml:space="preserve">Barriers to Industrial Energy Efficiency consultancy. This involved targeted interviews with company executives and energy managers representing the top 60 industry energy users, who account for 50 per cent of energy used in Australia. </w:t>
      </w:r>
    </w:p>
    <w:p w14:paraId="4B22B22F" w14:textId="77777777" w:rsidR="007E4E27" w:rsidRPr="0012102C" w:rsidRDefault="007E4E27" w:rsidP="007E4E27">
      <w:pPr>
        <w:rPr>
          <w:rFonts w:ascii="Times New Roman" w:hAnsi="Times New Roman"/>
          <w:iCs/>
          <w:sz w:val="24"/>
          <w:szCs w:val="24"/>
        </w:rPr>
      </w:pPr>
    </w:p>
    <w:p w14:paraId="0D1A82C7" w14:textId="77777777" w:rsidR="007E4E27" w:rsidRPr="004D0F5C" w:rsidRDefault="007E4E27" w:rsidP="007E4E27">
      <w:pPr>
        <w:rPr>
          <w:rFonts w:ascii="Times New Roman" w:hAnsi="Times New Roman"/>
          <w:i/>
          <w:sz w:val="24"/>
          <w:szCs w:val="24"/>
          <w:u w:val="single"/>
        </w:rPr>
      </w:pPr>
      <w:r>
        <w:rPr>
          <w:rFonts w:ascii="Times New Roman" w:hAnsi="Times New Roman"/>
          <w:i/>
          <w:sz w:val="24"/>
          <w:szCs w:val="24"/>
          <w:u w:val="single"/>
        </w:rPr>
        <w:t>Transport</w:t>
      </w:r>
      <w:r w:rsidRPr="004D0F5C">
        <w:rPr>
          <w:rFonts w:ascii="Times New Roman" w:hAnsi="Times New Roman"/>
          <w:i/>
          <w:sz w:val="24"/>
          <w:szCs w:val="24"/>
          <w:u w:val="single"/>
        </w:rPr>
        <w:t xml:space="preserve"> fuel efficiency</w:t>
      </w:r>
    </w:p>
    <w:p w14:paraId="4D17CDA1" w14:textId="77777777" w:rsidR="007E4E27" w:rsidRDefault="007E4E27" w:rsidP="007E4E27">
      <w:pPr>
        <w:rPr>
          <w:rFonts w:ascii="Times New Roman" w:hAnsi="Times New Roman"/>
          <w:iCs/>
          <w:sz w:val="24"/>
          <w:szCs w:val="24"/>
        </w:rPr>
      </w:pPr>
    </w:p>
    <w:p w14:paraId="25388251" w14:textId="77777777" w:rsidR="007E4E27" w:rsidRDefault="007E4E27" w:rsidP="007E4E27">
      <w:pPr>
        <w:rPr>
          <w:rFonts w:ascii="Times New Roman" w:hAnsi="Times New Roman"/>
          <w:iCs/>
          <w:sz w:val="24"/>
          <w:szCs w:val="24"/>
        </w:rPr>
      </w:pPr>
      <w:r w:rsidRPr="004D0F5C">
        <w:rPr>
          <w:rFonts w:ascii="Times New Roman" w:hAnsi="Times New Roman"/>
          <w:iCs/>
          <w:sz w:val="24"/>
          <w:szCs w:val="24"/>
        </w:rPr>
        <w:t xml:space="preserve">The </w:t>
      </w:r>
      <w:r>
        <w:rPr>
          <w:rFonts w:ascii="Times New Roman" w:hAnsi="Times New Roman"/>
          <w:iCs/>
          <w:sz w:val="24"/>
          <w:szCs w:val="24"/>
        </w:rPr>
        <w:t>transport</w:t>
      </w:r>
      <w:r w:rsidRPr="004D0F5C">
        <w:rPr>
          <w:rFonts w:ascii="Times New Roman" w:hAnsi="Times New Roman"/>
          <w:iCs/>
          <w:sz w:val="24"/>
          <w:szCs w:val="24"/>
        </w:rPr>
        <w:t xml:space="preserve"> fuel efficiency component </w:t>
      </w:r>
      <w:r>
        <w:rPr>
          <w:rFonts w:ascii="Times New Roman" w:hAnsi="Times New Roman"/>
          <w:iCs/>
          <w:sz w:val="24"/>
          <w:szCs w:val="24"/>
        </w:rPr>
        <w:t>will</w:t>
      </w:r>
      <w:r w:rsidRPr="004D0F5C">
        <w:rPr>
          <w:rFonts w:ascii="Times New Roman" w:hAnsi="Times New Roman"/>
          <w:iCs/>
          <w:sz w:val="24"/>
          <w:szCs w:val="24"/>
        </w:rPr>
        <w:t xml:space="preserve"> provide road freight operators with verified information on energy and emissions reduction opportunities available in the freight sector</w:t>
      </w:r>
      <w:r>
        <w:rPr>
          <w:rFonts w:ascii="Times New Roman" w:hAnsi="Times New Roman"/>
          <w:iCs/>
          <w:sz w:val="24"/>
          <w:szCs w:val="24"/>
        </w:rPr>
        <w:t xml:space="preserve">, in order </w:t>
      </w:r>
      <w:r w:rsidRPr="004D0F5C">
        <w:rPr>
          <w:rFonts w:ascii="Times New Roman" w:hAnsi="Times New Roman"/>
          <w:iCs/>
          <w:sz w:val="24"/>
          <w:szCs w:val="24"/>
        </w:rPr>
        <w:t>to increase investment in energy efficient freight technologies.</w:t>
      </w:r>
    </w:p>
    <w:p w14:paraId="03EC1554" w14:textId="77777777" w:rsidR="007E4E27" w:rsidRPr="004D0F5C" w:rsidRDefault="007E4E27" w:rsidP="007E4E27">
      <w:pPr>
        <w:rPr>
          <w:rFonts w:ascii="Times New Roman" w:hAnsi="Times New Roman"/>
          <w:iCs/>
          <w:sz w:val="24"/>
          <w:szCs w:val="24"/>
        </w:rPr>
      </w:pPr>
    </w:p>
    <w:p w14:paraId="12FAD7F6" w14:textId="77777777" w:rsidR="007E4E27" w:rsidRPr="004D0F5C" w:rsidRDefault="007E4E27" w:rsidP="007E4E27">
      <w:pPr>
        <w:rPr>
          <w:rFonts w:ascii="Times New Roman" w:hAnsi="Times New Roman"/>
          <w:iCs/>
          <w:sz w:val="24"/>
          <w:szCs w:val="24"/>
        </w:rPr>
      </w:pPr>
      <w:r>
        <w:rPr>
          <w:rFonts w:ascii="Times New Roman" w:hAnsi="Times New Roman"/>
          <w:iCs/>
          <w:sz w:val="24"/>
          <w:szCs w:val="24"/>
        </w:rPr>
        <w:t xml:space="preserve">Among other activities, this component will involve the following </w:t>
      </w:r>
      <w:r w:rsidRPr="004D0F5C">
        <w:rPr>
          <w:rFonts w:ascii="Times New Roman" w:hAnsi="Times New Roman"/>
          <w:iCs/>
          <w:sz w:val="24"/>
          <w:szCs w:val="24"/>
        </w:rPr>
        <w:t xml:space="preserve">two </w:t>
      </w:r>
      <w:r>
        <w:rPr>
          <w:rFonts w:ascii="Times New Roman" w:hAnsi="Times New Roman"/>
          <w:iCs/>
          <w:sz w:val="24"/>
          <w:szCs w:val="24"/>
        </w:rPr>
        <w:t>procurements</w:t>
      </w:r>
      <w:r w:rsidRPr="004D0F5C">
        <w:rPr>
          <w:rFonts w:ascii="Times New Roman" w:hAnsi="Times New Roman"/>
          <w:iCs/>
          <w:sz w:val="24"/>
          <w:szCs w:val="24"/>
        </w:rPr>
        <w:t>:</w:t>
      </w:r>
    </w:p>
    <w:p w14:paraId="3C3BC4CB" w14:textId="77777777" w:rsidR="007E4E27" w:rsidRPr="004D0F5C" w:rsidRDefault="007E4E27" w:rsidP="007E4E27">
      <w:pPr>
        <w:pStyle w:val="ListParagraph"/>
        <w:numPr>
          <w:ilvl w:val="0"/>
          <w:numId w:val="19"/>
        </w:numPr>
        <w:ind w:right="57"/>
        <w:contextualSpacing w:val="0"/>
        <w:rPr>
          <w:rFonts w:cs="Times New Roman"/>
        </w:rPr>
      </w:pPr>
      <w:r>
        <w:rPr>
          <w:rFonts w:cs="Times New Roman"/>
        </w:rPr>
        <w:t>d</w:t>
      </w:r>
      <w:r w:rsidRPr="004D0F5C">
        <w:rPr>
          <w:rFonts w:cs="Times New Roman"/>
        </w:rPr>
        <w:t>esign of a webpage to provide objective, verified information on energy use and emissions reduction opportunities available in the freight sector</w:t>
      </w:r>
      <w:r>
        <w:rPr>
          <w:rFonts w:cs="Times New Roman"/>
        </w:rPr>
        <w:t>; and</w:t>
      </w:r>
    </w:p>
    <w:p w14:paraId="5BF98413" w14:textId="77777777" w:rsidR="007E4E27" w:rsidRPr="004D0F5C" w:rsidRDefault="007E4E27" w:rsidP="007E4E27">
      <w:pPr>
        <w:pStyle w:val="ListParagraph"/>
        <w:numPr>
          <w:ilvl w:val="0"/>
          <w:numId w:val="19"/>
        </w:numPr>
        <w:ind w:right="57"/>
        <w:contextualSpacing w:val="0"/>
        <w:rPr>
          <w:rFonts w:cs="Times New Roman"/>
        </w:rPr>
      </w:pPr>
      <w:r>
        <w:rPr>
          <w:rFonts w:cs="Times New Roman"/>
        </w:rPr>
        <w:t>d</w:t>
      </w:r>
      <w:r w:rsidRPr="004D0F5C">
        <w:rPr>
          <w:rFonts w:cs="Times New Roman"/>
        </w:rPr>
        <w:t xml:space="preserve">evelopment of </w:t>
      </w:r>
      <w:r>
        <w:rPr>
          <w:rFonts w:cs="Times New Roman"/>
        </w:rPr>
        <w:t>a voluntary</w:t>
      </w:r>
      <w:r w:rsidRPr="004D0F5C">
        <w:rPr>
          <w:rFonts w:cs="Times New Roman"/>
        </w:rPr>
        <w:t xml:space="preserve"> fuel efficiency </w:t>
      </w:r>
      <w:r>
        <w:rPr>
          <w:rFonts w:cs="Times New Roman"/>
        </w:rPr>
        <w:t>certification system for</w:t>
      </w:r>
      <w:r w:rsidRPr="004D0F5C">
        <w:rPr>
          <w:rFonts w:cs="Times New Roman"/>
        </w:rPr>
        <w:t xml:space="preserve"> freight </w:t>
      </w:r>
      <w:r>
        <w:rPr>
          <w:rFonts w:cs="Times New Roman"/>
        </w:rPr>
        <w:t>operators</w:t>
      </w:r>
      <w:r w:rsidRPr="004D0F5C">
        <w:rPr>
          <w:rFonts w:cs="Times New Roman"/>
        </w:rPr>
        <w:t xml:space="preserve">. </w:t>
      </w:r>
    </w:p>
    <w:p w14:paraId="0E4CAF10" w14:textId="77777777" w:rsidR="007E4E27" w:rsidRDefault="007E4E27" w:rsidP="007E4E27">
      <w:pPr>
        <w:rPr>
          <w:rFonts w:ascii="Times New Roman" w:hAnsi="Times New Roman"/>
          <w:iCs/>
          <w:sz w:val="24"/>
          <w:szCs w:val="24"/>
        </w:rPr>
      </w:pPr>
    </w:p>
    <w:p w14:paraId="2EE4AA57" w14:textId="3445A36F" w:rsidR="007E4E27" w:rsidRDefault="007E4E27" w:rsidP="007E4E27">
      <w:pPr>
        <w:rPr>
          <w:rFonts w:ascii="Times New Roman" w:hAnsi="Times New Roman"/>
          <w:iCs/>
          <w:sz w:val="24"/>
          <w:szCs w:val="24"/>
        </w:rPr>
      </w:pPr>
      <w:r w:rsidRPr="004D0F5C">
        <w:rPr>
          <w:rFonts w:ascii="Times New Roman" w:hAnsi="Times New Roman"/>
          <w:iCs/>
          <w:sz w:val="24"/>
          <w:szCs w:val="24"/>
        </w:rPr>
        <w:t>The development of the webpage will occur in 2021-22</w:t>
      </w:r>
      <w:r>
        <w:rPr>
          <w:rFonts w:ascii="Times New Roman" w:hAnsi="Times New Roman"/>
          <w:iCs/>
          <w:sz w:val="24"/>
          <w:szCs w:val="24"/>
        </w:rPr>
        <w:t xml:space="preserve">, with </w:t>
      </w:r>
      <w:r w:rsidRPr="004D0F5C">
        <w:rPr>
          <w:rFonts w:ascii="Times New Roman" w:hAnsi="Times New Roman"/>
          <w:iCs/>
          <w:sz w:val="24"/>
          <w:szCs w:val="24"/>
        </w:rPr>
        <w:t xml:space="preserve">ongoing costs for the maintenance of the webpage </w:t>
      </w:r>
      <w:r>
        <w:rPr>
          <w:rFonts w:ascii="Times New Roman" w:hAnsi="Times New Roman"/>
          <w:iCs/>
          <w:sz w:val="24"/>
          <w:szCs w:val="24"/>
        </w:rPr>
        <w:t xml:space="preserve">over the following years </w:t>
      </w:r>
      <w:r w:rsidRPr="004D0F5C">
        <w:rPr>
          <w:rFonts w:ascii="Times New Roman" w:hAnsi="Times New Roman"/>
          <w:iCs/>
          <w:sz w:val="24"/>
          <w:szCs w:val="24"/>
        </w:rPr>
        <w:t xml:space="preserve">until 2025-26. The </w:t>
      </w:r>
      <w:r>
        <w:rPr>
          <w:rFonts w:ascii="Times New Roman" w:hAnsi="Times New Roman"/>
          <w:iCs/>
          <w:sz w:val="24"/>
          <w:szCs w:val="24"/>
        </w:rPr>
        <w:t xml:space="preserve">voluntary </w:t>
      </w:r>
      <w:r w:rsidRPr="004D0F5C">
        <w:rPr>
          <w:rFonts w:ascii="Times New Roman" w:hAnsi="Times New Roman"/>
          <w:iCs/>
          <w:sz w:val="24"/>
          <w:szCs w:val="24"/>
        </w:rPr>
        <w:t>certification system</w:t>
      </w:r>
      <w:r>
        <w:rPr>
          <w:rFonts w:ascii="Times New Roman" w:hAnsi="Times New Roman"/>
          <w:iCs/>
          <w:sz w:val="24"/>
          <w:szCs w:val="24"/>
        </w:rPr>
        <w:t xml:space="preserve"> will be developed through a</w:t>
      </w:r>
      <w:r w:rsidRPr="004D0F5C">
        <w:rPr>
          <w:rFonts w:ascii="Times New Roman" w:hAnsi="Times New Roman"/>
          <w:iCs/>
          <w:sz w:val="24"/>
          <w:szCs w:val="24"/>
        </w:rPr>
        <w:t xml:space="preserve"> consultancy in 2021-22. </w:t>
      </w:r>
      <w:r>
        <w:rPr>
          <w:rFonts w:ascii="Times New Roman" w:hAnsi="Times New Roman"/>
          <w:iCs/>
          <w:sz w:val="24"/>
          <w:szCs w:val="24"/>
        </w:rPr>
        <w:t>These activities will have nationwide c</w:t>
      </w:r>
      <w:r w:rsidRPr="004D0F5C">
        <w:rPr>
          <w:rFonts w:ascii="Times New Roman" w:hAnsi="Times New Roman"/>
          <w:iCs/>
          <w:sz w:val="24"/>
          <w:szCs w:val="24"/>
        </w:rPr>
        <w:t xml:space="preserve">overage. The target group </w:t>
      </w:r>
      <w:r>
        <w:rPr>
          <w:rFonts w:ascii="Times New Roman" w:hAnsi="Times New Roman"/>
          <w:iCs/>
          <w:sz w:val="24"/>
          <w:szCs w:val="24"/>
        </w:rPr>
        <w:t xml:space="preserve">is </w:t>
      </w:r>
      <w:r w:rsidRPr="004D0F5C">
        <w:rPr>
          <w:rFonts w:ascii="Times New Roman" w:hAnsi="Times New Roman"/>
          <w:iCs/>
          <w:sz w:val="24"/>
          <w:szCs w:val="24"/>
        </w:rPr>
        <w:t xml:space="preserve">the Australian road freight industry, including specialised transport operators, large businesses such as supermarkets or mining businesses who operate their own fleets, and small business owner operators. </w:t>
      </w:r>
      <w:r>
        <w:rPr>
          <w:rFonts w:ascii="Times New Roman" w:hAnsi="Times New Roman"/>
          <w:iCs/>
          <w:sz w:val="24"/>
          <w:szCs w:val="24"/>
        </w:rPr>
        <w:t>Funding of $0.5 million over five</w:t>
      </w:r>
      <w:r w:rsidRPr="004D0F5C">
        <w:rPr>
          <w:rFonts w:ascii="Times New Roman" w:hAnsi="Times New Roman"/>
          <w:iCs/>
          <w:sz w:val="24"/>
          <w:szCs w:val="24"/>
        </w:rPr>
        <w:t xml:space="preserve"> years from 202</w:t>
      </w:r>
      <w:r>
        <w:rPr>
          <w:rFonts w:ascii="Times New Roman" w:hAnsi="Times New Roman"/>
          <w:iCs/>
          <w:sz w:val="24"/>
          <w:szCs w:val="24"/>
        </w:rPr>
        <w:t>1</w:t>
      </w:r>
      <w:r w:rsidRPr="004D0F5C">
        <w:rPr>
          <w:rFonts w:ascii="Times New Roman" w:hAnsi="Times New Roman"/>
          <w:iCs/>
          <w:sz w:val="24"/>
          <w:szCs w:val="24"/>
        </w:rPr>
        <w:t>-2</w:t>
      </w:r>
      <w:r>
        <w:rPr>
          <w:rFonts w:ascii="Times New Roman" w:hAnsi="Times New Roman"/>
          <w:iCs/>
          <w:sz w:val="24"/>
          <w:szCs w:val="24"/>
        </w:rPr>
        <w:t xml:space="preserve">2 will be available for these activities to be authorised through new </w:t>
      </w:r>
      <w:r w:rsidR="00404A43">
        <w:rPr>
          <w:rFonts w:ascii="Times New Roman" w:hAnsi="Times New Roman"/>
          <w:iCs/>
          <w:sz w:val="24"/>
          <w:szCs w:val="24"/>
        </w:rPr>
        <w:t xml:space="preserve">table </w:t>
      </w:r>
      <w:r>
        <w:rPr>
          <w:rFonts w:ascii="Times New Roman" w:hAnsi="Times New Roman"/>
          <w:iCs/>
          <w:sz w:val="24"/>
          <w:szCs w:val="24"/>
        </w:rPr>
        <w:t>item</w:t>
      </w:r>
      <w:r w:rsidR="00404A43">
        <w:rPr>
          <w:rFonts w:ascii="Times New Roman" w:hAnsi="Times New Roman"/>
          <w:iCs/>
          <w:sz w:val="24"/>
          <w:szCs w:val="24"/>
        </w:rPr>
        <w:t xml:space="preserve"> 452</w:t>
      </w:r>
      <w:r>
        <w:rPr>
          <w:rFonts w:ascii="Times New Roman" w:hAnsi="Times New Roman"/>
          <w:iCs/>
          <w:sz w:val="24"/>
          <w:szCs w:val="24"/>
        </w:rPr>
        <w:t>, out of the total funding of $4 million over six years from 2020-21 for the component.</w:t>
      </w:r>
    </w:p>
    <w:p w14:paraId="1567A7EC" w14:textId="77777777" w:rsidR="007E4E27" w:rsidRDefault="007E4E27" w:rsidP="007E4E27">
      <w:pPr>
        <w:rPr>
          <w:rFonts w:ascii="Times New Roman" w:hAnsi="Times New Roman"/>
          <w:iCs/>
          <w:sz w:val="24"/>
          <w:szCs w:val="24"/>
        </w:rPr>
      </w:pPr>
    </w:p>
    <w:p w14:paraId="44A1B3D1" w14:textId="77777777" w:rsidR="007E4E27" w:rsidRDefault="007E4E27" w:rsidP="007E4E27">
      <w:pPr>
        <w:rPr>
          <w:rFonts w:ascii="Times New Roman" w:hAnsi="Times New Roman"/>
          <w:iCs/>
          <w:sz w:val="24"/>
          <w:szCs w:val="24"/>
        </w:rPr>
      </w:pPr>
      <w:r w:rsidRPr="002F24ED">
        <w:rPr>
          <w:rFonts w:ascii="Times New Roman" w:hAnsi="Times New Roman"/>
          <w:iCs/>
          <w:sz w:val="24"/>
          <w:szCs w:val="24"/>
        </w:rPr>
        <w:t>The procurement method is expected to be</w:t>
      </w:r>
      <w:r>
        <w:rPr>
          <w:rFonts w:ascii="Times New Roman" w:hAnsi="Times New Roman"/>
          <w:iCs/>
          <w:sz w:val="24"/>
          <w:szCs w:val="24"/>
        </w:rPr>
        <w:t xml:space="preserve"> through either</w:t>
      </w:r>
      <w:r w:rsidRPr="002F24ED">
        <w:rPr>
          <w:rFonts w:ascii="Times New Roman" w:hAnsi="Times New Roman"/>
          <w:iCs/>
          <w:sz w:val="24"/>
          <w:szCs w:val="24"/>
        </w:rPr>
        <w:t xml:space="preserve"> a whole-of-government panel arrangement or </w:t>
      </w:r>
      <w:r>
        <w:rPr>
          <w:rFonts w:ascii="Times New Roman" w:hAnsi="Times New Roman"/>
          <w:iCs/>
          <w:sz w:val="24"/>
          <w:szCs w:val="24"/>
        </w:rPr>
        <w:t>an</w:t>
      </w:r>
      <w:r w:rsidRPr="002F24ED">
        <w:rPr>
          <w:rFonts w:ascii="Times New Roman" w:hAnsi="Times New Roman"/>
          <w:iCs/>
          <w:sz w:val="24"/>
          <w:szCs w:val="24"/>
        </w:rPr>
        <w:t xml:space="preserve">other existing panel arrangement. Information about the </w:t>
      </w:r>
      <w:r>
        <w:rPr>
          <w:rFonts w:ascii="Times New Roman" w:hAnsi="Times New Roman"/>
          <w:iCs/>
          <w:sz w:val="24"/>
          <w:szCs w:val="24"/>
        </w:rPr>
        <w:t>procurements</w:t>
      </w:r>
      <w:r w:rsidRPr="002F24ED">
        <w:rPr>
          <w:rFonts w:ascii="Times New Roman" w:hAnsi="Times New Roman"/>
          <w:iCs/>
          <w:sz w:val="24"/>
          <w:szCs w:val="24"/>
        </w:rPr>
        <w:t xml:space="preserve"> will be available through the Request for Quote, consistent with the </w:t>
      </w:r>
      <w:r>
        <w:rPr>
          <w:rFonts w:ascii="Times New Roman" w:hAnsi="Times New Roman"/>
          <w:iCs/>
          <w:sz w:val="24"/>
          <w:szCs w:val="24"/>
        </w:rPr>
        <w:t>CPRs</w:t>
      </w:r>
      <w:r w:rsidRPr="002F24ED">
        <w:rPr>
          <w:rFonts w:ascii="Times New Roman" w:hAnsi="Times New Roman"/>
          <w:iCs/>
          <w:sz w:val="24"/>
          <w:szCs w:val="24"/>
        </w:rPr>
        <w:t xml:space="preserve">. </w:t>
      </w:r>
      <w:r w:rsidRPr="00282000">
        <w:rPr>
          <w:rFonts w:ascii="Times New Roman" w:hAnsi="Times New Roman"/>
          <w:iCs/>
          <w:sz w:val="24"/>
          <w:szCs w:val="24"/>
        </w:rPr>
        <w:t>An assessment panel will make recommendations to the relevant delegate</w:t>
      </w:r>
      <w:r>
        <w:rPr>
          <w:rFonts w:ascii="Times New Roman" w:hAnsi="Times New Roman"/>
          <w:iCs/>
          <w:sz w:val="24"/>
          <w:szCs w:val="24"/>
        </w:rPr>
        <w:t xml:space="preserve"> of</w:t>
      </w:r>
      <w:r w:rsidRPr="00282000">
        <w:rPr>
          <w:rFonts w:ascii="Times New Roman" w:hAnsi="Times New Roman"/>
          <w:iCs/>
          <w:sz w:val="24"/>
          <w:szCs w:val="24"/>
        </w:rPr>
        <w:t xml:space="preserve"> the Secretary of the </w:t>
      </w:r>
      <w:r>
        <w:rPr>
          <w:rFonts w:ascii="Times New Roman" w:hAnsi="Times New Roman"/>
          <w:iCs/>
          <w:sz w:val="24"/>
          <w:szCs w:val="24"/>
        </w:rPr>
        <w:t>d</w:t>
      </w:r>
      <w:r w:rsidRPr="00282000">
        <w:rPr>
          <w:rFonts w:ascii="Times New Roman" w:hAnsi="Times New Roman"/>
          <w:iCs/>
          <w:sz w:val="24"/>
          <w:szCs w:val="24"/>
        </w:rPr>
        <w:t>epartment</w:t>
      </w:r>
      <w:r>
        <w:rPr>
          <w:rFonts w:ascii="Times New Roman" w:hAnsi="Times New Roman"/>
          <w:iCs/>
          <w:sz w:val="24"/>
          <w:szCs w:val="24"/>
        </w:rPr>
        <w:t xml:space="preserve">, who will make decisions </w:t>
      </w:r>
      <w:r w:rsidRPr="00282000">
        <w:rPr>
          <w:rFonts w:ascii="Times New Roman" w:hAnsi="Times New Roman"/>
          <w:iCs/>
          <w:sz w:val="24"/>
          <w:szCs w:val="24"/>
        </w:rPr>
        <w:t>about successful suppliers</w:t>
      </w:r>
      <w:r w:rsidRPr="002F24ED">
        <w:rPr>
          <w:rFonts w:ascii="Times New Roman" w:hAnsi="Times New Roman"/>
          <w:iCs/>
          <w:sz w:val="24"/>
          <w:szCs w:val="24"/>
        </w:rPr>
        <w:t>, considering the best value for money. Information regarding the decisions will be made publicly available on AusTender</w:t>
      </w:r>
      <w:r>
        <w:rPr>
          <w:rFonts w:ascii="Times New Roman" w:hAnsi="Times New Roman"/>
          <w:iCs/>
          <w:sz w:val="24"/>
          <w:szCs w:val="24"/>
        </w:rPr>
        <w:t>,</w:t>
      </w:r>
      <w:r w:rsidRPr="002F24ED">
        <w:rPr>
          <w:rFonts w:ascii="Times New Roman" w:hAnsi="Times New Roman"/>
          <w:iCs/>
          <w:sz w:val="24"/>
          <w:szCs w:val="24"/>
        </w:rPr>
        <w:t xml:space="preserve"> in accordance with the requirements under the </w:t>
      </w:r>
      <w:r>
        <w:rPr>
          <w:rFonts w:ascii="Times New Roman" w:hAnsi="Times New Roman"/>
          <w:iCs/>
          <w:sz w:val="24"/>
          <w:szCs w:val="24"/>
        </w:rPr>
        <w:t>CPRs</w:t>
      </w:r>
      <w:r w:rsidRPr="002F24ED">
        <w:rPr>
          <w:rFonts w:ascii="Times New Roman" w:hAnsi="Times New Roman"/>
          <w:iCs/>
          <w:sz w:val="24"/>
          <w:szCs w:val="24"/>
        </w:rPr>
        <w:t>.</w:t>
      </w:r>
    </w:p>
    <w:p w14:paraId="0A7C43C7" w14:textId="77777777" w:rsidR="007E4E27" w:rsidRDefault="007E4E27" w:rsidP="007E4E27">
      <w:pPr>
        <w:rPr>
          <w:rFonts w:ascii="Times New Roman" w:hAnsi="Times New Roman"/>
          <w:iCs/>
          <w:sz w:val="24"/>
          <w:szCs w:val="24"/>
        </w:rPr>
      </w:pPr>
    </w:p>
    <w:p w14:paraId="5C40DD84" w14:textId="77777777" w:rsidR="007E4E27" w:rsidRPr="002F24ED" w:rsidRDefault="007E4E27" w:rsidP="007E4E27">
      <w:pPr>
        <w:rPr>
          <w:rFonts w:ascii="Times New Roman" w:hAnsi="Times New Roman"/>
          <w:iCs/>
          <w:sz w:val="24"/>
          <w:szCs w:val="24"/>
        </w:rPr>
      </w:pPr>
      <w:r w:rsidRPr="001013F4">
        <w:rPr>
          <w:rFonts w:ascii="Times New Roman" w:hAnsi="Times New Roman"/>
          <w:iCs/>
          <w:sz w:val="24"/>
          <w:szCs w:val="24"/>
        </w:rPr>
        <w:t xml:space="preserve">The </w:t>
      </w:r>
      <w:r>
        <w:rPr>
          <w:rFonts w:ascii="Times New Roman" w:hAnsi="Times New Roman"/>
          <w:iCs/>
          <w:sz w:val="24"/>
          <w:szCs w:val="24"/>
        </w:rPr>
        <w:t>d</w:t>
      </w:r>
      <w:r w:rsidRPr="001013F4">
        <w:rPr>
          <w:rFonts w:ascii="Times New Roman" w:hAnsi="Times New Roman"/>
          <w:iCs/>
          <w:sz w:val="24"/>
          <w:szCs w:val="24"/>
        </w:rPr>
        <w:t>epartment consulted with industry through the Smart Trucks consultancy. This involved a technical reference group, including members of industry groups such as the Truck Industry Council, H</w:t>
      </w:r>
      <w:r>
        <w:rPr>
          <w:rFonts w:ascii="Times New Roman" w:hAnsi="Times New Roman"/>
          <w:iCs/>
          <w:sz w:val="24"/>
          <w:szCs w:val="24"/>
        </w:rPr>
        <w:t>eavy Vehicle Industry Australia</w:t>
      </w:r>
      <w:r w:rsidRPr="001013F4">
        <w:rPr>
          <w:rFonts w:ascii="Times New Roman" w:hAnsi="Times New Roman"/>
          <w:iCs/>
          <w:sz w:val="24"/>
          <w:szCs w:val="24"/>
        </w:rPr>
        <w:t xml:space="preserve"> and the Bus Industry Confederation</w:t>
      </w:r>
      <w:r>
        <w:rPr>
          <w:rFonts w:ascii="Times New Roman" w:hAnsi="Times New Roman"/>
          <w:iCs/>
          <w:sz w:val="24"/>
          <w:szCs w:val="24"/>
        </w:rPr>
        <w:t>,</w:t>
      </w:r>
      <w:r w:rsidRPr="001013F4">
        <w:rPr>
          <w:rFonts w:ascii="Times New Roman" w:hAnsi="Times New Roman"/>
          <w:iCs/>
          <w:sz w:val="24"/>
          <w:szCs w:val="24"/>
        </w:rPr>
        <w:t xml:space="preserve"> and a field test group, including vehicle manufacturers such as Volvo and Tesla.  </w:t>
      </w:r>
    </w:p>
    <w:p w14:paraId="3F7F01F2" w14:textId="77777777" w:rsidR="007E4E27" w:rsidRDefault="007E4E27" w:rsidP="007E4E27">
      <w:pPr>
        <w:rPr>
          <w:rFonts w:ascii="Times New Roman" w:hAnsi="Times New Roman"/>
          <w:iCs/>
          <w:sz w:val="24"/>
          <w:szCs w:val="24"/>
        </w:rPr>
      </w:pPr>
    </w:p>
    <w:p w14:paraId="067A7776" w14:textId="77777777" w:rsidR="007E4E27" w:rsidRPr="006B5F61" w:rsidRDefault="007E4E27" w:rsidP="007E4E27">
      <w:pPr>
        <w:rPr>
          <w:rFonts w:ascii="Times New Roman" w:hAnsi="Times New Roman"/>
          <w:i/>
          <w:sz w:val="24"/>
          <w:szCs w:val="24"/>
          <w:u w:val="single"/>
        </w:rPr>
      </w:pPr>
      <w:r w:rsidRPr="006B5F61">
        <w:rPr>
          <w:rFonts w:ascii="Times New Roman" w:hAnsi="Times New Roman"/>
          <w:i/>
          <w:sz w:val="24"/>
          <w:szCs w:val="24"/>
          <w:u w:val="single"/>
        </w:rPr>
        <w:t>Soil carbon and livestock emissions</w:t>
      </w:r>
    </w:p>
    <w:p w14:paraId="2345957A" w14:textId="77777777" w:rsidR="007E4E27" w:rsidRDefault="007E4E27" w:rsidP="007E4E27">
      <w:pPr>
        <w:rPr>
          <w:rFonts w:ascii="Times New Roman" w:hAnsi="Times New Roman"/>
          <w:iCs/>
          <w:sz w:val="24"/>
          <w:szCs w:val="24"/>
        </w:rPr>
      </w:pPr>
    </w:p>
    <w:p w14:paraId="3F843838" w14:textId="77777777" w:rsidR="007E4E27" w:rsidRDefault="007E4E27" w:rsidP="007E4E27">
      <w:pPr>
        <w:rPr>
          <w:rFonts w:ascii="Times New Roman" w:hAnsi="Times New Roman"/>
          <w:iCs/>
          <w:sz w:val="24"/>
          <w:szCs w:val="24"/>
        </w:rPr>
      </w:pPr>
      <w:r>
        <w:rPr>
          <w:rFonts w:ascii="Times New Roman" w:hAnsi="Times New Roman"/>
          <w:iCs/>
          <w:sz w:val="24"/>
          <w:szCs w:val="24"/>
        </w:rPr>
        <w:t>Total funding of $14 million over five years from 2020-21 will be available for t</w:t>
      </w:r>
      <w:r w:rsidRPr="006B5F61">
        <w:rPr>
          <w:rFonts w:ascii="Times New Roman" w:hAnsi="Times New Roman"/>
          <w:iCs/>
          <w:sz w:val="24"/>
          <w:szCs w:val="24"/>
        </w:rPr>
        <w:t>h</w:t>
      </w:r>
      <w:r>
        <w:rPr>
          <w:rFonts w:ascii="Times New Roman" w:hAnsi="Times New Roman"/>
          <w:iCs/>
          <w:sz w:val="24"/>
          <w:szCs w:val="24"/>
        </w:rPr>
        <w:t>is component, which consists of:</w:t>
      </w:r>
    </w:p>
    <w:p w14:paraId="4E6DA073" w14:textId="77777777" w:rsidR="007E4E27" w:rsidRDefault="007E4E27" w:rsidP="00404A43">
      <w:pPr>
        <w:pStyle w:val="ListParagraph"/>
        <w:numPr>
          <w:ilvl w:val="0"/>
          <w:numId w:val="19"/>
        </w:numPr>
        <w:ind w:right="57"/>
        <w:contextualSpacing w:val="0"/>
        <w:rPr>
          <w:rFonts w:cs="Times New Roman"/>
        </w:rPr>
      </w:pPr>
      <w:r>
        <w:rPr>
          <w:rFonts w:cs="Times New Roman"/>
        </w:rPr>
        <w:t>the s</w:t>
      </w:r>
      <w:r w:rsidRPr="006B5F61">
        <w:rPr>
          <w:rFonts w:cs="Times New Roman"/>
        </w:rPr>
        <w:t xml:space="preserve">oil carbon program; </w:t>
      </w:r>
      <w:r>
        <w:rPr>
          <w:rFonts w:cs="Times New Roman"/>
        </w:rPr>
        <w:t>and</w:t>
      </w:r>
    </w:p>
    <w:p w14:paraId="5EB12907" w14:textId="77777777" w:rsidR="007E4E27" w:rsidRPr="006B5F61" w:rsidRDefault="007E4E27" w:rsidP="007E4E27">
      <w:pPr>
        <w:pStyle w:val="ListParagraph"/>
        <w:numPr>
          <w:ilvl w:val="0"/>
          <w:numId w:val="19"/>
        </w:numPr>
        <w:ind w:right="57"/>
        <w:contextualSpacing w:val="0"/>
        <w:rPr>
          <w:rFonts w:cs="Times New Roman"/>
        </w:rPr>
      </w:pPr>
      <w:r>
        <w:rPr>
          <w:rFonts w:cs="Times New Roman"/>
        </w:rPr>
        <w:t>the livestock emissions reduction program.</w:t>
      </w:r>
    </w:p>
    <w:p w14:paraId="4D7FD5CC" w14:textId="77777777" w:rsidR="007E4E27" w:rsidRDefault="007E4E27" w:rsidP="007E4E27">
      <w:pPr>
        <w:rPr>
          <w:rFonts w:ascii="Times New Roman" w:hAnsi="Times New Roman"/>
          <w:iCs/>
          <w:sz w:val="24"/>
          <w:szCs w:val="24"/>
        </w:rPr>
      </w:pPr>
    </w:p>
    <w:p w14:paraId="3C39CE4C" w14:textId="7FB745C3" w:rsidR="007E4E27" w:rsidRDefault="007E4E27" w:rsidP="00F55292">
      <w:pPr>
        <w:rPr>
          <w:rFonts w:ascii="Times New Roman" w:hAnsi="Times New Roman"/>
          <w:iCs/>
          <w:sz w:val="24"/>
          <w:szCs w:val="24"/>
        </w:rPr>
      </w:pPr>
      <w:r>
        <w:rPr>
          <w:rFonts w:ascii="Times New Roman" w:hAnsi="Times New Roman"/>
          <w:iCs/>
          <w:sz w:val="24"/>
          <w:szCs w:val="24"/>
        </w:rPr>
        <w:t>The component will</w:t>
      </w:r>
      <w:r w:rsidRPr="006B5F61">
        <w:rPr>
          <w:rFonts w:ascii="Times New Roman" w:hAnsi="Times New Roman"/>
          <w:iCs/>
          <w:sz w:val="24"/>
          <w:szCs w:val="24"/>
        </w:rPr>
        <w:t xml:space="preserve"> provide </w:t>
      </w:r>
      <w:r>
        <w:rPr>
          <w:rFonts w:ascii="Times New Roman" w:hAnsi="Times New Roman"/>
          <w:iCs/>
          <w:sz w:val="24"/>
          <w:szCs w:val="24"/>
        </w:rPr>
        <w:t>funding</w:t>
      </w:r>
      <w:r w:rsidRPr="006B5F61">
        <w:rPr>
          <w:rFonts w:ascii="Times New Roman" w:hAnsi="Times New Roman"/>
          <w:iCs/>
          <w:sz w:val="24"/>
          <w:szCs w:val="24"/>
        </w:rPr>
        <w:t xml:space="preserve"> to</w:t>
      </w:r>
      <w:r>
        <w:rPr>
          <w:rFonts w:ascii="Times New Roman" w:hAnsi="Times New Roman"/>
          <w:iCs/>
          <w:sz w:val="24"/>
          <w:szCs w:val="24"/>
        </w:rPr>
        <w:t xml:space="preserve"> collect data that demonstrates emission</w:t>
      </w:r>
      <w:r w:rsidR="00F55292">
        <w:rPr>
          <w:rFonts w:ascii="Times New Roman" w:hAnsi="Times New Roman"/>
          <w:iCs/>
          <w:sz w:val="24"/>
          <w:szCs w:val="24"/>
        </w:rPr>
        <w:t>s</w:t>
      </w:r>
      <w:r>
        <w:rPr>
          <w:rFonts w:ascii="Times New Roman" w:hAnsi="Times New Roman"/>
          <w:iCs/>
          <w:sz w:val="24"/>
          <w:szCs w:val="24"/>
        </w:rPr>
        <w:t xml:space="preserve"> reductions following</w:t>
      </w:r>
      <w:r w:rsidR="00F55292">
        <w:rPr>
          <w:rFonts w:ascii="Times New Roman" w:hAnsi="Times New Roman"/>
          <w:iCs/>
          <w:sz w:val="24"/>
          <w:szCs w:val="24"/>
        </w:rPr>
        <w:t xml:space="preserve"> the</w:t>
      </w:r>
      <w:r w:rsidRPr="006B5F61">
        <w:rPr>
          <w:rFonts w:ascii="Times New Roman" w:hAnsi="Times New Roman"/>
          <w:iCs/>
          <w:sz w:val="24"/>
          <w:szCs w:val="24"/>
        </w:rPr>
        <w:t xml:space="preserve"> implement</w:t>
      </w:r>
      <w:r w:rsidR="00F55292">
        <w:rPr>
          <w:rFonts w:ascii="Times New Roman" w:hAnsi="Times New Roman"/>
          <w:iCs/>
          <w:sz w:val="24"/>
          <w:szCs w:val="24"/>
        </w:rPr>
        <w:t>ation of</w:t>
      </w:r>
      <w:r w:rsidRPr="006B5F61">
        <w:rPr>
          <w:rFonts w:ascii="Times New Roman" w:hAnsi="Times New Roman"/>
          <w:iCs/>
          <w:sz w:val="24"/>
          <w:szCs w:val="24"/>
        </w:rPr>
        <w:t xml:space="preserve"> new abatement technologies that increase soil carbon sequestration and reduce methane emissions </w:t>
      </w:r>
      <w:r>
        <w:rPr>
          <w:rFonts w:ascii="Times New Roman" w:hAnsi="Times New Roman"/>
          <w:iCs/>
          <w:sz w:val="24"/>
          <w:szCs w:val="24"/>
        </w:rPr>
        <w:t>from</w:t>
      </w:r>
      <w:r w:rsidRPr="006B5F61">
        <w:rPr>
          <w:rFonts w:ascii="Times New Roman" w:hAnsi="Times New Roman"/>
          <w:iCs/>
          <w:sz w:val="24"/>
          <w:szCs w:val="24"/>
        </w:rPr>
        <w:t xml:space="preserve"> livestock. Th</w:t>
      </w:r>
      <w:r>
        <w:rPr>
          <w:rFonts w:ascii="Times New Roman" w:hAnsi="Times New Roman"/>
          <w:iCs/>
          <w:sz w:val="24"/>
          <w:szCs w:val="24"/>
        </w:rPr>
        <w:t>is</w:t>
      </w:r>
      <w:r w:rsidRPr="006B5F61">
        <w:rPr>
          <w:rFonts w:ascii="Times New Roman" w:hAnsi="Times New Roman"/>
          <w:iCs/>
          <w:sz w:val="24"/>
          <w:szCs w:val="24"/>
        </w:rPr>
        <w:t xml:space="preserve"> data will be used to </w:t>
      </w:r>
      <w:r w:rsidRPr="006B5F61">
        <w:rPr>
          <w:rFonts w:ascii="Times New Roman" w:hAnsi="Times New Roman"/>
          <w:iCs/>
          <w:sz w:val="24"/>
          <w:szCs w:val="24"/>
        </w:rPr>
        <w:lastRenderedPageBreak/>
        <w:t xml:space="preserve">measure and model changes resulting from </w:t>
      </w:r>
      <w:r>
        <w:rPr>
          <w:rFonts w:ascii="Times New Roman" w:hAnsi="Times New Roman"/>
          <w:iCs/>
          <w:sz w:val="24"/>
          <w:szCs w:val="24"/>
        </w:rPr>
        <w:t xml:space="preserve">the </w:t>
      </w:r>
      <w:r w:rsidRPr="006B5F61">
        <w:rPr>
          <w:rFonts w:ascii="Times New Roman" w:hAnsi="Times New Roman"/>
          <w:iCs/>
          <w:sz w:val="24"/>
          <w:szCs w:val="24"/>
        </w:rPr>
        <w:t>us</w:t>
      </w:r>
      <w:r>
        <w:rPr>
          <w:rFonts w:ascii="Times New Roman" w:hAnsi="Times New Roman"/>
          <w:iCs/>
          <w:sz w:val="24"/>
          <w:szCs w:val="24"/>
        </w:rPr>
        <w:t>e of</w:t>
      </w:r>
      <w:r w:rsidRPr="006B5F61">
        <w:rPr>
          <w:rFonts w:ascii="Times New Roman" w:hAnsi="Times New Roman"/>
          <w:iCs/>
          <w:sz w:val="24"/>
          <w:szCs w:val="24"/>
        </w:rPr>
        <w:t xml:space="preserve"> new technologies and management practices</w:t>
      </w:r>
      <w:r>
        <w:rPr>
          <w:rFonts w:ascii="Times New Roman" w:hAnsi="Times New Roman"/>
          <w:iCs/>
          <w:sz w:val="24"/>
          <w:szCs w:val="24"/>
        </w:rPr>
        <w:t xml:space="preserve"> and provide improved accounting frameworks that will encourage an </w:t>
      </w:r>
      <w:r w:rsidRPr="006B5F61">
        <w:rPr>
          <w:rFonts w:ascii="Times New Roman" w:hAnsi="Times New Roman"/>
          <w:iCs/>
          <w:sz w:val="24"/>
          <w:szCs w:val="24"/>
        </w:rPr>
        <w:t xml:space="preserve">increase </w:t>
      </w:r>
      <w:r>
        <w:rPr>
          <w:rFonts w:ascii="Times New Roman" w:hAnsi="Times New Roman"/>
          <w:iCs/>
          <w:sz w:val="24"/>
          <w:szCs w:val="24"/>
        </w:rPr>
        <w:t xml:space="preserve">in </w:t>
      </w:r>
      <w:r w:rsidRPr="006B5F61">
        <w:rPr>
          <w:rFonts w:ascii="Times New Roman" w:hAnsi="Times New Roman"/>
          <w:iCs/>
          <w:sz w:val="24"/>
          <w:szCs w:val="24"/>
        </w:rPr>
        <w:t xml:space="preserve">uptake of these agricultural technologies and practices, including through the Emissions Reduction Fund (ERF). The ERF is a </w:t>
      </w:r>
      <w:r>
        <w:rPr>
          <w:rFonts w:ascii="Times New Roman" w:hAnsi="Times New Roman"/>
          <w:iCs/>
          <w:sz w:val="24"/>
          <w:szCs w:val="24"/>
        </w:rPr>
        <w:t xml:space="preserve">government </w:t>
      </w:r>
      <w:r w:rsidRPr="006B5F61">
        <w:rPr>
          <w:rFonts w:ascii="Times New Roman" w:hAnsi="Times New Roman"/>
          <w:iCs/>
          <w:sz w:val="24"/>
          <w:szCs w:val="24"/>
        </w:rPr>
        <w:t>scheme that provides financial incentives to businesses, including farmers and landholders, to use new practices and technologies to reduce their greenhouse gas emissions. Participants in the scheme can earn Australian carbon credit units (ACCUs) for every tonne of carbon dioxide equivalent they store or avoid emitting. ACCUs can be sold and can generate participants an income.</w:t>
      </w:r>
    </w:p>
    <w:p w14:paraId="10AC15A0" w14:textId="77777777" w:rsidR="007E4E27" w:rsidRPr="006B5F61" w:rsidRDefault="007E4E27" w:rsidP="00F55292">
      <w:pPr>
        <w:rPr>
          <w:rFonts w:ascii="Times New Roman" w:hAnsi="Times New Roman"/>
          <w:iCs/>
          <w:sz w:val="24"/>
          <w:szCs w:val="24"/>
        </w:rPr>
      </w:pPr>
    </w:p>
    <w:p w14:paraId="34C650B3" w14:textId="77777777" w:rsidR="007E4E27" w:rsidRPr="00CC2268" w:rsidRDefault="007E4E27" w:rsidP="007E4E27">
      <w:pPr>
        <w:rPr>
          <w:rFonts w:ascii="Times New Roman" w:hAnsi="Times New Roman"/>
          <w:iCs/>
          <w:sz w:val="24"/>
          <w:szCs w:val="24"/>
          <w:u w:val="single"/>
        </w:rPr>
      </w:pPr>
      <w:r w:rsidRPr="00CC2268">
        <w:rPr>
          <w:rFonts w:ascii="Times New Roman" w:hAnsi="Times New Roman"/>
          <w:iCs/>
          <w:sz w:val="24"/>
          <w:szCs w:val="24"/>
          <w:u w:val="single"/>
        </w:rPr>
        <w:t>Soil carbon program</w:t>
      </w:r>
    </w:p>
    <w:p w14:paraId="3712B7FF" w14:textId="77777777" w:rsidR="007E4E27" w:rsidRDefault="007E4E27" w:rsidP="007E4E27">
      <w:pPr>
        <w:rPr>
          <w:rFonts w:ascii="Times New Roman" w:hAnsi="Times New Roman"/>
          <w:iCs/>
          <w:sz w:val="24"/>
          <w:szCs w:val="24"/>
        </w:rPr>
      </w:pPr>
    </w:p>
    <w:p w14:paraId="64298AB9" w14:textId="485BD549" w:rsidR="007E4E27" w:rsidRDefault="007E4E27" w:rsidP="007E4E27">
      <w:pPr>
        <w:rPr>
          <w:rFonts w:ascii="Times New Roman" w:hAnsi="Times New Roman"/>
          <w:iCs/>
          <w:sz w:val="24"/>
          <w:szCs w:val="24"/>
        </w:rPr>
      </w:pPr>
      <w:r>
        <w:rPr>
          <w:rFonts w:ascii="Times New Roman" w:hAnsi="Times New Roman"/>
          <w:iCs/>
          <w:sz w:val="24"/>
          <w:szCs w:val="24"/>
        </w:rPr>
        <w:t>Data collection needs</w:t>
      </w:r>
      <w:r w:rsidRPr="00F566CB">
        <w:rPr>
          <w:rFonts w:ascii="Times New Roman" w:hAnsi="Times New Roman"/>
          <w:iCs/>
          <w:sz w:val="24"/>
          <w:szCs w:val="24"/>
        </w:rPr>
        <w:t xml:space="preserve"> will be i</w:t>
      </w:r>
      <w:r>
        <w:rPr>
          <w:rFonts w:ascii="Times New Roman" w:hAnsi="Times New Roman"/>
          <w:iCs/>
          <w:sz w:val="24"/>
          <w:szCs w:val="24"/>
        </w:rPr>
        <w:t>dentif</w:t>
      </w:r>
      <w:r w:rsidR="00F55292">
        <w:rPr>
          <w:rFonts w:ascii="Times New Roman" w:hAnsi="Times New Roman"/>
          <w:iCs/>
          <w:sz w:val="24"/>
          <w:szCs w:val="24"/>
        </w:rPr>
        <w:t>i</w:t>
      </w:r>
      <w:r>
        <w:rPr>
          <w:rFonts w:ascii="Times New Roman" w:hAnsi="Times New Roman"/>
          <w:iCs/>
          <w:sz w:val="24"/>
          <w:szCs w:val="24"/>
        </w:rPr>
        <w:t>ed through</w:t>
      </w:r>
      <w:r w:rsidR="00F55292">
        <w:rPr>
          <w:rFonts w:ascii="Times New Roman" w:hAnsi="Times New Roman"/>
          <w:iCs/>
          <w:sz w:val="24"/>
          <w:szCs w:val="24"/>
        </w:rPr>
        <w:t xml:space="preserve"> the</w:t>
      </w:r>
      <w:r w:rsidRPr="00F566CB">
        <w:rPr>
          <w:rFonts w:ascii="Times New Roman" w:hAnsi="Times New Roman"/>
          <w:iCs/>
          <w:sz w:val="24"/>
          <w:szCs w:val="24"/>
        </w:rPr>
        <w:t xml:space="preserve"> engagement of an expert consultant</w:t>
      </w:r>
      <w:r>
        <w:rPr>
          <w:rFonts w:ascii="Times New Roman" w:hAnsi="Times New Roman"/>
          <w:iCs/>
          <w:sz w:val="24"/>
          <w:szCs w:val="24"/>
        </w:rPr>
        <w:t xml:space="preserve">. </w:t>
      </w:r>
      <w:r w:rsidRPr="00C76945">
        <w:rPr>
          <w:rFonts w:ascii="Times New Roman" w:hAnsi="Times New Roman"/>
          <w:iCs/>
          <w:sz w:val="24"/>
          <w:szCs w:val="24"/>
        </w:rPr>
        <w:t>The</w:t>
      </w:r>
      <w:r w:rsidR="00F55292">
        <w:rPr>
          <w:rFonts w:ascii="Times New Roman" w:hAnsi="Times New Roman"/>
          <w:iCs/>
          <w:sz w:val="24"/>
          <w:szCs w:val="24"/>
        </w:rPr>
        <w:t> </w:t>
      </w:r>
      <w:r w:rsidRPr="00C76945">
        <w:rPr>
          <w:rFonts w:ascii="Times New Roman" w:hAnsi="Times New Roman"/>
          <w:iCs/>
          <w:sz w:val="24"/>
          <w:szCs w:val="24"/>
        </w:rPr>
        <w:t>soil carbon program will be delivered through procuring the services of consortium members comprising industry, research and potentially state and territory government partners</w:t>
      </w:r>
      <w:r>
        <w:rPr>
          <w:rFonts w:ascii="Times New Roman" w:hAnsi="Times New Roman"/>
          <w:iCs/>
          <w:sz w:val="24"/>
          <w:szCs w:val="24"/>
        </w:rPr>
        <w:t xml:space="preserve">. The program will include collection of soil sample data </w:t>
      </w:r>
      <w:r w:rsidRPr="00C76945">
        <w:rPr>
          <w:rFonts w:ascii="Times New Roman" w:hAnsi="Times New Roman"/>
          <w:iCs/>
          <w:sz w:val="24"/>
          <w:szCs w:val="24"/>
        </w:rPr>
        <w:t xml:space="preserve">over a </w:t>
      </w:r>
      <w:r>
        <w:rPr>
          <w:rFonts w:ascii="Times New Roman" w:hAnsi="Times New Roman"/>
          <w:iCs/>
          <w:sz w:val="24"/>
          <w:szCs w:val="24"/>
        </w:rPr>
        <w:t xml:space="preserve">period of </w:t>
      </w:r>
      <w:r w:rsidRPr="00C76945">
        <w:rPr>
          <w:rFonts w:ascii="Times New Roman" w:hAnsi="Times New Roman"/>
          <w:iCs/>
          <w:sz w:val="24"/>
          <w:szCs w:val="24"/>
        </w:rPr>
        <w:t>four year</w:t>
      </w:r>
      <w:r>
        <w:rPr>
          <w:rFonts w:ascii="Times New Roman" w:hAnsi="Times New Roman"/>
          <w:iCs/>
          <w:sz w:val="24"/>
          <w:szCs w:val="24"/>
        </w:rPr>
        <w:t>s from 2021-22 from identified sites across Australia to measure the impact of management activities. It will also include analysis of data and contribute to developing simpler, cheaper approaches to estimate soil carbon. A</w:t>
      </w:r>
      <w:r w:rsidRPr="00C76945">
        <w:rPr>
          <w:rFonts w:ascii="Times New Roman" w:hAnsi="Times New Roman"/>
          <w:iCs/>
          <w:sz w:val="24"/>
          <w:szCs w:val="24"/>
        </w:rPr>
        <w:t>llocated funding</w:t>
      </w:r>
      <w:r>
        <w:rPr>
          <w:rFonts w:ascii="Times New Roman" w:hAnsi="Times New Roman"/>
          <w:iCs/>
          <w:sz w:val="24"/>
          <w:szCs w:val="24"/>
        </w:rPr>
        <w:t xml:space="preserve"> will vary between consortium members</w:t>
      </w:r>
      <w:r w:rsidRPr="00C76945">
        <w:rPr>
          <w:rFonts w:ascii="Times New Roman" w:hAnsi="Times New Roman"/>
          <w:iCs/>
          <w:sz w:val="24"/>
          <w:szCs w:val="24"/>
        </w:rPr>
        <w:t xml:space="preserve"> depending on their expertise and capacity to deliver the required services (</w:t>
      </w:r>
      <w:r>
        <w:rPr>
          <w:rFonts w:ascii="Times New Roman" w:hAnsi="Times New Roman"/>
          <w:iCs/>
          <w:sz w:val="24"/>
          <w:szCs w:val="24"/>
        </w:rPr>
        <w:t>for example,</w:t>
      </w:r>
      <w:r w:rsidRPr="00C76945">
        <w:rPr>
          <w:rFonts w:ascii="Times New Roman" w:hAnsi="Times New Roman"/>
          <w:iCs/>
          <w:sz w:val="24"/>
          <w:szCs w:val="24"/>
        </w:rPr>
        <w:t xml:space="preserve"> coordinating soil carbon measurement collection or analysis, or engaging with landholders). Data</w:t>
      </w:r>
      <w:r>
        <w:rPr>
          <w:rFonts w:ascii="Times New Roman" w:hAnsi="Times New Roman"/>
          <w:iCs/>
          <w:sz w:val="24"/>
          <w:szCs w:val="24"/>
        </w:rPr>
        <w:t xml:space="preserve"> and analysis</w:t>
      </w:r>
      <w:r w:rsidRPr="00C76945">
        <w:rPr>
          <w:rFonts w:ascii="Times New Roman" w:hAnsi="Times New Roman"/>
          <w:iCs/>
          <w:sz w:val="24"/>
          <w:szCs w:val="24"/>
        </w:rPr>
        <w:t xml:space="preserve"> will be used to </w:t>
      </w:r>
      <w:r>
        <w:rPr>
          <w:rFonts w:ascii="Times New Roman" w:hAnsi="Times New Roman"/>
          <w:iCs/>
          <w:sz w:val="24"/>
          <w:szCs w:val="24"/>
        </w:rPr>
        <w:t>support</w:t>
      </w:r>
      <w:r w:rsidRPr="00C76945">
        <w:rPr>
          <w:rFonts w:ascii="Times New Roman" w:hAnsi="Times New Roman"/>
          <w:iCs/>
          <w:sz w:val="24"/>
          <w:szCs w:val="24"/>
        </w:rPr>
        <w:t xml:space="preserve"> innovative approaches to estimat</w:t>
      </w:r>
      <w:r>
        <w:rPr>
          <w:rFonts w:ascii="Times New Roman" w:hAnsi="Times New Roman"/>
          <w:iCs/>
          <w:sz w:val="24"/>
          <w:szCs w:val="24"/>
        </w:rPr>
        <w:t>e</w:t>
      </w:r>
      <w:r w:rsidRPr="00C76945">
        <w:rPr>
          <w:rFonts w:ascii="Times New Roman" w:hAnsi="Times New Roman"/>
          <w:iCs/>
          <w:sz w:val="24"/>
          <w:szCs w:val="24"/>
        </w:rPr>
        <w:t xml:space="preserve"> soil carbon sequestration for application in national greenhouse gas accounts and future ERF methodologies. </w:t>
      </w:r>
    </w:p>
    <w:p w14:paraId="28BBDA4A" w14:textId="77777777" w:rsidR="007E4E27" w:rsidRDefault="007E4E27" w:rsidP="007E4E27">
      <w:pPr>
        <w:rPr>
          <w:rFonts w:ascii="Times New Roman" w:hAnsi="Times New Roman"/>
          <w:iCs/>
          <w:sz w:val="24"/>
          <w:szCs w:val="24"/>
        </w:rPr>
      </w:pPr>
    </w:p>
    <w:p w14:paraId="49B1FEC2" w14:textId="77777777" w:rsidR="007E4E27" w:rsidRDefault="007E4E27" w:rsidP="007E4E27">
      <w:pPr>
        <w:rPr>
          <w:rFonts w:ascii="Times New Roman" w:hAnsi="Times New Roman"/>
          <w:iCs/>
          <w:sz w:val="24"/>
          <w:szCs w:val="24"/>
        </w:rPr>
      </w:pPr>
      <w:r w:rsidRPr="000A37EB">
        <w:rPr>
          <w:rFonts w:ascii="Times New Roman" w:hAnsi="Times New Roman"/>
          <w:iCs/>
          <w:sz w:val="24"/>
          <w:szCs w:val="24"/>
        </w:rPr>
        <w:t>The procurement method is expected to be through</w:t>
      </w:r>
      <w:r>
        <w:rPr>
          <w:rFonts w:ascii="Times New Roman" w:hAnsi="Times New Roman"/>
          <w:iCs/>
          <w:sz w:val="24"/>
          <w:szCs w:val="24"/>
        </w:rPr>
        <w:t xml:space="preserve"> </w:t>
      </w:r>
      <w:r w:rsidRPr="000A37EB">
        <w:rPr>
          <w:rFonts w:ascii="Times New Roman" w:hAnsi="Times New Roman"/>
          <w:iCs/>
          <w:sz w:val="24"/>
          <w:szCs w:val="24"/>
        </w:rPr>
        <w:t>an existing panel arrangement</w:t>
      </w:r>
      <w:r>
        <w:rPr>
          <w:rFonts w:ascii="Times New Roman" w:hAnsi="Times New Roman"/>
          <w:iCs/>
          <w:sz w:val="24"/>
          <w:szCs w:val="24"/>
        </w:rPr>
        <w:t>, limited or open tender process, as appropriate</w:t>
      </w:r>
      <w:r w:rsidRPr="000A37EB">
        <w:rPr>
          <w:rFonts w:ascii="Times New Roman" w:hAnsi="Times New Roman"/>
          <w:iCs/>
          <w:sz w:val="24"/>
          <w:szCs w:val="24"/>
        </w:rPr>
        <w:t xml:space="preserve">. </w:t>
      </w:r>
      <w:r w:rsidRPr="00F566CB">
        <w:rPr>
          <w:rFonts w:ascii="Times New Roman" w:hAnsi="Times New Roman"/>
          <w:iCs/>
          <w:sz w:val="24"/>
          <w:szCs w:val="24"/>
        </w:rPr>
        <w:t>Eligibility for participation in the program will be subject to</w:t>
      </w:r>
      <w:r>
        <w:rPr>
          <w:rFonts w:ascii="Times New Roman" w:hAnsi="Times New Roman"/>
          <w:iCs/>
          <w:sz w:val="24"/>
          <w:szCs w:val="24"/>
        </w:rPr>
        <w:t xml:space="preserve"> expertise and</w:t>
      </w:r>
      <w:r w:rsidRPr="00F566CB">
        <w:rPr>
          <w:rFonts w:ascii="Times New Roman" w:hAnsi="Times New Roman"/>
          <w:iCs/>
          <w:sz w:val="24"/>
          <w:szCs w:val="24"/>
        </w:rPr>
        <w:t xml:space="preserve"> the </w:t>
      </w:r>
      <w:r>
        <w:rPr>
          <w:rFonts w:ascii="Times New Roman" w:hAnsi="Times New Roman"/>
          <w:iCs/>
          <w:sz w:val="24"/>
          <w:szCs w:val="24"/>
        </w:rPr>
        <w:t xml:space="preserve">identified data requirements. </w:t>
      </w:r>
      <w:r w:rsidRPr="00282000">
        <w:rPr>
          <w:rFonts w:ascii="Times New Roman" w:hAnsi="Times New Roman"/>
          <w:iCs/>
          <w:sz w:val="24"/>
          <w:szCs w:val="24"/>
        </w:rPr>
        <w:t>An assessment panel will make recommendations to the relevant delegate</w:t>
      </w:r>
      <w:r>
        <w:rPr>
          <w:rFonts w:ascii="Times New Roman" w:hAnsi="Times New Roman"/>
          <w:iCs/>
          <w:sz w:val="24"/>
          <w:szCs w:val="24"/>
        </w:rPr>
        <w:t xml:space="preserve"> of</w:t>
      </w:r>
      <w:r w:rsidRPr="00282000">
        <w:rPr>
          <w:rFonts w:ascii="Times New Roman" w:hAnsi="Times New Roman"/>
          <w:iCs/>
          <w:sz w:val="24"/>
          <w:szCs w:val="24"/>
        </w:rPr>
        <w:t xml:space="preserve"> the Secretary of the </w:t>
      </w:r>
      <w:r>
        <w:rPr>
          <w:rFonts w:ascii="Times New Roman" w:hAnsi="Times New Roman"/>
          <w:iCs/>
          <w:sz w:val="24"/>
          <w:szCs w:val="24"/>
        </w:rPr>
        <w:t>d</w:t>
      </w:r>
      <w:r w:rsidRPr="00282000">
        <w:rPr>
          <w:rFonts w:ascii="Times New Roman" w:hAnsi="Times New Roman"/>
          <w:iCs/>
          <w:sz w:val="24"/>
          <w:szCs w:val="24"/>
        </w:rPr>
        <w:t>epartment</w:t>
      </w:r>
      <w:r>
        <w:rPr>
          <w:rFonts w:ascii="Times New Roman" w:hAnsi="Times New Roman"/>
          <w:iCs/>
          <w:sz w:val="24"/>
          <w:szCs w:val="24"/>
        </w:rPr>
        <w:t>, who will make procurement decisions</w:t>
      </w:r>
      <w:r w:rsidRPr="00282000">
        <w:rPr>
          <w:rFonts w:ascii="Times New Roman" w:hAnsi="Times New Roman"/>
          <w:iCs/>
          <w:sz w:val="24"/>
          <w:szCs w:val="24"/>
        </w:rPr>
        <w:t>. Information regarding the decisions will be made publicly available on AusTender, in accordance with the requirements under the</w:t>
      </w:r>
      <w:r>
        <w:rPr>
          <w:rFonts w:ascii="Times New Roman" w:hAnsi="Times New Roman"/>
          <w:iCs/>
          <w:sz w:val="24"/>
          <w:szCs w:val="24"/>
        </w:rPr>
        <w:t xml:space="preserve"> CPRs</w:t>
      </w:r>
      <w:r w:rsidRPr="00282000">
        <w:rPr>
          <w:rFonts w:ascii="Times New Roman" w:hAnsi="Times New Roman"/>
          <w:iCs/>
          <w:sz w:val="24"/>
          <w:szCs w:val="24"/>
        </w:rPr>
        <w:t>.</w:t>
      </w:r>
      <w:r>
        <w:rPr>
          <w:rFonts w:ascii="Times New Roman" w:hAnsi="Times New Roman"/>
          <w:iCs/>
          <w:sz w:val="24"/>
          <w:szCs w:val="24"/>
        </w:rPr>
        <w:t xml:space="preserve"> </w:t>
      </w:r>
    </w:p>
    <w:p w14:paraId="4C8722F4" w14:textId="77777777" w:rsidR="007E4E27" w:rsidRDefault="007E4E27" w:rsidP="007E4E27">
      <w:pPr>
        <w:rPr>
          <w:rFonts w:ascii="Times New Roman" w:hAnsi="Times New Roman"/>
          <w:iCs/>
          <w:sz w:val="24"/>
          <w:szCs w:val="24"/>
        </w:rPr>
      </w:pPr>
    </w:p>
    <w:p w14:paraId="7754D99B" w14:textId="77777777" w:rsidR="007E4E27" w:rsidRPr="00335E4B" w:rsidRDefault="007E4E27" w:rsidP="007E4E27">
      <w:pPr>
        <w:rPr>
          <w:rFonts w:ascii="Times New Roman" w:hAnsi="Times New Roman"/>
          <w:iCs/>
          <w:sz w:val="24"/>
          <w:szCs w:val="24"/>
          <w:u w:val="single"/>
        </w:rPr>
      </w:pPr>
      <w:r w:rsidRPr="00335E4B">
        <w:rPr>
          <w:rFonts w:ascii="Times New Roman" w:hAnsi="Times New Roman"/>
          <w:iCs/>
          <w:sz w:val="24"/>
          <w:szCs w:val="24"/>
          <w:u w:val="single"/>
        </w:rPr>
        <w:t>Livestock emissions reduction program</w:t>
      </w:r>
    </w:p>
    <w:p w14:paraId="0D2D0FE4" w14:textId="77777777" w:rsidR="007E4E27" w:rsidRPr="00335E4B" w:rsidRDefault="007E4E27" w:rsidP="007E4E27">
      <w:pPr>
        <w:rPr>
          <w:rFonts w:ascii="Times New Roman" w:hAnsi="Times New Roman"/>
          <w:iCs/>
          <w:sz w:val="24"/>
          <w:szCs w:val="24"/>
        </w:rPr>
      </w:pPr>
    </w:p>
    <w:p w14:paraId="14C7459E" w14:textId="77777777" w:rsidR="007E4E27" w:rsidRDefault="007E4E27" w:rsidP="007E4E27">
      <w:pPr>
        <w:rPr>
          <w:rFonts w:ascii="Times New Roman" w:hAnsi="Times New Roman"/>
          <w:iCs/>
          <w:sz w:val="24"/>
          <w:szCs w:val="24"/>
        </w:rPr>
      </w:pPr>
      <w:r w:rsidRPr="00335E4B">
        <w:rPr>
          <w:rFonts w:ascii="Times New Roman" w:hAnsi="Times New Roman"/>
          <w:iCs/>
          <w:sz w:val="24"/>
          <w:szCs w:val="24"/>
        </w:rPr>
        <w:t>The livestock emissions reduction program will be delivered through a grant to an industry partner</w:t>
      </w:r>
      <w:r>
        <w:rPr>
          <w:rFonts w:ascii="Times New Roman" w:hAnsi="Times New Roman"/>
          <w:iCs/>
          <w:sz w:val="24"/>
          <w:szCs w:val="24"/>
        </w:rPr>
        <w:t xml:space="preserve"> </w:t>
      </w:r>
      <w:r w:rsidRPr="00335E4B">
        <w:rPr>
          <w:rFonts w:ascii="Times New Roman" w:hAnsi="Times New Roman"/>
          <w:iCs/>
          <w:sz w:val="24"/>
          <w:szCs w:val="24"/>
        </w:rPr>
        <w:t>who will engage with grazing and feedlot producers, researchers and industry to collect data that will allow the development of an accounting fr</w:t>
      </w:r>
      <w:r>
        <w:rPr>
          <w:rFonts w:ascii="Times New Roman" w:hAnsi="Times New Roman"/>
          <w:iCs/>
          <w:sz w:val="24"/>
          <w:szCs w:val="24"/>
        </w:rPr>
        <w:t>a</w:t>
      </w:r>
      <w:r w:rsidRPr="00335E4B">
        <w:rPr>
          <w:rFonts w:ascii="Times New Roman" w:hAnsi="Times New Roman"/>
          <w:iCs/>
          <w:sz w:val="24"/>
          <w:szCs w:val="24"/>
        </w:rPr>
        <w:t>mework for use in the national inventory and</w:t>
      </w:r>
      <w:r>
        <w:rPr>
          <w:rFonts w:ascii="Times New Roman" w:hAnsi="Times New Roman"/>
          <w:iCs/>
          <w:sz w:val="24"/>
          <w:szCs w:val="24"/>
        </w:rPr>
        <w:t xml:space="preserve"> potential future ERF methods. </w:t>
      </w:r>
      <w:r w:rsidRPr="00335E4B">
        <w:rPr>
          <w:rFonts w:ascii="Times New Roman" w:hAnsi="Times New Roman"/>
          <w:iCs/>
          <w:sz w:val="24"/>
          <w:szCs w:val="24"/>
        </w:rPr>
        <w:t xml:space="preserve">The program will build capacity of livestock businesses </w:t>
      </w:r>
      <w:r w:rsidRPr="0072028B">
        <w:rPr>
          <w:rFonts w:ascii="Times New Roman" w:hAnsi="Times New Roman"/>
          <w:iCs/>
          <w:sz w:val="24"/>
          <w:szCs w:val="24"/>
        </w:rPr>
        <w:t>including</w:t>
      </w:r>
      <w:r w:rsidRPr="00335E4B">
        <w:rPr>
          <w:rFonts w:ascii="Times New Roman" w:hAnsi="Times New Roman"/>
          <w:iCs/>
          <w:sz w:val="24"/>
          <w:szCs w:val="24"/>
        </w:rPr>
        <w:t xml:space="preserve"> feedlots to move to using low emissions forage feeds and supplements. The selected industry partner will identify participant groups and emissions reduction technologies that can provide data </w:t>
      </w:r>
      <w:r>
        <w:rPr>
          <w:rFonts w:ascii="Times New Roman" w:hAnsi="Times New Roman"/>
          <w:iCs/>
          <w:sz w:val="24"/>
          <w:szCs w:val="24"/>
        </w:rPr>
        <w:t>to</w:t>
      </w:r>
      <w:r w:rsidRPr="00335E4B">
        <w:rPr>
          <w:rFonts w:ascii="Times New Roman" w:hAnsi="Times New Roman"/>
          <w:iCs/>
          <w:sz w:val="24"/>
          <w:szCs w:val="24"/>
        </w:rPr>
        <w:t xml:space="preserve"> fill known research gaps. </w:t>
      </w:r>
    </w:p>
    <w:p w14:paraId="3BC6832F" w14:textId="77777777" w:rsidR="007E4E27" w:rsidRPr="00335E4B" w:rsidRDefault="007E4E27" w:rsidP="007E4E27">
      <w:pPr>
        <w:rPr>
          <w:rFonts w:ascii="Times New Roman" w:hAnsi="Times New Roman"/>
          <w:iCs/>
          <w:sz w:val="24"/>
          <w:szCs w:val="24"/>
        </w:rPr>
      </w:pPr>
    </w:p>
    <w:p w14:paraId="49A3722C" w14:textId="77777777" w:rsidR="007E4E27" w:rsidRPr="00335E4B" w:rsidRDefault="007E4E27" w:rsidP="007E4E27">
      <w:pPr>
        <w:rPr>
          <w:rFonts w:ascii="Times New Roman" w:hAnsi="Times New Roman"/>
          <w:iCs/>
          <w:sz w:val="24"/>
          <w:szCs w:val="24"/>
        </w:rPr>
      </w:pPr>
      <w:r w:rsidRPr="00335E4B">
        <w:rPr>
          <w:rFonts w:ascii="Times New Roman" w:hAnsi="Times New Roman"/>
          <w:iCs/>
          <w:sz w:val="24"/>
          <w:szCs w:val="24"/>
        </w:rPr>
        <w:t xml:space="preserve">The grant to the industry partner will be administered by the Business Grants Hub, which is part of the department, in accordance with the Commonwealth resource management framework including the </w:t>
      </w:r>
      <w:r w:rsidRPr="00335E4B">
        <w:rPr>
          <w:rFonts w:ascii="Times New Roman" w:hAnsi="Times New Roman"/>
          <w:i/>
          <w:iCs/>
          <w:sz w:val="24"/>
          <w:szCs w:val="24"/>
        </w:rPr>
        <w:t>Commonwealth Grants Rules and Guidelines 2017</w:t>
      </w:r>
      <w:r w:rsidRPr="00335E4B">
        <w:rPr>
          <w:rFonts w:ascii="Times New Roman" w:hAnsi="Times New Roman"/>
          <w:iCs/>
          <w:sz w:val="24"/>
          <w:szCs w:val="24"/>
        </w:rPr>
        <w:t xml:space="preserve"> (CGRGs). The relevant delegate of the Secretary of the department will make decisions about the successful grant recipient</w:t>
      </w:r>
      <w:r>
        <w:rPr>
          <w:rFonts w:ascii="Times New Roman" w:hAnsi="Times New Roman"/>
          <w:iCs/>
          <w:sz w:val="24"/>
          <w:szCs w:val="24"/>
        </w:rPr>
        <w:t xml:space="preserve">. </w:t>
      </w:r>
      <w:r w:rsidRPr="00335E4B">
        <w:rPr>
          <w:rFonts w:ascii="Times New Roman" w:hAnsi="Times New Roman"/>
          <w:iCs/>
          <w:sz w:val="24"/>
          <w:szCs w:val="24"/>
        </w:rPr>
        <w:t xml:space="preserve">The industry partner will be responsible for </w:t>
      </w:r>
      <w:r>
        <w:rPr>
          <w:rFonts w:ascii="Times New Roman" w:hAnsi="Times New Roman"/>
          <w:iCs/>
          <w:sz w:val="24"/>
          <w:szCs w:val="24"/>
        </w:rPr>
        <w:t>providing support to</w:t>
      </w:r>
      <w:r w:rsidRPr="00335E4B">
        <w:rPr>
          <w:rFonts w:ascii="Times New Roman" w:hAnsi="Times New Roman"/>
          <w:iCs/>
          <w:sz w:val="24"/>
          <w:szCs w:val="24"/>
        </w:rPr>
        <w:t xml:space="preserve"> livestock producers and researchers to </w:t>
      </w:r>
      <w:r>
        <w:rPr>
          <w:rFonts w:ascii="Times New Roman" w:hAnsi="Times New Roman"/>
          <w:iCs/>
          <w:sz w:val="24"/>
          <w:szCs w:val="24"/>
        </w:rPr>
        <w:t xml:space="preserve">use </w:t>
      </w:r>
      <w:r w:rsidRPr="00335E4B">
        <w:rPr>
          <w:rFonts w:ascii="Times New Roman" w:hAnsi="Times New Roman"/>
          <w:iCs/>
          <w:sz w:val="24"/>
          <w:szCs w:val="24"/>
        </w:rPr>
        <w:t>methane reducing feeds and supplements</w:t>
      </w:r>
      <w:r>
        <w:rPr>
          <w:rFonts w:ascii="Times New Roman" w:hAnsi="Times New Roman"/>
          <w:iCs/>
          <w:sz w:val="24"/>
          <w:szCs w:val="24"/>
        </w:rPr>
        <w:t xml:space="preserve"> </w:t>
      </w:r>
      <w:r w:rsidRPr="00335E4B">
        <w:rPr>
          <w:rFonts w:ascii="Times New Roman" w:hAnsi="Times New Roman"/>
          <w:iCs/>
          <w:sz w:val="24"/>
          <w:szCs w:val="24"/>
        </w:rPr>
        <w:t xml:space="preserve">and undertake data collection. Grant opportunity guidelines for the selection of an industry partner, including eligibility criteria and evaluation information, and information about the grant awarded will be published on GrantConnect at </w:t>
      </w:r>
      <w:r w:rsidRPr="00335E4B">
        <w:rPr>
          <w:rFonts w:ascii="Times New Roman" w:hAnsi="Times New Roman"/>
          <w:iCs/>
          <w:sz w:val="24"/>
          <w:szCs w:val="24"/>
          <w:u w:val="single"/>
        </w:rPr>
        <w:t>www.grants.gov.au</w:t>
      </w:r>
      <w:r w:rsidRPr="00335E4B">
        <w:rPr>
          <w:rFonts w:ascii="Times New Roman" w:hAnsi="Times New Roman"/>
          <w:iCs/>
          <w:sz w:val="24"/>
          <w:szCs w:val="24"/>
        </w:rPr>
        <w:t xml:space="preserve">. </w:t>
      </w:r>
    </w:p>
    <w:p w14:paraId="1E5FE27F" w14:textId="77777777" w:rsidR="007E4E27" w:rsidRPr="00335E4B" w:rsidRDefault="007E4E27" w:rsidP="007E4E27">
      <w:pPr>
        <w:rPr>
          <w:rFonts w:ascii="Times New Roman" w:hAnsi="Times New Roman"/>
          <w:iCs/>
          <w:sz w:val="24"/>
          <w:szCs w:val="24"/>
        </w:rPr>
      </w:pPr>
    </w:p>
    <w:p w14:paraId="5F80D3D0" w14:textId="77777777" w:rsidR="007E4E27" w:rsidRPr="0000288C" w:rsidRDefault="007E4E27" w:rsidP="007E4E27">
      <w:pPr>
        <w:rPr>
          <w:rFonts w:ascii="Times New Roman" w:hAnsi="Times New Roman"/>
          <w:iCs/>
          <w:sz w:val="24"/>
          <w:szCs w:val="24"/>
        </w:rPr>
      </w:pPr>
      <w:r w:rsidRPr="00335E4B">
        <w:rPr>
          <w:rFonts w:ascii="Times New Roman" w:hAnsi="Times New Roman"/>
          <w:iCs/>
          <w:sz w:val="24"/>
          <w:szCs w:val="24"/>
        </w:rPr>
        <w:t xml:space="preserve">The department has conducted extensive consultation with a range of stakeholders on the data needs for soil carbon and methane reduction from livestock, and these knowledge gaps will be addressed through these programs. Targeted consultation on the development and implementation of these programs commenced in </w:t>
      </w:r>
      <w:r w:rsidRPr="00210EDB">
        <w:rPr>
          <w:rFonts w:ascii="Times New Roman" w:hAnsi="Times New Roman"/>
          <w:iCs/>
          <w:sz w:val="24"/>
          <w:szCs w:val="24"/>
        </w:rPr>
        <w:t xml:space="preserve">October 2020. </w:t>
      </w:r>
      <w:r>
        <w:rPr>
          <w:rFonts w:ascii="Times New Roman" w:hAnsi="Times New Roman"/>
          <w:iCs/>
          <w:sz w:val="24"/>
          <w:szCs w:val="24"/>
        </w:rPr>
        <w:t>I</w:t>
      </w:r>
      <w:r w:rsidRPr="00335E4B">
        <w:rPr>
          <w:rFonts w:ascii="Times New Roman" w:hAnsi="Times New Roman"/>
          <w:iCs/>
          <w:sz w:val="24"/>
          <w:szCs w:val="24"/>
        </w:rPr>
        <w:t>ndustry representative groups and experts will be engaged to advise and deliver the programs.</w:t>
      </w:r>
      <w:r w:rsidRPr="0000288C">
        <w:rPr>
          <w:rFonts w:ascii="Times New Roman" w:hAnsi="Times New Roman"/>
          <w:iCs/>
          <w:sz w:val="24"/>
          <w:szCs w:val="24"/>
        </w:rPr>
        <w:t xml:space="preserve"> </w:t>
      </w:r>
    </w:p>
    <w:p w14:paraId="6C4ABCCF" w14:textId="77777777" w:rsidR="007E4E27" w:rsidRDefault="007E4E27" w:rsidP="007E4E27">
      <w:pPr>
        <w:rPr>
          <w:rFonts w:ascii="Times New Roman" w:hAnsi="Times New Roman"/>
          <w:iCs/>
          <w:sz w:val="24"/>
          <w:szCs w:val="24"/>
        </w:rPr>
      </w:pPr>
    </w:p>
    <w:p w14:paraId="0A3A40C5" w14:textId="77777777" w:rsidR="007E4E27" w:rsidRDefault="007E4E27" w:rsidP="007E4E27">
      <w:pPr>
        <w:rPr>
          <w:rFonts w:ascii="Times New Roman" w:hAnsi="Times New Roman"/>
          <w:iCs/>
          <w:sz w:val="24"/>
          <w:szCs w:val="24"/>
        </w:rPr>
      </w:pPr>
      <w:r w:rsidRPr="00F566CB">
        <w:rPr>
          <w:rFonts w:ascii="Times New Roman" w:hAnsi="Times New Roman"/>
          <w:iCs/>
          <w:sz w:val="24"/>
          <w:szCs w:val="24"/>
        </w:rPr>
        <w:t>Funding decisions made in connection with the Fund are not considered suitable for independent merits review because these decisions relate to the allocation of finite resources between competing applicants, and any decision to overturn an allocation that has already been made to a party would be affected by overturning the original decision.</w:t>
      </w:r>
      <w:r>
        <w:rPr>
          <w:rFonts w:ascii="Times New Roman" w:hAnsi="Times New Roman"/>
          <w:iCs/>
          <w:sz w:val="24"/>
          <w:szCs w:val="24"/>
        </w:rPr>
        <w:t xml:space="preserve"> </w:t>
      </w:r>
      <w:r w:rsidRPr="00F566CB">
        <w:rPr>
          <w:rFonts w:ascii="Times New Roman" w:hAnsi="Times New Roman"/>
          <w:iCs/>
          <w:sz w:val="24"/>
          <w:szCs w:val="24"/>
        </w:rPr>
        <w:t xml:space="preserve">The Administrative Review Council has recognised that it is justifiable to exclude merits review in relation to decisions of this nature (see paragraphs 4.11 to 4.19 of the guide, </w:t>
      </w:r>
      <w:r w:rsidRPr="00F566CB">
        <w:rPr>
          <w:rFonts w:ascii="Times New Roman" w:hAnsi="Times New Roman"/>
          <w:i/>
          <w:iCs/>
          <w:sz w:val="24"/>
          <w:szCs w:val="24"/>
        </w:rPr>
        <w:t>What decisions should be subject to merit review?</w:t>
      </w:r>
      <w:r w:rsidRPr="00F566CB">
        <w:rPr>
          <w:rFonts w:ascii="Times New Roman" w:hAnsi="Times New Roman"/>
          <w:iCs/>
          <w:sz w:val="24"/>
          <w:szCs w:val="24"/>
        </w:rPr>
        <w:t>).</w:t>
      </w:r>
    </w:p>
    <w:p w14:paraId="77D38ADF" w14:textId="77777777" w:rsidR="007E4E27" w:rsidRDefault="007E4E27" w:rsidP="007E4E27">
      <w:pPr>
        <w:rPr>
          <w:rFonts w:ascii="Times New Roman" w:hAnsi="Times New Roman"/>
          <w:iCs/>
          <w:sz w:val="24"/>
          <w:szCs w:val="24"/>
        </w:rPr>
      </w:pPr>
    </w:p>
    <w:p w14:paraId="09838DE4" w14:textId="77777777" w:rsidR="007E4E27" w:rsidRPr="00F566CB" w:rsidRDefault="007E4E27" w:rsidP="007E4E27">
      <w:pPr>
        <w:rPr>
          <w:rFonts w:ascii="Times New Roman" w:hAnsi="Times New Roman"/>
          <w:iCs/>
          <w:sz w:val="24"/>
          <w:szCs w:val="24"/>
        </w:rPr>
      </w:pPr>
      <w:r>
        <w:rPr>
          <w:rFonts w:ascii="Times New Roman" w:hAnsi="Times New Roman"/>
          <w:iCs/>
          <w:sz w:val="24"/>
          <w:szCs w:val="24"/>
        </w:rPr>
        <w:t>C</w:t>
      </w:r>
      <w:r w:rsidRPr="00F566CB">
        <w:rPr>
          <w:rFonts w:ascii="Times New Roman" w:hAnsi="Times New Roman"/>
          <w:iCs/>
          <w:sz w:val="24"/>
          <w:szCs w:val="24"/>
        </w:rPr>
        <w:t xml:space="preserve">overed procurements will be subject to the </w:t>
      </w:r>
      <w:r w:rsidRPr="00F566CB">
        <w:rPr>
          <w:rFonts w:ascii="Times New Roman" w:hAnsi="Times New Roman"/>
          <w:i/>
          <w:iCs/>
          <w:sz w:val="24"/>
          <w:szCs w:val="24"/>
        </w:rPr>
        <w:t>Government Procurement (Judicial Review) Act</w:t>
      </w:r>
      <w:r>
        <w:rPr>
          <w:rFonts w:ascii="Times New Roman" w:hAnsi="Times New Roman"/>
          <w:i/>
          <w:iCs/>
          <w:sz w:val="24"/>
          <w:szCs w:val="24"/>
        </w:rPr>
        <w:t> </w:t>
      </w:r>
      <w:r w:rsidRPr="00F566CB">
        <w:rPr>
          <w:rFonts w:ascii="Times New Roman" w:hAnsi="Times New Roman"/>
          <w:i/>
          <w:iCs/>
          <w:sz w:val="24"/>
          <w:szCs w:val="24"/>
        </w:rPr>
        <w:t>2018</w:t>
      </w:r>
      <w:r w:rsidRPr="00F566CB">
        <w:rPr>
          <w:rFonts w:ascii="Times New Roman" w:hAnsi="Times New Roman"/>
          <w:iCs/>
          <w:sz w:val="24"/>
          <w:szCs w:val="24"/>
        </w:rPr>
        <w:t>.</w:t>
      </w:r>
    </w:p>
    <w:p w14:paraId="16E7277E" w14:textId="77777777" w:rsidR="007E4E27" w:rsidRDefault="007E4E27" w:rsidP="007E4E27">
      <w:pPr>
        <w:rPr>
          <w:rFonts w:ascii="Times New Roman" w:hAnsi="Times New Roman"/>
          <w:iCs/>
          <w:sz w:val="24"/>
          <w:szCs w:val="24"/>
        </w:rPr>
      </w:pPr>
    </w:p>
    <w:p w14:paraId="3CE2C113" w14:textId="5605F042" w:rsidR="007E4E27" w:rsidRDefault="007E4E27" w:rsidP="007E4E27">
      <w:pPr>
        <w:rPr>
          <w:rFonts w:ascii="Times New Roman" w:hAnsi="Times New Roman"/>
          <w:iCs/>
          <w:sz w:val="24"/>
          <w:szCs w:val="24"/>
        </w:rPr>
      </w:pPr>
      <w:r w:rsidRPr="00F566CB">
        <w:rPr>
          <w:rFonts w:ascii="Times New Roman" w:hAnsi="Times New Roman"/>
          <w:iCs/>
          <w:sz w:val="24"/>
          <w:szCs w:val="24"/>
        </w:rPr>
        <w:t>In addition, the review and audit process undertaken by the Australian National Audit Office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215C77F" w14:textId="77777777" w:rsidR="007E4E27" w:rsidRPr="00F566CB" w:rsidRDefault="007E4E27" w:rsidP="007E4E27">
      <w:pPr>
        <w:rPr>
          <w:rFonts w:ascii="Times New Roman" w:hAnsi="Times New Roman"/>
          <w:iCs/>
          <w:sz w:val="24"/>
          <w:szCs w:val="24"/>
        </w:rPr>
      </w:pPr>
    </w:p>
    <w:p w14:paraId="78934BEB" w14:textId="341208A4" w:rsidR="007E4E27" w:rsidRPr="00F566CB" w:rsidRDefault="007E4E27" w:rsidP="007E4E27">
      <w:pPr>
        <w:rPr>
          <w:rFonts w:ascii="Times New Roman" w:hAnsi="Times New Roman"/>
          <w:iCs/>
          <w:sz w:val="24"/>
          <w:szCs w:val="24"/>
        </w:rPr>
      </w:pPr>
      <w:r w:rsidRPr="00F566CB">
        <w:rPr>
          <w:rFonts w:ascii="Times New Roman" w:hAnsi="Times New Roman"/>
          <w:iCs/>
          <w:sz w:val="24"/>
          <w:szCs w:val="24"/>
        </w:rPr>
        <w:t xml:space="preserve">Further, the right of review under section 75(v) of the Constitution and review under section 39B of the </w:t>
      </w:r>
      <w:r w:rsidRPr="00F566CB">
        <w:rPr>
          <w:rFonts w:ascii="Times New Roman" w:hAnsi="Times New Roman"/>
          <w:i/>
          <w:iCs/>
          <w:sz w:val="24"/>
          <w:szCs w:val="24"/>
        </w:rPr>
        <w:t>Judiciary Act 1903</w:t>
      </w:r>
      <w:r w:rsidRPr="00F566CB">
        <w:rPr>
          <w:rFonts w:ascii="Times New Roman" w:hAnsi="Times New Roman"/>
          <w:iCs/>
          <w:sz w:val="24"/>
          <w:szCs w:val="24"/>
        </w:rPr>
        <w:t xml:space="preserve"> may be available. Persons affected by spending decisions would also have recourse to the Commonwealth Ombudsman where appropriate. </w:t>
      </w:r>
    </w:p>
    <w:p w14:paraId="45D46F15" w14:textId="77777777" w:rsidR="007E4E27" w:rsidRDefault="007E4E27" w:rsidP="007E4E27">
      <w:pPr>
        <w:rPr>
          <w:rFonts w:ascii="Times New Roman" w:hAnsi="Times New Roman"/>
          <w:iCs/>
          <w:sz w:val="24"/>
          <w:szCs w:val="24"/>
        </w:rPr>
      </w:pPr>
    </w:p>
    <w:p w14:paraId="01B64416" w14:textId="2CE69EF4" w:rsidR="007E4E27" w:rsidRPr="006762E7" w:rsidRDefault="007E4E27" w:rsidP="007E4E27">
      <w:pPr>
        <w:rPr>
          <w:rFonts w:ascii="Times New Roman" w:hAnsi="Times New Roman"/>
          <w:iCs/>
          <w:sz w:val="24"/>
          <w:szCs w:val="24"/>
        </w:rPr>
      </w:pPr>
      <w:r w:rsidRPr="006762E7">
        <w:rPr>
          <w:rFonts w:ascii="Times New Roman" w:hAnsi="Times New Roman"/>
          <w:iCs/>
          <w:sz w:val="24"/>
          <w:szCs w:val="24"/>
        </w:rPr>
        <w:t>Funding of $95.4 million</w:t>
      </w:r>
      <w:r w:rsidR="00F55292">
        <w:rPr>
          <w:rFonts w:ascii="Times New Roman" w:hAnsi="Times New Roman"/>
          <w:iCs/>
          <w:sz w:val="24"/>
          <w:szCs w:val="24"/>
        </w:rPr>
        <w:t xml:space="preserve"> for the Fund</w:t>
      </w:r>
      <w:r w:rsidRPr="006762E7">
        <w:rPr>
          <w:rFonts w:ascii="Times New Roman" w:hAnsi="Times New Roman"/>
          <w:iCs/>
          <w:sz w:val="24"/>
          <w:szCs w:val="24"/>
        </w:rPr>
        <w:t xml:space="preserve"> was included in the 2020-21 Budget under the measure ‘JobMaker Plan </w:t>
      </w:r>
      <w:r>
        <w:rPr>
          <w:rFonts w:ascii="Times New Roman" w:hAnsi="Times New Roman"/>
          <w:iCs/>
          <w:sz w:val="24"/>
          <w:szCs w:val="24"/>
        </w:rPr>
        <w:t>–</w:t>
      </w:r>
      <w:r w:rsidRPr="006762E7">
        <w:rPr>
          <w:rFonts w:ascii="Times New Roman" w:hAnsi="Times New Roman"/>
          <w:iCs/>
          <w:sz w:val="24"/>
          <w:szCs w:val="24"/>
        </w:rPr>
        <w:t xml:space="preserve"> investment</w:t>
      </w:r>
      <w:r>
        <w:rPr>
          <w:rFonts w:ascii="Times New Roman" w:hAnsi="Times New Roman"/>
          <w:iCs/>
          <w:sz w:val="24"/>
          <w:szCs w:val="24"/>
        </w:rPr>
        <w:t xml:space="preserve"> </w:t>
      </w:r>
      <w:r w:rsidRPr="006762E7">
        <w:rPr>
          <w:rFonts w:ascii="Times New Roman" w:hAnsi="Times New Roman"/>
          <w:iCs/>
          <w:sz w:val="24"/>
          <w:szCs w:val="24"/>
        </w:rPr>
        <w:t xml:space="preserve">in new energy technologies’ for a period of </w:t>
      </w:r>
      <w:r>
        <w:rPr>
          <w:rFonts w:ascii="Times New Roman" w:hAnsi="Times New Roman"/>
          <w:iCs/>
          <w:sz w:val="24"/>
          <w:szCs w:val="24"/>
        </w:rPr>
        <w:t>six</w:t>
      </w:r>
      <w:r w:rsidRPr="006762E7">
        <w:rPr>
          <w:rFonts w:ascii="Times New Roman" w:hAnsi="Times New Roman"/>
          <w:iCs/>
          <w:sz w:val="24"/>
          <w:szCs w:val="24"/>
        </w:rPr>
        <w:t xml:space="preserve"> years commencing in 2020</w:t>
      </w:r>
      <w:r>
        <w:rPr>
          <w:rFonts w:ascii="Times New Roman" w:hAnsi="Times New Roman"/>
          <w:iCs/>
          <w:sz w:val="24"/>
          <w:szCs w:val="24"/>
        </w:rPr>
        <w:noBreakHyphen/>
      </w:r>
      <w:r w:rsidRPr="006762E7">
        <w:rPr>
          <w:rFonts w:ascii="Times New Roman" w:hAnsi="Times New Roman"/>
          <w:iCs/>
          <w:sz w:val="24"/>
          <w:szCs w:val="24"/>
        </w:rPr>
        <w:t>21. This includes funding of 20.1 million over</w:t>
      </w:r>
      <w:r>
        <w:rPr>
          <w:rFonts w:ascii="Times New Roman" w:hAnsi="Times New Roman"/>
          <w:iCs/>
          <w:sz w:val="24"/>
          <w:szCs w:val="24"/>
        </w:rPr>
        <w:t xml:space="preserve"> six years from 2020-21 for the activities </w:t>
      </w:r>
      <w:r w:rsidRPr="006762E7">
        <w:rPr>
          <w:rFonts w:ascii="Times New Roman" w:hAnsi="Times New Roman"/>
          <w:iCs/>
          <w:sz w:val="24"/>
          <w:szCs w:val="24"/>
        </w:rPr>
        <w:t xml:space="preserve">to be authorised through new </w:t>
      </w:r>
      <w:r w:rsidR="00F55292">
        <w:rPr>
          <w:rFonts w:ascii="Times New Roman" w:hAnsi="Times New Roman"/>
          <w:iCs/>
          <w:sz w:val="24"/>
          <w:szCs w:val="24"/>
        </w:rPr>
        <w:t xml:space="preserve">table </w:t>
      </w:r>
      <w:r w:rsidRPr="006762E7">
        <w:rPr>
          <w:rFonts w:ascii="Times New Roman" w:hAnsi="Times New Roman"/>
          <w:iCs/>
          <w:sz w:val="24"/>
          <w:szCs w:val="24"/>
        </w:rPr>
        <w:t>item</w:t>
      </w:r>
      <w:r w:rsidR="00F55292">
        <w:rPr>
          <w:rFonts w:ascii="Times New Roman" w:hAnsi="Times New Roman"/>
          <w:iCs/>
          <w:sz w:val="24"/>
          <w:szCs w:val="24"/>
        </w:rPr>
        <w:t xml:space="preserve"> 452</w:t>
      </w:r>
      <w:r w:rsidRPr="006762E7">
        <w:rPr>
          <w:rFonts w:ascii="Times New Roman" w:hAnsi="Times New Roman"/>
          <w:iCs/>
          <w:sz w:val="24"/>
          <w:szCs w:val="24"/>
        </w:rPr>
        <w:t xml:space="preserve">. Details are set out in </w:t>
      </w:r>
      <w:r w:rsidRPr="006762E7">
        <w:rPr>
          <w:rFonts w:ascii="Times New Roman" w:hAnsi="Times New Roman"/>
          <w:i/>
          <w:iCs/>
          <w:sz w:val="24"/>
          <w:szCs w:val="24"/>
        </w:rPr>
        <w:t>Budget 2020-21, Budget Measures, Budget Paper No. 2 2020-21</w:t>
      </w:r>
      <w:r w:rsidRPr="006762E7">
        <w:rPr>
          <w:rFonts w:ascii="Times New Roman" w:hAnsi="Times New Roman"/>
          <w:iCs/>
          <w:sz w:val="24"/>
          <w:szCs w:val="24"/>
        </w:rPr>
        <w:t xml:space="preserve"> at pages 118 </w:t>
      </w:r>
      <w:r>
        <w:rPr>
          <w:rFonts w:ascii="Times New Roman" w:hAnsi="Times New Roman"/>
          <w:iCs/>
          <w:sz w:val="24"/>
          <w:szCs w:val="24"/>
        </w:rPr>
        <w:t>to</w:t>
      </w:r>
      <w:r w:rsidRPr="006762E7">
        <w:rPr>
          <w:rFonts w:ascii="Times New Roman" w:hAnsi="Times New Roman"/>
          <w:iCs/>
          <w:sz w:val="24"/>
          <w:szCs w:val="24"/>
        </w:rPr>
        <w:t xml:space="preserve"> 119. </w:t>
      </w:r>
    </w:p>
    <w:p w14:paraId="485EB019" w14:textId="77777777" w:rsidR="007E4E27" w:rsidRPr="006762E7" w:rsidRDefault="007E4E27" w:rsidP="007E4E27">
      <w:pPr>
        <w:rPr>
          <w:rFonts w:ascii="Times New Roman" w:hAnsi="Times New Roman"/>
          <w:iCs/>
          <w:sz w:val="24"/>
          <w:szCs w:val="24"/>
        </w:rPr>
      </w:pPr>
    </w:p>
    <w:p w14:paraId="73967A16" w14:textId="77777777" w:rsidR="007E4E27" w:rsidRPr="006762E7" w:rsidRDefault="007E4E27" w:rsidP="007E4E27">
      <w:pPr>
        <w:rPr>
          <w:rFonts w:ascii="Times New Roman" w:hAnsi="Times New Roman"/>
          <w:iCs/>
          <w:sz w:val="24"/>
          <w:szCs w:val="24"/>
        </w:rPr>
      </w:pPr>
      <w:r w:rsidRPr="006762E7">
        <w:rPr>
          <w:rFonts w:ascii="Times New Roman" w:hAnsi="Times New Roman"/>
          <w:iCs/>
          <w:sz w:val="24"/>
          <w:szCs w:val="24"/>
        </w:rPr>
        <w:t xml:space="preserve">Funding for this item will come from Program 2.1: Reducing Australia’s </w:t>
      </w:r>
      <w:r>
        <w:rPr>
          <w:rFonts w:ascii="Times New Roman" w:hAnsi="Times New Roman"/>
          <w:iCs/>
          <w:sz w:val="24"/>
          <w:szCs w:val="24"/>
        </w:rPr>
        <w:t>G</w:t>
      </w:r>
      <w:r w:rsidRPr="006762E7">
        <w:rPr>
          <w:rFonts w:ascii="Times New Roman" w:hAnsi="Times New Roman"/>
          <w:iCs/>
          <w:sz w:val="24"/>
          <w:szCs w:val="24"/>
        </w:rPr>
        <w:t xml:space="preserve">reenhouse </w:t>
      </w:r>
      <w:r>
        <w:rPr>
          <w:rFonts w:ascii="Times New Roman" w:hAnsi="Times New Roman"/>
          <w:iCs/>
          <w:sz w:val="24"/>
          <w:szCs w:val="24"/>
        </w:rPr>
        <w:t>Gas E</w:t>
      </w:r>
      <w:r w:rsidRPr="006762E7">
        <w:rPr>
          <w:rFonts w:ascii="Times New Roman" w:hAnsi="Times New Roman"/>
          <w:iCs/>
          <w:sz w:val="24"/>
          <w:szCs w:val="24"/>
        </w:rPr>
        <w:t>missions</w:t>
      </w:r>
      <w:r>
        <w:rPr>
          <w:rFonts w:ascii="Times New Roman" w:hAnsi="Times New Roman"/>
          <w:iCs/>
          <w:sz w:val="24"/>
          <w:szCs w:val="24"/>
        </w:rPr>
        <w:t>,</w:t>
      </w:r>
      <w:r w:rsidRPr="006762E7" w:rsidDel="001B59E2">
        <w:rPr>
          <w:rFonts w:ascii="Times New Roman" w:hAnsi="Times New Roman"/>
          <w:iCs/>
          <w:sz w:val="24"/>
          <w:szCs w:val="24"/>
        </w:rPr>
        <w:t xml:space="preserve"> </w:t>
      </w:r>
      <w:r w:rsidRPr="006762E7">
        <w:rPr>
          <w:rFonts w:ascii="Times New Roman" w:hAnsi="Times New Roman"/>
          <w:iCs/>
          <w:sz w:val="24"/>
          <w:szCs w:val="24"/>
        </w:rPr>
        <w:t xml:space="preserve">which is part of Outcome 2. Details are set out in the </w:t>
      </w:r>
      <w:r w:rsidRPr="001C22DE">
        <w:rPr>
          <w:rFonts w:ascii="Times New Roman" w:hAnsi="Times New Roman"/>
          <w:i/>
          <w:iCs/>
          <w:sz w:val="24"/>
          <w:szCs w:val="24"/>
        </w:rPr>
        <w:t>Portfolio Budget Statements 2020-21, Budget Related Paper No. 1.9, Industry, Science, Energy and Resources Portfolio</w:t>
      </w:r>
      <w:r w:rsidRPr="006762E7">
        <w:rPr>
          <w:rFonts w:ascii="Times New Roman" w:hAnsi="Times New Roman"/>
          <w:iCs/>
          <w:sz w:val="24"/>
          <w:szCs w:val="24"/>
        </w:rPr>
        <w:t xml:space="preserve"> at page 6</w:t>
      </w:r>
      <w:r>
        <w:rPr>
          <w:rFonts w:ascii="Times New Roman" w:hAnsi="Times New Roman"/>
          <w:iCs/>
          <w:sz w:val="24"/>
          <w:szCs w:val="24"/>
        </w:rPr>
        <w:t xml:space="preserve">1. </w:t>
      </w:r>
    </w:p>
    <w:p w14:paraId="6ED68803" w14:textId="77777777" w:rsidR="007E4E27" w:rsidRDefault="007E4E27" w:rsidP="007E4E27">
      <w:pPr>
        <w:rPr>
          <w:rFonts w:ascii="Times New Roman" w:hAnsi="Times New Roman"/>
          <w:iCs/>
          <w:sz w:val="24"/>
          <w:szCs w:val="24"/>
        </w:rPr>
      </w:pPr>
    </w:p>
    <w:p w14:paraId="372CDC31" w14:textId="77777777" w:rsidR="007E4E27" w:rsidRDefault="007E4E27" w:rsidP="007E4E27">
      <w:pPr>
        <w:rPr>
          <w:rFonts w:ascii="Times New Roman" w:hAnsi="Times New Roman"/>
          <w:iCs/>
          <w:sz w:val="24"/>
          <w:szCs w:val="24"/>
        </w:rPr>
      </w:pPr>
      <w:r w:rsidRPr="00CD56EF">
        <w:rPr>
          <w:rFonts w:ascii="Times New Roman" w:hAnsi="Times New Roman"/>
          <w:iCs/>
          <w:sz w:val="24"/>
          <w:szCs w:val="24"/>
        </w:rPr>
        <w:t xml:space="preserve">Noting that it is not a comprehensive statement of relevant constitutional considerations, the objective of </w:t>
      </w:r>
      <w:r>
        <w:rPr>
          <w:rFonts w:ascii="Times New Roman" w:hAnsi="Times New Roman"/>
          <w:iCs/>
          <w:sz w:val="24"/>
          <w:szCs w:val="24"/>
        </w:rPr>
        <w:t xml:space="preserve">the </w:t>
      </w:r>
      <w:r w:rsidRPr="00CD56EF">
        <w:rPr>
          <w:rFonts w:ascii="Times New Roman" w:hAnsi="Times New Roman"/>
          <w:iCs/>
          <w:sz w:val="24"/>
          <w:szCs w:val="24"/>
        </w:rPr>
        <w:t>item</w:t>
      </w:r>
      <w:r>
        <w:rPr>
          <w:rFonts w:ascii="Times New Roman" w:hAnsi="Times New Roman"/>
          <w:iCs/>
          <w:sz w:val="24"/>
          <w:szCs w:val="24"/>
        </w:rPr>
        <w:t xml:space="preserve"> </w:t>
      </w:r>
      <w:r w:rsidRPr="00CD56EF">
        <w:rPr>
          <w:rFonts w:ascii="Times New Roman" w:hAnsi="Times New Roman"/>
          <w:iCs/>
          <w:sz w:val="24"/>
          <w:szCs w:val="24"/>
        </w:rPr>
        <w:t>references the external affairs power (s</w:t>
      </w:r>
      <w:r>
        <w:rPr>
          <w:rFonts w:ascii="Times New Roman" w:hAnsi="Times New Roman"/>
          <w:iCs/>
          <w:sz w:val="24"/>
          <w:szCs w:val="24"/>
        </w:rPr>
        <w:t>ection</w:t>
      </w:r>
      <w:r w:rsidRPr="00CD56EF">
        <w:rPr>
          <w:rFonts w:ascii="Times New Roman" w:hAnsi="Times New Roman"/>
          <w:iCs/>
          <w:sz w:val="24"/>
          <w:szCs w:val="24"/>
        </w:rPr>
        <w:t> 51(xxix)</w:t>
      </w:r>
      <w:r>
        <w:rPr>
          <w:rFonts w:ascii="Times New Roman" w:hAnsi="Times New Roman"/>
          <w:iCs/>
          <w:sz w:val="24"/>
          <w:szCs w:val="24"/>
        </w:rPr>
        <w:t>)</w:t>
      </w:r>
      <w:r w:rsidRPr="00CD56EF">
        <w:rPr>
          <w:rFonts w:ascii="Times New Roman" w:hAnsi="Times New Roman"/>
          <w:iCs/>
          <w:sz w:val="24"/>
          <w:szCs w:val="24"/>
        </w:rPr>
        <w:t xml:space="preserve"> of the Constitution).</w:t>
      </w:r>
    </w:p>
    <w:p w14:paraId="4F081C71" w14:textId="77777777" w:rsidR="007E4E27" w:rsidRPr="00CD56EF" w:rsidRDefault="007E4E27" w:rsidP="007E4E27">
      <w:pPr>
        <w:rPr>
          <w:rFonts w:ascii="Times New Roman" w:hAnsi="Times New Roman"/>
          <w:iCs/>
          <w:sz w:val="24"/>
          <w:szCs w:val="24"/>
        </w:rPr>
      </w:pPr>
    </w:p>
    <w:p w14:paraId="0537F053" w14:textId="77777777" w:rsidR="007E4E27" w:rsidRDefault="007E4E27" w:rsidP="007E4E27">
      <w:pPr>
        <w:rPr>
          <w:rFonts w:ascii="Times New Roman" w:hAnsi="Times New Roman"/>
          <w:iCs/>
          <w:sz w:val="24"/>
          <w:szCs w:val="24"/>
        </w:rPr>
      </w:pPr>
      <w:r w:rsidRPr="00CD56EF">
        <w:rPr>
          <w:rFonts w:ascii="Times New Roman" w:hAnsi="Times New Roman"/>
          <w:iCs/>
          <w:sz w:val="24"/>
          <w:szCs w:val="24"/>
        </w:rPr>
        <w:t>The external affairs power supports legislation implementing Australia’s obligations under international treaties to which it is a party.</w:t>
      </w:r>
    </w:p>
    <w:p w14:paraId="4E0B4863" w14:textId="77777777" w:rsidR="007E4E27" w:rsidRPr="00CD56EF" w:rsidRDefault="007E4E27" w:rsidP="007E4E27">
      <w:pPr>
        <w:rPr>
          <w:rFonts w:ascii="Times New Roman" w:hAnsi="Times New Roman"/>
          <w:iCs/>
          <w:sz w:val="24"/>
          <w:szCs w:val="24"/>
        </w:rPr>
      </w:pPr>
    </w:p>
    <w:p w14:paraId="21E4EC90" w14:textId="77777777" w:rsidR="007E4E27" w:rsidRDefault="007E4E27" w:rsidP="007E4E27">
      <w:pPr>
        <w:rPr>
          <w:rFonts w:ascii="Times New Roman" w:hAnsi="Times New Roman"/>
          <w:iCs/>
          <w:sz w:val="24"/>
          <w:szCs w:val="24"/>
        </w:rPr>
      </w:pPr>
      <w:r w:rsidRPr="00CD56EF">
        <w:rPr>
          <w:rFonts w:ascii="Times New Roman" w:hAnsi="Times New Roman"/>
          <w:iCs/>
          <w:sz w:val="24"/>
          <w:szCs w:val="24"/>
        </w:rPr>
        <w:t xml:space="preserve">The </w:t>
      </w:r>
      <w:r w:rsidRPr="00CD56EF">
        <w:rPr>
          <w:rFonts w:ascii="Times New Roman" w:hAnsi="Times New Roman"/>
          <w:i/>
          <w:iCs/>
          <w:sz w:val="24"/>
          <w:szCs w:val="24"/>
        </w:rPr>
        <w:t>United Nations Framework Convention on Climate Change</w:t>
      </w:r>
      <w:r w:rsidRPr="00CD56EF">
        <w:rPr>
          <w:rFonts w:ascii="Times New Roman" w:hAnsi="Times New Roman"/>
          <w:iCs/>
          <w:sz w:val="24"/>
          <w:szCs w:val="24"/>
        </w:rPr>
        <w:t xml:space="preserve"> [1994] ATS 2 (</w:t>
      </w:r>
      <w:r>
        <w:rPr>
          <w:rFonts w:ascii="Times New Roman" w:hAnsi="Times New Roman"/>
          <w:iCs/>
          <w:sz w:val="24"/>
          <w:szCs w:val="24"/>
        </w:rPr>
        <w:t xml:space="preserve">the </w:t>
      </w:r>
      <w:r w:rsidRPr="00CD56EF">
        <w:rPr>
          <w:rFonts w:ascii="Times New Roman" w:hAnsi="Times New Roman"/>
          <w:iCs/>
          <w:sz w:val="24"/>
          <w:szCs w:val="24"/>
        </w:rPr>
        <w:t xml:space="preserve">UNFCCC) includes a range of obligations on Australia to take domestic actions that reduce Australia’s emissions of greenhouse gases. </w:t>
      </w:r>
    </w:p>
    <w:p w14:paraId="665407AF" w14:textId="77777777" w:rsidR="007E4E27" w:rsidRPr="00CD56EF" w:rsidRDefault="007E4E27" w:rsidP="007E4E27">
      <w:pPr>
        <w:rPr>
          <w:rFonts w:ascii="Times New Roman" w:hAnsi="Times New Roman"/>
          <w:iCs/>
          <w:sz w:val="24"/>
          <w:szCs w:val="24"/>
        </w:rPr>
      </w:pPr>
      <w:r w:rsidRPr="00CD56EF">
        <w:rPr>
          <w:rFonts w:ascii="Times New Roman" w:hAnsi="Times New Roman"/>
          <w:iCs/>
          <w:sz w:val="24"/>
          <w:szCs w:val="24"/>
        </w:rPr>
        <w:t xml:space="preserve"> </w:t>
      </w:r>
    </w:p>
    <w:p w14:paraId="40B7A754" w14:textId="77777777" w:rsidR="007E4E27" w:rsidRPr="00CD56EF" w:rsidRDefault="007E4E27" w:rsidP="007E4E27">
      <w:pPr>
        <w:rPr>
          <w:rFonts w:ascii="Times New Roman" w:hAnsi="Times New Roman"/>
          <w:iCs/>
          <w:sz w:val="24"/>
          <w:szCs w:val="24"/>
        </w:rPr>
      </w:pPr>
      <w:r w:rsidRPr="00CD56EF">
        <w:rPr>
          <w:rFonts w:ascii="Times New Roman" w:hAnsi="Times New Roman"/>
          <w:iCs/>
          <w:sz w:val="24"/>
          <w:szCs w:val="24"/>
        </w:rPr>
        <w:lastRenderedPageBreak/>
        <w:t>The UNFCCC relevantly provides that Australia shall:</w:t>
      </w:r>
    </w:p>
    <w:p w14:paraId="609B2ACA" w14:textId="77777777" w:rsidR="007E4E27" w:rsidRPr="00CD56EF" w:rsidRDefault="007E4E27" w:rsidP="007E4E27">
      <w:pPr>
        <w:pStyle w:val="ListParagraph"/>
        <w:numPr>
          <w:ilvl w:val="0"/>
          <w:numId w:val="19"/>
        </w:numPr>
        <w:ind w:right="57"/>
        <w:contextualSpacing w:val="0"/>
        <w:rPr>
          <w:rFonts w:cs="Times New Roman"/>
        </w:rPr>
      </w:pPr>
      <w:r w:rsidRPr="66592093">
        <w:rPr>
          <w:rFonts w:cs="Times New Roman"/>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3BC56917" w14:textId="77777777" w:rsidR="007E4E27" w:rsidRPr="00CD56EF" w:rsidRDefault="007E4E27" w:rsidP="007E4E27">
      <w:pPr>
        <w:pStyle w:val="ListParagraph"/>
        <w:numPr>
          <w:ilvl w:val="0"/>
          <w:numId w:val="19"/>
        </w:numPr>
        <w:ind w:right="57"/>
        <w:contextualSpacing w:val="0"/>
        <w:rPr>
          <w:rFonts w:cs="Times New Roman"/>
        </w:rPr>
      </w:pPr>
      <w:r w:rsidRPr="66592093">
        <w:rPr>
          <w:rFonts w:cs="Times New Roman"/>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14:paraId="1F5D6BCD" w14:textId="77777777" w:rsidR="007E4E27" w:rsidRPr="00CD56EF" w:rsidRDefault="007E4E27" w:rsidP="007E4E27">
      <w:pPr>
        <w:pStyle w:val="ListParagraph"/>
        <w:numPr>
          <w:ilvl w:val="0"/>
          <w:numId w:val="19"/>
        </w:numPr>
        <w:ind w:right="57"/>
        <w:contextualSpacing w:val="0"/>
        <w:rPr>
          <w:rFonts w:cs="Times New Roman"/>
        </w:rPr>
      </w:pPr>
      <w:r w:rsidRPr="66592093">
        <w:rPr>
          <w:rFonts w:cs="Times New Roman"/>
        </w:rPr>
        <w:t>adopt national policies and take corresponding measures on the mitigation of climate change, by limiting its anthropogenic emissions of greenhouse gases and protecting and enhancing its greenhouse gas sinks and reservoirs (Article 4.2(a)).</w:t>
      </w:r>
    </w:p>
    <w:p w14:paraId="5DFD6625" w14:textId="77777777" w:rsidR="007E4E27" w:rsidRPr="00CD56EF" w:rsidRDefault="007E4E27" w:rsidP="007E4E27">
      <w:pPr>
        <w:pStyle w:val="ListParagraph"/>
        <w:ind w:right="57"/>
        <w:contextualSpacing w:val="0"/>
        <w:rPr>
          <w:rFonts w:cs="Times New Roman"/>
          <w:color w:val="000000"/>
          <w:szCs w:val="24"/>
        </w:rPr>
      </w:pPr>
    </w:p>
    <w:p w14:paraId="5D448F01" w14:textId="77777777" w:rsidR="007E4E27" w:rsidRDefault="007E4E27" w:rsidP="007E4E27">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Kyoto Protocol to the United Nations Framework Convention on Climate Change</w:t>
      </w:r>
      <w:r w:rsidRPr="008336DB">
        <w:rPr>
          <w:rFonts w:ascii="Times New Roman" w:hAnsi="Times New Roman"/>
          <w:iCs/>
          <w:sz w:val="24"/>
          <w:szCs w:val="24"/>
        </w:rPr>
        <w:t xml:space="preserve"> [2008] ATS 2 also includes obligations on Australia to take action to reduce emissions, such as Article 10(b). Article 10(b) imposes obligations to formulate, implement and report upon climate change mitigation and adaptation programs.</w:t>
      </w:r>
    </w:p>
    <w:p w14:paraId="2A2EF2FB" w14:textId="77777777" w:rsidR="007E4E27" w:rsidRPr="008336DB" w:rsidRDefault="007E4E27" w:rsidP="007E4E27">
      <w:pPr>
        <w:rPr>
          <w:rFonts w:ascii="Times New Roman" w:hAnsi="Times New Roman"/>
          <w:iCs/>
          <w:sz w:val="24"/>
          <w:szCs w:val="24"/>
        </w:rPr>
      </w:pPr>
    </w:p>
    <w:p w14:paraId="662C43F3" w14:textId="77777777" w:rsidR="007E4E27" w:rsidRPr="008336DB" w:rsidRDefault="007E4E27" w:rsidP="007E4E27">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Paris Agreement</w:t>
      </w:r>
      <w:r w:rsidRPr="008336DB">
        <w:rPr>
          <w:rFonts w:ascii="Times New Roman" w:hAnsi="Times New Roman"/>
          <w:iCs/>
          <w:sz w:val="24"/>
          <w:szCs w:val="24"/>
        </w:rPr>
        <w:t xml:space="preserve"> [2016] ATS 24 was entered into by the parties to the UNFCCC to enhance its implementation. Under the Paris Agreement, Australia has a ‘nationally determined contribution’ of a 2030 emissions reduction target of 26 to 28 per cent below 2005 levels. Relevantly, Article 4.2 of the Paris Agreement provides that ‘[e]ach Party shall prepare, communicate and maintain successive nationally determined contributions that it intends to achieve. Parties shall pursue domestic mitigation measures, with the aim of achieving the objectives of such contributions’. </w:t>
      </w:r>
    </w:p>
    <w:p w14:paraId="4B37A708" w14:textId="77777777" w:rsidR="007E4E27" w:rsidRDefault="007E4E27" w:rsidP="007E4E27">
      <w:pPr>
        <w:rPr>
          <w:rFonts w:ascii="Times New Roman" w:hAnsi="Times New Roman"/>
          <w:iCs/>
          <w:sz w:val="24"/>
          <w:szCs w:val="24"/>
        </w:rPr>
      </w:pPr>
    </w:p>
    <w:p w14:paraId="310FAB02" w14:textId="77777777" w:rsidR="007E4E27" w:rsidRPr="00DC5E86" w:rsidRDefault="007E4E27" w:rsidP="007E4E27">
      <w:pPr>
        <w:rPr>
          <w:rFonts w:ascii="Times New Roman" w:hAnsi="Times New Roman"/>
          <w:sz w:val="24"/>
          <w:szCs w:val="24"/>
          <w:lang w:val="en" w:eastAsia="en-US"/>
        </w:rPr>
      </w:pPr>
      <w:r w:rsidRPr="008336DB">
        <w:rPr>
          <w:rFonts w:ascii="Times New Roman" w:hAnsi="Times New Roman"/>
          <w:iCs/>
          <w:sz w:val="24"/>
          <w:szCs w:val="24"/>
        </w:rPr>
        <w:t xml:space="preserve">Under the </w:t>
      </w:r>
      <w:r>
        <w:rPr>
          <w:rFonts w:ascii="Times New Roman" w:hAnsi="Times New Roman"/>
          <w:iCs/>
          <w:sz w:val="24"/>
          <w:szCs w:val="24"/>
        </w:rPr>
        <w:t>Fund</w:t>
      </w:r>
      <w:r w:rsidRPr="008336DB">
        <w:rPr>
          <w:rFonts w:ascii="Times New Roman" w:hAnsi="Times New Roman"/>
          <w:iCs/>
          <w:sz w:val="24"/>
          <w:szCs w:val="24"/>
        </w:rPr>
        <w:t xml:space="preserve">, </w:t>
      </w:r>
      <w:r w:rsidRPr="00133A06">
        <w:rPr>
          <w:rFonts w:ascii="Times New Roman" w:hAnsi="Times New Roman"/>
          <w:iCs/>
          <w:sz w:val="24"/>
          <w:szCs w:val="24"/>
        </w:rPr>
        <w:t>a range of businesses, organisations and activities in the industrial, transport and agricultural sectors w</w:t>
      </w:r>
      <w:r>
        <w:rPr>
          <w:rFonts w:ascii="Times New Roman" w:hAnsi="Times New Roman"/>
          <w:iCs/>
          <w:sz w:val="24"/>
          <w:szCs w:val="24"/>
        </w:rPr>
        <w:t>ill</w:t>
      </w:r>
      <w:r w:rsidRPr="00133A06">
        <w:rPr>
          <w:rFonts w:ascii="Times New Roman" w:hAnsi="Times New Roman"/>
          <w:iCs/>
          <w:sz w:val="24"/>
          <w:szCs w:val="24"/>
        </w:rPr>
        <w:t xml:space="preserve"> be funded to reduce energy use, improve energy productivity or reduce direct emissions, which will deliver carbon abatement through reduced greenhouse gas emissions. The </w:t>
      </w:r>
      <w:r>
        <w:rPr>
          <w:rFonts w:ascii="Times New Roman" w:hAnsi="Times New Roman"/>
          <w:iCs/>
          <w:sz w:val="24"/>
          <w:szCs w:val="24"/>
        </w:rPr>
        <w:t>Fund</w:t>
      </w:r>
      <w:r w:rsidRPr="00133A06">
        <w:rPr>
          <w:rFonts w:ascii="Times New Roman" w:hAnsi="Times New Roman"/>
          <w:iCs/>
          <w:sz w:val="24"/>
          <w:szCs w:val="24"/>
        </w:rPr>
        <w:t xml:space="preserve"> will involve both directly funding certain activities that reduce emissions and funding information, such as benchmarking, which results in actions to reduce emissions. The support for soil sampling will also further method development and abatement under the </w:t>
      </w:r>
      <w:r w:rsidRPr="007A1039">
        <w:rPr>
          <w:rFonts w:ascii="Times New Roman" w:hAnsi="Times New Roman"/>
          <w:i/>
          <w:iCs/>
          <w:sz w:val="24"/>
          <w:szCs w:val="24"/>
        </w:rPr>
        <w:t>Carbon Credits (Carbon Farming Initiative) Act 2011</w:t>
      </w:r>
      <w:r w:rsidRPr="00133A06">
        <w:rPr>
          <w:rFonts w:ascii="Times New Roman" w:hAnsi="Times New Roman"/>
          <w:iCs/>
          <w:sz w:val="24"/>
          <w:szCs w:val="24"/>
        </w:rPr>
        <w:t xml:space="preserve">. The reduced energy use and emissions supported by the </w:t>
      </w:r>
      <w:r>
        <w:rPr>
          <w:rFonts w:ascii="Times New Roman" w:hAnsi="Times New Roman"/>
          <w:iCs/>
          <w:sz w:val="24"/>
          <w:szCs w:val="24"/>
        </w:rPr>
        <w:t>Fund</w:t>
      </w:r>
      <w:r w:rsidRPr="00133A06">
        <w:rPr>
          <w:rFonts w:ascii="Times New Roman" w:hAnsi="Times New Roman"/>
          <w:iCs/>
          <w:sz w:val="24"/>
          <w:szCs w:val="24"/>
        </w:rPr>
        <w:t xml:space="preserve"> will therefore contribute to Australia’s obligations to reduce greenhouse gas emissions under these treaties. </w:t>
      </w:r>
      <w:r w:rsidRPr="00DA0ED1">
        <w:rPr>
          <w:rFonts w:ascii="Times New Roman" w:hAnsi="Times New Roman"/>
          <w:iCs/>
          <w:sz w:val="24"/>
          <w:szCs w:val="24"/>
        </w:rPr>
        <w:t xml:space="preserve"> </w:t>
      </w:r>
    </w:p>
    <w:p w14:paraId="09AAC6AB" w14:textId="14F7AC65" w:rsidR="007E4E27" w:rsidRDefault="007E4E27" w:rsidP="000115EE">
      <w:pPr>
        <w:rPr>
          <w:rFonts w:ascii="Times New Roman" w:hAnsi="Times New Roman"/>
          <w:iCs/>
          <w:sz w:val="24"/>
          <w:szCs w:val="24"/>
        </w:rPr>
      </w:pPr>
    </w:p>
    <w:p w14:paraId="4E150C53" w14:textId="1570C2AE" w:rsidR="007048FD" w:rsidRDefault="007048FD" w:rsidP="007048FD">
      <w:pPr>
        <w:rPr>
          <w:rFonts w:ascii="Times New Roman" w:hAnsi="Times New Roman"/>
          <w:iCs/>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table item</w:t>
      </w:r>
      <w:r>
        <w:rPr>
          <w:rFonts w:ascii="Times New Roman" w:hAnsi="Times New Roman"/>
          <w:b/>
          <w:iCs/>
          <w:sz w:val="24"/>
          <w:szCs w:val="24"/>
        </w:rPr>
        <w:t xml:space="preserve"> 453 </w:t>
      </w:r>
      <w:r w:rsidRPr="00DC5E86">
        <w:rPr>
          <w:rFonts w:ascii="Times New Roman" w:hAnsi="Times New Roman"/>
          <w:iCs/>
          <w:sz w:val="24"/>
          <w:szCs w:val="24"/>
        </w:rPr>
        <w:t xml:space="preserve">establishes legislative authority for government spending on the </w:t>
      </w:r>
      <w:r>
        <w:rPr>
          <w:rFonts w:ascii="Times New Roman" w:hAnsi="Times New Roman"/>
          <w:iCs/>
          <w:sz w:val="24"/>
          <w:szCs w:val="24"/>
        </w:rPr>
        <w:t>Hydrogen Export Hub Program (the program).</w:t>
      </w:r>
    </w:p>
    <w:p w14:paraId="1886A5C5" w14:textId="77777777" w:rsidR="007048FD" w:rsidRDefault="007048FD" w:rsidP="007048FD">
      <w:pPr>
        <w:rPr>
          <w:rFonts w:ascii="Times New Roman" w:hAnsi="Times New Roman"/>
          <w:iCs/>
          <w:sz w:val="24"/>
          <w:szCs w:val="24"/>
        </w:rPr>
      </w:pPr>
    </w:p>
    <w:p w14:paraId="00923356" w14:textId="77777777" w:rsidR="007048FD" w:rsidRDefault="007048FD" w:rsidP="007048FD">
      <w:pPr>
        <w:rPr>
          <w:rFonts w:ascii="Times New Roman" w:hAnsi="Times New Roman"/>
          <w:iCs/>
          <w:sz w:val="24"/>
          <w:szCs w:val="24"/>
        </w:rPr>
      </w:pPr>
      <w:r>
        <w:rPr>
          <w:rFonts w:ascii="Times New Roman" w:hAnsi="Times New Roman"/>
          <w:iCs/>
          <w:sz w:val="24"/>
          <w:szCs w:val="24"/>
        </w:rPr>
        <w:t xml:space="preserve">The program will support growth of Australia’s hydrogen industry and </w:t>
      </w:r>
      <w:r w:rsidRPr="00FB41AC">
        <w:rPr>
          <w:rFonts w:ascii="Times New Roman" w:hAnsi="Times New Roman"/>
          <w:iCs/>
          <w:sz w:val="24"/>
          <w:szCs w:val="24"/>
        </w:rPr>
        <w:t>stimulat</w:t>
      </w:r>
      <w:r>
        <w:rPr>
          <w:rFonts w:ascii="Times New Roman" w:hAnsi="Times New Roman"/>
          <w:iCs/>
          <w:sz w:val="24"/>
          <w:szCs w:val="24"/>
        </w:rPr>
        <w:t>e</w:t>
      </w:r>
      <w:r w:rsidRPr="00FB41AC">
        <w:rPr>
          <w:rFonts w:ascii="Times New Roman" w:hAnsi="Times New Roman"/>
          <w:iCs/>
          <w:sz w:val="24"/>
          <w:szCs w:val="24"/>
        </w:rPr>
        <w:t xml:space="preserve"> domestic and international demand for hydrogen (and its derivatives, such as ammonia) </w:t>
      </w:r>
      <w:r>
        <w:rPr>
          <w:rFonts w:ascii="Times New Roman" w:hAnsi="Times New Roman"/>
          <w:iCs/>
          <w:sz w:val="24"/>
          <w:szCs w:val="24"/>
        </w:rPr>
        <w:t>through the establishment of hydrogen export supply chains and the activation of a hydrogen export hub (a</w:t>
      </w:r>
      <w:r w:rsidRPr="00FB41AC">
        <w:rPr>
          <w:rFonts w:ascii="Times New Roman" w:hAnsi="Times New Roman"/>
          <w:iCs/>
          <w:sz w:val="24"/>
          <w:szCs w:val="24"/>
        </w:rPr>
        <w:t xml:space="preserve"> region where various hydrogen users and exporters are co-located</w:t>
      </w:r>
      <w:r>
        <w:rPr>
          <w:rFonts w:ascii="Times New Roman" w:hAnsi="Times New Roman"/>
          <w:iCs/>
          <w:sz w:val="24"/>
          <w:szCs w:val="24"/>
        </w:rPr>
        <w:t>)</w:t>
      </w:r>
      <w:r w:rsidRPr="00FB41AC">
        <w:rPr>
          <w:rFonts w:ascii="Times New Roman" w:hAnsi="Times New Roman"/>
          <w:iCs/>
          <w:sz w:val="24"/>
          <w:szCs w:val="24"/>
        </w:rPr>
        <w:t xml:space="preserve"> that will supply to at least one partner country. </w:t>
      </w:r>
      <w:r>
        <w:rPr>
          <w:rFonts w:ascii="Times New Roman" w:hAnsi="Times New Roman"/>
          <w:iCs/>
          <w:sz w:val="24"/>
          <w:szCs w:val="24"/>
        </w:rPr>
        <w:t>The program will also provide f</w:t>
      </w:r>
      <w:r w:rsidRPr="00FB41AC">
        <w:rPr>
          <w:rFonts w:ascii="Times New Roman" w:hAnsi="Times New Roman"/>
          <w:iCs/>
          <w:sz w:val="24"/>
          <w:szCs w:val="24"/>
        </w:rPr>
        <w:t xml:space="preserve">unding </w:t>
      </w:r>
      <w:r>
        <w:rPr>
          <w:rFonts w:ascii="Times New Roman" w:hAnsi="Times New Roman"/>
          <w:iCs/>
          <w:sz w:val="24"/>
          <w:szCs w:val="24"/>
        </w:rPr>
        <w:t>t</w:t>
      </w:r>
      <w:r w:rsidRPr="00FB41AC">
        <w:rPr>
          <w:rFonts w:ascii="Times New Roman" w:hAnsi="Times New Roman"/>
          <w:iCs/>
          <w:sz w:val="24"/>
          <w:szCs w:val="24"/>
        </w:rPr>
        <w:t>o enable international research collaboration, undertake supply chain feasibility studies, and support safety training for emergency services personnel.</w:t>
      </w:r>
    </w:p>
    <w:p w14:paraId="03C829A3" w14:textId="77777777" w:rsidR="007048FD" w:rsidRDefault="007048FD" w:rsidP="007048FD">
      <w:pPr>
        <w:rPr>
          <w:rFonts w:ascii="Times New Roman" w:hAnsi="Times New Roman"/>
          <w:iCs/>
          <w:sz w:val="24"/>
          <w:szCs w:val="24"/>
        </w:rPr>
      </w:pPr>
    </w:p>
    <w:p w14:paraId="30F1F8F5" w14:textId="77777777" w:rsidR="007048FD" w:rsidRDefault="007048FD" w:rsidP="007048FD">
      <w:pPr>
        <w:rPr>
          <w:rFonts w:ascii="Times New Roman" w:hAnsi="Times New Roman"/>
          <w:iCs/>
          <w:sz w:val="24"/>
          <w:szCs w:val="24"/>
        </w:rPr>
      </w:pPr>
      <w:r>
        <w:rPr>
          <w:rFonts w:ascii="Times New Roman" w:hAnsi="Times New Roman"/>
          <w:iCs/>
          <w:sz w:val="24"/>
          <w:szCs w:val="24"/>
        </w:rPr>
        <w:t xml:space="preserve">The program is part of the Government’s $1.9 billion investment package in future technologies to lower greenhouse gas emissions, which would support jobs, cut costs for </w:t>
      </w:r>
      <w:r>
        <w:rPr>
          <w:rFonts w:ascii="Times New Roman" w:hAnsi="Times New Roman"/>
          <w:iCs/>
          <w:sz w:val="24"/>
          <w:szCs w:val="24"/>
        </w:rPr>
        <w:lastRenderedPageBreak/>
        <w:t xml:space="preserve">households and improve the reliability of Australia’s energy supply. The package was jointly announced by the Prime Minister, the Hon Scott Morrison MP, and the Minister for Energy and Emissions Reduction, the Hon Angus Taylor MP, on 17 September 2020 (media release is available at </w:t>
      </w:r>
      <w:r w:rsidRPr="00320B93">
        <w:rPr>
          <w:rFonts w:ascii="Times New Roman" w:hAnsi="Times New Roman"/>
          <w:iCs/>
          <w:sz w:val="24"/>
          <w:szCs w:val="24"/>
          <w:u w:val="single"/>
        </w:rPr>
        <w:t>https://www.pm.gov.au/media/investment-new-energy-technologies</w:t>
      </w:r>
      <w:r>
        <w:rPr>
          <w:rFonts w:ascii="Times New Roman" w:hAnsi="Times New Roman"/>
          <w:iCs/>
          <w:sz w:val="24"/>
          <w:szCs w:val="24"/>
        </w:rPr>
        <w:t>).</w:t>
      </w:r>
    </w:p>
    <w:p w14:paraId="4DE88A74" w14:textId="77777777" w:rsidR="007048FD" w:rsidRDefault="007048FD" w:rsidP="007048FD">
      <w:pPr>
        <w:rPr>
          <w:rFonts w:ascii="Times New Roman" w:hAnsi="Times New Roman"/>
          <w:iCs/>
          <w:sz w:val="24"/>
          <w:szCs w:val="24"/>
        </w:rPr>
      </w:pPr>
    </w:p>
    <w:p w14:paraId="6D146E93" w14:textId="77777777" w:rsidR="007048FD" w:rsidRDefault="007048FD" w:rsidP="007048FD">
      <w:pPr>
        <w:rPr>
          <w:rFonts w:ascii="Times New Roman" w:hAnsi="Times New Roman"/>
          <w:iCs/>
          <w:sz w:val="24"/>
          <w:szCs w:val="24"/>
        </w:rPr>
      </w:pPr>
      <w:r>
        <w:rPr>
          <w:rFonts w:ascii="Times New Roman" w:hAnsi="Times New Roman"/>
          <w:iCs/>
          <w:sz w:val="24"/>
          <w:szCs w:val="24"/>
        </w:rPr>
        <w:t>The former Council of Australian Governments (COAG) Energy Council’s</w:t>
      </w:r>
      <w:r w:rsidRPr="00FB41AC">
        <w:rPr>
          <w:rFonts w:ascii="Times New Roman" w:hAnsi="Times New Roman"/>
          <w:iCs/>
          <w:sz w:val="24"/>
          <w:szCs w:val="24"/>
        </w:rPr>
        <w:t xml:space="preserve"> </w:t>
      </w:r>
      <w:r w:rsidRPr="00E566F7">
        <w:rPr>
          <w:rFonts w:ascii="Times New Roman" w:hAnsi="Times New Roman"/>
          <w:i/>
          <w:iCs/>
          <w:sz w:val="24"/>
          <w:szCs w:val="24"/>
        </w:rPr>
        <w:t>Australia’s National Hydrogen Strategy</w:t>
      </w:r>
      <w:r>
        <w:rPr>
          <w:rFonts w:ascii="Times New Roman" w:hAnsi="Times New Roman"/>
          <w:iCs/>
          <w:sz w:val="24"/>
          <w:szCs w:val="24"/>
        </w:rPr>
        <w:t xml:space="preserve"> (the Strategy)</w:t>
      </w:r>
      <w:r w:rsidRPr="00FB41AC">
        <w:rPr>
          <w:rFonts w:ascii="Times New Roman" w:hAnsi="Times New Roman"/>
          <w:iCs/>
          <w:sz w:val="24"/>
          <w:szCs w:val="24"/>
        </w:rPr>
        <w:t xml:space="preserve"> </w:t>
      </w:r>
      <w:r w:rsidRPr="00E566F7">
        <w:rPr>
          <w:rFonts w:ascii="Times New Roman" w:hAnsi="Times New Roman"/>
          <w:iCs/>
          <w:sz w:val="24"/>
          <w:szCs w:val="24"/>
        </w:rPr>
        <w:t>sets a vision for Australia to be a global clean hydrogen powerhouse. The Strategy identifies the creation of hubs as the most efficient and effective approach to bring Australia’s hydrogen industry to scale and bring down the costs of production.</w:t>
      </w:r>
      <w:r>
        <w:rPr>
          <w:rFonts w:ascii="Times New Roman" w:hAnsi="Times New Roman"/>
          <w:iCs/>
          <w:sz w:val="24"/>
          <w:szCs w:val="24"/>
        </w:rPr>
        <w:t xml:space="preserve"> </w:t>
      </w:r>
      <w:r w:rsidRPr="00E566F7">
        <w:rPr>
          <w:rFonts w:ascii="Times New Roman" w:hAnsi="Times New Roman"/>
          <w:iCs/>
          <w:sz w:val="24"/>
          <w:szCs w:val="24"/>
        </w:rPr>
        <w:t>Hubs will provide a focal point for developing supply chains and infrastructure cost effectively. Grouping demand will promote efficiencies from economies of scale, foster innovation</w:t>
      </w:r>
      <w:r>
        <w:rPr>
          <w:rFonts w:ascii="Times New Roman" w:hAnsi="Times New Roman"/>
          <w:iCs/>
          <w:sz w:val="24"/>
          <w:szCs w:val="24"/>
        </w:rPr>
        <w:t xml:space="preserve">, </w:t>
      </w:r>
      <w:r w:rsidRPr="00FB41AC">
        <w:rPr>
          <w:rFonts w:ascii="Times New Roman" w:hAnsi="Times New Roman"/>
          <w:iCs/>
          <w:sz w:val="24"/>
          <w:szCs w:val="24"/>
        </w:rPr>
        <w:t>increase workforce skills development</w:t>
      </w:r>
      <w:r>
        <w:rPr>
          <w:rFonts w:ascii="Times New Roman" w:hAnsi="Times New Roman"/>
          <w:iCs/>
          <w:sz w:val="24"/>
          <w:szCs w:val="24"/>
        </w:rPr>
        <w:t>,</w:t>
      </w:r>
      <w:r w:rsidRPr="00E566F7">
        <w:rPr>
          <w:rFonts w:ascii="Times New Roman" w:hAnsi="Times New Roman"/>
          <w:iCs/>
          <w:sz w:val="24"/>
          <w:szCs w:val="24"/>
        </w:rPr>
        <w:t xml:space="preserve"> and enable new ways of linking energy systems, with efficiencies and advantages for users and the environment. </w:t>
      </w:r>
      <w:r>
        <w:rPr>
          <w:rFonts w:ascii="Times New Roman" w:hAnsi="Times New Roman"/>
          <w:iCs/>
          <w:sz w:val="24"/>
          <w:szCs w:val="24"/>
        </w:rPr>
        <w:t xml:space="preserve">The Strategy is available at </w:t>
      </w:r>
      <w:r w:rsidRPr="00E566F7">
        <w:rPr>
          <w:rFonts w:ascii="Times New Roman" w:hAnsi="Times New Roman"/>
          <w:iCs/>
          <w:sz w:val="24"/>
          <w:szCs w:val="24"/>
          <w:u w:val="single"/>
        </w:rPr>
        <w:t>https://www.industry.gov.au/data-and-publications/australias-national-hydrogen-strategy</w:t>
      </w:r>
      <w:r>
        <w:rPr>
          <w:rFonts w:ascii="Times New Roman" w:hAnsi="Times New Roman"/>
          <w:iCs/>
          <w:sz w:val="24"/>
          <w:szCs w:val="24"/>
        </w:rPr>
        <w:t>.</w:t>
      </w:r>
    </w:p>
    <w:p w14:paraId="43E2EB3F" w14:textId="77777777" w:rsidR="007048FD" w:rsidRPr="00E566F7" w:rsidRDefault="007048FD" w:rsidP="007048FD">
      <w:pPr>
        <w:rPr>
          <w:rFonts w:ascii="Times New Roman" w:hAnsi="Times New Roman"/>
          <w:iCs/>
          <w:sz w:val="24"/>
          <w:szCs w:val="24"/>
        </w:rPr>
      </w:pPr>
    </w:p>
    <w:p w14:paraId="7367B4D0" w14:textId="77777777" w:rsidR="007048FD" w:rsidRDefault="007048FD" w:rsidP="007048FD">
      <w:pPr>
        <w:rPr>
          <w:rFonts w:ascii="Times New Roman" w:hAnsi="Times New Roman"/>
          <w:iCs/>
          <w:sz w:val="24"/>
          <w:szCs w:val="24"/>
        </w:rPr>
      </w:pPr>
      <w:r w:rsidRPr="00E566F7">
        <w:rPr>
          <w:rFonts w:ascii="Times New Roman" w:hAnsi="Times New Roman"/>
          <w:iCs/>
          <w:sz w:val="24"/>
          <w:szCs w:val="24"/>
        </w:rPr>
        <w:t>Hubs will also support the Government’s goal of achieving hydrogen production at under $2</w:t>
      </w:r>
      <w:r>
        <w:rPr>
          <w:rFonts w:ascii="Times New Roman" w:hAnsi="Times New Roman"/>
          <w:iCs/>
          <w:sz w:val="24"/>
          <w:szCs w:val="24"/>
        </w:rPr>
        <w:t> </w:t>
      </w:r>
      <w:r w:rsidRPr="00E566F7">
        <w:rPr>
          <w:rFonts w:ascii="Times New Roman" w:hAnsi="Times New Roman"/>
          <w:iCs/>
          <w:sz w:val="24"/>
          <w:szCs w:val="24"/>
        </w:rPr>
        <w:t>per kilogram established through the</w:t>
      </w:r>
      <w:r>
        <w:rPr>
          <w:rFonts w:ascii="Times New Roman" w:hAnsi="Times New Roman"/>
          <w:iCs/>
          <w:sz w:val="24"/>
          <w:szCs w:val="24"/>
        </w:rPr>
        <w:t xml:space="preserve"> first</w:t>
      </w:r>
      <w:r w:rsidRPr="00E566F7">
        <w:rPr>
          <w:rFonts w:ascii="Times New Roman" w:hAnsi="Times New Roman"/>
          <w:iCs/>
          <w:sz w:val="24"/>
          <w:szCs w:val="24"/>
        </w:rPr>
        <w:t xml:space="preserve"> </w:t>
      </w:r>
      <w:r w:rsidRPr="008B3DE6">
        <w:rPr>
          <w:rFonts w:ascii="Times New Roman" w:hAnsi="Times New Roman"/>
          <w:i/>
          <w:iCs/>
          <w:sz w:val="24"/>
          <w:szCs w:val="24"/>
        </w:rPr>
        <w:t>Low Emissions Technology Statement</w:t>
      </w:r>
      <w:r>
        <w:rPr>
          <w:rFonts w:ascii="Times New Roman" w:hAnsi="Times New Roman"/>
          <w:iCs/>
          <w:sz w:val="24"/>
          <w:szCs w:val="24"/>
        </w:rPr>
        <w:t xml:space="preserve"> (the Statement) in the </w:t>
      </w:r>
      <w:r w:rsidRPr="00454854">
        <w:rPr>
          <w:rFonts w:ascii="Times New Roman" w:hAnsi="Times New Roman"/>
          <w:i/>
          <w:iCs/>
          <w:sz w:val="24"/>
          <w:szCs w:val="24"/>
        </w:rPr>
        <w:t>Technology Investment Roadmap</w:t>
      </w:r>
      <w:r w:rsidRPr="00E566F7">
        <w:rPr>
          <w:rFonts w:ascii="Times New Roman" w:hAnsi="Times New Roman"/>
          <w:iCs/>
          <w:sz w:val="24"/>
          <w:szCs w:val="24"/>
        </w:rPr>
        <w:t>. Reaching this goal will require a focus on scaling up quickly and cost effectively. By achieving scale, fixed expenditure can be spread over larger volumes of supply, lowering hydrogen costs and unlocking new sources of demand.</w:t>
      </w:r>
      <w:r>
        <w:rPr>
          <w:rFonts w:ascii="Times New Roman" w:hAnsi="Times New Roman"/>
          <w:iCs/>
          <w:sz w:val="24"/>
          <w:szCs w:val="24"/>
        </w:rPr>
        <w:t xml:space="preserve"> The Statement, which was prepared with advice from the Ministerial Reference Panel chaired by Australia’s Chief Scientist, Dr Alan Finkel AO, is available at </w:t>
      </w:r>
      <w:r w:rsidRPr="00454854">
        <w:rPr>
          <w:rFonts w:ascii="Times New Roman" w:hAnsi="Times New Roman"/>
          <w:iCs/>
          <w:sz w:val="24"/>
          <w:szCs w:val="24"/>
          <w:u w:val="single"/>
        </w:rPr>
        <w:t>https://www.industry.gov.au/data-and-publications/technology-investment-roadmap-first-low-emissions-technology-statement-2020</w:t>
      </w:r>
      <w:r>
        <w:rPr>
          <w:rFonts w:ascii="Times New Roman" w:hAnsi="Times New Roman"/>
          <w:iCs/>
          <w:sz w:val="24"/>
          <w:szCs w:val="24"/>
        </w:rPr>
        <w:t>.</w:t>
      </w:r>
    </w:p>
    <w:p w14:paraId="6C908319" w14:textId="77777777" w:rsidR="007048FD" w:rsidRDefault="007048FD" w:rsidP="007048FD">
      <w:pPr>
        <w:rPr>
          <w:rFonts w:ascii="Times New Roman" w:hAnsi="Times New Roman"/>
          <w:iCs/>
          <w:sz w:val="24"/>
          <w:szCs w:val="24"/>
        </w:rPr>
      </w:pPr>
    </w:p>
    <w:p w14:paraId="7F0259E1" w14:textId="77777777" w:rsidR="007048FD" w:rsidRPr="008070D2" w:rsidRDefault="007048FD" w:rsidP="007048FD">
      <w:pPr>
        <w:rPr>
          <w:rFonts w:ascii="Times New Roman" w:hAnsi="Times New Roman"/>
          <w:iCs/>
          <w:sz w:val="24"/>
          <w:szCs w:val="24"/>
        </w:rPr>
      </w:pPr>
      <w:r w:rsidRPr="008070D2">
        <w:rPr>
          <w:rFonts w:ascii="Times New Roman" w:hAnsi="Times New Roman"/>
          <w:iCs/>
          <w:sz w:val="24"/>
          <w:szCs w:val="24"/>
        </w:rPr>
        <w:t>The</w:t>
      </w:r>
      <w:r>
        <w:rPr>
          <w:rFonts w:ascii="Times New Roman" w:hAnsi="Times New Roman"/>
          <w:iCs/>
          <w:sz w:val="24"/>
          <w:szCs w:val="24"/>
        </w:rPr>
        <w:t xml:space="preserve"> program</w:t>
      </w:r>
      <w:r w:rsidRPr="008070D2">
        <w:rPr>
          <w:rFonts w:ascii="Times New Roman" w:hAnsi="Times New Roman"/>
          <w:iCs/>
          <w:sz w:val="24"/>
          <w:szCs w:val="24"/>
        </w:rPr>
        <w:t xml:space="preserve"> will support </w:t>
      </w:r>
      <w:r>
        <w:rPr>
          <w:rFonts w:ascii="Times New Roman" w:hAnsi="Times New Roman"/>
          <w:iCs/>
          <w:sz w:val="24"/>
          <w:szCs w:val="24"/>
        </w:rPr>
        <w:t xml:space="preserve">the following </w:t>
      </w:r>
      <w:r w:rsidRPr="008070D2">
        <w:rPr>
          <w:rFonts w:ascii="Times New Roman" w:hAnsi="Times New Roman"/>
          <w:iCs/>
          <w:sz w:val="24"/>
          <w:szCs w:val="24"/>
        </w:rPr>
        <w:t xml:space="preserve">activities: </w:t>
      </w:r>
    </w:p>
    <w:p w14:paraId="183EFA10" w14:textId="77777777" w:rsidR="007048FD" w:rsidRPr="008070D2" w:rsidRDefault="007048FD" w:rsidP="007048FD">
      <w:pPr>
        <w:pStyle w:val="ListParagraph"/>
        <w:numPr>
          <w:ilvl w:val="0"/>
          <w:numId w:val="19"/>
        </w:numPr>
        <w:ind w:right="57"/>
        <w:contextualSpacing w:val="0"/>
        <w:rPr>
          <w:rFonts w:cs="Times New Roman"/>
        </w:rPr>
      </w:pPr>
      <w:r>
        <w:rPr>
          <w:rFonts w:cs="Times New Roman"/>
        </w:rPr>
        <w:t xml:space="preserve">international </w:t>
      </w:r>
      <w:r w:rsidRPr="008070D2">
        <w:rPr>
          <w:rFonts w:cs="Times New Roman"/>
        </w:rPr>
        <w:t xml:space="preserve">research and development </w:t>
      </w:r>
      <w:r>
        <w:rPr>
          <w:rFonts w:cs="Times New Roman"/>
        </w:rPr>
        <w:t>relevant to hydrogen technologies, hydrogen industry expansion and export supply chains</w:t>
      </w:r>
      <w:r w:rsidRPr="008070D2">
        <w:rPr>
          <w:rFonts w:cs="Times New Roman"/>
        </w:rPr>
        <w:t xml:space="preserve"> to stimulate research connections, collaboration and knowledge sharing; </w:t>
      </w:r>
    </w:p>
    <w:p w14:paraId="430BEBE3" w14:textId="77777777" w:rsidR="007048FD" w:rsidRPr="008070D2" w:rsidRDefault="007048FD" w:rsidP="007048FD">
      <w:pPr>
        <w:pStyle w:val="ListParagraph"/>
        <w:numPr>
          <w:ilvl w:val="0"/>
          <w:numId w:val="19"/>
        </w:numPr>
        <w:ind w:right="57"/>
        <w:contextualSpacing w:val="0"/>
        <w:rPr>
          <w:rFonts w:cs="Times New Roman"/>
        </w:rPr>
      </w:pPr>
      <w:r w:rsidRPr="008070D2">
        <w:rPr>
          <w:rFonts w:cs="Times New Roman"/>
        </w:rPr>
        <w:t>pilots, trials and demonstrations of the production, transport, storage, transformation and use of hydrogen to stimulate industry growth and accelerate its market uptake;</w:t>
      </w:r>
    </w:p>
    <w:p w14:paraId="3B654685" w14:textId="77777777" w:rsidR="007048FD" w:rsidRPr="008070D2" w:rsidRDefault="007048FD" w:rsidP="007048FD">
      <w:pPr>
        <w:pStyle w:val="ListParagraph"/>
        <w:numPr>
          <w:ilvl w:val="0"/>
          <w:numId w:val="19"/>
        </w:numPr>
        <w:ind w:right="57"/>
        <w:contextualSpacing w:val="0"/>
        <w:rPr>
          <w:rFonts w:cs="Times New Roman"/>
        </w:rPr>
      </w:pPr>
      <w:r w:rsidRPr="008070D2">
        <w:rPr>
          <w:rFonts w:cs="Times New Roman"/>
        </w:rPr>
        <w:t>supply chain feasibility studies for supply of hydrogen to emerging hydrogen markets;</w:t>
      </w:r>
    </w:p>
    <w:p w14:paraId="374F3B1A" w14:textId="77777777" w:rsidR="007048FD" w:rsidRPr="008070D2" w:rsidRDefault="007048FD" w:rsidP="007048FD">
      <w:pPr>
        <w:pStyle w:val="ListParagraph"/>
        <w:numPr>
          <w:ilvl w:val="0"/>
          <w:numId w:val="19"/>
        </w:numPr>
        <w:ind w:right="57"/>
        <w:contextualSpacing w:val="0"/>
        <w:rPr>
          <w:rFonts w:cs="Times New Roman"/>
        </w:rPr>
      </w:pPr>
      <w:r w:rsidRPr="008070D2">
        <w:rPr>
          <w:rFonts w:cs="Times New Roman"/>
        </w:rPr>
        <w:t>the creation of a regional hub, which will stimulate domestic demand and advance the development of international supply chains with at least one key hydrogen bilateral trading partner; and</w:t>
      </w:r>
    </w:p>
    <w:p w14:paraId="759B25AA" w14:textId="77777777" w:rsidR="007048FD" w:rsidRPr="008070D2" w:rsidRDefault="007048FD" w:rsidP="007048FD">
      <w:pPr>
        <w:pStyle w:val="ListParagraph"/>
        <w:numPr>
          <w:ilvl w:val="0"/>
          <w:numId w:val="19"/>
        </w:numPr>
        <w:ind w:right="57"/>
        <w:contextualSpacing w:val="0"/>
        <w:rPr>
          <w:rFonts w:cs="Times New Roman"/>
        </w:rPr>
      </w:pPr>
      <w:r w:rsidRPr="008070D2">
        <w:rPr>
          <w:rFonts w:cs="Times New Roman"/>
        </w:rPr>
        <w:t xml:space="preserve">training for emergency services personnel to ensure safety for industry development. </w:t>
      </w:r>
    </w:p>
    <w:p w14:paraId="5C00E710" w14:textId="77777777" w:rsidR="007048FD" w:rsidRDefault="007048FD" w:rsidP="007048FD">
      <w:pPr>
        <w:rPr>
          <w:rFonts w:ascii="Times New Roman" w:hAnsi="Times New Roman"/>
          <w:iCs/>
          <w:sz w:val="24"/>
          <w:szCs w:val="24"/>
        </w:rPr>
      </w:pPr>
    </w:p>
    <w:p w14:paraId="29AD37D7" w14:textId="77777777" w:rsidR="007048FD" w:rsidRDefault="007048FD" w:rsidP="007048FD">
      <w:pPr>
        <w:rPr>
          <w:rFonts w:ascii="Times New Roman" w:hAnsi="Times New Roman"/>
          <w:iCs/>
          <w:sz w:val="24"/>
          <w:szCs w:val="24"/>
        </w:rPr>
      </w:pPr>
      <w:r>
        <w:rPr>
          <w:rFonts w:ascii="Times New Roman" w:hAnsi="Times New Roman"/>
          <w:iCs/>
          <w:sz w:val="24"/>
          <w:szCs w:val="24"/>
        </w:rPr>
        <w:t xml:space="preserve">These activities will support industry development along the supply chain and complement funding provided to the industry </w:t>
      </w:r>
      <w:r w:rsidRPr="008070D2">
        <w:rPr>
          <w:rFonts w:ascii="Times New Roman" w:hAnsi="Times New Roman"/>
          <w:iCs/>
          <w:sz w:val="24"/>
          <w:szCs w:val="24"/>
        </w:rPr>
        <w:t>to support commercial</w:t>
      </w:r>
      <w:r>
        <w:rPr>
          <w:rFonts w:ascii="Times New Roman" w:hAnsi="Times New Roman"/>
          <w:iCs/>
          <w:sz w:val="24"/>
          <w:szCs w:val="24"/>
        </w:rPr>
        <w:t xml:space="preserve"> </w:t>
      </w:r>
      <w:r w:rsidRPr="008070D2">
        <w:rPr>
          <w:rFonts w:ascii="Times New Roman" w:hAnsi="Times New Roman"/>
          <w:iCs/>
          <w:sz w:val="24"/>
          <w:szCs w:val="24"/>
        </w:rPr>
        <w:t xml:space="preserve">scale deployment of renewable hydrogen production in Australia by the Australian Renewable Energy Agency and the Clean Energy Finance Corporation.  </w:t>
      </w:r>
    </w:p>
    <w:p w14:paraId="75440393" w14:textId="77777777" w:rsidR="007048FD" w:rsidRDefault="007048FD" w:rsidP="007048FD">
      <w:pPr>
        <w:rPr>
          <w:rFonts w:ascii="Times New Roman" w:hAnsi="Times New Roman"/>
          <w:iCs/>
          <w:sz w:val="24"/>
          <w:szCs w:val="24"/>
        </w:rPr>
      </w:pPr>
    </w:p>
    <w:p w14:paraId="4D4A21C0" w14:textId="77777777" w:rsidR="007048FD" w:rsidRDefault="007048FD" w:rsidP="007048FD">
      <w:pPr>
        <w:rPr>
          <w:rFonts w:ascii="Times New Roman" w:hAnsi="Times New Roman"/>
          <w:iCs/>
          <w:sz w:val="24"/>
          <w:szCs w:val="24"/>
        </w:rPr>
      </w:pPr>
      <w:r w:rsidRPr="009A080E">
        <w:rPr>
          <w:rFonts w:ascii="Times New Roman" w:hAnsi="Times New Roman"/>
          <w:iCs/>
          <w:sz w:val="24"/>
          <w:szCs w:val="24"/>
        </w:rPr>
        <w:t xml:space="preserve">The program will offer funding </w:t>
      </w:r>
      <w:r>
        <w:rPr>
          <w:rFonts w:ascii="Times New Roman" w:hAnsi="Times New Roman"/>
          <w:iCs/>
          <w:sz w:val="24"/>
          <w:szCs w:val="24"/>
        </w:rPr>
        <w:t xml:space="preserve">for the hub project, research collaborations and supply chain studies </w:t>
      </w:r>
      <w:r w:rsidRPr="009A080E">
        <w:rPr>
          <w:rFonts w:ascii="Times New Roman" w:hAnsi="Times New Roman"/>
          <w:iCs/>
          <w:sz w:val="24"/>
          <w:szCs w:val="24"/>
        </w:rPr>
        <w:t xml:space="preserve">through </w:t>
      </w:r>
      <w:r>
        <w:rPr>
          <w:rFonts w:ascii="Times New Roman" w:hAnsi="Times New Roman"/>
          <w:iCs/>
          <w:sz w:val="24"/>
          <w:szCs w:val="24"/>
        </w:rPr>
        <w:t>open competitive grant</w:t>
      </w:r>
      <w:r w:rsidRPr="009A080E">
        <w:rPr>
          <w:rFonts w:ascii="Times New Roman" w:hAnsi="Times New Roman"/>
          <w:iCs/>
          <w:sz w:val="24"/>
          <w:szCs w:val="24"/>
        </w:rPr>
        <w:t xml:space="preserve"> processes </w:t>
      </w:r>
      <w:r>
        <w:rPr>
          <w:rFonts w:ascii="Times New Roman" w:hAnsi="Times New Roman"/>
          <w:iCs/>
          <w:sz w:val="24"/>
          <w:szCs w:val="24"/>
        </w:rPr>
        <w:t xml:space="preserve">which will be </w:t>
      </w:r>
      <w:r w:rsidRPr="009A080E">
        <w:rPr>
          <w:rFonts w:ascii="Times New Roman" w:hAnsi="Times New Roman"/>
          <w:iCs/>
          <w:sz w:val="24"/>
          <w:szCs w:val="24"/>
        </w:rPr>
        <w:t>delivered</w:t>
      </w:r>
      <w:r>
        <w:rPr>
          <w:rFonts w:ascii="Times New Roman" w:hAnsi="Times New Roman"/>
          <w:iCs/>
          <w:sz w:val="24"/>
          <w:szCs w:val="24"/>
        </w:rPr>
        <w:t xml:space="preserve"> by the department, mostly </w:t>
      </w:r>
      <w:r w:rsidRPr="009A080E">
        <w:rPr>
          <w:rFonts w:ascii="Times New Roman" w:hAnsi="Times New Roman"/>
          <w:iCs/>
          <w:sz w:val="24"/>
          <w:szCs w:val="24"/>
        </w:rPr>
        <w:t>through the Business Grants Hub</w:t>
      </w:r>
      <w:r>
        <w:rPr>
          <w:rFonts w:ascii="Times New Roman" w:hAnsi="Times New Roman"/>
          <w:iCs/>
          <w:sz w:val="24"/>
          <w:szCs w:val="24"/>
        </w:rPr>
        <w:t xml:space="preserve"> which is also part of the</w:t>
      </w:r>
      <w:r w:rsidRPr="009A080E">
        <w:rPr>
          <w:rFonts w:ascii="Times New Roman" w:hAnsi="Times New Roman"/>
          <w:iCs/>
          <w:sz w:val="24"/>
          <w:szCs w:val="24"/>
        </w:rPr>
        <w:t xml:space="preserve"> </w:t>
      </w:r>
      <w:r>
        <w:rPr>
          <w:rFonts w:ascii="Times New Roman" w:hAnsi="Times New Roman"/>
          <w:iCs/>
          <w:sz w:val="24"/>
          <w:szCs w:val="24"/>
        </w:rPr>
        <w:t>d</w:t>
      </w:r>
      <w:r w:rsidRPr="009A080E">
        <w:rPr>
          <w:rFonts w:ascii="Times New Roman" w:hAnsi="Times New Roman"/>
          <w:iCs/>
          <w:sz w:val="24"/>
          <w:szCs w:val="24"/>
        </w:rPr>
        <w:t>epartment</w:t>
      </w:r>
      <w:r>
        <w:rPr>
          <w:rFonts w:ascii="Times New Roman" w:hAnsi="Times New Roman"/>
          <w:iCs/>
          <w:sz w:val="24"/>
          <w:szCs w:val="24"/>
        </w:rPr>
        <w:t xml:space="preserve">, in accordance with the Commonwealth resource management framework, including the </w:t>
      </w:r>
      <w:r w:rsidRPr="009C4DA4">
        <w:rPr>
          <w:rFonts w:ascii="Times New Roman" w:hAnsi="Times New Roman"/>
          <w:i/>
          <w:iCs/>
          <w:sz w:val="24"/>
          <w:szCs w:val="24"/>
        </w:rPr>
        <w:t>Public Governance, Performance and Accountability Act 2013</w:t>
      </w:r>
      <w:r>
        <w:rPr>
          <w:rFonts w:ascii="Times New Roman" w:hAnsi="Times New Roman"/>
          <w:iCs/>
          <w:sz w:val="24"/>
          <w:szCs w:val="24"/>
        </w:rPr>
        <w:t xml:space="preserve"> and the </w:t>
      </w:r>
      <w:r w:rsidRPr="009C4DA4">
        <w:rPr>
          <w:rFonts w:ascii="Times New Roman" w:hAnsi="Times New Roman"/>
          <w:i/>
          <w:iCs/>
          <w:sz w:val="24"/>
          <w:szCs w:val="24"/>
        </w:rPr>
        <w:t>Commonwealth Grants Rules and Guidelines 2017</w:t>
      </w:r>
      <w:r>
        <w:rPr>
          <w:rFonts w:ascii="Times New Roman" w:hAnsi="Times New Roman"/>
          <w:iCs/>
          <w:sz w:val="24"/>
          <w:szCs w:val="24"/>
        </w:rPr>
        <w:t>.</w:t>
      </w:r>
    </w:p>
    <w:p w14:paraId="2FFDACA0" w14:textId="77777777" w:rsidR="007048FD" w:rsidRDefault="007048FD" w:rsidP="007048FD">
      <w:pPr>
        <w:rPr>
          <w:rFonts w:ascii="Times New Roman" w:hAnsi="Times New Roman"/>
          <w:iCs/>
          <w:sz w:val="24"/>
          <w:szCs w:val="24"/>
        </w:rPr>
      </w:pPr>
    </w:p>
    <w:p w14:paraId="31D442DA" w14:textId="77777777" w:rsidR="007048FD" w:rsidRDefault="007048FD" w:rsidP="007048FD">
      <w:pPr>
        <w:rPr>
          <w:rFonts w:ascii="Times New Roman" w:hAnsi="Times New Roman"/>
          <w:iCs/>
          <w:sz w:val="24"/>
          <w:szCs w:val="24"/>
        </w:rPr>
      </w:pPr>
      <w:r w:rsidRPr="00FC5072">
        <w:rPr>
          <w:rFonts w:ascii="Times New Roman" w:hAnsi="Times New Roman"/>
          <w:iCs/>
          <w:sz w:val="24"/>
          <w:szCs w:val="24"/>
        </w:rPr>
        <w:t xml:space="preserve">Selection for the hub project </w:t>
      </w:r>
      <w:r>
        <w:rPr>
          <w:rFonts w:ascii="Times New Roman" w:hAnsi="Times New Roman"/>
          <w:iCs/>
          <w:sz w:val="24"/>
          <w:szCs w:val="24"/>
        </w:rPr>
        <w:t xml:space="preserve">and its location </w:t>
      </w:r>
      <w:r w:rsidRPr="00FC5072">
        <w:rPr>
          <w:rFonts w:ascii="Times New Roman" w:hAnsi="Times New Roman"/>
          <w:iCs/>
          <w:sz w:val="24"/>
          <w:szCs w:val="24"/>
        </w:rPr>
        <w:t xml:space="preserve">will follow a competitive expression of interest (EOI) process that calls for an Australian consortium that can meet the requirements of a hub. </w:t>
      </w:r>
      <w:r>
        <w:rPr>
          <w:rFonts w:ascii="Times New Roman" w:hAnsi="Times New Roman"/>
          <w:iCs/>
          <w:sz w:val="24"/>
          <w:szCs w:val="24"/>
        </w:rPr>
        <w:t xml:space="preserve">The consortium will comprise Australian private sector industry organisations that will come together to create anchor hub projects. It will be expected to develop </w:t>
      </w:r>
      <w:r w:rsidRPr="009A080E">
        <w:rPr>
          <w:rFonts w:ascii="Times New Roman" w:hAnsi="Times New Roman"/>
          <w:iCs/>
          <w:sz w:val="24"/>
          <w:szCs w:val="24"/>
        </w:rPr>
        <w:t>a regional hub that will support an international hydrogen supply chain with at least one partner country</w:t>
      </w:r>
      <w:r>
        <w:rPr>
          <w:rFonts w:ascii="Times New Roman" w:hAnsi="Times New Roman"/>
          <w:iCs/>
          <w:sz w:val="24"/>
          <w:szCs w:val="24"/>
        </w:rPr>
        <w:t xml:space="preserve">. </w:t>
      </w:r>
      <w:r w:rsidRPr="009A080E">
        <w:rPr>
          <w:rFonts w:ascii="Times New Roman" w:hAnsi="Times New Roman"/>
          <w:iCs/>
          <w:sz w:val="24"/>
          <w:szCs w:val="24"/>
        </w:rPr>
        <w:t xml:space="preserve">The selection method for </w:t>
      </w:r>
      <w:r>
        <w:rPr>
          <w:rFonts w:ascii="Times New Roman" w:hAnsi="Times New Roman"/>
          <w:iCs/>
          <w:sz w:val="24"/>
          <w:szCs w:val="24"/>
        </w:rPr>
        <w:t>one or more</w:t>
      </w:r>
      <w:r w:rsidRPr="009A080E">
        <w:rPr>
          <w:rFonts w:ascii="Times New Roman" w:hAnsi="Times New Roman"/>
          <w:iCs/>
          <w:sz w:val="24"/>
          <w:szCs w:val="24"/>
        </w:rPr>
        <w:t xml:space="preserve"> partner countr</w:t>
      </w:r>
      <w:r>
        <w:rPr>
          <w:rFonts w:ascii="Times New Roman" w:hAnsi="Times New Roman"/>
          <w:iCs/>
          <w:sz w:val="24"/>
          <w:szCs w:val="24"/>
        </w:rPr>
        <w:t>ies</w:t>
      </w:r>
      <w:r w:rsidRPr="009A080E">
        <w:rPr>
          <w:rFonts w:ascii="Times New Roman" w:hAnsi="Times New Roman"/>
          <w:iCs/>
          <w:sz w:val="24"/>
          <w:szCs w:val="24"/>
        </w:rPr>
        <w:t xml:space="preserve"> will be determined following </w:t>
      </w:r>
      <w:r>
        <w:rPr>
          <w:rFonts w:ascii="Times New Roman" w:hAnsi="Times New Roman"/>
          <w:iCs/>
          <w:sz w:val="24"/>
          <w:szCs w:val="24"/>
        </w:rPr>
        <w:t xml:space="preserve">the </w:t>
      </w:r>
      <w:r w:rsidRPr="009A080E">
        <w:rPr>
          <w:rFonts w:ascii="Times New Roman" w:hAnsi="Times New Roman"/>
          <w:iCs/>
          <w:sz w:val="24"/>
          <w:szCs w:val="24"/>
        </w:rPr>
        <w:t xml:space="preserve">program design. </w:t>
      </w:r>
    </w:p>
    <w:p w14:paraId="37157F09" w14:textId="77777777" w:rsidR="007048FD" w:rsidRDefault="007048FD" w:rsidP="007048FD">
      <w:pPr>
        <w:rPr>
          <w:rFonts w:ascii="Times New Roman" w:hAnsi="Times New Roman"/>
          <w:iCs/>
          <w:sz w:val="24"/>
          <w:szCs w:val="24"/>
        </w:rPr>
      </w:pPr>
    </w:p>
    <w:p w14:paraId="4EB74DF1" w14:textId="77777777" w:rsidR="007048FD" w:rsidRPr="00FC5072" w:rsidRDefault="007048FD" w:rsidP="007048FD">
      <w:pPr>
        <w:rPr>
          <w:rFonts w:ascii="Times New Roman" w:hAnsi="Times New Roman"/>
          <w:iCs/>
          <w:sz w:val="24"/>
          <w:szCs w:val="24"/>
        </w:rPr>
      </w:pPr>
      <w:r w:rsidRPr="00FC5072">
        <w:rPr>
          <w:rFonts w:ascii="Times New Roman" w:hAnsi="Times New Roman"/>
          <w:iCs/>
          <w:sz w:val="24"/>
          <w:szCs w:val="24"/>
        </w:rPr>
        <w:t>From the EOI, a shortlist will be developed of suitable applicants, wh</w:t>
      </w:r>
      <w:r>
        <w:rPr>
          <w:rFonts w:ascii="Times New Roman" w:hAnsi="Times New Roman"/>
          <w:iCs/>
          <w:sz w:val="24"/>
          <w:szCs w:val="24"/>
        </w:rPr>
        <w:t>ich</w:t>
      </w:r>
      <w:r w:rsidRPr="00FC5072">
        <w:rPr>
          <w:rFonts w:ascii="Times New Roman" w:hAnsi="Times New Roman"/>
          <w:iCs/>
          <w:sz w:val="24"/>
          <w:szCs w:val="24"/>
        </w:rPr>
        <w:t xml:space="preserve"> will be invited to submit a full application before proceeding to final selection. The shortlist will be determined by a panel made up of </w:t>
      </w:r>
      <w:r>
        <w:rPr>
          <w:rFonts w:ascii="Times New Roman" w:hAnsi="Times New Roman"/>
          <w:iCs/>
          <w:sz w:val="24"/>
          <w:szCs w:val="24"/>
        </w:rPr>
        <w:t>departmental officials</w:t>
      </w:r>
      <w:r w:rsidRPr="00FC5072">
        <w:rPr>
          <w:rFonts w:ascii="Times New Roman" w:hAnsi="Times New Roman"/>
          <w:iCs/>
          <w:sz w:val="24"/>
          <w:szCs w:val="24"/>
        </w:rPr>
        <w:t xml:space="preserve">. </w:t>
      </w:r>
      <w:r>
        <w:rPr>
          <w:rFonts w:ascii="Times New Roman" w:hAnsi="Times New Roman"/>
          <w:iCs/>
          <w:sz w:val="24"/>
          <w:szCs w:val="24"/>
        </w:rPr>
        <w:t xml:space="preserve">Final selection and funding decisions in relation to the hub project will be made by the Minister for Energy and Emissions Reduction. </w:t>
      </w:r>
      <w:r w:rsidRPr="00FC5072">
        <w:rPr>
          <w:rFonts w:ascii="Times New Roman" w:hAnsi="Times New Roman"/>
          <w:iCs/>
          <w:sz w:val="24"/>
          <w:szCs w:val="24"/>
        </w:rPr>
        <w:t xml:space="preserve">Grant </w:t>
      </w:r>
      <w:r>
        <w:rPr>
          <w:rFonts w:ascii="Times New Roman" w:hAnsi="Times New Roman"/>
          <w:iCs/>
          <w:sz w:val="24"/>
          <w:szCs w:val="24"/>
        </w:rPr>
        <w:t>opportunity g</w:t>
      </w:r>
      <w:r w:rsidRPr="00FC5072">
        <w:rPr>
          <w:rFonts w:ascii="Times New Roman" w:hAnsi="Times New Roman"/>
          <w:iCs/>
          <w:sz w:val="24"/>
          <w:szCs w:val="24"/>
        </w:rPr>
        <w:t xml:space="preserve">uidelines </w:t>
      </w:r>
      <w:r>
        <w:rPr>
          <w:rFonts w:ascii="Times New Roman" w:hAnsi="Times New Roman"/>
          <w:iCs/>
          <w:sz w:val="24"/>
          <w:szCs w:val="24"/>
        </w:rPr>
        <w:t xml:space="preserve">and information about successful applicants </w:t>
      </w:r>
      <w:r w:rsidRPr="00FC5072">
        <w:rPr>
          <w:rFonts w:ascii="Times New Roman" w:hAnsi="Times New Roman"/>
          <w:iCs/>
          <w:sz w:val="24"/>
          <w:szCs w:val="24"/>
        </w:rPr>
        <w:t xml:space="preserve">will be made available </w:t>
      </w:r>
      <w:r>
        <w:rPr>
          <w:rFonts w:ascii="Times New Roman" w:hAnsi="Times New Roman"/>
          <w:iCs/>
          <w:sz w:val="24"/>
          <w:szCs w:val="24"/>
        </w:rPr>
        <w:t xml:space="preserve">on GrantConnect at </w:t>
      </w:r>
      <w:r w:rsidRPr="00751E37">
        <w:rPr>
          <w:rFonts w:ascii="Times New Roman" w:hAnsi="Times New Roman"/>
          <w:iCs/>
          <w:sz w:val="24"/>
          <w:szCs w:val="24"/>
          <w:u w:val="single"/>
        </w:rPr>
        <w:t>www.grants.gov.au</w:t>
      </w:r>
      <w:r>
        <w:rPr>
          <w:rFonts w:ascii="Times New Roman" w:hAnsi="Times New Roman"/>
          <w:iCs/>
          <w:sz w:val="24"/>
          <w:szCs w:val="24"/>
        </w:rPr>
        <w:t>, and the grant process will be administered by the Business Grants Hub in accordance with the requirements under the CGRGs</w:t>
      </w:r>
      <w:r w:rsidRPr="00FC5072">
        <w:rPr>
          <w:rFonts w:ascii="Times New Roman" w:hAnsi="Times New Roman"/>
          <w:iCs/>
          <w:sz w:val="24"/>
          <w:szCs w:val="24"/>
        </w:rPr>
        <w:t xml:space="preserve">. </w:t>
      </w:r>
    </w:p>
    <w:p w14:paraId="6935EFF0" w14:textId="77777777" w:rsidR="007048FD" w:rsidRDefault="007048FD" w:rsidP="007048FD">
      <w:pPr>
        <w:rPr>
          <w:rFonts w:ascii="Times New Roman" w:hAnsi="Times New Roman"/>
          <w:iCs/>
          <w:sz w:val="24"/>
          <w:szCs w:val="24"/>
        </w:rPr>
      </w:pPr>
    </w:p>
    <w:p w14:paraId="5542BEC6" w14:textId="77777777" w:rsidR="007048FD" w:rsidRDefault="007048FD" w:rsidP="007048FD">
      <w:pPr>
        <w:rPr>
          <w:rFonts w:ascii="Times New Roman" w:hAnsi="Times New Roman"/>
          <w:iCs/>
          <w:sz w:val="24"/>
          <w:szCs w:val="24"/>
        </w:rPr>
      </w:pPr>
      <w:r>
        <w:rPr>
          <w:rFonts w:ascii="Times New Roman" w:hAnsi="Times New Roman"/>
          <w:iCs/>
          <w:sz w:val="24"/>
          <w:szCs w:val="24"/>
        </w:rPr>
        <w:t xml:space="preserve">Grant funding for research </w:t>
      </w:r>
      <w:r w:rsidRPr="009A080E">
        <w:rPr>
          <w:rFonts w:ascii="Times New Roman" w:hAnsi="Times New Roman"/>
          <w:iCs/>
          <w:sz w:val="24"/>
          <w:szCs w:val="24"/>
        </w:rPr>
        <w:t>collaborations will be provided to Australian research institutions who can undertake hydrogen research</w:t>
      </w:r>
      <w:r>
        <w:rPr>
          <w:rFonts w:ascii="Times New Roman" w:hAnsi="Times New Roman"/>
          <w:iCs/>
          <w:sz w:val="24"/>
          <w:szCs w:val="24"/>
        </w:rPr>
        <w:t xml:space="preserve"> </w:t>
      </w:r>
      <w:r w:rsidRPr="008B68A9">
        <w:rPr>
          <w:rFonts w:ascii="Times New Roman" w:hAnsi="Times New Roman"/>
          <w:iCs/>
          <w:sz w:val="24"/>
          <w:szCs w:val="24"/>
        </w:rPr>
        <w:t xml:space="preserve">through an open competitive selection process </w:t>
      </w:r>
      <w:r w:rsidRPr="00751E37">
        <w:rPr>
          <w:rFonts w:ascii="Times New Roman" w:hAnsi="Times New Roman"/>
          <w:iCs/>
          <w:sz w:val="24"/>
          <w:szCs w:val="24"/>
        </w:rPr>
        <w:t>administered by the Business Grants Hub</w:t>
      </w:r>
      <w:r w:rsidRPr="009A080E">
        <w:rPr>
          <w:rFonts w:ascii="Times New Roman" w:hAnsi="Times New Roman"/>
          <w:iCs/>
          <w:sz w:val="24"/>
          <w:szCs w:val="24"/>
        </w:rPr>
        <w:t xml:space="preserve">. The selection </w:t>
      </w:r>
      <w:r>
        <w:rPr>
          <w:rFonts w:ascii="Times New Roman" w:hAnsi="Times New Roman"/>
          <w:iCs/>
          <w:sz w:val="24"/>
          <w:szCs w:val="24"/>
        </w:rPr>
        <w:t>method for</w:t>
      </w:r>
      <w:r w:rsidRPr="009A080E">
        <w:rPr>
          <w:rFonts w:ascii="Times New Roman" w:hAnsi="Times New Roman"/>
          <w:iCs/>
          <w:sz w:val="24"/>
          <w:szCs w:val="24"/>
        </w:rPr>
        <w:t xml:space="preserve"> international research collaboration partners w</w:t>
      </w:r>
      <w:r>
        <w:rPr>
          <w:rFonts w:ascii="Times New Roman" w:hAnsi="Times New Roman"/>
          <w:iCs/>
          <w:sz w:val="24"/>
          <w:szCs w:val="24"/>
        </w:rPr>
        <w:t>ill</w:t>
      </w:r>
      <w:r w:rsidRPr="009A080E">
        <w:rPr>
          <w:rFonts w:ascii="Times New Roman" w:hAnsi="Times New Roman"/>
          <w:iCs/>
          <w:sz w:val="24"/>
          <w:szCs w:val="24"/>
        </w:rPr>
        <w:t xml:space="preserve"> be determined following </w:t>
      </w:r>
      <w:r>
        <w:rPr>
          <w:rFonts w:ascii="Times New Roman" w:hAnsi="Times New Roman"/>
          <w:iCs/>
          <w:sz w:val="24"/>
          <w:szCs w:val="24"/>
        </w:rPr>
        <w:t xml:space="preserve">the </w:t>
      </w:r>
      <w:r w:rsidRPr="009A080E">
        <w:rPr>
          <w:rFonts w:ascii="Times New Roman" w:hAnsi="Times New Roman"/>
          <w:iCs/>
          <w:sz w:val="24"/>
          <w:szCs w:val="24"/>
        </w:rPr>
        <w:t>program design, based on Australia’s strategic interests for international hydrogen trade.</w:t>
      </w:r>
      <w:r>
        <w:rPr>
          <w:rFonts w:ascii="Times New Roman" w:hAnsi="Times New Roman"/>
          <w:iCs/>
          <w:sz w:val="24"/>
          <w:szCs w:val="24"/>
        </w:rPr>
        <w:t xml:space="preserve"> Decisions in relation to grant funding for research collaborations will be made by a delegate of the Secretary of the department.</w:t>
      </w:r>
    </w:p>
    <w:p w14:paraId="7C9DA40B" w14:textId="77777777" w:rsidR="007048FD" w:rsidRDefault="007048FD" w:rsidP="007048FD">
      <w:pPr>
        <w:rPr>
          <w:rFonts w:ascii="Times New Roman" w:hAnsi="Times New Roman"/>
          <w:iCs/>
          <w:sz w:val="24"/>
          <w:szCs w:val="24"/>
        </w:rPr>
      </w:pPr>
    </w:p>
    <w:p w14:paraId="46AB2C56" w14:textId="77777777" w:rsidR="007048FD" w:rsidRDefault="007048FD" w:rsidP="007048FD">
      <w:pPr>
        <w:rPr>
          <w:rFonts w:ascii="Times New Roman" w:hAnsi="Times New Roman"/>
          <w:iCs/>
          <w:sz w:val="24"/>
          <w:szCs w:val="24"/>
        </w:rPr>
      </w:pPr>
      <w:r>
        <w:rPr>
          <w:rFonts w:ascii="Times New Roman" w:hAnsi="Times New Roman"/>
          <w:iCs/>
          <w:sz w:val="24"/>
          <w:szCs w:val="24"/>
        </w:rPr>
        <w:t>Grant f</w:t>
      </w:r>
      <w:r w:rsidRPr="009A080E">
        <w:rPr>
          <w:rFonts w:ascii="Times New Roman" w:hAnsi="Times New Roman"/>
          <w:iCs/>
          <w:sz w:val="24"/>
          <w:szCs w:val="24"/>
        </w:rPr>
        <w:t>unding for supply chain feasibility studies will be provided to a consortium comprising Australian industry and research partners that will form the Australian partners for an international study with a partner country.</w:t>
      </w:r>
      <w:r>
        <w:rPr>
          <w:rFonts w:ascii="Times New Roman" w:hAnsi="Times New Roman"/>
          <w:iCs/>
          <w:sz w:val="24"/>
          <w:szCs w:val="24"/>
        </w:rPr>
        <w:t xml:space="preserve"> </w:t>
      </w:r>
      <w:r w:rsidRPr="008B68A9">
        <w:rPr>
          <w:rFonts w:ascii="Times New Roman" w:hAnsi="Times New Roman"/>
          <w:iCs/>
          <w:sz w:val="24"/>
          <w:szCs w:val="24"/>
        </w:rPr>
        <w:t xml:space="preserve">The selection </w:t>
      </w:r>
      <w:r>
        <w:rPr>
          <w:rFonts w:ascii="Times New Roman" w:hAnsi="Times New Roman"/>
          <w:iCs/>
          <w:sz w:val="24"/>
          <w:szCs w:val="24"/>
        </w:rPr>
        <w:t xml:space="preserve">of grant recipients </w:t>
      </w:r>
      <w:r w:rsidRPr="008B68A9">
        <w:rPr>
          <w:rFonts w:ascii="Times New Roman" w:hAnsi="Times New Roman"/>
          <w:iCs/>
          <w:sz w:val="24"/>
          <w:szCs w:val="24"/>
        </w:rPr>
        <w:t>will be conducted via an open competitive grant process</w:t>
      </w:r>
      <w:r>
        <w:rPr>
          <w:rFonts w:ascii="Times New Roman" w:hAnsi="Times New Roman"/>
          <w:iCs/>
          <w:sz w:val="24"/>
          <w:szCs w:val="24"/>
        </w:rPr>
        <w:t>. Grants for all but one of the studies will be</w:t>
      </w:r>
      <w:r w:rsidRPr="008B68A9">
        <w:rPr>
          <w:rFonts w:ascii="Times New Roman" w:hAnsi="Times New Roman"/>
          <w:iCs/>
          <w:sz w:val="24"/>
          <w:szCs w:val="24"/>
        </w:rPr>
        <w:t xml:space="preserve"> </w:t>
      </w:r>
      <w:r w:rsidRPr="00AA7724">
        <w:rPr>
          <w:rFonts w:ascii="Times New Roman" w:hAnsi="Times New Roman"/>
          <w:iCs/>
          <w:sz w:val="24"/>
          <w:szCs w:val="24"/>
        </w:rPr>
        <w:t>administered by the Business Grants Hub</w:t>
      </w:r>
      <w:r>
        <w:rPr>
          <w:rFonts w:ascii="Times New Roman" w:hAnsi="Times New Roman"/>
          <w:iCs/>
          <w:sz w:val="24"/>
          <w:szCs w:val="24"/>
        </w:rPr>
        <w:t xml:space="preserve"> (</w:t>
      </w:r>
      <w:r w:rsidRPr="00FF1A45">
        <w:rPr>
          <w:rFonts w:ascii="Times New Roman" w:hAnsi="Times New Roman"/>
          <w:iCs/>
          <w:sz w:val="24"/>
          <w:szCs w:val="24"/>
        </w:rPr>
        <w:t>with the one exception to be administered by the department),</w:t>
      </w:r>
      <w:r>
        <w:rPr>
          <w:rFonts w:ascii="Times New Roman" w:hAnsi="Times New Roman"/>
          <w:iCs/>
          <w:sz w:val="24"/>
          <w:szCs w:val="24"/>
        </w:rPr>
        <w:t xml:space="preserve"> and </w:t>
      </w:r>
      <w:r w:rsidRPr="008B68A9">
        <w:rPr>
          <w:rFonts w:ascii="Times New Roman" w:hAnsi="Times New Roman"/>
          <w:iCs/>
          <w:sz w:val="24"/>
          <w:szCs w:val="24"/>
        </w:rPr>
        <w:t>may include the establishment of a cross-agency assessor panel.</w:t>
      </w:r>
      <w:r>
        <w:rPr>
          <w:rFonts w:ascii="Times New Roman" w:hAnsi="Times New Roman"/>
          <w:iCs/>
          <w:sz w:val="24"/>
          <w:szCs w:val="24"/>
        </w:rPr>
        <w:t xml:space="preserve"> Decisions in relation to grant funding for </w:t>
      </w:r>
      <w:r w:rsidRPr="009A080E">
        <w:rPr>
          <w:rFonts w:ascii="Times New Roman" w:hAnsi="Times New Roman"/>
          <w:iCs/>
          <w:sz w:val="24"/>
          <w:szCs w:val="24"/>
        </w:rPr>
        <w:t xml:space="preserve">supply chain feasibility studies </w:t>
      </w:r>
      <w:r>
        <w:rPr>
          <w:rFonts w:ascii="Times New Roman" w:hAnsi="Times New Roman"/>
          <w:iCs/>
          <w:sz w:val="24"/>
          <w:szCs w:val="24"/>
        </w:rPr>
        <w:t xml:space="preserve">will be made by a delegate of the Secretary of the department. </w:t>
      </w:r>
      <w:r w:rsidRPr="00160815">
        <w:rPr>
          <w:rFonts w:ascii="Times New Roman" w:hAnsi="Times New Roman"/>
          <w:iCs/>
          <w:sz w:val="24"/>
          <w:szCs w:val="24"/>
        </w:rPr>
        <w:t xml:space="preserve">Grant opportunity guidelines and information about successful applicants </w:t>
      </w:r>
      <w:r>
        <w:rPr>
          <w:rFonts w:ascii="Times New Roman" w:hAnsi="Times New Roman"/>
          <w:iCs/>
          <w:sz w:val="24"/>
          <w:szCs w:val="24"/>
        </w:rPr>
        <w:t xml:space="preserve">for research collaborations and </w:t>
      </w:r>
      <w:r w:rsidRPr="009A080E">
        <w:rPr>
          <w:rFonts w:ascii="Times New Roman" w:hAnsi="Times New Roman"/>
          <w:iCs/>
          <w:sz w:val="24"/>
          <w:szCs w:val="24"/>
        </w:rPr>
        <w:t xml:space="preserve">supply chain feasibility studies </w:t>
      </w:r>
      <w:r w:rsidRPr="00160815">
        <w:rPr>
          <w:rFonts w:ascii="Times New Roman" w:hAnsi="Times New Roman"/>
          <w:iCs/>
          <w:sz w:val="24"/>
          <w:szCs w:val="24"/>
        </w:rPr>
        <w:t xml:space="preserve">will be made available on GrantConnect at </w:t>
      </w:r>
      <w:r w:rsidRPr="00160815">
        <w:rPr>
          <w:rFonts w:ascii="Times New Roman" w:hAnsi="Times New Roman"/>
          <w:iCs/>
          <w:sz w:val="24"/>
          <w:szCs w:val="24"/>
          <w:u w:val="single"/>
        </w:rPr>
        <w:t>www.grants.gov.au</w:t>
      </w:r>
      <w:r w:rsidRPr="00160815">
        <w:rPr>
          <w:rFonts w:ascii="Times New Roman" w:hAnsi="Times New Roman"/>
          <w:iCs/>
          <w:sz w:val="24"/>
          <w:szCs w:val="24"/>
        </w:rPr>
        <w:t>, in accordance with the requirements under the CGRGs.</w:t>
      </w:r>
      <w:r>
        <w:rPr>
          <w:rFonts w:ascii="Times New Roman" w:hAnsi="Times New Roman"/>
          <w:iCs/>
          <w:sz w:val="24"/>
          <w:szCs w:val="24"/>
        </w:rPr>
        <w:t xml:space="preserve"> </w:t>
      </w:r>
    </w:p>
    <w:p w14:paraId="2FD0C047" w14:textId="77777777" w:rsidR="007048FD" w:rsidRPr="008B68A9" w:rsidRDefault="007048FD" w:rsidP="007048FD">
      <w:pPr>
        <w:rPr>
          <w:rFonts w:ascii="Times New Roman" w:hAnsi="Times New Roman"/>
          <w:iCs/>
          <w:sz w:val="24"/>
          <w:szCs w:val="24"/>
        </w:rPr>
      </w:pPr>
    </w:p>
    <w:p w14:paraId="766D1FE2" w14:textId="77777777" w:rsidR="007048FD" w:rsidRDefault="007048FD" w:rsidP="007048FD">
      <w:pPr>
        <w:rPr>
          <w:rFonts w:ascii="Times New Roman" w:hAnsi="Times New Roman"/>
          <w:iCs/>
          <w:sz w:val="24"/>
          <w:szCs w:val="24"/>
        </w:rPr>
      </w:pPr>
      <w:r>
        <w:rPr>
          <w:rFonts w:ascii="Times New Roman" w:hAnsi="Times New Roman"/>
          <w:iCs/>
          <w:sz w:val="24"/>
          <w:szCs w:val="24"/>
        </w:rPr>
        <w:t xml:space="preserve">Funding will also </w:t>
      </w:r>
      <w:r w:rsidRPr="009A080E">
        <w:rPr>
          <w:rFonts w:ascii="Times New Roman" w:hAnsi="Times New Roman"/>
          <w:iCs/>
          <w:sz w:val="24"/>
          <w:szCs w:val="24"/>
        </w:rPr>
        <w:t xml:space="preserve">be provided to state and territory governments to support </w:t>
      </w:r>
      <w:r>
        <w:rPr>
          <w:rFonts w:ascii="Times New Roman" w:hAnsi="Times New Roman"/>
          <w:iCs/>
          <w:sz w:val="24"/>
          <w:szCs w:val="24"/>
        </w:rPr>
        <w:t xml:space="preserve">safety </w:t>
      </w:r>
      <w:r w:rsidRPr="009A080E">
        <w:rPr>
          <w:rFonts w:ascii="Times New Roman" w:hAnsi="Times New Roman"/>
          <w:iCs/>
          <w:sz w:val="24"/>
          <w:szCs w:val="24"/>
        </w:rPr>
        <w:t>training for their emergency services personnel.</w:t>
      </w:r>
      <w:r>
        <w:rPr>
          <w:rFonts w:ascii="Times New Roman" w:hAnsi="Times New Roman"/>
          <w:iCs/>
          <w:sz w:val="24"/>
          <w:szCs w:val="24"/>
        </w:rPr>
        <w:t xml:space="preserve"> </w:t>
      </w:r>
      <w:r w:rsidRPr="008B68A9">
        <w:rPr>
          <w:rFonts w:ascii="Times New Roman" w:hAnsi="Times New Roman"/>
          <w:iCs/>
          <w:sz w:val="24"/>
          <w:szCs w:val="24"/>
        </w:rPr>
        <w:t xml:space="preserve">Emergency </w:t>
      </w:r>
      <w:r>
        <w:rPr>
          <w:rFonts w:ascii="Times New Roman" w:hAnsi="Times New Roman"/>
          <w:iCs/>
          <w:sz w:val="24"/>
          <w:szCs w:val="24"/>
        </w:rPr>
        <w:t>s</w:t>
      </w:r>
      <w:r w:rsidRPr="008B68A9">
        <w:rPr>
          <w:rFonts w:ascii="Times New Roman" w:hAnsi="Times New Roman"/>
          <w:iCs/>
          <w:sz w:val="24"/>
          <w:szCs w:val="24"/>
        </w:rPr>
        <w:t>ervices bursaries made under the program will be in the form of one-off grant</w:t>
      </w:r>
      <w:r>
        <w:rPr>
          <w:rFonts w:ascii="Times New Roman" w:hAnsi="Times New Roman"/>
          <w:iCs/>
          <w:sz w:val="24"/>
          <w:szCs w:val="24"/>
        </w:rPr>
        <w:t>s</w:t>
      </w:r>
      <w:r w:rsidRPr="008B68A9">
        <w:rPr>
          <w:rFonts w:ascii="Times New Roman" w:hAnsi="Times New Roman"/>
          <w:iCs/>
          <w:sz w:val="24"/>
          <w:szCs w:val="24"/>
        </w:rPr>
        <w:t xml:space="preserve"> either to states</w:t>
      </w:r>
      <w:r>
        <w:rPr>
          <w:rFonts w:ascii="Times New Roman" w:hAnsi="Times New Roman"/>
          <w:iCs/>
          <w:sz w:val="24"/>
          <w:szCs w:val="24"/>
        </w:rPr>
        <w:t xml:space="preserve"> and </w:t>
      </w:r>
      <w:r w:rsidRPr="008B68A9">
        <w:rPr>
          <w:rFonts w:ascii="Times New Roman" w:hAnsi="Times New Roman"/>
          <w:iCs/>
          <w:sz w:val="24"/>
          <w:szCs w:val="24"/>
        </w:rPr>
        <w:t>territories or directly to emergency service</w:t>
      </w:r>
      <w:r>
        <w:rPr>
          <w:rFonts w:ascii="Times New Roman" w:hAnsi="Times New Roman"/>
          <w:iCs/>
          <w:sz w:val="24"/>
          <w:szCs w:val="24"/>
        </w:rPr>
        <w:t>s</w:t>
      </w:r>
      <w:r w:rsidRPr="008B68A9">
        <w:rPr>
          <w:rFonts w:ascii="Times New Roman" w:hAnsi="Times New Roman"/>
          <w:iCs/>
          <w:sz w:val="24"/>
          <w:szCs w:val="24"/>
        </w:rPr>
        <w:t xml:space="preserve"> agencies (police, fire and ambulance) as determined by the relevant state or territory government. The bursa</w:t>
      </w:r>
      <w:r>
        <w:rPr>
          <w:rFonts w:ascii="Times New Roman" w:hAnsi="Times New Roman"/>
          <w:iCs/>
          <w:sz w:val="24"/>
          <w:szCs w:val="24"/>
        </w:rPr>
        <w:t>ry will enable emergency services</w:t>
      </w:r>
      <w:r w:rsidRPr="008B68A9">
        <w:rPr>
          <w:rFonts w:ascii="Times New Roman" w:hAnsi="Times New Roman"/>
          <w:iCs/>
          <w:sz w:val="24"/>
          <w:szCs w:val="24"/>
        </w:rPr>
        <w:t xml:space="preserve"> personnel to travel to the United States of America for training delivered by the Cente</w:t>
      </w:r>
      <w:r>
        <w:rPr>
          <w:rFonts w:ascii="Times New Roman" w:hAnsi="Times New Roman"/>
          <w:iCs/>
          <w:sz w:val="24"/>
          <w:szCs w:val="24"/>
        </w:rPr>
        <w:t>r</w:t>
      </w:r>
      <w:r w:rsidRPr="008B68A9">
        <w:rPr>
          <w:rFonts w:ascii="Times New Roman" w:hAnsi="Times New Roman"/>
          <w:iCs/>
          <w:sz w:val="24"/>
          <w:szCs w:val="24"/>
        </w:rPr>
        <w:t xml:space="preserve"> for Hydrogen Safety. Each state or territory will receive $6</w:t>
      </w:r>
      <w:r>
        <w:rPr>
          <w:rFonts w:ascii="Times New Roman" w:hAnsi="Times New Roman"/>
          <w:iCs/>
          <w:sz w:val="24"/>
          <w:szCs w:val="24"/>
        </w:rPr>
        <w:t>,</w:t>
      </w:r>
      <w:r w:rsidRPr="008B68A9">
        <w:rPr>
          <w:rFonts w:ascii="Times New Roman" w:hAnsi="Times New Roman"/>
          <w:iCs/>
          <w:sz w:val="24"/>
          <w:szCs w:val="24"/>
        </w:rPr>
        <w:t xml:space="preserve">000 per year for </w:t>
      </w:r>
      <w:r>
        <w:rPr>
          <w:rFonts w:ascii="Times New Roman" w:hAnsi="Times New Roman"/>
          <w:iCs/>
          <w:sz w:val="24"/>
          <w:szCs w:val="24"/>
        </w:rPr>
        <w:t xml:space="preserve">two </w:t>
      </w:r>
      <w:r w:rsidRPr="008B68A9">
        <w:rPr>
          <w:rFonts w:ascii="Times New Roman" w:hAnsi="Times New Roman"/>
          <w:iCs/>
          <w:sz w:val="24"/>
          <w:szCs w:val="24"/>
        </w:rPr>
        <w:t xml:space="preserve">nominated people </w:t>
      </w:r>
      <w:r>
        <w:rPr>
          <w:rFonts w:ascii="Times New Roman" w:hAnsi="Times New Roman"/>
          <w:iCs/>
          <w:sz w:val="24"/>
          <w:szCs w:val="24"/>
        </w:rPr>
        <w:t>(</w:t>
      </w:r>
      <w:r w:rsidRPr="008B68A9">
        <w:rPr>
          <w:rFonts w:ascii="Times New Roman" w:hAnsi="Times New Roman"/>
          <w:iCs/>
          <w:sz w:val="24"/>
          <w:szCs w:val="24"/>
        </w:rPr>
        <w:t xml:space="preserve">each </w:t>
      </w:r>
      <w:r>
        <w:rPr>
          <w:rFonts w:ascii="Times New Roman" w:hAnsi="Times New Roman"/>
          <w:iCs/>
          <w:sz w:val="24"/>
          <w:szCs w:val="24"/>
        </w:rPr>
        <w:t xml:space="preserve">person will </w:t>
      </w:r>
      <w:r w:rsidRPr="008B68A9">
        <w:rPr>
          <w:rFonts w:ascii="Times New Roman" w:hAnsi="Times New Roman"/>
          <w:iCs/>
          <w:sz w:val="24"/>
          <w:szCs w:val="24"/>
        </w:rPr>
        <w:t>receive a $3</w:t>
      </w:r>
      <w:r>
        <w:rPr>
          <w:rFonts w:ascii="Times New Roman" w:hAnsi="Times New Roman"/>
          <w:iCs/>
          <w:sz w:val="24"/>
          <w:szCs w:val="24"/>
        </w:rPr>
        <w:t>,</w:t>
      </w:r>
      <w:r w:rsidRPr="008B68A9">
        <w:rPr>
          <w:rFonts w:ascii="Times New Roman" w:hAnsi="Times New Roman"/>
          <w:iCs/>
          <w:sz w:val="24"/>
          <w:szCs w:val="24"/>
        </w:rPr>
        <w:t>000 bursary</w:t>
      </w:r>
      <w:r>
        <w:rPr>
          <w:rFonts w:ascii="Times New Roman" w:hAnsi="Times New Roman"/>
          <w:iCs/>
          <w:sz w:val="24"/>
          <w:szCs w:val="24"/>
        </w:rPr>
        <w:t>)</w:t>
      </w:r>
      <w:r w:rsidRPr="008B68A9">
        <w:rPr>
          <w:rFonts w:ascii="Times New Roman" w:hAnsi="Times New Roman"/>
          <w:iCs/>
          <w:sz w:val="24"/>
          <w:szCs w:val="24"/>
        </w:rPr>
        <w:t xml:space="preserve">. Total expenditure therefore amounts </w:t>
      </w:r>
      <w:r w:rsidRPr="00AA7724">
        <w:rPr>
          <w:rFonts w:ascii="Times New Roman" w:hAnsi="Times New Roman"/>
          <w:iCs/>
          <w:sz w:val="24"/>
          <w:szCs w:val="24"/>
        </w:rPr>
        <w:t xml:space="preserve">to $144,000 for eight jurisdictions for three years from 2020-21. </w:t>
      </w:r>
    </w:p>
    <w:p w14:paraId="536D14DD" w14:textId="77777777" w:rsidR="007048FD" w:rsidRDefault="007048FD" w:rsidP="007048FD">
      <w:pPr>
        <w:rPr>
          <w:rFonts w:ascii="Times New Roman" w:hAnsi="Times New Roman"/>
          <w:iCs/>
          <w:sz w:val="24"/>
          <w:szCs w:val="24"/>
        </w:rPr>
      </w:pPr>
    </w:p>
    <w:p w14:paraId="1AC6548E" w14:textId="77777777" w:rsidR="007048FD" w:rsidRDefault="007048FD" w:rsidP="007048FD">
      <w:pPr>
        <w:rPr>
          <w:rFonts w:ascii="Times New Roman" w:hAnsi="Times New Roman"/>
          <w:iCs/>
          <w:sz w:val="24"/>
          <w:szCs w:val="24"/>
        </w:rPr>
      </w:pPr>
      <w:r w:rsidRPr="008B68A9">
        <w:rPr>
          <w:rFonts w:ascii="Times New Roman" w:hAnsi="Times New Roman"/>
          <w:iCs/>
          <w:sz w:val="24"/>
          <w:szCs w:val="24"/>
        </w:rPr>
        <w:t xml:space="preserve">Emergency </w:t>
      </w:r>
      <w:r>
        <w:rPr>
          <w:rFonts w:ascii="Times New Roman" w:hAnsi="Times New Roman"/>
          <w:iCs/>
          <w:sz w:val="24"/>
          <w:szCs w:val="24"/>
        </w:rPr>
        <w:t>s</w:t>
      </w:r>
      <w:r w:rsidRPr="008B68A9">
        <w:rPr>
          <w:rFonts w:ascii="Times New Roman" w:hAnsi="Times New Roman"/>
          <w:iCs/>
          <w:sz w:val="24"/>
          <w:szCs w:val="24"/>
        </w:rPr>
        <w:t>ervices bursaries funding will be provided to states and territories</w:t>
      </w:r>
      <w:r>
        <w:rPr>
          <w:rFonts w:ascii="Times New Roman" w:hAnsi="Times New Roman"/>
          <w:iCs/>
          <w:sz w:val="24"/>
          <w:szCs w:val="24"/>
        </w:rPr>
        <w:t xml:space="preserve"> by the d</w:t>
      </w:r>
      <w:r w:rsidRPr="008B68A9">
        <w:rPr>
          <w:rFonts w:ascii="Times New Roman" w:hAnsi="Times New Roman"/>
          <w:iCs/>
          <w:sz w:val="24"/>
          <w:szCs w:val="24"/>
        </w:rPr>
        <w:t xml:space="preserve">epartment. These grants will not be competitive and will be provided equitably across states and territories. </w:t>
      </w:r>
      <w:r>
        <w:rPr>
          <w:rFonts w:ascii="Times New Roman" w:hAnsi="Times New Roman"/>
          <w:iCs/>
          <w:sz w:val="24"/>
          <w:szCs w:val="24"/>
        </w:rPr>
        <w:t xml:space="preserve">Decisions in relation to emergency services bursaries will be made by a delegate of the Secretary of the department. </w:t>
      </w:r>
      <w:r w:rsidRPr="008B68A9">
        <w:rPr>
          <w:rFonts w:ascii="Times New Roman" w:hAnsi="Times New Roman"/>
          <w:iCs/>
          <w:sz w:val="24"/>
          <w:szCs w:val="24"/>
        </w:rPr>
        <w:t xml:space="preserve">The jurisdictions will determine how they </w:t>
      </w:r>
      <w:r>
        <w:rPr>
          <w:rFonts w:ascii="Times New Roman" w:hAnsi="Times New Roman"/>
          <w:iCs/>
          <w:sz w:val="24"/>
          <w:szCs w:val="24"/>
        </w:rPr>
        <w:lastRenderedPageBreak/>
        <w:t>provide</w:t>
      </w:r>
      <w:r w:rsidRPr="008B68A9">
        <w:rPr>
          <w:rFonts w:ascii="Times New Roman" w:hAnsi="Times New Roman"/>
          <w:iCs/>
          <w:sz w:val="24"/>
          <w:szCs w:val="24"/>
        </w:rPr>
        <w:t xml:space="preserve"> the allocated funds to recipients as funding from the Commonwealth is only part of the cost of the personnel training.</w:t>
      </w:r>
      <w:r>
        <w:rPr>
          <w:rFonts w:ascii="Times New Roman" w:hAnsi="Times New Roman"/>
          <w:iCs/>
          <w:sz w:val="24"/>
          <w:szCs w:val="24"/>
        </w:rPr>
        <w:t xml:space="preserve"> As t</w:t>
      </w:r>
      <w:r w:rsidRPr="008B68A9">
        <w:rPr>
          <w:rFonts w:ascii="Times New Roman" w:hAnsi="Times New Roman"/>
          <w:iCs/>
          <w:sz w:val="24"/>
          <w:szCs w:val="24"/>
        </w:rPr>
        <w:t xml:space="preserve">hese </w:t>
      </w:r>
      <w:r>
        <w:rPr>
          <w:rFonts w:ascii="Times New Roman" w:hAnsi="Times New Roman"/>
          <w:iCs/>
          <w:sz w:val="24"/>
          <w:szCs w:val="24"/>
        </w:rPr>
        <w:t>will</w:t>
      </w:r>
      <w:r w:rsidRPr="008B68A9">
        <w:rPr>
          <w:rFonts w:ascii="Times New Roman" w:hAnsi="Times New Roman"/>
          <w:iCs/>
          <w:sz w:val="24"/>
          <w:szCs w:val="24"/>
        </w:rPr>
        <w:t xml:space="preserve"> not </w:t>
      </w:r>
      <w:r>
        <w:rPr>
          <w:rFonts w:ascii="Times New Roman" w:hAnsi="Times New Roman"/>
          <w:iCs/>
          <w:sz w:val="24"/>
          <w:szCs w:val="24"/>
        </w:rPr>
        <w:t xml:space="preserve">be </w:t>
      </w:r>
      <w:r w:rsidRPr="008B68A9">
        <w:rPr>
          <w:rFonts w:ascii="Times New Roman" w:hAnsi="Times New Roman"/>
          <w:iCs/>
          <w:sz w:val="24"/>
          <w:szCs w:val="24"/>
        </w:rPr>
        <w:t>competitive grants</w:t>
      </w:r>
      <w:r>
        <w:rPr>
          <w:rFonts w:ascii="Times New Roman" w:hAnsi="Times New Roman"/>
          <w:iCs/>
          <w:sz w:val="24"/>
          <w:szCs w:val="24"/>
        </w:rPr>
        <w:t>, there</w:t>
      </w:r>
      <w:r w:rsidRPr="008B68A9">
        <w:rPr>
          <w:rFonts w:ascii="Times New Roman" w:hAnsi="Times New Roman"/>
          <w:iCs/>
          <w:sz w:val="24"/>
          <w:szCs w:val="24"/>
        </w:rPr>
        <w:t xml:space="preserve"> will be no grant </w:t>
      </w:r>
      <w:r>
        <w:rPr>
          <w:rFonts w:ascii="Times New Roman" w:hAnsi="Times New Roman"/>
          <w:iCs/>
          <w:sz w:val="24"/>
          <w:szCs w:val="24"/>
        </w:rPr>
        <w:t xml:space="preserve">opportunity </w:t>
      </w:r>
      <w:r w:rsidRPr="008B68A9">
        <w:rPr>
          <w:rFonts w:ascii="Times New Roman" w:hAnsi="Times New Roman"/>
          <w:iCs/>
          <w:sz w:val="24"/>
          <w:szCs w:val="24"/>
        </w:rPr>
        <w:t xml:space="preserve">guidelines. </w:t>
      </w:r>
    </w:p>
    <w:p w14:paraId="45A67F23" w14:textId="77777777" w:rsidR="007048FD" w:rsidRDefault="007048FD" w:rsidP="007048FD">
      <w:pPr>
        <w:rPr>
          <w:rFonts w:ascii="Times New Roman" w:hAnsi="Times New Roman"/>
          <w:iCs/>
          <w:sz w:val="24"/>
          <w:szCs w:val="24"/>
        </w:rPr>
      </w:pPr>
    </w:p>
    <w:p w14:paraId="1F683A5B" w14:textId="77777777" w:rsidR="007048FD" w:rsidRDefault="007048FD" w:rsidP="007048FD">
      <w:pPr>
        <w:rPr>
          <w:rFonts w:ascii="Times New Roman" w:hAnsi="Times New Roman"/>
          <w:iCs/>
          <w:sz w:val="24"/>
          <w:szCs w:val="24"/>
        </w:rPr>
      </w:pPr>
      <w:r>
        <w:rPr>
          <w:rFonts w:ascii="Times New Roman" w:hAnsi="Times New Roman"/>
          <w:iCs/>
          <w:sz w:val="24"/>
          <w:szCs w:val="24"/>
        </w:rPr>
        <w:t>Funding decisions made in connection with the</w:t>
      </w:r>
      <w:r w:rsidRPr="002B6BED">
        <w:rPr>
          <w:rFonts w:ascii="Times New Roman" w:hAnsi="Times New Roman"/>
          <w:iCs/>
          <w:sz w:val="24"/>
          <w:szCs w:val="24"/>
        </w:rPr>
        <w:t xml:space="preserve"> program </w:t>
      </w:r>
      <w:r>
        <w:rPr>
          <w:rFonts w:ascii="Times New Roman" w:hAnsi="Times New Roman"/>
          <w:iCs/>
          <w:sz w:val="24"/>
          <w:szCs w:val="24"/>
        </w:rPr>
        <w:t xml:space="preserve">are </w:t>
      </w:r>
      <w:r w:rsidRPr="002B6BED">
        <w:rPr>
          <w:rFonts w:ascii="Times New Roman" w:hAnsi="Times New Roman"/>
          <w:iCs/>
          <w:sz w:val="24"/>
          <w:szCs w:val="24"/>
        </w:rPr>
        <w:t xml:space="preserve">not </w:t>
      </w:r>
      <w:r>
        <w:rPr>
          <w:rFonts w:ascii="Times New Roman" w:hAnsi="Times New Roman"/>
          <w:iCs/>
          <w:sz w:val="24"/>
          <w:szCs w:val="24"/>
        </w:rPr>
        <w:t>considered</w:t>
      </w:r>
      <w:r w:rsidRPr="002B6BED">
        <w:rPr>
          <w:rFonts w:ascii="Times New Roman" w:hAnsi="Times New Roman"/>
          <w:iCs/>
          <w:sz w:val="24"/>
          <w:szCs w:val="24"/>
        </w:rPr>
        <w:t xml:space="preserve"> </w:t>
      </w:r>
      <w:r>
        <w:rPr>
          <w:rFonts w:ascii="Times New Roman" w:hAnsi="Times New Roman"/>
          <w:iCs/>
          <w:sz w:val="24"/>
          <w:szCs w:val="24"/>
        </w:rPr>
        <w:t>suitable</w:t>
      </w:r>
      <w:r w:rsidRPr="002B6BED">
        <w:rPr>
          <w:rFonts w:ascii="Times New Roman" w:hAnsi="Times New Roman"/>
          <w:iCs/>
          <w:sz w:val="24"/>
          <w:szCs w:val="24"/>
        </w:rPr>
        <w:t xml:space="preserve"> </w:t>
      </w:r>
      <w:r>
        <w:rPr>
          <w:rFonts w:ascii="Times New Roman" w:hAnsi="Times New Roman"/>
          <w:iCs/>
          <w:sz w:val="24"/>
          <w:szCs w:val="24"/>
        </w:rPr>
        <w:t xml:space="preserve">for independent merits </w:t>
      </w:r>
      <w:r w:rsidRPr="002B6BED">
        <w:rPr>
          <w:rFonts w:ascii="Times New Roman" w:hAnsi="Times New Roman"/>
          <w:iCs/>
          <w:sz w:val="24"/>
          <w:szCs w:val="24"/>
        </w:rPr>
        <w:t>review</w:t>
      </w:r>
      <w:r>
        <w:rPr>
          <w:rFonts w:ascii="Times New Roman" w:hAnsi="Times New Roman"/>
          <w:iCs/>
          <w:sz w:val="24"/>
          <w:szCs w:val="24"/>
        </w:rPr>
        <w:t>, as they are</w:t>
      </w:r>
      <w:r w:rsidRPr="002B6BED">
        <w:rPr>
          <w:rFonts w:ascii="Times New Roman" w:hAnsi="Times New Roman"/>
          <w:iCs/>
          <w:sz w:val="24"/>
          <w:szCs w:val="24"/>
        </w:rPr>
        <w:t xml:space="preserve"> decisions relat</w:t>
      </w:r>
      <w:r>
        <w:rPr>
          <w:rFonts w:ascii="Times New Roman" w:hAnsi="Times New Roman"/>
          <w:iCs/>
          <w:sz w:val="24"/>
          <w:szCs w:val="24"/>
        </w:rPr>
        <w:t>ing</w:t>
      </w:r>
      <w:r w:rsidRPr="002B6BED">
        <w:rPr>
          <w:rFonts w:ascii="Times New Roman" w:hAnsi="Times New Roman"/>
          <w:iCs/>
          <w:sz w:val="24"/>
          <w:szCs w:val="24"/>
        </w:rPr>
        <w:t xml:space="preserve"> to the allocation of finite resources between competing applicants, and any decision to overturn an allocation that has already been made to a party would be affected by overturning the original decision. The Administrative Review Council has recognised that it is justifiable to exclude merits review in relation to decisions of this nature (see paragraphs 4.11 to 4.19 of the guide, </w:t>
      </w:r>
      <w:r w:rsidRPr="002B6BED">
        <w:rPr>
          <w:rFonts w:ascii="Times New Roman" w:hAnsi="Times New Roman"/>
          <w:i/>
          <w:iCs/>
          <w:sz w:val="24"/>
          <w:szCs w:val="24"/>
        </w:rPr>
        <w:t>What decisions should be subject to merit review?</w:t>
      </w:r>
      <w:r w:rsidRPr="002B6BED">
        <w:rPr>
          <w:rFonts w:ascii="Times New Roman" w:hAnsi="Times New Roman"/>
          <w:iCs/>
          <w:sz w:val="24"/>
          <w:szCs w:val="24"/>
        </w:rPr>
        <w:t>).</w:t>
      </w:r>
    </w:p>
    <w:p w14:paraId="7C938A53" w14:textId="77777777" w:rsidR="007048FD" w:rsidRDefault="007048FD" w:rsidP="007048FD">
      <w:pPr>
        <w:rPr>
          <w:rFonts w:ascii="Times New Roman" w:hAnsi="Times New Roman"/>
          <w:iCs/>
          <w:sz w:val="24"/>
          <w:szCs w:val="24"/>
        </w:rPr>
      </w:pPr>
    </w:p>
    <w:p w14:paraId="432E871E" w14:textId="366C8B34" w:rsidR="007048FD" w:rsidRPr="00E81DFE" w:rsidRDefault="007048FD" w:rsidP="007048FD">
      <w:pPr>
        <w:rPr>
          <w:rFonts w:ascii="Times New Roman" w:hAnsi="Times New Roman"/>
          <w:iCs/>
          <w:sz w:val="24"/>
          <w:szCs w:val="24"/>
        </w:rPr>
      </w:pPr>
      <w:r w:rsidRPr="00E81DFE">
        <w:rPr>
          <w:rFonts w:ascii="Times New Roman" w:hAnsi="Times New Roman"/>
          <w:iCs/>
          <w:sz w:val="24"/>
          <w:szCs w:val="24"/>
        </w:rPr>
        <w:t xml:space="preserve">In addition, the review and audit process undertaken by the Australian National Audit Office </w:t>
      </w:r>
      <w:r w:rsidR="00A532C4">
        <w:rPr>
          <w:rFonts w:ascii="Times New Roman" w:hAnsi="Times New Roman"/>
          <w:iCs/>
          <w:sz w:val="24"/>
          <w:szCs w:val="24"/>
        </w:rPr>
        <w:t>p</w:t>
      </w:r>
      <w:r w:rsidRPr="00E81DFE">
        <w:rPr>
          <w:rFonts w:ascii="Times New Roman" w:hAnsi="Times New Roman"/>
          <w:iCs/>
          <w:sz w:val="24"/>
          <w:szCs w:val="24"/>
        </w:rPr>
        <w:t>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B025234" w14:textId="77777777" w:rsidR="007048FD" w:rsidRPr="00E81DFE" w:rsidRDefault="007048FD" w:rsidP="007048FD">
      <w:pPr>
        <w:rPr>
          <w:rFonts w:ascii="Times New Roman" w:hAnsi="Times New Roman"/>
          <w:iCs/>
          <w:sz w:val="24"/>
          <w:szCs w:val="24"/>
        </w:rPr>
      </w:pPr>
    </w:p>
    <w:p w14:paraId="53187998" w14:textId="296C468F" w:rsidR="007048FD" w:rsidRDefault="007048FD" w:rsidP="007048FD">
      <w:pPr>
        <w:rPr>
          <w:rFonts w:ascii="Times New Roman" w:hAnsi="Times New Roman"/>
          <w:iCs/>
          <w:sz w:val="24"/>
          <w:szCs w:val="24"/>
        </w:rPr>
      </w:pPr>
      <w:r w:rsidRPr="00E81DFE">
        <w:rPr>
          <w:rFonts w:ascii="Times New Roman" w:hAnsi="Times New Roman"/>
          <w:iCs/>
          <w:sz w:val="24"/>
          <w:szCs w:val="24"/>
        </w:rPr>
        <w:t xml:space="preserve">Further, the right of review under section 75(v) of the Constitution and review under section 39B of the </w:t>
      </w:r>
      <w:r w:rsidRPr="00E81DFE">
        <w:rPr>
          <w:rFonts w:ascii="Times New Roman" w:hAnsi="Times New Roman"/>
          <w:i/>
          <w:iCs/>
          <w:sz w:val="24"/>
          <w:szCs w:val="24"/>
        </w:rPr>
        <w:t>Judiciary Act 1903</w:t>
      </w:r>
      <w:r w:rsidRPr="00E81DFE">
        <w:rPr>
          <w:rFonts w:ascii="Times New Roman" w:hAnsi="Times New Roman"/>
          <w:iCs/>
          <w:sz w:val="24"/>
          <w:szCs w:val="24"/>
        </w:rPr>
        <w:t xml:space="preserve"> may be available. Persons affected by spending decisions would also have recourse to the Commonwealth Ombudsman where appropriate. </w:t>
      </w:r>
    </w:p>
    <w:p w14:paraId="6CFD9ADA" w14:textId="77777777" w:rsidR="007048FD" w:rsidRDefault="007048FD" w:rsidP="007048FD">
      <w:pPr>
        <w:rPr>
          <w:rFonts w:ascii="Times New Roman" w:hAnsi="Times New Roman"/>
          <w:iCs/>
          <w:sz w:val="24"/>
          <w:szCs w:val="24"/>
        </w:rPr>
      </w:pPr>
    </w:p>
    <w:p w14:paraId="582A86D8" w14:textId="77777777" w:rsidR="007048FD" w:rsidRDefault="007048FD" w:rsidP="007048FD">
      <w:pPr>
        <w:rPr>
          <w:rFonts w:ascii="Times New Roman" w:hAnsi="Times New Roman"/>
          <w:iCs/>
          <w:sz w:val="24"/>
          <w:szCs w:val="24"/>
        </w:rPr>
      </w:pPr>
      <w:r w:rsidRPr="00E81DFE">
        <w:rPr>
          <w:rFonts w:ascii="Times New Roman" w:hAnsi="Times New Roman"/>
          <w:iCs/>
          <w:sz w:val="24"/>
          <w:szCs w:val="24"/>
        </w:rPr>
        <w:t>Stakeholder consultation was conducted as part of the development of the Strategy</w:t>
      </w:r>
      <w:r>
        <w:rPr>
          <w:rFonts w:ascii="Times New Roman" w:hAnsi="Times New Roman"/>
          <w:iCs/>
          <w:sz w:val="24"/>
          <w:szCs w:val="24"/>
        </w:rPr>
        <w:t xml:space="preserve">, </w:t>
      </w:r>
      <w:r w:rsidRPr="00E81DFE">
        <w:rPr>
          <w:rFonts w:ascii="Times New Roman" w:hAnsi="Times New Roman"/>
          <w:iCs/>
          <w:sz w:val="24"/>
          <w:szCs w:val="24"/>
        </w:rPr>
        <w:t xml:space="preserve">which was published in November 2019. The Strategy outlines the </w:t>
      </w:r>
      <w:r>
        <w:rPr>
          <w:rFonts w:ascii="Times New Roman" w:hAnsi="Times New Roman"/>
          <w:iCs/>
          <w:sz w:val="24"/>
          <w:szCs w:val="24"/>
        </w:rPr>
        <w:t>intentions</w:t>
      </w:r>
      <w:r w:rsidRPr="00E81DFE">
        <w:rPr>
          <w:rFonts w:ascii="Times New Roman" w:hAnsi="Times New Roman"/>
          <w:iCs/>
          <w:sz w:val="24"/>
          <w:szCs w:val="24"/>
        </w:rPr>
        <w:t xml:space="preserve"> of the</w:t>
      </w:r>
      <w:r>
        <w:rPr>
          <w:rFonts w:ascii="Times New Roman" w:hAnsi="Times New Roman"/>
          <w:iCs/>
          <w:sz w:val="24"/>
          <w:szCs w:val="24"/>
        </w:rPr>
        <w:t xml:space="preserve"> Australian Government</w:t>
      </w:r>
      <w:r w:rsidRPr="00E81DFE">
        <w:rPr>
          <w:rFonts w:ascii="Times New Roman" w:hAnsi="Times New Roman"/>
          <w:iCs/>
          <w:sz w:val="24"/>
          <w:szCs w:val="24"/>
        </w:rPr>
        <w:t xml:space="preserve"> towards building a large scale, globally competitive hydrogen industry in Australia. The Strategy </w:t>
      </w:r>
      <w:r>
        <w:rPr>
          <w:rFonts w:ascii="Times New Roman" w:hAnsi="Times New Roman"/>
          <w:iCs/>
          <w:sz w:val="24"/>
          <w:szCs w:val="24"/>
        </w:rPr>
        <w:t xml:space="preserve">also </w:t>
      </w:r>
      <w:r w:rsidRPr="00E81DFE">
        <w:rPr>
          <w:rFonts w:ascii="Times New Roman" w:hAnsi="Times New Roman"/>
          <w:iCs/>
          <w:sz w:val="24"/>
          <w:szCs w:val="24"/>
        </w:rPr>
        <w:t xml:space="preserve">identifies early actions for industry development, which include the creation of hubs, development of supply chains, and research and development activities to support technology deployment and industry growth. Consultation was undertaken with </w:t>
      </w:r>
      <w:r>
        <w:rPr>
          <w:rFonts w:ascii="Times New Roman" w:hAnsi="Times New Roman"/>
          <w:iCs/>
          <w:sz w:val="24"/>
          <w:szCs w:val="24"/>
        </w:rPr>
        <w:t xml:space="preserve">community representatives </w:t>
      </w:r>
      <w:r w:rsidRPr="00E81DFE">
        <w:rPr>
          <w:rFonts w:ascii="Times New Roman" w:hAnsi="Times New Roman"/>
          <w:iCs/>
          <w:sz w:val="24"/>
          <w:szCs w:val="24"/>
        </w:rPr>
        <w:t>with an interest in the development of the hydrogen industry, including business organisations and peak bodies, corporations, academics, government representatives and officials, community members and representatives. Stakeholder feedback was broadly supportive of the</w:t>
      </w:r>
      <w:r>
        <w:rPr>
          <w:rFonts w:ascii="Times New Roman" w:hAnsi="Times New Roman"/>
          <w:iCs/>
          <w:sz w:val="24"/>
          <w:szCs w:val="24"/>
        </w:rPr>
        <w:t xml:space="preserve"> proposed</w:t>
      </w:r>
      <w:r w:rsidRPr="00E81DFE">
        <w:rPr>
          <w:rFonts w:ascii="Times New Roman" w:hAnsi="Times New Roman"/>
          <w:iCs/>
          <w:sz w:val="24"/>
          <w:szCs w:val="24"/>
        </w:rPr>
        <w:t xml:space="preserve"> activities </w:t>
      </w:r>
      <w:r>
        <w:rPr>
          <w:rFonts w:ascii="Times New Roman" w:hAnsi="Times New Roman"/>
          <w:iCs/>
          <w:sz w:val="24"/>
          <w:szCs w:val="24"/>
        </w:rPr>
        <w:t>under the program</w:t>
      </w:r>
      <w:r w:rsidRPr="00E81DFE">
        <w:rPr>
          <w:rFonts w:ascii="Times New Roman" w:hAnsi="Times New Roman"/>
          <w:iCs/>
          <w:sz w:val="24"/>
          <w:szCs w:val="24"/>
        </w:rPr>
        <w:t>.</w:t>
      </w:r>
      <w:r>
        <w:rPr>
          <w:rFonts w:ascii="Times New Roman" w:hAnsi="Times New Roman"/>
          <w:iCs/>
          <w:sz w:val="24"/>
          <w:szCs w:val="24"/>
        </w:rPr>
        <w:t xml:space="preserve"> </w:t>
      </w:r>
    </w:p>
    <w:p w14:paraId="7283EACD" w14:textId="77777777" w:rsidR="007048FD" w:rsidRPr="00E81DFE" w:rsidRDefault="007048FD" w:rsidP="007048FD">
      <w:pPr>
        <w:rPr>
          <w:rFonts w:ascii="Times New Roman" w:hAnsi="Times New Roman"/>
          <w:iCs/>
          <w:sz w:val="24"/>
          <w:szCs w:val="24"/>
        </w:rPr>
      </w:pPr>
    </w:p>
    <w:p w14:paraId="49D3AE9C" w14:textId="77777777" w:rsidR="007048FD" w:rsidRDefault="007048FD" w:rsidP="007048FD">
      <w:pPr>
        <w:rPr>
          <w:rFonts w:ascii="Times New Roman" w:hAnsi="Times New Roman"/>
          <w:iCs/>
          <w:sz w:val="24"/>
          <w:szCs w:val="24"/>
        </w:rPr>
      </w:pPr>
      <w:r w:rsidRPr="00E81DFE">
        <w:rPr>
          <w:rFonts w:ascii="Times New Roman" w:hAnsi="Times New Roman"/>
          <w:iCs/>
          <w:sz w:val="24"/>
          <w:szCs w:val="24"/>
        </w:rPr>
        <w:t>Community education and consultation is also proposed to be undertaken</w:t>
      </w:r>
      <w:r>
        <w:rPr>
          <w:rFonts w:ascii="Times New Roman" w:hAnsi="Times New Roman"/>
          <w:iCs/>
          <w:sz w:val="24"/>
          <w:szCs w:val="24"/>
        </w:rPr>
        <w:t xml:space="preserve"> to</w:t>
      </w:r>
      <w:r w:rsidRPr="00E81DFE">
        <w:rPr>
          <w:rFonts w:ascii="Times New Roman" w:hAnsi="Times New Roman"/>
          <w:iCs/>
          <w:sz w:val="24"/>
          <w:szCs w:val="24"/>
        </w:rPr>
        <w:t xml:space="preserve"> support the development of a hydrogen hub. Consultants will be engaged to undertake consultation, with an exact approach to be determined at a later date.</w:t>
      </w:r>
    </w:p>
    <w:p w14:paraId="58DE857D" w14:textId="77777777" w:rsidR="007048FD" w:rsidRDefault="007048FD" w:rsidP="007048FD">
      <w:pPr>
        <w:rPr>
          <w:rFonts w:ascii="Times New Roman" w:hAnsi="Times New Roman"/>
          <w:iCs/>
          <w:sz w:val="24"/>
          <w:szCs w:val="24"/>
        </w:rPr>
      </w:pPr>
    </w:p>
    <w:p w14:paraId="6BB3FF0C" w14:textId="77777777" w:rsidR="007048FD" w:rsidRPr="00496EF9" w:rsidRDefault="007048FD" w:rsidP="007048FD">
      <w:pPr>
        <w:rPr>
          <w:rFonts w:ascii="Times New Roman" w:hAnsi="Times New Roman"/>
          <w:iCs/>
          <w:sz w:val="24"/>
          <w:szCs w:val="24"/>
        </w:rPr>
      </w:pPr>
      <w:r w:rsidRPr="00496EF9">
        <w:rPr>
          <w:rFonts w:ascii="Times New Roman" w:hAnsi="Times New Roman"/>
          <w:iCs/>
          <w:sz w:val="24"/>
          <w:szCs w:val="24"/>
        </w:rPr>
        <w:t xml:space="preserve">Funding </w:t>
      </w:r>
      <w:r>
        <w:rPr>
          <w:rFonts w:ascii="Times New Roman" w:hAnsi="Times New Roman"/>
          <w:iCs/>
          <w:sz w:val="24"/>
          <w:szCs w:val="24"/>
        </w:rPr>
        <w:t xml:space="preserve">for the development of a technology neutral regional hydrogen export hub </w:t>
      </w:r>
      <w:r w:rsidRPr="00496EF9">
        <w:rPr>
          <w:rFonts w:ascii="Times New Roman" w:hAnsi="Times New Roman"/>
          <w:iCs/>
          <w:sz w:val="24"/>
          <w:szCs w:val="24"/>
        </w:rPr>
        <w:t>of $70.2</w:t>
      </w:r>
      <w:r>
        <w:rPr>
          <w:rFonts w:ascii="Times New Roman" w:hAnsi="Times New Roman"/>
          <w:iCs/>
          <w:sz w:val="24"/>
          <w:szCs w:val="24"/>
        </w:rPr>
        <w:t> </w:t>
      </w:r>
      <w:r w:rsidRPr="00496EF9">
        <w:rPr>
          <w:rFonts w:ascii="Times New Roman" w:hAnsi="Times New Roman"/>
          <w:iCs/>
          <w:sz w:val="24"/>
          <w:szCs w:val="24"/>
        </w:rPr>
        <w:t xml:space="preserve">million over five years from 2020-21 was included in the 2020-21 Budget under the measure ‘JobMaker Plan – investment in new energy technologies’. </w:t>
      </w:r>
      <w:r w:rsidRPr="000F7C1F">
        <w:rPr>
          <w:rFonts w:ascii="Times New Roman" w:hAnsi="Times New Roman"/>
          <w:iCs/>
          <w:sz w:val="24"/>
          <w:szCs w:val="24"/>
        </w:rPr>
        <w:t>Details</w:t>
      </w:r>
      <w:r>
        <w:rPr>
          <w:rFonts w:ascii="Times New Roman" w:hAnsi="Times New Roman"/>
          <w:iCs/>
          <w:sz w:val="24"/>
          <w:szCs w:val="24"/>
        </w:rPr>
        <w:t> </w:t>
      </w:r>
      <w:r w:rsidRPr="000F7C1F">
        <w:rPr>
          <w:rFonts w:ascii="Times New Roman" w:hAnsi="Times New Roman"/>
          <w:iCs/>
          <w:sz w:val="24"/>
          <w:szCs w:val="24"/>
        </w:rPr>
        <w:t>are</w:t>
      </w:r>
      <w:r>
        <w:rPr>
          <w:rFonts w:ascii="Times New Roman" w:hAnsi="Times New Roman"/>
          <w:iCs/>
          <w:sz w:val="24"/>
          <w:szCs w:val="24"/>
        </w:rPr>
        <w:t> </w:t>
      </w:r>
      <w:r w:rsidRPr="000F7C1F">
        <w:rPr>
          <w:rFonts w:ascii="Times New Roman" w:hAnsi="Times New Roman"/>
          <w:iCs/>
          <w:sz w:val="24"/>
          <w:szCs w:val="24"/>
        </w:rPr>
        <w:t xml:space="preserve">set out in </w:t>
      </w:r>
      <w:r w:rsidRPr="00610919">
        <w:rPr>
          <w:rFonts w:ascii="Times New Roman" w:hAnsi="Times New Roman"/>
          <w:i/>
          <w:iCs/>
          <w:sz w:val="24"/>
          <w:szCs w:val="24"/>
        </w:rPr>
        <w:t>Budget 2020-21, Budget Measures, Budget Paper No. 2 2020-21</w:t>
      </w:r>
      <w:r w:rsidRPr="000F7C1F">
        <w:rPr>
          <w:rFonts w:ascii="Times New Roman" w:hAnsi="Times New Roman"/>
          <w:iCs/>
          <w:sz w:val="24"/>
          <w:szCs w:val="24"/>
        </w:rPr>
        <w:t xml:space="preserve"> at pages 118 </w:t>
      </w:r>
      <w:r>
        <w:rPr>
          <w:rFonts w:ascii="Times New Roman" w:hAnsi="Times New Roman"/>
          <w:iCs/>
          <w:sz w:val="24"/>
          <w:szCs w:val="24"/>
        </w:rPr>
        <w:t>to</w:t>
      </w:r>
      <w:r w:rsidRPr="000F7C1F">
        <w:rPr>
          <w:rFonts w:ascii="Times New Roman" w:hAnsi="Times New Roman"/>
          <w:iCs/>
          <w:sz w:val="24"/>
          <w:szCs w:val="24"/>
        </w:rPr>
        <w:t xml:space="preserve"> 119.</w:t>
      </w:r>
      <w:r w:rsidRPr="00496EF9">
        <w:rPr>
          <w:rFonts w:ascii="Times New Roman" w:hAnsi="Times New Roman"/>
          <w:iCs/>
          <w:sz w:val="24"/>
          <w:szCs w:val="24"/>
        </w:rPr>
        <w:t>  </w:t>
      </w:r>
    </w:p>
    <w:p w14:paraId="734C6C1D" w14:textId="77777777" w:rsidR="007048FD" w:rsidRDefault="007048FD" w:rsidP="007048FD">
      <w:pPr>
        <w:rPr>
          <w:rFonts w:ascii="Times New Roman" w:hAnsi="Times New Roman"/>
          <w:iCs/>
          <w:sz w:val="24"/>
          <w:szCs w:val="24"/>
        </w:rPr>
      </w:pPr>
    </w:p>
    <w:p w14:paraId="55DC7F02" w14:textId="77777777" w:rsidR="007048FD" w:rsidRPr="00496EF9" w:rsidRDefault="007048FD" w:rsidP="007048FD">
      <w:pPr>
        <w:rPr>
          <w:rFonts w:ascii="Times New Roman" w:hAnsi="Times New Roman"/>
          <w:iCs/>
          <w:sz w:val="24"/>
          <w:szCs w:val="24"/>
        </w:rPr>
      </w:pPr>
      <w:r w:rsidRPr="00C52CB3">
        <w:rPr>
          <w:rFonts w:ascii="Times New Roman" w:hAnsi="Times New Roman"/>
          <w:iCs/>
          <w:sz w:val="24"/>
          <w:szCs w:val="24"/>
        </w:rPr>
        <w:t>Funding of $13.4 million over four years from 2019-20 was also included in the 2019</w:t>
      </w:r>
      <w:r w:rsidRPr="00C52CB3">
        <w:rPr>
          <w:rFonts w:ascii="Times New Roman" w:hAnsi="Times New Roman"/>
          <w:iCs/>
          <w:sz w:val="24"/>
          <w:szCs w:val="24"/>
        </w:rPr>
        <w:noBreakHyphen/>
        <w:t xml:space="preserve">20 Mid-Year Economic and Fiscal Outlook under the measure ‘Measures to Support the National Hydrogen Strategy’. This includes funding for supply chain feasibility studies of </w:t>
      </w:r>
      <w:r w:rsidRPr="00146AE6">
        <w:rPr>
          <w:rFonts w:ascii="Times New Roman" w:hAnsi="Times New Roman"/>
          <w:iCs/>
          <w:sz w:val="24"/>
          <w:szCs w:val="24"/>
        </w:rPr>
        <w:t>$3.6 million over four years from 2019-20, and funding for emergency services bursaries of</w:t>
      </w:r>
      <w:r w:rsidRPr="00C52CB3">
        <w:rPr>
          <w:rFonts w:ascii="Times New Roman" w:hAnsi="Times New Roman"/>
          <w:iCs/>
          <w:sz w:val="24"/>
          <w:szCs w:val="24"/>
        </w:rPr>
        <w:t xml:space="preserve"> $144,000 over three years from 2020-21. Details are set out in the </w:t>
      </w:r>
      <w:r w:rsidRPr="00C52CB3">
        <w:rPr>
          <w:rFonts w:ascii="Times New Roman" w:hAnsi="Times New Roman"/>
          <w:i/>
          <w:iCs/>
          <w:sz w:val="24"/>
          <w:szCs w:val="24"/>
        </w:rPr>
        <w:t>Mid-Year Economic and Fiscal Outlook 2019-20</w:t>
      </w:r>
      <w:r w:rsidRPr="00C52CB3">
        <w:rPr>
          <w:rFonts w:ascii="Times New Roman" w:hAnsi="Times New Roman"/>
          <w:iCs/>
          <w:sz w:val="24"/>
          <w:szCs w:val="24"/>
        </w:rPr>
        <w:t>, Appendix A: Policy decisions taken since the 2019 PEFO at pages 220 to 221.</w:t>
      </w:r>
      <w:r w:rsidRPr="00496EF9">
        <w:rPr>
          <w:rFonts w:ascii="Times New Roman" w:hAnsi="Times New Roman"/>
          <w:iCs/>
          <w:sz w:val="24"/>
          <w:szCs w:val="24"/>
        </w:rPr>
        <w:t xml:space="preserve"> </w:t>
      </w:r>
    </w:p>
    <w:p w14:paraId="07014DEA" w14:textId="77777777" w:rsidR="007048FD" w:rsidRPr="00496EF9" w:rsidRDefault="007048FD" w:rsidP="007048FD">
      <w:pPr>
        <w:rPr>
          <w:rFonts w:ascii="Times New Roman" w:hAnsi="Times New Roman"/>
          <w:iCs/>
          <w:sz w:val="24"/>
          <w:szCs w:val="24"/>
        </w:rPr>
      </w:pPr>
    </w:p>
    <w:p w14:paraId="5816C9D8" w14:textId="77777777" w:rsidR="007048FD" w:rsidRDefault="007048FD" w:rsidP="007048FD">
      <w:pPr>
        <w:rPr>
          <w:rFonts w:ascii="Times New Roman" w:hAnsi="Times New Roman"/>
          <w:iCs/>
          <w:sz w:val="24"/>
          <w:szCs w:val="24"/>
        </w:rPr>
      </w:pPr>
      <w:r w:rsidRPr="006762E7">
        <w:rPr>
          <w:rFonts w:ascii="Times New Roman" w:hAnsi="Times New Roman"/>
          <w:iCs/>
          <w:sz w:val="24"/>
          <w:szCs w:val="24"/>
        </w:rPr>
        <w:lastRenderedPageBreak/>
        <w:t xml:space="preserve">Funding for this item will come from Program 2.1: Reducing Australia’s </w:t>
      </w:r>
      <w:r>
        <w:rPr>
          <w:rFonts w:ascii="Times New Roman" w:hAnsi="Times New Roman"/>
          <w:iCs/>
          <w:sz w:val="24"/>
          <w:szCs w:val="24"/>
        </w:rPr>
        <w:t>G</w:t>
      </w:r>
      <w:r w:rsidRPr="006762E7">
        <w:rPr>
          <w:rFonts w:ascii="Times New Roman" w:hAnsi="Times New Roman"/>
          <w:iCs/>
          <w:sz w:val="24"/>
          <w:szCs w:val="24"/>
        </w:rPr>
        <w:t xml:space="preserve">reenhouse </w:t>
      </w:r>
      <w:r>
        <w:rPr>
          <w:rFonts w:ascii="Times New Roman" w:hAnsi="Times New Roman"/>
          <w:iCs/>
          <w:sz w:val="24"/>
          <w:szCs w:val="24"/>
        </w:rPr>
        <w:t>Gas E</w:t>
      </w:r>
      <w:r w:rsidRPr="006762E7">
        <w:rPr>
          <w:rFonts w:ascii="Times New Roman" w:hAnsi="Times New Roman"/>
          <w:iCs/>
          <w:sz w:val="24"/>
          <w:szCs w:val="24"/>
        </w:rPr>
        <w:t>missions</w:t>
      </w:r>
      <w:r>
        <w:rPr>
          <w:rFonts w:ascii="Times New Roman" w:hAnsi="Times New Roman"/>
          <w:iCs/>
          <w:sz w:val="24"/>
          <w:szCs w:val="24"/>
        </w:rPr>
        <w:t>,</w:t>
      </w:r>
      <w:r w:rsidRPr="006762E7" w:rsidDel="001B59E2">
        <w:rPr>
          <w:rFonts w:ascii="Times New Roman" w:hAnsi="Times New Roman"/>
          <w:iCs/>
          <w:sz w:val="24"/>
          <w:szCs w:val="24"/>
        </w:rPr>
        <w:t xml:space="preserve"> </w:t>
      </w:r>
      <w:r w:rsidRPr="006762E7">
        <w:rPr>
          <w:rFonts w:ascii="Times New Roman" w:hAnsi="Times New Roman"/>
          <w:iCs/>
          <w:sz w:val="24"/>
          <w:szCs w:val="24"/>
        </w:rPr>
        <w:t xml:space="preserve">which is part of Outcome 2. Details are set out in the </w:t>
      </w:r>
      <w:r w:rsidRPr="001C22DE">
        <w:rPr>
          <w:rFonts w:ascii="Times New Roman" w:hAnsi="Times New Roman"/>
          <w:i/>
          <w:iCs/>
          <w:sz w:val="24"/>
          <w:szCs w:val="24"/>
        </w:rPr>
        <w:t>Portfolio Budget Statements 2020-21, Budget Related Paper No. 1.9, Industry, Science, Energy and Resources Portfolio</w:t>
      </w:r>
      <w:r w:rsidRPr="006762E7">
        <w:rPr>
          <w:rFonts w:ascii="Times New Roman" w:hAnsi="Times New Roman"/>
          <w:iCs/>
          <w:sz w:val="24"/>
          <w:szCs w:val="24"/>
        </w:rPr>
        <w:t xml:space="preserve"> at page 6</w:t>
      </w:r>
      <w:r>
        <w:rPr>
          <w:rFonts w:ascii="Times New Roman" w:hAnsi="Times New Roman"/>
          <w:iCs/>
          <w:sz w:val="24"/>
          <w:szCs w:val="24"/>
        </w:rPr>
        <w:t>1.</w:t>
      </w:r>
    </w:p>
    <w:p w14:paraId="7D4A5A60" w14:textId="77777777" w:rsidR="007048FD" w:rsidRDefault="007048FD" w:rsidP="007048FD">
      <w:pPr>
        <w:rPr>
          <w:rFonts w:ascii="Times New Roman" w:hAnsi="Times New Roman"/>
          <w:iCs/>
          <w:sz w:val="24"/>
          <w:szCs w:val="24"/>
        </w:rPr>
      </w:pPr>
    </w:p>
    <w:p w14:paraId="287A1F32" w14:textId="77777777" w:rsidR="007048FD" w:rsidRDefault="007048FD" w:rsidP="007048FD">
      <w:pPr>
        <w:rPr>
          <w:rFonts w:ascii="Times New Roman" w:hAnsi="Times New Roman"/>
          <w:iCs/>
          <w:sz w:val="24"/>
          <w:szCs w:val="24"/>
        </w:rPr>
      </w:pPr>
      <w:r w:rsidRPr="00CD56EF">
        <w:rPr>
          <w:rFonts w:ascii="Times New Roman" w:hAnsi="Times New Roman"/>
          <w:iCs/>
          <w:sz w:val="24"/>
          <w:szCs w:val="24"/>
        </w:rPr>
        <w:t xml:space="preserve">Noting that it is not a comprehensive statement of relevant constitutional considerations, the objective of </w:t>
      </w:r>
      <w:r>
        <w:rPr>
          <w:rFonts w:ascii="Times New Roman" w:hAnsi="Times New Roman"/>
          <w:iCs/>
          <w:sz w:val="24"/>
          <w:szCs w:val="24"/>
        </w:rPr>
        <w:t xml:space="preserve">the </w:t>
      </w:r>
      <w:r w:rsidRPr="00CD56EF">
        <w:rPr>
          <w:rFonts w:ascii="Times New Roman" w:hAnsi="Times New Roman"/>
          <w:iCs/>
          <w:sz w:val="24"/>
          <w:szCs w:val="24"/>
        </w:rPr>
        <w:t>item</w:t>
      </w:r>
      <w:r>
        <w:rPr>
          <w:rFonts w:ascii="Times New Roman" w:hAnsi="Times New Roman"/>
          <w:iCs/>
          <w:sz w:val="24"/>
          <w:szCs w:val="24"/>
        </w:rPr>
        <w:t xml:space="preserve"> </w:t>
      </w:r>
      <w:r w:rsidRPr="00CD56EF">
        <w:rPr>
          <w:rFonts w:ascii="Times New Roman" w:hAnsi="Times New Roman"/>
          <w:iCs/>
          <w:sz w:val="24"/>
          <w:szCs w:val="24"/>
        </w:rPr>
        <w:t>references the</w:t>
      </w:r>
      <w:r>
        <w:rPr>
          <w:rFonts w:ascii="Times New Roman" w:hAnsi="Times New Roman"/>
          <w:iCs/>
          <w:sz w:val="24"/>
          <w:szCs w:val="24"/>
        </w:rPr>
        <w:t xml:space="preserve"> following powers of the Constitution:</w:t>
      </w:r>
    </w:p>
    <w:p w14:paraId="700B80A0" w14:textId="77777777" w:rsidR="007048FD" w:rsidRDefault="007048FD" w:rsidP="007048FD">
      <w:pPr>
        <w:pStyle w:val="ListParagraph"/>
        <w:numPr>
          <w:ilvl w:val="0"/>
          <w:numId w:val="19"/>
        </w:numPr>
        <w:ind w:right="57"/>
        <w:contextualSpacing w:val="0"/>
        <w:rPr>
          <w:rFonts w:cs="Times New Roman"/>
        </w:rPr>
      </w:pPr>
      <w:r>
        <w:rPr>
          <w:rFonts w:cs="Times New Roman"/>
        </w:rPr>
        <w:t>the trade and commerce power (section 51(i));</w:t>
      </w:r>
    </w:p>
    <w:p w14:paraId="04527490" w14:textId="77777777" w:rsidR="007048FD" w:rsidRDefault="007048FD" w:rsidP="007048FD">
      <w:pPr>
        <w:pStyle w:val="ListParagraph"/>
        <w:numPr>
          <w:ilvl w:val="0"/>
          <w:numId w:val="19"/>
        </w:numPr>
        <w:ind w:right="57"/>
        <w:contextualSpacing w:val="0"/>
        <w:rPr>
          <w:rFonts w:cs="Times New Roman"/>
        </w:rPr>
      </w:pPr>
      <w:r w:rsidRPr="00D70503">
        <w:rPr>
          <w:rFonts w:cs="Times New Roman"/>
        </w:rPr>
        <w:t>the external affairs power (section 51(xxix))</w:t>
      </w:r>
      <w:r>
        <w:rPr>
          <w:rFonts w:cs="Times New Roman"/>
        </w:rPr>
        <w:t>;</w:t>
      </w:r>
    </w:p>
    <w:p w14:paraId="6A4E644B" w14:textId="77777777" w:rsidR="007048FD" w:rsidRPr="00487FD1" w:rsidRDefault="007048FD" w:rsidP="007048FD">
      <w:pPr>
        <w:pStyle w:val="ListParagraph"/>
        <w:numPr>
          <w:ilvl w:val="0"/>
          <w:numId w:val="19"/>
        </w:numPr>
        <w:ind w:right="57"/>
        <w:contextualSpacing w:val="0"/>
        <w:rPr>
          <w:rFonts w:cs="Times New Roman"/>
        </w:rPr>
      </w:pPr>
      <w:r w:rsidRPr="00487FD1">
        <w:rPr>
          <w:rFonts w:cs="Times New Roman"/>
        </w:rPr>
        <w:t>the power to grant financial assistance to States (section 96); and</w:t>
      </w:r>
    </w:p>
    <w:p w14:paraId="5C6A82FC" w14:textId="77777777" w:rsidR="007048FD" w:rsidRPr="00062143" w:rsidRDefault="007048FD" w:rsidP="007048FD">
      <w:pPr>
        <w:pStyle w:val="ListParagraph"/>
        <w:numPr>
          <w:ilvl w:val="0"/>
          <w:numId w:val="19"/>
        </w:numPr>
        <w:ind w:right="57"/>
        <w:contextualSpacing w:val="0"/>
        <w:rPr>
          <w:rFonts w:cs="Times New Roman"/>
        </w:rPr>
      </w:pPr>
      <w:r w:rsidRPr="00062143">
        <w:rPr>
          <w:rFonts w:cs="Times New Roman"/>
        </w:rPr>
        <w:t>the Territories power (section 122).</w:t>
      </w:r>
    </w:p>
    <w:p w14:paraId="7D2FF368" w14:textId="77777777" w:rsidR="007048FD" w:rsidRPr="00CD56EF" w:rsidRDefault="007048FD" w:rsidP="007048FD">
      <w:pPr>
        <w:rPr>
          <w:rFonts w:ascii="Times New Roman" w:hAnsi="Times New Roman"/>
          <w:iCs/>
          <w:sz w:val="24"/>
          <w:szCs w:val="24"/>
        </w:rPr>
      </w:pPr>
    </w:p>
    <w:p w14:paraId="3399D245" w14:textId="77777777" w:rsidR="007048FD" w:rsidRPr="00A651A2" w:rsidRDefault="007048FD" w:rsidP="007048FD">
      <w:pPr>
        <w:rPr>
          <w:rFonts w:ascii="Times New Roman" w:hAnsi="Times New Roman"/>
          <w:i/>
          <w:iCs/>
          <w:sz w:val="24"/>
          <w:szCs w:val="24"/>
          <w:u w:val="single"/>
        </w:rPr>
      </w:pPr>
      <w:r>
        <w:rPr>
          <w:rFonts w:ascii="Times New Roman" w:hAnsi="Times New Roman"/>
          <w:i/>
          <w:iCs/>
          <w:sz w:val="24"/>
          <w:szCs w:val="24"/>
          <w:u w:val="single"/>
        </w:rPr>
        <w:t>Trade and commerce</w:t>
      </w:r>
      <w:r w:rsidRPr="00A651A2">
        <w:rPr>
          <w:rFonts w:ascii="Times New Roman" w:hAnsi="Times New Roman"/>
          <w:i/>
          <w:iCs/>
          <w:sz w:val="24"/>
          <w:szCs w:val="24"/>
          <w:u w:val="single"/>
        </w:rPr>
        <w:t xml:space="preserve"> power</w:t>
      </w:r>
    </w:p>
    <w:p w14:paraId="2F2473B7" w14:textId="77777777" w:rsidR="007048FD" w:rsidRDefault="007048FD" w:rsidP="007048FD">
      <w:pPr>
        <w:rPr>
          <w:iCs/>
          <w:sz w:val="24"/>
          <w:szCs w:val="24"/>
        </w:rPr>
      </w:pPr>
    </w:p>
    <w:p w14:paraId="2477F45F" w14:textId="77777777" w:rsidR="007048FD" w:rsidRPr="00D70503" w:rsidRDefault="007048FD" w:rsidP="007048FD">
      <w:pPr>
        <w:rPr>
          <w:rFonts w:ascii="Times New Roman" w:hAnsi="Times New Roman"/>
          <w:iCs/>
          <w:sz w:val="24"/>
          <w:szCs w:val="24"/>
        </w:rPr>
      </w:pPr>
      <w:r w:rsidRPr="00D70503">
        <w:rPr>
          <w:rFonts w:ascii="Times New Roman" w:hAnsi="Times New Roman"/>
          <w:iCs/>
          <w:sz w:val="24"/>
          <w:szCs w:val="24"/>
        </w:rPr>
        <w:t xml:space="preserve">Section 51(i) of the Constitution empowers the Parliament to make laws with respect to ‘trade and commerce with other countries, and among the states’. </w:t>
      </w:r>
    </w:p>
    <w:p w14:paraId="28E69F87" w14:textId="77777777" w:rsidR="007048FD" w:rsidRPr="00D70503" w:rsidRDefault="007048FD" w:rsidP="007048FD">
      <w:pPr>
        <w:rPr>
          <w:rFonts w:ascii="Times New Roman" w:hAnsi="Times New Roman"/>
          <w:iCs/>
          <w:sz w:val="24"/>
          <w:szCs w:val="24"/>
        </w:rPr>
      </w:pPr>
    </w:p>
    <w:p w14:paraId="3282CEAB" w14:textId="77777777" w:rsidR="007048FD" w:rsidRPr="00D70503" w:rsidRDefault="007048FD" w:rsidP="007048FD">
      <w:pPr>
        <w:rPr>
          <w:rFonts w:ascii="Times New Roman" w:hAnsi="Times New Roman"/>
          <w:iCs/>
          <w:sz w:val="24"/>
          <w:szCs w:val="24"/>
        </w:rPr>
      </w:pPr>
      <w:r w:rsidRPr="00D70503">
        <w:rPr>
          <w:rFonts w:ascii="Times New Roman" w:hAnsi="Times New Roman"/>
          <w:iCs/>
          <w:sz w:val="24"/>
          <w:szCs w:val="24"/>
        </w:rPr>
        <w:t xml:space="preserve">Many of the activities to be funded </w:t>
      </w:r>
      <w:r>
        <w:rPr>
          <w:rFonts w:ascii="Times New Roman" w:hAnsi="Times New Roman"/>
          <w:iCs/>
          <w:sz w:val="24"/>
          <w:szCs w:val="24"/>
        </w:rPr>
        <w:t>under</w:t>
      </w:r>
      <w:r w:rsidRPr="00D70503">
        <w:rPr>
          <w:rFonts w:ascii="Times New Roman" w:hAnsi="Times New Roman"/>
          <w:iCs/>
          <w:sz w:val="24"/>
          <w:szCs w:val="24"/>
        </w:rPr>
        <w:t xml:space="preserve"> the program are directly related to promoting international trade in hydrogen, through export hubs and international hydrogen supply chains. Interstate trade in hydrogen is also likely to be supported. </w:t>
      </w:r>
    </w:p>
    <w:p w14:paraId="5F3F3AAE" w14:textId="77777777" w:rsidR="007048FD" w:rsidRDefault="007048FD" w:rsidP="007048FD">
      <w:pPr>
        <w:rPr>
          <w:rFonts w:ascii="Times New Roman" w:hAnsi="Times New Roman"/>
          <w:i/>
          <w:iCs/>
          <w:sz w:val="24"/>
          <w:szCs w:val="24"/>
          <w:u w:val="single"/>
        </w:rPr>
      </w:pPr>
    </w:p>
    <w:p w14:paraId="17BB06C5" w14:textId="77777777" w:rsidR="007048FD" w:rsidRPr="00A651A2" w:rsidRDefault="007048FD" w:rsidP="007048FD">
      <w:pPr>
        <w:rPr>
          <w:rFonts w:ascii="Times New Roman" w:hAnsi="Times New Roman"/>
          <w:i/>
          <w:iCs/>
          <w:sz w:val="24"/>
          <w:szCs w:val="24"/>
          <w:u w:val="single"/>
        </w:rPr>
      </w:pPr>
      <w:r w:rsidRPr="00A651A2">
        <w:rPr>
          <w:rFonts w:ascii="Times New Roman" w:hAnsi="Times New Roman"/>
          <w:i/>
          <w:iCs/>
          <w:sz w:val="24"/>
          <w:szCs w:val="24"/>
          <w:u w:val="single"/>
        </w:rPr>
        <w:t>External affairs power</w:t>
      </w:r>
    </w:p>
    <w:p w14:paraId="7CFF7A12" w14:textId="77777777" w:rsidR="007048FD" w:rsidRDefault="007048FD" w:rsidP="007048FD">
      <w:pPr>
        <w:rPr>
          <w:rFonts w:ascii="Times New Roman" w:hAnsi="Times New Roman"/>
          <w:iCs/>
          <w:sz w:val="24"/>
          <w:szCs w:val="24"/>
        </w:rPr>
      </w:pPr>
    </w:p>
    <w:p w14:paraId="6FFB01D1" w14:textId="77777777" w:rsidR="007048FD" w:rsidRDefault="007048FD" w:rsidP="007048FD">
      <w:pPr>
        <w:rPr>
          <w:rFonts w:ascii="Times New Roman" w:hAnsi="Times New Roman"/>
          <w:iCs/>
          <w:sz w:val="24"/>
          <w:szCs w:val="24"/>
        </w:rPr>
      </w:pPr>
      <w:r w:rsidRPr="00CD56EF">
        <w:rPr>
          <w:rFonts w:ascii="Times New Roman" w:hAnsi="Times New Roman"/>
          <w:iCs/>
          <w:sz w:val="24"/>
          <w:szCs w:val="24"/>
        </w:rPr>
        <w:t>The external affairs power supports legislation implementing Australia’s obligations under international treaties to which it is a party.</w:t>
      </w:r>
    </w:p>
    <w:p w14:paraId="0B81A3BE" w14:textId="77777777" w:rsidR="007048FD" w:rsidRPr="00CD56EF" w:rsidRDefault="007048FD" w:rsidP="007048FD">
      <w:pPr>
        <w:rPr>
          <w:rFonts w:ascii="Times New Roman" w:hAnsi="Times New Roman"/>
          <w:iCs/>
          <w:sz w:val="24"/>
          <w:szCs w:val="24"/>
        </w:rPr>
      </w:pPr>
    </w:p>
    <w:p w14:paraId="07736A65" w14:textId="77777777" w:rsidR="007048FD" w:rsidRDefault="007048FD" w:rsidP="007048FD">
      <w:pPr>
        <w:rPr>
          <w:rFonts w:ascii="Times New Roman" w:hAnsi="Times New Roman"/>
          <w:iCs/>
          <w:sz w:val="24"/>
          <w:szCs w:val="24"/>
        </w:rPr>
      </w:pPr>
      <w:r w:rsidRPr="00CD56EF">
        <w:rPr>
          <w:rFonts w:ascii="Times New Roman" w:hAnsi="Times New Roman"/>
          <w:iCs/>
          <w:sz w:val="24"/>
          <w:szCs w:val="24"/>
        </w:rPr>
        <w:t xml:space="preserve">The </w:t>
      </w:r>
      <w:r w:rsidRPr="00CD56EF">
        <w:rPr>
          <w:rFonts w:ascii="Times New Roman" w:hAnsi="Times New Roman"/>
          <w:i/>
          <w:iCs/>
          <w:sz w:val="24"/>
          <w:szCs w:val="24"/>
        </w:rPr>
        <w:t>United Nations Framework Convention on Climate Change</w:t>
      </w:r>
      <w:r w:rsidRPr="00CD56EF">
        <w:rPr>
          <w:rFonts w:ascii="Times New Roman" w:hAnsi="Times New Roman"/>
          <w:iCs/>
          <w:sz w:val="24"/>
          <w:szCs w:val="24"/>
        </w:rPr>
        <w:t xml:space="preserve"> [1994] ATS 2 (</w:t>
      </w:r>
      <w:r>
        <w:rPr>
          <w:rFonts w:ascii="Times New Roman" w:hAnsi="Times New Roman"/>
          <w:iCs/>
          <w:sz w:val="24"/>
          <w:szCs w:val="24"/>
        </w:rPr>
        <w:t xml:space="preserve">the </w:t>
      </w:r>
      <w:r w:rsidRPr="00CD56EF">
        <w:rPr>
          <w:rFonts w:ascii="Times New Roman" w:hAnsi="Times New Roman"/>
          <w:iCs/>
          <w:sz w:val="24"/>
          <w:szCs w:val="24"/>
        </w:rPr>
        <w:t xml:space="preserve">UNFCCC) includes a range of obligations on Australia to take domestic actions that reduce Australia’s emissions of greenhouse gases. </w:t>
      </w:r>
    </w:p>
    <w:p w14:paraId="71C56B45" w14:textId="77777777" w:rsidR="007048FD" w:rsidRPr="00CD56EF" w:rsidRDefault="007048FD" w:rsidP="007048FD">
      <w:pPr>
        <w:rPr>
          <w:rFonts w:ascii="Times New Roman" w:hAnsi="Times New Roman"/>
          <w:iCs/>
          <w:sz w:val="24"/>
          <w:szCs w:val="24"/>
        </w:rPr>
      </w:pPr>
      <w:r w:rsidRPr="00CD56EF">
        <w:rPr>
          <w:rFonts w:ascii="Times New Roman" w:hAnsi="Times New Roman"/>
          <w:iCs/>
          <w:sz w:val="24"/>
          <w:szCs w:val="24"/>
        </w:rPr>
        <w:t xml:space="preserve"> </w:t>
      </w:r>
    </w:p>
    <w:p w14:paraId="3DB13A51" w14:textId="77777777" w:rsidR="007048FD" w:rsidRPr="00CD56EF" w:rsidRDefault="007048FD" w:rsidP="007048FD">
      <w:pPr>
        <w:rPr>
          <w:rFonts w:ascii="Times New Roman" w:hAnsi="Times New Roman"/>
          <w:iCs/>
          <w:sz w:val="24"/>
          <w:szCs w:val="24"/>
        </w:rPr>
      </w:pPr>
      <w:r w:rsidRPr="00CD56EF">
        <w:rPr>
          <w:rFonts w:ascii="Times New Roman" w:hAnsi="Times New Roman"/>
          <w:iCs/>
          <w:sz w:val="24"/>
          <w:szCs w:val="24"/>
        </w:rPr>
        <w:t>The UNFCCC relevantly provides that Australia shall:</w:t>
      </w:r>
    </w:p>
    <w:p w14:paraId="5316FFD4" w14:textId="77777777" w:rsidR="007048FD" w:rsidRPr="00CD56EF" w:rsidRDefault="007048FD" w:rsidP="007048FD">
      <w:pPr>
        <w:pStyle w:val="ListParagraph"/>
        <w:numPr>
          <w:ilvl w:val="0"/>
          <w:numId w:val="19"/>
        </w:numPr>
        <w:ind w:right="57"/>
        <w:contextualSpacing w:val="0"/>
        <w:rPr>
          <w:rFonts w:cs="Times New Roman"/>
        </w:rPr>
      </w:pPr>
      <w:r w:rsidRPr="66592093">
        <w:rPr>
          <w:rFonts w:cs="Times New Roman"/>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34615004" w14:textId="77777777" w:rsidR="007048FD" w:rsidRPr="00CD56EF" w:rsidRDefault="007048FD" w:rsidP="007048FD">
      <w:pPr>
        <w:pStyle w:val="ListParagraph"/>
        <w:numPr>
          <w:ilvl w:val="0"/>
          <w:numId w:val="19"/>
        </w:numPr>
        <w:ind w:right="57"/>
        <w:contextualSpacing w:val="0"/>
        <w:rPr>
          <w:rFonts w:cs="Times New Roman"/>
        </w:rPr>
      </w:pPr>
      <w:r w:rsidRPr="66592093">
        <w:rPr>
          <w:rFonts w:cs="Times New Roman"/>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14:paraId="144787CA" w14:textId="77777777" w:rsidR="007048FD" w:rsidRPr="00CD56EF" w:rsidRDefault="007048FD" w:rsidP="007048FD">
      <w:pPr>
        <w:pStyle w:val="ListParagraph"/>
        <w:numPr>
          <w:ilvl w:val="0"/>
          <w:numId w:val="19"/>
        </w:numPr>
        <w:ind w:right="57"/>
        <w:contextualSpacing w:val="0"/>
        <w:rPr>
          <w:rFonts w:cs="Times New Roman"/>
        </w:rPr>
      </w:pPr>
      <w:r w:rsidRPr="66592093">
        <w:rPr>
          <w:rFonts w:cs="Times New Roman"/>
        </w:rPr>
        <w:t>adopt national policies and take corresponding measures on the mitigation of climate change, by limiting its anthropogenic emissions of greenhouse gases and protecting and enhancing its greenhouse gas sinks and reservoirs (Article 4.2(a)).</w:t>
      </w:r>
    </w:p>
    <w:p w14:paraId="17311E29" w14:textId="77777777" w:rsidR="007048FD" w:rsidRPr="00CD56EF" w:rsidRDefault="007048FD" w:rsidP="007048FD">
      <w:pPr>
        <w:pStyle w:val="ListParagraph"/>
        <w:ind w:right="57"/>
        <w:contextualSpacing w:val="0"/>
        <w:rPr>
          <w:rFonts w:cs="Times New Roman"/>
          <w:color w:val="000000"/>
          <w:szCs w:val="24"/>
        </w:rPr>
      </w:pPr>
    </w:p>
    <w:p w14:paraId="525ED333" w14:textId="77777777" w:rsidR="007048FD" w:rsidRDefault="007048FD" w:rsidP="007048FD">
      <w:pPr>
        <w:rPr>
          <w:rFonts w:ascii="Times New Roman" w:hAnsi="Times New Roman"/>
          <w:iCs/>
          <w:sz w:val="24"/>
          <w:szCs w:val="24"/>
        </w:rPr>
      </w:pPr>
      <w:r w:rsidRPr="008336DB">
        <w:rPr>
          <w:rFonts w:ascii="Times New Roman" w:hAnsi="Times New Roman"/>
          <w:iCs/>
          <w:sz w:val="24"/>
          <w:szCs w:val="24"/>
        </w:rPr>
        <w:t xml:space="preserve">The </w:t>
      </w:r>
      <w:r w:rsidRPr="008336DB">
        <w:rPr>
          <w:rFonts w:ascii="Times New Roman" w:hAnsi="Times New Roman"/>
          <w:i/>
          <w:iCs/>
          <w:sz w:val="24"/>
          <w:szCs w:val="24"/>
        </w:rPr>
        <w:t>Kyoto Protocol to the United Nations Framework Convention on Climate Change</w:t>
      </w:r>
      <w:r w:rsidRPr="008336DB">
        <w:rPr>
          <w:rFonts w:ascii="Times New Roman" w:hAnsi="Times New Roman"/>
          <w:iCs/>
          <w:sz w:val="24"/>
          <w:szCs w:val="24"/>
        </w:rPr>
        <w:t xml:space="preserve"> [2008] ATS 2 also includes obligations on Australia to take action to reduce emissions, such as Article 10(b). Article 10(b) imposes obligations to formulate, implement and report upon climate change mitigation and adaptation programs.</w:t>
      </w:r>
    </w:p>
    <w:p w14:paraId="1AD9303C" w14:textId="77777777" w:rsidR="007048FD" w:rsidRPr="008336DB" w:rsidRDefault="007048FD" w:rsidP="007048FD">
      <w:pPr>
        <w:rPr>
          <w:rFonts w:ascii="Times New Roman" w:hAnsi="Times New Roman"/>
          <w:iCs/>
          <w:sz w:val="24"/>
          <w:szCs w:val="24"/>
        </w:rPr>
      </w:pPr>
    </w:p>
    <w:p w14:paraId="191C2612" w14:textId="77777777" w:rsidR="007048FD" w:rsidRPr="00A651A2" w:rsidRDefault="007048FD" w:rsidP="007048FD">
      <w:pPr>
        <w:rPr>
          <w:rFonts w:ascii="Times New Roman" w:hAnsi="Times New Roman"/>
          <w:iCs/>
          <w:sz w:val="24"/>
          <w:szCs w:val="24"/>
        </w:rPr>
      </w:pPr>
      <w:r w:rsidRPr="008336DB">
        <w:rPr>
          <w:rFonts w:ascii="Times New Roman" w:hAnsi="Times New Roman"/>
          <w:iCs/>
          <w:sz w:val="24"/>
          <w:szCs w:val="24"/>
        </w:rPr>
        <w:lastRenderedPageBreak/>
        <w:t xml:space="preserve">The </w:t>
      </w:r>
      <w:r w:rsidRPr="008336DB">
        <w:rPr>
          <w:rFonts w:ascii="Times New Roman" w:hAnsi="Times New Roman"/>
          <w:i/>
          <w:iCs/>
          <w:sz w:val="24"/>
          <w:szCs w:val="24"/>
        </w:rPr>
        <w:t>Paris Agreement</w:t>
      </w:r>
      <w:r w:rsidRPr="008336DB">
        <w:rPr>
          <w:rFonts w:ascii="Times New Roman" w:hAnsi="Times New Roman"/>
          <w:iCs/>
          <w:sz w:val="24"/>
          <w:szCs w:val="24"/>
        </w:rPr>
        <w:t xml:space="preserve"> [2016] ATS 24 was entered into by the parties to the UNFCCC to enhance its implementation. Under the </w:t>
      </w:r>
      <w:r w:rsidRPr="00A651A2">
        <w:rPr>
          <w:rFonts w:ascii="Times New Roman" w:hAnsi="Times New Roman"/>
          <w:i/>
          <w:iCs/>
          <w:sz w:val="24"/>
          <w:szCs w:val="24"/>
        </w:rPr>
        <w:t>Paris Agreement</w:t>
      </w:r>
      <w:r w:rsidRPr="008336DB">
        <w:rPr>
          <w:rFonts w:ascii="Times New Roman" w:hAnsi="Times New Roman"/>
          <w:iCs/>
          <w:sz w:val="24"/>
          <w:szCs w:val="24"/>
        </w:rPr>
        <w:t xml:space="preserve">, Australia has a ‘nationally determined contribution’ of a 2030 emissions reduction target of 26 to 28 per cent below 2005 levels. Relevantly, Article 4.2 of the </w:t>
      </w:r>
      <w:r w:rsidRPr="00A651A2">
        <w:rPr>
          <w:rFonts w:ascii="Times New Roman" w:hAnsi="Times New Roman"/>
          <w:i/>
          <w:iCs/>
          <w:sz w:val="24"/>
          <w:szCs w:val="24"/>
        </w:rPr>
        <w:t>Paris Agreement</w:t>
      </w:r>
      <w:r w:rsidRPr="008336DB">
        <w:rPr>
          <w:rFonts w:ascii="Times New Roman" w:hAnsi="Times New Roman"/>
          <w:iCs/>
          <w:sz w:val="24"/>
          <w:szCs w:val="24"/>
        </w:rPr>
        <w:t xml:space="preserve"> provides that ‘[e]ach Party shall prepare, communicate and maintain successive nationally determined contributions that it intends to achieve. Parties shall pursue domestic mitigation measures, with the aim of achieving the objectives of such contributions’. </w:t>
      </w:r>
      <w:r w:rsidRPr="00A651A2">
        <w:rPr>
          <w:rFonts w:ascii="Times New Roman" w:hAnsi="Times New Roman"/>
          <w:iCs/>
          <w:sz w:val="24"/>
          <w:szCs w:val="24"/>
        </w:rPr>
        <w:t xml:space="preserve">The </w:t>
      </w:r>
      <w:r w:rsidRPr="00A651A2">
        <w:rPr>
          <w:rFonts w:ascii="Times New Roman" w:hAnsi="Times New Roman"/>
          <w:i/>
          <w:iCs/>
          <w:sz w:val="24"/>
          <w:szCs w:val="24"/>
        </w:rPr>
        <w:t>Paris Agreement</w:t>
      </w:r>
      <w:r w:rsidRPr="00A651A2">
        <w:rPr>
          <w:rFonts w:ascii="Times New Roman" w:hAnsi="Times New Roman"/>
          <w:iCs/>
          <w:sz w:val="24"/>
          <w:szCs w:val="24"/>
        </w:rPr>
        <w:t xml:space="preserve"> also include</w:t>
      </w:r>
      <w:r>
        <w:rPr>
          <w:rFonts w:ascii="Times New Roman" w:hAnsi="Times New Roman"/>
          <w:iCs/>
          <w:sz w:val="24"/>
          <w:szCs w:val="24"/>
        </w:rPr>
        <w:t>s</w:t>
      </w:r>
      <w:r w:rsidRPr="00A651A2">
        <w:rPr>
          <w:rFonts w:ascii="Times New Roman" w:hAnsi="Times New Roman"/>
          <w:iCs/>
          <w:sz w:val="24"/>
          <w:szCs w:val="24"/>
        </w:rPr>
        <w:t xml:space="preserve"> an obligation in Article 10.2 to ‘strengthen cooperative action on technology development and transfer’.  </w:t>
      </w:r>
    </w:p>
    <w:p w14:paraId="67ED43D3" w14:textId="77777777" w:rsidR="007048FD" w:rsidRDefault="007048FD" w:rsidP="007048FD">
      <w:pPr>
        <w:rPr>
          <w:rFonts w:ascii="Times New Roman" w:hAnsi="Times New Roman"/>
          <w:iCs/>
          <w:sz w:val="24"/>
          <w:szCs w:val="24"/>
        </w:rPr>
      </w:pPr>
    </w:p>
    <w:p w14:paraId="144FD3D7" w14:textId="77777777" w:rsidR="007048FD" w:rsidRPr="00A651A2" w:rsidRDefault="007048FD" w:rsidP="007048FD">
      <w:pPr>
        <w:rPr>
          <w:rFonts w:ascii="Times New Roman" w:hAnsi="Times New Roman"/>
          <w:iCs/>
          <w:sz w:val="24"/>
          <w:szCs w:val="24"/>
        </w:rPr>
      </w:pPr>
      <w:r w:rsidRPr="00A651A2">
        <w:rPr>
          <w:rFonts w:ascii="Times New Roman" w:hAnsi="Times New Roman"/>
          <w:iCs/>
          <w:sz w:val="24"/>
          <w:szCs w:val="24"/>
        </w:rPr>
        <w:t xml:space="preserve">Under the </w:t>
      </w:r>
      <w:r>
        <w:rPr>
          <w:rFonts w:ascii="Times New Roman" w:hAnsi="Times New Roman"/>
          <w:iCs/>
          <w:sz w:val="24"/>
          <w:szCs w:val="24"/>
        </w:rPr>
        <w:t>program</w:t>
      </w:r>
      <w:r w:rsidRPr="00A651A2">
        <w:rPr>
          <w:rFonts w:ascii="Times New Roman" w:hAnsi="Times New Roman"/>
          <w:iCs/>
          <w:sz w:val="24"/>
          <w:szCs w:val="24"/>
        </w:rPr>
        <w:t xml:space="preserve">, a range of activities and businesses related to hydrogen production, hydrogen demand, hydrogen export supply chains and </w:t>
      </w:r>
      <w:r>
        <w:rPr>
          <w:rFonts w:ascii="Times New Roman" w:hAnsi="Times New Roman"/>
          <w:iCs/>
          <w:sz w:val="24"/>
          <w:szCs w:val="24"/>
        </w:rPr>
        <w:t xml:space="preserve">a </w:t>
      </w:r>
      <w:r w:rsidRPr="00A651A2">
        <w:rPr>
          <w:rFonts w:ascii="Times New Roman" w:hAnsi="Times New Roman"/>
          <w:iCs/>
          <w:sz w:val="24"/>
          <w:szCs w:val="24"/>
        </w:rPr>
        <w:t>hydrogen export hu</w:t>
      </w:r>
      <w:r>
        <w:rPr>
          <w:rFonts w:ascii="Times New Roman" w:hAnsi="Times New Roman"/>
          <w:iCs/>
          <w:sz w:val="24"/>
          <w:szCs w:val="24"/>
        </w:rPr>
        <w:t xml:space="preserve">b </w:t>
      </w:r>
      <w:r w:rsidRPr="00A651A2">
        <w:rPr>
          <w:rFonts w:ascii="Times New Roman" w:hAnsi="Times New Roman"/>
          <w:iCs/>
          <w:sz w:val="24"/>
          <w:szCs w:val="24"/>
        </w:rPr>
        <w:t>w</w:t>
      </w:r>
      <w:r>
        <w:rPr>
          <w:rFonts w:ascii="Times New Roman" w:hAnsi="Times New Roman"/>
          <w:iCs/>
          <w:sz w:val="24"/>
          <w:szCs w:val="24"/>
        </w:rPr>
        <w:t>ill</w:t>
      </w:r>
      <w:r w:rsidRPr="00A651A2">
        <w:rPr>
          <w:rFonts w:ascii="Times New Roman" w:hAnsi="Times New Roman"/>
          <w:iCs/>
          <w:sz w:val="24"/>
          <w:szCs w:val="24"/>
        </w:rPr>
        <w:t xml:space="preserve"> be supported, with consequential increased use of clean hydrogen both in Australia and overseas. The use of hydrogen would displace higher emissions fossil fuel use and contribute to reducing emissions in Australia and overseas where exported hydrogen is used there. The reduced emissions resulting from the program in Australia will therefore contribute to Australia’s obligations to reduce greenhouse gas emissions under these treaties. Other activities related to technology development and transfer and overseas emissions reductions will contribute to other obligations under these treaties, such as Article 10.2 of the </w:t>
      </w:r>
      <w:r w:rsidRPr="00A651A2">
        <w:rPr>
          <w:rFonts w:ascii="Times New Roman" w:hAnsi="Times New Roman"/>
          <w:i/>
          <w:iCs/>
          <w:sz w:val="24"/>
          <w:szCs w:val="24"/>
        </w:rPr>
        <w:t>Paris Agreement</w:t>
      </w:r>
      <w:r w:rsidRPr="00A651A2">
        <w:rPr>
          <w:rFonts w:ascii="Times New Roman" w:hAnsi="Times New Roman"/>
          <w:iCs/>
          <w:sz w:val="24"/>
          <w:szCs w:val="24"/>
        </w:rPr>
        <w:t>.</w:t>
      </w:r>
    </w:p>
    <w:p w14:paraId="557E9EF2" w14:textId="77777777" w:rsidR="007048FD" w:rsidRPr="00A651A2" w:rsidRDefault="007048FD" w:rsidP="007048FD">
      <w:pPr>
        <w:rPr>
          <w:rFonts w:ascii="Times New Roman" w:hAnsi="Times New Roman"/>
          <w:iCs/>
          <w:sz w:val="24"/>
          <w:szCs w:val="24"/>
        </w:rPr>
      </w:pPr>
    </w:p>
    <w:p w14:paraId="75A47A76" w14:textId="77777777" w:rsidR="007048FD" w:rsidRPr="00A651A2" w:rsidRDefault="007048FD" w:rsidP="007048FD">
      <w:pPr>
        <w:rPr>
          <w:rFonts w:ascii="Times New Roman" w:hAnsi="Times New Roman"/>
          <w:iCs/>
          <w:sz w:val="24"/>
          <w:szCs w:val="24"/>
        </w:rPr>
      </w:pPr>
      <w:r w:rsidRPr="00A651A2">
        <w:rPr>
          <w:rFonts w:ascii="Times New Roman" w:hAnsi="Times New Roman"/>
          <w:iCs/>
          <w:sz w:val="24"/>
          <w:szCs w:val="24"/>
        </w:rPr>
        <w:t xml:space="preserve">The external affairs power also supports legislation with respect to matters or things outside the geographical limits of Australia. Aspects of this program will support activities outside Australia necessary to develop international supply chains for hydrogen production. </w:t>
      </w:r>
    </w:p>
    <w:p w14:paraId="41FAE4D2" w14:textId="77777777" w:rsidR="007048FD" w:rsidRDefault="007048FD" w:rsidP="007048FD">
      <w:pPr>
        <w:rPr>
          <w:rFonts w:ascii="Times New Roman" w:hAnsi="Times New Roman"/>
          <w:iCs/>
          <w:sz w:val="24"/>
          <w:szCs w:val="24"/>
        </w:rPr>
      </w:pPr>
    </w:p>
    <w:p w14:paraId="5129321E" w14:textId="77777777" w:rsidR="007048FD" w:rsidRDefault="007048FD" w:rsidP="007048FD">
      <w:pPr>
        <w:pStyle w:val="BoswellMediaHeader"/>
        <w:jc w:val="left"/>
        <w:rPr>
          <w:rFonts w:ascii="Times New Roman" w:hAnsi="Times New Roman"/>
          <w:i/>
          <w:noProof w:val="0"/>
          <w:sz w:val="24"/>
          <w:u w:val="single"/>
        </w:rPr>
      </w:pPr>
      <w:r w:rsidRPr="00BC03A7">
        <w:rPr>
          <w:rFonts w:ascii="Times New Roman" w:hAnsi="Times New Roman"/>
          <w:i/>
          <w:noProof w:val="0"/>
          <w:sz w:val="24"/>
          <w:u w:val="single"/>
        </w:rPr>
        <w:t>Power to grant financial assistance to States</w:t>
      </w:r>
      <w:r>
        <w:rPr>
          <w:rFonts w:ascii="Times New Roman" w:hAnsi="Times New Roman"/>
          <w:i/>
          <w:noProof w:val="0"/>
          <w:sz w:val="24"/>
          <w:u w:val="single"/>
        </w:rPr>
        <w:t xml:space="preserve"> </w:t>
      </w:r>
    </w:p>
    <w:p w14:paraId="34747CF8" w14:textId="77777777" w:rsidR="007048FD" w:rsidRDefault="007048FD" w:rsidP="007048FD">
      <w:pPr>
        <w:pStyle w:val="BoswellMediaHeader"/>
        <w:jc w:val="left"/>
        <w:rPr>
          <w:rFonts w:ascii="Times New Roman" w:hAnsi="Times New Roman"/>
          <w:i/>
          <w:noProof w:val="0"/>
          <w:sz w:val="24"/>
          <w:u w:val="single"/>
        </w:rPr>
      </w:pPr>
    </w:p>
    <w:p w14:paraId="73EB084A" w14:textId="77777777" w:rsidR="007048FD" w:rsidRDefault="007048FD" w:rsidP="007048FD">
      <w:pPr>
        <w:rPr>
          <w:rFonts w:ascii="Times New Roman" w:hAnsi="Times New Roman"/>
          <w:sz w:val="24"/>
          <w:szCs w:val="24"/>
          <w:lang w:val="en-GB"/>
        </w:rPr>
      </w:pPr>
      <w:r w:rsidRPr="00BC03A7">
        <w:rPr>
          <w:rFonts w:ascii="Times New Roman" w:hAnsi="Times New Roman"/>
          <w:sz w:val="24"/>
          <w:szCs w:val="24"/>
          <w:lang w:val="en-GB"/>
        </w:rPr>
        <w:t xml:space="preserve">Section 96 of the Constitution empowers the Parliament to ‘grant financial assistance to any State on such terms and conditions as the Parliament thinks fit’. </w:t>
      </w:r>
    </w:p>
    <w:p w14:paraId="1AA9E2B1" w14:textId="77777777" w:rsidR="007048FD" w:rsidRDefault="007048FD" w:rsidP="007048FD">
      <w:pPr>
        <w:rPr>
          <w:rFonts w:ascii="Times New Roman" w:hAnsi="Times New Roman"/>
          <w:sz w:val="24"/>
          <w:szCs w:val="24"/>
          <w:lang w:val="en-GB"/>
        </w:rPr>
      </w:pPr>
    </w:p>
    <w:p w14:paraId="026A51AF" w14:textId="72A2DF82" w:rsidR="007048FD" w:rsidRPr="00BC03A7" w:rsidRDefault="007048FD" w:rsidP="007048FD">
      <w:pPr>
        <w:rPr>
          <w:rFonts w:ascii="Times New Roman" w:eastAsiaTheme="minorHAnsi" w:hAnsi="Times New Roman"/>
          <w:sz w:val="24"/>
          <w:szCs w:val="24"/>
          <w:lang w:val="en-GB"/>
        </w:rPr>
      </w:pPr>
      <w:r>
        <w:rPr>
          <w:rFonts w:ascii="Times New Roman" w:hAnsi="Times New Roman"/>
          <w:sz w:val="24"/>
          <w:szCs w:val="24"/>
          <w:lang w:val="en-GB"/>
        </w:rPr>
        <w:t>F</w:t>
      </w:r>
      <w:r w:rsidRPr="00BC03A7">
        <w:rPr>
          <w:rFonts w:ascii="Times New Roman" w:hAnsi="Times New Roman"/>
          <w:sz w:val="24"/>
          <w:szCs w:val="24"/>
          <w:lang w:val="en-GB"/>
        </w:rPr>
        <w:t xml:space="preserve">inancial assistance </w:t>
      </w:r>
      <w:r>
        <w:rPr>
          <w:rFonts w:ascii="Times New Roman" w:hAnsi="Times New Roman"/>
          <w:sz w:val="24"/>
          <w:szCs w:val="24"/>
          <w:lang w:val="en-GB"/>
        </w:rPr>
        <w:t xml:space="preserve">may be </w:t>
      </w:r>
      <w:r w:rsidRPr="00BC03A7">
        <w:rPr>
          <w:rFonts w:ascii="Times New Roman" w:hAnsi="Times New Roman"/>
          <w:sz w:val="24"/>
          <w:szCs w:val="24"/>
          <w:lang w:val="en-GB"/>
        </w:rPr>
        <w:t xml:space="preserve">provided </w:t>
      </w:r>
      <w:r>
        <w:rPr>
          <w:rFonts w:ascii="Times New Roman" w:hAnsi="Times New Roman"/>
          <w:sz w:val="24"/>
          <w:szCs w:val="24"/>
          <w:lang w:val="en-GB"/>
        </w:rPr>
        <w:t>under</w:t>
      </w:r>
      <w:r w:rsidRPr="00BC03A7">
        <w:rPr>
          <w:rFonts w:ascii="Times New Roman" w:hAnsi="Times New Roman"/>
          <w:sz w:val="24"/>
          <w:szCs w:val="24"/>
          <w:lang w:val="en-GB"/>
        </w:rPr>
        <w:t xml:space="preserve"> the program to </w:t>
      </w:r>
      <w:r w:rsidR="00A532C4">
        <w:rPr>
          <w:rFonts w:ascii="Times New Roman" w:hAnsi="Times New Roman"/>
          <w:sz w:val="24"/>
          <w:szCs w:val="24"/>
          <w:lang w:val="en-GB"/>
        </w:rPr>
        <w:t>s</w:t>
      </w:r>
      <w:r w:rsidRPr="00BC03A7">
        <w:rPr>
          <w:rFonts w:ascii="Times New Roman" w:hAnsi="Times New Roman"/>
          <w:sz w:val="24"/>
          <w:szCs w:val="24"/>
          <w:lang w:val="en-GB"/>
        </w:rPr>
        <w:t xml:space="preserve">tate governments. </w:t>
      </w:r>
    </w:p>
    <w:p w14:paraId="43CC4E96" w14:textId="77777777" w:rsidR="007048FD" w:rsidRPr="00BC03A7" w:rsidRDefault="007048FD" w:rsidP="007048FD">
      <w:pPr>
        <w:rPr>
          <w:rFonts w:ascii="Times New Roman" w:hAnsi="Times New Roman"/>
          <w:sz w:val="24"/>
          <w:szCs w:val="24"/>
          <w:lang w:val="en-GB"/>
        </w:rPr>
      </w:pPr>
    </w:p>
    <w:p w14:paraId="0FEFAA30" w14:textId="77777777" w:rsidR="007048FD" w:rsidRPr="00BC03A7" w:rsidRDefault="007048FD" w:rsidP="007048FD">
      <w:pPr>
        <w:pStyle w:val="BoswellMediaHeader"/>
        <w:jc w:val="left"/>
        <w:rPr>
          <w:rFonts w:ascii="Times New Roman" w:hAnsi="Times New Roman"/>
          <w:i/>
          <w:noProof w:val="0"/>
          <w:sz w:val="24"/>
          <w:u w:val="single"/>
        </w:rPr>
      </w:pPr>
      <w:r w:rsidRPr="00BC03A7">
        <w:rPr>
          <w:rFonts w:ascii="Times New Roman" w:hAnsi="Times New Roman"/>
          <w:i/>
          <w:noProof w:val="0"/>
          <w:sz w:val="24"/>
          <w:u w:val="single"/>
        </w:rPr>
        <w:t>Territories power</w:t>
      </w:r>
    </w:p>
    <w:p w14:paraId="7860A7CF" w14:textId="77777777" w:rsidR="007048FD" w:rsidRPr="00BC03A7" w:rsidRDefault="007048FD" w:rsidP="007048FD">
      <w:pPr>
        <w:rPr>
          <w:rFonts w:ascii="Times New Roman" w:hAnsi="Times New Roman"/>
          <w:iCs/>
          <w:sz w:val="24"/>
          <w:szCs w:val="24"/>
        </w:rPr>
      </w:pPr>
    </w:p>
    <w:p w14:paraId="2F12AF21" w14:textId="77777777" w:rsidR="007048FD" w:rsidRPr="00BC03A7" w:rsidRDefault="007048FD" w:rsidP="007048FD">
      <w:pPr>
        <w:rPr>
          <w:rFonts w:ascii="Times New Roman" w:hAnsi="Times New Roman"/>
          <w:sz w:val="24"/>
          <w:szCs w:val="24"/>
          <w:lang w:val="en-GB"/>
        </w:rPr>
      </w:pPr>
      <w:r w:rsidRPr="00BC03A7">
        <w:rPr>
          <w:rFonts w:ascii="Times New Roman" w:hAnsi="Times New Roman"/>
          <w:sz w:val="24"/>
          <w:szCs w:val="24"/>
          <w:lang w:val="en-GB"/>
        </w:rPr>
        <w:t xml:space="preserve">Section 122 of the Constitution empowers the Parliament to ‘make laws for the government of any territory’. </w:t>
      </w:r>
    </w:p>
    <w:p w14:paraId="7AD5536F" w14:textId="77777777" w:rsidR="007048FD" w:rsidRPr="00BC03A7" w:rsidRDefault="007048FD" w:rsidP="007048FD">
      <w:pPr>
        <w:rPr>
          <w:rFonts w:ascii="Times New Roman" w:hAnsi="Times New Roman"/>
          <w:sz w:val="24"/>
          <w:szCs w:val="24"/>
          <w:lang w:val="en-GB"/>
        </w:rPr>
      </w:pPr>
    </w:p>
    <w:p w14:paraId="64EED058" w14:textId="62C80DFE" w:rsidR="007048FD" w:rsidRPr="00BC03A7" w:rsidRDefault="007048FD" w:rsidP="007048FD">
      <w:pPr>
        <w:rPr>
          <w:rFonts w:ascii="Times New Roman" w:eastAsiaTheme="minorHAnsi" w:hAnsi="Times New Roman"/>
          <w:sz w:val="24"/>
          <w:szCs w:val="24"/>
          <w:lang w:val="en-GB"/>
        </w:rPr>
      </w:pPr>
      <w:r>
        <w:rPr>
          <w:rFonts w:ascii="Times New Roman" w:hAnsi="Times New Roman"/>
          <w:sz w:val="24"/>
          <w:szCs w:val="24"/>
          <w:lang w:val="en-GB"/>
        </w:rPr>
        <w:t>F</w:t>
      </w:r>
      <w:r w:rsidRPr="00BC03A7">
        <w:rPr>
          <w:rFonts w:ascii="Times New Roman" w:hAnsi="Times New Roman"/>
          <w:sz w:val="24"/>
          <w:szCs w:val="24"/>
          <w:lang w:val="en-GB"/>
        </w:rPr>
        <w:t xml:space="preserve">inancial assistance </w:t>
      </w:r>
      <w:r>
        <w:rPr>
          <w:rFonts w:ascii="Times New Roman" w:hAnsi="Times New Roman"/>
          <w:sz w:val="24"/>
          <w:szCs w:val="24"/>
          <w:lang w:val="en-GB"/>
        </w:rPr>
        <w:t xml:space="preserve">may be </w:t>
      </w:r>
      <w:r w:rsidRPr="00BC03A7">
        <w:rPr>
          <w:rFonts w:ascii="Times New Roman" w:hAnsi="Times New Roman"/>
          <w:sz w:val="24"/>
          <w:szCs w:val="24"/>
          <w:lang w:val="en-GB"/>
        </w:rPr>
        <w:t xml:space="preserve">provided </w:t>
      </w:r>
      <w:r>
        <w:rPr>
          <w:rFonts w:ascii="Times New Roman" w:hAnsi="Times New Roman"/>
          <w:sz w:val="24"/>
          <w:szCs w:val="24"/>
          <w:lang w:val="en-GB"/>
        </w:rPr>
        <w:t>under</w:t>
      </w:r>
      <w:r w:rsidRPr="00BC03A7">
        <w:rPr>
          <w:rFonts w:ascii="Times New Roman" w:hAnsi="Times New Roman"/>
          <w:sz w:val="24"/>
          <w:szCs w:val="24"/>
          <w:lang w:val="en-GB"/>
        </w:rPr>
        <w:t xml:space="preserve"> the program to </w:t>
      </w:r>
      <w:r w:rsidR="00A532C4">
        <w:rPr>
          <w:rFonts w:ascii="Times New Roman" w:hAnsi="Times New Roman"/>
          <w:sz w:val="24"/>
          <w:szCs w:val="24"/>
          <w:lang w:val="en-GB"/>
        </w:rPr>
        <w:t>t</w:t>
      </w:r>
      <w:r w:rsidRPr="00BC03A7">
        <w:rPr>
          <w:rFonts w:ascii="Times New Roman" w:hAnsi="Times New Roman"/>
          <w:sz w:val="24"/>
          <w:szCs w:val="24"/>
          <w:lang w:val="en-GB"/>
        </w:rPr>
        <w:t xml:space="preserve">erritory governments. </w:t>
      </w:r>
    </w:p>
    <w:p w14:paraId="7C9D5E27" w14:textId="77777777" w:rsidR="007048FD" w:rsidRDefault="007048FD" w:rsidP="000115EE">
      <w:pPr>
        <w:rPr>
          <w:rFonts w:ascii="Times New Roman" w:hAnsi="Times New Roman"/>
          <w:iCs/>
          <w:sz w:val="24"/>
          <w:szCs w:val="24"/>
        </w:rPr>
      </w:pPr>
    </w:p>
    <w:p w14:paraId="421B8596" w14:textId="77777777" w:rsidR="00293C06" w:rsidRDefault="00293C06" w:rsidP="000115EE">
      <w:pPr>
        <w:rPr>
          <w:rFonts w:ascii="Times New Roman" w:hAnsi="Times New Roman"/>
          <w:iCs/>
          <w:sz w:val="24"/>
          <w:szCs w:val="24"/>
        </w:rPr>
      </w:pPr>
    </w:p>
    <w:p w14:paraId="34E0985F" w14:textId="77777777" w:rsidR="00B85418" w:rsidRPr="00DC5E86" w:rsidRDefault="00B85418" w:rsidP="00B85418">
      <w:pPr>
        <w:rPr>
          <w:rFonts w:ascii="Times New Roman" w:hAnsi="Times New Roman"/>
          <w:iCs/>
          <w:sz w:val="24"/>
          <w:szCs w:val="24"/>
        </w:rPr>
      </w:pPr>
      <w:r w:rsidRPr="00DC5E86">
        <w:rPr>
          <w:rFonts w:ascii="Times New Roman" w:hAnsi="Times New Roman"/>
          <w:iCs/>
          <w:sz w:val="24"/>
          <w:szCs w:val="24"/>
        </w:rPr>
        <w:t xml:space="preserve">   </w:t>
      </w:r>
    </w:p>
    <w:p w14:paraId="274235ED" w14:textId="77777777" w:rsidR="00B85418" w:rsidRPr="00DC5E86" w:rsidRDefault="00B85418" w:rsidP="00EF5414">
      <w:pPr>
        <w:pStyle w:val="Quotation1"/>
        <w:numPr>
          <w:ilvl w:val="0"/>
          <w:numId w:val="0"/>
        </w:numPr>
        <w:spacing w:after="0" w:line="240" w:lineRule="auto"/>
        <w:rPr>
          <w:rFonts w:ascii="Times New Roman" w:hAnsi="Times New Roman" w:cs="Times New Roman"/>
          <w:sz w:val="24"/>
          <w:szCs w:val="24"/>
          <w:lang w:val="en" w:eastAsia="en-US"/>
        </w:rPr>
      </w:pPr>
    </w:p>
    <w:p w14:paraId="321B8E87" w14:textId="77777777" w:rsidR="008353C5" w:rsidRPr="00DC5E86" w:rsidRDefault="008353C5" w:rsidP="00EF5414">
      <w:pPr>
        <w:spacing w:after="200" w:line="276" w:lineRule="auto"/>
        <w:rPr>
          <w:rFonts w:ascii="Times New Roman" w:eastAsiaTheme="minorHAnsi" w:hAnsi="Times New Roman"/>
          <w:sz w:val="24"/>
          <w:szCs w:val="24"/>
          <w:lang w:eastAsia="en-US"/>
        </w:rPr>
        <w:sectPr w:rsidR="008353C5" w:rsidRPr="00DC5E86"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6637AB2E" w14:textId="77777777" w:rsidR="00BF526C" w:rsidRPr="00DC5E86" w:rsidRDefault="00BF526C" w:rsidP="00EF5414">
      <w:pPr>
        <w:contextualSpacing/>
        <w:jc w:val="center"/>
        <w:rPr>
          <w:rFonts w:ascii="Times New Roman" w:eastAsia="Times New Roman" w:hAnsi="Times New Roman"/>
          <w:b/>
          <w:bCs/>
          <w:sz w:val="24"/>
          <w:szCs w:val="24"/>
        </w:rPr>
      </w:pPr>
      <w:r w:rsidRPr="00DC5E86">
        <w:rPr>
          <w:rFonts w:ascii="Times New Roman" w:eastAsia="Times New Roman" w:hAnsi="Times New Roman"/>
          <w:b/>
          <w:bCs/>
          <w:sz w:val="24"/>
          <w:szCs w:val="24"/>
        </w:rPr>
        <w:lastRenderedPageBreak/>
        <w:t>Statement of Compatibility with Human Rights</w:t>
      </w:r>
    </w:p>
    <w:p w14:paraId="00AEF143" w14:textId="77777777" w:rsidR="00BF526C" w:rsidRPr="00DC5E86" w:rsidRDefault="00BF526C" w:rsidP="00EF5414">
      <w:pPr>
        <w:pStyle w:val="paranumbering0"/>
        <w:spacing w:before="0" w:beforeAutospacing="0" w:after="0" w:afterAutospacing="0"/>
        <w:contextualSpacing/>
        <w:jc w:val="center"/>
      </w:pPr>
    </w:p>
    <w:p w14:paraId="526A39E2" w14:textId="77777777" w:rsidR="00BF526C" w:rsidRPr="00DC5E86" w:rsidRDefault="00BF526C" w:rsidP="009B2392">
      <w:pPr>
        <w:pStyle w:val="paranumbering0"/>
        <w:spacing w:before="0" w:beforeAutospacing="0" w:after="120" w:afterAutospacing="0"/>
        <w:contextualSpacing/>
      </w:pPr>
      <w:r w:rsidRPr="00DC5E86">
        <w:t xml:space="preserve">Prepared in accordance with Part 3 of the </w:t>
      </w:r>
      <w:r w:rsidRPr="00DC5E86">
        <w:rPr>
          <w:i/>
        </w:rPr>
        <w:t>Human Rights (Parliamentary Scrutiny) Act 2011</w:t>
      </w:r>
    </w:p>
    <w:p w14:paraId="503B62D3" w14:textId="77777777" w:rsidR="00BF526C" w:rsidRPr="00DC5E86" w:rsidRDefault="00BF526C" w:rsidP="00EF5414">
      <w:pPr>
        <w:pStyle w:val="paranumbering0"/>
        <w:spacing w:before="0" w:beforeAutospacing="0" w:after="120" w:afterAutospacing="0"/>
        <w:contextualSpacing/>
      </w:pPr>
    </w:p>
    <w:p w14:paraId="114B2826" w14:textId="77777777" w:rsidR="00BF526C" w:rsidRPr="00DC5E86" w:rsidRDefault="00BF526C" w:rsidP="00EF5414">
      <w:pPr>
        <w:pStyle w:val="paranumbering0"/>
        <w:spacing w:before="0" w:beforeAutospacing="0" w:after="120" w:afterAutospacing="0"/>
        <w:contextualSpacing/>
        <w:rPr>
          <w:b/>
          <w:i/>
        </w:rPr>
      </w:pPr>
      <w:r w:rsidRPr="00DC5E86">
        <w:rPr>
          <w:b/>
          <w:i/>
        </w:rPr>
        <w:t xml:space="preserve">Financial Framework (Supplementary Powers) Amendment </w:t>
      </w:r>
      <w:r w:rsidRPr="00DC5E86">
        <w:rPr>
          <w:b/>
          <w:i/>
          <w:iCs/>
        </w:rPr>
        <w:t>(</w:t>
      </w:r>
      <w:r w:rsidR="008336DB" w:rsidRPr="008336DB">
        <w:rPr>
          <w:b/>
          <w:i/>
          <w:iCs/>
        </w:rPr>
        <w:t>Industry, Science, Energy and Resources Measures No. 2</w:t>
      </w:r>
      <w:r w:rsidRPr="00DC5E86">
        <w:rPr>
          <w:b/>
          <w:i/>
          <w:iCs/>
        </w:rPr>
        <w:t xml:space="preserve">) </w:t>
      </w:r>
      <w:r w:rsidR="00A900EC" w:rsidRPr="00DC5E86">
        <w:rPr>
          <w:b/>
          <w:i/>
        </w:rPr>
        <w:t xml:space="preserve">Regulations </w:t>
      </w:r>
      <w:r w:rsidR="007B14C9" w:rsidRPr="00DC5E86">
        <w:rPr>
          <w:b/>
          <w:i/>
        </w:rPr>
        <w:t>2020</w:t>
      </w:r>
    </w:p>
    <w:p w14:paraId="0B4FF813" w14:textId="77777777" w:rsidR="00BF526C" w:rsidRPr="00DC5E86" w:rsidRDefault="00BF526C" w:rsidP="00EF5414">
      <w:pPr>
        <w:pStyle w:val="paranumbering0"/>
        <w:spacing w:before="0" w:beforeAutospacing="0" w:after="120" w:afterAutospacing="0"/>
        <w:contextualSpacing/>
      </w:pPr>
    </w:p>
    <w:p w14:paraId="15ECA235" w14:textId="77777777" w:rsidR="00BF526C" w:rsidRPr="00DC5E86" w:rsidRDefault="00E62C07" w:rsidP="00EF5414">
      <w:pPr>
        <w:pStyle w:val="paranumbering0"/>
        <w:spacing w:before="0" w:beforeAutospacing="0" w:after="120" w:afterAutospacing="0"/>
        <w:contextualSpacing/>
      </w:pPr>
      <w:r w:rsidRPr="00DC5E86">
        <w:t>This disallowable legislative i</w:t>
      </w:r>
      <w:r w:rsidR="008353C5" w:rsidRPr="00DC5E86">
        <w:t>nstrument is</w:t>
      </w:r>
      <w:r w:rsidR="00BF526C" w:rsidRPr="00DC5E86">
        <w:t xml:space="preserve"> compatible with the human rights and freedoms recognised or declared in the international instruments listed in section 3 of the </w:t>
      </w:r>
      <w:r w:rsidR="00BF526C" w:rsidRPr="00DC5E86">
        <w:rPr>
          <w:i/>
        </w:rPr>
        <w:t>Human Rights (Parliamentary Scrutiny) Act 2011.</w:t>
      </w:r>
      <w:r w:rsidR="00A900EC" w:rsidRPr="00DC5E86">
        <w:t xml:space="preserve"> </w:t>
      </w:r>
    </w:p>
    <w:p w14:paraId="321792A9" w14:textId="77777777" w:rsidR="00BF526C" w:rsidRPr="00DC5E86" w:rsidRDefault="00BF526C" w:rsidP="00EF5414">
      <w:pPr>
        <w:pStyle w:val="paranumbering0"/>
        <w:spacing w:before="0" w:beforeAutospacing="0" w:after="120" w:afterAutospacing="0"/>
        <w:contextualSpacing/>
      </w:pPr>
    </w:p>
    <w:p w14:paraId="4D623B34" w14:textId="77777777" w:rsidR="00BF526C" w:rsidRPr="00DC5E86" w:rsidRDefault="00BF526C" w:rsidP="00EF5414">
      <w:pPr>
        <w:pStyle w:val="paranumbering0"/>
        <w:spacing w:before="0" w:beforeAutospacing="0" w:after="120" w:afterAutospacing="0"/>
        <w:contextualSpacing/>
        <w:rPr>
          <w:b/>
        </w:rPr>
      </w:pPr>
      <w:r w:rsidRPr="00DC5E86">
        <w:rPr>
          <w:b/>
        </w:rPr>
        <w:t xml:space="preserve">Overview of the </w:t>
      </w:r>
      <w:r w:rsidR="006718A5" w:rsidRPr="00DC5E86">
        <w:rPr>
          <w:b/>
        </w:rPr>
        <w:t>l</w:t>
      </w:r>
      <w:r w:rsidRPr="00DC5E86">
        <w:rPr>
          <w:b/>
        </w:rPr>
        <w:t xml:space="preserve">egislative </w:t>
      </w:r>
      <w:r w:rsidR="006718A5" w:rsidRPr="00DC5E86">
        <w:rPr>
          <w:b/>
        </w:rPr>
        <w:t>i</w:t>
      </w:r>
      <w:r w:rsidRPr="00DC5E86">
        <w:rPr>
          <w:b/>
        </w:rPr>
        <w:t>nstrument</w:t>
      </w:r>
    </w:p>
    <w:p w14:paraId="4C86239D" w14:textId="77777777" w:rsidR="00BF526C" w:rsidRPr="00DC5E86" w:rsidRDefault="00BF526C" w:rsidP="00EF5414">
      <w:pPr>
        <w:pStyle w:val="paranumbering0"/>
        <w:spacing w:before="0" w:beforeAutospacing="0" w:after="0" w:afterAutospacing="0"/>
        <w:contextualSpacing/>
      </w:pPr>
    </w:p>
    <w:p w14:paraId="51112330" w14:textId="77777777" w:rsidR="00BF526C" w:rsidRPr="00DC5E86" w:rsidRDefault="00BF526C" w:rsidP="00EF5414">
      <w:pPr>
        <w:pStyle w:val="paranumbering0"/>
        <w:spacing w:before="0" w:beforeAutospacing="0" w:after="0" w:afterAutospacing="0"/>
        <w:contextualSpacing/>
      </w:pPr>
      <w:r w:rsidRPr="00DC5E86">
        <w:t xml:space="preserve">Section 32B of the </w:t>
      </w:r>
      <w:r w:rsidRPr="00DC5E86">
        <w:rPr>
          <w:i/>
        </w:rPr>
        <w:t>Financial Framework (Supplementary Powers) Act 1997</w:t>
      </w:r>
      <w:r w:rsidRPr="00DC5E86">
        <w:t xml:space="preserve"> (the FF(SP) Act) authorises the Commonwealth to make, vary and administer arrangements and grants specified in the </w:t>
      </w:r>
      <w:r w:rsidRPr="00DC5E86">
        <w:rPr>
          <w:i/>
        </w:rPr>
        <w:t xml:space="preserve">Financial Framework (Supplementary Powers) Regulations 1997 </w:t>
      </w:r>
      <w:r w:rsidRPr="00DC5E86">
        <w:t xml:space="preserve">(the FF(SP) Regulations) and to make, vary and administer arrangements and grants for the purposes of programs specified in the </w:t>
      </w:r>
      <w:r w:rsidR="008353C5" w:rsidRPr="00DC5E86">
        <w:t xml:space="preserve">FF(SP) </w:t>
      </w:r>
      <w:r w:rsidRPr="00DC5E86">
        <w:t>Regulations</w:t>
      </w:r>
      <w:r w:rsidR="00411B47" w:rsidRPr="00DC5E86">
        <w:t xml:space="preserve">. </w:t>
      </w:r>
      <w:r w:rsidRPr="00DC5E86">
        <w:t>Schedule 1AA and Schedule 1AB to the FF(SP) Regulations specify the arrangements, grants and programs</w:t>
      </w:r>
      <w:r w:rsidR="00411B47" w:rsidRPr="00DC5E86">
        <w:t xml:space="preserve">. </w:t>
      </w:r>
      <w:r w:rsidRPr="00DC5E86">
        <w:t xml:space="preserve">The </w:t>
      </w:r>
      <w:r w:rsidR="00A67397" w:rsidRPr="00DC5E86">
        <w:t xml:space="preserve">powers in the </w:t>
      </w:r>
      <w:r w:rsidRPr="00DC5E86">
        <w:t xml:space="preserve">FF(SP) Act </w:t>
      </w:r>
      <w:r w:rsidR="00A67397" w:rsidRPr="00DC5E86">
        <w:t>to make, vary or administer arrangements or grants may be exercised on behalf of the Commonwealth by</w:t>
      </w:r>
      <w:r w:rsidRPr="00DC5E86">
        <w:t xml:space="preserve"> Ministers and the accountable authorities of non</w:t>
      </w:r>
      <w:r w:rsidRPr="00DC5E86">
        <w:noBreakHyphen/>
        <w:t xml:space="preserve">corporate Commonwealth entities, as defined under section 12 of the </w:t>
      </w:r>
      <w:r w:rsidRPr="00DC5E86">
        <w:rPr>
          <w:i/>
        </w:rPr>
        <w:t>Public Governance, Performance and Accountability Act 2013</w:t>
      </w:r>
      <w:r w:rsidR="00411B47" w:rsidRPr="00DC5E86">
        <w:t xml:space="preserve">. </w:t>
      </w:r>
    </w:p>
    <w:p w14:paraId="197FCA85" w14:textId="77777777" w:rsidR="00BF526C" w:rsidRPr="00DC5E86" w:rsidRDefault="00BF526C" w:rsidP="00EF5414">
      <w:pPr>
        <w:spacing w:line="276" w:lineRule="auto"/>
        <w:rPr>
          <w:rFonts w:ascii="Times New Roman" w:eastAsiaTheme="minorHAnsi" w:hAnsi="Times New Roman"/>
          <w:sz w:val="24"/>
          <w:szCs w:val="24"/>
        </w:rPr>
      </w:pPr>
    </w:p>
    <w:p w14:paraId="5689213D" w14:textId="77777777" w:rsidR="006718A5" w:rsidRPr="00DC5E86" w:rsidRDefault="00DC0AB0" w:rsidP="00EF5414">
      <w:pPr>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 xml:space="preserve">Financial Framework (Supplementary Powers) Amendment </w:t>
      </w:r>
      <w:r w:rsidR="00085B09" w:rsidRPr="00DC5E86">
        <w:rPr>
          <w:rFonts w:ascii="Times New Roman" w:hAnsi="Times New Roman"/>
          <w:i/>
          <w:sz w:val="24"/>
          <w:szCs w:val="24"/>
        </w:rPr>
        <w:t>(</w:t>
      </w:r>
      <w:r w:rsidR="008336DB">
        <w:rPr>
          <w:rFonts w:ascii="Times New Roman" w:hAnsi="Times New Roman"/>
          <w:i/>
          <w:sz w:val="24"/>
          <w:szCs w:val="24"/>
        </w:rPr>
        <w:t>Industry, Science, Energy and Resources M</w:t>
      </w:r>
      <w:r w:rsidR="008336DB" w:rsidRPr="00DC5E86">
        <w:rPr>
          <w:rFonts w:ascii="Times New Roman" w:hAnsi="Times New Roman"/>
          <w:i/>
          <w:sz w:val="24"/>
          <w:szCs w:val="24"/>
        </w:rPr>
        <w:t xml:space="preserve">easures No. </w:t>
      </w:r>
      <w:r w:rsidR="008336DB">
        <w:rPr>
          <w:rFonts w:ascii="Times New Roman" w:hAnsi="Times New Roman"/>
          <w:i/>
          <w:sz w:val="24"/>
          <w:szCs w:val="24"/>
        </w:rPr>
        <w:t>2</w:t>
      </w:r>
      <w:r w:rsidRPr="00DC5E86">
        <w:rPr>
          <w:rFonts w:ascii="Times New Roman" w:hAnsi="Times New Roman"/>
          <w:i/>
          <w:sz w:val="24"/>
          <w:szCs w:val="24"/>
        </w:rPr>
        <w:t xml:space="preserve">) Regulations </w:t>
      </w:r>
      <w:r w:rsidR="007B14C9" w:rsidRPr="00DC5E86">
        <w:rPr>
          <w:rFonts w:ascii="Times New Roman" w:hAnsi="Times New Roman"/>
          <w:i/>
          <w:sz w:val="24"/>
          <w:szCs w:val="24"/>
        </w:rPr>
        <w:t>2020</w:t>
      </w:r>
      <w:r w:rsidRPr="00DC5E86">
        <w:rPr>
          <w:rFonts w:ascii="Times New Roman" w:hAnsi="Times New Roman"/>
          <w:sz w:val="24"/>
          <w:szCs w:val="24"/>
        </w:rPr>
        <w:t xml:space="preserve"> </w:t>
      </w:r>
      <w:r w:rsidR="00080C63" w:rsidRPr="00DC5E86">
        <w:rPr>
          <w:rFonts w:ascii="Times New Roman" w:hAnsi="Times New Roman"/>
          <w:sz w:val="24"/>
          <w:szCs w:val="24"/>
        </w:rPr>
        <w:t xml:space="preserve">amend Schedule 1AB </w:t>
      </w:r>
      <w:r w:rsidR="006718A5" w:rsidRPr="00DC5E86">
        <w:rPr>
          <w:rFonts w:ascii="Times New Roman" w:hAnsi="Times New Roman"/>
          <w:sz w:val="24"/>
          <w:szCs w:val="24"/>
        </w:rPr>
        <w:t>to the FF(SP)</w:t>
      </w:r>
      <w:r w:rsidR="008336DB">
        <w:rPr>
          <w:rFonts w:ascii="Times New Roman" w:hAnsi="Times New Roman"/>
          <w:sz w:val="24"/>
          <w:szCs w:val="24"/>
        </w:rPr>
        <w:t> </w:t>
      </w:r>
      <w:r w:rsidR="006718A5" w:rsidRPr="00DC5E86">
        <w:rPr>
          <w:rFonts w:ascii="Times New Roman" w:hAnsi="Times New Roman"/>
          <w:sz w:val="24"/>
          <w:szCs w:val="24"/>
        </w:rPr>
        <w:t xml:space="preserve">Regulations to establish legislative authority for government spending on </w:t>
      </w:r>
      <w:r w:rsidR="00D907A9" w:rsidRPr="00DC5E86">
        <w:rPr>
          <w:rFonts w:ascii="Times New Roman" w:hAnsi="Times New Roman"/>
          <w:sz w:val="24"/>
          <w:szCs w:val="24"/>
        </w:rPr>
        <w:t>certain activities</w:t>
      </w:r>
      <w:r w:rsidR="006718A5" w:rsidRPr="00DC5E86">
        <w:rPr>
          <w:rFonts w:ascii="Times New Roman" w:hAnsi="Times New Roman"/>
          <w:sz w:val="24"/>
          <w:szCs w:val="24"/>
        </w:rPr>
        <w:t xml:space="preserve"> </w:t>
      </w:r>
      <w:r w:rsidR="00B1380B" w:rsidRPr="00DC5E86">
        <w:rPr>
          <w:rFonts w:ascii="Times New Roman" w:hAnsi="Times New Roman"/>
          <w:sz w:val="24"/>
          <w:szCs w:val="24"/>
        </w:rPr>
        <w:t xml:space="preserve">that will be </w:t>
      </w:r>
      <w:r w:rsidR="006718A5" w:rsidRPr="00DC5E86">
        <w:rPr>
          <w:rFonts w:ascii="Times New Roman" w:hAnsi="Times New Roman"/>
          <w:sz w:val="24"/>
          <w:szCs w:val="24"/>
        </w:rPr>
        <w:t>administered by t</w:t>
      </w:r>
      <w:r w:rsidR="007C3D1A" w:rsidRPr="00DC5E86">
        <w:rPr>
          <w:rFonts w:ascii="Times New Roman" w:hAnsi="Times New Roman"/>
          <w:sz w:val="24"/>
          <w:szCs w:val="24"/>
        </w:rPr>
        <w:t xml:space="preserve">he Department of </w:t>
      </w:r>
      <w:r w:rsidR="008336DB">
        <w:rPr>
          <w:rFonts w:ascii="Times New Roman" w:hAnsi="Times New Roman"/>
          <w:sz w:val="24"/>
          <w:szCs w:val="24"/>
        </w:rPr>
        <w:t>Industry, Science, Energy and Resources</w:t>
      </w:r>
      <w:r w:rsidR="00EA19E4" w:rsidRPr="00DC5E86">
        <w:rPr>
          <w:rFonts w:ascii="Times New Roman" w:hAnsi="Times New Roman"/>
          <w:sz w:val="24"/>
          <w:szCs w:val="24"/>
        </w:rPr>
        <w:t xml:space="preserve"> (the department)</w:t>
      </w:r>
      <w:r w:rsidR="006718A5" w:rsidRPr="00DC5E86">
        <w:rPr>
          <w:rFonts w:ascii="Times New Roman" w:hAnsi="Times New Roman"/>
          <w:sz w:val="24"/>
          <w:szCs w:val="24"/>
        </w:rPr>
        <w:t>.</w:t>
      </w:r>
    </w:p>
    <w:p w14:paraId="65CD0197" w14:textId="77777777" w:rsidR="007C3D1A" w:rsidRPr="00DC5E86" w:rsidRDefault="007C3D1A" w:rsidP="00EF5414">
      <w:pPr>
        <w:rPr>
          <w:rFonts w:ascii="Times New Roman" w:hAnsi="Times New Roman"/>
          <w:sz w:val="24"/>
          <w:szCs w:val="24"/>
        </w:rPr>
      </w:pPr>
    </w:p>
    <w:p w14:paraId="04C2F54C" w14:textId="77777777" w:rsidR="00AD7555" w:rsidRPr="00DC5E86" w:rsidRDefault="007C3D1A" w:rsidP="00EF5414">
      <w:pPr>
        <w:rPr>
          <w:rFonts w:ascii="Times New Roman" w:hAnsi="Times New Roman"/>
          <w:sz w:val="24"/>
          <w:szCs w:val="24"/>
        </w:rPr>
      </w:pPr>
      <w:r w:rsidRPr="00DC5E86">
        <w:rPr>
          <w:rFonts w:ascii="Times New Roman" w:hAnsi="Times New Roman"/>
          <w:sz w:val="24"/>
          <w:szCs w:val="24"/>
        </w:rPr>
        <w:t>This instrument</w:t>
      </w:r>
      <w:r w:rsidR="00AD7555" w:rsidRPr="00DC5E86">
        <w:rPr>
          <w:rFonts w:ascii="Times New Roman" w:hAnsi="Times New Roman"/>
          <w:sz w:val="24"/>
          <w:szCs w:val="24"/>
        </w:rPr>
        <w:t>:</w:t>
      </w:r>
    </w:p>
    <w:p w14:paraId="7A81B471" w14:textId="7880C94D" w:rsidR="008336DB" w:rsidRDefault="00AD7555" w:rsidP="00DC0D7B">
      <w:pPr>
        <w:pStyle w:val="ListParagraph"/>
        <w:numPr>
          <w:ilvl w:val="0"/>
          <w:numId w:val="12"/>
        </w:numPr>
        <w:spacing w:after="200"/>
        <w:rPr>
          <w:rFonts w:cs="Times New Roman"/>
          <w:szCs w:val="24"/>
        </w:rPr>
      </w:pPr>
      <w:r w:rsidRPr="00DC5E86">
        <w:rPr>
          <w:rFonts w:cs="Times New Roman"/>
          <w:szCs w:val="24"/>
        </w:rPr>
        <w:t xml:space="preserve">adds </w:t>
      </w:r>
      <w:r w:rsidR="00366557" w:rsidRPr="00DC5E86">
        <w:rPr>
          <w:rFonts w:cs="Times New Roman"/>
          <w:szCs w:val="24"/>
        </w:rPr>
        <w:t>table item</w:t>
      </w:r>
      <w:r w:rsidR="00C75C6C">
        <w:rPr>
          <w:rFonts w:cs="Times New Roman"/>
          <w:szCs w:val="24"/>
        </w:rPr>
        <w:t xml:space="preserve"> 450</w:t>
      </w:r>
      <w:r w:rsidRPr="00DC5E86">
        <w:rPr>
          <w:rFonts w:cs="Times New Roman"/>
          <w:szCs w:val="24"/>
        </w:rPr>
        <w:t xml:space="preserve"> </w:t>
      </w:r>
      <w:r w:rsidR="00657D8B" w:rsidRPr="00DC5E86">
        <w:rPr>
          <w:rFonts w:cs="Times New Roman"/>
          <w:szCs w:val="24"/>
        </w:rPr>
        <w:t xml:space="preserve">in </w:t>
      </w:r>
      <w:r w:rsidRPr="00DC5E86">
        <w:rPr>
          <w:rFonts w:cs="Times New Roman"/>
          <w:szCs w:val="24"/>
        </w:rPr>
        <w:t xml:space="preserve">Part 4 of Schedule 1AB </w:t>
      </w:r>
      <w:r w:rsidR="00366557" w:rsidRPr="00DC5E86">
        <w:rPr>
          <w:rFonts w:cs="Times New Roman"/>
          <w:szCs w:val="24"/>
        </w:rPr>
        <w:t xml:space="preserve">for the </w:t>
      </w:r>
      <w:r w:rsidR="008336DB">
        <w:rPr>
          <w:rFonts w:cs="Times New Roman"/>
          <w:szCs w:val="24"/>
        </w:rPr>
        <w:t>Powering Communities Program;</w:t>
      </w:r>
    </w:p>
    <w:p w14:paraId="2F6BCDD8" w14:textId="09057579" w:rsidR="00DC0D7B" w:rsidRDefault="00DC0D7B" w:rsidP="00DC0D7B">
      <w:pPr>
        <w:pStyle w:val="ListParagraph"/>
        <w:numPr>
          <w:ilvl w:val="0"/>
          <w:numId w:val="12"/>
        </w:numPr>
        <w:spacing w:after="200"/>
        <w:rPr>
          <w:rFonts w:cs="Times New Roman"/>
        </w:rPr>
      </w:pPr>
      <w:r w:rsidRPr="66592093">
        <w:rPr>
          <w:rFonts w:cs="Times New Roman"/>
        </w:rPr>
        <w:t xml:space="preserve">adds table item </w:t>
      </w:r>
      <w:r>
        <w:rPr>
          <w:rFonts w:cs="Times New Roman"/>
        </w:rPr>
        <w:t>451</w:t>
      </w:r>
      <w:r w:rsidRPr="66592093">
        <w:rPr>
          <w:rFonts w:cs="Times New Roman"/>
        </w:rPr>
        <w:t xml:space="preserve"> in Part 4 of Schedule 1AB for the </w:t>
      </w:r>
      <w:r>
        <w:rPr>
          <w:rFonts w:cs="Times New Roman"/>
        </w:rPr>
        <w:t>Building Energy Efficiency</w:t>
      </w:r>
      <w:r w:rsidRPr="66592093">
        <w:rPr>
          <w:rFonts w:cs="Times New Roman"/>
        </w:rPr>
        <w:t xml:space="preserve"> Program;</w:t>
      </w:r>
    </w:p>
    <w:p w14:paraId="58ECFF09" w14:textId="2FCE1D8E" w:rsidR="00F55292" w:rsidRDefault="00F55292" w:rsidP="00F55292">
      <w:pPr>
        <w:pStyle w:val="ListParagraph"/>
        <w:numPr>
          <w:ilvl w:val="0"/>
          <w:numId w:val="12"/>
        </w:numPr>
        <w:spacing w:after="200"/>
        <w:rPr>
          <w:rFonts w:cs="Times New Roman"/>
        </w:rPr>
      </w:pPr>
      <w:r w:rsidRPr="66592093">
        <w:rPr>
          <w:rFonts w:cs="Times New Roman"/>
        </w:rPr>
        <w:t>adds table item</w:t>
      </w:r>
      <w:r>
        <w:rPr>
          <w:rFonts w:cs="Times New Roman"/>
        </w:rPr>
        <w:t xml:space="preserve"> 452</w:t>
      </w:r>
      <w:r w:rsidRPr="66592093">
        <w:rPr>
          <w:rFonts w:cs="Times New Roman"/>
        </w:rPr>
        <w:t xml:space="preserve"> in Part 4 of Schedule 1AB for the </w:t>
      </w:r>
      <w:r>
        <w:rPr>
          <w:rFonts w:cs="Times New Roman"/>
        </w:rPr>
        <w:t>Technology Co-Investment Fund</w:t>
      </w:r>
      <w:r w:rsidRPr="66592093">
        <w:rPr>
          <w:rFonts w:cs="Times New Roman"/>
        </w:rPr>
        <w:t>;</w:t>
      </w:r>
      <w:r>
        <w:rPr>
          <w:rFonts w:cs="Times New Roman"/>
        </w:rPr>
        <w:t xml:space="preserve"> and</w:t>
      </w:r>
    </w:p>
    <w:p w14:paraId="7FB77C84" w14:textId="729C6B20" w:rsidR="00DC0D7B" w:rsidRPr="00DC0D7B" w:rsidRDefault="000D2DEF" w:rsidP="00DC0D7B">
      <w:pPr>
        <w:pStyle w:val="ListParagraph"/>
        <w:numPr>
          <w:ilvl w:val="0"/>
          <w:numId w:val="12"/>
        </w:numPr>
        <w:spacing w:after="200"/>
        <w:rPr>
          <w:rFonts w:cs="Times New Roman"/>
          <w:szCs w:val="24"/>
        </w:rPr>
      </w:pPr>
      <w:r w:rsidRPr="66592093">
        <w:rPr>
          <w:rFonts w:cs="Times New Roman"/>
        </w:rPr>
        <w:t xml:space="preserve">adds table item </w:t>
      </w:r>
      <w:r>
        <w:rPr>
          <w:rFonts w:cs="Times New Roman"/>
        </w:rPr>
        <w:t>453</w:t>
      </w:r>
      <w:r w:rsidRPr="66592093">
        <w:rPr>
          <w:rFonts w:cs="Times New Roman"/>
        </w:rPr>
        <w:t xml:space="preserve"> in Part 4 of Schedule 1AB for the </w:t>
      </w:r>
      <w:r>
        <w:rPr>
          <w:rFonts w:cs="Times New Roman"/>
        </w:rPr>
        <w:t>Hydrogen Export Hub Program.</w:t>
      </w:r>
    </w:p>
    <w:p w14:paraId="5CF4422B" w14:textId="77777777" w:rsidR="00581E06" w:rsidRPr="00DC5E86" w:rsidRDefault="00581E06" w:rsidP="00EF5414">
      <w:pPr>
        <w:pStyle w:val="ListParagraph"/>
        <w:rPr>
          <w:rFonts w:eastAsia="Calibri" w:cs="Times New Roman"/>
          <w:szCs w:val="24"/>
        </w:rPr>
      </w:pPr>
    </w:p>
    <w:p w14:paraId="219B53D9" w14:textId="3C5A8283" w:rsidR="00777EE2" w:rsidRPr="00DC5E86" w:rsidRDefault="00777EE2" w:rsidP="00EF5414">
      <w:pPr>
        <w:rPr>
          <w:rFonts w:ascii="Times New Roman" w:eastAsiaTheme="minorHAnsi" w:hAnsi="Times New Roman"/>
          <w:i/>
          <w:sz w:val="24"/>
          <w:szCs w:val="24"/>
          <w:u w:val="single"/>
        </w:rPr>
      </w:pPr>
      <w:r w:rsidRPr="00DC5E86">
        <w:rPr>
          <w:rFonts w:ascii="Times New Roman" w:hAnsi="Times New Roman"/>
          <w:i/>
          <w:sz w:val="24"/>
          <w:szCs w:val="24"/>
          <w:u w:val="single"/>
        </w:rPr>
        <w:t>Table item</w:t>
      </w:r>
      <w:r w:rsidR="00C75C6C">
        <w:rPr>
          <w:rFonts w:ascii="Times New Roman" w:hAnsi="Times New Roman"/>
          <w:i/>
          <w:sz w:val="24"/>
          <w:szCs w:val="24"/>
          <w:u w:val="single"/>
        </w:rPr>
        <w:t xml:space="preserve"> 45</w:t>
      </w:r>
      <w:r w:rsidR="00DC0D7B">
        <w:rPr>
          <w:rFonts w:ascii="Times New Roman" w:hAnsi="Times New Roman"/>
          <w:i/>
          <w:sz w:val="24"/>
          <w:szCs w:val="24"/>
          <w:u w:val="single"/>
        </w:rPr>
        <w:t>0</w:t>
      </w:r>
      <w:r w:rsidR="009760A9" w:rsidRPr="00DC5E86">
        <w:rPr>
          <w:rFonts w:ascii="Times New Roman" w:hAnsi="Times New Roman"/>
          <w:i/>
          <w:sz w:val="24"/>
          <w:szCs w:val="24"/>
          <w:u w:val="single"/>
        </w:rPr>
        <w:t xml:space="preserve"> – </w:t>
      </w:r>
      <w:r w:rsidR="008336DB">
        <w:rPr>
          <w:rFonts w:ascii="Times New Roman" w:hAnsi="Times New Roman"/>
          <w:i/>
          <w:sz w:val="24"/>
          <w:szCs w:val="24"/>
          <w:u w:val="single"/>
        </w:rPr>
        <w:t>Powering Communities Program</w:t>
      </w:r>
    </w:p>
    <w:p w14:paraId="5EEC78B5" w14:textId="77777777" w:rsidR="00777EE2" w:rsidRPr="00DC5E86" w:rsidRDefault="00777EE2" w:rsidP="00EF5414">
      <w:pPr>
        <w:ind w:right="-46"/>
        <w:rPr>
          <w:rFonts w:ascii="Times New Roman" w:hAnsi="Times New Roman"/>
          <w:color w:val="000000" w:themeColor="text1"/>
          <w:sz w:val="24"/>
          <w:szCs w:val="24"/>
        </w:rPr>
      </w:pPr>
    </w:p>
    <w:p w14:paraId="30DF9F88" w14:textId="376AAAAE" w:rsidR="008336DB" w:rsidRDefault="00777EE2" w:rsidP="00913476">
      <w:pPr>
        <w:ind w:right="-46"/>
        <w:rPr>
          <w:rFonts w:ascii="Times New Roman" w:hAnsi="Times New Roman"/>
          <w:iCs/>
          <w:sz w:val="24"/>
          <w:szCs w:val="24"/>
        </w:rPr>
      </w:pPr>
      <w:r w:rsidRPr="00DC5E86">
        <w:rPr>
          <w:rFonts w:ascii="Times New Roman" w:hAnsi="Times New Roman"/>
          <w:sz w:val="24"/>
          <w:szCs w:val="24"/>
        </w:rPr>
        <w:t>Table item</w:t>
      </w:r>
      <w:r w:rsidR="00C75C6C">
        <w:rPr>
          <w:rFonts w:ascii="Times New Roman" w:hAnsi="Times New Roman"/>
          <w:sz w:val="24"/>
          <w:szCs w:val="24"/>
        </w:rPr>
        <w:t xml:space="preserve"> 450</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00657D8B" w:rsidRPr="00DC5E86">
        <w:rPr>
          <w:rFonts w:ascii="Times New Roman" w:hAnsi="Times New Roman"/>
          <w:iCs/>
          <w:sz w:val="24"/>
          <w:szCs w:val="24"/>
        </w:rPr>
        <w:t xml:space="preserve">legislative authority for government spending on the </w:t>
      </w:r>
      <w:r w:rsidR="008336DB">
        <w:rPr>
          <w:rFonts w:ascii="Times New Roman" w:hAnsi="Times New Roman"/>
          <w:iCs/>
          <w:sz w:val="24"/>
          <w:szCs w:val="24"/>
        </w:rPr>
        <w:t>Powering Communities Program (the program).</w:t>
      </w:r>
    </w:p>
    <w:p w14:paraId="0DF7EDD7" w14:textId="77777777" w:rsidR="008336DB" w:rsidRDefault="008336DB" w:rsidP="00913476">
      <w:pPr>
        <w:ind w:right="-46"/>
        <w:rPr>
          <w:rFonts w:ascii="Times New Roman" w:hAnsi="Times New Roman"/>
          <w:iCs/>
          <w:sz w:val="24"/>
          <w:szCs w:val="24"/>
        </w:rPr>
      </w:pPr>
    </w:p>
    <w:p w14:paraId="7B6C04E1" w14:textId="54260FBD" w:rsidR="008336DB" w:rsidRPr="00293C06" w:rsidRDefault="008336DB" w:rsidP="008336DB">
      <w:pPr>
        <w:rPr>
          <w:rFonts w:ascii="Times New Roman" w:hAnsi="Times New Roman"/>
          <w:iCs/>
          <w:sz w:val="24"/>
          <w:szCs w:val="24"/>
        </w:rPr>
      </w:pPr>
      <w:r w:rsidRPr="00293C06">
        <w:rPr>
          <w:rFonts w:ascii="Times New Roman" w:hAnsi="Times New Roman"/>
          <w:iCs/>
          <w:sz w:val="24"/>
          <w:szCs w:val="24"/>
        </w:rPr>
        <w:t>The program will provide grant</w:t>
      </w:r>
      <w:r>
        <w:rPr>
          <w:rFonts w:ascii="Times New Roman" w:hAnsi="Times New Roman"/>
          <w:iCs/>
          <w:sz w:val="24"/>
          <w:szCs w:val="24"/>
        </w:rPr>
        <w:t xml:space="preserve"> funding </w:t>
      </w:r>
      <w:r w:rsidRPr="00293C06">
        <w:rPr>
          <w:rFonts w:ascii="Times New Roman" w:hAnsi="Times New Roman"/>
          <w:iCs/>
          <w:sz w:val="24"/>
          <w:szCs w:val="24"/>
        </w:rPr>
        <w:t xml:space="preserve">to support not-for-profit community organisations improve their energy efficiency practices and technologies and better manage energy </w:t>
      </w:r>
      <w:r w:rsidR="00A4525E">
        <w:rPr>
          <w:rFonts w:ascii="Times New Roman" w:hAnsi="Times New Roman"/>
          <w:iCs/>
          <w:sz w:val="24"/>
          <w:szCs w:val="24"/>
        </w:rPr>
        <w:t>use</w:t>
      </w:r>
      <w:r w:rsidR="00A4525E" w:rsidRPr="00293C06">
        <w:rPr>
          <w:rFonts w:ascii="Times New Roman" w:hAnsi="Times New Roman"/>
          <w:iCs/>
          <w:sz w:val="24"/>
          <w:szCs w:val="24"/>
        </w:rPr>
        <w:t xml:space="preserve"> </w:t>
      </w:r>
      <w:r w:rsidRPr="00293C06">
        <w:rPr>
          <w:rFonts w:ascii="Times New Roman" w:hAnsi="Times New Roman"/>
          <w:iCs/>
          <w:sz w:val="24"/>
          <w:szCs w:val="24"/>
        </w:rPr>
        <w:t>to adjust to rising energy prices through:</w:t>
      </w:r>
    </w:p>
    <w:p w14:paraId="7A041948" w14:textId="53369755" w:rsidR="008336DB" w:rsidRPr="00293C06" w:rsidRDefault="008336DB" w:rsidP="008336DB">
      <w:pPr>
        <w:pStyle w:val="ListParagraph"/>
        <w:numPr>
          <w:ilvl w:val="0"/>
          <w:numId w:val="19"/>
        </w:numPr>
        <w:ind w:right="57"/>
        <w:contextualSpacing w:val="0"/>
        <w:rPr>
          <w:rFonts w:cs="Times New Roman"/>
          <w:color w:val="000000"/>
          <w:szCs w:val="24"/>
        </w:rPr>
      </w:pPr>
      <w:r w:rsidRPr="00293C06">
        <w:rPr>
          <w:rFonts w:cs="Times New Roman"/>
          <w:color w:val="000000"/>
          <w:szCs w:val="24"/>
        </w:rPr>
        <w:t xml:space="preserve">upgrading equipment to reduce energy </w:t>
      </w:r>
      <w:r w:rsidR="00A4525E">
        <w:rPr>
          <w:rFonts w:cs="Times New Roman"/>
          <w:color w:val="000000"/>
          <w:szCs w:val="24"/>
        </w:rPr>
        <w:t>use</w:t>
      </w:r>
      <w:r w:rsidRPr="00293C06">
        <w:rPr>
          <w:rFonts w:cs="Times New Roman"/>
          <w:color w:val="000000"/>
          <w:szCs w:val="24"/>
        </w:rPr>
        <w:t>;</w:t>
      </w:r>
    </w:p>
    <w:p w14:paraId="0A4ACE94" w14:textId="77777777" w:rsidR="008336DB" w:rsidRPr="00293C06" w:rsidRDefault="008336DB" w:rsidP="008336DB">
      <w:pPr>
        <w:pStyle w:val="ListParagraph"/>
        <w:numPr>
          <w:ilvl w:val="0"/>
          <w:numId w:val="19"/>
        </w:numPr>
        <w:ind w:right="57"/>
        <w:contextualSpacing w:val="0"/>
        <w:rPr>
          <w:rFonts w:cs="Times New Roman"/>
          <w:color w:val="000000"/>
          <w:szCs w:val="24"/>
        </w:rPr>
      </w:pPr>
      <w:r w:rsidRPr="00293C06">
        <w:rPr>
          <w:rFonts w:cs="Times New Roman"/>
          <w:color w:val="000000"/>
          <w:szCs w:val="24"/>
        </w:rPr>
        <w:t>undertaking energy management activities and assessments, such as energy systems assessments and feasibility studies;</w:t>
      </w:r>
    </w:p>
    <w:p w14:paraId="72E3BB23" w14:textId="77777777" w:rsidR="008336DB" w:rsidRPr="00293C06" w:rsidRDefault="008336DB" w:rsidP="008336DB">
      <w:pPr>
        <w:pStyle w:val="ListParagraph"/>
        <w:numPr>
          <w:ilvl w:val="0"/>
          <w:numId w:val="19"/>
        </w:numPr>
        <w:ind w:right="57"/>
        <w:contextualSpacing w:val="0"/>
        <w:rPr>
          <w:rFonts w:cs="Times New Roman"/>
          <w:color w:val="000000"/>
          <w:szCs w:val="24"/>
        </w:rPr>
      </w:pPr>
      <w:r w:rsidRPr="00293C06">
        <w:rPr>
          <w:rFonts w:cs="Times New Roman"/>
          <w:color w:val="000000"/>
          <w:szCs w:val="24"/>
        </w:rPr>
        <w:lastRenderedPageBreak/>
        <w:t>investing in energy monitoring and management systems; and</w:t>
      </w:r>
    </w:p>
    <w:p w14:paraId="258F1079" w14:textId="77777777" w:rsidR="008336DB" w:rsidRPr="00293C06" w:rsidRDefault="008336DB" w:rsidP="008336DB">
      <w:pPr>
        <w:pStyle w:val="ListParagraph"/>
        <w:numPr>
          <w:ilvl w:val="0"/>
          <w:numId w:val="19"/>
        </w:numPr>
        <w:ind w:right="57"/>
        <w:contextualSpacing w:val="0"/>
        <w:rPr>
          <w:rFonts w:cs="Times New Roman"/>
          <w:color w:val="000000"/>
          <w:szCs w:val="24"/>
        </w:rPr>
      </w:pPr>
      <w:r w:rsidRPr="00293C06">
        <w:rPr>
          <w:rFonts w:cs="Times New Roman"/>
          <w:color w:val="000000"/>
          <w:szCs w:val="24"/>
        </w:rPr>
        <w:t xml:space="preserve">investing in on-site renewable energy and solar-connected batteries. </w:t>
      </w:r>
    </w:p>
    <w:p w14:paraId="7C77B504" w14:textId="77777777" w:rsidR="008336DB" w:rsidRDefault="008336DB" w:rsidP="00F82EED">
      <w:pPr>
        <w:spacing w:before="120"/>
      </w:pPr>
    </w:p>
    <w:p w14:paraId="17684A19" w14:textId="77777777" w:rsidR="00F82EED" w:rsidRDefault="00F82EED" w:rsidP="00F82EED">
      <w:pPr>
        <w:rPr>
          <w:rFonts w:ascii="Times New Roman" w:hAnsi="Times New Roman"/>
          <w:iCs/>
          <w:sz w:val="24"/>
          <w:szCs w:val="24"/>
        </w:rPr>
      </w:pPr>
      <w:r>
        <w:rPr>
          <w:rFonts w:ascii="Times New Roman" w:hAnsi="Times New Roman"/>
          <w:iCs/>
          <w:sz w:val="24"/>
          <w:szCs w:val="24"/>
        </w:rPr>
        <w:t>Grant f</w:t>
      </w:r>
      <w:r w:rsidRPr="0036449D">
        <w:rPr>
          <w:rFonts w:ascii="Times New Roman" w:hAnsi="Times New Roman"/>
          <w:iCs/>
          <w:sz w:val="24"/>
          <w:szCs w:val="24"/>
        </w:rPr>
        <w:t xml:space="preserve">unding of $10.2 million </w:t>
      </w:r>
      <w:r>
        <w:rPr>
          <w:rFonts w:ascii="Times New Roman" w:hAnsi="Times New Roman"/>
          <w:iCs/>
          <w:sz w:val="24"/>
          <w:szCs w:val="24"/>
        </w:rPr>
        <w:t xml:space="preserve">in 2021-22 </w:t>
      </w:r>
      <w:r w:rsidRPr="0036449D">
        <w:rPr>
          <w:rFonts w:ascii="Times New Roman" w:hAnsi="Times New Roman"/>
          <w:iCs/>
          <w:sz w:val="24"/>
          <w:szCs w:val="24"/>
        </w:rPr>
        <w:t xml:space="preserve">will be offered under a closed non-competitive grant opportunity. </w:t>
      </w:r>
      <w:r>
        <w:rPr>
          <w:rFonts w:ascii="Times New Roman" w:hAnsi="Times New Roman"/>
          <w:iCs/>
          <w:sz w:val="24"/>
          <w:szCs w:val="24"/>
        </w:rPr>
        <w:t xml:space="preserve">An equal amount of funding </w:t>
      </w:r>
      <w:r w:rsidRPr="0036449D">
        <w:rPr>
          <w:rFonts w:ascii="Times New Roman" w:hAnsi="Times New Roman"/>
          <w:iCs/>
          <w:sz w:val="24"/>
          <w:szCs w:val="24"/>
        </w:rPr>
        <w:t>will be available in every federal electorate, from which a maximum number of 12 grants</w:t>
      </w:r>
      <w:r>
        <w:rPr>
          <w:rFonts w:ascii="Times New Roman" w:hAnsi="Times New Roman"/>
          <w:iCs/>
          <w:sz w:val="24"/>
          <w:szCs w:val="24"/>
        </w:rPr>
        <w:t xml:space="preserve"> (of between </w:t>
      </w:r>
      <w:r w:rsidRPr="0036449D">
        <w:rPr>
          <w:rFonts w:ascii="Times New Roman" w:hAnsi="Times New Roman"/>
          <w:iCs/>
          <w:sz w:val="24"/>
          <w:szCs w:val="24"/>
        </w:rPr>
        <w:t>$5,000</w:t>
      </w:r>
      <w:r>
        <w:rPr>
          <w:rFonts w:ascii="Times New Roman" w:hAnsi="Times New Roman"/>
          <w:iCs/>
          <w:sz w:val="24"/>
          <w:szCs w:val="24"/>
        </w:rPr>
        <w:t xml:space="preserve"> to $12,000)</w:t>
      </w:r>
      <w:r w:rsidRPr="0036449D">
        <w:rPr>
          <w:rFonts w:ascii="Times New Roman" w:hAnsi="Times New Roman"/>
          <w:iCs/>
          <w:sz w:val="24"/>
          <w:szCs w:val="24"/>
        </w:rPr>
        <w:t xml:space="preserve"> can be awarded, with no co</w:t>
      </w:r>
      <w:r>
        <w:rPr>
          <w:rFonts w:ascii="Times New Roman" w:hAnsi="Times New Roman"/>
          <w:iCs/>
          <w:sz w:val="24"/>
          <w:szCs w:val="24"/>
        </w:rPr>
        <w:noBreakHyphen/>
      </w:r>
      <w:r w:rsidRPr="0036449D">
        <w:rPr>
          <w:rFonts w:ascii="Times New Roman" w:hAnsi="Times New Roman"/>
          <w:iCs/>
          <w:sz w:val="24"/>
          <w:szCs w:val="24"/>
        </w:rPr>
        <w:t>contributions required.</w:t>
      </w:r>
      <w:r>
        <w:rPr>
          <w:rFonts w:ascii="Times New Roman" w:hAnsi="Times New Roman"/>
          <w:iCs/>
          <w:sz w:val="24"/>
          <w:szCs w:val="24"/>
        </w:rPr>
        <w:t xml:space="preserve"> </w:t>
      </w:r>
      <w:r w:rsidRPr="0036449D">
        <w:rPr>
          <w:rFonts w:ascii="Times New Roman" w:hAnsi="Times New Roman"/>
          <w:iCs/>
          <w:sz w:val="24"/>
          <w:szCs w:val="24"/>
        </w:rPr>
        <w:t xml:space="preserve">Members of Parliament will </w:t>
      </w:r>
      <w:r>
        <w:rPr>
          <w:rFonts w:ascii="Times New Roman" w:hAnsi="Times New Roman"/>
          <w:iCs/>
          <w:sz w:val="24"/>
          <w:szCs w:val="24"/>
        </w:rPr>
        <w:t xml:space="preserve">be strongly encouraged to consult their community to </w:t>
      </w:r>
      <w:r w:rsidRPr="0036449D">
        <w:rPr>
          <w:rFonts w:ascii="Times New Roman" w:hAnsi="Times New Roman"/>
          <w:iCs/>
          <w:sz w:val="24"/>
          <w:szCs w:val="24"/>
        </w:rPr>
        <w:t xml:space="preserve">identify </w:t>
      </w:r>
      <w:r>
        <w:rPr>
          <w:rFonts w:ascii="Times New Roman" w:hAnsi="Times New Roman"/>
          <w:iCs/>
          <w:sz w:val="24"/>
          <w:szCs w:val="24"/>
        </w:rPr>
        <w:t xml:space="preserve">and nominate </w:t>
      </w:r>
      <w:r w:rsidRPr="0036449D">
        <w:rPr>
          <w:rFonts w:ascii="Times New Roman" w:hAnsi="Times New Roman"/>
          <w:iCs/>
          <w:sz w:val="24"/>
          <w:szCs w:val="24"/>
        </w:rPr>
        <w:t>projects in their electorate</w:t>
      </w:r>
      <w:r>
        <w:rPr>
          <w:rFonts w:ascii="Times New Roman" w:hAnsi="Times New Roman"/>
          <w:iCs/>
          <w:sz w:val="24"/>
          <w:szCs w:val="24"/>
        </w:rPr>
        <w:t>s</w:t>
      </w:r>
      <w:r w:rsidRPr="0036449D">
        <w:rPr>
          <w:rFonts w:ascii="Times New Roman" w:hAnsi="Times New Roman"/>
          <w:iCs/>
          <w:sz w:val="24"/>
          <w:szCs w:val="24"/>
        </w:rPr>
        <w:t xml:space="preserve"> that support the objectives of the program and are consistent with the </w:t>
      </w:r>
      <w:r>
        <w:rPr>
          <w:rFonts w:ascii="Times New Roman" w:hAnsi="Times New Roman"/>
          <w:iCs/>
          <w:sz w:val="24"/>
          <w:szCs w:val="24"/>
        </w:rPr>
        <w:t xml:space="preserve">eligibility </w:t>
      </w:r>
      <w:r w:rsidRPr="0036449D">
        <w:rPr>
          <w:rFonts w:ascii="Times New Roman" w:hAnsi="Times New Roman"/>
          <w:iCs/>
          <w:sz w:val="24"/>
          <w:szCs w:val="24"/>
        </w:rPr>
        <w:t xml:space="preserve">criteria for applicants and projects </w:t>
      </w:r>
      <w:r>
        <w:rPr>
          <w:rFonts w:ascii="Times New Roman" w:hAnsi="Times New Roman"/>
          <w:iCs/>
          <w:sz w:val="24"/>
          <w:szCs w:val="24"/>
        </w:rPr>
        <w:t xml:space="preserve">as </w:t>
      </w:r>
      <w:r w:rsidRPr="0036449D">
        <w:rPr>
          <w:rFonts w:ascii="Times New Roman" w:hAnsi="Times New Roman"/>
          <w:iCs/>
          <w:sz w:val="24"/>
          <w:szCs w:val="24"/>
        </w:rPr>
        <w:t xml:space="preserve">set out in the </w:t>
      </w:r>
      <w:r>
        <w:rPr>
          <w:rFonts w:ascii="Times New Roman" w:hAnsi="Times New Roman"/>
          <w:iCs/>
          <w:sz w:val="24"/>
          <w:szCs w:val="24"/>
        </w:rPr>
        <w:t xml:space="preserve">grant opportunity </w:t>
      </w:r>
      <w:r w:rsidRPr="0036449D">
        <w:rPr>
          <w:rFonts w:ascii="Times New Roman" w:hAnsi="Times New Roman"/>
          <w:iCs/>
          <w:sz w:val="24"/>
          <w:szCs w:val="24"/>
        </w:rPr>
        <w:t xml:space="preserve">guidelines which will be </w:t>
      </w:r>
      <w:r>
        <w:rPr>
          <w:rFonts w:ascii="Times New Roman" w:hAnsi="Times New Roman"/>
          <w:iCs/>
          <w:sz w:val="24"/>
          <w:szCs w:val="24"/>
        </w:rPr>
        <w:t xml:space="preserve">made </w:t>
      </w:r>
      <w:r w:rsidRPr="0036449D">
        <w:rPr>
          <w:rFonts w:ascii="Times New Roman" w:hAnsi="Times New Roman"/>
          <w:iCs/>
          <w:sz w:val="24"/>
          <w:szCs w:val="24"/>
        </w:rPr>
        <w:t xml:space="preserve">publicly available. These </w:t>
      </w:r>
      <w:r>
        <w:rPr>
          <w:rFonts w:ascii="Times New Roman" w:hAnsi="Times New Roman"/>
          <w:iCs/>
          <w:sz w:val="24"/>
          <w:szCs w:val="24"/>
        </w:rPr>
        <w:t xml:space="preserve">project proponents </w:t>
      </w:r>
      <w:r w:rsidRPr="0036449D">
        <w:rPr>
          <w:rFonts w:ascii="Times New Roman" w:hAnsi="Times New Roman"/>
          <w:iCs/>
          <w:sz w:val="24"/>
          <w:szCs w:val="24"/>
        </w:rPr>
        <w:t xml:space="preserve">will be invited </w:t>
      </w:r>
      <w:r>
        <w:rPr>
          <w:rFonts w:ascii="Times New Roman" w:hAnsi="Times New Roman"/>
          <w:iCs/>
          <w:sz w:val="24"/>
          <w:szCs w:val="24"/>
        </w:rPr>
        <w:t>to submit a grant</w:t>
      </w:r>
      <w:r w:rsidRPr="0036449D">
        <w:rPr>
          <w:rFonts w:ascii="Times New Roman" w:hAnsi="Times New Roman"/>
          <w:iCs/>
          <w:sz w:val="24"/>
          <w:szCs w:val="24"/>
        </w:rPr>
        <w:t xml:space="preserve"> application to AusIndustry</w:t>
      </w:r>
      <w:r>
        <w:rPr>
          <w:rFonts w:ascii="Times New Roman" w:hAnsi="Times New Roman"/>
          <w:iCs/>
          <w:sz w:val="24"/>
          <w:szCs w:val="24"/>
        </w:rPr>
        <w:t>,</w:t>
      </w:r>
      <w:r w:rsidRPr="0036449D">
        <w:rPr>
          <w:rFonts w:ascii="Times New Roman" w:hAnsi="Times New Roman"/>
          <w:iCs/>
          <w:sz w:val="24"/>
          <w:szCs w:val="24"/>
        </w:rPr>
        <w:t xml:space="preserve"> </w:t>
      </w:r>
      <w:r>
        <w:rPr>
          <w:rFonts w:ascii="Times New Roman" w:hAnsi="Times New Roman"/>
          <w:iCs/>
          <w:sz w:val="24"/>
          <w:szCs w:val="24"/>
        </w:rPr>
        <w:t>a division within the d</w:t>
      </w:r>
      <w:r w:rsidRPr="0036449D">
        <w:rPr>
          <w:rFonts w:ascii="Times New Roman" w:hAnsi="Times New Roman"/>
          <w:iCs/>
          <w:sz w:val="24"/>
          <w:szCs w:val="24"/>
        </w:rPr>
        <w:t>epartment</w:t>
      </w:r>
      <w:r>
        <w:rPr>
          <w:rFonts w:ascii="Times New Roman" w:hAnsi="Times New Roman"/>
          <w:iCs/>
          <w:sz w:val="24"/>
          <w:szCs w:val="24"/>
        </w:rPr>
        <w:t xml:space="preserve"> which </w:t>
      </w:r>
      <w:r w:rsidRPr="00DC6252">
        <w:rPr>
          <w:rFonts w:ascii="Times New Roman" w:hAnsi="Times New Roman"/>
          <w:iCs/>
          <w:sz w:val="24"/>
          <w:szCs w:val="24"/>
        </w:rPr>
        <w:t xml:space="preserve">administers the Business Grants Hub. </w:t>
      </w:r>
    </w:p>
    <w:p w14:paraId="16EF6D70" w14:textId="77777777" w:rsidR="00F82EED" w:rsidRDefault="00F82EED" w:rsidP="00F82EED">
      <w:pPr>
        <w:rPr>
          <w:rFonts w:ascii="Times New Roman" w:hAnsi="Times New Roman"/>
          <w:iCs/>
          <w:sz w:val="24"/>
          <w:szCs w:val="24"/>
        </w:rPr>
      </w:pPr>
    </w:p>
    <w:p w14:paraId="7A4618AE" w14:textId="77777777" w:rsidR="00777EE2" w:rsidRDefault="00F82EED" w:rsidP="00EF5414">
      <w:pPr>
        <w:ind w:right="-46"/>
        <w:rPr>
          <w:rFonts w:ascii="Times New Roman" w:hAnsi="Times New Roman"/>
          <w:iCs/>
          <w:sz w:val="24"/>
          <w:szCs w:val="24"/>
        </w:rPr>
      </w:pPr>
      <w:r>
        <w:rPr>
          <w:rFonts w:ascii="Times New Roman" w:hAnsi="Times New Roman"/>
          <w:iCs/>
          <w:sz w:val="24"/>
          <w:szCs w:val="24"/>
        </w:rPr>
        <w:t xml:space="preserve">Not-for-profit community organisations eligible for nomination by their local Member of Parliament will include </w:t>
      </w:r>
      <w:r w:rsidRPr="00DC6252">
        <w:rPr>
          <w:rFonts w:ascii="Times New Roman" w:hAnsi="Times New Roman"/>
          <w:iCs/>
          <w:sz w:val="24"/>
          <w:szCs w:val="24"/>
        </w:rPr>
        <w:t>Men’s Sheds, community owned kindergartens, welfare centres, community centres, women’s associations, community owned childcare centres, community football and netball clubs, Scout or Guide groups, Aboriginal or Torres Strait Islander community groups</w:t>
      </w:r>
      <w:r>
        <w:rPr>
          <w:rFonts w:ascii="Times New Roman" w:hAnsi="Times New Roman"/>
          <w:iCs/>
          <w:sz w:val="24"/>
          <w:szCs w:val="24"/>
        </w:rPr>
        <w:t>,</w:t>
      </w:r>
      <w:r w:rsidRPr="00DC6252">
        <w:rPr>
          <w:rFonts w:ascii="Times New Roman" w:hAnsi="Times New Roman"/>
          <w:iCs/>
          <w:sz w:val="24"/>
          <w:szCs w:val="24"/>
        </w:rPr>
        <w:t xml:space="preserve"> and surf life</w:t>
      </w:r>
      <w:r>
        <w:rPr>
          <w:rFonts w:ascii="Times New Roman" w:hAnsi="Times New Roman"/>
          <w:iCs/>
          <w:sz w:val="24"/>
          <w:szCs w:val="24"/>
        </w:rPr>
        <w:t xml:space="preserve"> </w:t>
      </w:r>
      <w:r w:rsidRPr="00DC6252">
        <w:rPr>
          <w:rFonts w:ascii="Times New Roman" w:hAnsi="Times New Roman"/>
          <w:iCs/>
          <w:sz w:val="24"/>
          <w:szCs w:val="24"/>
        </w:rPr>
        <w:t>saving clubs.</w:t>
      </w:r>
    </w:p>
    <w:p w14:paraId="6E2DD7D9" w14:textId="77777777" w:rsidR="00F82EED" w:rsidRPr="00DC5E86" w:rsidRDefault="00F82EED" w:rsidP="00EF5414">
      <w:pPr>
        <w:ind w:right="-46"/>
        <w:rPr>
          <w:rFonts w:ascii="Times New Roman" w:hAnsi="Times New Roman"/>
          <w:iCs/>
          <w:sz w:val="24"/>
          <w:szCs w:val="24"/>
        </w:rPr>
      </w:pPr>
    </w:p>
    <w:p w14:paraId="6FBE9DC9" w14:textId="77777777" w:rsidR="00777EE2" w:rsidRPr="00DC5E86" w:rsidRDefault="00777EE2" w:rsidP="008A5D40">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7EB80EE5" w14:textId="77777777" w:rsidR="008A5D40" w:rsidRPr="00DC5E86" w:rsidRDefault="008A5D40" w:rsidP="008A5D40">
      <w:pPr>
        <w:rPr>
          <w:rFonts w:ascii="Times New Roman" w:hAnsi="Times New Roman"/>
          <w:sz w:val="24"/>
          <w:szCs w:val="24"/>
        </w:rPr>
      </w:pPr>
    </w:p>
    <w:p w14:paraId="7620502A" w14:textId="385FD71F" w:rsidR="008A5D40" w:rsidRPr="00DC5E86" w:rsidRDefault="00033CD0" w:rsidP="008336DB">
      <w:pPr>
        <w:rPr>
          <w:szCs w:val="24"/>
        </w:rPr>
      </w:pPr>
      <w:r w:rsidRPr="00DC5E86">
        <w:rPr>
          <w:rFonts w:ascii="Times New Roman" w:hAnsi="Times New Roman"/>
          <w:sz w:val="24"/>
          <w:szCs w:val="24"/>
        </w:rPr>
        <w:t>Table item</w:t>
      </w:r>
      <w:r w:rsidR="00121FD3">
        <w:rPr>
          <w:rFonts w:ascii="Times New Roman" w:hAnsi="Times New Roman"/>
          <w:sz w:val="24"/>
          <w:szCs w:val="24"/>
        </w:rPr>
        <w:t xml:space="preserve"> 450</w:t>
      </w:r>
      <w:r w:rsidR="008336DB">
        <w:rPr>
          <w:rFonts w:ascii="Times New Roman" w:hAnsi="Times New Roman"/>
          <w:sz w:val="24"/>
          <w:szCs w:val="24"/>
        </w:rPr>
        <w:t xml:space="preserve"> does not</w:t>
      </w:r>
      <w:r w:rsidRPr="00DC5E86">
        <w:rPr>
          <w:rFonts w:ascii="Times New Roman" w:hAnsi="Times New Roman"/>
          <w:sz w:val="24"/>
          <w:szCs w:val="24"/>
        </w:rPr>
        <w:t xml:space="preserve"> </w:t>
      </w:r>
      <w:r w:rsidR="008A5D40" w:rsidRPr="00DC5E86">
        <w:rPr>
          <w:rFonts w:ascii="Times New Roman" w:hAnsi="Times New Roman"/>
          <w:sz w:val="24"/>
          <w:szCs w:val="24"/>
        </w:rPr>
        <w:t>engage</w:t>
      </w:r>
      <w:r w:rsidR="008336DB">
        <w:rPr>
          <w:rFonts w:ascii="Times New Roman" w:hAnsi="Times New Roman"/>
          <w:sz w:val="24"/>
          <w:szCs w:val="24"/>
        </w:rPr>
        <w:t xml:space="preserve"> any of </w:t>
      </w:r>
      <w:r w:rsidR="008A5D40" w:rsidRPr="00DC5E86">
        <w:rPr>
          <w:rFonts w:ascii="Times New Roman" w:hAnsi="Times New Roman"/>
          <w:sz w:val="24"/>
          <w:szCs w:val="24"/>
        </w:rPr>
        <w:t xml:space="preserve">the </w:t>
      </w:r>
      <w:r w:rsidR="008336DB">
        <w:rPr>
          <w:rFonts w:ascii="Times New Roman" w:hAnsi="Times New Roman"/>
          <w:sz w:val="24"/>
          <w:szCs w:val="24"/>
        </w:rPr>
        <w:t xml:space="preserve">applicable </w:t>
      </w:r>
      <w:r w:rsidR="008A5D40" w:rsidRPr="00DC5E86">
        <w:rPr>
          <w:rFonts w:ascii="Times New Roman" w:hAnsi="Times New Roman"/>
          <w:sz w:val="24"/>
          <w:szCs w:val="24"/>
        </w:rPr>
        <w:t>rights</w:t>
      </w:r>
      <w:r w:rsidR="008336DB">
        <w:rPr>
          <w:rFonts w:ascii="Times New Roman" w:hAnsi="Times New Roman"/>
          <w:sz w:val="24"/>
          <w:szCs w:val="24"/>
        </w:rPr>
        <w:t xml:space="preserve"> or freedoms</w:t>
      </w:r>
      <w:r w:rsidR="008A5D40" w:rsidRPr="00DC5E86">
        <w:rPr>
          <w:szCs w:val="24"/>
        </w:rPr>
        <w:t>.</w:t>
      </w:r>
    </w:p>
    <w:p w14:paraId="50B04787" w14:textId="77777777" w:rsidR="008A5D40" w:rsidRPr="00DC5E86" w:rsidRDefault="008A5D40" w:rsidP="008A5D40">
      <w:pPr>
        <w:rPr>
          <w:rFonts w:ascii="Times New Roman" w:hAnsi="Times New Roman"/>
          <w:sz w:val="24"/>
          <w:szCs w:val="24"/>
        </w:rPr>
      </w:pPr>
    </w:p>
    <w:p w14:paraId="15B4F204" w14:textId="77777777" w:rsidR="00777EE2" w:rsidRPr="00DC5E86" w:rsidRDefault="00777EE2" w:rsidP="008A5D40">
      <w:pPr>
        <w:pStyle w:val="NoSpacing"/>
        <w:ind w:right="55"/>
        <w:rPr>
          <w:b/>
          <w:color w:val="000000" w:themeColor="text1"/>
          <w:szCs w:val="24"/>
        </w:rPr>
      </w:pPr>
      <w:r w:rsidRPr="00DC5E86">
        <w:rPr>
          <w:b/>
          <w:color w:val="000000" w:themeColor="text1"/>
          <w:szCs w:val="24"/>
        </w:rPr>
        <w:t>Conclusion</w:t>
      </w:r>
    </w:p>
    <w:p w14:paraId="59B5537A" w14:textId="77777777" w:rsidR="00777EE2" w:rsidRPr="00DC5E86" w:rsidRDefault="00777EE2" w:rsidP="008A5D40">
      <w:pPr>
        <w:ind w:right="-46"/>
        <w:rPr>
          <w:rFonts w:ascii="Times New Roman" w:hAnsi="Times New Roman"/>
          <w:color w:val="000000" w:themeColor="text1"/>
          <w:sz w:val="24"/>
          <w:szCs w:val="24"/>
        </w:rPr>
      </w:pPr>
    </w:p>
    <w:p w14:paraId="1C5048DD" w14:textId="4F916F2C" w:rsidR="00777EE2" w:rsidRPr="00DC5E86" w:rsidRDefault="00777EE2" w:rsidP="008A5D40">
      <w:pPr>
        <w:rPr>
          <w:rFonts w:ascii="Times New Roman" w:hAnsi="Times New Roman"/>
          <w:color w:val="000000" w:themeColor="text1"/>
          <w:sz w:val="24"/>
          <w:szCs w:val="24"/>
        </w:rPr>
      </w:pPr>
      <w:r w:rsidRPr="00DC5E86">
        <w:rPr>
          <w:rFonts w:ascii="Times New Roman" w:hAnsi="Times New Roman"/>
          <w:sz w:val="24"/>
          <w:szCs w:val="24"/>
        </w:rPr>
        <w:t>Table item</w:t>
      </w:r>
      <w:r w:rsidR="00121FD3">
        <w:rPr>
          <w:rFonts w:ascii="Times New Roman" w:hAnsi="Times New Roman"/>
          <w:sz w:val="24"/>
          <w:szCs w:val="24"/>
        </w:rPr>
        <w:t xml:space="preserve"> 450</w:t>
      </w:r>
      <w:r w:rsidRPr="00DC5E86">
        <w:rPr>
          <w:rFonts w:ascii="Times New Roman" w:hAnsi="Times New Roman"/>
          <w:sz w:val="24"/>
          <w:szCs w:val="24"/>
        </w:rPr>
        <w:t xml:space="preserve"> is compatible with human rights </w:t>
      </w:r>
      <w:r w:rsidR="00C04193">
        <w:rPr>
          <w:rFonts w:ascii="Times New Roman" w:hAnsi="Times New Roman"/>
          <w:sz w:val="24"/>
          <w:szCs w:val="24"/>
        </w:rPr>
        <w:t xml:space="preserve">as it does not raise any </w:t>
      </w:r>
      <w:r w:rsidR="00E97DAA" w:rsidRPr="00DC5E86">
        <w:rPr>
          <w:rFonts w:ascii="Times New Roman" w:hAnsi="Times New Roman"/>
          <w:sz w:val="24"/>
          <w:szCs w:val="24"/>
        </w:rPr>
        <w:t>human rights</w:t>
      </w:r>
      <w:r w:rsidR="00C04193">
        <w:rPr>
          <w:rFonts w:ascii="Times New Roman" w:hAnsi="Times New Roman"/>
          <w:sz w:val="24"/>
          <w:szCs w:val="24"/>
        </w:rPr>
        <w:t xml:space="preserve"> issues</w:t>
      </w:r>
      <w:r w:rsidRPr="00DC5E86">
        <w:rPr>
          <w:rFonts w:ascii="Times New Roman" w:hAnsi="Times New Roman"/>
          <w:color w:val="000000" w:themeColor="text1"/>
          <w:sz w:val="24"/>
          <w:szCs w:val="24"/>
        </w:rPr>
        <w:t>.</w:t>
      </w:r>
    </w:p>
    <w:p w14:paraId="4F07FC15" w14:textId="4A3662E4" w:rsidR="00581E06" w:rsidRDefault="00581E06" w:rsidP="00EF5414">
      <w:pPr>
        <w:pStyle w:val="paranumbering0"/>
        <w:spacing w:before="0" w:beforeAutospacing="0" w:after="0" w:afterAutospacing="0"/>
        <w:contextualSpacing/>
        <w:jc w:val="center"/>
        <w:rPr>
          <w:b/>
        </w:rPr>
      </w:pPr>
    </w:p>
    <w:p w14:paraId="38634D49" w14:textId="79752536" w:rsidR="00DC0D7B" w:rsidRPr="00DC5E86" w:rsidRDefault="00DC0D7B" w:rsidP="00DC0D7B">
      <w:pPr>
        <w:rPr>
          <w:rFonts w:ascii="Times New Roman" w:eastAsiaTheme="minorEastAsia" w:hAnsi="Times New Roman"/>
          <w:i/>
          <w:sz w:val="24"/>
          <w:szCs w:val="24"/>
          <w:u w:val="single"/>
        </w:rPr>
      </w:pPr>
      <w:r w:rsidRPr="00DC5E86">
        <w:rPr>
          <w:rFonts w:ascii="Times New Roman" w:hAnsi="Times New Roman"/>
          <w:i/>
          <w:sz w:val="24"/>
          <w:szCs w:val="24"/>
          <w:u w:val="single"/>
        </w:rPr>
        <w:t xml:space="preserve">Table item </w:t>
      </w:r>
      <w:r>
        <w:rPr>
          <w:rFonts w:ascii="Times New Roman" w:hAnsi="Times New Roman"/>
          <w:i/>
          <w:sz w:val="24"/>
          <w:szCs w:val="24"/>
          <w:u w:val="single"/>
        </w:rPr>
        <w:t>451</w:t>
      </w:r>
      <w:r w:rsidRPr="00DC5E86">
        <w:rPr>
          <w:rFonts w:ascii="Times New Roman" w:hAnsi="Times New Roman"/>
          <w:i/>
          <w:sz w:val="24"/>
          <w:szCs w:val="24"/>
          <w:u w:val="single"/>
        </w:rPr>
        <w:t xml:space="preserve"> – </w:t>
      </w:r>
      <w:r>
        <w:rPr>
          <w:rFonts w:ascii="Times New Roman" w:hAnsi="Times New Roman"/>
          <w:i/>
          <w:sz w:val="24"/>
          <w:szCs w:val="24"/>
          <w:u w:val="single"/>
        </w:rPr>
        <w:t>Building Energy Efficiency Program</w:t>
      </w:r>
    </w:p>
    <w:p w14:paraId="5498C5FB" w14:textId="77777777" w:rsidR="00DC0D7B" w:rsidRPr="00DC5E86" w:rsidRDefault="00DC0D7B" w:rsidP="00DC0D7B">
      <w:pPr>
        <w:ind w:right="-46"/>
        <w:rPr>
          <w:rFonts w:ascii="Times New Roman" w:hAnsi="Times New Roman"/>
          <w:color w:val="000000" w:themeColor="text1"/>
          <w:sz w:val="24"/>
          <w:szCs w:val="24"/>
        </w:rPr>
      </w:pPr>
    </w:p>
    <w:p w14:paraId="03F00D92" w14:textId="697E733F" w:rsidR="00DC0D7B" w:rsidRDefault="00DC0D7B" w:rsidP="00DC0D7B">
      <w:pPr>
        <w:ind w:right="-46"/>
        <w:rPr>
          <w:rFonts w:ascii="Times New Roman" w:hAnsi="Times New Roman"/>
          <w:iCs/>
          <w:sz w:val="24"/>
          <w:szCs w:val="24"/>
        </w:rPr>
      </w:pPr>
      <w:r w:rsidRPr="00DC5E86">
        <w:rPr>
          <w:rFonts w:ascii="Times New Roman" w:hAnsi="Times New Roman"/>
          <w:sz w:val="24"/>
          <w:szCs w:val="24"/>
        </w:rPr>
        <w:t xml:space="preserve">Table item </w:t>
      </w:r>
      <w:r>
        <w:rPr>
          <w:rFonts w:ascii="Times New Roman" w:hAnsi="Times New Roman"/>
          <w:sz w:val="24"/>
          <w:szCs w:val="24"/>
        </w:rPr>
        <w:t>451</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Pr="00DC5E86">
        <w:rPr>
          <w:rFonts w:ascii="Times New Roman" w:hAnsi="Times New Roman"/>
          <w:iCs/>
          <w:sz w:val="24"/>
          <w:szCs w:val="24"/>
        </w:rPr>
        <w:t xml:space="preserve">legislative authority for government spending on the </w:t>
      </w:r>
      <w:r>
        <w:rPr>
          <w:rFonts w:ascii="Times New Roman" w:hAnsi="Times New Roman"/>
          <w:iCs/>
          <w:sz w:val="24"/>
          <w:szCs w:val="24"/>
        </w:rPr>
        <w:t>Building Energy Efficiency Program (the program).</w:t>
      </w:r>
    </w:p>
    <w:p w14:paraId="2B455648" w14:textId="77777777" w:rsidR="00DC0D7B" w:rsidRDefault="00DC0D7B" w:rsidP="00DC0D7B">
      <w:pPr>
        <w:ind w:right="-46"/>
        <w:rPr>
          <w:rFonts w:ascii="Times New Roman" w:hAnsi="Times New Roman"/>
          <w:iCs/>
          <w:sz w:val="24"/>
          <w:szCs w:val="24"/>
        </w:rPr>
      </w:pPr>
    </w:p>
    <w:p w14:paraId="1E0BE37F" w14:textId="77777777" w:rsidR="00DC0D7B" w:rsidRDefault="00DC0D7B" w:rsidP="00DC0D7B">
      <w:pPr>
        <w:rPr>
          <w:rFonts w:ascii="Times New Roman" w:hAnsi="Times New Roman"/>
          <w:iCs/>
          <w:sz w:val="24"/>
          <w:szCs w:val="24"/>
        </w:rPr>
      </w:pPr>
      <w:r>
        <w:rPr>
          <w:rFonts w:ascii="Times New Roman" w:hAnsi="Times New Roman"/>
          <w:iCs/>
          <w:sz w:val="24"/>
          <w:szCs w:val="24"/>
        </w:rPr>
        <w:t>Building energy efficiency provides one of the least cost abatement options to support Australia’s greenhouse gas emissions reduction efforts, delivering up to 45 million tonnes in emissions reductions by 2030. Australian households are responsible for around 24 per cent of Australia’s electricity use and 12 per cent of Australia’s greenhouse gas emissions. The commercial building sector is responsible for around 25 per cent of Australia’s electricity use and 10 per cent of Australia’s greenhouse gas emissions.</w:t>
      </w:r>
    </w:p>
    <w:p w14:paraId="492342B9" w14:textId="77777777" w:rsidR="00DC0D7B" w:rsidRDefault="00DC0D7B" w:rsidP="00DC0D7B">
      <w:pPr>
        <w:rPr>
          <w:rFonts w:ascii="Times New Roman" w:hAnsi="Times New Roman"/>
          <w:iCs/>
          <w:sz w:val="24"/>
          <w:szCs w:val="24"/>
        </w:rPr>
      </w:pPr>
    </w:p>
    <w:p w14:paraId="68C386E6" w14:textId="77777777" w:rsidR="00DC0D7B" w:rsidRPr="00AA74BD" w:rsidRDefault="00DC0D7B" w:rsidP="00DC0D7B">
      <w:pPr>
        <w:rPr>
          <w:rFonts w:ascii="Times New Roman" w:hAnsi="Times New Roman"/>
          <w:iCs/>
          <w:sz w:val="24"/>
          <w:szCs w:val="24"/>
        </w:rPr>
      </w:pPr>
      <w:r>
        <w:rPr>
          <w:rFonts w:ascii="Times New Roman" w:hAnsi="Times New Roman"/>
          <w:iCs/>
          <w:sz w:val="24"/>
          <w:szCs w:val="24"/>
        </w:rPr>
        <w:t xml:space="preserve">The program is part of the Government’s $1.9 billion investment package in future technologies to lower greenhouse gas emissions, which would support jobs, cut costs for households and improve the reliability of Australia’s energy supply. The program will address information barriers in relation to energy efficiency identified in the </w:t>
      </w:r>
      <w:r w:rsidRPr="0091649A">
        <w:rPr>
          <w:rFonts w:ascii="Times New Roman" w:hAnsi="Times New Roman"/>
          <w:i/>
          <w:iCs/>
          <w:sz w:val="24"/>
          <w:szCs w:val="24"/>
        </w:rPr>
        <w:t>Report of the Expert Panel examining additional sources of low cost abatement</w:t>
      </w:r>
      <w:r>
        <w:rPr>
          <w:rFonts w:ascii="Times New Roman" w:hAnsi="Times New Roman"/>
          <w:iCs/>
          <w:sz w:val="24"/>
          <w:szCs w:val="24"/>
        </w:rPr>
        <w:t xml:space="preserve"> (the King Review). The program will also support the implementation of the former Council of Australian Governments (COAG) Energy Council’s </w:t>
      </w:r>
      <w:r w:rsidRPr="00B641BB">
        <w:rPr>
          <w:rFonts w:ascii="Times New Roman" w:hAnsi="Times New Roman"/>
          <w:i/>
          <w:iCs/>
          <w:sz w:val="24"/>
          <w:szCs w:val="24"/>
        </w:rPr>
        <w:t>Trajectory for Low Energy Buildings</w:t>
      </w:r>
      <w:r>
        <w:rPr>
          <w:rFonts w:ascii="Times New Roman" w:hAnsi="Times New Roman"/>
          <w:iCs/>
          <w:sz w:val="24"/>
          <w:szCs w:val="24"/>
        </w:rPr>
        <w:t>.</w:t>
      </w:r>
    </w:p>
    <w:p w14:paraId="301B21A3" w14:textId="77777777" w:rsidR="00DC0D7B" w:rsidRDefault="00DC0D7B" w:rsidP="00DC0D7B">
      <w:pPr>
        <w:rPr>
          <w:rFonts w:ascii="Times New Roman" w:hAnsi="Times New Roman"/>
          <w:iCs/>
          <w:sz w:val="24"/>
          <w:szCs w:val="24"/>
        </w:rPr>
      </w:pPr>
    </w:p>
    <w:p w14:paraId="1BE63C44" w14:textId="77777777" w:rsidR="00DC0D7B" w:rsidRDefault="00DC0D7B" w:rsidP="00DC0D7B">
      <w:r>
        <w:rPr>
          <w:rFonts w:ascii="Times New Roman" w:hAnsi="Times New Roman"/>
          <w:sz w:val="24"/>
          <w:szCs w:val="24"/>
        </w:rPr>
        <w:t xml:space="preserve">The program aims to </w:t>
      </w:r>
      <w:r w:rsidRPr="00DB774A">
        <w:rPr>
          <w:rFonts w:ascii="Times New Roman" w:hAnsi="Times New Roman"/>
          <w:sz w:val="24"/>
          <w:szCs w:val="24"/>
        </w:rPr>
        <w:t xml:space="preserve">reduce energy use, improve </w:t>
      </w:r>
      <w:r>
        <w:rPr>
          <w:rFonts w:ascii="Times New Roman" w:hAnsi="Times New Roman"/>
          <w:sz w:val="24"/>
          <w:szCs w:val="24"/>
        </w:rPr>
        <w:t xml:space="preserve">energy </w:t>
      </w:r>
      <w:r w:rsidRPr="00DB774A">
        <w:rPr>
          <w:rFonts w:ascii="Times New Roman" w:hAnsi="Times New Roman"/>
          <w:sz w:val="24"/>
          <w:szCs w:val="24"/>
        </w:rPr>
        <w:t>productivity and deliver carbon abatement in buildings</w:t>
      </w:r>
      <w:r>
        <w:rPr>
          <w:rFonts w:ascii="Times New Roman" w:hAnsi="Times New Roman"/>
          <w:sz w:val="24"/>
          <w:szCs w:val="24"/>
        </w:rPr>
        <w:t xml:space="preserve"> through the following activities:</w:t>
      </w:r>
      <w:r w:rsidRPr="00DB774A">
        <w:t xml:space="preserve"> </w:t>
      </w:r>
    </w:p>
    <w:p w14:paraId="6AA2AC35" w14:textId="77777777" w:rsidR="00DC0D7B" w:rsidRPr="00AA74BD" w:rsidRDefault="00DC0D7B" w:rsidP="00DC0D7B">
      <w:pPr>
        <w:pStyle w:val="ListParagraph"/>
        <w:numPr>
          <w:ilvl w:val="0"/>
          <w:numId w:val="12"/>
        </w:numPr>
        <w:spacing w:after="200"/>
        <w:rPr>
          <w:rFonts w:cs="Times New Roman"/>
        </w:rPr>
      </w:pPr>
      <w:r w:rsidRPr="00AA74BD">
        <w:rPr>
          <w:rFonts w:cs="Times New Roman"/>
        </w:rPr>
        <w:lastRenderedPageBreak/>
        <w:t>development of best practice information, training resources and tools to improve the energy efficiency and performance of residential</w:t>
      </w:r>
      <w:r>
        <w:rPr>
          <w:rFonts w:cs="Times New Roman"/>
        </w:rPr>
        <w:t xml:space="preserve"> and commercial</w:t>
      </w:r>
      <w:r w:rsidRPr="00AA74BD">
        <w:rPr>
          <w:rFonts w:cs="Times New Roman"/>
        </w:rPr>
        <w:t xml:space="preserve"> buildings</w:t>
      </w:r>
      <w:r>
        <w:rPr>
          <w:rFonts w:cs="Times New Roman"/>
        </w:rPr>
        <w:t>,</w:t>
      </w:r>
      <w:r w:rsidRPr="00AA74BD">
        <w:rPr>
          <w:rFonts w:cs="Times New Roman"/>
        </w:rPr>
        <w:t xml:space="preserve"> which </w:t>
      </w:r>
      <w:r>
        <w:rPr>
          <w:rFonts w:cs="Times New Roman"/>
        </w:rPr>
        <w:t>will</w:t>
      </w:r>
      <w:r w:rsidRPr="00AA74BD">
        <w:rPr>
          <w:rFonts w:cs="Times New Roman"/>
        </w:rPr>
        <w:t xml:space="preserve"> enable greater consumer choice and increase skills in the industry; </w:t>
      </w:r>
    </w:p>
    <w:p w14:paraId="7DB54D3C" w14:textId="77777777" w:rsidR="00DC0D7B" w:rsidRPr="00AA74BD" w:rsidRDefault="00DC0D7B" w:rsidP="00DC0D7B">
      <w:pPr>
        <w:pStyle w:val="ListParagraph"/>
        <w:numPr>
          <w:ilvl w:val="0"/>
          <w:numId w:val="12"/>
        </w:numPr>
        <w:spacing w:after="200"/>
        <w:rPr>
          <w:rFonts w:cs="Times New Roman"/>
        </w:rPr>
      </w:pPr>
      <w:r w:rsidRPr="00AA74BD">
        <w:rPr>
          <w:rFonts w:cs="Times New Roman"/>
        </w:rPr>
        <w:t>expansion of the National Australian Built Environment Rating System (NABERS); </w:t>
      </w:r>
    </w:p>
    <w:p w14:paraId="2F60EACA" w14:textId="77777777" w:rsidR="00DC0D7B" w:rsidRDefault="00DC0D7B" w:rsidP="00DC0D7B">
      <w:pPr>
        <w:pStyle w:val="ListParagraph"/>
        <w:numPr>
          <w:ilvl w:val="0"/>
          <w:numId w:val="12"/>
        </w:numPr>
        <w:spacing w:after="200"/>
        <w:rPr>
          <w:rFonts w:cs="Times New Roman"/>
        </w:rPr>
      </w:pPr>
      <w:r>
        <w:rPr>
          <w:rFonts w:cs="Times New Roman"/>
        </w:rPr>
        <w:t>d</w:t>
      </w:r>
      <w:r w:rsidRPr="00AA4E9D">
        <w:rPr>
          <w:rFonts w:cs="Times New Roman"/>
        </w:rPr>
        <w:t>evelopment of a voluntary energy performance certification to cover the remaining 15 per cent of building</w:t>
      </w:r>
      <w:r>
        <w:rPr>
          <w:rFonts w:cs="Times New Roman"/>
        </w:rPr>
        <w:t>s</w:t>
      </w:r>
      <w:r w:rsidRPr="00AA4E9D">
        <w:rPr>
          <w:rFonts w:cs="Times New Roman"/>
        </w:rPr>
        <w:t xml:space="preserve"> not covered by NABERS rating tool</w:t>
      </w:r>
      <w:r>
        <w:rPr>
          <w:rFonts w:cs="Times New Roman"/>
        </w:rPr>
        <w:t>s;</w:t>
      </w:r>
    </w:p>
    <w:p w14:paraId="341C01C1" w14:textId="77777777" w:rsidR="00DC0D7B" w:rsidRDefault="00DC0D7B" w:rsidP="00DC0D7B">
      <w:pPr>
        <w:pStyle w:val="ListParagraph"/>
        <w:numPr>
          <w:ilvl w:val="0"/>
          <w:numId w:val="12"/>
        </w:numPr>
        <w:spacing w:after="200"/>
        <w:rPr>
          <w:rFonts w:cs="Times New Roman"/>
        </w:rPr>
      </w:pPr>
      <w:r w:rsidRPr="66592093">
        <w:rPr>
          <w:rFonts w:cs="Times New Roman"/>
        </w:rPr>
        <w:t xml:space="preserve">expansion of the </w:t>
      </w:r>
      <w:r w:rsidRPr="00AA74BD">
        <w:rPr>
          <w:rFonts w:cs="Times New Roman"/>
        </w:rPr>
        <w:t xml:space="preserve">Nationwide House Energy Rating Scheme (NatHERS) to include </w:t>
      </w:r>
      <w:r w:rsidRPr="66592093">
        <w:rPr>
          <w:rFonts w:cs="Times New Roman"/>
        </w:rPr>
        <w:t>whole-of-home assessments;</w:t>
      </w:r>
    </w:p>
    <w:p w14:paraId="317C0FB2" w14:textId="77777777" w:rsidR="00DC0D7B" w:rsidRDefault="00DC0D7B" w:rsidP="00DC0D7B">
      <w:pPr>
        <w:pStyle w:val="ListParagraph"/>
        <w:numPr>
          <w:ilvl w:val="0"/>
          <w:numId w:val="12"/>
        </w:numPr>
        <w:spacing w:after="200"/>
        <w:rPr>
          <w:rFonts w:cs="Times New Roman"/>
        </w:rPr>
      </w:pPr>
      <w:r w:rsidRPr="66592093">
        <w:rPr>
          <w:rFonts w:cs="Times New Roman"/>
        </w:rPr>
        <w:t>delivery of a voluntary home energy rating scheme and energy efficiency disclosure framework for existing homes supported by extension of NatHERS to include existing home assessments</w:t>
      </w:r>
      <w:r w:rsidRPr="00AA74BD">
        <w:rPr>
          <w:rFonts w:cs="Times New Roman"/>
        </w:rPr>
        <w:t>; and</w:t>
      </w:r>
    </w:p>
    <w:p w14:paraId="7F72FD8C" w14:textId="77777777" w:rsidR="00DC0D7B" w:rsidRPr="00AA74BD" w:rsidRDefault="00DC0D7B" w:rsidP="00DC0D7B">
      <w:pPr>
        <w:pStyle w:val="ListParagraph"/>
        <w:numPr>
          <w:ilvl w:val="0"/>
          <w:numId w:val="12"/>
        </w:numPr>
        <w:spacing w:after="200"/>
        <w:rPr>
          <w:rFonts w:cs="Times New Roman"/>
        </w:rPr>
      </w:pPr>
      <w:r w:rsidRPr="00AA74BD">
        <w:rPr>
          <w:rFonts w:cs="Times New Roman"/>
        </w:rPr>
        <w:t xml:space="preserve">encouraging building owners to replace old, inefficient heating, ventilation and air conditioning (HVAC) systems. </w:t>
      </w:r>
    </w:p>
    <w:p w14:paraId="7975D48C" w14:textId="77777777" w:rsidR="00DC0D7B" w:rsidRPr="00AA74BD" w:rsidRDefault="00DC0D7B" w:rsidP="00DC0D7B">
      <w:pPr>
        <w:rPr>
          <w:rFonts w:ascii="Times New Roman" w:hAnsi="Times New Roman"/>
          <w:sz w:val="24"/>
          <w:szCs w:val="24"/>
        </w:rPr>
      </w:pPr>
      <w:r w:rsidRPr="00AA74BD">
        <w:rPr>
          <w:rFonts w:ascii="Times New Roman" w:hAnsi="Times New Roman"/>
          <w:sz w:val="24"/>
          <w:szCs w:val="24"/>
        </w:rPr>
        <w:t xml:space="preserve">The target group for the program is industry (including builders, designers and managers of both residential and commercial buildings) and consumers (including building owners). </w:t>
      </w:r>
    </w:p>
    <w:p w14:paraId="38680641" w14:textId="77777777" w:rsidR="00DC0D7B" w:rsidRPr="00AA74BD" w:rsidRDefault="00DC0D7B" w:rsidP="00DC0D7B">
      <w:pPr>
        <w:rPr>
          <w:rFonts w:ascii="Times New Roman" w:hAnsi="Times New Roman"/>
          <w:sz w:val="24"/>
          <w:szCs w:val="24"/>
        </w:rPr>
      </w:pPr>
    </w:p>
    <w:p w14:paraId="09C4CE26" w14:textId="77777777" w:rsidR="00DC0D7B" w:rsidRPr="00DC5E86" w:rsidRDefault="00DC0D7B" w:rsidP="00DC0D7B">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5E2535CF" w14:textId="77777777" w:rsidR="00DC0D7B" w:rsidRPr="00DC5E86" w:rsidRDefault="00DC0D7B" w:rsidP="00DC0D7B">
      <w:pPr>
        <w:rPr>
          <w:rFonts w:ascii="Times New Roman" w:hAnsi="Times New Roman"/>
          <w:sz w:val="24"/>
          <w:szCs w:val="24"/>
        </w:rPr>
      </w:pPr>
    </w:p>
    <w:p w14:paraId="548E3445" w14:textId="77777777" w:rsidR="00DC0D7B" w:rsidRDefault="00DC0D7B" w:rsidP="00DC0D7B">
      <w:pPr>
        <w:rPr>
          <w:rFonts w:ascii="Times New Roman" w:hAnsi="Times New Roman"/>
          <w:sz w:val="24"/>
          <w:szCs w:val="24"/>
        </w:rPr>
      </w:pPr>
      <w:r w:rsidRPr="006A6E5B">
        <w:rPr>
          <w:rFonts w:ascii="Times New Roman" w:hAnsi="Times New Roman"/>
          <w:sz w:val="24"/>
          <w:szCs w:val="24"/>
        </w:rPr>
        <w:t>Program activities that relate to residential building standards, ratings and disclosure engage positively with the right to an adequate standard of living</w:t>
      </w:r>
      <w:r w:rsidRPr="006105B8">
        <w:rPr>
          <w:rFonts w:ascii="Times New Roman" w:hAnsi="Times New Roman"/>
          <w:sz w:val="24"/>
          <w:szCs w:val="24"/>
        </w:rPr>
        <w:t xml:space="preserve"> </w:t>
      </w:r>
      <w:r>
        <w:rPr>
          <w:rFonts w:ascii="Times New Roman" w:hAnsi="Times New Roman"/>
          <w:sz w:val="24"/>
          <w:szCs w:val="24"/>
        </w:rPr>
        <w:t xml:space="preserve">in Article 11(1) of the </w:t>
      </w:r>
      <w:r w:rsidRPr="00910991">
        <w:rPr>
          <w:rFonts w:ascii="Times New Roman" w:hAnsi="Times New Roman"/>
          <w:i/>
          <w:sz w:val="24"/>
          <w:szCs w:val="24"/>
        </w:rPr>
        <w:t>International Covenant on Economic, Social and Cultural Rights</w:t>
      </w:r>
      <w:r>
        <w:rPr>
          <w:rFonts w:ascii="Times New Roman" w:hAnsi="Times New Roman"/>
          <w:sz w:val="24"/>
          <w:szCs w:val="24"/>
        </w:rPr>
        <w:t xml:space="preserve"> (the ICESCR), </w:t>
      </w:r>
      <w:r w:rsidRPr="000B4DD6">
        <w:rPr>
          <w:rFonts w:ascii="Times New Roman" w:hAnsi="Times New Roman"/>
          <w:sz w:val="24"/>
          <w:szCs w:val="24"/>
        </w:rPr>
        <w:t>read with Article 2 of the ICESCR</w:t>
      </w:r>
      <w:r w:rsidRPr="006A6E5B">
        <w:rPr>
          <w:rFonts w:ascii="Times New Roman" w:hAnsi="Times New Roman"/>
          <w:sz w:val="24"/>
          <w:szCs w:val="24"/>
        </w:rPr>
        <w:t xml:space="preserve">, including food, water and housing by providing a basis to measure and improve the efficiency and comfort of housing. </w:t>
      </w:r>
    </w:p>
    <w:p w14:paraId="6E780E62" w14:textId="77777777" w:rsidR="00DC0D7B" w:rsidRDefault="00DC0D7B" w:rsidP="00DC0D7B">
      <w:pPr>
        <w:rPr>
          <w:rFonts w:ascii="Times New Roman" w:hAnsi="Times New Roman"/>
          <w:sz w:val="24"/>
          <w:szCs w:val="24"/>
        </w:rPr>
      </w:pPr>
    </w:p>
    <w:p w14:paraId="0ECCC535" w14:textId="1BF51B5A" w:rsidR="00DC0D7B" w:rsidRPr="000B4DD6" w:rsidRDefault="00DC0D7B" w:rsidP="00DC0D7B">
      <w:pPr>
        <w:rPr>
          <w:rFonts w:ascii="Times New Roman" w:hAnsi="Times New Roman"/>
          <w:sz w:val="24"/>
          <w:szCs w:val="24"/>
        </w:rPr>
      </w:pPr>
      <w:r w:rsidRPr="000B4DD6">
        <w:rPr>
          <w:rFonts w:ascii="Times New Roman" w:hAnsi="Times New Roman"/>
          <w:sz w:val="24"/>
          <w:szCs w:val="24"/>
        </w:rPr>
        <w:t>Article 11(1) of the ICESCR provides that States Parties to the ICESCR ‘recognize the right of everyone to an adequate standard of living for himself and his family, including adequate food, clothing and housing, and to the continuous improvement of living conditions … ’.</w:t>
      </w:r>
    </w:p>
    <w:p w14:paraId="60B6429E" w14:textId="77777777" w:rsidR="00DC0D7B" w:rsidRPr="006105B8" w:rsidRDefault="00DC0D7B" w:rsidP="00DC0D7B">
      <w:pPr>
        <w:rPr>
          <w:rFonts w:ascii="Times New Roman" w:hAnsi="Times New Roman"/>
          <w:sz w:val="24"/>
          <w:szCs w:val="24"/>
          <w:highlight w:val="yellow"/>
        </w:rPr>
      </w:pPr>
    </w:p>
    <w:p w14:paraId="4B26825C" w14:textId="77777777" w:rsidR="00DC0D7B" w:rsidRPr="006105B8" w:rsidRDefault="00DC0D7B" w:rsidP="00DC0D7B">
      <w:pPr>
        <w:rPr>
          <w:rFonts w:ascii="Times New Roman" w:hAnsi="Times New Roman"/>
          <w:sz w:val="24"/>
          <w:szCs w:val="24"/>
        </w:rPr>
      </w:pPr>
      <w:r w:rsidRPr="000B4DD6">
        <w:rPr>
          <w:rFonts w:ascii="Times New Roman" w:hAnsi="Times New Roman"/>
          <w:sz w:val="24"/>
          <w:szCs w:val="24"/>
        </w:rPr>
        <w:t>Pursuant to Article 2(1), each State Party to the ICESCR is required to ‘take steps … to the maximum of its available resources, with a view to achieving progressively the full realization’ of this right by all appropriate means, including particularly the adoption of legislative measures.</w:t>
      </w:r>
    </w:p>
    <w:p w14:paraId="1F63F0E5" w14:textId="77777777" w:rsidR="00DC0D7B" w:rsidRPr="006A6E5B" w:rsidRDefault="00DC0D7B" w:rsidP="00DC0D7B">
      <w:r>
        <w:rPr>
          <w:rFonts w:ascii="Times New Roman" w:hAnsi="Times New Roman"/>
          <w:sz w:val="24"/>
          <w:szCs w:val="24"/>
        </w:rPr>
        <w:t xml:space="preserve"> </w:t>
      </w:r>
    </w:p>
    <w:p w14:paraId="581D4321" w14:textId="1A9218CB" w:rsidR="00DC0D7B" w:rsidRPr="006A6E5B" w:rsidRDefault="00DC0D7B" w:rsidP="00DC0D7B">
      <w:pPr>
        <w:rPr>
          <w:rFonts w:ascii="Times New Roman" w:hAnsi="Times New Roman"/>
          <w:sz w:val="24"/>
          <w:szCs w:val="24"/>
        </w:rPr>
      </w:pPr>
      <w:r w:rsidRPr="006A6E5B">
        <w:rPr>
          <w:rFonts w:ascii="Times New Roman" w:hAnsi="Times New Roman"/>
          <w:sz w:val="24"/>
          <w:szCs w:val="24"/>
        </w:rPr>
        <w:t>Table item</w:t>
      </w:r>
      <w:r>
        <w:rPr>
          <w:rFonts w:ascii="Times New Roman" w:hAnsi="Times New Roman"/>
          <w:sz w:val="24"/>
          <w:szCs w:val="24"/>
        </w:rPr>
        <w:t xml:space="preserve"> 451</w:t>
      </w:r>
      <w:r w:rsidRPr="006A6E5B">
        <w:rPr>
          <w:rFonts w:ascii="Times New Roman" w:hAnsi="Times New Roman"/>
          <w:sz w:val="24"/>
          <w:szCs w:val="24"/>
        </w:rPr>
        <w:t xml:space="preserve"> does not limit any of the applicable rights or freedoms, which are set out in the international instruments listed in section 3 of the </w:t>
      </w:r>
      <w:r w:rsidRPr="006A6E5B">
        <w:rPr>
          <w:rFonts w:ascii="Times New Roman" w:hAnsi="Times New Roman"/>
          <w:i/>
          <w:sz w:val="24"/>
          <w:szCs w:val="24"/>
        </w:rPr>
        <w:t>Human Rights (Parliamentary Scrutiny) Act 2011</w:t>
      </w:r>
      <w:r w:rsidRPr="006A6E5B">
        <w:rPr>
          <w:rFonts w:ascii="Times New Roman" w:hAnsi="Times New Roman"/>
          <w:sz w:val="24"/>
          <w:szCs w:val="24"/>
        </w:rPr>
        <w:t xml:space="preserve">. The program will be conducted in accordance with existing legal and human rights frameworks. It is not anticipated that government spending to reduce energy use, improve energy productivity and deliver carbon abatement in buildings in Australia will require an amendment to any existing human rights laws in Australia or overseas.  </w:t>
      </w:r>
    </w:p>
    <w:p w14:paraId="75A51CD5" w14:textId="77777777" w:rsidR="00DC0D7B" w:rsidRPr="006A6E5B" w:rsidRDefault="00DC0D7B" w:rsidP="00DC0D7B">
      <w:pPr>
        <w:rPr>
          <w:rFonts w:ascii="Times New Roman" w:hAnsi="Times New Roman"/>
          <w:sz w:val="24"/>
          <w:szCs w:val="24"/>
        </w:rPr>
      </w:pPr>
    </w:p>
    <w:p w14:paraId="5A4FFB08" w14:textId="77777777" w:rsidR="00DC0D7B" w:rsidRPr="00DC5E86" w:rsidRDefault="00DC0D7B" w:rsidP="00DC0D7B">
      <w:pPr>
        <w:pStyle w:val="NoSpacing"/>
        <w:ind w:right="55"/>
        <w:rPr>
          <w:b/>
          <w:color w:val="000000" w:themeColor="text1"/>
        </w:rPr>
      </w:pPr>
      <w:r w:rsidRPr="66592093">
        <w:rPr>
          <w:b/>
          <w:color w:val="000000" w:themeColor="text1"/>
        </w:rPr>
        <w:t>Conclusion</w:t>
      </w:r>
    </w:p>
    <w:p w14:paraId="495E5239" w14:textId="77777777" w:rsidR="00DC0D7B" w:rsidRPr="00DC5E86" w:rsidRDefault="00DC0D7B" w:rsidP="00DC0D7B">
      <w:pPr>
        <w:ind w:right="-46"/>
        <w:rPr>
          <w:rFonts w:ascii="Times New Roman" w:hAnsi="Times New Roman"/>
          <w:color w:val="000000" w:themeColor="text1"/>
          <w:sz w:val="24"/>
          <w:szCs w:val="24"/>
        </w:rPr>
      </w:pPr>
    </w:p>
    <w:p w14:paraId="42853943" w14:textId="1CE36C30" w:rsidR="00DC0D7B" w:rsidRPr="00DC5E86" w:rsidRDefault="00DC0D7B" w:rsidP="00DC0D7B">
      <w:pPr>
        <w:rPr>
          <w:rFonts w:ascii="Times New Roman" w:hAnsi="Times New Roman"/>
          <w:color w:val="000000" w:themeColor="text1"/>
          <w:sz w:val="24"/>
          <w:szCs w:val="24"/>
        </w:rPr>
      </w:pPr>
      <w:r w:rsidRPr="00DC5E86">
        <w:rPr>
          <w:rFonts w:ascii="Times New Roman" w:hAnsi="Times New Roman"/>
          <w:sz w:val="24"/>
          <w:szCs w:val="24"/>
        </w:rPr>
        <w:t>Table item</w:t>
      </w:r>
      <w:r w:rsidR="00F46236">
        <w:rPr>
          <w:rFonts w:ascii="Times New Roman" w:hAnsi="Times New Roman"/>
          <w:sz w:val="24"/>
          <w:szCs w:val="24"/>
        </w:rPr>
        <w:t xml:space="preserve"> 451</w:t>
      </w:r>
      <w:r w:rsidRPr="00DC5E86">
        <w:rPr>
          <w:rFonts w:ascii="Times New Roman" w:hAnsi="Times New Roman"/>
          <w:sz w:val="24"/>
          <w:szCs w:val="24"/>
        </w:rPr>
        <w:t xml:space="preserve"> is compatible with human rights </w:t>
      </w:r>
      <w:r>
        <w:rPr>
          <w:rFonts w:ascii="Times New Roman" w:hAnsi="Times New Roman"/>
          <w:sz w:val="24"/>
          <w:szCs w:val="24"/>
        </w:rPr>
        <w:t xml:space="preserve">as it </w:t>
      </w:r>
      <w:r>
        <w:rPr>
          <w:rFonts w:ascii="Times New Roman" w:eastAsia="Arial" w:hAnsi="Times New Roman"/>
          <w:sz w:val="24"/>
          <w:szCs w:val="24"/>
        </w:rPr>
        <w:t>engages positively with</w:t>
      </w:r>
      <w:r w:rsidRPr="00DB774A">
        <w:rPr>
          <w:rFonts w:ascii="Times New Roman" w:eastAsia="Arial" w:hAnsi="Times New Roman"/>
          <w:sz w:val="24"/>
          <w:szCs w:val="24"/>
        </w:rPr>
        <w:t xml:space="preserve"> human rights</w:t>
      </w:r>
      <w:r w:rsidRPr="00DC5E86">
        <w:rPr>
          <w:rFonts w:ascii="Times New Roman" w:hAnsi="Times New Roman"/>
          <w:color w:val="000000" w:themeColor="text1"/>
          <w:sz w:val="24"/>
          <w:szCs w:val="24"/>
        </w:rPr>
        <w:t>.</w:t>
      </w:r>
    </w:p>
    <w:p w14:paraId="237CA1D1" w14:textId="72D27A02" w:rsidR="00DC0D7B" w:rsidRDefault="00DC0D7B" w:rsidP="00DC0D7B">
      <w:pPr>
        <w:pStyle w:val="paranumbering0"/>
        <w:spacing w:before="0" w:beforeAutospacing="0" w:after="0" w:afterAutospacing="0"/>
        <w:contextualSpacing/>
        <w:rPr>
          <w:b/>
        </w:rPr>
      </w:pPr>
    </w:p>
    <w:p w14:paraId="51742161" w14:textId="7BBFF8F2" w:rsidR="00F55292" w:rsidRPr="00DC5E86" w:rsidRDefault="00F55292" w:rsidP="00F55292">
      <w:pPr>
        <w:rPr>
          <w:rFonts w:ascii="Times New Roman" w:eastAsiaTheme="minorEastAsia" w:hAnsi="Times New Roman"/>
          <w:i/>
          <w:sz w:val="24"/>
          <w:szCs w:val="24"/>
          <w:u w:val="single"/>
        </w:rPr>
      </w:pPr>
      <w:r w:rsidRPr="00DC5E86">
        <w:rPr>
          <w:rFonts w:ascii="Times New Roman" w:hAnsi="Times New Roman"/>
          <w:i/>
          <w:sz w:val="24"/>
          <w:szCs w:val="24"/>
          <w:u w:val="single"/>
        </w:rPr>
        <w:t>Table item</w:t>
      </w:r>
      <w:r>
        <w:rPr>
          <w:rFonts w:ascii="Times New Roman" w:hAnsi="Times New Roman"/>
          <w:i/>
          <w:sz w:val="24"/>
          <w:szCs w:val="24"/>
          <w:u w:val="single"/>
        </w:rPr>
        <w:t xml:space="preserve"> 452</w:t>
      </w:r>
      <w:r w:rsidRPr="00DC5E86">
        <w:rPr>
          <w:rFonts w:ascii="Times New Roman" w:hAnsi="Times New Roman"/>
          <w:i/>
          <w:sz w:val="24"/>
          <w:szCs w:val="24"/>
          <w:u w:val="single"/>
        </w:rPr>
        <w:t xml:space="preserve"> – </w:t>
      </w:r>
      <w:r>
        <w:rPr>
          <w:rFonts w:ascii="Times New Roman" w:hAnsi="Times New Roman"/>
          <w:i/>
          <w:sz w:val="24"/>
          <w:szCs w:val="24"/>
          <w:u w:val="single"/>
        </w:rPr>
        <w:t>Technology Co-Investment Fund</w:t>
      </w:r>
    </w:p>
    <w:p w14:paraId="6F315F40" w14:textId="77777777" w:rsidR="00F55292" w:rsidRPr="00DC5E86" w:rsidRDefault="00F55292" w:rsidP="00F55292">
      <w:pPr>
        <w:ind w:right="-46"/>
        <w:rPr>
          <w:rFonts w:ascii="Times New Roman" w:hAnsi="Times New Roman"/>
          <w:color w:val="000000" w:themeColor="text1"/>
          <w:sz w:val="24"/>
          <w:szCs w:val="24"/>
        </w:rPr>
      </w:pPr>
    </w:p>
    <w:p w14:paraId="5420125C" w14:textId="529C1F0A" w:rsidR="00F55292" w:rsidRDefault="00F55292" w:rsidP="00F55292">
      <w:pPr>
        <w:rPr>
          <w:rFonts w:ascii="Times New Roman" w:hAnsi="Times New Roman"/>
          <w:color w:val="000000" w:themeColor="text1"/>
          <w:sz w:val="24"/>
          <w:szCs w:val="24"/>
        </w:rPr>
      </w:pPr>
      <w:r w:rsidRPr="00DC5E86">
        <w:rPr>
          <w:rFonts w:ascii="Times New Roman" w:hAnsi="Times New Roman"/>
          <w:sz w:val="24"/>
          <w:szCs w:val="24"/>
        </w:rPr>
        <w:t>Table item</w:t>
      </w:r>
      <w:r>
        <w:rPr>
          <w:rFonts w:ascii="Times New Roman" w:hAnsi="Times New Roman"/>
          <w:sz w:val="24"/>
          <w:szCs w:val="24"/>
        </w:rPr>
        <w:t xml:space="preserve"> 452</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Pr="00DC5E86">
        <w:rPr>
          <w:rFonts w:ascii="Times New Roman" w:hAnsi="Times New Roman"/>
          <w:iCs/>
          <w:sz w:val="24"/>
          <w:szCs w:val="24"/>
        </w:rPr>
        <w:t xml:space="preserve">legislative authority for government spending on the </w:t>
      </w:r>
      <w:r w:rsidRPr="007A1039">
        <w:rPr>
          <w:rFonts w:ascii="Times New Roman" w:hAnsi="Times New Roman"/>
          <w:iCs/>
          <w:sz w:val="24"/>
          <w:szCs w:val="24"/>
        </w:rPr>
        <w:t>Technolohy Co-Investment Fund</w:t>
      </w:r>
      <w:r>
        <w:rPr>
          <w:rFonts w:ascii="Times New Roman" w:hAnsi="Times New Roman"/>
          <w:iCs/>
          <w:sz w:val="24"/>
          <w:szCs w:val="24"/>
        </w:rPr>
        <w:t xml:space="preserve"> (the Fund), which will support activities </w:t>
      </w:r>
      <w:r w:rsidRPr="00CE69E6">
        <w:rPr>
          <w:rFonts w:ascii="Times New Roman" w:hAnsi="Times New Roman"/>
          <w:color w:val="000000" w:themeColor="text1"/>
          <w:sz w:val="24"/>
          <w:szCs w:val="24"/>
        </w:rPr>
        <w:t>that reduce energy use, improve knowledge sharing, i</w:t>
      </w:r>
      <w:r>
        <w:rPr>
          <w:rFonts w:ascii="Times New Roman" w:hAnsi="Times New Roman"/>
          <w:color w:val="000000" w:themeColor="text1"/>
          <w:sz w:val="24"/>
          <w:szCs w:val="24"/>
        </w:rPr>
        <w:t>ncrease</w:t>
      </w:r>
      <w:r w:rsidRPr="00CE69E6">
        <w:rPr>
          <w:rFonts w:ascii="Times New Roman" w:hAnsi="Times New Roman"/>
          <w:color w:val="000000" w:themeColor="text1"/>
          <w:sz w:val="24"/>
          <w:szCs w:val="24"/>
        </w:rPr>
        <w:t xml:space="preserve"> energy productivity (which essentially means doing more using </w:t>
      </w:r>
      <w:r w:rsidRPr="00CE69E6">
        <w:rPr>
          <w:rFonts w:ascii="Times New Roman" w:hAnsi="Times New Roman"/>
          <w:color w:val="000000" w:themeColor="text1"/>
          <w:sz w:val="24"/>
          <w:szCs w:val="24"/>
        </w:rPr>
        <w:lastRenderedPageBreak/>
        <w:t>the same or less energy)</w:t>
      </w:r>
      <w:r>
        <w:rPr>
          <w:rFonts w:ascii="Times New Roman" w:hAnsi="Times New Roman"/>
          <w:color w:val="000000" w:themeColor="text1"/>
          <w:sz w:val="24"/>
          <w:szCs w:val="24"/>
        </w:rPr>
        <w:t>,</w:t>
      </w:r>
      <w:r w:rsidRPr="00CE69E6">
        <w:rPr>
          <w:rFonts w:ascii="Times New Roman" w:hAnsi="Times New Roman"/>
          <w:color w:val="000000" w:themeColor="text1"/>
          <w:sz w:val="24"/>
          <w:szCs w:val="24"/>
        </w:rPr>
        <w:t xml:space="preserve"> and deliver carbon abatement in the industrial, transport and agricultural sectors.</w:t>
      </w:r>
    </w:p>
    <w:p w14:paraId="6D6D33DA" w14:textId="77777777" w:rsidR="00F55292" w:rsidRDefault="00F55292" w:rsidP="00F55292">
      <w:pPr>
        <w:rPr>
          <w:rFonts w:ascii="Times New Roman" w:hAnsi="Times New Roman"/>
          <w:color w:val="000000" w:themeColor="text1"/>
          <w:sz w:val="24"/>
          <w:szCs w:val="24"/>
        </w:rPr>
      </w:pPr>
    </w:p>
    <w:p w14:paraId="116B29A2" w14:textId="77777777" w:rsidR="00F55292" w:rsidRDefault="00F55292" w:rsidP="00F55292">
      <w:pPr>
        <w:rPr>
          <w:rFonts w:ascii="Times New Roman" w:hAnsi="Times New Roman"/>
          <w:iCs/>
          <w:sz w:val="24"/>
          <w:szCs w:val="24"/>
        </w:rPr>
      </w:pPr>
      <w:r w:rsidRPr="00CF59B2">
        <w:rPr>
          <w:rFonts w:ascii="Times New Roman" w:hAnsi="Times New Roman"/>
          <w:iCs/>
          <w:sz w:val="24"/>
          <w:szCs w:val="24"/>
        </w:rPr>
        <w:t xml:space="preserve">The Fund is a central element of the </w:t>
      </w:r>
      <w:r>
        <w:rPr>
          <w:rFonts w:ascii="Times New Roman" w:hAnsi="Times New Roman"/>
          <w:iCs/>
          <w:sz w:val="24"/>
          <w:szCs w:val="24"/>
        </w:rPr>
        <w:t xml:space="preserve">Australian Government </w:t>
      </w:r>
      <w:r w:rsidRPr="00CF59B2">
        <w:rPr>
          <w:rFonts w:ascii="Times New Roman" w:hAnsi="Times New Roman"/>
          <w:iCs/>
          <w:sz w:val="24"/>
          <w:szCs w:val="24"/>
        </w:rPr>
        <w:t xml:space="preserve">response to the </w:t>
      </w:r>
      <w:r w:rsidRPr="007A1039">
        <w:rPr>
          <w:rFonts w:ascii="Times New Roman" w:hAnsi="Times New Roman"/>
          <w:i/>
          <w:iCs/>
          <w:sz w:val="24"/>
          <w:szCs w:val="24"/>
        </w:rPr>
        <w:t>Final Report of the Expert Panel examining additional sources of low-cost abatement</w:t>
      </w:r>
      <w:r>
        <w:rPr>
          <w:rFonts w:ascii="Times New Roman" w:hAnsi="Times New Roman"/>
          <w:iCs/>
          <w:sz w:val="24"/>
          <w:szCs w:val="24"/>
        </w:rPr>
        <w:t xml:space="preserve"> (the </w:t>
      </w:r>
      <w:r w:rsidRPr="00CF59B2">
        <w:rPr>
          <w:rFonts w:ascii="Times New Roman" w:hAnsi="Times New Roman"/>
          <w:iCs/>
          <w:sz w:val="24"/>
          <w:szCs w:val="24"/>
        </w:rPr>
        <w:t>King Review</w:t>
      </w:r>
      <w:r>
        <w:rPr>
          <w:rFonts w:ascii="Times New Roman" w:hAnsi="Times New Roman"/>
          <w:iCs/>
          <w:sz w:val="24"/>
          <w:szCs w:val="24"/>
        </w:rPr>
        <w:t>),</w:t>
      </w:r>
      <w:r w:rsidRPr="00CF59B2">
        <w:rPr>
          <w:rFonts w:ascii="Times New Roman" w:hAnsi="Times New Roman"/>
          <w:iCs/>
          <w:sz w:val="24"/>
          <w:szCs w:val="24"/>
        </w:rPr>
        <w:t xml:space="preserve"> which identified significant barriers that severely limit the capacity for businesses to reduce emissions in sectors such as transport, agriculture and manufacturing. Th</w:t>
      </w:r>
      <w:r>
        <w:rPr>
          <w:rFonts w:ascii="Times New Roman" w:hAnsi="Times New Roman"/>
          <w:iCs/>
          <w:sz w:val="24"/>
          <w:szCs w:val="24"/>
        </w:rPr>
        <w:t>ese barriers include</w:t>
      </w:r>
      <w:r w:rsidRPr="00CF59B2">
        <w:rPr>
          <w:rFonts w:ascii="Times New Roman" w:hAnsi="Times New Roman"/>
          <w:iCs/>
          <w:sz w:val="24"/>
          <w:szCs w:val="24"/>
        </w:rPr>
        <w:t xml:space="preserve"> a lack of knowledge about cost effective abatement activities</w:t>
      </w:r>
      <w:r>
        <w:rPr>
          <w:rFonts w:ascii="Times New Roman" w:hAnsi="Times New Roman"/>
          <w:iCs/>
          <w:sz w:val="24"/>
          <w:szCs w:val="24"/>
        </w:rPr>
        <w:t>;</w:t>
      </w:r>
      <w:r w:rsidRPr="00CF59B2">
        <w:rPr>
          <w:rFonts w:ascii="Times New Roman" w:hAnsi="Times New Roman"/>
          <w:iCs/>
          <w:sz w:val="24"/>
          <w:szCs w:val="24"/>
        </w:rPr>
        <w:t xml:space="preserve"> a lack of knowledge about carbon markets</w:t>
      </w:r>
      <w:r>
        <w:rPr>
          <w:rFonts w:ascii="Times New Roman" w:hAnsi="Times New Roman"/>
          <w:iCs/>
          <w:sz w:val="24"/>
          <w:szCs w:val="24"/>
        </w:rPr>
        <w:t>;</w:t>
      </w:r>
      <w:r w:rsidRPr="00CF59B2">
        <w:rPr>
          <w:rFonts w:ascii="Times New Roman" w:hAnsi="Times New Roman"/>
          <w:iCs/>
          <w:sz w:val="24"/>
          <w:szCs w:val="24"/>
        </w:rPr>
        <w:t xml:space="preserve"> a lack of trust in the parties offering information</w:t>
      </w:r>
      <w:r>
        <w:rPr>
          <w:rFonts w:ascii="Times New Roman" w:hAnsi="Times New Roman"/>
          <w:iCs/>
          <w:sz w:val="24"/>
          <w:szCs w:val="24"/>
        </w:rPr>
        <w:t>;</w:t>
      </w:r>
      <w:r w:rsidRPr="00CF59B2">
        <w:rPr>
          <w:rFonts w:ascii="Times New Roman" w:hAnsi="Times New Roman"/>
          <w:iCs/>
          <w:sz w:val="24"/>
          <w:szCs w:val="24"/>
        </w:rPr>
        <w:t xml:space="preserve"> and a lack of access to carbon markets due to the cost of participation. The King Review also recommended the establishment of a goal-oriented technology co-investment program to accelerate the uptake of transformative, high abatement potential technologies that are not currently cost effective (</w:t>
      </w:r>
      <w:r>
        <w:rPr>
          <w:rFonts w:ascii="Times New Roman" w:hAnsi="Times New Roman"/>
          <w:iCs/>
          <w:sz w:val="24"/>
          <w:szCs w:val="24"/>
        </w:rPr>
        <w:t>r</w:t>
      </w:r>
      <w:r w:rsidRPr="00CF59B2">
        <w:rPr>
          <w:rFonts w:ascii="Times New Roman" w:hAnsi="Times New Roman"/>
          <w:iCs/>
          <w:sz w:val="24"/>
          <w:szCs w:val="24"/>
        </w:rPr>
        <w:t>ecommendation 10.1).</w:t>
      </w:r>
    </w:p>
    <w:p w14:paraId="5728F402" w14:textId="77777777" w:rsidR="00F55292" w:rsidRDefault="00F55292" w:rsidP="00F55292">
      <w:pPr>
        <w:rPr>
          <w:rFonts w:ascii="Times New Roman" w:hAnsi="Times New Roman"/>
          <w:iCs/>
          <w:sz w:val="24"/>
          <w:szCs w:val="24"/>
        </w:rPr>
      </w:pPr>
    </w:p>
    <w:p w14:paraId="5925C77E" w14:textId="30174214" w:rsidR="00F55292" w:rsidRDefault="00F55292" w:rsidP="00F55292">
      <w:pPr>
        <w:rPr>
          <w:rFonts w:ascii="Times New Roman" w:hAnsi="Times New Roman"/>
          <w:iCs/>
          <w:sz w:val="24"/>
          <w:szCs w:val="24"/>
        </w:rPr>
      </w:pPr>
      <w:r>
        <w:rPr>
          <w:rFonts w:ascii="Times New Roman" w:hAnsi="Times New Roman"/>
          <w:iCs/>
          <w:sz w:val="24"/>
          <w:szCs w:val="24"/>
        </w:rPr>
        <w:t>T</w:t>
      </w:r>
      <w:r w:rsidRPr="00F2525D">
        <w:rPr>
          <w:rFonts w:ascii="Times New Roman" w:hAnsi="Times New Roman"/>
          <w:iCs/>
          <w:sz w:val="24"/>
          <w:szCs w:val="24"/>
        </w:rPr>
        <w:t xml:space="preserve">he </w:t>
      </w:r>
      <w:r>
        <w:rPr>
          <w:rFonts w:ascii="Times New Roman" w:hAnsi="Times New Roman"/>
          <w:iCs/>
          <w:sz w:val="24"/>
          <w:szCs w:val="24"/>
        </w:rPr>
        <w:t>d</w:t>
      </w:r>
      <w:r w:rsidRPr="00F2525D">
        <w:rPr>
          <w:rFonts w:ascii="Times New Roman" w:hAnsi="Times New Roman"/>
          <w:iCs/>
          <w:sz w:val="24"/>
          <w:szCs w:val="24"/>
        </w:rPr>
        <w:t xml:space="preserve">epartment will be responsible for </w:t>
      </w:r>
      <w:r>
        <w:rPr>
          <w:rFonts w:ascii="Times New Roman" w:hAnsi="Times New Roman"/>
          <w:iCs/>
          <w:sz w:val="24"/>
          <w:szCs w:val="24"/>
        </w:rPr>
        <w:t>the following</w:t>
      </w:r>
      <w:r w:rsidRPr="00F2525D">
        <w:rPr>
          <w:rFonts w:ascii="Times New Roman" w:hAnsi="Times New Roman"/>
          <w:iCs/>
          <w:sz w:val="24"/>
          <w:szCs w:val="24"/>
        </w:rPr>
        <w:t xml:space="preserve"> </w:t>
      </w:r>
      <w:r>
        <w:rPr>
          <w:rFonts w:ascii="Times New Roman" w:hAnsi="Times New Roman"/>
          <w:iCs/>
          <w:sz w:val="24"/>
          <w:szCs w:val="24"/>
        </w:rPr>
        <w:t xml:space="preserve">components of the Fund </w:t>
      </w:r>
      <w:r w:rsidRPr="00F2525D">
        <w:rPr>
          <w:rFonts w:ascii="Times New Roman" w:hAnsi="Times New Roman"/>
          <w:iCs/>
          <w:sz w:val="24"/>
          <w:szCs w:val="24"/>
        </w:rPr>
        <w:t xml:space="preserve">to be authorised </w:t>
      </w:r>
      <w:r>
        <w:rPr>
          <w:rFonts w:ascii="Times New Roman" w:hAnsi="Times New Roman"/>
          <w:iCs/>
          <w:sz w:val="24"/>
          <w:szCs w:val="24"/>
        </w:rPr>
        <w:t>through table item 452:</w:t>
      </w:r>
    </w:p>
    <w:p w14:paraId="196313A7" w14:textId="77777777" w:rsidR="00F55292" w:rsidRPr="00491F3E" w:rsidRDefault="00F55292" w:rsidP="00F55292">
      <w:pPr>
        <w:pStyle w:val="ListParagraph"/>
        <w:numPr>
          <w:ilvl w:val="0"/>
          <w:numId w:val="19"/>
        </w:numPr>
        <w:ind w:right="57"/>
        <w:contextualSpacing w:val="0"/>
        <w:rPr>
          <w:rFonts w:cs="Times New Roman"/>
        </w:rPr>
      </w:pPr>
      <w:r w:rsidRPr="00491F3E">
        <w:rPr>
          <w:rFonts w:cs="Times New Roman"/>
        </w:rPr>
        <w:t xml:space="preserve">industrial </w:t>
      </w:r>
      <w:r>
        <w:rPr>
          <w:rFonts w:cs="Times New Roman"/>
        </w:rPr>
        <w:t xml:space="preserve">and </w:t>
      </w:r>
      <w:r w:rsidRPr="00491F3E">
        <w:rPr>
          <w:rFonts w:cs="Times New Roman"/>
        </w:rPr>
        <w:t>energy productivity benchmarks</w:t>
      </w:r>
      <w:r>
        <w:rPr>
          <w:rFonts w:cs="Times New Roman"/>
        </w:rPr>
        <w:t xml:space="preserve">; </w:t>
      </w:r>
    </w:p>
    <w:p w14:paraId="08F5B035" w14:textId="77777777" w:rsidR="00F55292" w:rsidRPr="00491F3E" w:rsidRDefault="00F55292" w:rsidP="00F55292">
      <w:pPr>
        <w:pStyle w:val="ListParagraph"/>
        <w:numPr>
          <w:ilvl w:val="0"/>
          <w:numId w:val="19"/>
        </w:numPr>
        <w:ind w:right="57"/>
        <w:contextualSpacing w:val="0"/>
        <w:rPr>
          <w:rFonts w:cs="Times New Roman"/>
        </w:rPr>
      </w:pPr>
      <w:r>
        <w:rPr>
          <w:rFonts w:cs="Times New Roman"/>
        </w:rPr>
        <w:t>transport</w:t>
      </w:r>
      <w:r w:rsidRPr="00491F3E">
        <w:rPr>
          <w:rFonts w:cs="Times New Roman"/>
        </w:rPr>
        <w:t xml:space="preserve"> fuel efficiency;</w:t>
      </w:r>
      <w:r>
        <w:rPr>
          <w:rFonts w:cs="Times New Roman"/>
        </w:rPr>
        <w:t xml:space="preserve"> and</w:t>
      </w:r>
    </w:p>
    <w:p w14:paraId="5475A01E" w14:textId="77777777" w:rsidR="00F55292" w:rsidRPr="00491F3E" w:rsidRDefault="00F55292" w:rsidP="00F55292">
      <w:pPr>
        <w:pStyle w:val="ListParagraph"/>
        <w:numPr>
          <w:ilvl w:val="0"/>
          <w:numId w:val="19"/>
        </w:numPr>
        <w:ind w:right="57"/>
        <w:contextualSpacing w:val="0"/>
        <w:rPr>
          <w:rFonts w:cs="Times New Roman"/>
        </w:rPr>
      </w:pPr>
      <w:r w:rsidRPr="00491F3E">
        <w:rPr>
          <w:rFonts w:cs="Times New Roman"/>
        </w:rPr>
        <w:t>soil carbon and livestock</w:t>
      </w:r>
      <w:r>
        <w:rPr>
          <w:rFonts w:cs="Times New Roman"/>
        </w:rPr>
        <w:t xml:space="preserve"> emissions.</w:t>
      </w:r>
    </w:p>
    <w:p w14:paraId="3F8C87F3" w14:textId="77777777" w:rsidR="00F55292" w:rsidRDefault="00F55292" w:rsidP="00F55292">
      <w:pPr>
        <w:rPr>
          <w:rFonts w:ascii="Times New Roman" w:hAnsi="Times New Roman"/>
          <w:iCs/>
          <w:sz w:val="24"/>
          <w:szCs w:val="24"/>
        </w:rPr>
      </w:pPr>
    </w:p>
    <w:p w14:paraId="0D484215" w14:textId="77777777" w:rsidR="00F55292" w:rsidRPr="0012102C" w:rsidRDefault="00F55292" w:rsidP="00F55292">
      <w:pPr>
        <w:rPr>
          <w:i/>
          <w:sz w:val="24"/>
          <w:szCs w:val="24"/>
          <w:u w:val="single"/>
        </w:rPr>
      </w:pPr>
      <w:r w:rsidRPr="0012102C">
        <w:rPr>
          <w:rFonts w:ascii="Times New Roman" w:hAnsi="Times New Roman"/>
          <w:i/>
          <w:sz w:val="24"/>
          <w:szCs w:val="24"/>
          <w:u w:val="single"/>
        </w:rPr>
        <w:t xml:space="preserve">Industrial </w:t>
      </w:r>
      <w:r w:rsidRPr="0012102C" w:rsidDel="00FD5B46">
        <w:rPr>
          <w:rFonts w:ascii="Times New Roman" w:hAnsi="Times New Roman"/>
          <w:i/>
          <w:sz w:val="24"/>
          <w:szCs w:val="24"/>
          <w:u w:val="single"/>
        </w:rPr>
        <w:t xml:space="preserve">and </w:t>
      </w:r>
      <w:r w:rsidRPr="0012102C">
        <w:rPr>
          <w:rFonts w:ascii="Times New Roman" w:hAnsi="Times New Roman"/>
          <w:i/>
          <w:sz w:val="24"/>
          <w:szCs w:val="24"/>
          <w:u w:val="single"/>
        </w:rPr>
        <w:t>energy productivity benchmarks</w:t>
      </w:r>
      <w:r w:rsidRPr="0012102C">
        <w:rPr>
          <w:i/>
          <w:sz w:val="24"/>
          <w:szCs w:val="24"/>
          <w:u w:val="single"/>
        </w:rPr>
        <w:t xml:space="preserve"> </w:t>
      </w:r>
    </w:p>
    <w:p w14:paraId="281BDA13" w14:textId="77777777" w:rsidR="00F55292" w:rsidRDefault="00F55292" w:rsidP="00F55292">
      <w:pPr>
        <w:rPr>
          <w:rFonts w:ascii="Times New Roman" w:hAnsi="Times New Roman"/>
          <w:iCs/>
          <w:sz w:val="24"/>
          <w:szCs w:val="24"/>
        </w:rPr>
      </w:pPr>
    </w:p>
    <w:p w14:paraId="4F89D874" w14:textId="3FCB5701" w:rsidR="00F55292" w:rsidRDefault="00F55292" w:rsidP="00F55292">
      <w:pPr>
        <w:rPr>
          <w:rFonts w:ascii="Times New Roman" w:hAnsi="Times New Roman"/>
          <w:iCs/>
          <w:sz w:val="24"/>
          <w:szCs w:val="24"/>
        </w:rPr>
      </w:pPr>
      <w:r w:rsidRPr="0012102C">
        <w:rPr>
          <w:rFonts w:ascii="Times New Roman" w:hAnsi="Times New Roman"/>
          <w:iCs/>
          <w:sz w:val="24"/>
          <w:szCs w:val="24"/>
        </w:rPr>
        <w:t>The industrial and energy productivity benchmarks will enable manufacturi</w:t>
      </w:r>
      <w:r>
        <w:rPr>
          <w:rFonts w:ascii="Times New Roman" w:hAnsi="Times New Roman"/>
          <w:iCs/>
          <w:sz w:val="24"/>
          <w:szCs w:val="24"/>
        </w:rPr>
        <w:t>ng, construction and agricultural</w:t>
      </w:r>
      <w:r w:rsidRPr="0012102C">
        <w:rPr>
          <w:rFonts w:ascii="Times New Roman" w:hAnsi="Times New Roman"/>
          <w:iCs/>
          <w:sz w:val="24"/>
          <w:szCs w:val="24"/>
        </w:rPr>
        <w:t xml:space="preserve"> sectors, as well as gas intensive industrial sectors, to identify energy waste in their processes and facilities, and make changes to save money</w:t>
      </w:r>
      <w:r w:rsidR="00217229">
        <w:rPr>
          <w:rFonts w:ascii="Times New Roman" w:hAnsi="Times New Roman"/>
          <w:iCs/>
          <w:sz w:val="24"/>
          <w:szCs w:val="24"/>
        </w:rPr>
        <w:t xml:space="preserve"> and energy</w:t>
      </w:r>
      <w:r w:rsidRPr="0012102C">
        <w:rPr>
          <w:rFonts w:ascii="Times New Roman" w:hAnsi="Times New Roman"/>
          <w:iCs/>
          <w:sz w:val="24"/>
          <w:szCs w:val="24"/>
        </w:rPr>
        <w:t>. The benchmarks will be developed through up to 15 procurement processes</w:t>
      </w:r>
      <w:r>
        <w:rPr>
          <w:rFonts w:ascii="Times New Roman" w:hAnsi="Times New Roman"/>
          <w:iCs/>
          <w:sz w:val="24"/>
          <w:szCs w:val="24"/>
        </w:rPr>
        <w:t xml:space="preserve"> in a </w:t>
      </w:r>
      <w:r w:rsidRPr="0012102C">
        <w:rPr>
          <w:rFonts w:ascii="Times New Roman" w:hAnsi="Times New Roman"/>
          <w:iCs/>
          <w:sz w:val="24"/>
          <w:szCs w:val="24"/>
        </w:rPr>
        <w:t>user friendly, digital format</w:t>
      </w:r>
      <w:r>
        <w:rPr>
          <w:rFonts w:ascii="Times New Roman" w:hAnsi="Times New Roman"/>
          <w:iCs/>
          <w:sz w:val="24"/>
          <w:szCs w:val="24"/>
        </w:rPr>
        <w:t xml:space="preserve">. They will have nationwide coverage, be </w:t>
      </w:r>
      <w:r w:rsidRPr="0012102C">
        <w:rPr>
          <w:rFonts w:ascii="Times New Roman" w:hAnsi="Times New Roman"/>
          <w:iCs/>
          <w:sz w:val="24"/>
          <w:szCs w:val="24"/>
        </w:rPr>
        <w:t xml:space="preserve">freely available </w:t>
      </w:r>
      <w:r>
        <w:rPr>
          <w:rFonts w:ascii="Times New Roman" w:hAnsi="Times New Roman"/>
          <w:iCs/>
          <w:sz w:val="24"/>
          <w:szCs w:val="24"/>
        </w:rPr>
        <w:t>on</w:t>
      </w:r>
      <w:r w:rsidRPr="0012102C">
        <w:rPr>
          <w:rFonts w:ascii="Times New Roman" w:hAnsi="Times New Roman"/>
          <w:iCs/>
          <w:sz w:val="24"/>
          <w:szCs w:val="24"/>
        </w:rPr>
        <w:t xml:space="preserve"> the </w:t>
      </w:r>
      <w:r>
        <w:rPr>
          <w:rFonts w:ascii="Times New Roman" w:hAnsi="Times New Roman"/>
          <w:iCs/>
          <w:sz w:val="24"/>
          <w:szCs w:val="24"/>
        </w:rPr>
        <w:t>departmental</w:t>
      </w:r>
      <w:r w:rsidRPr="0012102C">
        <w:rPr>
          <w:rFonts w:ascii="Times New Roman" w:hAnsi="Times New Roman"/>
          <w:iCs/>
          <w:sz w:val="24"/>
          <w:szCs w:val="24"/>
        </w:rPr>
        <w:t xml:space="preserve"> website</w:t>
      </w:r>
      <w:r>
        <w:rPr>
          <w:rFonts w:ascii="Times New Roman" w:hAnsi="Times New Roman"/>
          <w:iCs/>
          <w:sz w:val="24"/>
          <w:szCs w:val="24"/>
        </w:rPr>
        <w:t>,</w:t>
      </w:r>
      <w:r w:rsidRPr="0012102C">
        <w:rPr>
          <w:rFonts w:ascii="Times New Roman" w:hAnsi="Times New Roman"/>
          <w:iCs/>
          <w:sz w:val="24"/>
          <w:szCs w:val="24"/>
        </w:rPr>
        <w:t xml:space="preserve"> and rely on accessible business information.</w:t>
      </w:r>
    </w:p>
    <w:p w14:paraId="7641B3E7" w14:textId="77777777" w:rsidR="00F55292" w:rsidRDefault="00F55292" w:rsidP="00F55292">
      <w:pPr>
        <w:rPr>
          <w:rFonts w:ascii="Times New Roman" w:hAnsi="Times New Roman"/>
          <w:color w:val="000000" w:themeColor="text1"/>
          <w:sz w:val="24"/>
          <w:szCs w:val="24"/>
        </w:rPr>
      </w:pPr>
    </w:p>
    <w:p w14:paraId="519F95FC" w14:textId="77777777" w:rsidR="00F55292" w:rsidRPr="004D0F5C" w:rsidRDefault="00F55292" w:rsidP="00F55292">
      <w:pPr>
        <w:rPr>
          <w:rFonts w:ascii="Times New Roman" w:hAnsi="Times New Roman"/>
          <w:i/>
          <w:sz w:val="24"/>
          <w:szCs w:val="24"/>
          <w:u w:val="single"/>
        </w:rPr>
      </w:pPr>
      <w:r>
        <w:rPr>
          <w:rFonts w:ascii="Times New Roman" w:hAnsi="Times New Roman"/>
          <w:i/>
          <w:sz w:val="24"/>
          <w:szCs w:val="24"/>
          <w:u w:val="single"/>
        </w:rPr>
        <w:t>Transport</w:t>
      </w:r>
      <w:r w:rsidRPr="004D0F5C">
        <w:rPr>
          <w:rFonts w:ascii="Times New Roman" w:hAnsi="Times New Roman"/>
          <w:i/>
          <w:sz w:val="24"/>
          <w:szCs w:val="24"/>
          <w:u w:val="single"/>
        </w:rPr>
        <w:t xml:space="preserve"> fuel efficiency</w:t>
      </w:r>
    </w:p>
    <w:p w14:paraId="7249C221" w14:textId="77777777" w:rsidR="00F55292" w:rsidRDefault="00F55292" w:rsidP="00F55292">
      <w:pPr>
        <w:rPr>
          <w:rFonts w:ascii="Times New Roman" w:hAnsi="Times New Roman"/>
          <w:iCs/>
          <w:sz w:val="24"/>
          <w:szCs w:val="24"/>
        </w:rPr>
      </w:pPr>
    </w:p>
    <w:p w14:paraId="12A9672C" w14:textId="77777777" w:rsidR="00F55292" w:rsidRDefault="00F55292" w:rsidP="00F55292">
      <w:pPr>
        <w:rPr>
          <w:rFonts w:ascii="Times New Roman" w:hAnsi="Times New Roman"/>
          <w:iCs/>
          <w:sz w:val="24"/>
          <w:szCs w:val="24"/>
        </w:rPr>
      </w:pPr>
      <w:r w:rsidRPr="004D0F5C">
        <w:rPr>
          <w:rFonts w:ascii="Times New Roman" w:hAnsi="Times New Roman"/>
          <w:iCs/>
          <w:sz w:val="24"/>
          <w:szCs w:val="24"/>
        </w:rPr>
        <w:t xml:space="preserve">The </w:t>
      </w:r>
      <w:r>
        <w:rPr>
          <w:rFonts w:ascii="Times New Roman" w:hAnsi="Times New Roman"/>
          <w:iCs/>
          <w:sz w:val="24"/>
          <w:szCs w:val="24"/>
        </w:rPr>
        <w:t>transport</w:t>
      </w:r>
      <w:r w:rsidRPr="004D0F5C">
        <w:rPr>
          <w:rFonts w:ascii="Times New Roman" w:hAnsi="Times New Roman"/>
          <w:iCs/>
          <w:sz w:val="24"/>
          <w:szCs w:val="24"/>
        </w:rPr>
        <w:t xml:space="preserve"> fuel efficiency component </w:t>
      </w:r>
      <w:r>
        <w:rPr>
          <w:rFonts w:ascii="Times New Roman" w:hAnsi="Times New Roman"/>
          <w:iCs/>
          <w:sz w:val="24"/>
          <w:szCs w:val="24"/>
        </w:rPr>
        <w:t>will</w:t>
      </w:r>
      <w:r w:rsidRPr="004D0F5C">
        <w:rPr>
          <w:rFonts w:ascii="Times New Roman" w:hAnsi="Times New Roman"/>
          <w:iCs/>
          <w:sz w:val="24"/>
          <w:szCs w:val="24"/>
        </w:rPr>
        <w:t xml:space="preserve"> provide road freight operators with verified information on energy and emissions reduction opportunities available in the freight sector</w:t>
      </w:r>
      <w:r>
        <w:rPr>
          <w:rFonts w:ascii="Times New Roman" w:hAnsi="Times New Roman"/>
          <w:iCs/>
          <w:sz w:val="24"/>
          <w:szCs w:val="24"/>
        </w:rPr>
        <w:t xml:space="preserve">, in order </w:t>
      </w:r>
      <w:r w:rsidRPr="004D0F5C">
        <w:rPr>
          <w:rFonts w:ascii="Times New Roman" w:hAnsi="Times New Roman"/>
          <w:iCs/>
          <w:sz w:val="24"/>
          <w:szCs w:val="24"/>
        </w:rPr>
        <w:t>to increase investment in energy efficient freight technologies.</w:t>
      </w:r>
    </w:p>
    <w:p w14:paraId="07E7CE24" w14:textId="77777777" w:rsidR="00F55292" w:rsidRPr="004D0F5C" w:rsidRDefault="00F55292" w:rsidP="00F55292">
      <w:pPr>
        <w:rPr>
          <w:rFonts w:ascii="Times New Roman" w:hAnsi="Times New Roman"/>
          <w:iCs/>
          <w:sz w:val="24"/>
          <w:szCs w:val="24"/>
        </w:rPr>
      </w:pPr>
    </w:p>
    <w:p w14:paraId="62DBF5AC" w14:textId="77777777" w:rsidR="00F55292" w:rsidRPr="004D0F5C" w:rsidRDefault="00F55292" w:rsidP="00F55292">
      <w:pPr>
        <w:rPr>
          <w:rFonts w:ascii="Times New Roman" w:hAnsi="Times New Roman"/>
          <w:iCs/>
          <w:sz w:val="24"/>
          <w:szCs w:val="24"/>
        </w:rPr>
      </w:pPr>
      <w:r>
        <w:rPr>
          <w:rFonts w:ascii="Times New Roman" w:hAnsi="Times New Roman"/>
          <w:iCs/>
          <w:sz w:val="24"/>
          <w:szCs w:val="24"/>
        </w:rPr>
        <w:t xml:space="preserve">Among other activities, this component will involve the following </w:t>
      </w:r>
      <w:r w:rsidRPr="004D0F5C">
        <w:rPr>
          <w:rFonts w:ascii="Times New Roman" w:hAnsi="Times New Roman"/>
          <w:iCs/>
          <w:sz w:val="24"/>
          <w:szCs w:val="24"/>
        </w:rPr>
        <w:t xml:space="preserve">two </w:t>
      </w:r>
      <w:r>
        <w:rPr>
          <w:rFonts w:ascii="Times New Roman" w:hAnsi="Times New Roman"/>
          <w:iCs/>
          <w:sz w:val="24"/>
          <w:szCs w:val="24"/>
        </w:rPr>
        <w:t>procurements</w:t>
      </w:r>
      <w:r w:rsidRPr="004D0F5C">
        <w:rPr>
          <w:rFonts w:ascii="Times New Roman" w:hAnsi="Times New Roman"/>
          <w:iCs/>
          <w:sz w:val="24"/>
          <w:szCs w:val="24"/>
        </w:rPr>
        <w:t>:</w:t>
      </w:r>
    </w:p>
    <w:p w14:paraId="2B6CA2F9" w14:textId="77777777" w:rsidR="00F55292" w:rsidRPr="004D0F5C" w:rsidRDefault="00F55292" w:rsidP="00F55292">
      <w:pPr>
        <w:pStyle w:val="ListParagraph"/>
        <w:numPr>
          <w:ilvl w:val="0"/>
          <w:numId w:val="19"/>
        </w:numPr>
        <w:ind w:right="57"/>
        <w:contextualSpacing w:val="0"/>
        <w:rPr>
          <w:rFonts w:cs="Times New Roman"/>
        </w:rPr>
      </w:pPr>
      <w:r>
        <w:rPr>
          <w:rFonts w:cs="Times New Roman"/>
        </w:rPr>
        <w:t>d</w:t>
      </w:r>
      <w:r w:rsidRPr="004D0F5C">
        <w:rPr>
          <w:rFonts w:cs="Times New Roman"/>
        </w:rPr>
        <w:t>esign of a webpage to provide objective, verified information on energy use and emissions reduction opportunities available in the freight sector</w:t>
      </w:r>
      <w:r>
        <w:rPr>
          <w:rFonts w:cs="Times New Roman"/>
        </w:rPr>
        <w:t>; and</w:t>
      </w:r>
    </w:p>
    <w:p w14:paraId="01B4FBFC" w14:textId="77777777" w:rsidR="00F55292" w:rsidRPr="004D0F5C" w:rsidRDefault="00F55292" w:rsidP="00F55292">
      <w:pPr>
        <w:pStyle w:val="ListParagraph"/>
        <w:numPr>
          <w:ilvl w:val="0"/>
          <w:numId w:val="19"/>
        </w:numPr>
        <w:ind w:right="57"/>
        <w:contextualSpacing w:val="0"/>
        <w:rPr>
          <w:rFonts w:cs="Times New Roman"/>
        </w:rPr>
      </w:pPr>
      <w:r>
        <w:rPr>
          <w:rFonts w:cs="Times New Roman"/>
        </w:rPr>
        <w:t>d</w:t>
      </w:r>
      <w:r w:rsidRPr="004D0F5C">
        <w:rPr>
          <w:rFonts w:cs="Times New Roman"/>
        </w:rPr>
        <w:t xml:space="preserve">evelopment of </w:t>
      </w:r>
      <w:r>
        <w:rPr>
          <w:rFonts w:cs="Times New Roman"/>
        </w:rPr>
        <w:t>a voluntary</w:t>
      </w:r>
      <w:r w:rsidRPr="004D0F5C">
        <w:rPr>
          <w:rFonts w:cs="Times New Roman"/>
        </w:rPr>
        <w:t xml:space="preserve"> fuel efficiency </w:t>
      </w:r>
      <w:r>
        <w:rPr>
          <w:rFonts w:cs="Times New Roman"/>
        </w:rPr>
        <w:t>certification system for</w:t>
      </w:r>
      <w:r w:rsidRPr="004D0F5C">
        <w:rPr>
          <w:rFonts w:cs="Times New Roman"/>
        </w:rPr>
        <w:t xml:space="preserve"> freight </w:t>
      </w:r>
      <w:r>
        <w:rPr>
          <w:rFonts w:cs="Times New Roman"/>
        </w:rPr>
        <w:t>operators</w:t>
      </w:r>
      <w:r w:rsidRPr="004D0F5C">
        <w:rPr>
          <w:rFonts w:cs="Times New Roman"/>
        </w:rPr>
        <w:t xml:space="preserve">. </w:t>
      </w:r>
    </w:p>
    <w:p w14:paraId="173397A4" w14:textId="77777777" w:rsidR="00F55292" w:rsidRDefault="00F55292" w:rsidP="00F55292">
      <w:pPr>
        <w:rPr>
          <w:rFonts w:ascii="Times New Roman" w:hAnsi="Times New Roman"/>
          <w:color w:val="000000" w:themeColor="text1"/>
          <w:sz w:val="24"/>
          <w:szCs w:val="24"/>
        </w:rPr>
      </w:pPr>
    </w:p>
    <w:p w14:paraId="314D1EB0" w14:textId="77777777" w:rsidR="00F55292" w:rsidRPr="006B5F61" w:rsidRDefault="00F55292" w:rsidP="00F55292">
      <w:pPr>
        <w:rPr>
          <w:rFonts w:ascii="Times New Roman" w:hAnsi="Times New Roman"/>
          <w:i/>
          <w:sz w:val="24"/>
          <w:szCs w:val="24"/>
          <w:u w:val="single"/>
        </w:rPr>
      </w:pPr>
      <w:r w:rsidRPr="006B5F61">
        <w:rPr>
          <w:rFonts w:ascii="Times New Roman" w:hAnsi="Times New Roman"/>
          <w:i/>
          <w:sz w:val="24"/>
          <w:szCs w:val="24"/>
          <w:u w:val="single"/>
        </w:rPr>
        <w:t>Soil carbon and livestock emissions</w:t>
      </w:r>
    </w:p>
    <w:p w14:paraId="769F0194" w14:textId="77777777" w:rsidR="00F55292" w:rsidRDefault="00F55292" w:rsidP="00F55292">
      <w:pPr>
        <w:rPr>
          <w:rFonts w:ascii="Times New Roman" w:hAnsi="Times New Roman"/>
          <w:iCs/>
          <w:sz w:val="24"/>
          <w:szCs w:val="24"/>
        </w:rPr>
      </w:pPr>
    </w:p>
    <w:p w14:paraId="6B4D6F49" w14:textId="77777777" w:rsidR="00217229" w:rsidRDefault="00F55292" w:rsidP="00217229">
      <w:pPr>
        <w:rPr>
          <w:rFonts w:ascii="Times New Roman" w:hAnsi="Times New Roman"/>
          <w:iCs/>
          <w:sz w:val="24"/>
          <w:szCs w:val="24"/>
        </w:rPr>
      </w:pPr>
      <w:r>
        <w:rPr>
          <w:rFonts w:ascii="Times New Roman" w:hAnsi="Times New Roman"/>
          <w:iCs/>
          <w:sz w:val="24"/>
          <w:szCs w:val="24"/>
        </w:rPr>
        <w:t>T</w:t>
      </w:r>
      <w:r w:rsidRPr="006B5F61">
        <w:rPr>
          <w:rFonts w:ascii="Times New Roman" w:hAnsi="Times New Roman"/>
          <w:iCs/>
          <w:sz w:val="24"/>
          <w:szCs w:val="24"/>
        </w:rPr>
        <w:t>h</w:t>
      </w:r>
      <w:r>
        <w:rPr>
          <w:rFonts w:ascii="Times New Roman" w:hAnsi="Times New Roman"/>
          <w:iCs/>
          <w:sz w:val="24"/>
          <w:szCs w:val="24"/>
        </w:rPr>
        <w:t xml:space="preserve">is component will consist of </w:t>
      </w:r>
      <w:r w:rsidRPr="007A1039">
        <w:rPr>
          <w:rFonts w:ascii="Times New Roman" w:hAnsi="Times New Roman"/>
          <w:iCs/>
          <w:sz w:val="24"/>
          <w:szCs w:val="24"/>
        </w:rPr>
        <w:t>the soil carbon program and the livest</w:t>
      </w:r>
      <w:r>
        <w:rPr>
          <w:rFonts w:ascii="Times New Roman" w:hAnsi="Times New Roman"/>
          <w:iCs/>
          <w:sz w:val="24"/>
          <w:szCs w:val="24"/>
        </w:rPr>
        <w:t>ock emissions reduction program, and</w:t>
      </w:r>
      <w:r w:rsidRPr="006B5F61">
        <w:rPr>
          <w:rFonts w:ascii="Times New Roman" w:hAnsi="Times New Roman"/>
          <w:iCs/>
          <w:sz w:val="24"/>
          <w:szCs w:val="24"/>
        </w:rPr>
        <w:t xml:space="preserve"> provide </w:t>
      </w:r>
      <w:r w:rsidR="00217229">
        <w:rPr>
          <w:rFonts w:ascii="Times New Roman" w:hAnsi="Times New Roman"/>
          <w:iCs/>
          <w:sz w:val="24"/>
          <w:szCs w:val="24"/>
        </w:rPr>
        <w:t>funding</w:t>
      </w:r>
      <w:r w:rsidR="00217229" w:rsidRPr="006B5F61">
        <w:rPr>
          <w:rFonts w:ascii="Times New Roman" w:hAnsi="Times New Roman"/>
          <w:iCs/>
          <w:sz w:val="24"/>
          <w:szCs w:val="24"/>
        </w:rPr>
        <w:t xml:space="preserve"> to</w:t>
      </w:r>
      <w:r w:rsidR="00217229">
        <w:rPr>
          <w:rFonts w:ascii="Times New Roman" w:hAnsi="Times New Roman"/>
          <w:iCs/>
          <w:sz w:val="24"/>
          <w:szCs w:val="24"/>
        </w:rPr>
        <w:t xml:space="preserve"> collect data that demonstrates emissions reductions following the</w:t>
      </w:r>
      <w:r w:rsidR="00217229" w:rsidRPr="006B5F61">
        <w:rPr>
          <w:rFonts w:ascii="Times New Roman" w:hAnsi="Times New Roman"/>
          <w:iCs/>
          <w:sz w:val="24"/>
          <w:szCs w:val="24"/>
        </w:rPr>
        <w:t xml:space="preserve"> implement</w:t>
      </w:r>
      <w:r w:rsidR="00217229">
        <w:rPr>
          <w:rFonts w:ascii="Times New Roman" w:hAnsi="Times New Roman"/>
          <w:iCs/>
          <w:sz w:val="24"/>
          <w:szCs w:val="24"/>
        </w:rPr>
        <w:t>ation of</w:t>
      </w:r>
      <w:r w:rsidR="00217229" w:rsidRPr="006B5F61">
        <w:rPr>
          <w:rFonts w:ascii="Times New Roman" w:hAnsi="Times New Roman"/>
          <w:iCs/>
          <w:sz w:val="24"/>
          <w:szCs w:val="24"/>
        </w:rPr>
        <w:t xml:space="preserve"> new abatement technologies that increase soil carbon sequestration and reduce methane emissions </w:t>
      </w:r>
      <w:r w:rsidR="00217229">
        <w:rPr>
          <w:rFonts w:ascii="Times New Roman" w:hAnsi="Times New Roman"/>
          <w:iCs/>
          <w:sz w:val="24"/>
          <w:szCs w:val="24"/>
        </w:rPr>
        <w:t>from</w:t>
      </w:r>
      <w:r w:rsidR="00217229" w:rsidRPr="006B5F61">
        <w:rPr>
          <w:rFonts w:ascii="Times New Roman" w:hAnsi="Times New Roman"/>
          <w:iCs/>
          <w:sz w:val="24"/>
          <w:szCs w:val="24"/>
        </w:rPr>
        <w:t xml:space="preserve"> livestock. Th</w:t>
      </w:r>
      <w:r w:rsidR="00217229">
        <w:rPr>
          <w:rFonts w:ascii="Times New Roman" w:hAnsi="Times New Roman"/>
          <w:iCs/>
          <w:sz w:val="24"/>
          <w:szCs w:val="24"/>
        </w:rPr>
        <w:t>is</w:t>
      </w:r>
      <w:r w:rsidR="00217229" w:rsidRPr="006B5F61">
        <w:rPr>
          <w:rFonts w:ascii="Times New Roman" w:hAnsi="Times New Roman"/>
          <w:iCs/>
          <w:sz w:val="24"/>
          <w:szCs w:val="24"/>
        </w:rPr>
        <w:t xml:space="preserve"> data will be used to measure and model changes resulting from </w:t>
      </w:r>
      <w:r w:rsidR="00217229">
        <w:rPr>
          <w:rFonts w:ascii="Times New Roman" w:hAnsi="Times New Roman"/>
          <w:iCs/>
          <w:sz w:val="24"/>
          <w:szCs w:val="24"/>
        </w:rPr>
        <w:t xml:space="preserve">the </w:t>
      </w:r>
      <w:r w:rsidR="00217229" w:rsidRPr="006B5F61">
        <w:rPr>
          <w:rFonts w:ascii="Times New Roman" w:hAnsi="Times New Roman"/>
          <w:iCs/>
          <w:sz w:val="24"/>
          <w:szCs w:val="24"/>
        </w:rPr>
        <w:t>us</w:t>
      </w:r>
      <w:r w:rsidR="00217229">
        <w:rPr>
          <w:rFonts w:ascii="Times New Roman" w:hAnsi="Times New Roman"/>
          <w:iCs/>
          <w:sz w:val="24"/>
          <w:szCs w:val="24"/>
        </w:rPr>
        <w:t>e of</w:t>
      </w:r>
      <w:r w:rsidR="00217229" w:rsidRPr="006B5F61">
        <w:rPr>
          <w:rFonts w:ascii="Times New Roman" w:hAnsi="Times New Roman"/>
          <w:iCs/>
          <w:sz w:val="24"/>
          <w:szCs w:val="24"/>
        </w:rPr>
        <w:t xml:space="preserve"> new technologies and management practices</w:t>
      </w:r>
      <w:r w:rsidR="00217229">
        <w:rPr>
          <w:rFonts w:ascii="Times New Roman" w:hAnsi="Times New Roman"/>
          <w:iCs/>
          <w:sz w:val="24"/>
          <w:szCs w:val="24"/>
        </w:rPr>
        <w:t xml:space="preserve"> and provide improved accounting frameworks that will encourage an </w:t>
      </w:r>
      <w:r w:rsidR="00217229" w:rsidRPr="006B5F61">
        <w:rPr>
          <w:rFonts w:ascii="Times New Roman" w:hAnsi="Times New Roman"/>
          <w:iCs/>
          <w:sz w:val="24"/>
          <w:szCs w:val="24"/>
        </w:rPr>
        <w:t xml:space="preserve">increase </w:t>
      </w:r>
      <w:r w:rsidR="00217229">
        <w:rPr>
          <w:rFonts w:ascii="Times New Roman" w:hAnsi="Times New Roman"/>
          <w:iCs/>
          <w:sz w:val="24"/>
          <w:szCs w:val="24"/>
        </w:rPr>
        <w:t xml:space="preserve">in </w:t>
      </w:r>
      <w:r w:rsidR="00217229" w:rsidRPr="006B5F61">
        <w:rPr>
          <w:rFonts w:ascii="Times New Roman" w:hAnsi="Times New Roman"/>
          <w:iCs/>
          <w:sz w:val="24"/>
          <w:szCs w:val="24"/>
        </w:rPr>
        <w:t xml:space="preserve">uptake of these agricultural technologies and practices, including through the Emissions Reduction Fund (ERF). The ERF is a </w:t>
      </w:r>
      <w:r w:rsidR="00217229">
        <w:rPr>
          <w:rFonts w:ascii="Times New Roman" w:hAnsi="Times New Roman"/>
          <w:iCs/>
          <w:sz w:val="24"/>
          <w:szCs w:val="24"/>
        </w:rPr>
        <w:t xml:space="preserve">government </w:t>
      </w:r>
      <w:r w:rsidR="00217229" w:rsidRPr="006B5F61">
        <w:rPr>
          <w:rFonts w:ascii="Times New Roman" w:hAnsi="Times New Roman"/>
          <w:iCs/>
          <w:sz w:val="24"/>
          <w:szCs w:val="24"/>
        </w:rPr>
        <w:t xml:space="preserve">scheme that provides financial incentives </w:t>
      </w:r>
      <w:r w:rsidR="00217229" w:rsidRPr="006B5F61">
        <w:rPr>
          <w:rFonts w:ascii="Times New Roman" w:hAnsi="Times New Roman"/>
          <w:iCs/>
          <w:sz w:val="24"/>
          <w:szCs w:val="24"/>
        </w:rPr>
        <w:lastRenderedPageBreak/>
        <w:t>to businesses, including farmers and landholders, to use new practices and technologies to reduce their greenhouse gas emissions. Participants in the scheme can earn Australian carbon credit units (ACCUs) for every tonne of carbon dioxide equivalent they store or avoid emitting. ACCUs can be sold and can generate participants an income.</w:t>
      </w:r>
    </w:p>
    <w:p w14:paraId="72DAB941" w14:textId="77777777" w:rsidR="00F55292" w:rsidRPr="00AA74BD" w:rsidRDefault="00F55292" w:rsidP="00F55292">
      <w:pPr>
        <w:rPr>
          <w:rFonts w:ascii="Times New Roman" w:hAnsi="Times New Roman"/>
          <w:sz w:val="24"/>
          <w:szCs w:val="24"/>
        </w:rPr>
      </w:pPr>
    </w:p>
    <w:p w14:paraId="4C01F0A4" w14:textId="77777777" w:rsidR="00F55292" w:rsidRPr="00DC5E86" w:rsidRDefault="00F55292" w:rsidP="00F55292">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0179B181" w14:textId="77777777" w:rsidR="00F55292" w:rsidRPr="00DC5E86" w:rsidRDefault="00F55292" w:rsidP="00F55292">
      <w:pPr>
        <w:rPr>
          <w:rFonts w:ascii="Times New Roman" w:hAnsi="Times New Roman"/>
          <w:sz w:val="24"/>
          <w:szCs w:val="24"/>
        </w:rPr>
      </w:pPr>
    </w:p>
    <w:p w14:paraId="349B40E2" w14:textId="4BBA22D7" w:rsidR="00F55292" w:rsidRPr="00DC5E86" w:rsidRDefault="00F55292" w:rsidP="00F55292">
      <w:pPr>
        <w:rPr>
          <w:szCs w:val="24"/>
        </w:rPr>
      </w:pPr>
      <w:r w:rsidRPr="00DC5E86">
        <w:rPr>
          <w:rFonts w:ascii="Times New Roman" w:hAnsi="Times New Roman"/>
          <w:sz w:val="24"/>
          <w:szCs w:val="24"/>
        </w:rPr>
        <w:t>Table item</w:t>
      </w:r>
      <w:r w:rsidR="00217229">
        <w:rPr>
          <w:rFonts w:ascii="Times New Roman" w:hAnsi="Times New Roman"/>
          <w:sz w:val="24"/>
          <w:szCs w:val="24"/>
        </w:rPr>
        <w:t xml:space="preserve"> 452</w:t>
      </w:r>
      <w:r>
        <w:rPr>
          <w:rFonts w:ascii="Times New Roman" w:hAnsi="Times New Roman"/>
          <w:sz w:val="24"/>
          <w:szCs w:val="24"/>
        </w:rPr>
        <w:t xml:space="preserve"> does not</w:t>
      </w:r>
      <w:r w:rsidRPr="00DC5E86">
        <w:rPr>
          <w:rFonts w:ascii="Times New Roman" w:hAnsi="Times New Roman"/>
          <w:sz w:val="24"/>
          <w:szCs w:val="24"/>
        </w:rPr>
        <w:t xml:space="preserve"> engage</w:t>
      </w:r>
      <w:r>
        <w:rPr>
          <w:rFonts w:ascii="Times New Roman" w:hAnsi="Times New Roman"/>
          <w:sz w:val="24"/>
          <w:szCs w:val="24"/>
        </w:rPr>
        <w:t xml:space="preserve"> any of </w:t>
      </w:r>
      <w:r w:rsidRPr="00DC5E86">
        <w:rPr>
          <w:rFonts w:ascii="Times New Roman" w:hAnsi="Times New Roman"/>
          <w:sz w:val="24"/>
          <w:szCs w:val="24"/>
        </w:rPr>
        <w:t xml:space="preserve">the </w:t>
      </w:r>
      <w:r>
        <w:rPr>
          <w:rFonts w:ascii="Times New Roman" w:hAnsi="Times New Roman"/>
          <w:sz w:val="24"/>
          <w:szCs w:val="24"/>
        </w:rPr>
        <w:t xml:space="preserve">applicable human </w:t>
      </w:r>
      <w:r w:rsidRPr="00DC5E86">
        <w:rPr>
          <w:rFonts w:ascii="Times New Roman" w:hAnsi="Times New Roman"/>
          <w:sz w:val="24"/>
          <w:szCs w:val="24"/>
        </w:rPr>
        <w:t>rights</w:t>
      </w:r>
      <w:r>
        <w:rPr>
          <w:rFonts w:ascii="Times New Roman" w:hAnsi="Times New Roman"/>
          <w:sz w:val="24"/>
          <w:szCs w:val="24"/>
        </w:rPr>
        <w:t xml:space="preserve"> or freedoms</w:t>
      </w:r>
      <w:r w:rsidRPr="00DC5E86">
        <w:rPr>
          <w:szCs w:val="24"/>
        </w:rPr>
        <w:t>.</w:t>
      </w:r>
    </w:p>
    <w:p w14:paraId="4314FF96" w14:textId="77777777" w:rsidR="00F55292" w:rsidRPr="006A6E5B" w:rsidRDefault="00F55292" w:rsidP="00F55292">
      <w:pPr>
        <w:rPr>
          <w:rFonts w:ascii="Times New Roman" w:hAnsi="Times New Roman"/>
          <w:sz w:val="24"/>
          <w:szCs w:val="24"/>
        </w:rPr>
      </w:pPr>
    </w:p>
    <w:p w14:paraId="179DE889" w14:textId="77777777" w:rsidR="00F55292" w:rsidRPr="00DC5E86" w:rsidRDefault="00F55292" w:rsidP="00F55292">
      <w:pPr>
        <w:pStyle w:val="NoSpacing"/>
        <w:ind w:right="55"/>
        <w:rPr>
          <w:b/>
          <w:color w:val="000000" w:themeColor="text1"/>
        </w:rPr>
      </w:pPr>
      <w:r w:rsidRPr="66592093">
        <w:rPr>
          <w:b/>
          <w:color w:val="000000" w:themeColor="text1"/>
        </w:rPr>
        <w:t>Conclusion</w:t>
      </w:r>
    </w:p>
    <w:p w14:paraId="1FEE930F" w14:textId="77777777" w:rsidR="00F55292" w:rsidRPr="00DC5E86" w:rsidRDefault="00F55292" w:rsidP="00F55292">
      <w:pPr>
        <w:ind w:right="-46"/>
        <w:rPr>
          <w:rFonts w:ascii="Times New Roman" w:hAnsi="Times New Roman"/>
          <w:color w:val="000000" w:themeColor="text1"/>
          <w:sz w:val="24"/>
          <w:szCs w:val="24"/>
        </w:rPr>
      </w:pPr>
    </w:p>
    <w:p w14:paraId="1E8C5E46" w14:textId="04D21CBC" w:rsidR="00F55292" w:rsidRPr="00DC5E86" w:rsidRDefault="00F55292" w:rsidP="00F55292">
      <w:pPr>
        <w:rPr>
          <w:rFonts w:ascii="Times New Roman" w:hAnsi="Times New Roman"/>
          <w:color w:val="000000" w:themeColor="text1"/>
          <w:sz w:val="24"/>
          <w:szCs w:val="24"/>
        </w:rPr>
      </w:pPr>
      <w:r w:rsidRPr="00DC5E86">
        <w:rPr>
          <w:rFonts w:ascii="Times New Roman" w:hAnsi="Times New Roman"/>
          <w:sz w:val="24"/>
          <w:szCs w:val="24"/>
        </w:rPr>
        <w:t>Table item</w:t>
      </w:r>
      <w:r w:rsidR="00217229">
        <w:rPr>
          <w:rFonts w:ascii="Times New Roman" w:hAnsi="Times New Roman"/>
          <w:sz w:val="24"/>
          <w:szCs w:val="24"/>
        </w:rPr>
        <w:t xml:space="preserve"> 452</w:t>
      </w:r>
      <w:r w:rsidRPr="00DC5E86">
        <w:rPr>
          <w:rFonts w:ascii="Times New Roman" w:hAnsi="Times New Roman"/>
          <w:sz w:val="24"/>
          <w:szCs w:val="24"/>
        </w:rPr>
        <w:t xml:space="preserve"> is compatible with human rights </w:t>
      </w:r>
      <w:r>
        <w:rPr>
          <w:rFonts w:ascii="Times New Roman" w:hAnsi="Times New Roman"/>
          <w:sz w:val="24"/>
          <w:szCs w:val="24"/>
        </w:rPr>
        <w:t xml:space="preserve">as it does not raise any </w:t>
      </w:r>
      <w:r w:rsidRPr="00DC5E86">
        <w:rPr>
          <w:rFonts w:ascii="Times New Roman" w:hAnsi="Times New Roman"/>
          <w:sz w:val="24"/>
          <w:szCs w:val="24"/>
        </w:rPr>
        <w:t>human rights</w:t>
      </w:r>
      <w:r>
        <w:rPr>
          <w:rFonts w:ascii="Times New Roman" w:hAnsi="Times New Roman"/>
          <w:sz w:val="24"/>
          <w:szCs w:val="24"/>
        </w:rPr>
        <w:t xml:space="preserve"> issues</w:t>
      </w:r>
      <w:r w:rsidRPr="00DC5E86">
        <w:rPr>
          <w:rFonts w:ascii="Times New Roman" w:hAnsi="Times New Roman"/>
          <w:color w:val="000000" w:themeColor="text1"/>
          <w:sz w:val="24"/>
          <w:szCs w:val="24"/>
        </w:rPr>
        <w:t>.</w:t>
      </w:r>
    </w:p>
    <w:p w14:paraId="0F9F8AC7" w14:textId="0DCDA88F" w:rsidR="00F55292" w:rsidRDefault="00F55292" w:rsidP="00DC0D7B">
      <w:pPr>
        <w:pStyle w:val="paranumbering0"/>
        <w:spacing w:before="0" w:beforeAutospacing="0" w:after="0" w:afterAutospacing="0"/>
        <w:contextualSpacing/>
        <w:rPr>
          <w:b/>
        </w:rPr>
      </w:pPr>
    </w:p>
    <w:p w14:paraId="515EE1D3" w14:textId="3E41FB6B" w:rsidR="000D2DEF" w:rsidRPr="00833E74" w:rsidRDefault="000D2DEF" w:rsidP="000D2DEF">
      <w:pPr>
        <w:rPr>
          <w:rFonts w:ascii="Times New Roman" w:hAnsi="Times New Roman"/>
          <w:i/>
          <w:sz w:val="24"/>
          <w:szCs w:val="24"/>
          <w:u w:val="single"/>
        </w:rPr>
      </w:pPr>
      <w:r w:rsidRPr="00DC5E86">
        <w:rPr>
          <w:rFonts w:ascii="Times New Roman" w:hAnsi="Times New Roman"/>
          <w:i/>
          <w:sz w:val="24"/>
          <w:szCs w:val="24"/>
          <w:u w:val="single"/>
        </w:rPr>
        <w:t>Table item</w:t>
      </w:r>
      <w:r>
        <w:rPr>
          <w:rFonts w:ascii="Times New Roman" w:hAnsi="Times New Roman"/>
          <w:i/>
          <w:sz w:val="24"/>
          <w:szCs w:val="24"/>
          <w:u w:val="single"/>
        </w:rPr>
        <w:t xml:space="preserve"> 453</w:t>
      </w:r>
      <w:r w:rsidRPr="00DC5E86">
        <w:rPr>
          <w:rFonts w:ascii="Times New Roman" w:hAnsi="Times New Roman"/>
          <w:i/>
          <w:sz w:val="24"/>
          <w:szCs w:val="24"/>
          <w:u w:val="single"/>
        </w:rPr>
        <w:t xml:space="preserve"> – </w:t>
      </w:r>
      <w:r w:rsidRPr="00833E74">
        <w:rPr>
          <w:rFonts w:ascii="Times New Roman" w:hAnsi="Times New Roman"/>
          <w:i/>
          <w:sz w:val="24"/>
          <w:szCs w:val="24"/>
          <w:u w:val="single"/>
        </w:rPr>
        <w:t>Hydrogen Export Hub Program</w:t>
      </w:r>
    </w:p>
    <w:p w14:paraId="400A31F8" w14:textId="77777777" w:rsidR="000D2DEF" w:rsidRPr="00DC5E86" w:rsidRDefault="000D2DEF" w:rsidP="000D2DEF">
      <w:pPr>
        <w:ind w:right="-46"/>
        <w:rPr>
          <w:rFonts w:ascii="Times New Roman" w:hAnsi="Times New Roman"/>
          <w:color w:val="000000" w:themeColor="text1"/>
          <w:sz w:val="24"/>
          <w:szCs w:val="24"/>
        </w:rPr>
      </w:pPr>
    </w:p>
    <w:p w14:paraId="622BDA86" w14:textId="098636A4" w:rsidR="000D2DEF" w:rsidRDefault="000D2DEF" w:rsidP="000D2DEF">
      <w:pPr>
        <w:rPr>
          <w:rFonts w:ascii="Times New Roman" w:hAnsi="Times New Roman"/>
          <w:sz w:val="24"/>
          <w:szCs w:val="24"/>
        </w:rPr>
      </w:pPr>
      <w:r w:rsidRPr="00DC5E86">
        <w:rPr>
          <w:rFonts w:ascii="Times New Roman" w:hAnsi="Times New Roman"/>
          <w:sz w:val="24"/>
          <w:szCs w:val="24"/>
        </w:rPr>
        <w:t>Table item</w:t>
      </w:r>
      <w:r>
        <w:rPr>
          <w:rFonts w:ascii="Times New Roman" w:hAnsi="Times New Roman"/>
          <w:sz w:val="24"/>
          <w:szCs w:val="24"/>
        </w:rPr>
        <w:t xml:space="preserve"> 453</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Pr="00DC5E86">
        <w:rPr>
          <w:rFonts w:ascii="Times New Roman" w:hAnsi="Times New Roman"/>
          <w:iCs/>
          <w:sz w:val="24"/>
          <w:szCs w:val="24"/>
        </w:rPr>
        <w:t>legislative authority for government spending on the</w:t>
      </w:r>
      <w:r w:rsidRPr="00833E74">
        <w:t xml:space="preserve"> </w:t>
      </w:r>
      <w:r w:rsidRPr="00833E74">
        <w:rPr>
          <w:rFonts w:ascii="Times New Roman" w:hAnsi="Times New Roman"/>
          <w:sz w:val="24"/>
          <w:szCs w:val="24"/>
        </w:rPr>
        <w:t>Hydrogen Export Hub Program</w:t>
      </w:r>
      <w:r>
        <w:rPr>
          <w:rFonts w:ascii="Times New Roman" w:hAnsi="Times New Roman"/>
          <w:sz w:val="24"/>
          <w:szCs w:val="24"/>
        </w:rPr>
        <w:t xml:space="preserve"> (the program).</w:t>
      </w:r>
    </w:p>
    <w:p w14:paraId="476B21F1" w14:textId="77777777" w:rsidR="000D2DEF" w:rsidRDefault="000D2DEF" w:rsidP="000D2DEF">
      <w:pPr>
        <w:rPr>
          <w:rFonts w:ascii="Times New Roman" w:hAnsi="Times New Roman"/>
          <w:iCs/>
          <w:sz w:val="24"/>
          <w:szCs w:val="24"/>
        </w:rPr>
      </w:pPr>
    </w:p>
    <w:p w14:paraId="7401FD87" w14:textId="77777777" w:rsidR="000D2DEF" w:rsidRDefault="000D2DEF" w:rsidP="000D2DEF">
      <w:pPr>
        <w:rPr>
          <w:rFonts w:ascii="Times New Roman" w:hAnsi="Times New Roman"/>
          <w:iCs/>
          <w:sz w:val="24"/>
          <w:szCs w:val="24"/>
        </w:rPr>
      </w:pPr>
      <w:r>
        <w:rPr>
          <w:rFonts w:ascii="Times New Roman" w:hAnsi="Times New Roman"/>
          <w:iCs/>
          <w:sz w:val="24"/>
          <w:szCs w:val="24"/>
        </w:rPr>
        <w:t xml:space="preserve">The program will support growth of Australia’s hydrogen industry and </w:t>
      </w:r>
      <w:r w:rsidRPr="00FB41AC">
        <w:rPr>
          <w:rFonts w:ascii="Times New Roman" w:hAnsi="Times New Roman"/>
          <w:iCs/>
          <w:sz w:val="24"/>
          <w:szCs w:val="24"/>
        </w:rPr>
        <w:t>stimulat</w:t>
      </w:r>
      <w:r>
        <w:rPr>
          <w:rFonts w:ascii="Times New Roman" w:hAnsi="Times New Roman"/>
          <w:iCs/>
          <w:sz w:val="24"/>
          <w:szCs w:val="24"/>
        </w:rPr>
        <w:t>e</w:t>
      </w:r>
      <w:r w:rsidRPr="00FB41AC">
        <w:rPr>
          <w:rFonts w:ascii="Times New Roman" w:hAnsi="Times New Roman"/>
          <w:iCs/>
          <w:sz w:val="24"/>
          <w:szCs w:val="24"/>
        </w:rPr>
        <w:t xml:space="preserve"> domestic and international demand for hydrogen (and its derivatives, such as ammonia) </w:t>
      </w:r>
      <w:r>
        <w:rPr>
          <w:rFonts w:ascii="Times New Roman" w:hAnsi="Times New Roman"/>
          <w:iCs/>
          <w:sz w:val="24"/>
          <w:szCs w:val="24"/>
        </w:rPr>
        <w:t>through the establishment of hydrogen export supply chains and the activation of a hydrogen export hub (a</w:t>
      </w:r>
      <w:r w:rsidRPr="00FB41AC">
        <w:rPr>
          <w:rFonts w:ascii="Times New Roman" w:hAnsi="Times New Roman"/>
          <w:iCs/>
          <w:sz w:val="24"/>
          <w:szCs w:val="24"/>
        </w:rPr>
        <w:t xml:space="preserve"> region where various hydrogen users and exporters are co-located</w:t>
      </w:r>
      <w:r>
        <w:rPr>
          <w:rFonts w:ascii="Times New Roman" w:hAnsi="Times New Roman"/>
          <w:iCs/>
          <w:sz w:val="24"/>
          <w:szCs w:val="24"/>
        </w:rPr>
        <w:t>)</w:t>
      </w:r>
      <w:r w:rsidRPr="00FB41AC">
        <w:rPr>
          <w:rFonts w:ascii="Times New Roman" w:hAnsi="Times New Roman"/>
          <w:iCs/>
          <w:sz w:val="24"/>
          <w:szCs w:val="24"/>
        </w:rPr>
        <w:t xml:space="preserve"> that will supply to at least one partner country. </w:t>
      </w:r>
      <w:r>
        <w:rPr>
          <w:rFonts w:ascii="Times New Roman" w:hAnsi="Times New Roman"/>
          <w:iCs/>
          <w:sz w:val="24"/>
          <w:szCs w:val="24"/>
        </w:rPr>
        <w:t>The program will also provide f</w:t>
      </w:r>
      <w:r w:rsidRPr="00FB41AC">
        <w:rPr>
          <w:rFonts w:ascii="Times New Roman" w:hAnsi="Times New Roman"/>
          <w:iCs/>
          <w:sz w:val="24"/>
          <w:szCs w:val="24"/>
        </w:rPr>
        <w:t xml:space="preserve">unding </w:t>
      </w:r>
      <w:r>
        <w:rPr>
          <w:rFonts w:ascii="Times New Roman" w:hAnsi="Times New Roman"/>
          <w:iCs/>
          <w:sz w:val="24"/>
          <w:szCs w:val="24"/>
        </w:rPr>
        <w:t>t</w:t>
      </w:r>
      <w:r w:rsidRPr="00FB41AC">
        <w:rPr>
          <w:rFonts w:ascii="Times New Roman" w:hAnsi="Times New Roman"/>
          <w:iCs/>
          <w:sz w:val="24"/>
          <w:szCs w:val="24"/>
        </w:rPr>
        <w:t>o enable international research collaboration, undertake supply chain feasibility studies, and support safety training for emergency services personnel.</w:t>
      </w:r>
    </w:p>
    <w:p w14:paraId="0B68223A" w14:textId="77777777" w:rsidR="000D2DEF" w:rsidRDefault="000D2DEF" w:rsidP="000D2DEF">
      <w:pPr>
        <w:rPr>
          <w:rFonts w:ascii="Times New Roman" w:hAnsi="Times New Roman"/>
          <w:iCs/>
          <w:sz w:val="24"/>
          <w:szCs w:val="24"/>
        </w:rPr>
      </w:pPr>
    </w:p>
    <w:p w14:paraId="34F5BA0D" w14:textId="77777777" w:rsidR="000D2DEF" w:rsidRDefault="000D2DEF" w:rsidP="000D2DEF">
      <w:pPr>
        <w:rPr>
          <w:rFonts w:ascii="Times New Roman" w:hAnsi="Times New Roman"/>
          <w:iCs/>
          <w:sz w:val="24"/>
          <w:szCs w:val="24"/>
        </w:rPr>
      </w:pPr>
      <w:r>
        <w:rPr>
          <w:rFonts w:ascii="Times New Roman" w:hAnsi="Times New Roman"/>
          <w:iCs/>
          <w:sz w:val="24"/>
          <w:szCs w:val="24"/>
        </w:rPr>
        <w:t>The former Council of Australian Governments (COAG) Energy Council’s</w:t>
      </w:r>
      <w:r w:rsidRPr="00FB41AC">
        <w:rPr>
          <w:rFonts w:ascii="Times New Roman" w:hAnsi="Times New Roman"/>
          <w:iCs/>
          <w:sz w:val="24"/>
          <w:szCs w:val="24"/>
        </w:rPr>
        <w:t xml:space="preserve"> </w:t>
      </w:r>
      <w:r w:rsidRPr="00E566F7">
        <w:rPr>
          <w:rFonts w:ascii="Times New Roman" w:hAnsi="Times New Roman"/>
          <w:i/>
          <w:iCs/>
          <w:sz w:val="24"/>
          <w:szCs w:val="24"/>
        </w:rPr>
        <w:t>Australia’s National Hydrogen Strategy</w:t>
      </w:r>
      <w:r>
        <w:rPr>
          <w:rFonts w:ascii="Times New Roman" w:hAnsi="Times New Roman"/>
          <w:iCs/>
          <w:sz w:val="24"/>
          <w:szCs w:val="24"/>
        </w:rPr>
        <w:t xml:space="preserve"> (the Strategy)</w:t>
      </w:r>
      <w:r w:rsidRPr="00FB41AC">
        <w:rPr>
          <w:rFonts w:ascii="Times New Roman" w:hAnsi="Times New Roman"/>
          <w:iCs/>
          <w:sz w:val="24"/>
          <w:szCs w:val="24"/>
        </w:rPr>
        <w:t xml:space="preserve"> </w:t>
      </w:r>
      <w:r w:rsidRPr="00E566F7">
        <w:rPr>
          <w:rFonts w:ascii="Times New Roman" w:hAnsi="Times New Roman"/>
          <w:iCs/>
          <w:sz w:val="24"/>
          <w:szCs w:val="24"/>
        </w:rPr>
        <w:t>sets a vision for Australia to be a global clean hydrogen powerhouse. The Strategy identifies the creation of hubs as the most efficient and effective approach to bring Australia’s hydrogen industry to scale and bring down the costs of production.</w:t>
      </w:r>
      <w:r>
        <w:rPr>
          <w:rFonts w:ascii="Times New Roman" w:hAnsi="Times New Roman"/>
          <w:iCs/>
          <w:sz w:val="24"/>
          <w:szCs w:val="24"/>
        </w:rPr>
        <w:t xml:space="preserve"> </w:t>
      </w:r>
    </w:p>
    <w:p w14:paraId="51EF5A4A" w14:textId="77777777" w:rsidR="000D2DEF" w:rsidRDefault="000D2DEF" w:rsidP="000D2DEF">
      <w:pPr>
        <w:rPr>
          <w:rFonts w:ascii="Times New Roman" w:hAnsi="Times New Roman"/>
          <w:iCs/>
          <w:sz w:val="24"/>
          <w:szCs w:val="24"/>
        </w:rPr>
      </w:pPr>
    </w:p>
    <w:p w14:paraId="6667B35B" w14:textId="77777777" w:rsidR="000D2DEF" w:rsidRPr="008070D2" w:rsidRDefault="000D2DEF" w:rsidP="000D2DEF">
      <w:pPr>
        <w:rPr>
          <w:rFonts w:ascii="Times New Roman" w:hAnsi="Times New Roman"/>
          <w:iCs/>
          <w:sz w:val="24"/>
          <w:szCs w:val="24"/>
        </w:rPr>
      </w:pPr>
      <w:r w:rsidRPr="008070D2">
        <w:rPr>
          <w:rFonts w:ascii="Times New Roman" w:hAnsi="Times New Roman"/>
          <w:iCs/>
          <w:sz w:val="24"/>
          <w:szCs w:val="24"/>
        </w:rPr>
        <w:t>The</w:t>
      </w:r>
      <w:r>
        <w:rPr>
          <w:rFonts w:ascii="Times New Roman" w:hAnsi="Times New Roman"/>
          <w:iCs/>
          <w:sz w:val="24"/>
          <w:szCs w:val="24"/>
        </w:rPr>
        <w:t xml:space="preserve"> program</w:t>
      </w:r>
      <w:r w:rsidRPr="008070D2">
        <w:rPr>
          <w:rFonts w:ascii="Times New Roman" w:hAnsi="Times New Roman"/>
          <w:iCs/>
          <w:sz w:val="24"/>
          <w:szCs w:val="24"/>
        </w:rPr>
        <w:t xml:space="preserve"> will support </w:t>
      </w:r>
      <w:r>
        <w:rPr>
          <w:rFonts w:ascii="Times New Roman" w:hAnsi="Times New Roman"/>
          <w:iCs/>
          <w:sz w:val="24"/>
          <w:szCs w:val="24"/>
        </w:rPr>
        <w:t xml:space="preserve">the following </w:t>
      </w:r>
      <w:r w:rsidRPr="008070D2">
        <w:rPr>
          <w:rFonts w:ascii="Times New Roman" w:hAnsi="Times New Roman"/>
          <w:iCs/>
          <w:sz w:val="24"/>
          <w:szCs w:val="24"/>
        </w:rPr>
        <w:t xml:space="preserve">activities: </w:t>
      </w:r>
    </w:p>
    <w:p w14:paraId="3358882B" w14:textId="77777777" w:rsidR="000D2DEF" w:rsidRPr="008070D2" w:rsidRDefault="000D2DEF" w:rsidP="000D2DEF">
      <w:pPr>
        <w:pStyle w:val="ListParagraph"/>
        <w:numPr>
          <w:ilvl w:val="0"/>
          <w:numId w:val="19"/>
        </w:numPr>
        <w:ind w:right="57"/>
        <w:contextualSpacing w:val="0"/>
        <w:rPr>
          <w:rFonts w:cs="Times New Roman"/>
        </w:rPr>
      </w:pPr>
      <w:r>
        <w:rPr>
          <w:rFonts w:cs="Times New Roman"/>
        </w:rPr>
        <w:t xml:space="preserve">international </w:t>
      </w:r>
      <w:r w:rsidRPr="008070D2">
        <w:rPr>
          <w:rFonts w:cs="Times New Roman"/>
        </w:rPr>
        <w:t xml:space="preserve">research and development </w:t>
      </w:r>
      <w:r>
        <w:rPr>
          <w:rFonts w:cs="Times New Roman"/>
        </w:rPr>
        <w:t>relevant to hydrogen technologies, hydrogen industry expansion and export supply chains</w:t>
      </w:r>
      <w:r w:rsidRPr="008070D2">
        <w:rPr>
          <w:rFonts w:cs="Times New Roman"/>
        </w:rPr>
        <w:t xml:space="preserve"> to stimulate research connections, collaboration and knowledge sharing; </w:t>
      </w:r>
    </w:p>
    <w:p w14:paraId="666CB8DA" w14:textId="77777777" w:rsidR="000D2DEF" w:rsidRPr="008070D2" w:rsidRDefault="000D2DEF" w:rsidP="000D2DEF">
      <w:pPr>
        <w:pStyle w:val="ListParagraph"/>
        <w:numPr>
          <w:ilvl w:val="0"/>
          <w:numId w:val="19"/>
        </w:numPr>
        <w:ind w:right="57"/>
        <w:contextualSpacing w:val="0"/>
        <w:rPr>
          <w:rFonts w:cs="Times New Roman"/>
        </w:rPr>
      </w:pPr>
      <w:r w:rsidRPr="008070D2">
        <w:rPr>
          <w:rFonts w:cs="Times New Roman"/>
        </w:rPr>
        <w:t>pilots, trials and demonstrations of the production, transport, storage, transformation and use of hydrogen to stimulate industry growth and accelerate its market uptake;</w:t>
      </w:r>
    </w:p>
    <w:p w14:paraId="73FC7E3A" w14:textId="77777777" w:rsidR="000D2DEF" w:rsidRPr="008070D2" w:rsidRDefault="000D2DEF" w:rsidP="000D2DEF">
      <w:pPr>
        <w:pStyle w:val="ListParagraph"/>
        <w:numPr>
          <w:ilvl w:val="0"/>
          <w:numId w:val="19"/>
        </w:numPr>
        <w:ind w:right="57"/>
        <w:contextualSpacing w:val="0"/>
        <w:rPr>
          <w:rFonts w:cs="Times New Roman"/>
        </w:rPr>
      </w:pPr>
      <w:r w:rsidRPr="008070D2">
        <w:rPr>
          <w:rFonts w:cs="Times New Roman"/>
        </w:rPr>
        <w:t>supply chain feasibility studies for supply of hydrogen to emerging hydrogen markets;</w:t>
      </w:r>
    </w:p>
    <w:p w14:paraId="38835AA7" w14:textId="77777777" w:rsidR="000D2DEF" w:rsidRPr="008070D2" w:rsidRDefault="000D2DEF" w:rsidP="000D2DEF">
      <w:pPr>
        <w:pStyle w:val="ListParagraph"/>
        <w:numPr>
          <w:ilvl w:val="0"/>
          <w:numId w:val="19"/>
        </w:numPr>
        <w:ind w:right="57"/>
        <w:contextualSpacing w:val="0"/>
        <w:rPr>
          <w:rFonts w:cs="Times New Roman"/>
        </w:rPr>
      </w:pPr>
      <w:r w:rsidRPr="008070D2">
        <w:rPr>
          <w:rFonts w:cs="Times New Roman"/>
        </w:rPr>
        <w:t>the creation of a regional hub, which will stimulate domestic demand and advance the development of international supply chains with at least one key hydrogen bilateral trading partner; and</w:t>
      </w:r>
    </w:p>
    <w:p w14:paraId="22397B95" w14:textId="77777777" w:rsidR="000D2DEF" w:rsidRPr="008070D2" w:rsidRDefault="000D2DEF" w:rsidP="000D2DEF">
      <w:pPr>
        <w:pStyle w:val="ListParagraph"/>
        <w:numPr>
          <w:ilvl w:val="0"/>
          <w:numId w:val="19"/>
        </w:numPr>
        <w:ind w:right="57"/>
        <w:contextualSpacing w:val="0"/>
        <w:rPr>
          <w:rFonts w:cs="Times New Roman"/>
        </w:rPr>
      </w:pPr>
      <w:r w:rsidRPr="008070D2">
        <w:rPr>
          <w:rFonts w:cs="Times New Roman"/>
        </w:rPr>
        <w:t xml:space="preserve">training for emergency services personnel to ensure safety for industry development. </w:t>
      </w:r>
    </w:p>
    <w:p w14:paraId="1246BE7A" w14:textId="77777777" w:rsidR="000D2DEF" w:rsidRDefault="000D2DEF" w:rsidP="000D2DEF">
      <w:pPr>
        <w:rPr>
          <w:rFonts w:ascii="Times New Roman" w:hAnsi="Times New Roman"/>
          <w:iCs/>
          <w:sz w:val="24"/>
          <w:szCs w:val="24"/>
        </w:rPr>
      </w:pPr>
    </w:p>
    <w:p w14:paraId="3F05FC67" w14:textId="77777777" w:rsidR="000D2DEF" w:rsidRDefault="000D2DEF" w:rsidP="000D2DEF">
      <w:pPr>
        <w:rPr>
          <w:rFonts w:ascii="Times New Roman" w:hAnsi="Times New Roman"/>
          <w:iCs/>
          <w:sz w:val="24"/>
          <w:szCs w:val="24"/>
        </w:rPr>
      </w:pPr>
      <w:r>
        <w:rPr>
          <w:rFonts w:ascii="Times New Roman" w:hAnsi="Times New Roman"/>
          <w:iCs/>
          <w:sz w:val="24"/>
          <w:szCs w:val="24"/>
        </w:rPr>
        <w:t xml:space="preserve">These activities will support industry development along the supply chain and complement funding provided to the industry </w:t>
      </w:r>
      <w:r w:rsidRPr="008070D2">
        <w:rPr>
          <w:rFonts w:ascii="Times New Roman" w:hAnsi="Times New Roman"/>
          <w:iCs/>
          <w:sz w:val="24"/>
          <w:szCs w:val="24"/>
        </w:rPr>
        <w:t>to support commercial</w:t>
      </w:r>
      <w:r>
        <w:rPr>
          <w:rFonts w:ascii="Times New Roman" w:hAnsi="Times New Roman"/>
          <w:iCs/>
          <w:sz w:val="24"/>
          <w:szCs w:val="24"/>
        </w:rPr>
        <w:t xml:space="preserve"> </w:t>
      </w:r>
      <w:r w:rsidRPr="008070D2">
        <w:rPr>
          <w:rFonts w:ascii="Times New Roman" w:hAnsi="Times New Roman"/>
          <w:iCs/>
          <w:sz w:val="24"/>
          <w:szCs w:val="24"/>
        </w:rPr>
        <w:t xml:space="preserve">scale deployment of renewable hydrogen production in Australia by the Australian Renewable Energy Agency and the Clean Energy Finance Corporation.  </w:t>
      </w:r>
    </w:p>
    <w:p w14:paraId="63B0CA17" w14:textId="77777777" w:rsidR="000D2DEF" w:rsidRPr="00AA74BD" w:rsidRDefault="000D2DEF" w:rsidP="000D2DEF">
      <w:pPr>
        <w:rPr>
          <w:rFonts w:ascii="Times New Roman" w:hAnsi="Times New Roman"/>
          <w:sz w:val="24"/>
          <w:szCs w:val="24"/>
        </w:rPr>
      </w:pPr>
    </w:p>
    <w:p w14:paraId="1045C9EC" w14:textId="77777777" w:rsidR="000D2DEF" w:rsidRPr="00DC5E86" w:rsidRDefault="000D2DEF" w:rsidP="000D2DEF">
      <w:pPr>
        <w:rPr>
          <w:rFonts w:ascii="Times New Roman" w:hAnsi="Times New Roman"/>
          <w:sz w:val="24"/>
          <w:szCs w:val="24"/>
        </w:rPr>
      </w:pPr>
      <w:r w:rsidRPr="00DC5E86">
        <w:rPr>
          <w:rFonts w:ascii="Times New Roman" w:hAnsi="Times New Roman"/>
          <w:b/>
          <w:color w:val="000000" w:themeColor="text1"/>
          <w:sz w:val="24"/>
          <w:szCs w:val="24"/>
        </w:rPr>
        <w:lastRenderedPageBreak/>
        <w:t>Human rights implications</w:t>
      </w:r>
      <w:r w:rsidRPr="00DC5E86">
        <w:rPr>
          <w:rFonts w:ascii="Times New Roman" w:hAnsi="Times New Roman"/>
          <w:sz w:val="24"/>
          <w:szCs w:val="24"/>
        </w:rPr>
        <w:t xml:space="preserve"> </w:t>
      </w:r>
    </w:p>
    <w:p w14:paraId="606015FC" w14:textId="77777777" w:rsidR="000D2DEF" w:rsidRPr="00DC5E86" w:rsidRDefault="000D2DEF" w:rsidP="000D2DEF">
      <w:pPr>
        <w:rPr>
          <w:rFonts w:ascii="Times New Roman" w:hAnsi="Times New Roman"/>
          <w:sz w:val="24"/>
          <w:szCs w:val="24"/>
        </w:rPr>
      </w:pPr>
    </w:p>
    <w:p w14:paraId="613847AD" w14:textId="0056C665" w:rsidR="000D2DEF" w:rsidRDefault="000D2DEF" w:rsidP="000D2DEF">
      <w:pPr>
        <w:rPr>
          <w:rFonts w:ascii="Times New Roman" w:eastAsiaTheme="minorHAnsi" w:hAnsi="Times New Roman"/>
          <w:color w:val="000000"/>
          <w:sz w:val="24"/>
          <w:szCs w:val="24"/>
          <w:lang w:eastAsia="en-US"/>
        </w:rPr>
      </w:pPr>
      <w:r w:rsidRPr="00DC5E86">
        <w:rPr>
          <w:rFonts w:ascii="Times New Roman" w:hAnsi="Times New Roman"/>
          <w:sz w:val="24"/>
          <w:szCs w:val="24"/>
        </w:rPr>
        <w:t>Table item</w:t>
      </w:r>
      <w:r>
        <w:rPr>
          <w:rFonts w:ascii="Times New Roman" w:hAnsi="Times New Roman"/>
          <w:sz w:val="24"/>
          <w:szCs w:val="24"/>
        </w:rPr>
        <w:t xml:space="preserve"> 453 does not</w:t>
      </w:r>
      <w:r w:rsidRPr="00DC5E86">
        <w:rPr>
          <w:rFonts w:ascii="Times New Roman" w:hAnsi="Times New Roman"/>
          <w:sz w:val="24"/>
          <w:szCs w:val="24"/>
        </w:rPr>
        <w:t xml:space="preserve"> </w:t>
      </w:r>
      <w:r w:rsidRPr="00657C3B">
        <w:rPr>
          <w:rFonts w:ascii="Times New Roman" w:hAnsi="Times New Roman"/>
          <w:sz w:val="24"/>
          <w:szCs w:val="24"/>
        </w:rPr>
        <w:t xml:space="preserve">limit </w:t>
      </w:r>
      <w:r w:rsidRPr="006A6E5B">
        <w:rPr>
          <w:rFonts w:ascii="Times New Roman" w:hAnsi="Times New Roman"/>
          <w:sz w:val="24"/>
          <w:szCs w:val="24"/>
        </w:rPr>
        <w:t xml:space="preserve">any of the applicable rights or freedoms, which are set out in the international instruments listed in section 3 of the </w:t>
      </w:r>
      <w:r w:rsidRPr="006A6E5B">
        <w:rPr>
          <w:rFonts w:ascii="Times New Roman" w:hAnsi="Times New Roman"/>
          <w:i/>
          <w:sz w:val="24"/>
          <w:szCs w:val="24"/>
        </w:rPr>
        <w:t>Human Rights (Parliamentary Scrutiny) Act 2011</w:t>
      </w:r>
      <w:r w:rsidRPr="006A6E5B">
        <w:rPr>
          <w:rFonts w:ascii="Times New Roman" w:hAnsi="Times New Roman"/>
          <w:sz w:val="24"/>
          <w:szCs w:val="24"/>
        </w:rPr>
        <w:t>.</w:t>
      </w:r>
      <w:r w:rsidRPr="00657C3B">
        <w:rPr>
          <w:rFonts w:ascii="Times New Roman" w:eastAsiaTheme="minorHAnsi" w:hAnsi="Times New Roman"/>
          <w:color w:val="000000"/>
          <w:sz w:val="24"/>
          <w:szCs w:val="24"/>
          <w:lang w:eastAsia="en-US"/>
        </w:rPr>
        <w:t xml:space="preserve"> </w:t>
      </w:r>
    </w:p>
    <w:p w14:paraId="47229D9A" w14:textId="77777777" w:rsidR="000D2DEF" w:rsidRPr="00657C3B" w:rsidRDefault="000D2DEF" w:rsidP="000D2DEF">
      <w:pPr>
        <w:rPr>
          <w:rFonts w:ascii="Times New Roman" w:eastAsiaTheme="minorHAnsi" w:hAnsi="Times New Roman"/>
          <w:color w:val="000000"/>
          <w:sz w:val="24"/>
          <w:szCs w:val="24"/>
          <w:lang w:eastAsia="en-US"/>
        </w:rPr>
      </w:pPr>
    </w:p>
    <w:p w14:paraId="1604EA0D" w14:textId="77777777" w:rsidR="000D2DEF" w:rsidRDefault="000D2DEF" w:rsidP="000D2DEF">
      <w:pPr>
        <w:pStyle w:val="Default"/>
      </w:pPr>
      <w:r>
        <w:t xml:space="preserve">Program activities will not directly affect human rights of any individual in a positive or negative way. These economic activities will be conducted in accordance with existing legal and human rights frameworks. It is not anticipated that government spending to support growth of Australia’s hydrogen industry will require an amendment to any existing human rights laws in Australia or overseas.  </w:t>
      </w:r>
    </w:p>
    <w:p w14:paraId="5593A4AD" w14:textId="77777777" w:rsidR="000D2DEF" w:rsidRPr="00DC5E86" w:rsidRDefault="000D2DEF" w:rsidP="000D2DEF">
      <w:pPr>
        <w:rPr>
          <w:szCs w:val="24"/>
        </w:rPr>
      </w:pPr>
    </w:p>
    <w:p w14:paraId="1C216448" w14:textId="77777777" w:rsidR="000D2DEF" w:rsidRPr="00DC5E86" w:rsidRDefault="000D2DEF" w:rsidP="000D2DEF">
      <w:pPr>
        <w:pStyle w:val="NoSpacing"/>
        <w:ind w:right="55"/>
        <w:rPr>
          <w:b/>
          <w:color w:val="000000" w:themeColor="text1"/>
        </w:rPr>
      </w:pPr>
      <w:r w:rsidRPr="66592093">
        <w:rPr>
          <w:b/>
          <w:color w:val="000000" w:themeColor="text1"/>
        </w:rPr>
        <w:t>Conclusion</w:t>
      </w:r>
    </w:p>
    <w:p w14:paraId="4810D30E" w14:textId="77777777" w:rsidR="000D2DEF" w:rsidRPr="00DC5E86" w:rsidRDefault="000D2DEF" w:rsidP="000D2DEF">
      <w:pPr>
        <w:ind w:right="-46"/>
        <w:rPr>
          <w:rFonts w:ascii="Times New Roman" w:hAnsi="Times New Roman"/>
          <w:color w:val="000000" w:themeColor="text1"/>
          <w:sz w:val="24"/>
          <w:szCs w:val="24"/>
        </w:rPr>
      </w:pPr>
    </w:p>
    <w:p w14:paraId="25C81F03" w14:textId="2BE7C7AC" w:rsidR="000D2DEF" w:rsidRPr="00DC5E86" w:rsidRDefault="000D2DEF" w:rsidP="000D2DEF">
      <w:pPr>
        <w:pStyle w:val="paranumbering0"/>
        <w:spacing w:before="0" w:beforeAutospacing="0" w:after="0" w:afterAutospacing="0"/>
        <w:contextualSpacing/>
        <w:rPr>
          <w:b/>
        </w:rPr>
      </w:pPr>
      <w:r w:rsidRPr="00DC5E86">
        <w:t xml:space="preserve">Table item </w:t>
      </w:r>
      <w:r>
        <w:t>453</w:t>
      </w:r>
      <w:r w:rsidRPr="00DC5E86">
        <w:t xml:space="preserve"> is compatible with human rights </w:t>
      </w:r>
      <w:r>
        <w:t xml:space="preserve">as it does not raise any </w:t>
      </w:r>
      <w:r w:rsidRPr="00DC5E86">
        <w:t>human rights</w:t>
      </w:r>
      <w:r>
        <w:t xml:space="preserve"> issues</w:t>
      </w:r>
      <w:r w:rsidRPr="00DC5E86">
        <w:rPr>
          <w:color w:val="000000" w:themeColor="text1"/>
        </w:rPr>
        <w:t>.</w:t>
      </w:r>
    </w:p>
    <w:p w14:paraId="005E9B82" w14:textId="77777777" w:rsidR="000649F2" w:rsidRPr="00DC5E86" w:rsidRDefault="000649F2" w:rsidP="00EF5414">
      <w:pPr>
        <w:pStyle w:val="paranumbering0"/>
        <w:spacing w:before="0" w:beforeAutospacing="0" w:after="0" w:afterAutospacing="0"/>
        <w:contextualSpacing/>
        <w:jc w:val="center"/>
        <w:rPr>
          <w:b/>
        </w:rPr>
      </w:pPr>
    </w:p>
    <w:p w14:paraId="48807097" w14:textId="77777777" w:rsidR="00E97DAA" w:rsidRPr="00DC5E86" w:rsidRDefault="00E97DAA" w:rsidP="00EF5414">
      <w:pPr>
        <w:pStyle w:val="paranumbering0"/>
        <w:spacing w:before="0" w:beforeAutospacing="0" w:after="0" w:afterAutospacing="0"/>
        <w:contextualSpacing/>
        <w:jc w:val="center"/>
        <w:rPr>
          <w:b/>
        </w:rPr>
      </w:pPr>
    </w:p>
    <w:p w14:paraId="026C2AB3" w14:textId="77777777" w:rsidR="00E97DAA" w:rsidRPr="00DC5E86" w:rsidRDefault="00E97DAA" w:rsidP="00EF5414">
      <w:pPr>
        <w:pStyle w:val="paranumbering0"/>
        <w:spacing w:before="0" w:beforeAutospacing="0" w:after="0" w:afterAutospacing="0"/>
        <w:contextualSpacing/>
        <w:jc w:val="center"/>
        <w:rPr>
          <w:b/>
        </w:rPr>
      </w:pPr>
    </w:p>
    <w:p w14:paraId="0AAECEBA" w14:textId="1BAE60CB" w:rsidR="00E97DAA" w:rsidRDefault="00E97DAA" w:rsidP="00EF5414">
      <w:pPr>
        <w:pStyle w:val="paranumbering0"/>
        <w:spacing w:before="0" w:beforeAutospacing="0" w:after="0" w:afterAutospacing="0"/>
        <w:contextualSpacing/>
        <w:jc w:val="center"/>
        <w:rPr>
          <w:b/>
        </w:rPr>
      </w:pPr>
    </w:p>
    <w:p w14:paraId="0BC412B5" w14:textId="77777777" w:rsidR="000D2DEF" w:rsidRPr="00DC5E86" w:rsidRDefault="000D2DEF" w:rsidP="00EF5414">
      <w:pPr>
        <w:pStyle w:val="paranumbering0"/>
        <w:spacing w:before="0" w:beforeAutospacing="0" w:after="0" w:afterAutospacing="0"/>
        <w:contextualSpacing/>
        <w:jc w:val="center"/>
        <w:rPr>
          <w:b/>
        </w:rPr>
      </w:pPr>
    </w:p>
    <w:p w14:paraId="6F3D63CD" w14:textId="77777777" w:rsidR="00581E06" w:rsidRPr="00DC5E86" w:rsidRDefault="00581E06" w:rsidP="00EF5414">
      <w:pPr>
        <w:pStyle w:val="paranumbering0"/>
        <w:spacing w:before="0" w:beforeAutospacing="0" w:after="0" w:afterAutospacing="0"/>
        <w:contextualSpacing/>
        <w:jc w:val="center"/>
        <w:rPr>
          <w:b/>
        </w:rPr>
      </w:pPr>
      <w:r w:rsidRPr="00DC5E86">
        <w:rPr>
          <w:b/>
        </w:rPr>
        <w:t xml:space="preserve">Senator the Hon </w:t>
      </w:r>
      <w:r w:rsidR="00C04193">
        <w:rPr>
          <w:b/>
        </w:rPr>
        <w:t>Simon Birmingham</w:t>
      </w:r>
    </w:p>
    <w:p w14:paraId="212AA314" w14:textId="77777777" w:rsidR="00581E06" w:rsidRPr="00DC5E86" w:rsidRDefault="00581E06" w:rsidP="00EF5414">
      <w:pPr>
        <w:contextualSpacing/>
        <w:jc w:val="center"/>
        <w:rPr>
          <w:rFonts w:ascii="Times New Roman" w:hAnsi="Times New Roman"/>
          <w:b/>
          <w:sz w:val="24"/>
          <w:szCs w:val="24"/>
        </w:rPr>
      </w:pPr>
      <w:r w:rsidRPr="00F82EED">
        <w:rPr>
          <w:rFonts w:ascii="Times New Roman" w:hAnsi="Times New Roman"/>
          <w:b/>
          <w:sz w:val="24"/>
          <w:szCs w:val="24"/>
        </w:rPr>
        <w:t>Minister for Finance</w:t>
      </w:r>
    </w:p>
    <w:p w14:paraId="7BBF0B4E" w14:textId="77777777" w:rsidR="00581E06" w:rsidRPr="00DC5E86" w:rsidRDefault="00581E06" w:rsidP="00EF5414">
      <w:pPr>
        <w:rPr>
          <w:rFonts w:ascii="Times New Roman" w:hAnsi="Times New Roman"/>
          <w:lang w:eastAsia="en-US"/>
        </w:rPr>
      </w:pPr>
    </w:p>
    <w:p w14:paraId="6B21B5C1" w14:textId="77777777" w:rsidR="002F4AEB" w:rsidRPr="00DC5E86" w:rsidRDefault="002F4AEB" w:rsidP="00EF5414">
      <w:pPr>
        <w:rPr>
          <w:rFonts w:ascii="Times New Roman" w:hAnsi="Times New Roman"/>
          <w:i/>
          <w:sz w:val="24"/>
          <w:szCs w:val="24"/>
          <w:u w:val="single"/>
        </w:rPr>
      </w:pPr>
    </w:p>
    <w:p w14:paraId="0746A839" w14:textId="77777777" w:rsidR="002F4AEB" w:rsidRPr="00DC5E86" w:rsidRDefault="002F4AEB" w:rsidP="00EF5414">
      <w:pPr>
        <w:rPr>
          <w:rFonts w:ascii="Times New Roman" w:hAnsi="Times New Roman"/>
          <w:i/>
          <w:sz w:val="24"/>
          <w:szCs w:val="24"/>
          <w:u w:val="single"/>
        </w:rPr>
      </w:pPr>
    </w:p>
    <w:p w14:paraId="3CB056F8" w14:textId="77777777" w:rsidR="002F4AEB" w:rsidRPr="00DC5E86" w:rsidRDefault="002F4AEB" w:rsidP="00EF5414">
      <w:pPr>
        <w:rPr>
          <w:rFonts w:ascii="Times New Roman" w:hAnsi="Times New Roman"/>
          <w:i/>
          <w:sz w:val="24"/>
          <w:szCs w:val="24"/>
          <w:u w:val="single"/>
        </w:rPr>
      </w:pPr>
    </w:p>
    <w:p w14:paraId="54052DC7" w14:textId="77777777" w:rsidR="002F4AEB" w:rsidRPr="00DC5E86" w:rsidRDefault="002F4AEB" w:rsidP="00EF5414">
      <w:pPr>
        <w:rPr>
          <w:rFonts w:ascii="Times New Roman" w:hAnsi="Times New Roman"/>
          <w:i/>
          <w:sz w:val="24"/>
          <w:szCs w:val="24"/>
          <w:u w:val="single"/>
        </w:rPr>
      </w:pPr>
    </w:p>
    <w:p w14:paraId="65BA0248" w14:textId="77777777" w:rsidR="002F4AEB" w:rsidRPr="00DC5E86" w:rsidRDefault="002F4AEB" w:rsidP="00EF5414">
      <w:pPr>
        <w:rPr>
          <w:rFonts w:ascii="Times New Roman" w:hAnsi="Times New Roman"/>
          <w:i/>
          <w:sz w:val="24"/>
          <w:szCs w:val="24"/>
          <w:u w:val="single"/>
        </w:rPr>
      </w:pPr>
    </w:p>
    <w:p w14:paraId="2BF67FF0" w14:textId="77777777" w:rsidR="002F4AEB" w:rsidRPr="00DC5E86" w:rsidRDefault="002F4AEB" w:rsidP="00EF5414">
      <w:pPr>
        <w:rPr>
          <w:rFonts w:ascii="Times New Roman" w:hAnsi="Times New Roman"/>
          <w:i/>
          <w:sz w:val="24"/>
          <w:szCs w:val="24"/>
          <w:u w:val="single"/>
        </w:rPr>
      </w:pPr>
    </w:p>
    <w:sectPr w:rsidR="002F4AEB" w:rsidRPr="00DC5E86"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18CB" w16cid:durableId="232FF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6844" w14:textId="77777777" w:rsidR="007048FD" w:rsidRDefault="007048FD" w:rsidP="00A739E5">
      <w:r>
        <w:separator/>
      </w:r>
    </w:p>
  </w:endnote>
  <w:endnote w:type="continuationSeparator" w:id="0">
    <w:p w14:paraId="559B3DF7" w14:textId="77777777" w:rsidR="007048FD" w:rsidRDefault="007048FD" w:rsidP="00A739E5">
      <w:r>
        <w:continuationSeparator/>
      </w:r>
    </w:p>
  </w:endnote>
  <w:endnote w:type="continuationNotice" w:id="1">
    <w:p w14:paraId="3AE56A99" w14:textId="77777777" w:rsidR="007048FD" w:rsidRDefault="00704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BF1D" w14:textId="77777777" w:rsidR="007048FD" w:rsidRDefault="007048FD" w:rsidP="00A739E5">
      <w:r>
        <w:separator/>
      </w:r>
    </w:p>
  </w:footnote>
  <w:footnote w:type="continuationSeparator" w:id="0">
    <w:p w14:paraId="66BDB5E0" w14:textId="77777777" w:rsidR="007048FD" w:rsidRDefault="007048FD" w:rsidP="00A739E5">
      <w:r>
        <w:continuationSeparator/>
      </w:r>
    </w:p>
  </w:footnote>
  <w:footnote w:type="continuationNotice" w:id="1">
    <w:p w14:paraId="2841D3C9" w14:textId="77777777" w:rsidR="007048FD" w:rsidRDefault="007048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FF1F" w14:textId="7E513868" w:rsidR="007048FD" w:rsidRDefault="009D6AD3">
    <w:pPr>
      <w:pStyle w:val="Header"/>
      <w:jc w:val="center"/>
    </w:pPr>
    <w:sdt>
      <w:sdtPr>
        <w:id w:val="8403760"/>
        <w:docPartObj>
          <w:docPartGallery w:val="Page Numbers (Top of Page)"/>
          <w:docPartUnique/>
        </w:docPartObj>
      </w:sdtPr>
      <w:sdtEndPr/>
      <w:sdtContent>
        <w:r w:rsidR="007048FD">
          <w:fldChar w:fldCharType="begin"/>
        </w:r>
        <w:r w:rsidR="007048FD">
          <w:instrText xml:space="preserve"> PAGE   \* MERGEFORMAT </w:instrText>
        </w:r>
        <w:r w:rsidR="007048FD">
          <w:fldChar w:fldCharType="separate"/>
        </w:r>
        <w:r>
          <w:rPr>
            <w:noProof/>
          </w:rPr>
          <w:t>2</w:t>
        </w:r>
        <w:r w:rsidR="007048FD">
          <w:rPr>
            <w:noProof/>
          </w:rPr>
          <w:fldChar w:fldCharType="end"/>
        </w:r>
      </w:sdtContent>
    </w:sdt>
  </w:p>
  <w:p w14:paraId="346345FE" w14:textId="77777777" w:rsidR="007048FD" w:rsidRDefault="0070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66A7" w14:textId="77777777" w:rsidR="007048FD" w:rsidRPr="00CA76CF" w:rsidRDefault="007048FD" w:rsidP="004D676F">
    <w:pPr>
      <w:pStyle w:val="Header"/>
      <w:jc w:val="right"/>
      <w:rPr>
        <w:b/>
        <w:u w:val="single"/>
      </w:rPr>
    </w:pPr>
  </w:p>
  <w:p w14:paraId="2A861B04" w14:textId="77777777" w:rsidR="007048FD" w:rsidRDefault="007048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5DDE" w14:textId="77777777" w:rsidR="007048FD" w:rsidRDefault="00704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5E4A" w14:textId="51A411AE" w:rsidR="007048FD" w:rsidRDefault="009D6AD3">
    <w:pPr>
      <w:pStyle w:val="Header"/>
      <w:jc w:val="center"/>
    </w:pPr>
    <w:sdt>
      <w:sdtPr>
        <w:id w:val="8403761"/>
        <w:docPartObj>
          <w:docPartGallery w:val="Page Numbers (Top of Page)"/>
          <w:docPartUnique/>
        </w:docPartObj>
      </w:sdtPr>
      <w:sdtEndPr/>
      <w:sdtContent>
        <w:r w:rsidR="007048FD">
          <w:fldChar w:fldCharType="begin"/>
        </w:r>
        <w:r w:rsidR="007048FD">
          <w:instrText xml:space="preserve"> PAGE   \* MERGEFORMAT </w:instrText>
        </w:r>
        <w:r w:rsidR="007048FD">
          <w:fldChar w:fldCharType="separate"/>
        </w:r>
        <w:r>
          <w:rPr>
            <w:noProof/>
          </w:rPr>
          <w:t>6</w:t>
        </w:r>
        <w:r w:rsidR="007048FD">
          <w:rPr>
            <w:noProof/>
          </w:rPr>
          <w:fldChar w:fldCharType="end"/>
        </w:r>
      </w:sdtContent>
    </w:sdt>
  </w:p>
  <w:p w14:paraId="38C83106" w14:textId="77777777" w:rsidR="007048FD" w:rsidRDefault="007048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28C0" w14:textId="77777777" w:rsidR="007048FD" w:rsidRPr="00CA76CF" w:rsidRDefault="007048FD" w:rsidP="004D676F">
    <w:pPr>
      <w:pStyle w:val="Header"/>
      <w:jc w:val="right"/>
      <w:rPr>
        <w:b/>
        <w:u w:val="single"/>
      </w:rPr>
    </w:pPr>
    <w:r w:rsidRPr="0088187F">
      <w:rPr>
        <w:b/>
        <w:u w:val="single"/>
      </w:rPr>
      <w:t>Attachment A</w:t>
    </w:r>
  </w:p>
  <w:p w14:paraId="2FF32C63" w14:textId="77777777" w:rsidR="007048FD" w:rsidRDefault="007048F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9670" w14:textId="77777777" w:rsidR="007048FD" w:rsidRDefault="007048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3998" w14:textId="4450CF3B" w:rsidR="007048FD" w:rsidRDefault="009D6AD3">
    <w:pPr>
      <w:pStyle w:val="Header"/>
      <w:jc w:val="center"/>
    </w:pPr>
    <w:sdt>
      <w:sdtPr>
        <w:id w:val="8403763"/>
        <w:docPartObj>
          <w:docPartGallery w:val="Page Numbers (Top of Page)"/>
          <w:docPartUnique/>
        </w:docPartObj>
      </w:sdtPr>
      <w:sdtEndPr/>
      <w:sdtContent>
        <w:r w:rsidR="007048FD">
          <w:fldChar w:fldCharType="begin"/>
        </w:r>
        <w:r w:rsidR="007048FD">
          <w:instrText xml:space="preserve"> PAGE   \* MERGEFORMAT </w:instrText>
        </w:r>
        <w:r w:rsidR="007048FD">
          <w:fldChar w:fldCharType="separate"/>
        </w:r>
        <w:r>
          <w:rPr>
            <w:noProof/>
          </w:rPr>
          <w:t>5</w:t>
        </w:r>
        <w:r w:rsidR="007048FD">
          <w:rPr>
            <w:noProof/>
          </w:rPr>
          <w:fldChar w:fldCharType="end"/>
        </w:r>
      </w:sdtContent>
    </w:sdt>
  </w:p>
  <w:p w14:paraId="2BBD39D0" w14:textId="77777777" w:rsidR="007048FD" w:rsidRDefault="007048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40E0" w14:textId="77777777" w:rsidR="007048FD" w:rsidRPr="00CA76CF" w:rsidRDefault="007048FD" w:rsidP="004D676F">
    <w:pPr>
      <w:pStyle w:val="Header"/>
      <w:jc w:val="right"/>
      <w:rPr>
        <w:b/>
        <w:u w:val="single"/>
      </w:rPr>
    </w:pPr>
    <w:r w:rsidRPr="0088187F">
      <w:rPr>
        <w:b/>
        <w:u w:val="single"/>
      </w:rPr>
      <w:t xml:space="preserve">Attachment </w:t>
    </w:r>
    <w:r>
      <w:rPr>
        <w:b/>
        <w:u w:val="single"/>
      </w:rPr>
      <w:t>B</w:t>
    </w:r>
  </w:p>
  <w:p w14:paraId="63168573" w14:textId="77777777" w:rsidR="007048FD" w:rsidRDefault="007048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9B5"/>
    <w:multiLevelType w:val="hybridMultilevel"/>
    <w:tmpl w:val="0A4C47DC"/>
    <w:lvl w:ilvl="0" w:tplc="1F08B708">
      <w:start w:val="4"/>
      <w:numFmt w:val="bullet"/>
      <w:lvlText w:val=""/>
      <w:lvlJc w:val="left"/>
      <w:pPr>
        <w:ind w:left="833" w:hanging="360"/>
      </w:pPr>
      <w:rPr>
        <w:rFonts w:ascii="Symbol" w:eastAsiaTheme="minorHAnsi" w:hAnsi="Symbol" w:cstheme="minorHAns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C2E7240"/>
    <w:multiLevelType w:val="hybridMultilevel"/>
    <w:tmpl w:val="BCC217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150C2800"/>
    <w:multiLevelType w:val="hybridMultilevel"/>
    <w:tmpl w:val="5EB4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31B51C4F"/>
    <w:multiLevelType w:val="hybridMultilevel"/>
    <w:tmpl w:val="84541E9A"/>
    <w:lvl w:ilvl="0" w:tplc="1F08B708">
      <w:start w:val="4"/>
      <w:numFmt w:val="bullet"/>
      <w:lvlText w:val=""/>
      <w:lvlJc w:val="left"/>
      <w:pPr>
        <w:ind w:left="833" w:hanging="360"/>
      </w:pPr>
      <w:rPr>
        <w:rFonts w:ascii="Symbol" w:eastAsiaTheme="minorHAnsi" w:hAnsi="Symbol" w:cstheme="minorHAns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6A7624A"/>
    <w:multiLevelType w:val="hybridMultilevel"/>
    <w:tmpl w:val="2C24C748"/>
    <w:lvl w:ilvl="0" w:tplc="99EEBED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92165"/>
    <w:multiLevelType w:val="hybridMultilevel"/>
    <w:tmpl w:val="9146A760"/>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A0ACE"/>
    <w:multiLevelType w:val="hybridMultilevel"/>
    <w:tmpl w:val="5780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F3413D"/>
    <w:multiLevelType w:val="hybridMultilevel"/>
    <w:tmpl w:val="1334051C"/>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0B05CB"/>
    <w:multiLevelType w:val="hybridMultilevel"/>
    <w:tmpl w:val="AEB4A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641E2AF6"/>
    <w:multiLevelType w:val="hybridMultilevel"/>
    <w:tmpl w:val="D4F09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1"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3" w15:restartNumberingAfterBreak="0">
    <w:nsid w:val="7DFA43D5"/>
    <w:multiLevelType w:val="hybridMultilevel"/>
    <w:tmpl w:val="0C50D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5"/>
  </w:num>
  <w:num w:numId="2">
    <w:abstractNumId w:val="18"/>
  </w:num>
  <w:num w:numId="3">
    <w:abstractNumId w:val="8"/>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7"/>
  </w:num>
  <w:num w:numId="10">
    <w:abstractNumId w:val="6"/>
  </w:num>
  <w:num w:numId="11">
    <w:abstractNumId w:val="4"/>
  </w:num>
  <w:num w:numId="12">
    <w:abstractNumId w:val="12"/>
  </w:num>
  <w:num w:numId="13">
    <w:abstractNumId w:val="21"/>
  </w:num>
  <w:num w:numId="14">
    <w:abstractNumId w:val="11"/>
  </w:num>
  <w:num w:numId="15">
    <w:abstractNumId w:val="13"/>
  </w:num>
  <w:num w:numId="16">
    <w:abstractNumId w:val="1"/>
  </w:num>
  <w:num w:numId="17">
    <w:abstractNumId w:val="10"/>
  </w:num>
  <w:num w:numId="18">
    <w:abstractNumId w:val="0"/>
  </w:num>
  <w:num w:numId="19">
    <w:abstractNumId w:val="16"/>
  </w:num>
  <w:num w:numId="20">
    <w:abstractNumId w:val="17"/>
  </w:num>
  <w:num w:numId="21">
    <w:abstractNumId w:val="13"/>
  </w:num>
  <w:num w:numId="22">
    <w:abstractNumId w:val="3"/>
  </w:num>
  <w:num w:numId="23">
    <w:abstractNumId w:val="23"/>
  </w:num>
  <w:num w:numId="24">
    <w:abstractNumId w:val="14"/>
  </w:num>
  <w:num w:numId="2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0C5"/>
    <w:rsid w:val="0000138A"/>
    <w:rsid w:val="00002B20"/>
    <w:rsid w:val="0000354E"/>
    <w:rsid w:val="000039E8"/>
    <w:rsid w:val="0000562B"/>
    <w:rsid w:val="00005E8F"/>
    <w:rsid w:val="00006070"/>
    <w:rsid w:val="00006B56"/>
    <w:rsid w:val="000070E7"/>
    <w:rsid w:val="00007DF9"/>
    <w:rsid w:val="00010243"/>
    <w:rsid w:val="000114A6"/>
    <w:rsid w:val="000115EE"/>
    <w:rsid w:val="000118BB"/>
    <w:rsid w:val="00011DF6"/>
    <w:rsid w:val="00012C74"/>
    <w:rsid w:val="00012CB9"/>
    <w:rsid w:val="00012D44"/>
    <w:rsid w:val="00014FFC"/>
    <w:rsid w:val="00015510"/>
    <w:rsid w:val="00016219"/>
    <w:rsid w:val="00016690"/>
    <w:rsid w:val="00017136"/>
    <w:rsid w:val="000173B6"/>
    <w:rsid w:val="00017611"/>
    <w:rsid w:val="00017E5D"/>
    <w:rsid w:val="00017F96"/>
    <w:rsid w:val="000209F7"/>
    <w:rsid w:val="00020AFB"/>
    <w:rsid w:val="00020BD0"/>
    <w:rsid w:val="000217C4"/>
    <w:rsid w:val="000223BC"/>
    <w:rsid w:val="000226E5"/>
    <w:rsid w:val="000236C9"/>
    <w:rsid w:val="000241F5"/>
    <w:rsid w:val="00024813"/>
    <w:rsid w:val="00024D0A"/>
    <w:rsid w:val="00025954"/>
    <w:rsid w:val="00025D05"/>
    <w:rsid w:val="00026219"/>
    <w:rsid w:val="000268D5"/>
    <w:rsid w:val="00026F4B"/>
    <w:rsid w:val="00027364"/>
    <w:rsid w:val="000274FF"/>
    <w:rsid w:val="00027A9C"/>
    <w:rsid w:val="00030505"/>
    <w:rsid w:val="000305FA"/>
    <w:rsid w:val="0003061C"/>
    <w:rsid w:val="00030B5E"/>
    <w:rsid w:val="00031029"/>
    <w:rsid w:val="00031D99"/>
    <w:rsid w:val="000322AC"/>
    <w:rsid w:val="000323DA"/>
    <w:rsid w:val="00032B9B"/>
    <w:rsid w:val="00032EE7"/>
    <w:rsid w:val="0003356E"/>
    <w:rsid w:val="00033CD0"/>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1B4"/>
    <w:rsid w:val="0004539E"/>
    <w:rsid w:val="00045614"/>
    <w:rsid w:val="00045A9C"/>
    <w:rsid w:val="00046E11"/>
    <w:rsid w:val="000502DB"/>
    <w:rsid w:val="00050309"/>
    <w:rsid w:val="00050443"/>
    <w:rsid w:val="00050BDF"/>
    <w:rsid w:val="00050FD6"/>
    <w:rsid w:val="00052381"/>
    <w:rsid w:val="00052A24"/>
    <w:rsid w:val="00052A3D"/>
    <w:rsid w:val="00053020"/>
    <w:rsid w:val="00053970"/>
    <w:rsid w:val="000540D6"/>
    <w:rsid w:val="00054335"/>
    <w:rsid w:val="000548E4"/>
    <w:rsid w:val="000549D1"/>
    <w:rsid w:val="00055BA8"/>
    <w:rsid w:val="00055BC4"/>
    <w:rsid w:val="00055F73"/>
    <w:rsid w:val="0005650D"/>
    <w:rsid w:val="00056EB6"/>
    <w:rsid w:val="00057008"/>
    <w:rsid w:val="00060D28"/>
    <w:rsid w:val="00060E93"/>
    <w:rsid w:val="00061187"/>
    <w:rsid w:val="00061729"/>
    <w:rsid w:val="00061DCB"/>
    <w:rsid w:val="00061E47"/>
    <w:rsid w:val="000621F9"/>
    <w:rsid w:val="00062673"/>
    <w:rsid w:val="000626E9"/>
    <w:rsid w:val="00062D90"/>
    <w:rsid w:val="00062DC0"/>
    <w:rsid w:val="0006315A"/>
    <w:rsid w:val="00064622"/>
    <w:rsid w:val="000649F2"/>
    <w:rsid w:val="00064EEB"/>
    <w:rsid w:val="0006530B"/>
    <w:rsid w:val="00065DA4"/>
    <w:rsid w:val="00066049"/>
    <w:rsid w:val="00067AA7"/>
    <w:rsid w:val="00067DC2"/>
    <w:rsid w:val="00070FB9"/>
    <w:rsid w:val="00070FD3"/>
    <w:rsid w:val="0007110A"/>
    <w:rsid w:val="0007164D"/>
    <w:rsid w:val="0007184E"/>
    <w:rsid w:val="000723CA"/>
    <w:rsid w:val="00072616"/>
    <w:rsid w:val="000727AB"/>
    <w:rsid w:val="00072B13"/>
    <w:rsid w:val="00072FB1"/>
    <w:rsid w:val="0007310C"/>
    <w:rsid w:val="0007329E"/>
    <w:rsid w:val="00074977"/>
    <w:rsid w:val="00075BE7"/>
    <w:rsid w:val="00075D55"/>
    <w:rsid w:val="00076717"/>
    <w:rsid w:val="00077283"/>
    <w:rsid w:val="00077F72"/>
    <w:rsid w:val="00080C63"/>
    <w:rsid w:val="00082051"/>
    <w:rsid w:val="0008222F"/>
    <w:rsid w:val="00082367"/>
    <w:rsid w:val="0008291F"/>
    <w:rsid w:val="00082A3E"/>
    <w:rsid w:val="00082DAC"/>
    <w:rsid w:val="0008306F"/>
    <w:rsid w:val="000831E9"/>
    <w:rsid w:val="00083596"/>
    <w:rsid w:val="000836F6"/>
    <w:rsid w:val="000849BF"/>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787"/>
    <w:rsid w:val="00095F54"/>
    <w:rsid w:val="0009611E"/>
    <w:rsid w:val="000962A2"/>
    <w:rsid w:val="000964A6"/>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498"/>
    <w:rsid w:val="000A661F"/>
    <w:rsid w:val="000A7502"/>
    <w:rsid w:val="000A786A"/>
    <w:rsid w:val="000A7D59"/>
    <w:rsid w:val="000B06E3"/>
    <w:rsid w:val="000B0FE0"/>
    <w:rsid w:val="000B100B"/>
    <w:rsid w:val="000B167E"/>
    <w:rsid w:val="000B19A3"/>
    <w:rsid w:val="000B1D30"/>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67E"/>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0A2"/>
    <w:rsid w:val="000D11F7"/>
    <w:rsid w:val="000D1B54"/>
    <w:rsid w:val="000D2900"/>
    <w:rsid w:val="000D293C"/>
    <w:rsid w:val="000D2DEF"/>
    <w:rsid w:val="000D35B5"/>
    <w:rsid w:val="000D3732"/>
    <w:rsid w:val="000D3914"/>
    <w:rsid w:val="000D4820"/>
    <w:rsid w:val="000D5752"/>
    <w:rsid w:val="000D57C1"/>
    <w:rsid w:val="000D5E62"/>
    <w:rsid w:val="000D634F"/>
    <w:rsid w:val="000D640B"/>
    <w:rsid w:val="000D6597"/>
    <w:rsid w:val="000D6730"/>
    <w:rsid w:val="000E148C"/>
    <w:rsid w:val="000E1E87"/>
    <w:rsid w:val="000E22D2"/>
    <w:rsid w:val="000E235A"/>
    <w:rsid w:val="000E2880"/>
    <w:rsid w:val="000E2AE8"/>
    <w:rsid w:val="000E2E06"/>
    <w:rsid w:val="000E3253"/>
    <w:rsid w:val="000E3565"/>
    <w:rsid w:val="000E3FAB"/>
    <w:rsid w:val="000E42C5"/>
    <w:rsid w:val="000E4C6B"/>
    <w:rsid w:val="000E4D3A"/>
    <w:rsid w:val="000E4D7F"/>
    <w:rsid w:val="000E5AB2"/>
    <w:rsid w:val="000E5B95"/>
    <w:rsid w:val="000E6E6B"/>
    <w:rsid w:val="000E7EA8"/>
    <w:rsid w:val="000F1065"/>
    <w:rsid w:val="000F1448"/>
    <w:rsid w:val="000F1863"/>
    <w:rsid w:val="000F1883"/>
    <w:rsid w:val="000F23AE"/>
    <w:rsid w:val="000F2CB7"/>
    <w:rsid w:val="000F37EC"/>
    <w:rsid w:val="000F3A35"/>
    <w:rsid w:val="000F3EA7"/>
    <w:rsid w:val="000F3FA4"/>
    <w:rsid w:val="000F42A0"/>
    <w:rsid w:val="000F491B"/>
    <w:rsid w:val="000F52A2"/>
    <w:rsid w:val="000F7C1F"/>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408"/>
    <w:rsid w:val="001168C2"/>
    <w:rsid w:val="00116F2C"/>
    <w:rsid w:val="001173BD"/>
    <w:rsid w:val="001211B9"/>
    <w:rsid w:val="00121FD3"/>
    <w:rsid w:val="001221AC"/>
    <w:rsid w:val="00122856"/>
    <w:rsid w:val="00122A23"/>
    <w:rsid w:val="00123073"/>
    <w:rsid w:val="00123D6F"/>
    <w:rsid w:val="00124D06"/>
    <w:rsid w:val="00125FF4"/>
    <w:rsid w:val="00130C06"/>
    <w:rsid w:val="001311B9"/>
    <w:rsid w:val="0013120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6C6"/>
    <w:rsid w:val="00135D7E"/>
    <w:rsid w:val="001367DE"/>
    <w:rsid w:val="00136BFC"/>
    <w:rsid w:val="00136CF7"/>
    <w:rsid w:val="00137395"/>
    <w:rsid w:val="001400F7"/>
    <w:rsid w:val="00141BE3"/>
    <w:rsid w:val="00141FE8"/>
    <w:rsid w:val="0014294F"/>
    <w:rsid w:val="00143064"/>
    <w:rsid w:val="00144523"/>
    <w:rsid w:val="00144863"/>
    <w:rsid w:val="00145416"/>
    <w:rsid w:val="00145522"/>
    <w:rsid w:val="00145E67"/>
    <w:rsid w:val="00146362"/>
    <w:rsid w:val="00146A4F"/>
    <w:rsid w:val="00147325"/>
    <w:rsid w:val="00147703"/>
    <w:rsid w:val="0014791A"/>
    <w:rsid w:val="001479A2"/>
    <w:rsid w:val="00151C3A"/>
    <w:rsid w:val="00152C36"/>
    <w:rsid w:val="001545DB"/>
    <w:rsid w:val="00154A87"/>
    <w:rsid w:val="00155946"/>
    <w:rsid w:val="00155C82"/>
    <w:rsid w:val="00155D89"/>
    <w:rsid w:val="00156676"/>
    <w:rsid w:val="00157054"/>
    <w:rsid w:val="00157078"/>
    <w:rsid w:val="00157320"/>
    <w:rsid w:val="0016015E"/>
    <w:rsid w:val="00160CFA"/>
    <w:rsid w:val="00161A77"/>
    <w:rsid w:val="00162539"/>
    <w:rsid w:val="00162B59"/>
    <w:rsid w:val="00163A4A"/>
    <w:rsid w:val="0016466E"/>
    <w:rsid w:val="00166488"/>
    <w:rsid w:val="00166E6A"/>
    <w:rsid w:val="00166E74"/>
    <w:rsid w:val="001673C8"/>
    <w:rsid w:val="001677B9"/>
    <w:rsid w:val="00167DE0"/>
    <w:rsid w:val="0017031A"/>
    <w:rsid w:val="00171EF0"/>
    <w:rsid w:val="00172470"/>
    <w:rsid w:val="001724DF"/>
    <w:rsid w:val="00172950"/>
    <w:rsid w:val="00172ACE"/>
    <w:rsid w:val="00173350"/>
    <w:rsid w:val="001741D9"/>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A79"/>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57D3"/>
    <w:rsid w:val="00195B83"/>
    <w:rsid w:val="00196B57"/>
    <w:rsid w:val="0019702E"/>
    <w:rsid w:val="001A11F0"/>
    <w:rsid w:val="001A12D0"/>
    <w:rsid w:val="001A135A"/>
    <w:rsid w:val="001A14A8"/>
    <w:rsid w:val="001A1ABB"/>
    <w:rsid w:val="001A1D55"/>
    <w:rsid w:val="001A1D63"/>
    <w:rsid w:val="001A2E7A"/>
    <w:rsid w:val="001A2FB3"/>
    <w:rsid w:val="001A3199"/>
    <w:rsid w:val="001A3271"/>
    <w:rsid w:val="001A3CEF"/>
    <w:rsid w:val="001A4164"/>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79A"/>
    <w:rsid w:val="001B2C4F"/>
    <w:rsid w:val="001B36A9"/>
    <w:rsid w:val="001B4646"/>
    <w:rsid w:val="001B473A"/>
    <w:rsid w:val="001B4B2C"/>
    <w:rsid w:val="001B4B84"/>
    <w:rsid w:val="001B5199"/>
    <w:rsid w:val="001B52F2"/>
    <w:rsid w:val="001B5AF4"/>
    <w:rsid w:val="001B5B8E"/>
    <w:rsid w:val="001B6F87"/>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27F4"/>
    <w:rsid w:val="001D3224"/>
    <w:rsid w:val="001D362C"/>
    <w:rsid w:val="001D419F"/>
    <w:rsid w:val="001D48F5"/>
    <w:rsid w:val="001D4D1B"/>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6A1"/>
    <w:rsid w:val="001E272A"/>
    <w:rsid w:val="001E2DFA"/>
    <w:rsid w:val="001E2E0E"/>
    <w:rsid w:val="001E34DB"/>
    <w:rsid w:val="001E3D9D"/>
    <w:rsid w:val="001E449F"/>
    <w:rsid w:val="001E4513"/>
    <w:rsid w:val="001E4B32"/>
    <w:rsid w:val="001E4FE7"/>
    <w:rsid w:val="001E500D"/>
    <w:rsid w:val="001E604E"/>
    <w:rsid w:val="001E631F"/>
    <w:rsid w:val="001E7505"/>
    <w:rsid w:val="001E78EC"/>
    <w:rsid w:val="001F02A3"/>
    <w:rsid w:val="001F0675"/>
    <w:rsid w:val="001F0897"/>
    <w:rsid w:val="001F14AF"/>
    <w:rsid w:val="001F1595"/>
    <w:rsid w:val="001F2F4D"/>
    <w:rsid w:val="001F31CE"/>
    <w:rsid w:val="001F3F32"/>
    <w:rsid w:val="001F5641"/>
    <w:rsid w:val="001F5C91"/>
    <w:rsid w:val="001F6715"/>
    <w:rsid w:val="001F6815"/>
    <w:rsid w:val="001F6B1A"/>
    <w:rsid w:val="001F6D90"/>
    <w:rsid w:val="001F72DF"/>
    <w:rsid w:val="002015E5"/>
    <w:rsid w:val="002021CE"/>
    <w:rsid w:val="00202352"/>
    <w:rsid w:val="0020244E"/>
    <w:rsid w:val="00202D71"/>
    <w:rsid w:val="00203112"/>
    <w:rsid w:val="002034DF"/>
    <w:rsid w:val="002038E5"/>
    <w:rsid w:val="00203D4C"/>
    <w:rsid w:val="0020546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229"/>
    <w:rsid w:val="00217B96"/>
    <w:rsid w:val="00217F16"/>
    <w:rsid w:val="00220597"/>
    <w:rsid w:val="00221032"/>
    <w:rsid w:val="00221768"/>
    <w:rsid w:val="002220E6"/>
    <w:rsid w:val="002225FB"/>
    <w:rsid w:val="002255DE"/>
    <w:rsid w:val="00225C4C"/>
    <w:rsid w:val="00227FDC"/>
    <w:rsid w:val="0023002A"/>
    <w:rsid w:val="002307E1"/>
    <w:rsid w:val="002317C4"/>
    <w:rsid w:val="00232638"/>
    <w:rsid w:val="00233F03"/>
    <w:rsid w:val="00234301"/>
    <w:rsid w:val="002346F4"/>
    <w:rsid w:val="002360E8"/>
    <w:rsid w:val="00236134"/>
    <w:rsid w:val="0023698E"/>
    <w:rsid w:val="002373FE"/>
    <w:rsid w:val="00237628"/>
    <w:rsid w:val="00237ACA"/>
    <w:rsid w:val="002405B7"/>
    <w:rsid w:val="002410E9"/>
    <w:rsid w:val="0024130E"/>
    <w:rsid w:val="00241A02"/>
    <w:rsid w:val="00241A61"/>
    <w:rsid w:val="0024227E"/>
    <w:rsid w:val="002427DC"/>
    <w:rsid w:val="00242CF5"/>
    <w:rsid w:val="00242DCE"/>
    <w:rsid w:val="002430BF"/>
    <w:rsid w:val="00243B3D"/>
    <w:rsid w:val="00243BC3"/>
    <w:rsid w:val="002442C0"/>
    <w:rsid w:val="00244D35"/>
    <w:rsid w:val="00245228"/>
    <w:rsid w:val="002453AB"/>
    <w:rsid w:val="002459FF"/>
    <w:rsid w:val="00247151"/>
    <w:rsid w:val="0024783E"/>
    <w:rsid w:val="002510C4"/>
    <w:rsid w:val="002514A4"/>
    <w:rsid w:val="0025195A"/>
    <w:rsid w:val="00252B0D"/>
    <w:rsid w:val="00252B4B"/>
    <w:rsid w:val="00252F4A"/>
    <w:rsid w:val="002539B4"/>
    <w:rsid w:val="00253B0E"/>
    <w:rsid w:val="00253B8C"/>
    <w:rsid w:val="00253D00"/>
    <w:rsid w:val="00254139"/>
    <w:rsid w:val="00254250"/>
    <w:rsid w:val="00254F43"/>
    <w:rsid w:val="0025530F"/>
    <w:rsid w:val="0025583D"/>
    <w:rsid w:val="002559BC"/>
    <w:rsid w:val="00256C00"/>
    <w:rsid w:val="002573BB"/>
    <w:rsid w:val="002575F9"/>
    <w:rsid w:val="00257D05"/>
    <w:rsid w:val="002610DA"/>
    <w:rsid w:val="00263054"/>
    <w:rsid w:val="002632A8"/>
    <w:rsid w:val="00263706"/>
    <w:rsid w:val="0026427D"/>
    <w:rsid w:val="00265A16"/>
    <w:rsid w:val="00265C8C"/>
    <w:rsid w:val="00265D94"/>
    <w:rsid w:val="0026624E"/>
    <w:rsid w:val="0026654E"/>
    <w:rsid w:val="00266F53"/>
    <w:rsid w:val="00266FCD"/>
    <w:rsid w:val="00267075"/>
    <w:rsid w:val="002673F1"/>
    <w:rsid w:val="00267A7C"/>
    <w:rsid w:val="00267F81"/>
    <w:rsid w:val="002707FB"/>
    <w:rsid w:val="00270D5B"/>
    <w:rsid w:val="00270DB3"/>
    <w:rsid w:val="00270F41"/>
    <w:rsid w:val="0027154E"/>
    <w:rsid w:val="00271F02"/>
    <w:rsid w:val="00272E52"/>
    <w:rsid w:val="00274345"/>
    <w:rsid w:val="00274435"/>
    <w:rsid w:val="00274BF1"/>
    <w:rsid w:val="00274D94"/>
    <w:rsid w:val="00275443"/>
    <w:rsid w:val="00275B02"/>
    <w:rsid w:val="00276C15"/>
    <w:rsid w:val="0027799D"/>
    <w:rsid w:val="002800CE"/>
    <w:rsid w:val="00281C57"/>
    <w:rsid w:val="00281EAE"/>
    <w:rsid w:val="00282756"/>
    <w:rsid w:val="00282802"/>
    <w:rsid w:val="00282AF7"/>
    <w:rsid w:val="00282E8D"/>
    <w:rsid w:val="00282FC3"/>
    <w:rsid w:val="002839F9"/>
    <w:rsid w:val="00284284"/>
    <w:rsid w:val="0028530A"/>
    <w:rsid w:val="0028700A"/>
    <w:rsid w:val="00287015"/>
    <w:rsid w:val="00291511"/>
    <w:rsid w:val="002915A2"/>
    <w:rsid w:val="00291DD6"/>
    <w:rsid w:val="00291FBF"/>
    <w:rsid w:val="00293442"/>
    <w:rsid w:val="002936F2"/>
    <w:rsid w:val="00293BBB"/>
    <w:rsid w:val="00293C06"/>
    <w:rsid w:val="00294B3F"/>
    <w:rsid w:val="00294F19"/>
    <w:rsid w:val="00294FBA"/>
    <w:rsid w:val="0029559A"/>
    <w:rsid w:val="002974F9"/>
    <w:rsid w:val="00297FF0"/>
    <w:rsid w:val="002A0F8F"/>
    <w:rsid w:val="002A176E"/>
    <w:rsid w:val="002A24D2"/>
    <w:rsid w:val="002A2651"/>
    <w:rsid w:val="002A2CB1"/>
    <w:rsid w:val="002A35ED"/>
    <w:rsid w:val="002A365B"/>
    <w:rsid w:val="002A3BC9"/>
    <w:rsid w:val="002A3E69"/>
    <w:rsid w:val="002A5571"/>
    <w:rsid w:val="002A7392"/>
    <w:rsid w:val="002A7EDE"/>
    <w:rsid w:val="002B005C"/>
    <w:rsid w:val="002B0922"/>
    <w:rsid w:val="002B0D32"/>
    <w:rsid w:val="002B11A6"/>
    <w:rsid w:val="002B1C45"/>
    <w:rsid w:val="002B1F96"/>
    <w:rsid w:val="002B1FF0"/>
    <w:rsid w:val="002B2301"/>
    <w:rsid w:val="002B264E"/>
    <w:rsid w:val="002B3900"/>
    <w:rsid w:val="002B43E7"/>
    <w:rsid w:val="002B4444"/>
    <w:rsid w:val="002B4900"/>
    <w:rsid w:val="002B4B18"/>
    <w:rsid w:val="002B4DD0"/>
    <w:rsid w:val="002B4F1E"/>
    <w:rsid w:val="002B531A"/>
    <w:rsid w:val="002B57F2"/>
    <w:rsid w:val="002B6BED"/>
    <w:rsid w:val="002B77B6"/>
    <w:rsid w:val="002B78E2"/>
    <w:rsid w:val="002C0748"/>
    <w:rsid w:val="002C1072"/>
    <w:rsid w:val="002C1B59"/>
    <w:rsid w:val="002C20B7"/>
    <w:rsid w:val="002C2383"/>
    <w:rsid w:val="002C2877"/>
    <w:rsid w:val="002C2AD3"/>
    <w:rsid w:val="002C3293"/>
    <w:rsid w:val="002C34DF"/>
    <w:rsid w:val="002C411F"/>
    <w:rsid w:val="002C4233"/>
    <w:rsid w:val="002C534F"/>
    <w:rsid w:val="002C56CD"/>
    <w:rsid w:val="002C5EC0"/>
    <w:rsid w:val="002C7B17"/>
    <w:rsid w:val="002D0977"/>
    <w:rsid w:val="002D130F"/>
    <w:rsid w:val="002D241B"/>
    <w:rsid w:val="002D313A"/>
    <w:rsid w:val="002D4100"/>
    <w:rsid w:val="002D45E6"/>
    <w:rsid w:val="002D506A"/>
    <w:rsid w:val="002D5218"/>
    <w:rsid w:val="002D5314"/>
    <w:rsid w:val="002D5F8B"/>
    <w:rsid w:val="002D6705"/>
    <w:rsid w:val="002D6EA1"/>
    <w:rsid w:val="002D76F1"/>
    <w:rsid w:val="002D7E6C"/>
    <w:rsid w:val="002E06CD"/>
    <w:rsid w:val="002E0919"/>
    <w:rsid w:val="002E1499"/>
    <w:rsid w:val="002E1A6F"/>
    <w:rsid w:val="002E26BB"/>
    <w:rsid w:val="002E28D2"/>
    <w:rsid w:val="002E48C1"/>
    <w:rsid w:val="002E4B31"/>
    <w:rsid w:val="002E4C10"/>
    <w:rsid w:val="002E4CAE"/>
    <w:rsid w:val="002E5681"/>
    <w:rsid w:val="002E56EA"/>
    <w:rsid w:val="002E5DBC"/>
    <w:rsid w:val="002E5DC9"/>
    <w:rsid w:val="002E6006"/>
    <w:rsid w:val="002E61B8"/>
    <w:rsid w:val="002E61C7"/>
    <w:rsid w:val="002E624A"/>
    <w:rsid w:val="002E725A"/>
    <w:rsid w:val="002E7359"/>
    <w:rsid w:val="002E7F60"/>
    <w:rsid w:val="002F0593"/>
    <w:rsid w:val="002F0877"/>
    <w:rsid w:val="002F0D29"/>
    <w:rsid w:val="002F0DB1"/>
    <w:rsid w:val="002F1722"/>
    <w:rsid w:val="002F1FB2"/>
    <w:rsid w:val="002F2A39"/>
    <w:rsid w:val="002F2D93"/>
    <w:rsid w:val="002F35FC"/>
    <w:rsid w:val="002F3C3D"/>
    <w:rsid w:val="002F3E1A"/>
    <w:rsid w:val="002F3F7A"/>
    <w:rsid w:val="002F45B2"/>
    <w:rsid w:val="002F4AEB"/>
    <w:rsid w:val="002F5B33"/>
    <w:rsid w:val="002F67C9"/>
    <w:rsid w:val="002F6EFE"/>
    <w:rsid w:val="002F74CD"/>
    <w:rsid w:val="0030006B"/>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62D"/>
    <w:rsid w:val="00307D96"/>
    <w:rsid w:val="0031066F"/>
    <w:rsid w:val="003112C1"/>
    <w:rsid w:val="003118C6"/>
    <w:rsid w:val="00311D09"/>
    <w:rsid w:val="00312786"/>
    <w:rsid w:val="0031438E"/>
    <w:rsid w:val="00314EDE"/>
    <w:rsid w:val="00315045"/>
    <w:rsid w:val="00315D4B"/>
    <w:rsid w:val="00315D87"/>
    <w:rsid w:val="00316F2F"/>
    <w:rsid w:val="003176C8"/>
    <w:rsid w:val="00317D90"/>
    <w:rsid w:val="00320255"/>
    <w:rsid w:val="00320B93"/>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6A6"/>
    <w:rsid w:val="003279E0"/>
    <w:rsid w:val="00327E9A"/>
    <w:rsid w:val="00330FB9"/>
    <w:rsid w:val="00331C96"/>
    <w:rsid w:val="00331DA7"/>
    <w:rsid w:val="00332724"/>
    <w:rsid w:val="00333731"/>
    <w:rsid w:val="0033409E"/>
    <w:rsid w:val="00334196"/>
    <w:rsid w:val="0033422E"/>
    <w:rsid w:val="00334C56"/>
    <w:rsid w:val="00334D0B"/>
    <w:rsid w:val="00335A0A"/>
    <w:rsid w:val="00335AFF"/>
    <w:rsid w:val="0033726B"/>
    <w:rsid w:val="00337A28"/>
    <w:rsid w:val="0034049B"/>
    <w:rsid w:val="0034133B"/>
    <w:rsid w:val="00341976"/>
    <w:rsid w:val="0034206A"/>
    <w:rsid w:val="003426AD"/>
    <w:rsid w:val="003426B7"/>
    <w:rsid w:val="00342CA2"/>
    <w:rsid w:val="00343548"/>
    <w:rsid w:val="0034493F"/>
    <w:rsid w:val="00345585"/>
    <w:rsid w:val="0034564C"/>
    <w:rsid w:val="00345A3F"/>
    <w:rsid w:val="00346189"/>
    <w:rsid w:val="00346199"/>
    <w:rsid w:val="003463FF"/>
    <w:rsid w:val="00347462"/>
    <w:rsid w:val="00347E7B"/>
    <w:rsid w:val="0035011E"/>
    <w:rsid w:val="0035026F"/>
    <w:rsid w:val="00350579"/>
    <w:rsid w:val="00350A2C"/>
    <w:rsid w:val="00350D94"/>
    <w:rsid w:val="00350DF7"/>
    <w:rsid w:val="003518AA"/>
    <w:rsid w:val="00352766"/>
    <w:rsid w:val="003527F6"/>
    <w:rsid w:val="00352EC3"/>
    <w:rsid w:val="00354382"/>
    <w:rsid w:val="00354A02"/>
    <w:rsid w:val="00354A16"/>
    <w:rsid w:val="00355C60"/>
    <w:rsid w:val="003570EA"/>
    <w:rsid w:val="00357662"/>
    <w:rsid w:val="00357DEF"/>
    <w:rsid w:val="003605AC"/>
    <w:rsid w:val="00360A88"/>
    <w:rsid w:val="00360F30"/>
    <w:rsid w:val="0036198B"/>
    <w:rsid w:val="00361EB4"/>
    <w:rsid w:val="003620B0"/>
    <w:rsid w:val="003625AD"/>
    <w:rsid w:val="00363243"/>
    <w:rsid w:val="003639EE"/>
    <w:rsid w:val="0036449D"/>
    <w:rsid w:val="003645D7"/>
    <w:rsid w:val="00364AD1"/>
    <w:rsid w:val="00364AE8"/>
    <w:rsid w:val="003661C2"/>
    <w:rsid w:val="003662F7"/>
    <w:rsid w:val="00366557"/>
    <w:rsid w:val="00366B0D"/>
    <w:rsid w:val="003670FC"/>
    <w:rsid w:val="003679D2"/>
    <w:rsid w:val="00367C0D"/>
    <w:rsid w:val="00367FBF"/>
    <w:rsid w:val="003700A6"/>
    <w:rsid w:val="003708B8"/>
    <w:rsid w:val="00370E65"/>
    <w:rsid w:val="003710CA"/>
    <w:rsid w:val="00371300"/>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0BC"/>
    <w:rsid w:val="003772E2"/>
    <w:rsid w:val="00380D28"/>
    <w:rsid w:val="00380E4B"/>
    <w:rsid w:val="003812EA"/>
    <w:rsid w:val="00381964"/>
    <w:rsid w:val="003819B4"/>
    <w:rsid w:val="00382EBD"/>
    <w:rsid w:val="00383793"/>
    <w:rsid w:val="00383CF4"/>
    <w:rsid w:val="00384079"/>
    <w:rsid w:val="0038414B"/>
    <w:rsid w:val="003847EC"/>
    <w:rsid w:val="003854FB"/>
    <w:rsid w:val="00385EF6"/>
    <w:rsid w:val="003864E9"/>
    <w:rsid w:val="00387141"/>
    <w:rsid w:val="003875A7"/>
    <w:rsid w:val="00387766"/>
    <w:rsid w:val="003879FC"/>
    <w:rsid w:val="00387CD3"/>
    <w:rsid w:val="00387EB5"/>
    <w:rsid w:val="00387F66"/>
    <w:rsid w:val="003900FF"/>
    <w:rsid w:val="003904C5"/>
    <w:rsid w:val="00390B32"/>
    <w:rsid w:val="00391270"/>
    <w:rsid w:val="0039159A"/>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1946"/>
    <w:rsid w:val="003A2247"/>
    <w:rsid w:val="003A2329"/>
    <w:rsid w:val="003A2761"/>
    <w:rsid w:val="003A279B"/>
    <w:rsid w:val="003A3516"/>
    <w:rsid w:val="003A36F3"/>
    <w:rsid w:val="003A4805"/>
    <w:rsid w:val="003A4C51"/>
    <w:rsid w:val="003A5413"/>
    <w:rsid w:val="003A578D"/>
    <w:rsid w:val="003A5A2D"/>
    <w:rsid w:val="003A61F1"/>
    <w:rsid w:val="003A73DE"/>
    <w:rsid w:val="003A73FB"/>
    <w:rsid w:val="003A760B"/>
    <w:rsid w:val="003A7EF1"/>
    <w:rsid w:val="003B0522"/>
    <w:rsid w:val="003B1DD2"/>
    <w:rsid w:val="003B251D"/>
    <w:rsid w:val="003B28D2"/>
    <w:rsid w:val="003B28DF"/>
    <w:rsid w:val="003B2D12"/>
    <w:rsid w:val="003B33F4"/>
    <w:rsid w:val="003B3AB6"/>
    <w:rsid w:val="003B3DFB"/>
    <w:rsid w:val="003B40F9"/>
    <w:rsid w:val="003B558E"/>
    <w:rsid w:val="003B66DE"/>
    <w:rsid w:val="003B670B"/>
    <w:rsid w:val="003B6D7E"/>
    <w:rsid w:val="003B6E5D"/>
    <w:rsid w:val="003B780E"/>
    <w:rsid w:val="003B7A7E"/>
    <w:rsid w:val="003B7F76"/>
    <w:rsid w:val="003C05C5"/>
    <w:rsid w:val="003C06C4"/>
    <w:rsid w:val="003C1231"/>
    <w:rsid w:val="003C1913"/>
    <w:rsid w:val="003C1F37"/>
    <w:rsid w:val="003C2514"/>
    <w:rsid w:val="003C26D0"/>
    <w:rsid w:val="003C3251"/>
    <w:rsid w:val="003C474E"/>
    <w:rsid w:val="003C4DF6"/>
    <w:rsid w:val="003C4FD3"/>
    <w:rsid w:val="003C5618"/>
    <w:rsid w:val="003C5E15"/>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8D2"/>
    <w:rsid w:val="003D597E"/>
    <w:rsid w:val="003D6EA6"/>
    <w:rsid w:val="003D6F9E"/>
    <w:rsid w:val="003D7B87"/>
    <w:rsid w:val="003E0291"/>
    <w:rsid w:val="003E07D6"/>
    <w:rsid w:val="003E0BA0"/>
    <w:rsid w:val="003E0C9C"/>
    <w:rsid w:val="003E0ECF"/>
    <w:rsid w:val="003E1B34"/>
    <w:rsid w:val="003E1CF8"/>
    <w:rsid w:val="003E2003"/>
    <w:rsid w:val="003E23A6"/>
    <w:rsid w:val="003E253F"/>
    <w:rsid w:val="003E331E"/>
    <w:rsid w:val="003E371F"/>
    <w:rsid w:val="003E42FA"/>
    <w:rsid w:val="003E4BB5"/>
    <w:rsid w:val="003E4EAB"/>
    <w:rsid w:val="003E4FAE"/>
    <w:rsid w:val="003E5BCD"/>
    <w:rsid w:val="003E6A13"/>
    <w:rsid w:val="003E6C4C"/>
    <w:rsid w:val="003E78E4"/>
    <w:rsid w:val="003E7942"/>
    <w:rsid w:val="003E7B14"/>
    <w:rsid w:val="003E7BB4"/>
    <w:rsid w:val="003E7C11"/>
    <w:rsid w:val="003F0270"/>
    <w:rsid w:val="003F04BA"/>
    <w:rsid w:val="003F0ECD"/>
    <w:rsid w:val="003F18BE"/>
    <w:rsid w:val="003F1E18"/>
    <w:rsid w:val="003F216A"/>
    <w:rsid w:val="003F2E7A"/>
    <w:rsid w:val="003F39D8"/>
    <w:rsid w:val="003F4078"/>
    <w:rsid w:val="003F5C16"/>
    <w:rsid w:val="003F5C26"/>
    <w:rsid w:val="003F6616"/>
    <w:rsid w:val="003F7497"/>
    <w:rsid w:val="003F7B79"/>
    <w:rsid w:val="00400828"/>
    <w:rsid w:val="00400C4C"/>
    <w:rsid w:val="00401046"/>
    <w:rsid w:val="00401647"/>
    <w:rsid w:val="00401A60"/>
    <w:rsid w:val="00401CB4"/>
    <w:rsid w:val="00402881"/>
    <w:rsid w:val="00403046"/>
    <w:rsid w:val="0040312C"/>
    <w:rsid w:val="004038DD"/>
    <w:rsid w:val="0040439F"/>
    <w:rsid w:val="004043FA"/>
    <w:rsid w:val="00404A43"/>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6F61"/>
    <w:rsid w:val="004172E6"/>
    <w:rsid w:val="00417632"/>
    <w:rsid w:val="00417FE1"/>
    <w:rsid w:val="00420558"/>
    <w:rsid w:val="00420B58"/>
    <w:rsid w:val="00421312"/>
    <w:rsid w:val="00421DA5"/>
    <w:rsid w:val="00422B59"/>
    <w:rsid w:val="00422DEC"/>
    <w:rsid w:val="004230A1"/>
    <w:rsid w:val="004238EE"/>
    <w:rsid w:val="004240D5"/>
    <w:rsid w:val="00424471"/>
    <w:rsid w:val="00424511"/>
    <w:rsid w:val="0042468B"/>
    <w:rsid w:val="0042615E"/>
    <w:rsid w:val="0042651B"/>
    <w:rsid w:val="00426669"/>
    <w:rsid w:val="00426688"/>
    <w:rsid w:val="00427E9B"/>
    <w:rsid w:val="00427FD1"/>
    <w:rsid w:val="004307B6"/>
    <w:rsid w:val="00430A36"/>
    <w:rsid w:val="004314EA"/>
    <w:rsid w:val="00431599"/>
    <w:rsid w:val="00431D96"/>
    <w:rsid w:val="00432AAB"/>
    <w:rsid w:val="00433165"/>
    <w:rsid w:val="00433B6B"/>
    <w:rsid w:val="00433F79"/>
    <w:rsid w:val="00433FED"/>
    <w:rsid w:val="00434996"/>
    <w:rsid w:val="00434A2B"/>
    <w:rsid w:val="00435B5A"/>
    <w:rsid w:val="00435F84"/>
    <w:rsid w:val="00436125"/>
    <w:rsid w:val="00436553"/>
    <w:rsid w:val="004368A7"/>
    <w:rsid w:val="00436F1E"/>
    <w:rsid w:val="004374C9"/>
    <w:rsid w:val="004403BB"/>
    <w:rsid w:val="00440464"/>
    <w:rsid w:val="00441BBE"/>
    <w:rsid w:val="00441D97"/>
    <w:rsid w:val="00443662"/>
    <w:rsid w:val="00445DC2"/>
    <w:rsid w:val="00445E1A"/>
    <w:rsid w:val="0044615C"/>
    <w:rsid w:val="004465BD"/>
    <w:rsid w:val="00446AE2"/>
    <w:rsid w:val="00446AEF"/>
    <w:rsid w:val="0044702A"/>
    <w:rsid w:val="0044773F"/>
    <w:rsid w:val="004512AA"/>
    <w:rsid w:val="00451F76"/>
    <w:rsid w:val="00452111"/>
    <w:rsid w:val="004529B5"/>
    <w:rsid w:val="004534F2"/>
    <w:rsid w:val="00453C0E"/>
    <w:rsid w:val="00453D5E"/>
    <w:rsid w:val="00453E99"/>
    <w:rsid w:val="00454194"/>
    <w:rsid w:val="00454D5F"/>
    <w:rsid w:val="00456099"/>
    <w:rsid w:val="00456A96"/>
    <w:rsid w:val="004575A4"/>
    <w:rsid w:val="00457DD1"/>
    <w:rsid w:val="00460480"/>
    <w:rsid w:val="00460734"/>
    <w:rsid w:val="00460793"/>
    <w:rsid w:val="0046093E"/>
    <w:rsid w:val="00460C80"/>
    <w:rsid w:val="00460CD6"/>
    <w:rsid w:val="0046101A"/>
    <w:rsid w:val="00461256"/>
    <w:rsid w:val="00461442"/>
    <w:rsid w:val="0046279E"/>
    <w:rsid w:val="00463D98"/>
    <w:rsid w:val="004649BC"/>
    <w:rsid w:val="00464E36"/>
    <w:rsid w:val="00466717"/>
    <w:rsid w:val="00466769"/>
    <w:rsid w:val="004668D5"/>
    <w:rsid w:val="00466ABF"/>
    <w:rsid w:val="004676F4"/>
    <w:rsid w:val="00467B25"/>
    <w:rsid w:val="004700D9"/>
    <w:rsid w:val="004709BB"/>
    <w:rsid w:val="00470F90"/>
    <w:rsid w:val="0047102F"/>
    <w:rsid w:val="004710C8"/>
    <w:rsid w:val="0047165B"/>
    <w:rsid w:val="004722A2"/>
    <w:rsid w:val="004722A8"/>
    <w:rsid w:val="0047254D"/>
    <w:rsid w:val="00472F3F"/>
    <w:rsid w:val="004731BB"/>
    <w:rsid w:val="00473262"/>
    <w:rsid w:val="004735A0"/>
    <w:rsid w:val="004747CD"/>
    <w:rsid w:val="00474F8B"/>
    <w:rsid w:val="004754DE"/>
    <w:rsid w:val="0047573D"/>
    <w:rsid w:val="0047598E"/>
    <w:rsid w:val="00475ED9"/>
    <w:rsid w:val="004768D0"/>
    <w:rsid w:val="004800FD"/>
    <w:rsid w:val="004802E1"/>
    <w:rsid w:val="00480908"/>
    <w:rsid w:val="00481F47"/>
    <w:rsid w:val="00481FA8"/>
    <w:rsid w:val="00482872"/>
    <w:rsid w:val="00482B16"/>
    <w:rsid w:val="00482C9F"/>
    <w:rsid w:val="00483E0D"/>
    <w:rsid w:val="00484480"/>
    <w:rsid w:val="00484747"/>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56B"/>
    <w:rsid w:val="004905C5"/>
    <w:rsid w:val="004906AE"/>
    <w:rsid w:val="004916B2"/>
    <w:rsid w:val="00491B5D"/>
    <w:rsid w:val="00491B80"/>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8A1"/>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5D60"/>
    <w:rsid w:val="004B6664"/>
    <w:rsid w:val="004B68A9"/>
    <w:rsid w:val="004B6B5D"/>
    <w:rsid w:val="004B7A7B"/>
    <w:rsid w:val="004B7B49"/>
    <w:rsid w:val="004C035D"/>
    <w:rsid w:val="004C041F"/>
    <w:rsid w:val="004C0C17"/>
    <w:rsid w:val="004C0EA0"/>
    <w:rsid w:val="004C1081"/>
    <w:rsid w:val="004C1A7F"/>
    <w:rsid w:val="004C1F0D"/>
    <w:rsid w:val="004C2503"/>
    <w:rsid w:val="004C3428"/>
    <w:rsid w:val="004C4026"/>
    <w:rsid w:val="004C4182"/>
    <w:rsid w:val="004C54ED"/>
    <w:rsid w:val="004C57B3"/>
    <w:rsid w:val="004C5856"/>
    <w:rsid w:val="004C6568"/>
    <w:rsid w:val="004C65E1"/>
    <w:rsid w:val="004C70CC"/>
    <w:rsid w:val="004C7A94"/>
    <w:rsid w:val="004C7FCD"/>
    <w:rsid w:val="004D059A"/>
    <w:rsid w:val="004D0AEA"/>
    <w:rsid w:val="004D142A"/>
    <w:rsid w:val="004D14CB"/>
    <w:rsid w:val="004D15F7"/>
    <w:rsid w:val="004D1ED2"/>
    <w:rsid w:val="004D23B2"/>
    <w:rsid w:val="004D287E"/>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1FE9"/>
    <w:rsid w:val="004E2986"/>
    <w:rsid w:val="004E34E4"/>
    <w:rsid w:val="004E354F"/>
    <w:rsid w:val="004E3E50"/>
    <w:rsid w:val="004E3E72"/>
    <w:rsid w:val="004E494B"/>
    <w:rsid w:val="004E49B1"/>
    <w:rsid w:val="004E4AD1"/>
    <w:rsid w:val="004E538D"/>
    <w:rsid w:val="004E56E2"/>
    <w:rsid w:val="004E6ED9"/>
    <w:rsid w:val="004E729A"/>
    <w:rsid w:val="004E7CFB"/>
    <w:rsid w:val="004F0DC4"/>
    <w:rsid w:val="004F1FF1"/>
    <w:rsid w:val="004F2BFB"/>
    <w:rsid w:val="004F324E"/>
    <w:rsid w:val="004F338B"/>
    <w:rsid w:val="004F3A5E"/>
    <w:rsid w:val="004F401C"/>
    <w:rsid w:val="004F49A5"/>
    <w:rsid w:val="004F50D8"/>
    <w:rsid w:val="004F573E"/>
    <w:rsid w:val="004F6053"/>
    <w:rsid w:val="0050044A"/>
    <w:rsid w:val="00500BA5"/>
    <w:rsid w:val="00500CA3"/>
    <w:rsid w:val="00500F12"/>
    <w:rsid w:val="00501CDD"/>
    <w:rsid w:val="00501D0A"/>
    <w:rsid w:val="00501E38"/>
    <w:rsid w:val="00501F3D"/>
    <w:rsid w:val="00502D6D"/>
    <w:rsid w:val="00503CCA"/>
    <w:rsid w:val="00504628"/>
    <w:rsid w:val="0050484C"/>
    <w:rsid w:val="00505162"/>
    <w:rsid w:val="005051A0"/>
    <w:rsid w:val="0050522D"/>
    <w:rsid w:val="00505482"/>
    <w:rsid w:val="005057E9"/>
    <w:rsid w:val="00506B6A"/>
    <w:rsid w:val="00506CC8"/>
    <w:rsid w:val="00506DF2"/>
    <w:rsid w:val="005070AE"/>
    <w:rsid w:val="00507444"/>
    <w:rsid w:val="005100A5"/>
    <w:rsid w:val="00511049"/>
    <w:rsid w:val="0051153F"/>
    <w:rsid w:val="00511C28"/>
    <w:rsid w:val="00511CFF"/>
    <w:rsid w:val="00512A98"/>
    <w:rsid w:val="00512E37"/>
    <w:rsid w:val="005137B9"/>
    <w:rsid w:val="00515217"/>
    <w:rsid w:val="00515507"/>
    <w:rsid w:val="00515539"/>
    <w:rsid w:val="00515626"/>
    <w:rsid w:val="00515663"/>
    <w:rsid w:val="00516E4E"/>
    <w:rsid w:val="00517AE1"/>
    <w:rsid w:val="00517AEB"/>
    <w:rsid w:val="0052002F"/>
    <w:rsid w:val="0052032C"/>
    <w:rsid w:val="00520D23"/>
    <w:rsid w:val="00522364"/>
    <w:rsid w:val="005224E4"/>
    <w:rsid w:val="0052331A"/>
    <w:rsid w:val="00523344"/>
    <w:rsid w:val="0052423E"/>
    <w:rsid w:val="0052493C"/>
    <w:rsid w:val="00525576"/>
    <w:rsid w:val="00525929"/>
    <w:rsid w:val="00525A2B"/>
    <w:rsid w:val="00525CB3"/>
    <w:rsid w:val="00525F2D"/>
    <w:rsid w:val="00526203"/>
    <w:rsid w:val="005264AB"/>
    <w:rsid w:val="00526A37"/>
    <w:rsid w:val="00526DFE"/>
    <w:rsid w:val="00527395"/>
    <w:rsid w:val="00527EAC"/>
    <w:rsid w:val="00532D0E"/>
    <w:rsid w:val="00532DB2"/>
    <w:rsid w:val="005344D2"/>
    <w:rsid w:val="00534774"/>
    <w:rsid w:val="00534B73"/>
    <w:rsid w:val="00534DC6"/>
    <w:rsid w:val="00534E27"/>
    <w:rsid w:val="00535341"/>
    <w:rsid w:val="00535D85"/>
    <w:rsid w:val="00535DF5"/>
    <w:rsid w:val="00537611"/>
    <w:rsid w:val="00540011"/>
    <w:rsid w:val="005401E2"/>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CD7"/>
    <w:rsid w:val="00544E22"/>
    <w:rsid w:val="005457B9"/>
    <w:rsid w:val="00545E3D"/>
    <w:rsid w:val="005461E1"/>
    <w:rsid w:val="0054683E"/>
    <w:rsid w:val="00546E65"/>
    <w:rsid w:val="005473A7"/>
    <w:rsid w:val="00547BCD"/>
    <w:rsid w:val="00547E92"/>
    <w:rsid w:val="00550588"/>
    <w:rsid w:val="00550720"/>
    <w:rsid w:val="005518ED"/>
    <w:rsid w:val="005521B0"/>
    <w:rsid w:val="00553029"/>
    <w:rsid w:val="0055508E"/>
    <w:rsid w:val="00555186"/>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16D3"/>
    <w:rsid w:val="0057258D"/>
    <w:rsid w:val="005732B9"/>
    <w:rsid w:val="005733B9"/>
    <w:rsid w:val="005735D1"/>
    <w:rsid w:val="00573BF1"/>
    <w:rsid w:val="00573EE3"/>
    <w:rsid w:val="0057440F"/>
    <w:rsid w:val="005750EE"/>
    <w:rsid w:val="0057516A"/>
    <w:rsid w:val="0057536E"/>
    <w:rsid w:val="00575A46"/>
    <w:rsid w:val="00576B68"/>
    <w:rsid w:val="00577155"/>
    <w:rsid w:val="0057717E"/>
    <w:rsid w:val="00577E08"/>
    <w:rsid w:val="00580B5C"/>
    <w:rsid w:val="005815CB"/>
    <w:rsid w:val="00581E06"/>
    <w:rsid w:val="0058251E"/>
    <w:rsid w:val="00582963"/>
    <w:rsid w:val="00582DE6"/>
    <w:rsid w:val="00583C97"/>
    <w:rsid w:val="00584763"/>
    <w:rsid w:val="00584DFE"/>
    <w:rsid w:val="005853AF"/>
    <w:rsid w:val="0058552C"/>
    <w:rsid w:val="005863C0"/>
    <w:rsid w:val="00586C1E"/>
    <w:rsid w:val="00586C46"/>
    <w:rsid w:val="00586D7C"/>
    <w:rsid w:val="0059033C"/>
    <w:rsid w:val="005904F7"/>
    <w:rsid w:val="0059064E"/>
    <w:rsid w:val="00590951"/>
    <w:rsid w:val="005913FC"/>
    <w:rsid w:val="00591C93"/>
    <w:rsid w:val="0059284C"/>
    <w:rsid w:val="00593281"/>
    <w:rsid w:val="00593406"/>
    <w:rsid w:val="005935B6"/>
    <w:rsid w:val="005935EE"/>
    <w:rsid w:val="0059381A"/>
    <w:rsid w:val="00594D11"/>
    <w:rsid w:val="0059541F"/>
    <w:rsid w:val="005959C1"/>
    <w:rsid w:val="00596EC3"/>
    <w:rsid w:val="00597C86"/>
    <w:rsid w:val="005A0723"/>
    <w:rsid w:val="005A0D88"/>
    <w:rsid w:val="005A1F98"/>
    <w:rsid w:val="005A2A49"/>
    <w:rsid w:val="005A41B3"/>
    <w:rsid w:val="005A5762"/>
    <w:rsid w:val="005A68E5"/>
    <w:rsid w:val="005A6C58"/>
    <w:rsid w:val="005A7365"/>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6B15"/>
    <w:rsid w:val="005B789F"/>
    <w:rsid w:val="005B78E5"/>
    <w:rsid w:val="005C09AE"/>
    <w:rsid w:val="005C2442"/>
    <w:rsid w:val="005C24DE"/>
    <w:rsid w:val="005C307D"/>
    <w:rsid w:val="005C3790"/>
    <w:rsid w:val="005C3EFF"/>
    <w:rsid w:val="005C3F23"/>
    <w:rsid w:val="005C43F4"/>
    <w:rsid w:val="005C43FF"/>
    <w:rsid w:val="005C457B"/>
    <w:rsid w:val="005C4C17"/>
    <w:rsid w:val="005C5ADF"/>
    <w:rsid w:val="005C5E00"/>
    <w:rsid w:val="005C677A"/>
    <w:rsid w:val="005C6994"/>
    <w:rsid w:val="005C6B7F"/>
    <w:rsid w:val="005C6FA2"/>
    <w:rsid w:val="005C7017"/>
    <w:rsid w:val="005C7B35"/>
    <w:rsid w:val="005D006B"/>
    <w:rsid w:val="005D0AAC"/>
    <w:rsid w:val="005D147D"/>
    <w:rsid w:val="005D1AF4"/>
    <w:rsid w:val="005D312C"/>
    <w:rsid w:val="005D328F"/>
    <w:rsid w:val="005D3632"/>
    <w:rsid w:val="005D3CB9"/>
    <w:rsid w:val="005D3D8F"/>
    <w:rsid w:val="005D3EBF"/>
    <w:rsid w:val="005D47F5"/>
    <w:rsid w:val="005D63E3"/>
    <w:rsid w:val="005D6F1D"/>
    <w:rsid w:val="005D6FEF"/>
    <w:rsid w:val="005D7114"/>
    <w:rsid w:val="005D7BFB"/>
    <w:rsid w:val="005E08B2"/>
    <w:rsid w:val="005E11A0"/>
    <w:rsid w:val="005E1339"/>
    <w:rsid w:val="005E1F53"/>
    <w:rsid w:val="005E223B"/>
    <w:rsid w:val="005E26B6"/>
    <w:rsid w:val="005E2C75"/>
    <w:rsid w:val="005E34DA"/>
    <w:rsid w:val="005E34FC"/>
    <w:rsid w:val="005E3536"/>
    <w:rsid w:val="005E3771"/>
    <w:rsid w:val="005E3931"/>
    <w:rsid w:val="005E3C2A"/>
    <w:rsid w:val="005E3C5F"/>
    <w:rsid w:val="005E48E8"/>
    <w:rsid w:val="005E5613"/>
    <w:rsid w:val="005E5934"/>
    <w:rsid w:val="005E789B"/>
    <w:rsid w:val="005F0FAB"/>
    <w:rsid w:val="005F181B"/>
    <w:rsid w:val="005F1ADB"/>
    <w:rsid w:val="005F218B"/>
    <w:rsid w:val="005F3320"/>
    <w:rsid w:val="005F35AA"/>
    <w:rsid w:val="005F366D"/>
    <w:rsid w:val="005F36F0"/>
    <w:rsid w:val="005F3977"/>
    <w:rsid w:val="005F47C2"/>
    <w:rsid w:val="005F4DB3"/>
    <w:rsid w:val="005F5180"/>
    <w:rsid w:val="005F5244"/>
    <w:rsid w:val="005F5640"/>
    <w:rsid w:val="005F5F64"/>
    <w:rsid w:val="005F63C3"/>
    <w:rsid w:val="005F6539"/>
    <w:rsid w:val="005F6C7C"/>
    <w:rsid w:val="005F72CD"/>
    <w:rsid w:val="006008A7"/>
    <w:rsid w:val="006012C1"/>
    <w:rsid w:val="006012CF"/>
    <w:rsid w:val="006014E3"/>
    <w:rsid w:val="00602440"/>
    <w:rsid w:val="00602B88"/>
    <w:rsid w:val="0060302A"/>
    <w:rsid w:val="00603853"/>
    <w:rsid w:val="00603DDC"/>
    <w:rsid w:val="00603DE4"/>
    <w:rsid w:val="006041E5"/>
    <w:rsid w:val="0060461B"/>
    <w:rsid w:val="0060526D"/>
    <w:rsid w:val="00605AC8"/>
    <w:rsid w:val="00606085"/>
    <w:rsid w:val="006068E2"/>
    <w:rsid w:val="00606B83"/>
    <w:rsid w:val="006070F3"/>
    <w:rsid w:val="006071BC"/>
    <w:rsid w:val="00610743"/>
    <w:rsid w:val="00610919"/>
    <w:rsid w:val="00610A60"/>
    <w:rsid w:val="00610B65"/>
    <w:rsid w:val="006118E6"/>
    <w:rsid w:val="0061392F"/>
    <w:rsid w:val="00614CBD"/>
    <w:rsid w:val="00615984"/>
    <w:rsid w:val="00616492"/>
    <w:rsid w:val="00616BF6"/>
    <w:rsid w:val="00616D4A"/>
    <w:rsid w:val="00617608"/>
    <w:rsid w:val="00617B0E"/>
    <w:rsid w:val="0062121F"/>
    <w:rsid w:val="00621407"/>
    <w:rsid w:val="0062181F"/>
    <w:rsid w:val="00621AC2"/>
    <w:rsid w:val="00621AF3"/>
    <w:rsid w:val="00621CA3"/>
    <w:rsid w:val="00622E16"/>
    <w:rsid w:val="006232D8"/>
    <w:rsid w:val="00624BB5"/>
    <w:rsid w:val="00625081"/>
    <w:rsid w:val="006253CE"/>
    <w:rsid w:val="00625AF4"/>
    <w:rsid w:val="00626462"/>
    <w:rsid w:val="006265DD"/>
    <w:rsid w:val="00626BFD"/>
    <w:rsid w:val="00627087"/>
    <w:rsid w:val="0062717F"/>
    <w:rsid w:val="006272FD"/>
    <w:rsid w:val="00627746"/>
    <w:rsid w:val="00627CE0"/>
    <w:rsid w:val="00630B73"/>
    <w:rsid w:val="00631035"/>
    <w:rsid w:val="006314AD"/>
    <w:rsid w:val="00631662"/>
    <w:rsid w:val="00633011"/>
    <w:rsid w:val="006339A1"/>
    <w:rsid w:val="00633F45"/>
    <w:rsid w:val="0063482C"/>
    <w:rsid w:val="00634FAA"/>
    <w:rsid w:val="006356F1"/>
    <w:rsid w:val="00635CD2"/>
    <w:rsid w:val="0063630B"/>
    <w:rsid w:val="00636367"/>
    <w:rsid w:val="00636417"/>
    <w:rsid w:val="0063666B"/>
    <w:rsid w:val="00636F71"/>
    <w:rsid w:val="00637643"/>
    <w:rsid w:val="00637B22"/>
    <w:rsid w:val="00637DF8"/>
    <w:rsid w:val="00637F61"/>
    <w:rsid w:val="0064042E"/>
    <w:rsid w:val="00640DD8"/>
    <w:rsid w:val="00640E12"/>
    <w:rsid w:val="006419D1"/>
    <w:rsid w:val="006438A8"/>
    <w:rsid w:val="0064390D"/>
    <w:rsid w:val="00643D8F"/>
    <w:rsid w:val="00644BA4"/>
    <w:rsid w:val="00644F4F"/>
    <w:rsid w:val="00645405"/>
    <w:rsid w:val="00645CA6"/>
    <w:rsid w:val="00645E35"/>
    <w:rsid w:val="006463DD"/>
    <w:rsid w:val="006466FC"/>
    <w:rsid w:val="00646723"/>
    <w:rsid w:val="0064758D"/>
    <w:rsid w:val="006475A0"/>
    <w:rsid w:val="00647A9C"/>
    <w:rsid w:val="0065121B"/>
    <w:rsid w:val="006512AB"/>
    <w:rsid w:val="0065144E"/>
    <w:rsid w:val="00653AD7"/>
    <w:rsid w:val="00653BA0"/>
    <w:rsid w:val="00653BF5"/>
    <w:rsid w:val="00653CFB"/>
    <w:rsid w:val="0065424E"/>
    <w:rsid w:val="0065484E"/>
    <w:rsid w:val="00654E77"/>
    <w:rsid w:val="006550B7"/>
    <w:rsid w:val="00655B79"/>
    <w:rsid w:val="0065648C"/>
    <w:rsid w:val="00656B63"/>
    <w:rsid w:val="00657B2C"/>
    <w:rsid w:val="00657D8B"/>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07"/>
    <w:rsid w:val="00667E14"/>
    <w:rsid w:val="006718A5"/>
    <w:rsid w:val="00671D38"/>
    <w:rsid w:val="0067241A"/>
    <w:rsid w:val="00672B7E"/>
    <w:rsid w:val="006731B3"/>
    <w:rsid w:val="00673620"/>
    <w:rsid w:val="006737BD"/>
    <w:rsid w:val="00673C57"/>
    <w:rsid w:val="00673EF4"/>
    <w:rsid w:val="00673FA5"/>
    <w:rsid w:val="006742D4"/>
    <w:rsid w:val="00674311"/>
    <w:rsid w:val="006749F9"/>
    <w:rsid w:val="00674F1F"/>
    <w:rsid w:val="00675CCC"/>
    <w:rsid w:val="006765E7"/>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491"/>
    <w:rsid w:val="00690B3B"/>
    <w:rsid w:val="006915EB"/>
    <w:rsid w:val="006915F0"/>
    <w:rsid w:val="0069161F"/>
    <w:rsid w:val="00692482"/>
    <w:rsid w:val="00692511"/>
    <w:rsid w:val="00692B91"/>
    <w:rsid w:val="00692DEA"/>
    <w:rsid w:val="00693275"/>
    <w:rsid w:val="006943B7"/>
    <w:rsid w:val="0069492C"/>
    <w:rsid w:val="00694AD4"/>
    <w:rsid w:val="006950AD"/>
    <w:rsid w:val="00696D10"/>
    <w:rsid w:val="006970AD"/>
    <w:rsid w:val="006979BA"/>
    <w:rsid w:val="006A0252"/>
    <w:rsid w:val="006A0858"/>
    <w:rsid w:val="006A0BCB"/>
    <w:rsid w:val="006A0C4D"/>
    <w:rsid w:val="006A150A"/>
    <w:rsid w:val="006A1958"/>
    <w:rsid w:val="006A1DD8"/>
    <w:rsid w:val="006A1FF2"/>
    <w:rsid w:val="006A2BC2"/>
    <w:rsid w:val="006A39E8"/>
    <w:rsid w:val="006A3A4A"/>
    <w:rsid w:val="006A3AB6"/>
    <w:rsid w:val="006A400E"/>
    <w:rsid w:val="006A445C"/>
    <w:rsid w:val="006A4475"/>
    <w:rsid w:val="006A5831"/>
    <w:rsid w:val="006A5E2B"/>
    <w:rsid w:val="006A5EE5"/>
    <w:rsid w:val="006A5EFF"/>
    <w:rsid w:val="006A6327"/>
    <w:rsid w:val="006A66BD"/>
    <w:rsid w:val="006A6704"/>
    <w:rsid w:val="006A6A4C"/>
    <w:rsid w:val="006A72D5"/>
    <w:rsid w:val="006B1218"/>
    <w:rsid w:val="006B1231"/>
    <w:rsid w:val="006B1796"/>
    <w:rsid w:val="006B1BF7"/>
    <w:rsid w:val="006B1DDF"/>
    <w:rsid w:val="006B315E"/>
    <w:rsid w:val="006B33C0"/>
    <w:rsid w:val="006B365F"/>
    <w:rsid w:val="006B3C19"/>
    <w:rsid w:val="006B4396"/>
    <w:rsid w:val="006B46B6"/>
    <w:rsid w:val="006B4E0D"/>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EC9"/>
    <w:rsid w:val="006C6525"/>
    <w:rsid w:val="006C67BF"/>
    <w:rsid w:val="006C6A79"/>
    <w:rsid w:val="006C6D2E"/>
    <w:rsid w:val="006C7637"/>
    <w:rsid w:val="006C7ABB"/>
    <w:rsid w:val="006C7B4B"/>
    <w:rsid w:val="006D0641"/>
    <w:rsid w:val="006D065B"/>
    <w:rsid w:val="006D0C94"/>
    <w:rsid w:val="006D0CBB"/>
    <w:rsid w:val="006D0DB4"/>
    <w:rsid w:val="006D0E83"/>
    <w:rsid w:val="006D1A9C"/>
    <w:rsid w:val="006D1D2F"/>
    <w:rsid w:val="006D2A1D"/>
    <w:rsid w:val="006D2B88"/>
    <w:rsid w:val="006D3CEE"/>
    <w:rsid w:val="006D490C"/>
    <w:rsid w:val="006D5437"/>
    <w:rsid w:val="006D5FE9"/>
    <w:rsid w:val="006D629E"/>
    <w:rsid w:val="006D63EB"/>
    <w:rsid w:val="006D6BF3"/>
    <w:rsid w:val="006D7043"/>
    <w:rsid w:val="006D7F9A"/>
    <w:rsid w:val="006E0058"/>
    <w:rsid w:val="006E071B"/>
    <w:rsid w:val="006E14FE"/>
    <w:rsid w:val="006E222E"/>
    <w:rsid w:val="006E332E"/>
    <w:rsid w:val="006E3595"/>
    <w:rsid w:val="006E3865"/>
    <w:rsid w:val="006E3924"/>
    <w:rsid w:val="006E3995"/>
    <w:rsid w:val="006E3BCE"/>
    <w:rsid w:val="006E3DC7"/>
    <w:rsid w:val="006E529E"/>
    <w:rsid w:val="006E66FB"/>
    <w:rsid w:val="006E671B"/>
    <w:rsid w:val="006E686C"/>
    <w:rsid w:val="006E6A19"/>
    <w:rsid w:val="006F00BE"/>
    <w:rsid w:val="006F027D"/>
    <w:rsid w:val="006F07D4"/>
    <w:rsid w:val="006F07EF"/>
    <w:rsid w:val="006F0CC4"/>
    <w:rsid w:val="006F1336"/>
    <w:rsid w:val="006F3AB2"/>
    <w:rsid w:val="006F3EF7"/>
    <w:rsid w:val="006F3FDA"/>
    <w:rsid w:val="006F41BE"/>
    <w:rsid w:val="006F4803"/>
    <w:rsid w:val="006F4EFD"/>
    <w:rsid w:val="006F5260"/>
    <w:rsid w:val="006F5331"/>
    <w:rsid w:val="006F6717"/>
    <w:rsid w:val="006F6B95"/>
    <w:rsid w:val="006F6F86"/>
    <w:rsid w:val="006F7A4D"/>
    <w:rsid w:val="006F7D5C"/>
    <w:rsid w:val="006F7E86"/>
    <w:rsid w:val="006F7F63"/>
    <w:rsid w:val="0070112F"/>
    <w:rsid w:val="00702246"/>
    <w:rsid w:val="00702666"/>
    <w:rsid w:val="0070299A"/>
    <w:rsid w:val="00702D11"/>
    <w:rsid w:val="007036DD"/>
    <w:rsid w:val="00703BD0"/>
    <w:rsid w:val="0070423D"/>
    <w:rsid w:val="00704303"/>
    <w:rsid w:val="007048FD"/>
    <w:rsid w:val="00704915"/>
    <w:rsid w:val="00704D1B"/>
    <w:rsid w:val="00705681"/>
    <w:rsid w:val="00705B73"/>
    <w:rsid w:val="00706594"/>
    <w:rsid w:val="00706847"/>
    <w:rsid w:val="007072D2"/>
    <w:rsid w:val="007072E4"/>
    <w:rsid w:val="0071005E"/>
    <w:rsid w:val="0071016D"/>
    <w:rsid w:val="007103FB"/>
    <w:rsid w:val="00710657"/>
    <w:rsid w:val="00711B8A"/>
    <w:rsid w:val="00712306"/>
    <w:rsid w:val="00712B9C"/>
    <w:rsid w:val="0071301D"/>
    <w:rsid w:val="00713090"/>
    <w:rsid w:val="00713106"/>
    <w:rsid w:val="0071364A"/>
    <w:rsid w:val="007138EC"/>
    <w:rsid w:val="0071395D"/>
    <w:rsid w:val="00713B27"/>
    <w:rsid w:val="00713D5F"/>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1B7"/>
    <w:rsid w:val="00726CFF"/>
    <w:rsid w:val="007276CA"/>
    <w:rsid w:val="00727D07"/>
    <w:rsid w:val="00731751"/>
    <w:rsid w:val="00731E21"/>
    <w:rsid w:val="007327EB"/>
    <w:rsid w:val="00733A11"/>
    <w:rsid w:val="00733E68"/>
    <w:rsid w:val="00734501"/>
    <w:rsid w:val="00736372"/>
    <w:rsid w:val="00736A6A"/>
    <w:rsid w:val="007371F1"/>
    <w:rsid w:val="007401CE"/>
    <w:rsid w:val="007403A3"/>
    <w:rsid w:val="0074096E"/>
    <w:rsid w:val="00740AD7"/>
    <w:rsid w:val="00741793"/>
    <w:rsid w:val="00741A5A"/>
    <w:rsid w:val="00746A1F"/>
    <w:rsid w:val="00746D19"/>
    <w:rsid w:val="00746D24"/>
    <w:rsid w:val="00747C2E"/>
    <w:rsid w:val="00750BC1"/>
    <w:rsid w:val="00751706"/>
    <w:rsid w:val="007518B2"/>
    <w:rsid w:val="00752636"/>
    <w:rsid w:val="00752BF6"/>
    <w:rsid w:val="007544A8"/>
    <w:rsid w:val="00754CBD"/>
    <w:rsid w:val="007553C2"/>
    <w:rsid w:val="0075565B"/>
    <w:rsid w:val="00755CF6"/>
    <w:rsid w:val="00755D9A"/>
    <w:rsid w:val="00755F52"/>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245A"/>
    <w:rsid w:val="00763CC6"/>
    <w:rsid w:val="00763CD6"/>
    <w:rsid w:val="007643C1"/>
    <w:rsid w:val="00764C5A"/>
    <w:rsid w:val="00764C97"/>
    <w:rsid w:val="007654BA"/>
    <w:rsid w:val="007659B6"/>
    <w:rsid w:val="00765CA2"/>
    <w:rsid w:val="0076618F"/>
    <w:rsid w:val="007675DC"/>
    <w:rsid w:val="007678E9"/>
    <w:rsid w:val="00770FDB"/>
    <w:rsid w:val="00771682"/>
    <w:rsid w:val="0077174A"/>
    <w:rsid w:val="00771A6A"/>
    <w:rsid w:val="00773341"/>
    <w:rsid w:val="00773832"/>
    <w:rsid w:val="00773FF0"/>
    <w:rsid w:val="007745D0"/>
    <w:rsid w:val="0077558E"/>
    <w:rsid w:val="00775C10"/>
    <w:rsid w:val="00776496"/>
    <w:rsid w:val="00777EE2"/>
    <w:rsid w:val="00780C74"/>
    <w:rsid w:val="00781635"/>
    <w:rsid w:val="00781B8C"/>
    <w:rsid w:val="0078222A"/>
    <w:rsid w:val="00782258"/>
    <w:rsid w:val="007824B9"/>
    <w:rsid w:val="00782682"/>
    <w:rsid w:val="00782D4D"/>
    <w:rsid w:val="007834F6"/>
    <w:rsid w:val="0078466E"/>
    <w:rsid w:val="007850F7"/>
    <w:rsid w:val="0078650B"/>
    <w:rsid w:val="00787342"/>
    <w:rsid w:val="00787FC7"/>
    <w:rsid w:val="00790126"/>
    <w:rsid w:val="00790FFD"/>
    <w:rsid w:val="00791256"/>
    <w:rsid w:val="007923D8"/>
    <w:rsid w:val="00792638"/>
    <w:rsid w:val="0079285F"/>
    <w:rsid w:val="0079313E"/>
    <w:rsid w:val="0079327D"/>
    <w:rsid w:val="00793559"/>
    <w:rsid w:val="00793C9C"/>
    <w:rsid w:val="00793E5B"/>
    <w:rsid w:val="007944BB"/>
    <w:rsid w:val="00794988"/>
    <w:rsid w:val="007967FF"/>
    <w:rsid w:val="00796A68"/>
    <w:rsid w:val="00796C56"/>
    <w:rsid w:val="0079736E"/>
    <w:rsid w:val="007978D0"/>
    <w:rsid w:val="00797B1F"/>
    <w:rsid w:val="007A0352"/>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683"/>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D1A"/>
    <w:rsid w:val="007C410C"/>
    <w:rsid w:val="007C5774"/>
    <w:rsid w:val="007C5FCC"/>
    <w:rsid w:val="007C6BBA"/>
    <w:rsid w:val="007C6F1A"/>
    <w:rsid w:val="007C73DD"/>
    <w:rsid w:val="007D0017"/>
    <w:rsid w:val="007D12E0"/>
    <w:rsid w:val="007D15F5"/>
    <w:rsid w:val="007D1725"/>
    <w:rsid w:val="007D239D"/>
    <w:rsid w:val="007D256C"/>
    <w:rsid w:val="007D2776"/>
    <w:rsid w:val="007D3CA2"/>
    <w:rsid w:val="007D635B"/>
    <w:rsid w:val="007D7FA4"/>
    <w:rsid w:val="007E0D86"/>
    <w:rsid w:val="007E0F33"/>
    <w:rsid w:val="007E1764"/>
    <w:rsid w:val="007E2796"/>
    <w:rsid w:val="007E2D1E"/>
    <w:rsid w:val="007E2ED5"/>
    <w:rsid w:val="007E320E"/>
    <w:rsid w:val="007E3261"/>
    <w:rsid w:val="007E35C0"/>
    <w:rsid w:val="007E387C"/>
    <w:rsid w:val="007E4341"/>
    <w:rsid w:val="007E4456"/>
    <w:rsid w:val="007E4E27"/>
    <w:rsid w:val="007E539E"/>
    <w:rsid w:val="007E589E"/>
    <w:rsid w:val="007E5CF0"/>
    <w:rsid w:val="007E5D24"/>
    <w:rsid w:val="007E6422"/>
    <w:rsid w:val="007E6505"/>
    <w:rsid w:val="007E7236"/>
    <w:rsid w:val="007E73CD"/>
    <w:rsid w:val="007E77C9"/>
    <w:rsid w:val="007F02AE"/>
    <w:rsid w:val="007F0A53"/>
    <w:rsid w:val="007F0D2E"/>
    <w:rsid w:val="007F13F7"/>
    <w:rsid w:val="007F1749"/>
    <w:rsid w:val="007F1B53"/>
    <w:rsid w:val="007F2203"/>
    <w:rsid w:val="007F2602"/>
    <w:rsid w:val="007F28C7"/>
    <w:rsid w:val="007F2DF5"/>
    <w:rsid w:val="007F4823"/>
    <w:rsid w:val="007F4DA7"/>
    <w:rsid w:val="007F54EC"/>
    <w:rsid w:val="007F5CCC"/>
    <w:rsid w:val="007F613B"/>
    <w:rsid w:val="007F61A7"/>
    <w:rsid w:val="007F6750"/>
    <w:rsid w:val="007F67A1"/>
    <w:rsid w:val="007F787F"/>
    <w:rsid w:val="007F7B08"/>
    <w:rsid w:val="00800372"/>
    <w:rsid w:val="00800651"/>
    <w:rsid w:val="00800AE8"/>
    <w:rsid w:val="00801202"/>
    <w:rsid w:val="00801400"/>
    <w:rsid w:val="008014C6"/>
    <w:rsid w:val="00802CE1"/>
    <w:rsid w:val="00802D0C"/>
    <w:rsid w:val="008038F4"/>
    <w:rsid w:val="00803BBA"/>
    <w:rsid w:val="00803C8E"/>
    <w:rsid w:val="008047B8"/>
    <w:rsid w:val="00804A5E"/>
    <w:rsid w:val="008055D3"/>
    <w:rsid w:val="008070B4"/>
    <w:rsid w:val="008078E1"/>
    <w:rsid w:val="00810D06"/>
    <w:rsid w:val="00812250"/>
    <w:rsid w:val="00813851"/>
    <w:rsid w:val="00814297"/>
    <w:rsid w:val="00814301"/>
    <w:rsid w:val="00814ED3"/>
    <w:rsid w:val="008167C0"/>
    <w:rsid w:val="00816ED2"/>
    <w:rsid w:val="00817671"/>
    <w:rsid w:val="00817AB9"/>
    <w:rsid w:val="00820E8F"/>
    <w:rsid w:val="00820F76"/>
    <w:rsid w:val="00821916"/>
    <w:rsid w:val="008224BA"/>
    <w:rsid w:val="00822A9D"/>
    <w:rsid w:val="0082359E"/>
    <w:rsid w:val="00823863"/>
    <w:rsid w:val="0082435A"/>
    <w:rsid w:val="00824924"/>
    <w:rsid w:val="008250F8"/>
    <w:rsid w:val="0082577C"/>
    <w:rsid w:val="00825E39"/>
    <w:rsid w:val="00826B4F"/>
    <w:rsid w:val="00826C73"/>
    <w:rsid w:val="00827235"/>
    <w:rsid w:val="008313A2"/>
    <w:rsid w:val="00831A49"/>
    <w:rsid w:val="00832125"/>
    <w:rsid w:val="008336DB"/>
    <w:rsid w:val="008353C5"/>
    <w:rsid w:val="00835470"/>
    <w:rsid w:val="00835499"/>
    <w:rsid w:val="00835749"/>
    <w:rsid w:val="0083583A"/>
    <w:rsid w:val="00835A38"/>
    <w:rsid w:val="00835DFB"/>
    <w:rsid w:val="008363FC"/>
    <w:rsid w:val="00836AE9"/>
    <w:rsid w:val="008370D4"/>
    <w:rsid w:val="008408E0"/>
    <w:rsid w:val="00842723"/>
    <w:rsid w:val="00842E86"/>
    <w:rsid w:val="0084304D"/>
    <w:rsid w:val="00844062"/>
    <w:rsid w:val="0084492F"/>
    <w:rsid w:val="00844CDD"/>
    <w:rsid w:val="008459F0"/>
    <w:rsid w:val="00846260"/>
    <w:rsid w:val="0084707F"/>
    <w:rsid w:val="00847623"/>
    <w:rsid w:val="00850AE4"/>
    <w:rsid w:val="00850E18"/>
    <w:rsid w:val="00851F0C"/>
    <w:rsid w:val="00852393"/>
    <w:rsid w:val="0085292F"/>
    <w:rsid w:val="00853D6C"/>
    <w:rsid w:val="0085417E"/>
    <w:rsid w:val="0085616F"/>
    <w:rsid w:val="00856875"/>
    <w:rsid w:val="008571A1"/>
    <w:rsid w:val="00857665"/>
    <w:rsid w:val="008602E2"/>
    <w:rsid w:val="00860856"/>
    <w:rsid w:val="00860E4C"/>
    <w:rsid w:val="00861616"/>
    <w:rsid w:val="00861B85"/>
    <w:rsid w:val="00861D97"/>
    <w:rsid w:val="008622B9"/>
    <w:rsid w:val="008624A0"/>
    <w:rsid w:val="008629E3"/>
    <w:rsid w:val="0086308C"/>
    <w:rsid w:val="008634FD"/>
    <w:rsid w:val="00863D54"/>
    <w:rsid w:val="0086444B"/>
    <w:rsid w:val="00864DB6"/>
    <w:rsid w:val="00865614"/>
    <w:rsid w:val="0086570F"/>
    <w:rsid w:val="00865DC2"/>
    <w:rsid w:val="008666A3"/>
    <w:rsid w:val="00866945"/>
    <w:rsid w:val="00867BD8"/>
    <w:rsid w:val="00867E7A"/>
    <w:rsid w:val="0087101C"/>
    <w:rsid w:val="00871C6D"/>
    <w:rsid w:val="00871CB7"/>
    <w:rsid w:val="00872323"/>
    <w:rsid w:val="00872570"/>
    <w:rsid w:val="008728D5"/>
    <w:rsid w:val="00872B41"/>
    <w:rsid w:val="00872DA4"/>
    <w:rsid w:val="00873C44"/>
    <w:rsid w:val="00875960"/>
    <w:rsid w:val="00876198"/>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11A6"/>
    <w:rsid w:val="0089125E"/>
    <w:rsid w:val="00891D5D"/>
    <w:rsid w:val="00891EA8"/>
    <w:rsid w:val="00892C65"/>
    <w:rsid w:val="008936C4"/>
    <w:rsid w:val="00893777"/>
    <w:rsid w:val="00893D33"/>
    <w:rsid w:val="0089486B"/>
    <w:rsid w:val="00894DA5"/>
    <w:rsid w:val="00895476"/>
    <w:rsid w:val="008969A7"/>
    <w:rsid w:val="00897E20"/>
    <w:rsid w:val="008A028D"/>
    <w:rsid w:val="008A05A8"/>
    <w:rsid w:val="008A06F3"/>
    <w:rsid w:val="008A09E3"/>
    <w:rsid w:val="008A1B49"/>
    <w:rsid w:val="008A264E"/>
    <w:rsid w:val="008A2AEB"/>
    <w:rsid w:val="008A30D7"/>
    <w:rsid w:val="008A4226"/>
    <w:rsid w:val="008A596C"/>
    <w:rsid w:val="008A5B54"/>
    <w:rsid w:val="008A5D40"/>
    <w:rsid w:val="008A5EF9"/>
    <w:rsid w:val="008A6FAF"/>
    <w:rsid w:val="008A7579"/>
    <w:rsid w:val="008A7F38"/>
    <w:rsid w:val="008B043D"/>
    <w:rsid w:val="008B07EB"/>
    <w:rsid w:val="008B14D8"/>
    <w:rsid w:val="008B1B47"/>
    <w:rsid w:val="008B2A52"/>
    <w:rsid w:val="008B2F0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4EF6"/>
    <w:rsid w:val="008C5046"/>
    <w:rsid w:val="008C5145"/>
    <w:rsid w:val="008C5680"/>
    <w:rsid w:val="008C61CB"/>
    <w:rsid w:val="008C62F5"/>
    <w:rsid w:val="008C6E6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3633"/>
    <w:rsid w:val="008E4631"/>
    <w:rsid w:val="008E4DDF"/>
    <w:rsid w:val="008E5D68"/>
    <w:rsid w:val="008E661B"/>
    <w:rsid w:val="008E663A"/>
    <w:rsid w:val="008E6D0E"/>
    <w:rsid w:val="008E6E70"/>
    <w:rsid w:val="008F07E8"/>
    <w:rsid w:val="008F18EB"/>
    <w:rsid w:val="008F1A60"/>
    <w:rsid w:val="008F1DF9"/>
    <w:rsid w:val="008F1F7F"/>
    <w:rsid w:val="008F28BC"/>
    <w:rsid w:val="008F3055"/>
    <w:rsid w:val="008F3157"/>
    <w:rsid w:val="008F34F9"/>
    <w:rsid w:val="008F4226"/>
    <w:rsid w:val="008F4257"/>
    <w:rsid w:val="008F4AFC"/>
    <w:rsid w:val="008F4B39"/>
    <w:rsid w:val="008F4D31"/>
    <w:rsid w:val="008F4FE0"/>
    <w:rsid w:val="008F59A8"/>
    <w:rsid w:val="008F5DB1"/>
    <w:rsid w:val="008F5FF1"/>
    <w:rsid w:val="008F628F"/>
    <w:rsid w:val="008F6500"/>
    <w:rsid w:val="008F6A9D"/>
    <w:rsid w:val="008F7C45"/>
    <w:rsid w:val="00900635"/>
    <w:rsid w:val="00900EF9"/>
    <w:rsid w:val="00901A22"/>
    <w:rsid w:val="00901A30"/>
    <w:rsid w:val="00901B29"/>
    <w:rsid w:val="009022CB"/>
    <w:rsid w:val="00902E6D"/>
    <w:rsid w:val="009033E6"/>
    <w:rsid w:val="009037D9"/>
    <w:rsid w:val="00903C05"/>
    <w:rsid w:val="0090404E"/>
    <w:rsid w:val="00904E13"/>
    <w:rsid w:val="00904F8A"/>
    <w:rsid w:val="00905D60"/>
    <w:rsid w:val="00905DAA"/>
    <w:rsid w:val="00906338"/>
    <w:rsid w:val="00906409"/>
    <w:rsid w:val="009064E8"/>
    <w:rsid w:val="0090689A"/>
    <w:rsid w:val="00907136"/>
    <w:rsid w:val="00907721"/>
    <w:rsid w:val="00907F53"/>
    <w:rsid w:val="0091094D"/>
    <w:rsid w:val="00910BA7"/>
    <w:rsid w:val="00911119"/>
    <w:rsid w:val="009111CB"/>
    <w:rsid w:val="009117A9"/>
    <w:rsid w:val="00911AD0"/>
    <w:rsid w:val="00912996"/>
    <w:rsid w:val="009129D5"/>
    <w:rsid w:val="00913476"/>
    <w:rsid w:val="00914000"/>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0D48"/>
    <w:rsid w:val="009217A0"/>
    <w:rsid w:val="00921836"/>
    <w:rsid w:val="00921946"/>
    <w:rsid w:val="00921A26"/>
    <w:rsid w:val="00922147"/>
    <w:rsid w:val="009221E9"/>
    <w:rsid w:val="00922287"/>
    <w:rsid w:val="00922409"/>
    <w:rsid w:val="00922860"/>
    <w:rsid w:val="00923096"/>
    <w:rsid w:val="009236DC"/>
    <w:rsid w:val="00924E9B"/>
    <w:rsid w:val="009254B2"/>
    <w:rsid w:val="0092586C"/>
    <w:rsid w:val="009264FE"/>
    <w:rsid w:val="00926922"/>
    <w:rsid w:val="00927303"/>
    <w:rsid w:val="0093093F"/>
    <w:rsid w:val="0093158F"/>
    <w:rsid w:val="00931B0C"/>
    <w:rsid w:val="00931D93"/>
    <w:rsid w:val="00931FD3"/>
    <w:rsid w:val="00933199"/>
    <w:rsid w:val="009335EC"/>
    <w:rsid w:val="00933630"/>
    <w:rsid w:val="00934991"/>
    <w:rsid w:val="0093591A"/>
    <w:rsid w:val="00935AD2"/>
    <w:rsid w:val="00936349"/>
    <w:rsid w:val="00936B42"/>
    <w:rsid w:val="00936E4A"/>
    <w:rsid w:val="00936F51"/>
    <w:rsid w:val="009378E9"/>
    <w:rsid w:val="00937C0D"/>
    <w:rsid w:val="009400B1"/>
    <w:rsid w:val="00940A9F"/>
    <w:rsid w:val="00940AC3"/>
    <w:rsid w:val="00940B26"/>
    <w:rsid w:val="00940E38"/>
    <w:rsid w:val="00940FD5"/>
    <w:rsid w:val="0094112A"/>
    <w:rsid w:val="00941BDB"/>
    <w:rsid w:val="009435C1"/>
    <w:rsid w:val="00943B4D"/>
    <w:rsid w:val="009441E5"/>
    <w:rsid w:val="0094431A"/>
    <w:rsid w:val="0094466B"/>
    <w:rsid w:val="0094491F"/>
    <w:rsid w:val="00944EF4"/>
    <w:rsid w:val="00945890"/>
    <w:rsid w:val="00945D37"/>
    <w:rsid w:val="00945EBC"/>
    <w:rsid w:val="00946B46"/>
    <w:rsid w:val="00950089"/>
    <w:rsid w:val="00950718"/>
    <w:rsid w:val="00951A08"/>
    <w:rsid w:val="0095282E"/>
    <w:rsid w:val="009531A0"/>
    <w:rsid w:val="0095357A"/>
    <w:rsid w:val="009539D5"/>
    <w:rsid w:val="00953CC4"/>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5BE"/>
    <w:rsid w:val="00961625"/>
    <w:rsid w:val="00961727"/>
    <w:rsid w:val="009623CF"/>
    <w:rsid w:val="009628BF"/>
    <w:rsid w:val="009639C7"/>
    <w:rsid w:val="0096591C"/>
    <w:rsid w:val="00965D89"/>
    <w:rsid w:val="00966947"/>
    <w:rsid w:val="00966E1C"/>
    <w:rsid w:val="009670E1"/>
    <w:rsid w:val="00967413"/>
    <w:rsid w:val="0096752B"/>
    <w:rsid w:val="00967ED6"/>
    <w:rsid w:val="00970015"/>
    <w:rsid w:val="0097104F"/>
    <w:rsid w:val="0097176A"/>
    <w:rsid w:val="009718C2"/>
    <w:rsid w:val="009722E4"/>
    <w:rsid w:val="00972A5F"/>
    <w:rsid w:val="00972FDB"/>
    <w:rsid w:val="009734AC"/>
    <w:rsid w:val="009736EB"/>
    <w:rsid w:val="0097395E"/>
    <w:rsid w:val="00974044"/>
    <w:rsid w:val="00975274"/>
    <w:rsid w:val="009760A9"/>
    <w:rsid w:val="0097687B"/>
    <w:rsid w:val="00976AE4"/>
    <w:rsid w:val="00977958"/>
    <w:rsid w:val="00981588"/>
    <w:rsid w:val="0098191E"/>
    <w:rsid w:val="00981D5E"/>
    <w:rsid w:val="00982ACA"/>
    <w:rsid w:val="0098418F"/>
    <w:rsid w:val="009846C2"/>
    <w:rsid w:val="009851F5"/>
    <w:rsid w:val="00985785"/>
    <w:rsid w:val="00985A34"/>
    <w:rsid w:val="00986A13"/>
    <w:rsid w:val="0098719D"/>
    <w:rsid w:val="009877C5"/>
    <w:rsid w:val="00987858"/>
    <w:rsid w:val="009903B3"/>
    <w:rsid w:val="00990C76"/>
    <w:rsid w:val="009915BE"/>
    <w:rsid w:val="00991A1E"/>
    <w:rsid w:val="009922B5"/>
    <w:rsid w:val="0099303C"/>
    <w:rsid w:val="00993142"/>
    <w:rsid w:val="00993B4D"/>
    <w:rsid w:val="009945E4"/>
    <w:rsid w:val="00994FCF"/>
    <w:rsid w:val="00995070"/>
    <w:rsid w:val="00995275"/>
    <w:rsid w:val="009967EE"/>
    <w:rsid w:val="00996818"/>
    <w:rsid w:val="00996F99"/>
    <w:rsid w:val="0099755F"/>
    <w:rsid w:val="009A0261"/>
    <w:rsid w:val="009A060D"/>
    <w:rsid w:val="009A11F0"/>
    <w:rsid w:val="009A1575"/>
    <w:rsid w:val="009A175A"/>
    <w:rsid w:val="009A1AA9"/>
    <w:rsid w:val="009A1C62"/>
    <w:rsid w:val="009A210E"/>
    <w:rsid w:val="009A27BF"/>
    <w:rsid w:val="009A2D8F"/>
    <w:rsid w:val="009A35BF"/>
    <w:rsid w:val="009A35C8"/>
    <w:rsid w:val="009A3941"/>
    <w:rsid w:val="009A5257"/>
    <w:rsid w:val="009A64B4"/>
    <w:rsid w:val="009A6655"/>
    <w:rsid w:val="009A6775"/>
    <w:rsid w:val="009A7C24"/>
    <w:rsid w:val="009B0148"/>
    <w:rsid w:val="009B06E6"/>
    <w:rsid w:val="009B0DEA"/>
    <w:rsid w:val="009B16BA"/>
    <w:rsid w:val="009B1D75"/>
    <w:rsid w:val="009B20DE"/>
    <w:rsid w:val="009B2300"/>
    <w:rsid w:val="009B2392"/>
    <w:rsid w:val="009B26B4"/>
    <w:rsid w:val="009B27D8"/>
    <w:rsid w:val="009B40FB"/>
    <w:rsid w:val="009B4414"/>
    <w:rsid w:val="009B51F4"/>
    <w:rsid w:val="009B5856"/>
    <w:rsid w:val="009B5FC5"/>
    <w:rsid w:val="009B62BC"/>
    <w:rsid w:val="009B63F8"/>
    <w:rsid w:val="009B69C6"/>
    <w:rsid w:val="009B74A1"/>
    <w:rsid w:val="009B7B9A"/>
    <w:rsid w:val="009B7DD3"/>
    <w:rsid w:val="009C01DC"/>
    <w:rsid w:val="009C03BB"/>
    <w:rsid w:val="009C0960"/>
    <w:rsid w:val="009C1C87"/>
    <w:rsid w:val="009C2590"/>
    <w:rsid w:val="009C2D6E"/>
    <w:rsid w:val="009C4366"/>
    <w:rsid w:val="009C44AE"/>
    <w:rsid w:val="009C4DAB"/>
    <w:rsid w:val="009C51F0"/>
    <w:rsid w:val="009C5207"/>
    <w:rsid w:val="009C56A6"/>
    <w:rsid w:val="009C5FC0"/>
    <w:rsid w:val="009C6B49"/>
    <w:rsid w:val="009C6EBD"/>
    <w:rsid w:val="009C78F9"/>
    <w:rsid w:val="009C7ACF"/>
    <w:rsid w:val="009D056B"/>
    <w:rsid w:val="009D0799"/>
    <w:rsid w:val="009D18F9"/>
    <w:rsid w:val="009D20A5"/>
    <w:rsid w:val="009D2206"/>
    <w:rsid w:val="009D29F4"/>
    <w:rsid w:val="009D2C3E"/>
    <w:rsid w:val="009D3192"/>
    <w:rsid w:val="009D3602"/>
    <w:rsid w:val="009D3634"/>
    <w:rsid w:val="009D3879"/>
    <w:rsid w:val="009D52C3"/>
    <w:rsid w:val="009D538F"/>
    <w:rsid w:val="009D63BB"/>
    <w:rsid w:val="009D68E3"/>
    <w:rsid w:val="009D69D5"/>
    <w:rsid w:val="009D6AD3"/>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4F69"/>
    <w:rsid w:val="009E53CA"/>
    <w:rsid w:val="009E6979"/>
    <w:rsid w:val="009E6A37"/>
    <w:rsid w:val="009E6BF4"/>
    <w:rsid w:val="009E7903"/>
    <w:rsid w:val="009E7D61"/>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9F"/>
    <w:rsid w:val="009F7EAC"/>
    <w:rsid w:val="00A001D4"/>
    <w:rsid w:val="00A002A6"/>
    <w:rsid w:val="00A006DF"/>
    <w:rsid w:val="00A0187E"/>
    <w:rsid w:val="00A018CB"/>
    <w:rsid w:val="00A03864"/>
    <w:rsid w:val="00A03C47"/>
    <w:rsid w:val="00A03F4F"/>
    <w:rsid w:val="00A047BF"/>
    <w:rsid w:val="00A04FAA"/>
    <w:rsid w:val="00A0651C"/>
    <w:rsid w:val="00A06A55"/>
    <w:rsid w:val="00A06E6C"/>
    <w:rsid w:val="00A071EF"/>
    <w:rsid w:val="00A07761"/>
    <w:rsid w:val="00A07F7B"/>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1A12"/>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2CF"/>
    <w:rsid w:val="00A326FB"/>
    <w:rsid w:val="00A331E1"/>
    <w:rsid w:val="00A33DED"/>
    <w:rsid w:val="00A343CC"/>
    <w:rsid w:val="00A3493E"/>
    <w:rsid w:val="00A351F9"/>
    <w:rsid w:val="00A355FC"/>
    <w:rsid w:val="00A36523"/>
    <w:rsid w:val="00A36AB8"/>
    <w:rsid w:val="00A36D9A"/>
    <w:rsid w:val="00A372A4"/>
    <w:rsid w:val="00A37D02"/>
    <w:rsid w:val="00A40040"/>
    <w:rsid w:val="00A41068"/>
    <w:rsid w:val="00A4168D"/>
    <w:rsid w:val="00A42474"/>
    <w:rsid w:val="00A4282D"/>
    <w:rsid w:val="00A429CF"/>
    <w:rsid w:val="00A4406D"/>
    <w:rsid w:val="00A44CEC"/>
    <w:rsid w:val="00A4525E"/>
    <w:rsid w:val="00A453C5"/>
    <w:rsid w:val="00A4642F"/>
    <w:rsid w:val="00A50E73"/>
    <w:rsid w:val="00A514E9"/>
    <w:rsid w:val="00A51A41"/>
    <w:rsid w:val="00A52D13"/>
    <w:rsid w:val="00A5326C"/>
    <w:rsid w:val="00A532C4"/>
    <w:rsid w:val="00A538DF"/>
    <w:rsid w:val="00A538F9"/>
    <w:rsid w:val="00A53D36"/>
    <w:rsid w:val="00A54581"/>
    <w:rsid w:val="00A54BE2"/>
    <w:rsid w:val="00A55020"/>
    <w:rsid w:val="00A5562F"/>
    <w:rsid w:val="00A558BC"/>
    <w:rsid w:val="00A559C1"/>
    <w:rsid w:val="00A5693C"/>
    <w:rsid w:val="00A56DAA"/>
    <w:rsid w:val="00A571F0"/>
    <w:rsid w:val="00A601AD"/>
    <w:rsid w:val="00A60E6C"/>
    <w:rsid w:val="00A61574"/>
    <w:rsid w:val="00A61740"/>
    <w:rsid w:val="00A61F01"/>
    <w:rsid w:val="00A623BB"/>
    <w:rsid w:val="00A635DE"/>
    <w:rsid w:val="00A650CC"/>
    <w:rsid w:val="00A6516F"/>
    <w:rsid w:val="00A65672"/>
    <w:rsid w:val="00A65737"/>
    <w:rsid w:val="00A6638C"/>
    <w:rsid w:val="00A664A1"/>
    <w:rsid w:val="00A668EF"/>
    <w:rsid w:val="00A672F7"/>
    <w:rsid w:val="00A67397"/>
    <w:rsid w:val="00A6744D"/>
    <w:rsid w:val="00A675F5"/>
    <w:rsid w:val="00A676D0"/>
    <w:rsid w:val="00A706DC"/>
    <w:rsid w:val="00A71CED"/>
    <w:rsid w:val="00A72B84"/>
    <w:rsid w:val="00A72BAA"/>
    <w:rsid w:val="00A7316C"/>
    <w:rsid w:val="00A739E5"/>
    <w:rsid w:val="00A759C8"/>
    <w:rsid w:val="00A7686A"/>
    <w:rsid w:val="00A779A2"/>
    <w:rsid w:val="00A80343"/>
    <w:rsid w:val="00A80826"/>
    <w:rsid w:val="00A809BB"/>
    <w:rsid w:val="00A80D93"/>
    <w:rsid w:val="00A80DB4"/>
    <w:rsid w:val="00A81126"/>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CD7"/>
    <w:rsid w:val="00A92D77"/>
    <w:rsid w:val="00A92E00"/>
    <w:rsid w:val="00A93905"/>
    <w:rsid w:val="00A93990"/>
    <w:rsid w:val="00A93AEC"/>
    <w:rsid w:val="00A93BDC"/>
    <w:rsid w:val="00A94072"/>
    <w:rsid w:val="00A9454E"/>
    <w:rsid w:val="00A94C54"/>
    <w:rsid w:val="00A95B37"/>
    <w:rsid w:val="00A95B9E"/>
    <w:rsid w:val="00A95C37"/>
    <w:rsid w:val="00A95FCF"/>
    <w:rsid w:val="00A96727"/>
    <w:rsid w:val="00AA0074"/>
    <w:rsid w:val="00AA0355"/>
    <w:rsid w:val="00AA0CD1"/>
    <w:rsid w:val="00AA1323"/>
    <w:rsid w:val="00AA1325"/>
    <w:rsid w:val="00AA2243"/>
    <w:rsid w:val="00AA3423"/>
    <w:rsid w:val="00AA348C"/>
    <w:rsid w:val="00AA359D"/>
    <w:rsid w:val="00AA3B8A"/>
    <w:rsid w:val="00AA3CA8"/>
    <w:rsid w:val="00AA3E36"/>
    <w:rsid w:val="00AA3EBF"/>
    <w:rsid w:val="00AA418F"/>
    <w:rsid w:val="00AA4385"/>
    <w:rsid w:val="00AA5016"/>
    <w:rsid w:val="00AA5CB0"/>
    <w:rsid w:val="00AA606E"/>
    <w:rsid w:val="00AA69AF"/>
    <w:rsid w:val="00AA6F7D"/>
    <w:rsid w:val="00AA6FBD"/>
    <w:rsid w:val="00AB0D21"/>
    <w:rsid w:val="00AB104B"/>
    <w:rsid w:val="00AB12B6"/>
    <w:rsid w:val="00AB155D"/>
    <w:rsid w:val="00AB19E8"/>
    <w:rsid w:val="00AB1BFB"/>
    <w:rsid w:val="00AB2607"/>
    <w:rsid w:val="00AB27C4"/>
    <w:rsid w:val="00AB2B34"/>
    <w:rsid w:val="00AB3260"/>
    <w:rsid w:val="00AB329A"/>
    <w:rsid w:val="00AB3E4A"/>
    <w:rsid w:val="00AB4C7A"/>
    <w:rsid w:val="00AB5277"/>
    <w:rsid w:val="00AB5612"/>
    <w:rsid w:val="00AB56DB"/>
    <w:rsid w:val="00AB57F4"/>
    <w:rsid w:val="00AB5A1F"/>
    <w:rsid w:val="00AB5ED6"/>
    <w:rsid w:val="00AB7C28"/>
    <w:rsid w:val="00AB7C44"/>
    <w:rsid w:val="00AC017D"/>
    <w:rsid w:val="00AC1BC7"/>
    <w:rsid w:val="00AC1D25"/>
    <w:rsid w:val="00AC1E62"/>
    <w:rsid w:val="00AC2013"/>
    <w:rsid w:val="00AC2169"/>
    <w:rsid w:val="00AC24E8"/>
    <w:rsid w:val="00AC2938"/>
    <w:rsid w:val="00AC302B"/>
    <w:rsid w:val="00AC3DBE"/>
    <w:rsid w:val="00AC425A"/>
    <w:rsid w:val="00AC4453"/>
    <w:rsid w:val="00AC447D"/>
    <w:rsid w:val="00AC4A4A"/>
    <w:rsid w:val="00AC4B18"/>
    <w:rsid w:val="00AC582D"/>
    <w:rsid w:val="00AC5A05"/>
    <w:rsid w:val="00AC5A9E"/>
    <w:rsid w:val="00AC5AD9"/>
    <w:rsid w:val="00AC604E"/>
    <w:rsid w:val="00AC617F"/>
    <w:rsid w:val="00AC6528"/>
    <w:rsid w:val="00AC6ED6"/>
    <w:rsid w:val="00AC6FFF"/>
    <w:rsid w:val="00AC70F9"/>
    <w:rsid w:val="00AC7B95"/>
    <w:rsid w:val="00AD0D23"/>
    <w:rsid w:val="00AD0D51"/>
    <w:rsid w:val="00AD12F1"/>
    <w:rsid w:val="00AD3A40"/>
    <w:rsid w:val="00AD42A7"/>
    <w:rsid w:val="00AD46E2"/>
    <w:rsid w:val="00AD4A7D"/>
    <w:rsid w:val="00AD5055"/>
    <w:rsid w:val="00AD5CC5"/>
    <w:rsid w:val="00AD5E46"/>
    <w:rsid w:val="00AD6108"/>
    <w:rsid w:val="00AD641C"/>
    <w:rsid w:val="00AD717A"/>
    <w:rsid w:val="00AD7555"/>
    <w:rsid w:val="00AE0429"/>
    <w:rsid w:val="00AE1295"/>
    <w:rsid w:val="00AE13ED"/>
    <w:rsid w:val="00AE1413"/>
    <w:rsid w:val="00AE171F"/>
    <w:rsid w:val="00AE1CC5"/>
    <w:rsid w:val="00AE1D9B"/>
    <w:rsid w:val="00AE3735"/>
    <w:rsid w:val="00AE3A0A"/>
    <w:rsid w:val="00AE3B35"/>
    <w:rsid w:val="00AE543A"/>
    <w:rsid w:val="00AE54D5"/>
    <w:rsid w:val="00AE5709"/>
    <w:rsid w:val="00AE5C2E"/>
    <w:rsid w:val="00AE6146"/>
    <w:rsid w:val="00AE7AC8"/>
    <w:rsid w:val="00AE7C3E"/>
    <w:rsid w:val="00AF0558"/>
    <w:rsid w:val="00AF080A"/>
    <w:rsid w:val="00AF0BE2"/>
    <w:rsid w:val="00AF1A1B"/>
    <w:rsid w:val="00AF1DE6"/>
    <w:rsid w:val="00AF22F0"/>
    <w:rsid w:val="00AF277A"/>
    <w:rsid w:val="00AF2926"/>
    <w:rsid w:val="00AF3AE2"/>
    <w:rsid w:val="00AF45D2"/>
    <w:rsid w:val="00AF4702"/>
    <w:rsid w:val="00AF4D25"/>
    <w:rsid w:val="00AF58DD"/>
    <w:rsid w:val="00AF5B9A"/>
    <w:rsid w:val="00AF5C44"/>
    <w:rsid w:val="00AF5FF2"/>
    <w:rsid w:val="00AF60CD"/>
    <w:rsid w:val="00AF6517"/>
    <w:rsid w:val="00AF6D72"/>
    <w:rsid w:val="00AF6DC7"/>
    <w:rsid w:val="00AF6EB6"/>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80B"/>
    <w:rsid w:val="00B13D45"/>
    <w:rsid w:val="00B13F16"/>
    <w:rsid w:val="00B1426D"/>
    <w:rsid w:val="00B14583"/>
    <w:rsid w:val="00B1505B"/>
    <w:rsid w:val="00B15379"/>
    <w:rsid w:val="00B172C5"/>
    <w:rsid w:val="00B177EF"/>
    <w:rsid w:val="00B20237"/>
    <w:rsid w:val="00B21125"/>
    <w:rsid w:val="00B21D44"/>
    <w:rsid w:val="00B22324"/>
    <w:rsid w:val="00B22422"/>
    <w:rsid w:val="00B22E34"/>
    <w:rsid w:val="00B237AA"/>
    <w:rsid w:val="00B2383B"/>
    <w:rsid w:val="00B23890"/>
    <w:rsid w:val="00B23B12"/>
    <w:rsid w:val="00B25F1A"/>
    <w:rsid w:val="00B268E8"/>
    <w:rsid w:val="00B307D7"/>
    <w:rsid w:val="00B31744"/>
    <w:rsid w:val="00B31CD7"/>
    <w:rsid w:val="00B323DA"/>
    <w:rsid w:val="00B328BF"/>
    <w:rsid w:val="00B32F40"/>
    <w:rsid w:val="00B330F8"/>
    <w:rsid w:val="00B3345D"/>
    <w:rsid w:val="00B33AE6"/>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921"/>
    <w:rsid w:val="00B51F4C"/>
    <w:rsid w:val="00B522D0"/>
    <w:rsid w:val="00B52430"/>
    <w:rsid w:val="00B52F19"/>
    <w:rsid w:val="00B52F91"/>
    <w:rsid w:val="00B54A8D"/>
    <w:rsid w:val="00B552AB"/>
    <w:rsid w:val="00B567E8"/>
    <w:rsid w:val="00B56948"/>
    <w:rsid w:val="00B56F73"/>
    <w:rsid w:val="00B576F8"/>
    <w:rsid w:val="00B57D33"/>
    <w:rsid w:val="00B60B04"/>
    <w:rsid w:val="00B60B27"/>
    <w:rsid w:val="00B61391"/>
    <w:rsid w:val="00B61705"/>
    <w:rsid w:val="00B6195F"/>
    <w:rsid w:val="00B62C2A"/>
    <w:rsid w:val="00B62E23"/>
    <w:rsid w:val="00B6368C"/>
    <w:rsid w:val="00B64E68"/>
    <w:rsid w:val="00B65199"/>
    <w:rsid w:val="00B65208"/>
    <w:rsid w:val="00B65403"/>
    <w:rsid w:val="00B655B2"/>
    <w:rsid w:val="00B660E0"/>
    <w:rsid w:val="00B6636D"/>
    <w:rsid w:val="00B66569"/>
    <w:rsid w:val="00B67B45"/>
    <w:rsid w:val="00B7082C"/>
    <w:rsid w:val="00B7090F"/>
    <w:rsid w:val="00B70F54"/>
    <w:rsid w:val="00B71ED1"/>
    <w:rsid w:val="00B71F06"/>
    <w:rsid w:val="00B72721"/>
    <w:rsid w:val="00B728AD"/>
    <w:rsid w:val="00B729BC"/>
    <w:rsid w:val="00B73E78"/>
    <w:rsid w:val="00B74AD7"/>
    <w:rsid w:val="00B7655B"/>
    <w:rsid w:val="00B76C86"/>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5418"/>
    <w:rsid w:val="00B85DC5"/>
    <w:rsid w:val="00B86CD5"/>
    <w:rsid w:val="00B87004"/>
    <w:rsid w:val="00B87730"/>
    <w:rsid w:val="00B87986"/>
    <w:rsid w:val="00B87F88"/>
    <w:rsid w:val="00B90D76"/>
    <w:rsid w:val="00B90DCE"/>
    <w:rsid w:val="00B9156E"/>
    <w:rsid w:val="00B923D7"/>
    <w:rsid w:val="00B9244C"/>
    <w:rsid w:val="00B92817"/>
    <w:rsid w:val="00B92AB1"/>
    <w:rsid w:val="00B94825"/>
    <w:rsid w:val="00B94C6B"/>
    <w:rsid w:val="00B94C9D"/>
    <w:rsid w:val="00B9595C"/>
    <w:rsid w:val="00B96267"/>
    <w:rsid w:val="00B96703"/>
    <w:rsid w:val="00B96B4D"/>
    <w:rsid w:val="00B9723B"/>
    <w:rsid w:val="00B9750D"/>
    <w:rsid w:val="00B9763C"/>
    <w:rsid w:val="00B97E38"/>
    <w:rsid w:val="00BA0150"/>
    <w:rsid w:val="00BA094D"/>
    <w:rsid w:val="00BA38B7"/>
    <w:rsid w:val="00BA4D3F"/>
    <w:rsid w:val="00BA51BC"/>
    <w:rsid w:val="00BA584A"/>
    <w:rsid w:val="00BA6F0D"/>
    <w:rsid w:val="00BA7502"/>
    <w:rsid w:val="00BB0244"/>
    <w:rsid w:val="00BB0EAA"/>
    <w:rsid w:val="00BB1259"/>
    <w:rsid w:val="00BB23B4"/>
    <w:rsid w:val="00BB2ACA"/>
    <w:rsid w:val="00BB2F3C"/>
    <w:rsid w:val="00BB342B"/>
    <w:rsid w:val="00BB3627"/>
    <w:rsid w:val="00BB36EB"/>
    <w:rsid w:val="00BB3F54"/>
    <w:rsid w:val="00BB48E0"/>
    <w:rsid w:val="00BB48F4"/>
    <w:rsid w:val="00BB4A65"/>
    <w:rsid w:val="00BB4CC3"/>
    <w:rsid w:val="00BB5265"/>
    <w:rsid w:val="00BB6555"/>
    <w:rsid w:val="00BB68ED"/>
    <w:rsid w:val="00BB6968"/>
    <w:rsid w:val="00BB7DF1"/>
    <w:rsid w:val="00BC03D7"/>
    <w:rsid w:val="00BC09A0"/>
    <w:rsid w:val="00BC0E65"/>
    <w:rsid w:val="00BC12AD"/>
    <w:rsid w:val="00BC141E"/>
    <w:rsid w:val="00BC2223"/>
    <w:rsid w:val="00BC2BDF"/>
    <w:rsid w:val="00BC2D7F"/>
    <w:rsid w:val="00BC309E"/>
    <w:rsid w:val="00BC37ED"/>
    <w:rsid w:val="00BC5437"/>
    <w:rsid w:val="00BC5604"/>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C88"/>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1"/>
    <w:rsid w:val="00BE2237"/>
    <w:rsid w:val="00BE24E7"/>
    <w:rsid w:val="00BE29DB"/>
    <w:rsid w:val="00BE2A62"/>
    <w:rsid w:val="00BE349A"/>
    <w:rsid w:val="00BE3694"/>
    <w:rsid w:val="00BE450C"/>
    <w:rsid w:val="00BE4DD5"/>
    <w:rsid w:val="00BE531D"/>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092"/>
    <w:rsid w:val="00BF63E8"/>
    <w:rsid w:val="00BF6ADB"/>
    <w:rsid w:val="00BF6BA6"/>
    <w:rsid w:val="00BF6F4D"/>
    <w:rsid w:val="00BF7557"/>
    <w:rsid w:val="00C003C6"/>
    <w:rsid w:val="00C00410"/>
    <w:rsid w:val="00C00742"/>
    <w:rsid w:val="00C013BC"/>
    <w:rsid w:val="00C02474"/>
    <w:rsid w:val="00C03378"/>
    <w:rsid w:val="00C03EC5"/>
    <w:rsid w:val="00C03FC3"/>
    <w:rsid w:val="00C04193"/>
    <w:rsid w:val="00C04451"/>
    <w:rsid w:val="00C04A15"/>
    <w:rsid w:val="00C053BA"/>
    <w:rsid w:val="00C05F11"/>
    <w:rsid w:val="00C0647E"/>
    <w:rsid w:val="00C0679A"/>
    <w:rsid w:val="00C06FF7"/>
    <w:rsid w:val="00C0719C"/>
    <w:rsid w:val="00C072B9"/>
    <w:rsid w:val="00C0779C"/>
    <w:rsid w:val="00C07BDB"/>
    <w:rsid w:val="00C07CA4"/>
    <w:rsid w:val="00C102A1"/>
    <w:rsid w:val="00C1090F"/>
    <w:rsid w:val="00C10926"/>
    <w:rsid w:val="00C10F5A"/>
    <w:rsid w:val="00C114A3"/>
    <w:rsid w:val="00C11688"/>
    <w:rsid w:val="00C11698"/>
    <w:rsid w:val="00C117C5"/>
    <w:rsid w:val="00C12650"/>
    <w:rsid w:val="00C1284C"/>
    <w:rsid w:val="00C13956"/>
    <w:rsid w:val="00C13D84"/>
    <w:rsid w:val="00C14312"/>
    <w:rsid w:val="00C14907"/>
    <w:rsid w:val="00C14CF2"/>
    <w:rsid w:val="00C15743"/>
    <w:rsid w:val="00C162AD"/>
    <w:rsid w:val="00C1691E"/>
    <w:rsid w:val="00C16A45"/>
    <w:rsid w:val="00C16C9B"/>
    <w:rsid w:val="00C16D42"/>
    <w:rsid w:val="00C1741B"/>
    <w:rsid w:val="00C17A99"/>
    <w:rsid w:val="00C21330"/>
    <w:rsid w:val="00C22276"/>
    <w:rsid w:val="00C2248E"/>
    <w:rsid w:val="00C228B8"/>
    <w:rsid w:val="00C24316"/>
    <w:rsid w:val="00C25EA7"/>
    <w:rsid w:val="00C26090"/>
    <w:rsid w:val="00C26241"/>
    <w:rsid w:val="00C26F43"/>
    <w:rsid w:val="00C3030F"/>
    <w:rsid w:val="00C30423"/>
    <w:rsid w:val="00C307DD"/>
    <w:rsid w:val="00C3088C"/>
    <w:rsid w:val="00C30D90"/>
    <w:rsid w:val="00C3250D"/>
    <w:rsid w:val="00C32964"/>
    <w:rsid w:val="00C32AEE"/>
    <w:rsid w:val="00C32C69"/>
    <w:rsid w:val="00C32FEC"/>
    <w:rsid w:val="00C33E58"/>
    <w:rsid w:val="00C34B90"/>
    <w:rsid w:val="00C34D57"/>
    <w:rsid w:val="00C3550A"/>
    <w:rsid w:val="00C35688"/>
    <w:rsid w:val="00C359A1"/>
    <w:rsid w:val="00C35C3A"/>
    <w:rsid w:val="00C35D09"/>
    <w:rsid w:val="00C36BAB"/>
    <w:rsid w:val="00C37508"/>
    <w:rsid w:val="00C40091"/>
    <w:rsid w:val="00C4046C"/>
    <w:rsid w:val="00C41BBE"/>
    <w:rsid w:val="00C41CC4"/>
    <w:rsid w:val="00C42095"/>
    <w:rsid w:val="00C42ABD"/>
    <w:rsid w:val="00C43179"/>
    <w:rsid w:val="00C4378E"/>
    <w:rsid w:val="00C4418B"/>
    <w:rsid w:val="00C447AA"/>
    <w:rsid w:val="00C44A6B"/>
    <w:rsid w:val="00C44AFD"/>
    <w:rsid w:val="00C44F77"/>
    <w:rsid w:val="00C4507A"/>
    <w:rsid w:val="00C459D1"/>
    <w:rsid w:val="00C460F5"/>
    <w:rsid w:val="00C4628C"/>
    <w:rsid w:val="00C463F3"/>
    <w:rsid w:val="00C469C2"/>
    <w:rsid w:val="00C47B8B"/>
    <w:rsid w:val="00C47C16"/>
    <w:rsid w:val="00C50596"/>
    <w:rsid w:val="00C51334"/>
    <w:rsid w:val="00C516C6"/>
    <w:rsid w:val="00C51FC7"/>
    <w:rsid w:val="00C52300"/>
    <w:rsid w:val="00C52790"/>
    <w:rsid w:val="00C5292C"/>
    <w:rsid w:val="00C52BAE"/>
    <w:rsid w:val="00C52C71"/>
    <w:rsid w:val="00C52F01"/>
    <w:rsid w:val="00C52FD1"/>
    <w:rsid w:val="00C5312C"/>
    <w:rsid w:val="00C53C75"/>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2E13"/>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C6C"/>
    <w:rsid w:val="00C75DEB"/>
    <w:rsid w:val="00C76322"/>
    <w:rsid w:val="00C76A6E"/>
    <w:rsid w:val="00C77E7F"/>
    <w:rsid w:val="00C804C3"/>
    <w:rsid w:val="00C81C15"/>
    <w:rsid w:val="00C821BE"/>
    <w:rsid w:val="00C82ABD"/>
    <w:rsid w:val="00C82F3B"/>
    <w:rsid w:val="00C83B21"/>
    <w:rsid w:val="00C8407C"/>
    <w:rsid w:val="00C84245"/>
    <w:rsid w:val="00C8462F"/>
    <w:rsid w:val="00C85D2E"/>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0"/>
    <w:rsid w:val="00C95F24"/>
    <w:rsid w:val="00C96230"/>
    <w:rsid w:val="00C96595"/>
    <w:rsid w:val="00C96CB1"/>
    <w:rsid w:val="00CA0704"/>
    <w:rsid w:val="00CA093B"/>
    <w:rsid w:val="00CA0D8A"/>
    <w:rsid w:val="00CA128B"/>
    <w:rsid w:val="00CA16AF"/>
    <w:rsid w:val="00CA16C7"/>
    <w:rsid w:val="00CA318B"/>
    <w:rsid w:val="00CA323A"/>
    <w:rsid w:val="00CA325F"/>
    <w:rsid w:val="00CA3625"/>
    <w:rsid w:val="00CA3983"/>
    <w:rsid w:val="00CA3DC4"/>
    <w:rsid w:val="00CA4058"/>
    <w:rsid w:val="00CA408E"/>
    <w:rsid w:val="00CA4888"/>
    <w:rsid w:val="00CA49F7"/>
    <w:rsid w:val="00CA4A88"/>
    <w:rsid w:val="00CA4BC1"/>
    <w:rsid w:val="00CA4E46"/>
    <w:rsid w:val="00CA54EE"/>
    <w:rsid w:val="00CA5EA0"/>
    <w:rsid w:val="00CA648C"/>
    <w:rsid w:val="00CB0300"/>
    <w:rsid w:val="00CB0B81"/>
    <w:rsid w:val="00CB136F"/>
    <w:rsid w:val="00CB1642"/>
    <w:rsid w:val="00CB17A6"/>
    <w:rsid w:val="00CB2CBF"/>
    <w:rsid w:val="00CB3C8F"/>
    <w:rsid w:val="00CB46E8"/>
    <w:rsid w:val="00CB49AB"/>
    <w:rsid w:val="00CB4A1B"/>
    <w:rsid w:val="00CB4F2D"/>
    <w:rsid w:val="00CB50C4"/>
    <w:rsid w:val="00CB603F"/>
    <w:rsid w:val="00CB66F5"/>
    <w:rsid w:val="00CB6D6E"/>
    <w:rsid w:val="00CB7196"/>
    <w:rsid w:val="00CB774E"/>
    <w:rsid w:val="00CC00C9"/>
    <w:rsid w:val="00CC02F6"/>
    <w:rsid w:val="00CC06A0"/>
    <w:rsid w:val="00CC1F0A"/>
    <w:rsid w:val="00CC1F3D"/>
    <w:rsid w:val="00CC240B"/>
    <w:rsid w:val="00CC2695"/>
    <w:rsid w:val="00CC2733"/>
    <w:rsid w:val="00CC33B3"/>
    <w:rsid w:val="00CC375D"/>
    <w:rsid w:val="00CC4439"/>
    <w:rsid w:val="00CC51DF"/>
    <w:rsid w:val="00CC72D7"/>
    <w:rsid w:val="00CC77D9"/>
    <w:rsid w:val="00CC798F"/>
    <w:rsid w:val="00CC7D6A"/>
    <w:rsid w:val="00CC7E72"/>
    <w:rsid w:val="00CD0653"/>
    <w:rsid w:val="00CD1168"/>
    <w:rsid w:val="00CD15EE"/>
    <w:rsid w:val="00CD160B"/>
    <w:rsid w:val="00CD1CA9"/>
    <w:rsid w:val="00CD1EF2"/>
    <w:rsid w:val="00CD222E"/>
    <w:rsid w:val="00CD23A7"/>
    <w:rsid w:val="00CD2C29"/>
    <w:rsid w:val="00CD2C94"/>
    <w:rsid w:val="00CD2D4A"/>
    <w:rsid w:val="00CD3A55"/>
    <w:rsid w:val="00CD4173"/>
    <w:rsid w:val="00CD4760"/>
    <w:rsid w:val="00CD56C7"/>
    <w:rsid w:val="00CD56EF"/>
    <w:rsid w:val="00CD5780"/>
    <w:rsid w:val="00CD596E"/>
    <w:rsid w:val="00CD59EB"/>
    <w:rsid w:val="00CD5BB9"/>
    <w:rsid w:val="00CD6297"/>
    <w:rsid w:val="00CD6635"/>
    <w:rsid w:val="00CD674A"/>
    <w:rsid w:val="00CD685D"/>
    <w:rsid w:val="00CD6B80"/>
    <w:rsid w:val="00CD788F"/>
    <w:rsid w:val="00CE077E"/>
    <w:rsid w:val="00CE0D3F"/>
    <w:rsid w:val="00CE174F"/>
    <w:rsid w:val="00CE1860"/>
    <w:rsid w:val="00CE1B9C"/>
    <w:rsid w:val="00CE219A"/>
    <w:rsid w:val="00CE2743"/>
    <w:rsid w:val="00CE2B91"/>
    <w:rsid w:val="00CE384B"/>
    <w:rsid w:val="00CE3EA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1CC7"/>
    <w:rsid w:val="00D02338"/>
    <w:rsid w:val="00D023EC"/>
    <w:rsid w:val="00D02806"/>
    <w:rsid w:val="00D02E81"/>
    <w:rsid w:val="00D0440D"/>
    <w:rsid w:val="00D0459F"/>
    <w:rsid w:val="00D053C7"/>
    <w:rsid w:val="00D05492"/>
    <w:rsid w:val="00D05AFD"/>
    <w:rsid w:val="00D06934"/>
    <w:rsid w:val="00D06942"/>
    <w:rsid w:val="00D07009"/>
    <w:rsid w:val="00D074C3"/>
    <w:rsid w:val="00D07DB9"/>
    <w:rsid w:val="00D07EE8"/>
    <w:rsid w:val="00D10B40"/>
    <w:rsid w:val="00D12877"/>
    <w:rsid w:val="00D1293D"/>
    <w:rsid w:val="00D132C5"/>
    <w:rsid w:val="00D1344D"/>
    <w:rsid w:val="00D1379F"/>
    <w:rsid w:val="00D14946"/>
    <w:rsid w:val="00D14D64"/>
    <w:rsid w:val="00D14F2A"/>
    <w:rsid w:val="00D1526A"/>
    <w:rsid w:val="00D152CC"/>
    <w:rsid w:val="00D15C23"/>
    <w:rsid w:val="00D15C3C"/>
    <w:rsid w:val="00D15DA8"/>
    <w:rsid w:val="00D163AE"/>
    <w:rsid w:val="00D1694C"/>
    <w:rsid w:val="00D169C0"/>
    <w:rsid w:val="00D16EF7"/>
    <w:rsid w:val="00D175B9"/>
    <w:rsid w:val="00D17613"/>
    <w:rsid w:val="00D1766A"/>
    <w:rsid w:val="00D20109"/>
    <w:rsid w:val="00D20184"/>
    <w:rsid w:val="00D20779"/>
    <w:rsid w:val="00D20DEA"/>
    <w:rsid w:val="00D224DB"/>
    <w:rsid w:val="00D23D79"/>
    <w:rsid w:val="00D23DD8"/>
    <w:rsid w:val="00D23FD7"/>
    <w:rsid w:val="00D2425F"/>
    <w:rsid w:val="00D24BDB"/>
    <w:rsid w:val="00D25025"/>
    <w:rsid w:val="00D2602B"/>
    <w:rsid w:val="00D26ADC"/>
    <w:rsid w:val="00D30800"/>
    <w:rsid w:val="00D30CB1"/>
    <w:rsid w:val="00D311E0"/>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B75"/>
    <w:rsid w:val="00D41F6D"/>
    <w:rsid w:val="00D422FD"/>
    <w:rsid w:val="00D42CAF"/>
    <w:rsid w:val="00D4312F"/>
    <w:rsid w:val="00D432A4"/>
    <w:rsid w:val="00D43343"/>
    <w:rsid w:val="00D43B4D"/>
    <w:rsid w:val="00D43F23"/>
    <w:rsid w:val="00D43F41"/>
    <w:rsid w:val="00D44716"/>
    <w:rsid w:val="00D455BC"/>
    <w:rsid w:val="00D4572F"/>
    <w:rsid w:val="00D46A7A"/>
    <w:rsid w:val="00D46F4F"/>
    <w:rsid w:val="00D47075"/>
    <w:rsid w:val="00D475A1"/>
    <w:rsid w:val="00D4770C"/>
    <w:rsid w:val="00D47865"/>
    <w:rsid w:val="00D47D13"/>
    <w:rsid w:val="00D47D83"/>
    <w:rsid w:val="00D50547"/>
    <w:rsid w:val="00D511EB"/>
    <w:rsid w:val="00D51958"/>
    <w:rsid w:val="00D51E40"/>
    <w:rsid w:val="00D51FCF"/>
    <w:rsid w:val="00D52AEB"/>
    <w:rsid w:val="00D536C5"/>
    <w:rsid w:val="00D5375B"/>
    <w:rsid w:val="00D54531"/>
    <w:rsid w:val="00D545F1"/>
    <w:rsid w:val="00D54BAC"/>
    <w:rsid w:val="00D5539C"/>
    <w:rsid w:val="00D55858"/>
    <w:rsid w:val="00D5619C"/>
    <w:rsid w:val="00D561A0"/>
    <w:rsid w:val="00D561A4"/>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30F"/>
    <w:rsid w:val="00D6347E"/>
    <w:rsid w:val="00D63707"/>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5BFB"/>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4BE4"/>
    <w:rsid w:val="00D85109"/>
    <w:rsid w:val="00D859E2"/>
    <w:rsid w:val="00D865C1"/>
    <w:rsid w:val="00D86D26"/>
    <w:rsid w:val="00D87553"/>
    <w:rsid w:val="00D901A0"/>
    <w:rsid w:val="00D9069A"/>
    <w:rsid w:val="00D907A9"/>
    <w:rsid w:val="00D908D8"/>
    <w:rsid w:val="00D90E8A"/>
    <w:rsid w:val="00D913F8"/>
    <w:rsid w:val="00D914F0"/>
    <w:rsid w:val="00D9161F"/>
    <w:rsid w:val="00D91D21"/>
    <w:rsid w:val="00D91EDE"/>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0E57"/>
    <w:rsid w:val="00DA164C"/>
    <w:rsid w:val="00DA1EF2"/>
    <w:rsid w:val="00DA2594"/>
    <w:rsid w:val="00DA2A39"/>
    <w:rsid w:val="00DA2F2B"/>
    <w:rsid w:val="00DA30BD"/>
    <w:rsid w:val="00DA3445"/>
    <w:rsid w:val="00DA3819"/>
    <w:rsid w:val="00DA4208"/>
    <w:rsid w:val="00DA4253"/>
    <w:rsid w:val="00DA4418"/>
    <w:rsid w:val="00DA5420"/>
    <w:rsid w:val="00DA5B8A"/>
    <w:rsid w:val="00DA6A95"/>
    <w:rsid w:val="00DA6E7D"/>
    <w:rsid w:val="00DA71FE"/>
    <w:rsid w:val="00DA733A"/>
    <w:rsid w:val="00DA7777"/>
    <w:rsid w:val="00DB0C81"/>
    <w:rsid w:val="00DB0F17"/>
    <w:rsid w:val="00DB0FB5"/>
    <w:rsid w:val="00DB2733"/>
    <w:rsid w:val="00DB2B95"/>
    <w:rsid w:val="00DB4883"/>
    <w:rsid w:val="00DB611E"/>
    <w:rsid w:val="00DB6CAA"/>
    <w:rsid w:val="00DB755B"/>
    <w:rsid w:val="00DB7575"/>
    <w:rsid w:val="00DC01C1"/>
    <w:rsid w:val="00DC0392"/>
    <w:rsid w:val="00DC0AB0"/>
    <w:rsid w:val="00DC0D7B"/>
    <w:rsid w:val="00DC1069"/>
    <w:rsid w:val="00DC127E"/>
    <w:rsid w:val="00DC25AA"/>
    <w:rsid w:val="00DC262C"/>
    <w:rsid w:val="00DC2827"/>
    <w:rsid w:val="00DC29C0"/>
    <w:rsid w:val="00DC2F23"/>
    <w:rsid w:val="00DC2FF6"/>
    <w:rsid w:val="00DC398C"/>
    <w:rsid w:val="00DC3C41"/>
    <w:rsid w:val="00DC3E32"/>
    <w:rsid w:val="00DC47CA"/>
    <w:rsid w:val="00DC4B8E"/>
    <w:rsid w:val="00DC4CBD"/>
    <w:rsid w:val="00DC57BF"/>
    <w:rsid w:val="00DC5E86"/>
    <w:rsid w:val="00DC5F23"/>
    <w:rsid w:val="00DC608B"/>
    <w:rsid w:val="00DC6252"/>
    <w:rsid w:val="00DC6EA2"/>
    <w:rsid w:val="00DC797F"/>
    <w:rsid w:val="00DC7A07"/>
    <w:rsid w:val="00DC7C2A"/>
    <w:rsid w:val="00DD0038"/>
    <w:rsid w:val="00DD0194"/>
    <w:rsid w:val="00DD0B56"/>
    <w:rsid w:val="00DD0FBA"/>
    <w:rsid w:val="00DD3433"/>
    <w:rsid w:val="00DD3981"/>
    <w:rsid w:val="00DD451B"/>
    <w:rsid w:val="00DD4F65"/>
    <w:rsid w:val="00DD5497"/>
    <w:rsid w:val="00DD6862"/>
    <w:rsid w:val="00DD6ED6"/>
    <w:rsid w:val="00DD7C1D"/>
    <w:rsid w:val="00DE02F3"/>
    <w:rsid w:val="00DE0410"/>
    <w:rsid w:val="00DE063A"/>
    <w:rsid w:val="00DE15BC"/>
    <w:rsid w:val="00DE15F4"/>
    <w:rsid w:val="00DE1674"/>
    <w:rsid w:val="00DE1D03"/>
    <w:rsid w:val="00DE205F"/>
    <w:rsid w:val="00DE22E9"/>
    <w:rsid w:val="00DE236C"/>
    <w:rsid w:val="00DE4AF1"/>
    <w:rsid w:val="00DE52C2"/>
    <w:rsid w:val="00DE5335"/>
    <w:rsid w:val="00DE5DC5"/>
    <w:rsid w:val="00DE6ABF"/>
    <w:rsid w:val="00DE7487"/>
    <w:rsid w:val="00DE7619"/>
    <w:rsid w:val="00DE77D3"/>
    <w:rsid w:val="00DE7BF1"/>
    <w:rsid w:val="00DE7D88"/>
    <w:rsid w:val="00DF060D"/>
    <w:rsid w:val="00DF0854"/>
    <w:rsid w:val="00DF141D"/>
    <w:rsid w:val="00DF33A0"/>
    <w:rsid w:val="00DF3539"/>
    <w:rsid w:val="00DF42D8"/>
    <w:rsid w:val="00DF5127"/>
    <w:rsid w:val="00DF530E"/>
    <w:rsid w:val="00DF5366"/>
    <w:rsid w:val="00DF59A9"/>
    <w:rsid w:val="00DF5D1D"/>
    <w:rsid w:val="00DF680D"/>
    <w:rsid w:val="00DF6DCF"/>
    <w:rsid w:val="00DF768B"/>
    <w:rsid w:val="00E0005D"/>
    <w:rsid w:val="00E006C8"/>
    <w:rsid w:val="00E00707"/>
    <w:rsid w:val="00E01247"/>
    <w:rsid w:val="00E01841"/>
    <w:rsid w:val="00E018F5"/>
    <w:rsid w:val="00E01EF3"/>
    <w:rsid w:val="00E02272"/>
    <w:rsid w:val="00E02557"/>
    <w:rsid w:val="00E02A4B"/>
    <w:rsid w:val="00E02C70"/>
    <w:rsid w:val="00E032B1"/>
    <w:rsid w:val="00E0350D"/>
    <w:rsid w:val="00E03971"/>
    <w:rsid w:val="00E03E4C"/>
    <w:rsid w:val="00E047C6"/>
    <w:rsid w:val="00E04C70"/>
    <w:rsid w:val="00E057C4"/>
    <w:rsid w:val="00E05AFB"/>
    <w:rsid w:val="00E06343"/>
    <w:rsid w:val="00E06A39"/>
    <w:rsid w:val="00E10AE6"/>
    <w:rsid w:val="00E10C11"/>
    <w:rsid w:val="00E11245"/>
    <w:rsid w:val="00E11D6D"/>
    <w:rsid w:val="00E127E5"/>
    <w:rsid w:val="00E129DD"/>
    <w:rsid w:val="00E12A13"/>
    <w:rsid w:val="00E12A8C"/>
    <w:rsid w:val="00E1404C"/>
    <w:rsid w:val="00E145A2"/>
    <w:rsid w:val="00E14623"/>
    <w:rsid w:val="00E148B4"/>
    <w:rsid w:val="00E154A3"/>
    <w:rsid w:val="00E15889"/>
    <w:rsid w:val="00E15E69"/>
    <w:rsid w:val="00E16003"/>
    <w:rsid w:val="00E16CB0"/>
    <w:rsid w:val="00E16D40"/>
    <w:rsid w:val="00E173A8"/>
    <w:rsid w:val="00E2014F"/>
    <w:rsid w:val="00E20E91"/>
    <w:rsid w:val="00E212C2"/>
    <w:rsid w:val="00E213A3"/>
    <w:rsid w:val="00E215F9"/>
    <w:rsid w:val="00E21EB2"/>
    <w:rsid w:val="00E230D9"/>
    <w:rsid w:val="00E248C4"/>
    <w:rsid w:val="00E24D09"/>
    <w:rsid w:val="00E2515A"/>
    <w:rsid w:val="00E254BD"/>
    <w:rsid w:val="00E254E9"/>
    <w:rsid w:val="00E256F2"/>
    <w:rsid w:val="00E26CD2"/>
    <w:rsid w:val="00E26DB6"/>
    <w:rsid w:val="00E26EFC"/>
    <w:rsid w:val="00E26F4C"/>
    <w:rsid w:val="00E2720A"/>
    <w:rsid w:val="00E30155"/>
    <w:rsid w:val="00E307AC"/>
    <w:rsid w:val="00E308C9"/>
    <w:rsid w:val="00E30F3A"/>
    <w:rsid w:val="00E31610"/>
    <w:rsid w:val="00E31DEC"/>
    <w:rsid w:val="00E31F7B"/>
    <w:rsid w:val="00E31FE6"/>
    <w:rsid w:val="00E3252B"/>
    <w:rsid w:val="00E32947"/>
    <w:rsid w:val="00E32EBE"/>
    <w:rsid w:val="00E33902"/>
    <w:rsid w:val="00E345AD"/>
    <w:rsid w:val="00E34C1A"/>
    <w:rsid w:val="00E34CFE"/>
    <w:rsid w:val="00E34ED5"/>
    <w:rsid w:val="00E35968"/>
    <w:rsid w:val="00E36434"/>
    <w:rsid w:val="00E3655A"/>
    <w:rsid w:val="00E37472"/>
    <w:rsid w:val="00E408E6"/>
    <w:rsid w:val="00E4090A"/>
    <w:rsid w:val="00E40B5A"/>
    <w:rsid w:val="00E40D2C"/>
    <w:rsid w:val="00E41646"/>
    <w:rsid w:val="00E42488"/>
    <w:rsid w:val="00E438FF"/>
    <w:rsid w:val="00E44FD9"/>
    <w:rsid w:val="00E451DD"/>
    <w:rsid w:val="00E45461"/>
    <w:rsid w:val="00E45EDA"/>
    <w:rsid w:val="00E45F2A"/>
    <w:rsid w:val="00E4655E"/>
    <w:rsid w:val="00E46562"/>
    <w:rsid w:val="00E4672C"/>
    <w:rsid w:val="00E46A56"/>
    <w:rsid w:val="00E474B0"/>
    <w:rsid w:val="00E476EB"/>
    <w:rsid w:val="00E47995"/>
    <w:rsid w:val="00E47ABA"/>
    <w:rsid w:val="00E503ED"/>
    <w:rsid w:val="00E509D8"/>
    <w:rsid w:val="00E5123D"/>
    <w:rsid w:val="00E51536"/>
    <w:rsid w:val="00E520BC"/>
    <w:rsid w:val="00E52B65"/>
    <w:rsid w:val="00E52CD4"/>
    <w:rsid w:val="00E53821"/>
    <w:rsid w:val="00E53964"/>
    <w:rsid w:val="00E53F69"/>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7AB"/>
    <w:rsid w:val="00E63E47"/>
    <w:rsid w:val="00E640F8"/>
    <w:rsid w:val="00E64C3A"/>
    <w:rsid w:val="00E64FC2"/>
    <w:rsid w:val="00E65037"/>
    <w:rsid w:val="00E65C02"/>
    <w:rsid w:val="00E6696A"/>
    <w:rsid w:val="00E66B42"/>
    <w:rsid w:val="00E67BB6"/>
    <w:rsid w:val="00E67DD3"/>
    <w:rsid w:val="00E7013A"/>
    <w:rsid w:val="00E70CEA"/>
    <w:rsid w:val="00E713DA"/>
    <w:rsid w:val="00E73520"/>
    <w:rsid w:val="00E738A5"/>
    <w:rsid w:val="00E73932"/>
    <w:rsid w:val="00E7425F"/>
    <w:rsid w:val="00E7468A"/>
    <w:rsid w:val="00E747ED"/>
    <w:rsid w:val="00E74812"/>
    <w:rsid w:val="00E74E14"/>
    <w:rsid w:val="00E758D4"/>
    <w:rsid w:val="00E75F41"/>
    <w:rsid w:val="00E76948"/>
    <w:rsid w:val="00E76C25"/>
    <w:rsid w:val="00E76E16"/>
    <w:rsid w:val="00E77A1D"/>
    <w:rsid w:val="00E77CA6"/>
    <w:rsid w:val="00E80342"/>
    <w:rsid w:val="00E80375"/>
    <w:rsid w:val="00E80DE4"/>
    <w:rsid w:val="00E80EA4"/>
    <w:rsid w:val="00E81607"/>
    <w:rsid w:val="00E817E5"/>
    <w:rsid w:val="00E81A99"/>
    <w:rsid w:val="00E81CDE"/>
    <w:rsid w:val="00E8231E"/>
    <w:rsid w:val="00E82345"/>
    <w:rsid w:val="00E8234E"/>
    <w:rsid w:val="00E82A8E"/>
    <w:rsid w:val="00E82C8D"/>
    <w:rsid w:val="00E831EA"/>
    <w:rsid w:val="00E83498"/>
    <w:rsid w:val="00E83C9B"/>
    <w:rsid w:val="00E84031"/>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DAA"/>
    <w:rsid w:val="00E97E45"/>
    <w:rsid w:val="00EA000A"/>
    <w:rsid w:val="00EA06E0"/>
    <w:rsid w:val="00EA1143"/>
    <w:rsid w:val="00EA162E"/>
    <w:rsid w:val="00EA19E4"/>
    <w:rsid w:val="00EA3204"/>
    <w:rsid w:val="00EA3503"/>
    <w:rsid w:val="00EA3AB3"/>
    <w:rsid w:val="00EA4853"/>
    <w:rsid w:val="00EA4D94"/>
    <w:rsid w:val="00EA4ECB"/>
    <w:rsid w:val="00EA675F"/>
    <w:rsid w:val="00EA6C95"/>
    <w:rsid w:val="00EA7DFA"/>
    <w:rsid w:val="00EA7EE8"/>
    <w:rsid w:val="00EB0897"/>
    <w:rsid w:val="00EB0AAF"/>
    <w:rsid w:val="00EB18FE"/>
    <w:rsid w:val="00EB1AAB"/>
    <w:rsid w:val="00EB1B49"/>
    <w:rsid w:val="00EB1ED9"/>
    <w:rsid w:val="00EB1F41"/>
    <w:rsid w:val="00EB201A"/>
    <w:rsid w:val="00EB2584"/>
    <w:rsid w:val="00EB2DE1"/>
    <w:rsid w:val="00EB2E7A"/>
    <w:rsid w:val="00EB3871"/>
    <w:rsid w:val="00EB412A"/>
    <w:rsid w:val="00EB47BA"/>
    <w:rsid w:val="00EB5309"/>
    <w:rsid w:val="00EB54F3"/>
    <w:rsid w:val="00EB5614"/>
    <w:rsid w:val="00EB591B"/>
    <w:rsid w:val="00EB5ED3"/>
    <w:rsid w:val="00EB6031"/>
    <w:rsid w:val="00EB674E"/>
    <w:rsid w:val="00EB6E58"/>
    <w:rsid w:val="00EC076E"/>
    <w:rsid w:val="00EC0FD9"/>
    <w:rsid w:val="00EC1106"/>
    <w:rsid w:val="00EC14C2"/>
    <w:rsid w:val="00EC1545"/>
    <w:rsid w:val="00EC1C55"/>
    <w:rsid w:val="00EC1D6C"/>
    <w:rsid w:val="00EC231E"/>
    <w:rsid w:val="00EC2E76"/>
    <w:rsid w:val="00EC36AB"/>
    <w:rsid w:val="00EC3700"/>
    <w:rsid w:val="00EC3DFB"/>
    <w:rsid w:val="00EC43E4"/>
    <w:rsid w:val="00EC4730"/>
    <w:rsid w:val="00EC4D70"/>
    <w:rsid w:val="00EC6A24"/>
    <w:rsid w:val="00EC6CCE"/>
    <w:rsid w:val="00EC6FEB"/>
    <w:rsid w:val="00EC744F"/>
    <w:rsid w:val="00EC7AAD"/>
    <w:rsid w:val="00EC7CB9"/>
    <w:rsid w:val="00ED0120"/>
    <w:rsid w:val="00ED0355"/>
    <w:rsid w:val="00ED07BB"/>
    <w:rsid w:val="00ED095E"/>
    <w:rsid w:val="00ED0A66"/>
    <w:rsid w:val="00ED0DDF"/>
    <w:rsid w:val="00ED0DFB"/>
    <w:rsid w:val="00ED178B"/>
    <w:rsid w:val="00ED1B10"/>
    <w:rsid w:val="00ED200D"/>
    <w:rsid w:val="00ED2123"/>
    <w:rsid w:val="00ED237A"/>
    <w:rsid w:val="00ED2585"/>
    <w:rsid w:val="00ED2C28"/>
    <w:rsid w:val="00ED2C44"/>
    <w:rsid w:val="00ED2E25"/>
    <w:rsid w:val="00ED3645"/>
    <w:rsid w:val="00ED3A9C"/>
    <w:rsid w:val="00ED400A"/>
    <w:rsid w:val="00ED4152"/>
    <w:rsid w:val="00ED4609"/>
    <w:rsid w:val="00ED4CEC"/>
    <w:rsid w:val="00ED58B9"/>
    <w:rsid w:val="00ED7546"/>
    <w:rsid w:val="00ED761C"/>
    <w:rsid w:val="00ED771B"/>
    <w:rsid w:val="00EE0602"/>
    <w:rsid w:val="00EE073E"/>
    <w:rsid w:val="00EE11C5"/>
    <w:rsid w:val="00EE1C6A"/>
    <w:rsid w:val="00EE24A9"/>
    <w:rsid w:val="00EE24EE"/>
    <w:rsid w:val="00EE2DC0"/>
    <w:rsid w:val="00EE33E5"/>
    <w:rsid w:val="00EE358B"/>
    <w:rsid w:val="00EE43BA"/>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6AE"/>
    <w:rsid w:val="00EF277F"/>
    <w:rsid w:val="00EF28EC"/>
    <w:rsid w:val="00EF327E"/>
    <w:rsid w:val="00EF3B97"/>
    <w:rsid w:val="00EF4D9E"/>
    <w:rsid w:val="00EF538A"/>
    <w:rsid w:val="00EF5414"/>
    <w:rsid w:val="00EF5AB0"/>
    <w:rsid w:val="00EF5EA0"/>
    <w:rsid w:val="00EF5F06"/>
    <w:rsid w:val="00EF693F"/>
    <w:rsid w:val="00F00495"/>
    <w:rsid w:val="00F00A78"/>
    <w:rsid w:val="00F00D7C"/>
    <w:rsid w:val="00F0144C"/>
    <w:rsid w:val="00F01CB2"/>
    <w:rsid w:val="00F01E43"/>
    <w:rsid w:val="00F03802"/>
    <w:rsid w:val="00F03921"/>
    <w:rsid w:val="00F03AC4"/>
    <w:rsid w:val="00F04236"/>
    <w:rsid w:val="00F04E65"/>
    <w:rsid w:val="00F05E8F"/>
    <w:rsid w:val="00F064E2"/>
    <w:rsid w:val="00F066CE"/>
    <w:rsid w:val="00F0705E"/>
    <w:rsid w:val="00F0796D"/>
    <w:rsid w:val="00F10456"/>
    <w:rsid w:val="00F10888"/>
    <w:rsid w:val="00F10C53"/>
    <w:rsid w:val="00F11D1E"/>
    <w:rsid w:val="00F120C9"/>
    <w:rsid w:val="00F1269F"/>
    <w:rsid w:val="00F1298D"/>
    <w:rsid w:val="00F1317B"/>
    <w:rsid w:val="00F1354F"/>
    <w:rsid w:val="00F13FED"/>
    <w:rsid w:val="00F1452A"/>
    <w:rsid w:val="00F14958"/>
    <w:rsid w:val="00F14AE9"/>
    <w:rsid w:val="00F15509"/>
    <w:rsid w:val="00F15891"/>
    <w:rsid w:val="00F15AD2"/>
    <w:rsid w:val="00F16FAA"/>
    <w:rsid w:val="00F1797A"/>
    <w:rsid w:val="00F17BBA"/>
    <w:rsid w:val="00F200A4"/>
    <w:rsid w:val="00F200EA"/>
    <w:rsid w:val="00F207B2"/>
    <w:rsid w:val="00F21060"/>
    <w:rsid w:val="00F2132F"/>
    <w:rsid w:val="00F213D0"/>
    <w:rsid w:val="00F213D5"/>
    <w:rsid w:val="00F21828"/>
    <w:rsid w:val="00F21AE7"/>
    <w:rsid w:val="00F22664"/>
    <w:rsid w:val="00F22922"/>
    <w:rsid w:val="00F2408A"/>
    <w:rsid w:val="00F24684"/>
    <w:rsid w:val="00F24D6C"/>
    <w:rsid w:val="00F251E9"/>
    <w:rsid w:val="00F25211"/>
    <w:rsid w:val="00F254E5"/>
    <w:rsid w:val="00F263D6"/>
    <w:rsid w:val="00F26AA7"/>
    <w:rsid w:val="00F272A5"/>
    <w:rsid w:val="00F31AFD"/>
    <w:rsid w:val="00F32483"/>
    <w:rsid w:val="00F32F19"/>
    <w:rsid w:val="00F34189"/>
    <w:rsid w:val="00F35207"/>
    <w:rsid w:val="00F3560B"/>
    <w:rsid w:val="00F35D7E"/>
    <w:rsid w:val="00F361B4"/>
    <w:rsid w:val="00F3720E"/>
    <w:rsid w:val="00F374C3"/>
    <w:rsid w:val="00F37DFF"/>
    <w:rsid w:val="00F40692"/>
    <w:rsid w:val="00F413D4"/>
    <w:rsid w:val="00F42953"/>
    <w:rsid w:val="00F42B12"/>
    <w:rsid w:val="00F42BAC"/>
    <w:rsid w:val="00F43BB5"/>
    <w:rsid w:val="00F43C4E"/>
    <w:rsid w:val="00F43E39"/>
    <w:rsid w:val="00F458FA"/>
    <w:rsid w:val="00F45B28"/>
    <w:rsid w:val="00F46236"/>
    <w:rsid w:val="00F4632A"/>
    <w:rsid w:val="00F469CA"/>
    <w:rsid w:val="00F500E0"/>
    <w:rsid w:val="00F508C6"/>
    <w:rsid w:val="00F51F87"/>
    <w:rsid w:val="00F5265D"/>
    <w:rsid w:val="00F52779"/>
    <w:rsid w:val="00F52C2B"/>
    <w:rsid w:val="00F52E28"/>
    <w:rsid w:val="00F54501"/>
    <w:rsid w:val="00F54B9D"/>
    <w:rsid w:val="00F550E4"/>
    <w:rsid w:val="00F55292"/>
    <w:rsid w:val="00F552BF"/>
    <w:rsid w:val="00F554E4"/>
    <w:rsid w:val="00F55A51"/>
    <w:rsid w:val="00F563F5"/>
    <w:rsid w:val="00F56EC3"/>
    <w:rsid w:val="00F5719E"/>
    <w:rsid w:val="00F57DDC"/>
    <w:rsid w:val="00F57F49"/>
    <w:rsid w:val="00F57F79"/>
    <w:rsid w:val="00F607E4"/>
    <w:rsid w:val="00F61179"/>
    <w:rsid w:val="00F625DC"/>
    <w:rsid w:val="00F63E02"/>
    <w:rsid w:val="00F64C9E"/>
    <w:rsid w:val="00F6626E"/>
    <w:rsid w:val="00F66501"/>
    <w:rsid w:val="00F66A19"/>
    <w:rsid w:val="00F670B6"/>
    <w:rsid w:val="00F673D8"/>
    <w:rsid w:val="00F71B34"/>
    <w:rsid w:val="00F72560"/>
    <w:rsid w:val="00F725FD"/>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06A"/>
    <w:rsid w:val="00F803DB"/>
    <w:rsid w:val="00F80A17"/>
    <w:rsid w:val="00F80CD4"/>
    <w:rsid w:val="00F80D8D"/>
    <w:rsid w:val="00F8123A"/>
    <w:rsid w:val="00F81909"/>
    <w:rsid w:val="00F819E5"/>
    <w:rsid w:val="00F82B27"/>
    <w:rsid w:val="00F82EED"/>
    <w:rsid w:val="00F83821"/>
    <w:rsid w:val="00F83D1C"/>
    <w:rsid w:val="00F84793"/>
    <w:rsid w:val="00F851B2"/>
    <w:rsid w:val="00F85950"/>
    <w:rsid w:val="00F862D6"/>
    <w:rsid w:val="00F87E70"/>
    <w:rsid w:val="00F90776"/>
    <w:rsid w:val="00F908DA"/>
    <w:rsid w:val="00F90C25"/>
    <w:rsid w:val="00F9193A"/>
    <w:rsid w:val="00F93BD3"/>
    <w:rsid w:val="00F94801"/>
    <w:rsid w:val="00F9482B"/>
    <w:rsid w:val="00F949D8"/>
    <w:rsid w:val="00F95BFF"/>
    <w:rsid w:val="00F9610C"/>
    <w:rsid w:val="00F96A1F"/>
    <w:rsid w:val="00F97D28"/>
    <w:rsid w:val="00FA0619"/>
    <w:rsid w:val="00FA11B6"/>
    <w:rsid w:val="00FA1D85"/>
    <w:rsid w:val="00FA270C"/>
    <w:rsid w:val="00FA2BAE"/>
    <w:rsid w:val="00FA37CB"/>
    <w:rsid w:val="00FA3909"/>
    <w:rsid w:val="00FA3AC1"/>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6C6"/>
    <w:rsid w:val="00FB5C65"/>
    <w:rsid w:val="00FB65AF"/>
    <w:rsid w:val="00FB6641"/>
    <w:rsid w:val="00FB6C93"/>
    <w:rsid w:val="00FB7969"/>
    <w:rsid w:val="00FB7DEC"/>
    <w:rsid w:val="00FC0FA0"/>
    <w:rsid w:val="00FC207D"/>
    <w:rsid w:val="00FC2A1E"/>
    <w:rsid w:val="00FC2AD6"/>
    <w:rsid w:val="00FC2C59"/>
    <w:rsid w:val="00FC2F0A"/>
    <w:rsid w:val="00FC34A5"/>
    <w:rsid w:val="00FC35C1"/>
    <w:rsid w:val="00FC3968"/>
    <w:rsid w:val="00FC42B4"/>
    <w:rsid w:val="00FC5175"/>
    <w:rsid w:val="00FC52F4"/>
    <w:rsid w:val="00FC5C80"/>
    <w:rsid w:val="00FC7709"/>
    <w:rsid w:val="00FC79D8"/>
    <w:rsid w:val="00FC7E65"/>
    <w:rsid w:val="00FC7EE0"/>
    <w:rsid w:val="00FD0288"/>
    <w:rsid w:val="00FD06EA"/>
    <w:rsid w:val="00FD143F"/>
    <w:rsid w:val="00FD1E92"/>
    <w:rsid w:val="00FD1ED9"/>
    <w:rsid w:val="00FD1F6D"/>
    <w:rsid w:val="00FD1FA7"/>
    <w:rsid w:val="00FD3FEF"/>
    <w:rsid w:val="00FD56C5"/>
    <w:rsid w:val="00FD5E7D"/>
    <w:rsid w:val="00FD6BF2"/>
    <w:rsid w:val="00FE0048"/>
    <w:rsid w:val="00FE0579"/>
    <w:rsid w:val="00FE073A"/>
    <w:rsid w:val="00FE0834"/>
    <w:rsid w:val="00FE0E3E"/>
    <w:rsid w:val="00FE1333"/>
    <w:rsid w:val="00FE2031"/>
    <w:rsid w:val="00FE2185"/>
    <w:rsid w:val="00FE231F"/>
    <w:rsid w:val="00FE2354"/>
    <w:rsid w:val="00FE240F"/>
    <w:rsid w:val="00FE26E0"/>
    <w:rsid w:val="00FE2D10"/>
    <w:rsid w:val="00FE367E"/>
    <w:rsid w:val="00FE37FF"/>
    <w:rsid w:val="00FE3AD5"/>
    <w:rsid w:val="00FE436E"/>
    <w:rsid w:val="00FE44F8"/>
    <w:rsid w:val="00FE4501"/>
    <w:rsid w:val="00FE4588"/>
    <w:rsid w:val="00FE5098"/>
    <w:rsid w:val="00FE56A9"/>
    <w:rsid w:val="00FE6204"/>
    <w:rsid w:val="00FE6228"/>
    <w:rsid w:val="00FE645C"/>
    <w:rsid w:val="00FE67BA"/>
    <w:rsid w:val="00FE6912"/>
    <w:rsid w:val="00FE6EE9"/>
    <w:rsid w:val="00FE757F"/>
    <w:rsid w:val="00FE79FF"/>
    <w:rsid w:val="00FE7AE4"/>
    <w:rsid w:val="00FF0300"/>
    <w:rsid w:val="00FF0E65"/>
    <w:rsid w:val="00FF0EDC"/>
    <w:rsid w:val="00FF1311"/>
    <w:rsid w:val="00FF170A"/>
    <w:rsid w:val="00FF19F7"/>
    <w:rsid w:val="00FF219D"/>
    <w:rsid w:val="00FF23AB"/>
    <w:rsid w:val="00FF23D8"/>
    <w:rsid w:val="00FF2D1B"/>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4157F"/>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7D"/>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26"/>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26"/>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Number leg2 1,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aliases w:val="N1 Char,hea Level 1 Char,N Char,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rsid w:val="00905D60"/>
    <w:pPr>
      <w:numPr>
        <w:ilvl w:val="1"/>
        <w:numId w:val="7"/>
      </w:numPr>
      <w:spacing w:before="0"/>
    </w:pPr>
  </w:style>
  <w:style w:type="paragraph" w:customStyle="1" w:styleId="DashEm1">
    <w:name w:val="Dash: Em 1"/>
    <w:aliases w:val="-EM"/>
    <w:basedOn w:val="PlainParagraph"/>
    <w:uiPriority w:val="3"/>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rsid w:val="00905D60"/>
    <w:pPr>
      <w:numPr>
        <w:ilvl w:val="3"/>
      </w:numPr>
      <w:tabs>
        <w:tab w:val="clear" w:pos="1276"/>
        <w:tab w:val="num" w:pos="360"/>
      </w:tabs>
      <w:ind w:left="2520" w:hanging="360"/>
    </w:pPr>
  </w:style>
  <w:style w:type="paragraph" w:customStyle="1" w:styleId="DashEn3">
    <w:name w:val="Dash: En 3"/>
    <w:basedOn w:val="DashEn2"/>
    <w:uiPriority w:val="3"/>
    <w:rsid w:val="00905D60"/>
    <w:pPr>
      <w:numPr>
        <w:ilvl w:val="4"/>
      </w:numPr>
      <w:tabs>
        <w:tab w:val="clear" w:pos="1701"/>
        <w:tab w:val="num" w:pos="360"/>
      </w:tabs>
      <w:ind w:left="3240" w:hanging="360"/>
    </w:pPr>
  </w:style>
  <w:style w:type="paragraph" w:customStyle="1" w:styleId="DashEn4">
    <w:name w:val="Dash: En 4"/>
    <w:basedOn w:val="DashEn3"/>
    <w:uiPriority w:val="3"/>
    <w:rsid w:val="00905D60"/>
    <w:pPr>
      <w:numPr>
        <w:ilvl w:val="5"/>
      </w:numPr>
      <w:tabs>
        <w:tab w:val="clear" w:pos="2126"/>
        <w:tab w:val="num" w:pos="360"/>
      </w:tabs>
      <w:ind w:left="1701" w:hanging="360"/>
    </w:pPr>
  </w:style>
  <w:style w:type="paragraph" w:customStyle="1" w:styleId="DashEn5">
    <w:name w:val="Dash: En 5"/>
    <w:basedOn w:val="DashEn4"/>
    <w:uiPriority w:val="3"/>
    <w:rsid w:val="00905D60"/>
    <w:pPr>
      <w:numPr>
        <w:ilvl w:val="6"/>
      </w:numPr>
      <w:tabs>
        <w:tab w:val="clear" w:pos="2551"/>
        <w:tab w:val="num" w:pos="360"/>
      </w:tabs>
      <w:ind w:left="4680" w:hanging="360"/>
    </w:pPr>
  </w:style>
  <w:style w:type="paragraph" w:customStyle="1" w:styleId="DashEn6">
    <w:name w:val="Dash: En 6"/>
    <w:basedOn w:val="DashEn5"/>
    <w:uiPriority w:val="3"/>
    <w:rsid w:val="00905D60"/>
    <w:pPr>
      <w:numPr>
        <w:ilvl w:val="7"/>
      </w:numPr>
      <w:tabs>
        <w:tab w:val="clear" w:pos="2976"/>
        <w:tab w:val="num" w:pos="360"/>
      </w:tabs>
      <w:ind w:left="5400" w:hanging="360"/>
    </w:pPr>
  </w:style>
  <w:style w:type="paragraph" w:customStyle="1" w:styleId="DashEn7">
    <w:name w:val="Dash: En 7"/>
    <w:basedOn w:val="DashEn6"/>
    <w:uiPriority w:val="3"/>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styleId="BodyText">
    <w:name w:val="Body Text"/>
    <w:link w:val="BodyTextChar"/>
    <w:qFormat/>
    <w:rsid w:val="00151C3A"/>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151C3A"/>
    <w:rPr>
      <w:rFonts w:cs="Times New Roman"/>
      <w:color w:val="000000" w:themeColor="text1"/>
      <w:szCs w:val="20"/>
    </w:rPr>
  </w:style>
  <w:style w:type="paragraph" w:customStyle="1" w:styleId="CABNETParagraph">
    <w:name w:val="CABNET Paragraph."/>
    <w:basedOn w:val="Normal"/>
    <w:link w:val="CABNETParagraphChar"/>
    <w:uiPriority w:val="98"/>
    <w:qFormat/>
    <w:rsid w:val="00151C3A"/>
    <w:pPr>
      <w:spacing w:before="120" w:after="120"/>
    </w:pPr>
    <w:rPr>
      <w:rFonts w:ascii="Arial" w:eastAsiaTheme="minorHAnsi" w:hAnsi="Arial" w:cstheme="minorHAnsi"/>
      <w:lang w:eastAsia="en-US"/>
    </w:rPr>
  </w:style>
  <w:style w:type="character" w:customStyle="1" w:styleId="CABNETParagraphChar">
    <w:name w:val="CABNET Paragraph. Char"/>
    <w:basedOn w:val="DefaultParagraphFont"/>
    <w:link w:val="CABNETParagraph"/>
    <w:uiPriority w:val="98"/>
    <w:rsid w:val="00151C3A"/>
    <w:rPr>
      <w:rFonts w:ascii="Arial" w:hAnsi="Arial" w:cstheme="minorHAnsi"/>
    </w:rPr>
  </w:style>
  <w:style w:type="character" w:customStyle="1" w:styleId="NoSpacingChar">
    <w:name w:val="No Spacing Char"/>
    <w:basedOn w:val="DefaultParagraphFont"/>
    <w:link w:val="NoSpacing"/>
    <w:uiPriority w:val="1"/>
    <w:rsid w:val="002F4AEB"/>
    <w:rPr>
      <w:rFonts w:ascii="Times New Roman" w:eastAsia="Times New Roman" w:hAnsi="Times New Roman" w:cs="Times New Roman"/>
      <w:sz w:val="24"/>
      <w:szCs w:val="20"/>
      <w:lang w:eastAsia="en-AU"/>
    </w:rPr>
  </w:style>
  <w:style w:type="paragraph" w:customStyle="1" w:styleId="BoswellMediaHeader">
    <w:name w:val="BoswellMediaHeader"/>
    <w:rsid w:val="00515626"/>
    <w:pPr>
      <w:spacing w:after="0" w:line="240" w:lineRule="auto"/>
      <w:jc w:val="right"/>
    </w:pPr>
    <w:rPr>
      <w:rFonts w:ascii="Arial" w:eastAsia="Times New Roman" w:hAnsi="Arial" w:cs="Times New Roman"/>
      <w:noProof/>
      <w:sz w:val="23"/>
      <w:szCs w:val="20"/>
      <w:lang w:eastAsia="en-AU"/>
    </w:rPr>
  </w:style>
  <w:style w:type="paragraph" w:customStyle="1" w:styleId="AdviceNumLevel1">
    <w:name w:val="AdviceNumLevel1"/>
    <w:aliases w:val="Advice N1"/>
    <w:basedOn w:val="NumberLevel1"/>
    <w:qFormat/>
    <w:rsid w:val="00515626"/>
    <w:pPr>
      <w:tabs>
        <w:tab w:val="clear" w:pos="709"/>
      </w:tabs>
      <w:ind w:left="720" w:hanging="360"/>
    </w:pPr>
  </w:style>
  <w:style w:type="character" w:customStyle="1" w:styleId="normaltextrun">
    <w:name w:val="normaltextrun"/>
    <w:basedOn w:val="DefaultParagraphFont"/>
    <w:rsid w:val="00D1344D"/>
  </w:style>
  <w:style w:type="paragraph" w:customStyle="1" w:styleId="CABHeading2">
    <w:name w:val="CAB Heading 2."/>
    <w:basedOn w:val="Normal"/>
    <w:link w:val="CABHeading2Char"/>
    <w:uiPriority w:val="98"/>
    <w:qFormat/>
    <w:rsid w:val="00B330F8"/>
    <w:pPr>
      <w:keepNext/>
      <w:keepLines/>
      <w:tabs>
        <w:tab w:val="left" w:pos="567"/>
      </w:tabs>
      <w:spacing w:before="200"/>
      <w:outlineLvl w:val="0"/>
    </w:pPr>
    <w:rPr>
      <w:rFonts w:ascii="Arial" w:eastAsiaTheme="majorEastAsia" w:hAnsi="Arial" w:cstheme="majorBidi"/>
      <w:b/>
      <w:bCs/>
      <w:color w:val="003865"/>
      <w:sz w:val="24"/>
      <w:szCs w:val="28"/>
      <w:lang w:eastAsia="en-US"/>
    </w:rPr>
  </w:style>
  <w:style w:type="character" w:customStyle="1" w:styleId="CABHeading2Char">
    <w:name w:val="CAB Heading 2. Char"/>
    <w:basedOn w:val="DefaultParagraphFont"/>
    <w:link w:val="CABHeading2"/>
    <w:uiPriority w:val="98"/>
    <w:rsid w:val="00B330F8"/>
    <w:rPr>
      <w:rFonts w:ascii="Arial" w:eastAsiaTheme="majorEastAsia" w:hAnsi="Arial" w:cstheme="majorBidi"/>
      <w:b/>
      <w:bCs/>
      <w:color w:val="003865"/>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399330580">
      <w:bodyDiv w:val="1"/>
      <w:marLeft w:val="0"/>
      <w:marRight w:val="0"/>
      <w:marTop w:val="0"/>
      <w:marBottom w:val="0"/>
      <w:divBdr>
        <w:top w:val="none" w:sz="0" w:space="0" w:color="auto"/>
        <w:left w:val="none" w:sz="0" w:space="0" w:color="auto"/>
        <w:bottom w:val="none" w:sz="0" w:space="0" w:color="auto"/>
        <w:right w:val="none" w:sz="0" w:space="0" w:color="auto"/>
      </w:divBdr>
    </w:div>
    <w:div w:id="473446404">
      <w:bodyDiv w:val="1"/>
      <w:marLeft w:val="0"/>
      <w:marRight w:val="0"/>
      <w:marTop w:val="0"/>
      <w:marBottom w:val="0"/>
      <w:divBdr>
        <w:top w:val="none" w:sz="0" w:space="0" w:color="auto"/>
        <w:left w:val="none" w:sz="0" w:space="0" w:color="auto"/>
        <w:bottom w:val="none" w:sz="0" w:space="0" w:color="auto"/>
        <w:right w:val="none" w:sz="0" w:space="0" w:color="auto"/>
      </w:divBdr>
      <w:divsChild>
        <w:div w:id="1867132281">
          <w:marLeft w:val="0"/>
          <w:marRight w:val="0"/>
          <w:marTop w:val="0"/>
          <w:marBottom w:val="0"/>
          <w:divBdr>
            <w:top w:val="none" w:sz="0" w:space="0" w:color="auto"/>
            <w:left w:val="none" w:sz="0" w:space="0" w:color="auto"/>
            <w:bottom w:val="none" w:sz="0" w:space="0" w:color="auto"/>
            <w:right w:val="none" w:sz="0" w:space="0" w:color="auto"/>
          </w:divBdr>
          <w:divsChild>
            <w:div w:id="9626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25678600">
      <w:bodyDiv w:val="1"/>
      <w:marLeft w:val="0"/>
      <w:marRight w:val="0"/>
      <w:marTop w:val="0"/>
      <w:marBottom w:val="0"/>
      <w:divBdr>
        <w:top w:val="none" w:sz="0" w:space="0" w:color="auto"/>
        <w:left w:val="none" w:sz="0" w:space="0" w:color="auto"/>
        <w:bottom w:val="none" w:sz="0" w:space="0" w:color="auto"/>
        <w:right w:val="none" w:sz="0" w:space="0" w:color="auto"/>
      </w:divBdr>
    </w:div>
    <w:div w:id="541291005">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30681581">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868881179">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056314332">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337996739">
      <w:bodyDiv w:val="1"/>
      <w:marLeft w:val="0"/>
      <w:marRight w:val="0"/>
      <w:marTop w:val="0"/>
      <w:marBottom w:val="0"/>
      <w:divBdr>
        <w:top w:val="none" w:sz="0" w:space="0" w:color="auto"/>
        <w:left w:val="none" w:sz="0" w:space="0" w:color="auto"/>
        <w:bottom w:val="none" w:sz="0" w:space="0" w:color="auto"/>
        <w:right w:val="none" w:sz="0" w:space="0" w:color="auto"/>
      </w:divBdr>
    </w:div>
    <w:div w:id="1348285407">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6177">
      <w:bodyDiv w:val="1"/>
      <w:marLeft w:val="0"/>
      <w:marRight w:val="0"/>
      <w:marTop w:val="0"/>
      <w:marBottom w:val="0"/>
      <w:divBdr>
        <w:top w:val="none" w:sz="0" w:space="0" w:color="auto"/>
        <w:left w:val="none" w:sz="0" w:space="0" w:color="auto"/>
        <w:bottom w:val="none" w:sz="0" w:space="0" w:color="auto"/>
        <w:right w:val="none" w:sz="0" w:space="0" w:color="auto"/>
      </w:divBdr>
      <w:divsChild>
        <w:div w:id="234629179">
          <w:marLeft w:val="0"/>
          <w:marRight w:val="0"/>
          <w:marTop w:val="0"/>
          <w:marBottom w:val="0"/>
          <w:divBdr>
            <w:top w:val="none" w:sz="0" w:space="0" w:color="auto"/>
            <w:left w:val="none" w:sz="0" w:space="0" w:color="auto"/>
            <w:bottom w:val="none" w:sz="0" w:space="0" w:color="auto"/>
            <w:right w:val="none" w:sz="0" w:space="0" w:color="auto"/>
          </w:divBdr>
          <w:divsChild>
            <w:div w:id="15996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nders.gov.a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sult.industry.gov.au/climate-change/technology-investment-roadma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_dlc_DocId xmlns="79e5d1b8-31fe-4abb-b9ad-c81c29576083">FIN201934055-2137779915-899</_dlc_DocId>
    <_dlc_DocIdUrl xmlns="79e5d1b8-31fe-4abb-b9ad-c81c29576083">
      <Url>https://f1.prdmgd.finance.gov.au/sites/50034055/_layouts/15/DocIdRedir.aspx?ID=FIN201934055-2137779915-899</Url>
      <Description>FIN201934055-2137779915-899</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FFA68E-C1E3-4E6E-8545-8006E91C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B9A7-3AC6-411D-B06E-8C02ACD2E87D}">
  <ds:schemaRefs>
    <ds:schemaRef ds:uri="Microsoft.SharePoint.Taxonomy.ContentTypeSync"/>
  </ds:schemaRefs>
</ds:datastoreItem>
</file>

<file path=customXml/itemProps4.xml><?xml version="1.0" encoding="utf-8"?>
<ds:datastoreItem xmlns:ds="http://schemas.openxmlformats.org/officeDocument/2006/customXml" ds:itemID="{F0E555B5-01E5-4937-B14E-5641D91812E7}">
  <ds:schemaRefs>
    <ds:schemaRef ds:uri="http://schemas.microsoft.com/sharepoint/events"/>
  </ds:schemaRefs>
</ds:datastoreItem>
</file>

<file path=customXml/itemProps5.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6.xml><?xml version="1.0" encoding="utf-8"?>
<ds:datastoreItem xmlns:ds="http://schemas.openxmlformats.org/officeDocument/2006/customXml" ds:itemID="{18473C48-9F72-4CE6-A0A8-FB7ADE83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11972</Words>
  <Characters>68242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More Relocation Support for Agricultural Workers &amp; NEIS</vt:lpstr>
    </vt:vector>
  </TitlesOfParts>
  <Company>FINANCE</Company>
  <LinksUpToDate>false</LinksUpToDate>
  <CharactersWithSpaces>80054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keywords/>
  <cp:lastModifiedBy>Johnston, Tayliah</cp:lastModifiedBy>
  <cp:revision>12</cp:revision>
  <cp:lastPrinted>2020-03-11T01:56:00Z</cp:lastPrinted>
  <dcterms:created xsi:type="dcterms:W3CDTF">2020-11-09T01:30:00Z</dcterms:created>
  <dcterms:modified xsi:type="dcterms:W3CDTF">2020-11-13T05:05:00Z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_dlc_DocIdItemGuid">
    <vt:lpwstr>6d240e98-a24a-4fb1-943e-dc65752c3418</vt:lpwstr>
  </property>
  <property fmtid="{D5CDD505-2E9C-101B-9397-08002B2CF9AE}" pid="20" name="DocHub_Year">
    <vt:lpwstr/>
  </property>
  <property fmtid="{D5CDD505-2E9C-101B-9397-08002B2CF9AE}" pid="21" name="DocHub_WorkActivity">
    <vt:lpwstr>275;#Legislation and Regulation|6cbc66f5-f4a2-4565-a58b-d5f2d2ac9bd0</vt:lpwstr>
  </property>
  <property fmtid="{D5CDD505-2E9C-101B-9397-08002B2CF9AE}" pid="22" name="DocHub_DocumentType">
    <vt:lpwstr>950;#Explanatory Memorandum|e1baf4eb-cfb1-4562-a99a-5aebab1aca70</vt:lpwstr>
  </property>
  <property fmtid="{D5CDD505-2E9C-101B-9397-08002B2CF9AE}" pid="23" name="DocHub_SecurityClassification">
    <vt:lpwstr>1;#OFFICIAL|6106d03b-a1a0-4e30-9d91-d5e9fb4314f9</vt:lpwstr>
  </property>
  <property fmtid="{D5CDD505-2E9C-101B-9397-08002B2CF9AE}" pid="24" name="DocHub_Keywords">
    <vt:lpwstr/>
  </property>
  <property fmtid="{D5CDD505-2E9C-101B-9397-08002B2CF9AE}" pid="25" name="DocHub_LegalClient">
    <vt:lpwstr/>
  </property>
  <property fmtid="{D5CDD505-2E9C-101B-9397-08002B2CF9AE}" pid="26" name="DocHub_LegalKeywords">
    <vt:lpwstr/>
  </property>
</Properties>
</file>