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7DBF4" w14:textId="77777777" w:rsidR="00BB4C1D" w:rsidRDefault="00BB4C1D" w:rsidP="0062760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EXPLANATORY STATEMENT</w:t>
      </w:r>
    </w:p>
    <w:p w14:paraId="466DFEE0" w14:textId="77777777" w:rsidR="00BB4C1D" w:rsidRPr="001468A8" w:rsidRDefault="00BB4C1D" w:rsidP="00627601">
      <w:pPr>
        <w:spacing w:line="240" w:lineRule="auto"/>
        <w:jc w:val="center"/>
        <w:rPr>
          <w:rFonts w:ascii="Times New Roman" w:hAnsi="Times New Roman" w:cs="Times New Roman"/>
        </w:rPr>
      </w:pPr>
      <w:r w:rsidRPr="001468A8">
        <w:rPr>
          <w:rFonts w:ascii="Times New Roman" w:hAnsi="Times New Roman" w:cs="Times New Roman"/>
        </w:rPr>
        <w:t>Approved by the Australian Communications and Media Authority</w:t>
      </w:r>
    </w:p>
    <w:p w14:paraId="04D7AC0C" w14:textId="0E7AFA14" w:rsidR="00BB4C1D" w:rsidRPr="001468A8" w:rsidRDefault="00BB4C1D" w:rsidP="00627601">
      <w:pPr>
        <w:spacing w:before="120" w:after="120" w:line="240" w:lineRule="auto"/>
        <w:jc w:val="center"/>
        <w:rPr>
          <w:rFonts w:ascii="Times New Roman" w:hAnsi="Times New Roman" w:cs="Times New Roman"/>
          <w:bCs/>
          <w:i/>
        </w:rPr>
      </w:pPr>
      <w:r w:rsidRPr="001468A8">
        <w:rPr>
          <w:rFonts w:ascii="Times New Roman" w:hAnsi="Times New Roman" w:cs="Times New Roman"/>
          <w:bCs/>
          <w:i/>
        </w:rPr>
        <w:t>Broadcasting Services Act 1992</w:t>
      </w:r>
    </w:p>
    <w:p w14:paraId="73AE3B97" w14:textId="10FA81F1" w:rsidR="00E62506" w:rsidRPr="001468A8" w:rsidRDefault="00E62506" w:rsidP="00627601">
      <w:pPr>
        <w:spacing w:before="120" w:after="120" w:line="240" w:lineRule="auto"/>
        <w:jc w:val="center"/>
        <w:rPr>
          <w:rFonts w:ascii="Times New Roman" w:hAnsi="Times New Roman" w:cs="Times New Roman"/>
          <w:b/>
        </w:rPr>
      </w:pPr>
      <w:r w:rsidRPr="001468A8">
        <w:rPr>
          <w:rFonts w:ascii="Times New Roman" w:hAnsi="Times New Roman" w:cs="Times New Roman"/>
          <w:b/>
          <w:i/>
        </w:rPr>
        <w:t>Broadcasting Services (Regional Commercial Radio – Specification of Periods for Subsections 43C(1A) and 61CD(2)) Variation Instrument 20</w:t>
      </w:r>
      <w:r w:rsidR="00634B42" w:rsidRPr="001468A8">
        <w:rPr>
          <w:rFonts w:ascii="Times New Roman" w:hAnsi="Times New Roman" w:cs="Times New Roman"/>
          <w:b/>
          <w:i/>
        </w:rPr>
        <w:t>20</w:t>
      </w:r>
      <w:r w:rsidRPr="001468A8">
        <w:rPr>
          <w:rFonts w:ascii="Times New Roman" w:hAnsi="Times New Roman" w:cs="Times New Roman"/>
          <w:b/>
          <w:i/>
        </w:rPr>
        <w:t xml:space="preserve"> (No. 1) </w:t>
      </w:r>
    </w:p>
    <w:p w14:paraId="1ED8868B" w14:textId="77777777" w:rsidR="00E62506" w:rsidRPr="00E62506" w:rsidRDefault="00E62506" w:rsidP="00627601">
      <w:pPr>
        <w:spacing w:before="120" w:after="120" w:line="240" w:lineRule="auto"/>
        <w:jc w:val="center"/>
        <w:rPr>
          <w:rFonts w:ascii="Times New Roman" w:hAnsi="Times New Roman" w:cs="Times New Roman"/>
          <w:bCs/>
        </w:rPr>
      </w:pPr>
    </w:p>
    <w:p w14:paraId="265E0204" w14:textId="77777777" w:rsidR="00E62506" w:rsidRPr="005E2FB4" w:rsidRDefault="00E62506" w:rsidP="00627601">
      <w:pPr>
        <w:spacing w:before="120" w:after="120" w:line="240" w:lineRule="auto"/>
        <w:jc w:val="center"/>
        <w:rPr>
          <w:rFonts w:ascii="Times New Roman" w:hAnsi="Times New Roman"/>
          <w:b/>
        </w:rPr>
      </w:pPr>
      <w:r w:rsidRPr="005E2FB4">
        <w:rPr>
          <w:rFonts w:ascii="Times New Roman" w:hAnsi="Times New Roman"/>
          <w:b/>
        </w:rPr>
        <w:t>Issued by the Australian Communications and Media Authority</w:t>
      </w:r>
    </w:p>
    <w:p w14:paraId="7F801AB5" w14:textId="23E745FB" w:rsidR="00E62506" w:rsidRPr="001468A8" w:rsidRDefault="00E62506" w:rsidP="00627601">
      <w:pPr>
        <w:spacing w:before="120" w:after="120" w:line="240" w:lineRule="auto"/>
        <w:rPr>
          <w:rFonts w:ascii="Times New Roman" w:hAnsi="Times New Roman"/>
        </w:rPr>
      </w:pPr>
      <w:r>
        <w:rPr>
          <w:rFonts w:ascii="Times New Roman" w:hAnsi="Times New Roman"/>
        </w:rPr>
        <w:t>T</w:t>
      </w:r>
      <w:r w:rsidRPr="001468A8">
        <w:rPr>
          <w:rFonts w:ascii="Times New Roman" w:hAnsi="Times New Roman"/>
        </w:rPr>
        <w:t>he Australian Communications and Media Authority (</w:t>
      </w:r>
      <w:r w:rsidRPr="001468A8">
        <w:rPr>
          <w:rFonts w:ascii="Times New Roman" w:hAnsi="Times New Roman"/>
          <w:b/>
          <w:bCs/>
        </w:rPr>
        <w:t>the ACMA</w:t>
      </w:r>
      <w:r w:rsidRPr="001468A8">
        <w:rPr>
          <w:rFonts w:ascii="Times New Roman" w:hAnsi="Times New Roman"/>
        </w:rPr>
        <w:t xml:space="preserve">) has made the </w:t>
      </w:r>
      <w:r w:rsidR="006F1033" w:rsidRPr="001468A8">
        <w:rPr>
          <w:rFonts w:ascii="Times New Roman" w:hAnsi="Times New Roman" w:cs="Times New Roman"/>
          <w:bCs/>
          <w:i/>
        </w:rPr>
        <w:t>Broadcasting Services (Regional Commercial Radio – Specification of Periods for Subsections 43C(1A) and 61CD(2)) Variation Instrument 2020 (No. 1)</w:t>
      </w:r>
      <w:r w:rsidRPr="001468A8">
        <w:rPr>
          <w:rFonts w:ascii="Times New Roman" w:hAnsi="Times New Roman"/>
        </w:rPr>
        <w:t>(</w:t>
      </w:r>
      <w:r w:rsidRPr="001468A8">
        <w:rPr>
          <w:rFonts w:ascii="Times New Roman" w:hAnsi="Times New Roman"/>
          <w:b/>
          <w:bCs/>
        </w:rPr>
        <w:t>the Instrument</w:t>
      </w:r>
      <w:r w:rsidRPr="001468A8">
        <w:rPr>
          <w:rFonts w:ascii="Times New Roman" w:hAnsi="Times New Roman"/>
        </w:rPr>
        <w:t>) under subsection</w:t>
      </w:r>
      <w:r w:rsidR="006F1033" w:rsidRPr="001468A8">
        <w:rPr>
          <w:rFonts w:ascii="Times New Roman" w:hAnsi="Times New Roman"/>
        </w:rPr>
        <w:t xml:space="preserve">s </w:t>
      </w:r>
      <w:r w:rsidR="006F1033" w:rsidRPr="001468A8">
        <w:rPr>
          <w:rFonts w:ascii="Times New Roman" w:hAnsi="Times New Roman" w:cs="Times New Roman"/>
        </w:rPr>
        <w:t>43C(1A) and 61CD(2)</w:t>
      </w:r>
      <w:r w:rsidR="002745D8">
        <w:rPr>
          <w:rFonts w:ascii="Times New Roman" w:hAnsi="Times New Roman" w:cs="Times New Roman"/>
        </w:rPr>
        <w:t xml:space="preserve"> </w:t>
      </w:r>
      <w:r w:rsidRPr="001468A8">
        <w:rPr>
          <w:rFonts w:ascii="Times New Roman" w:hAnsi="Times New Roman"/>
        </w:rPr>
        <w:t xml:space="preserve">of the </w:t>
      </w:r>
      <w:r w:rsidRPr="001468A8">
        <w:rPr>
          <w:rFonts w:ascii="Times New Roman" w:hAnsi="Times New Roman"/>
          <w:i/>
        </w:rPr>
        <w:t>Broadcasting Services Act 1992</w:t>
      </w:r>
      <w:r w:rsidRPr="001468A8">
        <w:rPr>
          <w:rFonts w:ascii="Times New Roman" w:hAnsi="Times New Roman"/>
        </w:rPr>
        <w:t xml:space="preserve"> (</w:t>
      </w:r>
      <w:r w:rsidRPr="001468A8">
        <w:rPr>
          <w:rFonts w:ascii="Times New Roman" w:hAnsi="Times New Roman"/>
          <w:b/>
          <w:bCs/>
        </w:rPr>
        <w:t>the BSA</w:t>
      </w:r>
      <w:r w:rsidRPr="001468A8">
        <w:rPr>
          <w:rFonts w:ascii="Times New Roman" w:hAnsi="Times New Roman"/>
        </w:rPr>
        <w:t>)</w:t>
      </w:r>
      <w:r w:rsidR="00157B90" w:rsidRPr="001468A8">
        <w:rPr>
          <w:rFonts w:ascii="Times New Roman" w:hAnsi="Times New Roman"/>
        </w:rPr>
        <w:t>.</w:t>
      </w:r>
    </w:p>
    <w:p w14:paraId="43E2A19A" w14:textId="23343FC7" w:rsidR="00157B90" w:rsidRDefault="00157B90" w:rsidP="00627601">
      <w:pPr>
        <w:spacing w:before="120" w:after="120" w:line="240" w:lineRule="auto"/>
        <w:rPr>
          <w:rFonts w:ascii="Times New Roman" w:hAnsi="Times New Roman" w:cs="Times New Roman"/>
        </w:rPr>
      </w:pPr>
      <w:r w:rsidRPr="00157B90">
        <w:rPr>
          <w:rFonts w:ascii="Times New Roman" w:hAnsi="Times New Roman" w:cs="Times New Roman"/>
        </w:rPr>
        <w:t xml:space="preserve">Subsections 43C(1A) and 61CD(2) of the BSA provide that the ACMA may, by legislative instrument, specify a five-week period during which the obligations on regional commercial radio broadcasting licensees to provide required amounts of ‘material of local significance’ and to comply with the ‘minimum service standards’ for local news and information (together, local content) do not apply. </w:t>
      </w:r>
    </w:p>
    <w:p w14:paraId="00A6E708" w14:textId="77777777" w:rsidR="00E62506" w:rsidRPr="005E2FB4" w:rsidRDefault="00E62506" w:rsidP="00627601">
      <w:pPr>
        <w:spacing w:before="240" w:after="120" w:line="240" w:lineRule="auto"/>
        <w:rPr>
          <w:rFonts w:ascii="Times New Roman" w:hAnsi="Times New Roman"/>
          <w:b/>
        </w:rPr>
      </w:pPr>
      <w:r w:rsidRPr="005E2FB4">
        <w:rPr>
          <w:rFonts w:ascii="Times New Roman" w:hAnsi="Times New Roman"/>
          <w:b/>
        </w:rPr>
        <w:t>Purpose and legislative basis</w:t>
      </w:r>
    </w:p>
    <w:p w14:paraId="1DF9C399" w14:textId="7EE5473D" w:rsidR="00E62506" w:rsidRPr="00E86485" w:rsidRDefault="007E2A85" w:rsidP="00627601">
      <w:pPr>
        <w:spacing w:before="120" w:after="120" w:line="240" w:lineRule="auto"/>
        <w:rPr>
          <w:rFonts w:ascii="Times New Roman" w:hAnsi="Times New Roman"/>
        </w:rPr>
      </w:pPr>
      <w:r w:rsidRPr="007E2A85">
        <w:rPr>
          <w:rFonts w:ascii="Times New Roman" w:hAnsi="Times New Roman" w:cs="Times New Roman"/>
          <w:spacing w:val="-2"/>
        </w:rPr>
        <w:t xml:space="preserve">In 2012 the </w:t>
      </w:r>
      <w:r w:rsidRPr="007E2A85">
        <w:rPr>
          <w:rFonts w:ascii="Times New Roman" w:hAnsi="Times New Roman" w:cs="Times New Roman"/>
          <w:i/>
          <w:spacing w:val="-2"/>
        </w:rPr>
        <w:t>Broadcasting Services Amendment (Regional Commercial Radio) Act 2012</w:t>
      </w:r>
      <w:r w:rsidRPr="007E2A85">
        <w:rPr>
          <w:rFonts w:ascii="Times New Roman" w:hAnsi="Times New Roman" w:cs="Times New Roman"/>
          <w:spacing w:val="-2"/>
        </w:rPr>
        <w:t xml:space="preserve"> amended the BSA to provide for five-week exemption periods from the local content obligations for regional commercial radio broadcasting licensees. During the five-week periods a licensee is exempted from obligations to broadcast specified amounts of local content. </w:t>
      </w:r>
      <w:r w:rsidR="00201CF4">
        <w:rPr>
          <w:rFonts w:ascii="Times New Roman" w:hAnsi="Times New Roman" w:cs="Times New Roman"/>
          <w:spacing w:val="-2"/>
        </w:rPr>
        <w:t>In accordance with p</w:t>
      </w:r>
      <w:r w:rsidR="006907AF">
        <w:rPr>
          <w:rFonts w:ascii="Times New Roman" w:hAnsi="Times New Roman" w:cs="Times New Roman"/>
          <w:spacing w:val="-2"/>
        </w:rPr>
        <w:t>aragraphs 43C(1A)(</w:t>
      </w:r>
      <w:r w:rsidR="003465D4">
        <w:rPr>
          <w:rFonts w:ascii="Times New Roman" w:hAnsi="Times New Roman" w:cs="Times New Roman"/>
          <w:spacing w:val="-2"/>
        </w:rPr>
        <w:t xml:space="preserve">c) </w:t>
      </w:r>
      <w:r w:rsidR="00537852">
        <w:rPr>
          <w:rFonts w:ascii="Times New Roman" w:hAnsi="Times New Roman" w:cs="Times New Roman"/>
          <w:spacing w:val="-2"/>
        </w:rPr>
        <w:t>and 61CD(2)(c) of the BSA</w:t>
      </w:r>
      <w:r w:rsidR="00201CF4">
        <w:rPr>
          <w:rFonts w:ascii="Times New Roman" w:hAnsi="Times New Roman" w:cs="Times New Roman"/>
          <w:spacing w:val="-2"/>
        </w:rPr>
        <w:t>,</w:t>
      </w:r>
      <w:r w:rsidR="00537852">
        <w:rPr>
          <w:rFonts w:ascii="Times New Roman" w:hAnsi="Times New Roman" w:cs="Times New Roman"/>
          <w:spacing w:val="-2"/>
        </w:rPr>
        <w:t xml:space="preserve"> </w:t>
      </w:r>
      <w:r w:rsidR="00201CF4">
        <w:rPr>
          <w:rFonts w:ascii="Times New Roman" w:hAnsi="Times New Roman" w:cs="Times New Roman"/>
          <w:spacing w:val="-2"/>
        </w:rPr>
        <w:t>t</w:t>
      </w:r>
      <w:r w:rsidRPr="007E2A85">
        <w:rPr>
          <w:rFonts w:ascii="Times New Roman" w:hAnsi="Times New Roman" w:cs="Times New Roman"/>
          <w:spacing w:val="-2"/>
        </w:rPr>
        <w:t>he default exemption period</w:t>
      </w:r>
      <w:r w:rsidR="00F658EA">
        <w:rPr>
          <w:rFonts w:ascii="Times New Roman" w:hAnsi="Times New Roman" w:cs="Times New Roman"/>
          <w:spacing w:val="-2"/>
        </w:rPr>
        <w:t>s</w:t>
      </w:r>
      <w:r w:rsidRPr="007E2A85">
        <w:rPr>
          <w:rFonts w:ascii="Times New Roman" w:hAnsi="Times New Roman" w:cs="Times New Roman"/>
          <w:spacing w:val="-2"/>
        </w:rPr>
        <w:t xml:space="preserve"> commence on the second Monday in December (in relation to material of local significance) and the second Sunday in December (in relation to minimum service standards) each year</w:t>
      </w:r>
      <w:r w:rsidR="0070364D">
        <w:rPr>
          <w:rFonts w:ascii="Times New Roman" w:hAnsi="Times New Roman" w:cs="Times New Roman"/>
          <w:spacing w:val="-2"/>
        </w:rPr>
        <w:t xml:space="preserve"> (</w:t>
      </w:r>
      <w:r w:rsidR="0070364D">
        <w:rPr>
          <w:rFonts w:ascii="Times New Roman" w:hAnsi="Times New Roman" w:cs="Times New Roman"/>
          <w:b/>
          <w:bCs/>
          <w:spacing w:val="-2"/>
        </w:rPr>
        <w:t>the default exemption periods</w:t>
      </w:r>
      <w:r w:rsidR="00B5687E">
        <w:rPr>
          <w:rFonts w:ascii="Times New Roman" w:hAnsi="Times New Roman" w:cs="Times New Roman"/>
          <w:spacing w:val="-2"/>
        </w:rPr>
        <w:t>)</w:t>
      </w:r>
      <w:r w:rsidRPr="007E2A85">
        <w:rPr>
          <w:rFonts w:ascii="Times New Roman" w:hAnsi="Times New Roman" w:cs="Times New Roman"/>
          <w:spacing w:val="-2"/>
        </w:rPr>
        <w:t xml:space="preserve">. </w:t>
      </w:r>
      <w:r w:rsidR="00E62506" w:rsidRPr="00665D98">
        <w:rPr>
          <w:rFonts w:ascii="Times New Roman" w:hAnsi="Times New Roman"/>
        </w:rPr>
        <w:t xml:space="preserve">The ACMA may, by </w:t>
      </w:r>
      <w:r w:rsidR="00E62506" w:rsidRPr="00E86485">
        <w:rPr>
          <w:rFonts w:ascii="Times New Roman" w:hAnsi="Times New Roman"/>
        </w:rPr>
        <w:t xml:space="preserve">legislative instrument, determine an alternative five-week period in relation to one or more specified regional commercial radio broadcasting licensees. In 2012, the ACMA made the </w:t>
      </w:r>
      <w:r w:rsidR="00E62506" w:rsidRPr="00E86485">
        <w:rPr>
          <w:rFonts w:ascii="Times New Roman" w:hAnsi="Times New Roman"/>
          <w:i/>
        </w:rPr>
        <w:t>Broadcasting Services (Regional Commercial Radio – Specification of Periods for Subsections 43C(1A) and 61CD(2)) Instrument 2012</w:t>
      </w:r>
      <w:r w:rsidR="00E62506" w:rsidRPr="00E86485">
        <w:rPr>
          <w:rFonts w:ascii="Times New Roman" w:hAnsi="Times New Roman"/>
          <w:iCs/>
        </w:rPr>
        <w:t xml:space="preserve"> (</w:t>
      </w:r>
      <w:r w:rsidR="00E62506" w:rsidRPr="00E86485">
        <w:rPr>
          <w:rFonts w:ascii="Times New Roman" w:hAnsi="Times New Roman"/>
          <w:b/>
          <w:bCs/>
          <w:iCs/>
        </w:rPr>
        <w:t>the 2012 Instrument</w:t>
      </w:r>
      <w:r w:rsidR="00E62506" w:rsidRPr="00E86485">
        <w:rPr>
          <w:rFonts w:ascii="Times New Roman" w:hAnsi="Times New Roman"/>
          <w:iCs/>
        </w:rPr>
        <w:t>)</w:t>
      </w:r>
      <w:r w:rsidR="00E62506" w:rsidRPr="00E86485">
        <w:rPr>
          <w:rFonts w:ascii="Times New Roman" w:hAnsi="Times New Roman"/>
        </w:rPr>
        <w:t xml:space="preserve"> </w:t>
      </w:r>
      <w:r w:rsidR="00891071" w:rsidRPr="00E86485">
        <w:rPr>
          <w:rFonts w:ascii="Times New Roman" w:hAnsi="Times New Roman"/>
        </w:rPr>
        <w:t xml:space="preserve">in reliance on that power. </w:t>
      </w:r>
      <w:r w:rsidR="00E62506" w:rsidRPr="00E86485">
        <w:rPr>
          <w:rFonts w:ascii="Times New Roman" w:hAnsi="Times New Roman"/>
        </w:rPr>
        <w:t xml:space="preserve"> </w:t>
      </w:r>
    </w:p>
    <w:p w14:paraId="3832D139" w14:textId="0DFC1E46" w:rsidR="00D94D04" w:rsidRPr="00E86485" w:rsidRDefault="00D94D04" w:rsidP="00627601">
      <w:pPr>
        <w:spacing w:before="120" w:after="120" w:line="240" w:lineRule="auto"/>
        <w:rPr>
          <w:rFonts w:ascii="Times New Roman" w:hAnsi="Times New Roman"/>
        </w:rPr>
      </w:pPr>
      <w:r w:rsidRPr="005A5467">
        <w:rPr>
          <w:rFonts w:ascii="Times New Roman" w:hAnsi="Times New Roman" w:cs="Times New Roman"/>
        </w:rPr>
        <w:t xml:space="preserve">Schedule 1 of the </w:t>
      </w:r>
      <w:r w:rsidRPr="005A5467">
        <w:rPr>
          <w:rFonts w:ascii="Times New Roman" w:hAnsi="Times New Roman" w:cs="Times New Roman"/>
          <w:i/>
          <w:iCs/>
        </w:rPr>
        <w:t>Broadcasting Services Amendment (Regional Commercial Radio and Other Measures) Act 2020</w:t>
      </w:r>
      <w:r w:rsidRPr="005A5467">
        <w:rPr>
          <w:rFonts w:ascii="Times New Roman" w:hAnsi="Times New Roman" w:cs="Times New Roman"/>
        </w:rPr>
        <w:t xml:space="preserve"> (Amending Act) amends the current exemption provisions</w:t>
      </w:r>
      <w:r w:rsidR="00362369" w:rsidRPr="005A5467">
        <w:rPr>
          <w:rFonts w:ascii="Times New Roman" w:hAnsi="Times New Roman" w:cs="Times New Roman"/>
        </w:rPr>
        <w:t xml:space="preserve"> in the BSA</w:t>
      </w:r>
      <w:r w:rsidRPr="005A5467">
        <w:rPr>
          <w:rFonts w:ascii="Times New Roman" w:hAnsi="Times New Roman" w:cs="Times New Roman"/>
        </w:rPr>
        <w:t xml:space="preserve"> to allow licensees to determine and publicise their own five-week exemption periods</w:t>
      </w:r>
      <w:r w:rsidRPr="00E86485">
        <w:rPr>
          <w:rFonts w:ascii="Times New Roman" w:hAnsi="Times New Roman"/>
        </w:rPr>
        <w:t xml:space="preserve"> (</w:t>
      </w:r>
      <w:proofErr w:type="gramStart"/>
      <w:r w:rsidRPr="00E86485">
        <w:rPr>
          <w:rFonts w:ascii="Times New Roman" w:hAnsi="Times New Roman"/>
        </w:rPr>
        <w:t>e.g.</w:t>
      </w:r>
      <w:proofErr w:type="gramEnd"/>
      <w:r w:rsidRPr="00E86485">
        <w:rPr>
          <w:rFonts w:ascii="Times New Roman" w:hAnsi="Times New Roman"/>
        </w:rPr>
        <w:t xml:space="preserve"> on their websites) without requiring the ACMA to make an instrument (although it retains the power to do so). Th</w:t>
      </w:r>
      <w:r w:rsidR="00A64D73" w:rsidRPr="00E86485">
        <w:rPr>
          <w:rFonts w:ascii="Times New Roman" w:hAnsi="Times New Roman"/>
        </w:rPr>
        <w:t>e Amending</w:t>
      </w:r>
      <w:r w:rsidRPr="00E86485">
        <w:rPr>
          <w:rFonts w:ascii="Times New Roman" w:hAnsi="Times New Roman"/>
        </w:rPr>
        <w:t xml:space="preserve"> Act includes a transitional provision which deals with how any exemption-related instrument made by the ACMA under subsections 43C(1A) and 61CD(2) of the BSA applies after the commencement of th</w:t>
      </w:r>
      <w:r w:rsidR="00865AC8" w:rsidRPr="00E86485">
        <w:rPr>
          <w:rFonts w:ascii="Times New Roman" w:hAnsi="Times New Roman"/>
        </w:rPr>
        <w:t>e Amending</w:t>
      </w:r>
      <w:r w:rsidRPr="00E86485">
        <w:rPr>
          <w:rFonts w:ascii="Times New Roman" w:hAnsi="Times New Roman"/>
        </w:rPr>
        <w:t xml:space="preserve"> Act. The effect of this transitional provision is to maintain the exemption periods already specified in the </w:t>
      </w:r>
      <w:r w:rsidR="00A64D73" w:rsidRPr="00E86485">
        <w:rPr>
          <w:rFonts w:ascii="Times New Roman" w:hAnsi="Times New Roman"/>
        </w:rPr>
        <w:t xml:space="preserve">2012 </w:t>
      </w:r>
      <w:r w:rsidRPr="00E86485">
        <w:rPr>
          <w:rFonts w:ascii="Times New Roman" w:hAnsi="Times New Roman"/>
        </w:rPr>
        <w:t>Instrument</w:t>
      </w:r>
      <w:r w:rsidR="00A64D73" w:rsidRPr="00E86485">
        <w:rPr>
          <w:rFonts w:ascii="Times New Roman" w:hAnsi="Times New Roman"/>
        </w:rPr>
        <w:t xml:space="preserve"> as </w:t>
      </w:r>
      <w:r w:rsidRPr="00E86485">
        <w:rPr>
          <w:rFonts w:ascii="Times New Roman" w:hAnsi="Times New Roman"/>
        </w:rPr>
        <w:t>in force immediately before commencement of th</w:t>
      </w:r>
      <w:r w:rsidR="00865AC8" w:rsidRPr="00E86485">
        <w:rPr>
          <w:rFonts w:ascii="Times New Roman" w:hAnsi="Times New Roman"/>
        </w:rPr>
        <w:t>e Amending Act</w:t>
      </w:r>
      <w:r w:rsidRPr="00E86485">
        <w:rPr>
          <w:rFonts w:ascii="Times New Roman" w:hAnsi="Times New Roman"/>
        </w:rPr>
        <w:t>.</w:t>
      </w:r>
    </w:p>
    <w:p w14:paraId="014450E6" w14:textId="77777777" w:rsidR="00362369" w:rsidRPr="00E86485" w:rsidRDefault="00D94D04" w:rsidP="00627601">
      <w:pPr>
        <w:spacing w:before="120" w:after="120" w:line="240" w:lineRule="auto"/>
        <w:rPr>
          <w:rFonts w:ascii="Times New Roman" w:hAnsi="Times New Roman"/>
        </w:rPr>
      </w:pPr>
      <w:r w:rsidRPr="00E86485">
        <w:rPr>
          <w:rFonts w:ascii="Times New Roman" w:hAnsi="Times New Roman"/>
        </w:rPr>
        <w:t xml:space="preserve">Schedule 1 of the Amending Act </w:t>
      </w:r>
      <w:r w:rsidR="00A64D73" w:rsidRPr="00E86485">
        <w:rPr>
          <w:rFonts w:ascii="Times New Roman" w:hAnsi="Times New Roman"/>
        </w:rPr>
        <w:t>commences on</w:t>
      </w:r>
      <w:r w:rsidRPr="00E86485">
        <w:rPr>
          <w:rFonts w:ascii="Times New Roman" w:hAnsi="Times New Roman"/>
        </w:rPr>
        <w:t xml:space="preserve"> the 28</w:t>
      </w:r>
      <w:r w:rsidRPr="00E86485">
        <w:rPr>
          <w:rFonts w:ascii="Times New Roman" w:hAnsi="Times New Roman"/>
          <w:vertAlign w:val="superscript"/>
        </w:rPr>
        <w:t>th</w:t>
      </w:r>
      <w:r w:rsidRPr="00E86485">
        <w:rPr>
          <w:rFonts w:ascii="Times New Roman" w:hAnsi="Times New Roman"/>
        </w:rPr>
        <w:t xml:space="preserve"> day after </w:t>
      </w:r>
      <w:r w:rsidR="00A64D73" w:rsidRPr="00E86485">
        <w:rPr>
          <w:rFonts w:ascii="Times New Roman" w:hAnsi="Times New Roman"/>
        </w:rPr>
        <w:t>that</w:t>
      </w:r>
      <w:r w:rsidRPr="00E86485">
        <w:rPr>
          <w:rFonts w:ascii="Times New Roman" w:hAnsi="Times New Roman"/>
        </w:rPr>
        <w:t xml:space="preserve"> Act receives</w:t>
      </w:r>
      <w:r w:rsidR="00A64D73" w:rsidRPr="00E86485">
        <w:rPr>
          <w:rFonts w:ascii="Times New Roman" w:hAnsi="Times New Roman"/>
        </w:rPr>
        <w:t xml:space="preserve"> the</w:t>
      </w:r>
      <w:r w:rsidRPr="00E86485">
        <w:rPr>
          <w:rFonts w:ascii="Times New Roman" w:hAnsi="Times New Roman"/>
        </w:rPr>
        <w:t xml:space="preserve"> Royal Assent. The </w:t>
      </w:r>
      <w:r w:rsidR="00A64D73" w:rsidRPr="00E86485">
        <w:rPr>
          <w:rFonts w:ascii="Times New Roman" w:hAnsi="Times New Roman"/>
        </w:rPr>
        <w:t xml:space="preserve">Amending </w:t>
      </w:r>
      <w:r w:rsidRPr="00E86485">
        <w:rPr>
          <w:rFonts w:ascii="Times New Roman" w:hAnsi="Times New Roman"/>
        </w:rPr>
        <w:t xml:space="preserve">Act received </w:t>
      </w:r>
      <w:r w:rsidR="00A64D73" w:rsidRPr="00E86485">
        <w:rPr>
          <w:rFonts w:ascii="Times New Roman" w:hAnsi="Times New Roman"/>
        </w:rPr>
        <w:t xml:space="preserve">the </w:t>
      </w:r>
      <w:r w:rsidRPr="00E86485">
        <w:rPr>
          <w:rFonts w:ascii="Times New Roman" w:hAnsi="Times New Roman"/>
        </w:rPr>
        <w:t>Royal Assent</w:t>
      </w:r>
      <w:r w:rsidR="00A64D73" w:rsidRPr="00E86485">
        <w:rPr>
          <w:rFonts w:ascii="Times New Roman" w:hAnsi="Times New Roman"/>
        </w:rPr>
        <w:t xml:space="preserve"> </w:t>
      </w:r>
      <w:r w:rsidRPr="00E86485">
        <w:rPr>
          <w:rFonts w:ascii="Times New Roman" w:hAnsi="Times New Roman"/>
        </w:rPr>
        <w:t>on 20 November 2020</w:t>
      </w:r>
      <w:r w:rsidR="004B68D2" w:rsidRPr="00E86485">
        <w:rPr>
          <w:rFonts w:ascii="Times New Roman" w:hAnsi="Times New Roman"/>
        </w:rPr>
        <w:t xml:space="preserve">. </w:t>
      </w:r>
    </w:p>
    <w:p w14:paraId="664EAB81" w14:textId="27055933" w:rsidR="00D94D04" w:rsidRPr="00E86485" w:rsidRDefault="00362369" w:rsidP="00627601">
      <w:pPr>
        <w:spacing w:before="120" w:after="120" w:line="240" w:lineRule="auto"/>
        <w:rPr>
          <w:rFonts w:ascii="Times New Roman" w:hAnsi="Times New Roman"/>
        </w:rPr>
      </w:pPr>
      <w:r w:rsidRPr="00E86485">
        <w:rPr>
          <w:rFonts w:ascii="Times New Roman" w:hAnsi="Times New Roman"/>
        </w:rPr>
        <w:t>This</w:t>
      </w:r>
      <w:r w:rsidR="004B68D2" w:rsidRPr="00E86485">
        <w:rPr>
          <w:rFonts w:ascii="Times New Roman" w:hAnsi="Times New Roman"/>
        </w:rPr>
        <w:t xml:space="preserve"> Instrument is required </w:t>
      </w:r>
      <w:r w:rsidRPr="00E86485">
        <w:rPr>
          <w:rFonts w:ascii="Times New Roman" w:hAnsi="Times New Roman"/>
        </w:rPr>
        <w:t>because</w:t>
      </w:r>
      <w:r w:rsidR="009A17D9" w:rsidRPr="00E86485">
        <w:rPr>
          <w:rFonts w:ascii="Times New Roman" w:hAnsi="Times New Roman"/>
        </w:rPr>
        <w:t xml:space="preserve"> the amendments to the BSA made by Schedule 1 of the Amending Act </w:t>
      </w:r>
      <w:r w:rsidR="002F3B7C" w:rsidRPr="00E86485">
        <w:rPr>
          <w:rFonts w:ascii="Times New Roman" w:hAnsi="Times New Roman"/>
        </w:rPr>
        <w:t>commence after</w:t>
      </w:r>
      <w:r w:rsidRPr="00E86485">
        <w:rPr>
          <w:rFonts w:ascii="Times New Roman" w:hAnsi="Times New Roman"/>
        </w:rPr>
        <w:t xml:space="preserve"> the start</w:t>
      </w:r>
      <w:r w:rsidR="004B68D2" w:rsidRPr="00E86485">
        <w:rPr>
          <w:rFonts w:ascii="Times New Roman" w:hAnsi="Times New Roman"/>
        </w:rPr>
        <w:t xml:space="preserve"> </w:t>
      </w:r>
      <w:r w:rsidRPr="00E86485">
        <w:rPr>
          <w:rFonts w:ascii="Times New Roman" w:hAnsi="Times New Roman"/>
        </w:rPr>
        <w:t>date for the exemption periods in th</w:t>
      </w:r>
      <w:r w:rsidR="00865AC8" w:rsidRPr="00E86485">
        <w:rPr>
          <w:rFonts w:ascii="Times New Roman" w:hAnsi="Times New Roman"/>
        </w:rPr>
        <w:t>e</w:t>
      </w:r>
      <w:r w:rsidRPr="00E86485">
        <w:rPr>
          <w:rFonts w:ascii="Times New Roman" w:hAnsi="Times New Roman"/>
        </w:rPr>
        <w:t xml:space="preserve"> Instrument</w:t>
      </w:r>
      <w:r w:rsidR="004B68D2" w:rsidRPr="00E86485">
        <w:rPr>
          <w:rFonts w:ascii="Times New Roman" w:hAnsi="Times New Roman"/>
        </w:rPr>
        <w:t>.</w:t>
      </w:r>
      <w:r w:rsidR="00A64D73" w:rsidRPr="00E86485">
        <w:rPr>
          <w:rFonts w:ascii="Times New Roman" w:hAnsi="Times New Roman"/>
        </w:rPr>
        <w:t xml:space="preserve"> </w:t>
      </w:r>
    </w:p>
    <w:p w14:paraId="5963312D" w14:textId="7F772380" w:rsidR="00D17F60" w:rsidRDefault="00D17F60" w:rsidP="00627601">
      <w:pPr>
        <w:spacing w:before="120" w:after="120" w:line="240" w:lineRule="auto"/>
        <w:rPr>
          <w:rFonts w:ascii="Times New Roman" w:hAnsi="Times New Roman"/>
        </w:rPr>
      </w:pPr>
      <w:r w:rsidRPr="00E86485">
        <w:rPr>
          <w:rFonts w:ascii="Times New Roman" w:hAnsi="Times New Roman"/>
        </w:rPr>
        <w:t xml:space="preserve">The 2012 Instrument has been varied in 2015, 2016, 2017 and 2019 to include </w:t>
      </w:r>
      <w:r w:rsidR="00D00E94" w:rsidRPr="00E86485">
        <w:rPr>
          <w:rFonts w:ascii="Times New Roman" w:hAnsi="Times New Roman"/>
        </w:rPr>
        <w:t>alternative exemption periods for various regional commercial broadcasting licences.</w:t>
      </w:r>
      <w:r w:rsidR="00D00E94">
        <w:rPr>
          <w:rFonts w:ascii="Times New Roman" w:hAnsi="Times New Roman"/>
        </w:rPr>
        <w:t xml:space="preserve"> </w:t>
      </w:r>
    </w:p>
    <w:p w14:paraId="3DEDD630" w14:textId="0BF31916" w:rsidR="00256B6D" w:rsidRPr="00256B6D" w:rsidRDefault="00665D98" w:rsidP="00627601">
      <w:pPr>
        <w:pStyle w:val="ACMABodyText"/>
        <w:spacing w:line="240" w:lineRule="auto"/>
        <w:rPr>
          <w:sz w:val="22"/>
          <w:szCs w:val="22"/>
        </w:rPr>
      </w:pPr>
      <w:bookmarkStart w:id="0" w:name="OLE_LINK23"/>
      <w:r w:rsidRPr="00256B6D">
        <w:rPr>
          <w:sz w:val="22"/>
          <w:szCs w:val="22"/>
        </w:rPr>
        <w:t>In March and August 2020</w:t>
      </w:r>
      <w:r w:rsidR="005D4D18">
        <w:rPr>
          <w:sz w:val="22"/>
          <w:szCs w:val="22"/>
        </w:rPr>
        <w:t>,</w:t>
      </w:r>
      <w:r w:rsidRPr="00256B6D">
        <w:rPr>
          <w:sz w:val="22"/>
          <w:szCs w:val="22"/>
        </w:rPr>
        <w:t xml:space="preserve"> the ACMA received applications </w:t>
      </w:r>
      <w:r w:rsidR="007C4C74">
        <w:rPr>
          <w:sz w:val="22"/>
          <w:szCs w:val="22"/>
        </w:rPr>
        <w:t>for alternative</w:t>
      </w:r>
      <w:r w:rsidR="00EE5E85">
        <w:rPr>
          <w:sz w:val="22"/>
          <w:szCs w:val="22"/>
        </w:rPr>
        <w:t xml:space="preserve"> </w:t>
      </w:r>
      <w:r w:rsidR="00180F04">
        <w:rPr>
          <w:sz w:val="22"/>
          <w:szCs w:val="22"/>
        </w:rPr>
        <w:t xml:space="preserve">five-week exemption </w:t>
      </w:r>
      <w:r w:rsidR="00EE5E85">
        <w:rPr>
          <w:sz w:val="22"/>
          <w:szCs w:val="22"/>
        </w:rPr>
        <w:t xml:space="preserve">periods </w:t>
      </w:r>
      <w:r w:rsidRPr="00256B6D">
        <w:rPr>
          <w:sz w:val="22"/>
          <w:szCs w:val="22"/>
        </w:rPr>
        <w:t xml:space="preserve">from Southern Cross </w:t>
      </w:r>
      <w:proofErr w:type="spellStart"/>
      <w:r w:rsidRPr="00256B6D">
        <w:rPr>
          <w:sz w:val="22"/>
          <w:szCs w:val="22"/>
        </w:rPr>
        <w:t>Austereo</w:t>
      </w:r>
      <w:proofErr w:type="spellEnd"/>
      <w:r w:rsidR="004C6A2E">
        <w:rPr>
          <w:sz w:val="22"/>
          <w:szCs w:val="22"/>
        </w:rPr>
        <w:t xml:space="preserve"> (SCA) on behalf of the licensees of</w:t>
      </w:r>
      <w:r w:rsidR="00256B6D" w:rsidRPr="00256B6D">
        <w:rPr>
          <w:sz w:val="22"/>
          <w:szCs w:val="22"/>
        </w:rPr>
        <w:t xml:space="preserve"> 56 commercial radio broadcasting licences.</w:t>
      </w:r>
      <w:r w:rsidRPr="00256B6D">
        <w:rPr>
          <w:sz w:val="22"/>
          <w:szCs w:val="22"/>
        </w:rPr>
        <w:t xml:space="preserve"> </w:t>
      </w:r>
      <w:r w:rsidR="009D52E5">
        <w:rPr>
          <w:sz w:val="22"/>
          <w:szCs w:val="22"/>
        </w:rPr>
        <w:t xml:space="preserve">For eight of its licences, </w:t>
      </w:r>
      <w:r w:rsidR="00EE5E85">
        <w:rPr>
          <w:sz w:val="22"/>
          <w:szCs w:val="22"/>
        </w:rPr>
        <w:t>SCA requested</w:t>
      </w:r>
      <w:r w:rsidR="00A32E75">
        <w:rPr>
          <w:sz w:val="22"/>
          <w:szCs w:val="22"/>
        </w:rPr>
        <w:t xml:space="preserve"> </w:t>
      </w:r>
      <w:r w:rsidR="00A32E75" w:rsidRPr="00256B6D">
        <w:rPr>
          <w:sz w:val="22"/>
          <w:szCs w:val="22"/>
        </w:rPr>
        <w:t xml:space="preserve">alternative periods commencing on the </w:t>
      </w:r>
      <w:r w:rsidR="00A32E75" w:rsidRPr="00256B6D">
        <w:rPr>
          <w:sz w:val="22"/>
          <w:szCs w:val="22"/>
        </w:rPr>
        <w:lastRenderedPageBreak/>
        <w:t>third Monday in December for</w:t>
      </w:r>
      <w:r w:rsidR="00180F04">
        <w:rPr>
          <w:sz w:val="22"/>
          <w:szCs w:val="22"/>
        </w:rPr>
        <w:t xml:space="preserve"> the obligation to provide</w:t>
      </w:r>
      <w:r w:rsidR="00A32E75" w:rsidRPr="00256B6D">
        <w:rPr>
          <w:sz w:val="22"/>
          <w:szCs w:val="22"/>
        </w:rPr>
        <w:t xml:space="preserve"> </w:t>
      </w:r>
      <w:r w:rsidR="0094511F">
        <w:rPr>
          <w:spacing w:val="-2"/>
          <w:sz w:val="22"/>
          <w:szCs w:val="22"/>
        </w:rPr>
        <w:t>material of local significance</w:t>
      </w:r>
      <w:r w:rsidR="009D52E5">
        <w:rPr>
          <w:spacing w:val="-2"/>
          <w:sz w:val="22"/>
          <w:szCs w:val="22"/>
        </w:rPr>
        <w:t>,</w:t>
      </w:r>
      <w:r w:rsidR="0094511F">
        <w:rPr>
          <w:spacing w:val="-2"/>
          <w:sz w:val="22"/>
          <w:szCs w:val="22"/>
        </w:rPr>
        <w:t xml:space="preserve"> </w:t>
      </w:r>
      <w:r w:rsidR="00A32E75" w:rsidRPr="00256B6D">
        <w:rPr>
          <w:sz w:val="22"/>
          <w:szCs w:val="22"/>
        </w:rPr>
        <w:t xml:space="preserve">and from the third Sunday in December for </w:t>
      </w:r>
      <w:r w:rsidR="0094511F">
        <w:rPr>
          <w:sz w:val="22"/>
          <w:szCs w:val="22"/>
        </w:rPr>
        <w:t>the</w:t>
      </w:r>
      <w:r w:rsidR="00180F04">
        <w:rPr>
          <w:sz w:val="22"/>
          <w:szCs w:val="22"/>
        </w:rPr>
        <w:t xml:space="preserve"> obligation to comply with the</w:t>
      </w:r>
      <w:r w:rsidR="00A32E75" w:rsidRPr="00256B6D">
        <w:rPr>
          <w:sz w:val="22"/>
          <w:szCs w:val="22"/>
        </w:rPr>
        <w:t xml:space="preserve"> minimum service standards</w:t>
      </w:r>
      <w:r w:rsidR="00A32E75">
        <w:rPr>
          <w:sz w:val="22"/>
          <w:szCs w:val="22"/>
        </w:rPr>
        <w:t xml:space="preserve">. </w:t>
      </w:r>
      <w:r w:rsidR="00E26329">
        <w:rPr>
          <w:sz w:val="22"/>
          <w:szCs w:val="22"/>
        </w:rPr>
        <w:t xml:space="preserve">For </w:t>
      </w:r>
      <w:r w:rsidR="006A7B38">
        <w:rPr>
          <w:sz w:val="22"/>
          <w:szCs w:val="22"/>
        </w:rPr>
        <w:t xml:space="preserve">the other </w:t>
      </w:r>
      <w:r w:rsidR="00E26329">
        <w:rPr>
          <w:sz w:val="22"/>
          <w:szCs w:val="22"/>
        </w:rPr>
        <w:t xml:space="preserve">48 of its licences in </w:t>
      </w:r>
      <w:r w:rsidR="00E26329" w:rsidRPr="00256B6D">
        <w:rPr>
          <w:sz w:val="22"/>
          <w:szCs w:val="22"/>
        </w:rPr>
        <w:t>New South Wales, Queensland, Victoria, South Australia and Tasmania</w:t>
      </w:r>
      <w:r w:rsidR="00E26329">
        <w:rPr>
          <w:sz w:val="22"/>
          <w:szCs w:val="22"/>
        </w:rPr>
        <w:t>, SCA requested to</w:t>
      </w:r>
      <w:r w:rsidR="00E26329" w:rsidRPr="00256B6D">
        <w:rPr>
          <w:sz w:val="22"/>
          <w:szCs w:val="22"/>
        </w:rPr>
        <w:t xml:space="preserve"> return to the default exemption periods for </w:t>
      </w:r>
      <w:r w:rsidR="009D52E5">
        <w:rPr>
          <w:sz w:val="22"/>
          <w:szCs w:val="22"/>
        </w:rPr>
        <w:t>both obligation</w:t>
      </w:r>
      <w:r w:rsidR="00745E37">
        <w:rPr>
          <w:sz w:val="22"/>
          <w:szCs w:val="22"/>
        </w:rPr>
        <w:t>s</w:t>
      </w:r>
      <w:r w:rsidR="00E26329">
        <w:rPr>
          <w:sz w:val="22"/>
          <w:szCs w:val="22"/>
        </w:rPr>
        <w:t>.</w:t>
      </w:r>
      <w:r w:rsidR="00256B6D" w:rsidRPr="00256B6D">
        <w:rPr>
          <w:sz w:val="22"/>
          <w:szCs w:val="22"/>
        </w:rPr>
        <w:t xml:space="preserve"> </w:t>
      </w:r>
    </w:p>
    <w:p w14:paraId="45B93803" w14:textId="08162794" w:rsidR="00E62506" w:rsidRDefault="00256B6D" w:rsidP="00627601">
      <w:pPr>
        <w:pStyle w:val="ACMANumberedList"/>
        <w:numPr>
          <w:ilvl w:val="0"/>
          <w:numId w:val="0"/>
        </w:numPr>
        <w:spacing w:before="80" w:after="120"/>
        <w:rPr>
          <w:b/>
        </w:rPr>
      </w:pPr>
      <w:r w:rsidRPr="00256B6D">
        <w:rPr>
          <w:sz w:val="22"/>
          <w:szCs w:val="22"/>
        </w:rPr>
        <w:t xml:space="preserve">In May 2020 </w:t>
      </w:r>
      <w:r>
        <w:rPr>
          <w:sz w:val="22"/>
          <w:szCs w:val="22"/>
        </w:rPr>
        <w:t xml:space="preserve">the ACMA received applications from Grant Broadcasters Pty Ltd (Grant Broadcasters) </w:t>
      </w:r>
      <w:r w:rsidRPr="00256B6D">
        <w:rPr>
          <w:sz w:val="22"/>
          <w:szCs w:val="22"/>
        </w:rPr>
        <w:t>on behalf of the licensees of six regional commercial radio broadcasting licences</w:t>
      </w:r>
      <w:r w:rsidR="00BB531D">
        <w:rPr>
          <w:sz w:val="22"/>
          <w:szCs w:val="22"/>
        </w:rPr>
        <w:t>.</w:t>
      </w:r>
      <w:r w:rsidR="004C6A2E">
        <w:rPr>
          <w:sz w:val="22"/>
          <w:szCs w:val="22"/>
        </w:rPr>
        <w:t xml:space="preserve"> </w:t>
      </w:r>
      <w:r w:rsidR="00BB531D">
        <w:rPr>
          <w:sz w:val="22"/>
          <w:szCs w:val="22"/>
        </w:rPr>
        <w:t xml:space="preserve">Grant Broadcasters requested that </w:t>
      </w:r>
      <w:r w:rsidR="00051602">
        <w:rPr>
          <w:sz w:val="22"/>
          <w:szCs w:val="22"/>
        </w:rPr>
        <w:t xml:space="preserve">the </w:t>
      </w:r>
      <w:r w:rsidR="00BB531D">
        <w:rPr>
          <w:sz w:val="22"/>
          <w:szCs w:val="22"/>
        </w:rPr>
        <w:t>five-week exemption period</w:t>
      </w:r>
      <w:r w:rsidR="00051602">
        <w:rPr>
          <w:sz w:val="22"/>
          <w:szCs w:val="22"/>
        </w:rPr>
        <w:t>s</w:t>
      </w:r>
      <w:r w:rsidR="00BB531D">
        <w:rPr>
          <w:sz w:val="22"/>
          <w:szCs w:val="22"/>
        </w:rPr>
        <w:t xml:space="preserve"> for the licences commence </w:t>
      </w:r>
      <w:r w:rsidR="00BB531D" w:rsidRPr="00BB531D">
        <w:rPr>
          <w:spacing w:val="-2"/>
          <w:sz w:val="22"/>
          <w:szCs w:val="22"/>
        </w:rPr>
        <w:t>on the third Monday in December for the</w:t>
      </w:r>
      <w:r w:rsidR="009B40A9">
        <w:rPr>
          <w:spacing w:val="-2"/>
          <w:sz w:val="22"/>
          <w:szCs w:val="22"/>
        </w:rPr>
        <w:t xml:space="preserve"> obligation to provide material of local significance</w:t>
      </w:r>
      <w:r w:rsidR="00B709D4">
        <w:rPr>
          <w:spacing w:val="-2"/>
          <w:sz w:val="22"/>
          <w:szCs w:val="22"/>
        </w:rPr>
        <w:t>,</w:t>
      </w:r>
      <w:r w:rsidR="009B40A9">
        <w:rPr>
          <w:spacing w:val="-2"/>
          <w:sz w:val="22"/>
          <w:szCs w:val="22"/>
        </w:rPr>
        <w:t xml:space="preserve"> and </w:t>
      </w:r>
      <w:r w:rsidR="000A09C2">
        <w:rPr>
          <w:spacing w:val="-2"/>
          <w:sz w:val="22"/>
          <w:szCs w:val="22"/>
        </w:rPr>
        <w:t>on</w:t>
      </w:r>
      <w:r w:rsidR="000A09C2" w:rsidRPr="00BB531D">
        <w:rPr>
          <w:spacing w:val="-2"/>
          <w:sz w:val="22"/>
          <w:szCs w:val="22"/>
        </w:rPr>
        <w:t xml:space="preserve"> </w:t>
      </w:r>
      <w:r w:rsidR="00BB531D" w:rsidRPr="00BB531D">
        <w:rPr>
          <w:spacing w:val="-2"/>
          <w:sz w:val="22"/>
          <w:szCs w:val="22"/>
        </w:rPr>
        <w:t xml:space="preserve">the third Sunday in December for the </w:t>
      </w:r>
      <w:r w:rsidR="00DC449E">
        <w:rPr>
          <w:spacing w:val="-2"/>
          <w:sz w:val="22"/>
          <w:szCs w:val="22"/>
        </w:rPr>
        <w:t xml:space="preserve">obligation to comply with the </w:t>
      </w:r>
      <w:r w:rsidR="00BB531D" w:rsidRPr="00BB531D">
        <w:rPr>
          <w:spacing w:val="-2"/>
          <w:sz w:val="22"/>
          <w:szCs w:val="22"/>
        </w:rPr>
        <w:t>minimum service standards.</w:t>
      </w:r>
      <w:r w:rsidRPr="00256B6D">
        <w:rPr>
          <w:sz w:val="22"/>
          <w:szCs w:val="22"/>
        </w:rPr>
        <w:t xml:space="preserve"> </w:t>
      </w:r>
    </w:p>
    <w:p w14:paraId="6DA6AF44" w14:textId="3F79F292" w:rsidR="00E62506" w:rsidRPr="005E2FB4" w:rsidRDefault="00E62506" w:rsidP="00627601">
      <w:pPr>
        <w:spacing w:before="120" w:after="120" w:line="240" w:lineRule="auto"/>
        <w:rPr>
          <w:rFonts w:ascii="Times New Roman" w:hAnsi="Times New Roman"/>
          <w:b/>
        </w:rPr>
      </w:pPr>
      <w:r w:rsidRPr="005E2FB4">
        <w:rPr>
          <w:rFonts w:ascii="Times New Roman" w:hAnsi="Times New Roman"/>
          <w:b/>
        </w:rPr>
        <w:t>Intended operation of the Instrument</w:t>
      </w:r>
    </w:p>
    <w:p w14:paraId="79DE3C8A" w14:textId="72554695" w:rsidR="00332F34" w:rsidRDefault="00C53486" w:rsidP="00627601">
      <w:pPr>
        <w:pStyle w:val="Default"/>
        <w:spacing w:after="120"/>
        <w:rPr>
          <w:rFonts w:ascii="Times New Roman" w:hAnsi="Times New Roman" w:cs="Times New Roman"/>
          <w:i/>
          <w:sz w:val="22"/>
          <w:szCs w:val="22"/>
        </w:rPr>
      </w:pPr>
      <w:r w:rsidRPr="00C53486">
        <w:rPr>
          <w:rFonts w:ascii="Times New Roman" w:hAnsi="Times New Roman" w:cs="Times New Roman"/>
          <w:sz w:val="22"/>
          <w:szCs w:val="22"/>
        </w:rPr>
        <w:t>The Instrument varies the</w:t>
      </w:r>
      <w:r w:rsidRPr="00C53486">
        <w:rPr>
          <w:rFonts w:ascii="Times New Roman" w:hAnsi="Times New Roman" w:cs="Times New Roman"/>
          <w:i/>
          <w:sz w:val="22"/>
          <w:szCs w:val="22"/>
        </w:rPr>
        <w:t xml:space="preserve"> </w:t>
      </w:r>
      <w:r w:rsidR="00332F34" w:rsidRPr="00B709D4">
        <w:rPr>
          <w:rFonts w:ascii="Times New Roman" w:hAnsi="Times New Roman" w:cs="Times New Roman"/>
          <w:iCs/>
          <w:sz w:val="22"/>
          <w:szCs w:val="22"/>
        </w:rPr>
        <w:t>2012 Instrument</w:t>
      </w:r>
      <w:r w:rsidR="00332F34">
        <w:rPr>
          <w:rFonts w:ascii="Times New Roman" w:hAnsi="Times New Roman" w:cs="Times New Roman"/>
          <w:i/>
          <w:sz w:val="22"/>
          <w:szCs w:val="22"/>
        </w:rPr>
        <w:t xml:space="preserve"> </w:t>
      </w:r>
      <w:r w:rsidRPr="00C53486">
        <w:rPr>
          <w:rFonts w:ascii="Times New Roman" w:hAnsi="Times New Roman" w:cs="Times New Roman"/>
          <w:sz w:val="22"/>
          <w:szCs w:val="22"/>
        </w:rPr>
        <w:t xml:space="preserve">to specify five-week exemption periods for </w:t>
      </w:r>
      <w:r w:rsidR="003D36C8">
        <w:rPr>
          <w:rFonts w:ascii="Times New Roman" w:hAnsi="Times New Roman" w:cs="Times New Roman"/>
          <w:sz w:val="22"/>
          <w:szCs w:val="22"/>
        </w:rPr>
        <w:t xml:space="preserve">14 </w:t>
      </w:r>
      <w:r w:rsidRPr="00C53486">
        <w:rPr>
          <w:rFonts w:ascii="Times New Roman" w:hAnsi="Times New Roman" w:cs="Times New Roman"/>
          <w:sz w:val="22"/>
          <w:szCs w:val="22"/>
        </w:rPr>
        <w:t>additional licences, as set out in the table below.</w:t>
      </w:r>
      <w:r w:rsidR="00332F34">
        <w:rPr>
          <w:rFonts w:ascii="Times New Roman" w:hAnsi="Times New Roman" w:cs="Times New Roman"/>
          <w:sz w:val="22"/>
          <w:szCs w:val="22"/>
        </w:rPr>
        <w:t xml:space="preserve"> </w:t>
      </w:r>
    </w:p>
    <w:p w14:paraId="305D4672" w14:textId="77777777" w:rsidR="00F83273" w:rsidRDefault="000D7061" w:rsidP="00627601">
      <w:pPr>
        <w:pStyle w:val="Default"/>
        <w:spacing w:after="120"/>
        <w:rPr>
          <w:rFonts w:ascii="Times New Roman" w:hAnsi="Times New Roman" w:cs="Times New Roman"/>
          <w:sz w:val="22"/>
          <w:szCs w:val="22"/>
        </w:rPr>
      </w:pPr>
      <w:r w:rsidRPr="000D7061">
        <w:rPr>
          <w:rFonts w:ascii="Times New Roman" w:hAnsi="Times New Roman" w:cs="Times New Roman"/>
          <w:sz w:val="22"/>
          <w:szCs w:val="22"/>
        </w:rPr>
        <w:t>During the exemption periods specified in the Instrument, the licensee for each licence is exempted from the obligation</w:t>
      </w:r>
      <w:r w:rsidR="00CC473F">
        <w:rPr>
          <w:rFonts w:ascii="Times New Roman" w:hAnsi="Times New Roman" w:cs="Times New Roman"/>
          <w:sz w:val="22"/>
          <w:szCs w:val="22"/>
        </w:rPr>
        <w:t>s</w:t>
      </w:r>
      <w:r w:rsidRPr="000D7061">
        <w:rPr>
          <w:rFonts w:ascii="Times New Roman" w:hAnsi="Times New Roman" w:cs="Times New Roman"/>
          <w:sz w:val="22"/>
          <w:szCs w:val="22"/>
        </w:rPr>
        <w:t xml:space="preserve"> to broadcast specified amounts of material of local significance and to comply with the minimum service standards for local news and information. </w:t>
      </w:r>
    </w:p>
    <w:p w14:paraId="00703D13" w14:textId="4CDF2C8E" w:rsidR="000D7061" w:rsidRPr="000D7061" w:rsidRDefault="00F83273" w:rsidP="00627601">
      <w:pPr>
        <w:pStyle w:val="Default"/>
        <w:spacing w:after="120"/>
        <w:rPr>
          <w:rFonts w:ascii="Times New Roman" w:hAnsi="Times New Roman" w:cs="Times New Roman"/>
          <w:sz w:val="22"/>
          <w:szCs w:val="22"/>
        </w:rPr>
      </w:pPr>
      <w:r>
        <w:rPr>
          <w:rFonts w:ascii="Times New Roman" w:hAnsi="Times New Roman" w:cs="Times New Roman"/>
          <w:sz w:val="22"/>
          <w:szCs w:val="22"/>
        </w:rPr>
        <w:t>For the 14 additional licences, t</w:t>
      </w:r>
      <w:r w:rsidR="000D7061" w:rsidRPr="000D7061">
        <w:rPr>
          <w:rFonts w:ascii="Times New Roman" w:hAnsi="Times New Roman" w:cs="Times New Roman"/>
          <w:sz w:val="22"/>
          <w:szCs w:val="22"/>
        </w:rPr>
        <w:t>he five-week periods for which the licensee is exempted from each of those obligations will now commence and finish on dates that are one week later than those specified for the default exemption periods in the BSA.</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3194"/>
        <w:gridCol w:w="4910"/>
      </w:tblGrid>
      <w:tr w:rsidR="00072D54" w:rsidRPr="00072D54" w14:paraId="632F971E" w14:textId="77777777" w:rsidTr="003216A0">
        <w:trPr>
          <w:trHeight w:val="299"/>
        </w:trPr>
        <w:tc>
          <w:tcPr>
            <w:tcW w:w="912" w:type="dxa"/>
          </w:tcPr>
          <w:p w14:paraId="4FC9860A" w14:textId="77777777" w:rsidR="00072D54" w:rsidRPr="00072D54" w:rsidRDefault="00072D54" w:rsidP="00627601">
            <w:pPr>
              <w:spacing w:line="240" w:lineRule="auto"/>
              <w:rPr>
                <w:rFonts w:ascii="Times New Roman" w:hAnsi="Times New Roman" w:cs="Times New Roman"/>
                <w:bCs/>
              </w:rPr>
            </w:pPr>
          </w:p>
        </w:tc>
        <w:tc>
          <w:tcPr>
            <w:tcW w:w="3194" w:type="dxa"/>
            <w:vAlign w:val="center"/>
          </w:tcPr>
          <w:p w14:paraId="01281197" w14:textId="50690ED3" w:rsidR="00072D54" w:rsidRPr="00072D54" w:rsidRDefault="00072D54" w:rsidP="00627601">
            <w:pPr>
              <w:spacing w:line="240" w:lineRule="auto"/>
              <w:rPr>
                <w:rFonts w:ascii="Times New Roman" w:hAnsi="Times New Roman" w:cs="Times New Roman"/>
              </w:rPr>
            </w:pPr>
            <w:r w:rsidRPr="00A54D3B">
              <w:rPr>
                <w:rFonts w:ascii="Arial" w:hAnsi="Arial" w:cs="Arial"/>
                <w:b/>
                <w:sz w:val="20"/>
              </w:rPr>
              <w:t>Licence #</w:t>
            </w:r>
          </w:p>
        </w:tc>
        <w:tc>
          <w:tcPr>
            <w:tcW w:w="4910" w:type="dxa"/>
            <w:vAlign w:val="center"/>
          </w:tcPr>
          <w:p w14:paraId="79378D2B" w14:textId="696A8499" w:rsidR="00072D54" w:rsidRPr="00072D54" w:rsidRDefault="00072D54" w:rsidP="00627601">
            <w:pPr>
              <w:spacing w:line="240" w:lineRule="auto"/>
              <w:rPr>
                <w:rFonts w:ascii="Times New Roman" w:hAnsi="Times New Roman" w:cs="Times New Roman"/>
              </w:rPr>
            </w:pPr>
            <w:r w:rsidRPr="00A54D3B">
              <w:rPr>
                <w:rFonts w:ascii="Arial" w:hAnsi="Arial" w:cs="Arial"/>
                <w:b/>
                <w:sz w:val="20"/>
              </w:rPr>
              <w:t>Licence Area</w:t>
            </w:r>
          </w:p>
        </w:tc>
      </w:tr>
      <w:tr w:rsidR="00072D54" w:rsidRPr="00072D54" w14:paraId="0C957126" w14:textId="77777777" w:rsidTr="003216A0">
        <w:trPr>
          <w:trHeight w:val="299"/>
        </w:trPr>
        <w:tc>
          <w:tcPr>
            <w:tcW w:w="912" w:type="dxa"/>
          </w:tcPr>
          <w:p w14:paraId="018E8451" w14:textId="54F91DF1" w:rsidR="00072D54" w:rsidRPr="00072D54" w:rsidRDefault="00072D54" w:rsidP="00627601">
            <w:pPr>
              <w:spacing w:line="240" w:lineRule="auto"/>
              <w:rPr>
                <w:rFonts w:ascii="Times New Roman" w:hAnsi="Times New Roman" w:cs="Times New Roman"/>
                <w:bCs/>
              </w:rPr>
            </w:pPr>
            <w:bookmarkStart w:id="1" w:name="_Hlk52974863"/>
            <w:r>
              <w:rPr>
                <w:rFonts w:ascii="Times New Roman" w:hAnsi="Times New Roman" w:cs="Times New Roman"/>
                <w:bCs/>
              </w:rPr>
              <w:t>1.</w:t>
            </w:r>
          </w:p>
        </w:tc>
        <w:tc>
          <w:tcPr>
            <w:tcW w:w="3194" w:type="dxa"/>
          </w:tcPr>
          <w:p w14:paraId="5377D194" w14:textId="49A8C0BD"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SL10370</w:t>
            </w:r>
          </w:p>
        </w:tc>
        <w:tc>
          <w:tcPr>
            <w:tcW w:w="4910" w:type="dxa"/>
          </w:tcPr>
          <w:p w14:paraId="5376B89E" w14:textId="31C76E0D"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Geraldton RA1</w:t>
            </w:r>
          </w:p>
        </w:tc>
      </w:tr>
      <w:tr w:rsidR="00072D54" w:rsidRPr="00072D54" w14:paraId="1F1AE987" w14:textId="77777777" w:rsidTr="003216A0">
        <w:trPr>
          <w:trHeight w:val="413"/>
        </w:trPr>
        <w:tc>
          <w:tcPr>
            <w:tcW w:w="912" w:type="dxa"/>
          </w:tcPr>
          <w:p w14:paraId="5C228563" w14:textId="358B2B53" w:rsidR="00072D54" w:rsidRPr="00072D54" w:rsidRDefault="00072D54" w:rsidP="00627601">
            <w:pPr>
              <w:spacing w:line="240" w:lineRule="auto"/>
              <w:rPr>
                <w:rFonts w:ascii="Times New Roman" w:hAnsi="Times New Roman" w:cs="Times New Roman"/>
                <w:bCs/>
              </w:rPr>
            </w:pPr>
            <w:r>
              <w:rPr>
                <w:rFonts w:ascii="Times New Roman" w:hAnsi="Times New Roman" w:cs="Times New Roman"/>
                <w:bCs/>
              </w:rPr>
              <w:t>2.</w:t>
            </w:r>
          </w:p>
        </w:tc>
        <w:tc>
          <w:tcPr>
            <w:tcW w:w="3194" w:type="dxa"/>
          </w:tcPr>
          <w:p w14:paraId="0B1DBFDE" w14:textId="41E9F004"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SL10371</w:t>
            </w:r>
          </w:p>
        </w:tc>
        <w:tc>
          <w:tcPr>
            <w:tcW w:w="4910" w:type="dxa"/>
          </w:tcPr>
          <w:p w14:paraId="336404DA" w14:textId="4AC75A9B"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Geraldton RA1</w:t>
            </w:r>
          </w:p>
        </w:tc>
      </w:tr>
      <w:tr w:rsidR="00072D54" w:rsidRPr="00072D54" w14:paraId="07F946CF" w14:textId="77777777" w:rsidTr="003216A0">
        <w:tc>
          <w:tcPr>
            <w:tcW w:w="912" w:type="dxa"/>
          </w:tcPr>
          <w:p w14:paraId="667D9AB6" w14:textId="52B6453E" w:rsidR="00072D54" w:rsidRPr="00072D54" w:rsidRDefault="00072D54" w:rsidP="00627601">
            <w:pPr>
              <w:spacing w:line="240" w:lineRule="auto"/>
              <w:rPr>
                <w:rFonts w:ascii="Times New Roman" w:hAnsi="Times New Roman" w:cs="Times New Roman"/>
                <w:bCs/>
              </w:rPr>
            </w:pPr>
            <w:r>
              <w:rPr>
                <w:rFonts w:ascii="Times New Roman" w:hAnsi="Times New Roman" w:cs="Times New Roman"/>
                <w:bCs/>
              </w:rPr>
              <w:t>3.</w:t>
            </w:r>
          </w:p>
        </w:tc>
        <w:tc>
          <w:tcPr>
            <w:tcW w:w="3194" w:type="dxa"/>
          </w:tcPr>
          <w:p w14:paraId="0F45E959" w14:textId="74494D28"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SL10009</w:t>
            </w:r>
          </w:p>
        </w:tc>
        <w:tc>
          <w:tcPr>
            <w:tcW w:w="4910" w:type="dxa"/>
          </w:tcPr>
          <w:p w14:paraId="7BA51A92" w14:textId="62EA756B"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Karratha RA1</w:t>
            </w:r>
          </w:p>
        </w:tc>
      </w:tr>
      <w:tr w:rsidR="00072D54" w:rsidRPr="00072D54" w14:paraId="15F8B40C" w14:textId="77777777" w:rsidTr="003216A0">
        <w:tc>
          <w:tcPr>
            <w:tcW w:w="912" w:type="dxa"/>
          </w:tcPr>
          <w:p w14:paraId="011E18BE" w14:textId="18B7F6C4" w:rsidR="00072D54" w:rsidRPr="00072D54" w:rsidRDefault="00AC29E6" w:rsidP="00627601">
            <w:pPr>
              <w:spacing w:line="240" w:lineRule="auto"/>
              <w:rPr>
                <w:rFonts w:ascii="Times New Roman" w:hAnsi="Times New Roman" w:cs="Times New Roman"/>
                <w:bCs/>
              </w:rPr>
            </w:pPr>
            <w:r>
              <w:rPr>
                <w:rFonts w:ascii="Times New Roman" w:hAnsi="Times New Roman" w:cs="Times New Roman"/>
                <w:bCs/>
              </w:rPr>
              <w:t>4.</w:t>
            </w:r>
          </w:p>
        </w:tc>
        <w:tc>
          <w:tcPr>
            <w:tcW w:w="3194" w:type="dxa"/>
          </w:tcPr>
          <w:p w14:paraId="70EEE83D" w14:textId="212F78CA"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SL10337</w:t>
            </w:r>
          </w:p>
        </w:tc>
        <w:tc>
          <w:tcPr>
            <w:tcW w:w="4910" w:type="dxa"/>
          </w:tcPr>
          <w:p w14:paraId="7AA7E492" w14:textId="2FC61E0B"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Karratha RA1</w:t>
            </w:r>
          </w:p>
        </w:tc>
      </w:tr>
      <w:tr w:rsidR="00072D54" w:rsidRPr="00072D54" w14:paraId="6B984F9E" w14:textId="77777777" w:rsidTr="003216A0">
        <w:tc>
          <w:tcPr>
            <w:tcW w:w="912" w:type="dxa"/>
          </w:tcPr>
          <w:p w14:paraId="011FEAE2" w14:textId="1AA9BCA0" w:rsidR="00072D54" w:rsidRPr="00072D54" w:rsidRDefault="00AC29E6" w:rsidP="00627601">
            <w:pPr>
              <w:spacing w:line="240" w:lineRule="auto"/>
              <w:rPr>
                <w:rFonts w:ascii="Times New Roman" w:hAnsi="Times New Roman" w:cs="Times New Roman"/>
                <w:bCs/>
              </w:rPr>
            </w:pPr>
            <w:r>
              <w:rPr>
                <w:rFonts w:ascii="Times New Roman" w:hAnsi="Times New Roman" w:cs="Times New Roman"/>
                <w:bCs/>
              </w:rPr>
              <w:t>5</w:t>
            </w:r>
          </w:p>
        </w:tc>
        <w:tc>
          <w:tcPr>
            <w:tcW w:w="3194" w:type="dxa"/>
          </w:tcPr>
          <w:p w14:paraId="7FDB9C29" w14:textId="7C34FC91"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SL10014</w:t>
            </w:r>
          </w:p>
        </w:tc>
        <w:tc>
          <w:tcPr>
            <w:tcW w:w="4910" w:type="dxa"/>
          </w:tcPr>
          <w:p w14:paraId="40828E42" w14:textId="54ADE558"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Port Hedland RA1</w:t>
            </w:r>
          </w:p>
        </w:tc>
      </w:tr>
      <w:tr w:rsidR="00072D54" w:rsidRPr="00072D54" w14:paraId="024BC479" w14:textId="77777777" w:rsidTr="003216A0">
        <w:tc>
          <w:tcPr>
            <w:tcW w:w="912" w:type="dxa"/>
          </w:tcPr>
          <w:p w14:paraId="4D335D4E" w14:textId="6C5D98CE" w:rsidR="00072D54" w:rsidRPr="00072D54" w:rsidRDefault="00AC29E6" w:rsidP="00627601">
            <w:pPr>
              <w:spacing w:line="240" w:lineRule="auto"/>
              <w:rPr>
                <w:rFonts w:ascii="Times New Roman" w:hAnsi="Times New Roman" w:cs="Times New Roman"/>
                <w:bCs/>
              </w:rPr>
            </w:pPr>
            <w:r>
              <w:rPr>
                <w:rFonts w:ascii="Times New Roman" w:hAnsi="Times New Roman" w:cs="Times New Roman"/>
                <w:bCs/>
              </w:rPr>
              <w:t>6</w:t>
            </w:r>
            <w:r w:rsidR="00072D54">
              <w:rPr>
                <w:rFonts w:ascii="Times New Roman" w:hAnsi="Times New Roman" w:cs="Times New Roman"/>
                <w:bCs/>
              </w:rPr>
              <w:t>.</w:t>
            </w:r>
          </w:p>
        </w:tc>
        <w:tc>
          <w:tcPr>
            <w:tcW w:w="3194" w:type="dxa"/>
          </w:tcPr>
          <w:p w14:paraId="47B890F6" w14:textId="42F1BB62"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SL10342</w:t>
            </w:r>
          </w:p>
        </w:tc>
        <w:tc>
          <w:tcPr>
            <w:tcW w:w="4910" w:type="dxa"/>
          </w:tcPr>
          <w:p w14:paraId="468F4B62" w14:textId="2A917D38"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Port Hedland RA1</w:t>
            </w:r>
          </w:p>
        </w:tc>
      </w:tr>
      <w:tr w:rsidR="00072D54" w:rsidRPr="00072D54" w14:paraId="6896EA10" w14:textId="77777777" w:rsidTr="003216A0">
        <w:tc>
          <w:tcPr>
            <w:tcW w:w="912" w:type="dxa"/>
          </w:tcPr>
          <w:p w14:paraId="2FBD0F94" w14:textId="10D5CE86" w:rsidR="00072D54" w:rsidRPr="00072D54" w:rsidRDefault="00AC29E6" w:rsidP="00627601">
            <w:pPr>
              <w:spacing w:line="240" w:lineRule="auto"/>
              <w:rPr>
                <w:rFonts w:ascii="Times New Roman" w:hAnsi="Times New Roman" w:cs="Times New Roman"/>
                <w:bCs/>
              </w:rPr>
            </w:pPr>
            <w:r>
              <w:rPr>
                <w:rFonts w:ascii="Times New Roman" w:hAnsi="Times New Roman" w:cs="Times New Roman"/>
                <w:bCs/>
              </w:rPr>
              <w:t>7</w:t>
            </w:r>
            <w:r w:rsidR="00072D54">
              <w:rPr>
                <w:rFonts w:ascii="Times New Roman" w:hAnsi="Times New Roman" w:cs="Times New Roman"/>
                <w:bCs/>
              </w:rPr>
              <w:t>.</w:t>
            </w:r>
          </w:p>
        </w:tc>
        <w:tc>
          <w:tcPr>
            <w:tcW w:w="3194" w:type="dxa"/>
          </w:tcPr>
          <w:p w14:paraId="14E8A99C" w14:textId="16ED719D" w:rsidR="00072D54" w:rsidRPr="00072D54" w:rsidRDefault="00AC29E6" w:rsidP="00627601">
            <w:pPr>
              <w:spacing w:line="240" w:lineRule="auto"/>
              <w:rPr>
                <w:rFonts w:ascii="Times New Roman" w:hAnsi="Times New Roman" w:cs="Times New Roman"/>
              </w:rPr>
            </w:pPr>
            <w:r w:rsidRPr="00072D54">
              <w:rPr>
                <w:rFonts w:ascii="Times New Roman" w:hAnsi="Times New Roman" w:cs="Times New Roman"/>
              </w:rPr>
              <w:t>SL10012</w:t>
            </w:r>
          </w:p>
        </w:tc>
        <w:tc>
          <w:tcPr>
            <w:tcW w:w="4910" w:type="dxa"/>
          </w:tcPr>
          <w:p w14:paraId="030B6E66" w14:textId="3C31B301"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 xml:space="preserve">Carnarvon RA1 </w:t>
            </w:r>
            <w:r w:rsidRPr="00072D54">
              <w:rPr>
                <w:rFonts w:ascii="Times New Roman" w:hAnsi="Times New Roman" w:cs="Times New Roman"/>
              </w:rPr>
              <w:tab/>
            </w:r>
          </w:p>
        </w:tc>
      </w:tr>
      <w:tr w:rsidR="00072D54" w:rsidRPr="00362EE8" w14:paraId="237549A5" w14:textId="77777777" w:rsidTr="003216A0">
        <w:tc>
          <w:tcPr>
            <w:tcW w:w="912" w:type="dxa"/>
          </w:tcPr>
          <w:p w14:paraId="009E4BB3" w14:textId="19AB3329" w:rsidR="00072D54" w:rsidRPr="00072D54" w:rsidRDefault="00AC29E6" w:rsidP="00627601">
            <w:pPr>
              <w:spacing w:line="240" w:lineRule="auto"/>
              <w:rPr>
                <w:rFonts w:ascii="Times New Roman" w:hAnsi="Times New Roman" w:cs="Times New Roman"/>
                <w:bCs/>
              </w:rPr>
            </w:pPr>
            <w:r>
              <w:rPr>
                <w:rFonts w:ascii="Times New Roman" w:hAnsi="Times New Roman" w:cs="Times New Roman"/>
                <w:bCs/>
              </w:rPr>
              <w:t>8</w:t>
            </w:r>
            <w:r w:rsidR="00072D54">
              <w:rPr>
                <w:rFonts w:ascii="Times New Roman" w:hAnsi="Times New Roman" w:cs="Times New Roman"/>
                <w:bCs/>
              </w:rPr>
              <w:t>.</w:t>
            </w:r>
          </w:p>
        </w:tc>
        <w:tc>
          <w:tcPr>
            <w:tcW w:w="3194" w:type="dxa"/>
          </w:tcPr>
          <w:p w14:paraId="59B9CA35" w14:textId="2101AD08" w:rsidR="00072D54" w:rsidRPr="00072D54" w:rsidRDefault="00AC29E6" w:rsidP="00627601">
            <w:pPr>
              <w:spacing w:line="240" w:lineRule="auto"/>
              <w:rPr>
                <w:rFonts w:ascii="Times New Roman" w:hAnsi="Times New Roman" w:cs="Times New Roman"/>
              </w:rPr>
            </w:pPr>
            <w:r w:rsidRPr="00072D54">
              <w:rPr>
                <w:rFonts w:ascii="Times New Roman" w:hAnsi="Times New Roman" w:cs="Times New Roman"/>
              </w:rPr>
              <w:t>SL10338</w:t>
            </w:r>
          </w:p>
        </w:tc>
        <w:tc>
          <w:tcPr>
            <w:tcW w:w="4910" w:type="dxa"/>
          </w:tcPr>
          <w:p w14:paraId="53CABB03" w14:textId="3E242CEC"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 xml:space="preserve">Carnarvon RA1 </w:t>
            </w:r>
          </w:p>
        </w:tc>
      </w:tr>
      <w:tr w:rsidR="00072D54" w:rsidRPr="00362EE8" w14:paraId="6F15F5A0" w14:textId="77777777" w:rsidTr="003216A0">
        <w:tc>
          <w:tcPr>
            <w:tcW w:w="912" w:type="dxa"/>
          </w:tcPr>
          <w:p w14:paraId="6596FEEE" w14:textId="55635933" w:rsidR="00072D54" w:rsidRPr="00072D54" w:rsidRDefault="00AC29E6" w:rsidP="00627601">
            <w:pPr>
              <w:spacing w:line="240" w:lineRule="auto"/>
              <w:rPr>
                <w:rFonts w:ascii="Times New Roman" w:hAnsi="Times New Roman" w:cs="Times New Roman"/>
                <w:bCs/>
              </w:rPr>
            </w:pPr>
            <w:r>
              <w:rPr>
                <w:rFonts w:ascii="Times New Roman" w:hAnsi="Times New Roman" w:cs="Times New Roman"/>
                <w:bCs/>
              </w:rPr>
              <w:t>9</w:t>
            </w:r>
            <w:r w:rsidR="00072D54">
              <w:rPr>
                <w:rFonts w:ascii="Times New Roman" w:hAnsi="Times New Roman" w:cs="Times New Roman"/>
                <w:bCs/>
              </w:rPr>
              <w:t>.</w:t>
            </w:r>
          </w:p>
        </w:tc>
        <w:tc>
          <w:tcPr>
            <w:tcW w:w="3194" w:type="dxa"/>
          </w:tcPr>
          <w:p w14:paraId="3EC9A1FE" w14:textId="287D11A8" w:rsidR="00072D54" w:rsidRPr="00072D54" w:rsidRDefault="00AC29E6" w:rsidP="00627601">
            <w:pPr>
              <w:spacing w:line="240" w:lineRule="auto"/>
              <w:rPr>
                <w:rFonts w:ascii="Times New Roman" w:hAnsi="Times New Roman" w:cs="Times New Roman"/>
              </w:rPr>
            </w:pPr>
            <w:r w:rsidRPr="00072D54">
              <w:rPr>
                <w:rFonts w:ascii="Times New Roman" w:hAnsi="Times New Roman" w:cs="Times New Roman"/>
              </w:rPr>
              <w:t xml:space="preserve">SL10352 </w:t>
            </w:r>
          </w:p>
        </w:tc>
        <w:tc>
          <w:tcPr>
            <w:tcW w:w="4910" w:type="dxa"/>
          </w:tcPr>
          <w:p w14:paraId="6CBECEF1" w14:textId="7809D435"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Port Lincoln RA1</w:t>
            </w:r>
          </w:p>
        </w:tc>
      </w:tr>
      <w:tr w:rsidR="00072D54" w:rsidRPr="00362EE8" w14:paraId="6E937B4F" w14:textId="77777777" w:rsidTr="003216A0">
        <w:tc>
          <w:tcPr>
            <w:tcW w:w="912" w:type="dxa"/>
          </w:tcPr>
          <w:p w14:paraId="387CE18E" w14:textId="7F233B60" w:rsidR="00072D54" w:rsidRPr="00072D54" w:rsidRDefault="00AC29E6" w:rsidP="00627601">
            <w:pPr>
              <w:spacing w:line="240" w:lineRule="auto"/>
              <w:rPr>
                <w:rFonts w:ascii="Times New Roman" w:hAnsi="Times New Roman" w:cs="Times New Roman"/>
                <w:bCs/>
              </w:rPr>
            </w:pPr>
            <w:r>
              <w:rPr>
                <w:rFonts w:ascii="Times New Roman" w:hAnsi="Times New Roman" w:cs="Times New Roman"/>
                <w:bCs/>
              </w:rPr>
              <w:t>10</w:t>
            </w:r>
            <w:r w:rsidR="00072D54">
              <w:rPr>
                <w:rFonts w:ascii="Times New Roman" w:hAnsi="Times New Roman" w:cs="Times New Roman"/>
                <w:bCs/>
              </w:rPr>
              <w:t>.</w:t>
            </w:r>
          </w:p>
        </w:tc>
        <w:tc>
          <w:tcPr>
            <w:tcW w:w="3194" w:type="dxa"/>
          </w:tcPr>
          <w:p w14:paraId="5294954E" w14:textId="6B1AA9C2" w:rsidR="00072D54" w:rsidRPr="00072D54" w:rsidRDefault="00AC29E6" w:rsidP="00627601">
            <w:pPr>
              <w:spacing w:line="240" w:lineRule="auto"/>
              <w:rPr>
                <w:rFonts w:ascii="Times New Roman" w:hAnsi="Times New Roman" w:cs="Times New Roman"/>
              </w:rPr>
            </w:pPr>
            <w:r w:rsidRPr="00072D54">
              <w:rPr>
                <w:rFonts w:ascii="Times New Roman" w:hAnsi="Times New Roman" w:cs="Times New Roman"/>
              </w:rPr>
              <w:t xml:space="preserve">SL1639 </w:t>
            </w:r>
          </w:p>
        </w:tc>
        <w:tc>
          <w:tcPr>
            <w:tcW w:w="4910" w:type="dxa"/>
          </w:tcPr>
          <w:p w14:paraId="29E5C3C1" w14:textId="48DEC6A2"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Port Lincoln RA1</w:t>
            </w:r>
          </w:p>
        </w:tc>
      </w:tr>
      <w:tr w:rsidR="00072D54" w:rsidRPr="00362EE8" w14:paraId="55F42131" w14:textId="77777777" w:rsidTr="003216A0">
        <w:tc>
          <w:tcPr>
            <w:tcW w:w="912" w:type="dxa"/>
          </w:tcPr>
          <w:p w14:paraId="2AEE6862" w14:textId="5E93FEF2" w:rsidR="00072D54" w:rsidRPr="00072D54" w:rsidRDefault="00072D54" w:rsidP="00627601">
            <w:pPr>
              <w:spacing w:line="240" w:lineRule="auto"/>
              <w:rPr>
                <w:rFonts w:ascii="Times New Roman" w:hAnsi="Times New Roman" w:cs="Times New Roman"/>
                <w:bCs/>
              </w:rPr>
            </w:pPr>
            <w:r>
              <w:rPr>
                <w:rFonts w:ascii="Times New Roman" w:hAnsi="Times New Roman" w:cs="Times New Roman"/>
                <w:bCs/>
              </w:rPr>
              <w:t>1</w:t>
            </w:r>
            <w:r w:rsidR="00AC29E6">
              <w:rPr>
                <w:rFonts w:ascii="Times New Roman" w:hAnsi="Times New Roman" w:cs="Times New Roman"/>
                <w:bCs/>
              </w:rPr>
              <w:t>1</w:t>
            </w:r>
            <w:r>
              <w:rPr>
                <w:rFonts w:ascii="Times New Roman" w:hAnsi="Times New Roman" w:cs="Times New Roman"/>
                <w:bCs/>
              </w:rPr>
              <w:t>.</w:t>
            </w:r>
          </w:p>
        </w:tc>
        <w:tc>
          <w:tcPr>
            <w:tcW w:w="3194" w:type="dxa"/>
          </w:tcPr>
          <w:p w14:paraId="1D48C7A1" w14:textId="611B3059" w:rsidR="00072D54" w:rsidRPr="00072D54" w:rsidRDefault="00AC29E6" w:rsidP="00627601">
            <w:pPr>
              <w:spacing w:line="240" w:lineRule="auto"/>
              <w:rPr>
                <w:rFonts w:ascii="Times New Roman" w:hAnsi="Times New Roman" w:cs="Times New Roman"/>
              </w:rPr>
            </w:pPr>
            <w:r w:rsidRPr="00072D54">
              <w:rPr>
                <w:rFonts w:ascii="Times New Roman" w:hAnsi="Times New Roman" w:cs="Times New Roman"/>
              </w:rPr>
              <w:t xml:space="preserve">SL10175 </w:t>
            </w:r>
          </w:p>
        </w:tc>
        <w:tc>
          <w:tcPr>
            <w:tcW w:w="4910" w:type="dxa"/>
          </w:tcPr>
          <w:p w14:paraId="1727339F" w14:textId="6AB68C09"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Riverland RA1</w:t>
            </w:r>
          </w:p>
        </w:tc>
      </w:tr>
      <w:tr w:rsidR="00072D54" w:rsidRPr="00362EE8" w14:paraId="09C36E18" w14:textId="77777777" w:rsidTr="003216A0">
        <w:tc>
          <w:tcPr>
            <w:tcW w:w="912" w:type="dxa"/>
          </w:tcPr>
          <w:p w14:paraId="11AA4B1E" w14:textId="4EDC3FB4" w:rsidR="00072D54" w:rsidRPr="00072D54" w:rsidRDefault="00072D54" w:rsidP="00627601">
            <w:pPr>
              <w:spacing w:line="240" w:lineRule="auto"/>
              <w:rPr>
                <w:rFonts w:ascii="Times New Roman" w:hAnsi="Times New Roman" w:cs="Times New Roman"/>
                <w:bCs/>
              </w:rPr>
            </w:pPr>
            <w:r>
              <w:rPr>
                <w:rFonts w:ascii="Times New Roman" w:hAnsi="Times New Roman" w:cs="Times New Roman"/>
                <w:bCs/>
              </w:rPr>
              <w:t>1</w:t>
            </w:r>
            <w:r w:rsidR="00AC29E6">
              <w:rPr>
                <w:rFonts w:ascii="Times New Roman" w:hAnsi="Times New Roman" w:cs="Times New Roman"/>
                <w:bCs/>
              </w:rPr>
              <w:t>2</w:t>
            </w:r>
            <w:r>
              <w:rPr>
                <w:rFonts w:ascii="Times New Roman" w:hAnsi="Times New Roman" w:cs="Times New Roman"/>
                <w:bCs/>
              </w:rPr>
              <w:t>.</w:t>
            </w:r>
          </w:p>
        </w:tc>
        <w:tc>
          <w:tcPr>
            <w:tcW w:w="3194" w:type="dxa"/>
          </w:tcPr>
          <w:p w14:paraId="7917458E" w14:textId="78EF7919" w:rsidR="00072D54" w:rsidRPr="00072D54" w:rsidRDefault="00AC29E6" w:rsidP="00627601">
            <w:pPr>
              <w:spacing w:line="240" w:lineRule="auto"/>
              <w:rPr>
                <w:rFonts w:ascii="Times New Roman" w:hAnsi="Times New Roman" w:cs="Times New Roman"/>
              </w:rPr>
            </w:pPr>
            <w:r w:rsidRPr="00072D54">
              <w:rPr>
                <w:rFonts w:ascii="Times New Roman" w:hAnsi="Times New Roman" w:cs="Times New Roman"/>
              </w:rPr>
              <w:t xml:space="preserve">SL10178 </w:t>
            </w:r>
          </w:p>
        </w:tc>
        <w:tc>
          <w:tcPr>
            <w:tcW w:w="4910" w:type="dxa"/>
          </w:tcPr>
          <w:p w14:paraId="4D106A1B" w14:textId="5AF9C501"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Riverland RA1</w:t>
            </w:r>
          </w:p>
        </w:tc>
      </w:tr>
      <w:tr w:rsidR="00072D54" w:rsidRPr="00362EE8" w14:paraId="016CE349" w14:textId="77777777" w:rsidTr="003216A0">
        <w:tc>
          <w:tcPr>
            <w:tcW w:w="912" w:type="dxa"/>
          </w:tcPr>
          <w:p w14:paraId="296351DB" w14:textId="6B12E74A" w:rsidR="00072D54" w:rsidRPr="00072D54" w:rsidRDefault="00072D54" w:rsidP="00627601">
            <w:pPr>
              <w:spacing w:line="240" w:lineRule="auto"/>
              <w:rPr>
                <w:rFonts w:ascii="Times New Roman" w:hAnsi="Times New Roman" w:cs="Times New Roman"/>
                <w:bCs/>
              </w:rPr>
            </w:pPr>
            <w:r>
              <w:rPr>
                <w:rFonts w:ascii="Times New Roman" w:hAnsi="Times New Roman" w:cs="Times New Roman"/>
                <w:bCs/>
              </w:rPr>
              <w:t>1</w:t>
            </w:r>
            <w:r w:rsidR="00AC29E6">
              <w:rPr>
                <w:rFonts w:ascii="Times New Roman" w:hAnsi="Times New Roman" w:cs="Times New Roman"/>
                <w:bCs/>
              </w:rPr>
              <w:t>3</w:t>
            </w:r>
            <w:r>
              <w:rPr>
                <w:rFonts w:ascii="Times New Roman" w:hAnsi="Times New Roman" w:cs="Times New Roman"/>
                <w:bCs/>
              </w:rPr>
              <w:t>.</w:t>
            </w:r>
          </w:p>
        </w:tc>
        <w:tc>
          <w:tcPr>
            <w:tcW w:w="3194" w:type="dxa"/>
          </w:tcPr>
          <w:p w14:paraId="145D4ED4" w14:textId="1605BD94" w:rsidR="00072D54" w:rsidRPr="00072D54" w:rsidRDefault="00AC29E6" w:rsidP="00627601">
            <w:pPr>
              <w:spacing w:line="240" w:lineRule="auto"/>
              <w:rPr>
                <w:rFonts w:ascii="Times New Roman" w:hAnsi="Times New Roman" w:cs="Times New Roman"/>
              </w:rPr>
            </w:pPr>
            <w:r w:rsidRPr="00072D54">
              <w:rPr>
                <w:rFonts w:ascii="Times New Roman" w:hAnsi="Times New Roman" w:cs="Times New Roman"/>
              </w:rPr>
              <w:t xml:space="preserve">SL4193 </w:t>
            </w:r>
          </w:p>
        </w:tc>
        <w:tc>
          <w:tcPr>
            <w:tcW w:w="4910" w:type="dxa"/>
          </w:tcPr>
          <w:p w14:paraId="62480ECE" w14:textId="243286FC"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Spencer Gulf North RA1</w:t>
            </w:r>
          </w:p>
        </w:tc>
      </w:tr>
      <w:tr w:rsidR="00072D54" w:rsidRPr="00362EE8" w14:paraId="5E55A034" w14:textId="77777777" w:rsidTr="003216A0">
        <w:tc>
          <w:tcPr>
            <w:tcW w:w="912" w:type="dxa"/>
          </w:tcPr>
          <w:p w14:paraId="495810F4" w14:textId="6318F4B5" w:rsidR="00072D54" w:rsidRPr="00072D54" w:rsidRDefault="00072D54" w:rsidP="00627601">
            <w:pPr>
              <w:spacing w:line="240" w:lineRule="auto"/>
              <w:rPr>
                <w:rFonts w:ascii="Times New Roman" w:hAnsi="Times New Roman" w:cs="Times New Roman"/>
                <w:bCs/>
              </w:rPr>
            </w:pPr>
            <w:r>
              <w:rPr>
                <w:rFonts w:ascii="Times New Roman" w:hAnsi="Times New Roman" w:cs="Times New Roman"/>
                <w:bCs/>
              </w:rPr>
              <w:t>1</w:t>
            </w:r>
            <w:r w:rsidR="00AC29E6">
              <w:rPr>
                <w:rFonts w:ascii="Times New Roman" w:hAnsi="Times New Roman" w:cs="Times New Roman"/>
                <w:bCs/>
              </w:rPr>
              <w:t>4</w:t>
            </w:r>
            <w:r>
              <w:rPr>
                <w:rFonts w:ascii="Times New Roman" w:hAnsi="Times New Roman" w:cs="Times New Roman"/>
                <w:bCs/>
              </w:rPr>
              <w:t>.</w:t>
            </w:r>
          </w:p>
        </w:tc>
        <w:tc>
          <w:tcPr>
            <w:tcW w:w="3194" w:type="dxa"/>
          </w:tcPr>
          <w:p w14:paraId="121FC049" w14:textId="0207A7DE" w:rsidR="00072D54" w:rsidRPr="00072D54" w:rsidRDefault="00AC29E6" w:rsidP="00627601">
            <w:pPr>
              <w:spacing w:line="240" w:lineRule="auto"/>
              <w:rPr>
                <w:rFonts w:ascii="Times New Roman" w:hAnsi="Times New Roman" w:cs="Times New Roman"/>
              </w:rPr>
            </w:pPr>
            <w:r w:rsidRPr="00072D54">
              <w:rPr>
                <w:rFonts w:ascii="Times New Roman" w:hAnsi="Times New Roman" w:cs="Times New Roman"/>
              </w:rPr>
              <w:t>SL4195</w:t>
            </w:r>
          </w:p>
        </w:tc>
        <w:tc>
          <w:tcPr>
            <w:tcW w:w="4910" w:type="dxa"/>
          </w:tcPr>
          <w:p w14:paraId="528F4BA3" w14:textId="2762D776" w:rsidR="00072D54" w:rsidRPr="00072D54" w:rsidRDefault="00072D54" w:rsidP="00627601">
            <w:pPr>
              <w:spacing w:line="240" w:lineRule="auto"/>
              <w:rPr>
                <w:rFonts w:ascii="Times New Roman" w:hAnsi="Times New Roman" w:cs="Times New Roman"/>
              </w:rPr>
            </w:pPr>
            <w:r w:rsidRPr="00072D54">
              <w:rPr>
                <w:rFonts w:ascii="Times New Roman" w:hAnsi="Times New Roman" w:cs="Times New Roman"/>
              </w:rPr>
              <w:t>Spencer Gulf North RA1</w:t>
            </w:r>
          </w:p>
        </w:tc>
      </w:tr>
      <w:bookmarkEnd w:id="1"/>
    </w:tbl>
    <w:p w14:paraId="0E1EBD79" w14:textId="62D5E084" w:rsidR="003D36C8" w:rsidRDefault="003D36C8" w:rsidP="00627601">
      <w:pPr>
        <w:pStyle w:val="Default"/>
        <w:spacing w:after="120"/>
        <w:rPr>
          <w:rFonts w:ascii="Times New Roman" w:hAnsi="Times New Roman" w:cs="Times New Roman"/>
          <w:sz w:val="22"/>
          <w:szCs w:val="22"/>
        </w:rPr>
      </w:pPr>
    </w:p>
    <w:p w14:paraId="047F498A" w14:textId="2E450822" w:rsidR="00F83273" w:rsidRDefault="00F83273" w:rsidP="00627601">
      <w:pPr>
        <w:pStyle w:val="Default"/>
        <w:spacing w:after="120"/>
        <w:rPr>
          <w:rFonts w:ascii="Times New Roman" w:hAnsi="Times New Roman" w:cs="Times New Roman"/>
          <w:i/>
          <w:sz w:val="22"/>
          <w:szCs w:val="22"/>
        </w:rPr>
      </w:pPr>
      <w:r>
        <w:rPr>
          <w:rFonts w:ascii="Times New Roman" w:hAnsi="Times New Roman" w:cs="Times New Roman"/>
          <w:sz w:val="22"/>
          <w:szCs w:val="22"/>
        </w:rPr>
        <w:t xml:space="preserve">The Instrument also returns </w:t>
      </w:r>
      <w:r w:rsidR="00664A42">
        <w:rPr>
          <w:rFonts w:ascii="Times New Roman" w:hAnsi="Times New Roman" w:cs="Times New Roman"/>
          <w:sz w:val="22"/>
          <w:szCs w:val="22"/>
        </w:rPr>
        <w:t xml:space="preserve">the </w:t>
      </w:r>
      <w:r>
        <w:rPr>
          <w:rFonts w:ascii="Times New Roman" w:hAnsi="Times New Roman" w:cs="Times New Roman"/>
          <w:sz w:val="22"/>
          <w:szCs w:val="22"/>
        </w:rPr>
        <w:t>48 licences</w:t>
      </w:r>
      <w:r w:rsidR="00982591">
        <w:rPr>
          <w:rFonts w:ascii="Times New Roman" w:hAnsi="Times New Roman" w:cs="Times New Roman"/>
          <w:sz w:val="22"/>
          <w:szCs w:val="22"/>
        </w:rPr>
        <w:t>,</w:t>
      </w:r>
      <w:r w:rsidR="00664A42">
        <w:rPr>
          <w:rFonts w:ascii="Times New Roman" w:hAnsi="Times New Roman" w:cs="Times New Roman"/>
          <w:sz w:val="22"/>
          <w:szCs w:val="22"/>
        </w:rPr>
        <w:t xml:space="preserve"> </w:t>
      </w:r>
      <w:r w:rsidR="000A09C2">
        <w:rPr>
          <w:rFonts w:ascii="Times New Roman" w:hAnsi="Times New Roman" w:cs="Times New Roman"/>
          <w:sz w:val="22"/>
          <w:szCs w:val="22"/>
        </w:rPr>
        <w:t>identified</w:t>
      </w:r>
      <w:r w:rsidR="00664A42">
        <w:rPr>
          <w:rFonts w:ascii="Times New Roman" w:hAnsi="Times New Roman" w:cs="Times New Roman"/>
          <w:sz w:val="22"/>
          <w:szCs w:val="22"/>
        </w:rPr>
        <w:t xml:space="preserve"> in the table below</w:t>
      </w:r>
      <w:r w:rsidR="00982591">
        <w:rPr>
          <w:rFonts w:ascii="Times New Roman" w:hAnsi="Times New Roman" w:cs="Times New Roman"/>
          <w:sz w:val="22"/>
          <w:szCs w:val="22"/>
        </w:rPr>
        <w:t>,</w:t>
      </w:r>
      <w:r>
        <w:rPr>
          <w:rFonts w:ascii="Times New Roman" w:hAnsi="Times New Roman" w:cs="Times New Roman"/>
          <w:sz w:val="22"/>
          <w:szCs w:val="22"/>
        </w:rPr>
        <w:t xml:space="preserve"> to the d</w:t>
      </w:r>
      <w:r w:rsidRPr="00AA7685">
        <w:rPr>
          <w:rFonts w:ascii="Times New Roman" w:hAnsi="Times New Roman" w:cs="Times New Roman"/>
          <w:sz w:val="22"/>
          <w:szCs w:val="22"/>
        </w:rPr>
        <w:t>efault exemption periods under subsections 43C(1A) and 61CD(2)</w:t>
      </w:r>
      <w:r>
        <w:rPr>
          <w:rFonts w:ascii="Times New Roman" w:hAnsi="Times New Roman" w:cs="Times New Roman"/>
          <w:i/>
          <w:sz w:val="22"/>
          <w:szCs w:val="22"/>
        </w:rPr>
        <w:t xml:space="preserve"> </w:t>
      </w:r>
      <w:r>
        <w:rPr>
          <w:rFonts w:ascii="Times New Roman" w:hAnsi="Times New Roman" w:cs="Times New Roman"/>
          <w:iCs/>
          <w:sz w:val="22"/>
          <w:szCs w:val="22"/>
        </w:rPr>
        <w:t>of the BSA</w:t>
      </w:r>
      <w:r w:rsidR="00A60BCE">
        <w:rPr>
          <w:rFonts w:ascii="Times New Roman" w:hAnsi="Times New Roman" w:cs="Times New Roman"/>
          <w:iCs/>
          <w:sz w:val="22"/>
          <w:szCs w:val="22"/>
        </w:rPr>
        <w:t>,</w:t>
      </w:r>
      <w:r>
        <w:rPr>
          <w:rFonts w:ascii="Times New Roman" w:hAnsi="Times New Roman" w:cs="Times New Roman"/>
          <w:iCs/>
          <w:sz w:val="22"/>
          <w:szCs w:val="22"/>
        </w:rPr>
        <w:t xml:space="preserve"> by omitting the licences from the table at Schedule 2 to the 2012 Instrument</w:t>
      </w:r>
      <w:r>
        <w:rPr>
          <w:rFonts w:ascii="Times New Roman" w:hAnsi="Times New Roman" w:cs="Times New Roman"/>
          <w:i/>
          <w:sz w:val="22"/>
          <w:szCs w:val="22"/>
        </w:rPr>
        <w:t xml:space="preserve">. </w:t>
      </w:r>
    </w:p>
    <w:p w14:paraId="2955D4F3" w14:textId="77777777" w:rsidR="001D49D6" w:rsidRDefault="001D49D6" w:rsidP="00627601">
      <w:pPr>
        <w:pStyle w:val="Default"/>
        <w:spacing w:after="120"/>
        <w:rPr>
          <w:rFonts w:ascii="Times New Roman" w:hAnsi="Times New Roman" w:cs="Times New Roman"/>
          <w:i/>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3336"/>
        <w:gridCol w:w="4678"/>
      </w:tblGrid>
      <w:tr w:rsidR="00F9584E" w:rsidRPr="00072D54" w14:paraId="7DC0AA72" w14:textId="15D99EDD" w:rsidTr="00F9584E">
        <w:trPr>
          <w:trHeight w:val="299"/>
        </w:trPr>
        <w:tc>
          <w:tcPr>
            <w:tcW w:w="912" w:type="dxa"/>
          </w:tcPr>
          <w:p w14:paraId="67DB7544" w14:textId="77777777" w:rsidR="00F9584E" w:rsidRPr="00072D54" w:rsidRDefault="00F9584E" w:rsidP="00627601">
            <w:pPr>
              <w:spacing w:line="240" w:lineRule="auto"/>
              <w:rPr>
                <w:rFonts w:ascii="Times New Roman" w:hAnsi="Times New Roman" w:cs="Times New Roman"/>
                <w:bCs/>
              </w:rPr>
            </w:pPr>
          </w:p>
        </w:tc>
        <w:tc>
          <w:tcPr>
            <w:tcW w:w="3336" w:type="dxa"/>
            <w:vAlign w:val="center"/>
          </w:tcPr>
          <w:p w14:paraId="3E8E8CE9" w14:textId="2D0E5FFE" w:rsidR="00F9584E" w:rsidRPr="00072D54" w:rsidRDefault="00F9584E" w:rsidP="00627601">
            <w:pPr>
              <w:spacing w:line="240" w:lineRule="auto"/>
              <w:rPr>
                <w:rFonts w:ascii="Times New Roman" w:hAnsi="Times New Roman" w:cs="Times New Roman"/>
              </w:rPr>
            </w:pPr>
            <w:r w:rsidRPr="00A54D3B">
              <w:rPr>
                <w:rFonts w:ascii="Arial" w:hAnsi="Arial" w:cs="Arial"/>
                <w:b/>
                <w:sz w:val="20"/>
              </w:rPr>
              <w:t>Licence #</w:t>
            </w:r>
          </w:p>
        </w:tc>
        <w:tc>
          <w:tcPr>
            <w:tcW w:w="4678" w:type="dxa"/>
            <w:vAlign w:val="center"/>
          </w:tcPr>
          <w:p w14:paraId="58B035A9" w14:textId="1B856D91" w:rsidR="00F9584E" w:rsidRPr="00A54D3B" w:rsidRDefault="00F9584E" w:rsidP="00627601">
            <w:pPr>
              <w:spacing w:line="240" w:lineRule="auto"/>
              <w:rPr>
                <w:rFonts w:ascii="Arial" w:hAnsi="Arial" w:cs="Arial"/>
                <w:b/>
                <w:sz w:val="20"/>
              </w:rPr>
            </w:pPr>
            <w:r w:rsidRPr="00A54D3B">
              <w:rPr>
                <w:rFonts w:ascii="Arial" w:hAnsi="Arial" w:cs="Arial"/>
                <w:b/>
                <w:sz w:val="20"/>
              </w:rPr>
              <w:t>Licence Area</w:t>
            </w:r>
          </w:p>
        </w:tc>
      </w:tr>
      <w:tr w:rsidR="00F9584E" w:rsidRPr="00072D54" w14:paraId="187F85E7" w14:textId="7A8EE4CE" w:rsidTr="00F9584E">
        <w:trPr>
          <w:trHeight w:val="299"/>
        </w:trPr>
        <w:tc>
          <w:tcPr>
            <w:tcW w:w="912" w:type="dxa"/>
          </w:tcPr>
          <w:p w14:paraId="6357D584" w14:textId="3A04C644"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1.</w:t>
            </w:r>
          </w:p>
        </w:tc>
        <w:tc>
          <w:tcPr>
            <w:tcW w:w="3336" w:type="dxa"/>
          </w:tcPr>
          <w:p w14:paraId="152DC8DD" w14:textId="770AE02A"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10289</w:t>
            </w:r>
          </w:p>
        </w:tc>
        <w:tc>
          <w:tcPr>
            <w:tcW w:w="4678" w:type="dxa"/>
          </w:tcPr>
          <w:p w14:paraId="56EC9B82" w14:textId="4BCEC2B3"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Albury RA1</w:t>
            </w:r>
          </w:p>
        </w:tc>
      </w:tr>
      <w:tr w:rsidR="00F9584E" w:rsidRPr="00072D54" w14:paraId="7E0F558B" w14:textId="60969504" w:rsidTr="00F9584E">
        <w:trPr>
          <w:trHeight w:val="413"/>
        </w:trPr>
        <w:tc>
          <w:tcPr>
            <w:tcW w:w="912" w:type="dxa"/>
          </w:tcPr>
          <w:p w14:paraId="6F40AA8F" w14:textId="7777777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2.</w:t>
            </w:r>
          </w:p>
        </w:tc>
        <w:tc>
          <w:tcPr>
            <w:tcW w:w="3336" w:type="dxa"/>
          </w:tcPr>
          <w:p w14:paraId="7DCEB554" w14:textId="12EE867C"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1150011</w:t>
            </w:r>
          </w:p>
        </w:tc>
        <w:tc>
          <w:tcPr>
            <w:tcW w:w="4678" w:type="dxa"/>
          </w:tcPr>
          <w:p w14:paraId="0BDFA634" w14:textId="56103613"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Albury RA1</w:t>
            </w:r>
          </w:p>
        </w:tc>
      </w:tr>
      <w:tr w:rsidR="00F9584E" w:rsidRPr="00072D54" w14:paraId="7ECC9882" w14:textId="0F759988" w:rsidTr="00F9584E">
        <w:tc>
          <w:tcPr>
            <w:tcW w:w="912" w:type="dxa"/>
          </w:tcPr>
          <w:p w14:paraId="2D51A36B" w14:textId="7777777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3.</w:t>
            </w:r>
          </w:p>
        </w:tc>
        <w:tc>
          <w:tcPr>
            <w:tcW w:w="3336" w:type="dxa"/>
          </w:tcPr>
          <w:p w14:paraId="32944FF8" w14:textId="0B9F7621"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1150016</w:t>
            </w:r>
          </w:p>
        </w:tc>
        <w:tc>
          <w:tcPr>
            <w:tcW w:w="4678" w:type="dxa"/>
          </w:tcPr>
          <w:p w14:paraId="2D8F9E1F" w14:textId="46F76A11"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Atherton RA1</w:t>
            </w:r>
          </w:p>
        </w:tc>
      </w:tr>
      <w:tr w:rsidR="00F9584E" w:rsidRPr="00072D54" w14:paraId="3D5A4102" w14:textId="0E2CED2F" w:rsidTr="00F9584E">
        <w:tc>
          <w:tcPr>
            <w:tcW w:w="912" w:type="dxa"/>
          </w:tcPr>
          <w:p w14:paraId="0A03B502" w14:textId="7777777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4.</w:t>
            </w:r>
          </w:p>
        </w:tc>
        <w:tc>
          <w:tcPr>
            <w:tcW w:w="3336" w:type="dxa"/>
          </w:tcPr>
          <w:p w14:paraId="7F0D53F1" w14:textId="74543285"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10258</w:t>
            </w:r>
          </w:p>
        </w:tc>
        <w:tc>
          <w:tcPr>
            <w:tcW w:w="4678" w:type="dxa"/>
          </w:tcPr>
          <w:p w14:paraId="6C93D945" w14:textId="1CACEEFC"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Bendigo RA1</w:t>
            </w:r>
          </w:p>
        </w:tc>
      </w:tr>
      <w:tr w:rsidR="00F9584E" w:rsidRPr="00072D54" w14:paraId="51325704" w14:textId="575FED51" w:rsidTr="00F9584E">
        <w:tc>
          <w:tcPr>
            <w:tcW w:w="912" w:type="dxa"/>
          </w:tcPr>
          <w:p w14:paraId="4A7CB853" w14:textId="7777777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5</w:t>
            </w:r>
          </w:p>
        </w:tc>
        <w:tc>
          <w:tcPr>
            <w:tcW w:w="3336" w:type="dxa"/>
          </w:tcPr>
          <w:p w14:paraId="0F191B20" w14:textId="23CA1696"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10367</w:t>
            </w:r>
          </w:p>
        </w:tc>
        <w:tc>
          <w:tcPr>
            <w:tcW w:w="4678" w:type="dxa"/>
          </w:tcPr>
          <w:p w14:paraId="16202088" w14:textId="31590719"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Bendigo RA1</w:t>
            </w:r>
          </w:p>
        </w:tc>
      </w:tr>
      <w:tr w:rsidR="00F9584E" w:rsidRPr="00072D54" w14:paraId="7CD6A4D5" w14:textId="2415B6B6" w:rsidTr="00F9584E">
        <w:tc>
          <w:tcPr>
            <w:tcW w:w="912" w:type="dxa"/>
          </w:tcPr>
          <w:p w14:paraId="13411DBB" w14:textId="7777777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6.</w:t>
            </w:r>
          </w:p>
        </w:tc>
        <w:tc>
          <w:tcPr>
            <w:tcW w:w="3336" w:type="dxa"/>
          </w:tcPr>
          <w:p w14:paraId="59145A3C" w14:textId="6890183C"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1150057</w:t>
            </w:r>
          </w:p>
        </w:tc>
        <w:tc>
          <w:tcPr>
            <w:tcW w:w="4678" w:type="dxa"/>
          </w:tcPr>
          <w:p w14:paraId="700F19C3" w14:textId="3F7223D9"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Bundaberg RA1</w:t>
            </w:r>
          </w:p>
        </w:tc>
      </w:tr>
      <w:tr w:rsidR="00F9584E" w:rsidRPr="00072D54" w14:paraId="7F130E9B" w14:textId="42D76752" w:rsidTr="00F9584E">
        <w:tc>
          <w:tcPr>
            <w:tcW w:w="912" w:type="dxa"/>
          </w:tcPr>
          <w:p w14:paraId="517E74F1" w14:textId="7777777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7.</w:t>
            </w:r>
          </w:p>
        </w:tc>
        <w:tc>
          <w:tcPr>
            <w:tcW w:w="3336" w:type="dxa"/>
          </w:tcPr>
          <w:p w14:paraId="2476DD43" w14:textId="149C7D96"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5742</w:t>
            </w:r>
          </w:p>
        </w:tc>
        <w:tc>
          <w:tcPr>
            <w:tcW w:w="4678" w:type="dxa"/>
          </w:tcPr>
          <w:p w14:paraId="5CA38962" w14:textId="18D6068A"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Cairns RA1</w:t>
            </w:r>
          </w:p>
        </w:tc>
      </w:tr>
      <w:tr w:rsidR="00F9584E" w:rsidRPr="00362EE8" w14:paraId="6F1F487B" w14:textId="20A1DE8E" w:rsidTr="00F9584E">
        <w:tc>
          <w:tcPr>
            <w:tcW w:w="912" w:type="dxa"/>
          </w:tcPr>
          <w:p w14:paraId="19244427" w14:textId="7777777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8.</w:t>
            </w:r>
          </w:p>
        </w:tc>
        <w:tc>
          <w:tcPr>
            <w:tcW w:w="3336" w:type="dxa"/>
          </w:tcPr>
          <w:p w14:paraId="7028FA82" w14:textId="2A86717E"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1150044</w:t>
            </w:r>
          </w:p>
        </w:tc>
        <w:tc>
          <w:tcPr>
            <w:tcW w:w="4678" w:type="dxa"/>
          </w:tcPr>
          <w:p w14:paraId="7CE3A34E" w14:textId="65C59347"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Cairns RA1</w:t>
            </w:r>
          </w:p>
        </w:tc>
      </w:tr>
      <w:tr w:rsidR="00F9584E" w:rsidRPr="00362EE8" w14:paraId="61E4FB3E" w14:textId="7F9546FE" w:rsidTr="00F9584E">
        <w:tc>
          <w:tcPr>
            <w:tcW w:w="912" w:type="dxa"/>
          </w:tcPr>
          <w:p w14:paraId="1E2C8F3F" w14:textId="7777777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9.</w:t>
            </w:r>
          </w:p>
        </w:tc>
        <w:tc>
          <w:tcPr>
            <w:tcW w:w="3336" w:type="dxa"/>
          </w:tcPr>
          <w:p w14:paraId="048E4B22" w14:textId="1A4FFB6C"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10410</w:t>
            </w:r>
          </w:p>
        </w:tc>
        <w:tc>
          <w:tcPr>
            <w:tcW w:w="4678" w:type="dxa"/>
          </w:tcPr>
          <w:p w14:paraId="1CD179D5" w14:textId="67AFFF01"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Coffs Harbour RA1</w:t>
            </w:r>
          </w:p>
        </w:tc>
      </w:tr>
      <w:tr w:rsidR="00F9584E" w:rsidRPr="00362EE8" w14:paraId="757E7506" w14:textId="296D014E" w:rsidTr="00F9584E">
        <w:tc>
          <w:tcPr>
            <w:tcW w:w="912" w:type="dxa"/>
          </w:tcPr>
          <w:p w14:paraId="28875397" w14:textId="7777777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10.</w:t>
            </w:r>
          </w:p>
        </w:tc>
        <w:tc>
          <w:tcPr>
            <w:tcW w:w="3336" w:type="dxa"/>
          </w:tcPr>
          <w:p w14:paraId="5ED6E790" w14:textId="3CA8A99D"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1150055</w:t>
            </w:r>
          </w:p>
        </w:tc>
        <w:tc>
          <w:tcPr>
            <w:tcW w:w="4678" w:type="dxa"/>
          </w:tcPr>
          <w:p w14:paraId="55D7CDA0" w14:textId="65D6BF00"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Coffs Harbour RA1</w:t>
            </w:r>
          </w:p>
        </w:tc>
      </w:tr>
      <w:tr w:rsidR="00F9584E" w:rsidRPr="00362EE8" w14:paraId="40FF9196" w14:textId="71701255" w:rsidTr="00F9584E">
        <w:tc>
          <w:tcPr>
            <w:tcW w:w="912" w:type="dxa"/>
          </w:tcPr>
          <w:p w14:paraId="0F5C4EBC" w14:textId="7777777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11.</w:t>
            </w:r>
          </w:p>
        </w:tc>
        <w:tc>
          <w:tcPr>
            <w:tcW w:w="3336" w:type="dxa"/>
          </w:tcPr>
          <w:p w14:paraId="715ABC88" w14:textId="1DEAB07B"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10053</w:t>
            </w:r>
          </w:p>
        </w:tc>
        <w:tc>
          <w:tcPr>
            <w:tcW w:w="4678" w:type="dxa"/>
          </w:tcPr>
          <w:p w14:paraId="737C449B" w14:textId="7A6A4394"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Dubbo RA1</w:t>
            </w:r>
          </w:p>
        </w:tc>
      </w:tr>
      <w:tr w:rsidR="00F9584E" w:rsidRPr="00362EE8" w14:paraId="05BC7B42" w14:textId="312B63F9" w:rsidTr="00F9584E">
        <w:tc>
          <w:tcPr>
            <w:tcW w:w="912" w:type="dxa"/>
          </w:tcPr>
          <w:p w14:paraId="2780FBCA" w14:textId="7777777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12.</w:t>
            </w:r>
          </w:p>
        </w:tc>
        <w:tc>
          <w:tcPr>
            <w:tcW w:w="3336" w:type="dxa"/>
          </w:tcPr>
          <w:p w14:paraId="5F2ABDB4" w14:textId="4AA86CD2"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10333</w:t>
            </w:r>
          </w:p>
        </w:tc>
        <w:tc>
          <w:tcPr>
            <w:tcW w:w="4678" w:type="dxa"/>
          </w:tcPr>
          <w:p w14:paraId="68A71C80" w14:textId="59AF8A23"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Emerald RA1</w:t>
            </w:r>
          </w:p>
        </w:tc>
      </w:tr>
      <w:tr w:rsidR="00F9584E" w:rsidRPr="00362EE8" w14:paraId="7BE68811" w14:textId="2204352F" w:rsidTr="00F9584E">
        <w:tc>
          <w:tcPr>
            <w:tcW w:w="912" w:type="dxa"/>
          </w:tcPr>
          <w:p w14:paraId="2AD156CA" w14:textId="7777777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13.</w:t>
            </w:r>
          </w:p>
        </w:tc>
        <w:tc>
          <w:tcPr>
            <w:tcW w:w="3336" w:type="dxa"/>
          </w:tcPr>
          <w:p w14:paraId="31AAAE1E" w14:textId="6F716EF4"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3182</w:t>
            </w:r>
          </w:p>
        </w:tc>
        <w:tc>
          <w:tcPr>
            <w:tcW w:w="4678" w:type="dxa"/>
          </w:tcPr>
          <w:p w14:paraId="16791A01" w14:textId="3E5346D8"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Gold Coast RA1</w:t>
            </w:r>
          </w:p>
        </w:tc>
      </w:tr>
      <w:tr w:rsidR="00F9584E" w:rsidRPr="00362EE8" w14:paraId="19786C0D" w14:textId="17A1F8EF" w:rsidTr="00F9584E">
        <w:tc>
          <w:tcPr>
            <w:tcW w:w="912" w:type="dxa"/>
          </w:tcPr>
          <w:p w14:paraId="55FEE5D7" w14:textId="7777777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14.</w:t>
            </w:r>
          </w:p>
        </w:tc>
        <w:tc>
          <w:tcPr>
            <w:tcW w:w="3336" w:type="dxa"/>
          </w:tcPr>
          <w:p w14:paraId="3D73AB1E" w14:textId="39E23436"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4173</w:t>
            </w:r>
          </w:p>
        </w:tc>
        <w:tc>
          <w:tcPr>
            <w:tcW w:w="4678" w:type="dxa"/>
          </w:tcPr>
          <w:p w14:paraId="3BD7A511" w14:textId="1BD1960D"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Gold Coast RA1</w:t>
            </w:r>
          </w:p>
        </w:tc>
      </w:tr>
      <w:tr w:rsidR="00F9584E" w:rsidRPr="00362EE8" w14:paraId="3405E174" w14:textId="64D718D3" w:rsidTr="00F9584E">
        <w:tc>
          <w:tcPr>
            <w:tcW w:w="912" w:type="dxa"/>
          </w:tcPr>
          <w:p w14:paraId="01783DED" w14:textId="21A8D5E6"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15.</w:t>
            </w:r>
          </w:p>
        </w:tc>
        <w:tc>
          <w:tcPr>
            <w:tcW w:w="3336" w:type="dxa"/>
          </w:tcPr>
          <w:p w14:paraId="133359BA" w14:textId="0567709B"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4113</w:t>
            </w:r>
          </w:p>
        </w:tc>
        <w:tc>
          <w:tcPr>
            <w:tcW w:w="4678" w:type="dxa"/>
          </w:tcPr>
          <w:p w14:paraId="2AE052BC" w14:textId="5276326F"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Gosford RA1</w:t>
            </w:r>
          </w:p>
        </w:tc>
      </w:tr>
      <w:tr w:rsidR="00F9584E" w:rsidRPr="00362EE8" w14:paraId="15A47929" w14:textId="1585CAE1" w:rsidTr="00F9584E">
        <w:tc>
          <w:tcPr>
            <w:tcW w:w="912" w:type="dxa"/>
          </w:tcPr>
          <w:p w14:paraId="59B98C06" w14:textId="74425A95"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16</w:t>
            </w:r>
            <w:r>
              <w:rPr>
                <w:rFonts w:ascii="Times New Roman" w:hAnsi="Times New Roman" w:cs="Times New Roman"/>
                <w:bCs/>
              </w:rPr>
              <w:t>.</w:t>
            </w:r>
          </w:p>
        </w:tc>
        <w:tc>
          <w:tcPr>
            <w:tcW w:w="3336" w:type="dxa"/>
          </w:tcPr>
          <w:p w14:paraId="5C0A63D3" w14:textId="7D458115"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5145</w:t>
            </w:r>
          </w:p>
        </w:tc>
        <w:tc>
          <w:tcPr>
            <w:tcW w:w="4678" w:type="dxa"/>
          </w:tcPr>
          <w:p w14:paraId="48C4CEF0" w14:textId="1B79B1A1"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Gosford RA1</w:t>
            </w:r>
          </w:p>
        </w:tc>
      </w:tr>
      <w:tr w:rsidR="00F9584E" w:rsidRPr="00362EE8" w14:paraId="2207A807" w14:textId="06886A58" w:rsidTr="00F9584E">
        <w:tc>
          <w:tcPr>
            <w:tcW w:w="912" w:type="dxa"/>
          </w:tcPr>
          <w:p w14:paraId="4A3B8D3D" w14:textId="5BD840EF"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17.</w:t>
            </w:r>
          </w:p>
        </w:tc>
        <w:tc>
          <w:tcPr>
            <w:tcW w:w="3336" w:type="dxa"/>
          </w:tcPr>
          <w:p w14:paraId="2BA9895E" w14:textId="121B48CF"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4132</w:t>
            </w:r>
          </w:p>
        </w:tc>
        <w:tc>
          <w:tcPr>
            <w:tcW w:w="4678" w:type="dxa"/>
          </w:tcPr>
          <w:p w14:paraId="3A645316" w14:textId="26A03725"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Griffith RA1</w:t>
            </w:r>
          </w:p>
        </w:tc>
      </w:tr>
      <w:tr w:rsidR="00F9584E" w:rsidRPr="00362EE8" w14:paraId="4F543D76" w14:textId="36518526" w:rsidTr="00F9584E">
        <w:tc>
          <w:tcPr>
            <w:tcW w:w="912" w:type="dxa"/>
          </w:tcPr>
          <w:p w14:paraId="5DDF5169" w14:textId="50CCE34A"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bCs/>
              </w:rPr>
              <w:t>18.</w:t>
            </w:r>
          </w:p>
        </w:tc>
        <w:tc>
          <w:tcPr>
            <w:tcW w:w="3336" w:type="dxa"/>
          </w:tcPr>
          <w:p w14:paraId="380C6A3B" w14:textId="4FFFF944"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10310</w:t>
            </w:r>
          </w:p>
        </w:tc>
        <w:tc>
          <w:tcPr>
            <w:tcW w:w="4678" w:type="dxa"/>
          </w:tcPr>
          <w:p w14:paraId="706DE15D" w14:textId="6B704F1F"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Griffith RA1</w:t>
            </w:r>
          </w:p>
        </w:tc>
      </w:tr>
      <w:tr w:rsidR="00F9584E" w:rsidRPr="00362EE8" w14:paraId="09326B28" w14:textId="447D0F78" w:rsidTr="00F9584E">
        <w:tc>
          <w:tcPr>
            <w:tcW w:w="912" w:type="dxa"/>
          </w:tcPr>
          <w:p w14:paraId="65E89EF9" w14:textId="50F17FA3"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19.</w:t>
            </w:r>
          </w:p>
        </w:tc>
        <w:tc>
          <w:tcPr>
            <w:tcW w:w="3336" w:type="dxa"/>
          </w:tcPr>
          <w:p w14:paraId="14AE990E" w14:textId="6E7E582B"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Pr="00134944">
              <w:rPr>
                <w:rFonts w:ascii="Times New Roman" w:eastAsia="Times New Roman" w:hAnsi="Times New Roman" w:cs="Times New Roman"/>
                <w:color w:val="000000"/>
                <w:lang w:eastAsia="en-AU"/>
              </w:rPr>
              <w:t xml:space="preserve"> </w:t>
            </w:r>
            <w:r w:rsidR="00F9584E" w:rsidRPr="00134944">
              <w:rPr>
                <w:rFonts w:ascii="Times New Roman" w:eastAsia="Times New Roman" w:hAnsi="Times New Roman" w:cs="Times New Roman"/>
                <w:color w:val="000000"/>
                <w:lang w:eastAsia="en-AU"/>
              </w:rPr>
              <w:t>3864</w:t>
            </w:r>
          </w:p>
        </w:tc>
        <w:tc>
          <w:tcPr>
            <w:tcW w:w="4678" w:type="dxa"/>
          </w:tcPr>
          <w:p w14:paraId="0CC73E8C" w14:textId="4E983971"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Hobart RA1</w:t>
            </w:r>
          </w:p>
        </w:tc>
      </w:tr>
      <w:tr w:rsidR="00F9584E" w:rsidRPr="00362EE8" w14:paraId="10F13BF3" w14:textId="7ACC0300" w:rsidTr="00F9584E">
        <w:tc>
          <w:tcPr>
            <w:tcW w:w="912" w:type="dxa"/>
          </w:tcPr>
          <w:p w14:paraId="32257470" w14:textId="5BBA83C1"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20.</w:t>
            </w:r>
          </w:p>
        </w:tc>
        <w:tc>
          <w:tcPr>
            <w:tcW w:w="3336" w:type="dxa"/>
          </w:tcPr>
          <w:p w14:paraId="6CC65D2B" w14:textId="6A38A53F"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4217</w:t>
            </w:r>
          </w:p>
        </w:tc>
        <w:tc>
          <w:tcPr>
            <w:tcW w:w="4678" w:type="dxa"/>
          </w:tcPr>
          <w:p w14:paraId="7F9C0D9C" w14:textId="40E09485"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Hobart RA1</w:t>
            </w:r>
          </w:p>
        </w:tc>
      </w:tr>
      <w:tr w:rsidR="00F9584E" w:rsidRPr="00362EE8" w14:paraId="3F789FBE" w14:textId="1E577F6D" w:rsidTr="00F9584E">
        <w:tc>
          <w:tcPr>
            <w:tcW w:w="912" w:type="dxa"/>
          </w:tcPr>
          <w:p w14:paraId="79D578E6" w14:textId="1D5D606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21.</w:t>
            </w:r>
          </w:p>
        </w:tc>
        <w:tc>
          <w:tcPr>
            <w:tcW w:w="3336" w:type="dxa"/>
          </w:tcPr>
          <w:p w14:paraId="4DCFFF0E" w14:textId="1617637E"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2161</w:t>
            </w:r>
          </w:p>
        </w:tc>
        <w:tc>
          <w:tcPr>
            <w:tcW w:w="4678" w:type="dxa"/>
          </w:tcPr>
          <w:p w14:paraId="1DC0372A" w14:textId="02AE7E73"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Kempsey RA1</w:t>
            </w:r>
          </w:p>
        </w:tc>
      </w:tr>
      <w:tr w:rsidR="00F9584E" w:rsidRPr="00362EE8" w14:paraId="199E19C7" w14:textId="2D244E0F" w:rsidTr="00F9584E">
        <w:tc>
          <w:tcPr>
            <w:tcW w:w="912" w:type="dxa"/>
          </w:tcPr>
          <w:p w14:paraId="46874586" w14:textId="2248085E"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22.</w:t>
            </w:r>
          </w:p>
        </w:tc>
        <w:tc>
          <w:tcPr>
            <w:tcW w:w="3336" w:type="dxa"/>
          </w:tcPr>
          <w:p w14:paraId="142990A1" w14:textId="445A1876"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1150051</w:t>
            </w:r>
          </w:p>
        </w:tc>
        <w:tc>
          <w:tcPr>
            <w:tcW w:w="4678" w:type="dxa"/>
          </w:tcPr>
          <w:p w14:paraId="64D351B1" w14:textId="7B35A3DE"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Kempsey RA1</w:t>
            </w:r>
          </w:p>
        </w:tc>
      </w:tr>
      <w:tr w:rsidR="00F9584E" w:rsidRPr="00362EE8" w14:paraId="6B2E7C20" w14:textId="187E77F5" w:rsidTr="00F9584E">
        <w:tc>
          <w:tcPr>
            <w:tcW w:w="912" w:type="dxa"/>
          </w:tcPr>
          <w:p w14:paraId="47D5A22B" w14:textId="4075B36C"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23.</w:t>
            </w:r>
          </w:p>
        </w:tc>
        <w:tc>
          <w:tcPr>
            <w:tcW w:w="3336" w:type="dxa"/>
          </w:tcPr>
          <w:p w14:paraId="49CA265C" w14:textId="67EC3192"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1150096</w:t>
            </w:r>
          </w:p>
        </w:tc>
        <w:tc>
          <w:tcPr>
            <w:tcW w:w="4678" w:type="dxa"/>
          </w:tcPr>
          <w:p w14:paraId="46CCA16F" w14:textId="53DC6E4A"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Kingaroy RA1</w:t>
            </w:r>
          </w:p>
        </w:tc>
      </w:tr>
      <w:tr w:rsidR="00F9584E" w:rsidRPr="00362EE8" w14:paraId="291B3107" w14:textId="0FBCA40E" w:rsidTr="00F9584E">
        <w:tc>
          <w:tcPr>
            <w:tcW w:w="912" w:type="dxa"/>
          </w:tcPr>
          <w:p w14:paraId="121401AA" w14:textId="7E7115B1"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24.</w:t>
            </w:r>
          </w:p>
        </w:tc>
        <w:tc>
          <w:tcPr>
            <w:tcW w:w="3336" w:type="dxa"/>
          </w:tcPr>
          <w:p w14:paraId="5BDF85C1" w14:textId="01FCB124"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1964</w:t>
            </w:r>
          </w:p>
        </w:tc>
        <w:tc>
          <w:tcPr>
            <w:tcW w:w="4678" w:type="dxa"/>
          </w:tcPr>
          <w:p w14:paraId="52EE7730" w14:textId="4A7FFA5A"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Mackay RA1</w:t>
            </w:r>
          </w:p>
        </w:tc>
      </w:tr>
      <w:tr w:rsidR="00F9584E" w:rsidRPr="00362EE8" w14:paraId="2C8D6CAA" w14:textId="6AFC3BA5" w:rsidTr="00F9584E">
        <w:tc>
          <w:tcPr>
            <w:tcW w:w="912" w:type="dxa"/>
          </w:tcPr>
          <w:p w14:paraId="50D2FC50" w14:textId="535A10E0"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25.</w:t>
            </w:r>
          </w:p>
        </w:tc>
        <w:tc>
          <w:tcPr>
            <w:tcW w:w="3336" w:type="dxa"/>
          </w:tcPr>
          <w:p w14:paraId="5F17BBD3" w14:textId="562471C4"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1150089</w:t>
            </w:r>
          </w:p>
        </w:tc>
        <w:tc>
          <w:tcPr>
            <w:tcW w:w="4678" w:type="dxa"/>
          </w:tcPr>
          <w:p w14:paraId="698925B2" w14:textId="2AB436FF"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Mackay RA1</w:t>
            </w:r>
          </w:p>
        </w:tc>
      </w:tr>
      <w:tr w:rsidR="00F9584E" w:rsidRPr="00362EE8" w14:paraId="4CB3286F" w14:textId="0A0EF1E4" w:rsidTr="00F9584E">
        <w:tc>
          <w:tcPr>
            <w:tcW w:w="912" w:type="dxa"/>
          </w:tcPr>
          <w:p w14:paraId="2C838B07" w14:textId="414638AB"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26.</w:t>
            </w:r>
          </w:p>
        </w:tc>
        <w:tc>
          <w:tcPr>
            <w:tcW w:w="3336" w:type="dxa"/>
          </w:tcPr>
          <w:p w14:paraId="42C64E35" w14:textId="6D4DB0B8"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1150052</w:t>
            </w:r>
          </w:p>
        </w:tc>
        <w:tc>
          <w:tcPr>
            <w:tcW w:w="4678" w:type="dxa"/>
          </w:tcPr>
          <w:p w14:paraId="7A626621" w14:textId="5EAEA87B"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Maryborough RA1</w:t>
            </w:r>
          </w:p>
        </w:tc>
      </w:tr>
      <w:tr w:rsidR="00F9584E" w:rsidRPr="00362EE8" w14:paraId="7A1EE8BA" w14:textId="53A98601" w:rsidTr="00F9584E">
        <w:tc>
          <w:tcPr>
            <w:tcW w:w="912" w:type="dxa"/>
          </w:tcPr>
          <w:p w14:paraId="49756D74" w14:textId="3DF8C30D"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27.</w:t>
            </w:r>
          </w:p>
        </w:tc>
        <w:tc>
          <w:tcPr>
            <w:tcW w:w="3336" w:type="dxa"/>
          </w:tcPr>
          <w:p w14:paraId="23A13299" w14:textId="63C5D271"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1150054</w:t>
            </w:r>
          </w:p>
        </w:tc>
        <w:tc>
          <w:tcPr>
            <w:tcW w:w="4678" w:type="dxa"/>
          </w:tcPr>
          <w:p w14:paraId="2986A8CF" w14:textId="6D825A56"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Maryborough RA1</w:t>
            </w:r>
          </w:p>
        </w:tc>
      </w:tr>
      <w:tr w:rsidR="00F9584E" w:rsidRPr="00362EE8" w14:paraId="68F2E3E3" w14:textId="754CB403" w:rsidTr="00F9584E">
        <w:tc>
          <w:tcPr>
            <w:tcW w:w="912" w:type="dxa"/>
          </w:tcPr>
          <w:p w14:paraId="25E518D9" w14:textId="0B5F95C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28.</w:t>
            </w:r>
          </w:p>
        </w:tc>
        <w:tc>
          <w:tcPr>
            <w:tcW w:w="3336" w:type="dxa"/>
          </w:tcPr>
          <w:p w14:paraId="01F9D87D" w14:textId="5F2AA344"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10094</w:t>
            </w:r>
          </w:p>
        </w:tc>
        <w:tc>
          <w:tcPr>
            <w:tcW w:w="4678" w:type="dxa"/>
          </w:tcPr>
          <w:p w14:paraId="1AA2E096" w14:textId="3CD08569"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Mildura RA1</w:t>
            </w:r>
          </w:p>
        </w:tc>
      </w:tr>
      <w:tr w:rsidR="00F9584E" w:rsidRPr="00362EE8" w14:paraId="4FCC6261" w14:textId="119C4B40" w:rsidTr="00F9584E">
        <w:tc>
          <w:tcPr>
            <w:tcW w:w="912" w:type="dxa"/>
          </w:tcPr>
          <w:p w14:paraId="54B778B2" w14:textId="6D01B4C7"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29.</w:t>
            </w:r>
          </w:p>
        </w:tc>
        <w:tc>
          <w:tcPr>
            <w:tcW w:w="3336" w:type="dxa"/>
          </w:tcPr>
          <w:p w14:paraId="56B74484" w14:textId="113C91BC"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10096</w:t>
            </w:r>
          </w:p>
        </w:tc>
        <w:tc>
          <w:tcPr>
            <w:tcW w:w="4678" w:type="dxa"/>
          </w:tcPr>
          <w:p w14:paraId="33FFA1B4" w14:textId="269AE3D7"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Mildura RA1</w:t>
            </w:r>
          </w:p>
        </w:tc>
      </w:tr>
      <w:tr w:rsidR="00F9584E" w:rsidRPr="00362EE8" w14:paraId="259A0E62" w14:textId="59767D31" w:rsidTr="00F9584E">
        <w:tc>
          <w:tcPr>
            <w:tcW w:w="912" w:type="dxa"/>
          </w:tcPr>
          <w:p w14:paraId="7D1B3C49" w14:textId="75812D0D"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30.</w:t>
            </w:r>
          </w:p>
        </w:tc>
        <w:tc>
          <w:tcPr>
            <w:tcW w:w="3336" w:type="dxa"/>
          </w:tcPr>
          <w:p w14:paraId="1BDDC34C" w14:textId="125ED04E"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4197</w:t>
            </w:r>
          </w:p>
        </w:tc>
        <w:tc>
          <w:tcPr>
            <w:tcW w:w="4678" w:type="dxa"/>
          </w:tcPr>
          <w:p w14:paraId="31ADAB80" w14:textId="1F2368A7"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Mt Gambier RA1</w:t>
            </w:r>
          </w:p>
        </w:tc>
      </w:tr>
      <w:tr w:rsidR="00F9584E" w:rsidRPr="00362EE8" w14:paraId="606DA111" w14:textId="7A9FDE93" w:rsidTr="00F9584E">
        <w:tc>
          <w:tcPr>
            <w:tcW w:w="912" w:type="dxa"/>
          </w:tcPr>
          <w:p w14:paraId="485520B2" w14:textId="77AA482D"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31.</w:t>
            </w:r>
          </w:p>
        </w:tc>
        <w:tc>
          <w:tcPr>
            <w:tcW w:w="3336" w:type="dxa"/>
          </w:tcPr>
          <w:p w14:paraId="5AAAAAF7" w14:textId="75EC65E2"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10312</w:t>
            </w:r>
          </w:p>
        </w:tc>
        <w:tc>
          <w:tcPr>
            <w:tcW w:w="4678" w:type="dxa"/>
          </w:tcPr>
          <w:p w14:paraId="622A945B" w14:textId="2C729554"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Mt Gambier RA1</w:t>
            </w:r>
          </w:p>
        </w:tc>
      </w:tr>
      <w:tr w:rsidR="00F9584E" w:rsidRPr="00362EE8" w14:paraId="427BA9BE" w14:textId="48A6899F" w:rsidTr="00F9584E">
        <w:tc>
          <w:tcPr>
            <w:tcW w:w="912" w:type="dxa"/>
          </w:tcPr>
          <w:p w14:paraId="64D82646" w14:textId="5A9FDB4F"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lastRenderedPageBreak/>
              <w:t>32.</w:t>
            </w:r>
          </w:p>
        </w:tc>
        <w:tc>
          <w:tcPr>
            <w:tcW w:w="3336" w:type="dxa"/>
          </w:tcPr>
          <w:p w14:paraId="06D207A3" w14:textId="32ED777F"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10226</w:t>
            </w:r>
          </w:p>
        </w:tc>
        <w:tc>
          <w:tcPr>
            <w:tcW w:w="4678" w:type="dxa"/>
          </w:tcPr>
          <w:p w14:paraId="37FA6258" w14:textId="42D77602"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Mt Isa RA1</w:t>
            </w:r>
          </w:p>
        </w:tc>
      </w:tr>
      <w:tr w:rsidR="00F9584E" w:rsidRPr="00362EE8" w14:paraId="09F951EE" w14:textId="78D7CC9B" w:rsidTr="00F9584E">
        <w:tc>
          <w:tcPr>
            <w:tcW w:w="912" w:type="dxa"/>
          </w:tcPr>
          <w:p w14:paraId="63A9D19B" w14:textId="41AD545E"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33.</w:t>
            </w:r>
          </w:p>
        </w:tc>
        <w:tc>
          <w:tcPr>
            <w:tcW w:w="3336" w:type="dxa"/>
          </w:tcPr>
          <w:p w14:paraId="64401883" w14:textId="24F52C0F"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4117</w:t>
            </w:r>
          </w:p>
        </w:tc>
        <w:tc>
          <w:tcPr>
            <w:tcW w:w="4678" w:type="dxa"/>
          </w:tcPr>
          <w:p w14:paraId="09D1455B" w14:textId="5ED6F0EF"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Newcastle RA1</w:t>
            </w:r>
          </w:p>
        </w:tc>
      </w:tr>
      <w:tr w:rsidR="00F9584E" w:rsidRPr="00362EE8" w14:paraId="43EAAFA8" w14:textId="6E1C5981" w:rsidTr="00F9584E">
        <w:tc>
          <w:tcPr>
            <w:tcW w:w="912" w:type="dxa"/>
          </w:tcPr>
          <w:p w14:paraId="06EEF4C3" w14:textId="318A7EDA"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34.</w:t>
            </w:r>
          </w:p>
        </w:tc>
        <w:tc>
          <w:tcPr>
            <w:tcW w:w="3336" w:type="dxa"/>
          </w:tcPr>
          <w:p w14:paraId="1B5C6DBD" w14:textId="6D3AA183"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4126</w:t>
            </w:r>
          </w:p>
        </w:tc>
        <w:tc>
          <w:tcPr>
            <w:tcW w:w="4678" w:type="dxa"/>
          </w:tcPr>
          <w:p w14:paraId="50A29D8D" w14:textId="76E5E23A"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Newcastle RA1</w:t>
            </w:r>
          </w:p>
        </w:tc>
      </w:tr>
      <w:tr w:rsidR="00F9584E" w:rsidRPr="00362EE8" w14:paraId="0AFE9B47" w14:textId="4F728412" w:rsidTr="00F9584E">
        <w:tc>
          <w:tcPr>
            <w:tcW w:w="912" w:type="dxa"/>
          </w:tcPr>
          <w:p w14:paraId="23740515" w14:textId="29314FD5"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35.</w:t>
            </w:r>
          </w:p>
        </w:tc>
        <w:tc>
          <w:tcPr>
            <w:tcW w:w="3336" w:type="dxa"/>
          </w:tcPr>
          <w:p w14:paraId="06E7F069" w14:textId="6251DDB5"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10277</w:t>
            </w:r>
          </w:p>
        </w:tc>
        <w:tc>
          <w:tcPr>
            <w:tcW w:w="4678" w:type="dxa"/>
          </w:tcPr>
          <w:p w14:paraId="77417EF4" w14:textId="6C24D05E"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Orange RA1</w:t>
            </w:r>
          </w:p>
        </w:tc>
      </w:tr>
      <w:tr w:rsidR="00F9584E" w:rsidRPr="00362EE8" w14:paraId="190828FD" w14:textId="740C7183" w:rsidTr="00F9584E">
        <w:tc>
          <w:tcPr>
            <w:tcW w:w="912" w:type="dxa"/>
          </w:tcPr>
          <w:p w14:paraId="375CCD1B" w14:textId="63D061AA" w:rsidR="00F9584E" w:rsidRPr="00134944" w:rsidRDefault="00F9584E" w:rsidP="00627601">
            <w:pPr>
              <w:spacing w:line="240" w:lineRule="auto"/>
              <w:rPr>
                <w:rFonts w:ascii="Times New Roman" w:hAnsi="Times New Roman" w:cs="Times New Roman"/>
                <w:bCs/>
              </w:rPr>
            </w:pPr>
            <w:r w:rsidRPr="00134944">
              <w:rPr>
                <w:rFonts w:ascii="Times New Roman" w:hAnsi="Times New Roman" w:cs="Times New Roman"/>
              </w:rPr>
              <w:t>36.</w:t>
            </w:r>
          </w:p>
        </w:tc>
        <w:tc>
          <w:tcPr>
            <w:tcW w:w="3336" w:type="dxa"/>
          </w:tcPr>
          <w:p w14:paraId="5F4945D0" w14:textId="4F283CDF"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10286</w:t>
            </w:r>
          </w:p>
        </w:tc>
        <w:tc>
          <w:tcPr>
            <w:tcW w:w="4678" w:type="dxa"/>
          </w:tcPr>
          <w:p w14:paraId="1C6B92C5" w14:textId="5B5A8562"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Orange RA1</w:t>
            </w:r>
          </w:p>
        </w:tc>
      </w:tr>
      <w:tr w:rsidR="00F9584E" w:rsidRPr="00362EE8" w14:paraId="4063DD40" w14:textId="36F07B9F" w:rsidTr="00F9584E">
        <w:tc>
          <w:tcPr>
            <w:tcW w:w="912" w:type="dxa"/>
          </w:tcPr>
          <w:p w14:paraId="1F55EEAE" w14:textId="4C3F94F1" w:rsidR="00F9584E" w:rsidRPr="00134944" w:rsidRDefault="00F9584E" w:rsidP="00627601">
            <w:pPr>
              <w:spacing w:line="240" w:lineRule="auto"/>
              <w:rPr>
                <w:rFonts w:ascii="Times New Roman" w:hAnsi="Times New Roman" w:cs="Times New Roman"/>
              </w:rPr>
            </w:pPr>
            <w:r w:rsidRPr="00134944">
              <w:rPr>
                <w:rFonts w:ascii="Times New Roman" w:hAnsi="Times New Roman" w:cs="Times New Roman"/>
              </w:rPr>
              <w:t>37.</w:t>
            </w:r>
          </w:p>
        </w:tc>
        <w:tc>
          <w:tcPr>
            <w:tcW w:w="3336" w:type="dxa"/>
          </w:tcPr>
          <w:p w14:paraId="56958032" w14:textId="3D51170D"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1150045</w:t>
            </w:r>
          </w:p>
        </w:tc>
        <w:tc>
          <w:tcPr>
            <w:tcW w:w="4678" w:type="dxa"/>
          </w:tcPr>
          <w:p w14:paraId="42C35BB4" w14:textId="3ABBD559"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Rockhampton RA1</w:t>
            </w:r>
          </w:p>
        </w:tc>
      </w:tr>
      <w:tr w:rsidR="00F9584E" w:rsidRPr="00362EE8" w14:paraId="1917F9A4" w14:textId="27B0982D" w:rsidTr="00F9584E">
        <w:tc>
          <w:tcPr>
            <w:tcW w:w="912" w:type="dxa"/>
          </w:tcPr>
          <w:p w14:paraId="2A15B520" w14:textId="3E41C7C1" w:rsidR="00F9584E" w:rsidRPr="00134944" w:rsidRDefault="00F9584E" w:rsidP="00627601">
            <w:pPr>
              <w:spacing w:line="240" w:lineRule="auto"/>
              <w:rPr>
                <w:rFonts w:ascii="Times New Roman" w:hAnsi="Times New Roman" w:cs="Times New Roman"/>
              </w:rPr>
            </w:pPr>
            <w:r w:rsidRPr="00134944">
              <w:rPr>
                <w:rFonts w:ascii="Times New Roman" w:hAnsi="Times New Roman" w:cs="Times New Roman"/>
              </w:rPr>
              <w:t>38.</w:t>
            </w:r>
          </w:p>
        </w:tc>
        <w:tc>
          <w:tcPr>
            <w:tcW w:w="3336" w:type="dxa"/>
          </w:tcPr>
          <w:p w14:paraId="282B1D83" w14:textId="2DB5B2C7"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1150183</w:t>
            </w:r>
          </w:p>
        </w:tc>
        <w:tc>
          <w:tcPr>
            <w:tcW w:w="4678" w:type="dxa"/>
          </w:tcPr>
          <w:p w14:paraId="3CCAC5FF" w14:textId="52F47B84"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Rockhampton RA1</w:t>
            </w:r>
          </w:p>
        </w:tc>
      </w:tr>
      <w:tr w:rsidR="00F9584E" w:rsidRPr="00362EE8" w14:paraId="21E1FA97" w14:textId="0FCE30F7" w:rsidTr="00F9584E">
        <w:tc>
          <w:tcPr>
            <w:tcW w:w="912" w:type="dxa"/>
          </w:tcPr>
          <w:p w14:paraId="7317344F" w14:textId="7C9907A8" w:rsidR="00F9584E" w:rsidRPr="00134944" w:rsidRDefault="00F9584E" w:rsidP="00627601">
            <w:pPr>
              <w:spacing w:line="240" w:lineRule="auto"/>
              <w:rPr>
                <w:rFonts w:ascii="Times New Roman" w:hAnsi="Times New Roman" w:cs="Times New Roman"/>
              </w:rPr>
            </w:pPr>
            <w:r w:rsidRPr="00134944">
              <w:rPr>
                <w:rFonts w:ascii="Times New Roman" w:hAnsi="Times New Roman" w:cs="Times New Roman"/>
              </w:rPr>
              <w:t>39.</w:t>
            </w:r>
          </w:p>
        </w:tc>
        <w:tc>
          <w:tcPr>
            <w:tcW w:w="3336" w:type="dxa"/>
          </w:tcPr>
          <w:p w14:paraId="6E753793" w14:textId="40D0CFBD"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10229</w:t>
            </w:r>
          </w:p>
        </w:tc>
        <w:tc>
          <w:tcPr>
            <w:tcW w:w="4678" w:type="dxa"/>
          </w:tcPr>
          <w:p w14:paraId="74392BB3" w14:textId="08335C09"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Roma RA1</w:t>
            </w:r>
          </w:p>
        </w:tc>
      </w:tr>
      <w:tr w:rsidR="00F9584E" w:rsidRPr="00362EE8" w14:paraId="7E3CA959" w14:textId="5483F38B" w:rsidTr="00F9584E">
        <w:tc>
          <w:tcPr>
            <w:tcW w:w="912" w:type="dxa"/>
          </w:tcPr>
          <w:p w14:paraId="6FAB0F4A" w14:textId="15C7C25A" w:rsidR="00F9584E" w:rsidRPr="00134944" w:rsidRDefault="00F9584E" w:rsidP="00627601">
            <w:pPr>
              <w:spacing w:line="240" w:lineRule="auto"/>
              <w:rPr>
                <w:rFonts w:ascii="Times New Roman" w:hAnsi="Times New Roman" w:cs="Times New Roman"/>
              </w:rPr>
            </w:pPr>
            <w:r w:rsidRPr="00134944">
              <w:rPr>
                <w:rFonts w:ascii="Times New Roman" w:hAnsi="Times New Roman" w:cs="Times New Roman"/>
              </w:rPr>
              <w:t>40.</w:t>
            </w:r>
          </w:p>
        </w:tc>
        <w:tc>
          <w:tcPr>
            <w:tcW w:w="3336" w:type="dxa"/>
          </w:tcPr>
          <w:p w14:paraId="2E7CA117" w14:textId="3F9A5C2F"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10389</w:t>
            </w:r>
          </w:p>
        </w:tc>
        <w:tc>
          <w:tcPr>
            <w:tcW w:w="4678" w:type="dxa"/>
          </w:tcPr>
          <w:p w14:paraId="6522F1E3" w14:textId="355E7A05"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Shepparton RA1</w:t>
            </w:r>
          </w:p>
        </w:tc>
      </w:tr>
      <w:tr w:rsidR="00F9584E" w:rsidRPr="00362EE8" w14:paraId="6F643C1D" w14:textId="45B2CCF4" w:rsidTr="00F9584E">
        <w:tc>
          <w:tcPr>
            <w:tcW w:w="912" w:type="dxa"/>
          </w:tcPr>
          <w:p w14:paraId="112C9727" w14:textId="2B77B629" w:rsidR="00F9584E" w:rsidRPr="00134944" w:rsidRDefault="00F9584E" w:rsidP="00627601">
            <w:pPr>
              <w:spacing w:line="240" w:lineRule="auto"/>
              <w:rPr>
                <w:rFonts w:ascii="Times New Roman" w:hAnsi="Times New Roman" w:cs="Times New Roman"/>
              </w:rPr>
            </w:pPr>
            <w:r w:rsidRPr="00134944">
              <w:rPr>
                <w:rFonts w:ascii="Times New Roman" w:hAnsi="Times New Roman" w:cs="Times New Roman"/>
              </w:rPr>
              <w:t>41.</w:t>
            </w:r>
          </w:p>
        </w:tc>
        <w:tc>
          <w:tcPr>
            <w:tcW w:w="3336" w:type="dxa"/>
          </w:tcPr>
          <w:p w14:paraId="44042DF7" w14:textId="7A98249B"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10390</w:t>
            </w:r>
          </w:p>
        </w:tc>
        <w:tc>
          <w:tcPr>
            <w:tcW w:w="4678" w:type="dxa"/>
          </w:tcPr>
          <w:p w14:paraId="776D8115" w14:textId="047BE6DD"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Shepparton RA1</w:t>
            </w:r>
          </w:p>
        </w:tc>
      </w:tr>
      <w:tr w:rsidR="00F9584E" w:rsidRPr="00362EE8" w14:paraId="041EF632" w14:textId="6A512524" w:rsidTr="00F9584E">
        <w:tc>
          <w:tcPr>
            <w:tcW w:w="912" w:type="dxa"/>
          </w:tcPr>
          <w:p w14:paraId="1A477323" w14:textId="2A9416F7" w:rsidR="00F9584E" w:rsidRPr="00134944" w:rsidRDefault="00F9584E" w:rsidP="00627601">
            <w:pPr>
              <w:spacing w:line="240" w:lineRule="auto"/>
              <w:rPr>
                <w:rFonts w:ascii="Times New Roman" w:hAnsi="Times New Roman" w:cs="Times New Roman"/>
              </w:rPr>
            </w:pPr>
            <w:r w:rsidRPr="00134944">
              <w:rPr>
                <w:rFonts w:ascii="Times New Roman" w:hAnsi="Times New Roman" w:cs="Times New Roman"/>
              </w:rPr>
              <w:t>42.</w:t>
            </w:r>
          </w:p>
        </w:tc>
        <w:tc>
          <w:tcPr>
            <w:tcW w:w="3336" w:type="dxa"/>
          </w:tcPr>
          <w:p w14:paraId="4E28890F" w14:textId="1437956A"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4174</w:t>
            </w:r>
          </w:p>
        </w:tc>
        <w:tc>
          <w:tcPr>
            <w:tcW w:w="4678" w:type="dxa"/>
          </w:tcPr>
          <w:p w14:paraId="460AD754" w14:textId="205465FB"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Toowoomba RA1</w:t>
            </w:r>
          </w:p>
        </w:tc>
      </w:tr>
      <w:tr w:rsidR="00F9584E" w:rsidRPr="00362EE8" w14:paraId="2A7F5A8C" w14:textId="57500DD8" w:rsidTr="00F9584E">
        <w:tc>
          <w:tcPr>
            <w:tcW w:w="912" w:type="dxa"/>
          </w:tcPr>
          <w:p w14:paraId="70E776AA" w14:textId="0E41D3EE" w:rsidR="00F9584E" w:rsidRPr="00134944" w:rsidRDefault="00F9584E" w:rsidP="00627601">
            <w:pPr>
              <w:spacing w:line="240" w:lineRule="auto"/>
              <w:rPr>
                <w:rFonts w:ascii="Times New Roman" w:hAnsi="Times New Roman" w:cs="Times New Roman"/>
              </w:rPr>
            </w:pPr>
            <w:r w:rsidRPr="00134944">
              <w:rPr>
                <w:rFonts w:ascii="Times New Roman" w:hAnsi="Times New Roman" w:cs="Times New Roman"/>
              </w:rPr>
              <w:t>43.</w:t>
            </w:r>
          </w:p>
        </w:tc>
        <w:tc>
          <w:tcPr>
            <w:tcW w:w="3336" w:type="dxa"/>
          </w:tcPr>
          <w:p w14:paraId="3E99B9F2" w14:textId="00112FC6"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1150094</w:t>
            </w:r>
          </w:p>
        </w:tc>
        <w:tc>
          <w:tcPr>
            <w:tcW w:w="4678" w:type="dxa"/>
          </w:tcPr>
          <w:p w14:paraId="352FFEA5" w14:textId="60D922C7"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Toowoomba RA1</w:t>
            </w:r>
          </w:p>
        </w:tc>
      </w:tr>
      <w:tr w:rsidR="00F9584E" w:rsidRPr="00362EE8" w14:paraId="682D45AF" w14:textId="37CF6E3D" w:rsidTr="00F9584E">
        <w:tc>
          <w:tcPr>
            <w:tcW w:w="912" w:type="dxa"/>
          </w:tcPr>
          <w:p w14:paraId="4E00E5D7" w14:textId="0E6C0EE8" w:rsidR="00F9584E" w:rsidRPr="00134944" w:rsidRDefault="00F9584E" w:rsidP="00627601">
            <w:pPr>
              <w:spacing w:line="240" w:lineRule="auto"/>
              <w:rPr>
                <w:rFonts w:ascii="Times New Roman" w:hAnsi="Times New Roman" w:cs="Times New Roman"/>
              </w:rPr>
            </w:pPr>
            <w:r w:rsidRPr="00134944">
              <w:rPr>
                <w:rFonts w:ascii="Times New Roman" w:hAnsi="Times New Roman" w:cs="Times New Roman"/>
              </w:rPr>
              <w:t>44.</w:t>
            </w:r>
          </w:p>
        </w:tc>
        <w:tc>
          <w:tcPr>
            <w:tcW w:w="3336" w:type="dxa"/>
          </w:tcPr>
          <w:p w14:paraId="6F6A9D9B" w14:textId="1E7EE845"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4168</w:t>
            </w:r>
          </w:p>
        </w:tc>
        <w:tc>
          <w:tcPr>
            <w:tcW w:w="4678" w:type="dxa"/>
          </w:tcPr>
          <w:p w14:paraId="2BC4D8E0" w14:textId="051808E9"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Townsville RA1</w:t>
            </w:r>
          </w:p>
        </w:tc>
      </w:tr>
      <w:tr w:rsidR="00F9584E" w:rsidRPr="00362EE8" w14:paraId="422AA178" w14:textId="01BC9634" w:rsidTr="00F9584E">
        <w:tc>
          <w:tcPr>
            <w:tcW w:w="912" w:type="dxa"/>
          </w:tcPr>
          <w:p w14:paraId="667A1D70" w14:textId="62848BA8" w:rsidR="00F9584E" w:rsidRPr="00134944" w:rsidRDefault="00F9584E" w:rsidP="00627601">
            <w:pPr>
              <w:spacing w:line="240" w:lineRule="auto"/>
              <w:rPr>
                <w:rFonts w:ascii="Times New Roman" w:hAnsi="Times New Roman" w:cs="Times New Roman"/>
              </w:rPr>
            </w:pPr>
            <w:r w:rsidRPr="00134944">
              <w:rPr>
                <w:rFonts w:ascii="Times New Roman" w:hAnsi="Times New Roman" w:cs="Times New Roman"/>
              </w:rPr>
              <w:t>45.</w:t>
            </w:r>
          </w:p>
        </w:tc>
        <w:tc>
          <w:tcPr>
            <w:tcW w:w="3336" w:type="dxa"/>
          </w:tcPr>
          <w:p w14:paraId="1E0F0B21" w14:textId="6ECC193B"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4185</w:t>
            </w:r>
          </w:p>
        </w:tc>
        <w:tc>
          <w:tcPr>
            <w:tcW w:w="4678" w:type="dxa"/>
          </w:tcPr>
          <w:p w14:paraId="3ADAF71F" w14:textId="061A733E"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Townsville RA1</w:t>
            </w:r>
          </w:p>
        </w:tc>
      </w:tr>
      <w:tr w:rsidR="00F9584E" w:rsidRPr="00362EE8" w14:paraId="15E1F643" w14:textId="17AC23B1" w:rsidTr="00F9584E">
        <w:tc>
          <w:tcPr>
            <w:tcW w:w="912" w:type="dxa"/>
          </w:tcPr>
          <w:p w14:paraId="0DCB90CF" w14:textId="11EEA0C6" w:rsidR="00F9584E" w:rsidRPr="00134944" w:rsidRDefault="00F9584E" w:rsidP="00627601">
            <w:pPr>
              <w:spacing w:line="240" w:lineRule="auto"/>
              <w:rPr>
                <w:rFonts w:ascii="Times New Roman" w:hAnsi="Times New Roman" w:cs="Times New Roman"/>
              </w:rPr>
            </w:pPr>
            <w:r w:rsidRPr="00134944">
              <w:rPr>
                <w:rFonts w:ascii="Times New Roman" w:hAnsi="Times New Roman" w:cs="Times New Roman"/>
              </w:rPr>
              <w:t>46.</w:t>
            </w:r>
          </w:p>
        </w:tc>
        <w:tc>
          <w:tcPr>
            <w:tcW w:w="3336" w:type="dxa"/>
          </w:tcPr>
          <w:p w14:paraId="06DE369E" w14:textId="142821A5"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4136</w:t>
            </w:r>
          </w:p>
        </w:tc>
        <w:tc>
          <w:tcPr>
            <w:tcW w:w="4678" w:type="dxa"/>
          </w:tcPr>
          <w:p w14:paraId="41E201C9" w14:textId="3FC3C586"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Wagga Wagga RA1</w:t>
            </w:r>
          </w:p>
        </w:tc>
      </w:tr>
      <w:tr w:rsidR="00F9584E" w:rsidRPr="00362EE8" w14:paraId="2A5DD48D" w14:textId="58628583" w:rsidTr="00F9584E">
        <w:tc>
          <w:tcPr>
            <w:tcW w:w="912" w:type="dxa"/>
          </w:tcPr>
          <w:p w14:paraId="2D115C24" w14:textId="0A9A7F42" w:rsidR="00F9584E" w:rsidRPr="00134944" w:rsidRDefault="00F9584E" w:rsidP="00627601">
            <w:pPr>
              <w:spacing w:line="240" w:lineRule="auto"/>
              <w:rPr>
                <w:rFonts w:ascii="Times New Roman" w:hAnsi="Times New Roman" w:cs="Times New Roman"/>
              </w:rPr>
            </w:pPr>
            <w:r w:rsidRPr="00134944">
              <w:rPr>
                <w:rFonts w:ascii="Times New Roman" w:hAnsi="Times New Roman" w:cs="Times New Roman"/>
              </w:rPr>
              <w:t>47.</w:t>
            </w:r>
          </w:p>
        </w:tc>
        <w:tc>
          <w:tcPr>
            <w:tcW w:w="3336" w:type="dxa"/>
          </w:tcPr>
          <w:p w14:paraId="7B16879F" w14:textId="2BE53768"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6446</w:t>
            </w:r>
          </w:p>
        </w:tc>
        <w:tc>
          <w:tcPr>
            <w:tcW w:w="4678" w:type="dxa"/>
          </w:tcPr>
          <w:p w14:paraId="56A8EAEC" w14:textId="547D81C4"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Wagga Wagga RA1</w:t>
            </w:r>
          </w:p>
        </w:tc>
      </w:tr>
      <w:tr w:rsidR="00F9584E" w:rsidRPr="00362EE8" w14:paraId="0A6F25C2" w14:textId="4C2CAC46" w:rsidTr="00F9584E">
        <w:tc>
          <w:tcPr>
            <w:tcW w:w="912" w:type="dxa"/>
          </w:tcPr>
          <w:p w14:paraId="55E94375" w14:textId="6410CAB6" w:rsidR="00F9584E" w:rsidRPr="00134944" w:rsidRDefault="00F9584E" w:rsidP="00627601">
            <w:pPr>
              <w:spacing w:line="240" w:lineRule="auto"/>
              <w:rPr>
                <w:rFonts w:ascii="Times New Roman" w:hAnsi="Times New Roman" w:cs="Times New Roman"/>
              </w:rPr>
            </w:pPr>
            <w:r w:rsidRPr="00134944">
              <w:rPr>
                <w:rFonts w:ascii="Times New Roman" w:hAnsi="Times New Roman" w:cs="Times New Roman"/>
              </w:rPr>
              <w:t>48.</w:t>
            </w:r>
          </w:p>
        </w:tc>
        <w:tc>
          <w:tcPr>
            <w:tcW w:w="3336" w:type="dxa"/>
          </w:tcPr>
          <w:p w14:paraId="21B07B19" w14:textId="3878888C" w:rsidR="00F9584E" w:rsidRPr="00134944" w:rsidRDefault="000663E9" w:rsidP="00627601">
            <w:pPr>
              <w:spacing w:line="240" w:lineRule="auto"/>
              <w:rPr>
                <w:rFonts w:ascii="Times New Roman" w:hAnsi="Times New Roman" w:cs="Times New Roman"/>
              </w:rPr>
            </w:pPr>
            <w:r>
              <w:rPr>
                <w:rFonts w:ascii="Times New Roman" w:eastAsia="Times New Roman" w:hAnsi="Times New Roman" w:cs="Times New Roman"/>
                <w:color w:val="000000"/>
                <w:lang w:eastAsia="en-AU"/>
              </w:rPr>
              <w:t>SL</w:t>
            </w:r>
            <w:r w:rsidR="00F9584E" w:rsidRPr="00134944">
              <w:rPr>
                <w:rFonts w:ascii="Times New Roman" w:eastAsia="Times New Roman" w:hAnsi="Times New Roman" w:cs="Times New Roman"/>
                <w:color w:val="000000"/>
                <w:lang w:eastAsia="en-AU"/>
              </w:rPr>
              <w:t>1150752</w:t>
            </w:r>
          </w:p>
        </w:tc>
        <w:tc>
          <w:tcPr>
            <w:tcW w:w="4678" w:type="dxa"/>
          </w:tcPr>
          <w:p w14:paraId="68D9DDC2" w14:textId="6DE81F1B" w:rsidR="00F9584E" w:rsidRPr="00134944" w:rsidRDefault="00F9584E" w:rsidP="00627601">
            <w:pPr>
              <w:spacing w:line="240" w:lineRule="auto"/>
              <w:rPr>
                <w:rFonts w:ascii="Times New Roman" w:eastAsia="Times New Roman" w:hAnsi="Times New Roman" w:cs="Times New Roman"/>
                <w:color w:val="000000"/>
                <w:lang w:eastAsia="en-AU"/>
              </w:rPr>
            </w:pPr>
            <w:r w:rsidRPr="00134944">
              <w:rPr>
                <w:rFonts w:ascii="Times New Roman" w:eastAsia="Times New Roman" w:hAnsi="Times New Roman" w:cs="Times New Roman"/>
                <w:lang w:eastAsia="en-AU"/>
              </w:rPr>
              <w:t>Warragul RA1</w:t>
            </w:r>
          </w:p>
        </w:tc>
      </w:tr>
    </w:tbl>
    <w:p w14:paraId="4D58477F" w14:textId="6F180DC3" w:rsidR="000D7061" w:rsidRPr="00C53486" w:rsidRDefault="000D7061" w:rsidP="00627601">
      <w:pPr>
        <w:pStyle w:val="Default"/>
        <w:spacing w:after="120"/>
        <w:rPr>
          <w:rFonts w:ascii="Times New Roman" w:hAnsi="Times New Roman" w:cs="Times New Roman"/>
          <w:sz w:val="22"/>
          <w:szCs w:val="22"/>
        </w:rPr>
      </w:pPr>
    </w:p>
    <w:p w14:paraId="0A95A03C" w14:textId="77777777" w:rsidR="00E62506" w:rsidRPr="00557273" w:rsidRDefault="00E62506" w:rsidP="00627601">
      <w:pPr>
        <w:spacing w:before="120" w:line="240" w:lineRule="auto"/>
        <w:rPr>
          <w:rFonts w:ascii="Times New Roman" w:hAnsi="Times New Roman"/>
        </w:rPr>
      </w:pPr>
      <w:r w:rsidRPr="00557273">
        <w:rPr>
          <w:rFonts w:ascii="Times New Roman" w:hAnsi="Times New Roman"/>
        </w:rPr>
        <w:t xml:space="preserve">A provision-by-provision description of the </w:t>
      </w:r>
      <w:r>
        <w:rPr>
          <w:rFonts w:ascii="Times New Roman" w:hAnsi="Times New Roman"/>
        </w:rPr>
        <w:t>I</w:t>
      </w:r>
      <w:r w:rsidRPr="00557273">
        <w:rPr>
          <w:rFonts w:ascii="Times New Roman" w:hAnsi="Times New Roman"/>
        </w:rPr>
        <w:t xml:space="preserve">nstrument is set out in the notes at </w:t>
      </w:r>
      <w:r w:rsidRPr="00557273">
        <w:rPr>
          <w:rFonts w:ascii="Times New Roman" w:hAnsi="Times New Roman"/>
          <w:b/>
        </w:rPr>
        <w:t>Attachment A</w:t>
      </w:r>
      <w:r w:rsidRPr="00557273">
        <w:rPr>
          <w:rFonts w:ascii="Times New Roman" w:hAnsi="Times New Roman"/>
        </w:rPr>
        <w:t>.</w:t>
      </w:r>
    </w:p>
    <w:p w14:paraId="2930CFED" w14:textId="77777777" w:rsidR="00E62506" w:rsidRPr="00557273" w:rsidRDefault="00E62506" w:rsidP="00627601">
      <w:pPr>
        <w:spacing w:before="120" w:line="240" w:lineRule="auto"/>
        <w:rPr>
          <w:rFonts w:ascii="Times New Roman" w:hAnsi="Times New Roman"/>
        </w:rPr>
      </w:pPr>
      <w:r w:rsidRPr="00557273">
        <w:rPr>
          <w:rFonts w:ascii="Times New Roman" w:hAnsi="Times New Roman"/>
        </w:rPr>
        <w:t xml:space="preserve">The </w:t>
      </w:r>
      <w:r>
        <w:rPr>
          <w:rFonts w:ascii="Times New Roman" w:hAnsi="Times New Roman"/>
        </w:rPr>
        <w:t>I</w:t>
      </w:r>
      <w:r w:rsidRPr="00557273">
        <w:rPr>
          <w:rFonts w:ascii="Times New Roman" w:hAnsi="Times New Roman"/>
        </w:rPr>
        <w:t xml:space="preserve">nstrument is a legislative instrument for the purposes of the </w:t>
      </w:r>
      <w:r w:rsidRPr="00557273">
        <w:rPr>
          <w:rFonts w:ascii="Times New Roman" w:hAnsi="Times New Roman"/>
          <w:i/>
        </w:rPr>
        <w:t xml:space="preserve">Legislation Act 2003 </w:t>
      </w:r>
      <w:r w:rsidRPr="00557273">
        <w:rPr>
          <w:rFonts w:ascii="Times New Roman" w:hAnsi="Times New Roman"/>
        </w:rPr>
        <w:t>(</w:t>
      </w:r>
      <w:r w:rsidRPr="00557273">
        <w:rPr>
          <w:rFonts w:ascii="Times New Roman" w:hAnsi="Times New Roman"/>
          <w:b/>
        </w:rPr>
        <w:t>the LA</w:t>
      </w:r>
      <w:r w:rsidRPr="00557273">
        <w:rPr>
          <w:rFonts w:ascii="Times New Roman" w:hAnsi="Times New Roman"/>
        </w:rPr>
        <w:t xml:space="preserve">). </w:t>
      </w:r>
    </w:p>
    <w:p w14:paraId="50A57E6E" w14:textId="77777777" w:rsidR="00E62506" w:rsidRPr="00E0105B" w:rsidRDefault="00E62506" w:rsidP="00627601">
      <w:pPr>
        <w:widowControl w:val="0"/>
        <w:autoSpaceDE w:val="0"/>
        <w:autoSpaceDN w:val="0"/>
        <w:adjustRightInd w:val="0"/>
        <w:spacing w:before="120" w:after="120" w:line="240" w:lineRule="auto"/>
        <w:rPr>
          <w:rFonts w:ascii="Times New Roman" w:hAnsi="Times New Roman"/>
          <w:b/>
        </w:rPr>
      </w:pPr>
      <w:r w:rsidRPr="00E0105B">
        <w:rPr>
          <w:rFonts w:ascii="Times New Roman" w:hAnsi="Times New Roman"/>
          <w:b/>
        </w:rPr>
        <w:t>Documents incorporated by reference</w:t>
      </w:r>
    </w:p>
    <w:p w14:paraId="77F018CD" w14:textId="3246D612" w:rsidR="00E62506" w:rsidRPr="008A3CF5" w:rsidRDefault="00E62506" w:rsidP="00627601">
      <w:pPr>
        <w:pStyle w:val="Default"/>
        <w:spacing w:after="120"/>
        <w:rPr>
          <w:rFonts w:ascii="Times New Roman" w:hAnsi="Times New Roman" w:cs="Times New Roman"/>
          <w:sz w:val="22"/>
          <w:szCs w:val="22"/>
        </w:rPr>
      </w:pPr>
      <w:r w:rsidRPr="008A3CF5">
        <w:rPr>
          <w:rFonts w:ascii="Times New Roman" w:hAnsi="Times New Roman" w:cs="Times New Roman"/>
          <w:sz w:val="22"/>
          <w:szCs w:val="22"/>
        </w:rPr>
        <w:t>The Instrument does not incorporate a</w:t>
      </w:r>
      <w:r w:rsidR="00982591">
        <w:rPr>
          <w:rFonts w:ascii="Times New Roman" w:hAnsi="Times New Roman" w:cs="Times New Roman"/>
          <w:sz w:val="22"/>
          <w:szCs w:val="22"/>
        </w:rPr>
        <w:t>ny</w:t>
      </w:r>
      <w:r w:rsidRPr="008A3CF5">
        <w:rPr>
          <w:rFonts w:ascii="Times New Roman" w:hAnsi="Times New Roman" w:cs="Times New Roman"/>
          <w:sz w:val="22"/>
          <w:szCs w:val="22"/>
        </w:rPr>
        <w:t xml:space="preserve"> document by reference.</w:t>
      </w:r>
    </w:p>
    <w:p w14:paraId="50F45E51" w14:textId="77777777" w:rsidR="00E62506" w:rsidRPr="005E2FB4" w:rsidRDefault="00E62506" w:rsidP="00627601">
      <w:pPr>
        <w:widowControl w:val="0"/>
        <w:autoSpaceDE w:val="0"/>
        <w:autoSpaceDN w:val="0"/>
        <w:adjustRightInd w:val="0"/>
        <w:spacing w:before="120" w:after="120" w:line="240" w:lineRule="auto"/>
        <w:rPr>
          <w:rFonts w:ascii="Times New Roman" w:hAnsi="Times New Roman"/>
          <w:b/>
        </w:rPr>
      </w:pPr>
      <w:bookmarkStart w:id="2" w:name="OLE_LINK34"/>
      <w:r w:rsidRPr="005E2FB4">
        <w:rPr>
          <w:rFonts w:ascii="Times New Roman" w:hAnsi="Times New Roman"/>
          <w:b/>
        </w:rPr>
        <w:t>Consultation</w:t>
      </w:r>
    </w:p>
    <w:p w14:paraId="49D32E5B" w14:textId="77777777" w:rsidR="00E62506" w:rsidRPr="00A8469A" w:rsidRDefault="00E62506" w:rsidP="00627601">
      <w:pPr>
        <w:spacing w:line="240" w:lineRule="auto"/>
        <w:rPr>
          <w:rFonts w:ascii="Times New Roman" w:hAnsi="Times New Roman"/>
          <w:spacing w:val="-2"/>
        </w:rPr>
      </w:pPr>
      <w:r w:rsidRPr="00A8469A">
        <w:rPr>
          <w:rFonts w:ascii="Times New Roman" w:hAnsi="Times New Roman"/>
          <w:spacing w:val="-2"/>
        </w:rPr>
        <w:t xml:space="preserve">Before the </w:t>
      </w:r>
      <w:r>
        <w:rPr>
          <w:rFonts w:ascii="Times New Roman" w:hAnsi="Times New Roman"/>
          <w:spacing w:val="-2"/>
        </w:rPr>
        <w:t>I</w:t>
      </w:r>
      <w:r w:rsidRPr="00A8469A">
        <w:rPr>
          <w:rFonts w:ascii="Times New Roman" w:hAnsi="Times New Roman"/>
          <w:spacing w:val="-2"/>
        </w:rPr>
        <w:t xml:space="preserve">nstrument was made, the ACMA was satisfied that consultation was undertaken to the extent appropriate and reasonably practicable, in accordance with section 17 of the LA.  </w:t>
      </w:r>
    </w:p>
    <w:p w14:paraId="45A6263C" w14:textId="113A2E3F" w:rsidR="00E62506" w:rsidRPr="005E2FB4" w:rsidRDefault="00E62506" w:rsidP="00627601">
      <w:pPr>
        <w:pStyle w:val="ListParagraph"/>
        <w:spacing w:before="120" w:after="120"/>
        <w:ind w:left="0"/>
        <w:contextualSpacing w:val="0"/>
        <w:rPr>
          <w:rFonts w:ascii="Times New Roman" w:hAnsi="Times New Roman"/>
          <w:spacing w:val="-2"/>
          <w:sz w:val="22"/>
          <w:szCs w:val="22"/>
        </w:rPr>
      </w:pPr>
      <w:r w:rsidRPr="005E2FB4">
        <w:rPr>
          <w:rFonts w:ascii="Times New Roman" w:hAnsi="Times New Roman"/>
          <w:spacing w:val="-2"/>
          <w:sz w:val="22"/>
          <w:szCs w:val="22"/>
        </w:rPr>
        <w:t xml:space="preserve">On </w:t>
      </w:r>
      <w:r w:rsidR="004A6B3C">
        <w:rPr>
          <w:rFonts w:ascii="Times New Roman" w:hAnsi="Times New Roman"/>
          <w:spacing w:val="-2"/>
          <w:sz w:val="22"/>
          <w:szCs w:val="22"/>
        </w:rPr>
        <w:t>6</w:t>
      </w:r>
      <w:r w:rsidRPr="005E2FB4">
        <w:rPr>
          <w:rFonts w:ascii="Times New Roman" w:hAnsi="Times New Roman"/>
          <w:spacing w:val="-2"/>
          <w:sz w:val="22"/>
          <w:szCs w:val="22"/>
        </w:rPr>
        <w:t xml:space="preserve"> November 20</w:t>
      </w:r>
      <w:r w:rsidR="004A6B3C">
        <w:rPr>
          <w:rFonts w:ascii="Times New Roman" w:hAnsi="Times New Roman"/>
          <w:spacing w:val="-2"/>
          <w:sz w:val="22"/>
          <w:szCs w:val="22"/>
        </w:rPr>
        <w:t>20</w:t>
      </w:r>
      <w:r w:rsidRPr="005E2FB4">
        <w:rPr>
          <w:rFonts w:ascii="Times New Roman" w:hAnsi="Times New Roman"/>
          <w:spacing w:val="-2"/>
          <w:sz w:val="22"/>
          <w:szCs w:val="22"/>
        </w:rPr>
        <w:t>, the ACMA placed a copy of the</w:t>
      </w:r>
      <w:r w:rsidR="009656C7">
        <w:rPr>
          <w:rFonts w:ascii="Times New Roman" w:hAnsi="Times New Roman"/>
          <w:spacing w:val="-2"/>
          <w:sz w:val="22"/>
          <w:szCs w:val="22"/>
        </w:rPr>
        <w:t xml:space="preserve"> draft</w:t>
      </w:r>
      <w:r w:rsidRPr="005E2FB4">
        <w:rPr>
          <w:rFonts w:ascii="Times New Roman" w:hAnsi="Times New Roman"/>
          <w:spacing w:val="-2"/>
          <w:sz w:val="22"/>
          <w:szCs w:val="22"/>
        </w:rPr>
        <w:t xml:space="preserve"> Instrument on the ACMA's website</w:t>
      </w:r>
      <w:r>
        <w:rPr>
          <w:rFonts w:ascii="Times New Roman" w:hAnsi="Times New Roman"/>
          <w:spacing w:val="-2"/>
          <w:sz w:val="22"/>
          <w:szCs w:val="22"/>
        </w:rPr>
        <w:t xml:space="preserve"> for public comment by 2</w:t>
      </w:r>
      <w:r w:rsidR="004A6B3C">
        <w:rPr>
          <w:rFonts w:ascii="Times New Roman" w:hAnsi="Times New Roman"/>
          <w:spacing w:val="-2"/>
          <w:sz w:val="22"/>
          <w:szCs w:val="22"/>
        </w:rPr>
        <w:t>0</w:t>
      </w:r>
      <w:r>
        <w:rPr>
          <w:rFonts w:ascii="Times New Roman" w:hAnsi="Times New Roman"/>
          <w:spacing w:val="-2"/>
          <w:sz w:val="22"/>
          <w:szCs w:val="22"/>
        </w:rPr>
        <w:t xml:space="preserve"> November 20</w:t>
      </w:r>
      <w:r w:rsidR="004A6B3C">
        <w:rPr>
          <w:rFonts w:ascii="Times New Roman" w:hAnsi="Times New Roman"/>
          <w:spacing w:val="-2"/>
          <w:sz w:val="22"/>
          <w:szCs w:val="22"/>
        </w:rPr>
        <w:t>20</w:t>
      </w:r>
      <w:r>
        <w:rPr>
          <w:rFonts w:ascii="Times New Roman" w:hAnsi="Times New Roman"/>
          <w:spacing w:val="-2"/>
          <w:sz w:val="22"/>
          <w:szCs w:val="22"/>
        </w:rPr>
        <w:t xml:space="preserve">. </w:t>
      </w:r>
      <w:r w:rsidRPr="005E2FB4">
        <w:rPr>
          <w:rFonts w:ascii="Times New Roman" w:hAnsi="Times New Roman"/>
          <w:spacing w:val="-2"/>
          <w:sz w:val="22"/>
          <w:szCs w:val="22"/>
        </w:rPr>
        <w:t xml:space="preserve">No submissions were received on the </w:t>
      </w:r>
      <w:r w:rsidR="009656C7">
        <w:rPr>
          <w:rFonts w:ascii="Times New Roman" w:hAnsi="Times New Roman"/>
          <w:spacing w:val="-2"/>
          <w:sz w:val="22"/>
          <w:szCs w:val="22"/>
        </w:rPr>
        <w:t xml:space="preserve">draft </w:t>
      </w:r>
      <w:r w:rsidRPr="005E2FB4">
        <w:rPr>
          <w:rFonts w:ascii="Times New Roman" w:hAnsi="Times New Roman"/>
          <w:spacing w:val="-2"/>
          <w:sz w:val="22"/>
          <w:szCs w:val="22"/>
        </w:rPr>
        <w:t xml:space="preserve">Instrument. </w:t>
      </w:r>
      <w:r>
        <w:rPr>
          <w:rFonts w:ascii="Times New Roman" w:hAnsi="Times New Roman"/>
          <w:spacing w:val="-2"/>
          <w:sz w:val="22"/>
          <w:szCs w:val="22"/>
        </w:rPr>
        <w:t xml:space="preserve"> </w:t>
      </w:r>
    </w:p>
    <w:p w14:paraId="1215A916" w14:textId="77777777" w:rsidR="00E62506" w:rsidRPr="005E2FB4" w:rsidRDefault="00E62506" w:rsidP="00627601">
      <w:pPr>
        <w:autoSpaceDE w:val="0"/>
        <w:autoSpaceDN w:val="0"/>
        <w:adjustRightInd w:val="0"/>
        <w:spacing w:before="120" w:after="120" w:line="240" w:lineRule="auto"/>
        <w:rPr>
          <w:rFonts w:ascii="Times New Roman" w:hAnsi="Times New Roman"/>
          <w:b/>
        </w:rPr>
      </w:pPr>
      <w:r w:rsidRPr="005E2FB4">
        <w:rPr>
          <w:rFonts w:ascii="Times New Roman" w:hAnsi="Times New Roman"/>
          <w:b/>
        </w:rPr>
        <w:t xml:space="preserve">Regulatory Impact </w:t>
      </w:r>
    </w:p>
    <w:bookmarkEnd w:id="0"/>
    <w:bookmarkEnd w:id="2"/>
    <w:p w14:paraId="7DD90B0F" w14:textId="115CB765" w:rsidR="000C76C8" w:rsidRDefault="000C76C8" w:rsidP="00627601">
      <w:pPr>
        <w:autoSpaceDE w:val="0"/>
        <w:autoSpaceDN w:val="0"/>
        <w:adjustRightInd w:val="0"/>
        <w:spacing w:before="120" w:after="120" w:line="240" w:lineRule="auto"/>
        <w:rPr>
          <w:rFonts w:ascii="Times New Roman" w:hAnsi="Times New Roman"/>
        </w:rPr>
      </w:pPr>
      <w:r w:rsidRPr="005E2FB4">
        <w:rPr>
          <w:rFonts w:ascii="Times New Roman" w:hAnsi="Times New Roman"/>
        </w:rPr>
        <w:t>The ACMA prepared a preliminary</w:t>
      </w:r>
      <w:r w:rsidR="009656C7">
        <w:rPr>
          <w:rFonts w:ascii="Times New Roman" w:hAnsi="Times New Roman"/>
        </w:rPr>
        <w:t xml:space="preserve"> regulatory impact</w:t>
      </w:r>
      <w:r w:rsidRPr="005E2FB4">
        <w:rPr>
          <w:rFonts w:ascii="Times New Roman" w:hAnsi="Times New Roman"/>
        </w:rPr>
        <w:t xml:space="preserve"> assessment </w:t>
      </w:r>
      <w:r w:rsidR="00683B68">
        <w:rPr>
          <w:rFonts w:ascii="Times New Roman" w:hAnsi="Times New Roman"/>
        </w:rPr>
        <w:t xml:space="preserve">on 29 October 2020 </w:t>
      </w:r>
      <w:r w:rsidRPr="005E2FB4">
        <w:rPr>
          <w:rFonts w:ascii="Times New Roman" w:hAnsi="Times New Roman"/>
        </w:rPr>
        <w:t>for the purposes of making the Instrument. On</w:t>
      </w:r>
      <w:r>
        <w:rPr>
          <w:rFonts w:ascii="Times New Roman" w:hAnsi="Times New Roman"/>
        </w:rPr>
        <w:t xml:space="preserve"> 5 November 2020,</w:t>
      </w:r>
      <w:r w:rsidRPr="005E2FB4">
        <w:rPr>
          <w:rFonts w:ascii="Times New Roman" w:hAnsi="Times New Roman"/>
        </w:rPr>
        <w:t xml:space="preserve"> the Office of Best Practice Regulation (</w:t>
      </w:r>
      <w:r w:rsidRPr="008A3CF5">
        <w:rPr>
          <w:rFonts w:ascii="Times New Roman" w:hAnsi="Times New Roman"/>
          <w:b/>
          <w:bCs/>
        </w:rPr>
        <w:t>OBPR</w:t>
      </w:r>
      <w:r w:rsidRPr="005E2FB4">
        <w:rPr>
          <w:rFonts w:ascii="Times New Roman" w:hAnsi="Times New Roman"/>
        </w:rPr>
        <w:t>) considered that the changes have</w:t>
      </w:r>
      <w:r>
        <w:rPr>
          <w:rFonts w:ascii="Times New Roman" w:hAnsi="Times New Roman"/>
        </w:rPr>
        <w:t xml:space="preserve"> no more than</w:t>
      </w:r>
      <w:r w:rsidRPr="005E2FB4">
        <w:rPr>
          <w:rFonts w:ascii="Times New Roman" w:hAnsi="Times New Roman"/>
        </w:rPr>
        <w:t xml:space="preserve"> a minor </w:t>
      </w:r>
      <w:r>
        <w:rPr>
          <w:rFonts w:ascii="Times New Roman" w:hAnsi="Times New Roman"/>
        </w:rPr>
        <w:t xml:space="preserve">(positive) regulatory </w:t>
      </w:r>
      <w:r w:rsidRPr="005E2FB4">
        <w:rPr>
          <w:rFonts w:ascii="Times New Roman" w:hAnsi="Times New Roman"/>
        </w:rPr>
        <w:t>impact</w:t>
      </w:r>
      <w:r>
        <w:rPr>
          <w:rFonts w:ascii="Times New Roman" w:hAnsi="Times New Roman"/>
        </w:rPr>
        <w:t>.</w:t>
      </w:r>
      <w:r w:rsidRPr="005E2FB4">
        <w:rPr>
          <w:rFonts w:ascii="Times New Roman" w:hAnsi="Times New Roman"/>
        </w:rPr>
        <w:t xml:space="preserve"> The OBPR reference number for this m</w:t>
      </w:r>
      <w:r w:rsidRPr="007A5796">
        <w:rPr>
          <w:rFonts w:ascii="Times New Roman" w:hAnsi="Times New Roman"/>
        </w:rPr>
        <w:t xml:space="preserve">atter is </w:t>
      </w:r>
      <w:r w:rsidRPr="007A5796">
        <w:rPr>
          <w:rFonts w:ascii="Times New Roman" w:hAnsi="Times New Roman" w:cs="Times New Roman"/>
        </w:rPr>
        <w:t>43222.</w:t>
      </w:r>
    </w:p>
    <w:p w14:paraId="1860F7D4" w14:textId="77777777" w:rsidR="00E62506" w:rsidRPr="00F43392" w:rsidRDefault="00E62506" w:rsidP="00627601">
      <w:pPr>
        <w:keepNext/>
        <w:spacing w:before="120" w:after="120" w:line="240" w:lineRule="auto"/>
        <w:rPr>
          <w:rFonts w:ascii="Calibri" w:hAnsi="Calibri" w:cs="Calibri"/>
          <w:color w:val="000000"/>
          <w:lang w:eastAsia="en-AU"/>
        </w:rPr>
      </w:pPr>
      <w:r w:rsidRPr="00F43392">
        <w:rPr>
          <w:rFonts w:ascii="Times New Roman" w:hAnsi="Times New Roman"/>
          <w:b/>
          <w:bCs/>
          <w:color w:val="000000"/>
          <w:lang w:eastAsia="en-AU"/>
        </w:rPr>
        <w:lastRenderedPageBreak/>
        <w:t>Statement of compatibility with human rights</w:t>
      </w:r>
    </w:p>
    <w:p w14:paraId="5B10391C" w14:textId="77777777" w:rsidR="00E62506" w:rsidRPr="00F43392" w:rsidRDefault="00E62506" w:rsidP="00627601">
      <w:pPr>
        <w:keepNext/>
        <w:spacing w:before="120" w:after="120" w:line="240" w:lineRule="auto"/>
        <w:rPr>
          <w:rFonts w:ascii="Calibri" w:hAnsi="Calibri" w:cs="Calibri"/>
          <w:color w:val="000000"/>
          <w:lang w:eastAsia="en-AU"/>
        </w:rPr>
      </w:pPr>
      <w:r w:rsidRPr="00F43392">
        <w:rPr>
          <w:rFonts w:ascii="Times New Roman" w:hAnsi="Times New Roman"/>
          <w:color w:val="000000"/>
          <w:lang w:eastAsia="en-AU"/>
        </w:rPr>
        <w:t>Subsection 9(1) of the </w:t>
      </w:r>
      <w:r w:rsidRPr="00F43392">
        <w:rPr>
          <w:rFonts w:ascii="Times New Roman" w:hAnsi="Times New Roman"/>
          <w:i/>
          <w:iCs/>
          <w:color w:val="000000"/>
          <w:lang w:eastAsia="en-AU"/>
        </w:rPr>
        <w:t>Human Rights (Parliamentary Scrutiny) Act 2011</w:t>
      </w:r>
      <w:r w:rsidRPr="00F43392">
        <w:rPr>
          <w:rFonts w:ascii="Times New Roman" w:hAnsi="Times New Roman"/>
          <w:color w:val="000000"/>
          <w:lang w:eastAsia="en-AU"/>
        </w:rPr>
        <w:t> requires the rule-maker in relation to a legislative instrument to which section 42 (disallowance) of the LA applies to cause a statement of compatibility to be prepared in respect of that legislative instrument. </w:t>
      </w:r>
    </w:p>
    <w:p w14:paraId="186BD0C0" w14:textId="5B8353CE" w:rsidR="00E62506" w:rsidRDefault="00E62506" w:rsidP="00627601">
      <w:pPr>
        <w:spacing w:before="120" w:after="120" w:line="240" w:lineRule="auto"/>
        <w:rPr>
          <w:rFonts w:ascii="Times New Roman" w:hAnsi="Times New Roman"/>
          <w:color w:val="000000"/>
          <w:lang w:eastAsia="en-AU"/>
        </w:rPr>
      </w:pPr>
      <w:r w:rsidRPr="00F43392">
        <w:rPr>
          <w:rFonts w:ascii="Times New Roman" w:hAnsi="Times New Roman"/>
          <w:color w:val="000000"/>
          <w:lang w:eastAsia="en-AU"/>
        </w:rPr>
        <w:t>The statement of compatibility set out in </w:t>
      </w:r>
      <w:r w:rsidRPr="00F43392">
        <w:rPr>
          <w:rFonts w:ascii="Times New Roman" w:hAnsi="Times New Roman"/>
          <w:b/>
          <w:bCs/>
          <w:color w:val="000000"/>
          <w:lang w:eastAsia="en-AU"/>
        </w:rPr>
        <w:t>Attachment B</w:t>
      </w:r>
      <w:r w:rsidRPr="00F43392">
        <w:rPr>
          <w:rFonts w:ascii="Times New Roman" w:hAnsi="Times New Roman"/>
          <w:color w:val="000000"/>
          <w:lang w:eastAsia="en-AU"/>
        </w:rPr>
        <w:t> has been prepared to meet that requirement.</w:t>
      </w:r>
      <w:r w:rsidR="00FE3B8C">
        <w:rPr>
          <w:rFonts w:ascii="Times New Roman" w:hAnsi="Times New Roman"/>
          <w:color w:val="000000"/>
          <w:lang w:eastAsia="en-AU"/>
        </w:rPr>
        <w:br/>
      </w:r>
    </w:p>
    <w:p w14:paraId="15EE2C45" w14:textId="77777777" w:rsidR="00E62506" w:rsidRDefault="00E62506" w:rsidP="00627601">
      <w:pPr>
        <w:spacing w:after="200" w:line="240" w:lineRule="auto"/>
        <w:rPr>
          <w:rFonts w:ascii="Times New Roman" w:hAnsi="Times New Roman"/>
          <w:b/>
          <w:sz w:val="28"/>
          <w:szCs w:val="28"/>
        </w:rPr>
      </w:pPr>
      <w:r>
        <w:rPr>
          <w:rFonts w:ascii="Times New Roman" w:hAnsi="Times New Roman"/>
          <w:b/>
          <w:sz w:val="28"/>
          <w:szCs w:val="28"/>
        </w:rPr>
        <w:br w:type="page"/>
      </w:r>
    </w:p>
    <w:p w14:paraId="6D252350" w14:textId="77777777" w:rsidR="00E62506" w:rsidRDefault="00E62506" w:rsidP="00627601">
      <w:pPr>
        <w:spacing w:line="240" w:lineRule="auto"/>
        <w:jc w:val="right"/>
        <w:rPr>
          <w:rFonts w:ascii="Times New Roman" w:hAnsi="Times New Roman"/>
          <w:b/>
          <w:sz w:val="28"/>
          <w:szCs w:val="28"/>
        </w:rPr>
      </w:pPr>
      <w:r>
        <w:rPr>
          <w:rFonts w:ascii="Times New Roman" w:hAnsi="Times New Roman"/>
          <w:b/>
          <w:sz w:val="28"/>
          <w:szCs w:val="28"/>
        </w:rPr>
        <w:lastRenderedPageBreak/>
        <w:t>Attachment A</w:t>
      </w:r>
    </w:p>
    <w:p w14:paraId="44C8A282" w14:textId="77777777" w:rsidR="00E62506" w:rsidRDefault="00E62506" w:rsidP="00627601">
      <w:pPr>
        <w:spacing w:line="240" w:lineRule="auto"/>
        <w:jc w:val="center"/>
        <w:rPr>
          <w:rFonts w:ascii="Times New Roman" w:hAnsi="Times New Roman"/>
          <w:b/>
          <w:sz w:val="28"/>
          <w:szCs w:val="28"/>
        </w:rPr>
      </w:pPr>
    </w:p>
    <w:p w14:paraId="600F252C" w14:textId="17E9E733" w:rsidR="00E62506" w:rsidRPr="0059383A" w:rsidRDefault="00E62506" w:rsidP="00627601">
      <w:pPr>
        <w:spacing w:line="240" w:lineRule="auto"/>
        <w:jc w:val="center"/>
        <w:rPr>
          <w:rFonts w:ascii="Times New Roman" w:hAnsi="Times New Roman"/>
          <w:b/>
          <w:sz w:val="28"/>
          <w:szCs w:val="28"/>
        </w:rPr>
      </w:pPr>
      <w:r>
        <w:rPr>
          <w:rFonts w:ascii="Times New Roman" w:hAnsi="Times New Roman"/>
          <w:b/>
          <w:sz w:val="28"/>
          <w:szCs w:val="28"/>
        </w:rPr>
        <w:t xml:space="preserve">Notes to the </w:t>
      </w:r>
      <w:r w:rsidR="0059383A" w:rsidRPr="0059383A">
        <w:rPr>
          <w:rFonts w:ascii="Times New Roman" w:hAnsi="Times New Roman" w:cs="Times New Roman"/>
          <w:b/>
          <w:i/>
          <w:sz w:val="28"/>
          <w:szCs w:val="28"/>
        </w:rPr>
        <w:t>Broadcasting Services (Regional Commercial Radio – Specification of Periods for Subsections 43C(1A) and 61CD(2)) Variation Instrument 2020 (No. 1)</w:t>
      </w:r>
    </w:p>
    <w:p w14:paraId="401201EB" w14:textId="77777777" w:rsidR="00E62506" w:rsidRPr="005E2FB4" w:rsidRDefault="00E62506" w:rsidP="00627601">
      <w:pPr>
        <w:autoSpaceDE w:val="0"/>
        <w:autoSpaceDN w:val="0"/>
        <w:adjustRightInd w:val="0"/>
        <w:spacing w:before="120" w:after="120" w:line="240" w:lineRule="auto"/>
        <w:rPr>
          <w:rFonts w:ascii="Times New Roman" w:hAnsi="Times New Roman"/>
          <w:b/>
          <w:bCs/>
        </w:rPr>
      </w:pPr>
      <w:bookmarkStart w:id="3" w:name="OLE_LINK1"/>
      <w:bookmarkStart w:id="4" w:name="OLE_LINK2"/>
      <w:r w:rsidRPr="005E2FB4">
        <w:rPr>
          <w:rFonts w:ascii="Times New Roman" w:hAnsi="Times New Roman"/>
          <w:b/>
          <w:bCs/>
        </w:rPr>
        <w:t>Section 1 – Name</w:t>
      </w:r>
    </w:p>
    <w:p w14:paraId="0DE074A8" w14:textId="3E0B5643" w:rsidR="00E62506" w:rsidRPr="005E2FB4" w:rsidRDefault="00E62506" w:rsidP="00627601">
      <w:pPr>
        <w:spacing w:before="120" w:after="120" w:line="240" w:lineRule="auto"/>
        <w:rPr>
          <w:rFonts w:ascii="Times New Roman" w:hAnsi="Times New Roman"/>
          <w:i/>
        </w:rPr>
      </w:pPr>
      <w:r w:rsidRPr="005E2FB4">
        <w:rPr>
          <w:rFonts w:ascii="Times New Roman" w:hAnsi="Times New Roman"/>
        </w:rPr>
        <w:t xml:space="preserve">Section 1 provides that the name of the Instrument is the </w:t>
      </w:r>
      <w:r w:rsidR="00B74035" w:rsidRPr="00080962">
        <w:rPr>
          <w:rFonts w:ascii="Times New Roman" w:hAnsi="Times New Roman" w:cs="Times New Roman"/>
          <w:bCs/>
          <w:i/>
        </w:rPr>
        <w:t>Broadcasting Services (Regional Commercial Radio – Specification of Periods for Subsections 43C(1A) and 61CD(2)) Variation Instrument 2020 (No. 1)</w:t>
      </w:r>
      <w:r w:rsidRPr="00183BC4">
        <w:rPr>
          <w:rFonts w:ascii="Times New Roman" w:hAnsi="Times New Roman"/>
          <w:iCs/>
        </w:rPr>
        <w:t>(</w:t>
      </w:r>
      <w:r w:rsidRPr="00183BC4">
        <w:rPr>
          <w:rFonts w:ascii="Times New Roman" w:hAnsi="Times New Roman"/>
          <w:b/>
          <w:bCs/>
          <w:iCs/>
        </w:rPr>
        <w:t>the Instrument</w:t>
      </w:r>
      <w:r>
        <w:rPr>
          <w:rFonts w:ascii="Times New Roman" w:hAnsi="Times New Roman"/>
          <w:iCs/>
        </w:rPr>
        <w:t>)</w:t>
      </w:r>
      <w:r w:rsidRPr="005E2FB4">
        <w:rPr>
          <w:rFonts w:ascii="Times New Roman" w:hAnsi="Times New Roman"/>
          <w:i/>
        </w:rPr>
        <w:t>.</w:t>
      </w:r>
      <w:r w:rsidRPr="005E2FB4">
        <w:rPr>
          <w:rFonts w:ascii="Times New Roman" w:hAnsi="Times New Roman"/>
        </w:rPr>
        <w:t xml:space="preserve"> </w:t>
      </w:r>
    </w:p>
    <w:p w14:paraId="76E8142A" w14:textId="77777777" w:rsidR="00E62506" w:rsidRPr="005E2FB4" w:rsidRDefault="00E62506" w:rsidP="00627601">
      <w:pPr>
        <w:spacing w:before="120" w:after="120" w:line="240" w:lineRule="auto"/>
        <w:rPr>
          <w:rFonts w:ascii="Times New Roman" w:hAnsi="Times New Roman"/>
          <w:b/>
          <w:bCs/>
        </w:rPr>
      </w:pPr>
      <w:r w:rsidRPr="005E2FB4">
        <w:rPr>
          <w:rFonts w:ascii="Times New Roman" w:hAnsi="Times New Roman"/>
          <w:b/>
          <w:bCs/>
        </w:rPr>
        <w:t>Section 2 – Commencement</w:t>
      </w:r>
    </w:p>
    <w:p w14:paraId="405A85DF" w14:textId="77777777" w:rsidR="00E62506" w:rsidRPr="005E2FB4" w:rsidRDefault="00E62506" w:rsidP="00627601">
      <w:pPr>
        <w:spacing w:before="120" w:after="120" w:line="240" w:lineRule="auto"/>
        <w:rPr>
          <w:rFonts w:ascii="Times New Roman" w:hAnsi="Times New Roman"/>
        </w:rPr>
      </w:pPr>
      <w:r w:rsidRPr="005E2FB4">
        <w:rPr>
          <w:rFonts w:ascii="Times New Roman" w:hAnsi="Times New Roman"/>
        </w:rPr>
        <w:t xml:space="preserve">This section provides that the Instrument commences </w:t>
      </w:r>
      <w:r w:rsidRPr="008A3CF5">
        <w:rPr>
          <w:rFonts w:ascii="Times New Roman" w:hAnsi="Times New Roman"/>
        </w:rPr>
        <w:t xml:space="preserve">at the start of </w:t>
      </w:r>
      <w:r w:rsidRPr="00E02127">
        <w:rPr>
          <w:rFonts w:ascii="Times New Roman" w:hAnsi="Times New Roman"/>
        </w:rPr>
        <w:t>the day after it is registered on the Federal Register of Legislati</w:t>
      </w:r>
      <w:r w:rsidRPr="00DD0450">
        <w:rPr>
          <w:rFonts w:ascii="Times New Roman" w:hAnsi="Times New Roman"/>
        </w:rPr>
        <w:t>on</w:t>
      </w:r>
      <w:r w:rsidRPr="005E2FB4">
        <w:rPr>
          <w:rFonts w:ascii="Times New Roman" w:hAnsi="Times New Roman"/>
        </w:rPr>
        <w:t>.</w:t>
      </w:r>
    </w:p>
    <w:bookmarkEnd w:id="3"/>
    <w:bookmarkEnd w:id="4"/>
    <w:p w14:paraId="6BCE842A" w14:textId="77777777" w:rsidR="00E62506" w:rsidRPr="005E2FB4" w:rsidRDefault="00E62506" w:rsidP="00627601">
      <w:pPr>
        <w:spacing w:before="120" w:after="120" w:line="240" w:lineRule="auto"/>
        <w:rPr>
          <w:rFonts w:ascii="Times New Roman" w:hAnsi="Times New Roman"/>
          <w:b/>
          <w:bCs/>
        </w:rPr>
      </w:pPr>
      <w:r w:rsidRPr="005E2FB4">
        <w:rPr>
          <w:rFonts w:ascii="Times New Roman" w:hAnsi="Times New Roman"/>
          <w:b/>
          <w:bCs/>
        </w:rPr>
        <w:t>Section 3 – Authority</w:t>
      </w:r>
    </w:p>
    <w:p w14:paraId="6CB13C63" w14:textId="2CF458D0" w:rsidR="00E62506" w:rsidRPr="005E2FB4" w:rsidRDefault="00E62506" w:rsidP="00627601">
      <w:pPr>
        <w:spacing w:before="120" w:after="120" w:line="240" w:lineRule="auto"/>
        <w:rPr>
          <w:rFonts w:ascii="Times New Roman" w:hAnsi="Times New Roman"/>
        </w:rPr>
      </w:pPr>
      <w:r w:rsidRPr="005E2FB4">
        <w:rPr>
          <w:rFonts w:ascii="Times New Roman" w:hAnsi="Times New Roman"/>
        </w:rPr>
        <w:t xml:space="preserve">This section </w:t>
      </w:r>
      <w:r w:rsidRPr="00C41F72">
        <w:rPr>
          <w:rFonts w:ascii="Times New Roman" w:hAnsi="Times New Roman"/>
        </w:rPr>
        <w:t>identifies the provision</w:t>
      </w:r>
      <w:r w:rsidR="009F650D">
        <w:rPr>
          <w:rFonts w:ascii="Times New Roman" w:hAnsi="Times New Roman"/>
        </w:rPr>
        <w:t>s</w:t>
      </w:r>
      <w:r w:rsidRPr="00C41F72">
        <w:rPr>
          <w:rFonts w:ascii="Times New Roman" w:hAnsi="Times New Roman"/>
        </w:rPr>
        <w:t xml:space="preserve"> that authorise the making of</w:t>
      </w:r>
      <w:r w:rsidRPr="005E2FB4" w:rsidDel="00C41F72">
        <w:rPr>
          <w:rFonts w:ascii="Times New Roman" w:hAnsi="Times New Roman"/>
        </w:rPr>
        <w:t xml:space="preserve"> </w:t>
      </w:r>
      <w:r w:rsidRPr="005E2FB4">
        <w:rPr>
          <w:rFonts w:ascii="Times New Roman" w:hAnsi="Times New Roman"/>
        </w:rPr>
        <w:t>the Instrument</w:t>
      </w:r>
      <w:r>
        <w:rPr>
          <w:rFonts w:ascii="Times New Roman" w:hAnsi="Times New Roman"/>
        </w:rPr>
        <w:t>, namely</w:t>
      </w:r>
      <w:r w:rsidRPr="005E2FB4">
        <w:rPr>
          <w:rFonts w:ascii="Times New Roman" w:hAnsi="Times New Roman"/>
        </w:rPr>
        <w:t xml:space="preserve"> </w:t>
      </w:r>
      <w:r w:rsidR="00E374BE" w:rsidRPr="005E2FB4">
        <w:rPr>
          <w:rFonts w:ascii="Times New Roman" w:hAnsi="Times New Roman"/>
        </w:rPr>
        <w:t>subsection</w:t>
      </w:r>
      <w:r w:rsidR="00E374BE">
        <w:rPr>
          <w:rFonts w:ascii="Times New Roman" w:hAnsi="Times New Roman"/>
        </w:rPr>
        <w:t>s </w:t>
      </w:r>
      <w:r w:rsidR="00485F28" w:rsidRPr="00157B90">
        <w:rPr>
          <w:rFonts w:ascii="Times New Roman" w:hAnsi="Times New Roman" w:cs="Times New Roman"/>
        </w:rPr>
        <w:t xml:space="preserve">43C(1A) </w:t>
      </w:r>
      <w:r w:rsidR="00485F28">
        <w:rPr>
          <w:rFonts w:ascii="Times New Roman" w:hAnsi="Times New Roman" w:cs="Times New Roman"/>
        </w:rPr>
        <w:t>and</w:t>
      </w:r>
      <w:r w:rsidRPr="005E2FB4">
        <w:rPr>
          <w:rFonts w:ascii="Times New Roman" w:hAnsi="Times New Roman"/>
        </w:rPr>
        <w:t xml:space="preserve"> 61CD(2) of the BSA.</w:t>
      </w:r>
    </w:p>
    <w:p w14:paraId="666688FD" w14:textId="77777777" w:rsidR="00E62506" w:rsidRPr="005E2FB4" w:rsidRDefault="00E62506" w:rsidP="00627601">
      <w:pPr>
        <w:autoSpaceDE w:val="0"/>
        <w:autoSpaceDN w:val="0"/>
        <w:adjustRightInd w:val="0"/>
        <w:spacing w:before="120" w:after="120" w:line="240" w:lineRule="auto"/>
        <w:rPr>
          <w:rFonts w:ascii="Times New Roman" w:hAnsi="Times New Roman"/>
          <w:b/>
          <w:bCs/>
        </w:rPr>
      </w:pPr>
      <w:r w:rsidRPr="005E2FB4">
        <w:rPr>
          <w:rFonts w:ascii="Times New Roman" w:hAnsi="Times New Roman"/>
          <w:b/>
          <w:bCs/>
        </w:rPr>
        <w:t>Section 4 – Amendments</w:t>
      </w:r>
    </w:p>
    <w:p w14:paraId="06A248D3" w14:textId="4F14E7E5" w:rsidR="00E62506" w:rsidRPr="005E2FB4" w:rsidRDefault="00E62506" w:rsidP="00627601">
      <w:pPr>
        <w:autoSpaceDE w:val="0"/>
        <w:autoSpaceDN w:val="0"/>
        <w:adjustRightInd w:val="0"/>
        <w:spacing w:before="120" w:after="120" w:line="240" w:lineRule="auto"/>
        <w:rPr>
          <w:rFonts w:ascii="Times New Roman" w:hAnsi="Times New Roman"/>
          <w:bCs/>
        </w:rPr>
      </w:pPr>
      <w:r w:rsidRPr="005E2FB4">
        <w:rPr>
          <w:rFonts w:ascii="Times New Roman" w:hAnsi="Times New Roman"/>
          <w:bCs/>
        </w:rPr>
        <w:t>Section 4 provides that Schedule 1 to the Instrument amends the</w:t>
      </w:r>
      <w:r w:rsidR="003C096A">
        <w:rPr>
          <w:rFonts w:ascii="Times New Roman" w:hAnsi="Times New Roman"/>
          <w:bCs/>
        </w:rPr>
        <w:t xml:space="preserve"> 2012 Instrument</w:t>
      </w:r>
      <w:r w:rsidRPr="005E2FB4">
        <w:rPr>
          <w:rFonts w:ascii="Times New Roman" w:hAnsi="Times New Roman"/>
          <w:bCs/>
        </w:rPr>
        <w:t>.</w:t>
      </w:r>
    </w:p>
    <w:p w14:paraId="1AD0843F" w14:textId="77777777" w:rsidR="00E62506" w:rsidRPr="005E2FB4" w:rsidRDefault="00E62506" w:rsidP="00627601">
      <w:pPr>
        <w:keepNext/>
        <w:autoSpaceDE w:val="0"/>
        <w:autoSpaceDN w:val="0"/>
        <w:adjustRightInd w:val="0"/>
        <w:spacing w:before="120" w:after="120" w:line="240" w:lineRule="auto"/>
        <w:rPr>
          <w:rFonts w:ascii="Times New Roman" w:hAnsi="Times New Roman"/>
          <w:b/>
        </w:rPr>
      </w:pPr>
      <w:r w:rsidRPr="005E2FB4">
        <w:rPr>
          <w:rFonts w:ascii="Times New Roman" w:hAnsi="Times New Roman"/>
          <w:b/>
        </w:rPr>
        <w:t xml:space="preserve">Schedule 1 </w:t>
      </w:r>
    </w:p>
    <w:p w14:paraId="4C6E2433" w14:textId="77777777" w:rsidR="00E62506" w:rsidRPr="005E2FB4" w:rsidRDefault="00E62506" w:rsidP="00627601">
      <w:pPr>
        <w:keepNext/>
        <w:autoSpaceDE w:val="0"/>
        <w:autoSpaceDN w:val="0"/>
        <w:adjustRightInd w:val="0"/>
        <w:spacing w:before="120" w:after="120" w:line="240" w:lineRule="auto"/>
        <w:rPr>
          <w:rFonts w:ascii="Times New Roman" w:hAnsi="Times New Roman"/>
          <w:b/>
        </w:rPr>
      </w:pPr>
      <w:r w:rsidRPr="005E2FB4">
        <w:rPr>
          <w:rFonts w:ascii="Times New Roman" w:hAnsi="Times New Roman"/>
          <w:b/>
        </w:rPr>
        <w:t>Item 1</w:t>
      </w:r>
    </w:p>
    <w:p w14:paraId="127F6CB0" w14:textId="51355E1F" w:rsidR="002C6921" w:rsidRPr="005E2FB4" w:rsidRDefault="00E62506" w:rsidP="00627601">
      <w:pPr>
        <w:spacing w:line="240" w:lineRule="auto"/>
        <w:rPr>
          <w:rFonts w:ascii="Times New Roman" w:hAnsi="Times New Roman"/>
        </w:rPr>
      </w:pPr>
      <w:r w:rsidRPr="005E2FB4">
        <w:rPr>
          <w:rFonts w:ascii="Times New Roman" w:hAnsi="Times New Roman"/>
          <w:bCs/>
        </w:rPr>
        <w:t xml:space="preserve">Item 1 </w:t>
      </w:r>
      <w:r w:rsidR="00A90DD4">
        <w:rPr>
          <w:rFonts w:ascii="Times New Roman" w:hAnsi="Times New Roman"/>
          <w:bCs/>
        </w:rPr>
        <w:t xml:space="preserve">omits </w:t>
      </w:r>
      <w:r w:rsidR="002C6921">
        <w:rPr>
          <w:rFonts w:ascii="Times New Roman" w:hAnsi="Times New Roman"/>
          <w:bCs/>
        </w:rPr>
        <w:t xml:space="preserve">the </w:t>
      </w:r>
      <w:r w:rsidR="009072BD">
        <w:rPr>
          <w:rFonts w:ascii="Times New Roman" w:hAnsi="Times New Roman"/>
          <w:bCs/>
        </w:rPr>
        <w:t xml:space="preserve">current </w:t>
      </w:r>
      <w:r w:rsidR="002C6921">
        <w:rPr>
          <w:rFonts w:ascii="Times New Roman" w:hAnsi="Times New Roman"/>
          <w:bCs/>
        </w:rPr>
        <w:t xml:space="preserve">table at Schedule 2 of the Instrument </w:t>
      </w:r>
      <w:r w:rsidR="000F170C">
        <w:rPr>
          <w:rFonts w:ascii="Times New Roman" w:hAnsi="Times New Roman"/>
          <w:bCs/>
        </w:rPr>
        <w:t xml:space="preserve">and substitutes </w:t>
      </w:r>
      <w:r w:rsidR="007179A1">
        <w:rPr>
          <w:rFonts w:ascii="Times New Roman" w:hAnsi="Times New Roman"/>
          <w:bCs/>
        </w:rPr>
        <w:t xml:space="preserve">a </w:t>
      </w:r>
      <w:r w:rsidR="002C6921">
        <w:rPr>
          <w:rFonts w:ascii="Times New Roman" w:hAnsi="Times New Roman"/>
          <w:bCs/>
        </w:rPr>
        <w:t>new table.</w:t>
      </w:r>
      <w:r w:rsidRPr="005E2FB4">
        <w:rPr>
          <w:rFonts w:ascii="Times New Roman" w:hAnsi="Times New Roman"/>
          <w:bCs/>
        </w:rPr>
        <w:t xml:space="preserve"> </w:t>
      </w:r>
      <w:r w:rsidR="002C6921">
        <w:rPr>
          <w:rFonts w:ascii="Times New Roman" w:hAnsi="Times New Roman"/>
          <w:bCs/>
        </w:rPr>
        <w:t>The</w:t>
      </w:r>
      <w:r w:rsidR="000F170C">
        <w:rPr>
          <w:rFonts w:ascii="Times New Roman" w:hAnsi="Times New Roman"/>
          <w:bCs/>
        </w:rPr>
        <w:t xml:space="preserve"> new</w:t>
      </w:r>
      <w:r w:rsidR="002C6921">
        <w:rPr>
          <w:rFonts w:ascii="Times New Roman" w:hAnsi="Times New Roman"/>
          <w:bCs/>
        </w:rPr>
        <w:t xml:space="preserve"> table in Schedule 2 </w:t>
      </w:r>
      <w:r w:rsidR="002C6921" w:rsidRPr="005E2FB4">
        <w:rPr>
          <w:rFonts w:ascii="Times New Roman" w:hAnsi="Times New Roman"/>
        </w:rPr>
        <w:t xml:space="preserve">specifies licences that have the </w:t>
      </w:r>
      <w:r w:rsidR="002C6921">
        <w:rPr>
          <w:rFonts w:ascii="Times New Roman" w:hAnsi="Times New Roman"/>
        </w:rPr>
        <w:t>five</w:t>
      </w:r>
      <w:r w:rsidR="00605738">
        <w:rPr>
          <w:rFonts w:ascii="Times New Roman" w:hAnsi="Times New Roman"/>
        </w:rPr>
        <w:t>-</w:t>
      </w:r>
      <w:r w:rsidR="002C6921">
        <w:rPr>
          <w:rFonts w:ascii="Times New Roman" w:hAnsi="Times New Roman"/>
        </w:rPr>
        <w:t>week</w:t>
      </w:r>
      <w:r w:rsidR="002C6921" w:rsidRPr="005E2FB4">
        <w:rPr>
          <w:rFonts w:ascii="Times New Roman" w:hAnsi="Times New Roman"/>
        </w:rPr>
        <w:t xml:space="preserve"> exemption period</w:t>
      </w:r>
      <w:r w:rsidR="00704823">
        <w:rPr>
          <w:rFonts w:ascii="Times New Roman" w:hAnsi="Times New Roman"/>
        </w:rPr>
        <w:t>s</w:t>
      </w:r>
      <w:r w:rsidR="002C6921" w:rsidRPr="005E2FB4">
        <w:rPr>
          <w:rFonts w:ascii="Times New Roman" w:hAnsi="Times New Roman"/>
        </w:rPr>
        <w:t xml:space="preserve"> set out in subsection</w:t>
      </w:r>
      <w:r w:rsidR="002C6921">
        <w:rPr>
          <w:rFonts w:ascii="Times New Roman" w:hAnsi="Times New Roman"/>
        </w:rPr>
        <w:t>s 4(2) and 5(2)</w:t>
      </w:r>
      <w:r w:rsidR="002C6921" w:rsidRPr="005E2FB4">
        <w:rPr>
          <w:rFonts w:ascii="Times New Roman" w:hAnsi="Times New Roman"/>
        </w:rPr>
        <w:t xml:space="preserve"> of the Instrument.</w:t>
      </w:r>
    </w:p>
    <w:p w14:paraId="5B6889EC" w14:textId="77777777" w:rsidR="00E62506" w:rsidRPr="005E2FB4" w:rsidRDefault="00E62506" w:rsidP="00627601">
      <w:pPr>
        <w:spacing w:line="240" w:lineRule="auto"/>
        <w:rPr>
          <w:rFonts w:ascii="Times New Roman" w:hAnsi="Times New Roman"/>
        </w:rPr>
      </w:pPr>
    </w:p>
    <w:p w14:paraId="54801A52" w14:textId="77777777" w:rsidR="00E62506" w:rsidRPr="005E2FB4" w:rsidRDefault="00E62506" w:rsidP="00627601">
      <w:pPr>
        <w:spacing w:line="240" w:lineRule="auto"/>
        <w:rPr>
          <w:rFonts w:ascii="Times New Roman" w:hAnsi="Times New Roman"/>
        </w:rPr>
      </w:pPr>
    </w:p>
    <w:p w14:paraId="517E91BB" w14:textId="77777777" w:rsidR="00E62506" w:rsidRDefault="00E62506" w:rsidP="00627601">
      <w:pPr>
        <w:spacing w:after="240" w:line="240" w:lineRule="auto"/>
        <w:jc w:val="right"/>
        <w:rPr>
          <w:rFonts w:ascii="Times New Roman" w:hAnsi="Times New Roman"/>
          <w:b/>
          <w:sz w:val="28"/>
          <w:szCs w:val="28"/>
        </w:rPr>
      </w:pPr>
      <w:r w:rsidRPr="005E2FB4">
        <w:rPr>
          <w:rFonts w:ascii="Times New Roman" w:hAnsi="Times New Roman"/>
          <w:highlight w:val="yellow"/>
        </w:rPr>
        <w:br w:type="page"/>
      </w:r>
      <w:bookmarkStart w:id="5" w:name="_Toc290210739"/>
      <w:r>
        <w:rPr>
          <w:rFonts w:ascii="Times New Roman" w:hAnsi="Times New Roman"/>
          <w:b/>
          <w:sz w:val="28"/>
          <w:szCs w:val="28"/>
        </w:rPr>
        <w:lastRenderedPageBreak/>
        <w:t>Attachment B</w:t>
      </w:r>
    </w:p>
    <w:p w14:paraId="7FA999E2" w14:textId="77777777" w:rsidR="00E62506" w:rsidRPr="005E2FB4" w:rsidRDefault="00E62506" w:rsidP="00627601">
      <w:pPr>
        <w:spacing w:before="240" w:after="200" w:line="240" w:lineRule="auto"/>
        <w:jc w:val="center"/>
        <w:rPr>
          <w:rFonts w:ascii="Times New Roman" w:hAnsi="Times New Roman"/>
        </w:rPr>
      </w:pPr>
      <w:r w:rsidRPr="005E2FB4">
        <w:rPr>
          <w:rFonts w:ascii="Times New Roman" w:hAnsi="Times New Roman"/>
          <w:b/>
          <w:bCs/>
        </w:rPr>
        <w:t>Statement of Compatibility with Human Rights</w:t>
      </w:r>
    </w:p>
    <w:p w14:paraId="288162F9" w14:textId="041D0922" w:rsidR="00E62506" w:rsidRPr="00177860" w:rsidRDefault="00E62506" w:rsidP="00627601">
      <w:pPr>
        <w:spacing w:line="240" w:lineRule="auto"/>
        <w:jc w:val="center"/>
        <w:rPr>
          <w:rFonts w:ascii="Times New Roman" w:hAnsi="Times New Roman"/>
          <w:i/>
          <w:iCs/>
        </w:rPr>
      </w:pPr>
      <w:r w:rsidRPr="000B72E5">
        <w:rPr>
          <w:rFonts w:ascii="Times New Roman" w:hAnsi="Times New Roman"/>
          <w:i/>
          <w:iCs/>
        </w:rPr>
        <w:t xml:space="preserve">Prepared by the Australian Communications and Media Authority </w:t>
      </w:r>
      <w:r w:rsidR="00177860">
        <w:rPr>
          <w:rFonts w:ascii="Times New Roman" w:hAnsi="Times New Roman"/>
          <w:i/>
          <w:iCs/>
        </w:rPr>
        <w:t>in accordance with Part 3 of</w:t>
      </w:r>
      <w:r w:rsidRPr="000B72E5">
        <w:rPr>
          <w:rFonts w:ascii="Times New Roman" w:hAnsi="Times New Roman"/>
        </w:rPr>
        <w:t xml:space="preserve"> </w:t>
      </w:r>
      <w:r w:rsidRPr="00177860">
        <w:rPr>
          <w:rFonts w:ascii="Times New Roman" w:hAnsi="Times New Roman"/>
          <w:i/>
          <w:iCs/>
        </w:rPr>
        <w:t xml:space="preserve">the Human Rights (Parliamentary Scrutiny) Act 2011 </w:t>
      </w:r>
    </w:p>
    <w:p w14:paraId="06BEA548" w14:textId="77777777" w:rsidR="00E62506" w:rsidRPr="000B72E5" w:rsidRDefault="00E62506" w:rsidP="00627601">
      <w:pPr>
        <w:pStyle w:val="Default"/>
        <w:spacing w:before="120" w:after="120"/>
        <w:jc w:val="center"/>
        <w:rPr>
          <w:rFonts w:ascii="Times New Roman" w:hAnsi="Times New Roman" w:cs="Times New Roman"/>
          <w:b/>
          <w:bCs/>
          <w:sz w:val="22"/>
          <w:szCs w:val="22"/>
        </w:rPr>
      </w:pPr>
    </w:p>
    <w:p w14:paraId="5AD75ED2" w14:textId="781BA0BF" w:rsidR="00E62506" w:rsidRPr="00465FC5" w:rsidRDefault="00465FC5" w:rsidP="00627601">
      <w:pPr>
        <w:pStyle w:val="Default"/>
        <w:spacing w:before="120" w:after="120"/>
        <w:jc w:val="center"/>
        <w:rPr>
          <w:rFonts w:ascii="Times New Roman" w:hAnsi="Times New Roman" w:cs="Times New Roman"/>
          <w:b/>
          <w:sz w:val="22"/>
          <w:szCs w:val="22"/>
        </w:rPr>
      </w:pPr>
      <w:r w:rsidRPr="00465FC5">
        <w:rPr>
          <w:rFonts w:ascii="Times New Roman" w:hAnsi="Times New Roman" w:cs="Times New Roman"/>
          <w:b/>
          <w:i/>
          <w:sz w:val="22"/>
          <w:szCs w:val="22"/>
        </w:rPr>
        <w:t>Broadcasting Services (Regional Commercial Radio – Specification of Periods for Subsections 43C(1A) and 61CD(2)) Variation Instrument 2020 (No. 1)</w:t>
      </w:r>
      <w:r w:rsidRPr="00465FC5">
        <w:rPr>
          <w:rFonts w:ascii="Times New Roman" w:hAnsi="Times New Roman"/>
          <w:b/>
          <w:iCs/>
          <w:sz w:val="22"/>
          <w:szCs w:val="22"/>
        </w:rPr>
        <w:t xml:space="preserve"> </w:t>
      </w:r>
      <w:r w:rsidR="00E62506" w:rsidRPr="00465FC5">
        <w:rPr>
          <w:rFonts w:ascii="Times New Roman" w:hAnsi="Times New Roman" w:cs="Times New Roman"/>
          <w:b/>
          <w:i/>
          <w:sz w:val="22"/>
          <w:szCs w:val="22"/>
        </w:rPr>
        <w:t xml:space="preserve"> </w:t>
      </w:r>
    </w:p>
    <w:p w14:paraId="135D89D0" w14:textId="77777777" w:rsidR="00E62506" w:rsidRPr="00A22669" w:rsidRDefault="00E62506" w:rsidP="00627601">
      <w:pPr>
        <w:pStyle w:val="Default"/>
        <w:spacing w:before="120" w:after="120"/>
        <w:rPr>
          <w:rFonts w:ascii="Times New Roman" w:hAnsi="Times New Roman" w:cs="Times New Roman"/>
          <w:i/>
          <w:iCs/>
          <w:sz w:val="22"/>
          <w:szCs w:val="22"/>
        </w:rPr>
      </w:pPr>
      <w:r w:rsidRPr="00A22669">
        <w:rPr>
          <w:rFonts w:ascii="Times New Roman" w:hAnsi="Times New Roman" w:cs="Times New Roman"/>
          <w:b/>
          <w:bCs/>
          <w:i/>
          <w:iCs/>
          <w:sz w:val="22"/>
          <w:szCs w:val="22"/>
        </w:rPr>
        <w:t xml:space="preserve">Overview of the Instrument </w:t>
      </w:r>
    </w:p>
    <w:p w14:paraId="150F1394" w14:textId="191CE190" w:rsidR="00DA4577" w:rsidRPr="00BF1353" w:rsidRDefault="00E62506" w:rsidP="00627601">
      <w:pPr>
        <w:pStyle w:val="Default"/>
        <w:spacing w:before="120" w:after="120"/>
        <w:rPr>
          <w:rFonts w:ascii="Times New Roman" w:hAnsi="Times New Roman" w:cs="Times New Roman"/>
          <w:sz w:val="22"/>
          <w:szCs w:val="22"/>
        </w:rPr>
      </w:pPr>
      <w:r w:rsidRPr="00BF1353">
        <w:rPr>
          <w:rFonts w:ascii="Times New Roman" w:hAnsi="Times New Roman" w:cs="Times New Roman"/>
          <w:sz w:val="22"/>
          <w:szCs w:val="22"/>
        </w:rPr>
        <w:t xml:space="preserve">Amendments to the </w:t>
      </w:r>
      <w:r w:rsidRPr="00BF1353">
        <w:rPr>
          <w:rFonts w:ascii="Times New Roman" w:hAnsi="Times New Roman" w:cs="Times New Roman"/>
          <w:bCs/>
          <w:i/>
          <w:sz w:val="22"/>
          <w:szCs w:val="22"/>
        </w:rPr>
        <w:t xml:space="preserve">Broadcasting Services Act 1992 </w:t>
      </w:r>
      <w:r w:rsidRPr="00BF1353">
        <w:rPr>
          <w:rFonts w:ascii="Times New Roman" w:hAnsi="Times New Roman" w:cs="Times New Roman"/>
          <w:bCs/>
          <w:sz w:val="22"/>
          <w:szCs w:val="22"/>
        </w:rPr>
        <w:t>(</w:t>
      </w:r>
      <w:r w:rsidRPr="00BF1353">
        <w:rPr>
          <w:rFonts w:ascii="Times New Roman" w:hAnsi="Times New Roman" w:cs="Times New Roman"/>
          <w:b/>
          <w:sz w:val="22"/>
          <w:szCs w:val="22"/>
        </w:rPr>
        <w:t>the BSA</w:t>
      </w:r>
      <w:r w:rsidRPr="00BF1353">
        <w:rPr>
          <w:rFonts w:ascii="Times New Roman" w:hAnsi="Times New Roman" w:cs="Times New Roman"/>
          <w:bCs/>
          <w:sz w:val="22"/>
          <w:szCs w:val="22"/>
        </w:rPr>
        <w:t>), which commenced on 16 April 2012,</w:t>
      </w:r>
      <w:r w:rsidRPr="00BF1353">
        <w:rPr>
          <w:rFonts w:ascii="Times New Roman" w:hAnsi="Times New Roman" w:cs="Times New Roman"/>
          <w:sz w:val="22"/>
          <w:szCs w:val="22"/>
        </w:rPr>
        <w:t xml:space="preserve"> relaxed some of the local content obligations that apply to regional commercial radio broadcasters. </w:t>
      </w:r>
      <w:r w:rsidR="00DA4577" w:rsidRPr="00BF1353">
        <w:rPr>
          <w:rFonts w:ascii="Times New Roman" w:hAnsi="Times New Roman" w:cs="Times New Roman"/>
          <w:sz w:val="22"/>
          <w:szCs w:val="22"/>
        </w:rPr>
        <w:t xml:space="preserve">The amendments have the effect that, for </w:t>
      </w:r>
      <w:r w:rsidR="00484A14">
        <w:rPr>
          <w:rFonts w:ascii="Times New Roman" w:hAnsi="Times New Roman" w:cs="Times New Roman"/>
          <w:sz w:val="22"/>
          <w:szCs w:val="22"/>
        </w:rPr>
        <w:t xml:space="preserve">a </w:t>
      </w:r>
      <w:r w:rsidR="00DA4577" w:rsidRPr="00BF1353">
        <w:rPr>
          <w:rFonts w:ascii="Times New Roman" w:hAnsi="Times New Roman" w:cs="Times New Roman"/>
          <w:sz w:val="22"/>
          <w:szCs w:val="22"/>
        </w:rPr>
        <w:t xml:space="preserve">five-week period each year, a regional commercial radio broadcasting licensee is not required </w:t>
      </w:r>
      <w:r w:rsidR="005822D0">
        <w:rPr>
          <w:rFonts w:ascii="Times New Roman" w:hAnsi="Times New Roman" w:cs="Times New Roman"/>
          <w:sz w:val="22"/>
          <w:szCs w:val="22"/>
        </w:rPr>
        <w:t>to</w:t>
      </w:r>
      <w:r w:rsidR="005822D0" w:rsidRPr="000D7061">
        <w:rPr>
          <w:rFonts w:ascii="Times New Roman" w:hAnsi="Times New Roman" w:cs="Times New Roman"/>
          <w:sz w:val="22"/>
          <w:szCs w:val="22"/>
        </w:rPr>
        <w:t xml:space="preserve"> broadcast specified amounts of material of local significance </w:t>
      </w:r>
      <w:r w:rsidR="005822D0">
        <w:rPr>
          <w:rFonts w:ascii="Times New Roman" w:hAnsi="Times New Roman" w:cs="Times New Roman"/>
          <w:sz w:val="22"/>
          <w:szCs w:val="22"/>
        </w:rPr>
        <w:t>or</w:t>
      </w:r>
      <w:r w:rsidR="005822D0" w:rsidRPr="000D7061">
        <w:rPr>
          <w:rFonts w:ascii="Times New Roman" w:hAnsi="Times New Roman" w:cs="Times New Roman"/>
          <w:sz w:val="22"/>
          <w:szCs w:val="22"/>
        </w:rPr>
        <w:t xml:space="preserve"> to comply with the minimum service standards for local news and information</w:t>
      </w:r>
      <w:r w:rsidR="00DA4577" w:rsidRPr="00BF1353">
        <w:rPr>
          <w:rFonts w:ascii="Times New Roman" w:hAnsi="Times New Roman" w:cs="Times New Roman"/>
          <w:sz w:val="22"/>
          <w:szCs w:val="22"/>
        </w:rPr>
        <w:t xml:space="preserve">. </w:t>
      </w:r>
    </w:p>
    <w:p w14:paraId="09D8B9C2" w14:textId="7E511B66" w:rsidR="00BF1353" w:rsidRPr="00BF1353" w:rsidRDefault="00E62506" w:rsidP="00627601">
      <w:pPr>
        <w:pStyle w:val="Default"/>
        <w:spacing w:before="120" w:after="120"/>
        <w:rPr>
          <w:rFonts w:ascii="Times New Roman" w:hAnsi="Times New Roman" w:cs="Times New Roman"/>
          <w:sz w:val="22"/>
          <w:szCs w:val="22"/>
        </w:rPr>
      </w:pPr>
      <w:r w:rsidRPr="00BF1353">
        <w:rPr>
          <w:rFonts w:ascii="Times New Roman" w:hAnsi="Times New Roman" w:cs="Times New Roman"/>
          <w:sz w:val="22"/>
          <w:szCs w:val="22"/>
        </w:rPr>
        <w:t>The BSA specifies</w:t>
      </w:r>
      <w:r w:rsidR="002F14FB">
        <w:rPr>
          <w:rFonts w:ascii="Times New Roman" w:hAnsi="Times New Roman" w:cs="Times New Roman"/>
          <w:sz w:val="22"/>
          <w:szCs w:val="22"/>
        </w:rPr>
        <w:t xml:space="preserve"> </w:t>
      </w:r>
      <w:r w:rsidR="002B6F97">
        <w:rPr>
          <w:rFonts w:ascii="Times New Roman" w:hAnsi="Times New Roman" w:cs="Times New Roman"/>
          <w:sz w:val="22"/>
          <w:szCs w:val="22"/>
        </w:rPr>
        <w:t>the</w:t>
      </w:r>
      <w:r w:rsidRPr="00BF1353">
        <w:rPr>
          <w:rFonts w:ascii="Times New Roman" w:hAnsi="Times New Roman" w:cs="Times New Roman"/>
          <w:sz w:val="22"/>
          <w:szCs w:val="22"/>
        </w:rPr>
        <w:t xml:space="preserve"> default five-week period for the obligation</w:t>
      </w:r>
      <w:r w:rsidR="007E39DB">
        <w:rPr>
          <w:rFonts w:ascii="Times New Roman" w:hAnsi="Times New Roman" w:cs="Times New Roman"/>
          <w:sz w:val="22"/>
          <w:szCs w:val="22"/>
        </w:rPr>
        <w:t>s</w:t>
      </w:r>
      <w:r w:rsidRPr="00BF1353">
        <w:rPr>
          <w:rFonts w:ascii="Times New Roman" w:hAnsi="Times New Roman" w:cs="Times New Roman"/>
          <w:sz w:val="22"/>
          <w:szCs w:val="22"/>
        </w:rPr>
        <w:t xml:space="preserve">, but the ACMA may, by legislative instrument, specify alternative periods for one or more specified licensees. </w:t>
      </w:r>
      <w:r w:rsidR="00BF1353" w:rsidRPr="00BF1353">
        <w:rPr>
          <w:rFonts w:ascii="Times New Roman" w:hAnsi="Times New Roman" w:cs="Times New Roman"/>
          <w:sz w:val="22"/>
          <w:szCs w:val="22"/>
        </w:rPr>
        <w:t xml:space="preserve">The default period exempting licensees </w:t>
      </w:r>
      <w:bookmarkStart w:id="6" w:name="_Hlk56178215"/>
      <w:r w:rsidR="00BF1353" w:rsidRPr="00BF1353">
        <w:rPr>
          <w:rFonts w:ascii="Times New Roman" w:hAnsi="Times New Roman" w:cs="Times New Roman"/>
          <w:sz w:val="22"/>
          <w:szCs w:val="22"/>
        </w:rPr>
        <w:t xml:space="preserve">from the obligation to provide specified amounts of material of local significance </w:t>
      </w:r>
      <w:bookmarkEnd w:id="6"/>
      <w:r w:rsidR="00BF1353" w:rsidRPr="00BF1353">
        <w:rPr>
          <w:rFonts w:ascii="Times New Roman" w:hAnsi="Times New Roman" w:cs="Times New Roman"/>
          <w:sz w:val="22"/>
          <w:szCs w:val="22"/>
        </w:rPr>
        <w:t>starts on the second Monday in December each year. The default period exempting licensees from the obligation to meet minimum service standards for local news and information starts on the second Sunday in December each year.</w:t>
      </w:r>
    </w:p>
    <w:p w14:paraId="56674C19" w14:textId="5A5AF2B5" w:rsidR="00E62506" w:rsidRPr="005E2FB4" w:rsidRDefault="00E62506" w:rsidP="00627601">
      <w:pPr>
        <w:pStyle w:val="Default"/>
        <w:spacing w:before="120" w:after="120"/>
        <w:rPr>
          <w:rFonts w:ascii="Times New Roman" w:hAnsi="Times New Roman" w:cs="Times New Roman"/>
          <w:sz w:val="22"/>
          <w:szCs w:val="22"/>
        </w:rPr>
      </w:pPr>
      <w:r w:rsidRPr="005E2FB4">
        <w:rPr>
          <w:rFonts w:ascii="Times New Roman" w:hAnsi="Times New Roman" w:cs="Times New Roman"/>
          <w:sz w:val="22"/>
          <w:szCs w:val="22"/>
        </w:rPr>
        <w:t>In 2012</w:t>
      </w:r>
      <w:r>
        <w:rPr>
          <w:rFonts w:ascii="Times New Roman" w:hAnsi="Times New Roman" w:cs="Times New Roman"/>
          <w:sz w:val="22"/>
          <w:szCs w:val="22"/>
        </w:rPr>
        <w:t>,</w:t>
      </w:r>
      <w:r w:rsidRPr="005E2FB4">
        <w:rPr>
          <w:rFonts w:ascii="Times New Roman" w:hAnsi="Times New Roman" w:cs="Times New Roman"/>
          <w:sz w:val="22"/>
          <w:szCs w:val="22"/>
        </w:rPr>
        <w:t xml:space="preserve"> the ACMA made the </w:t>
      </w:r>
      <w:r w:rsidRPr="005E2FB4">
        <w:rPr>
          <w:rFonts w:ascii="Times New Roman" w:hAnsi="Times New Roman" w:cs="Times New Roman"/>
          <w:i/>
          <w:sz w:val="22"/>
          <w:szCs w:val="22"/>
        </w:rPr>
        <w:t>Broadcasting Services (Regional Commercial Radio – Specification of Periods for Subsections 43C(1A) and 61CD(2)) Instrument 2012</w:t>
      </w:r>
      <w:r w:rsidRPr="005E2FB4">
        <w:rPr>
          <w:rFonts w:ascii="Times New Roman" w:hAnsi="Times New Roman" w:cs="Times New Roman"/>
          <w:sz w:val="22"/>
          <w:szCs w:val="22"/>
        </w:rPr>
        <w:t xml:space="preserve"> (</w:t>
      </w:r>
      <w:r w:rsidRPr="002374B2">
        <w:rPr>
          <w:rFonts w:ascii="Times New Roman" w:hAnsi="Times New Roman" w:cs="Times New Roman"/>
          <w:b/>
          <w:bCs/>
          <w:sz w:val="22"/>
          <w:szCs w:val="22"/>
        </w:rPr>
        <w:t>the 2012 Instrument</w:t>
      </w:r>
      <w:r w:rsidRPr="005E2FB4">
        <w:rPr>
          <w:rFonts w:ascii="Times New Roman" w:hAnsi="Times New Roman" w:cs="Times New Roman"/>
          <w:sz w:val="22"/>
          <w:szCs w:val="22"/>
        </w:rPr>
        <w:t>), for the purpose of specifying alternative exemption periods for certain licences.</w:t>
      </w:r>
    </w:p>
    <w:p w14:paraId="53DF33B9" w14:textId="561F5645" w:rsidR="00E62506" w:rsidRDefault="00E62506" w:rsidP="00627601">
      <w:pPr>
        <w:pStyle w:val="Default"/>
        <w:spacing w:before="120" w:after="120"/>
        <w:rPr>
          <w:rFonts w:ascii="Times New Roman" w:hAnsi="Times New Roman" w:cs="Times New Roman"/>
          <w:spacing w:val="-2"/>
          <w:sz w:val="22"/>
          <w:szCs w:val="22"/>
        </w:rPr>
      </w:pPr>
      <w:r w:rsidRPr="00C76680">
        <w:rPr>
          <w:rFonts w:ascii="Times New Roman" w:hAnsi="Times New Roman" w:cs="Times New Roman"/>
          <w:spacing w:val="-2"/>
          <w:sz w:val="22"/>
          <w:szCs w:val="22"/>
        </w:rPr>
        <w:t>T</w:t>
      </w:r>
      <w:r w:rsidRPr="00C76680">
        <w:rPr>
          <w:rFonts w:ascii="Times New Roman" w:hAnsi="Times New Roman" w:cs="Times New Roman"/>
          <w:sz w:val="22"/>
          <w:szCs w:val="22"/>
        </w:rPr>
        <w:t xml:space="preserve">he </w:t>
      </w:r>
      <w:r w:rsidR="00AE7E4B" w:rsidRPr="00C76680">
        <w:rPr>
          <w:rFonts w:ascii="Times New Roman" w:hAnsi="Times New Roman" w:cs="Times New Roman"/>
          <w:bCs/>
          <w:i/>
          <w:sz w:val="22"/>
          <w:szCs w:val="22"/>
        </w:rPr>
        <w:t>Broadcasting Services (Regional Commercial Radio – Specification of Periods for Subsections 43C(1A) and 61CD(2)) Variation Instrument 2020 (No. 1)</w:t>
      </w:r>
      <w:r w:rsidRPr="00C76680">
        <w:rPr>
          <w:rFonts w:ascii="Times New Roman" w:hAnsi="Times New Roman" w:cs="Times New Roman"/>
          <w:sz w:val="22"/>
          <w:szCs w:val="22"/>
        </w:rPr>
        <w:t>(</w:t>
      </w:r>
      <w:r w:rsidRPr="00C76680">
        <w:rPr>
          <w:rFonts w:ascii="Times New Roman" w:hAnsi="Times New Roman" w:cs="Times New Roman"/>
          <w:b/>
          <w:bCs/>
          <w:sz w:val="22"/>
          <w:szCs w:val="22"/>
        </w:rPr>
        <w:t xml:space="preserve">the </w:t>
      </w:r>
      <w:r w:rsidRPr="00C76680">
        <w:rPr>
          <w:rFonts w:ascii="Times New Roman" w:hAnsi="Times New Roman" w:cs="Times New Roman"/>
          <w:b/>
          <w:bCs/>
          <w:spacing w:val="-2"/>
          <w:sz w:val="22"/>
          <w:szCs w:val="22"/>
        </w:rPr>
        <w:t>Instrument</w:t>
      </w:r>
      <w:r w:rsidRPr="00C76680">
        <w:rPr>
          <w:rFonts w:ascii="Times New Roman" w:hAnsi="Times New Roman" w:cs="Times New Roman"/>
          <w:spacing w:val="-2"/>
          <w:sz w:val="22"/>
          <w:szCs w:val="22"/>
        </w:rPr>
        <w:t>)</w:t>
      </w:r>
      <w:r w:rsidR="00AE7E4B" w:rsidRPr="00C76680">
        <w:rPr>
          <w:rFonts w:ascii="Times New Roman" w:hAnsi="Times New Roman" w:cs="Times New Roman"/>
          <w:spacing w:val="-2"/>
          <w:sz w:val="22"/>
          <w:szCs w:val="22"/>
        </w:rPr>
        <w:t xml:space="preserve"> </w:t>
      </w:r>
      <w:r w:rsidRPr="00C76680">
        <w:rPr>
          <w:rFonts w:ascii="Times New Roman" w:hAnsi="Times New Roman" w:cs="Times New Roman"/>
          <w:spacing w:val="-2"/>
          <w:sz w:val="22"/>
          <w:szCs w:val="22"/>
        </w:rPr>
        <w:t xml:space="preserve">varies the 2012 Instrument by </w:t>
      </w:r>
      <w:r w:rsidRPr="00C76680">
        <w:rPr>
          <w:rFonts w:ascii="Times New Roman" w:hAnsi="Times New Roman" w:cs="Times New Roman"/>
          <w:bCs/>
          <w:spacing w:val="-2"/>
          <w:sz w:val="22"/>
          <w:szCs w:val="22"/>
        </w:rPr>
        <w:t>specifying alternative five</w:t>
      </w:r>
      <w:r w:rsidR="00FC774B">
        <w:rPr>
          <w:rFonts w:ascii="Times New Roman" w:hAnsi="Times New Roman" w:cs="Times New Roman"/>
          <w:bCs/>
          <w:spacing w:val="-2"/>
          <w:sz w:val="22"/>
          <w:szCs w:val="22"/>
        </w:rPr>
        <w:t>-</w:t>
      </w:r>
      <w:r w:rsidRPr="00C76680">
        <w:rPr>
          <w:rFonts w:ascii="Times New Roman" w:hAnsi="Times New Roman" w:cs="Times New Roman"/>
          <w:bCs/>
          <w:spacing w:val="-2"/>
          <w:sz w:val="22"/>
          <w:szCs w:val="22"/>
        </w:rPr>
        <w:t>week exemption period</w:t>
      </w:r>
      <w:r w:rsidR="000150AF">
        <w:rPr>
          <w:rFonts w:ascii="Times New Roman" w:hAnsi="Times New Roman" w:cs="Times New Roman"/>
          <w:bCs/>
          <w:spacing w:val="-2"/>
          <w:sz w:val="22"/>
          <w:szCs w:val="22"/>
        </w:rPr>
        <w:t>s</w:t>
      </w:r>
      <w:r w:rsidRPr="00C76680">
        <w:rPr>
          <w:rFonts w:ascii="Times New Roman" w:hAnsi="Times New Roman" w:cs="Times New Roman"/>
          <w:bCs/>
          <w:spacing w:val="-2"/>
          <w:sz w:val="22"/>
          <w:szCs w:val="22"/>
        </w:rPr>
        <w:t xml:space="preserve"> for an additional </w:t>
      </w:r>
      <w:r w:rsidR="00203384" w:rsidRPr="00C76680">
        <w:rPr>
          <w:rFonts w:ascii="Times New Roman" w:hAnsi="Times New Roman" w:cs="Times New Roman"/>
          <w:bCs/>
          <w:spacing w:val="-2"/>
          <w:sz w:val="22"/>
          <w:szCs w:val="22"/>
        </w:rPr>
        <w:t>14</w:t>
      </w:r>
      <w:r w:rsidRPr="00C76680">
        <w:rPr>
          <w:rFonts w:ascii="Times New Roman" w:hAnsi="Times New Roman" w:cs="Times New Roman"/>
          <w:bCs/>
          <w:spacing w:val="-2"/>
          <w:sz w:val="22"/>
          <w:szCs w:val="22"/>
        </w:rPr>
        <w:t xml:space="preserve"> </w:t>
      </w:r>
      <w:r w:rsidRPr="00C76680">
        <w:rPr>
          <w:rFonts w:ascii="Times New Roman" w:hAnsi="Times New Roman" w:cs="Times New Roman"/>
          <w:spacing w:val="-2"/>
          <w:sz w:val="22"/>
          <w:szCs w:val="22"/>
        </w:rPr>
        <w:t>regional commercial radio broadcasting licences identified in the Instrument</w:t>
      </w:r>
      <w:r w:rsidR="00983349">
        <w:rPr>
          <w:rFonts w:ascii="Times New Roman" w:hAnsi="Times New Roman" w:cs="Times New Roman"/>
          <w:spacing w:val="-2"/>
          <w:sz w:val="22"/>
          <w:szCs w:val="22"/>
        </w:rPr>
        <w:t xml:space="preserve">. For these 14 licences the </w:t>
      </w:r>
      <w:r w:rsidR="00AC2B58">
        <w:rPr>
          <w:rFonts w:ascii="Times New Roman" w:hAnsi="Times New Roman" w:cs="Times New Roman"/>
          <w:spacing w:val="-2"/>
          <w:sz w:val="22"/>
          <w:szCs w:val="22"/>
        </w:rPr>
        <w:t xml:space="preserve">exemption </w:t>
      </w:r>
      <w:r w:rsidR="00AC2B58" w:rsidRPr="00AC2B58">
        <w:rPr>
          <w:rFonts w:ascii="Times New Roman" w:hAnsi="Times New Roman" w:cs="Times New Roman"/>
          <w:spacing w:val="-2"/>
          <w:sz w:val="22"/>
          <w:szCs w:val="22"/>
        </w:rPr>
        <w:t>from the obligation to provide specified amounts of material of local significance</w:t>
      </w:r>
      <w:r w:rsidRPr="00C76680">
        <w:rPr>
          <w:rFonts w:ascii="Times New Roman" w:hAnsi="Times New Roman" w:cs="Times New Roman"/>
          <w:spacing w:val="-2"/>
          <w:sz w:val="22"/>
          <w:szCs w:val="22"/>
        </w:rPr>
        <w:t xml:space="preserve"> </w:t>
      </w:r>
      <w:r w:rsidR="00AC2B58" w:rsidRPr="00C76680">
        <w:rPr>
          <w:rFonts w:ascii="Times New Roman" w:hAnsi="Times New Roman" w:cs="Times New Roman"/>
          <w:spacing w:val="-2"/>
          <w:sz w:val="22"/>
          <w:szCs w:val="22"/>
        </w:rPr>
        <w:t>commenc</w:t>
      </w:r>
      <w:r w:rsidR="00AC2B58">
        <w:rPr>
          <w:rFonts w:ascii="Times New Roman" w:hAnsi="Times New Roman" w:cs="Times New Roman"/>
          <w:spacing w:val="-2"/>
          <w:sz w:val="22"/>
          <w:szCs w:val="22"/>
        </w:rPr>
        <w:t xml:space="preserve">es </w:t>
      </w:r>
      <w:r w:rsidR="00C76680" w:rsidRPr="00C76680">
        <w:rPr>
          <w:rFonts w:ascii="Times New Roman" w:hAnsi="Times New Roman" w:cs="Times New Roman"/>
          <w:spacing w:val="-2"/>
          <w:sz w:val="22"/>
          <w:szCs w:val="22"/>
        </w:rPr>
        <w:t xml:space="preserve">on the third Monday in December each year and </w:t>
      </w:r>
      <w:r w:rsidR="00AC2B58">
        <w:rPr>
          <w:rFonts w:ascii="Times New Roman" w:hAnsi="Times New Roman" w:cs="Times New Roman"/>
          <w:spacing w:val="-2"/>
          <w:sz w:val="22"/>
          <w:szCs w:val="22"/>
        </w:rPr>
        <w:t>the exemption</w:t>
      </w:r>
      <w:r w:rsidR="00AC2B58" w:rsidRPr="00AC2B58">
        <w:rPr>
          <w:rFonts w:ascii="Times New Roman" w:hAnsi="Times New Roman" w:cs="Times New Roman"/>
          <w:color w:val="auto"/>
          <w:sz w:val="22"/>
          <w:szCs w:val="22"/>
        </w:rPr>
        <w:t xml:space="preserve"> </w:t>
      </w:r>
      <w:r w:rsidR="00AC2B58" w:rsidRPr="00AC2B58">
        <w:rPr>
          <w:rFonts w:ascii="Times New Roman" w:hAnsi="Times New Roman" w:cs="Times New Roman"/>
          <w:spacing w:val="-2"/>
          <w:sz w:val="22"/>
          <w:szCs w:val="22"/>
        </w:rPr>
        <w:t>from the obligation to meet minimum service standards for local news and information</w:t>
      </w:r>
      <w:r w:rsidR="00AC2B58">
        <w:rPr>
          <w:rFonts w:ascii="Times New Roman" w:hAnsi="Times New Roman" w:cs="Times New Roman"/>
          <w:spacing w:val="-2"/>
          <w:sz w:val="22"/>
          <w:szCs w:val="22"/>
        </w:rPr>
        <w:t xml:space="preserve"> commences on </w:t>
      </w:r>
      <w:r w:rsidR="00C76680" w:rsidRPr="00C76680">
        <w:rPr>
          <w:rFonts w:ascii="Times New Roman" w:hAnsi="Times New Roman" w:cs="Times New Roman"/>
          <w:spacing w:val="-2"/>
          <w:sz w:val="22"/>
          <w:szCs w:val="22"/>
        </w:rPr>
        <w:t>the third Sunday in December each year.</w:t>
      </w:r>
      <w:r w:rsidR="00FC6F16">
        <w:rPr>
          <w:rFonts w:ascii="Times New Roman" w:hAnsi="Times New Roman" w:cs="Times New Roman"/>
          <w:spacing w:val="-2"/>
          <w:sz w:val="22"/>
          <w:szCs w:val="22"/>
        </w:rPr>
        <w:t xml:space="preserve"> </w:t>
      </w:r>
      <w:r w:rsidR="00FC6F16">
        <w:rPr>
          <w:rFonts w:ascii="Times New Roman" w:hAnsi="Times New Roman" w:cs="Times New Roman"/>
          <w:sz w:val="22"/>
          <w:szCs w:val="22"/>
        </w:rPr>
        <w:t>The Instrument also returns 48 licences</w:t>
      </w:r>
      <w:r w:rsidR="000150AF">
        <w:rPr>
          <w:rFonts w:ascii="Times New Roman" w:hAnsi="Times New Roman" w:cs="Times New Roman"/>
          <w:sz w:val="22"/>
          <w:szCs w:val="22"/>
        </w:rPr>
        <w:t xml:space="preserve"> </w:t>
      </w:r>
      <w:r w:rsidR="00FC6F16">
        <w:rPr>
          <w:rFonts w:ascii="Times New Roman" w:hAnsi="Times New Roman" w:cs="Times New Roman"/>
          <w:sz w:val="22"/>
          <w:szCs w:val="22"/>
        </w:rPr>
        <w:t>to the default exemption periods under subsections</w:t>
      </w:r>
      <w:r w:rsidR="00FC6F16" w:rsidRPr="007E39DB">
        <w:rPr>
          <w:rFonts w:ascii="Times New Roman" w:hAnsi="Times New Roman" w:cs="Times New Roman"/>
          <w:iCs/>
          <w:sz w:val="22"/>
          <w:szCs w:val="22"/>
        </w:rPr>
        <w:t xml:space="preserve"> 43C(1A) and 6</w:t>
      </w:r>
      <w:r w:rsidR="00FC6F16" w:rsidRPr="006B4A73">
        <w:rPr>
          <w:rFonts w:ascii="Times New Roman" w:hAnsi="Times New Roman" w:cs="Times New Roman"/>
          <w:iCs/>
          <w:sz w:val="22"/>
          <w:szCs w:val="22"/>
        </w:rPr>
        <w:t xml:space="preserve">1CD(2) </w:t>
      </w:r>
      <w:r w:rsidR="00FC6F16">
        <w:rPr>
          <w:rFonts w:ascii="Times New Roman" w:hAnsi="Times New Roman" w:cs="Times New Roman"/>
          <w:iCs/>
          <w:sz w:val="22"/>
          <w:szCs w:val="22"/>
        </w:rPr>
        <w:t>of the BSA by omitting the</w:t>
      </w:r>
      <w:r w:rsidR="006B72C8">
        <w:rPr>
          <w:rFonts w:ascii="Times New Roman" w:hAnsi="Times New Roman" w:cs="Times New Roman"/>
          <w:iCs/>
          <w:sz w:val="22"/>
          <w:szCs w:val="22"/>
        </w:rPr>
        <w:t>m</w:t>
      </w:r>
      <w:r w:rsidR="00FC6F16">
        <w:rPr>
          <w:rFonts w:ascii="Times New Roman" w:hAnsi="Times New Roman" w:cs="Times New Roman"/>
          <w:iCs/>
          <w:sz w:val="22"/>
          <w:szCs w:val="22"/>
        </w:rPr>
        <w:t xml:space="preserve"> from the table at Schedule 2 to the 2012 Instrument</w:t>
      </w:r>
      <w:r w:rsidR="00A05861">
        <w:rPr>
          <w:rFonts w:ascii="Times New Roman" w:hAnsi="Times New Roman" w:cs="Times New Roman"/>
          <w:iCs/>
          <w:sz w:val="22"/>
          <w:szCs w:val="22"/>
        </w:rPr>
        <w:t>.</w:t>
      </w:r>
      <w:r w:rsidR="00FC6F16">
        <w:rPr>
          <w:rFonts w:ascii="Times New Roman" w:hAnsi="Times New Roman" w:cs="Times New Roman"/>
          <w:spacing w:val="-2"/>
          <w:sz w:val="22"/>
          <w:szCs w:val="22"/>
        </w:rPr>
        <w:t xml:space="preserve"> </w:t>
      </w:r>
      <w:r w:rsidRPr="00C76680">
        <w:rPr>
          <w:rFonts w:ascii="Times New Roman" w:hAnsi="Times New Roman" w:cs="Times New Roman"/>
          <w:spacing w:val="-2"/>
          <w:sz w:val="22"/>
          <w:szCs w:val="22"/>
          <w:highlight w:val="yellow"/>
        </w:rPr>
        <w:t xml:space="preserve">  </w:t>
      </w:r>
      <w:r w:rsidRPr="00C76680">
        <w:rPr>
          <w:rFonts w:ascii="Times New Roman" w:hAnsi="Times New Roman" w:cs="Times New Roman"/>
          <w:spacing w:val="-2"/>
          <w:sz w:val="22"/>
          <w:szCs w:val="22"/>
        </w:rPr>
        <w:t xml:space="preserve">  </w:t>
      </w:r>
    </w:p>
    <w:p w14:paraId="34D0157A" w14:textId="77777777" w:rsidR="00E62506" w:rsidRPr="005E2FB4" w:rsidRDefault="00E62506" w:rsidP="00627601">
      <w:pPr>
        <w:pStyle w:val="Default"/>
        <w:spacing w:before="120" w:after="120"/>
        <w:rPr>
          <w:rFonts w:ascii="Times New Roman" w:hAnsi="Times New Roman" w:cs="Times New Roman"/>
          <w:b/>
          <w:bCs/>
          <w:sz w:val="22"/>
          <w:szCs w:val="22"/>
        </w:rPr>
      </w:pPr>
      <w:r w:rsidRPr="005E2FB4">
        <w:rPr>
          <w:rFonts w:ascii="Times New Roman" w:hAnsi="Times New Roman" w:cs="Times New Roman"/>
          <w:b/>
          <w:bCs/>
          <w:sz w:val="22"/>
          <w:szCs w:val="22"/>
        </w:rPr>
        <w:t>Human rights implications</w:t>
      </w:r>
    </w:p>
    <w:p w14:paraId="2DD4B7EC" w14:textId="77777777" w:rsidR="00E62506" w:rsidRPr="00776B71" w:rsidRDefault="00E62506" w:rsidP="00627601">
      <w:pPr>
        <w:spacing w:before="120" w:line="240" w:lineRule="auto"/>
        <w:rPr>
          <w:rFonts w:ascii="Times New Roman" w:hAnsi="Times New Roman"/>
        </w:rPr>
      </w:pPr>
      <w:r w:rsidRPr="00776B71">
        <w:rPr>
          <w:rFonts w:ascii="Times New Roman" w:hAnsi="Times New Roman"/>
        </w:rPr>
        <w:t xml:space="preserve">The ACMA has assessed whether the instrument is compatible with human rights, being the rights and freedoms recognised or declared by the international instruments listed in subsection 3(1) of the </w:t>
      </w:r>
      <w:r w:rsidRPr="00776B71">
        <w:rPr>
          <w:rFonts w:ascii="Times New Roman" w:hAnsi="Times New Roman"/>
          <w:i/>
        </w:rPr>
        <w:t>Human Rights (Parliamentary Scrutiny) Act 2011</w:t>
      </w:r>
      <w:r w:rsidRPr="00776B71">
        <w:rPr>
          <w:rFonts w:ascii="Times New Roman" w:hAnsi="Times New Roman"/>
        </w:rPr>
        <w:t xml:space="preserve"> as they apply to Australia. </w:t>
      </w:r>
    </w:p>
    <w:p w14:paraId="54A0A0F7" w14:textId="77777777" w:rsidR="00E62506" w:rsidRPr="00776B71" w:rsidRDefault="00E62506" w:rsidP="00627601">
      <w:pPr>
        <w:spacing w:before="120" w:line="240" w:lineRule="auto"/>
        <w:rPr>
          <w:rFonts w:ascii="Times New Roman" w:hAnsi="Times New Roman"/>
        </w:rPr>
      </w:pPr>
      <w:r w:rsidRPr="00776B71">
        <w:rPr>
          <w:rFonts w:ascii="Times New Roman" w:hAnsi="Times New Roman"/>
        </w:rPr>
        <w:t>Having considered the likely impact of the instrument and the nature of the applicable rights and freedoms, the ACMA has formed the view that he Instrument engages the following rights/freedoms:</w:t>
      </w:r>
    </w:p>
    <w:p w14:paraId="314C0178" w14:textId="77777777" w:rsidR="00E62506" w:rsidRPr="005E2FB4" w:rsidRDefault="00E62506" w:rsidP="00627601">
      <w:pPr>
        <w:pStyle w:val="Default"/>
        <w:numPr>
          <w:ilvl w:val="0"/>
          <w:numId w:val="1"/>
        </w:numPr>
        <w:spacing w:before="120" w:after="120"/>
        <w:rPr>
          <w:rFonts w:ascii="Times New Roman" w:hAnsi="Times New Roman" w:cs="Times New Roman"/>
          <w:sz w:val="22"/>
          <w:szCs w:val="22"/>
        </w:rPr>
      </w:pPr>
      <w:r w:rsidRPr="008A3CF5">
        <w:rPr>
          <w:rFonts w:ascii="Times New Roman" w:hAnsi="Times New Roman" w:cs="Times New Roman"/>
          <w:sz w:val="22"/>
          <w:szCs w:val="22"/>
        </w:rPr>
        <w:t xml:space="preserve">the right to </w:t>
      </w:r>
      <w:r w:rsidRPr="005E2FB4">
        <w:rPr>
          <w:rFonts w:ascii="Times New Roman" w:hAnsi="Times New Roman" w:cs="Times New Roman"/>
          <w:sz w:val="22"/>
          <w:szCs w:val="22"/>
        </w:rPr>
        <w:t>freedom of opinion and expression</w:t>
      </w:r>
      <w:r w:rsidRPr="008A3CF5">
        <w:rPr>
          <w:rFonts w:ascii="Times New Roman" w:hAnsi="Times New Roman" w:cs="Times New Roman"/>
          <w:sz w:val="22"/>
          <w:szCs w:val="22"/>
        </w:rPr>
        <w:t xml:space="preserve"> in </w:t>
      </w:r>
      <w:r>
        <w:rPr>
          <w:rFonts w:ascii="Times New Roman" w:hAnsi="Times New Roman" w:cs="Times New Roman"/>
          <w:sz w:val="22"/>
          <w:szCs w:val="22"/>
        </w:rPr>
        <w:t>A</w:t>
      </w:r>
      <w:r w:rsidRPr="008A3CF5">
        <w:rPr>
          <w:rFonts w:ascii="Times New Roman" w:hAnsi="Times New Roman" w:cs="Times New Roman"/>
          <w:sz w:val="22"/>
          <w:szCs w:val="22"/>
        </w:rPr>
        <w:t>rticle 1</w:t>
      </w:r>
      <w:r w:rsidRPr="005E2FB4">
        <w:rPr>
          <w:rFonts w:ascii="Times New Roman" w:hAnsi="Times New Roman" w:cs="Times New Roman"/>
          <w:sz w:val="22"/>
          <w:szCs w:val="22"/>
        </w:rPr>
        <w:t xml:space="preserve">9 </w:t>
      </w:r>
      <w:bookmarkStart w:id="7" w:name="_Hlk24120426"/>
      <w:r w:rsidRPr="008A3CF5">
        <w:rPr>
          <w:rFonts w:ascii="Times New Roman" w:hAnsi="Times New Roman" w:cs="Times New Roman"/>
          <w:sz w:val="22"/>
          <w:szCs w:val="22"/>
        </w:rPr>
        <w:t>of the International Covenant on Civil and Political Rights</w:t>
      </w:r>
      <w:bookmarkEnd w:id="7"/>
      <w:r w:rsidRPr="005E2FB4">
        <w:rPr>
          <w:rFonts w:ascii="Times New Roman" w:hAnsi="Times New Roman" w:cs="Times New Roman"/>
          <w:sz w:val="22"/>
          <w:szCs w:val="22"/>
        </w:rPr>
        <w:t xml:space="preserve"> (</w:t>
      </w:r>
      <w:r w:rsidRPr="008A3CF5">
        <w:rPr>
          <w:rFonts w:ascii="Times New Roman" w:hAnsi="Times New Roman" w:cs="Times New Roman"/>
          <w:b/>
          <w:bCs/>
          <w:sz w:val="22"/>
          <w:szCs w:val="22"/>
        </w:rPr>
        <w:t>ICCPR</w:t>
      </w:r>
      <w:r w:rsidRPr="005E2FB4">
        <w:rPr>
          <w:rFonts w:ascii="Times New Roman" w:hAnsi="Times New Roman" w:cs="Times New Roman"/>
          <w:sz w:val="22"/>
          <w:szCs w:val="22"/>
        </w:rPr>
        <w:t>);</w:t>
      </w:r>
    </w:p>
    <w:p w14:paraId="4BE114FC" w14:textId="0B3D7534" w:rsidR="00E62506" w:rsidRPr="005E2FB4" w:rsidRDefault="00E62506" w:rsidP="00627601">
      <w:pPr>
        <w:pStyle w:val="Default"/>
        <w:numPr>
          <w:ilvl w:val="0"/>
          <w:numId w:val="1"/>
        </w:numPr>
        <w:spacing w:before="120" w:after="120"/>
        <w:rPr>
          <w:rFonts w:ascii="Times New Roman" w:hAnsi="Times New Roman" w:cs="Times New Roman"/>
          <w:sz w:val="22"/>
          <w:szCs w:val="22"/>
        </w:rPr>
      </w:pPr>
      <w:r w:rsidRPr="005E2FB4">
        <w:rPr>
          <w:rFonts w:ascii="Times New Roman" w:hAnsi="Times New Roman" w:cs="Times New Roman"/>
          <w:sz w:val="22"/>
          <w:szCs w:val="22"/>
        </w:rPr>
        <w:t xml:space="preserve">the right to culture in </w:t>
      </w:r>
      <w:r w:rsidR="00A90DD4">
        <w:rPr>
          <w:rFonts w:ascii="Times New Roman" w:hAnsi="Times New Roman" w:cs="Times New Roman"/>
          <w:sz w:val="22"/>
          <w:szCs w:val="22"/>
        </w:rPr>
        <w:t>A</w:t>
      </w:r>
      <w:r w:rsidRPr="005E2FB4">
        <w:rPr>
          <w:rFonts w:ascii="Times New Roman" w:hAnsi="Times New Roman" w:cs="Times New Roman"/>
          <w:sz w:val="22"/>
          <w:szCs w:val="22"/>
        </w:rPr>
        <w:t xml:space="preserve">rticle 15 of the International Covenant on Economic, Social and Cultural Rights </w:t>
      </w:r>
      <w:r>
        <w:rPr>
          <w:rFonts w:ascii="Times New Roman" w:hAnsi="Times New Roman" w:cs="Times New Roman"/>
          <w:sz w:val="22"/>
          <w:szCs w:val="22"/>
        </w:rPr>
        <w:t>(</w:t>
      </w:r>
      <w:r w:rsidRPr="008A3CF5">
        <w:rPr>
          <w:rFonts w:ascii="Times New Roman" w:hAnsi="Times New Roman" w:cs="Times New Roman"/>
          <w:b/>
          <w:bCs/>
          <w:sz w:val="22"/>
          <w:szCs w:val="22"/>
        </w:rPr>
        <w:t>ICESCR</w:t>
      </w:r>
      <w:r>
        <w:rPr>
          <w:rFonts w:ascii="Times New Roman" w:hAnsi="Times New Roman" w:cs="Times New Roman"/>
          <w:sz w:val="22"/>
          <w:szCs w:val="22"/>
        </w:rPr>
        <w:t>).</w:t>
      </w:r>
    </w:p>
    <w:p w14:paraId="14EEF0D3" w14:textId="77777777" w:rsidR="00E62506" w:rsidRPr="005E2FB4" w:rsidRDefault="00E62506" w:rsidP="00627601">
      <w:pPr>
        <w:pStyle w:val="Default"/>
        <w:spacing w:before="120" w:after="120"/>
        <w:rPr>
          <w:rFonts w:ascii="Times New Roman" w:hAnsi="Times New Roman" w:cs="Times New Roman"/>
          <w:sz w:val="22"/>
          <w:szCs w:val="22"/>
        </w:rPr>
      </w:pPr>
      <w:r w:rsidRPr="008A3CF5">
        <w:rPr>
          <w:rFonts w:ascii="Times New Roman" w:hAnsi="Times New Roman" w:cs="Times New Roman"/>
          <w:sz w:val="22"/>
          <w:szCs w:val="22"/>
          <w:u w:val="single"/>
        </w:rPr>
        <w:t>The right to freedom of opinion and expression</w:t>
      </w:r>
      <w:r w:rsidRPr="005E2FB4">
        <w:rPr>
          <w:rFonts w:ascii="Times New Roman" w:hAnsi="Times New Roman" w:cs="Times New Roman"/>
          <w:sz w:val="22"/>
          <w:szCs w:val="22"/>
        </w:rPr>
        <w:t xml:space="preserve">: Paragraph 2 of Article 19 of the ICCPR </w:t>
      </w:r>
      <w:r>
        <w:rPr>
          <w:rFonts w:ascii="Times New Roman" w:hAnsi="Times New Roman" w:cs="Times New Roman"/>
          <w:sz w:val="22"/>
          <w:szCs w:val="22"/>
        </w:rPr>
        <w:t xml:space="preserve">relevantly </w:t>
      </w:r>
      <w:r w:rsidRPr="005E2FB4">
        <w:rPr>
          <w:rFonts w:ascii="Times New Roman" w:hAnsi="Times New Roman" w:cs="Times New Roman"/>
          <w:sz w:val="22"/>
          <w:szCs w:val="22"/>
        </w:rPr>
        <w:t>provides that everyone shall have the right to freedom of expression</w:t>
      </w:r>
      <w:r>
        <w:rPr>
          <w:rFonts w:ascii="Times New Roman" w:hAnsi="Times New Roman" w:cs="Times New Roman"/>
          <w:sz w:val="22"/>
          <w:szCs w:val="22"/>
        </w:rPr>
        <w:t>;</w:t>
      </w:r>
      <w:r w:rsidRPr="005E2FB4">
        <w:rPr>
          <w:rFonts w:ascii="Times New Roman" w:hAnsi="Times New Roman" w:cs="Times New Roman"/>
          <w:sz w:val="22"/>
          <w:szCs w:val="22"/>
        </w:rPr>
        <w:t xml:space="preserve"> this right shall include the freedom to seek, receive and impart information and ideas of all kinds, regardless of frontiers. </w:t>
      </w:r>
    </w:p>
    <w:p w14:paraId="1E5E93FD" w14:textId="7DB6BB4A" w:rsidR="00225D8B" w:rsidRPr="000E1C5D" w:rsidRDefault="00011197" w:rsidP="00627601">
      <w:pPr>
        <w:spacing w:before="120" w:after="120" w:line="240" w:lineRule="auto"/>
        <w:rPr>
          <w:rFonts w:ascii="Times New Roman" w:hAnsi="Times New Roman" w:cs="Times New Roman"/>
          <w:spacing w:val="-2"/>
        </w:rPr>
      </w:pPr>
      <w:r w:rsidRPr="003C3FC6">
        <w:rPr>
          <w:rFonts w:ascii="Times New Roman" w:hAnsi="Times New Roman" w:cs="Times New Roman"/>
        </w:rPr>
        <w:lastRenderedPageBreak/>
        <w:t xml:space="preserve">Subsection 43C(1A) </w:t>
      </w:r>
      <w:r w:rsidR="00E62506" w:rsidRPr="003C3FC6">
        <w:rPr>
          <w:rFonts w:ascii="Times New Roman" w:hAnsi="Times New Roman" w:cs="Times New Roman"/>
        </w:rPr>
        <w:t>of the BSA exempt</w:t>
      </w:r>
      <w:r w:rsidR="004128D9" w:rsidRPr="003C3FC6">
        <w:rPr>
          <w:rFonts w:ascii="Times New Roman" w:hAnsi="Times New Roman" w:cs="Times New Roman"/>
        </w:rPr>
        <w:t>s</w:t>
      </w:r>
      <w:r w:rsidR="00E62506" w:rsidRPr="003C3FC6">
        <w:rPr>
          <w:rFonts w:ascii="Times New Roman" w:hAnsi="Times New Roman" w:cs="Times New Roman"/>
        </w:rPr>
        <w:t xml:space="preserve"> licensees from</w:t>
      </w:r>
      <w:r w:rsidR="007F67BF">
        <w:rPr>
          <w:rFonts w:ascii="Times New Roman" w:hAnsi="Times New Roman" w:cs="Times New Roman"/>
        </w:rPr>
        <w:t xml:space="preserve"> the obligation to </w:t>
      </w:r>
      <w:r w:rsidR="00481D5D">
        <w:rPr>
          <w:rFonts w:ascii="Times New Roman" w:hAnsi="Times New Roman" w:cs="Times New Roman"/>
        </w:rPr>
        <w:t xml:space="preserve">broadcast </w:t>
      </w:r>
      <w:r w:rsidRPr="003C3FC6">
        <w:rPr>
          <w:rFonts w:ascii="Times New Roman" w:hAnsi="Times New Roman" w:cs="Times New Roman"/>
        </w:rPr>
        <w:t>specified amounts of</w:t>
      </w:r>
      <w:r w:rsidRPr="003C3FC6">
        <w:rPr>
          <w:rFonts w:ascii="Times New Roman" w:hAnsi="Times New Roman" w:cs="Times New Roman"/>
          <w:spacing w:val="-2"/>
        </w:rPr>
        <w:t xml:space="preserve"> </w:t>
      </w:r>
      <w:r w:rsidR="00961B35" w:rsidRPr="003C3FC6">
        <w:rPr>
          <w:rFonts w:ascii="Times New Roman" w:hAnsi="Times New Roman" w:cs="Times New Roman"/>
          <w:spacing w:val="-2"/>
        </w:rPr>
        <w:t>material of local significance</w:t>
      </w:r>
      <w:r w:rsidR="00641C7D">
        <w:rPr>
          <w:rFonts w:ascii="Times New Roman" w:hAnsi="Times New Roman" w:cs="Times New Roman"/>
          <w:spacing w:val="-2"/>
        </w:rPr>
        <w:t xml:space="preserve"> for a period of five weeks</w:t>
      </w:r>
      <w:r w:rsidR="004128D9" w:rsidRPr="003C3FC6">
        <w:rPr>
          <w:rFonts w:ascii="Times New Roman" w:hAnsi="Times New Roman" w:cs="Times New Roman"/>
          <w:spacing w:val="-2"/>
        </w:rPr>
        <w:t xml:space="preserve">. Subsection </w:t>
      </w:r>
      <w:r w:rsidR="004128D9" w:rsidRPr="003C3FC6">
        <w:rPr>
          <w:rFonts w:ascii="Times New Roman" w:hAnsi="Times New Roman" w:cs="Times New Roman"/>
        </w:rPr>
        <w:t>61CD(2) of the BSA</w:t>
      </w:r>
      <w:r w:rsidR="004128D9" w:rsidRPr="003C3FC6">
        <w:rPr>
          <w:rFonts w:ascii="Times New Roman" w:hAnsi="Times New Roman" w:cs="Times New Roman"/>
          <w:spacing w:val="-2"/>
        </w:rPr>
        <w:t xml:space="preserve"> exem</w:t>
      </w:r>
      <w:r w:rsidR="004128D9">
        <w:rPr>
          <w:rFonts w:ascii="Times New Roman" w:hAnsi="Times New Roman" w:cs="Times New Roman"/>
          <w:spacing w:val="-2"/>
        </w:rPr>
        <w:t>pts licensees from</w:t>
      </w:r>
      <w:r w:rsidR="007F67BF">
        <w:rPr>
          <w:rFonts w:ascii="Times New Roman" w:hAnsi="Times New Roman" w:cs="Times New Roman"/>
          <w:spacing w:val="-2"/>
        </w:rPr>
        <w:t xml:space="preserve"> the obligation </w:t>
      </w:r>
      <w:r w:rsidR="004E4CBB">
        <w:rPr>
          <w:rFonts w:ascii="Times New Roman" w:hAnsi="Times New Roman" w:cs="Times New Roman"/>
          <w:spacing w:val="-2"/>
        </w:rPr>
        <w:t xml:space="preserve">to </w:t>
      </w:r>
      <w:r w:rsidR="007F67BF">
        <w:rPr>
          <w:rFonts w:ascii="Times New Roman" w:hAnsi="Times New Roman" w:cs="Times New Roman"/>
          <w:spacing w:val="-2"/>
        </w:rPr>
        <w:t>comply with</w:t>
      </w:r>
      <w:r w:rsidR="00961B35">
        <w:rPr>
          <w:rFonts w:ascii="Times New Roman" w:hAnsi="Times New Roman" w:cs="Times New Roman"/>
          <w:spacing w:val="-2"/>
        </w:rPr>
        <w:t xml:space="preserve"> the minimum service standards for local news and inf</w:t>
      </w:r>
      <w:r w:rsidR="00961B35" w:rsidRPr="00CF3CA5">
        <w:rPr>
          <w:rFonts w:ascii="Times New Roman" w:hAnsi="Times New Roman" w:cs="Times New Roman"/>
          <w:spacing w:val="-2"/>
        </w:rPr>
        <w:t>ormation</w:t>
      </w:r>
      <w:r w:rsidRPr="00CF3CA5">
        <w:rPr>
          <w:rFonts w:ascii="Times New Roman" w:hAnsi="Times New Roman" w:cs="Times New Roman"/>
          <w:spacing w:val="-2"/>
        </w:rPr>
        <w:t xml:space="preserve"> </w:t>
      </w:r>
      <w:r w:rsidR="00E62506" w:rsidRPr="00CF3CA5">
        <w:rPr>
          <w:rFonts w:ascii="Times New Roman" w:hAnsi="Times New Roman" w:cs="Times New Roman"/>
        </w:rPr>
        <w:t>for a perio</w:t>
      </w:r>
      <w:r w:rsidR="00E62506" w:rsidRPr="00641C7D">
        <w:rPr>
          <w:rFonts w:ascii="Times New Roman" w:hAnsi="Times New Roman" w:cs="Times New Roman"/>
        </w:rPr>
        <w:t>d of five weeks. The option to request a change to the dates for the five-week exemption period</w:t>
      </w:r>
      <w:r w:rsidRPr="00641C7D">
        <w:rPr>
          <w:rFonts w:ascii="Times New Roman" w:hAnsi="Times New Roman" w:cs="Times New Roman"/>
        </w:rPr>
        <w:t>s</w:t>
      </w:r>
      <w:r w:rsidR="00E62506" w:rsidRPr="00641C7D">
        <w:rPr>
          <w:rFonts w:ascii="Times New Roman" w:hAnsi="Times New Roman" w:cs="Times New Roman"/>
        </w:rPr>
        <w:t xml:space="preserve"> provides the licensee with flexibility</w:t>
      </w:r>
      <w:r w:rsidR="00F853E7">
        <w:rPr>
          <w:rFonts w:ascii="Times New Roman" w:hAnsi="Times New Roman" w:cs="Times New Roman"/>
        </w:rPr>
        <w:t xml:space="preserve"> in meeting </w:t>
      </w:r>
      <w:r w:rsidR="00E62506" w:rsidRPr="00641C7D">
        <w:rPr>
          <w:rFonts w:ascii="Times New Roman" w:hAnsi="Times New Roman" w:cs="Times New Roman"/>
        </w:rPr>
        <w:t>minimum standards during the requested exemption period</w:t>
      </w:r>
      <w:r w:rsidRPr="00641C7D">
        <w:rPr>
          <w:rFonts w:ascii="Times New Roman" w:hAnsi="Times New Roman" w:cs="Times New Roman"/>
        </w:rPr>
        <w:t>s</w:t>
      </w:r>
      <w:r w:rsidR="00E62506" w:rsidRPr="00641C7D">
        <w:rPr>
          <w:rFonts w:ascii="Times New Roman" w:hAnsi="Times New Roman" w:cs="Times New Roman"/>
        </w:rPr>
        <w:t xml:space="preserve">. </w:t>
      </w:r>
      <w:r w:rsidR="00E62506" w:rsidRPr="000E1C5D">
        <w:rPr>
          <w:rFonts w:ascii="Times New Roman" w:hAnsi="Times New Roman" w:cs="Times New Roman"/>
        </w:rPr>
        <w:t>The ACMA considers that the exemption period</w:t>
      </w:r>
      <w:r w:rsidR="00423ED9" w:rsidRPr="000E1C5D">
        <w:rPr>
          <w:rFonts w:ascii="Times New Roman" w:hAnsi="Times New Roman" w:cs="Times New Roman"/>
        </w:rPr>
        <w:t>s</w:t>
      </w:r>
      <w:r w:rsidR="00E62506" w:rsidRPr="000E1C5D">
        <w:rPr>
          <w:rFonts w:ascii="Times New Roman" w:hAnsi="Times New Roman" w:cs="Times New Roman"/>
        </w:rPr>
        <w:t xml:space="preserve"> specified in the Instrument promote the right to freedom of expression </w:t>
      </w:r>
      <w:r w:rsidR="00225D8B" w:rsidRPr="00225D8B">
        <w:rPr>
          <w:rFonts w:ascii="Times New Roman" w:hAnsi="Times New Roman" w:cs="Times New Roman"/>
          <w:spacing w:val="-2"/>
        </w:rPr>
        <w:t>by allowing radio broadcasting licensees additional flexibility in meeting their obligations to impart news and information.</w:t>
      </w:r>
    </w:p>
    <w:p w14:paraId="764FD014" w14:textId="77777777" w:rsidR="00E62506" w:rsidRDefault="00E62506" w:rsidP="00627601">
      <w:pPr>
        <w:pStyle w:val="Default"/>
        <w:spacing w:before="120" w:after="120"/>
        <w:rPr>
          <w:rFonts w:ascii="Times New Roman" w:hAnsi="Times New Roman" w:cs="Times New Roman"/>
          <w:sz w:val="22"/>
          <w:szCs w:val="22"/>
        </w:rPr>
      </w:pPr>
      <w:r w:rsidRPr="008A3CF5">
        <w:rPr>
          <w:rFonts w:ascii="Times New Roman" w:hAnsi="Times New Roman" w:cs="Times New Roman"/>
          <w:sz w:val="22"/>
          <w:szCs w:val="22"/>
          <w:u w:val="single"/>
        </w:rPr>
        <w:t>The right to culture</w:t>
      </w:r>
      <w:r w:rsidRPr="005E2FB4">
        <w:rPr>
          <w:rFonts w:ascii="Times New Roman" w:hAnsi="Times New Roman" w:cs="Times New Roman"/>
          <w:sz w:val="22"/>
          <w:szCs w:val="22"/>
        </w:rPr>
        <w:t>:</w:t>
      </w:r>
      <w:r>
        <w:rPr>
          <w:rFonts w:ascii="Times New Roman" w:hAnsi="Times New Roman" w:cs="Times New Roman"/>
          <w:sz w:val="22"/>
          <w:szCs w:val="22"/>
        </w:rPr>
        <w:t xml:space="preserve"> Article 15(1) of the ICESCR protects the right of everyone to take part in cultural life.</w:t>
      </w:r>
      <w:r w:rsidRPr="005E2FB4">
        <w:rPr>
          <w:rFonts w:ascii="Times New Roman" w:hAnsi="Times New Roman" w:cs="Times New Roman"/>
          <w:sz w:val="22"/>
          <w:szCs w:val="22"/>
        </w:rPr>
        <w:t xml:space="preserve"> </w:t>
      </w:r>
      <w:r>
        <w:rPr>
          <w:rFonts w:ascii="Times New Roman" w:hAnsi="Times New Roman" w:cs="Times New Roman"/>
          <w:sz w:val="22"/>
          <w:szCs w:val="22"/>
        </w:rPr>
        <w:t>T</w:t>
      </w:r>
      <w:r w:rsidRPr="005E2FB4">
        <w:rPr>
          <w:rFonts w:ascii="Times New Roman" w:hAnsi="Times New Roman" w:cs="Times New Roman"/>
          <w:sz w:val="22"/>
          <w:szCs w:val="22"/>
        </w:rPr>
        <w:t>he legislative provision under which th</w:t>
      </w:r>
      <w:r>
        <w:rPr>
          <w:rFonts w:ascii="Times New Roman" w:hAnsi="Times New Roman" w:cs="Times New Roman"/>
          <w:sz w:val="22"/>
          <w:szCs w:val="22"/>
        </w:rPr>
        <w:t>e</w:t>
      </w:r>
      <w:r w:rsidRPr="005E2FB4">
        <w:rPr>
          <w:rFonts w:ascii="Times New Roman" w:hAnsi="Times New Roman" w:cs="Times New Roman"/>
          <w:sz w:val="22"/>
          <w:szCs w:val="22"/>
        </w:rPr>
        <w:t xml:space="preserve"> Instrument is made </w:t>
      </w:r>
      <w:r>
        <w:rPr>
          <w:rFonts w:ascii="Times New Roman" w:hAnsi="Times New Roman" w:cs="Times New Roman"/>
          <w:sz w:val="22"/>
          <w:szCs w:val="22"/>
        </w:rPr>
        <w:t>is designed to give</w:t>
      </w:r>
      <w:r w:rsidRPr="005E2FB4">
        <w:rPr>
          <w:rFonts w:ascii="Times New Roman" w:hAnsi="Times New Roman" w:cs="Times New Roman"/>
          <w:sz w:val="22"/>
          <w:szCs w:val="22"/>
        </w:rPr>
        <w:t xml:space="preserve"> licensees greater flexibility </w:t>
      </w:r>
      <w:r>
        <w:rPr>
          <w:rFonts w:ascii="Times New Roman" w:hAnsi="Times New Roman" w:cs="Times New Roman"/>
          <w:sz w:val="22"/>
          <w:szCs w:val="22"/>
        </w:rPr>
        <w:t xml:space="preserve">in selecting content </w:t>
      </w:r>
      <w:r w:rsidRPr="005E2FB4">
        <w:rPr>
          <w:rFonts w:ascii="Times New Roman" w:hAnsi="Times New Roman" w:cs="Times New Roman"/>
          <w:sz w:val="22"/>
          <w:szCs w:val="22"/>
        </w:rPr>
        <w:t>and allows for “a balance between reducing the compliance burden and maintaining the principle of equity to ensure that regional and rural Australians receive local content which reflects local identity and culture” (</w:t>
      </w:r>
      <w:r>
        <w:rPr>
          <w:rFonts w:ascii="Times New Roman" w:hAnsi="Times New Roman" w:cs="Times New Roman"/>
          <w:sz w:val="22"/>
          <w:szCs w:val="22"/>
        </w:rPr>
        <w:t>E</w:t>
      </w:r>
      <w:r w:rsidRPr="005E2FB4">
        <w:rPr>
          <w:rFonts w:ascii="Times New Roman" w:hAnsi="Times New Roman" w:cs="Times New Roman"/>
          <w:sz w:val="22"/>
          <w:szCs w:val="22"/>
        </w:rPr>
        <w:t xml:space="preserve">xplanatory </w:t>
      </w:r>
      <w:r>
        <w:rPr>
          <w:rFonts w:ascii="Times New Roman" w:hAnsi="Times New Roman" w:cs="Times New Roman"/>
          <w:sz w:val="22"/>
          <w:szCs w:val="22"/>
        </w:rPr>
        <w:t>M</w:t>
      </w:r>
      <w:r w:rsidRPr="005E2FB4">
        <w:rPr>
          <w:rFonts w:ascii="Times New Roman" w:hAnsi="Times New Roman" w:cs="Times New Roman"/>
          <w:sz w:val="22"/>
          <w:szCs w:val="22"/>
        </w:rPr>
        <w:t xml:space="preserve">emorandum for the </w:t>
      </w:r>
      <w:r w:rsidRPr="005E2FB4">
        <w:rPr>
          <w:rFonts w:ascii="Times New Roman" w:hAnsi="Times New Roman" w:cs="Times New Roman"/>
          <w:i/>
          <w:iCs/>
          <w:sz w:val="22"/>
          <w:szCs w:val="22"/>
        </w:rPr>
        <w:t>Broadcasting Services Amendment (Regional Commercial Radio) Bill 201</w:t>
      </w:r>
      <w:r>
        <w:rPr>
          <w:rFonts w:ascii="Times New Roman" w:hAnsi="Times New Roman" w:cs="Times New Roman"/>
          <w:i/>
          <w:iCs/>
          <w:sz w:val="22"/>
          <w:szCs w:val="22"/>
        </w:rPr>
        <w:t xml:space="preserve">1, </w:t>
      </w:r>
      <w:r w:rsidRPr="008A3CF5">
        <w:rPr>
          <w:rFonts w:ascii="Times New Roman" w:hAnsi="Times New Roman" w:cs="Times New Roman"/>
          <w:sz w:val="22"/>
          <w:szCs w:val="22"/>
        </w:rPr>
        <w:t>p 13</w:t>
      </w:r>
      <w:r w:rsidRPr="001C646E">
        <w:rPr>
          <w:rFonts w:ascii="Times New Roman" w:hAnsi="Times New Roman" w:cs="Times New Roman"/>
          <w:sz w:val="22"/>
          <w:szCs w:val="22"/>
        </w:rPr>
        <w:t>).</w:t>
      </w:r>
      <w:r w:rsidRPr="005E2FB4">
        <w:rPr>
          <w:rFonts w:ascii="Times New Roman" w:hAnsi="Times New Roman" w:cs="Times New Roman"/>
          <w:sz w:val="22"/>
          <w:szCs w:val="22"/>
        </w:rPr>
        <w:t xml:space="preserve"> </w:t>
      </w:r>
    </w:p>
    <w:p w14:paraId="6EEE844D" w14:textId="4D1D9D43" w:rsidR="00E62506" w:rsidRDefault="00E62506" w:rsidP="00627601">
      <w:pPr>
        <w:pStyle w:val="Default"/>
        <w:spacing w:before="120" w:after="120"/>
        <w:rPr>
          <w:rFonts w:ascii="Times New Roman" w:hAnsi="Times New Roman" w:cs="Times New Roman"/>
          <w:sz w:val="22"/>
          <w:szCs w:val="22"/>
        </w:rPr>
      </w:pPr>
      <w:r w:rsidRPr="005822D0">
        <w:rPr>
          <w:rFonts w:ascii="Times New Roman" w:hAnsi="Times New Roman" w:cs="Times New Roman"/>
          <w:sz w:val="22"/>
          <w:szCs w:val="22"/>
        </w:rPr>
        <w:t>The BSA provides</w:t>
      </w:r>
      <w:r w:rsidR="00423ED9" w:rsidRPr="005822D0">
        <w:rPr>
          <w:rFonts w:ascii="Times New Roman" w:hAnsi="Times New Roman" w:cs="Times New Roman"/>
          <w:sz w:val="22"/>
          <w:szCs w:val="22"/>
        </w:rPr>
        <w:t xml:space="preserve"> </w:t>
      </w:r>
      <w:r w:rsidRPr="005822D0">
        <w:rPr>
          <w:rFonts w:ascii="Times New Roman" w:hAnsi="Times New Roman" w:cs="Times New Roman"/>
          <w:sz w:val="22"/>
          <w:szCs w:val="22"/>
        </w:rPr>
        <w:t>default five-week period</w:t>
      </w:r>
      <w:r w:rsidR="00423ED9" w:rsidRPr="005822D0">
        <w:rPr>
          <w:rFonts w:ascii="Times New Roman" w:hAnsi="Times New Roman" w:cs="Times New Roman"/>
          <w:sz w:val="22"/>
          <w:szCs w:val="22"/>
        </w:rPr>
        <w:t>s</w:t>
      </w:r>
      <w:r w:rsidRPr="005822D0">
        <w:rPr>
          <w:rFonts w:ascii="Times New Roman" w:hAnsi="Times New Roman" w:cs="Times New Roman"/>
          <w:sz w:val="22"/>
          <w:szCs w:val="22"/>
        </w:rPr>
        <w:t xml:space="preserve"> </w:t>
      </w:r>
      <w:r w:rsidR="005822D0">
        <w:rPr>
          <w:rFonts w:ascii="Times New Roman" w:hAnsi="Times New Roman" w:cs="Times New Roman"/>
          <w:sz w:val="22"/>
          <w:szCs w:val="22"/>
        </w:rPr>
        <w:t xml:space="preserve">in </w:t>
      </w:r>
      <w:r w:rsidRPr="005822D0">
        <w:rPr>
          <w:rFonts w:ascii="Times New Roman" w:hAnsi="Times New Roman" w:cs="Times New Roman"/>
          <w:sz w:val="22"/>
          <w:szCs w:val="22"/>
        </w:rPr>
        <w:t>which the</w:t>
      </w:r>
      <w:r w:rsidR="00423ED9" w:rsidRPr="005822D0">
        <w:rPr>
          <w:rFonts w:ascii="Times New Roman" w:hAnsi="Times New Roman" w:cs="Times New Roman"/>
          <w:sz w:val="22"/>
          <w:szCs w:val="22"/>
        </w:rPr>
        <w:t xml:space="preserve"> </w:t>
      </w:r>
      <w:r w:rsidR="00CC473F">
        <w:rPr>
          <w:rFonts w:ascii="Times New Roman" w:hAnsi="Times New Roman" w:cs="Times New Roman"/>
          <w:sz w:val="22"/>
          <w:szCs w:val="22"/>
        </w:rPr>
        <w:t>obligation</w:t>
      </w:r>
      <w:r w:rsidR="00AA7685">
        <w:rPr>
          <w:rFonts w:ascii="Times New Roman" w:hAnsi="Times New Roman" w:cs="Times New Roman"/>
          <w:sz w:val="22"/>
          <w:szCs w:val="22"/>
        </w:rPr>
        <w:t>s</w:t>
      </w:r>
      <w:r w:rsidR="00CC473F">
        <w:rPr>
          <w:rFonts w:ascii="Times New Roman" w:hAnsi="Times New Roman" w:cs="Times New Roman"/>
          <w:sz w:val="22"/>
          <w:szCs w:val="22"/>
        </w:rPr>
        <w:t xml:space="preserve"> to</w:t>
      </w:r>
      <w:r w:rsidR="00423ED9" w:rsidRPr="005822D0">
        <w:rPr>
          <w:rFonts w:ascii="Times New Roman" w:hAnsi="Times New Roman" w:cs="Times New Roman"/>
          <w:sz w:val="22"/>
          <w:szCs w:val="22"/>
        </w:rPr>
        <w:t xml:space="preserve"> </w:t>
      </w:r>
      <w:r w:rsidR="00CC473F">
        <w:rPr>
          <w:rFonts w:ascii="Times New Roman" w:hAnsi="Times New Roman" w:cs="Times New Roman"/>
          <w:sz w:val="22"/>
          <w:szCs w:val="22"/>
        </w:rPr>
        <w:t>broadcast</w:t>
      </w:r>
      <w:r w:rsidR="00481D5D">
        <w:rPr>
          <w:rFonts w:ascii="Times New Roman" w:hAnsi="Times New Roman" w:cs="Times New Roman"/>
          <w:sz w:val="22"/>
          <w:szCs w:val="22"/>
        </w:rPr>
        <w:t xml:space="preserve"> specified amounts of</w:t>
      </w:r>
      <w:r w:rsidR="00423ED9" w:rsidRPr="005822D0">
        <w:rPr>
          <w:rFonts w:ascii="Times New Roman" w:hAnsi="Times New Roman" w:cs="Times New Roman"/>
          <w:sz w:val="22"/>
          <w:szCs w:val="22"/>
        </w:rPr>
        <w:t xml:space="preserve"> material of local significance an</w:t>
      </w:r>
      <w:r w:rsidR="005822D0">
        <w:rPr>
          <w:rFonts w:ascii="Times New Roman" w:hAnsi="Times New Roman" w:cs="Times New Roman"/>
          <w:sz w:val="22"/>
          <w:szCs w:val="22"/>
        </w:rPr>
        <w:t xml:space="preserve">d </w:t>
      </w:r>
      <w:r w:rsidR="00423ED9" w:rsidRPr="005822D0">
        <w:rPr>
          <w:rFonts w:ascii="Times New Roman" w:hAnsi="Times New Roman" w:cs="Times New Roman"/>
          <w:sz w:val="22"/>
          <w:szCs w:val="22"/>
        </w:rPr>
        <w:t>to</w:t>
      </w:r>
      <w:r w:rsidR="00AA7685">
        <w:rPr>
          <w:rFonts w:ascii="Times New Roman" w:hAnsi="Times New Roman" w:cs="Times New Roman"/>
          <w:sz w:val="22"/>
          <w:szCs w:val="22"/>
        </w:rPr>
        <w:t xml:space="preserve"> comply with</w:t>
      </w:r>
      <w:r w:rsidR="00423ED9" w:rsidRPr="005822D0">
        <w:rPr>
          <w:rFonts w:ascii="Times New Roman" w:hAnsi="Times New Roman" w:cs="Times New Roman"/>
          <w:sz w:val="22"/>
          <w:szCs w:val="22"/>
        </w:rPr>
        <w:t xml:space="preserve"> the </w:t>
      </w:r>
      <w:r w:rsidRPr="005822D0">
        <w:rPr>
          <w:rFonts w:ascii="Times New Roman" w:hAnsi="Times New Roman" w:cs="Times New Roman"/>
          <w:sz w:val="22"/>
          <w:szCs w:val="22"/>
        </w:rPr>
        <w:t>minimum standards do not have to be met for all regional commercial radio broadcasting licenses. The impact of the Instrument is to move</w:t>
      </w:r>
      <w:r w:rsidR="005822D0" w:rsidRPr="005822D0">
        <w:rPr>
          <w:rFonts w:ascii="Times New Roman" w:hAnsi="Times New Roman" w:cs="Times New Roman"/>
          <w:sz w:val="22"/>
          <w:szCs w:val="22"/>
        </w:rPr>
        <w:t xml:space="preserve"> the</w:t>
      </w:r>
      <w:r w:rsidRPr="005822D0">
        <w:rPr>
          <w:rFonts w:ascii="Times New Roman" w:hAnsi="Times New Roman" w:cs="Times New Roman"/>
          <w:sz w:val="22"/>
          <w:szCs w:val="22"/>
        </w:rPr>
        <w:t xml:space="preserve"> five</w:t>
      </w:r>
      <w:r w:rsidR="005D4D18">
        <w:rPr>
          <w:rFonts w:ascii="Times New Roman" w:hAnsi="Times New Roman" w:cs="Times New Roman"/>
          <w:sz w:val="22"/>
          <w:szCs w:val="22"/>
        </w:rPr>
        <w:t>-</w:t>
      </w:r>
      <w:r w:rsidRPr="005822D0">
        <w:rPr>
          <w:rFonts w:ascii="Times New Roman" w:hAnsi="Times New Roman" w:cs="Times New Roman"/>
          <w:sz w:val="22"/>
          <w:szCs w:val="22"/>
        </w:rPr>
        <w:t xml:space="preserve"> week period</w:t>
      </w:r>
      <w:r w:rsidR="005822D0" w:rsidRPr="005822D0">
        <w:rPr>
          <w:rFonts w:ascii="Times New Roman" w:hAnsi="Times New Roman" w:cs="Times New Roman"/>
          <w:sz w:val="22"/>
          <w:szCs w:val="22"/>
        </w:rPr>
        <w:t>s</w:t>
      </w:r>
      <w:r w:rsidRPr="005822D0">
        <w:rPr>
          <w:rFonts w:ascii="Times New Roman" w:hAnsi="Times New Roman" w:cs="Times New Roman"/>
          <w:sz w:val="22"/>
          <w:szCs w:val="22"/>
        </w:rPr>
        <w:t xml:space="preserve"> to start one week later than the default period</w:t>
      </w:r>
      <w:r w:rsidR="005822D0" w:rsidRPr="005822D0">
        <w:rPr>
          <w:rFonts w:ascii="Times New Roman" w:hAnsi="Times New Roman" w:cs="Times New Roman"/>
          <w:sz w:val="22"/>
          <w:szCs w:val="22"/>
        </w:rPr>
        <w:t>s</w:t>
      </w:r>
      <w:r w:rsidRPr="005822D0">
        <w:rPr>
          <w:rFonts w:ascii="Times New Roman" w:hAnsi="Times New Roman" w:cs="Times New Roman"/>
          <w:sz w:val="22"/>
          <w:szCs w:val="22"/>
        </w:rPr>
        <w:t xml:space="preserve"> in subsection</w:t>
      </w:r>
      <w:r w:rsidR="005822D0" w:rsidRPr="005822D0">
        <w:rPr>
          <w:rFonts w:ascii="Times New Roman" w:hAnsi="Times New Roman" w:cs="Times New Roman"/>
          <w:sz w:val="22"/>
          <w:szCs w:val="22"/>
        </w:rPr>
        <w:t>s 43C(A1) and</w:t>
      </w:r>
      <w:r w:rsidRPr="005822D0">
        <w:rPr>
          <w:rFonts w:ascii="Times New Roman" w:hAnsi="Times New Roman" w:cs="Times New Roman"/>
          <w:sz w:val="22"/>
          <w:szCs w:val="22"/>
        </w:rPr>
        <w:t xml:space="preserve"> 61CD(2)</w:t>
      </w:r>
      <w:r w:rsidR="00AA7685">
        <w:rPr>
          <w:rFonts w:ascii="Times New Roman" w:hAnsi="Times New Roman" w:cs="Times New Roman"/>
          <w:sz w:val="22"/>
          <w:szCs w:val="22"/>
        </w:rPr>
        <w:t xml:space="preserve"> of the BSA</w:t>
      </w:r>
      <w:r w:rsidRPr="005822D0">
        <w:rPr>
          <w:rFonts w:ascii="Times New Roman" w:hAnsi="Times New Roman" w:cs="Times New Roman"/>
          <w:sz w:val="22"/>
          <w:szCs w:val="22"/>
        </w:rPr>
        <w:t xml:space="preserve">. </w:t>
      </w:r>
      <w:r w:rsidR="005822D0" w:rsidRPr="005822D0">
        <w:rPr>
          <w:rFonts w:ascii="Times New Roman" w:hAnsi="Times New Roman" w:cs="Times New Roman"/>
          <w:sz w:val="22"/>
          <w:szCs w:val="22"/>
        </w:rPr>
        <w:t>The Instrument also returns 48 licences to default</w:t>
      </w:r>
      <w:r w:rsidR="00AA7685">
        <w:rPr>
          <w:rFonts w:ascii="Times New Roman" w:hAnsi="Times New Roman" w:cs="Times New Roman"/>
          <w:sz w:val="22"/>
          <w:szCs w:val="22"/>
        </w:rPr>
        <w:t xml:space="preserve"> exemption periods under subsections </w:t>
      </w:r>
      <w:r w:rsidR="00F0674C">
        <w:rPr>
          <w:rFonts w:ascii="Times New Roman" w:hAnsi="Times New Roman" w:cs="Times New Roman"/>
          <w:sz w:val="22"/>
          <w:szCs w:val="22"/>
        </w:rPr>
        <w:t>42C(1A) and 61CD(2) of the BSA.</w:t>
      </w:r>
      <w:r w:rsidRPr="005822D0">
        <w:rPr>
          <w:rFonts w:ascii="Times New Roman" w:hAnsi="Times New Roman" w:cs="Times New Roman"/>
          <w:sz w:val="22"/>
          <w:szCs w:val="22"/>
        </w:rPr>
        <w:t xml:space="preserve"> As required under the BSA, the local area</w:t>
      </w:r>
      <w:r w:rsidR="00CD5B49">
        <w:rPr>
          <w:rFonts w:ascii="Times New Roman" w:hAnsi="Times New Roman" w:cs="Times New Roman"/>
          <w:sz w:val="22"/>
          <w:szCs w:val="22"/>
        </w:rPr>
        <w:t>s</w:t>
      </w:r>
      <w:r w:rsidRPr="005822D0">
        <w:rPr>
          <w:rFonts w:ascii="Times New Roman" w:hAnsi="Times New Roman" w:cs="Times New Roman"/>
          <w:sz w:val="22"/>
          <w:szCs w:val="22"/>
        </w:rPr>
        <w:t xml:space="preserve"> will continue to receive the required</w:t>
      </w:r>
      <w:r w:rsidR="003F788A">
        <w:rPr>
          <w:rFonts w:ascii="Times New Roman" w:hAnsi="Times New Roman" w:cs="Times New Roman"/>
          <w:sz w:val="22"/>
          <w:szCs w:val="22"/>
        </w:rPr>
        <w:t xml:space="preserve"> material of local significance and </w:t>
      </w:r>
      <w:r w:rsidRPr="005822D0">
        <w:rPr>
          <w:rFonts w:ascii="Times New Roman" w:hAnsi="Times New Roman" w:cs="Times New Roman"/>
          <w:sz w:val="22"/>
          <w:szCs w:val="22"/>
        </w:rPr>
        <w:t>minimum standards for the remaining 47 weeks of the year.</w:t>
      </w:r>
      <w:r>
        <w:rPr>
          <w:rFonts w:ascii="Times New Roman" w:hAnsi="Times New Roman" w:cs="Times New Roman"/>
          <w:sz w:val="22"/>
          <w:szCs w:val="22"/>
        </w:rPr>
        <w:t xml:space="preserve"> </w:t>
      </w:r>
    </w:p>
    <w:p w14:paraId="4F5673AF" w14:textId="5080979F" w:rsidR="00E62506" w:rsidRPr="008A3CF5" w:rsidRDefault="00365E8A" w:rsidP="00627601">
      <w:pPr>
        <w:pStyle w:val="Default"/>
        <w:spacing w:before="120" w:after="120"/>
        <w:rPr>
          <w:rFonts w:ascii="Times New Roman" w:hAnsi="Times New Roman" w:cs="Times New Roman"/>
          <w:sz w:val="22"/>
          <w:szCs w:val="22"/>
        </w:rPr>
      </w:pPr>
      <w:r>
        <w:rPr>
          <w:rFonts w:ascii="Times New Roman" w:hAnsi="Times New Roman" w:cs="Times New Roman"/>
          <w:sz w:val="22"/>
          <w:szCs w:val="22"/>
        </w:rPr>
        <w:t>Accordingly</w:t>
      </w:r>
      <w:r w:rsidR="00631719">
        <w:rPr>
          <w:rFonts w:ascii="Times New Roman" w:hAnsi="Times New Roman" w:cs="Times New Roman"/>
          <w:sz w:val="22"/>
          <w:szCs w:val="22"/>
        </w:rPr>
        <w:t>,</w:t>
      </w:r>
      <w:r w:rsidR="00E62506" w:rsidRPr="001F05D2">
        <w:rPr>
          <w:rFonts w:ascii="Times New Roman" w:hAnsi="Times New Roman" w:cs="Times New Roman"/>
          <w:sz w:val="22"/>
          <w:szCs w:val="22"/>
        </w:rPr>
        <w:t xml:space="preserve"> the exemption period</w:t>
      </w:r>
      <w:r w:rsidR="00DA1D95" w:rsidRPr="001F05D2">
        <w:rPr>
          <w:rFonts w:ascii="Times New Roman" w:hAnsi="Times New Roman" w:cs="Times New Roman"/>
          <w:sz w:val="22"/>
          <w:szCs w:val="22"/>
        </w:rPr>
        <w:t>s</w:t>
      </w:r>
      <w:r w:rsidR="00E62506" w:rsidRPr="001F05D2">
        <w:rPr>
          <w:rFonts w:ascii="Times New Roman" w:hAnsi="Times New Roman" w:cs="Times New Roman"/>
          <w:sz w:val="22"/>
          <w:szCs w:val="22"/>
        </w:rPr>
        <w:t xml:space="preserve"> specified in the Instrument </w:t>
      </w:r>
      <w:r w:rsidR="001C3F2E">
        <w:rPr>
          <w:rFonts w:ascii="Times New Roman" w:hAnsi="Times New Roman" w:cs="Times New Roman"/>
          <w:sz w:val="22"/>
          <w:szCs w:val="22"/>
        </w:rPr>
        <w:t>ha</w:t>
      </w:r>
      <w:r w:rsidR="000E2DF0">
        <w:rPr>
          <w:rFonts w:ascii="Times New Roman" w:hAnsi="Times New Roman" w:cs="Times New Roman"/>
          <w:sz w:val="22"/>
          <w:szCs w:val="22"/>
        </w:rPr>
        <w:t>ve</w:t>
      </w:r>
      <w:r w:rsidR="001C3F2E">
        <w:rPr>
          <w:rFonts w:ascii="Times New Roman" w:hAnsi="Times New Roman" w:cs="Times New Roman"/>
          <w:sz w:val="22"/>
          <w:szCs w:val="22"/>
        </w:rPr>
        <w:t xml:space="preserve"> no net</w:t>
      </w:r>
      <w:r w:rsidR="00E62506" w:rsidRPr="001F05D2">
        <w:rPr>
          <w:rFonts w:ascii="Times New Roman" w:hAnsi="Times New Roman" w:cs="Times New Roman"/>
          <w:sz w:val="22"/>
          <w:szCs w:val="22"/>
        </w:rPr>
        <w:t xml:space="preserve"> limiting effect on the licensee</w:t>
      </w:r>
      <w:r w:rsidR="00DA1D95" w:rsidRPr="001F05D2">
        <w:rPr>
          <w:rFonts w:ascii="Times New Roman" w:hAnsi="Times New Roman" w:cs="Times New Roman"/>
          <w:sz w:val="22"/>
          <w:szCs w:val="22"/>
        </w:rPr>
        <w:t>s’</w:t>
      </w:r>
      <w:r w:rsidR="00E62506" w:rsidRPr="001F05D2">
        <w:rPr>
          <w:rFonts w:ascii="Times New Roman" w:hAnsi="Times New Roman" w:cs="Times New Roman"/>
          <w:sz w:val="22"/>
          <w:szCs w:val="22"/>
        </w:rPr>
        <w:t xml:space="preserve"> provision of local content in the</w:t>
      </w:r>
      <w:r w:rsidR="00DA1D95" w:rsidRPr="001F05D2">
        <w:rPr>
          <w:rFonts w:ascii="Times New Roman" w:hAnsi="Times New Roman" w:cs="Times New Roman"/>
          <w:sz w:val="22"/>
          <w:szCs w:val="22"/>
        </w:rPr>
        <w:t xml:space="preserve"> applicable regional commercial radio broadcasting licence areas</w:t>
      </w:r>
      <w:r w:rsidR="00E62506" w:rsidRPr="001F05D2">
        <w:rPr>
          <w:rFonts w:ascii="Times New Roman" w:hAnsi="Times New Roman" w:cs="Times New Roman"/>
          <w:sz w:val="22"/>
          <w:szCs w:val="22"/>
        </w:rPr>
        <w:t>.</w:t>
      </w:r>
    </w:p>
    <w:p w14:paraId="42A0E833" w14:textId="77777777" w:rsidR="00E62506" w:rsidRPr="005E2FB4" w:rsidRDefault="00E62506" w:rsidP="00627601">
      <w:pPr>
        <w:pStyle w:val="Default"/>
        <w:spacing w:before="120" w:after="120"/>
        <w:rPr>
          <w:rFonts w:ascii="Times New Roman" w:hAnsi="Times New Roman" w:cs="Times New Roman"/>
          <w:b/>
          <w:bCs/>
          <w:sz w:val="22"/>
          <w:szCs w:val="22"/>
        </w:rPr>
      </w:pPr>
      <w:r w:rsidRPr="005E2FB4">
        <w:rPr>
          <w:rFonts w:ascii="Times New Roman" w:hAnsi="Times New Roman" w:cs="Times New Roman"/>
          <w:b/>
          <w:bCs/>
          <w:sz w:val="22"/>
          <w:szCs w:val="22"/>
        </w:rPr>
        <w:t xml:space="preserve">Conclusion </w:t>
      </w:r>
    </w:p>
    <w:p w14:paraId="30E35A7E" w14:textId="55B2C09C" w:rsidR="00E36220" w:rsidRPr="008A3CF5" w:rsidRDefault="00E36220" w:rsidP="00627601">
      <w:pPr>
        <w:pStyle w:val="Default"/>
        <w:spacing w:before="120" w:after="120"/>
        <w:rPr>
          <w:rFonts w:ascii="Times New Roman" w:hAnsi="Times New Roman" w:cs="Times New Roman"/>
          <w:sz w:val="22"/>
          <w:szCs w:val="22"/>
        </w:rPr>
      </w:pPr>
      <w:r w:rsidRPr="008A3CF5">
        <w:rPr>
          <w:rFonts w:ascii="Times New Roman" w:hAnsi="Times New Roman" w:cs="Times New Roman"/>
          <w:sz w:val="22"/>
          <w:szCs w:val="22"/>
        </w:rPr>
        <w:t>The Instrument is compatible with human rights because it promotes the human rights</w:t>
      </w:r>
      <w:r w:rsidRPr="005E2FB4">
        <w:rPr>
          <w:rFonts w:ascii="Times New Roman" w:hAnsi="Times New Roman" w:cs="Times New Roman"/>
          <w:sz w:val="22"/>
          <w:szCs w:val="22"/>
        </w:rPr>
        <w:t xml:space="preserve"> to freedom of </w:t>
      </w:r>
      <w:proofErr w:type="gramStart"/>
      <w:r w:rsidRPr="005E2FB4">
        <w:rPr>
          <w:rFonts w:ascii="Times New Roman" w:hAnsi="Times New Roman" w:cs="Times New Roman"/>
          <w:sz w:val="22"/>
          <w:szCs w:val="22"/>
        </w:rPr>
        <w:t>expression</w:t>
      </w:r>
      <w:proofErr w:type="gramEnd"/>
      <w:r w:rsidRPr="005E2FB4">
        <w:rPr>
          <w:rFonts w:ascii="Times New Roman" w:hAnsi="Times New Roman" w:cs="Times New Roman"/>
          <w:sz w:val="22"/>
          <w:szCs w:val="22"/>
        </w:rPr>
        <w:t xml:space="preserve"> and </w:t>
      </w:r>
      <w:r w:rsidR="000D7B5C">
        <w:rPr>
          <w:rFonts w:ascii="Times New Roman" w:hAnsi="Times New Roman" w:cs="Times New Roman"/>
          <w:sz w:val="22"/>
          <w:szCs w:val="22"/>
        </w:rPr>
        <w:t>it does not</w:t>
      </w:r>
      <w:r w:rsidRPr="008A3CF5">
        <w:rPr>
          <w:rFonts w:ascii="Times New Roman" w:hAnsi="Times New Roman" w:cs="Times New Roman"/>
          <w:sz w:val="22"/>
          <w:szCs w:val="22"/>
        </w:rPr>
        <w:t xml:space="preserve"> limit human rights</w:t>
      </w:r>
      <w:r w:rsidRPr="005E2FB4">
        <w:rPr>
          <w:rFonts w:ascii="Times New Roman" w:hAnsi="Times New Roman" w:cs="Times New Roman"/>
          <w:sz w:val="22"/>
          <w:szCs w:val="22"/>
        </w:rPr>
        <w:t xml:space="preserve"> to culture</w:t>
      </w:r>
      <w:r w:rsidR="00D218E9">
        <w:rPr>
          <w:rFonts w:ascii="Times New Roman" w:hAnsi="Times New Roman" w:cs="Times New Roman"/>
          <w:sz w:val="22"/>
          <w:szCs w:val="22"/>
        </w:rPr>
        <w:t>.</w:t>
      </w:r>
    </w:p>
    <w:p w14:paraId="311267FC" w14:textId="77777777" w:rsidR="00E62506" w:rsidRPr="008A3CF5" w:rsidRDefault="00E62506" w:rsidP="00627601">
      <w:pPr>
        <w:pStyle w:val="Default"/>
        <w:spacing w:before="120" w:after="120"/>
        <w:rPr>
          <w:rFonts w:ascii="Times New Roman" w:hAnsi="Times New Roman" w:cs="Times New Roman"/>
          <w:sz w:val="22"/>
          <w:szCs w:val="22"/>
        </w:rPr>
      </w:pPr>
    </w:p>
    <w:bookmarkEnd w:id="5"/>
    <w:p w14:paraId="2A2BF4FB" w14:textId="77777777" w:rsidR="00E62506" w:rsidRPr="005E2FB4" w:rsidRDefault="00E62506" w:rsidP="00627601">
      <w:pPr>
        <w:pStyle w:val="Default"/>
        <w:spacing w:before="120" w:after="120"/>
        <w:rPr>
          <w:rFonts w:ascii="Times New Roman" w:hAnsi="Times New Roman" w:cs="Times New Roman"/>
          <w:sz w:val="22"/>
          <w:szCs w:val="22"/>
        </w:rPr>
      </w:pPr>
    </w:p>
    <w:p w14:paraId="47205D6F" w14:textId="77777777" w:rsidR="00BB4C1D" w:rsidRDefault="00BB4C1D" w:rsidP="00627601">
      <w:pPr>
        <w:spacing w:line="240" w:lineRule="auto"/>
      </w:pPr>
    </w:p>
    <w:sectPr w:rsidR="00BB4C1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911D2" w14:textId="77777777" w:rsidR="001A7DE9" w:rsidRDefault="001A7DE9" w:rsidP="00BB4C1D">
      <w:pPr>
        <w:spacing w:after="0" w:line="240" w:lineRule="auto"/>
      </w:pPr>
      <w:r>
        <w:separator/>
      </w:r>
    </w:p>
  </w:endnote>
  <w:endnote w:type="continuationSeparator" w:id="0">
    <w:p w14:paraId="7DB89198" w14:textId="77777777" w:rsidR="001A7DE9" w:rsidRDefault="001A7DE9" w:rsidP="00BB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ADEE" w14:textId="77777777" w:rsidR="00DE454E" w:rsidRDefault="00DE454E" w:rsidP="00DE454E">
    <w:pPr>
      <w:pStyle w:val="Footer"/>
      <w:jc w:val="center"/>
      <w:rPr>
        <w:i/>
        <w:iCs/>
      </w:rPr>
    </w:pPr>
  </w:p>
  <w:p w14:paraId="45CD1F05" w14:textId="0C851BCA" w:rsidR="001A4B44" w:rsidRPr="007A3C5C" w:rsidRDefault="00DE454E" w:rsidP="007A3C5C">
    <w:pPr>
      <w:pStyle w:val="Footer"/>
      <w:jc w:val="center"/>
      <w:rPr>
        <w:rFonts w:ascii="Times New Roman" w:hAnsi="Times New Roman" w:cs="Times New Roman"/>
        <w:i/>
        <w:iCs/>
      </w:rPr>
    </w:pPr>
    <w:r w:rsidRPr="007A3C5C">
      <w:rPr>
        <w:rFonts w:ascii="Times New Roman" w:hAnsi="Times New Roman" w:cs="Times New Roman"/>
        <w:i/>
        <w:iCs/>
      </w:rPr>
      <w:t>Explanatory Statement to the Broadcasting Services (Regional Commercial Radio – Specification of Periods for Subsections 43C(1A) and 61</w:t>
    </w:r>
    <w:proofErr w:type="gramStart"/>
    <w:r w:rsidRPr="007A3C5C">
      <w:rPr>
        <w:rFonts w:ascii="Times New Roman" w:hAnsi="Times New Roman" w:cs="Times New Roman"/>
        <w:i/>
        <w:iCs/>
      </w:rPr>
      <w:t>CD(</w:t>
    </w:r>
    <w:proofErr w:type="gramEnd"/>
    <w:r w:rsidRPr="007A3C5C">
      <w:rPr>
        <w:rFonts w:ascii="Times New Roman" w:hAnsi="Times New Roman" w:cs="Times New Roman"/>
        <w:i/>
        <w:iCs/>
      </w:rPr>
      <w:t>2)) Variation Instrument 2020 (No. 1)</w:t>
    </w:r>
  </w:p>
  <w:p w14:paraId="6987C7C8" w14:textId="77777777" w:rsidR="007A3C5C" w:rsidRPr="007A3C5C" w:rsidRDefault="007A3C5C" w:rsidP="007A3C5C">
    <w:pPr>
      <w:pStyle w:val="Foot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095E2" w14:textId="77777777" w:rsidR="001A7DE9" w:rsidRDefault="001A7DE9" w:rsidP="00BB4C1D">
      <w:pPr>
        <w:spacing w:after="0" w:line="240" w:lineRule="auto"/>
      </w:pPr>
      <w:r>
        <w:separator/>
      </w:r>
    </w:p>
  </w:footnote>
  <w:footnote w:type="continuationSeparator" w:id="0">
    <w:p w14:paraId="0ECA04B6" w14:textId="77777777" w:rsidR="001A7DE9" w:rsidRDefault="001A7DE9" w:rsidP="00BB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A4523"/>
    <w:multiLevelType w:val="hybridMultilevel"/>
    <w:tmpl w:val="24124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020905"/>
    <w:multiLevelType w:val="hybridMultilevel"/>
    <w:tmpl w:val="54AA93A0"/>
    <w:lvl w:ilvl="0" w:tplc="FA94A91C">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642E33"/>
    <w:multiLevelType w:val="hybridMultilevel"/>
    <w:tmpl w:val="FFEA518E"/>
    <w:lvl w:ilvl="0" w:tplc="6DA0EB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7F11D4"/>
    <w:multiLevelType w:val="hybridMultilevel"/>
    <w:tmpl w:val="6DE2D7D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1D"/>
    <w:rsid w:val="00011197"/>
    <w:rsid w:val="000150AF"/>
    <w:rsid w:val="00051602"/>
    <w:rsid w:val="000663E9"/>
    <w:rsid w:val="00072D54"/>
    <w:rsid w:val="00080962"/>
    <w:rsid w:val="000A09C2"/>
    <w:rsid w:val="000B7C80"/>
    <w:rsid w:val="000C76C8"/>
    <w:rsid w:val="000D7061"/>
    <w:rsid w:val="000D7B5C"/>
    <w:rsid w:val="000E1C5D"/>
    <w:rsid w:val="000E2DF0"/>
    <w:rsid w:val="000F170C"/>
    <w:rsid w:val="00122A1F"/>
    <w:rsid w:val="00134944"/>
    <w:rsid w:val="001468A8"/>
    <w:rsid w:val="00150B6F"/>
    <w:rsid w:val="00157B90"/>
    <w:rsid w:val="00177860"/>
    <w:rsid w:val="00180F04"/>
    <w:rsid w:val="00192A30"/>
    <w:rsid w:val="001A4B44"/>
    <w:rsid w:val="001A7DE9"/>
    <w:rsid w:val="001C3F2E"/>
    <w:rsid w:val="001D49D6"/>
    <w:rsid w:val="001F05D2"/>
    <w:rsid w:val="001F30E1"/>
    <w:rsid w:val="00201CF4"/>
    <w:rsid w:val="00203384"/>
    <w:rsid w:val="00225D8B"/>
    <w:rsid w:val="00252227"/>
    <w:rsid w:val="00256B6D"/>
    <w:rsid w:val="002745D8"/>
    <w:rsid w:val="002B6F97"/>
    <w:rsid w:val="002C6921"/>
    <w:rsid w:val="002C694D"/>
    <w:rsid w:val="002F14FB"/>
    <w:rsid w:val="002F3B7C"/>
    <w:rsid w:val="003157E6"/>
    <w:rsid w:val="003216A0"/>
    <w:rsid w:val="00332F34"/>
    <w:rsid w:val="0034198A"/>
    <w:rsid w:val="003465D4"/>
    <w:rsid w:val="00362369"/>
    <w:rsid w:val="00364203"/>
    <w:rsid w:val="00365E8A"/>
    <w:rsid w:val="00393992"/>
    <w:rsid w:val="003A6732"/>
    <w:rsid w:val="003C096A"/>
    <w:rsid w:val="003C3FC6"/>
    <w:rsid w:val="003D36C8"/>
    <w:rsid w:val="003F788A"/>
    <w:rsid w:val="004128D9"/>
    <w:rsid w:val="00423ED9"/>
    <w:rsid w:val="004577CC"/>
    <w:rsid w:val="00463B55"/>
    <w:rsid w:val="00465FC5"/>
    <w:rsid w:val="00481D5D"/>
    <w:rsid w:val="00484A14"/>
    <w:rsid w:val="00485F28"/>
    <w:rsid w:val="00493B3C"/>
    <w:rsid w:val="004A275E"/>
    <w:rsid w:val="004A6B3C"/>
    <w:rsid w:val="004B68D2"/>
    <w:rsid w:val="004C6A2E"/>
    <w:rsid w:val="004E4CBB"/>
    <w:rsid w:val="005313DA"/>
    <w:rsid w:val="00537852"/>
    <w:rsid w:val="0056183B"/>
    <w:rsid w:val="005626AB"/>
    <w:rsid w:val="00565EA6"/>
    <w:rsid w:val="00571297"/>
    <w:rsid w:val="005822D0"/>
    <w:rsid w:val="0059383A"/>
    <w:rsid w:val="005A5467"/>
    <w:rsid w:val="005D4D18"/>
    <w:rsid w:val="005E546C"/>
    <w:rsid w:val="00605738"/>
    <w:rsid w:val="00627601"/>
    <w:rsid w:val="00631719"/>
    <w:rsid w:val="00634B42"/>
    <w:rsid w:val="00641C7D"/>
    <w:rsid w:val="00664A42"/>
    <w:rsid w:val="00665D98"/>
    <w:rsid w:val="00683B68"/>
    <w:rsid w:val="006907AF"/>
    <w:rsid w:val="006A7B38"/>
    <w:rsid w:val="006A7DF0"/>
    <w:rsid w:val="006B4A73"/>
    <w:rsid w:val="006B72C8"/>
    <w:rsid w:val="006F1033"/>
    <w:rsid w:val="0070364D"/>
    <w:rsid w:val="00704823"/>
    <w:rsid w:val="007179A1"/>
    <w:rsid w:val="00717FE3"/>
    <w:rsid w:val="00745E37"/>
    <w:rsid w:val="007613DD"/>
    <w:rsid w:val="007A3C5C"/>
    <w:rsid w:val="007C4C74"/>
    <w:rsid w:val="007E2A85"/>
    <w:rsid w:val="007E39DB"/>
    <w:rsid w:val="007F12C9"/>
    <w:rsid w:val="007F67BF"/>
    <w:rsid w:val="0082790F"/>
    <w:rsid w:val="00865AC8"/>
    <w:rsid w:val="00881C77"/>
    <w:rsid w:val="00891071"/>
    <w:rsid w:val="008926D4"/>
    <w:rsid w:val="0089612E"/>
    <w:rsid w:val="00897DDC"/>
    <w:rsid w:val="008A255F"/>
    <w:rsid w:val="008E1938"/>
    <w:rsid w:val="009072BD"/>
    <w:rsid w:val="00943BA9"/>
    <w:rsid w:val="00944037"/>
    <w:rsid w:val="0094511F"/>
    <w:rsid w:val="009519A0"/>
    <w:rsid w:val="00961B35"/>
    <w:rsid w:val="009656C7"/>
    <w:rsid w:val="00982591"/>
    <w:rsid w:val="00983349"/>
    <w:rsid w:val="009A17D9"/>
    <w:rsid w:val="009B40A9"/>
    <w:rsid w:val="009C77EF"/>
    <w:rsid w:val="009D0845"/>
    <w:rsid w:val="009D52E5"/>
    <w:rsid w:val="009F650D"/>
    <w:rsid w:val="00A05861"/>
    <w:rsid w:val="00A06F6F"/>
    <w:rsid w:val="00A15985"/>
    <w:rsid w:val="00A32E75"/>
    <w:rsid w:val="00A60BCE"/>
    <w:rsid w:val="00A64D73"/>
    <w:rsid w:val="00A67E1D"/>
    <w:rsid w:val="00A77032"/>
    <w:rsid w:val="00A90DD4"/>
    <w:rsid w:val="00AA36CA"/>
    <w:rsid w:val="00AA7685"/>
    <w:rsid w:val="00AC29E6"/>
    <w:rsid w:val="00AC2B58"/>
    <w:rsid w:val="00AC425B"/>
    <w:rsid w:val="00AE7E4B"/>
    <w:rsid w:val="00AF42C7"/>
    <w:rsid w:val="00B03C52"/>
    <w:rsid w:val="00B077B5"/>
    <w:rsid w:val="00B33351"/>
    <w:rsid w:val="00B54D80"/>
    <w:rsid w:val="00B5581D"/>
    <w:rsid w:val="00B5687E"/>
    <w:rsid w:val="00B709D4"/>
    <w:rsid w:val="00B74035"/>
    <w:rsid w:val="00B848E4"/>
    <w:rsid w:val="00BB4C1D"/>
    <w:rsid w:val="00BB531D"/>
    <w:rsid w:val="00BD4774"/>
    <w:rsid w:val="00BF1353"/>
    <w:rsid w:val="00BF75F9"/>
    <w:rsid w:val="00C53486"/>
    <w:rsid w:val="00C5654B"/>
    <w:rsid w:val="00C76680"/>
    <w:rsid w:val="00C8681B"/>
    <w:rsid w:val="00CC473F"/>
    <w:rsid w:val="00CD1DA1"/>
    <w:rsid w:val="00CD5B49"/>
    <w:rsid w:val="00CF3CA5"/>
    <w:rsid w:val="00D00E94"/>
    <w:rsid w:val="00D06BB8"/>
    <w:rsid w:val="00D10A1C"/>
    <w:rsid w:val="00D17F60"/>
    <w:rsid w:val="00D218E9"/>
    <w:rsid w:val="00D50C9F"/>
    <w:rsid w:val="00D751EC"/>
    <w:rsid w:val="00D839D2"/>
    <w:rsid w:val="00D94D04"/>
    <w:rsid w:val="00DA1D95"/>
    <w:rsid w:val="00DA4577"/>
    <w:rsid w:val="00DA7A14"/>
    <w:rsid w:val="00DB1618"/>
    <w:rsid w:val="00DB44D0"/>
    <w:rsid w:val="00DC449E"/>
    <w:rsid w:val="00DD2999"/>
    <w:rsid w:val="00DE046C"/>
    <w:rsid w:val="00DE454E"/>
    <w:rsid w:val="00E05456"/>
    <w:rsid w:val="00E26329"/>
    <w:rsid w:val="00E36220"/>
    <w:rsid w:val="00E374BE"/>
    <w:rsid w:val="00E62506"/>
    <w:rsid w:val="00E86485"/>
    <w:rsid w:val="00EE5E85"/>
    <w:rsid w:val="00F02FE1"/>
    <w:rsid w:val="00F0674C"/>
    <w:rsid w:val="00F163A0"/>
    <w:rsid w:val="00F26411"/>
    <w:rsid w:val="00F369A5"/>
    <w:rsid w:val="00F5209F"/>
    <w:rsid w:val="00F658EA"/>
    <w:rsid w:val="00F83273"/>
    <w:rsid w:val="00F853E7"/>
    <w:rsid w:val="00F9584E"/>
    <w:rsid w:val="00F96CFA"/>
    <w:rsid w:val="00F97AF5"/>
    <w:rsid w:val="00FB4B27"/>
    <w:rsid w:val="00FC6F16"/>
    <w:rsid w:val="00FC774B"/>
    <w:rsid w:val="00FD0766"/>
    <w:rsid w:val="00FD1A39"/>
    <w:rsid w:val="00FE3B8C"/>
    <w:rsid w:val="00FF7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348E2"/>
  <w15:chartTrackingRefBased/>
  <w15:docId w15:val="{D28BFE3C-B00E-4E75-AB8F-1B0AC053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4C1D"/>
    <w:rPr>
      <w:sz w:val="16"/>
      <w:szCs w:val="16"/>
    </w:rPr>
  </w:style>
  <w:style w:type="paragraph" w:styleId="CommentText">
    <w:name w:val="annotation text"/>
    <w:basedOn w:val="Normal"/>
    <w:link w:val="CommentTextChar"/>
    <w:uiPriority w:val="99"/>
    <w:semiHidden/>
    <w:unhideWhenUsed/>
    <w:rsid w:val="00BB4C1D"/>
    <w:pPr>
      <w:spacing w:line="240" w:lineRule="auto"/>
    </w:pPr>
    <w:rPr>
      <w:sz w:val="20"/>
      <w:szCs w:val="20"/>
    </w:rPr>
  </w:style>
  <w:style w:type="character" w:customStyle="1" w:styleId="CommentTextChar">
    <w:name w:val="Comment Text Char"/>
    <w:basedOn w:val="DefaultParagraphFont"/>
    <w:link w:val="CommentText"/>
    <w:uiPriority w:val="99"/>
    <w:semiHidden/>
    <w:rsid w:val="00BB4C1D"/>
    <w:rPr>
      <w:sz w:val="20"/>
      <w:szCs w:val="20"/>
    </w:rPr>
  </w:style>
  <w:style w:type="paragraph" w:styleId="BalloonText">
    <w:name w:val="Balloon Text"/>
    <w:basedOn w:val="Normal"/>
    <w:link w:val="BalloonTextChar"/>
    <w:uiPriority w:val="99"/>
    <w:semiHidden/>
    <w:unhideWhenUsed/>
    <w:rsid w:val="00BB4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1D"/>
    <w:rPr>
      <w:rFonts w:ascii="Segoe UI" w:hAnsi="Segoe UI" w:cs="Segoe UI"/>
      <w:sz w:val="18"/>
      <w:szCs w:val="18"/>
    </w:rPr>
  </w:style>
  <w:style w:type="paragraph" w:styleId="Header">
    <w:name w:val="header"/>
    <w:basedOn w:val="Normal"/>
    <w:link w:val="HeaderChar"/>
    <w:uiPriority w:val="99"/>
    <w:unhideWhenUsed/>
    <w:rsid w:val="00BB4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C1D"/>
  </w:style>
  <w:style w:type="paragraph" w:styleId="Footer">
    <w:name w:val="footer"/>
    <w:basedOn w:val="Normal"/>
    <w:link w:val="FooterChar"/>
    <w:uiPriority w:val="99"/>
    <w:unhideWhenUsed/>
    <w:rsid w:val="00BB4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C1D"/>
  </w:style>
  <w:style w:type="paragraph" w:customStyle="1" w:styleId="Default">
    <w:name w:val="Default"/>
    <w:rsid w:val="00E625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2506"/>
    <w:pPr>
      <w:spacing w:after="0" w:line="240" w:lineRule="auto"/>
      <w:ind w:left="720"/>
      <w:contextualSpacing/>
    </w:pPr>
    <w:rPr>
      <w:rFonts w:ascii="Arial" w:eastAsia="Times New Roman" w:hAnsi="Arial" w:cs="Times New Roman"/>
      <w:sz w:val="20"/>
      <w:szCs w:val="20"/>
      <w:lang w:bidi="he-IL"/>
    </w:rPr>
  </w:style>
  <w:style w:type="paragraph" w:customStyle="1" w:styleId="ACMABodyText">
    <w:name w:val="ACMA Body Text"/>
    <w:link w:val="ACMABodyTextChar"/>
    <w:rsid w:val="00E62506"/>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
    <w:name w:val="ACMA Body Text Char"/>
    <w:basedOn w:val="DefaultParagraphFont"/>
    <w:link w:val="ACMABodyText"/>
    <w:locked/>
    <w:rsid w:val="00E62506"/>
    <w:rPr>
      <w:rFonts w:ascii="Times New Roman" w:eastAsia="Times New Roman" w:hAnsi="Times New Roman" w:cs="Times New Roman"/>
      <w:snapToGrid w:val="0"/>
      <w:sz w:val="24"/>
      <w:szCs w:val="20"/>
    </w:rPr>
  </w:style>
  <w:style w:type="paragraph" w:styleId="CommentSubject">
    <w:name w:val="annotation subject"/>
    <w:basedOn w:val="CommentText"/>
    <w:next w:val="CommentText"/>
    <w:link w:val="CommentSubjectChar"/>
    <w:uiPriority w:val="99"/>
    <w:semiHidden/>
    <w:unhideWhenUsed/>
    <w:rsid w:val="00634B42"/>
    <w:rPr>
      <w:b/>
      <w:bCs/>
    </w:rPr>
  </w:style>
  <w:style w:type="character" w:customStyle="1" w:styleId="CommentSubjectChar">
    <w:name w:val="Comment Subject Char"/>
    <w:basedOn w:val="CommentTextChar"/>
    <w:link w:val="CommentSubject"/>
    <w:uiPriority w:val="99"/>
    <w:semiHidden/>
    <w:rsid w:val="00634B42"/>
    <w:rPr>
      <w:b/>
      <w:bCs/>
      <w:sz w:val="20"/>
      <w:szCs w:val="20"/>
    </w:rPr>
  </w:style>
  <w:style w:type="paragraph" w:customStyle="1" w:styleId="ACMANumberedList">
    <w:name w:val="ACMA Numbered List"/>
    <w:rsid w:val="00BB531D"/>
    <w:pPr>
      <w:numPr>
        <w:numId w:val="4"/>
      </w:numPr>
      <w:spacing w:before="20" w:after="20" w:line="240" w:lineRule="auto"/>
    </w:pPr>
    <w:rPr>
      <w:rFonts w:ascii="Times New Roman" w:eastAsia="Times New Roman" w:hAnsi="Times New Roman" w:cs="Times New Roman"/>
      <w:sz w:val="24"/>
      <w:szCs w:val="20"/>
    </w:rPr>
  </w:style>
  <w:style w:type="table" w:styleId="TableGrid">
    <w:name w:val="Table Grid"/>
    <w:basedOn w:val="TableNormal"/>
    <w:rsid w:val="003D36C8"/>
    <w:pPr>
      <w:spacing w:before="80" w:after="120" w:line="28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7F60"/>
    <w:pPr>
      <w:spacing w:after="0" w:line="240" w:lineRule="auto"/>
    </w:pPr>
  </w:style>
  <w:style w:type="character" w:styleId="Hyperlink">
    <w:name w:val="Hyperlink"/>
    <w:basedOn w:val="DefaultParagraphFont"/>
    <w:uiPriority w:val="99"/>
    <w:unhideWhenUsed/>
    <w:rsid w:val="00D94D04"/>
    <w:rPr>
      <w:color w:val="0563C1" w:themeColor="hyperlink"/>
      <w:u w:val="single"/>
    </w:rPr>
  </w:style>
  <w:style w:type="character" w:styleId="UnresolvedMention">
    <w:name w:val="Unresolved Mention"/>
    <w:basedOn w:val="DefaultParagraphFont"/>
    <w:uiPriority w:val="99"/>
    <w:semiHidden/>
    <w:unhideWhenUsed/>
    <w:rsid w:val="00D94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14081">
      <w:bodyDiv w:val="1"/>
      <w:marLeft w:val="0"/>
      <w:marRight w:val="0"/>
      <w:marTop w:val="0"/>
      <w:marBottom w:val="0"/>
      <w:divBdr>
        <w:top w:val="none" w:sz="0" w:space="0" w:color="auto"/>
        <w:left w:val="none" w:sz="0" w:space="0" w:color="auto"/>
        <w:bottom w:val="none" w:sz="0" w:space="0" w:color="auto"/>
        <w:right w:val="none" w:sz="0" w:space="0" w:color="auto"/>
      </w:divBdr>
    </w:div>
    <w:div w:id="811870403">
      <w:bodyDiv w:val="1"/>
      <w:marLeft w:val="0"/>
      <w:marRight w:val="0"/>
      <w:marTop w:val="0"/>
      <w:marBottom w:val="0"/>
      <w:divBdr>
        <w:top w:val="none" w:sz="0" w:space="0" w:color="auto"/>
        <w:left w:val="none" w:sz="0" w:space="0" w:color="auto"/>
        <w:bottom w:val="none" w:sz="0" w:space="0" w:color="auto"/>
        <w:right w:val="none" w:sz="0" w:space="0" w:color="auto"/>
      </w:divBdr>
    </w:div>
    <w:div w:id="1300452710">
      <w:bodyDiv w:val="1"/>
      <w:marLeft w:val="0"/>
      <w:marRight w:val="0"/>
      <w:marTop w:val="0"/>
      <w:marBottom w:val="0"/>
      <w:divBdr>
        <w:top w:val="none" w:sz="0" w:space="0" w:color="auto"/>
        <w:left w:val="none" w:sz="0" w:space="0" w:color="auto"/>
        <w:bottom w:val="none" w:sz="0" w:space="0" w:color="auto"/>
        <w:right w:val="none" w:sz="0" w:space="0" w:color="auto"/>
      </w:divBdr>
    </w:div>
    <w:div w:id="1778712996">
      <w:bodyDiv w:val="1"/>
      <w:marLeft w:val="0"/>
      <w:marRight w:val="0"/>
      <w:marTop w:val="0"/>
      <w:marBottom w:val="0"/>
      <w:divBdr>
        <w:top w:val="none" w:sz="0" w:space="0" w:color="auto"/>
        <w:left w:val="none" w:sz="0" w:space="0" w:color="auto"/>
        <w:bottom w:val="none" w:sz="0" w:space="0" w:color="auto"/>
        <w:right w:val="none" w:sz="0" w:space="0" w:color="auto"/>
      </w:divBdr>
    </w:div>
    <w:div w:id="18843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70C913336CE14EADB691FC9E858B90" ma:contentTypeVersion="2" ma:contentTypeDescription="Create a new document." ma:contentTypeScope="" ma:versionID="4472b928e7cd9d7f144896153db115f2">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UQVA7MFFXVNW-1663139543-1748</_dlc_DocId>
    <_dlc_DocIdUrl xmlns="04b8ec43-391f-4ce4-8841-d6a482add564">
      <Url>http://collaboration/organisation/auth/Chair/Auth/_layouts/15/DocIdRedir.aspx?ID=UQVA7MFFXVNW-1663139543-1748</Url>
      <Description>UQVA7MFFXVNW-1663139543-1748</Description>
    </_dlc_DocIdUrl>
    <Category xmlns="026d8262-4725-4a9c-834e-3f991ab17ffd">(none)</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77433-F273-4F1C-8F7A-E026983187F4}">
  <ds:schemaRefs>
    <ds:schemaRef ds:uri="http://schemas.openxmlformats.org/officeDocument/2006/bibliography"/>
  </ds:schemaRefs>
</ds:datastoreItem>
</file>

<file path=customXml/itemProps2.xml><?xml version="1.0" encoding="utf-8"?>
<ds:datastoreItem xmlns:ds="http://schemas.openxmlformats.org/officeDocument/2006/customXml" ds:itemID="{D4B0F6A4-B9D4-4BC7-A398-111C4F290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E243B-ABE3-4CD4-93A4-113D94469115}">
  <ds:schemaRefs>
    <ds:schemaRef ds:uri="http://schemas.microsoft.com/sharepoint/events"/>
  </ds:schemaRefs>
</ds:datastoreItem>
</file>

<file path=customXml/itemProps4.xml><?xml version="1.0" encoding="utf-8"?>
<ds:datastoreItem xmlns:ds="http://schemas.openxmlformats.org/officeDocument/2006/customXml" ds:itemID="{CEFD2B7A-B7FD-4D81-AC7F-687AAAF340F0}">
  <ds:schemaRefs>
    <ds:schemaRef ds:uri="http://schemas.microsoft.com/office/2006/metadata/properties"/>
    <ds:schemaRef ds:uri="http://schemas.microsoft.com/office/infopath/2007/PartnerControls"/>
    <ds:schemaRef ds:uri="04b8ec43-391f-4ce4-8841-d6a482add564"/>
    <ds:schemaRef ds:uri="026d8262-4725-4a9c-834e-3f991ab17ffd"/>
  </ds:schemaRefs>
</ds:datastoreItem>
</file>

<file path=customXml/itemProps5.xml><?xml version="1.0" encoding="utf-8"?>
<ds:datastoreItem xmlns:ds="http://schemas.openxmlformats.org/officeDocument/2006/customXml" ds:itemID="{310176C7-E8BB-42DD-8CE8-7E467800B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Judy-Anne Wood</dc:creator>
  <cp:keywords/>
  <dc:description/>
  <cp:lastModifiedBy>Morgan Vaudrey</cp:lastModifiedBy>
  <cp:revision>7</cp:revision>
  <dcterms:created xsi:type="dcterms:W3CDTF">2020-11-24T23:06:00Z</dcterms:created>
  <dcterms:modified xsi:type="dcterms:W3CDTF">2020-12-10T04:16:00Z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0x010100A670C913336CE14EADB691FC9E858B90</vt:lpwstr>
  </property>
  <property fmtid="{D5CDD505-2E9C-101B-9397-08002B2CF9AE}" pid="3" name="_dlc_DocIdItemGuid">
    <vt:lpwstr>26bcb329-fe4b-44bd-88d8-6f9762ed204d</vt:lpwstr>
  </property>
</Properties>
</file>